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BF00">
      <w:pPr>
        <w:pStyle w:val="21"/>
        <w:rPr>
          <w:rFonts w:hint="eastAsia" w:ascii="黑体" w:hAnsi="黑体" w:eastAsia="黑体" w:cs="黑体"/>
          <w:color w:val="auto"/>
          <w:highlight w:val="none"/>
        </w:rPr>
      </w:pPr>
    </w:p>
    <w:p w14:paraId="6C2071DD">
      <w:pPr>
        <w:spacing w:line="360" w:lineRule="auto"/>
        <w:jc w:val="center"/>
        <w:rPr>
          <w:rFonts w:hint="eastAsia" w:ascii="黑体" w:hAnsi="黑体" w:eastAsia="黑体" w:cs="黑体"/>
          <w:b/>
          <w:color w:val="auto"/>
          <w:sz w:val="96"/>
          <w:szCs w:val="96"/>
          <w:highlight w:val="none"/>
        </w:rPr>
      </w:pPr>
      <w:r>
        <w:rPr>
          <w:rFonts w:hint="eastAsia" w:ascii="黑体" w:hAnsi="黑体" w:eastAsia="黑体" w:cs="黑体"/>
          <w:b/>
          <w:color w:val="auto"/>
          <w:sz w:val="96"/>
          <w:szCs w:val="96"/>
          <w:highlight w:val="none"/>
        </w:rPr>
        <w:t>竞争性比选</w:t>
      </w:r>
    </w:p>
    <w:p w14:paraId="715AC564">
      <w:pPr>
        <w:spacing w:line="360" w:lineRule="auto"/>
        <w:jc w:val="center"/>
        <w:rPr>
          <w:rFonts w:hint="eastAsia" w:ascii="黑体" w:hAnsi="黑体" w:eastAsia="黑体" w:cs="黑体"/>
          <w:b/>
          <w:color w:val="auto"/>
          <w:sz w:val="32"/>
          <w:highlight w:val="none"/>
        </w:rPr>
      </w:pPr>
      <w:r>
        <w:rPr>
          <w:rFonts w:hint="eastAsia" w:ascii="黑体" w:hAnsi="黑体" w:eastAsia="黑体" w:cs="黑体"/>
          <w:b/>
          <w:color w:val="auto"/>
          <w:sz w:val="96"/>
          <w:szCs w:val="96"/>
          <w:highlight w:val="none"/>
        </w:rPr>
        <w:t>招 标 文 件</w:t>
      </w:r>
    </w:p>
    <w:p w14:paraId="7E0A4F5D">
      <w:pPr>
        <w:pStyle w:val="2"/>
        <w:spacing w:before="21" w:line="360" w:lineRule="auto"/>
        <w:ind w:left="2243" w:leftChars="801" w:firstLine="0" w:firstLineChars="0"/>
        <w:jc w:val="both"/>
        <w:rPr>
          <w:rFonts w:hint="default" w:ascii="黑体" w:hAnsi="黑体" w:eastAsia="黑体" w:cs="黑体"/>
          <w:b/>
          <w:bCs w:val="0"/>
          <w:color w:val="auto"/>
          <w:sz w:val="32"/>
          <w:szCs w:val="22"/>
          <w:highlight w:val="none"/>
          <w:lang w:val="en-US" w:eastAsia="zh-CN"/>
        </w:rPr>
      </w:pPr>
      <w:bookmarkStart w:id="0" w:name="_Toc29603"/>
      <w:bookmarkStart w:id="1" w:name="_Toc31726"/>
      <w:bookmarkStart w:id="2" w:name="_Toc9810"/>
      <w:bookmarkStart w:id="3" w:name="_Toc27716"/>
      <w:bookmarkStart w:id="4" w:name="_Toc26400"/>
      <w:bookmarkStart w:id="5" w:name="_Toc2292"/>
      <w:bookmarkStart w:id="6" w:name="_Toc23849"/>
      <w:r>
        <w:rPr>
          <w:rFonts w:hint="eastAsia" w:ascii="黑体" w:hAnsi="黑体" w:eastAsia="黑体" w:cs="黑体"/>
          <w:b/>
          <w:bCs w:val="0"/>
          <w:color w:val="auto"/>
          <w:sz w:val="32"/>
          <w:szCs w:val="22"/>
          <w:highlight w:val="none"/>
          <w:lang w:val="en-US" w:eastAsia="zh-CN"/>
        </w:rPr>
        <w:t>招 标 编 号：</w:t>
      </w:r>
      <w:bookmarkEnd w:id="0"/>
      <w:bookmarkEnd w:id="1"/>
      <w:bookmarkEnd w:id="2"/>
      <w:bookmarkEnd w:id="3"/>
      <w:bookmarkEnd w:id="4"/>
      <w:bookmarkEnd w:id="5"/>
      <w:bookmarkEnd w:id="6"/>
      <w:bookmarkStart w:id="7" w:name="_Toc21513"/>
      <w:bookmarkStart w:id="8" w:name="_Toc26156"/>
      <w:bookmarkStart w:id="9" w:name="_Toc11745"/>
      <w:bookmarkStart w:id="10" w:name="_Toc14658"/>
      <w:bookmarkStart w:id="11" w:name="_Toc23359"/>
      <w:r>
        <w:rPr>
          <w:rFonts w:hint="eastAsia" w:ascii="黑体" w:hAnsi="黑体" w:eastAsia="黑体" w:cs="黑体"/>
          <w:b/>
          <w:bCs w:val="0"/>
          <w:color w:val="auto"/>
          <w:sz w:val="32"/>
          <w:szCs w:val="22"/>
          <w:highlight w:val="none"/>
          <w:lang w:val="en-US" w:eastAsia="zh-CN"/>
        </w:rPr>
        <w:t>BSRMYY-YNCG-202</w:t>
      </w:r>
      <w:r>
        <w:rPr>
          <w:rFonts w:hint="eastAsia" w:ascii="黑体" w:hAnsi="黑体" w:cs="黑体"/>
          <w:b/>
          <w:bCs w:val="0"/>
          <w:color w:val="auto"/>
          <w:sz w:val="32"/>
          <w:szCs w:val="22"/>
          <w:highlight w:val="none"/>
          <w:lang w:val="en-US" w:eastAsia="zh-CN"/>
        </w:rPr>
        <w:t>6</w:t>
      </w:r>
      <w:r>
        <w:rPr>
          <w:rFonts w:hint="eastAsia" w:ascii="黑体" w:hAnsi="黑体" w:eastAsia="黑体" w:cs="黑体"/>
          <w:b/>
          <w:bCs w:val="0"/>
          <w:color w:val="auto"/>
          <w:sz w:val="32"/>
          <w:szCs w:val="22"/>
          <w:highlight w:val="none"/>
          <w:lang w:val="en-US" w:eastAsia="zh-CN"/>
        </w:rPr>
        <w:t>-</w:t>
      </w:r>
      <w:r>
        <w:rPr>
          <w:rFonts w:hint="eastAsia" w:ascii="黑体" w:hAnsi="黑体" w:cs="黑体"/>
          <w:b/>
          <w:bCs w:val="0"/>
          <w:color w:val="auto"/>
          <w:sz w:val="32"/>
          <w:szCs w:val="22"/>
          <w:highlight w:val="none"/>
          <w:lang w:val="en-US" w:eastAsia="zh-CN"/>
        </w:rPr>
        <w:t>01004</w:t>
      </w:r>
    </w:p>
    <w:p w14:paraId="07CDACEE">
      <w:pPr>
        <w:pStyle w:val="2"/>
        <w:spacing w:before="21" w:line="360" w:lineRule="auto"/>
        <w:ind w:left="2249" w:hanging="2249" w:hangingChars="700"/>
        <w:jc w:val="center"/>
        <w:rPr>
          <w:rFonts w:hint="eastAsia" w:ascii="黑体" w:hAnsi="黑体" w:eastAsia="黑体" w:cs="黑体"/>
          <w:b/>
          <w:bCs w:val="0"/>
          <w:color w:val="auto"/>
          <w:sz w:val="32"/>
          <w:szCs w:val="22"/>
          <w:highlight w:val="none"/>
          <w:lang w:val="en-US" w:eastAsia="zh-CN"/>
        </w:rPr>
      </w:pPr>
      <w:bookmarkStart w:id="12" w:name="_Toc19589"/>
      <w:bookmarkStart w:id="13" w:name="_Toc30625"/>
      <w:bookmarkStart w:id="14" w:name="_Toc23452"/>
      <w:r>
        <w:rPr>
          <w:rFonts w:hint="eastAsia" w:ascii="黑体" w:hAnsi="黑体" w:eastAsia="黑体" w:cs="黑体"/>
          <w:b/>
          <w:bCs w:val="0"/>
          <w:color w:val="auto"/>
          <w:sz w:val="32"/>
          <w:szCs w:val="22"/>
          <w:highlight w:val="none"/>
        </w:rPr>
        <w:t>项目名称：</w:t>
      </w:r>
      <w:bookmarkEnd w:id="7"/>
      <w:bookmarkEnd w:id="8"/>
      <w:bookmarkEnd w:id="9"/>
      <w:bookmarkEnd w:id="10"/>
      <w:bookmarkEnd w:id="11"/>
      <w:bookmarkEnd w:id="12"/>
      <w:bookmarkEnd w:id="13"/>
      <w:bookmarkEnd w:id="14"/>
      <w:r>
        <w:rPr>
          <w:rFonts w:hint="eastAsia" w:ascii="黑体" w:hAnsi="黑体" w:cs="黑体"/>
          <w:b/>
          <w:bCs w:val="0"/>
          <w:color w:val="auto"/>
          <w:sz w:val="32"/>
          <w:szCs w:val="22"/>
          <w:highlight w:val="none"/>
          <w:lang w:val="en-US" w:eastAsia="zh-CN"/>
        </w:rPr>
        <w:t>纸巾类用品（第三</w:t>
      </w:r>
      <w:bookmarkStart w:id="169" w:name="_GoBack"/>
      <w:bookmarkEnd w:id="169"/>
      <w:r>
        <w:rPr>
          <w:rFonts w:hint="eastAsia" w:ascii="黑体" w:hAnsi="黑体" w:cs="黑体"/>
          <w:b/>
          <w:bCs w:val="0"/>
          <w:color w:val="auto"/>
          <w:sz w:val="32"/>
          <w:szCs w:val="22"/>
          <w:highlight w:val="none"/>
          <w:lang w:val="en-US" w:eastAsia="zh-CN"/>
        </w:rPr>
        <w:t>次）</w:t>
      </w:r>
    </w:p>
    <w:p w14:paraId="2EB40C6E">
      <w:pPr>
        <w:spacing w:line="700" w:lineRule="exact"/>
        <w:ind w:firstLine="0" w:firstLineChars="0"/>
        <w:jc w:val="center"/>
        <w:rPr>
          <w:rFonts w:hint="eastAsia" w:ascii="黑体" w:hAnsi="黑体" w:eastAsia="黑体" w:cs="黑体"/>
          <w:b/>
          <w:bCs w:val="0"/>
          <w:color w:val="auto"/>
          <w:sz w:val="32"/>
          <w:szCs w:val="21"/>
          <w:highlight w:val="none"/>
        </w:rPr>
      </w:pPr>
    </w:p>
    <w:p w14:paraId="0D3F3781">
      <w:pPr>
        <w:spacing w:line="700" w:lineRule="exact"/>
        <w:ind w:firstLine="0" w:firstLineChars="0"/>
        <w:jc w:val="center"/>
        <w:rPr>
          <w:rFonts w:hint="eastAsia" w:ascii="黑体" w:hAnsi="黑体" w:eastAsia="黑体" w:cs="黑体"/>
          <w:b/>
          <w:bCs w:val="0"/>
          <w:color w:val="auto"/>
          <w:sz w:val="32"/>
          <w:szCs w:val="21"/>
          <w:highlight w:val="none"/>
        </w:rPr>
      </w:pPr>
    </w:p>
    <w:p w14:paraId="4395C1A5">
      <w:pPr>
        <w:spacing w:line="700" w:lineRule="exact"/>
        <w:ind w:firstLine="0" w:firstLineChars="0"/>
        <w:jc w:val="both"/>
        <w:rPr>
          <w:rFonts w:hint="eastAsia" w:ascii="黑体" w:hAnsi="黑体" w:eastAsia="黑体" w:cs="黑体"/>
          <w:b/>
          <w:bCs w:val="0"/>
          <w:color w:val="auto"/>
          <w:sz w:val="32"/>
          <w:szCs w:val="21"/>
          <w:highlight w:val="none"/>
        </w:rPr>
      </w:pPr>
    </w:p>
    <w:p w14:paraId="617B6AB7">
      <w:pPr>
        <w:spacing w:line="700" w:lineRule="exact"/>
        <w:ind w:firstLine="0" w:firstLineChars="0"/>
        <w:jc w:val="center"/>
        <w:rPr>
          <w:rFonts w:hint="eastAsia" w:ascii="黑体" w:hAnsi="黑体" w:eastAsia="黑体" w:cs="黑体"/>
          <w:b/>
          <w:bCs w:val="0"/>
          <w:color w:val="auto"/>
          <w:sz w:val="28"/>
          <w:szCs w:val="22"/>
          <w:highlight w:val="none"/>
          <w:u w:val="single"/>
        </w:rPr>
      </w:pPr>
      <w:r>
        <w:rPr>
          <w:rFonts w:hint="eastAsia" w:ascii="黑体" w:hAnsi="黑体" w:eastAsia="黑体" w:cs="黑体"/>
          <w:b/>
          <w:bCs w:val="0"/>
          <w:color w:val="auto"/>
          <w:sz w:val="32"/>
          <w:szCs w:val="21"/>
          <w:highlight w:val="none"/>
        </w:rPr>
        <w:t>采  购  人：</w:t>
      </w:r>
      <w:r>
        <w:rPr>
          <w:rFonts w:hint="eastAsia" w:ascii="黑体" w:hAnsi="黑体" w:eastAsia="黑体" w:cs="黑体"/>
          <w:b/>
          <w:bCs w:val="0"/>
          <w:color w:val="auto"/>
          <w:sz w:val="32"/>
          <w:szCs w:val="21"/>
          <w:highlight w:val="none"/>
          <w:u w:val="single"/>
        </w:rPr>
        <w:t>重庆市璧山区人民医院</w:t>
      </w:r>
    </w:p>
    <w:p w14:paraId="250BAB4E">
      <w:pPr>
        <w:spacing w:line="360" w:lineRule="auto"/>
        <w:ind w:firstLine="1120"/>
        <w:jc w:val="center"/>
        <w:outlineLvl w:val="0"/>
        <w:rPr>
          <w:rFonts w:hint="eastAsia" w:ascii="黑体" w:hAnsi="黑体" w:eastAsia="黑体" w:cs="黑体"/>
          <w:b/>
          <w:bCs w:val="0"/>
          <w:color w:val="auto"/>
          <w:sz w:val="32"/>
          <w:szCs w:val="22"/>
          <w:highlight w:val="none"/>
        </w:rPr>
      </w:pPr>
    </w:p>
    <w:p w14:paraId="2987BBEE">
      <w:pPr>
        <w:spacing w:line="360" w:lineRule="auto"/>
        <w:jc w:val="center"/>
        <w:outlineLvl w:val="0"/>
        <w:rPr>
          <w:rFonts w:hint="eastAsia" w:ascii="黑体" w:hAnsi="黑体" w:eastAsia="黑体" w:cs="黑体"/>
          <w:b/>
          <w:bCs w:val="0"/>
          <w:color w:val="auto"/>
          <w:sz w:val="32"/>
          <w:szCs w:val="32"/>
          <w:highlight w:val="none"/>
        </w:rPr>
      </w:pPr>
    </w:p>
    <w:p w14:paraId="13DD23CD">
      <w:pPr>
        <w:pStyle w:val="21"/>
        <w:rPr>
          <w:rFonts w:hint="eastAsia" w:ascii="黑体" w:hAnsi="黑体" w:eastAsia="黑体" w:cs="黑体"/>
          <w:b/>
          <w:bCs w:val="0"/>
          <w:color w:val="auto"/>
          <w:highlight w:val="none"/>
        </w:rPr>
      </w:pPr>
    </w:p>
    <w:p w14:paraId="1626BDC0">
      <w:pPr>
        <w:snapToGrid w:val="0"/>
        <w:spacing w:line="360" w:lineRule="auto"/>
        <w:jc w:val="center"/>
        <w:rPr>
          <w:rFonts w:hint="eastAsia" w:ascii="黑体" w:hAnsi="黑体" w:eastAsia="黑体" w:cs="黑体"/>
          <w:b/>
          <w:bCs w:val="0"/>
          <w:color w:val="auto"/>
          <w:sz w:val="32"/>
          <w:szCs w:val="32"/>
          <w:highlight w:val="none"/>
        </w:rPr>
        <w:sectPr>
          <w:headerReference r:id="rId4" w:type="first"/>
          <w:headerReference r:id="rId3" w:type="default"/>
          <w:footerReference r:id="rId5" w:type="default"/>
          <w:footerReference r:id="rId6" w:type="even"/>
          <w:pgSz w:w="11907" w:h="16840"/>
          <w:pgMar w:top="1440" w:right="1080" w:bottom="1440" w:left="1080" w:header="964"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黑体" w:hAnsi="黑体" w:eastAsia="黑体" w:cs="黑体"/>
          <w:b/>
          <w:bCs w:val="0"/>
          <w:color w:val="auto"/>
          <w:sz w:val="32"/>
          <w:szCs w:val="32"/>
          <w:highlight w:val="none"/>
        </w:rPr>
        <w:t>二○二</w:t>
      </w:r>
      <w:r>
        <w:rPr>
          <w:rFonts w:hint="eastAsia" w:ascii="黑体" w:hAnsi="黑体" w:eastAsia="黑体" w:cs="黑体"/>
          <w:b/>
          <w:bCs w:val="0"/>
          <w:color w:val="auto"/>
          <w:sz w:val="32"/>
          <w:szCs w:val="32"/>
          <w:highlight w:val="none"/>
          <w:lang w:eastAsia="zh-CN"/>
        </w:rPr>
        <w:t>六</w:t>
      </w:r>
      <w:r>
        <w:rPr>
          <w:rFonts w:hint="eastAsia" w:ascii="黑体" w:hAnsi="黑体" w:eastAsia="黑体" w:cs="黑体"/>
          <w:b/>
          <w:bCs w:val="0"/>
          <w:color w:val="auto"/>
          <w:sz w:val="32"/>
          <w:szCs w:val="32"/>
          <w:highlight w:val="none"/>
        </w:rPr>
        <w:t>年</w:t>
      </w:r>
      <w:r>
        <w:rPr>
          <w:rFonts w:hint="eastAsia" w:ascii="黑体" w:hAnsi="黑体" w:eastAsia="黑体" w:cs="黑体"/>
          <w:b/>
          <w:bCs w:val="0"/>
          <w:color w:val="auto"/>
          <w:sz w:val="32"/>
          <w:szCs w:val="32"/>
          <w:highlight w:val="none"/>
          <w:lang w:eastAsia="zh-CN"/>
        </w:rPr>
        <w:t>一</w:t>
      </w:r>
      <w:r>
        <w:rPr>
          <w:rFonts w:hint="eastAsia" w:ascii="黑体" w:hAnsi="黑体" w:eastAsia="黑体" w:cs="黑体"/>
          <w:b/>
          <w:bCs w:val="0"/>
          <w:color w:val="auto"/>
          <w:sz w:val="32"/>
          <w:szCs w:val="32"/>
          <w:highlight w:val="none"/>
        </w:rPr>
        <w:t>月</w:t>
      </w:r>
    </w:p>
    <w:p w14:paraId="2A247FEF">
      <w:pPr>
        <w:snapToGrid w:val="0"/>
        <w:spacing w:line="360" w:lineRule="auto"/>
        <w:jc w:val="center"/>
        <w:rPr>
          <w:rFonts w:hint="eastAsia" w:ascii="黑体" w:hAnsi="黑体" w:eastAsia="黑体" w:cs="黑体"/>
          <w:color w:val="auto"/>
          <w:sz w:val="36"/>
          <w:szCs w:val="36"/>
          <w:highlight w:val="none"/>
        </w:rPr>
      </w:pPr>
      <w:r>
        <w:rPr>
          <w:rFonts w:hint="eastAsia" w:ascii="黑体" w:hAnsi="黑体" w:eastAsia="黑体" w:cs="黑体"/>
          <w:b/>
          <w:bCs/>
          <w:color w:val="auto"/>
          <w:sz w:val="36"/>
          <w:szCs w:val="36"/>
          <w:highlight w:val="none"/>
        </w:rPr>
        <w:t>目  录</w:t>
      </w:r>
    </w:p>
    <w:p w14:paraId="4BCDD672">
      <w:pPr>
        <w:pStyle w:val="17"/>
        <w:tabs>
          <w:tab w:val="right" w:leader="dot" w:pos="9747"/>
          <w:tab w:val="clear" w:pos="1260"/>
          <w:tab w:val="clear" w:pos="1685"/>
          <w:tab w:val="clear" w:pos="8400"/>
        </w:tabs>
        <w:rPr>
          <w:highlight w:val="none"/>
        </w:rPr>
      </w:pPr>
      <w:r>
        <w:rPr>
          <w:rFonts w:hint="eastAsia" w:ascii="黑体" w:hAnsi="黑体" w:eastAsia="黑体" w:cs="黑体"/>
          <w:color w:val="auto"/>
          <w:sz w:val="21"/>
          <w:szCs w:val="21"/>
          <w:highlight w:val="none"/>
        </w:rPr>
        <w:fldChar w:fldCharType="begin"/>
      </w:r>
      <w:r>
        <w:rPr>
          <w:rFonts w:hint="eastAsia" w:ascii="黑体" w:hAnsi="黑体" w:eastAsia="黑体" w:cs="黑体"/>
          <w:color w:val="auto"/>
          <w:sz w:val="21"/>
          <w:szCs w:val="21"/>
          <w:highlight w:val="none"/>
        </w:rPr>
        <w:instrText xml:space="preserve"> TOC \o "1-2" \h \z </w:instrText>
      </w:r>
      <w:r>
        <w:rPr>
          <w:rFonts w:hint="eastAsia" w:ascii="黑体" w:hAnsi="黑体" w:eastAsia="黑体" w:cs="黑体"/>
          <w:color w:val="auto"/>
          <w:sz w:val="21"/>
          <w:szCs w:val="21"/>
          <w:highlight w:val="none"/>
        </w:rPr>
        <w:fldChar w:fldCharType="separate"/>
      </w: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_Toc14073 </w:instrText>
      </w:r>
      <w:r>
        <w:rPr>
          <w:rFonts w:hint="eastAsia" w:ascii="黑体" w:hAnsi="黑体" w:eastAsia="黑体" w:cs="黑体"/>
          <w:szCs w:val="21"/>
          <w:highlight w:val="none"/>
        </w:rPr>
        <w:fldChar w:fldCharType="separate"/>
      </w:r>
      <w:r>
        <w:rPr>
          <w:rFonts w:hint="eastAsia" w:ascii="黑体" w:hAnsi="黑体" w:eastAsia="黑体" w:cs="黑体"/>
          <w:szCs w:val="32"/>
          <w:highlight w:val="none"/>
        </w:rPr>
        <w:t>第一篇 投标邀请书</w:t>
      </w:r>
      <w:r>
        <w:rPr>
          <w:highlight w:val="none"/>
        </w:rPr>
        <w:tab/>
      </w:r>
      <w:r>
        <w:rPr>
          <w:highlight w:val="none"/>
        </w:rPr>
        <w:fldChar w:fldCharType="begin"/>
      </w:r>
      <w:r>
        <w:rPr>
          <w:highlight w:val="none"/>
        </w:rPr>
        <w:instrText xml:space="preserve"> PAGEREF _Toc14073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444D2022">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_Toc23547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lang w:val="en-US" w:eastAsia="zh-CN"/>
        </w:rPr>
        <w:t>一、</w:t>
      </w:r>
      <w:r>
        <w:rPr>
          <w:rFonts w:hint="eastAsia" w:ascii="黑体" w:hAnsi="黑体" w:eastAsia="黑体" w:cs="黑体"/>
          <w:szCs w:val="28"/>
          <w:highlight w:val="none"/>
        </w:rPr>
        <w:t>招标项目内容</w:t>
      </w:r>
      <w:r>
        <w:rPr>
          <w:highlight w:val="none"/>
        </w:rPr>
        <w:tab/>
      </w:r>
      <w:r>
        <w:rPr>
          <w:highlight w:val="none"/>
        </w:rPr>
        <w:fldChar w:fldCharType="begin"/>
      </w:r>
      <w:r>
        <w:rPr>
          <w:highlight w:val="none"/>
        </w:rPr>
        <w:instrText xml:space="preserve"> PAGEREF _Toc23547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3AC8E7C0">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_Toc13527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二、资金来源</w:t>
      </w:r>
      <w:r>
        <w:rPr>
          <w:highlight w:val="none"/>
        </w:rPr>
        <w:tab/>
      </w:r>
      <w:r>
        <w:rPr>
          <w:highlight w:val="none"/>
        </w:rPr>
        <w:fldChar w:fldCharType="begin"/>
      </w:r>
      <w:r>
        <w:rPr>
          <w:highlight w:val="none"/>
        </w:rPr>
        <w:instrText xml:space="preserve"> PAGEREF _Toc13527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43CDEBF8">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_Toc19210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三、供应商资格要求</w:t>
      </w:r>
      <w:r>
        <w:rPr>
          <w:highlight w:val="none"/>
        </w:rPr>
        <w:tab/>
      </w:r>
      <w:r>
        <w:rPr>
          <w:highlight w:val="none"/>
        </w:rPr>
        <w:fldChar w:fldCharType="begin"/>
      </w:r>
      <w:r>
        <w:rPr>
          <w:highlight w:val="none"/>
        </w:rPr>
        <w:instrText xml:space="preserve"> PAGEREF _Toc19210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0AA6B666">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_Toc31952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四、投标、开标有关说明</w:t>
      </w:r>
      <w:r>
        <w:rPr>
          <w:highlight w:val="none"/>
        </w:rPr>
        <w:tab/>
      </w:r>
      <w:r>
        <w:rPr>
          <w:highlight w:val="none"/>
        </w:rPr>
        <w:fldChar w:fldCharType="begin"/>
      </w:r>
      <w:r>
        <w:rPr>
          <w:highlight w:val="none"/>
        </w:rPr>
        <w:instrText xml:space="preserve"> PAGEREF _Toc31952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23FE032C">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_Toc18002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五、投标有关规定</w:t>
      </w:r>
      <w:r>
        <w:rPr>
          <w:highlight w:val="none"/>
        </w:rPr>
        <w:tab/>
      </w:r>
      <w:r>
        <w:rPr>
          <w:highlight w:val="none"/>
        </w:rPr>
        <w:fldChar w:fldCharType="begin"/>
      </w:r>
      <w:r>
        <w:rPr>
          <w:highlight w:val="none"/>
        </w:rPr>
        <w:instrText xml:space="preserve"> PAGEREF _Toc18002 \h </w:instrText>
      </w:r>
      <w:r>
        <w:rPr>
          <w:highlight w:val="none"/>
        </w:rPr>
        <w:fldChar w:fldCharType="separate"/>
      </w:r>
      <w:r>
        <w:rPr>
          <w:highlight w:val="none"/>
        </w:rPr>
        <w:t>3</w:t>
      </w:r>
      <w:r>
        <w:rPr>
          <w:highlight w:val="none"/>
        </w:rPr>
        <w:fldChar w:fldCharType="end"/>
      </w:r>
      <w:r>
        <w:rPr>
          <w:rFonts w:hint="eastAsia" w:ascii="黑体" w:hAnsi="黑体" w:eastAsia="黑体" w:cs="黑体"/>
          <w:color w:val="auto"/>
          <w:szCs w:val="21"/>
          <w:highlight w:val="none"/>
        </w:rPr>
        <w:fldChar w:fldCharType="end"/>
      </w:r>
    </w:p>
    <w:p w14:paraId="52665DEA">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_Toc22907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六、联系方式</w:t>
      </w:r>
      <w:r>
        <w:rPr>
          <w:highlight w:val="none"/>
        </w:rPr>
        <w:tab/>
      </w:r>
      <w:r>
        <w:rPr>
          <w:rFonts w:hint="eastAsia"/>
          <w:highlight w:val="none"/>
          <w:lang w:val="en-US" w:eastAsia="zh-CN"/>
        </w:rPr>
        <w:t>3</w:t>
      </w:r>
      <w:r>
        <w:rPr>
          <w:rFonts w:hint="eastAsia" w:ascii="黑体" w:hAnsi="黑体" w:eastAsia="黑体" w:cs="黑体"/>
          <w:color w:val="auto"/>
          <w:szCs w:val="21"/>
          <w:highlight w:val="none"/>
        </w:rPr>
        <w:fldChar w:fldCharType="end"/>
      </w:r>
    </w:p>
    <w:p w14:paraId="2DA7B27D">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_Toc27745 </w:instrText>
      </w:r>
      <w:r>
        <w:rPr>
          <w:rFonts w:hint="eastAsia" w:ascii="黑体" w:hAnsi="黑体" w:eastAsia="黑体" w:cs="黑体"/>
          <w:szCs w:val="21"/>
          <w:highlight w:val="none"/>
        </w:rPr>
        <w:fldChar w:fldCharType="separate"/>
      </w:r>
      <w:r>
        <w:rPr>
          <w:rFonts w:hint="eastAsia" w:ascii="黑体" w:hAnsi="黑体" w:eastAsia="黑体" w:cs="黑体"/>
          <w:szCs w:val="32"/>
          <w:highlight w:val="none"/>
        </w:rPr>
        <w:t>第二篇 项目技术（质量）需求</w:t>
      </w:r>
      <w:r>
        <w:rPr>
          <w:highlight w:val="none"/>
        </w:rPr>
        <w:tab/>
      </w:r>
      <w:r>
        <w:rPr>
          <w:rFonts w:hint="eastAsia"/>
          <w:highlight w:val="none"/>
          <w:lang w:val="en-US" w:eastAsia="zh-CN"/>
        </w:rPr>
        <w:t>4</w:t>
      </w:r>
      <w:r>
        <w:rPr>
          <w:rFonts w:hint="eastAsia" w:ascii="黑体" w:hAnsi="黑体" w:eastAsia="黑体" w:cs="黑体"/>
          <w:color w:val="auto"/>
          <w:szCs w:val="21"/>
          <w:highlight w:val="none"/>
        </w:rPr>
        <w:fldChar w:fldCharType="end"/>
      </w:r>
    </w:p>
    <w:p w14:paraId="429872E7">
      <w:pPr>
        <w:pStyle w:val="17"/>
        <w:tabs>
          <w:tab w:val="right" w:leader="dot" w:pos="9747"/>
          <w:tab w:val="clear" w:pos="1260"/>
          <w:tab w:val="clear" w:pos="1685"/>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_Toc15423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第三篇</w:t>
      </w:r>
      <w:r>
        <w:rPr>
          <w:rFonts w:hint="eastAsia" w:ascii="黑体" w:hAnsi="黑体" w:eastAsia="黑体" w:cs="黑体"/>
          <w:szCs w:val="28"/>
          <w:highlight w:val="none"/>
          <w:lang w:val="en-US" w:eastAsia="zh-CN"/>
        </w:rPr>
        <w:t xml:space="preserve">  项目商务需求</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0349A399">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_Toc10724 </w:instrText>
      </w:r>
      <w:r>
        <w:rPr>
          <w:rFonts w:hint="eastAsia" w:ascii="黑体" w:hAnsi="黑体" w:eastAsia="黑体" w:cs="黑体"/>
          <w:szCs w:val="21"/>
          <w:highlight w:val="none"/>
        </w:rPr>
        <w:fldChar w:fldCharType="separate"/>
      </w:r>
      <w:r>
        <w:rPr>
          <w:rFonts w:hint="eastAsia" w:ascii="黑体" w:hAnsi="黑体" w:eastAsia="黑体" w:cs="黑体"/>
          <w:bCs/>
          <w:highlight w:val="none"/>
        </w:rPr>
        <w:t>一、</w:t>
      </w:r>
      <w:r>
        <w:rPr>
          <w:rFonts w:hint="eastAsia" w:ascii="黑体" w:hAnsi="黑体" w:eastAsia="黑体" w:cs="黑体"/>
          <w:bCs/>
          <w:highlight w:val="none"/>
          <w:lang w:eastAsia="zh-CN"/>
        </w:rPr>
        <w:t>交付</w:t>
      </w:r>
      <w:r>
        <w:rPr>
          <w:rFonts w:hint="eastAsia" w:ascii="黑体" w:hAnsi="黑体" w:eastAsia="黑体" w:cs="黑体"/>
          <w:bCs/>
          <w:highlight w:val="none"/>
        </w:rPr>
        <w:t>时间、地点</w:t>
      </w:r>
      <w:r>
        <w:rPr>
          <w:rFonts w:hint="eastAsia" w:ascii="黑体" w:hAnsi="黑体" w:eastAsia="黑体" w:cs="黑体"/>
          <w:bCs/>
          <w:highlight w:val="none"/>
          <w:lang w:val="en-US" w:eastAsia="zh-CN"/>
        </w:rPr>
        <w:t>及验收方式</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2DCA9F94">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_Toc9325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二、报价要求</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1A54F287">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_Toc6360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三、付款方式</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14E49FC8">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_Toc18992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四、知识产权</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65D1316C">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_Toc31291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五、质量保证及售后服务内容</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596D7A5F">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_Toc11476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六、终止合同</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52753D11">
      <w:pPr>
        <w:pStyle w:val="19"/>
        <w:tabs>
          <w:tab w:val="right" w:leader="dot" w:pos="9747"/>
          <w:tab w:val="clear" w:pos="8400"/>
        </w:tabs>
        <w:rPr>
          <w:rFonts w:hint="eastAsia" w:ascii="黑体" w:hAnsi="黑体" w:eastAsia="黑体" w:cs="黑体"/>
          <w:color w:val="auto"/>
          <w:szCs w:val="21"/>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_Toc10274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七、违约责任</w:t>
      </w:r>
      <w:r>
        <w:rPr>
          <w:highlight w:val="none"/>
        </w:rPr>
        <w:tab/>
      </w:r>
      <w:r>
        <w:rPr>
          <w:rFonts w:hint="eastAsia"/>
          <w:highlight w:val="none"/>
          <w:lang w:val="en-US" w:eastAsia="zh-CN"/>
        </w:rPr>
        <w:t>6</w:t>
      </w:r>
      <w:r>
        <w:rPr>
          <w:rFonts w:hint="eastAsia" w:ascii="黑体" w:hAnsi="黑体" w:eastAsia="黑体" w:cs="黑体"/>
          <w:color w:val="auto"/>
          <w:szCs w:val="21"/>
          <w:highlight w:val="none"/>
        </w:rPr>
        <w:fldChar w:fldCharType="end"/>
      </w:r>
    </w:p>
    <w:p w14:paraId="2A5BDA29">
      <w:pPr>
        <w:pStyle w:val="19"/>
        <w:tabs>
          <w:tab w:val="right" w:leader="dot" w:pos="9747"/>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_Toc15416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八、其他要求</w:t>
      </w:r>
      <w:r>
        <w:rPr>
          <w:highlight w:val="none"/>
        </w:rPr>
        <w:tab/>
      </w:r>
      <w:r>
        <w:rPr>
          <w:rFonts w:hint="eastAsia"/>
          <w:highlight w:val="none"/>
          <w:lang w:val="en-US" w:eastAsia="zh-CN"/>
        </w:rPr>
        <w:t>6</w:t>
      </w:r>
      <w:r>
        <w:rPr>
          <w:rFonts w:hint="eastAsia" w:ascii="黑体" w:hAnsi="黑体" w:eastAsia="黑体" w:cs="黑体"/>
          <w:color w:val="auto"/>
          <w:szCs w:val="21"/>
          <w:highlight w:val="none"/>
        </w:rPr>
        <w:fldChar w:fldCharType="end"/>
      </w:r>
    </w:p>
    <w:p w14:paraId="0747BE5B">
      <w:pPr>
        <w:pStyle w:val="17"/>
        <w:tabs>
          <w:tab w:val="right" w:leader="dot" w:pos="9747"/>
          <w:tab w:val="clear" w:pos="1260"/>
          <w:tab w:val="clear" w:pos="1685"/>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_Toc22254 </w:instrText>
      </w:r>
      <w:r>
        <w:rPr>
          <w:rFonts w:hint="eastAsia" w:ascii="黑体" w:hAnsi="黑体" w:eastAsia="黑体" w:cs="黑体"/>
          <w:szCs w:val="21"/>
          <w:highlight w:val="none"/>
        </w:rPr>
        <w:fldChar w:fldCharType="separate"/>
      </w:r>
      <w:r>
        <w:rPr>
          <w:rFonts w:hint="eastAsia" w:ascii="黑体" w:hAnsi="黑体" w:eastAsia="黑体" w:cs="黑体"/>
          <w:highlight w:val="none"/>
        </w:rPr>
        <w:t>第四篇  资格审查及评标办法</w:t>
      </w:r>
      <w:r>
        <w:rPr>
          <w:highlight w:val="none"/>
        </w:rPr>
        <w:tab/>
      </w:r>
      <w:r>
        <w:rPr>
          <w:rFonts w:hint="eastAsia"/>
          <w:highlight w:val="none"/>
          <w:lang w:val="en-US" w:eastAsia="zh-CN"/>
        </w:rPr>
        <w:t>8</w:t>
      </w:r>
      <w:r>
        <w:rPr>
          <w:rFonts w:hint="eastAsia" w:ascii="黑体" w:hAnsi="黑体" w:eastAsia="黑体" w:cs="黑体"/>
          <w:color w:val="auto"/>
          <w:szCs w:val="21"/>
          <w:highlight w:val="none"/>
        </w:rPr>
        <w:fldChar w:fldCharType="end"/>
      </w:r>
    </w:p>
    <w:p w14:paraId="551BD496">
      <w:pPr>
        <w:pStyle w:val="17"/>
        <w:tabs>
          <w:tab w:val="right" w:leader="dot" w:pos="9747"/>
          <w:tab w:val="clear" w:pos="1260"/>
          <w:tab w:val="clear" w:pos="1685"/>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_Toc17899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lang w:val="en-US" w:eastAsia="zh-CN"/>
        </w:rPr>
        <w:t>第五篇  供应商须知</w:t>
      </w:r>
      <w:r>
        <w:rPr>
          <w:highlight w:val="none"/>
        </w:rPr>
        <w:tab/>
      </w:r>
      <w:r>
        <w:rPr>
          <w:highlight w:val="none"/>
        </w:rPr>
        <w:fldChar w:fldCharType="begin"/>
      </w:r>
      <w:r>
        <w:rPr>
          <w:highlight w:val="none"/>
        </w:rPr>
        <w:instrText xml:space="preserve"> PAGEREF _Toc17899 \h </w:instrText>
      </w:r>
      <w:r>
        <w:rPr>
          <w:highlight w:val="none"/>
        </w:rPr>
        <w:fldChar w:fldCharType="separate"/>
      </w:r>
      <w:r>
        <w:rPr>
          <w:highlight w:val="none"/>
        </w:rPr>
        <w:t>1</w:t>
      </w:r>
      <w:r>
        <w:rPr>
          <w:rFonts w:hint="eastAsia"/>
          <w:highlight w:val="none"/>
          <w:lang w:val="en-US" w:eastAsia="zh-CN"/>
        </w:rPr>
        <w:t>1</w:t>
      </w:r>
      <w:r>
        <w:rPr>
          <w:highlight w:val="none"/>
        </w:rPr>
        <w:fldChar w:fldCharType="end"/>
      </w:r>
      <w:r>
        <w:rPr>
          <w:rFonts w:hint="eastAsia" w:ascii="黑体" w:hAnsi="黑体" w:eastAsia="黑体" w:cs="黑体"/>
          <w:color w:val="auto"/>
          <w:szCs w:val="21"/>
          <w:highlight w:val="none"/>
        </w:rPr>
        <w:fldChar w:fldCharType="end"/>
      </w:r>
    </w:p>
    <w:p w14:paraId="5C4C0F7B">
      <w:pPr>
        <w:pStyle w:val="17"/>
        <w:tabs>
          <w:tab w:val="right" w:leader="dot" w:pos="9747"/>
          <w:tab w:val="clear" w:pos="1260"/>
          <w:tab w:val="clear" w:pos="1685"/>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_Toc6207 </w:instrText>
      </w:r>
      <w:r>
        <w:rPr>
          <w:rFonts w:hint="eastAsia" w:ascii="黑体" w:hAnsi="黑体" w:eastAsia="黑体" w:cs="黑体"/>
          <w:szCs w:val="21"/>
          <w:highlight w:val="none"/>
        </w:rPr>
        <w:fldChar w:fldCharType="separate"/>
      </w:r>
      <w:r>
        <w:rPr>
          <w:rFonts w:hint="eastAsia" w:ascii="黑体" w:hAnsi="黑体" w:eastAsia="黑体" w:cs="黑体"/>
          <w:highlight w:val="none"/>
        </w:rPr>
        <w:t>第</w:t>
      </w:r>
      <w:r>
        <w:rPr>
          <w:rFonts w:hint="eastAsia" w:ascii="黑体" w:hAnsi="黑体" w:eastAsia="黑体" w:cs="黑体"/>
          <w:highlight w:val="none"/>
          <w:lang w:eastAsia="zh-CN"/>
        </w:rPr>
        <w:t>六</w:t>
      </w:r>
      <w:r>
        <w:rPr>
          <w:rFonts w:hint="eastAsia" w:ascii="黑体" w:hAnsi="黑体" w:eastAsia="黑体" w:cs="黑体"/>
          <w:highlight w:val="none"/>
        </w:rPr>
        <w:t>篇  响应文件格式</w:t>
      </w:r>
      <w:r>
        <w:rPr>
          <w:highlight w:val="none"/>
        </w:rPr>
        <w:tab/>
      </w:r>
      <w:r>
        <w:rPr>
          <w:rFonts w:hint="eastAsia"/>
          <w:highlight w:val="none"/>
          <w:lang w:val="en-US" w:eastAsia="zh-CN"/>
        </w:rPr>
        <w:t>1</w:t>
      </w:r>
      <w:r>
        <w:rPr>
          <w:rFonts w:hint="eastAsia" w:ascii="黑体" w:hAnsi="黑体" w:eastAsia="黑体" w:cs="黑体"/>
          <w:color w:val="auto"/>
          <w:szCs w:val="21"/>
          <w:highlight w:val="none"/>
        </w:rPr>
        <w:fldChar w:fldCharType="end"/>
      </w:r>
      <w:r>
        <w:rPr>
          <w:rFonts w:hint="eastAsia" w:ascii="黑体" w:hAnsi="黑体" w:eastAsia="黑体" w:cs="黑体"/>
          <w:color w:val="auto"/>
          <w:szCs w:val="21"/>
          <w:highlight w:val="none"/>
          <w:lang w:val="en-US" w:eastAsia="zh-CN"/>
        </w:rPr>
        <w:t>6</w:t>
      </w:r>
    </w:p>
    <w:p w14:paraId="4E8CF89C">
      <w:pPr>
        <w:pStyle w:val="19"/>
        <w:tabs>
          <w:tab w:val="right" w:leader="dot" w:pos="9747"/>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_Toc3096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一、经济文件</w:t>
      </w:r>
      <w:r>
        <w:rPr>
          <w:highlight w:val="none"/>
        </w:rPr>
        <w:tab/>
      </w:r>
      <w:r>
        <w:rPr>
          <w:rFonts w:hint="eastAsia"/>
          <w:highlight w:val="none"/>
          <w:lang w:val="en-US" w:eastAsia="zh-CN"/>
        </w:rPr>
        <w:t>1</w:t>
      </w:r>
      <w:r>
        <w:rPr>
          <w:rFonts w:hint="eastAsia" w:ascii="黑体" w:hAnsi="黑体" w:eastAsia="黑体" w:cs="黑体"/>
          <w:color w:val="auto"/>
          <w:szCs w:val="21"/>
          <w:highlight w:val="none"/>
        </w:rPr>
        <w:fldChar w:fldCharType="end"/>
      </w:r>
      <w:r>
        <w:rPr>
          <w:rFonts w:hint="eastAsia" w:ascii="黑体" w:hAnsi="黑体" w:eastAsia="黑体" w:cs="黑体"/>
          <w:color w:val="auto"/>
          <w:szCs w:val="21"/>
          <w:highlight w:val="none"/>
          <w:lang w:val="en-US" w:eastAsia="zh-CN"/>
        </w:rPr>
        <w:t>8</w:t>
      </w:r>
    </w:p>
    <w:p w14:paraId="4DC94FBE">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_Toc2722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二、技术（质量）文件</w:t>
      </w:r>
      <w:r>
        <w:rPr>
          <w:highlight w:val="none"/>
        </w:rPr>
        <w:tab/>
      </w:r>
      <w:r>
        <w:rPr>
          <w:highlight w:val="none"/>
        </w:rPr>
        <w:fldChar w:fldCharType="begin"/>
      </w:r>
      <w:r>
        <w:rPr>
          <w:highlight w:val="none"/>
        </w:rPr>
        <w:instrText xml:space="preserve"> PAGEREF _Toc2722 \h </w:instrText>
      </w:r>
      <w:r>
        <w:rPr>
          <w:highlight w:val="none"/>
        </w:rPr>
        <w:fldChar w:fldCharType="separate"/>
      </w:r>
      <w:r>
        <w:rPr>
          <w:highlight w:val="none"/>
        </w:rPr>
        <w:t>2</w:t>
      </w:r>
      <w:r>
        <w:rPr>
          <w:rFonts w:hint="eastAsia"/>
          <w:highlight w:val="none"/>
          <w:lang w:val="en-US" w:eastAsia="zh-CN"/>
        </w:rPr>
        <w:t>0</w:t>
      </w:r>
      <w:r>
        <w:rPr>
          <w:highlight w:val="none"/>
        </w:rPr>
        <w:fldChar w:fldCharType="end"/>
      </w:r>
      <w:r>
        <w:rPr>
          <w:rFonts w:hint="eastAsia" w:ascii="黑体" w:hAnsi="黑体" w:eastAsia="黑体" w:cs="黑体"/>
          <w:color w:val="auto"/>
          <w:szCs w:val="21"/>
          <w:highlight w:val="none"/>
        </w:rPr>
        <w:fldChar w:fldCharType="end"/>
      </w:r>
    </w:p>
    <w:p w14:paraId="6C125977">
      <w:pPr>
        <w:pStyle w:val="19"/>
        <w:tabs>
          <w:tab w:val="right" w:leader="dot" w:pos="9747"/>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_Toc12662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三、商务文件</w:t>
      </w:r>
      <w:r>
        <w:rPr>
          <w:highlight w:val="none"/>
        </w:rPr>
        <w:tab/>
      </w:r>
      <w:r>
        <w:rPr>
          <w:rFonts w:hint="eastAsia"/>
          <w:highlight w:val="none"/>
          <w:lang w:val="en-US" w:eastAsia="zh-CN"/>
        </w:rPr>
        <w:t>2</w:t>
      </w:r>
      <w:r>
        <w:rPr>
          <w:rFonts w:hint="eastAsia" w:ascii="黑体" w:hAnsi="黑体" w:eastAsia="黑体" w:cs="黑体"/>
          <w:color w:val="auto"/>
          <w:szCs w:val="21"/>
          <w:highlight w:val="none"/>
        </w:rPr>
        <w:fldChar w:fldCharType="end"/>
      </w:r>
      <w:r>
        <w:rPr>
          <w:rFonts w:hint="eastAsia" w:ascii="黑体" w:hAnsi="黑体" w:eastAsia="黑体" w:cs="黑体"/>
          <w:color w:val="auto"/>
          <w:szCs w:val="21"/>
          <w:highlight w:val="none"/>
          <w:lang w:val="en-US" w:eastAsia="zh-CN"/>
        </w:rPr>
        <w:t>2</w:t>
      </w:r>
    </w:p>
    <w:p w14:paraId="4F661162">
      <w:pPr>
        <w:pStyle w:val="17"/>
        <w:spacing w:line="360" w:lineRule="auto"/>
        <w:ind w:firstLine="0" w:firstLineChars="0"/>
        <w:rPr>
          <w:rFonts w:hint="eastAsia" w:ascii="黑体" w:hAnsi="黑体" w:eastAsia="黑体" w:cs="黑体"/>
          <w:color w:val="auto"/>
          <w:sz w:val="32"/>
          <w:highlight w:val="none"/>
        </w:rPr>
        <w:sectPr>
          <w:footerReference r:id="rId7" w:type="default"/>
          <w:pgSz w:w="11907" w:h="16840"/>
          <w:pgMar w:top="1440" w:right="1080" w:bottom="1440" w:left="1080" w:header="964" w:footer="992" w:gutter="0"/>
          <w:pgBorders>
            <w:top w:val="none" w:sz="0" w:space="0"/>
            <w:left w:val="none" w:sz="0" w:space="0"/>
            <w:bottom w:val="none" w:sz="0" w:space="0"/>
            <w:right w:val="none" w:sz="0" w:space="0"/>
          </w:pgBorders>
          <w:pgNumType w:start="1"/>
          <w:cols w:space="720" w:num="1"/>
          <w:docGrid w:linePitch="312" w:charSpace="0"/>
        </w:sectPr>
      </w:pPr>
      <w:r>
        <w:rPr>
          <w:rFonts w:hint="eastAsia" w:ascii="黑体" w:hAnsi="黑体" w:eastAsia="黑体" w:cs="黑体"/>
          <w:color w:val="auto"/>
          <w:szCs w:val="21"/>
          <w:highlight w:val="none"/>
        </w:rPr>
        <w:fldChar w:fldCharType="end"/>
      </w:r>
    </w:p>
    <w:p w14:paraId="53840B86">
      <w:pPr>
        <w:pStyle w:val="2"/>
        <w:spacing w:before="0" w:beforeLines="0" w:after="0" w:afterLines="0" w:line="360" w:lineRule="auto"/>
        <w:rPr>
          <w:rFonts w:hint="eastAsia" w:ascii="黑体" w:hAnsi="黑体" w:eastAsia="黑体" w:cs="黑体"/>
          <w:b/>
          <w:color w:val="auto"/>
          <w:highlight w:val="none"/>
        </w:rPr>
      </w:pPr>
      <w:bookmarkStart w:id="15" w:name="_Toc14073"/>
      <w:r>
        <w:rPr>
          <w:rFonts w:hint="eastAsia" w:ascii="黑体" w:hAnsi="黑体" w:eastAsia="黑体" w:cs="黑体"/>
          <w:b/>
          <w:color w:val="auto"/>
          <w:sz w:val="32"/>
          <w:szCs w:val="32"/>
          <w:highlight w:val="none"/>
        </w:rPr>
        <w:t>第一篇 投标邀请书</w:t>
      </w:r>
      <w:bookmarkEnd w:id="15"/>
    </w:p>
    <w:p w14:paraId="20A01959">
      <w:pPr>
        <w:pStyle w:val="10"/>
        <w:pageBreakBefore w:val="0"/>
        <w:widowControl w:val="0"/>
        <w:tabs>
          <w:tab w:val="left" w:pos="280"/>
        </w:tabs>
        <w:kinsoku/>
        <w:wordWrap/>
        <w:overflowPunct/>
        <w:topLinePunct w:val="0"/>
        <w:autoSpaceDE/>
        <w:autoSpaceDN/>
        <w:bidi w:val="0"/>
        <w:spacing w:after="0" w:line="500" w:lineRule="exact"/>
        <w:ind w:left="0" w:leftChars="0"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u w:val="single"/>
        </w:rPr>
        <w:t>重庆市璧山区人民医院</w:t>
      </w:r>
      <w:r>
        <w:rPr>
          <w:rFonts w:hint="eastAsia" w:ascii="黑体" w:hAnsi="黑体" w:eastAsia="黑体" w:cs="黑体"/>
          <w:color w:val="auto"/>
          <w:sz w:val="24"/>
          <w:szCs w:val="24"/>
          <w:highlight w:val="none"/>
        </w:rPr>
        <w:t>（采购人名称）对</w:t>
      </w:r>
      <w:r>
        <w:rPr>
          <w:rFonts w:hint="eastAsia" w:ascii="黑体" w:hAnsi="黑体" w:eastAsia="黑体" w:cs="黑体"/>
          <w:color w:val="auto"/>
          <w:sz w:val="24"/>
          <w:szCs w:val="24"/>
          <w:highlight w:val="none"/>
          <w:u w:val="single"/>
        </w:rPr>
        <w:t>纸巾类用品</w:t>
      </w:r>
      <w:r>
        <w:rPr>
          <w:rFonts w:hint="eastAsia" w:ascii="黑体" w:hAnsi="黑体" w:eastAsia="黑体" w:cs="黑体"/>
          <w:color w:val="auto"/>
          <w:sz w:val="24"/>
          <w:szCs w:val="24"/>
          <w:highlight w:val="none"/>
        </w:rPr>
        <w:t>采购进行竞争性比选招标，欢迎有资格的供应商参加投标。</w:t>
      </w:r>
    </w:p>
    <w:p w14:paraId="7B31748B">
      <w:pPr>
        <w:pStyle w:val="3"/>
        <w:pageBreakBefore w:val="0"/>
        <w:widowControl w:val="0"/>
        <w:numPr>
          <w:ilvl w:val="0"/>
          <w:numId w:val="5"/>
        </w:numPr>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bookmarkStart w:id="16" w:name="_Toc23547"/>
      <w:r>
        <w:rPr>
          <w:rFonts w:hint="eastAsia" w:ascii="黑体" w:hAnsi="黑体" w:eastAsia="黑体" w:cs="黑体"/>
          <w:b/>
          <w:color w:val="auto"/>
          <w:szCs w:val="28"/>
          <w:highlight w:val="none"/>
        </w:rPr>
        <w:t>招标项目内容</w:t>
      </w:r>
      <w:bookmarkEnd w:id="16"/>
    </w:p>
    <w:tbl>
      <w:tblPr>
        <w:tblStyle w:val="23"/>
        <w:tblW w:w="8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8"/>
        <w:gridCol w:w="925"/>
        <w:gridCol w:w="975"/>
        <w:gridCol w:w="1504"/>
        <w:gridCol w:w="3280"/>
      </w:tblGrid>
      <w:tr w14:paraId="564B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66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项目名称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6A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1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单位</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C6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服务期（年）</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5C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备注</w:t>
            </w:r>
          </w:p>
        </w:tc>
      </w:tr>
      <w:tr w14:paraId="3176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0F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sz w:val="24"/>
                <w:szCs w:val="24"/>
                <w:highlight w:val="none"/>
                <w:u w:val="none"/>
              </w:rPr>
              <w:t>纸巾类用品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37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98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批</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30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1</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01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kern w:val="0"/>
                <w:sz w:val="21"/>
                <w:szCs w:val="24"/>
                <w:highlight w:val="none"/>
                <w:lang w:val="en-US" w:eastAsia="zh-CN"/>
              </w:rPr>
              <w:t>本项目招采1年单价，供应商报价不得高于采购人限价，否则按无效投标处理</w:t>
            </w:r>
          </w:p>
        </w:tc>
      </w:tr>
    </w:tbl>
    <w:p w14:paraId="7AA49A84">
      <w:pPr>
        <w:pStyle w:val="3"/>
        <w:keepNext/>
        <w:keepLines/>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黑体" w:hAnsi="黑体" w:eastAsia="黑体" w:cs="黑体"/>
          <w:b/>
          <w:color w:val="auto"/>
          <w:szCs w:val="28"/>
          <w:highlight w:val="none"/>
        </w:rPr>
      </w:pPr>
      <w:bookmarkStart w:id="17" w:name="_Toc13527"/>
      <w:r>
        <w:rPr>
          <w:rFonts w:hint="eastAsia" w:ascii="黑体" w:hAnsi="黑体" w:eastAsia="黑体" w:cs="黑体"/>
          <w:b/>
          <w:color w:val="auto"/>
          <w:szCs w:val="28"/>
          <w:highlight w:val="none"/>
        </w:rPr>
        <w:t>二、资金来源</w:t>
      </w:r>
      <w:bookmarkEnd w:id="17"/>
    </w:p>
    <w:p w14:paraId="2B26506E">
      <w:pPr>
        <w:pageBreakBefore w:val="0"/>
        <w:widowControl w:val="0"/>
        <w:kinsoku/>
        <w:wordWrap/>
        <w:overflowPunct/>
        <w:topLinePunct w:val="0"/>
        <w:autoSpaceDE/>
        <w:autoSpaceDN/>
        <w:bidi w:val="0"/>
        <w:spacing w:line="460" w:lineRule="exact"/>
        <w:ind w:firstLine="480" w:firstLineChars="200"/>
        <w:textAlignment w:val="auto"/>
        <w:rPr>
          <w:rFonts w:ascii="黑体" w:hAnsi="黑体" w:eastAsia="黑体" w:cs="黑体"/>
          <w:color w:val="auto"/>
          <w:sz w:val="24"/>
          <w:szCs w:val="24"/>
          <w:highlight w:val="none"/>
        </w:rPr>
      </w:pPr>
      <w:bookmarkStart w:id="18" w:name="_Toc19210"/>
      <w:r>
        <w:rPr>
          <w:rFonts w:hint="eastAsia" w:ascii="黑体" w:hAnsi="黑体" w:eastAsia="黑体" w:cs="黑体"/>
          <w:color w:val="auto"/>
          <w:sz w:val="24"/>
          <w:szCs w:val="24"/>
          <w:highlight w:val="none"/>
          <w:lang w:val="en-US" w:eastAsia="zh-CN"/>
        </w:rPr>
        <w:t>单位自筹资金</w:t>
      </w:r>
      <w:r>
        <w:rPr>
          <w:rFonts w:hint="eastAsia" w:ascii="黑体" w:hAnsi="黑体" w:eastAsia="黑体" w:cs="黑体"/>
          <w:color w:val="auto"/>
          <w:sz w:val="24"/>
          <w:szCs w:val="24"/>
          <w:highlight w:val="none"/>
        </w:rPr>
        <w:t>。</w:t>
      </w:r>
    </w:p>
    <w:p w14:paraId="3188F423">
      <w:pPr>
        <w:pStyle w:val="3"/>
        <w:pageBreakBefore w:val="0"/>
        <w:widowControl w:val="0"/>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r>
        <w:rPr>
          <w:rFonts w:hint="eastAsia" w:ascii="黑体" w:hAnsi="黑体" w:eastAsia="黑体" w:cs="黑体"/>
          <w:b/>
          <w:color w:val="auto"/>
          <w:szCs w:val="28"/>
          <w:highlight w:val="none"/>
        </w:rPr>
        <w:t>三、供应商资格要求</w:t>
      </w:r>
      <w:bookmarkEnd w:id="18"/>
    </w:p>
    <w:p w14:paraId="72B156E9">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一）基本资格要求</w:t>
      </w:r>
    </w:p>
    <w:p w14:paraId="15B5CDB1">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具有独立承担民事责任的能力；</w:t>
      </w:r>
    </w:p>
    <w:p w14:paraId="3406171A">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具有良好的商业信誉和健全的财务会计制度；</w:t>
      </w:r>
    </w:p>
    <w:p w14:paraId="41032DDE">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具有履行合同所必需的设备和专业技术能力；</w:t>
      </w:r>
    </w:p>
    <w:p w14:paraId="7AFE1DBA">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有依法缴纳税收和社会保障资金的良好记录；</w:t>
      </w:r>
    </w:p>
    <w:p w14:paraId="6B3D11A9">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参加政府采购活动前三年内，在经营活动中没有重大违法记录；</w:t>
      </w:r>
    </w:p>
    <w:p w14:paraId="0D15670C">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6.法律、行政法规规定的其他条件。</w:t>
      </w:r>
    </w:p>
    <w:p w14:paraId="0F79BC1C">
      <w:pPr>
        <w:pStyle w:val="54"/>
        <w:spacing w:line="400" w:lineRule="exact"/>
        <w:ind w:firstLine="480"/>
        <w:rPr>
          <w:rFonts w:hint="default" w:ascii="黑体" w:hAnsi="黑体" w:eastAsia="黑体" w:cs="黑体"/>
          <w:color w:val="auto"/>
          <w:sz w:val="24"/>
          <w:szCs w:val="24"/>
          <w:highlight w:val="none"/>
          <w:lang w:val="en-US" w:eastAsia="zh-CN"/>
        </w:rPr>
      </w:pPr>
      <w:bookmarkStart w:id="19" w:name="_Toc244"/>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二</w:t>
      </w:r>
      <w:r>
        <w:rPr>
          <w:rFonts w:hint="eastAsia" w:ascii="黑体" w:hAnsi="黑体" w:eastAsia="黑体" w:cs="黑体"/>
          <w:color w:val="auto"/>
          <w:sz w:val="24"/>
          <w:szCs w:val="24"/>
          <w:highlight w:val="none"/>
        </w:rPr>
        <w:t>）特定资格要求</w:t>
      </w:r>
      <w:r>
        <w:rPr>
          <w:rFonts w:hint="eastAsia" w:ascii="黑体" w:hAnsi="黑体" w:eastAsia="黑体" w:cs="黑体"/>
          <w:color w:val="auto"/>
          <w:sz w:val="24"/>
          <w:szCs w:val="24"/>
          <w:highlight w:val="none"/>
          <w:lang w:eastAsia="zh-CN"/>
        </w:rPr>
        <w:t>：</w:t>
      </w:r>
      <w:bookmarkEnd w:id="19"/>
      <w:r>
        <w:rPr>
          <w:rFonts w:hint="eastAsia" w:ascii="黑体" w:hAnsi="黑体" w:eastAsia="黑体" w:cs="黑体"/>
          <w:color w:val="auto"/>
          <w:sz w:val="24"/>
          <w:szCs w:val="24"/>
          <w:highlight w:val="none"/>
          <w:lang w:val="en-US" w:eastAsia="zh-CN"/>
        </w:rPr>
        <w:t>按照法律法规相关规定。</w:t>
      </w:r>
    </w:p>
    <w:p w14:paraId="732953F9">
      <w:pPr>
        <w:pStyle w:val="3"/>
        <w:pageBreakBefore w:val="0"/>
        <w:widowControl w:val="0"/>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bookmarkStart w:id="20" w:name="_Toc31952"/>
      <w:r>
        <w:rPr>
          <w:rFonts w:hint="eastAsia" w:ascii="黑体" w:hAnsi="黑体" w:eastAsia="黑体" w:cs="黑体"/>
          <w:b/>
          <w:color w:val="auto"/>
          <w:szCs w:val="28"/>
          <w:highlight w:val="none"/>
        </w:rPr>
        <w:t>四、投标、开标有关说明</w:t>
      </w:r>
      <w:bookmarkEnd w:id="20"/>
    </w:p>
    <w:p w14:paraId="6583E78B">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（一）供应商应按要求通过行采家（https://www.gec123.com/）进行注册，登记加入“行采家供应商库”。</w:t>
      </w:r>
    </w:p>
    <w:p w14:paraId="764E43DB">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（二）凡有意参加投标的供应商，请在行采家（https://www.gec123.com/）网上下载本项目竞争性比选文件以及补遗文件等开标前公布的所有项目资料，无论供应商下载与否，均视为已知晓所有招标内容。</w:t>
      </w:r>
    </w:p>
    <w:p w14:paraId="6C15D97C">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（三）招标公告期限：自招标公告发布之日起</w:t>
      </w:r>
      <w:r>
        <w:rPr>
          <w:rFonts w:hint="eastAsia" w:ascii="黑体" w:hAnsi="黑体" w:eastAsia="黑体" w:cs="黑体"/>
          <w:color w:val="auto"/>
          <w:sz w:val="24"/>
          <w:szCs w:val="24"/>
          <w:highlight w:val="none"/>
          <w:lang w:eastAsia="zh-CN"/>
        </w:rPr>
        <w:t>三</w:t>
      </w:r>
      <w:r>
        <w:rPr>
          <w:rFonts w:hint="eastAsia" w:ascii="黑体" w:hAnsi="黑体" w:eastAsia="黑体" w:cs="黑体"/>
          <w:color w:val="auto"/>
          <w:sz w:val="24"/>
          <w:szCs w:val="24"/>
          <w:highlight w:val="none"/>
        </w:rPr>
        <w:t>个工作日。</w:t>
      </w:r>
    </w:p>
    <w:p w14:paraId="63D2C8A3">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（四）竞争性比选文件发售</w:t>
      </w:r>
    </w:p>
    <w:p w14:paraId="2ACD2ABE">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1.文件发售期：202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1</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lang w:val="en-US" w:eastAsia="zh-CN"/>
        </w:rPr>
        <w:t xml:space="preserve">28 </w:t>
      </w:r>
      <w:r>
        <w:rPr>
          <w:rFonts w:hint="eastAsia" w:ascii="黑体" w:hAnsi="黑体" w:eastAsia="黑体" w:cs="黑体"/>
          <w:color w:val="auto"/>
          <w:sz w:val="24"/>
          <w:szCs w:val="24"/>
          <w:highlight w:val="none"/>
        </w:rPr>
        <w:t>日-202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1 </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lang w:val="en-US" w:eastAsia="zh-CN"/>
        </w:rPr>
        <w:t>30</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日（工作时间：9：00--17:00）</w:t>
      </w:r>
    </w:p>
    <w:p w14:paraId="3FC484E0">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2.文件售价：</w:t>
      </w:r>
      <w:r>
        <w:rPr>
          <w:rFonts w:hint="eastAsia" w:ascii="黑体" w:hAnsi="黑体" w:eastAsia="黑体" w:cs="黑体"/>
          <w:color w:val="auto"/>
          <w:sz w:val="24"/>
          <w:szCs w:val="24"/>
          <w:highlight w:val="none"/>
          <w:lang w:val="en-US" w:eastAsia="zh-CN"/>
        </w:rPr>
        <w:t>无</w:t>
      </w:r>
    </w:p>
    <w:p w14:paraId="628C26D1">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3.竞争性比选文件</w:t>
      </w:r>
      <w:r>
        <w:rPr>
          <w:rFonts w:hint="eastAsia" w:ascii="黑体" w:hAnsi="黑体" w:eastAsia="黑体" w:cs="黑体"/>
          <w:color w:val="auto"/>
          <w:sz w:val="24"/>
          <w:szCs w:val="24"/>
          <w:highlight w:val="none"/>
          <w:lang w:val="en-US" w:eastAsia="zh-CN"/>
        </w:rPr>
        <w:t>领取</w:t>
      </w:r>
      <w:r>
        <w:rPr>
          <w:rFonts w:hint="eastAsia" w:ascii="黑体" w:hAnsi="黑体" w:eastAsia="黑体" w:cs="黑体"/>
          <w:color w:val="auto"/>
          <w:sz w:val="24"/>
          <w:szCs w:val="24"/>
          <w:highlight w:val="none"/>
        </w:rPr>
        <w:t>方式</w:t>
      </w:r>
    </w:p>
    <w:p w14:paraId="5E2FCC0A">
      <w:pPr>
        <w:pStyle w:val="10"/>
        <w:pageBreakBefore w:val="0"/>
        <w:widowControl w:val="0"/>
        <w:kinsoku/>
        <w:wordWrap/>
        <w:overflowPunct/>
        <w:topLinePunct w:val="0"/>
        <w:autoSpaceDE/>
        <w:autoSpaceDN/>
        <w:bidi w:val="0"/>
        <w:spacing w:after="0" w:line="460" w:lineRule="exact"/>
        <w:ind w:left="0" w:leftChars="0" w:firstLine="480" w:firstLineChars="200"/>
        <w:jc w:val="left"/>
        <w:textAlignment w:val="auto"/>
        <w:rPr>
          <w:rFonts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网上下载比选文件</w:t>
      </w:r>
      <w:r>
        <w:rPr>
          <w:rFonts w:hint="eastAsia" w:ascii="黑体" w:hAnsi="黑体" w:eastAsia="黑体" w:cs="黑体"/>
          <w:color w:val="auto"/>
          <w:sz w:val="24"/>
          <w:szCs w:val="24"/>
          <w:highlight w:val="none"/>
        </w:rPr>
        <w:t>。</w:t>
      </w:r>
    </w:p>
    <w:p w14:paraId="6023B9C8">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线上报价时间：</w:t>
      </w:r>
      <w:r>
        <w:rPr>
          <w:rFonts w:hint="eastAsia" w:ascii="黑体" w:hAnsi="黑体" w:eastAsia="黑体" w:cs="黑体"/>
          <w:color w:val="auto"/>
          <w:sz w:val="24"/>
          <w:szCs w:val="24"/>
          <w:highlight w:val="none"/>
          <w:lang w:eastAsia="zh-CN"/>
        </w:rPr>
        <w:t>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2 月2</w:t>
      </w:r>
      <w:r>
        <w:rPr>
          <w:rFonts w:hint="eastAsia" w:ascii="黑体" w:hAnsi="黑体" w:eastAsia="黑体" w:cs="黑体"/>
          <w:color w:val="auto"/>
          <w:sz w:val="24"/>
          <w:szCs w:val="24"/>
          <w:highlight w:val="none"/>
        </w:rPr>
        <w:t>日</w:t>
      </w:r>
      <w:r>
        <w:rPr>
          <w:rFonts w:hint="eastAsia" w:ascii="黑体" w:hAnsi="黑体" w:eastAsia="黑体" w:cs="黑体"/>
          <w:color w:val="auto"/>
          <w:sz w:val="24"/>
          <w:szCs w:val="24"/>
          <w:highlight w:val="none"/>
          <w:lang w:val="en-US" w:eastAsia="zh-CN"/>
        </w:rPr>
        <w:t>9</w:t>
      </w:r>
      <w:r>
        <w:rPr>
          <w:rFonts w:hint="eastAsia" w:ascii="黑体" w:hAnsi="黑体" w:eastAsia="黑体" w:cs="黑体"/>
          <w:color w:val="auto"/>
          <w:sz w:val="24"/>
          <w:szCs w:val="24"/>
          <w:highlight w:val="none"/>
        </w:rPr>
        <w:t>：00</w:t>
      </w:r>
      <w:r>
        <w:rPr>
          <w:rFonts w:hint="eastAsia" w:ascii="黑体" w:hAnsi="黑体" w:eastAsia="黑体" w:cs="黑体"/>
          <w:color w:val="auto"/>
          <w:sz w:val="24"/>
          <w:szCs w:val="24"/>
          <w:highlight w:val="none"/>
          <w:lang w:val="en-US" w:eastAsia="zh-CN"/>
        </w:rPr>
        <w:t>-11：00</w:t>
      </w:r>
      <w:r>
        <w:rPr>
          <w:rFonts w:hint="eastAsia" w:ascii="黑体" w:hAnsi="黑体" w:eastAsia="黑体" w:cs="黑体"/>
          <w:color w:val="auto"/>
          <w:sz w:val="24"/>
          <w:szCs w:val="24"/>
          <w:highlight w:val="none"/>
        </w:rPr>
        <w:t>。</w:t>
      </w:r>
    </w:p>
    <w:p w14:paraId="420FF941">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线上报价要求：按本项目规定的时间在行采家（https://www.gec123.com/）网上报价</w:t>
      </w:r>
      <w:r>
        <w:rPr>
          <w:rFonts w:hint="eastAsia" w:ascii="黑体" w:hAnsi="黑体" w:eastAsia="黑体" w:cs="黑体"/>
          <w:color w:val="auto"/>
          <w:sz w:val="24"/>
          <w:szCs w:val="24"/>
          <w:highlight w:val="none"/>
          <w:lang w:val="en-US" w:eastAsia="zh-CN"/>
        </w:rPr>
        <w:t>并上传响应文件</w:t>
      </w:r>
      <w:r>
        <w:rPr>
          <w:rFonts w:hint="eastAsia" w:ascii="黑体" w:hAnsi="黑体" w:eastAsia="黑体" w:cs="黑体"/>
          <w:color w:val="auto"/>
          <w:sz w:val="24"/>
          <w:szCs w:val="24"/>
          <w:highlight w:val="none"/>
        </w:rPr>
        <w:t>，未在规定时间内报价</w:t>
      </w:r>
      <w:r>
        <w:rPr>
          <w:rFonts w:hint="eastAsia" w:ascii="黑体" w:hAnsi="黑体" w:eastAsia="黑体" w:cs="黑体"/>
          <w:color w:val="auto"/>
          <w:sz w:val="24"/>
          <w:szCs w:val="24"/>
          <w:highlight w:val="none"/>
          <w:lang w:val="en-US" w:eastAsia="zh-CN"/>
        </w:rPr>
        <w:t>并上传响应文件</w:t>
      </w:r>
      <w:r>
        <w:rPr>
          <w:rFonts w:hint="eastAsia" w:ascii="黑体" w:hAnsi="黑体" w:eastAsia="黑体" w:cs="黑体"/>
          <w:color w:val="auto"/>
          <w:sz w:val="24"/>
          <w:szCs w:val="24"/>
          <w:highlight w:val="none"/>
        </w:rPr>
        <w:t>的供应商将失去成交供应商资格。</w:t>
      </w:r>
      <w:r>
        <w:rPr>
          <w:rFonts w:hint="eastAsia" w:ascii="黑体" w:hAnsi="黑体" w:eastAsia="黑体" w:cs="黑体"/>
          <w:color w:val="auto"/>
          <w:sz w:val="24"/>
          <w:szCs w:val="24"/>
          <w:highlight w:val="none"/>
          <w:lang w:val="en-US" w:eastAsia="zh-CN"/>
        </w:rPr>
        <w:t>网上报价必须和响应文件报价保持一致，否则按否决投标处理。</w:t>
      </w:r>
    </w:p>
    <w:p w14:paraId="4C843B99">
      <w:pPr>
        <w:pageBreakBefore w:val="0"/>
        <w:widowControl w:val="0"/>
        <w:kinsoku/>
        <w:wordWrap/>
        <w:overflowPunct/>
        <w:topLinePunct w:val="0"/>
        <w:autoSpaceDE/>
        <w:autoSpaceDN/>
        <w:bidi w:val="0"/>
        <w:spacing w:line="460" w:lineRule="exact"/>
        <w:ind w:firstLine="480" w:firstLineChars="200"/>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评审时间：</w:t>
      </w:r>
      <w:r>
        <w:rPr>
          <w:rFonts w:hint="eastAsia" w:ascii="黑体" w:hAnsi="黑体" w:eastAsia="黑体" w:cs="黑体"/>
          <w:color w:val="auto"/>
          <w:sz w:val="24"/>
          <w:szCs w:val="24"/>
          <w:highlight w:val="none"/>
          <w:lang w:val="en-US" w:eastAsia="zh-CN"/>
        </w:rPr>
        <w:t>报名时间截止后一周内</w:t>
      </w:r>
      <w:r>
        <w:rPr>
          <w:rFonts w:hint="eastAsia" w:ascii="黑体" w:hAnsi="黑体" w:eastAsia="黑体" w:cs="黑体"/>
          <w:color w:val="auto"/>
          <w:sz w:val="24"/>
          <w:szCs w:val="24"/>
          <w:highlight w:val="none"/>
        </w:rPr>
        <w:t>。</w:t>
      </w:r>
    </w:p>
    <w:p w14:paraId="21951F52">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b w:val="0"/>
          <w:bCs w:val="0"/>
          <w:color w:val="auto"/>
          <w:sz w:val="24"/>
          <w:szCs w:val="24"/>
          <w:highlight w:val="none"/>
          <w:u w:val="single"/>
          <w:lang w:val="en-US" w:eastAsia="zh-CN"/>
        </w:rPr>
      </w:pPr>
      <w:r>
        <w:rPr>
          <w:rFonts w:hint="eastAsia" w:ascii="黑体" w:hAnsi="黑体" w:eastAsia="黑体" w:cs="黑体"/>
          <w:color w:val="auto"/>
          <w:sz w:val="24"/>
          <w:szCs w:val="24"/>
          <w:highlight w:val="none"/>
          <w:lang w:val="en-US" w:eastAsia="zh-CN"/>
        </w:rPr>
        <w:t>7.</w:t>
      </w:r>
      <w:r>
        <w:rPr>
          <w:rFonts w:hint="eastAsia" w:ascii="黑体" w:hAnsi="黑体" w:eastAsia="黑体" w:cs="黑体"/>
          <w:color w:val="auto"/>
          <w:sz w:val="24"/>
          <w:szCs w:val="24"/>
          <w:highlight w:val="none"/>
        </w:rPr>
        <w:t>评审地点：重庆市璧山区双星大道9号</w:t>
      </w:r>
    </w:p>
    <w:p w14:paraId="5E958E66">
      <w:pPr>
        <w:pStyle w:val="3"/>
        <w:pageBreakBefore w:val="0"/>
        <w:widowControl w:val="0"/>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bookmarkStart w:id="21" w:name="_Toc18002"/>
      <w:r>
        <w:rPr>
          <w:rFonts w:hint="eastAsia" w:ascii="黑体" w:hAnsi="黑体" w:eastAsia="黑体" w:cs="黑体"/>
          <w:b/>
          <w:color w:val="auto"/>
          <w:szCs w:val="28"/>
          <w:highlight w:val="none"/>
        </w:rPr>
        <w:t>五、投标有关规定</w:t>
      </w:r>
      <w:bookmarkEnd w:id="21"/>
    </w:p>
    <w:p w14:paraId="73D97831">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（一）单位负责人为同一人或者存在直接控股、管理关系的不同供应商，不得参加同一合同项（分包）下的采购活动。</w:t>
      </w:r>
    </w:p>
    <w:p w14:paraId="6691F759">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（二）为采购项目提供整体设计、规范编制或者项目管理、监理、检测等服务的供应商，不得再参加该采购项目的其他采购活动。</w:t>
      </w:r>
    </w:p>
    <w:p w14:paraId="461CC7C2">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（三）本项目若有补遗文件一律在行采家（https://www.gec123.com/）上发布，请各供应商注意下载；无论供应商下载与否，均视同供应商已知晓本项目补遗文件的内容。</w:t>
      </w:r>
    </w:p>
    <w:p w14:paraId="132AA806">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（四）超过投标截止时间递交的响应文件，恕不接收。</w:t>
      </w:r>
    </w:p>
    <w:p w14:paraId="1E63DAFF">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（五）投标费用：无论投标结果如何，供应商参与本项目投标的所有费用均应由供应商自行承担。</w:t>
      </w:r>
    </w:p>
    <w:p w14:paraId="267200AE">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（六）</w:t>
      </w:r>
      <w:r>
        <w:rPr>
          <w:rFonts w:hint="eastAsia" w:ascii="黑体" w:hAnsi="黑体" w:eastAsia="黑体" w:cs="黑体"/>
          <w:b/>
          <w:bCs/>
          <w:color w:val="auto"/>
          <w:sz w:val="24"/>
          <w:szCs w:val="24"/>
          <w:highlight w:val="none"/>
        </w:rPr>
        <w:t>本项目不接受联合体参与投标</w:t>
      </w:r>
      <w:r>
        <w:rPr>
          <w:rFonts w:hint="eastAsia" w:ascii="黑体" w:hAnsi="黑体" w:eastAsia="黑体" w:cs="黑体"/>
          <w:color w:val="auto"/>
          <w:sz w:val="24"/>
          <w:szCs w:val="24"/>
          <w:highlight w:val="none"/>
        </w:rPr>
        <w:t>。</w:t>
      </w:r>
    </w:p>
    <w:p w14:paraId="00F1DA3E">
      <w:pPr>
        <w:pageBreakBefore w:val="0"/>
        <w:widowControl w:val="0"/>
        <w:kinsoku/>
        <w:wordWrap/>
        <w:overflowPunct/>
        <w:topLinePunct w:val="0"/>
        <w:autoSpaceDE/>
        <w:autoSpaceDN/>
        <w:bidi w:val="0"/>
        <w:snapToGrid w:val="0"/>
        <w:spacing w:line="460" w:lineRule="exact"/>
        <w:ind w:firstLine="482" w:firstLineChars="200"/>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（七）本项目不接受合同分包，否则按无效投标处理。</w:t>
      </w:r>
    </w:p>
    <w:p w14:paraId="737A9E9C">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八</w:t>
      </w:r>
      <w:r>
        <w:rPr>
          <w:rFonts w:hint="eastAsia" w:ascii="黑体" w:hAnsi="黑体" w:eastAsia="黑体" w:cs="黑体"/>
          <w:color w:val="auto"/>
          <w:sz w:val="24"/>
          <w:szCs w:val="24"/>
          <w:highlight w:val="none"/>
        </w:rPr>
        <w:t>）</w:t>
      </w:r>
      <w:bookmarkStart w:id="22" w:name="OLE_LINK2"/>
      <w:bookmarkStart w:id="23" w:name="OLE_LINK1"/>
      <w:r>
        <w:rPr>
          <w:rFonts w:hint="eastAsia" w:ascii="黑体" w:hAnsi="黑体" w:eastAsia="黑体" w:cs="黑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22"/>
      <w:bookmarkEnd w:id="23"/>
      <w:r>
        <w:rPr>
          <w:rFonts w:hint="eastAsia" w:ascii="黑体" w:hAnsi="黑体" w:eastAsia="黑体" w:cs="黑体"/>
          <w:color w:val="auto"/>
          <w:sz w:val="24"/>
          <w:szCs w:val="24"/>
          <w:highlight w:val="none"/>
        </w:rPr>
        <w:t>供应商，将拒绝其参与政府采购活动。</w:t>
      </w:r>
    </w:p>
    <w:p w14:paraId="77AC97BA">
      <w:pPr>
        <w:pStyle w:val="3"/>
        <w:pageBreakBefore w:val="0"/>
        <w:widowControl w:val="0"/>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bookmarkStart w:id="24" w:name="_Toc22907"/>
      <w:r>
        <w:rPr>
          <w:rFonts w:hint="eastAsia" w:ascii="黑体" w:hAnsi="黑体" w:eastAsia="黑体" w:cs="黑体"/>
          <w:b/>
          <w:color w:val="auto"/>
          <w:szCs w:val="28"/>
          <w:highlight w:val="none"/>
        </w:rPr>
        <w:t>六、联系方式</w:t>
      </w:r>
      <w:bookmarkEnd w:id="24"/>
    </w:p>
    <w:p w14:paraId="1B90521B">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（一）采购人：重庆市璧山区人民医院</w:t>
      </w:r>
    </w:p>
    <w:p w14:paraId="71573967">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val="en-US" w:eastAsia="zh-CN"/>
        </w:rPr>
        <w:t>罗</w:t>
      </w:r>
      <w:r>
        <w:rPr>
          <w:rFonts w:hint="eastAsia" w:ascii="黑体" w:hAnsi="黑体" w:eastAsia="黑体" w:cs="黑体"/>
          <w:color w:val="auto"/>
          <w:sz w:val="24"/>
          <w:szCs w:val="24"/>
          <w:highlight w:val="none"/>
        </w:rPr>
        <w:t xml:space="preserve">老师 </w:t>
      </w:r>
    </w:p>
    <w:p w14:paraId="34DCC604">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电  话：</w:t>
      </w:r>
      <w:r>
        <w:rPr>
          <w:rFonts w:hint="eastAsia" w:ascii="黑体" w:hAnsi="黑体" w:eastAsia="黑体" w:cs="黑体"/>
          <w:color w:val="auto"/>
          <w:sz w:val="24"/>
          <w:szCs w:val="24"/>
          <w:highlight w:val="none"/>
          <w:lang w:val="en-US" w:eastAsia="zh-CN"/>
        </w:rPr>
        <w:t>023-41880277</w:t>
      </w:r>
    </w:p>
    <w:p w14:paraId="409B1DE6">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  址：重庆市璧山区璧泉街道双星大道9号</w:t>
      </w:r>
    </w:p>
    <w:p w14:paraId="2E2E3AA2">
      <w:pPr>
        <w:rPr>
          <w:rFonts w:hint="eastAsia" w:ascii="黑体" w:hAnsi="黑体" w:eastAsia="黑体" w:cs="黑体"/>
          <w:color w:val="auto"/>
          <w:sz w:val="24"/>
          <w:szCs w:val="24"/>
          <w:highlight w:val="none"/>
        </w:rPr>
        <w:sectPr>
          <w:headerReference r:id="rId8" w:type="default"/>
          <w:footerReference r:id="rId9" w:type="default"/>
          <w:type w:val="nextColumn"/>
          <w:pgSz w:w="11907" w:h="16840"/>
          <w:pgMar w:top="1134" w:right="1191" w:bottom="1134" w:left="1304" w:header="964" w:footer="992" w:gutter="0"/>
          <w:pgBorders>
            <w:top w:val="none" w:sz="0" w:space="0"/>
            <w:left w:val="none" w:sz="0" w:space="0"/>
            <w:bottom w:val="none" w:sz="0" w:space="0"/>
            <w:right w:val="none" w:sz="0" w:space="0"/>
          </w:pgBorders>
          <w:cols w:space="720" w:num="1"/>
          <w:docGrid w:linePitch="380" w:charSpace="-5735"/>
        </w:sectPr>
      </w:pPr>
      <w:r>
        <w:rPr>
          <w:rFonts w:hint="eastAsia" w:ascii="黑体" w:hAnsi="黑体" w:eastAsia="黑体" w:cs="黑体"/>
          <w:color w:val="auto"/>
          <w:sz w:val="24"/>
          <w:szCs w:val="24"/>
          <w:highlight w:val="none"/>
        </w:rPr>
        <w:br w:type="page"/>
      </w:r>
    </w:p>
    <w:p w14:paraId="7C098E6E">
      <w:pPr>
        <w:pStyle w:val="3"/>
        <w:numPr>
          <w:ilvl w:val="0"/>
          <w:numId w:val="6"/>
        </w:numPr>
        <w:spacing w:before="48" w:after="48"/>
        <w:ind w:firstLine="506"/>
        <w:jc w:val="center"/>
        <w:rPr>
          <w:rFonts w:hint="eastAsia" w:ascii="黑体" w:hAnsi="黑体" w:eastAsia="黑体" w:cs="黑体"/>
          <w:b/>
          <w:color w:val="auto"/>
          <w:sz w:val="32"/>
          <w:szCs w:val="32"/>
          <w:highlight w:val="none"/>
        </w:rPr>
      </w:pPr>
      <w:bookmarkStart w:id="25" w:name="_Toc27745"/>
      <w:r>
        <w:rPr>
          <w:rFonts w:hint="eastAsia" w:ascii="黑体" w:hAnsi="黑体" w:eastAsia="黑体" w:cs="黑体"/>
          <w:b/>
          <w:color w:val="auto"/>
          <w:sz w:val="32"/>
          <w:szCs w:val="32"/>
          <w:highlight w:val="none"/>
        </w:rPr>
        <w:t>项目技术（质量）需求</w:t>
      </w:r>
      <w:bookmarkEnd w:id="25"/>
    </w:p>
    <w:tbl>
      <w:tblPr>
        <w:tblStyle w:val="23"/>
        <w:tblW w:w="9962"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1500"/>
        <w:gridCol w:w="3362"/>
        <w:gridCol w:w="601"/>
        <w:gridCol w:w="839"/>
        <w:gridCol w:w="1223"/>
        <w:gridCol w:w="1525"/>
      </w:tblGrid>
      <w:tr w14:paraId="43BB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8D9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bookmarkStart w:id="26" w:name="_Toc267320050"/>
            <w:bookmarkStart w:id="27" w:name="_Toc4096"/>
            <w:bookmarkStart w:id="28" w:name="_Toc5280"/>
            <w:r>
              <w:rPr>
                <w:rFonts w:hint="eastAsia" w:ascii="黑体" w:hAnsi="黑体" w:eastAsia="黑体" w:cs="黑体"/>
                <w:i w:val="0"/>
                <w:iCs w:val="0"/>
                <w:color w:val="000000"/>
                <w:kern w:val="0"/>
                <w:sz w:val="24"/>
                <w:szCs w:val="24"/>
                <w:highlight w:val="none"/>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B36">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名称</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3ED">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规格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CE8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单位</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9EAB">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单价（元）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25A">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预计年</w:t>
            </w:r>
            <w:r>
              <w:rPr>
                <w:rFonts w:hint="eastAsia" w:ascii="黑体" w:hAnsi="黑体" w:eastAsia="黑体" w:cs="黑体"/>
                <w:i w:val="0"/>
                <w:iCs w:val="0"/>
                <w:color w:val="000000"/>
                <w:kern w:val="0"/>
                <w:sz w:val="24"/>
                <w:szCs w:val="24"/>
                <w:highlight w:val="none"/>
                <w:u w:val="none"/>
                <w:lang w:val="en-US" w:eastAsia="zh-CN" w:bidi="ar"/>
              </w:rPr>
              <w:br w:type="textWrapping"/>
            </w:r>
            <w:r>
              <w:rPr>
                <w:rFonts w:hint="eastAsia" w:ascii="黑体" w:hAnsi="黑体" w:eastAsia="黑体" w:cs="黑体"/>
                <w:i w:val="0"/>
                <w:iCs w:val="0"/>
                <w:color w:val="000000"/>
                <w:kern w:val="0"/>
                <w:sz w:val="24"/>
                <w:szCs w:val="24"/>
                <w:highlight w:val="none"/>
                <w:u w:val="none"/>
                <w:lang w:val="en-US" w:eastAsia="zh-CN" w:bidi="ar"/>
              </w:rPr>
              <w:t>使用量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F759">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预计年金额（年）</w:t>
            </w:r>
          </w:p>
        </w:tc>
      </w:tr>
      <w:tr w14:paraId="6395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B079">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07C1">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卷纸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47C">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100%原生木浆，无香型，101mm*138mm/节*4层，135g/卷</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278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EDE7">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2.08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5C5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2700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230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5616.00 </w:t>
            </w:r>
          </w:p>
        </w:tc>
      </w:tr>
      <w:tr w14:paraId="75A7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0213">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6507">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抽纸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0D8E">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100%原生木浆，无香型，210mm*210mm，2层，200抽（400张）/包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1F1">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4E83">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4.07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396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320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60A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1302.40 </w:t>
            </w:r>
          </w:p>
        </w:tc>
      </w:tr>
      <w:tr w14:paraId="177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A817">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696">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抽纸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05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100%原生木浆，无香型，195mm*172mm，3层，108抽（324张）/包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6B5C">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284">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3.38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65F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10600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EC1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35828.00 </w:t>
            </w:r>
          </w:p>
        </w:tc>
      </w:tr>
      <w:tr w14:paraId="6288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BFFE">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D69F">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无心中棒纸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E0D1">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竹浆纸，155mm*90mm*180节（三层/节）/卷，100g/卷</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E5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7AAC">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1.35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46E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8500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8476">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11475.00 </w:t>
            </w:r>
          </w:p>
        </w:tc>
      </w:tr>
      <w:tr w14:paraId="08CD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1A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F58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中心抽卷纸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0C5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原木浆，134mm*180mm*2层*520节/卷</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C23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795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7.66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FD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500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D31E">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3830.00 </w:t>
            </w:r>
          </w:p>
        </w:tc>
      </w:tr>
      <w:tr w14:paraId="5951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3BD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C2EA">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一次性餐纸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E92B">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100%原生木浆，210mm*100mm，2层，无香型，130抽/包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AD3F">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326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1.19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EC4">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16600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4D1A">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19754.00 </w:t>
            </w:r>
          </w:p>
        </w:tc>
      </w:tr>
      <w:tr w14:paraId="4EAC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BE06">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6F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擦手纸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685B">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100%原生木浆，双层复合印花，纸张大小225mm*230mm*2层，160抽/包，重量350g/包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36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A367">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3.6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7CE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29500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0763">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106200.00 </w:t>
            </w:r>
          </w:p>
        </w:tc>
      </w:tr>
      <w:tr w14:paraId="1731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898F">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合计</w:t>
            </w:r>
          </w:p>
        </w:tc>
        <w:tc>
          <w:tcPr>
            <w:tcW w:w="7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62B9">
            <w:pPr>
              <w:keepNext w:val="0"/>
              <w:keepLines w:val="0"/>
              <w:widowControl/>
              <w:suppressLineNumbers w:val="0"/>
              <w:jc w:val="right"/>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184005.4元</w:t>
            </w:r>
          </w:p>
        </w:tc>
      </w:tr>
    </w:tbl>
    <w:p w14:paraId="3590085C">
      <w:pPr>
        <w:widowControl w:val="0"/>
        <w:numPr>
          <w:ilvl w:val="0"/>
          <w:numId w:val="0"/>
        </w:numPr>
        <w:spacing w:line="360" w:lineRule="auto"/>
        <w:jc w:val="both"/>
        <w:rPr>
          <w:rFonts w:hint="eastAsia" w:ascii="黑体" w:hAnsi="黑体" w:eastAsia="黑体" w:cs="黑体"/>
          <w:b w:val="0"/>
          <w:bCs w:val="0"/>
          <w:color w:val="auto"/>
          <w:sz w:val="24"/>
          <w:szCs w:val="24"/>
          <w:highlight w:val="none"/>
          <w:lang w:val="en-US" w:eastAsia="zh-CN"/>
        </w:rPr>
      </w:pPr>
    </w:p>
    <w:p w14:paraId="6075987C">
      <w:pPr>
        <w:pStyle w:val="58"/>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bookmarkStart w:id="29" w:name="_Toc15423"/>
      <w:r>
        <w:rPr>
          <w:rFonts w:hint="eastAsia" w:ascii="方正仿宋_GBK" w:hAnsi="方正仿宋_GBK" w:eastAsia="方正仿宋_GBK" w:cs="方正仿宋_GBK"/>
          <w:b/>
          <w:bCs/>
          <w:sz w:val="28"/>
          <w:szCs w:val="28"/>
          <w:highlight w:val="none"/>
          <w:lang w:val="en-US" w:eastAsia="zh-CN"/>
        </w:rPr>
        <w:t>注：1.每项产品规格提供产品说明书或第三方检验检查报告，佐证所投产品与采购人需求规格相符；2.本项目招采1年单价，预估用量不做采购承诺，合同期内以实际验收用量据实结算。</w:t>
      </w:r>
    </w:p>
    <w:p w14:paraId="1E678FCD">
      <w:pPr>
        <w:pStyle w:val="2"/>
        <w:spacing w:before="0" w:beforeLines="0" w:after="0" w:afterLines="0" w:line="360" w:lineRule="auto"/>
        <w:rPr>
          <w:rFonts w:hint="eastAsia" w:ascii="黑体" w:hAnsi="黑体" w:eastAsia="黑体" w:cs="黑体"/>
          <w:b/>
          <w:color w:val="auto"/>
          <w:sz w:val="28"/>
          <w:szCs w:val="28"/>
          <w:highlight w:val="none"/>
        </w:rPr>
      </w:pPr>
    </w:p>
    <w:p w14:paraId="00DB78F0">
      <w:pPr>
        <w:pStyle w:val="2"/>
        <w:spacing w:before="0" w:beforeLines="0" w:after="0" w:afterLines="0" w:line="360" w:lineRule="auto"/>
        <w:rPr>
          <w:rFonts w:hint="eastAsia" w:ascii="黑体" w:hAnsi="黑体" w:eastAsia="黑体" w:cs="黑体"/>
          <w:b/>
          <w:color w:val="auto"/>
          <w:sz w:val="28"/>
          <w:szCs w:val="28"/>
          <w:highlight w:val="none"/>
        </w:rPr>
      </w:pPr>
    </w:p>
    <w:p w14:paraId="319C1C96">
      <w:pPr>
        <w:pStyle w:val="2"/>
        <w:spacing w:before="0" w:beforeLines="0" w:after="0" w:afterLines="0" w:line="360" w:lineRule="auto"/>
        <w:rPr>
          <w:rFonts w:hint="eastAsia" w:ascii="黑体" w:hAnsi="黑体" w:eastAsia="黑体" w:cs="黑体"/>
          <w:b/>
          <w:color w:val="auto"/>
          <w:sz w:val="28"/>
          <w:szCs w:val="28"/>
          <w:highlight w:val="none"/>
        </w:rPr>
      </w:pPr>
    </w:p>
    <w:p w14:paraId="3720A9D2">
      <w:pPr>
        <w:pStyle w:val="2"/>
        <w:spacing w:before="0" w:beforeLines="0" w:after="0" w:afterLines="0" w:line="360" w:lineRule="auto"/>
        <w:rPr>
          <w:rFonts w:hint="eastAsia" w:ascii="黑体" w:hAnsi="黑体" w:eastAsia="黑体" w:cs="黑体"/>
          <w:b/>
          <w:color w:val="auto"/>
          <w:sz w:val="28"/>
          <w:szCs w:val="28"/>
          <w:highlight w:val="none"/>
        </w:rPr>
      </w:pPr>
    </w:p>
    <w:p w14:paraId="3015600D">
      <w:pPr>
        <w:pStyle w:val="2"/>
        <w:spacing w:before="0" w:beforeLines="0" w:after="0" w:afterLines="0" w:line="360" w:lineRule="auto"/>
        <w:rPr>
          <w:rFonts w:hint="eastAsia" w:ascii="黑体" w:hAnsi="黑体" w:eastAsia="黑体" w:cs="黑体"/>
          <w:b/>
          <w:color w:val="auto"/>
          <w:sz w:val="28"/>
          <w:szCs w:val="28"/>
          <w:highlight w:val="none"/>
        </w:rPr>
      </w:pPr>
    </w:p>
    <w:p w14:paraId="6C87247D">
      <w:pPr>
        <w:rPr>
          <w:rFonts w:hint="eastAsia" w:ascii="黑体" w:hAnsi="黑体" w:eastAsia="黑体" w:cs="黑体"/>
          <w:b/>
          <w:color w:val="auto"/>
          <w:sz w:val="28"/>
          <w:szCs w:val="28"/>
          <w:highlight w:val="none"/>
        </w:rPr>
      </w:pPr>
    </w:p>
    <w:p w14:paraId="7897562D">
      <w:pPr>
        <w:rPr>
          <w:rFonts w:hint="eastAsia" w:ascii="黑体" w:hAnsi="黑体" w:eastAsia="黑体" w:cs="黑体"/>
          <w:b/>
          <w:color w:val="auto"/>
          <w:sz w:val="28"/>
          <w:szCs w:val="28"/>
          <w:highlight w:val="none"/>
        </w:rPr>
      </w:pPr>
    </w:p>
    <w:p w14:paraId="3452DAA1">
      <w:pPr>
        <w:pStyle w:val="2"/>
        <w:spacing w:before="0" w:beforeLines="0" w:after="0" w:afterLines="0"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第三篇</w:t>
      </w:r>
      <w:r>
        <w:rPr>
          <w:rFonts w:hint="eastAsia" w:ascii="黑体" w:hAnsi="黑体" w:eastAsia="黑体" w:cs="黑体"/>
          <w:b/>
          <w:color w:val="auto"/>
          <w:sz w:val="28"/>
          <w:szCs w:val="28"/>
          <w:highlight w:val="none"/>
          <w:lang w:val="en-US" w:eastAsia="zh-CN"/>
        </w:rPr>
        <w:t xml:space="preserve">  项目商务需求</w:t>
      </w:r>
      <w:bookmarkEnd w:id="29"/>
    </w:p>
    <w:p w14:paraId="542C2D98">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color w:val="auto"/>
          <w:sz w:val="24"/>
          <w:highlight w:val="none"/>
          <w:lang w:val="en-US" w:eastAsia="zh-CN"/>
        </w:rPr>
      </w:pPr>
      <w:bookmarkStart w:id="30" w:name="_Toc12935"/>
      <w:bookmarkStart w:id="31" w:name="_Toc17750"/>
      <w:bookmarkStart w:id="32" w:name="_Toc15493"/>
      <w:bookmarkStart w:id="33" w:name="_Toc13555"/>
      <w:bookmarkStart w:id="34" w:name="_Toc65660342"/>
      <w:bookmarkStart w:id="35" w:name="_Toc10724"/>
      <w:r>
        <w:rPr>
          <w:rFonts w:hint="eastAsia" w:ascii="黑体" w:hAnsi="黑体" w:eastAsia="黑体" w:cs="黑体"/>
          <w:b/>
          <w:bCs/>
          <w:color w:val="auto"/>
          <w:sz w:val="24"/>
          <w:highlight w:val="none"/>
        </w:rPr>
        <w:t>一、</w:t>
      </w:r>
      <w:r>
        <w:rPr>
          <w:rFonts w:hint="eastAsia" w:ascii="黑体" w:hAnsi="黑体" w:eastAsia="黑体" w:cs="黑体"/>
          <w:b/>
          <w:bCs/>
          <w:color w:val="auto"/>
          <w:sz w:val="24"/>
          <w:highlight w:val="none"/>
          <w:lang w:eastAsia="zh-CN"/>
        </w:rPr>
        <w:t>交付</w:t>
      </w:r>
      <w:r>
        <w:rPr>
          <w:rFonts w:hint="eastAsia" w:ascii="黑体" w:hAnsi="黑体" w:eastAsia="黑体" w:cs="黑体"/>
          <w:b/>
          <w:bCs/>
          <w:color w:val="auto"/>
          <w:sz w:val="24"/>
          <w:highlight w:val="none"/>
        </w:rPr>
        <w:t>时间、地点</w:t>
      </w:r>
      <w:bookmarkEnd w:id="30"/>
      <w:bookmarkEnd w:id="31"/>
      <w:bookmarkEnd w:id="32"/>
      <w:bookmarkEnd w:id="33"/>
      <w:bookmarkEnd w:id="34"/>
      <w:r>
        <w:rPr>
          <w:rFonts w:hint="eastAsia" w:ascii="黑体" w:hAnsi="黑体" w:eastAsia="黑体" w:cs="黑体"/>
          <w:b/>
          <w:bCs/>
          <w:color w:val="auto"/>
          <w:sz w:val="24"/>
          <w:highlight w:val="none"/>
          <w:lang w:val="en-US" w:eastAsia="zh-CN"/>
        </w:rPr>
        <w:t>及验收方式</w:t>
      </w:r>
      <w:bookmarkEnd w:id="35"/>
    </w:p>
    <w:p w14:paraId="1239BCB6">
      <w:pPr>
        <w:pStyle w:val="13"/>
        <w:pageBreakBefore w:val="0"/>
        <w:widowControl w:val="0"/>
        <w:kinsoku/>
        <w:overflowPunct/>
        <w:topLinePunct w:val="0"/>
        <w:autoSpaceDE/>
        <w:autoSpaceDN/>
        <w:bidi w:val="0"/>
        <w:spacing w:line="360" w:lineRule="auto"/>
        <w:ind w:firstLine="360" w:firstLineChars="150"/>
        <w:outlineLvl w:val="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w:t>
      </w:r>
      <w:r>
        <w:rPr>
          <w:rFonts w:hint="eastAsia" w:ascii="黑体" w:hAnsi="黑体" w:eastAsia="黑体" w:cs="黑体"/>
          <w:color w:val="auto"/>
          <w:sz w:val="24"/>
          <w:szCs w:val="24"/>
          <w:highlight w:val="none"/>
          <w:lang w:eastAsia="zh-CN"/>
        </w:rPr>
        <w:t>交付</w:t>
      </w:r>
      <w:r>
        <w:rPr>
          <w:rFonts w:hint="eastAsia" w:ascii="黑体" w:hAnsi="黑体" w:eastAsia="黑体" w:cs="黑体"/>
          <w:color w:val="auto"/>
          <w:sz w:val="24"/>
          <w:szCs w:val="24"/>
          <w:highlight w:val="none"/>
        </w:rPr>
        <w:t>时间</w:t>
      </w:r>
    </w:p>
    <w:p w14:paraId="0DCE554F">
      <w:pPr>
        <w:pStyle w:val="13"/>
        <w:pageBreakBefore w:val="0"/>
        <w:widowControl w:val="0"/>
        <w:kinsoku/>
        <w:overflowPunct/>
        <w:topLinePunct w:val="0"/>
        <w:autoSpaceDE/>
        <w:autoSpaceDN/>
        <w:bidi w:val="0"/>
        <w:spacing w:line="360" w:lineRule="auto"/>
        <w:ind w:left="238" w:leftChars="85" w:firstLine="120" w:firstLineChars="50"/>
        <w:outlineLvl w:val="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成交供应商应在</w:t>
      </w:r>
      <w:r>
        <w:rPr>
          <w:rFonts w:hint="eastAsia" w:ascii="黑体" w:hAnsi="黑体" w:eastAsia="黑体" w:cs="黑体"/>
          <w:color w:val="auto"/>
          <w:sz w:val="24"/>
          <w:szCs w:val="24"/>
          <w:highlight w:val="none"/>
        </w:rPr>
        <w:t>接到</w:t>
      </w:r>
      <w:r>
        <w:rPr>
          <w:rFonts w:hint="eastAsia" w:ascii="黑体" w:hAnsi="黑体" w:eastAsia="黑体" w:cs="黑体"/>
          <w:color w:val="auto"/>
          <w:sz w:val="24"/>
          <w:szCs w:val="24"/>
          <w:highlight w:val="none"/>
          <w:lang w:eastAsia="zh-CN"/>
        </w:rPr>
        <w:t>采购人</w:t>
      </w:r>
      <w:r>
        <w:rPr>
          <w:rFonts w:hint="eastAsia" w:ascii="黑体" w:hAnsi="黑体" w:eastAsia="黑体" w:cs="黑体"/>
          <w:color w:val="auto"/>
          <w:sz w:val="24"/>
          <w:szCs w:val="24"/>
          <w:highlight w:val="none"/>
        </w:rPr>
        <w:t>通知后五个工作日内</w:t>
      </w:r>
      <w:r>
        <w:rPr>
          <w:rFonts w:hint="eastAsia" w:ascii="黑体" w:hAnsi="黑体" w:eastAsia="黑体" w:cs="黑体"/>
          <w:color w:val="auto"/>
          <w:sz w:val="24"/>
          <w:szCs w:val="24"/>
          <w:highlight w:val="none"/>
          <w:lang w:eastAsia="zh-CN"/>
        </w:rPr>
        <w:t>完成送货</w:t>
      </w:r>
      <w:r>
        <w:rPr>
          <w:rFonts w:hint="eastAsia" w:ascii="黑体" w:hAnsi="黑体" w:eastAsia="黑体" w:cs="黑体"/>
          <w:color w:val="auto"/>
          <w:sz w:val="24"/>
          <w:szCs w:val="24"/>
          <w:highlight w:val="none"/>
        </w:rPr>
        <w:t>，特殊情况1天完成。</w:t>
      </w:r>
    </w:p>
    <w:p w14:paraId="16ABC24C">
      <w:pPr>
        <w:pStyle w:val="13"/>
        <w:pageBreakBefore w:val="0"/>
        <w:widowControl w:val="0"/>
        <w:kinsoku/>
        <w:overflowPunct/>
        <w:topLinePunct w:val="0"/>
        <w:autoSpaceDE/>
        <w:autoSpaceDN/>
        <w:bidi w:val="0"/>
        <w:spacing w:line="360" w:lineRule="auto"/>
        <w:ind w:left="238" w:leftChars="85" w:firstLine="120" w:firstLineChars="50"/>
        <w:outlineLvl w:val="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w:t>
      </w:r>
      <w:r>
        <w:rPr>
          <w:rFonts w:hint="eastAsia" w:ascii="黑体" w:hAnsi="黑体" w:eastAsia="黑体" w:cs="黑体"/>
          <w:color w:val="auto"/>
          <w:sz w:val="24"/>
          <w:szCs w:val="24"/>
          <w:highlight w:val="none"/>
          <w:lang w:eastAsia="zh-CN"/>
        </w:rPr>
        <w:t>交付</w:t>
      </w:r>
      <w:r>
        <w:rPr>
          <w:rFonts w:hint="eastAsia" w:ascii="黑体" w:hAnsi="黑体" w:eastAsia="黑体" w:cs="黑体"/>
          <w:color w:val="auto"/>
          <w:sz w:val="24"/>
          <w:szCs w:val="24"/>
          <w:highlight w:val="none"/>
        </w:rPr>
        <w:t>地点</w:t>
      </w:r>
    </w:p>
    <w:p w14:paraId="5E57C64D">
      <w:pPr>
        <w:pageBreakBefore w:val="0"/>
        <w:widowControl w:val="0"/>
        <w:kinsoku/>
        <w:overflowPunct/>
        <w:topLinePunct w:val="0"/>
        <w:autoSpaceDE/>
        <w:autoSpaceDN/>
        <w:bidi w:val="0"/>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交</w:t>
      </w:r>
      <w:r>
        <w:rPr>
          <w:rFonts w:hint="eastAsia" w:ascii="黑体" w:hAnsi="黑体" w:eastAsia="黑体" w:cs="黑体"/>
          <w:color w:val="auto"/>
          <w:sz w:val="24"/>
          <w:szCs w:val="24"/>
          <w:highlight w:val="none"/>
          <w:lang w:eastAsia="zh-CN"/>
        </w:rPr>
        <w:t>付</w:t>
      </w:r>
      <w:r>
        <w:rPr>
          <w:rFonts w:hint="eastAsia" w:ascii="黑体" w:hAnsi="黑体" w:eastAsia="黑体" w:cs="黑体"/>
          <w:color w:val="auto"/>
          <w:sz w:val="24"/>
          <w:szCs w:val="24"/>
          <w:highlight w:val="none"/>
        </w:rPr>
        <w:t>地点：重庆市璧山区人民医院</w:t>
      </w:r>
      <w:r>
        <w:rPr>
          <w:rFonts w:hint="eastAsia" w:ascii="黑体" w:hAnsi="黑体" w:eastAsia="黑体" w:cs="黑体"/>
          <w:color w:val="auto"/>
          <w:sz w:val="24"/>
          <w:szCs w:val="24"/>
          <w:highlight w:val="none"/>
          <w:lang w:val="en-US" w:eastAsia="zh-CN"/>
        </w:rPr>
        <w:t>指定地点，</w:t>
      </w:r>
      <w:r>
        <w:rPr>
          <w:rFonts w:hint="eastAsia" w:ascii="黑体" w:hAnsi="黑体" w:eastAsia="黑体" w:cs="黑体"/>
          <w:color w:val="auto"/>
          <w:sz w:val="24"/>
          <w:szCs w:val="24"/>
          <w:highlight w:val="none"/>
        </w:rPr>
        <w:t>未经采购人验收合格并书面签收前的货物丢失或损坏的风险由供应商承担。</w:t>
      </w:r>
    </w:p>
    <w:p w14:paraId="0F9CA12F">
      <w:pPr>
        <w:pStyle w:val="13"/>
        <w:pageBreakBefore w:val="0"/>
        <w:widowControl w:val="0"/>
        <w:kinsoku/>
        <w:overflowPunct/>
        <w:topLinePunct w:val="0"/>
        <w:autoSpaceDE/>
        <w:autoSpaceDN/>
        <w:bidi w:val="0"/>
        <w:spacing w:line="360" w:lineRule="auto"/>
        <w:ind w:left="238" w:leftChars="85" w:firstLine="120" w:firstLineChars="50"/>
        <w:outlineLvl w:val="2"/>
        <w:rPr>
          <w:rFonts w:hint="eastAsia" w:ascii="黑体" w:hAnsi="黑体" w:eastAsia="黑体" w:cs="黑体"/>
          <w:color w:val="auto"/>
          <w:sz w:val="24"/>
          <w:szCs w:val="24"/>
          <w:highlight w:val="none"/>
          <w:lang w:val="en-US" w:eastAsia="zh-CN"/>
        </w:rPr>
      </w:pPr>
      <w:bookmarkStart w:id="36" w:name="_Toc12184"/>
      <w:bookmarkStart w:id="37" w:name="_Toc65660344"/>
      <w:bookmarkStart w:id="38" w:name="_Toc16974"/>
      <w:bookmarkStart w:id="39" w:name="_Toc122"/>
      <w:bookmarkStart w:id="40" w:name="_Toc2889"/>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三</w:t>
      </w:r>
      <w:r>
        <w:rPr>
          <w:rFonts w:hint="eastAsia" w:ascii="黑体" w:hAnsi="黑体" w:eastAsia="黑体" w:cs="黑体"/>
          <w:color w:val="auto"/>
          <w:sz w:val="24"/>
          <w:szCs w:val="24"/>
          <w:highlight w:val="none"/>
          <w:lang w:eastAsia="zh-CN"/>
        </w:rPr>
        <w:t>）验收方式</w:t>
      </w:r>
    </w:p>
    <w:p w14:paraId="3EA5D5F2">
      <w:pPr>
        <w:pageBreakBefore w:val="0"/>
        <w:widowControl w:val="0"/>
        <w:kinsoku/>
        <w:overflowPunct/>
        <w:topLinePunct w:val="0"/>
        <w:autoSpaceDE/>
        <w:autoSpaceDN/>
        <w:bidi w:val="0"/>
        <w:spacing w:line="360" w:lineRule="auto"/>
        <w:ind w:firstLine="480" w:firstLineChars="20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到货后确认产品外观、规格等参数符合招标文件要求作为初步验收，产品使用1个月无异常才作为最终验收。验收及使用中发现产品质量争议按照验收争议进行处理；验收争议时由采购人邀请第三方机构检测，费用由供应商承担。</w:t>
      </w:r>
    </w:p>
    <w:p w14:paraId="05FB7295">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kern w:val="2"/>
          <w:sz w:val="24"/>
          <w:szCs w:val="24"/>
          <w:highlight w:val="none"/>
          <w:lang w:val="en-US" w:eastAsia="zh-CN" w:bidi="ar-SA"/>
        </w:rPr>
      </w:pPr>
      <w:bookmarkStart w:id="41" w:name="_Toc9325"/>
      <w:r>
        <w:rPr>
          <w:rFonts w:hint="eastAsia" w:ascii="黑体" w:hAnsi="黑体" w:eastAsia="黑体" w:cs="黑体"/>
          <w:b/>
          <w:bCs/>
          <w:kern w:val="2"/>
          <w:sz w:val="24"/>
          <w:szCs w:val="24"/>
          <w:highlight w:val="none"/>
          <w:lang w:val="en-US" w:eastAsia="zh-CN" w:bidi="ar-SA"/>
        </w:rPr>
        <w:t>二、报价要求</w:t>
      </w:r>
      <w:bookmarkEnd w:id="36"/>
      <w:bookmarkEnd w:id="37"/>
      <w:bookmarkEnd w:id="38"/>
      <w:bookmarkEnd w:id="39"/>
      <w:bookmarkEnd w:id="40"/>
      <w:bookmarkEnd w:id="41"/>
    </w:p>
    <w:p w14:paraId="551B036A">
      <w:pPr>
        <w:pageBreakBefore w:val="0"/>
        <w:widowControl w:val="0"/>
        <w:kinsoku/>
        <w:overflowPunct/>
        <w:topLinePunct w:val="0"/>
        <w:autoSpaceDE/>
        <w:autoSpaceDN/>
        <w:bidi w:val="0"/>
        <w:spacing w:line="360" w:lineRule="auto"/>
        <w:ind w:firstLine="480" w:firstLineChars="200"/>
        <w:rPr>
          <w:rFonts w:hint="eastAsia" w:ascii="黑体" w:hAnsi="黑体" w:eastAsia="黑体" w:cs="黑体"/>
          <w:sz w:val="24"/>
          <w:szCs w:val="24"/>
          <w:highlight w:val="none"/>
          <w:lang w:val="en-US" w:eastAsia="zh-CN"/>
        </w:rPr>
      </w:pPr>
      <w:bookmarkStart w:id="42" w:name="_Toc6360"/>
      <w:bookmarkStart w:id="43" w:name="_Toc31937"/>
      <w:bookmarkStart w:id="44" w:name="_Toc65660345"/>
      <w:bookmarkStart w:id="45" w:name="_Toc7562"/>
      <w:bookmarkStart w:id="46" w:name="_Toc9192"/>
      <w:bookmarkStart w:id="47" w:name="_Toc11000"/>
      <w:r>
        <w:rPr>
          <w:rFonts w:hint="eastAsia" w:ascii="黑体" w:hAnsi="黑体" w:eastAsia="黑体" w:cs="黑体"/>
          <w:sz w:val="24"/>
          <w:szCs w:val="24"/>
          <w:highlight w:val="none"/>
          <w:lang w:val="en-US" w:eastAsia="zh-CN"/>
        </w:rPr>
        <w:t>包括但不限于货款、运输装卸、质保期对有质量问题产品免费更换及临近效期（≤3个月）产品免费更换、资料装订及邮寄费、税费、保险费、验收检测费等完成本项目所需的一切费用。因成交供应商自身原因造成漏报、少报皆由其自行承担责任，采购人不再补偿。</w:t>
      </w:r>
    </w:p>
    <w:p w14:paraId="14F3F9CF">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三、付款方式</w:t>
      </w:r>
      <w:bookmarkEnd w:id="42"/>
    </w:p>
    <w:p w14:paraId="549EC371">
      <w:pPr>
        <w:pStyle w:val="3"/>
        <w:pageBreakBefore w:val="0"/>
        <w:widowControl w:val="0"/>
        <w:kinsoku/>
        <w:overflowPunct/>
        <w:topLinePunct w:val="0"/>
        <w:autoSpaceDE/>
        <w:autoSpaceDN/>
        <w:bidi w:val="0"/>
        <w:adjustRightInd w:val="0"/>
        <w:snapToGrid w:val="0"/>
        <w:spacing w:before="0" w:after="0" w:line="360" w:lineRule="auto"/>
        <w:ind w:firstLine="480" w:firstLineChars="200"/>
        <w:rPr>
          <w:rFonts w:hint="eastAsia" w:ascii="黑体" w:hAnsi="黑体" w:eastAsia="黑体" w:cs="黑体"/>
          <w:sz w:val="24"/>
          <w:szCs w:val="24"/>
          <w:highlight w:val="none"/>
          <w:lang w:val="en-US" w:eastAsia="zh-CN"/>
        </w:rPr>
      </w:pPr>
      <w:bookmarkStart w:id="48" w:name="_Toc128405734"/>
      <w:bookmarkStart w:id="49" w:name="_Toc18992"/>
      <w:r>
        <w:rPr>
          <w:rFonts w:hint="eastAsia" w:ascii="黑体" w:hAnsi="黑体" w:eastAsia="黑体" w:cs="黑体"/>
          <w:sz w:val="24"/>
          <w:szCs w:val="24"/>
          <w:highlight w:val="none"/>
          <w:lang w:val="en-US" w:eastAsia="zh-CN"/>
        </w:rPr>
        <w:t>验收合格后按季度据实结算；付款时供应商提供发票、验收单、送货单等。</w:t>
      </w:r>
    </w:p>
    <w:p w14:paraId="208BB2BE">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szCs w:val="24"/>
          <w:highlight w:val="none"/>
        </w:rPr>
      </w:pPr>
      <w:r>
        <w:rPr>
          <w:rFonts w:hint="eastAsia" w:ascii="黑体" w:hAnsi="黑体" w:eastAsia="黑体" w:cs="黑体"/>
          <w:b/>
          <w:bCs/>
          <w:sz w:val="24"/>
          <w:highlight w:val="none"/>
          <w:lang w:val="en-US" w:eastAsia="zh-CN"/>
        </w:rPr>
        <w:t>四、</w:t>
      </w:r>
      <w:bookmarkStart w:id="50" w:name="_Toc101366345"/>
      <w:bookmarkStart w:id="51" w:name="_Toc267320052"/>
      <w:bookmarkStart w:id="52" w:name="_Toc89000862"/>
      <w:bookmarkStart w:id="53" w:name="_Toc54697855"/>
      <w:r>
        <w:rPr>
          <w:rFonts w:hint="eastAsia" w:ascii="黑体" w:hAnsi="黑体" w:eastAsia="黑体" w:cs="黑体"/>
          <w:b/>
          <w:bCs/>
          <w:sz w:val="24"/>
          <w:highlight w:val="none"/>
          <w:lang w:val="en-US" w:eastAsia="zh-CN"/>
        </w:rPr>
        <w:t>知识产权</w:t>
      </w:r>
      <w:bookmarkEnd w:id="48"/>
      <w:bookmarkEnd w:id="49"/>
      <w:bookmarkEnd w:id="50"/>
      <w:bookmarkEnd w:id="51"/>
      <w:bookmarkEnd w:id="52"/>
      <w:bookmarkEnd w:id="53"/>
    </w:p>
    <w:p w14:paraId="030369AB">
      <w:pPr>
        <w:pageBreakBefore w:val="0"/>
        <w:widowControl w:val="0"/>
        <w:kinsoku/>
        <w:wordWrap w:val="0"/>
        <w:overflowPunct/>
        <w:topLinePunct w:val="0"/>
        <w:autoSpaceDE/>
        <w:autoSpaceDN/>
        <w:bidi w:val="0"/>
        <w:spacing w:line="360" w:lineRule="auto"/>
        <w:ind w:firstLine="482"/>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14:paraId="6FCB3512">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highlight w:val="none"/>
          <w:lang w:val="en-US" w:eastAsia="zh-CN"/>
        </w:rPr>
      </w:pPr>
      <w:bookmarkStart w:id="54" w:name="_Toc31291"/>
      <w:r>
        <w:rPr>
          <w:rFonts w:hint="eastAsia" w:ascii="黑体" w:hAnsi="黑体" w:eastAsia="黑体" w:cs="黑体"/>
          <w:b/>
          <w:bCs/>
          <w:sz w:val="24"/>
          <w:highlight w:val="none"/>
          <w:lang w:val="en-US" w:eastAsia="zh-CN"/>
        </w:rPr>
        <w:t>五、质量保证及售后服务内容</w:t>
      </w:r>
      <w:bookmarkEnd w:id="54"/>
    </w:p>
    <w:p w14:paraId="54811F8E">
      <w:pPr>
        <w:spacing w:line="400" w:lineRule="exact"/>
        <w:ind w:firstLine="480" w:firstLineChars="20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（一）产品生产日期、质量保证期要求：送货产品须为生产日期1年内的全新产品，</w:t>
      </w:r>
      <w:r>
        <w:rPr>
          <w:rFonts w:hint="eastAsia" w:ascii="黑体" w:hAnsi="黑体" w:eastAsia="黑体" w:cs="黑体"/>
          <w:sz w:val="24"/>
          <w:szCs w:val="24"/>
          <w:highlight w:val="none"/>
        </w:rPr>
        <w:t>产品质保</w:t>
      </w:r>
      <w:r>
        <w:rPr>
          <w:rFonts w:hint="eastAsia" w:ascii="黑体" w:hAnsi="黑体" w:eastAsia="黑体" w:cs="黑体"/>
          <w:sz w:val="24"/>
          <w:szCs w:val="24"/>
          <w:highlight w:val="none"/>
          <w:lang w:eastAsia="zh-CN"/>
        </w:rPr>
        <w:t>执行</w:t>
      </w:r>
      <w:r>
        <w:rPr>
          <w:rFonts w:hint="eastAsia" w:ascii="黑体" w:hAnsi="黑体" w:eastAsia="黑体" w:cs="黑体"/>
          <w:sz w:val="24"/>
          <w:szCs w:val="24"/>
          <w:highlight w:val="none"/>
        </w:rPr>
        <w:t>产品说明书质保期限</w:t>
      </w:r>
      <w:r>
        <w:rPr>
          <w:rFonts w:hint="eastAsia" w:ascii="黑体" w:hAnsi="黑体" w:eastAsia="黑体" w:cs="黑体"/>
          <w:sz w:val="24"/>
          <w:szCs w:val="24"/>
          <w:highlight w:val="none"/>
          <w:lang w:val="en-US" w:eastAsia="zh-CN"/>
        </w:rPr>
        <w:t>且产品到院时剩余质保期不得少于总效期的三分之二，质保期对有质量问题产品免费更换及临近效期（≤3个月）产品免费更换。</w:t>
      </w:r>
    </w:p>
    <w:p w14:paraId="7C4E63CD">
      <w:pPr>
        <w:pageBreakBefore w:val="0"/>
        <w:widowControl w:val="0"/>
        <w:kinsoku/>
        <w:wordWrap w:val="0"/>
        <w:overflowPunct/>
        <w:topLinePunct w:val="0"/>
        <w:autoSpaceDE/>
        <w:autoSpaceDN/>
        <w:bidi w:val="0"/>
        <w:spacing w:line="360" w:lineRule="auto"/>
        <w:ind w:firstLine="48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（二）售后服务内容</w:t>
      </w:r>
    </w:p>
    <w:p w14:paraId="7AE2C776">
      <w:pPr>
        <w:pageBreakBefore w:val="0"/>
        <w:widowControl w:val="0"/>
        <w:kinsoku/>
        <w:wordWrap w:val="0"/>
        <w:overflowPunct/>
        <w:topLinePunct w:val="0"/>
        <w:autoSpaceDE/>
        <w:autoSpaceDN/>
        <w:bidi w:val="0"/>
        <w:spacing w:line="360" w:lineRule="auto"/>
        <w:ind w:firstLine="48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产品出现任何质量问题，供应商应30分钟提供电话响应，4小时来院处置。</w:t>
      </w:r>
    </w:p>
    <w:bookmarkEnd w:id="43"/>
    <w:bookmarkEnd w:id="44"/>
    <w:bookmarkEnd w:id="45"/>
    <w:bookmarkEnd w:id="46"/>
    <w:bookmarkEnd w:id="47"/>
    <w:p w14:paraId="612087C4">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default" w:ascii="黑体" w:hAnsi="黑体" w:eastAsia="黑体" w:cs="黑体"/>
          <w:b/>
          <w:bCs/>
          <w:sz w:val="24"/>
          <w:highlight w:val="none"/>
          <w:lang w:val="en-US" w:eastAsia="zh-CN"/>
        </w:rPr>
      </w:pPr>
      <w:bookmarkStart w:id="55" w:name="_Toc11476"/>
      <w:bookmarkStart w:id="56" w:name="_Toc3786"/>
      <w:bookmarkStart w:id="57" w:name="_Toc65660346"/>
      <w:bookmarkStart w:id="58" w:name="_Toc28880"/>
      <w:bookmarkStart w:id="59" w:name="_Toc24751"/>
      <w:bookmarkStart w:id="60" w:name="_Toc7228"/>
      <w:r>
        <w:rPr>
          <w:rFonts w:hint="eastAsia" w:ascii="黑体" w:hAnsi="黑体" w:eastAsia="黑体" w:cs="黑体"/>
          <w:b/>
          <w:bCs/>
          <w:sz w:val="24"/>
          <w:highlight w:val="none"/>
          <w:lang w:val="en-US" w:eastAsia="zh-CN"/>
        </w:rPr>
        <w:t>六、终止合同</w:t>
      </w:r>
      <w:bookmarkEnd w:id="55"/>
    </w:p>
    <w:p w14:paraId="4C9E9FBB">
      <w:pPr>
        <w:pageBreakBefore w:val="0"/>
        <w:widowControl w:val="0"/>
        <w:numPr>
          <w:ilvl w:val="0"/>
          <w:numId w:val="0"/>
        </w:numPr>
        <w:kinsoku/>
        <w:wordWrap w:val="0"/>
        <w:overflowPunct/>
        <w:topLinePunct w:val="0"/>
        <w:autoSpaceDE/>
        <w:autoSpaceDN/>
        <w:bidi w:val="0"/>
        <w:spacing w:line="360" w:lineRule="auto"/>
        <w:ind w:firstLine="480" w:firstLineChars="20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产品出现不良事件；供应商廉洁违纪行为；发现供应商串标围标违纪行为；供应商主动放弃等。</w:t>
      </w:r>
    </w:p>
    <w:p w14:paraId="4E9813FF">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highlight w:val="none"/>
          <w:lang w:val="en-US" w:eastAsia="zh-CN"/>
        </w:rPr>
      </w:pPr>
      <w:bookmarkStart w:id="61" w:name="_Toc10274"/>
      <w:r>
        <w:rPr>
          <w:rFonts w:hint="eastAsia" w:ascii="黑体" w:hAnsi="黑体" w:eastAsia="黑体" w:cs="黑体"/>
          <w:b/>
          <w:bCs/>
          <w:sz w:val="24"/>
          <w:highlight w:val="none"/>
          <w:lang w:val="en-US" w:eastAsia="zh-CN"/>
        </w:rPr>
        <w:t>七、违约责任</w:t>
      </w:r>
      <w:bookmarkEnd w:id="61"/>
    </w:p>
    <w:p w14:paraId="598A1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中标供应商未在约定期限完成送货，每延迟1日支付200元违约金，超过20日未能交付，采购人有权单方面解除合同，并要求供应商承担合同总额30%的违约金；验收不合格或使用中发现产品质量缺陷，采购人有权要求供应商整改，整改期限为10日，整改期限届满仍未完成的供应商每日支付合同金额千分之三的违约金，超过20日未能完成整改，采购人有权解除合同，并要求供应商承担合同总额30%的违约金，已经付款的供应商应全款退还采购人已经支付的款项；所投产品须为正规合格产品，后期发现或鉴定为假冒伪劣产品除免费更换全批次产品外，供应商应承担所有鉴定费用并每次扣罚产品金额2倍的违约金。</w:t>
      </w:r>
    </w:p>
    <w:p w14:paraId="3358A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出现下列情况之一的，采购人有权拒绝支付应付货款,并有权单方解除合同，供应商应承担不低于合同结算总金额30%的违约金，有特殊约定的按照特殊约定执行：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协议》相关条款的；⑤合同有效期内，未经招标人同意，供应商擅自转让债权变更收款公司信息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7BA07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因供应商提供的产品及服务原因引发纠纷、造成采购人损失、受到处罚的（如供应商拒绝履约、在提供产品及服务过程中损害采购人利益、供应商违纪违法行为、供应商提供产品及服务引发安全问题或不良事件、产品故障问题供应商未及时响应造成严重后果等情形），应赔偿对采购人造成的直接和间接损失全额损失及承担相应法律责任。合同履行期间发生争议双方协商，协商不成向重庆市璧山区人民法院提起诉讼。</w:t>
      </w:r>
    </w:p>
    <w:p w14:paraId="3B3044CF">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highlight w:val="none"/>
          <w:lang w:val="en-US" w:eastAsia="zh-CN"/>
        </w:rPr>
      </w:pPr>
      <w:bookmarkStart w:id="62" w:name="_Toc15416"/>
      <w:r>
        <w:rPr>
          <w:rFonts w:hint="eastAsia" w:ascii="黑体" w:hAnsi="黑体" w:eastAsia="黑体" w:cs="黑体"/>
          <w:b/>
          <w:bCs/>
          <w:sz w:val="24"/>
          <w:highlight w:val="none"/>
          <w:lang w:val="en-US" w:eastAsia="zh-CN"/>
        </w:rPr>
        <w:t>八、其他要求</w:t>
      </w:r>
      <w:bookmarkEnd w:id="56"/>
      <w:bookmarkEnd w:id="57"/>
      <w:bookmarkEnd w:id="58"/>
      <w:bookmarkEnd w:id="59"/>
      <w:bookmarkEnd w:id="60"/>
      <w:bookmarkEnd w:id="62"/>
      <w:bookmarkStart w:id="63" w:name="_Toc17447"/>
      <w:bookmarkStart w:id="64" w:name="_Toc7799"/>
      <w:bookmarkStart w:id="65" w:name="_Toc922"/>
      <w:bookmarkStart w:id="66" w:name="_Toc10677"/>
      <w:bookmarkStart w:id="67" w:name="_Toc12224"/>
      <w:bookmarkStart w:id="68" w:name="_Toc8088"/>
      <w:bookmarkStart w:id="69" w:name="_Toc8170"/>
    </w:p>
    <w:bookmarkEnd w:id="63"/>
    <w:bookmarkEnd w:id="64"/>
    <w:bookmarkEnd w:id="65"/>
    <w:bookmarkEnd w:id="66"/>
    <w:bookmarkEnd w:id="67"/>
    <w:bookmarkEnd w:id="68"/>
    <w:bookmarkEnd w:id="69"/>
    <w:p w14:paraId="3AA90F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1、供应商必须在响应文件中对以上条款和服务承诺明确列出，承诺内容必须达到本篇及采购文件其他条款的要求；</w:t>
      </w:r>
    </w:p>
    <w:p w14:paraId="328C38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2、凡有意参加投标的供应商，请于公告发布之日起至截止时间之前，在行采家下载查看本项目采购文件以及变更公告等所有项目资料，无论供应商下载查看与否，均视为已知晓所有招标实质性要求内容；</w:t>
      </w:r>
    </w:p>
    <w:p w14:paraId="125B0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3、无论招标结果如何，供应商参与本项目的所有费用均自行承担；</w:t>
      </w:r>
    </w:p>
    <w:p w14:paraId="7CD8C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 xml:space="preserve">4、本次采购过程中如果产生专家评审费等相关费用将由成交供应商承担；  </w:t>
      </w:r>
    </w:p>
    <w:p w14:paraId="1315B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5、如投标人违反《中华人民共和国政府采购法》《中华人民共和国政府采购实施条例》等相关规定，采购人将按规定追究投标人法律责任；</w:t>
      </w:r>
    </w:p>
    <w:p w14:paraId="45F20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 xml:space="preserve">6、其他未尽事宜由供需双方在采购合同中详细约定。 </w:t>
      </w:r>
    </w:p>
    <w:p w14:paraId="21829E3C">
      <w:pPr>
        <w:rPr>
          <w:rFonts w:hint="eastAsia" w:ascii="黑体" w:hAnsi="黑体" w:eastAsia="黑体" w:cs="黑体"/>
          <w:sz w:val="24"/>
          <w:highlight w:val="none"/>
          <w:lang w:val="en-US" w:eastAsia="zh-CN"/>
        </w:rPr>
      </w:pPr>
    </w:p>
    <w:p w14:paraId="23A1AF2C">
      <w:pPr>
        <w:rPr>
          <w:rFonts w:hint="eastAsia" w:ascii="黑体" w:hAnsi="黑体" w:eastAsia="黑体" w:cs="黑体"/>
          <w:sz w:val="24"/>
          <w:highlight w:val="none"/>
          <w:lang w:val="en-US" w:eastAsia="zh-CN"/>
        </w:rPr>
      </w:pPr>
    </w:p>
    <w:p w14:paraId="40216950">
      <w:pPr>
        <w:rPr>
          <w:rFonts w:hint="eastAsia" w:ascii="黑体" w:hAnsi="黑体" w:eastAsia="黑体" w:cs="黑体"/>
          <w:sz w:val="24"/>
          <w:highlight w:val="none"/>
          <w:lang w:val="en-US" w:eastAsia="zh-CN"/>
        </w:rPr>
      </w:pPr>
    </w:p>
    <w:p w14:paraId="625CECBF">
      <w:pPr>
        <w:rPr>
          <w:rFonts w:hint="eastAsia" w:ascii="黑体" w:hAnsi="黑体" w:eastAsia="黑体" w:cs="黑体"/>
          <w:sz w:val="24"/>
          <w:highlight w:val="none"/>
          <w:lang w:val="en-US" w:eastAsia="zh-CN"/>
        </w:rPr>
      </w:pPr>
    </w:p>
    <w:p w14:paraId="58CBAE05">
      <w:pPr>
        <w:rPr>
          <w:rFonts w:hint="eastAsia" w:ascii="黑体" w:hAnsi="黑体" w:eastAsia="黑体" w:cs="黑体"/>
          <w:sz w:val="24"/>
          <w:highlight w:val="none"/>
          <w:lang w:val="en-US" w:eastAsia="zh-CN"/>
        </w:rPr>
      </w:pPr>
    </w:p>
    <w:p w14:paraId="4B406A36">
      <w:pPr>
        <w:rPr>
          <w:rFonts w:hint="eastAsia" w:ascii="黑体" w:hAnsi="黑体" w:eastAsia="黑体" w:cs="黑体"/>
          <w:sz w:val="24"/>
          <w:highlight w:val="none"/>
          <w:lang w:val="en-US" w:eastAsia="zh-CN"/>
        </w:rPr>
      </w:pPr>
    </w:p>
    <w:p w14:paraId="7CD7283A">
      <w:pPr>
        <w:rPr>
          <w:rFonts w:hint="eastAsia" w:ascii="黑体" w:hAnsi="黑体" w:eastAsia="黑体" w:cs="黑体"/>
          <w:sz w:val="24"/>
          <w:highlight w:val="none"/>
          <w:lang w:val="en-US" w:eastAsia="zh-CN"/>
        </w:rPr>
      </w:pPr>
    </w:p>
    <w:p w14:paraId="71A6B2AC">
      <w:pPr>
        <w:rPr>
          <w:rFonts w:hint="eastAsia" w:ascii="黑体" w:hAnsi="黑体" w:eastAsia="黑体" w:cs="黑体"/>
          <w:sz w:val="24"/>
          <w:highlight w:val="none"/>
          <w:lang w:val="en-US" w:eastAsia="zh-CN"/>
        </w:rPr>
      </w:pPr>
    </w:p>
    <w:p w14:paraId="6D9D3066">
      <w:pPr>
        <w:rPr>
          <w:rFonts w:hint="eastAsia" w:ascii="黑体" w:hAnsi="黑体" w:eastAsia="黑体" w:cs="黑体"/>
          <w:sz w:val="24"/>
          <w:highlight w:val="none"/>
          <w:lang w:val="en-US" w:eastAsia="zh-CN"/>
        </w:rPr>
      </w:pPr>
    </w:p>
    <w:p w14:paraId="5E18AB2D">
      <w:pPr>
        <w:rPr>
          <w:rFonts w:hint="eastAsia" w:ascii="黑体" w:hAnsi="黑体" w:eastAsia="黑体" w:cs="黑体"/>
          <w:sz w:val="24"/>
          <w:highlight w:val="none"/>
          <w:lang w:val="en-US" w:eastAsia="zh-CN"/>
        </w:rPr>
      </w:pPr>
    </w:p>
    <w:p w14:paraId="707331CE">
      <w:pPr>
        <w:rPr>
          <w:rFonts w:hint="eastAsia" w:ascii="黑体" w:hAnsi="黑体" w:eastAsia="黑体" w:cs="黑体"/>
          <w:sz w:val="24"/>
          <w:highlight w:val="none"/>
          <w:lang w:val="en-US" w:eastAsia="zh-CN"/>
        </w:rPr>
      </w:pPr>
    </w:p>
    <w:p w14:paraId="71F70C44">
      <w:pPr>
        <w:rPr>
          <w:rFonts w:hint="eastAsia" w:ascii="黑体" w:hAnsi="黑体" w:eastAsia="黑体" w:cs="黑体"/>
          <w:sz w:val="24"/>
          <w:highlight w:val="none"/>
          <w:lang w:val="en-US" w:eastAsia="zh-CN"/>
        </w:rPr>
      </w:pPr>
    </w:p>
    <w:p w14:paraId="7786D035">
      <w:pPr>
        <w:rPr>
          <w:rFonts w:hint="eastAsia" w:ascii="黑体" w:hAnsi="黑体" w:eastAsia="黑体" w:cs="黑体"/>
          <w:sz w:val="24"/>
          <w:highlight w:val="none"/>
          <w:lang w:val="en-US" w:eastAsia="zh-CN"/>
        </w:rPr>
      </w:pPr>
    </w:p>
    <w:p w14:paraId="630EAFD9">
      <w:pPr>
        <w:rPr>
          <w:rFonts w:hint="eastAsia" w:ascii="黑体" w:hAnsi="黑体" w:eastAsia="黑体" w:cs="黑体"/>
          <w:sz w:val="24"/>
          <w:highlight w:val="none"/>
          <w:lang w:val="en-US" w:eastAsia="zh-CN"/>
        </w:rPr>
      </w:pPr>
    </w:p>
    <w:p w14:paraId="2AD10CD7">
      <w:pPr>
        <w:rPr>
          <w:rFonts w:hint="eastAsia" w:ascii="黑体" w:hAnsi="黑体" w:eastAsia="黑体" w:cs="黑体"/>
          <w:sz w:val="24"/>
          <w:highlight w:val="none"/>
          <w:lang w:val="en-US" w:eastAsia="zh-CN"/>
        </w:rPr>
      </w:pPr>
    </w:p>
    <w:p w14:paraId="5CBB4A3A">
      <w:pPr>
        <w:rPr>
          <w:rFonts w:hint="eastAsia" w:ascii="黑体" w:hAnsi="黑体" w:eastAsia="黑体" w:cs="黑体"/>
          <w:sz w:val="24"/>
          <w:highlight w:val="none"/>
          <w:lang w:val="en-US" w:eastAsia="zh-CN"/>
        </w:rPr>
      </w:pPr>
    </w:p>
    <w:p w14:paraId="454E0C9B">
      <w:pPr>
        <w:rPr>
          <w:rFonts w:hint="eastAsia" w:ascii="黑体" w:hAnsi="黑体" w:eastAsia="黑体" w:cs="黑体"/>
          <w:highlight w:val="none"/>
          <w:lang w:val="en-US" w:eastAsia="zh-CN"/>
        </w:rPr>
      </w:pPr>
    </w:p>
    <w:bookmarkEnd w:id="26"/>
    <w:bookmarkEnd w:id="27"/>
    <w:bookmarkEnd w:id="28"/>
    <w:p w14:paraId="19EB28E2">
      <w:pPr>
        <w:pStyle w:val="2"/>
        <w:spacing w:before="0" w:beforeLines="0" w:after="0" w:afterLines="0" w:line="360" w:lineRule="auto"/>
        <w:jc w:val="both"/>
        <w:rPr>
          <w:rFonts w:hint="eastAsia" w:ascii="黑体" w:hAnsi="黑体" w:eastAsia="黑体" w:cs="黑体"/>
          <w:b/>
          <w:color w:val="auto"/>
          <w:highlight w:val="none"/>
        </w:rPr>
      </w:pPr>
      <w:bookmarkStart w:id="70" w:name="_Toc22254"/>
    </w:p>
    <w:p w14:paraId="468960CC">
      <w:pPr>
        <w:rPr>
          <w:rFonts w:hint="eastAsia" w:ascii="黑体" w:hAnsi="黑体" w:eastAsia="黑体" w:cs="黑体"/>
          <w:b/>
          <w:color w:val="auto"/>
          <w:highlight w:val="none"/>
        </w:rPr>
      </w:pPr>
    </w:p>
    <w:p w14:paraId="4E0D23A8">
      <w:pPr>
        <w:pStyle w:val="2"/>
        <w:spacing w:before="0" w:beforeLines="0" w:after="0" w:afterLines="0" w:line="360" w:lineRule="auto"/>
        <w:jc w:val="both"/>
        <w:rPr>
          <w:rFonts w:hint="eastAsia" w:ascii="黑体" w:hAnsi="黑体" w:eastAsia="黑体" w:cs="黑体"/>
          <w:b/>
          <w:color w:val="auto"/>
          <w:highlight w:val="none"/>
        </w:rPr>
      </w:pPr>
    </w:p>
    <w:p w14:paraId="0837859D">
      <w:pPr>
        <w:rPr>
          <w:rFonts w:hint="eastAsia"/>
          <w:highlight w:val="none"/>
        </w:rPr>
      </w:pPr>
    </w:p>
    <w:p w14:paraId="1EB9F822">
      <w:pPr>
        <w:pStyle w:val="2"/>
        <w:spacing w:before="0" w:beforeLines="0" w:after="0" w:afterLines="0" w:line="360" w:lineRule="auto"/>
        <w:jc w:val="center"/>
        <w:rPr>
          <w:rFonts w:hint="eastAsia" w:ascii="黑体" w:hAnsi="黑体" w:eastAsia="黑体" w:cs="黑体"/>
          <w:b/>
          <w:color w:val="auto"/>
          <w:highlight w:val="none"/>
        </w:rPr>
      </w:pPr>
    </w:p>
    <w:p w14:paraId="382178D9">
      <w:pPr>
        <w:pStyle w:val="2"/>
        <w:spacing w:before="0" w:beforeLines="0" w:after="0" w:afterLines="0" w:line="360" w:lineRule="auto"/>
        <w:jc w:val="center"/>
        <w:rPr>
          <w:rFonts w:hint="eastAsia" w:ascii="黑体" w:hAnsi="黑体" w:eastAsia="黑体" w:cs="黑体"/>
          <w:b/>
          <w:color w:val="auto"/>
          <w:highlight w:val="none"/>
        </w:rPr>
      </w:pPr>
    </w:p>
    <w:p w14:paraId="5E5F4454">
      <w:pPr>
        <w:pStyle w:val="2"/>
        <w:spacing w:before="0" w:beforeLines="0" w:after="0" w:afterLines="0" w:line="360" w:lineRule="auto"/>
        <w:jc w:val="both"/>
        <w:rPr>
          <w:rFonts w:hint="eastAsia" w:ascii="黑体" w:hAnsi="黑体" w:eastAsia="黑体" w:cs="黑体"/>
          <w:b/>
          <w:color w:val="auto"/>
          <w:highlight w:val="none"/>
        </w:rPr>
      </w:pPr>
    </w:p>
    <w:p w14:paraId="0973A1E1">
      <w:pPr>
        <w:rPr>
          <w:rFonts w:hint="eastAsia" w:ascii="黑体" w:hAnsi="黑体" w:eastAsia="黑体" w:cs="黑体"/>
          <w:b/>
          <w:color w:val="auto"/>
          <w:highlight w:val="none"/>
        </w:rPr>
      </w:pPr>
    </w:p>
    <w:p w14:paraId="61EDE8C4">
      <w:pPr>
        <w:rPr>
          <w:rFonts w:hint="eastAsia" w:ascii="黑体" w:hAnsi="黑体" w:eastAsia="黑体" w:cs="黑体"/>
          <w:b/>
          <w:color w:val="auto"/>
          <w:highlight w:val="none"/>
        </w:rPr>
      </w:pPr>
    </w:p>
    <w:p w14:paraId="0219FE82">
      <w:pPr>
        <w:pStyle w:val="2"/>
        <w:spacing w:before="0" w:beforeLines="0" w:after="0" w:afterLines="0" w:line="360" w:lineRule="auto"/>
        <w:jc w:val="center"/>
        <w:rPr>
          <w:rFonts w:hint="eastAsia" w:ascii="黑体" w:hAnsi="黑体" w:eastAsia="黑体" w:cs="黑体"/>
          <w:b/>
          <w:color w:val="auto"/>
          <w:highlight w:val="none"/>
        </w:rPr>
      </w:pPr>
      <w:r>
        <w:rPr>
          <w:rFonts w:hint="eastAsia" w:ascii="黑体" w:hAnsi="黑体" w:eastAsia="黑体" w:cs="黑体"/>
          <w:b/>
          <w:color w:val="auto"/>
          <w:highlight w:val="none"/>
        </w:rPr>
        <w:t>第四篇  资格审查及评标办法</w:t>
      </w:r>
      <w:bookmarkEnd w:id="70"/>
    </w:p>
    <w:p w14:paraId="413712E1">
      <w:pPr>
        <w:pStyle w:val="3"/>
        <w:spacing w:line="400" w:lineRule="exact"/>
        <w:ind w:firstLine="482" w:firstLineChars="200"/>
        <w:rPr>
          <w:rFonts w:hint="eastAsia" w:ascii="黑体" w:hAnsi="黑体" w:eastAsia="黑体" w:cs="黑体"/>
          <w:b/>
          <w:color w:val="auto"/>
          <w:sz w:val="24"/>
          <w:szCs w:val="24"/>
          <w:highlight w:val="none"/>
          <w:lang w:val="zh-TW" w:eastAsia="zh-TW"/>
        </w:rPr>
      </w:pPr>
      <w:bookmarkStart w:id="71" w:name="_Toc4537"/>
      <w:bookmarkStart w:id="72" w:name="_Toc5292"/>
      <w:bookmarkStart w:id="73" w:name="_Toc21963"/>
      <w:bookmarkStart w:id="74" w:name="_Toc8528"/>
      <w:bookmarkStart w:id="75" w:name="_Toc12759"/>
      <w:bookmarkStart w:id="76" w:name="_Toc23536"/>
      <w:bookmarkStart w:id="77" w:name="_Toc29933"/>
      <w:bookmarkStart w:id="78" w:name="_Toc32708"/>
      <w:r>
        <w:rPr>
          <w:rFonts w:hint="eastAsia" w:ascii="黑体" w:hAnsi="黑体" w:eastAsia="黑体" w:cs="黑体"/>
          <w:b/>
          <w:color w:val="auto"/>
          <w:sz w:val="24"/>
          <w:szCs w:val="24"/>
          <w:highlight w:val="none"/>
          <w:lang w:val="zh-TW" w:eastAsia="zh-TW"/>
        </w:rPr>
        <w:t>一、</w:t>
      </w:r>
      <w:bookmarkEnd w:id="71"/>
      <w:bookmarkEnd w:id="72"/>
      <w:bookmarkEnd w:id="73"/>
      <w:bookmarkEnd w:id="74"/>
      <w:bookmarkEnd w:id="75"/>
      <w:bookmarkEnd w:id="76"/>
      <w:r>
        <w:rPr>
          <w:rFonts w:hint="eastAsia" w:ascii="黑体" w:hAnsi="黑体" w:eastAsia="黑体" w:cs="黑体"/>
          <w:b/>
          <w:color w:val="auto"/>
          <w:sz w:val="24"/>
          <w:szCs w:val="24"/>
          <w:highlight w:val="none"/>
          <w:lang w:val="zh-TW" w:eastAsia="zh-TW"/>
        </w:rPr>
        <w:t>资格审查及符合性审查</w:t>
      </w:r>
      <w:bookmarkEnd w:id="77"/>
      <w:bookmarkEnd w:id="78"/>
    </w:p>
    <w:p w14:paraId="42AEDFE8">
      <w:p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TW"/>
        </w:rPr>
      </w:pPr>
      <w:r>
        <w:rPr>
          <w:rStyle w:val="27"/>
          <w:rFonts w:hint="eastAsia" w:ascii="黑体" w:hAnsi="黑体" w:eastAsia="黑体" w:cs="黑体"/>
          <w:color w:val="auto"/>
          <w:sz w:val="24"/>
          <w:szCs w:val="24"/>
          <w:highlight w:val="none"/>
          <w:u w:val="none" w:color="000000"/>
          <w:lang w:val="zh-TW" w:eastAsia="zh-TW"/>
        </w:rPr>
        <w:t>评标工作由</w:t>
      </w:r>
      <w:r>
        <w:rPr>
          <w:rStyle w:val="27"/>
          <w:rFonts w:hint="eastAsia" w:ascii="黑体" w:hAnsi="黑体" w:eastAsia="黑体" w:cs="黑体"/>
          <w:color w:val="auto"/>
          <w:sz w:val="24"/>
          <w:szCs w:val="24"/>
          <w:highlight w:val="none"/>
          <w:u w:val="none" w:color="000000"/>
          <w:lang w:val="en-US" w:eastAsia="zh-CN"/>
        </w:rPr>
        <w:t>采购人</w:t>
      </w:r>
      <w:r>
        <w:rPr>
          <w:rStyle w:val="27"/>
          <w:rFonts w:hint="eastAsia" w:ascii="黑体" w:hAnsi="黑体" w:eastAsia="黑体" w:cs="黑体"/>
          <w:color w:val="auto"/>
          <w:sz w:val="24"/>
          <w:szCs w:val="24"/>
          <w:highlight w:val="none"/>
          <w:u w:val="none" w:color="000000"/>
          <w:lang w:val="zh-TW" w:eastAsia="zh-TW"/>
        </w:rPr>
        <w:t>负责组织，具体评标事务由</w:t>
      </w:r>
      <w:r>
        <w:rPr>
          <w:rStyle w:val="27"/>
          <w:rFonts w:hint="eastAsia" w:ascii="黑体" w:hAnsi="黑体" w:eastAsia="黑体" w:cs="黑体"/>
          <w:color w:val="auto"/>
          <w:sz w:val="24"/>
          <w:szCs w:val="24"/>
          <w:highlight w:val="none"/>
          <w:u w:val="none" w:color="000000"/>
          <w:lang w:val="en-US" w:eastAsia="zh-CN"/>
        </w:rPr>
        <w:t>采购人</w:t>
      </w:r>
      <w:r>
        <w:rPr>
          <w:rStyle w:val="27"/>
          <w:rFonts w:hint="eastAsia" w:ascii="黑体" w:hAnsi="黑体" w:eastAsia="黑体" w:cs="黑体"/>
          <w:color w:val="auto"/>
          <w:sz w:val="24"/>
          <w:szCs w:val="24"/>
          <w:highlight w:val="none"/>
          <w:u w:val="none" w:color="000000"/>
          <w:lang w:val="zh-TW" w:eastAsia="zh-TW"/>
        </w:rPr>
        <w:t>依法组建的评标委员会负责。</w:t>
      </w:r>
    </w:p>
    <w:p w14:paraId="0E90CFC0">
      <w:p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TW"/>
        </w:rPr>
      </w:pPr>
      <w:r>
        <w:rPr>
          <w:rStyle w:val="27"/>
          <w:rFonts w:hint="eastAsia" w:ascii="黑体" w:hAnsi="黑体" w:eastAsia="黑体" w:cs="黑体"/>
          <w:color w:val="auto"/>
          <w:sz w:val="24"/>
          <w:szCs w:val="24"/>
          <w:highlight w:val="none"/>
          <w:u w:val="none" w:color="000000"/>
          <w:lang w:val="zh-TW" w:eastAsia="zh-TW"/>
        </w:rPr>
        <w:t>评标委员会成员到位后，推举其中一位评审专家担任评审组长，并由评审组长牵头组织该项目评审工作。评标委员会按以下程序独立履行评审职责：</w:t>
      </w:r>
    </w:p>
    <w:p w14:paraId="106B8F14">
      <w:pPr>
        <w:pStyle w:val="3"/>
        <w:spacing w:line="400" w:lineRule="exact"/>
        <w:ind w:firstLine="482" w:firstLineChars="200"/>
        <w:rPr>
          <w:rFonts w:hint="eastAsia" w:ascii="黑体" w:hAnsi="黑体" w:eastAsia="黑体" w:cs="黑体"/>
          <w:b/>
          <w:color w:val="auto"/>
          <w:sz w:val="24"/>
          <w:szCs w:val="24"/>
          <w:highlight w:val="none"/>
          <w:lang w:val="zh-TW" w:eastAsia="zh-TW"/>
        </w:rPr>
      </w:pPr>
      <w:bookmarkStart w:id="79" w:name="_Toc10902"/>
      <w:bookmarkStart w:id="80" w:name="_Toc32364"/>
      <w:r>
        <w:rPr>
          <w:rFonts w:hint="eastAsia" w:ascii="黑体" w:hAnsi="黑体" w:eastAsia="黑体" w:cs="黑体"/>
          <w:b/>
          <w:color w:val="auto"/>
          <w:sz w:val="24"/>
          <w:szCs w:val="24"/>
          <w:highlight w:val="none"/>
          <w:lang w:val="zh-TW" w:eastAsia="zh-CN"/>
        </w:rPr>
        <w:t>（</w:t>
      </w:r>
      <w:r>
        <w:rPr>
          <w:rFonts w:hint="eastAsia" w:ascii="黑体" w:hAnsi="黑体" w:eastAsia="黑体" w:cs="黑体"/>
          <w:b/>
          <w:color w:val="auto"/>
          <w:sz w:val="24"/>
          <w:szCs w:val="24"/>
          <w:highlight w:val="none"/>
          <w:lang w:val="en-US" w:eastAsia="zh-CN"/>
        </w:rPr>
        <w:t>一</w:t>
      </w:r>
      <w:r>
        <w:rPr>
          <w:rFonts w:hint="eastAsia" w:ascii="黑体" w:hAnsi="黑体" w:eastAsia="黑体" w:cs="黑体"/>
          <w:b/>
          <w:color w:val="auto"/>
          <w:sz w:val="24"/>
          <w:szCs w:val="24"/>
          <w:highlight w:val="none"/>
          <w:lang w:val="zh-TW" w:eastAsia="zh-CN"/>
        </w:rPr>
        <w:t>）</w:t>
      </w:r>
      <w:r>
        <w:rPr>
          <w:rFonts w:hint="eastAsia" w:ascii="黑体" w:hAnsi="黑体" w:eastAsia="黑体" w:cs="黑体"/>
          <w:b/>
          <w:color w:val="auto"/>
          <w:sz w:val="24"/>
          <w:szCs w:val="24"/>
          <w:highlight w:val="none"/>
          <w:lang w:val="zh-TW" w:eastAsia="zh-TW"/>
        </w:rPr>
        <w:t>资格审查</w:t>
      </w:r>
      <w:bookmarkEnd w:id="79"/>
      <w:bookmarkEnd w:id="80"/>
    </w:p>
    <w:p w14:paraId="3CB98885">
      <w:pPr>
        <w:numPr>
          <w:ilvl w:val="0"/>
          <w:numId w:val="0"/>
        </w:num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TW"/>
        </w:rPr>
      </w:pPr>
      <w:r>
        <w:rPr>
          <w:rStyle w:val="27"/>
          <w:rFonts w:hint="eastAsia" w:ascii="黑体" w:hAnsi="黑体" w:eastAsia="黑体" w:cs="黑体"/>
          <w:color w:val="auto"/>
          <w:sz w:val="24"/>
          <w:szCs w:val="24"/>
          <w:highlight w:val="none"/>
          <w:u w:val="none" w:color="000000"/>
          <w:lang w:val="zh-TW" w:eastAsia="zh-TW"/>
        </w:rPr>
        <w:t>依据法律法规和</w:t>
      </w:r>
      <w:r>
        <w:rPr>
          <w:rStyle w:val="27"/>
          <w:rFonts w:hint="eastAsia" w:ascii="黑体" w:hAnsi="黑体" w:eastAsia="黑体" w:cs="黑体"/>
          <w:color w:val="auto"/>
          <w:sz w:val="24"/>
          <w:szCs w:val="24"/>
          <w:highlight w:val="none"/>
          <w:u w:val="none" w:color="000000"/>
          <w:lang w:val="zh-TW" w:eastAsia="zh-CN"/>
        </w:rPr>
        <w:t>竞争性比选文件</w:t>
      </w:r>
      <w:r>
        <w:rPr>
          <w:rStyle w:val="27"/>
          <w:rFonts w:hint="eastAsia" w:ascii="黑体" w:hAnsi="黑体" w:eastAsia="黑体" w:cs="黑体"/>
          <w:color w:val="auto"/>
          <w:sz w:val="24"/>
          <w:szCs w:val="24"/>
          <w:highlight w:val="none"/>
          <w:u w:val="none" w:color="000000"/>
          <w:lang w:val="zh-TW" w:eastAsia="zh-TW"/>
        </w:rPr>
        <w:t>的规定，对</w:t>
      </w:r>
      <w:r>
        <w:rPr>
          <w:rStyle w:val="27"/>
          <w:rFonts w:hint="eastAsia" w:ascii="黑体" w:hAnsi="黑体" w:eastAsia="黑体" w:cs="黑体"/>
          <w:color w:val="auto"/>
          <w:sz w:val="24"/>
          <w:szCs w:val="24"/>
          <w:highlight w:val="none"/>
          <w:u w:val="none" w:color="000000"/>
          <w:lang w:val="zh-TW" w:eastAsia="zh-CN"/>
        </w:rPr>
        <w:t>响应文件</w:t>
      </w:r>
      <w:r>
        <w:rPr>
          <w:rStyle w:val="27"/>
          <w:rFonts w:hint="eastAsia" w:ascii="黑体" w:hAnsi="黑体" w:eastAsia="黑体" w:cs="黑体"/>
          <w:color w:val="auto"/>
          <w:sz w:val="24"/>
          <w:szCs w:val="24"/>
          <w:highlight w:val="none"/>
          <w:u w:val="none" w:color="000000"/>
          <w:lang w:val="zh-TW" w:eastAsia="zh-TW"/>
        </w:rPr>
        <w:t>中的资格证明进行审查，以确定</w:t>
      </w:r>
      <w:r>
        <w:rPr>
          <w:rStyle w:val="27"/>
          <w:rFonts w:hint="eastAsia" w:ascii="黑体" w:hAnsi="黑体" w:eastAsia="黑体" w:cs="黑体"/>
          <w:color w:val="auto"/>
          <w:sz w:val="24"/>
          <w:szCs w:val="24"/>
          <w:highlight w:val="none"/>
          <w:u w:val="none" w:color="000000"/>
          <w:lang w:val="zh-TW" w:eastAsia="zh-CN"/>
        </w:rPr>
        <w:t>供应商</w:t>
      </w:r>
      <w:r>
        <w:rPr>
          <w:rStyle w:val="27"/>
          <w:rFonts w:hint="eastAsia" w:ascii="黑体" w:hAnsi="黑体" w:eastAsia="黑体" w:cs="黑体"/>
          <w:color w:val="auto"/>
          <w:sz w:val="24"/>
          <w:szCs w:val="24"/>
          <w:highlight w:val="none"/>
          <w:u w:val="none" w:color="000000"/>
          <w:lang w:val="zh-TW" w:eastAsia="zh-TW"/>
        </w:rPr>
        <w:t>是否具备</w:t>
      </w:r>
      <w:r>
        <w:rPr>
          <w:rStyle w:val="27"/>
          <w:rFonts w:hint="eastAsia" w:ascii="黑体" w:hAnsi="黑体" w:eastAsia="黑体" w:cs="黑体"/>
          <w:color w:val="auto"/>
          <w:sz w:val="24"/>
          <w:szCs w:val="24"/>
          <w:highlight w:val="none"/>
          <w:u w:val="none" w:color="000000"/>
          <w:lang w:val="zh-TW" w:eastAsia="zh-CN"/>
        </w:rPr>
        <w:t>投标</w:t>
      </w:r>
      <w:r>
        <w:rPr>
          <w:rStyle w:val="27"/>
          <w:rFonts w:hint="eastAsia" w:ascii="黑体" w:hAnsi="黑体" w:eastAsia="黑体" w:cs="黑体"/>
          <w:color w:val="auto"/>
          <w:sz w:val="24"/>
          <w:szCs w:val="24"/>
          <w:highlight w:val="none"/>
          <w:u w:val="none" w:color="000000"/>
          <w:lang w:val="zh-TW" w:eastAsia="zh-TW"/>
        </w:rPr>
        <w:t>资格。资格性检查资料表如下：</w:t>
      </w:r>
    </w:p>
    <w:tbl>
      <w:tblPr>
        <w:tblStyle w:val="23"/>
        <w:tblW w:w="962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14:paraId="1E9C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76" w:type="dxa"/>
            <w:vAlign w:val="center"/>
          </w:tcPr>
          <w:p w14:paraId="09E3ADA9">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序号</w:t>
            </w:r>
          </w:p>
        </w:tc>
        <w:tc>
          <w:tcPr>
            <w:tcW w:w="5102" w:type="dxa"/>
            <w:gridSpan w:val="2"/>
            <w:vAlign w:val="center"/>
          </w:tcPr>
          <w:p w14:paraId="63571EFF">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检查因素</w:t>
            </w:r>
          </w:p>
        </w:tc>
        <w:tc>
          <w:tcPr>
            <w:tcW w:w="3850" w:type="dxa"/>
            <w:vAlign w:val="center"/>
          </w:tcPr>
          <w:p w14:paraId="3F7156B8">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检查内容</w:t>
            </w:r>
          </w:p>
        </w:tc>
      </w:tr>
      <w:tr w14:paraId="3295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676" w:type="dxa"/>
            <w:vMerge w:val="restart"/>
            <w:vAlign w:val="center"/>
          </w:tcPr>
          <w:p w14:paraId="25804DD2">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p>
        </w:tc>
        <w:tc>
          <w:tcPr>
            <w:tcW w:w="709" w:type="dxa"/>
            <w:vMerge w:val="restart"/>
            <w:vAlign w:val="center"/>
          </w:tcPr>
          <w:p w14:paraId="0F4948EC">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供应商应符合的基本资格条件</w:t>
            </w:r>
          </w:p>
        </w:tc>
        <w:tc>
          <w:tcPr>
            <w:tcW w:w="4393" w:type="dxa"/>
            <w:vAlign w:val="center"/>
          </w:tcPr>
          <w:p w14:paraId="664E56A4">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（1）具有独立承担民事责任的能力</w:t>
            </w:r>
          </w:p>
        </w:tc>
        <w:tc>
          <w:tcPr>
            <w:tcW w:w="3850" w:type="dxa"/>
            <w:vAlign w:val="center"/>
          </w:tcPr>
          <w:p w14:paraId="24B53CAD">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 xml:space="preserve">1.供应商法人营业执照（副本）或事业单位法人证书（副本）或个体工商户营业执照或有效的自然人身份证明或社会团体法人登记证书（提供复印件）。 </w:t>
            </w:r>
          </w:p>
          <w:p w14:paraId="2EC8D9DD">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2.供应商法定代表人身份证明和法定代表人授权代表委托书。</w:t>
            </w:r>
          </w:p>
        </w:tc>
      </w:tr>
      <w:tr w14:paraId="1448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6" w:type="dxa"/>
            <w:vMerge w:val="continue"/>
            <w:vAlign w:val="center"/>
          </w:tcPr>
          <w:p w14:paraId="220A9210">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102D57AA">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30789F50">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zh-CN" w:eastAsia="zh-CN"/>
              </w:rPr>
              <w:t>（2）</w:t>
            </w:r>
            <w:r>
              <w:rPr>
                <w:rFonts w:hint="eastAsia" w:ascii="黑体" w:hAnsi="黑体" w:eastAsia="黑体" w:cs="黑体"/>
                <w:color w:val="auto"/>
                <w:sz w:val="24"/>
                <w:szCs w:val="24"/>
                <w:highlight w:val="none"/>
                <w:lang w:eastAsia="zh-CN"/>
              </w:rPr>
              <w:t>具有良好的商业信誉和健全的财务会计制度</w:t>
            </w:r>
          </w:p>
        </w:tc>
        <w:tc>
          <w:tcPr>
            <w:tcW w:w="3850" w:type="dxa"/>
            <w:vMerge w:val="restart"/>
            <w:vAlign w:val="center"/>
          </w:tcPr>
          <w:p w14:paraId="0A85C4F7">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供应商提供基本资格条件承诺函（见格式文件）</w:t>
            </w:r>
          </w:p>
        </w:tc>
      </w:tr>
      <w:tr w14:paraId="1A22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6" w:type="dxa"/>
            <w:vMerge w:val="continue"/>
            <w:vAlign w:val="center"/>
          </w:tcPr>
          <w:p w14:paraId="571B9731">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4B44D35C">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7439F9F2">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（3）具有履行合同所必需的设备和专业技术能力</w:t>
            </w:r>
          </w:p>
        </w:tc>
        <w:tc>
          <w:tcPr>
            <w:tcW w:w="3850" w:type="dxa"/>
            <w:vMerge w:val="continue"/>
            <w:vAlign w:val="center"/>
          </w:tcPr>
          <w:p w14:paraId="43ACD72C">
            <w:pPr>
              <w:spacing w:line="240" w:lineRule="exact"/>
              <w:rPr>
                <w:rFonts w:hint="eastAsia" w:ascii="黑体" w:hAnsi="黑体" w:eastAsia="黑体" w:cs="黑体"/>
                <w:color w:val="auto"/>
                <w:sz w:val="24"/>
                <w:szCs w:val="24"/>
                <w:highlight w:val="none"/>
                <w:lang w:eastAsia="zh-CN"/>
              </w:rPr>
            </w:pPr>
          </w:p>
        </w:tc>
      </w:tr>
      <w:tr w14:paraId="011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6" w:type="dxa"/>
            <w:vMerge w:val="continue"/>
            <w:vAlign w:val="center"/>
          </w:tcPr>
          <w:p w14:paraId="7B35836D">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0E949D6F">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5108EEA0">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（4）有依法缴纳税收和社会保障金的良好记录</w:t>
            </w:r>
          </w:p>
        </w:tc>
        <w:tc>
          <w:tcPr>
            <w:tcW w:w="3850" w:type="dxa"/>
            <w:vMerge w:val="continue"/>
            <w:vAlign w:val="center"/>
          </w:tcPr>
          <w:p w14:paraId="3738A5A4">
            <w:pPr>
              <w:spacing w:line="240" w:lineRule="exact"/>
              <w:rPr>
                <w:rFonts w:hint="eastAsia" w:ascii="黑体" w:hAnsi="黑体" w:eastAsia="黑体" w:cs="黑体"/>
                <w:color w:val="auto"/>
                <w:sz w:val="24"/>
                <w:szCs w:val="24"/>
                <w:highlight w:val="none"/>
                <w:lang w:eastAsia="zh-CN"/>
              </w:rPr>
            </w:pPr>
          </w:p>
        </w:tc>
      </w:tr>
      <w:tr w14:paraId="215B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76" w:type="dxa"/>
            <w:vMerge w:val="continue"/>
            <w:vAlign w:val="center"/>
          </w:tcPr>
          <w:p w14:paraId="76468742">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591D1924">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40653698">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（5）参加招投标活动前三年内，在经营活动中没有重大违法记录</w:t>
            </w:r>
          </w:p>
        </w:tc>
        <w:tc>
          <w:tcPr>
            <w:tcW w:w="3850" w:type="dxa"/>
            <w:vMerge w:val="continue"/>
            <w:vAlign w:val="center"/>
          </w:tcPr>
          <w:p w14:paraId="182BE4C7">
            <w:pPr>
              <w:spacing w:line="240" w:lineRule="exact"/>
              <w:rPr>
                <w:rFonts w:hint="eastAsia" w:ascii="黑体" w:hAnsi="黑体" w:eastAsia="黑体" w:cs="黑体"/>
                <w:color w:val="auto"/>
                <w:sz w:val="24"/>
                <w:szCs w:val="24"/>
                <w:highlight w:val="none"/>
                <w:lang w:val="zh-CN" w:eastAsia="zh-CN"/>
              </w:rPr>
            </w:pPr>
          </w:p>
        </w:tc>
      </w:tr>
      <w:tr w14:paraId="2D2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6" w:type="dxa"/>
            <w:vMerge w:val="continue"/>
            <w:vAlign w:val="center"/>
          </w:tcPr>
          <w:p w14:paraId="02E6AB60">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0ABE6E51">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3F608AA5">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lang w:val="zh-CN" w:eastAsia="zh-CN"/>
              </w:rPr>
              <w:t>）法律、行政法规规定的其他条件。</w:t>
            </w:r>
          </w:p>
        </w:tc>
        <w:tc>
          <w:tcPr>
            <w:tcW w:w="3850" w:type="dxa"/>
            <w:vAlign w:val="center"/>
          </w:tcPr>
          <w:p w14:paraId="7E3E0798">
            <w:pPr>
              <w:spacing w:line="240" w:lineRule="exact"/>
              <w:rPr>
                <w:rFonts w:hint="eastAsia" w:ascii="黑体" w:hAnsi="黑体" w:eastAsia="黑体" w:cs="黑体"/>
                <w:color w:val="auto"/>
                <w:sz w:val="24"/>
                <w:szCs w:val="24"/>
                <w:highlight w:val="none"/>
                <w:lang w:val="zh-CN" w:eastAsia="zh-CN"/>
              </w:rPr>
            </w:pPr>
          </w:p>
        </w:tc>
      </w:tr>
      <w:tr w14:paraId="09FD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508566E">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p>
        </w:tc>
        <w:tc>
          <w:tcPr>
            <w:tcW w:w="5102" w:type="dxa"/>
            <w:gridSpan w:val="2"/>
            <w:vAlign w:val="center"/>
          </w:tcPr>
          <w:p w14:paraId="108D509D">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特定资格条件</w:t>
            </w:r>
          </w:p>
        </w:tc>
        <w:tc>
          <w:tcPr>
            <w:tcW w:w="3850" w:type="dxa"/>
            <w:vAlign w:val="center"/>
          </w:tcPr>
          <w:p w14:paraId="5E25C2DF">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按第一篇“三、供应商资格条件（二）特定资格条件”的要求提交</w:t>
            </w:r>
          </w:p>
        </w:tc>
      </w:tr>
    </w:tbl>
    <w:p w14:paraId="5B8AA6DC">
      <w:pPr>
        <w:snapToGrid w:val="0"/>
        <w:spacing w:line="400" w:lineRule="exact"/>
        <w:ind w:firstLine="480" w:firstLineChars="200"/>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注：</w:t>
      </w:r>
    </w:p>
    <w:p w14:paraId="2176D396">
      <w:pPr>
        <w:numPr>
          <w:ilvl w:val="0"/>
          <w:numId w:val="0"/>
        </w:num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CN"/>
        </w:rPr>
      </w:pPr>
      <w:r>
        <w:rPr>
          <w:rStyle w:val="27"/>
          <w:rFonts w:hint="eastAsia" w:ascii="黑体" w:hAnsi="黑体" w:eastAsia="黑体" w:cs="黑体"/>
          <w:color w:val="auto"/>
          <w:sz w:val="24"/>
          <w:szCs w:val="24"/>
          <w:highlight w:val="none"/>
          <w:u w:val="none" w:color="000000"/>
          <w:lang w:val="zh-TW" w:eastAsia="zh-CN"/>
        </w:rPr>
        <w:fldChar w:fldCharType="begin"/>
      </w:r>
      <w:r>
        <w:rPr>
          <w:rStyle w:val="27"/>
          <w:rFonts w:hint="eastAsia" w:ascii="黑体" w:hAnsi="黑体" w:eastAsia="黑体" w:cs="黑体"/>
          <w:color w:val="auto"/>
          <w:sz w:val="24"/>
          <w:szCs w:val="24"/>
          <w:highlight w:val="none"/>
          <w:u w:val="none" w:color="000000"/>
          <w:lang w:val="zh-TW" w:eastAsia="zh-CN"/>
        </w:rPr>
        <w:instrText xml:space="preserve"> eq \o\ac(○,1)</w:instrText>
      </w:r>
      <w:r>
        <w:rPr>
          <w:rStyle w:val="27"/>
          <w:rFonts w:hint="eastAsia" w:ascii="黑体" w:hAnsi="黑体" w:eastAsia="黑体" w:cs="黑体"/>
          <w:color w:val="auto"/>
          <w:sz w:val="24"/>
          <w:szCs w:val="24"/>
          <w:highlight w:val="none"/>
          <w:u w:val="none" w:color="000000"/>
          <w:lang w:val="zh-TW" w:eastAsia="zh-CN"/>
        </w:rPr>
        <w:fldChar w:fldCharType="end"/>
      </w:r>
      <w:r>
        <w:rPr>
          <w:rStyle w:val="27"/>
          <w:rFonts w:hint="eastAsia" w:ascii="黑体" w:hAnsi="黑体" w:eastAsia="黑体" w:cs="黑体"/>
          <w:color w:val="auto"/>
          <w:sz w:val="24"/>
          <w:szCs w:val="24"/>
          <w:highlight w:val="none"/>
          <w:u w:val="none" w:color="000000"/>
          <w:lang w:val="zh-TW" w:eastAsia="zh-CN"/>
        </w:rPr>
        <w:t>供应商按“五证合一”登记制度办理营业执照的，组织机构代码证和税务登记证（副本）以供应商所提供的营业执照（副本）复印件为准。</w:t>
      </w:r>
    </w:p>
    <w:p w14:paraId="3F5360C3">
      <w:pPr>
        <w:numPr>
          <w:ilvl w:val="0"/>
          <w:numId w:val="0"/>
        </w:num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CN"/>
        </w:rPr>
      </w:pPr>
      <w:r>
        <w:rPr>
          <w:rStyle w:val="27"/>
          <w:rFonts w:hint="eastAsia" w:ascii="黑体" w:hAnsi="黑体" w:eastAsia="黑体" w:cs="黑体"/>
          <w:color w:val="auto"/>
          <w:sz w:val="24"/>
          <w:szCs w:val="24"/>
          <w:highlight w:val="none"/>
          <w:u w:val="none" w:color="000000"/>
          <w:lang w:val="zh-TW" w:eastAsia="zh-CN"/>
        </w:rPr>
        <w:fldChar w:fldCharType="begin"/>
      </w:r>
      <w:r>
        <w:rPr>
          <w:rStyle w:val="27"/>
          <w:rFonts w:hint="eastAsia" w:ascii="黑体" w:hAnsi="黑体" w:eastAsia="黑体" w:cs="黑体"/>
          <w:color w:val="auto"/>
          <w:sz w:val="24"/>
          <w:szCs w:val="24"/>
          <w:highlight w:val="none"/>
          <w:u w:val="none" w:color="000000"/>
          <w:lang w:val="zh-TW" w:eastAsia="zh-CN"/>
        </w:rPr>
        <w:instrText xml:space="preserve"> eq \o\ac(○,2)</w:instrText>
      </w:r>
      <w:r>
        <w:rPr>
          <w:rStyle w:val="27"/>
          <w:rFonts w:hint="eastAsia" w:ascii="黑体" w:hAnsi="黑体" w:eastAsia="黑体" w:cs="黑体"/>
          <w:color w:val="auto"/>
          <w:sz w:val="24"/>
          <w:szCs w:val="24"/>
          <w:highlight w:val="none"/>
          <w:u w:val="none" w:color="000000"/>
          <w:lang w:val="zh-TW" w:eastAsia="zh-CN"/>
        </w:rPr>
        <w:fldChar w:fldCharType="end"/>
      </w:r>
      <w:r>
        <w:rPr>
          <w:rStyle w:val="27"/>
          <w:rFonts w:hint="eastAsia" w:ascii="黑体" w:hAnsi="黑体" w:eastAsia="黑体" w:cs="黑体"/>
          <w:color w:val="auto"/>
          <w:sz w:val="24"/>
          <w:szCs w:val="24"/>
          <w:highlight w:val="none"/>
          <w:u w:val="none" w:color="000000"/>
          <w:lang w:val="zh-TW"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389C370">
      <w:pPr>
        <w:numPr>
          <w:ilvl w:val="0"/>
          <w:numId w:val="7"/>
        </w:numPr>
        <w:snapToGrid w:val="0"/>
        <w:spacing w:line="400" w:lineRule="exact"/>
        <w:rPr>
          <w:rFonts w:hint="eastAsia" w:ascii="黑体" w:hAnsi="黑体" w:eastAsia="黑体" w:cs="黑体"/>
          <w:b/>
          <w:color w:val="auto"/>
          <w:kern w:val="2"/>
          <w:sz w:val="24"/>
          <w:szCs w:val="24"/>
          <w:highlight w:val="none"/>
          <w:lang w:val="zh-TW" w:eastAsia="zh-CN" w:bidi="ar-SA"/>
        </w:rPr>
      </w:pPr>
      <w:r>
        <w:rPr>
          <w:rFonts w:hint="eastAsia" w:ascii="黑体" w:hAnsi="黑体" w:eastAsia="黑体" w:cs="黑体"/>
          <w:b/>
          <w:color w:val="auto"/>
          <w:kern w:val="2"/>
          <w:sz w:val="24"/>
          <w:szCs w:val="24"/>
          <w:highlight w:val="none"/>
          <w:lang w:val="zh-TW" w:eastAsia="zh-CN" w:bidi="ar-SA"/>
        </w:rPr>
        <w:t>符合性检查。</w:t>
      </w:r>
    </w:p>
    <w:p w14:paraId="6603E124">
      <w:pPr>
        <w:numPr>
          <w:ilvl w:val="0"/>
          <w:numId w:val="0"/>
        </w:num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依据竞争性比选文件的规定，从响应文件的有效性、完整性和对竞争性比选文件的响应程度进行审查，以确定是否对竞争性比选文件的实质性要求作出响应。</w:t>
      </w:r>
      <w:r>
        <w:rPr>
          <w:rFonts w:hint="eastAsia" w:ascii="黑体" w:hAnsi="黑体" w:eastAsia="黑体" w:cs="黑体"/>
          <w:color w:val="auto"/>
          <w:sz w:val="24"/>
          <w:szCs w:val="24"/>
          <w:highlight w:val="none"/>
        </w:rPr>
        <w:t>符合性检查资料表如下：</w:t>
      </w:r>
    </w:p>
    <w:tbl>
      <w:tblPr>
        <w:tblStyle w:val="23"/>
        <w:tblW w:w="96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14:paraId="705D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95F58D4">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序号</w:t>
            </w:r>
          </w:p>
        </w:tc>
        <w:tc>
          <w:tcPr>
            <w:tcW w:w="3546" w:type="dxa"/>
            <w:gridSpan w:val="2"/>
            <w:vAlign w:val="center"/>
          </w:tcPr>
          <w:p w14:paraId="6B0334DD">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评审因素</w:t>
            </w:r>
          </w:p>
        </w:tc>
        <w:tc>
          <w:tcPr>
            <w:tcW w:w="5409" w:type="dxa"/>
            <w:vAlign w:val="center"/>
          </w:tcPr>
          <w:p w14:paraId="6E94B3BC">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评审标准</w:t>
            </w:r>
          </w:p>
        </w:tc>
      </w:tr>
      <w:tr w14:paraId="2D1D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vMerge w:val="restart"/>
            <w:vAlign w:val="center"/>
          </w:tcPr>
          <w:p w14:paraId="7CEE3E26">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p>
        </w:tc>
        <w:tc>
          <w:tcPr>
            <w:tcW w:w="1562" w:type="dxa"/>
            <w:vMerge w:val="restart"/>
            <w:vAlign w:val="center"/>
          </w:tcPr>
          <w:p w14:paraId="4F1D7677">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有效性审查</w:t>
            </w:r>
          </w:p>
        </w:tc>
        <w:tc>
          <w:tcPr>
            <w:tcW w:w="1984" w:type="dxa"/>
            <w:vAlign w:val="center"/>
          </w:tcPr>
          <w:p w14:paraId="77F39FAC">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响应文件</w:t>
            </w:r>
            <w:r>
              <w:rPr>
                <w:rFonts w:hint="eastAsia" w:ascii="黑体" w:hAnsi="黑体" w:eastAsia="黑体" w:cs="黑体"/>
                <w:color w:val="auto"/>
                <w:sz w:val="24"/>
                <w:szCs w:val="24"/>
                <w:highlight w:val="none"/>
              </w:rPr>
              <w:t>签署</w:t>
            </w:r>
          </w:p>
        </w:tc>
        <w:tc>
          <w:tcPr>
            <w:tcW w:w="5409" w:type="dxa"/>
            <w:vAlign w:val="center"/>
          </w:tcPr>
          <w:p w14:paraId="428D3016">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响应文件上法定代表人或其授权代表人的签字齐全。</w:t>
            </w:r>
          </w:p>
        </w:tc>
      </w:tr>
      <w:tr w14:paraId="2607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75" w:type="dxa"/>
            <w:vMerge w:val="continue"/>
            <w:vAlign w:val="center"/>
          </w:tcPr>
          <w:p w14:paraId="4AD3EC33">
            <w:pPr>
              <w:spacing w:line="240" w:lineRule="exact"/>
              <w:jc w:val="center"/>
              <w:rPr>
                <w:rFonts w:hint="eastAsia" w:ascii="黑体" w:hAnsi="黑体" w:eastAsia="黑体" w:cs="黑体"/>
                <w:color w:val="auto"/>
                <w:sz w:val="24"/>
                <w:szCs w:val="24"/>
                <w:highlight w:val="none"/>
                <w:lang w:eastAsia="zh-CN"/>
              </w:rPr>
            </w:pPr>
          </w:p>
        </w:tc>
        <w:tc>
          <w:tcPr>
            <w:tcW w:w="1562" w:type="dxa"/>
            <w:vMerge w:val="continue"/>
            <w:vAlign w:val="center"/>
          </w:tcPr>
          <w:p w14:paraId="6B1DA0A7">
            <w:pPr>
              <w:spacing w:line="240" w:lineRule="exact"/>
              <w:rPr>
                <w:rFonts w:hint="eastAsia" w:ascii="黑体" w:hAnsi="黑体" w:eastAsia="黑体" w:cs="黑体"/>
                <w:color w:val="auto"/>
                <w:sz w:val="24"/>
                <w:szCs w:val="24"/>
                <w:highlight w:val="none"/>
                <w:lang w:eastAsia="zh-CN"/>
              </w:rPr>
            </w:pPr>
          </w:p>
        </w:tc>
        <w:tc>
          <w:tcPr>
            <w:tcW w:w="1984" w:type="dxa"/>
            <w:vAlign w:val="center"/>
          </w:tcPr>
          <w:p w14:paraId="40BF49CC">
            <w:pPr>
              <w:spacing w:line="240" w:lineRule="exact"/>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投标方案</w:t>
            </w:r>
          </w:p>
        </w:tc>
        <w:tc>
          <w:tcPr>
            <w:tcW w:w="5409" w:type="dxa"/>
            <w:vAlign w:val="center"/>
          </w:tcPr>
          <w:p w14:paraId="6D464DDB">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zh-CN" w:eastAsia="zh-CN"/>
              </w:rPr>
              <w:t>每个分包只能有一个方案投标。</w:t>
            </w:r>
          </w:p>
        </w:tc>
      </w:tr>
      <w:tr w14:paraId="0660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75" w:type="dxa"/>
            <w:vMerge w:val="continue"/>
            <w:vAlign w:val="center"/>
          </w:tcPr>
          <w:p w14:paraId="36463460">
            <w:pPr>
              <w:spacing w:line="240" w:lineRule="exact"/>
              <w:jc w:val="center"/>
              <w:rPr>
                <w:rFonts w:hint="eastAsia" w:ascii="黑体" w:hAnsi="黑体" w:eastAsia="黑体" w:cs="黑体"/>
                <w:color w:val="auto"/>
                <w:sz w:val="24"/>
                <w:szCs w:val="24"/>
                <w:highlight w:val="none"/>
                <w:lang w:eastAsia="zh-CN"/>
              </w:rPr>
            </w:pPr>
          </w:p>
        </w:tc>
        <w:tc>
          <w:tcPr>
            <w:tcW w:w="1562" w:type="dxa"/>
            <w:vMerge w:val="continue"/>
            <w:vAlign w:val="center"/>
          </w:tcPr>
          <w:p w14:paraId="79CEDB9C">
            <w:pPr>
              <w:spacing w:line="240" w:lineRule="exact"/>
              <w:rPr>
                <w:rFonts w:hint="eastAsia" w:ascii="黑体" w:hAnsi="黑体" w:eastAsia="黑体" w:cs="黑体"/>
                <w:color w:val="auto"/>
                <w:sz w:val="24"/>
                <w:szCs w:val="24"/>
                <w:highlight w:val="none"/>
                <w:lang w:eastAsia="zh-CN"/>
              </w:rPr>
            </w:pPr>
          </w:p>
        </w:tc>
        <w:tc>
          <w:tcPr>
            <w:tcW w:w="1984" w:type="dxa"/>
            <w:vAlign w:val="center"/>
          </w:tcPr>
          <w:p w14:paraId="06F4D999">
            <w:pPr>
              <w:spacing w:line="240" w:lineRule="exact"/>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rPr>
              <w:t>报价唯一</w:t>
            </w:r>
          </w:p>
        </w:tc>
        <w:tc>
          <w:tcPr>
            <w:tcW w:w="5409" w:type="dxa"/>
            <w:vAlign w:val="center"/>
          </w:tcPr>
          <w:p w14:paraId="3E46E807">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zh-CN" w:eastAsia="zh-CN"/>
              </w:rPr>
              <w:t>只能在预算金额和最高限价内报价，</w:t>
            </w:r>
            <w:r>
              <w:rPr>
                <w:rFonts w:hint="eastAsia" w:ascii="黑体" w:hAnsi="黑体" w:eastAsia="黑体" w:cs="黑体"/>
                <w:color w:val="auto"/>
                <w:sz w:val="24"/>
                <w:szCs w:val="24"/>
                <w:highlight w:val="none"/>
                <w:lang w:eastAsia="zh-CN"/>
              </w:rPr>
              <w:t>只能有一个有效报价，不得提交选择性报价。</w:t>
            </w:r>
          </w:p>
        </w:tc>
      </w:tr>
      <w:tr w14:paraId="47A9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5" w:type="dxa"/>
            <w:vAlign w:val="center"/>
          </w:tcPr>
          <w:p w14:paraId="01BAC152">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p>
        </w:tc>
        <w:tc>
          <w:tcPr>
            <w:tcW w:w="1562" w:type="dxa"/>
            <w:vAlign w:val="center"/>
          </w:tcPr>
          <w:p w14:paraId="3E117B86">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完整性审查</w:t>
            </w:r>
          </w:p>
        </w:tc>
        <w:tc>
          <w:tcPr>
            <w:tcW w:w="1984" w:type="dxa"/>
            <w:vAlign w:val="center"/>
          </w:tcPr>
          <w:p w14:paraId="22A9A3FE">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响应文件份数</w:t>
            </w:r>
          </w:p>
        </w:tc>
        <w:tc>
          <w:tcPr>
            <w:tcW w:w="5409" w:type="dxa"/>
            <w:vAlign w:val="center"/>
          </w:tcPr>
          <w:p w14:paraId="6EFA5F19">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zh-CN" w:eastAsia="zh-CN"/>
              </w:rPr>
              <w:t>响应文件</w:t>
            </w:r>
            <w:r>
              <w:rPr>
                <w:rFonts w:hint="eastAsia" w:ascii="黑体" w:hAnsi="黑体" w:eastAsia="黑体" w:cs="黑体"/>
                <w:color w:val="auto"/>
                <w:sz w:val="24"/>
                <w:szCs w:val="24"/>
                <w:highlight w:val="none"/>
                <w:lang w:val="en-US" w:eastAsia="zh-CN"/>
              </w:rPr>
              <w:t>应答完整，</w:t>
            </w:r>
            <w:r>
              <w:rPr>
                <w:rFonts w:hint="eastAsia" w:ascii="黑体" w:hAnsi="黑体" w:eastAsia="黑体" w:cs="黑体"/>
                <w:color w:val="auto"/>
                <w:sz w:val="24"/>
                <w:szCs w:val="24"/>
                <w:highlight w:val="none"/>
                <w:lang w:val="zh-CN" w:eastAsia="zh-CN"/>
              </w:rPr>
              <w:t>正、副本数量（含电子文档）符合竞争性比选文件要求。</w:t>
            </w:r>
          </w:p>
        </w:tc>
      </w:tr>
      <w:tr w14:paraId="0CB8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5" w:type="dxa"/>
            <w:vMerge w:val="restart"/>
            <w:vAlign w:val="center"/>
          </w:tcPr>
          <w:p w14:paraId="679074B7">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w:t>
            </w:r>
          </w:p>
        </w:tc>
        <w:tc>
          <w:tcPr>
            <w:tcW w:w="1562" w:type="dxa"/>
            <w:vMerge w:val="restart"/>
            <w:vAlign w:val="center"/>
          </w:tcPr>
          <w:p w14:paraId="69B86924">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响应性审查</w:t>
            </w:r>
          </w:p>
        </w:tc>
        <w:tc>
          <w:tcPr>
            <w:tcW w:w="1984" w:type="dxa"/>
            <w:vAlign w:val="center"/>
          </w:tcPr>
          <w:p w14:paraId="7418B9BE">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响应文件</w:t>
            </w:r>
            <w:r>
              <w:rPr>
                <w:rFonts w:hint="eastAsia" w:ascii="黑体" w:hAnsi="黑体" w:eastAsia="黑体" w:cs="黑体"/>
                <w:color w:val="auto"/>
                <w:sz w:val="24"/>
                <w:szCs w:val="24"/>
                <w:highlight w:val="none"/>
              </w:rPr>
              <w:t>内容</w:t>
            </w:r>
          </w:p>
        </w:tc>
        <w:tc>
          <w:tcPr>
            <w:tcW w:w="5409" w:type="dxa"/>
            <w:vAlign w:val="center"/>
          </w:tcPr>
          <w:p w14:paraId="2462E3A3">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满足竞争性比选文件</w:t>
            </w:r>
            <w:r>
              <w:rPr>
                <w:rFonts w:hint="eastAsia" w:ascii="黑体" w:hAnsi="黑体" w:eastAsia="黑体" w:cs="黑体"/>
                <w:color w:val="auto"/>
                <w:sz w:val="24"/>
                <w:szCs w:val="24"/>
                <w:highlight w:val="none"/>
                <w:lang w:val="en-US" w:eastAsia="zh-CN"/>
              </w:rPr>
              <w:t>第二篇、</w:t>
            </w:r>
            <w:r>
              <w:rPr>
                <w:rFonts w:hint="eastAsia" w:ascii="黑体" w:hAnsi="黑体" w:eastAsia="黑体" w:cs="黑体"/>
                <w:color w:val="auto"/>
                <w:sz w:val="24"/>
                <w:szCs w:val="24"/>
                <w:highlight w:val="none"/>
                <w:lang w:eastAsia="zh-CN"/>
              </w:rPr>
              <w:t>第三篇中</w:t>
            </w:r>
            <w:r>
              <w:rPr>
                <w:rFonts w:hint="eastAsia" w:ascii="黑体" w:hAnsi="黑体" w:eastAsia="黑体" w:cs="黑体"/>
                <w:color w:val="auto"/>
                <w:sz w:val="24"/>
                <w:szCs w:val="24"/>
                <w:highlight w:val="none"/>
                <w:lang w:val="en-US" w:eastAsia="zh-CN"/>
              </w:rPr>
              <w:t>的</w:t>
            </w:r>
            <w:r>
              <w:rPr>
                <w:rFonts w:hint="eastAsia" w:ascii="黑体" w:hAnsi="黑体" w:eastAsia="黑体" w:cs="黑体"/>
                <w:color w:val="auto"/>
                <w:sz w:val="24"/>
                <w:szCs w:val="24"/>
                <w:highlight w:val="none"/>
                <w:lang w:eastAsia="zh-CN"/>
              </w:rPr>
              <w:t>要求</w:t>
            </w:r>
          </w:p>
        </w:tc>
      </w:tr>
      <w:tr w14:paraId="6C5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vAlign w:val="center"/>
          </w:tcPr>
          <w:p w14:paraId="1E0A1A9E">
            <w:pPr>
              <w:spacing w:line="240" w:lineRule="exact"/>
              <w:jc w:val="center"/>
              <w:rPr>
                <w:rFonts w:hint="eastAsia" w:ascii="黑体" w:hAnsi="黑体" w:eastAsia="黑体" w:cs="黑体"/>
                <w:color w:val="auto"/>
                <w:sz w:val="24"/>
                <w:szCs w:val="24"/>
                <w:highlight w:val="none"/>
                <w:lang w:eastAsia="zh-CN"/>
              </w:rPr>
            </w:pPr>
          </w:p>
        </w:tc>
        <w:tc>
          <w:tcPr>
            <w:tcW w:w="1562" w:type="dxa"/>
            <w:vMerge w:val="continue"/>
            <w:vAlign w:val="center"/>
          </w:tcPr>
          <w:p w14:paraId="322B3CF1">
            <w:pPr>
              <w:spacing w:line="240" w:lineRule="exact"/>
              <w:rPr>
                <w:rFonts w:hint="eastAsia" w:ascii="黑体" w:hAnsi="黑体" w:eastAsia="黑体" w:cs="黑体"/>
                <w:color w:val="auto"/>
                <w:sz w:val="24"/>
                <w:szCs w:val="24"/>
                <w:highlight w:val="none"/>
                <w:lang w:eastAsia="zh-CN"/>
              </w:rPr>
            </w:pPr>
          </w:p>
        </w:tc>
        <w:tc>
          <w:tcPr>
            <w:tcW w:w="1984" w:type="dxa"/>
            <w:vAlign w:val="center"/>
          </w:tcPr>
          <w:p w14:paraId="1B77210F">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响应文件</w:t>
            </w:r>
            <w:r>
              <w:rPr>
                <w:rFonts w:hint="eastAsia" w:ascii="黑体" w:hAnsi="黑体" w:eastAsia="黑体" w:cs="黑体"/>
                <w:color w:val="auto"/>
                <w:sz w:val="24"/>
                <w:szCs w:val="24"/>
                <w:highlight w:val="none"/>
              </w:rPr>
              <w:t>内容</w:t>
            </w:r>
          </w:p>
        </w:tc>
        <w:tc>
          <w:tcPr>
            <w:tcW w:w="5409" w:type="dxa"/>
            <w:vAlign w:val="center"/>
          </w:tcPr>
          <w:p w14:paraId="51A67DFA">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投标有效期为投标截止日期后</w:t>
            </w:r>
            <w:r>
              <w:rPr>
                <w:rFonts w:hint="eastAsia" w:ascii="黑体" w:hAnsi="黑体" w:eastAsia="黑体" w:cs="黑体"/>
                <w:color w:val="auto"/>
                <w:sz w:val="24"/>
                <w:szCs w:val="24"/>
                <w:highlight w:val="none"/>
                <w:lang w:val="en-US" w:eastAsia="zh-CN"/>
              </w:rPr>
              <w:t>90</w:t>
            </w:r>
            <w:r>
              <w:rPr>
                <w:rFonts w:hint="eastAsia" w:ascii="黑体" w:hAnsi="黑体" w:eastAsia="黑体" w:cs="黑体"/>
                <w:color w:val="auto"/>
                <w:sz w:val="24"/>
                <w:szCs w:val="24"/>
                <w:highlight w:val="none"/>
                <w:lang w:eastAsia="zh-CN"/>
              </w:rPr>
              <w:t>天内</w:t>
            </w:r>
          </w:p>
        </w:tc>
      </w:tr>
    </w:tbl>
    <w:p w14:paraId="57CE0143">
      <w:pPr>
        <w:numPr>
          <w:ilvl w:val="0"/>
          <w:numId w:val="0"/>
        </w:numPr>
        <w:snapToGrid w:val="0"/>
        <w:spacing w:line="400" w:lineRule="exact"/>
        <w:rPr>
          <w:rFonts w:hint="eastAsia" w:ascii="黑体" w:hAnsi="黑体" w:eastAsia="黑体" w:cs="黑体"/>
          <w:b/>
          <w:color w:val="auto"/>
          <w:kern w:val="2"/>
          <w:sz w:val="24"/>
          <w:szCs w:val="24"/>
          <w:highlight w:val="none"/>
          <w:lang w:val="zh-TW" w:eastAsia="zh-CN" w:bidi="ar-SA"/>
        </w:rPr>
      </w:pPr>
      <w:bookmarkStart w:id="81" w:name="_Toc9094"/>
      <w:bookmarkStart w:id="82" w:name="_Toc75793519"/>
      <w:bookmarkStart w:id="83" w:name="_Toc29140"/>
      <w:bookmarkStart w:id="84" w:name="_Toc27633"/>
      <w:bookmarkStart w:id="85" w:name="_Toc30717"/>
      <w:bookmarkStart w:id="86" w:name="_Toc20171"/>
      <w:bookmarkStart w:id="87" w:name="_Toc26796"/>
      <w:bookmarkStart w:id="88" w:name="_Toc28549"/>
      <w:bookmarkStart w:id="89" w:name="_Toc31997"/>
      <w:bookmarkStart w:id="90" w:name="_Toc5620"/>
      <w:bookmarkStart w:id="91" w:name="_Toc106030395"/>
      <w:bookmarkStart w:id="92" w:name="_Toc25341"/>
      <w:bookmarkStart w:id="93" w:name="_Toc30011"/>
      <w:bookmarkStart w:id="94" w:name="_Toc27015"/>
      <w:bookmarkStart w:id="95" w:name="_Toc21650"/>
      <w:bookmarkStart w:id="96" w:name="_Toc14824"/>
      <w:bookmarkStart w:id="97" w:name="_Toc8267"/>
      <w:bookmarkStart w:id="98" w:name="_Toc267320057"/>
      <w:bookmarkStart w:id="99" w:name="_Toc13296"/>
      <w:bookmarkStart w:id="100" w:name="_Toc31522"/>
      <w:bookmarkStart w:id="101" w:name="_Toc9183"/>
      <w:bookmarkStart w:id="102" w:name="_Toc492721017"/>
      <w:r>
        <w:rPr>
          <w:rFonts w:hint="eastAsia" w:ascii="黑体" w:hAnsi="黑体" w:eastAsia="黑体" w:cs="黑体"/>
          <w:b/>
          <w:color w:val="auto"/>
          <w:kern w:val="2"/>
          <w:sz w:val="24"/>
          <w:szCs w:val="24"/>
          <w:highlight w:val="none"/>
          <w:lang w:val="zh-TW" w:eastAsia="zh-CN" w:bidi="ar-SA"/>
        </w:rPr>
        <w:t>二、评标方法</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9AE9DC6">
      <w:pPr>
        <w:snapToGrid w:val="0"/>
        <w:spacing w:line="400" w:lineRule="exact"/>
        <w:ind w:firstLine="480" w:firstLineChars="200"/>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lang w:eastAsia="zh-CN"/>
        </w:rPr>
        <w:t>（</w:t>
      </w:r>
      <w:r>
        <w:rPr>
          <w:rFonts w:hint="eastAsia" w:ascii="黑体" w:hAnsi="黑体" w:eastAsia="黑体" w:cs="黑体"/>
          <w:kern w:val="0"/>
          <w:sz w:val="24"/>
          <w:szCs w:val="24"/>
          <w:highlight w:val="none"/>
          <w:lang w:val="en-US" w:eastAsia="zh-CN"/>
        </w:rPr>
        <w:t>一</w:t>
      </w:r>
      <w:r>
        <w:rPr>
          <w:rFonts w:hint="eastAsia" w:ascii="黑体" w:hAnsi="黑体" w:eastAsia="黑体" w:cs="黑体"/>
          <w:kern w:val="0"/>
          <w:sz w:val="24"/>
          <w:szCs w:val="24"/>
          <w:highlight w:val="none"/>
          <w:lang w:eastAsia="zh-CN"/>
        </w:rPr>
        <w:t>）</w:t>
      </w:r>
      <w:r>
        <w:rPr>
          <w:rFonts w:hint="eastAsia" w:ascii="黑体" w:hAnsi="黑体" w:eastAsia="黑体" w:cs="黑体"/>
          <w:kern w:val="0"/>
          <w:sz w:val="24"/>
          <w:szCs w:val="24"/>
          <w:highlight w:val="none"/>
        </w:rPr>
        <w:t>本项目采用最低评标价法进行评标。最低评标价法，是指</w:t>
      </w:r>
      <w:r>
        <w:rPr>
          <w:rFonts w:hint="eastAsia" w:ascii="黑体" w:hAnsi="黑体" w:eastAsia="黑体" w:cs="黑体"/>
          <w:kern w:val="0"/>
          <w:sz w:val="24"/>
          <w:szCs w:val="24"/>
          <w:highlight w:val="none"/>
          <w:lang w:eastAsia="zh-CN"/>
        </w:rPr>
        <w:t>响应文件</w:t>
      </w:r>
      <w:r>
        <w:rPr>
          <w:rFonts w:hint="eastAsia" w:ascii="黑体" w:hAnsi="黑体" w:eastAsia="黑体" w:cs="黑体"/>
          <w:kern w:val="0"/>
          <w:sz w:val="24"/>
          <w:szCs w:val="24"/>
          <w:highlight w:val="none"/>
        </w:rPr>
        <w:t>满足</w:t>
      </w:r>
      <w:r>
        <w:rPr>
          <w:rFonts w:hint="eastAsia" w:ascii="黑体" w:hAnsi="黑体" w:eastAsia="黑体" w:cs="黑体"/>
          <w:kern w:val="0"/>
          <w:sz w:val="24"/>
          <w:szCs w:val="24"/>
          <w:highlight w:val="none"/>
          <w:lang w:eastAsia="zh-CN"/>
        </w:rPr>
        <w:t>比选文件</w:t>
      </w:r>
      <w:r>
        <w:rPr>
          <w:rFonts w:hint="eastAsia" w:ascii="黑体" w:hAnsi="黑体" w:eastAsia="黑体" w:cs="黑体"/>
          <w:kern w:val="0"/>
          <w:sz w:val="24"/>
          <w:szCs w:val="24"/>
          <w:highlight w:val="none"/>
        </w:rPr>
        <w:t>全部实质性要求且投标报价最低的</w:t>
      </w:r>
      <w:r>
        <w:rPr>
          <w:rFonts w:hint="eastAsia" w:ascii="黑体" w:hAnsi="黑体" w:eastAsia="黑体" w:cs="黑体"/>
          <w:kern w:val="0"/>
          <w:sz w:val="24"/>
          <w:szCs w:val="24"/>
          <w:highlight w:val="none"/>
          <w:lang w:eastAsia="zh-CN"/>
        </w:rPr>
        <w:t>供应商</w:t>
      </w:r>
      <w:r>
        <w:rPr>
          <w:rFonts w:hint="eastAsia" w:ascii="黑体" w:hAnsi="黑体" w:eastAsia="黑体" w:cs="黑体"/>
          <w:kern w:val="0"/>
          <w:sz w:val="24"/>
          <w:szCs w:val="24"/>
          <w:highlight w:val="none"/>
        </w:rPr>
        <w:t>为中标候选人的评标方法。</w:t>
      </w:r>
    </w:p>
    <w:p w14:paraId="31A3F368">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lang w:val="en-US" w:eastAsia="zh-CN"/>
        </w:rPr>
        <w:t>二</w:t>
      </w: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rPr>
        <w:t>澄清有关问题。对</w:t>
      </w:r>
      <w:r>
        <w:rPr>
          <w:rFonts w:hint="eastAsia" w:ascii="黑体" w:hAnsi="黑体" w:eastAsia="黑体" w:cs="黑体"/>
          <w:sz w:val="24"/>
          <w:szCs w:val="24"/>
          <w:highlight w:val="none"/>
          <w:lang w:val="en-US" w:eastAsia="zh-CN"/>
        </w:rPr>
        <w:t>响应</w:t>
      </w:r>
      <w:r>
        <w:rPr>
          <w:rFonts w:hint="eastAsia" w:ascii="黑体" w:hAnsi="黑体" w:eastAsia="黑体" w:cs="黑体"/>
          <w:sz w:val="24"/>
          <w:szCs w:val="24"/>
          <w:highlight w:val="none"/>
        </w:rPr>
        <w:t>文件中含义不明确、同类问题表述不一致或者有明显文字和计算错误的内容，评标委员会可以书面形式（应当由评标委员会成员签字）要求</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作出必要澄清、说明或者纠正。</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的澄清、说明或者补正应当采用书面形式，由其法定代表人（或其授权代表）或自然人（</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为自然人）签字，其澄清的内容不得超出</w:t>
      </w:r>
      <w:r>
        <w:rPr>
          <w:rFonts w:hint="eastAsia" w:ascii="黑体" w:hAnsi="黑体" w:eastAsia="黑体" w:cs="黑体"/>
          <w:sz w:val="24"/>
          <w:szCs w:val="24"/>
          <w:highlight w:val="none"/>
          <w:lang w:val="en-US" w:eastAsia="zh-CN"/>
        </w:rPr>
        <w:t>比选</w:t>
      </w:r>
      <w:r>
        <w:rPr>
          <w:rFonts w:hint="eastAsia" w:ascii="黑体" w:hAnsi="黑体" w:eastAsia="黑体" w:cs="黑体"/>
          <w:sz w:val="24"/>
          <w:szCs w:val="24"/>
          <w:highlight w:val="none"/>
        </w:rPr>
        <w:t>文件的范围或者改变</w:t>
      </w:r>
      <w:r>
        <w:rPr>
          <w:rFonts w:hint="eastAsia" w:ascii="黑体" w:hAnsi="黑体" w:eastAsia="黑体" w:cs="黑体"/>
          <w:sz w:val="24"/>
          <w:szCs w:val="24"/>
          <w:highlight w:val="none"/>
          <w:lang w:val="en-US" w:eastAsia="zh-CN"/>
        </w:rPr>
        <w:t>响应</w:t>
      </w:r>
      <w:r>
        <w:rPr>
          <w:rFonts w:hint="eastAsia" w:ascii="黑体" w:hAnsi="黑体" w:eastAsia="黑体" w:cs="黑体"/>
          <w:sz w:val="24"/>
          <w:szCs w:val="24"/>
          <w:highlight w:val="none"/>
        </w:rPr>
        <w:t>文件的实质性内容。</w:t>
      </w:r>
    </w:p>
    <w:p w14:paraId="506F232D">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w:t>
      </w:r>
      <w:r>
        <w:rPr>
          <w:rFonts w:hint="eastAsia" w:ascii="黑体" w:hAnsi="黑体" w:eastAsia="黑体" w:cs="黑体"/>
          <w:sz w:val="24"/>
          <w:szCs w:val="24"/>
          <w:highlight w:val="none"/>
          <w:lang w:val="en-US" w:eastAsia="zh-CN"/>
        </w:rPr>
        <w:t>三</w:t>
      </w:r>
      <w:r>
        <w:rPr>
          <w:rFonts w:hint="eastAsia" w:ascii="黑体" w:hAnsi="黑体" w:eastAsia="黑体" w:cs="黑体"/>
          <w:sz w:val="24"/>
          <w:szCs w:val="24"/>
          <w:highlight w:val="none"/>
        </w:rPr>
        <w:t>）比较与评价。按</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中规定的评标方法和标准，对资格审查和符合性审查合格的</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进行商务和技术评估。</w:t>
      </w:r>
    </w:p>
    <w:p w14:paraId="3B61BF99">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w:t>
      </w:r>
      <w:r>
        <w:rPr>
          <w:rFonts w:hint="eastAsia" w:ascii="黑体" w:hAnsi="黑体" w:eastAsia="黑体" w:cs="黑体"/>
          <w:sz w:val="24"/>
          <w:szCs w:val="24"/>
          <w:highlight w:val="none"/>
          <w:lang w:val="en-US" w:eastAsia="zh-CN"/>
        </w:rPr>
        <w:t>四</w:t>
      </w:r>
      <w:r>
        <w:rPr>
          <w:rFonts w:hint="eastAsia" w:ascii="黑体" w:hAnsi="黑体" w:eastAsia="黑体" w:cs="黑体"/>
          <w:sz w:val="24"/>
          <w:szCs w:val="24"/>
          <w:highlight w:val="none"/>
        </w:rPr>
        <w:t>）推荐中标候选人名单。</w:t>
      </w:r>
    </w:p>
    <w:p w14:paraId="50AD175A">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推荐</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满足</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全部实质性要求，并</w:t>
      </w:r>
      <w:r>
        <w:rPr>
          <w:rFonts w:hint="eastAsia" w:ascii="黑体" w:hAnsi="黑体" w:eastAsia="黑体" w:cs="黑体"/>
          <w:sz w:val="24"/>
          <w:szCs w:val="24"/>
          <w:highlight w:val="none"/>
          <w:lang w:val="en-US" w:eastAsia="zh-CN"/>
        </w:rPr>
        <w:t>按照</w:t>
      </w:r>
      <w:r>
        <w:rPr>
          <w:rFonts w:hint="eastAsia" w:ascii="黑体" w:hAnsi="黑体" w:eastAsia="黑体" w:cs="黑体"/>
          <w:sz w:val="24"/>
          <w:szCs w:val="24"/>
          <w:highlight w:val="none"/>
        </w:rPr>
        <w:t>价格由低到高的顺序排名前三的</w:t>
      </w:r>
      <w:r>
        <w:rPr>
          <w:rFonts w:hint="eastAsia" w:ascii="黑体" w:hAnsi="黑体" w:eastAsia="黑体" w:cs="黑体"/>
          <w:sz w:val="24"/>
          <w:szCs w:val="24"/>
          <w:highlight w:val="none"/>
          <w:lang w:val="en-US" w:eastAsia="zh-CN"/>
        </w:rPr>
        <w:t>供应商</w:t>
      </w:r>
      <w:r>
        <w:rPr>
          <w:rFonts w:hint="eastAsia" w:ascii="黑体" w:hAnsi="黑体" w:eastAsia="黑体" w:cs="黑体"/>
          <w:sz w:val="24"/>
          <w:szCs w:val="24"/>
          <w:highlight w:val="none"/>
        </w:rPr>
        <w:t>为中标候选人，其中排名第一的</w:t>
      </w:r>
      <w:r>
        <w:rPr>
          <w:rFonts w:hint="eastAsia" w:ascii="黑体" w:hAnsi="黑体" w:eastAsia="黑体" w:cs="黑体"/>
          <w:sz w:val="24"/>
          <w:szCs w:val="24"/>
          <w:highlight w:val="none"/>
          <w:lang w:val="en-US" w:eastAsia="zh-CN"/>
        </w:rPr>
        <w:t>供应商</w:t>
      </w:r>
      <w:r>
        <w:rPr>
          <w:rFonts w:hint="eastAsia" w:ascii="黑体" w:hAnsi="黑体" w:eastAsia="黑体" w:cs="黑体"/>
          <w:sz w:val="24"/>
          <w:szCs w:val="24"/>
          <w:highlight w:val="none"/>
        </w:rPr>
        <w:t>为第一中标候选人。</w:t>
      </w:r>
    </w:p>
    <w:p w14:paraId="57527D54">
      <w:pPr>
        <w:pStyle w:val="3"/>
        <w:spacing w:line="400" w:lineRule="exact"/>
        <w:ind w:firstLine="480" w:firstLineChars="200"/>
        <w:rPr>
          <w:rFonts w:hint="eastAsia" w:ascii="黑体" w:hAnsi="黑体" w:eastAsia="黑体" w:cs="黑体"/>
          <w:sz w:val="24"/>
          <w:szCs w:val="24"/>
          <w:highlight w:val="none"/>
        </w:rPr>
      </w:pPr>
      <w:bookmarkStart w:id="103" w:name="_Toc22025"/>
      <w:bookmarkStart w:id="104" w:name="_Toc24721"/>
      <w:r>
        <w:rPr>
          <w:rFonts w:hint="eastAsia" w:ascii="黑体" w:hAnsi="黑体" w:eastAsia="黑体" w:cs="黑体"/>
          <w:sz w:val="24"/>
          <w:szCs w:val="24"/>
          <w:highlight w:val="none"/>
        </w:rPr>
        <w:t>评标结果按投标报价由低到高顺序排列，若投标报价相同的并列。</w:t>
      </w:r>
      <w:bookmarkEnd w:id="97"/>
      <w:bookmarkEnd w:id="98"/>
      <w:bookmarkEnd w:id="99"/>
      <w:bookmarkEnd w:id="100"/>
      <w:bookmarkEnd w:id="101"/>
      <w:bookmarkEnd w:id="102"/>
      <w:bookmarkEnd w:id="103"/>
      <w:bookmarkEnd w:id="104"/>
      <w:bookmarkStart w:id="105" w:name="_Toc26976"/>
      <w:bookmarkStart w:id="106" w:name="_Toc11197"/>
      <w:bookmarkStart w:id="107" w:name="_Toc12862"/>
      <w:bookmarkStart w:id="108" w:name="_Toc11118"/>
      <w:bookmarkStart w:id="109" w:name="_Toc1175"/>
      <w:bookmarkStart w:id="110" w:name="_Toc492721018"/>
    </w:p>
    <w:p w14:paraId="2B96AFEA">
      <w:pPr>
        <w:numPr>
          <w:ilvl w:val="0"/>
          <w:numId w:val="0"/>
        </w:numPr>
        <w:snapToGrid w:val="0"/>
        <w:spacing w:line="400" w:lineRule="exact"/>
        <w:ind w:leftChars="0"/>
        <w:rPr>
          <w:rFonts w:hint="eastAsia" w:ascii="黑体" w:hAnsi="黑体" w:eastAsia="黑体" w:cs="黑体"/>
          <w:b/>
          <w:color w:val="auto"/>
          <w:kern w:val="2"/>
          <w:sz w:val="24"/>
          <w:szCs w:val="24"/>
          <w:highlight w:val="none"/>
          <w:lang w:val="zh-TW" w:eastAsia="zh-CN" w:bidi="ar-SA"/>
        </w:rPr>
      </w:pPr>
      <w:r>
        <w:rPr>
          <w:rFonts w:hint="eastAsia" w:ascii="黑体" w:hAnsi="黑体" w:eastAsia="黑体" w:cs="黑体"/>
          <w:b/>
          <w:color w:val="auto"/>
          <w:kern w:val="2"/>
          <w:sz w:val="24"/>
          <w:szCs w:val="24"/>
          <w:highlight w:val="none"/>
          <w:lang w:val="en-US" w:eastAsia="zh-CN" w:bidi="ar-SA"/>
        </w:rPr>
        <w:t>三、</w:t>
      </w:r>
      <w:r>
        <w:rPr>
          <w:rFonts w:hint="eastAsia" w:ascii="黑体" w:hAnsi="黑体" w:eastAsia="黑体" w:cs="黑体"/>
          <w:b/>
          <w:color w:val="auto"/>
          <w:kern w:val="2"/>
          <w:sz w:val="24"/>
          <w:szCs w:val="24"/>
          <w:highlight w:val="none"/>
          <w:lang w:val="zh-TW" w:eastAsia="zh-CN" w:bidi="ar-SA"/>
        </w:rPr>
        <w:t>评标标准</w:t>
      </w:r>
    </w:p>
    <w:p w14:paraId="0A65BF49">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（一）关于技术（质量）、商务偏离</w:t>
      </w:r>
    </w:p>
    <w:p w14:paraId="679E65D9">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1.</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投标应答有一条及以上不满足</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“第二篇 项目技术（质量）需求”要求的，</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将失去成为中标候选人的资格；</w:t>
      </w:r>
    </w:p>
    <w:p w14:paraId="266DD341">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2.</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投标应答有一条及以上不满足</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“第三篇 项目商务需求”要求的，</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将失去成为中标候选人的资格；</w:t>
      </w:r>
    </w:p>
    <w:p w14:paraId="745B3F49">
      <w:pPr>
        <w:snapToGrid w:val="0"/>
        <w:spacing w:line="400" w:lineRule="exact"/>
        <w:ind w:firstLine="480" w:firstLineChars="200"/>
        <w:rPr>
          <w:rFonts w:hint="eastAsia" w:ascii="黑体" w:hAnsi="黑体" w:eastAsia="黑体" w:cs="黑体"/>
          <w:b/>
          <w:color w:val="auto"/>
          <w:kern w:val="2"/>
          <w:sz w:val="24"/>
          <w:szCs w:val="24"/>
          <w:highlight w:val="none"/>
          <w:lang w:val="en-US" w:eastAsia="zh-CN" w:bidi="ar-SA"/>
        </w:rPr>
      </w:pPr>
      <w:r>
        <w:rPr>
          <w:rFonts w:hint="eastAsia" w:ascii="黑体" w:hAnsi="黑体" w:eastAsia="黑体" w:cs="黑体"/>
          <w:sz w:val="24"/>
          <w:szCs w:val="24"/>
          <w:highlight w:val="none"/>
        </w:rPr>
        <w:t>3. 评标委员会认为</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的报价明显低于其他通过符合性审查</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的报价，有可能影响产品质量或者不能诚信履约的，应当要求其在评标现场合理的时间内提供书面说明，必要时提交相关证明材料；</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不能证明其报价合理性的，评标委员会应当将其作为无效投标处理。</w:t>
      </w:r>
    </w:p>
    <w:bookmarkEnd w:id="105"/>
    <w:bookmarkEnd w:id="106"/>
    <w:bookmarkEnd w:id="107"/>
    <w:bookmarkEnd w:id="108"/>
    <w:bookmarkEnd w:id="109"/>
    <w:bookmarkEnd w:id="110"/>
    <w:p w14:paraId="699D0B37">
      <w:pPr>
        <w:numPr>
          <w:ilvl w:val="0"/>
          <w:numId w:val="0"/>
        </w:numPr>
        <w:snapToGrid w:val="0"/>
        <w:spacing w:line="400" w:lineRule="exact"/>
        <w:ind w:leftChars="0"/>
        <w:rPr>
          <w:rFonts w:hint="eastAsia" w:ascii="黑体" w:hAnsi="黑体" w:eastAsia="黑体" w:cs="黑体"/>
          <w:b/>
          <w:color w:val="auto"/>
          <w:kern w:val="2"/>
          <w:sz w:val="24"/>
          <w:szCs w:val="24"/>
          <w:highlight w:val="none"/>
          <w:lang w:val="zh-TW" w:eastAsia="zh-CN" w:bidi="ar-SA"/>
        </w:rPr>
      </w:pPr>
      <w:bookmarkStart w:id="111" w:name="_Toc10923"/>
      <w:bookmarkStart w:id="112" w:name="_Toc13045"/>
      <w:bookmarkStart w:id="113" w:name="_Toc27926"/>
      <w:bookmarkStart w:id="114" w:name="_Toc22167"/>
      <w:bookmarkStart w:id="115" w:name="_Toc17065"/>
      <w:bookmarkStart w:id="116" w:name="_Toc15200"/>
      <w:bookmarkStart w:id="117" w:name="_Toc5010"/>
      <w:bookmarkStart w:id="118" w:name="_Toc30659"/>
      <w:bookmarkStart w:id="119" w:name="_Toc106030397"/>
      <w:bookmarkStart w:id="120" w:name="_Toc4045"/>
      <w:bookmarkStart w:id="121" w:name="_Toc75793521"/>
      <w:bookmarkStart w:id="122" w:name="_Toc26747"/>
      <w:bookmarkStart w:id="123" w:name="_Toc18716"/>
      <w:bookmarkStart w:id="124" w:name="_Toc29586"/>
      <w:bookmarkStart w:id="125" w:name="_Toc20423"/>
      <w:bookmarkStart w:id="126" w:name="_Toc13232"/>
      <w:r>
        <w:rPr>
          <w:rFonts w:hint="eastAsia" w:ascii="黑体" w:hAnsi="黑体" w:eastAsia="黑体" w:cs="黑体"/>
          <w:b/>
          <w:color w:val="auto"/>
          <w:kern w:val="2"/>
          <w:sz w:val="24"/>
          <w:szCs w:val="24"/>
          <w:highlight w:val="none"/>
          <w:lang w:val="zh-TW" w:eastAsia="zh-CN" w:bidi="ar-SA"/>
        </w:rPr>
        <w:t>四、无效投标条款</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68F977E">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或其</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出现下列情况之一者，应为无效投标：</w:t>
      </w:r>
    </w:p>
    <w:p w14:paraId="570FD6B6">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（一）未按照</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的规定提交投标保证金的；</w:t>
      </w:r>
    </w:p>
    <w:p w14:paraId="5054C6D3">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（二）</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未按</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要求签署、盖章的；</w:t>
      </w:r>
    </w:p>
    <w:p w14:paraId="1B8F367C">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（三）不具备</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中规定的资格要求的；</w:t>
      </w:r>
    </w:p>
    <w:p w14:paraId="388383E8">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（四）报价超过</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中规定的预算金额或者最高限价的；</w:t>
      </w:r>
    </w:p>
    <w:p w14:paraId="195C6A4A">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（五）</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含有采购人不能接受的附加条件的；</w:t>
      </w:r>
    </w:p>
    <w:p w14:paraId="21B61E76">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（六）</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串通投标的；</w:t>
      </w:r>
    </w:p>
    <w:p w14:paraId="4E5EEBBD">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（七）法律、法规和</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规定的其他无效情形。</w:t>
      </w:r>
    </w:p>
    <w:p w14:paraId="22D89260">
      <w:pPr>
        <w:numPr>
          <w:ilvl w:val="0"/>
          <w:numId w:val="0"/>
        </w:numPr>
        <w:snapToGrid w:val="0"/>
        <w:spacing w:line="400" w:lineRule="exact"/>
        <w:ind w:leftChars="0"/>
        <w:rPr>
          <w:rFonts w:hint="eastAsia" w:ascii="黑体" w:hAnsi="黑体" w:eastAsia="黑体" w:cs="黑体"/>
          <w:b/>
          <w:color w:val="auto"/>
          <w:kern w:val="2"/>
          <w:sz w:val="24"/>
          <w:szCs w:val="24"/>
          <w:highlight w:val="none"/>
          <w:lang w:val="zh-TW" w:eastAsia="zh-CN" w:bidi="ar-SA"/>
        </w:rPr>
      </w:pPr>
      <w:bookmarkStart w:id="127" w:name="_Toc6956"/>
      <w:bookmarkStart w:id="128" w:name="_Toc30605"/>
      <w:bookmarkStart w:id="129" w:name="_Toc6719"/>
      <w:bookmarkStart w:id="130" w:name="_Toc6204"/>
      <w:bookmarkStart w:id="131" w:name="_Toc14355"/>
      <w:bookmarkStart w:id="132" w:name="_Toc20005"/>
      <w:bookmarkStart w:id="133" w:name="_Toc21946"/>
      <w:bookmarkStart w:id="134" w:name="_Toc7802"/>
      <w:bookmarkStart w:id="135" w:name="_Toc25549"/>
      <w:bookmarkStart w:id="136" w:name="_Toc11293"/>
      <w:bookmarkStart w:id="137" w:name="_Toc106030398"/>
      <w:bookmarkStart w:id="138" w:name="_Toc27133"/>
      <w:bookmarkStart w:id="139" w:name="_Toc75793522"/>
      <w:bookmarkStart w:id="140" w:name="_Toc25960"/>
      <w:bookmarkStart w:id="141" w:name="_Toc23533"/>
      <w:bookmarkStart w:id="142" w:name="_Toc4422"/>
      <w:r>
        <w:rPr>
          <w:rFonts w:hint="eastAsia" w:ascii="黑体" w:hAnsi="黑体" w:eastAsia="黑体" w:cs="黑体"/>
          <w:b/>
          <w:color w:val="auto"/>
          <w:kern w:val="2"/>
          <w:sz w:val="24"/>
          <w:szCs w:val="24"/>
          <w:highlight w:val="none"/>
          <w:lang w:val="zh-TW" w:eastAsia="zh-CN" w:bidi="ar-SA"/>
        </w:rPr>
        <w:t>五、废标条款</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9328747">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在招标采购中，出现下列情形之一的，应予废标：</w:t>
      </w:r>
    </w:p>
    <w:p w14:paraId="02639881">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（一）符合专业条件的</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或者对</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作实质响应的</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不足三家的；</w:t>
      </w:r>
    </w:p>
    <w:p w14:paraId="358A5CF2">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（二）</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的报价均超过了采购预算，采购人不能支付的；</w:t>
      </w:r>
    </w:p>
    <w:p w14:paraId="4AFB5AEA">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（三）出现影响采购公正的违法、违规行为的；</w:t>
      </w:r>
    </w:p>
    <w:p w14:paraId="26C091C1">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（四）因重大变故，采购任务取消的。</w:t>
      </w:r>
    </w:p>
    <w:p w14:paraId="06174301">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废标后，除采购任务取消情形外，应当重新组织采购。</w:t>
      </w:r>
    </w:p>
    <w:p w14:paraId="3544D4C2">
      <w:pPr>
        <w:pStyle w:val="2"/>
        <w:spacing w:before="0" w:beforeLines="0" w:after="0" w:afterLines="0" w:line="360" w:lineRule="auto"/>
        <w:jc w:val="center"/>
        <w:rPr>
          <w:rFonts w:hint="eastAsia" w:ascii="黑体" w:hAnsi="黑体" w:eastAsia="黑体" w:cs="黑体"/>
          <w:b/>
          <w:color w:val="auto"/>
          <w:sz w:val="28"/>
          <w:szCs w:val="28"/>
          <w:highlight w:val="none"/>
          <w:lang w:val="en-US" w:eastAsia="zh-CN"/>
        </w:rPr>
      </w:pPr>
      <w:r>
        <w:rPr>
          <w:rFonts w:hint="eastAsia" w:ascii="黑体" w:hAnsi="黑体" w:eastAsia="黑体" w:cs="黑体"/>
          <w:sz w:val="24"/>
          <w:szCs w:val="24"/>
          <w:highlight w:val="none"/>
        </w:rPr>
        <w:br w:type="page"/>
      </w:r>
      <w:bookmarkStart w:id="143" w:name="_Toc17899"/>
      <w:r>
        <w:rPr>
          <w:rFonts w:hint="eastAsia" w:ascii="黑体" w:hAnsi="黑体" w:eastAsia="黑体" w:cs="黑体"/>
          <w:b/>
          <w:color w:val="auto"/>
          <w:sz w:val="28"/>
          <w:szCs w:val="28"/>
          <w:highlight w:val="none"/>
          <w:lang w:val="en-US" w:eastAsia="zh-CN"/>
        </w:rPr>
        <w:t>第五篇  供应商须知</w:t>
      </w:r>
      <w:bookmarkEnd w:id="143"/>
    </w:p>
    <w:p w14:paraId="33ED4C0A">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一、供应商</w:t>
      </w:r>
    </w:p>
    <w:p w14:paraId="5F25F6A1">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（一）供应商</w:t>
      </w:r>
    </w:p>
    <w:p w14:paraId="0B8EAE18">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供应商是指响应招标、参加投标竞争的法人、其他组织或者自然人。</w:t>
      </w:r>
    </w:p>
    <w:p w14:paraId="1A0E3738">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（二）合格供应商条件</w:t>
      </w:r>
    </w:p>
    <w:p w14:paraId="34B2B236">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合格供应商应完全符合竞争性比选文件第一篇中规定的供应商资格条件，并对竞争性比选文件作出实质性响应。</w:t>
      </w:r>
    </w:p>
    <w:p w14:paraId="4C100D7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（三）供应商的风险</w:t>
      </w:r>
    </w:p>
    <w:p w14:paraId="07DA834C">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供应商没有按照竞争性比选文件要求提供全部资料，或者供应商没有对竞争性比选文件在各方面作出实质性响应，可能导致投标被拒绝或评定为无效投标。</w:t>
      </w:r>
    </w:p>
    <w:p w14:paraId="4AA38BB6">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（四）法律责任</w:t>
      </w:r>
    </w:p>
    <w:p w14:paraId="21180000">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供应商违反《中华人民共和国政府采购法》、《中华人民共和国政府采购实施条例》等相关规定，将按规定追究供应商法律责任。</w:t>
      </w:r>
    </w:p>
    <w:p w14:paraId="248F0D3F">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二、竞争性比选文件</w:t>
      </w:r>
    </w:p>
    <w:p w14:paraId="7C6EBC68">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竞争性比选文件是供应商编制响应文件的依据，是评标委员会评判依据和标准。竞争性比选文件也是采购人与成交供应商签订合同的基础。</w:t>
      </w:r>
    </w:p>
    <w:p w14:paraId="503180AC">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（一）竞争性比选文件由投标邀请书；项目技术（质量）需求；项目商务需求；供应商须知；评标方法、评标标准、无效投标条款和废标条款；响应文件格式等</w:t>
      </w:r>
      <w:r>
        <w:rPr>
          <w:rFonts w:hint="eastAsia" w:ascii="黑体" w:hAnsi="黑体" w:eastAsia="黑体" w:cs="黑体"/>
          <w:color w:val="auto"/>
          <w:sz w:val="24"/>
          <w:szCs w:val="24"/>
          <w:highlight w:val="none"/>
          <w:lang w:eastAsia="zh-CN"/>
        </w:rPr>
        <w:t>六</w:t>
      </w:r>
      <w:r>
        <w:rPr>
          <w:rFonts w:hint="eastAsia" w:ascii="黑体" w:hAnsi="黑体" w:eastAsia="黑体" w:cs="黑体"/>
          <w:color w:val="auto"/>
          <w:sz w:val="24"/>
          <w:szCs w:val="24"/>
          <w:highlight w:val="none"/>
        </w:rPr>
        <w:t>部分组成。</w:t>
      </w:r>
    </w:p>
    <w:p w14:paraId="7073DB1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（二）采购</w:t>
      </w:r>
      <w:r>
        <w:rPr>
          <w:rFonts w:hint="eastAsia" w:ascii="黑体" w:hAnsi="黑体" w:eastAsia="黑体" w:cs="黑体"/>
          <w:color w:val="auto"/>
          <w:sz w:val="24"/>
          <w:szCs w:val="24"/>
          <w:highlight w:val="none"/>
          <w:lang w:eastAsia="zh-CN"/>
        </w:rPr>
        <w:t>人</w:t>
      </w:r>
      <w:r>
        <w:rPr>
          <w:rFonts w:hint="eastAsia" w:ascii="黑体" w:hAnsi="黑体" w:eastAsia="黑体" w:cs="黑体"/>
          <w:color w:val="auto"/>
          <w:sz w:val="24"/>
          <w:szCs w:val="24"/>
          <w:highlight w:val="none"/>
        </w:rPr>
        <w:t>对竞争性比选文件所作的一切有效的书面通知、修改及补充，都是竞争性比选文件不可分割的部分。</w:t>
      </w:r>
    </w:p>
    <w:p w14:paraId="3D5E1A4A">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（三）本项目的竞争性比选文件、补遗文件（如果有）一律在行采家（https://www.gec123.com/）上发布，请各供应商注意下载；无论供应商下载与否，均视同供应商已知晓本项目竞争性比选文件、补遗文件的内容。</w:t>
      </w:r>
    </w:p>
    <w:p w14:paraId="3B1E6820">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三、响应文件</w:t>
      </w:r>
    </w:p>
    <w:p w14:paraId="292A5565">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（一）响应文件的签署与份数</w:t>
      </w:r>
    </w:p>
    <w:p w14:paraId="39FCD56B">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bookmarkStart w:id="144" w:name="OLE_LINK9"/>
      <w:r>
        <w:rPr>
          <w:rFonts w:hint="eastAsia" w:ascii="黑体" w:hAnsi="黑体" w:eastAsia="黑体" w:cs="黑体"/>
          <w:bCs/>
          <w:color w:val="auto"/>
          <w:sz w:val="24"/>
          <w:szCs w:val="24"/>
          <w:highlight w:val="none"/>
        </w:rPr>
        <w:t>（1）响应文件一份。</w:t>
      </w:r>
    </w:p>
    <w:p w14:paraId="13B6BCFB">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（2）响应文件每一页应加盖公章（响应文件格式中规定签字、盖章的地方必须按其规定签字、盖章），否则按无效标处理。</w:t>
      </w:r>
    </w:p>
    <w:p w14:paraId="61D6A829">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（3）若供应商对响应文件的错处作必要修改，则应在修改处加盖供应商公章或由法人或法人授权代表签字确认，否则按无效标处理。</w:t>
      </w:r>
      <w:bookmarkEnd w:id="144"/>
    </w:p>
    <w:p w14:paraId="2B62B680">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（二）响应文件封面标记要求</w:t>
      </w:r>
    </w:p>
    <w:p w14:paraId="326BC02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响应文件的封面上均应注明项目名称、项目编号、供应商名称、“响应文件”字样，并在封面上加盖供应商公章，否则按无效标处理。</w:t>
      </w:r>
    </w:p>
    <w:p w14:paraId="63935E86">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w:t>
      </w:r>
      <w:r>
        <w:rPr>
          <w:rFonts w:hint="eastAsia" w:ascii="黑体" w:hAnsi="黑体" w:eastAsia="黑体" w:cs="黑体"/>
          <w:bCs/>
          <w:color w:val="auto"/>
          <w:sz w:val="24"/>
          <w:szCs w:val="24"/>
          <w:highlight w:val="none"/>
          <w:lang w:val="en-US" w:eastAsia="zh-CN"/>
        </w:rPr>
        <w:t>三</w:t>
      </w:r>
      <w:r>
        <w:rPr>
          <w:rFonts w:hint="eastAsia" w:ascii="黑体" w:hAnsi="黑体" w:eastAsia="黑体" w:cs="黑体"/>
          <w:bCs/>
          <w:color w:val="auto"/>
          <w:sz w:val="24"/>
          <w:szCs w:val="24"/>
          <w:highlight w:val="none"/>
        </w:rPr>
        <w:t>）投标报价</w:t>
      </w:r>
    </w:p>
    <w:p w14:paraId="6A35779E">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bCs/>
          <w:color w:val="auto"/>
          <w:sz w:val="24"/>
          <w:szCs w:val="24"/>
          <w:highlight w:val="none"/>
        </w:rPr>
        <w:t>1.供应商应严格按照“响应文件格式”中“开标一览表”、“分项报价明细表”</w:t>
      </w:r>
      <w:r>
        <w:rPr>
          <w:rFonts w:hint="eastAsia" w:ascii="黑体" w:hAnsi="黑体" w:eastAsia="黑体" w:cs="黑体"/>
          <w:color w:val="auto"/>
          <w:sz w:val="24"/>
          <w:szCs w:val="24"/>
          <w:highlight w:val="none"/>
        </w:rPr>
        <w:t>的格式填写报价。</w:t>
      </w:r>
    </w:p>
    <w:p w14:paraId="5F81E97D">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2.供应商的报价为一次性报价，即在投标有效期内投标价格固定不变。</w:t>
      </w:r>
    </w:p>
    <w:p w14:paraId="7F6F2E78">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3.本项目只接受一个投标报价，有选择的或有条件的报价将不予接受。</w:t>
      </w:r>
    </w:p>
    <w:p w14:paraId="2D8C3A81">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四</w:t>
      </w:r>
      <w:r>
        <w:rPr>
          <w:rFonts w:hint="eastAsia" w:ascii="黑体" w:hAnsi="黑体" w:eastAsia="黑体" w:cs="黑体"/>
          <w:color w:val="auto"/>
          <w:sz w:val="24"/>
          <w:szCs w:val="24"/>
          <w:highlight w:val="none"/>
        </w:rPr>
        <w:t>）修正错误</w:t>
      </w:r>
    </w:p>
    <w:p w14:paraId="762BA11F">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若响应文件出现计算或表达上的错误，修正错误的原则如下：</w:t>
      </w:r>
    </w:p>
    <w:p w14:paraId="0DF68294">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1.响应文件中开标一览表（报价表）内容与响应文件中相应内容不一致的，以开标一览表（报价表）为准；</w:t>
      </w:r>
    </w:p>
    <w:p w14:paraId="5B727520">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2.大写金额和小写金额不一致的，以大写金额为准；</w:t>
      </w:r>
    </w:p>
    <w:p w14:paraId="33B35E91">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3.单价金额小数点或者百分比有明显错位的，以开标一览表的总价为准，并修改单价；</w:t>
      </w:r>
    </w:p>
    <w:p w14:paraId="67D6DC10">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4.总价金额与按单价汇总金额不一致的，以单价金额计算结果为准。</w:t>
      </w:r>
    </w:p>
    <w:p w14:paraId="6A0BE20C">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评标委员会按上述修正错误的原则及方法调整或修正供应商投标报价，若同时出现两种以上不一致的，按照前款规定的顺序修正，供应商同意并签字确认后，调整后的投标报价对供应商具有约束作用。如果供应商不接受修正后的报价，则其投标将作为无效投标处理。</w:t>
      </w:r>
    </w:p>
    <w:p w14:paraId="57300D6F">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四、开标</w:t>
      </w:r>
    </w:p>
    <w:p w14:paraId="4B1DBCFA">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（一）开标应当在竞争性比选文件中“投标邀请书”确定的时间和地点公开进行。</w:t>
      </w:r>
    </w:p>
    <w:p w14:paraId="104AC32C">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（二）采购</w:t>
      </w:r>
      <w:r>
        <w:rPr>
          <w:rFonts w:hint="eastAsia" w:ascii="黑体" w:hAnsi="黑体" w:eastAsia="黑体" w:cs="黑体"/>
          <w:color w:val="auto"/>
          <w:sz w:val="24"/>
          <w:szCs w:val="24"/>
          <w:highlight w:val="none"/>
          <w:lang w:eastAsia="zh-CN"/>
        </w:rPr>
        <w:t>人</w:t>
      </w:r>
      <w:r>
        <w:rPr>
          <w:rFonts w:hint="eastAsia" w:ascii="黑体" w:hAnsi="黑体" w:eastAsia="黑体" w:cs="黑体"/>
          <w:color w:val="auto"/>
          <w:sz w:val="24"/>
          <w:szCs w:val="24"/>
          <w:highlight w:val="none"/>
        </w:rPr>
        <w:t>可视采购具体情况，延长投标截止时间和开标时间，但至少在竞争性比选文件要求提交响应文件的截止时间三日前，将变更时间书面通知所有竞争性比选文件收受人。</w:t>
      </w:r>
    </w:p>
    <w:p w14:paraId="11AF8077">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（三）开标由采购人主持，邀请有关监督部门代表参加,有关监督部门可视情况派员现场监督。</w:t>
      </w:r>
    </w:p>
    <w:p w14:paraId="0A11C8C2">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四</w:t>
      </w:r>
      <w:r>
        <w:rPr>
          <w:rFonts w:hint="eastAsia" w:ascii="黑体" w:hAnsi="黑体" w:eastAsia="黑体" w:cs="黑体"/>
          <w:color w:val="auto"/>
          <w:sz w:val="24"/>
          <w:szCs w:val="24"/>
          <w:highlight w:val="none"/>
        </w:rPr>
        <w:t>）未宣读的投标价格、价格折扣和竞争性比选文件允许提供的备选投标方案等实质性内容等，评标时不予承认。</w:t>
      </w:r>
    </w:p>
    <w:p w14:paraId="4A831CF3">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五</w:t>
      </w:r>
      <w:r>
        <w:rPr>
          <w:rFonts w:hint="eastAsia" w:ascii="黑体" w:hAnsi="黑体" w:eastAsia="黑体" w:cs="黑体"/>
          <w:color w:val="auto"/>
          <w:sz w:val="24"/>
          <w:szCs w:val="24"/>
          <w:highlight w:val="none"/>
        </w:rPr>
        <w:t>）开标过程应由采购人指定专人负责记录，并存档备查。</w:t>
      </w:r>
    </w:p>
    <w:p w14:paraId="5A23A23E">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五、评标</w:t>
      </w:r>
    </w:p>
    <w:p w14:paraId="2E50EAC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见第四篇“评标”内容。</w:t>
      </w:r>
    </w:p>
    <w:p w14:paraId="525BBC2D">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六、定标</w:t>
      </w:r>
    </w:p>
    <w:p w14:paraId="6FC7E811">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（一）定标原则</w:t>
      </w:r>
    </w:p>
    <w:p w14:paraId="7C10CFD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采购人或其授权的评标委员会应按照评标报告中推荐的中标候选人排名顺序确定成交供应商。</w:t>
      </w:r>
    </w:p>
    <w:p w14:paraId="4F853C21">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（二）定标程序</w:t>
      </w:r>
    </w:p>
    <w:p w14:paraId="16001F24">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Style w:val="28"/>
          <w:rFonts w:hint="eastAsia" w:ascii="黑体" w:hAnsi="黑体" w:eastAsia="黑体" w:cs="黑体"/>
          <w:color w:val="auto"/>
          <w:kern w:val="0"/>
          <w:sz w:val="24"/>
          <w:szCs w:val="24"/>
          <w:highlight w:val="none"/>
          <w:lang w:eastAsia="zh-TW"/>
        </w:rPr>
      </w:pP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采购人应当自收到评标报告之日起５个工作日内，在评标报告确定的中标候选人名单中按顺序确定成交供应商。中标候选人并列的，由采购人或者采购人委托评标委员会按照竞争性比选文件规定的方式确定成交供应商；竞争性比选文件未规定的，采取随机抽取的方式确定。</w:t>
      </w:r>
    </w:p>
    <w:p w14:paraId="7F307DD1">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.采购人应当自成交供应商确定之日起2个工作日内，在行采家上公告中标结果。中标公告期限为1个工作日。</w:t>
      </w:r>
    </w:p>
    <w:p w14:paraId="2AA80A4E">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.成交供应商变更</w:t>
      </w:r>
    </w:p>
    <w:p w14:paraId="0F217B9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成交供应商拒绝与采购人签订合同的，采购人可以按照评标报告推荐的中标候选人顺序，确定排名下一位的候选人为成交供应商，也可以重新开展采购活动。</w:t>
      </w:r>
    </w:p>
    <w:p w14:paraId="337CE43E">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eastAsia="zh-CN"/>
        </w:rPr>
        <w:t>七</w:t>
      </w:r>
      <w:r>
        <w:rPr>
          <w:rFonts w:hint="eastAsia" w:ascii="黑体" w:hAnsi="黑体" w:eastAsia="黑体" w:cs="黑体"/>
          <w:b/>
          <w:color w:val="auto"/>
          <w:sz w:val="24"/>
          <w:szCs w:val="24"/>
          <w:highlight w:val="none"/>
        </w:rPr>
        <w:t>、询问、质疑和投诉</w:t>
      </w:r>
    </w:p>
    <w:p w14:paraId="0B41948A">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（一）询问</w:t>
      </w:r>
    </w:p>
    <w:p w14:paraId="6002CAE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采购人应当在3个工作日内对供应商依法提出的询问作出答复。供应商询问可以是口头或书面形式。</w:t>
      </w:r>
    </w:p>
    <w:p w14:paraId="645B400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（二）质疑</w:t>
      </w:r>
    </w:p>
    <w:p w14:paraId="1179BE76">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供应商认为采购文件、采购过程和中标结果使自己的权益受到伤害的，可向采购人以书面形式提出质疑。</w:t>
      </w:r>
    </w:p>
    <w:p w14:paraId="05E9DB51">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提出质疑的应当是参与所质疑项目采购活动的供应商。 </w:t>
      </w:r>
    </w:p>
    <w:p w14:paraId="5784B63E">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1.质疑时限、内容</w:t>
      </w:r>
    </w:p>
    <w:p w14:paraId="5AB568A9">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1.1供应商对竞争性比选文件提出质疑的，应在依法获取竞争性比选文件（购买了竞争性比选文件并完成了报名手续）之日或者竞争性比选文件公告期限届满之日起七个工作日内提出。</w:t>
      </w:r>
    </w:p>
    <w:p w14:paraId="7A926A6E">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 供应商对采购过程提出质疑的，应在各采购程序环节结束之日起七个工作日内提出。</w:t>
      </w:r>
    </w:p>
    <w:p w14:paraId="7E5D5BC7">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1.3供应商对中标结果提出质疑的，应当在中标结果公告期限届满之日起七个工作日内提出。</w:t>
      </w:r>
    </w:p>
    <w:p w14:paraId="3511BBF7">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1.4供应商提出质疑应当提交质疑函和必要的证明材料，质疑函应当包括下列内容：</w:t>
      </w:r>
    </w:p>
    <w:p w14:paraId="0D5D87F4">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1.4.1供应商的姓名或者名称、地址、邮编、联系人及联系电话；</w:t>
      </w:r>
    </w:p>
    <w:p w14:paraId="16F540AD">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1.4.2质疑项目的名称、项目号以及招标项目编号；</w:t>
      </w:r>
    </w:p>
    <w:p w14:paraId="1D51DF00">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1.4.3具体、明确的质疑事项和与质疑事项相关的请求；</w:t>
      </w:r>
    </w:p>
    <w:p w14:paraId="417C48C9">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1.4.4事实依据；</w:t>
      </w:r>
    </w:p>
    <w:p w14:paraId="44A914BA">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1.4.5必要的法律依据；</w:t>
      </w:r>
    </w:p>
    <w:p w14:paraId="3F0E60F2">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1.4.6提出质疑的日期；</w:t>
      </w:r>
    </w:p>
    <w:p w14:paraId="22A2F0CD">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1.4.7营业执照（或事业单位法人证书，或个体工商户营业执照或有效的自然人身份证明、组织机构代码证）复印件；</w:t>
      </w:r>
    </w:p>
    <w:p w14:paraId="52BB6570">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1.4.8法定代表人授权委托书原件、法定代表人身份证复印件和其授权代表的身份证复印件（供应商为自然人的提供自然人身份证复印件）；</w:t>
      </w:r>
    </w:p>
    <w:p w14:paraId="5823DF91">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1.5供应商为自然人的，质疑函应当由本人签字；供应商为法人或者其他组织的，质疑函应当由法定代表人、主要负责人，或者其授权代表签字或者盖章，并加盖公章。</w:t>
      </w:r>
    </w:p>
    <w:p w14:paraId="796CC778">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2.质疑答复</w:t>
      </w:r>
    </w:p>
    <w:p w14:paraId="24DC7C4C">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采购人应当在收到供应商的书面质疑后七个工作日内作出答复，并以书面形式通知质疑供应商和其他有关供应商。</w:t>
      </w:r>
    </w:p>
    <w:p w14:paraId="51CF057D">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3.其他</w:t>
      </w:r>
    </w:p>
    <w:p w14:paraId="15009D68">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3.1供应商应按照《政府采购质疑和投诉办法》（财政部令第94号）及相关法律法规要求，在法定质疑期内一次性提出针对同一采购程序环节的质疑。</w:t>
      </w:r>
    </w:p>
    <w:p w14:paraId="10B44C02">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3.2质疑函范本可在财政部门户网站和中国政府采购网下载。</w:t>
      </w:r>
    </w:p>
    <w:p w14:paraId="351A38E4">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（三）投诉</w:t>
      </w:r>
    </w:p>
    <w:p w14:paraId="6080995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1.供应商对采购人的答复不满意，或者采购人未在规定时间内作出答复的，可以在答复期满后15个工作日内按照相关法律法规向财政部门提起投诉。</w:t>
      </w:r>
    </w:p>
    <w:p w14:paraId="2415631A">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0C15F859">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FCEC80C">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C6A07B3">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eastAsia="zh-CN"/>
        </w:rPr>
        <w:t>八</w:t>
      </w:r>
      <w:r>
        <w:rPr>
          <w:rFonts w:hint="eastAsia" w:ascii="黑体" w:hAnsi="黑体" w:eastAsia="黑体" w:cs="黑体"/>
          <w:b/>
          <w:color w:val="auto"/>
          <w:sz w:val="24"/>
          <w:szCs w:val="24"/>
          <w:highlight w:val="none"/>
        </w:rPr>
        <w:t>、签订合同</w:t>
      </w:r>
    </w:p>
    <w:p w14:paraId="102F0B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w:t>
      </w:r>
      <w:r>
        <w:rPr>
          <w:rFonts w:hint="eastAsia" w:ascii="黑体" w:hAnsi="黑体" w:eastAsia="黑体" w:cs="黑体"/>
          <w:bCs/>
          <w:color w:val="auto"/>
          <w:sz w:val="24"/>
          <w:highlight w:val="none"/>
        </w:rPr>
        <w:t>公示</w:t>
      </w:r>
      <w:r>
        <w:rPr>
          <w:rFonts w:hint="eastAsia" w:ascii="黑体" w:hAnsi="黑体" w:eastAsia="黑体" w:cs="黑体"/>
          <w:bCs/>
          <w:color w:val="auto"/>
          <w:sz w:val="24"/>
          <w:highlight w:val="none"/>
          <w:lang w:val="en-US" w:eastAsia="zh-CN"/>
        </w:rPr>
        <w:t>结束</w:t>
      </w:r>
      <w:r>
        <w:rPr>
          <w:rFonts w:hint="eastAsia" w:ascii="黑体" w:hAnsi="黑体" w:eastAsia="黑体" w:cs="黑体"/>
          <w:bCs/>
          <w:color w:val="auto"/>
          <w:sz w:val="24"/>
          <w:highlight w:val="none"/>
        </w:rPr>
        <w:t>后</w:t>
      </w:r>
      <w:r>
        <w:rPr>
          <w:rFonts w:hint="eastAsia" w:ascii="黑体" w:hAnsi="黑体" w:eastAsia="黑体" w:cs="黑体"/>
          <w:bCs/>
          <w:color w:val="auto"/>
          <w:sz w:val="24"/>
          <w:highlight w:val="none"/>
          <w:lang w:val="en-US" w:eastAsia="zh-CN"/>
        </w:rPr>
        <w:t>成交供应商</w:t>
      </w:r>
      <w:r>
        <w:rPr>
          <w:rFonts w:hint="eastAsia" w:ascii="黑体" w:hAnsi="黑体" w:eastAsia="黑体" w:cs="黑体"/>
          <w:bCs/>
          <w:color w:val="auto"/>
          <w:sz w:val="24"/>
          <w:highlight w:val="none"/>
        </w:rPr>
        <w:t>需立即与采购人联系并在</w:t>
      </w:r>
      <w:r>
        <w:rPr>
          <w:rFonts w:hint="eastAsia" w:ascii="黑体" w:hAnsi="黑体" w:eastAsia="黑体" w:cs="黑体"/>
          <w:color w:val="auto"/>
          <w:sz w:val="24"/>
          <w:szCs w:val="24"/>
          <w:highlight w:val="none"/>
        </w:rPr>
        <w:t>20日内签订采购合同和购销廉政协议</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成交供应商拒绝</w:t>
      </w:r>
      <w:r>
        <w:rPr>
          <w:rFonts w:hint="eastAsia" w:ascii="黑体" w:hAnsi="黑体" w:eastAsia="黑体" w:cs="黑体"/>
          <w:color w:val="auto"/>
          <w:sz w:val="24"/>
          <w:szCs w:val="24"/>
          <w:highlight w:val="none"/>
          <w:lang w:val="en-US" w:eastAsia="zh-CN"/>
        </w:rPr>
        <w:t>缴纳履约保证金（如有）或拒绝</w:t>
      </w:r>
      <w:r>
        <w:rPr>
          <w:rFonts w:hint="eastAsia" w:ascii="黑体" w:hAnsi="黑体" w:eastAsia="黑体" w:cs="黑体"/>
          <w:color w:val="auto"/>
          <w:sz w:val="24"/>
          <w:szCs w:val="24"/>
          <w:highlight w:val="none"/>
        </w:rPr>
        <w:t>签订</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履行采购合同，采购人将向采购平台管理部门书面投诉，同时</w:t>
      </w:r>
      <w:r>
        <w:rPr>
          <w:rFonts w:hint="eastAsia" w:ascii="黑体" w:hAnsi="黑体" w:eastAsia="黑体" w:cs="黑体"/>
          <w:color w:val="auto"/>
          <w:sz w:val="24"/>
          <w:szCs w:val="24"/>
          <w:highlight w:val="none"/>
          <w:lang w:val="en-US" w:eastAsia="zh-CN"/>
        </w:rPr>
        <w:t>将中标人</w:t>
      </w:r>
      <w:r>
        <w:rPr>
          <w:rFonts w:hint="eastAsia" w:ascii="黑体" w:hAnsi="黑体" w:eastAsia="黑体" w:cs="黑体"/>
          <w:color w:val="auto"/>
          <w:sz w:val="24"/>
          <w:szCs w:val="24"/>
          <w:highlight w:val="none"/>
        </w:rPr>
        <w:t>纳入采购人</w:t>
      </w:r>
      <w:r>
        <w:rPr>
          <w:rFonts w:hint="eastAsia" w:ascii="黑体" w:hAnsi="黑体" w:eastAsia="黑体" w:cs="黑体"/>
          <w:color w:val="auto"/>
          <w:sz w:val="24"/>
          <w:szCs w:val="24"/>
          <w:highlight w:val="none"/>
          <w:lang w:val="en-US" w:eastAsia="zh-CN"/>
        </w:rPr>
        <w:t>供应商不良行为库</w:t>
      </w:r>
      <w:r>
        <w:rPr>
          <w:rFonts w:hint="eastAsia" w:ascii="黑体" w:hAnsi="黑体" w:eastAsia="黑体" w:cs="黑体"/>
          <w:color w:val="auto"/>
          <w:sz w:val="24"/>
          <w:szCs w:val="24"/>
          <w:highlight w:val="none"/>
        </w:rPr>
        <w:t>进行管理。</w:t>
      </w:r>
    </w:p>
    <w:p w14:paraId="087D559B">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（二）竞争性比选文件、成交供应商的响应文件及澄清文件等，均为签订采购合同的依据。</w:t>
      </w:r>
    </w:p>
    <w:p w14:paraId="47F88C99">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（三）合同生效条款由供需双方约定，法律、行政法规规定应当办理批准、登记等手续后生效的合同，依照其规定。</w:t>
      </w:r>
    </w:p>
    <w:p w14:paraId="380C399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（四）合同应根据竞争性比选文件以及成交供应商的响应文件签订。</w:t>
      </w:r>
    </w:p>
    <w:p w14:paraId="764D8162">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（五）其他未尽事宜由供需双方在采购合同中详细约定。</w:t>
      </w:r>
    </w:p>
    <w:p w14:paraId="301D2844">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b/>
          <w:color w:val="auto"/>
          <w:sz w:val="24"/>
          <w:szCs w:val="24"/>
          <w:highlight w:val="none"/>
          <w:lang w:eastAsia="zh-CN"/>
        </w:rPr>
        <w:t>九</w:t>
      </w:r>
      <w:r>
        <w:rPr>
          <w:rFonts w:hint="eastAsia" w:ascii="黑体" w:hAnsi="黑体" w:eastAsia="黑体" w:cs="黑体"/>
          <w:b/>
          <w:color w:val="auto"/>
          <w:sz w:val="24"/>
          <w:szCs w:val="24"/>
          <w:highlight w:val="none"/>
        </w:rPr>
        <w:t>、其他规定</w:t>
      </w:r>
    </w:p>
    <w:p w14:paraId="6354359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b/>
          <w:color w:val="auto"/>
          <w:highlight w:val="none"/>
        </w:rPr>
      </w:pPr>
      <w:r>
        <w:rPr>
          <w:rFonts w:hint="eastAsia" w:ascii="黑体" w:hAnsi="黑体" w:eastAsia="黑体" w:cs="黑体"/>
          <w:color w:val="auto"/>
          <w:sz w:val="24"/>
          <w:szCs w:val="24"/>
          <w:highlight w:val="none"/>
          <w:lang w:val="en-US" w:eastAsia="zh-CN"/>
        </w:rPr>
        <w:t>无</w:t>
      </w:r>
      <w:r>
        <w:rPr>
          <w:rFonts w:hint="eastAsia" w:ascii="黑体" w:hAnsi="黑体" w:eastAsia="黑体" w:cs="黑体"/>
          <w:b/>
          <w:color w:val="auto"/>
          <w:highlight w:val="none"/>
        </w:rPr>
        <w:br w:type="page"/>
      </w:r>
    </w:p>
    <w:p w14:paraId="4F374F98">
      <w:pPr>
        <w:pStyle w:val="2"/>
        <w:spacing w:before="0" w:beforeLines="0" w:after="0" w:afterLines="0" w:line="360" w:lineRule="auto"/>
        <w:rPr>
          <w:rFonts w:hint="eastAsia" w:ascii="黑体" w:hAnsi="黑体" w:eastAsia="黑体" w:cs="黑体"/>
          <w:b/>
          <w:color w:val="auto"/>
          <w:sz w:val="24"/>
          <w:szCs w:val="24"/>
          <w:highlight w:val="none"/>
        </w:rPr>
      </w:pPr>
      <w:bookmarkStart w:id="145" w:name="_Toc6207"/>
      <w:r>
        <w:rPr>
          <w:rFonts w:hint="eastAsia" w:ascii="黑体" w:hAnsi="黑体" w:eastAsia="黑体" w:cs="黑体"/>
          <w:b/>
          <w:color w:val="auto"/>
          <w:highlight w:val="none"/>
        </w:rPr>
        <w:t>第</w:t>
      </w:r>
      <w:r>
        <w:rPr>
          <w:rFonts w:hint="eastAsia" w:ascii="黑体" w:hAnsi="黑体" w:cs="黑体"/>
          <w:b/>
          <w:color w:val="auto"/>
          <w:highlight w:val="none"/>
          <w:lang w:eastAsia="zh-CN"/>
        </w:rPr>
        <w:t>六</w:t>
      </w:r>
      <w:r>
        <w:rPr>
          <w:rFonts w:hint="eastAsia" w:ascii="黑体" w:hAnsi="黑体" w:eastAsia="黑体" w:cs="黑体"/>
          <w:b/>
          <w:color w:val="auto"/>
          <w:highlight w:val="none"/>
        </w:rPr>
        <w:t>篇  响应文件格式</w:t>
      </w:r>
      <w:bookmarkEnd w:id="145"/>
    </w:p>
    <w:p w14:paraId="35F9B22E">
      <w:pPr>
        <w:ind w:right="1120"/>
        <w:jc w:val="left"/>
        <w:rPr>
          <w:rFonts w:hint="eastAsia" w:ascii="黑体" w:hAnsi="黑体" w:eastAsia="黑体" w:cs="黑体"/>
          <w:color w:val="auto"/>
          <w:highlight w:val="none"/>
        </w:rPr>
      </w:pPr>
      <w:r>
        <w:rPr>
          <w:rFonts w:hint="eastAsia" w:ascii="黑体" w:hAnsi="黑体" w:eastAsia="黑体" w:cs="黑体"/>
          <w:color w:val="auto"/>
          <w:highlight w:val="none"/>
        </w:rPr>
        <w:t>封面格式</w:t>
      </w:r>
    </w:p>
    <w:p w14:paraId="674E9415">
      <w:pPr>
        <w:tabs>
          <w:tab w:val="left" w:pos="3600"/>
          <w:tab w:val="left" w:pos="4480"/>
          <w:tab w:val="left" w:pos="5360"/>
        </w:tabs>
        <w:autoSpaceDE w:val="0"/>
        <w:autoSpaceDN w:val="0"/>
        <w:adjustRightInd w:val="0"/>
        <w:snapToGrid w:val="0"/>
        <w:spacing w:line="360" w:lineRule="auto"/>
        <w:jc w:val="both"/>
        <w:rPr>
          <w:rFonts w:hint="eastAsia" w:ascii="黑体" w:hAnsi="黑体" w:eastAsia="黑体" w:cs="黑体"/>
          <w:b/>
          <w:color w:val="auto"/>
          <w:kern w:val="0"/>
          <w:sz w:val="84"/>
          <w:szCs w:val="84"/>
          <w:highlight w:val="none"/>
        </w:rPr>
      </w:pPr>
      <w:r>
        <w:rPr>
          <w:rFonts w:hint="eastAsia" w:ascii="黑体" w:hAnsi="黑体" w:eastAsia="黑体" w:cs="黑体"/>
          <w:b/>
          <w:color w:val="auto"/>
          <w:kern w:val="0"/>
          <w:sz w:val="84"/>
          <w:szCs w:val="84"/>
          <w:highlight w:val="none"/>
        </w:rPr>
        <w:t xml:space="preserve">  </w:t>
      </w:r>
    </w:p>
    <w:p w14:paraId="09F95E64">
      <w:pPr>
        <w:tabs>
          <w:tab w:val="left" w:pos="3600"/>
          <w:tab w:val="left" w:pos="4480"/>
          <w:tab w:val="left" w:pos="5360"/>
        </w:tabs>
        <w:autoSpaceDE w:val="0"/>
        <w:autoSpaceDN w:val="0"/>
        <w:adjustRightInd w:val="0"/>
        <w:snapToGrid w:val="0"/>
        <w:spacing w:line="360" w:lineRule="auto"/>
        <w:jc w:val="center"/>
        <w:rPr>
          <w:rFonts w:hint="eastAsia" w:ascii="黑体" w:hAnsi="黑体" w:eastAsia="黑体" w:cs="黑体"/>
          <w:b/>
          <w:color w:val="auto"/>
          <w:kern w:val="0"/>
          <w:sz w:val="84"/>
          <w:szCs w:val="84"/>
          <w:highlight w:val="none"/>
        </w:rPr>
      </w:pPr>
      <w:r>
        <w:rPr>
          <w:rFonts w:hint="eastAsia" w:ascii="黑体" w:hAnsi="黑体" w:eastAsia="黑体" w:cs="黑体"/>
          <w:b/>
          <w:color w:val="auto"/>
          <w:kern w:val="0"/>
          <w:sz w:val="84"/>
          <w:szCs w:val="84"/>
          <w:highlight w:val="none"/>
        </w:rPr>
        <w:t>响应文件</w:t>
      </w:r>
    </w:p>
    <w:p w14:paraId="684BD3E2">
      <w:pPr>
        <w:autoSpaceDE w:val="0"/>
        <w:autoSpaceDN w:val="0"/>
        <w:adjustRightInd w:val="0"/>
        <w:snapToGrid w:val="0"/>
        <w:spacing w:line="360" w:lineRule="auto"/>
        <w:jc w:val="left"/>
        <w:rPr>
          <w:rFonts w:hint="eastAsia" w:ascii="黑体" w:hAnsi="黑体" w:eastAsia="黑体" w:cs="黑体"/>
          <w:color w:val="auto"/>
          <w:kern w:val="0"/>
          <w:sz w:val="16"/>
          <w:szCs w:val="16"/>
          <w:highlight w:val="none"/>
        </w:rPr>
      </w:pPr>
    </w:p>
    <w:p w14:paraId="6EEAB273">
      <w:pPr>
        <w:tabs>
          <w:tab w:val="left" w:pos="6904"/>
        </w:tabs>
        <w:autoSpaceDE w:val="0"/>
        <w:autoSpaceDN w:val="0"/>
        <w:adjustRightInd w:val="0"/>
        <w:snapToGrid w:val="0"/>
        <w:spacing w:line="360" w:lineRule="auto"/>
        <w:ind w:firstLine="1232" w:firstLineChars="443"/>
        <w:jc w:val="left"/>
        <w:rPr>
          <w:rFonts w:hint="eastAsia" w:ascii="黑体" w:hAnsi="黑体" w:eastAsia="黑体" w:cs="黑体"/>
          <w:b/>
          <w:color w:val="auto"/>
          <w:kern w:val="0"/>
          <w:szCs w:val="28"/>
          <w:highlight w:val="none"/>
        </w:rPr>
      </w:pPr>
      <w:r>
        <w:rPr>
          <w:rFonts w:hint="eastAsia" w:ascii="黑体" w:hAnsi="黑体" w:eastAsia="黑体" w:cs="黑体"/>
          <w:b/>
          <w:color w:val="auto"/>
          <w:w w:val="99"/>
          <w:kern w:val="0"/>
          <w:szCs w:val="28"/>
          <w:highlight w:val="none"/>
          <w:lang w:val="en-US" w:eastAsia="zh-CN"/>
        </w:rPr>
        <w:t>招标编号</w:t>
      </w:r>
      <w:r>
        <w:rPr>
          <w:rFonts w:hint="eastAsia" w:ascii="黑体" w:hAnsi="黑体" w:eastAsia="黑体" w:cs="黑体"/>
          <w:b/>
          <w:color w:val="auto"/>
          <w:w w:val="99"/>
          <w:kern w:val="0"/>
          <w:szCs w:val="28"/>
          <w:highlight w:val="none"/>
        </w:rPr>
        <w:t>：</w:t>
      </w:r>
      <w:r>
        <w:rPr>
          <w:rFonts w:hint="eastAsia" w:ascii="黑体" w:hAnsi="黑体" w:eastAsia="黑体" w:cs="黑体"/>
          <w:b/>
          <w:color w:val="auto"/>
          <w:w w:val="99"/>
          <w:kern w:val="0"/>
          <w:szCs w:val="28"/>
          <w:highlight w:val="none"/>
          <w:u w:val="single"/>
        </w:rPr>
        <w:t xml:space="preserve">                      </w:t>
      </w:r>
      <w:r>
        <w:rPr>
          <w:rFonts w:hint="eastAsia" w:ascii="黑体" w:hAnsi="黑体" w:eastAsia="黑体" w:cs="黑体"/>
          <w:b/>
          <w:color w:val="auto"/>
          <w:kern w:val="0"/>
          <w:szCs w:val="28"/>
          <w:highlight w:val="none"/>
          <w:u w:val="single"/>
        </w:rPr>
        <w:t xml:space="preserve">               </w:t>
      </w:r>
    </w:p>
    <w:p w14:paraId="571A38E1">
      <w:pPr>
        <w:tabs>
          <w:tab w:val="left" w:pos="6904"/>
        </w:tabs>
        <w:autoSpaceDE w:val="0"/>
        <w:autoSpaceDN w:val="0"/>
        <w:adjustRightInd w:val="0"/>
        <w:snapToGrid w:val="0"/>
        <w:spacing w:line="360" w:lineRule="auto"/>
        <w:ind w:firstLine="1232" w:firstLineChars="443"/>
        <w:jc w:val="left"/>
        <w:rPr>
          <w:rFonts w:hint="eastAsia" w:ascii="黑体" w:hAnsi="黑体" w:eastAsia="黑体" w:cs="黑体"/>
          <w:b/>
          <w:color w:val="auto"/>
          <w:kern w:val="0"/>
          <w:szCs w:val="28"/>
          <w:highlight w:val="none"/>
          <w:u w:val="single"/>
        </w:rPr>
      </w:pPr>
      <w:r>
        <w:rPr>
          <w:rFonts w:hint="eastAsia" w:ascii="黑体" w:hAnsi="黑体" w:eastAsia="黑体" w:cs="黑体"/>
          <w:b/>
          <w:color w:val="auto"/>
          <w:w w:val="99"/>
          <w:kern w:val="0"/>
          <w:szCs w:val="28"/>
          <w:highlight w:val="none"/>
        </w:rPr>
        <w:t>项目名称</w:t>
      </w:r>
      <w:r>
        <w:rPr>
          <w:rFonts w:hint="eastAsia" w:ascii="黑体" w:hAnsi="黑体" w:eastAsia="黑体" w:cs="黑体"/>
          <w:b/>
          <w:color w:val="auto"/>
          <w:kern w:val="0"/>
          <w:szCs w:val="28"/>
          <w:highlight w:val="none"/>
        </w:rPr>
        <w:t>：</w:t>
      </w:r>
      <w:r>
        <w:rPr>
          <w:rFonts w:hint="eastAsia" w:ascii="黑体" w:hAnsi="黑体" w:eastAsia="黑体" w:cs="黑体"/>
          <w:b/>
          <w:color w:val="auto"/>
          <w:kern w:val="0"/>
          <w:szCs w:val="28"/>
          <w:highlight w:val="none"/>
          <w:u w:val="single"/>
        </w:rPr>
        <w:t xml:space="preserve">                                     </w:t>
      </w:r>
    </w:p>
    <w:p w14:paraId="37F884B2">
      <w:pPr>
        <w:autoSpaceDE w:val="0"/>
        <w:autoSpaceDN w:val="0"/>
        <w:adjustRightInd w:val="0"/>
        <w:snapToGrid w:val="0"/>
        <w:spacing w:line="360" w:lineRule="auto"/>
        <w:jc w:val="left"/>
        <w:rPr>
          <w:rFonts w:hint="eastAsia" w:ascii="黑体" w:hAnsi="黑体" w:eastAsia="黑体" w:cs="黑体"/>
          <w:b/>
          <w:color w:val="auto"/>
          <w:kern w:val="0"/>
          <w:sz w:val="20"/>
          <w:highlight w:val="none"/>
        </w:rPr>
      </w:pPr>
    </w:p>
    <w:p w14:paraId="44B3F061">
      <w:pPr>
        <w:pStyle w:val="7"/>
        <w:ind w:left="0" w:leftChars="0" w:firstLine="0" w:firstLineChars="0"/>
        <w:rPr>
          <w:rFonts w:hint="eastAsia" w:ascii="黑体" w:hAnsi="黑体" w:eastAsia="黑体" w:cs="黑体"/>
          <w:b/>
          <w:color w:val="auto"/>
          <w:kern w:val="0"/>
          <w:sz w:val="20"/>
          <w:highlight w:val="none"/>
        </w:rPr>
      </w:pPr>
    </w:p>
    <w:p w14:paraId="5319AF3E">
      <w:pPr>
        <w:pStyle w:val="7"/>
        <w:ind w:left="0" w:leftChars="0" w:firstLine="0" w:firstLineChars="0"/>
        <w:rPr>
          <w:rFonts w:hint="eastAsia" w:ascii="黑体" w:hAnsi="黑体" w:eastAsia="黑体" w:cs="黑体"/>
          <w:b/>
          <w:color w:val="auto"/>
          <w:kern w:val="0"/>
          <w:sz w:val="20"/>
          <w:highlight w:val="none"/>
        </w:rPr>
      </w:pPr>
    </w:p>
    <w:p w14:paraId="48C4E1EE">
      <w:pPr>
        <w:autoSpaceDE w:val="0"/>
        <w:autoSpaceDN w:val="0"/>
        <w:adjustRightInd w:val="0"/>
        <w:snapToGrid w:val="0"/>
        <w:spacing w:line="360" w:lineRule="auto"/>
        <w:jc w:val="left"/>
        <w:rPr>
          <w:rFonts w:hint="eastAsia" w:ascii="黑体" w:hAnsi="黑体" w:eastAsia="黑体" w:cs="黑体"/>
          <w:b/>
          <w:color w:val="auto"/>
          <w:kern w:val="0"/>
          <w:sz w:val="20"/>
          <w:highlight w:val="none"/>
        </w:rPr>
      </w:pPr>
    </w:p>
    <w:p w14:paraId="45E709D8">
      <w:pPr>
        <w:tabs>
          <w:tab w:val="left" w:pos="6080"/>
          <w:tab w:val="left" w:pos="6640"/>
        </w:tabs>
        <w:autoSpaceDE w:val="0"/>
        <w:autoSpaceDN w:val="0"/>
        <w:adjustRightInd w:val="0"/>
        <w:snapToGrid w:val="0"/>
        <w:spacing w:line="360" w:lineRule="auto"/>
        <w:ind w:firstLine="1260" w:firstLineChars="450"/>
        <w:rPr>
          <w:rFonts w:hint="eastAsia" w:ascii="黑体" w:hAnsi="黑体" w:eastAsia="黑体" w:cs="黑体"/>
          <w:b/>
          <w:color w:val="auto"/>
          <w:w w:val="99"/>
          <w:kern w:val="0"/>
          <w:szCs w:val="28"/>
          <w:highlight w:val="none"/>
        </w:rPr>
      </w:pPr>
      <w:r>
        <w:rPr>
          <w:rFonts w:hint="eastAsia" w:ascii="黑体" w:hAnsi="黑体" w:eastAsia="黑体" w:cs="黑体"/>
          <w:b/>
          <w:color w:val="auto"/>
          <w:spacing w:val="1"/>
          <w:w w:val="99"/>
          <w:kern w:val="0"/>
          <w:szCs w:val="28"/>
          <w:highlight w:val="none"/>
        </w:rPr>
        <w:t>供应商：</w:t>
      </w:r>
      <w:r>
        <w:rPr>
          <w:rFonts w:hint="eastAsia" w:ascii="黑体" w:hAnsi="黑体" w:eastAsia="黑体" w:cs="黑体"/>
          <w:b/>
          <w:color w:val="auto"/>
          <w:w w:val="198"/>
          <w:kern w:val="0"/>
          <w:szCs w:val="28"/>
          <w:highlight w:val="none"/>
          <w:u w:val="single"/>
        </w:rPr>
        <w:t xml:space="preserve"> 　　  　　 　　</w:t>
      </w:r>
      <w:r>
        <w:rPr>
          <w:rFonts w:hint="eastAsia" w:ascii="黑体" w:hAnsi="黑体" w:eastAsia="黑体" w:cs="黑体"/>
          <w:b/>
          <w:color w:val="auto"/>
          <w:w w:val="99"/>
          <w:kern w:val="0"/>
          <w:szCs w:val="28"/>
          <w:highlight w:val="none"/>
        </w:rPr>
        <w:t>（供应商公章）</w:t>
      </w:r>
    </w:p>
    <w:p w14:paraId="132D52C9">
      <w:pPr>
        <w:tabs>
          <w:tab w:val="left" w:pos="6080"/>
          <w:tab w:val="left" w:pos="6640"/>
        </w:tabs>
        <w:autoSpaceDE w:val="0"/>
        <w:autoSpaceDN w:val="0"/>
        <w:adjustRightInd w:val="0"/>
        <w:snapToGrid w:val="0"/>
        <w:spacing w:line="360" w:lineRule="auto"/>
        <w:ind w:firstLine="1251" w:firstLineChars="450"/>
        <w:rPr>
          <w:rFonts w:hint="eastAsia" w:ascii="黑体" w:hAnsi="黑体" w:eastAsia="黑体" w:cs="黑体"/>
          <w:b/>
          <w:color w:val="auto"/>
          <w:w w:val="99"/>
          <w:kern w:val="0"/>
          <w:szCs w:val="28"/>
          <w:highlight w:val="none"/>
        </w:rPr>
      </w:pPr>
      <w:r>
        <w:rPr>
          <w:rFonts w:hint="eastAsia" w:ascii="黑体" w:hAnsi="黑体" w:eastAsia="黑体" w:cs="黑体"/>
          <w:b/>
          <w:color w:val="auto"/>
          <w:w w:val="99"/>
          <w:kern w:val="0"/>
          <w:szCs w:val="28"/>
          <w:highlight w:val="none"/>
        </w:rPr>
        <w:t>法定代表人或其授权代表：</w:t>
      </w:r>
      <w:r>
        <w:rPr>
          <w:rFonts w:hint="eastAsia" w:ascii="黑体" w:hAnsi="黑体" w:eastAsia="黑体" w:cs="黑体"/>
          <w:b/>
          <w:color w:val="auto"/>
          <w:w w:val="198"/>
          <w:kern w:val="0"/>
          <w:szCs w:val="28"/>
          <w:highlight w:val="none"/>
          <w:u w:val="single"/>
        </w:rPr>
        <w:t xml:space="preserve"> 　　 　</w:t>
      </w:r>
      <w:r>
        <w:rPr>
          <w:rFonts w:hint="eastAsia" w:ascii="黑体" w:hAnsi="黑体" w:eastAsia="黑体" w:cs="黑体"/>
          <w:b/>
          <w:color w:val="auto"/>
          <w:w w:val="99"/>
          <w:kern w:val="0"/>
          <w:szCs w:val="28"/>
          <w:highlight w:val="none"/>
        </w:rPr>
        <w:t>（签章或签字）</w:t>
      </w:r>
    </w:p>
    <w:p w14:paraId="7E176A69">
      <w:pPr>
        <w:snapToGrid w:val="0"/>
        <w:spacing w:line="440" w:lineRule="exact"/>
        <w:ind w:firstLine="556" w:firstLineChars="200"/>
        <w:jc w:val="center"/>
        <w:rPr>
          <w:rFonts w:hint="eastAsia" w:ascii="黑体" w:hAnsi="黑体" w:eastAsia="黑体" w:cs="黑体"/>
          <w:b/>
          <w:color w:val="auto"/>
          <w:w w:val="99"/>
          <w:kern w:val="0"/>
          <w:szCs w:val="28"/>
          <w:highlight w:val="none"/>
        </w:rPr>
      </w:pPr>
      <w:r>
        <w:rPr>
          <w:rFonts w:hint="eastAsia" w:ascii="黑体" w:hAnsi="黑体" w:eastAsia="黑体" w:cs="黑体"/>
          <w:b/>
          <w:color w:val="auto"/>
          <w:w w:val="99"/>
          <w:kern w:val="0"/>
          <w:szCs w:val="28"/>
          <w:highlight w:val="none"/>
          <w:u w:val="single"/>
        </w:rPr>
        <w:t xml:space="preserve">       </w:t>
      </w:r>
      <w:r>
        <w:rPr>
          <w:rFonts w:hint="eastAsia" w:ascii="黑体" w:hAnsi="黑体" w:eastAsia="黑体" w:cs="黑体"/>
          <w:b/>
          <w:color w:val="auto"/>
          <w:w w:val="99"/>
          <w:kern w:val="0"/>
          <w:szCs w:val="28"/>
          <w:highlight w:val="none"/>
        </w:rPr>
        <w:t>年</w:t>
      </w:r>
      <w:r>
        <w:rPr>
          <w:rFonts w:hint="eastAsia" w:ascii="黑体" w:hAnsi="黑体" w:eastAsia="黑体" w:cs="黑体"/>
          <w:b/>
          <w:color w:val="auto"/>
          <w:w w:val="198"/>
          <w:kern w:val="0"/>
          <w:szCs w:val="28"/>
          <w:highlight w:val="none"/>
          <w:u w:val="single"/>
        </w:rPr>
        <w:t xml:space="preserve">  </w:t>
      </w:r>
      <w:r>
        <w:rPr>
          <w:rFonts w:hint="eastAsia" w:ascii="黑体" w:hAnsi="黑体" w:eastAsia="黑体" w:cs="黑体"/>
          <w:b/>
          <w:color w:val="auto"/>
          <w:w w:val="99"/>
          <w:kern w:val="0"/>
          <w:szCs w:val="28"/>
          <w:highlight w:val="none"/>
        </w:rPr>
        <w:t>月</w:t>
      </w:r>
      <w:r>
        <w:rPr>
          <w:rFonts w:hint="eastAsia" w:ascii="黑体" w:hAnsi="黑体" w:eastAsia="黑体" w:cs="黑体"/>
          <w:b/>
          <w:color w:val="auto"/>
          <w:w w:val="198"/>
          <w:kern w:val="0"/>
          <w:szCs w:val="28"/>
          <w:highlight w:val="none"/>
          <w:u w:val="single"/>
        </w:rPr>
        <w:t xml:space="preserve">  </w:t>
      </w:r>
      <w:r>
        <w:rPr>
          <w:rFonts w:hint="eastAsia" w:ascii="黑体" w:hAnsi="黑体" w:eastAsia="黑体" w:cs="黑体"/>
          <w:b/>
          <w:color w:val="auto"/>
          <w:w w:val="99"/>
          <w:kern w:val="0"/>
          <w:szCs w:val="28"/>
          <w:highlight w:val="none"/>
        </w:rPr>
        <w:t>日</w:t>
      </w:r>
    </w:p>
    <w:p w14:paraId="654F4A18">
      <w:pPr>
        <w:snapToGrid w:val="0"/>
        <w:spacing w:line="400" w:lineRule="exact"/>
        <w:ind w:firstLine="556" w:firstLineChars="200"/>
        <w:rPr>
          <w:rFonts w:hint="eastAsia" w:ascii="黑体" w:hAnsi="黑体" w:eastAsia="黑体" w:cs="黑体"/>
          <w:b/>
          <w:color w:val="auto"/>
          <w:sz w:val="24"/>
          <w:szCs w:val="24"/>
          <w:highlight w:val="none"/>
        </w:rPr>
      </w:pPr>
      <w:r>
        <w:rPr>
          <w:rFonts w:hint="eastAsia" w:ascii="黑体" w:hAnsi="黑体" w:eastAsia="黑体" w:cs="黑体"/>
          <w:b/>
          <w:color w:val="auto"/>
          <w:w w:val="99"/>
          <w:kern w:val="0"/>
          <w:szCs w:val="28"/>
          <w:highlight w:val="none"/>
        </w:rPr>
        <w:br w:type="page"/>
      </w:r>
      <w:r>
        <w:rPr>
          <w:rFonts w:hint="eastAsia" w:ascii="黑体" w:hAnsi="黑体" w:eastAsia="黑体" w:cs="黑体"/>
          <w:b/>
          <w:color w:val="auto"/>
          <w:sz w:val="24"/>
          <w:szCs w:val="24"/>
          <w:highlight w:val="none"/>
        </w:rPr>
        <w:t>一、经济文件</w:t>
      </w:r>
    </w:p>
    <w:p w14:paraId="746F0173">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（一）开标一览表</w:t>
      </w:r>
    </w:p>
    <w:p w14:paraId="0BF8820B">
      <w:pPr>
        <w:snapToGrid w:val="0"/>
        <w:spacing w:line="400" w:lineRule="exact"/>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二</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报价明细表</w:t>
      </w:r>
    </w:p>
    <w:p w14:paraId="6B5A6333">
      <w:pPr>
        <w:snapToGrid w:val="0"/>
        <w:spacing w:line="400" w:lineRule="exact"/>
        <w:ind w:firstLine="482" w:firstLineChars="20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二、技术（质量）文件</w:t>
      </w:r>
    </w:p>
    <w:p w14:paraId="556CB3F5">
      <w:pPr>
        <w:snapToGrid w:val="0"/>
        <w:spacing w:line="400" w:lineRule="exact"/>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（一）技术（质量）条款差异表</w:t>
      </w:r>
    </w:p>
    <w:p w14:paraId="67AC355F">
      <w:pPr>
        <w:snapToGrid w:val="0"/>
        <w:spacing w:line="400" w:lineRule="exact"/>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（二）其他技术（质量）资料</w:t>
      </w:r>
    </w:p>
    <w:p w14:paraId="3A4E1006">
      <w:pPr>
        <w:snapToGrid w:val="0"/>
        <w:spacing w:line="400" w:lineRule="exact"/>
        <w:ind w:firstLine="482" w:firstLineChars="20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三、商务文件</w:t>
      </w:r>
    </w:p>
    <w:p w14:paraId="727DBC4B">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（一）投标函（格式）</w:t>
      </w:r>
    </w:p>
    <w:p w14:paraId="562582B4">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（二）商务条款差异表</w:t>
      </w:r>
    </w:p>
    <w:p w14:paraId="19D7B3D9">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w:t>
      </w:r>
      <w:r>
        <w:rPr>
          <w:rFonts w:hint="eastAsia" w:ascii="黑体" w:hAnsi="黑体" w:eastAsia="黑体" w:cs="黑体"/>
          <w:color w:val="auto"/>
          <w:sz w:val="24"/>
          <w:szCs w:val="28"/>
          <w:highlight w:val="none"/>
        </w:rPr>
        <w:t>其他商务资料</w:t>
      </w:r>
    </w:p>
    <w:p w14:paraId="7D3920FF">
      <w:pPr>
        <w:snapToGrid w:val="0"/>
        <w:spacing w:line="400" w:lineRule="exact"/>
        <w:ind w:firstLine="482" w:firstLineChars="20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四、资格文件</w:t>
      </w:r>
    </w:p>
    <w:p w14:paraId="3F1CFD0B">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（一）法人营业执照（副本）或事业单位法人证书（副本）或个体工商户营业执照或有效的自然人身份证明或社会团体法人登记证书复印件</w:t>
      </w:r>
    </w:p>
    <w:p w14:paraId="7F9483D7">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（二）法定代表人身份证明书（格式）</w:t>
      </w:r>
    </w:p>
    <w:p w14:paraId="0AF09643">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（三）法定代表人授权委托书（格式）</w:t>
      </w:r>
    </w:p>
    <w:p w14:paraId="3E8D8B27">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（四）基本资格条件承诺函（格式）</w:t>
      </w:r>
    </w:p>
    <w:p w14:paraId="3EA865E6">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（五）特定资格条件证书或证明文件</w:t>
      </w:r>
    </w:p>
    <w:p w14:paraId="56C89AEF">
      <w:pPr>
        <w:snapToGrid w:val="0"/>
        <w:spacing w:line="400" w:lineRule="exact"/>
        <w:ind w:firstLine="480" w:firstLineChars="200"/>
        <w:rPr>
          <w:rFonts w:hint="eastAsia" w:ascii="黑体" w:hAnsi="黑体" w:eastAsia="黑体" w:cs="黑体"/>
          <w:color w:val="auto"/>
          <w:sz w:val="24"/>
          <w:szCs w:val="28"/>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六</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8"/>
          <w:highlight w:val="none"/>
          <w:lang w:val="en-US" w:eastAsia="zh-CN"/>
        </w:rPr>
        <w:t>投标廉政承诺</w:t>
      </w:r>
    </w:p>
    <w:p w14:paraId="4F0E5A19">
      <w:pPr>
        <w:snapToGrid w:val="0"/>
        <w:spacing w:line="400" w:lineRule="exact"/>
        <w:ind w:firstLine="480" w:firstLineChars="200"/>
        <w:rPr>
          <w:rFonts w:hint="eastAsia" w:ascii="黑体" w:hAnsi="黑体" w:eastAsia="黑体" w:cs="黑体"/>
          <w:color w:val="auto"/>
          <w:sz w:val="24"/>
          <w:szCs w:val="28"/>
          <w:highlight w:val="none"/>
          <w:lang w:val="en-US" w:eastAsia="zh-CN"/>
        </w:rPr>
      </w:pPr>
      <w:r>
        <w:rPr>
          <w:rFonts w:hint="eastAsia" w:ascii="黑体" w:hAnsi="黑体" w:eastAsia="黑体" w:cs="黑体"/>
          <w:color w:val="auto"/>
          <w:sz w:val="24"/>
          <w:szCs w:val="28"/>
          <w:highlight w:val="none"/>
          <w:lang w:val="en-US" w:eastAsia="zh-CN"/>
        </w:rPr>
        <w:t>（七）其他资料</w:t>
      </w:r>
    </w:p>
    <w:p w14:paraId="6AB0D77F">
      <w:pPr>
        <w:pStyle w:val="3"/>
        <w:pageBreakBefore/>
        <w:spacing w:line="500" w:lineRule="exact"/>
        <w:ind w:firstLine="562" w:firstLineChars="200"/>
        <w:rPr>
          <w:rFonts w:hint="eastAsia" w:ascii="黑体" w:hAnsi="黑体" w:eastAsia="黑体" w:cs="黑体"/>
          <w:b/>
          <w:color w:val="auto"/>
          <w:szCs w:val="28"/>
          <w:highlight w:val="none"/>
        </w:rPr>
      </w:pPr>
      <w:bookmarkStart w:id="146" w:name="_Toc7958"/>
      <w:bookmarkStart w:id="147" w:name="_Toc429584884"/>
      <w:bookmarkStart w:id="148" w:name="_Toc3096"/>
      <w:bookmarkStart w:id="149" w:name="_Toc63"/>
      <w:bookmarkStart w:id="150" w:name="_Toc75793540"/>
      <w:r>
        <w:rPr>
          <w:rFonts w:hint="eastAsia" w:ascii="黑体" w:hAnsi="黑体" w:eastAsia="黑体" w:cs="黑体"/>
          <w:b/>
          <w:color w:val="auto"/>
          <w:szCs w:val="28"/>
          <w:highlight w:val="none"/>
        </w:rPr>
        <w:t>一、经济文件</w:t>
      </w:r>
      <w:bookmarkEnd w:id="146"/>
      <w:bookmarkEnd w:id="147"/>
      <w:bookmarkEnd w:id="148"/>
      <w:bookmarkEnd w:id="149"/>
      <w:bookmarkEnd w:id="150"/>
    </w:p>
    <w:p w14:paraId="4B348A76">
      <w:pPr>
        <w:snapToGrid w:val="0"/>
        <w:spacing w:line="500" w:lineRule="exact"/>
        <w:jc w:val="center"/>
        <w:rPr>
          <w:rFonts w:hint="eastAsia" w:ascii="黑体" w:hAnsi="黑体" w:eastAsia="黑体" w:cs="黑体"/>
          <w:color w:val="auto"/>
          <w:szCs w:val="36"/>
          <w:highlight w:val="none"/>
        </w:rPr>
      </w:pPr>
      <w:r>
        <w:rPr>
          <w:rFonts w:hint="eastAsia" w:ascii="黑体" w:hAnsi="黑体" w:eastAsia="黑体" w:cs="黑体"/>
          <w:color w:val="auto"/>
          <w:szCs w:val="36"/>
          <w:highlight w:val="none"/>
        </w:rPr>
        <w:t>（一）开标一览表</w:t>
      </w:r>
    </w:p>
    <w:p w14:paraId="5D6C0625">
      <w:pPr>
        <w:snapToGrid w:val="0"/>
        <w:spacing w:line="400" w:lineRule="exact"/>
        <w:ind w:firstLine="480" w:firstLineChars="200"/>
        <w:rPr>
          <w:rFonts w:hint="eastAsia" w:ascii="黑体" w:hAnsi="黑体" w:eastAsia="黑体" w:cs="黑体"/>
          <w:highlight w:val="none"/>
          <w:lang w:val="en-US" w:eastAsia="zh-CN"/>
        </w:rPr>
      </w:pPr>
      <w:r>
        <w:rPr>
          <w:rFonts w:hint="eastAsia" w:ascii="黑体" w:hAnsi="黑体" w:eastAsia="黑体" w:cs="黑体"/>
          <w:color w:val="auto"/>
          <w:sz w:val="24"/>
          <w:szCs w:val="28"/>
          <w:highlight w:val="none"/>
          <w:lang w:val="en-US" w:eastAsia="zh-CN"/>
        </w:rPr>
        <w:t>招标</w:t>
      </w:r>
      <w:r>
        <w:rPr>
          <w:rFonts w:hint="eastAsia" w:ascii="黑体" w:hAnsi="黑体" w:eastAsia="黑体" w:cs="黑体"/>
          <w:color w:val="auto"/>
          <w:sz w:val="24"/>
          <w:szCs w:val="28"/>
          <w:highlight w:val="none"/>
        </w:rPr>
        <w:t>编号：</w:t>
      </w:r>
    </w:p>
    <w:tbl>
      <w:tblPr>
        <w:tblStyle w:val="23"/>
        <w:tblpPr w:leftFromText="180" w:rightFromText="180" w:vertAnchor="text" w:horzAnchor="page" w:tblpX="1302" w:tblpY="484"/>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867"/>
        <w:gridCol w:w="3210"/>
        <w:gridCol w:w="1924"/>
      </w:tblGrid>
      <w:tr w14:paraId="5B11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627" w:type="dxa"/>
            <w:vAlign w:val="center"/>
          </w:tcPr>
          <w:p w14:paraId="683E7B87">
            <w:pPr>
              <w:jc w:val="center"/>
              <w:rPr>
                <w:rFonts w:hint="eastAsia" w:ascii="黑体" w:hAnsi="黑体" w:eastAsia="黑体" w:cs="黑体"/>
                <w:color w:val="auto"/>
                <w:sz w:val="21"/>
                <w:szCs w:val="28"/>
                <w:highlight w:val="none"/>
              </w:rPr>
            </w:pPr>
            <w:r>
              <w:rPr>
                <w:rFonts w:hint="eastAsia" w:ascii="黑体" w:hAnsi="黑体" w:eastAsia="黑体" w:cs="黑体"/>
                <w:color w:val="auto"/>
                <w:sz w:val="21"/>
                <w:szCs w:val="28"/>
                <w:highlight w:val="none"/>
                <w:lang w:eastAsia="zh-CN"/>
              </w:rPr>
              <w:t>供应商</w:t>
            </w:r>
            <w:r>
              <w:rPr>
                <w:rFonts w:hint="eastAsia" w:ascii="黑体" w:hAnsi="黑体" w:eastAsia="黑体" w:cs="黑体"/>
                <w:color w:val="auto"/>
                <w:sz w:val="21"/>
                <w:szCs w:val="28"/>
                <w:highlight w:val="none"/>
              </w:rPr>
              <w:t>名称</w:t>
            </w:r>
          </w:p>
        </w:tc>
        <w:tc>
          <w:tcPr>
            <w:tcW w:w="8001" w:type="dxa"/>
            <w:gridSpan w:val="3"/>
            <w:vAlign w:val="center"/>
          </w:tcPr>
          <w:p w14:paraId="24B9F8EF">
            <w:pPr>
              <w:jc w:val="center"/>
              <w:rPr>
                <w:rFonts w:hint="eastAsia" w:ascii="黑体" w:hAnsi="黑体" w:eastAsia="黑体" w:cs="黑体"/>
                <w:color w:val="auto"/>
                <w:sz w:val="21"/>
                <w:szCs w:val="28"/>
                <w:highlight w:val="none"/>
              </w:rPr>
            </w:pPr>
          </w:p>
        </w:tc>
      </w:tr>
      <w:tr w14:paraId="2898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494" w:type="dxa"/>
            <w:gridSpan w:val="2"/>
            <w:vAlign w:val="center"/>
          </w:tcPr>
          <w:p w14:paraId="30C8AD5D">
            <w:pPr>
              <w:jc w:val="center"/>
              <w:rPr>
                <w:rFonts w:hint="eastAsia" w:ascii="黑体" w:hAnsi="黑体" w:eastAsia="黑体" w:cs="黑体"/>
                <w:color w:val="auto"/>
                <w:sz w:val="21"/>
                <w:szCs w:val="28"/>
                <w:highlight w:val="none"/>
              </w:rPr>
            </w:pPr>
            <w:r>
              <w:rPr>
                <w:rFonts w:hint="eastAsia" w:ascii="黑体" w:hAnsi="黑体" w:eastAsia="黑体" w:cs="黑体"/>
                <w:color w:val="auto"/>
                <w:sz w:val="21"/>
                <w:szCs w:val="28"/>
                <w:highlight w:val="none"/>
              </w:rPr>
              <w:t>项目名称</w:t>
            </w:r>
          </w:p>
        </w:tc>
        <w:tc>
          <w:tcPr>
            <w:tcW w:w="3210" w:type="dxa"/>
            <w:vAlign w:val="center"/>
          </w:tcPr>
          <w:p w14:paraId="73E70902">
            <w:pPr>
              <w:jc w:val="center"/>
              <w:rPr>
                <w:rFonts w:hint="eastAsia" w:ascii="黑体" w:hAnsi="黑体" w:eastAsia="黑体" w:cs="黑体"/>
                <w:color w:val="auto"/>
                <w:sz w:val="21"/>
                <w:szCs w:val="28"/>
                <w:highlight w:val="none"/>
                <w:lang w:eastAsia="zh-CN"/>
              </w:rPr>
            </w:pPr>
            <w:r>
              <w:rPr>
                <w:rFonts w:hint="eastAsia" w:ascii="黑体" w:hAnsi="黑体" w:eastAsia="黑体" w:cs="黑体"/>
                <w:color w:val="auto"/>
                <w:sz w:val="21"/>
                <w:szCs w:val="21"/>
                <w:highlight w:val="none"/>
                <w:lang w:val="en-US" w:eastAsia="zh-CN"/>
              </w:rPr>
              <w:t>投标总报价（元）</w:t>
            </w:r>
          </w:p>
        </w:tc>
        <w:tc>
          <w:tcPr>
            <w:tcW w:w="1924" w:type="dxa"/>
            <w:vAlign w:val="center"/>
          </w:tcPr>
          <w:p w14:paraId="09F00B8A">
            <w:pPr>
              <w:jc w:val="center"/>
              <w:rPr>
                <w:rFonts w:hint="eastAsia" w:ascii="黑体" w:hAnsi="黑体" w:eastAsia="黑体" w:cs="黑体"/>
                <w:color w:val="auto"/>
                <w:sz w:val="21"/>
                <w:szCs w:val="28"/>
                <w:highlight w:val="none"/>
                <w:lang w:eastAsia="zh-CN"/>
              </w:rPr>
            </w:pPr>
            <w:r>
              <w:rPr>
                <w:rFonts w:hint="eastAsia" w:ascii="黑体" w:hAnsi="黑体" w:eastAsia="黑体" w:cs="黑体"/>
                <w:color w:val="auto"/>
                <w:sz w:val="21"/>
                <w:szCs w:val="28"/>
                <w:highlight w:val="none"/>
                <w:lang w:val="en-US" w:eastAsia="zh-CN"/>
              </w:rPr>
              <w:t>备注</w:t>
            </w:r>
          </w:p>
        </w:tc>
      </w:tr>
      <w:tr w14:paraId="2BC3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494" w:type="dxa"/>
            <w:gridSpan w:val="2"/>
            <w:tcBorders>
              <w:bottom w:val="single" w:color="auto" w:sz="4" w:space="0"/>
            </w:tcBorders>
            <w:vAlign w:val="center"/>
          </w:tcPr>
          <w:p w14:paraId="2F8DEC7D">
            <w:pPr>
              <w:jc w:val="center"/>
              <w:rPr>
                <w:rFonts w:hint="eastAsia" w:ascii="黑体" w:hAnsi="黑体" w:eastAsia="黑体" w:cs="黑体"/>
                <w:color w:val="auto"/>
                <w:sz w:val="21"/>
                <w:szCs w:val="28"/>
                <w:highlight w:val="none"/>
                <w:lang w:val="en-US" w:eastAsia="zh-CN"/>
              </w:rPr>
            </w:pPr>
          </w:p>
          <w:p w14:paraId="3F1A15C5">
            <w:pPr>
              <w:jc w:val="center"/>
              <w:rPr>
                <w:rFonts w:hint="eastAsia" w:ascii="黑体" w:hAnsi="黑体" w:eastAsia="黑体" w:cs="黑体"/>
                <w:color w:val="auto"/>
                <w:sz w:val="21"/>
                <w:szCs w:val="28"/>
                <w:highlight w:val="none"/>
                <w:lang w:val="en-US" w:eastAsia="zh-CN"/>
              </w:rPr>
            </w:pPr>
          </w:p>
        </w:tc>
        <w:tc>
          <w:tcPr>
            <w:tcW w:w="3210" w:type="dxa"/>
            <w:tcBorders>
              <w:bottom w:val="single" w:color="auto" w:sz="4" w:space="0"/>
            </w:tcBorders>
            <w:vAlign w:val="top"/>
          </w:tcPr>
          <w:p w14:paraId="49F2C6C5">
            <w:pPr>
              <w:jc w:val="center"/>
              <w:rPr>
                <w:rFonts w:hint="eastAsia" w:ascii="黑体" w:hAnsi="黑体" w:eastAsia="黑体" w:cs="黑体"/>
                <w:color w:val="auto"/>
                <w:sz w:val="21"/>
                <w:szCs w:val="28"/>
                <w:highlight w:val="none"/>
              </w:rPr>
            </w:pPr>
          </w:p>
        </w:tc>
        <w:tc>
          <w:tcPr>
            <w:tcW w:w="1924" w:type="dxa"/>
            <w:tcBorders>
              <w:bottom w:val="single" w:color="auto" w:sz="4" w:space="0"/>
            </w:tcBorders>
            <w:vAlign w:val="top"/>
          </w:tcPr>
          <w:p w14:paraId="0B7614AA">
            <w:pPr>
              <w:jc w:val="center"/>
              <w:rPr>
                <w:rFonts w:hint="eastAsia" w:ascii="黑体" w:hAnsi="黑体" w:eastAsia="黑体" w:cs="黑体"/>
                <w:color w:val="auto"/>
                <w:sz w:val="21"/>
                <w:szCs w:val="28"/>
                <w:highlight w:val="none"/>
              </w:rPr>
            </w:pPr>
          </w:p>
        </w:tc>
      </w:tr>
      <w:tr w14:paraId="0FF5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3E158669">
            <w:pPr>
              <w:spacing w:line="560" w:lineRule="exact"/>
              <w:rPr>
                <w:rFonts w:hint="eastAsia" w:ascii="黑体" w:hAnsi="黑体" w:eastAsia="黑体" w:cs="黑体"/>
                <w:color w:val="auto"/>
                <w:sz w:val="21"/>
                <w:szCs w:val="28"/>
                <w:highlight w:val="none"/>
                <w:lang w:eastAsia="zh-CN"/>
              </w:rPr>
            </w:pPr>
            <w:r>
              <w:rPr>
                <w:rFonts w:hint="eastAsia" w:ascii="黑体" w:hAnsi="黑体" w:eastAsia="黑体" w:cs="黑体"/>
                <w:color w:val="auto"/>
                <w:sz w:val="21"/>
                <w:szCs w:val="28"/>
                <w:highlight w:val="none"/>
                <w:lang w:val="en-US" w:eastAsia="zh-CN"/>
              </w:rPr>
              <w:t>投标总</w:t>
            </w:r>
            <w:r>
              <w:rPr>
                <w:rFonts w:hint="eastAsia" w:ascii="黑体" w:hAnsi="黑体" w:eastAsia="黑体" w:cs="黑体"/>
                <w:color w:val="auto"/>
                <w:sz w:val="21"/>
                <w:szCs w:val="28"/>
                <w:highlight w:val="none"/>
                <w:lang w:eastAsia="zh-CN"/>
              </w:rPr>
              <w:t>报价（大写）：</w:t>
            </w:r>
            <w:r>
              <w:rPr>
                <w:rFonts w:hint="eastAsia" w:ascii="黑体" w:hAnsi="黑体" w:eastAsia="黑体" w:cs="黑体"/>
                <w:color w:val="auto"/>
                <w:sz w:val="21"/>
                <w:szCs w:val="28"/>
                <w:highlight w:val="none"/>
                <w:u w:val="single"/>
                <w:lang w:eastAsia="zh-CN"/>
              </w:rPr>
              <w:t xml:space="preserve">               </w:t>
            </w:r>
          </w:p>
        </w:tc>
      </w:tr>
      <w:tr w14:paraId="4115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6EF68C93">
            <w:pPr>
              <w:pStyle w:val="12"/>
              <w:spacing w:line="500" w:lineRule="exact"/>
              <w:rPr>
                <w:rFonts w:hint="eastAsia" w:ascii="黑体" w:hAnsi="黑体" w:eastAsia="黑体" w:cs="黑体"/>
                <w:color w:val="auto"/>
                <w:sz w:val="21"/>
                <w:highlight w:val="none"/>
              </w:rPr>
            </w:pPr>
            <w:r>
              <w:rPr>
                <w:rFonts w:hint="eastAsia" w:ascii="黑体" w:hAnsi="黑体" w:eastAsia="黑体" w:cs="黑体"/>
                <w:color w:val="auto"/>
                <w:sz w:val="21"/>
                <w:highlight w:val="none"/>
              </w:rPr>
              <w:t xml:space="preserve">备注： </w:t>
            </w:r>
          </w:p>
        </w:tc>
      </w:tr>
    </w:tbl>
    <w:p w14:paraId="018D2A0E">
      <w:pPr>
        <w:snapToGrid w:val="0"/>
        <w:spacing w:line="400" w:lineRule="exact"/>
        <w:ind w:firstLine="480" w:firstLineChars="200"/>
        <w:rPr>
          <w:rFonts w:hint="eastAsia" w:ascii="黑体" w:hAnsi="黑体" w:eastAsia="黑体" w:cs="黑体"/>
          <w:color w:val="auto"/>
          <w:sz w:val="24"/>
          <w:szCs w:val="28"/>
          <w:highlight w:val="none"/>
        </w:rPr>
      </w:pPr>
    </w:p>
    <w:p w14:paraId="10A89729">
      <w:pPr>
        <w:pStyle w:val="12"/>
        <w:spacing w:line="500" w:lineRule="exact"/>
        <w:rPr>
          <w:rFonts w:hint="eastAsia" w:ascii="黑体" w:hAnsi="黑体" w:eastAsia="黑体" w:cs="黑体"/>
          <w:color w:val="auto"/>
          <w:sz w:val="24"/>
          <w:szCs w:val="28"/>
          <w:highlight w:val="none"/>
        </w:rPr>
      </w:pPr>
    </w:p>
    <w:p w14:paraId="70202366">
      <w:pPr>
        <w:rPr>
          <w:rFonts w:hint="eastAsia" w:ascii="黑体" w:hAnsi="黑体" w:eastAsia="黑体" w:cs="黑体"/>
          <w:color w:val="auto"/>
          <w:highlight w:val="none"/>
        </w:rPr>
      </w:pPr>
    </w:p>
    <w:p w14:paraId="6E89732A">
      <w:pPr>
        <w:spacing w:line="500" w:lineRule="exact"/>
        <w:rPr>
          <w:rFonts w:hint="eastAsia" w:ascii="黑体" w:hAnsi="黑体" w:eastAsia="黑体" w:cs="黑体"/>
          <w:color w:val="auto"/>
          <w:sz w:val="24"/>
          <w:szCs w:val="28"/>
          <w:highlight w:val="none"/>
        </w:rPr>
      </w:pPr>
    </w:p>
    <w:p w14:paraId="2688E791">
      <w:pPr>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供应商：                      法定代表人（或法定代表人授权代表）或自然人：</w:t>
      </w:r>
    </w:p>
    <w:p w14:paraId="7B8A7E30">
      <w:pPr>
        <w:spacing w:line="500" w:lineRule="exact"/>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 xml:space="preserve">  （供应商公章）                               （签署或盖章）</w:t>
      </w:r>
    </w:p>
    <w:p w14:paraId="5D0A511E">
      <w:pPr>
        <w:spacing w:line="500" w:lineRule="exact"/>
        <w:rPr>
          <w:rFonts w:hint="eastAsia" w:ascii="黑体" w:hAnsi="黑体" w:eastAsia="黑体" w:cs="黑体"/>
          <w:color w:val="auto"/>
          <w:sz w:val="24"/>
          <w:szCs w:val="28"/>
          <w:highlight w:val="none"/>
        </w:rPr>
      </w:pPr>
    </w:p>
    <w:p w14:paraId="4193F4D1">
      <w:pPr>
        <w:spacing w:line="500" w:lineRule="exact"/>
        <w:rPr>
          <w:rFonts w:hint="eastAsia" w:ascii="黑体" w:hAnsi="黑体" w:eastAsia="黑体" w:cs="黑体"/>
          <w:color w:val="auto"/>
          <w:sz w:val="24"/>
          <w:szCs w:val="28"/>
          <w:highlight w:val="none"/>
        </w:rPr>
      </w:pPr>
    </w:p>
    <w:p w14:paraId="0D55D3D5">
      <w:pPr>
        <w:spacing w:line="500" w:lineRule="exact"/>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 xml:space="preserve">                                            年     月     日</w:t>
      </w:r>
    </w:p>
    <w:p w14:paraId="188E399F">
      <w:pPr>
        <w:snapToGrid w:val="0"/>
        <w:spacing w:line="500" w:lineRule="exact"/>
        <w:ind w:firstLine="480" w:firstLineChars="200"/>
        <w:rPr>
          <w:rFonts w:hint="eastAsia" w:ascii="黑体" w:hAnsi="黑体" w:eastAsia="黑体" w:cs="黑体"/>
          <w:color w:val="auto"/>
          <w:sz w:val="24"/>
          <w:szCs w:val="28"/>
          <w:highlight w:val="none"/>
        </w:rPr>
      </w:pPr>
    </w:p>
    <w:p w14:paraId="02FA2055">
      <w:pPr>
        <w:snapToGrid w:val="0"/>
        <w:spacing w:line="500" w:lineRule="exact"/>
        <w:ind w:firstLine="480" w:firstLineChars="200"/>
        <w:rPr>
          <w:rFonts w:hint="eastAsia" w:ascii="黑体" w:hAnsi="黑体" w:eastAsia="黑体" w:cs="黑体"/>
          <w:color w:val="auto"/>
          <w:sz w:val="24"/>
          <w:szCs w:val="28"/>
          <w:highlight w:val="none"/>
        </w:rPr>
      </w:pPr>
    </w:p>
    <w:p w14:paraId="27CB782B">
      <w:pPr>
        <w:snapToGrid w:val="0"/>
        <w:spacing w:line="500" w:lineRule="exact"/>
        <w:ind w:firstLine="480" w:firstLineChars="200"/>
        <w:rPr>
          <w:rFonts w:hint="eastAsia" w:ascii="黑体" w:hAnsi="黑体" w:eastAsia="黑体" w:cs="黑体"/>
          <w:color w:val="auto"/>
          <w:sz w:val="24"/>
          <w:szCs w:val="28"/>
          <w:highlight w:val="none"/>
        </w:rPr>
      </w:pPr>
    </w:p>
    <w:p w14:paraId="39E34E51">
      <w:pPr>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说明：</w:t>
      </w:r>
    </w:p>
    <w:p w14:paraId="2390D831">
      <w:pPr>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1.开标一览表按格式填列；</w:t>
      </w:r>
    </w:p>
    <w:p w14:paraId="1B5FF6A3">
      <w:pPr>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2.开标一览表在开标大会上当众宣读，务必填写清楚，准确无误；</w:t>
      </w:r>
    </w:p>
    <w:p w14:paraId="67DA1D38">
      <w:pPr>
        <w:pStyle w:val="2"/>
        <w:rPr>
          <w:rFonts w:hint="eastAsia" w:ascii="黑体" w:hAnsi="黑体" w:eastAsia="黑体" w:cs="黑体"/>
          <w:color w:val="auto"/>
          <w:sz w:val="24"/>
          <w:szCs w:val="28"/>
          <w:highlight w:val="none"/>
        </w:rPr>
      </w:pPr>
    </w:p>
    <w:p w14:paraId="24DB3F08">
      <w:pPr>
        <w:rPr>
          <w:rFonts w:hint="eastAsia" w:ascii="黑体" w:hAnsi="黑体" w:eastAsia="黑体" w:cs="黑体"/>
          <w:highlight w:val="none"/>
        </w:rPr>
        <w:sectPr>
          <w:pgSz w:w="11907" w:h="16840"/>
          <w:pgMar w:top="1134" w:right="1191" w:bottom="1134" w:left="1304" w:header="964" w:footer="992" w:gutter="0"/>
          <w:pgBorders>
            <w:top w:val="none" w:sz="0" w:space="0"/>
            <w:left w:val="none" w:sz="0" w:space="0"/>
            <w:bottom w:val="none" w:sz="0" w:space="0"/>
            <w:right w:val="none" w:sz="0" w:space="0"/>
          </w:pgBorders>
          <w:cols w:space="720" w:num="1"/>
          <w:docGrid w:linePitch="380" w:charSpace="-5735"/>
        </w:sectPr>
      </w:pPr>
    </w:p>
    <w:p w14:paraId="2D75AE00">
      <w:pPr>
        <w:numPr>
          <w:ilvl w:val="0"/>
          <w:numId w:val="0"/>
        </w:numPr>
        <w:snapToGrid w:val="0"/>
        <w:spacing w:line="400" w:lineRule="exact"/>
        <w:ind w:left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（二）报价明细表</w:t>
      </w:r>
    </w:p>
    <w:p w14:paraId="219C955B">
      <w:pPr>
        <w:numPr>
          <w:ilvl w:val="0"/>
          <w:numId w:val="0"/>
        </w:numPr>
        <w:snapToGrid w:val="0"/>
        <w:spacing w:line="400" w:lineRule="exact"/>
        <w:ind w:leftChars="0"/>
        <w:rPr>
          <w:rFonts w:hint="eastAsia" w:ascii="黑体" w:hAnsi="黑体" w:eastAsia="黑体" w:cs="黑体"/>
          <w:color w:val="auto"/>
          <w:sz w:val="24"/>
          <w:szCs w:val="24"/>
          <w:highlight w:val="none"/>
          <w:lang w:val="en-US" w:eastAsia="zh-CN"/>
        </w:rPr>
      </w:pPr>
    </w:p>
    <w:p w14:paraId="1E786F03">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lang w:val="en-US" w:eastAsia="zh-CN"/>
        </w:rPr>
        <w:t>招标编号</w:t>
      </w:r>
      <w:r>
        <w:rPr>
          <w:rFonts w:hint="eastAsia" w:ascii="黑体" w:hAnsi="黑体" w:eastAsia="黑体" w:cs="黑体"/>
          <w:sz w:val="24"/>
          <w:szCs w:val="28"/>
          <w:highlight w:val="none"/>
        </w:rPr>
        <w:t>：</w:t>
      </w:r>
    </w:p>
    <w:p w14:paraId="72F79757">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项目名称：                                           单位：元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926"/>
        <w:gridCol w:w="2466"/>
        <w:gridCol w:w="1234"/>
        <w:gridCol w:w="1235"/>
        <w:gridCol w:w="927"/>
        <w:gridCol w:w="927"/>
        <w:gridCol w:w="927"/>
      </w:tblGrid>
      <w:tr w14:paraId="6CA8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noWrap w:val="0"/>
            <w:vAlign w:val="center"/>
          </w:tcPr>
          <w:p w14:paraId="33768560">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序号</w:t>
            </w:r>
          </w:p>
        </w:tc>
        <w:tc>
          <w:tcPr>
            <w:tcW w:w="485" w:type="pct"/>
            <w:noWrap w:val="0"/>
            <w:vAlign w:val="center"/>
          </w:tcPr>
          <w:p w14:paraId="1158F79F">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名称</w:t>
            </w:r>
          </w:p>
        </w:tc>
        <w:tc>
          <w:tcPr>
            <w:tcW w:w="1285" w:type="pct"/>
            <w:noWrap w:val="0"/>
            <w:vAlign w:val="center"/>
          </w:tcPr>
          <w:p w14:paraId="21A9B116">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品牌、规格型号</w:t>
            </w:r>
          </w:p>
        </w:tc>
        <w:tc>
          <w:tcPr>
            <w:tcW w:w="645" w:type="pct"/>
            <w:noWrap w:val="0"/>
            <w:vAlign w:val="center"/>
          </w:tcPr>
          <w:p w14:paraId="6F9090F1">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制造商</w:t>
            </w:r>
          </w:p>
        </w:tc>
        <w:tc>
          <w:tcPr>
            <w:tcW w:w="645" w:type="pct"/>
            <w:noWrap w:val="0"/>
            <w:vAlign w:val="center"/>
          </w:tcPr>
          <w:p w14:paraId="59EADF0F">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生产地</w:t>
            </w:r>
          </w:p>
        </w:tc>
        <w:tc>
          <w:tcPr>
            <w:tcW w:w="485" w:type="pct"/>
            <w:noWrap w:val="0"/>
            <w:vAlign w:val="center"/>
          </w:tcPr>
          <w:p w14:paraId="5970461F">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数量</w:t>
            </w:r>
          </w:p>
        </w:tc>
        <w:tc>
          <w:tcPr>
            <w:tcW w:w="485" w:type="pct"/>
            <w:noWrap w:val="0"/>
            <w:vAlign w:val="center"/>
          </w:tcPr>
          <w:p w14:paraId="2870255C">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单价</w:t>
            </w:r>
          </w:p>
        </w:tc>
        <w:tc>
          <w:tcPr>
            <w:tcW w:w="485" w:type="pct"/>
            <w:noWrap w:val="0"/>
            <w:vAlign w:val="center"/>
          </w:tcPr>
          <w:p w14:paraId="079F93B1">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合计</w:t>
            </w:r>
          </w:p>
        </w:tc>
      </w:tr>
      <w:tr w14:paraId="1B5B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78C5A08B">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485" w:type="pct"/>
            <w:noWrap w:val="0"/>
            <w:vAlign w:val="center"/>
          </w:tcPr>
          <w:p w14:paraId="66FFE910">
            <w:pPr>
              <w:jc w:val="center"/>
              <w:rPr>
                <w:rFonts w:hint="eastAsia" w:ascii="黑体" w:hAnsi="黑体" w:eastAsia="黑体" w:cs="黑体"/>
                <w:sz w:val="21"/>
                <w:szCs w:val="21"/>
                <w:highlight w:val="none"/>
              </w:rPr>
            </w:pPr>
          </w:p>
        </w:tc>
        <w:tc>
          <w:tcPr>
            <w:tcW w:w="1285" w:type="pct"/>
            <w:noWrap w:val="0"/>
            <w:vAlign w:val="top"/>
          </w:tcPr>
          <w:p w14:paraId="42246855">
            <w:pPr>
              <w:jc w:val="center"/>
              <w:rPr>
                <w:rFonts w:hint="eastAsia" w:ascii="黑体" w:hAnsi="黑体" w:eastAsia="黑体" w:cs="黑体"/>
                <w:sz w:val="21"/>
                <w:szCs w:val="21"/>
                <w:highlight w:val="none"/>
              </w:rPr>
            </w:pPr>
          </w:p>
        </w:tc>
        <w:tc>
          <w:tcPr>
            <w:tcW w:w="645" w:type="pct"/>
            <w:noWrap w:val="0"/>
            <w:vAlign w:val="top"/>
          </w:tcPr>
          <w:p w14:paraId="551F2F8E">
            <w:pPr>
              <w:jc w:val="center"/>
              <w:rPr>
                <w:rFonts w:hint="eastAsia" w:ascii="黑体" w:hAnsi="黑体" w:eastAsia="黑体" w:cs="黑体"/>
                <w:sz w:val="21"/>
                <w:szCs w:val="21"/>
                <w:highlight w:val="none"/>
              </w:rPr>
            </w:pPr>
          </w:p>
        </w:tc>
        <w:tc>
          <w:tcPr>
            <w:tcW w:w="645" w:type="pct"/>
            <w:noWrap w:val="0"/>
            <w:vAlign w:val="top"/>
          </w:tcPr>
          <w:p w14:paraId="262D0F84">
            <w:pPr>
              <w:jc w:val="center"/>
              <w:rPr>
                <w:rFonts w:hint="eastAsia" w:ascii="黑体" w:hAnsi="黑体" w:eastAsia="黑体" w:cs="黑体"/>
                <w:sz w:val="21"/>
                <w:szCs w:val="21"/>
                <w:highlight w:val="none"/>
              </w:rPr>
            </w:pPr>
          </w:p>
        </w:tc>
        <w:tc>
          <w:tcPr>
            <w:tcW w:w="485" w:type="pct"/>
            <w:noWrap w:val="0"/>
            <w:vAlign w:val="center"/>
          </w:tcPr>
          <w:p w14:paraId="5C16FAEE">
            <w:pPr>
              <w:jc w:val="center"/>
              <w:rPr>
                <w:rFonts w:hint="eastAsia" w:ascii="黑体" w:hAnsi="黑体" w:eastAsia="黑体" w:cs="黑体"/>
                <w:sz w:val="21"/>
                <w:szCs w:val="21"/>
                <w:highlight w:val="none"/>
              </w:rPr>
            </w:pPr>
          </w:p>
        </w:tc>
        <w:tc>
          <w:tcPr>
            <w:tcW w:w="485" w:type="pct"/>
            <w:noWrap w:val="0"/>
            <w:vAlign w:val="top"/>
          </w:tcPr>
          <w:p w14:paraId="02F8781B">
            <w:pPr>
              <w:jc w:val="center"/>
              <w:rPr>
                <w:rFonts w:hint="eastAsia" w:ascii="黑体" w:hAnsi="黑体" w:eastAsia="黑体" w:cs="黑体"/>
                <w:sz w:val="21"/>
                <w:szCs w:val="21"/>
                <w:highlight w:val="none"/>
              </w:rPr>
            </w:pPr>
          </w:p>
        </w:tc>
        <w:tc>
          <w:tcPr>
            <w:tcW w:w="485" w:type="pct"/>
            <w:noWrap w:val="0"/>
            <w:vAlign w:val="top"/>
          </w:tcPr>
          <w:p w14:paraId="1EA2CD5B">
            <w:pPr>
              <w:jc w:val="center"/>
              <w:rPr>
                <w:rFonts w:hint="eastAsia" w:ascii="黑体" w:hAnsi="黑体" w:eastAsia="黑体" w:cs="黑体"/>
                <w:sz w:val="21"/>
                <w:szCs w:val="21"/>
                <w:highlight w:val="none"/>
              </w:rPr>
            </w:pPr>
          </w:p>
        </w:tc>
      </w:tr>
      <w:tr w14:paraId="4DAD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16B05C3E">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485" w:type="pct"/>
            <w:noWrap w:val="0"/>
            <w:vAlign w:val="center"/>
          </w:tcPr>
          <w:p w14:paraId="2942AB93">
            <w:pPr>
              <w:jc w:val="center"/>
              <w:rPr>
                <w:rFonts w:hint="eastAsia" w:ascii="黑体" w:hAnsi="黑体" w:eastAsia="黑体" w:cs="黑体"/>
                <w:sz w:val="21"/>
                <w:szCs w:val="21"/>
                <w:highlight w:val="none"/>
              </w:rPr>
            </w:pPr>
          </w:p>
        </w:tc>
        <w:tc>
          <w:tcPr>
            <w:tcW w:w="1285" w:type="pct"/>
            <w:noWrap w:val="0"/>
            <w:vAlign w:val="top"/>
          </w:tcPr>
          <w:p w14:paraId="64D67E22">
            <w:pPr>
              <w:jc w:val="center"/>
              <w:rPr>
                <w:rFonts w:hint="eastAsia" w:ascii="黑体" w:hAnsi="黑体" w:eastAsia="黑体" w:cs="黑体"/>
                <w:sz w:val="21"/>
                <w:szCs w:val="21"/>
                <w:highlight w:val="none"/>
              </w:rPr>
            </w:pPr>
          </w:p>
        </w:tc>
        <w:tc>
          <w:tcPr>
            <w:tcW w:w="645" w:type="pct"/>
            <w:noWrap w:val="0"/>
            <w:vAlign w:val="top"/>
          </w:tcPr>
          <w:p w14:paraId="3DA45C3C">
            <w:pPr>
              <w:jc w:val="center"/>
              <w:rPr>
                <w:rFonts w:hint="eastAsia" w:ascii="黑体" w:hAnsi="黑体" w:eastAsia="黑体" w:cs="黑体"/>
                <w:sz w:val="21"/>
                <w:szCs w:val="21"/>
                <w:highlight w:val="none"/>
              </w:rPr>
            </w:pPr>
          </w:p>
        </w:tc>
        <w:tc>
          <w:tcPr>
            <w:tcW w:w="645" w:type="pct"/>
            <w:noWrap w:val="0"/>
            <w:vAlign w:val="top"/>
          </w:tcPr>
          <w:p w14:paraId="5EC5A64A">
            <w:pPr>
              <w:jc w:val="center"/>
              <w:rPr>
                <w:rFonts w:hint="eastAsia" w:ascii="黑体" w:hAnsi="黑体" w:eastAsia="黑体" w:cs="黑体"/>
                <w:sz w:val="21"/>
                <w:szCs w:val="21"/>
                <w:highlight w:val="none"/>
              </w:rPr>
            </w:pPr>
          </w:p>
        </w:tc>
        <w:tc>
          <w:tcPr>
            <w:tcW w:w="485" w:type="pct"/>
            <w:noWrap w:val="0"/>
            <w:vAlign w:val="center"/>
          </w:tcPr>
          <w:p w14:paraId="574B2CBE">
            <w:pPr>
              <w:jc w:val="center"/>
              <w:rPr>
                <w:rFonts w:hint="eastAsia" w:ascii="黑体" w:hAnsi="黑体" w:eastAsia="黑体" w:cs="黑体"/>
                <w:sz w:val="21"/>
                <w:szCs w:val="21"/>
                <w:highlight w:val="none"/>
              </w:rPr>
            </w:pPr>
          </w:p>
        </w:tc>
        <w:tc>
          <w:tcPr>
            <w:tcW w:w="485" w:type="pct"/>
            <w:noWrap w:val="0"/>
            <w:vAlign w:val="top"/>
          </w:tcPr>
          <w:p w14:paraId="591F8337">
            <w:pPr>
              <w:jc w:val="center"/>
              <w:rPr>
                <w:rFonts w:hint="eastAsia" w:ascii="黑体" w:hAnsi="黑体" w:eastAsia="黑体" w:cs="黑体"/>
                <w:sz w:val="21"/>
                <w:szCs w:val="21"/>
                <w:highlight w:val="none"/>
              </w:rPr>
            </w:pPr>
          </w:p>
        </w:tc>
        <w:tc>
          <w:tcPr>
            <w:tcW w:w="485" w:type="pct"/>
            <w:noWrap w:val="0"/>
            <w:vAlign w:val="top"/>
          </w:tcPr>
          <w:p w14:paraId="0A99D2E6">
            <w:pPr>
              <w:jc w:val="center"/>
              <w:rPr>
                <w:rFonts w:hint="eastAsia" w:ascii="黑体" w:hAnsi="黑体" w:eastAsia="黑体" w:cs="黑体"/>
                <w:sz w:val="21"/>
                <w:szCs w:val="21"/>
                <w:highlight w:val="none"/>
              </w:rPr>
            </w:pPr>
          </w:p>
        </w:tc>
      </w:tr>
      <w:tr w14:paraId="228C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1064058">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485" w:type="pct"/>
            <w:noWrap w:val="0"/>
            <w:vAlign w:val="center"/>
          </w:tcPr>
          <w:p w14:paraId="06B15970">
            <w:pPr>
              <w:jc w:val="center"/>
              <w:rPr>
                <w:rFonts w:hint="eastAsia" w:ascii="黑体" w:hAnsi="黑体" w:eastAsia="黑体" w:cs="黑体"/>
                <w:sz w:val="21"/>
                <w:szCs w:val="21"/>
                <w:highlight w:val="none"/>
              </w:rPr>
            </w:pPr>
          </w:p>
        </w:tc>
        <w:tc>
          <w:tcPr>
            <w:tcW w:w="1285" w:type="pct"/>
            <w:noWrap w:val="0"/>
            <w:vAlign w:val="top"/>
          </w:tcPr>
          <w:p w14:paraId="6C9B055C">
            <w:pPr>
              <w:jc w:val="center"/>
              <w:rPr>
                <w:rFonts w:hint="eastAsia" w:ascii="黑体" w:hAnsi="黑体" w:eastAsia="黑体" w:cs="黑体"/>
                <w:sz w:val="21"/>
                <w:szCs w:val="21"/>
                <w:highlight w:val="none"/>
              </w:rPr>
            </w:pPr>
          </w:p>
        </w:tc>
        <w:tc>
          <w:tcPr>
            <w:tcW w:w="645" w:type="pct"/>
            <w:noWrap w:val="0"/>
            <w:vAlign w:val="top"/>
          </w:tcPr>
          <w:p w14:paraId="76ABADDB">
            <w:pPr>
              <w:jc w:val="center"/>
              <w:rPr>
                <w:rFonts w:hint="eastAsia" w:ascii="黑体" w:hAnsi="黑体" w:eastAsia="黑体" w:cs="黑体"/>
                <w:sz w:val="21"/>
                <w:szCs w:val="21"/>
                <w:highlight w:val="none"/>
              </w:rPr>
            </w:pPr>
          </w:p>
        </w:tc>
        <w:tc>
          <w:tcPr>
            <w:tcW w:w="645" w:type="pct"/>
            <w:noWrap w:val="0"/>
            <w:vAlign w:val="top"/>
          </w:tcPr>
          <w:p w14:paraId="03D49202">
            <w:pPr>
              <w:jc w:val="center"/>
              <w:rPr>
                <w:rFonts w:hint="eastAsia" w:ascii="黑体" w:hAnsi="黑体" w:eastAsia="黑体" w:cs="黑体"/>
                <w:sz w:val="21"/>
                <w:szCs w:val="21"/>
                <w:highlight w:val="none"/>
              </w:rPr>
            </w:pPr>
          </w:p>
        </w:tc>
        <w:tc>
          <w:tcPr>
            <w:tcW w:w="485" w:type="pct"/>
            <w:noWrap w:val="0"/>
            <w:vAlign w:val="center"/>
          </w:tcPr>
          <w:p w14:paraId="62249EF6">
            <w:pPr>
              <w:jc w:val="center"/>
              <w:rPr>
                <w:rFonts w:hint="eastAsia" w:ascii="黑体" w:hAnsi="黑体" w:eastAsia="黑体" w:cs="黑体"/>
                <w:sz w:val="21"/>
                <w:szCs w:val="21"/>
                <w:highlight w:val="none"/>
              </w:rPr>
            </w:pPr>
          </w:p>
        </w:tc>
        <w:tc>
          <w:tcPr>
            <w:tcW w:w="485" w:type="pct"/>
            <w:noWrap w:val="0"/>
            <w:vAlign w:val="top"/>
          </w:tcPr>
          <w:p w14:paraId="6600AB27">
            <w:pPr>
              <w:jc w:val="center"/>
              <w:rPr>
                <w:rFonts w:hint="eastAsia" w:ascii="黑体" w:hAnsi="黑体" w:eastAsia="黑体" w:cs="黑体"/>
                <w:sz w:val="21"/>
                <w:szCs w:val="21"/>
                <w:highlight w:val="none"/>
              </w:rPr>
            </w:pPr>
          </w:p>
        </w:tc>
        <w:tc>
          <w:tcPr>
            <w:tcW w:w="485" w:type="pct"/>
            <w:noWrap w:val="0"/>
            <w:vAlign w:val="top"/>
          </w:tcPr>
          <w:p w14:paraId="16D606B8">
            <w:pPr>
              <w:jc w:val="center"/>
              <w:rPr>
                <w:rFonts w:hint="eastAsia" w:ascii="黑体" w:hAnsi="黑体" w:eastAsia="黑体" w:cs="黑体"/>
                <w:sz w:val="21"/>
                <w:szCs w:val="21"/>
                <w:highlight w:val="none"/>
              </w:rPr>
            </w:pPr>
          </w:p>
        </w:tc>
      </w:tr>
      <w:tr w14:paraId="34AC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0003169E">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485" w:type="pct"/>
            <w:noWrap w:val="0"/>
            <w:vAlign w:val="center"/>
          </w:tcPr>
          <w:p w14:paraId="49D68B24">
            <w:pPr>
              <w:jc w:val="center"/>
              <w:rPr>
                <w:rFonts w:hint="eastAsia" w:ascii="黑体" w:hAnsi="黑体" w:eastAsia="黑体" w:cs="黑体"/>
                <w:sz w:val="21"/>
                <w:szCs w:val="21"/>
                <w:highlight w:val="none"/>
              </w:rPr>
            </w:pPr>
          </w:p>
        </w:tc>
        <w:tc>
          <w:tcPr>
            <w:tcW w:w="1285" w:type="pct"/>
            <w:noWrap w:val="0"/>
            <w:vAlign w:val="top"/>
          </w:tcPr>
          <w:p w14:paraId="5014E7DC">
            <w:pPr>
              <w:jc w:val="center"/>
              <w:rPr>
                <w:rFonts w:hint="eastAsia" w:ascii="黑体" w:hAnsi="黑体" w:eastAsia="黑体" w:cs="黑体"/>
                <w:sz w:val="21"/>
                <w:szCs w:val="21"/>
                <w:highlight w:val="none"/>
              </w:rPr>
            </w:pPr>
          </w:p>
        </w:tc>
        <w:tc>
          <w:tcPr>
            <w:tcW w:w="645" w:type="pct"/>
            <w:noWrap w:val="0"/>
            <w:vAlign w:val="top"/>
          </w:tcPr>
          <w:p w14:paraId="7069DC0C">
            <w:pPr>
              <w:jc w:val="center"/>
              <w:rPr>
                <w:rFonts w:hint="eastAsia" w:ascii="黑体" w:hAnsi="黑体" w:eastAsia="黑体" w:cs="黑体"/>
                <w:sz w:val="21"/>
                <w:szCs w:val="21"/>
                <w:highlight w:val="none"/>
              </w:rPr>
            </w:pPr>
          </w:p>
        </w:tc>
        <w:tc>
          <w:tcPr>
            <w:tcW w:w="645" w:type="pct"/>
            <w:noWrap w:val="0"/>
            <w:vAlign w:val="top"/>
          </w:tcPr>
          <w:p w14:paraId="25A99C59">
            <w:pPr>
              <w:jc w:val="center"/>
              <w:rPr>
                <w:rFonts w:hint="eastAsia" w:ascii="黑体" w:hAnsi="黑体" w:eastAsia="黑体" w:cs="黑体"/>
                <w:sz w:val="21"/>
                <w:szCs w:val="21"/>
                <w:highlight w:val="none"/>
              </w:rPr>
            </w:pPr>
          </w:p>
        </w:tc>
        <w:tc>
          <w:tcPr>
            <w:tcW w:w="485" w:type="pct"/>
            <w:noWrap w:val="0"/>
            <w:vAlign w:val="center"/>
          </w:tcPr>
          <w:p w14:paraId="7B513C14">
            <w:pPr>
              <w:jc w:val="center"/>
              <w:rPr>
                <w:rFonts w:hint="eastAsia" w:ascii="黑体" w:hAnsi="黑体" w:eastAsia="黑体" w:cs="黑体"/>
                <w:sz w:val="21"/>
                <w:szCs w:val="21"/>
                <w:highlight w:val="none"/>
              </w:rPr>
            </w:pPr>
          </w:p>
        </w:tc>
        <w:tc>
          <w:tcPr>
            <w:tcW w:w="485" w:type="pct"/>
            <w:noWrap w:val="0"/>
            <w:vAlign w:val="top"/>
          </w:tcPr>
          <w:p w14:paraId="1DB50889">
            <w:pPr>
              <w:jc w:val="center"/>
              <w:rPr>
                <w:rFonts w:hint="eastAsia" w:ascii="黑体" w:hAnsi="黑体" w:eastAsia="黑体" w:cs="黑体"/>
                <w:sz w:val="21"/>
                <w:szCs w:val="21"/>
                <w:highlight w:val="none"/>
              </w:rPr>
            </w:pPr>
          </w:p>
        </w:tc>
        <w:tc>
          <w:tcPr>
            <w:tcW w:w="485" w:type="pct"/>
            <w:noWrap w:val="0"/>
            <w:vAlign w:val="top"/>
          </w:tcPr>
          <w:p w14:paraId="2E894B6F">
            <w:pPr>
              <w:jc w:val="center"/>
              <w:rPr>
                <w:rFonts w:hint="eastAsia" w:ascii="黑体" w:hAnsi="黑体" w:eastAsia="黑体" w:cs="黑体"/>
                <w:sz w:val="21"/>
                <w:szCs w:val="21"/>
                <w:highlight w:val="none"/>
              </w:rPr>
            </w:pPr>
          </w:p>
        </w:tc>
      </w:tr>
      <w:tr w14:paraId="795F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0793A239">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485" w:type="pct"/>
            <w:noWrap w:val="0"/>
            <w:vAlign w:val="center"/>
          </w:tcPr>
          <w:p w14:paraId="2E756A69">
            <w:pPr>
              <w:jc w:val="center"/>
              <w:rPr>
                <w:rFonts w:hint="eastAsia" w:ascii="黑体" w:hAnsi="黑体" w:eastAsia="黑体" w:cs="黑体"/>
                <w:sz w:val="21"/>
                <w:szCs w:val="21"/>
                <w:highlight w:val="none"/>
              </w:rPr>
            </w:pPr>
          </w:p>
        </w:tc>
        <w:tc>
          <w:tcPr>
            <w:tcW w:w="1285" w:type="pct"/>
            <w:noWrap w:val="0"/>
            <w:vAlign w:val="top"/>
          </w:tcPr>
          <w:p w14:paraId="7F852768">
            <w:pPr>
              <w:jc w:val="center"/>
              <w:rPr>
                <w:rFonts w:hint="eastAsia" w:ascii="黑体" w:hAnsi="黑体" w:eastAsia="黑体" w:cs="黑体"/>
                <w:sz w:val="21"/>
                <w:szCs w:val="21"/>
                <w:highlight w:val="none"/>
              </w:rPr>
            </w:pPr>
          </w:p>
        </w:tc>
        <w:tc>
          <w:tcPr>
            <w:tcW w:w="645" w:type="pct"/>
            <w:noWrap w:val="0"/>
            <w:vAlign w:val="top"/>
          </w:tcPr>
          <w:p w14:paraId="4B11FB6C">
            <w:pPr>
              <w:jc w:val="center"/>
              <w:rPr>
                <w:rFonts w:hint="eastAsia" w:ascii="黑体" w:hAnsi="黑体" w:eastAsia="黑体" w:cs="黑体"/>
                <w:sz w:val="21"/>
                <w:szCs w:val="21"/>
                <w:highlight w:val="none"/>
              </w:rPr>
            </w:pPr>
          </w:p>
        </w:tc>
        <w:tc>
          <w:tcPr>
            <w:tcW w:w="645" w:type="pct"/>
            <w:noWrap w:val="0"/>
            <w:vAlign w:val="top"/>
          </w:tcPr>
          <w:p w14:paraId="02099B67">
            <w:pPr>
              <w:jc w:val="center"/>
              <w:rPr>
                <w:rFonts w:hint="eastAsia" w:ascii="黑体" w:hAnsi="黑体" w:eastAsia="黑体" w:cs="黑体"/>
                <w:sz w:val="21"/>
                <w:szCs w:val="21"/>
                <w:highlight w:val="none"/>
              </w:rPr>
            </w:pPr>
          </w:p>
        </w:tc>
        <w:tc>
          <w:tcPr>
            <w:tcW w:w="485" w:type="pct"/>
            <w:noWrap w:val="0"/>
            <w:vAlign w:val="center"/>
          </w:tcPr>
          <w:p w14:paraId="39B6EF85">
            <w:pPr>
              <w:jc w:val="center"/>
              <w:rPr>
                <w:rFonts w:hint="eastAsia" w:ascii="黑体" w:hAnsi="黑体" w:eastAsia="黑体" w:cs="黑体"/>
                <w:sz w:val="21"/>
                <w:szCs w:val="21"/>
                <w:highlight w:val="none"/>
              </w:rPr>
            </w:pPr>
          </w:p>
        </w:tc>
        <w:tc>
          <w:tcPr>
            <w:tcW w:w="485" w:type="pct"/>
            <w:noWrap w:val="0"/>
            <w:vAlign w:val="top"/>
          </w:tcPr>
          <w:p w14:paraId="5E53819B">
            <w:pPr>
              <w:jc w:val="center"/>
              <w:rPr>
                <w:rFonts w:hint="eastAsia" w:ascii="黑体" w:hAnsi="黑体" w:eastAsia="黑体" w:cs="黑体"/>
                <w:sz w:val="21"/>
                <w:szCs w:val="21"/>
                <w:highlight w:val="none"/>
              </w:rPr>
            </w:pPr>
          </w:p>
        </w:tc>
        <w:tc>
          <w:tcPr>
            <w:tcW w:w="485" w:type="pct"/>
            <w:noWrap w:val="0"/>
            <w:vAlign w:val="top"/>
          </w:tcPr>
          <w:p w14:paraId="59DE3B93">
            <w:pPr>
              <w:jc w:val="center"/>
              <w:rPr>
                <w:rFonts w:hint="eastAsia" w:ascii="黑体" w:hAnsi="黑体" w:eastAsia="黑体" w:cs="黑体"/>
                <w:sz w:val="21"/>
                <w:szCs w:val="21"/>
                <w:highlight w:val="none"/>
              </w:rPr>
            </w:pPr>
          </w:p>
        </w:tc>
      </w:tr>
      <w:tr w14:paraId="629F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68E4C2A0">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6</w:t>
            </w:r>
          </w:p>
        </w:tc>
        <w:tc>
          <w:tcPr>
            <w:tcW w:w="485" w:type="pct"/>
            <w:noWrap w:val="0"/>
            <w:vAlign w:val="center"/>
          </w:tcPr>
          <w:p w14:paraId="76E45126">
            <w:pPr>
              <w:jc w:val="center"/>
              <w:rPr>
                <w:rFonts w:hint="eastAsia" w:ascii="黑体" w:hAnsi="黑体" w:eastAsia="黑体" w:cs="黑体"/>
                <w:sz w:val="21"/>
                <w:szCs w:val="21"/>
                <w:highlight w:val="none"/>
              </w:rPr>
            </w:pPr>
          </w:p>
        </w:tc>
        <w:tc>
          <w:tcPr>
            <w:tcW w:w="1285" w:type="pct"/>
            <w:noWrap w:val="0"/>
            <w:vAlign w:val="top"/>
          </w:tcPr>
          <w:p w14:paraId="4812C6DC">
            <w:pPr>
              <w:jc w:val="center"/>
              <w:rPr>
                <w:rFonts w:hint="eastAsia" w:ascii="黑体" w:hAnsi="黑体" w:eastAsia="黑体" w:cs="黑体"/>
                <w:sz w:val="21"/>
                <w:szCs w:val="21"/>
                <w:highlight w:val="none"/>
              </w:rPr>
            </w:pPr>
          </w:p>
        </w:tc>
        <w:tc>
          <w:tcPr>
            <w:tcW w:w="645" w:type="pct"/>
            <w:noWrap w:val="0"/>
            <w:vAlign w:val="top"/>
          </w:tcPr>
          <w:p w14:paraId="0B0917F6">
            <w:pPr>
              <w:jc w:val="center"/>
              <w:rPr>
                <w:rFonts w:hint="eastAsia" w:ascii="黑体" w:hAnsi="黑体" w:eastAsia="黑体" w:cs="黑体"/>
                <w:sz w:val="21"/>
                <w:szCs w:val="21"/>
                <w:highlight w:val="none"/>
              </w:rPr>
            </w:pPr>
          </w:p>
        </w:tc>
        <w:tc>
          <w:tcPr>
            <w:tcW w:w="645" w:type="pct"/>
            <w:noWrap w:val="0"/>
            <w:vAlign w:val="top"/>
          </w:tcPr>
          <w:p w14:paraId="395BFD17">
            <w:pPr>
              <w:jc w:val="center"/>
              <w:rPr>
                <w:rFonts w:hint="eastAsia" w:ascii="黑体" w:hAnsi="黑体" w:eastAsia="黑体" w:cs="黑体"/>
                <w:sz w:val="21"/>
                <w:szCs w:val="21"/>
                <w:highlight w:val="none"/>
              </w:rPr>
            </w:pPr>
          </w:p>
        </w:tc>
        <w:tc>
          <w:tcPr>
            <w:tcW w:w="485" w:type="pct"/>
            <w:noWrap w:val="0"/>
            <w:vAlign w:val="center"/>
          </w:tcPr>
          <w:p w14:paraId="3EE2F2AA">
            <w:pPr>
              <w:jc w:val="center"/>
              <w:rPr>
                <w:rFonts w:hint="eastAsia" w:ascii="黑体" w:hAnsi="黑体" w:eastAsia="黑体" w:cs="黑体"/>
                <w:sz w:val="21"/>
                <w:szCs w:val="21"/>
                <w:highlight w:val="none"/>
              </w:rPr>
            </w:pPr>
          </w:p>
        </w:tc>
        <w:tc>
          <w:tcPr>
            <w:tcW w:w="485" w:type="pct"/>
            <w:noWrap w:val="0"/>
            <w:vAlign w:val="top"/>
          </w:tcPr>
          <w:p w14:paraId="6C8550EE">
            <w:pPr>
              <w:jc w:val="center"/>
              <w:rPr>
                <w:rFonts w:hint="eastAsia" w:ascii="黑体" w:hAnsi="黑体" w:eastAsia="黑体" w:cs="黑体"/>
                <w:sz w:val="21"/>
                <w:szCs w:val="21"/>
                <w:highlight w:val="none"/>
              </w:rPr>
            </w:pPr>
          </w:p>
        </w:tc>
        <w:tc>
          <w:tcPr>
            <w:tcW w:w="485" w:type="pct"/>
            <w:noWrap w:val="0"/>
            <w:vAlign w:val="top"/>
          </w:tcPr>
          <w:p w14:paraId="2FCBF416">
            <w:pPr>
              <w:jc w:val="center"/>
              <w:rPr>
                <w:rFonts w:hint="eastAsia" w:ascii="黑体" w:hAnsi="黑体" w:eastAsia="黑体" w:cs="黑体"/>
                <w:sz w:val="21"/>
                <w:szCs w:val="21"/>
                <w:highlight w:val="none"/>
              </w:rPr>
            </w:pPr>
          </w:p>
        </w:tc>
      </w:tr>
      <w:tr w14:paraId="0E2F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313F92D">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7</w:t>
            </w:r>
          </w:p>
        </w:tc>
        <w:tc>
          <w:tcPr>
            <w:tcW w:w="485" w:type="pct"/>
            <w:noWrap w:val="0"/>
            <w:vAlign w:val="center"/>
          </w:tcPr>
          <w:p w14:paraId="365EB576">
            <w:pPr>
              <w:jc w:val="center"/>
              <w:rPr>
                <w:rFonts w:hint="eastAsia" w:ascii="黑体" w:hAnsi="黑体" w:eastAsia="黑体" w:cs="黑体"/>
                <w:sz w:val="21"/>
                <w:szCs w:val="21"/>
                <w:highlight w:val="none"/>
              </w:rPr>
            </w:pPr>
          </w:p>
        </w:tc>
        <w:tc>
          <w:tcPr>
            <w:tcW w:w="1285" w:type="pct"/>
            <w:noWrap w:val="0"/>
            <w:vAlign w:val="top"/>
          </w:tcPr>
          <w:p w14:paraId="31C03873">
            <w:pPr>
              <w:jc w:val="center"/>
              <w:rPr>
                <w:rFonts w:hint="eastAsia" w:ascii="黑体" w:hAnsi="黑体" w:eastAsia="黑体" w:cs="黑体"/>
                <w:sz w:val="21"/>
                <w:szCs w:val="21"/>
                <w:highlight w:val="none"/>
              </w:rPr>
            </w:pPr>
          </w:p>
        </w:tc>
        <w:tc>
          <w:tcPr>
            <w:tcW w:w="645" w:type="pct"/>
            <w:noWrap w:val="0"/>
            <w:vAlign w:val="top"/>
          </w:tcPr>
          <w:p w14:paraId="40C5AC37">
            <w:pPr>
              <w:jc w:val="center"/>
              <w:rPr>
                <w:rFonts w:hint="eastAsia" w:ascii="黑体" w:hAnsi="黑体" w:eastAsia="黑体" w:cs="黑体"/>
                <w:sz w:val="21"/>
                <w:szCs w:val="21"/>
                <w:highlight w:val="none"/>
              </w:rPr>
            </w:pPr>
          </w:p>
        </w:tc>
        <w:tc>
          <w:tcPr>
            <w:tcW w:w="645" w:type="pct"/>
            <w:noWrap w:val="0"/>
            <w:vAlign w:val="top"/>
          </w:tcPr>
          <w:p w14:paraId="4D42819F">
            <w:pPr>
              <w:jc w:val="center"/>
              <w:rPr>
                <w:rFonts w:hint="eastAsia" w:ascii="黑体" w:hAnsi="黑体" w:eastAsia="黑体" w:cs="黑体"/>
                <w:sz w:val="21"/>
                <w:szCs w:val="21"/>
                <w:highlight w:val="none"/>
              </w:rPr>
            </w:pPr>
          </w:p>
        </w:tc>
        <w:tc>
          <w:tcPr>
            <w:tcW w:w="485" w:type="pct"/>
            <w:noWrap w:val="0"/>
            <w:vAlign w:val="center"/>
          </w:tcPr>
          <w:p w14:paraId="1679999E">
            <w:pPr>
              <w:jc w:val="center"/>
              <w:rPr>
                <w:rFonts w:hint="eastAsia" w:ascii="黑体" w:hAnsi="黑体" w:eastAsia="黑体" w:cs="黑体"/>
                <w:sz w:val="21"/>
                <w:szCs w:val="21"/>
                <w:highlight w:val="none"/>
              </w:rPr>
            </w:pPr>
          </w:p>
        </w:tc>
        <w:tc>
          <w:tcPr>
            <w:tcW w:w="485" w:type="pct"/>
            <w:noWrap w:val="0"/>
            <w:vAlign w:val="top"/>
          </w:tcPr>
          <w:p w14:paraId="308CF2C3">
            <w:pPr>
              <w:jc w:val="center"/>
              <w:rPr>
                <w:rFonts w:hint="eastAsia" w:ascii="黑体" w:hAnsi="黑体" w:eastAsia="黑体" w:cs="黑体"/>
                <w:sz w:val="21"/>
                <w:szCs w:val="21"/>
                <w:highlight w:val="none"/>
              </w:rPr>
            </w:pPr>
          </w:p>
        </w:tc>
        <w:tc>
          <w:tcPr>
            <w:tcW w:w="485" w:type="pct"/>
            <w:noWrap w:val="0"/>
            <w:vAlign w:val="top"/>
          </w:tcPr>
          <w:p w14:paraId="4B94D89E">
            <w:pPr>
              <w:jc w:val="center"/>
              <w:rPr>
                <w:rFonts w:hint="eastAsia" w:ascii="黑体" w:hAnsi="黑体" w:eastAsia="黑体" w:cs="黑体"/>
                <w:sz w:val="21"/>
                <w:szCs w:val="21"/>
                <w:highlight w:val="none"/>
              </w:rPr>
            </w:pPr>
          </w:p>
        </w:tc>
      </w:tr>
      <w:tr w14:paraId="1B44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1A78F2FB">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8</w:t>
            </w:r>
          </w:p>
        </w:tc>
        <w:tc>
          <w:tcPr>
            <w:tcW w:w="485" w:type="pct"/>
            <w:noWrap w:val="0"/>
            <w:vAlign w:val="center"/>
          </w:tcPr>
          <w:p w14:paraId="33BA2142">
            <w:pPr>
              <w:jc w:val="center"/>
              <w:rPr>
                <w:rFonts w:hint="eastAsia" w:ascii="黑体" w:hAnsi="黑体" w:eastAsia="黑体" w:cs="黑体"/>
                <w:sz w:val="21"/>
                <w:szCs w:val="21"/>
                <w:highlight w:val="none"/>
              </w:rPr>
            </w:pPr>
          </w:p>
        </w:tc>
        <w:tc>
          <w:tcPr>
            <w:tcW w:w="1285" w:type="pct"/>
            <w:noWrap w:val="0"/>
            <w:vAlign w:val="top"/>
          </w:tcPr>
          <w:p w14:paraId="3550954C">
            <w:pPr>
              <w:jc w:val="center"/>
              <w:rPr>
                <w:rFonts w:hint="eastAsia" w:ascii="黑体" w:hAnsi="黑体" w:eastAsia="黑体" w:cs="黑体"/>
                <w:sz w:val="21"/>
                <w:szCs w:val="21"/>
                <w:highlight w:val="none"/>
              </w:rPr>
            </w:pPr>
          </w:p>
        </w:tc>
        <w:tc>
          <w:tcPr>
            <w:tcW w:w="645" w:type="pct"/>
            <w:noWrap w:val="0"/>
            <w:vAlign w:val="top"/>
          </w:tcPr>
          <w:p w14:paraId="461565DF">
            <w:pPr>
              <w:jc w:val="center"/>
              <w:rPr>
                <w:rFonts w:hint="eastAsia" w:ascii="黑体" w:hAnsi="黑体" w:eastAsia="黑体" w:cs="黑体"/>
                <w:sz w:val="21"/>
                <w:szCs w:val="21"/>
                <w:highlight w:val="none"/>
              </w:rPr>
            </w:pPr>
          </w:p>
        </w:tc>
        <w:tc>
          <w:tcPr>
            <w:tcW w:w="645" w:type="pct"/>
            <w:noWrap w:val="0"/>
            <w:vAlign w:val="top"/>
          </w:tcPr>
          <w:p w14:paraId="38C14744">
            <w:pPr>
              <w:jc w:val="center"/>
              <w:rPr>
                <w:rFonts w:hint="eastAsia" w:ascii="黑体" w:hAnsi="黑体" w:eastAsia="黑体" w:cs="黑体"/>
                <w:sz w:val="21"/>
                <w:szCs w:val="21"/>
                <w:highlight w:val="none"/>
              </w:rPr>
            </w:pPr>
          </w:p>
        </w:tc>
        <w:tc>
          <w:tcPr>
            <w:tcW w:w="485" w:type="pct"/>
            <w:noWrap w:val="0"/>
            <w:vAlign w:val="center"/>
          </w:tcPr>
          <w:p w14:paraId="70AA5C9B">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485" w:type="pct"/>
            <w:noWrap w:val="0"/>
            <w:vAlign w:val="top"/>
          </w:tcPr>
          <w:p w14:paraId="09FE6361">
            <w:pPr>
              <w:jc w:val="center"/>
              <w:rPr>
                <w:rFonts w:hint="eastAsia" w:ascii="黑体" w:hAnsi="黑体" w:eastAsia="黑体" w:cs="黑体"/>
                <w:sz w:val="21"/>
                <w:szCs w:val="21"/>
                <w:highlight w:val="none"/>
              </w:rPr>
            </w:pPr>
          </w:p>
        </w:tc>
        <w:tc>
          <w:tcPr>
            <w:tcW w:w="485" w:type="pct"/>
            <w:noWrap w:val="0"/>
            <w:vAlign w:val="top"/>
          </w:tcPr>
          <w:p w14:paraId="3896B370">
            <w:pPr>
              <w:jc w:val="center"/>
              <w:rPr>
                <w:rFonts w:hint="eastAsia" w:ascii="黑体" w:hAnsi="黑体" w:eastAsia="黑体" w:cs="黑体"/>
                <w:sz w:val="21"/>
                <w:szCs w:val="21"/>
                <w:highlight w:val="none"/>
              </w:rPr>
            </w:pPr>
          </w:p>
        </w:tc>
      </w:tr>
      <w:tr w14:paraId="00FC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154883F">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9</w:t>
            </w:r>
          </w:p>
        </w:tc>
        <w:tc>
          <w:tcPr>
            <w:tcW w:w="485" w:type="pct"/>
            <w:noWrap w:val="0"/>
            <w:vAlign w:val="center"/>
          </w:tcPr>
          <w:p w14:paraId="1DB2120D">
            <w:pPr>
              <w:jc w:val="center"/>
              <w:rPr>
                <w:rFonts w:hint="eastAsia" w:ascii="黑体" w:hAnsi="黑体" w:eastAsia="黑体" w:cs="黑体"/>
                <w:sz w:val="21"/>
                <w:szCs w:val="21"/>
                <w:highlight w:val="none"/>
              </w:rPr>
            </w:pPr>
          </w:p>
        </w:tc>
        <w:tc>
          <w:tcPr>
            <w:tcW w:w="1285" w:type="pct"/>
            <w:noWrap w:val="0"/>
            <w:vAlign w:val="top"/>
          </w:tcPr>
          <w:p w14:paraId="62A20A0A">
            <w:pPr>
              <w:jc w:val="center"/>
              <w:rPr>
                <w:rFonts w:hint="eastAsia" w:ascii="黑体" w:hAnsi="黑体" w:eastAsia="黑体" w:cs="黑体"/>
                <w:sz w:val="21"/>
                <w:szCs w:val="21"/>
                <w:highlight w:val="none"/>
              </w:rPr>
            </w:pPr>
          </w:p>
        </w:tc>
        <w:tc>
          <w:tcPr>
            <w:tcW w:w="645" w:type="pct"/>
            <w:noWrap w:val="0"/>
            <w:vAlign w:val="top"/>
          </w:tcPr>
          <w:p w14:paraId="4AE2507C">
            <w:pPr>
              <w:jc w:val="center"/>
              <w:rPr>
                <w:rFonts w:hint="eastAsia" w:ascii="黑体" w:hAnsi="黑体" w:eastAsia="黑体" w:cs="黑体"/>
                <w:sz w:val="21"/>
                <w:szCs w:val="21"/>
                <w:highlight w:val="none"/>
              </w:rPr>
            </w:pPr>
          </w:p>
        </w:tc>
        <w:tc>
          <w:tcPr>
            <w:tcW w:w="645" w:type="pct"/>
            <w:noWrap w:val="0"/>
            <w:vAlign w:val="top"/>
          </w:tcPr>
          <w:p w14:paraId="6221888E">
            <w:pPr>
              <w:jc w:val="center"/>
              <w:rPr>
                <w:rFonts w:hint="eastAsia" w:ascii="黑体" w:hAnsi="黑体" w:eastAsia="黑体" w:cs="黑体"/>
                <w:sz w:val="21"/>
                <w:szCs w:val="21"/>
                <w:highlight w:val="none"/>
              </w:rPr>
            </w:pPr>
          </w:p>
        </w:tc>
        <w:tc>
          <w:tcPr>
            <w:tcW w:w="485" w:type="pct"/>
            <w:noWrap w:val="0"/>
            <w:vAlign w:val="center"/>
          </w:tcPr>
          <w:p w14:paraId="6404B055">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485" w:type="pct"/>
            <w:noWrap w:val="0"/>
            <w:vAlign w:val="top"/>
          </w:tcPr>
          <w:p w14:paraId="3439F415">
            <w:pPr>
              <w:jc w:val="center"/>
              <w:rPr>
                <w:rFonts w:hint="eastAsia" w:ascii="黑体" w:hAnsi="黑体" w:eastAsia="黑体" w:cs="黑体"/>
                <w:sz w:val="21"/>
                <w:szCs w:val="21"/>
                <w:highlight w:val="none"/>
              </w:rPr>
            </w:pPr>
          </w:p>
        </w:tc>
        <w:tc>
          <w:tcPr>
            <w:tcW w:w="485" w:type="pct"/>
            <w:noWrap w:val="0"/>
            <w:vAlign w:val="top"/>
          </w:tcPr>
          <w:p w14:paraId="48AB5896">
            <w:pPr>
              <w:jc w:val="center"/>
              <w:rPr>
                <w:rFonts w:hint="eastAsia" w:ascii="黑体" w:hAnsi="黑体" w:eastAsia="黑体" w:cs="黑体"/>
                <w:sz w:val="21"/>
                <w:szCs w:val="21"/>
                <w:highlight w:val="none"/>
              </w:rPr>
            </w:pPr>
          </w:p>
        </w:tc>
      </w:tr>
      <w:tr w14:paraId="7C60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71733C91">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10</w:t>
            </w:r>
          </w:p>
        </w:tc>
        <w:tc>
          <w:tcPr>
            <w:tcW w:w="485" w:type="pct"/>
            <w:noWrap w:val="0"/>
            <w:vAlign w:val="center"/>
          </w:tcPr>
          <w:p w14:paraId="1102ECB8">
            <w:pPr>
              <w:jc w:val="center"/>
              <w:rPr>
                <w:rFonts w:hint="eastAsia" w:ascii="黑体" w:hAnsi="黑体" w:eastAsia="黑体" w:cs="黑体"/>
                <w:sz w:val="21"/>
                <w:szCs w:val="21"/>
                <w:highlight w:val="none"/>
              </w:rPr>
            </w:pPr>
          </w:p>
        </w:tc>
        <w:tc>
          <w:tcPr>
            <w:tcW w:w="1285" w:type="pct"/>
            <w:noWrap w:val="0"/>
            <w:vAlign w:val="top"/>
          </w:tcPr>
          <w:p w14:paraId="163C8011">
            <w:pPr>
              <w:jc w:val="center"/>
              <w:rPr>
                <w:rFonts w:hint="eastAsia" w:ascii="黑体" w:hAnsi="黑体" w:eastAsia="黑体" w:cs="黑体"/>
                <w:sz w:val="21"/>
                <w:szCs w:val="21"/>
                <w:highlight w:val="none"/>
              </w:rPr>
            </w:pPr>
          </w:p>
        </w:tc>
        <w:tc>
          <w:tcPr>
            <w:tcW w:w="645" w:type="pct"/>
            <w:noWrap w:val="0"/>
            <w:vAlign w:val="top"/>
          </w:tcPr>
          <w:p w14:paraId="6B012F41">
            <w:pPr>
              <w:jc w:val="center"/>
              <w:rPr>
                <w:rFonts w:hint="eastAsia" w:ascii="黑体" w:hAnsi="黑体" w:eastAsia="黑体" w:cs="黑体"/>
                <w:sz w:val="21"/>
                <w:szCs w:val="21"/>
                <w:highlight w:val="none"/>
              </w:rPr>
            </w:pPr>
          </w:p>
        </w:tc>
        <w:tc>
          <w:tcPr>
            <w:tcW w:w="645" w:type="pct"/>
            <w:noWrap w:val="0"/>
            <w:vAlign w:val="top"/>
          </w:tcPr>
          <w:p w14:paraId="25F46F8A">
            <w:pPr>
              <w:jc w:val="center"/>
              <w:rPr>
                <w:rFonts w:hint="eastAsia" w:ascii="黑体" w:hAnsi="黑体" w:eastAsia="黑体" w:cs="黑体"/>
                <w:sz w:val="21"/>
                <w:szCs w:val="21"/>
                <w:highlight w:val="none"/>
              </w:rPr>
            </w:pPr>
          </w:p>
        </w:tc>
        <w:tc>
          <w:tcPr>
            <w:tcW w:w="485" w:type="pct"/>
            <w:noWrap w:val="0"/>
            <w:vAlign w:val="center"/>
          </w:tcPr>
          <w:p w14:paraId="39AD5970">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485" w:type="pct"/>
            <w:noWrap w:val="0"/>
            <w:vAlign w:val="top"/>
          </w:tcPr>
          <w:p w14:paraId="40E878B7">
            <w:pPr>
              <w:jc w:val="center"/>
              <w:rPr>
                <w:rFonts w:hint="eastAsia" w:ascii="黑体" w:hAnsi="黑体" w:eastAsia="黑体" w:cs="黑体"/>
                <w:sz w:val="21"/>
                <w:szCs w:val="21"/>
                <w:highlight w:val="none"/>
              </w:rPr>
            </w:pPr>
          </w:p>
        </w:tc>
        <w:tc>
          <w:tcPr>
            <w:tcW w:w="485" w:type="pct"/>
            <w:noWrap w:val="0"/>
            <w:vAlign w:val="top"/>
          </w:tcPr>
          <w:p w14:paraId="55641E90">
            <w:pPr>
              <w:jc w:val="center"/>
              <w:rPr>
                <w:rFonts w:hint="eastAsia" w:ascii="黑体" w:hAnsi="黑体" w:eastAsia="黑体" w:cs="黑体"/>
                <w:sz w:val="21"/>
                <w:szCs w:val="21"/>
                <w:highlight w:val="none"/>
              </w:rPr>
            </w:pPr>
          </w:p>
        </w:tc>
      </w:tr>
      <w:tr w14:paraId="0411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1D2B338C">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11</w:t>
            </w:r>
          </w:p>
        </w:tc>
        <w:tc>
          <w:tcPr>
            <w:tcW w:w="485" w:type="pct"/>
            <w:noWrap w:val="0"/>
            <w:vAlign w:val="center"/>
          </w:tcPr>
          <w:p w14:paraId="0DFA7F7F">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1285" w:type="pct"/>
            <w:noWrap w:val="0"/>
            <w:vAlign w:val="top"/>
          </w:tcPr>
          <w:p w14:paraId="0C31100A">
            <w:pPr>
              <w:jc w:val="center"/>
              <w:rPr>
                <w:rFonts w:hint="eastAsia" w:ascii="黑体" w:hAnsi="黑体" w:eastAsia="黑体" w:cs="黑体"/>
                <w:sz w:val="21"/>
                <w:szCs w:val="21"/>
                <w:highlight w:val="none"/>
              </w:rPr>
            </w:pPr>
          </w:p>
        </w:tc>
        <w:tc>
          <w:tcPr>
            <w:tcW w:w="645" w:type="pct"/>
            <w:noWrap w:val="0"/>
            <w:vAlign w:val="top"/>
          </w:tcPr>
          <w:p w14:paraId="3617856E">
            <w:pPr>
              <w:jc w:val="center"/>
              <w:rPr>
                <w:rFonts w:hint="eastAsia" w:ascii="黑体" w:hAnsi="黑体" w:eastAsia="黑体" w:cs="黑体"/>
                <w:sz w:val="21"/>
                <w:szCs w:val="21"/>
                <w:highlight w:val="none"/>
              </w:rPr>
            </w:pPr>
          </w:p>
        </w:tc>
        <w:tc>
          <w:tcPr>
            <w:tcW w:w="645" w:type="pct"/>
            <w:noWrap w:val="0"/>
            <w:vAlign w:val="top"/>
          </w:tcPr>
          <w:p w14:paraId="6C6F0AA6">
            <w:pPr>
              <w:jc w:val="center"/>
              <w:rPr>
                <w:rFonts w:hint="eastAsia" w:ascii="黑体" w:hAnsi="黑体" w:eastAsia="黑体" w:cs="黑体"/>
                <w:sz w:val="21"/>
                <w:szCs w:val="21"/>
                <w:highlight w:val="none"/>
              </w:rPr>
            </w:pPr>
          </w:p>
        </w:tc>
        <w:tc>
          <w:tcPr>
            <w:tcW w:w="485" w:type="pct"/>
            <w:noWrap w:val="0"/>
            <w:vAlign w:val="center"/>
          </w:tcPr>
          <w:p w14:paraId="4A6A8088">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485" w:type="pct"/>
            <w:noWrap w:val="0"/>
            <w:vAlign w:val="top"/>
          </w:tcPr>
          <w:p w14:paraId="06E02859">
            <w:pPr>
              <w:jc w:val="center"/>
              <w:rPr>
                <w:rFonts w:hint="eastAsia" w:ascii="黑体" w:hAnsi="黑体" w:eastAsia="黑体" w:cs="黑体"/>
                <w:sz w:val="21"/>
                <w:szCs w:val="21"/>
                <w:highlight w:val="none"/>
              </w:rPr>
            </w:pPr>
          </w:p>
        </w:tc>
        <w:tc>
          <w:tcPr>
            <w:tcW w:w="485" w:type="pct"/>
            <w:noWrap w:val="0"/>
            <w:vAlign w:val="top"/>
          </w:tcPr>
          <w:p w14:paraId="45D42567">
            <w:pPr>
              <w:jc w:val="center"/>
              <w:rPr>
                <w:rFonts w:hint="eastAsia" w:ascii="黑体" w:hAnsi="黑体" w:eastAsia="黑体" w:cs="黑体"/>
                <w:sz w:val="21"/>
                <w:szCs w:val="21"/>
                <w:highlight w:val="none"/>
              </w:rPr>
            </w:pPr>
          </w:p>
        </w:tc>
      </w:tr>
      <w:tr w14:paraId="463F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56252141">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12</w:t>
            </w:r>
          </w:p>
        </w:tc>
        <w:tc>
          <w:tcPr>
            <w:tcW w:w="485" w:type="pct"/>
            <w:noWrap w:val="0"/>
            <w:vAlign w:val="center"/>
          </w:tcPr>
          <w:p w14:paraId="7D8576BD">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总计</w:t>
            </w:r>
          </w:p>
        </w:tc>
        <w:tc>
          <w:tcPr>
            <w:tcW w:w="4030" w:type="pct"/>
            <w:gridSpan w:val="6"/>
            <w:noWrap w:val="0"/>
            <w:vAlign w:val="top"/>
          </w:tcPr>
          <w:p w14:paraId="5A5872C7">
            <w:pPr>
              <w:rPr>
                <w:rFonts w:hint="eastAsia" w:ascii="黑体" w:hAnsi="黑体" w:eastAsia="黑体" w:cs="黑体"/>
                <w:sz w:val="21"/>
                <w:szCs w:val="21"/>
                <w:highlight w:val="none"/>
              </w:rPr>
            </w:pPr>
          </w:p>
        </w:tc>
      </w:tr>
    </w:tbl>
    <w:p w14:paraId="24AE6320">
      <w:pPr>
        <w:spacing w:line="500" w:lineRule="exact"/>
        <w:ind w:firstLine="480" w:firstLineChars="200"/>
        <w:rPr>
          <w:rFonts w:hint="eastAsia" w:ascii="黑体" w:hAnsi="黑体" w:eastAsia="黑体" w:cs="黑体"/>
          <w:sz w:val="24"/>
          <w:szCs w:val="28"/>
          <w:highlight w:val="none"/>
        </w:rPr>
      </w:pPr>
    </w:p>
    <w:p w14:paraId="6A08E10C">
      <w:pPr>
        <w:spacing w:line="500" w:lineRule="exact"/>
        <w:ind w:firstLine="600" w:firstLineChars="250"/>
        <w:rPr>
          <w:rFonts w:hint="eastAsia" w:ascii="黑体" w:hAnsi="黑体" w:eastAsia="黑体" w:cs="黑体"/>
          <w:sz w:val="24"/>
          <w:szCs w:val="28"/>
          <w:highlight w:val="none"/>
        </w:rPr>
      </w:pP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                       法定代表人（或法定代表人授权代表）或自然人：</w:t>
      </w:r>
    </w:p>
    <w:p w14:paraId="56EF8480">
      <w:pPr>
        <w:spacing w:line="500" w:lineRule="exact"/>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w:t>
      </w: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公章）                               （签署或盖章）</w:t>
      </w:r>
    </w:p>
    <w:p w14:paraId="2EF2E2B9">
      <w:pPr>
        <w:spacing w:line="500" w:lineRule="exact"/>
        <w:rPr>
          <w:rFonts w:hint="eastAsia" w:ascii="黑体" w:hAnsi="黑体" w:eastAsia="黑体" w:cs="黑体"/>
          <w:sz w:val="24"/>
          <w:szCs w:val="28"/>
          <w:highlight w:val="none"/>
        </w:rPr>
      </w:pPr>
    </w:p>
    <w:p w14:paraId="7211933C">
      <w:pPr>
        <w:spacing w:line="500" w:lineRule="exact"/>
        <w:rPr>
          <w:rFonts w:hint="eastAsia" w:ascii="黑体" w:hAnsi="黑体" w:eastAsia="黑体" w:cs="黑体"/>
          <w:sz w:val="24"/>
          <w:szCs w:val="28"/>
          <w:highlight w:val="none"/>
        </w:rPr>
      </w:pPr>
    </w:p>
    <w:p w14:paraId="0C5DA918">
      <w:pPr>
        <w:snapToGrid w:val="0"/>
        <w:spacing w:line="5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年     月     日</w:t>
      </w:r>
    </w:p>
    <w:p w14:paraId="64CC2DAF">
      <w:pPr>
        <w:snapToGrid w:val="0"/>
        <w:spacing w:line="500" w:lineRule="exact"/>
        <w:ind w:firstLine="480" w:firstLineChars="200"/>
        <w:rPr>
          <w:rFonts w:hint="eastAsia" w:ascii="黑体" w:hAnsi="黑体" w:eastAsia="黑体" w:cs="黑体"/>
          <w:sz w:val="24"/>
          <w:szCs w:val="28"/>
          <w:highlight w:val="none"/>
        </w:rPr>
      </w:pPr>
    </w:p>
    <w:p w14:paraId="04F624EE">
      <w:pPr>
        <w:snapToGrid w:val="0"/>
        <w:spacing w:line="5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注：</w:t>
      </w:r>
    </w:p>
    <w:p w14:paraId="3E397DE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lang w:val="en-US" w:eastAsia="zh-CN"/>
        </w:rPr>
        <w:t>1.</w:t>
      </w:r>
      <w:r>
        <w:rPr>
          <w:rFonts w:hint="eastAsia" w:ascii="黑体" w:hAnsi="黑体" w:eastAsia="黑体" w:cs="黑体"/>
          <w:sz w:val="24"/>
          <w:szCs w:val="28"/>
          <w:highlight w:val="none"/>
        </w:rPr>
        <w:t>请</w:t>
      </w: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完整填写本表；</w:t>
      </w:r>
    </w:p>
    <w:p w14:paraId="0C8CF3B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黑体" w:hAnsi="黑体" w:eastAsia="黑体" w:cs="黑体"/>
          <w:sz w:val="24"/>
          <w:szCs w:val="28"/>
          <w:highlight w:val="none"/>
          <w:lang w:eastAsia="zh-CN"/>
        </w:rPr>
      </w:pPr>
      <w:r>
        <w:rPr>
          <w:rFonts w:hint="eastAsia" w:ascii="黑体" w:hAnsi="黑体" w:eastAsia="黑体" w:cs="黑体"/>
          <w:sz w:val="24"/>
          <w:szCs w:val="28"/>
          <w:highlight w:val="none"/>
        </w:rPr>
        <w:t>2.该表可扩展</w:t>
      </w:r>
      <w:r>
        <w:rPr>
          <w:rFonts w:hint="eastAsia" w:ascii="黑体" w:hAnsi="黑体" w:eastAsia="黑体" w:cs="黑体"/>
          <w:sz w:val="24"/>
          <w:szCs w:val="28"/>
          <w:highlight w:val="none"/>
          <w:lang w:eastAsia="zh-CN"/>
        </w:rPr>
        <w:t>；</w:t>
      </w:r>
    </w:p>
    <w:p w14:paraId="683E1F40">
      <w:pPr>
        <w:keepNext w:val="0"/>
        <w:keepLines w:val="0"/>
        <w:pageBreakBefore w:val="0"/>
        <w:widowControl w:val="0"/>
        <w:numPr>
          <w:ilvl w:val="0"/>
          <w:numId w:val="0"/>
        </w:numPr>
        <w:kinsoku/>
        <w:wordWrap/>
        <w:overflowPunct/>
        <w:topLinePunct w:val="0"/>
        <w:autoSpaceDE/>
        <w:autoSpaceDN/>
        <w:bidi w:val="0"/>
        <w:adjustRightInd/>
        <w:spacing w:line="240" w:lineRule="auto"/>
        <w:ind w:firstLine="480" w:firstLineChars="200"/>
        <w:jc w:val="both"/>
        <w:textAlignment w:val="auto"/>
        <w:rPr>
          <w:rFonts w:hint="default"/>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cols w:space="720" w:num="1"/>
          <w:docGrid w:linePitch="380" w:charSpace="-5735"/>
        </w:sectPr>
      </w:pPr>
      <w:r>
        <w:rPr>
          <w:rFonts w:hint="eastAsia" w:ascii="黑体" w:hAnsi="黑体" w:eastAsia="黑体" w:cs="黑体"/>
          <w:sz w:val="24"/>
          <w:szCs w:val="28"/>
          <w:highlight w:val="none"/>
          <w:lang w:val="en-US" w:eastAsia="zh-CN"/>
        </w:rPr>
        <w:t xml:space="preserve">3.若设备涉及专机专用耗材、试剂请单独报价，并作出重庆市最低价承诺，供采购人参考。 </w:t>
      </w:r>
    </w:p>
    <w:p w14:paraId="01AB00F2">
      <w:pPr>
        <w:pStyle w:val="3"/>
        <w:pageBreakBefore/>
        <w:spacing w:line="500" w:lineRule="exact"/>
        <w:ind w:firstLine="562" w:firstLineChars="200"/>
        <w:rPr>
          <w:rFonts w:hint="eastAsia" w:ascii="黑体" w:hAnsi="黑体" w:eastAsia="黑体" w:cs="黑体"/>
          <w:b/>
          <w:szCs w:val="28"/>
          <w:highlight w:val="none"/>
        </w:rPr>
      </w:pPr>
      <w:bookmarkStart w:id="151" w:name="_Toc5548"/>
      <w:bookmarkStart w:id="152" w:name="_Toc693"/>
      <w:bookmarkStart w:id="153" w:name="_Toc75793541"/>
      <w:bookmarkStart w:id="154" w:name="_Toc493178790"/>
      <w:bookmarkStart w:id="155" w:name="_Toc2722"/>
      <w:r>
        <w:rPr>
          <w:rFonts w:hint="eastAsia" w:ascii="黑体" w:hAnsi="黑体" w:eastAsia="黑体" w:cs="黑体"/>
          <w:b/>
          <w:color w:val="auto"/>
          <w:szCs w:val="28"/>
          <w:highlight w:val="none"/>
        </w:rPr>
        <w:t>二、</w:t>
      </w:r>
      <w:bookmarkEnd w:id="151"/>
      <w:bookmarkEnd w:id="152"/>
      <w:bookmarkEnd w:id="153"/>
      <w:bookmarkEnd w:id="154"/>
      <w:r>
        <w:rPr>
          <w:rFonts w:hint="eastAsia" w:ascii="黑体" w:hAnsi="黑体" w:eastAsia="黑体" w:cs="黑体"/>
          <w:b/>
          <w:szCs w:val="28"/>
          <w:highlight w:val="none"/>
        </w:rPr>
        <w:t>技术（质量）文件</w:t>
      </w:r>
      <w:bookmarkEnd w:id="155"/>
    </w:p>
    <w:p w14:paraId="4DD2279B">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（一）技术（质量）条款差异表</w:t>
      </w:r>
    </w:p>
    <w:p w14:paraId="74AA5BA5">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项目</w:t>
      </w:r>
      <w:r>
        <w:rPr>
          <w:rFonts w:hint="eastAsia" w:ascii="黑体" w:hAnsi="黑体" w:eastAsia="黑体" w:cs="黑体"/>
          <w:sz w:val="24"/>
          <w:szCs w:val="28"/>
          <w:highlight w:val="none"/>
          <w:lang w:val="en-US" w:eastAsia="zh-CN"/>
        </w:rPr>
        <w:t>编号</w:t>
      </w:r>
      <w:r>
        <w:rPr>
          <w:rFonts w:hint="eastAsia" w:ascii="黑体" w:hAnsi="黑体" w:eastAsia="黑体" w:cs="黑体"/>
          <w:sz w:val="24"/>
          <w:szCs w:val="28"/>
          <w:highlight w:val="none"/>
        </w:rPr>
        <w:t>：</w:t>
      </w:r>
    </w:p>
    <w:p w14:paraId="1F010640">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项目名称：</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2135"/>
        <w:gridCol w:w="2150"/>
        <w:gridCol w:w="2092"/>
        <w:gridCol w:w="2165"/>
      </w:tblGrid>
      <w:tr w14:paraId="1FDE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60" w:type="pct"/>
            <w:noWrap w:val="0"/>
            <w:vAlign w:val="center"/>
          </w:tcPr>
          <w:p w14:paraId="1454DA6E">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109" w:type="pct"/>
            <w:noWrap w:val="0"/>
            <w:vAlign w:val="center"/>
          </w:tcPr>
          <w:p w14:paraId="6DAA49DB">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招标要求</w:t>
            </w:r>
          </w:p>
        </w:tc>
        <w:tc>
          <w:tcPr>
            <w:tcW w:w="1117" w:type="pct"/>
            <w:noWrap w:val="0"/>
            <w:vAlign w:val="center"/>
          </w:tcPr>
          <w:p w14:paraId="2C5CBB27">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投标应答</w:t>
            </w:r>
          </w:p>
        </w:tc>
        <w:tc>
          <w:tcPr>
            <w:tcW w:w="1087" w:type="pct"/>
            <w:noWrap w:val="0"/>
            <w:vAlign w:val="center"/>
          </w:tcPr>
          <w:p w14:paraId="51DC72D1">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差异说明</w:t>
            </w:r>
          </w:p>
        </w:tc>
        <w:tc>
          <w:tcPr>
            <w:tcW w:w="1125" w:type="pct"/>
            <w:noWrap w:val="0"/>
            <w:vAlign w:val="center"/>
          </w:tcPr>
          <w:p w14:paraId="056C6908">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佐证材料（页数）</w:t>
            </w:r>
          </w:p>
        </w:tc>
      </w:tr>
      <w:tr w14:paraId="2AEC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2A1EC15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06EAE056">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0E257BC5">
            <w:pPr>
              <w:tabs>
                <w:tab w:val="left" w:pos="6300"/>
              </w:tabs>
              <w:snapToGrid w:val="0"/>
              <w:spacing w:line="500" w:lineRule="exact"/>
              <w:outlineLvl w:val="0"/>
              <w:rPr>
                <w:rFonts w:hint="eastAsia" w:ascii="黑体" w:hAnsi="黑体" w:eastAsia="黑体" w:cs="黑体"/>
                <w:sz w:val="21"/>
                <w:szCs w:val="21"/>
                <w:highlight w:val="none"/>
              </w:rPr>
            </w:pPr>
          </w:p>
        </w:tc>
        <w:tc>
          <w:tcPr>
            <w:tcW w:w="1087" w:type="pct"/>
            <w:noWrap w:val="0"/>
            <w:vAlign w:val="center"/>
          </w:tcPr>
          <w:p w14:paraId="1134D306">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6900BD02">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56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433C90A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2893CBBB">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6327E73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19E25DE6">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5B961854">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2146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34BD424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7725A57F">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0889555E">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3C4D933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19B612A3">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280B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4FB8E5B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0421DEB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69841CB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47D0CE7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2C279B1B">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3608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27A90310">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794A08FC">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5A010276">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795BB649">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643A3A1B">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5301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38F28D3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5AF5ED9A">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4D18653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172CBBD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5952E5E2">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768D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207BACB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601E4E7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2831AB8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20B54C63">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5D2C0B01">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13EA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3DEBD65A">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1798CC49">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09BBD03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052F190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145B171A">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E54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311C647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5A6CC16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5BC4FCC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1CF42C1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5744EF12">
            <w:pPr>
              <w:tabs>
                <w:tab w:val="left" w:pos="6300"/>
              </w:tabs>
              <w:snapToGrid w:val="0"/>
              <w:spacing w:line="500" w:lineRule="exact"/>
              <w:jc w:val="center"/>
              <w:outlineLvl w:val="0"/>
              <w:rPr>
                <w:rFonts w:hint="eastAsia" w:ascii="黑体" w:hAnsi="黑体" w:eastAsia="黑体" w:cs="黑体"/>
                <w:sz w:val="21"/>
                <w:szCs w:val="21"/>
                <w:highlight w:val="none"/>
              </w:rPr>
            </w:pPr>
          </w:p>
        </w:tc>
      </w:tr>
    </w:tbl>
    <w:p w14:paraId="4B304C94">
      <w:pPr>
        <w:spacing w:line="500" w:lineRule="exact"/>
        <w:ind w:firstLine="600" w:firstLineChars="250"/>
        <w:rPr>
          <w:rFonts w:hint="eastAsia" w:ascii="黑体" w:hAnsi="黑体" w:eastAsia="黑体" w:cs="黑体"/>
          <w:sz w:val="24"/>
          <w:szCs w:val="28"/>
          <w:highlight w:val="none"/>
        </w:rPr>
      </w:pP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                      法定代表人（或法定代表人授权代表）或自然人：</w:t>
      </w:r>
    </w:p>
    <w:p w14:paraId="7AF6CE4D">
      <w:pPr>
        <w:spacing w:line="500" w:lineRule="exact"/>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w:t>
      </w:r>
    </w:p>
    <w:p w14:paraId="0388D4F1">
      <w:pPr>
        <w:spacing w:line="500" w:lineRule="exact"/>
        <w:ind w:firstLine="720" w:firstLineChars="300"/>
        <w:rPr>
          <w:rFonts w:hint="eastAsia" w:ascii="黑体" w:hAnsi="黑体" w:eastAsia="黑体" w:cs="黑体"/>
          <w:sz w:val="24"/>
          <w:szCs w:val="28"/>
          <w:highlight w:val="none"/>
        </w:rPr>
      </w:pPr>
      <w:r>
        <w:rPr>
          <w:rFonts w:hint="eastAsia" w:ascii="黑体" w:hAnsi="黑体" w:eastAsia="黑体" w:cs="黑体"/>
          <w:sz w:val="24"/>
          <w:szCs w:val="28"/>
          <w:highlight w:val="none"/>
        </w:rPr>
        <w:t>（</w:t>
      </w: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公章）                               （签署或盖章）</w:t>
      </w:r>
    </w:p>
    <w:p w14:paraId="0C7D193B">
      <w:pPr>
        <w:tabs>
          <w:tab w:val="left" w:pos="6300"/>
        </w:tabs>
        <w:snapToGrid w:val="0"/>
        <w:spacing w:line="500" w:lineRule="exact"/>
        <w:ind w:firstLine="570"/>
        <w:rPr>
          <w:rFonts w:hint="eastAsia" w:ascii="黑体" w:hAnsi="黑体" w:eastAsia="黑体" w:cs="黑体"/>
          <w:sz w:val="24"/>
          <w:highlight w:val="none"/>
        </w:rPr>
      </w:pPr>
      <w:r>
        <w:rPr>
          <w:rFonts w:hint="eastAsia" w:ascii="黑体" w:hAnsi="黑体" w:eastAsia="黑体" w:cs="黑体"/>
          <w:sz w:val="24"/>
          <w:szCs w:val="28"/>
          <w:highlight w:val="none"/>
        </w:rPr>
        <w:t xml:space="preserve">                                            年     月     日</w:t>
      </w:r>
    </w:p>
    <w:p w14:paraId="0EDB6308">
      <w:pPr>
        <w:tabs>
          <w:tab w:val="left" w:pos="6300"/>
        </w:tabs>
        <w:snapToGrid w:val="0"/>
        <w:spacing w:line="500" w:lineRule="exact"/>
        <w:ind w:firstLine="570"/>
        <w:rPr>
          <w:rFonts w:hint="eastAsia" w:ascii="黑体" w:hAnsi="黑体" w:eastAsia="黑体" w:cs="黑体"/>
          <w:sz w:val="24"/>
          <w:highlight w:val="none"/>
        </w:rPr>
      </w:pPr>
      <w:r>
        <w:rPr>
          <w:rFonts w:hint="eastAsia" w:ascii="黑体" w:hAnsi="黑体" w:eastAsia="黑体" w:cs="黑体"/>
          <w:sz w:val="24"/>
          <w:highlight w:val="none"/>
        </w:rPr>
        <w:t>注：</w:t>
      </w:r>
    </w:p>
    <w:p w14:paraId="2E54CC83">
      <w:pPr>
        <w:tabs>
          <w:tab w:val="left" w:pos="6300"/>
        </w:tabs>
        <w:snapToGrid w:val="0"/>
        <w:spacing w:line="500" w:lineRule="exact"/>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1.本表即为对本项目“第二篇  项目技术（质量）需求”中所列条款进行比较和响应；</w:t>
      </w:r>
    </w:p>
    <w:p w14:paraId="700EC6BD">
      <w:pPr>
        <w:tabs>
          <w:tab w:val="left" w:pos="6300"/>
        </w:tabs>
        <w:snapToGrid w:val="0"/>
        <w:spacing w:line="500" w:lineRule="exact"/>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2.本表可扩展；</w:t>
      </w:r>
    </w:p>
    <w:p w14:paraId="50C97880">
      <w:pPr>
        <w:tabs>
          <w:tab w:val="left" w:pos="6300"/>
        </w:tabs>
        <w:snapToGrid w:val="0"/>
        <w:spacing w:line="500" w:lineRule="exact"/>
        <w:ind w:firstLine="570"/>
        <w:rPr>
          <w:rFonts w:hint="default"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3.招标应答部分请注明产品自身技术参数或具体内容，不得照搬参数需求内容，否则视为无效响应；佐证材料对应页码的对应位置应用下划线标注出来，否则视为无效响应。</w:t>
      </w:r>
    </w:p>
    <w:p w14:paraId="7EEDB3B6">
      <w:pPr>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br w:type="page"/>
      </w:r>
    </w:p>
    <w:p w14:paraId="388C33FE">
      <w:pPr>
        <w:snapToGrid w:val="0"/>
        <w:spacing w:line="400" w:lineRule="exact"/>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（二）其他技术（质量）资料</w:t>
      </w:r>
    </w:p>
    <w:p w14:paraId="3E1BD9C5">
      <w:pPr>
        <w:tabs>
          <w:tab w:val="left" w:pos="6300"/>
        </w:tabs>
        <w:snapToGrid w:val="0"/>
        <w:spacing w:line="500" w:lineRule="exact"/>
        <w:ind w:firstLine="570"/>
        <w:rPr>
          <w:rFonts w:hint="eastAsia" w:ascii="黑体" w:hAnsi="黑体" w:eastAsia="黑体" w:cs="黑体"/>
          <w:color w:val="auto"/>
          <w:szCs w:val="24"/>
          <w:highlight w:val="none"/>
        </w:rPr>
      </w:pPr>
    </w:p>
    <w:p w14:paraId="37A39443">
      <w:pPr>
        <w:pStyle w:val="2"/>
        <w:rPr>
          <w:rFonts w:hint="eastAsia" w:ascii="黑体" w:hAnsi="黑体" w:eastAsia="黑体" w:cs="黑体"/>
          <w:highlight w:val="none"/>
        </w:rPr>
      </w:pPr>
    </w:p>
    <w:p w14:paraId="0BD2E73B">
      <w:pPr>
        <w:tabs>
          <w:tab w:val="left" w:pos="6300"/>
        </w:tabs>
        <w:snapToGrid w:val="0"/>
        <w:spacing w:line="500" w:lineRule="exact"/>
        <w:ind w:firstLine="570"/>
        <w:rPr>
          <w:rFonts w:hint="eastAsia" w:ascii="黑体" w:hAnsi="黑体" w:eastAsia="黑体" w:cs="黑体"/>
          <w:color w:val="auto"/>
          <w:sz w:val="24"/>
          <w:highlight w:val="none"/>
        </w:rPr>
      </w:pPr>
    </w:p>
    <w:p w14:paraId="6DC5BF0F">
      <w:pPr>
        <w:tabs>
          <w:tab w:val="left" w:pos="6300"/>
        </w:tabs>
        <w:snapToGrid w:val="0"/>
        <w:spacing w:line="500" w:lineRule="exact"/>
        <w:ind w:firstLine="570"/>
        <w:rPr>
          <w:rFonts w:hint="eastAsia" w:ascii="黑体" w:hAnsi="黑体" w:eastAsia="黑体" w:cs="黑体"/>
          <w:color w:val="auto"/>
          <w:szCs w:val="24"/>
          <w:highlight w:val="none"/>
        </w:rPr>
      </w:pPr>
      <w:r>
        <w:rPr>
          <w:rFonts w:hint="eastAsia" w:ascii="黑体" w:hAnsi="黑体" w:eastAsia="黑体" w:cs="黑体"/>
          <w:color w:val="auto"/>
          <w:szCs w:val="24"/>
          <w:highlight w:val="none"/>
        </w:rPr>
        <w:br w:type="page"/>
      </w:r>
      <w:bookmarkStart w:id="156" w:name="_Toc22278"/>
      <w:bookmarkStart w:id="157" w:name="_Toc493178791"/>
      <w:bookmarkStart w:id="158" w:name="_Toc492721039"/>
      <w:bookmarkStart w:id="159" w:name="_Toc75793542"/>
    </w:p>
    <w:p w14:paraId="0197DE42">
      <w:pPr>
        <w:pStyle w:val="3"/>
        <w:pageBreakBefore/>
        <w:spacing w:line="500" w:lineRule="exact"/>
        <w:ind w:firstLine="562" w:firstLineChars="200"/>
        <w:rPr>
          <w:rFonts w:hint="eastAsia" w:ascii="黑体" w:hAnsi="黑体" w:eastAsia="黑体" w:cs="黑体"/>
          <w:b/>
          <w:color w:val="auto"/>
          <w:szCs w:val="28"/>
          <w:highlight w:val="none"/>
        </w:rPr>
      </w:pPr>
      <w:bookmarkStart w:id="160" w:name="_Toc12662"/>
      <w:bookmarkStart w:id="161" w:name="_Toc21553"/>
      <w:r>
        <w:rPr>
          <w:rFonts w:hint="eastAsia" w:ascii="黑体" w:hAnsi="黑体" w:eastAsia="黑体" w:cs="黑体"/>
          <w:b/>
          <w:color w:val="auto"/>
          <w:szCs w:val="28"/>
          <w:highlight w:val="none"/>
        </w:rPr>
        <w:t>三、商务文件</w:t>
      </w:r>
      <w:bookmarkEnd w:id="156"/>
      <w:bookmarkEnd w:id="157"/>
      <w:bookmarkEnd w:id="158"/>
      <w:bookmarkEnd w:id="159"/>
      <w:bookmarkEnd w:id="160"/>
      <w:bookmarkEnd w:id="161"/>
    </w:p>
    <w:p w14:paraId="4AEE8357">
      <w:pPr>
        <w:snapToGrid w:val="0"/>
        <w:spacing w:before="120" w:beforeLines="50" w:line="500" w:lineRule="exact"/>
        <w:jc w:val="center"/>
        <w:rPr>
          <w:rFonts w:hint="eastAsia" w:ascii="黑体" w:hAnsi="黑体" w:eastAsia="黑体" w:cs="黑体"/>
          <w:color w:val="auto"/>
          <w:szCs w:val="28"/>
          <w:highlight w:val="none"/>
        </w:rPr>
      </w:pPr>
      <w:r>
        <w:rPr>
          <w:rFonts w:hint="eastAsia" w:ascii="黑体" w:hAnsi="黑体" w:eastAsia="黑体" w:cs="黑体"/>
          <w:color w:val="auto"/>
          <w:szCs w:val="28"/>
          <w:highlight w:val="none"/>
        </w:rPr>
        <w:t>（一）投标函（格式）</w:t>
      </w:r>
    </w:p>
    <w:p w14:paraId="4F4E0E27">
      <w:pPr>
        <w:spacing w:line="500" w:lineRule="exact"/>
        <w:rPr>
          <w:rFonts w:hint="eastAsia" w:ascii="黑体" w:hAnsi="黑体" w:eastAsia="黑体" w:cs="黑体"/>
          <w:color w:val="auto"/>
          <w:sz w:val="24"/>
          <w:szCs w:val="28"/>
          <w:highlight w:val="none"/>
        </w:rPr>
      </w:pPr>
    </w:p>
    <w:p w14:paraId="5D98346B">
      <w:pPr>
        <w:spacing w:line="500" w:lineRule="exact"/>
        <w:ind w:firstLine="480" w:firstLineChars="200"/>
        <w:rPr>
          <w:rFonts w:hint="eastAsia" w:ascii="黑体" w:hAnsi="黑体" w:eastAsia="黑体" w:cs="黑体"/>
          <w:color w:val="auto"/>
          <w:sz w:val="24"/>
          <w:szCs w:val="28"/>
          <w:highlight w:val="none"/>
          <w:u w:val="single"/>
        </w:rPr>
      </w:pPr>
      <w:r>
        <w:rPr>
          <w:rFonts w:hint="eastAsia" w:ascii="黑体" w:hAnsi="黑体" w:eastAsia="黑体" w:cs="黑体"/>
          <w:color w:val="auto"/>
          <w:sz w:val="24"/>
          <w:szCs w:val="28"/>
          <w:highlight w:val="none"/>
        </w:rPr>
        <w:t>项目</w:t>
      </w:r>
      <w:r>
        <w:rPr>
          <w:rFonts w:hint="eastAsia" w:ascii="黑体" w:hAnsi="黑体" w:eastAsia="黑体" w:cs="黑体"/>
          <w:color w:val="auto"/>
          <w:sz w:val="24"/>
          <w:szCs w:val="28"/>
          <w:highlight w:val="none"/>
          <w:lang w:val="en-US" w:eastAsia="zh-CN"/>
        </w:rPr>
        <w:t>编号</w:t>
      </w:r>
      <w:r>
        <w:rPr>
          <w:rFonts w:hint="eastAsia" w:ascii="黑体" w:hAnsi="黑体" w:eastAsia="黑体" w:cs="黑体"/>
          <w:color w:val="auto"/>
          <w:sz w:val="24"/>
          <w:szCs w:val="28"/>
          <w:highlight w:val="none"/>
        </w:rPr>
        <w:t>：</w:t>
      </w:r>
      <w:r>
        <w:rPr>
          <w:rFonts w:hint="eastAsia" w:ascii="黑体" w:hAnsi="黑体" w:eastAsia="黑体" w:cs="黑体"/>
          <w:color w:val="auto"/>
          <w:sz w:val="24"/>
          <w:szCs w:val="28"/>
          <w:highlight w:val="none"/>
          <w:u w:val="single"/>
        </w:rPr>
        <w:t xml:space="preserve">                                             </w:t>
      </w:r>
    </w:p>
    <w:p w14:paraId="68F3D177">
      <w:pPr>
        <w:spacing w:line="500" w:lineRule="exact"/>
        <w:ind w:firstLine="480" w:firstLineChars="200"/>
        <w:rPr>
          <w:rFonts w:hint="eastAsia" w:ascii="黑体" w:hAnsi="黑体" w:eastAsia="黑体" w:cs="黑体"/>
          <w:highlight w:val="none"/>
          <w:lang w:val="en-US" w:eastAsia="zh-CN"/>
        </w:rPr>
      </w:pPr>
      <w:r>
        <w:rPr>
          <w:rFonts w:hint="eastAsia" w:ascii="黑体" w:hAnsi="黑体" w:eastAsia="黑体" w:cs="黑体"/>
          <w:color w:val="auto"/>
          <w:sz w:val="24"/>
          <w:szCs w:val="28"/>
          <w:highlight w:val="none"/>
          <w:lang w:val="en-US" w:eastAsia="zh-CN"/>
        </w:rPr>
        <w:t>项目名称：</w:t>
      </w:r>
      <w:r>
        <w:rPr>
          <w:rFonts w:hint="eastAsia" w:ascii="黑体" w:hAnsi="黑体" w:eastAsia="黑体" w:cs="黑体"/>
          <w:color w:val="auto"/>
          <w:sz w:val="24"/>
          <w:szCs w:val="28"/>
          <w:highlight w:val="none"/>
          <w:u w:val="single"/>
          <w:lang w:val="en-US" w:eastAsia="zh-CN"/>
        </w:rPr>
        <w:t xml:space="preserve">                                   </w:t>
      </w:r>
    </w:p>
    <w:p w14:paraId="59BE4571">
      <w:pPr>
        <w:spacing w:line="500" w:lineRule="exact"/>
        <w:rPr>
          <w:rFonts w:hint="eastAsia" w:ascii="黑体" w:hAnsi="黑体" w:eastAsia="黑体" w:cs="黑体"/>
          <w:color w:val="auto"/>
          <w:sz w:val="24"/>
          <w:szCs w:val="28"/>
          <w:highlight w:val="none"/>
        </w:rPr>
      </w:pPr>
    </w:p>
    <w:p w14:paraId="5164EE95">
      <w:pPr>
        <w:tabs>
          <w:tab w:val="left" w:pos="6300"/>
        </w:tabs>
        <w:snapToGrid w:val="0"/>
        <w:spacing w:line="500" w:lineRule="exact"/>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致：</w:t>
      </w:r>
      <w:r>
        <w:rPr>
          <w:rFonts w:hint="eastAsia" w:ascii="黑体" w:hAnsi="黑体" w:eastAsia="黑体" w:cs="黑体"/>
          <w:color w:val="auto"/>
          <w:sz w:val="24"/>
          <w:szCs w:val="28"/>
          <w:highlight w:val="none"/>
          <w:u w:val="single"/>
        </w:rPr>
        <w:t xml:space="preserve">                    </w:t>
      </w:r>
      <w:r>
        <w:rPr>
          <w:rFonts w:hint="eastAsia" w:ascii="黑体" w:hAnsi="黑体" w:eastAsia="黑体" w:cs="黑体"/>
          <w:color w:val="auto"/>
          <w:sz w:val="24"/>
          <w:szCs w:val="28"/>
          <w:highlight w:val="none"/>
        </w:rPr>
        <w:t>（采购</w:t>
      </w:r>
      <w:r>
        <w:rPr>
          <w:rFonts w:hint="eastAsia" w:ascii="黑体" w:hAnsi="黑体" w:eastAsia="黑体" w:cs="黑体"/>
          <w:color w:val="auto"/>
          <w:sz w:val="24"/>
          <w:szCs w:val="28"/>
          <w:highlight w:val="none"/>
          <w:lang w:eastAsia="zh-CN"/>
        </w:rPr>
        <w:t>人</w:t>
      </w:r>
      <w:r>
        <w:rPr>
          <w:rFonts w:hint="eastAsia" w:ascii="黑体" w:hAnsi="黑体" w:eastAsia="黑体" w:cs="黑体"/>
          <w:color w:val="auto"/>
          <w:sz w:val="24"/>
          <w:szCs w:val="28"/>
          <w:highlight w:val="none"/>
        </w:rPr>
        <w:t>名称）：</w:t>
      </w:r>
    </w:p>
    <w:p w14:paraId="1F4AA057">
      <w:pPr>
        <w:snapToGrid w:val="0"/>
        <w:spacing w:before="120" w:beforeLines="50"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u w:val="single"/>
        </w:rPr>
        <w:t xml:space="preserve">                        </w:t>
      </w:r>
      <w:r>
        <w:rPr>
          <w:rFonts w:hint="eastAsia" w:ascii="黑体" w:hAnsi="黑体" w:eastAsia="黑体" w:cs="黑体"/>
          <w:color w:val="auto"/>
          <w:sz w:val="24"/>
          <w:szCs w:val="28"/>
          <w:highlight w:val="none"/>
        </w:rPr>
        <w:t>（供应商名称）系中华人民共和国合法企业，注册地址：</w:t>
      </w:r>
      <w:r>
        <w:rPr>
          <w:rFonts w:hint="eastAsia" w:ascii="黑体" w:hAnsi="黑体" w:eastAsia="黑体" w:cs="黑体"/>
          <w:color w:val="auto"/>
          <w:sz w:val="24"/>
          <w:szCs w:val="28"/>
          <w:highlight w:val="none"/>
          <w:u w:val="single"/>
        </w:rPr>
        <w:t xml:space="preserve">                               </w:t>
      </w:r>
      <w:r>
        <w:rPr>
          <w:rFonts w:hint="eastAsia" w:ascii="黑体" w:hAnsi="黑体" w:eastAsia="黑体" w:cs="黑体"/>
          <w:color w:val="auto"/>
          <w:sz w:val="24"/>
          <w:szCs w:val="28"/>
          <w:highlight w:val="none"/>
        </w:rPr>
        <w:t>。我方就参加本次投标有关事项郑重声明如下：</w:t>
      </w:r>
    </w:p>
    <w:p w14:paraId="53D47E9B">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一、我方完全理解并接受该项目竞争性比选文件所有要求。</w:t>
      </w:r>
    </w:p>
    <w:p w14:paraId="5960D0AB">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二、我方提交的所有响应文件、资料都是准确和真实的，如有虚假或隐瞒，我方愿意承担一切法律责任。</w:t>
      </w:r>
    </w:p>
    <w:p w14:paraId="55A16FB8">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三、我方承诺按照竞争性比选文件要求，提供招标项目的技术服务。</w:t>
      </w:r>
    </w:p>
    <w:p w14:paraId="4493AE90">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四、我方按竞争性比选文件要求提交的响应文件为：</w:t>
      </w:r>
      <w:r>
        <w:rPr>
          <w:rFonts w:hint="eastAsia" w:ascii="黑体" w:hAnsi="黑体" w:eastAsia="黑体" w:cs="黑体"/>
          <w:color w:val="auto"/>
          <w:sz w:val="24"/>
          <w:szCs w:val="28"/>
          <w:highlight w:val="none"/>
          <w:lang w:val="en-US" w:eastAsia="zh-CN"/>
        </w:rPr>
        <w:t>电子版</w:t>
      </w:r>
      <w:r>
        <w:rPr>
          <w:rFonts w:hint="eastAsia" w:ascii="黑体" w:hAnsi="黑体" w:eastAsia="黑体" w:cs="黑体"/>
          <w:color w:val="auto"/>
          <w:sz w:val="24"/>
          <w:szCs w:val="28"/>
          <w:highlight w:val="none"/>
          <w:u w:val="single"/>
          <w:lang w:val="en-US" w:eastAsia="zh-CN"/>
        </w:rPr>
        <w:t xml:space="preserve">    </w:t>
      </w:r>
      <w:r>
        <w:rPr>
          <w:rFonts w:hint="eastAsia" w:ascii="黑体" w:hAnsi="黑体" w:eastAsia="黑体" w:cs="黑体"/>
          <w:color w:val="auto"/>
          <w:sz w:val="24"/>
          <w:szCs w:val="28"/>
          <w:highlight w:val="none"/>
          <w:lang w:val="en-US" w:eastAsia="zh-CN"/>
        </w:rPr>
        <w:t>份</w:t>
      </w:r>
      <w:r>
        <w:rPr>
          <w:rFonts w:hint="eastAsia" w:ascii="黑体" w:hAnsi="黑体" w:eastAsia="黑体" w:cs="黑体"/>
          <w:color w:val="auto"/>
          <w:sz w:val="24"/>
          <w:szCs w:val="28"/>
          <w:highlight w:val="none"/>
        </w:rPr>
        <w:t>。</w:t>
      </w:r>
    </w:p>
    <w:p w14:paraId="026106E8">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五、我方承诺：本次投标的投标有效期为</w:t>
      </w:r>
      <w:r>
        <w:rPr>
          <w:rFonts w:hint="eastAsia" w:ascii="黑体" w:hAnsi="黑体" w:eastAsia="黑体" w:cs="黑体"/>
          <w:color w:val="auto"/>
          <w:sz w:val="24"/>
          <w:highlight w:val="none"/>
        </w:rPr>
        <w:t>投标截止时间</w:t>
      </w:r>
      <w:r>
        <w:rPr>
          <w:rFonts w:hint="eastAsia" w:ascii="黑体" w:hAnsi="黑体" w:eastAsia="黑体" w:cs="黑体"/>
          <w:color w:val="auto"/>
          <w:sz w:val="24"/>
          <w:szCs w:val="28"/>
          <w:highlight w:val="none"/>
        </w:rPr>
        <w:t>起90天。</w:t>
      </w:r>
    </w:p>
    <w:p w14:paraId="198E79B7">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六、我方投标报价为闭口价。即在投标有效期和合同有效期内，该报价固定不变。</w:t>
      </w:r>
    </w:p>
    <w:p w14:paraId="1E07F60F">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七、如果我方中标，我方将履行竞争性比选文件中规定的各项要求以及我方响应文件的各项承诺，按《中华人民共和国政府采购法》、《中华人民共和国民法典》及合同约定条款承担我方责任。</w:t>
      </w:r>
    </w:p>
    <w:p w14:paraId="073D4A80">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八、我方未</w:t>
      </w:r>
      <w:r>
        <w:rPr>
          <w:rFonts w:hint="eastAsia" w:ascii="黑体" w:hAnsi="黑体" w:eastAsia="黑体" w:cs="黑体"/>
          <w:color w:val="auto"/>
          <w:sz w:val="24"/>
          <w:szCs w:val="24"/>
          <w:highlight w:val="none"/>
        </w:rPr>
        <w:t>为采购项目提供整体设计、规范编制或者项目管理、监理、检测等服务。</w:t>
      </w:r>
    </w:p>
    <w:p w14:paraId="3E741498">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九、我方理解，最低报价不是中标的唯一条件。</w:t>
      </w:r>
    </w:p>
    <w:p w14:paraId="0F662F45">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十、我方同意按有关规定及竞争性比选文件要求，交纳足额投标保证金</w:t>
      </w:r>
      <w:r>
        <w:rPr>
          <w:rFonts w:hint="eastAsia" w:ascii="黑体" w:hAnsi="黑体" w:eastAsia="黑体" w:cs="黑体"/>
          <w:color w:val="auto"/>
          <w:sz w:val="24"/>
          <w:szCs w:val="28"/>
          <w:highlight w:val="none"/>
          <w:lang w:eastAsia="zh-CN"/>
        </w:rPr>
        <w:t>（</w:t>
      </w:r>
      <w:r>
        <w:rPr>
          <w:rFonts w:hint="eastAsia" w:ascii="黑体" w:hAnsi="黑体" w:eastAsia="黑体" w:cs="黑体"/>
          <w:color w:val="auto"/>
          <w:sz w:val="24"/>
          <w:szCs w:val="28"/>
          <w:highlight w:val="none"/>
          <w:lang w:val="en-US" w:eastAsia="zh-CN"/>
        </w:rPr>
        <w:t>如有</w:t>
      </w:r>
      <w:r>
        <w:rPr>
          <w:rFonts w:hint="eastAsia" w:ascii="黑体" w:hAnsi="黑体" w:eastAsia="黑体" w:cs="黑体"/>
          <w:color w:val="auto"/>
          <w:sz w:val="24"/>
          <w:szCs w:val="28"/>
          <w:highlight w:val="none"/>
          <w:lang w:eastAsia="zh-CN"/>
        </w:rPr>
        <w:t>）</w:t>
      </w:r>
      <w:r>
        <w:rPr>
          <w:rFonts w:hint="eastAsia" w:ascii="黑体" w:hAnsi="黑体" w:eastAsia="黑体" w:cs="黑体"/>
          <w:color w:val="auto"/>
          <w:sz w:val="24"/>
          <w:szCs w:val="28"/>
          <w:highlight w:val="none"/>
        </w:rPr>
        <w:t>。</w:t>
      </w:r>
    </w:p>
    <w:p w14:paraId="63628513">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十一、若我方中标，愿意按有关规定及竞争性比选文件要求缴纳招标代理服务费。</w:t>
      </w:r>
    </w:p>
    <w:p w14:paraId="34FA7187">
      <w:pPr>
        <w:tabs>
          <w:tab w:val="left" w:pos="6300"/>
        </w:tabs>
        <w:snapToGrid w:val="0"/>
        <w:spacing w:line="500" w:lineRule="exact"/>
        <w:ind w:firstLine="570"/>
        <w:rPr>
          <w:rFonts w:hint="eastAsia" w:ascii="黑体" w:hAnsi="黑体" w:eastAsia="黑体" w:cs="黑体"/>
          <w:color w:val="auto"/>
          <w:sz w:val="24"/>
          <w:szCs w:val="28"/>
          <w:highlight w:val="none"/>
        </w:rPr>
      </w:pPr>
    </w:p>
    <w:p w14:paraId="5FE48756">
      <w:pPr>
        <w:tabs>
          <w:tab w:val="left" w:pos="6300"/>
        </w:tabs>
        <w:snapToGrid w:val="0"/>
        <w:spacing w:line="500" w:lineRule="exact"/>
        <w:ind w:firstLine="5460" w:firstLineChars="2275"/>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（供应商公章或自然人签署）</w:t>
      </w:r>
    </w:p>
    <w:p w14:paraId="24389F01">
      <w:pPr>
        <w:tabs>
          <w:tab w:val="left" w:pos="6300"/>
        </w:tabs>
        <w:snapToGrid w:val="0"/>
        <w:spacing w:line="500" w:lineRule="exact"/>
        <w:ind w:firstLine="5760" w:firstLineChars="2400"/>
        <w:rPr>
          <w:rFonts w:hint="eastAsia" w:ascii="黑体" w:hAnsi="黑体" w:eastAsia="黑体" w:cs="黑体"/>
          <w:color w:val="auto"/>
          <w:szCs w:val="28"/>
          <w:highlight w:val="none"/>
        </w:rPr>
      </w:pPr>
      <w:r>
        <w:rPr>
          <w:rFonts w:hint="eastAsia" w:ascii="黑体" w:hAnsi="黑体" w:eastAsia="黑体" w:cs="黑体"/>
          <w:color w:val="auto"/>
          <w:sz w:val="24"/>
          <w:szCs w:val="28"/>
          <w:highlight w:val="none"/>
        </w:rPr>
        <w:t>年    月   日</w:t>
      </w:r>
    </w:p>
    <w:p w14:paraId="6C65DA0E">
      <w:pPr>
        <w:snapToGrid w:val="0"/>
        <w:spacing w:line="400" w:lineRule="exact"/>
        <w:ind w:firstLine="560" w:firstLineChars="200"/>
        <w:rPr>
          <w:rFonts w:hint="eastAsia" w:ascii="黑体" w:hAnsi="黑体" w:eastAsia="黑体" w:cs="黑体"/>
          <w:color w:val="auto"/>
          <w:sz w:val="24"/>
          <w:szCs w:val="28"/>
          <w:highlight w:val="none"/>
        </w:rPr>
      </w:pPr>
      <w:r>
        <w:rPr>
          <w:rFonts w:hint="eastAsia" w:ascii="黑体" w:hAnsi="黑体" w:eastAsia="黑体" w:cs="黑体"/>
          <w:color w:val="auto"/>
          <w:szCs w:val="44"/>
          <w:highlight w:val="none"/>
        </w:rPr>
        <w:br w:type="page"/>
      </w:r>
      <w:r>
        <w:rPr>
          <w:rFonts w:hint="eastAsia" w:ascii="黑体" w:hAnsi="黑体" w:eastAsia="黑体" w:cs="黑体"/>
          <w:color w:val="auto"/>
          <w:sz w:val="24"/>
          <w:szCs w:val="28"/>
          <w:highlight w:val="none"/>
        </w:rPr>
        <w:t>（二）商务条款差异表</w:t>
      </w:r>
    </w:p>
    <w:p w14:paraId="15579927">
      <w:pPr>
        <w:snapToGrid w:val="0"/>
        <w:spacing w:line="4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lang w:val="en-US" w:eastAsia="zh-CN"/>
        </w:rPr>
        <w:t>项目</w:t>
      </w:r>
      <w:r>
        <w:rPr>
          <w:rFonts w:hint="eastAsia" w:ascii="黑体" w:hAnsi="黑体" w:eastAsia="黑体" w:cs="黑体"/>
          <w:color w:val="auto"/>
          <w:sz w:val="24"/>
          <w:szCs w:val="28"/>
          <w:highlight w:val="none"/>
        </w:rPr>
        <w:t>编号：</w:t>
      </w:r>
    </w:p>
    <w:p w14:paraId="6C4C6D0B">
      <w:pPr>
        <w:snapToGrid w:val="0"/>
        <w:spacing w:line="4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项目名称：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0E8B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0B299666">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541" w:type="pct"/>
            <w:noWrap w:val="0"/>
            <w:vAlign w:val="center"/>
          </w:tcPr>
          <w:p w14:paraId="646A48EC">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招标商务要求</w:t>
            </w:r>
          </w:p>
        </w:tc>
        <w:tc>
          <w:tcPr>
            <w:tcW w:w="1600" w:type="pct"/>
            <w:noWrap w:val="0"/>
            <w:vAlign w:val="center"/>
          </w:tcPr>
          <w:p w14:paraId="41A32134">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投标商务应答</w:t>
            </w:r>
          </w:p>
        </w:tc>
        <w:tc>
          <w:tcPr>
            <w:tcW w:w="1198" w:type="pct"/>
            <w:noWrap w:val="0"/>
            <w:vAlign w:val="center"/>
          </w:tcPr>
          <w:p w14:paraId="191D20EB">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差异说明</w:t>
            </w:r>
          </w:p>
        </w:tc>
      </w:tr>
      <w:tr w14:paraId="2747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67D133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25025FEF">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6CCF2BE0">
            <w:pPr>
              <w:tabs>
                <w:tab w:val="left" w:pos="6300"/>
              </w:tabs>
              <w:snapToGrid w:val="0"/>
              <w:spacing w:line="500" w:lineRule="exact"/>
              <w:outlineLvl w:val="0"/>
              <w:rPr>
                <w:rFonts w:hint="eastAsia" w:ascii="黑体" w:hAnsi="黑体" w:eastAsia="黑体" w:cs="黑体"/>
                <w:sz w:val="21"/>
                <w:szCs w:val="21"/>
                <w:highlight w:val="none"/>
              </w:rPr>
            </w:pPr>
          </w:p>
        </w:tc>
        <w:tc>
          <w:tcPr>
            <w:tcW w:w="1198" w:type="pct"/>
            <w:noWrap w:val="0"/>
            <w:vAlign w:val="center"/>
          </w:tcPr>
          <w:p w14:paraId="5EF25A55">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5E11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BAE5BD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5B970D8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4AF00D8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1D249E2F">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6FA6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B3633A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03DE8D5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411B2D7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35982308">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3C7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F3E468C">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4A359910">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6AD101E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6ACBD4CB">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5B1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47E854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1D274EB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120A965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4E779D92">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5189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721783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60E55D3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44C311F9">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0C2E6CCE">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1566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7A7C88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302D5F2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625576DA">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5406F99A">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4C41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684C3E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0B6ED55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0118496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4D5E8C27">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73F0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5A80983">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0F7663A3">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3FC0401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5DA9E27C">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ED6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02A5A4E">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345D179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3695792A">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63811999">
            <w:pPr>
              <w:tabs>
                <w:tab w:val="left" w:pos="6300"/>
              </w:tabs>
              <w:snapToGrid w:val="0"/>
              <w:spacing w:line="500" w:lineRule="exact"/>
              <w:jc w:val="center"/>
              <w:outlineLvl w:val="0"/>
              <w:rPr>
                <w:rFonts w:hint="eastAsia" w:ascii="黑体" w:hAnsi="黑体" w:eastAsia="黑体" w:cs="黑体"/>
                <w:sz w:val="21"/>
                <w:szCs w:val="21"/>
                <w:highlight w:val="none"/>
              </w:rPr>
            </w:pPr>
          </w:p>
        </w:tc>
      </w:tr>
    </w:tbl>
    <w:p w14:paraId="6A349192">
      <w:pPr>
        <w:spacing w:line="500" w:lineRule="exact"/>
        <w:ind w:firstLine="600" w:firstLineChars="250"/>
        <w:rPr>
          <w:rFonts w:hint="eastAsia" w:ascii="黑体" w:hAnsi="黑体" w:eastAsia="黑体" w:cs="黑体"/>
          <w:sz w:val="24"/>
          <w:szCs w:val="28"/>
          <w:highlight w:val="none"/>
        </w:rPr>
      </w:pP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                     法定代表人（或法定代表人授权代表）或自然人：</w:t>
      </w:r>
    </w:p>
    <w:p w14:paraId="3310D984">
      <w:pPr>
        <w:spacing w:line="500" w:lineRule="exact"/>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w:t>
      </w: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公章）                               （签署或盖章）</w:t>
      </w:r>
    </w:p>
    <w:p w14:paraId="4025160D">
      <w:pPr>
        <w:tabs>
          <w:tab w:val="left" w:pos="6300"/>
        </w:tabs>
        <w:snapToGrid w:val="0"/>
        <w:spacing w:line="500" w:lineRule="exact"/>
        <w:rPr>
          <w:rFonts w:hint="eastAsia" w:ascii="黑体" w:hAnsi="黑体" w:eastAsia="黑体" w:cs="黑体"/>
          <w:sz w:val="24"/>
          <w:highlight w:val="none"/>
        </w:rPr>
      </w:pPr>
      <w:r>
        <w:rPr>
          <w:rFonts w:hint="eastAsia" w:ascii="黑体" w:hAnsi="黑体" w:eastAsia="黑体" w:cs="黑体"/>
          <w:sz w:val="24"/>
          <w:szCs w:val="28"/>
          <w:highlight w:val="none"/>
        </w:rPr>
        <w:t xml:space="preserve">                                            年     月     日</w:t>
      </w:r>
    </w:p>
    <w:p w14:paraId="380C1890">
      <w:pPr>
        <w:tabs>
          <w:tab w:val="left" w:pos="6300"/>
        </w:tabs>
        <w:snapToGrid w:val="0"/>
        <w:spacing w:line="500" w:lineRule="exact"/>
        <w:ind w:firstLine="570"/>
        <w:rPr>
          <w:rFonts w:hint="eastAsia" w:ascii="黑体" w:hAnsi="黑体" w:eastAsia="黑体" w:cs="黑体"/>
          <w:sz w:val="24"/>
          <w:highlight w:val="none"/>
        </w:rPr>
      </w:pPr>
      <w:r>
        <w:rPr>
          <w:rFonts w:hint="eastAsia" w:ascii="黑体" w:hAnsi="黑体" w:eastAsia="黑体" w:cs="黑体"/>
          <w:sz w:val="24"/>
          <w:highlight w:val="none"/>
        </w:rPr>
        <w:t>注：</w:t>
      </w:r>
    </w:p>
    <w:p w14:paraId="22BD9B92">
      <w:pPr>
        <w:tabs>
          <w:tab w:val="left" w:pos="6300"/>
        </w:tabs>
        <w:snapToGrid w:val="0"/>
        <w:spacing w:line="500" w:lineRule="exact"/>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1.本表即为对本项目“第三篇 项目商务需求”中所列</w:t>
      </w:r>
      <w:r>
        <w:rPr>
          <w:rFonts w:hint="eastAsia" w:ascii="黑体" w:hAnsi="黑体" w:eastAsia="黑体" w:cs="黑体"/>
          <w:b/>
          <w:bCs/>
          <w:sz w:val="24"/>
          <w:szCs w:val="24"/>
          <w:highlight w:val="none"/>
          <w:lang w:eastAsia="zh-CN"/>
        </w:rPr>
        <w:t>详细</w:t>
      </w:r>
      <w:r>
        <w:rPr>
          <w:rFonts w:hint="eastAsia" w:ascii="黑体" w:hAnsi="黑体" w:eastAsia="黑体" w:cs="黑体"/>
          <w:b/>
          <w:bCs/>
          <w:sz w:val="24"/>
          <w:szCs w:val="24"/>
          <w:highlight w:val="none"/>
        </w:rPr>
        <w:t>条款</w:t>
      </w:r>
      <w:r>
        <w:rPr>
          <w:rFonts w:hint="eastAsia" w:ascii="黑体" w:hAnsi="黑体" w:eastAsia="黑体" w:cs="黑体"/>
          <w:sz w:val="24"/>
          <w:szCs w:val="24"/>
          <w:highlight w:val="none"/>
        </w:rPr>
        <w:t>进行</w:t>
      </w:r>
      <w:r>
        <w:rPr>
          <w:rFonts w:hint="eastAsia" w:ascii="黑体" w:hAnsi="黑体" w:eastAsia="黑体" w:cs="黑体"/>
          <w:sz w:val="24"/>
          <w:szCs w:val="24"/>
          <w:highlight w:val="none"/>
          <w:lang w:eastAsia="zh-CN"/>
        </w:rPr>
        <w:t>逐一</w:t>
      </w:r>
      <w:r>
        <w:rPr>
          <w:rFonts w:hint="eastAsia" w:ascii="黑体" w:hAnsi="黑体" w:eastAsia="黑体" w:cs="黑体"/>
          <w:sz w:val="24"/>
          <w:szCs w:val="24"/>
          <w:highlight w:val="none"/>
        </w:rPr>
        <w:t>比较和响应；</w:t>
      </w:r>
    </w:p>
    <w:p w14:paraId="4A07CC5E">
      <w:pPr>
        <w:tabs>
          <w:tab w:val="left" w:pos="6300"/>
        </w:tabs>
        <w:snapToGrid w:val="0"/>
        <w:spacing w:line="500" w:lineRule="exact"/>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2.本表可扩展。</w:t>
      </w:r>
    </w:p>
    <w:p w14:paraId="67D5237F">
      <w:pPr>
        <w:snapToGrid w:val="0"/>
        <w:spacing w:line="400" w:lineRule="exact"/>
        <w:ind w:firstLine="560" w:firstLineChars="200"/>
        <w:rPr>
          <w:rFonts w:hint="eastAsia" w:ascii="黑体" w:hAnsi="黑体" w:eastAsia="黑体" w:cs="黑体"/>
          <w:color w:val="auto"/>
          <w:sz w:val="24"/>
          <w:szCs w:val="28"/>
          <w:highlight w:val="none"/>
        </w:rPr>
      </w:pPr>
      <w:r>
        <w:rPr>
          <w:rFonts w:hint="eastAsia" w:ascii="黑体" w:hAnsi="黑体" w:eastAsia="黑体" w:cs="黑体"/>
          <w:szCs w:val="28"/>
          <w:highlight w:val="none"/>
        </w:rPr>
        <w:br w:type="page"/>
      </w:r>
      <w:r>
        <w:rPr>
          <w:rFonts w:hint="eastAsia" w:ascii="黑体" w:hAnsi="黑体" w:eastAsia="黑体" w:cs="黑体"/>
          <w:color w:val="auto"/>
          <w:sz w:val="24"/>
          <w:szCs w:val="28"/>
          <w:highlight w:val="none"/>
        </w:rPr>
        <w:t>（三）其他商务资料</w:t>
      </w:r>
    </w:p>
    <w:p w14:paraId="2CCEAE55">
      <w:pPr>
        <w:tabs>
          <w:tab w:val="left" w:pos="6300"/>
        </w:tabs>
        <w:snapToGrid w:val="0"/>
        <w:spacing w:line="500" w:lineRule="exact"/>
        <w:ind w:firstLine="560"/>
        <w:rPr>
          <w:rFonts w:hint="eastAsia" w:ascii="黑体" w:hAnsi="黑体" w:eastAsia="黑体" w:cs="黑体"/>
          <w:b/>
          <w:color w:val="auto"/>
          <w:szCs w:val="28"/>
          <w:highlight w:val="none"/>
        </w:rPr>
      </w:pPr>
      <w:r>
        <w:rPr>
          <w:rFonts w:hint="eastAsia" w:ascii="黑体" w:hAnsi="黑体" w:eastAsia="黑体" w:cs="黑体"/>
          <w:color w:val="auto"/>
          <w:szCs w:val="28"/>
          <w:highlight w:val="none"/>
        </w:rPr>
        <w:br w:type="page"/>
      </w:r>
      <w:r>
        <w:rPr>
          <w:rFonts w:hint="eastAsia" w:ascii="黑体" w:hAnsi="黑体" w:eastAsia="黑体" w:cs="黑体"/>
          <w:color w:val="auto"/>
          <w:szCs w:val="28"/>
          <w:highlight w:val="none"/>
        </w:rPr>
        <w:t xml:space="preserve"> </w:t>
      </w:r>
      <w:bookmarkStart w:id="162" w:name="_Toc75793544"/>
      <w:bookmarkStart w:id="163" w:name="_Toc493178793"/>
      <w:bookmarkStart w:id="164" w:name="_Toc492721038"/>
      <w:bookmarkStart w:id="165" w:name="_Toc8400"/>
      <w:bookmarkStart w:id="166" w:name="_Toc1686"/>
      <w:r>
        <w:rPr>
          <w:rFonts w:hint="eastAsia" w:ascii="黑体" w:hAnsi="黑体" w:eastAsia="黑体" w:cs="黑体"/>
          <w:b/>
          <w:color w:val="auto"/>
          <w:szCs w:val="28"/>
          <w:highlight w:val="none"/>
        </w:rPr>
        <w:t>四、资格文件</w:t>
      </w:r>
      <w:bookmarkEnd w:id="162"/>
      <w:bookmarkEnd w:id="163"/>
      <w:bookmarkEnd w:id="164"/>
      <w:bookmarkEnd w:id="165"/>
      <w:bookmarkEnd w:id="166"/>
    </w:p>
    <w:p w14:paraId="65EA239C">
      <w:pPr>
        <w:spacing w:line="4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（一）法人营业执照（副本）或事业单位法人证书（副本）或个体工商户营业执照或有效的自然人身份证明或社会团体法人登记证书复印件</w:t>
      </w:r>
    </w:p>
    <w:p w14:paraId="3B50A217">
      <w:pPr>
        <w:tabs>
          <w:tab w:val="left" w:pos="6300"/>
        </w:tabs>
        <w:snapToGrid w:val="0"/>
        <w:spacing w:line="500" w:lineRule="exact"/>
        <w:ind w:firstLine="570"/>
        <w:rPr>
          <w:rFonts w:hint="eastAsia" w:ascii="黑体" w:hAnsi="黑体" w:eastAsia="黑体" w:cs="黑体"/>
          <w:color w:val="auto"/>
          <w:highlight w:val="none"/>
        </w:rPr>
      </w:pPr>
    </w:p>
    <w:p w14:paraId="36EEFD04">
      <w:pPr>
        <w:tabs>
          <w:tab w:val="left" w:pos="6300"/>
        </w:tabs>
        <w:snapToGrid w:val="0"/>
        <w:spacing w:line="500" w:lineRule="exact"/>
        <w:ind w:firstLine="570"/>
        <w:rPr>
          <w:rFonts w:hint="eastAsia" w:ascii="黑体" w:hAnsi="黑体" w:eastAsia="黑体" w:cs="黑体"/>
          <w:color w:val="auto"/>
          <w:highlight w:val="none"/>
        </w:rPr>
      </w:pPr>
    </w:p>
    <w:p w14:paraId="34EAE658">
      <w:pPr>
        <w:tabs>
          <w:tab w:val="left" w:pos="6300"/>
        </w:tabs>
        <w:snapToGrid w:val="0"/>
        <w:spacing w:line="500" w:lineRule="exact"/>
        <w:ind w:firstLine="570"/>
        <w:rPr>
          <w:rFonts w:hint="eastAsia" w:ascii="黑体" w:hAnsi="黑体" w:eastAsia="黑体" w:cs="黑体"/>
          <w:color w:val="auto"/>
          <w:highlight w:val="none"/>
        </w:rPr>
      </w:pPr>
    </w:p>
    <w:p w14:paraId="3B845C35">
      <w:pPr>
        <w:tabs>
          <w:tab w:val="left" w:pos="6300"/>
        </w:tabs>
        <w:snapToGrid w:val="0"/>
        <w:spacing w:line="500" w:lineRule="exact"/>
        <w:ind w:firstLine="570"/>
        <w:rPr>
          <w:rFonts w:hint="eastAsia" w:ascii="黑体" w:hAnsi="黑体" w:eastAsia="黑体" w:cs="黑体"/>
          <w:color w:val="auto"/>
          <w:highlight w:val="none"/>
        </w:rPr>
      </w:pPr>
    </w:p>
    <w:p w14:paraId="28FF1CB6">
      <w:pPr>
        <w:tabs>
          <w:tab w:val="left" w:pos="6300"/>
        </w:tabs>
        <w:snapToGrid w:val="0"/>
        <w:spacing w:line="500" w:lineRule="exact"/>
        <w:ind w:firstLine="570"/>
        <w:rPr>
          <w:rFonts w:hint="eastAsia" w:ascii="黑体" w:hAnsi="黑体" w:eastAsia="黑体" w:cs="黑体"/>
          <w:color w:val="auto"/>
          <w:highlight w:val="none"/>
        </w:rPr>
      </w:pPr>
    </w:p>
    <w:p w14:paraId="04772512">
      <w:pPr>
        <w:spacing w:line="400" w:lineRule="exact"/>
        <w:ind w:firstLine="560" w:firstLineChars="200"/>
        <w:rPr>
          <w:rFonts w:hint="eastAsia" w:ascii="黑体" w:hAnsi="黑体" w:eastAsia="黑体" w:cs="黑体"/>
          <w:color w:val="auto"/>
          <w:sz w:val="24"/>
          <w:szCs w:val="28"/>
          <w:highlight w:val="none"/>
        </w:rPr>
      </w:pPr>
      <w:r>
        <w:rPr>
          <w:rFonts w:hint="eastAsia" w:ascii="黑体" w:hAnsi="黑体" w:eastAsia="黑体" w:cs="黑体"/>
          <w:color w:val="auto"/>
          <w:highlight w:val="none"/>
        </w:rPr>
        <w:br w:type="page"/>
      </w:r>
      <w:r>
        <w:rPr>
          <w:rFonts w:hint="eastAsia" w:ascii="黑体" w:hAnsi="黑体" w:eastAsia="黑体" w:cs="黑体"/>
          <w:color w:val="auto"/>
          <w:sz w:val="24"/>
          <w:szCs w:val="28"/>
          <w:highlight w:val="none"/>
        </w:rPr>
        <w:t>（二）法定代表人身份证明书（格式）</w:t>
      </w:r>
    </w:p>
    <w:p w14:paraId="3D3216E8">
      <w:pPr>
        <w:tabs>
          <w:tab w:val="left" w:pos="6300"/>
        </w:tabs>
        <w:snapToGrid w:val="0"/>
        <w:spacing w:line="500" w:lineRule="exact"/>
        <w:ind w:firstLine="570"/>
        <w:rPr>
          <w:rFonts w:hint="eastAsia" w:ascii="黑体" w:hAnsi="黑体" w:eastAsia="黑体" w:cs="黑体"/>
          <w:color w:val="auto"/>
          <w:sz w:val="24"/>
          <w:highlight w:val="none"/>
        </w:rPr>
      </w:pPr>
    </w:p>
    <w:p w14:paraId="32C9801A">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项目名称：</w:t>
      </w:r>
      <w:r>
        <w:rPr>
          <w:rFonts w:hint="eastAsia" w:ascii="黑体" w:hAnsi="黑体" w:eastAsia="黑体" w:cs="黑体"/>
          <w:color w:val="auto"/>
          <w:sz w:val="24"/>
          <w:highlight w:val="none"/>
          <w:u w:val="single"/>
        </w:rPr>
        <w:t xml:space="preserve">                                                </w:t>
      </w:r>
    </w:p>
    <w:p w14:paraId="056278A7">
      <w:pPr>
        <w:tabs>
          <w:tab w:val="left" w:pos="6300"/>
        </w:tabs>
        <w:snapToGrid w:val="0"/>
        <w:spacing w:line="500" w:lineRule="exact"/>
        <w:ind w:firstLine="570"/>
        <w:rPr>
          <w:rFonts w:hint="eastAsia" w:ascii="黑体" w:hAnsi="黑体" w:eastAsia="黑体" w:cs="黑体"/>
          <w:color w:val="auto"/>
          <w:sz w:val="24"/>
          <w:highlight w:val="none"/>
        </w:rPr>
      </w:pPr>
    </w:p>
    <w:p w14:paraId="32DCE9F5">
      <w:pPr>
        <w:tabs>
          <w:tab w:val="left" w:pos="6300"/>
        </w:tabs>
        <w:snapToGrid w:val="0"/>
        <w:spacing w:line="500" w:lineRule="exact"/>
        <w:rPr>
          <w:rFonts w:hint="eastAsia" w:ascii="黑体" w:hAnsi="黑体" w:eastAsia="黑体" w:cs="黑体"/>
          <w:color w:val="auto"/>
          <w:sz w:val="24"/>
          <w:highlight w:val="none"/>
        </w:rPr>
      </w:pPr>
      <w:r>
        <w:rPr>
          <w:rFonts w:hint="eastAsia" w:ascii="黑体" w:hAnsi="黑体" w:eastAsia="黑体" w:cs="黑体"/>
          <w:color w:val="auto"/>
          <w:sz w:val="24"/>
          <w:highlight w:val="none"/>
        </w:rPr>
        <w:t>致：</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（采购</w:t>
      </w:r>
      <w:r>
        <w:rPr>
          <w:rFonts w:hint="eastAsia" w:ascii="黑体" w:hAnsi="黑体" w:eastAsia="黑体" w:cs="黑体"/>
          <w:color w:val="auto"/>
          <w:sz w:val="24"/>
          <w:highlight w:val="none"/>
          <w:lang w:eastAsia="zh-CN"/>
        </w:rPr>
        <w:t>人</w:t>
      </w:r>
      <w:r>
        <w:rPr>
          <w:rFonts w:hint="eastAsia" w:ascii="黑体" w:hAnsi="黑体" w:eastAsia="黑体" w:cs="黑体"/>
          <w:color w:val="auto"/>
          <w:sz w:val="24"/>
          <w:highlight w:val="none"/>
        </w:rPr>
        <w:t>名称）：</w:t>
      </w:r>
    </w:p>
    <w:p w14:paraId="011AC2E8">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（法定代表人姓名）在</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（供应商名称）任</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（职务名称）职务，是（供应商名称）</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的法定代表人。</w:t>
      </w:r>
    </w:p>
    <w:p w14:paraId="09DF6FA3">
      <w:pPr>
        <w:tabs>
          <w:tab w:val="left" w:pos="6300"/>
        </w:tabs>
        <w:snapToGrid w:val="0"/>
        <w:spacing w:line="500" w:lineRule="exact"/>
        <w:ind w:firstLine="570"/>
        <w:rPr>
          <w:rFonts w:hint="eastAsia" w:ascii="黑体" w:hAnsi="黑体" w:eastAsia="黑体" w:cs="黑体"/>
          <w:color w:val="auto"/>
          <w:sz w:val="24"/>
          <w:highlight w:val="none"/>
        </w:rPr>
      </w:pPr>
    </w:p>
    <w:p w14:paraId="0CCA940D">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特此证明。</w:t>
      </w:r>
    </w:p>
    <w:p w14:paraId="0C1A5B0F">
      <w:pPr>
        <w:tabs>
          <w:tab w:val="left" w:pos="6300"/>
        </w:tabs>
        <w:snapToGrid w:val="0"/>
        <w:spacing w:line="500" w:lineRule="exact"/>
        <w:ind w:firstLine="570"/>
        <w:rPr>
          <w:rFonts w:hint="eastAsia" w:ascii="黑体" w:hAnsi="黑体" w:eastAsia="黑体" w:cs="黑体"/>
          <w:color w:val="auto"/>
          <w:sz w:val="24"/>
          <w:highlight w:val="none"/>
        </w:rPr>
      </w:pPr>
    </w:p>
    <w:p w14:paraId="22285350">
      <w:pPr>
        <w:tabs>
          <w:tab w:val="left" w:pos="6300"/>
        </w:tabs>
        <w:snapToGrid w:val="0"/>
        <w:spacing w:line="500" w:lineRule="exact"/>
        <w:ind w:firstLine="570"/>
        <w:rPr>
          <w:rFonts w:hint="eastAsia" w:ascii="黑体" w:hAnsi="黑体" w:eastAsia="黑体" w:cs="黑体"/>
          <w:color w:val="auto"/>
          <w:sz w:val="24"/>
          <w:highlight w:val="none"/>
        </w:rPr>
      </w:pPr>
    </w:p>
    <w:p w14:paraId="58818817">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供应商：</w:t>
      </w:r>
    </w:p>
    <w:p w14:paraId="1A05CB0F">
      <w:pPr>
        <w:tabs>
          <w:tab w:val="left" w:pos="6300"/>
        </w:tabs>
        <w:snapToGrid w:val="0"/>
        <w:spacing w:line="500" w:lineRule="exact"/>
        <w:ind w:firstLine="5848" w:firstLineChars="2437"/>
        <w:rPr>
          <w:rFonts w:hint="eastAsia" w:ascii="黑体" w:hAnsi="黑体" w:eastAsia="黑体" w:cs="黑体"/>
          <w:color w:val="auto"/>
          <w:sz w:val="24"/>
          <w:highlight w:val="none"/>
        </w:rPr>
      </w:pPr>
      <w:r>
        <w:rPr>
          <w:rFonts w:hint="eastAsia" w:ascii="黑体" w:hAnsi="黑体" w:eastAsia="黑体" w:cs="黑体"/>
          <w:color w:val="auto"/>
          <w:sz w:val="24"/>
          <w:highlight w:val="none"/>
        </w:rPr>
        <w:t>（供应商公章）</w:t>
      </w:r>
    </w:p>
    <w:p w14:paraId="12B1FD78">
      <w:pPr>
        <w:tabs>
          <w:tab w:val="left" w:pos="6300"/>
        </w:tabs>
        <w:snapToGrid w:val="0"/>
        <w:spacing w:line="500" w:lineRule="exact"/>
        <w:ind w:firstLine="570"/>
        <w:rPr>
          <w:rFonts w:hint="eastAsia" w:ascii="黑体" w:hAnsi="黑体" w:eastAsia="黑体" w:cs="黑体"/>
          <w:color w:val="auto"/>
          <w:sz w:val="24"/>
          <w:highlight w:val="none"/>
        </w:rPr>
      </w:pPr>
    </w:p>
    <w:p w14:paraId="01A68564">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年   月   日</w:t>
      </w:r>
    </w:p>
    <w:p w14:paraId="0B190568">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法定代表人电话：XXXXXXX      电子邮箱：XXXXXX@XXXXX（若授权他人办理并签署响应文件的可不填写）</w:t>
      </w:r>
    </w:p>
    <w:p w14:paraId="0B2A4DB8">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（附：法定代表人身份证正反面复印件）</w:t>
      </w:r>
    </w:p>
    <w:p w14:paraId="4CCA3C46">
      <w:pPr>
        <w:tabs>
          <w:tab w:val="left" w:pos="6300"/>
        </w:tabs>
        <w:snapToGrid w:val="0"/>
        <w:spacing w:line="500" w:lineRule="exact"/>
        <w:ind w:firstLine="570"/>
        <w:rPr>
          <w:rFonts w:hint="eastAsia" w:ascii="黑体" w:hAnsi="黑体" w:eastAsia="黑体" w:cs="黑体"/>
          <w:color w:val="auto"/>
          <w:sz w:val="24"/>
          <w:highlight w:val="none"/>
        </w:rPr>
      </w:pPr>
    </w:p>
    <w:p w14:paraId="236C2A64">
      <w:pPr>
        <w:tabs>
          <w:tab w:val="left" w:pos="6300"/>
        </w:tabs>
        <w:snapToGrid w:val="0"/>
        <w:spacing w:line="500" w:lineRule="exact"/>
        <w:ind w:firstLine="570"/>
        <w:rPr>
          <w:rFonts w:hint="eastAsia" w:ascii="黑体" w:hAnsi="黑体" w:eastAsia="黑体" w:cs="黑体"/>
          <w:color w:val="auto"/>
          <w:sz w:val="24"/>
          <w:highlight w:val="none"/>
        </w:rPr>
      </w:pPr>
    </w:p>
    <w:p w14:paraId="01ABF478">
      <w:pPr>
        <w:tabs>
          <w:tab w:val="left" w:pos="6300"/>
        </w:tabs>
        <w:snapToGrid w:val="0"/>
        <w:spacing w:line="500" w:lineRule="exact"/>
        <w:ind w:firstLine="570"/>
        <w:rPr>
          <w:rFonts w:hint="eastAsia" w:ascii="黑体" w:hAnsi="黑体" w:eastAsia="黑体" w:cs="黑体"/>
          <w:color w:val="auto"/>
          <w:sz w:val="24"/>
          <w:highlight w:val="none"/>
        </w:rPr>
      </w:pPr>
    </w:p>
    <w:p w14:paraId="40ABA2C8">
      <w:pPr>
        <w:tabs>
          <w:tab w:val="left" w:pos="6300"/>
        </w:tabs>
        <w:snapToGrid w:val="0"/>
        <w:spacing w:line="500" w:lineRule="exact"/>
        <w:ind w:firstLine="570"/>
        <w:rPr>
          <w:rFonts w:hint="eastAsia" w:ascii="黑体" w:hAnsi="黑体" w:eastAsia="黑体" w:cs="黑体"/>
          <w:color w:val="auto"/>
          <w:sz w:val="24"/>
          <w:highlight w:val="none"/>
        </w:rPr>
      </w:pPr>
    </w:p>
    <w:p w14:paraId="3FE17730">
      <w:pPr>
        <w:tabs>
          <w:tab w:val="left" w:pos="6300"/>
        </w:tabs>
        <w:snapToGrid w:val="0"/>
        <w:spacing w:line="500" w:lineRule="exact"/>
        <w:ind w:firstLine="570"/>
        <w:rPr>
          <w:rFonts w:hint="eastAsia" w:ascii="黑体" w:hAnsi="黑体" w:eastAsia="黑体" w:cs="黑体"/>
          <w:color w:val="auto"/>
          <w:sz w:val="24"/>
          <w:highlight w:val="none"/>
        </w:rPr>
      </w:pPr>
    </w:p>
    <w:p w14:paraId="07CA7F8F">
      <w:pPr>
        <w:spacing w:line="400" w:lineRule="exact"/>
        <w:ind w:firstLine="560" w:firstLineChars="200"/>
        <w:rPr>
          <w:rFonts w:hint="eastAsia" w:ascii="黑体" w:hAnsi="黑体" w:eastAsia="黑体" w:cs="黑体"/>
          <w:color w:val="auto"/>
          <w:sz w:val="24"/>
          <w:szCs w:val="28"/>
          <w:highlight w:val="none"/>
        </w:rPr>
      </w:pPr>
      <w:r>
        <w:rPr>
          <w:rFonts w:hint="eastAsia" w:ascii="黑体" w:hAnsi="黑体" w:eastAsia="黑体" w:cs="黑体"/>
          <w:color w:val="auto"/>
          <w:highlight w:val="none"/>
        </w:rPr>
        <w:br w:type="column"/>
      </w:r>
      <w:r>
        <w:rPr>
          <w:rFonts w:hint="eastAsia" w:ascii="黑体" w:hAnsi="黑体" w:eastAsia="黑体" w:cs="黑体"/>
          <w:color w:val="auto"/>
          <w:sz w:val="24"/>
          <w:szCs w:val="28"/>
          <w:highlight w:val="none"/>
        </w:rPr>
        <w:t>（三）法定代表人授权委托书（格式）</w:t>
      </w:r>
    </w:p>
    <w:p w14:paraId="44FD958D">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w:t>
      </w:r>
    </w:p>
    <w:p w14:paraId="7A166D20">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szCs w:val="28"/>
          <w:highlight w:val="none"/>
          <w:lang w:eastAsia="zh-CN"/>
        </w:rPr>
        <w:t>项目名称</w:t>
      </w:r>
      <w:r>
        <w:rPr>
          <w:rFonts w:hint="eastAsia" w:ascii="黑体" w:hAnsi="黑体" w:eastAsia="黑体" w:cs="黑体"/>
          <w:color w:val="auto"/>
          <w:sz w:val="24"/>
          <w:highlight w:val="none"/>
        </w:rPr>
        <w:t>：</w:t>
      </w:r>
      <w:r>
        <w:rPr>
          <w:rFonts w:hint="eastAsia" w:ascii="黑体" w:hAnsi="黑体" w:eastAsia="黑体" w:cs="黑体"/>
          <w:color w:val="auto"/>
          <w:sz w:val="24"/>
          <w:highlight w:val="none"/>
          <w:u w:val="single"/>
        </w:rPr>
        <w:t xml:space="preserve">                                                </w:t>
      </w:r>
    </w:p>
    <w:p w14:paraId="0FF30ECA">
      <w:pPr>
        <w:tabs>
          <w:tab w:val="left" w:pos="6300"/>
        </w:tabs>
        <w:snapToGrid w:val="0"/>
        <w:spacing w:line="500" w:lineRule="exact"/>
        <w:ind w:firstLine="570"/>
        <w:rPr>
          <w:rFonts w:hint="eastAsia" w:ascii="黑体" w:hAnsi="黑体" w:eastAsia="黑体" w:cs="黑体"/>
          <w:color w:val="auto"/>
          <w:sz w:val="24"/>
          <w:highlight w:val="none"/>
        </w:rPr>
      </w:pPr>
    </w:p>
    <w:p w14:paraId="1CEEAB3C">
      <w:pPr>
        <w:tabs>
          <w:tab w:val="left" w:pos="6300"/>
        </w:tabs>
        <w:snapToGrid w:val="0"/>
        <w:spacing w:line="500" w:lineRule="exact"/>
        <w:rPr>
          <w:rFonts w:hint="eastAsia" w:ascii="黑体" w:hAnsi="黑体" w:eastAsia="黑体" w:cs="黑体"/>
          <w:color w:val="auto"/>
          <w:sz w:val="24"/>
          <w:highlight w:val="none"/>
        </w:rPr>
      </w:pPr>
      <w:r>
        <w:rPr>
          <w:rFonts w:hint="eastAsia" w:ascii="黑体" w:hAnsi="黑体" w:eastAsia="黑体" w:cs="黑体"/>
          <w:color w:val="auto"/>
          <w:sz w:val="24"/>
          <w:highlight w:val="none"/>
        </w:rPr>
        <w:t>致：</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（采购</w:t>
      </w:r>
      <w:r>
        <w:rPr>
          <w:rFonts w:hint="eastAsia" w:ascii="黑体" w:hAnsi="黑体" w:eastAsia="黑体" w:cs="黑体"/>
          <w:color w:val="auto"/>
          <w:sz w:val="24"/>
          <w:highlight w:val="none"/>
          <w:lang w:eastAsia="zh-CN"/>
        </w:rPr>
        <w:t>人</w:t>
      </w:r>
      <w:r>
        <w:rPr>
          <w:rFonts w:hint="eastAsia" w:ascii="黑体" w:hAnsi="黑体" w:eastAsia="黑体" w:cs="黑体"/>
          <w:color w:val="auto"/>
          <w:sz w:val="24"/>
          <w:highlight w:val="none"/>
        </w:rPr>
        <w:t>名称）：</w:t>
      </w:r>
    </w:p>
    <w:p w14:paraId="06DA9D5B">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（供应商法定代表人名称）是</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（供应商名称）的法定代表人，特授权</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（被授权人姓名及身份证代码）代表我单位全权办理上述项目的投标、谈判、签约等具体工作，并签署全部有关文件、协议及合同。</w:t>
      </w:r>
    </w:p>
    <w:p w14:paraId="5750B47F">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我单位对被授权人的签署负全部责任。</w:t>
      </w:r>
    </w:p>
    <w:p w14:paraId="48DA6500">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在撤消授权的书面通知以前，本授权书一直有效。被授权人在授权书有效期内签署的所有文件不因授权的撤消而失效。</w:t>
      </w:r>
    </w:p>
    <w:p w14:paraId="6A36C85F">
      <w:pPr>
        <w:tabs>
          <w:tab w:val="left" w:pos="6300"/>
        </w:tabs>
        <w:snapToGrid w:val="0"/>
        <w:spacing w:line="500" w:lineRule="exact"/>
        <w:ind w:firstLine="570"/>
        <w:rPr>
          <w:rFonts w:hint="eastAsia" w:ascii="黑体" w:hAnsi="黑体" w:eastAsia="黑体" w:cs="黑体"/>
          <w:color w:val="auto"/>
          <w:sz w:val="24"/>
          <w:highlight w:val="none"/>
        </w:rPr>
      </w:pPr>
    </w:p>
    <w:p w14:paraId="3C8EDE6A">
      <w:pPr>
        <w:tabs>
          <w:tab w:val="left" w:pos="6300"/>
        </w:tabs>
        <w:snapToGrid w:val="0"/>
        <w:spacing w:line="500" w:lineRule="exact"/>
        <w:ind w:firstLine="570"/>
        <w:rPr>
          <w:rFonts w:hint="eastAsia" w:ascii="黑体" w:hAnsi="黑体" w:eastAsia="黑体" w:cs="黑体"/>
          <w:color w:val="auto"/>
          <w:sz w:val="24"/>
          <w:highlight w:val="none"/>
        </w:rPr>
      </w:pPr>
    </w:p>
    <w:p w14:paraId="4B802FF4">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被授权人：                                 供应商法定代表人：</w:t>
      </w:r>
    </w:p>
    <w:p w14:paraId="4BD071C5">
      <w:pPr>
        <w:tabs>
          <w:tab w:val="left" w:pos="6300"/>
        </w:tabs>
        <w:snapToGrid w:val="0"/>
        <w:spacing w:line="500" w:lineRule="exact"/>
        <w:ind w:firstLine="57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（签署或盖章）                                （签署或盖章）</w:t>
      </w:r>
    </w:p>
    <w:p w14:paraId="451A79AE">
      <w:pPr>
        <w:tabs>
          <w:tab w:val="left" w:pos="6300"/>
        </w:tabs>
        <w:snapToGrid w:val="0"/>
        <w:spacing w:line="500" w:lineRule="exact"/>
        <w:ind w:firstLine="570"/>
        <w:rPr>
          <w:rFonts w:hint="eastAsia" w:ascii="黑体" w:hAnsi="黑体" w:eastAsia="黑体" w:cs="黑体"/>
          <w:color w:val="auto"/>
          <w:sz w:val="24"/>
          <w:szCs w:val="28"/>
          <w:highlight w:val="none"/>
        </w:rPr>
      </w:pPr>
    </w:p>
    <w:p w14:paraId="3894A3FE">
      <w:pPr>
        <w:tabs>
          <w:tab w:val="left" w:pos="6300"/>
        </w:tabs>
        <w:snapToGrid w:val="0"/>
        <w:spacing w:line="500" w:lineRule="exact"/>
        <w:ind w:firstLine="570"/>
        <w:rPr>
          <w:rFonts w:hint="eastAsia" w:ascii="黑体" w:hAnsi="黑体" w:eastAsia="黑体" w:cs="黑体"/>
          <w:color w:val="auto"/>
          <w:sz w:val="24"/>
          <w:highlight w:val="none"/>
        </w:rPr>
      </w:pPr>
    </w:p>
    <w:p w14:paraId="39E0F6BA">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（附：被授权人身份证正反面复印件）</w:t>
      </w:r>
    </w:p>
    <w:p w14:paraId="214395A8">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w:t>
      </w:r>
    </w:p>
    <w:p w14:paraId="702322ED">
      <w:pPr>
        <w:tabs>
          <w:tab w:val="left" w:pos="6300"/>
        </w:tabs>
        <w:snapToGrid w:val="0"/>
        <w:spacing w:line="500" w:lineRule="exact"/>
        <w:ind w:firstLine="570"/>
        <w:rPr>
          <w:rFonts w:hint="eastAsia" w:ascii="黑体" w:hAnsi="黑体" w:eastAsia="黑体" w:cs="黑体"/>
          <w:color w:val="auto"/>
          <w:sz w:val="24"/>
          <w:highlight w:val="none"/>
        </w:rPr>
      </w:pPr>
    </w:p>
    <w:p w14:paraId="6682B928">
      <w:pPr>
        <w:tabs>
          <w:tab w:val="left" w:pos="6300"/>
        </w:tabs>
        <w:snapToGrid w:val="0"/>
        <w:spacing w:line="500" w:lineRule="exact"/>
        <w:ind w:right="480" w:firstLine="570"/>
        <w:jc w:val="right"/>
        <w:rPr>
          <w:rFonts w:hint="eastAsia" w:ascii="黑体" w:hAnsi="黑体" w:eastAsia="黑体" w:cs="黑体"/>
          <w:color w:val="auto"/>
          <w:sz w:val="24"/>
          <w:highlight w:val="none"/>
        </w:rPr>
      </w:pPr>
      <w:r>
        <w:rPr>
          <w:rFonts w:hint="eastAsia" w:ascii="黑体" w:hAnsi="黑体" w:eastAsia="黑体" w:cs="黑体"/>
          <w:color w:val="auto"/>
          <w:sz w:val="24"/>
          <w:highlight w:val="none"/>
        </w:rPr>
        <w:t>（供应商公章）</w:t>
      </w:r>
    </w:p>
    <w:p w14:paraId="4F6F34C5">
      <w:pPr>
        <w:tabs>
          <w:tab w:val="left" w:pos="6300"/>
        </w:tabs>
        <w:snapToGrid w:val="0"/>
        <w:spacing w:line="500" w:lineRule="exact"/>
        <w:ind w:right="480" w:firstLine="570"/>
        <w:jc w:val="right"/>
        <w:rPr>
          <w:rFonts w:hint="eastAsia" w:ascii="黑体" w:hAnsi="黑体" w:eastAsia="黑体" w:cs="黑体"/>
          <w:color w:val="auto"/>
          <w:sz w:val="24"/>
          <w:highlight w:val="none"/>
        </w:rPr>
      </w:pPr>
      <w:r>
        <w:rPr>
          <w:rFonts w:hint="eastAsia" w:ascii="黑体" w:hAnsi="黑体" w:eastAsia="黑体" w:cs="黑体"/>
          <w:color w:val="auto"/>
          <w:sz w:val="24"/>
          <w:highlight w:val="none"/>
        </w:rPr>
        <w:t>年   月   日</w:t>
      </w:r>
    </w:p>
    <w:p w14:paraId="31132432">
      <w:pPr>
        <w:tabs>
          <w:tab w:val="left" w:pos="6300"/>
        </w:tabs>
        <w:snapToGrid w:val="0"/>
        <w:spacing w:line="500" w:lineRule="exact"/>
        <w:ind w:right="720" w:firstLine="570"/>
        <w:jc w:val="right"/>
        <w:rPr>
          <w:rFonts w:hint="eastAsia" w:ascii="黑体" w:hAnsi="黑体" w:eastAsia="黑体" w:cs="黑体"/>
          <w:color w:val="auto"/>
          <w:sz w:val="24"/>
          <w:highlight w:val="none"/>
        </w:rPr>
      </w:pPr>
    </w:p>
    <w:p w14:paraId="4E69C450">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被授权人电话：XXXXXXX     电子邮箱：XXXXXX@XXXXX（若法定代表人办理并签署响应文件的可不填写）</w:t>
      </w:r>
    </w:p>
    <w:p w14:paraId="655CDE44">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注：</w:t>
      </w:r>
    </w:p>
    <w:p w14:paraId="0D15977B">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1.若为法定代表人办理并签署响应文件的，不提供此文件。</w:t>
      </w:r>
    </w:p>
    <w:p w14:paraId="4C0F415D">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2.若为联合体投标的，法定代表人授权委托书由联合体主办方</w:t>
      </w:r>
      <w:r>
        <w:rPr>
          <w:rFonts w:hint="eastAsia" w:ascii="黑体" w:hAnsi="黑体" w:eastAsia="黑体" w:cs="黑体"/>
          <w:color w:val="auto"/>
          <w:kern w:val="0"/>
          <w:sz w:val="24"/>
          <w:szCs w:val="24"/>
          <w:highlight w:val="none"/>
        </w:rPr>
        <w:t>（主体）</w:t>
      </w:r>
      <w:r>
        <w:rPr>
          <w:rFonts w:hint="eastAsia" w:ascii="黑体" w:hAnsi="黑体" w:eastAsia="黑体" w:cs="黑体"/>
          <w:color w:val="auto"/>
          <w:sz w:val="24"/>
          <w:highlight w:val="none"/>
        </w:rPr>
        <w:t>出具。</w:t>
      </w:r>
    </w:p>
    <w:p w14:paraId="42FCB9E2">
      <w:pPr>
        <w:spacing w:line="400" w:lineRule="exact"/>
        <w:ind w:firstLine="56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highlight w:val="none"/>
        </w:rPr>
        <w:br w:type="column"/>
      </w:r>
      <w:r>
        <w:rPr>
          <w:rFonts w:hint="eastAsia" w:ascii="黑体" w:hAnsi="黑体" w:eastAsia="黑体" w:cs="黑体"/>
          <w:color w:val="auto"/>
          <w:sz w:val="24"/>
          <w:szCs w:val="28"/>
          <w:highlight w:val="none"/>
        </w:rPr>
        <w:t>（四）基本资格条件承诺函</w:t>
      </w:r>
    </w:p>
    <w:p w14:paraId="79866077">
      <w:pPr>
        <w:tabs>
          <w:tab w:val="left" w:pos="6300"/>
        </w:tabs>
        <w:snapToGrid w:val="0"/>
        <w:spacing w:line="500" w:lineRule="exact"/>
        <w:ind w:firstLine="643" w:firstLineChars="200"/>
        <w:jc w:val="center"/>
        <w:outlineLvl w:val="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基本资格条件承诺函</w:t>
      </w:r>
    </w:p>
    <w:p w14:paraId="5515FBB6">
      <w:pPr>
        <w:tabs>
          <w:tab w:val="left" w:pos="6300"/>
        </w:tabs>
        <w:snapToGrid w:val="0"/>
        <w:spacing w:line="530" w:lineRule="exact"/>
        <w:rPr>
          <w:rFonts w:hint="eastAsia" w:ascii="黑体" w:hAnsi="黑体" w:eastAsia="黑体" w:cs="黑体"/>
          <w:color w:val="auto"/>
          <w:sz w:val="24"/>
          <w:highlight w:val="none"/>
        </w:rPr>
      </w:pPr>
    </w:p>
    <w:p w14:paraId="67BE5AAA">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致</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（采购</w:t>
      </w:r>
      <w:r>
        <w:rPr>
          <w:rFonts w:hint="eastAsia" w:ascii="黑体" w:hAnsi="黑体" w:eastAsia="黑体" w:cs="黑体"/>
          <w:color w:val="auto"/>
          <w:sz w:val="24"/>
          <w:highlight w:val="none"/>
          <w:lang w:eastAsia="zh-CN"/>
        </w:rPr>
        <w:t>人</w:t>
      </w:r>
      <w:r>
        <w:rPr>
          <w:rFonts w:hint="eastAsia" w:ascii="黑体" w:hAnsi="黑体" w:eastAsia="黑体" w:cs="黑体"/>
          <w:color w:val="auto"/>
          <w:sz w:val="24"/>
          <w:highlight w:val="none"/>
        </w:rPr>
        <w:t>名称）：</w:t>
      </w:r>
    </w:p>
    <w:p w14:paraId="5F14DE88">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（供应商名称）郑重承诺：</w:t>
      </w:r>
    </w:p>
    <w:p w14:paraId="7DB0171C">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1.我方具有良好的商业信誉和健全的财务会计制度，具有履行合同所必需的设备和专业技术能力，具</w:t>
      </w:r>
      <w:r>
        <w:rPr>
          <w:rFonts w:hint="eastAsia" w:ascii="黑体" w:hAnsi="黑体" w:eastAsia="黑体" w:cs="黑体"/>
          <w:color w:val="auto"/>
          <w:sz w:val="24"/>
          <w:highlight w:val="none"/>
          <w:lang w:val="zh-CN"/>
        </w:rPr>
        <w:t>有依法缴纳税收和社会保障金的良好记录</w:t>
      </w:r>
      <w:r>
        <w:rPr>
          <w:rFonts w:hint="eastAsia" w:ascii="黑体" w:hAnsi="黑体" w:eastAsia="黑体" w:cs="黑体"/>
          <w:color w:val="auto"/>
          <w:sz w:val="24"/>
          <w:highlight w:val="none"/>
        </w:rPr>
        <w:t>，参加本项目采购活动前三年内无重大违法活动记录。</w:t>
      </w:r>
    </w:p>
    <w:p w14:paraId="5408B399">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C88AD34">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8D60B9C">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我方对以上承诺负全部法律责任。</w:t>
      </w:r>
    </w:p>
    <w:p w14:paraId="76D56327">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特此承诺。</w:t>
      </w:r>
    </w:p>
    <w:p w14:paraId="55516BCC">
      <w:pPr>
        <w:tabs>
          <w:tab w:val="left" w:pos="6300"/>
        </w:tabs>
        <w:snapToGrid w:val="0"/>
        <w:spacing w:line="500" w:lineRule="exact"/>
        <w:ind w:firstLine="480" w:firstLineChars="200"/>
        <w:rPr>
          <w:rFonts w:hint="eastAsia" w:ascii="黑体" w:hAnsi="黑体" w:eastAsia="黑体" w:cs="黑体"/>
          <w:color w:val="auto"/>
          <w:sz w:val="24"/>
          <w:highlight w:val="none"/>
        </w:rPr>
      </w:pPr>
    </w:p>
    <w:p w14:paraId="505F148B">
      <w:pPr>
        <w:tabs>
          <w:tab w:val="left" w:pos="6300"/>
        </w:tabs>
        <w:snapToGrid w:val="0"/>
        <w:spacing w:line="500" w:lineRule="exact"/>
        <w:ind w:firstLine="480" w:firstLineChars="200"/>
        <w:jc w:val="right"/>
        <w:rPr>
          <w:rFonts w:hint="eastAsia" w:ascii="黑体" w:hAnsi="黑体" w:eastAsia="黑体" w:cs="黑体"/>
          <w:color w:val="auto"/>
          <w:sz w:val="24"/>
          <w:highlight w:val="none"/>
        </w:rPr>
      </w:pPr>
      <w:r>
        <w:rPr>
          <w:rFonts w:hint="eastAsia" w:ascii="黑体" w:hAnsi="黑体" w:eastAsia="黑体" w:cs="黑体"/>
          <w:color w:val="auto"/>
          <w:sz w:val="24"/>
          <w:highlight w:val="none"/>
        </w:rPr>
        <w:t>（供应商公章）</w:t>
      </w:r>
    </w:p>
    <w:p w14:paraId="5231DDC5">
      <w:pPr>
        <w:tabs>
          <w:tab w:val="left" w:pos="6300"/>
        </w:tabs>
        <w:snapToGrid w:val="0"/>
        <w:spacing w:line="500" w:lineRule="exact"/>
        <w:ind w:firstLine="480" w:firstLineChars="200"/>
        <w:jc w:val="right"/>
        <w:rPr>
          <w:rFonts w:hint="eastAsia" w:ascii="黑体" w:hAnsi="黑体" w:eastAsia="黑体" w:cs="黑体"/>
          <w:color w:val="auto"/>
          <w:sz w:val="24"/>
          <w:highlight w:val="none"/>
        </w:rPr>
      </w:pPr>
      <w:r>
        <w:rPr>
          <w:rFonts w:hint="eastAsia" w:ascii="黑体" w:hAnsi="黑体" w:eastAsia="黑体" w:cs="黑体"/>
          <w:color w:val="auto"/>
          <w:sz w:val="24"/>
          <w:highlight w:val="none"/>
        </w:rPr>
        <w:t>年   月   日</w:t>
      </w:r>
    </w:p>
    <w:p w14:paraId="62D6213A">
      <w:pPr>
        <w:spacing w:line="400" w:lineRule="exact"/>
        <w:ind w:firstLine="480" w:firstLineChars="200"/>
        <w:rPr>
          <w:rFonts w:hint="eastAsia" w:ascii="黑体" w:hAnsi="黑体" w:eastAsia="黑体" w:cs="黑体"/>
          <w:color w:val="auto"/>
          <w:sz w:val="24"/>
          <w:szCs w:val="28"/>
          <w:highlight w:val="none"/>
        </w:rPr>
      </w:pPr>
    </w:p>
    <w:p w14:paraId="450F6AB9">
      <w:pPr>
        <w:tabs>
          <w:tab w:val="left" w:pos="6300"/>
        </w:tabs>
        <w:snapToGrid w:val="0"/>
        <w:spacing w:line="500" w:lineRule="exact"/>
        <w:ind w:firstLine="56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highlight w:val="none"/>
        </w:rPr>
        <w:br w:type="page"/>
      </w:r>
    </w:p>
    <w:p w14:paraId="12499823">
      <w:pPr>
        <w:spacing w:line="4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（五）特定资格条件证书或证明文件</w:t>
      </w:r>
    </w:p>
    <w:p w14:paraId="2C226D8E">
      <w:pPr>
        <w:tabs>
          <w:tab w:val="left" w:pos="6300"/>
        </w:tabs>
        <w:snapToGrid w:val="0"/>
        <w:spacing w:line="500" w:lineRule="exact"/>
        <w:ind w:firstLine="570"/>
        <w:jc w:val="left"/>
        <w:rPr>
          <w:rFonts w:hint="eastAsia" w:ascii="黑体" w:hAnsi="黑体" w:eastAsia="黑体" w:cs="黑体"/>
          <w:color w:val="auto"/>
          <w:sz w:val="24"/>
          <w:highlight w:val="none"/>
        </w:rPr>
      </w:pPr>
    </w:p>
    <w:p w14:paraId="1389A78D">
      <w:pPr>
        <w:tabs>
          <w:tab w:val="left" w:pos="6300"/>
        </w:tabs>
        <w:snapToGrid w:val="0"/>
        <w:spacing w:line="500" w:lineRule="exact"/>
        <w:ind w:firstLine="570"/>
        <w:jc w:val="left"/>
        <w:rPr>
          <w:rFonts w:hint="eastAsia" w:ascii="黑体" w:hAnsi="黑体" w:eastAsia="黑体" w:cs="黑体"/>
          <w:color w:val="auto"/>
          <w:sz w:val="24"/>
          <w:highlight w:val="none"/>
        </w:rPr>
      </w:pPr>
    </w:p>
    <w:p w14:paraId="25732355">
      <w:pPr>
        <w:tabs>
          <w:tab w:val="left" w:pos="6300"/>
        </w:tabs>
        <w:snapToGrid w:val="0"/>
        <w:spacing w:line="500" w:lineRule="exact"/>
        <w:ind w:firstLine="570"/>
        <w:jc w:val="left"/>
        <w:rPr>
          <w:rFonts w:hint="eastAsia" w:ascii="黑体" w:hAnsi="黑体" w:eastAsia="黑体" w:cs="黑体"/>
          <w:color w:val="auto"/>
          <w:sz w:val="24"/>
          <w:highlight w:val="none"/>
        </w:rPr>
      </w:pPr>
    </w:p>
    <w:p w14:paraId="73E6E75E">
      <w:pPr>
        <w:tabs>
          <w:tab w:val="left" w:pos="6300"/>
        </w:tabs>
        <w:snapToGrid w:val="0"/>
        <w:spacing w:line="500" w:lineRule="exact"/>
        <w:ind w:firstLine="570"/>
        <w:jc w:val="left"/>
        <w:rPr>
          <w:rFonts w:hint="eastAsia" w:ascii="黑体" w:hAnsi="黑体" w:eastAsia="黑体" w:cs="黑体"/>
          <w:color w:val="auto"/>
          <w:sz w:val="24"/>
          <w:highlight w:val="none"/>
        </w:rPr>
      </w:pPr>
    </w:p>
    <w:p w14:paraId="71E9E3A1">
      <w:pPr>
        <w:tabs>
          <w:tab w:val="left" w:pos="6300"/>
        </w:tabs>
        <w:snapToGrid w:val="0"/>
        <w:spacing w:line="500" w:lineRule="exact"/>
        <w:ind w:firstLine="570"/>
        <w:jc w:val="left"/>
        <w:rPr>
          <w:rFonts w:hint="eastAsia" w:ascii="黑体" w:hAnsi="黑体" w:eastAsia="黑体" w:cs="黑体"/>
          <w:color w:val="auto"/>
          <w:sz w:val="24"/>
          <w:highlight w:val="none"/>
        </w:rPr>
      </w:pPr>
    </w:p>
    <w:p w14:paraId="585C2C13">
      <w:pPr>
        <w:pStyle w:val="9"/>
        <w:rPr>
          <w:rFonts w:hint="eastAsia" w:ascii="黑体" w:hAnsi="黑体" w:eastAsia="黑体" w:cs="黑体"/>
          <w:color w:val="auto"/>
          <w:sz w:val="24"/>
          <w:highlight w:val="none"/>
        </w:rPr>
      </w:pPr>
    </w:p>
    <w:p w14:paraId="31CC2D0A">
      <w:pPr>
        <w:rPr>
          <w:rFonts w:hint="eastAsia" w:ascii="黑体" w:hAnsi="黑体" w:eastAsia="黑体" w:cs="黑体"/>
          <w:color w:val="auto"/>
          <w:sz w:val="24"/>
          <w:highlight w:val="none"/>
        </w:rPr>
      </w:pPr>
    </w:p>
    <w:p w14:paraId="55802CF2">
      <w:pPr>
        <w:pStyle w:val="9"/>
        <w:rPr>
          <w:rFonts w:hint="eastAsia" w:ascii="黑体" w:hAnsi="黑体" w:eastAsia="黑体" w:cs="黑体"/>
          <w:color w:val="auto"/>
          <w:sz w:val="24"/>
          <w:highlight w:val="none"/>
        </w:rPr>
      </w:pPr>
    </w:p>
    <w:p w14:paraId="433A19EE">
      <w:pPr>
        <w:tabs>
          <w:tab w:val="left" w:pos="6300"/>
        </w:tabs>
        <w:snapToGrid w:val="0"/>
        <w:spacing w:line="500" w:lineRule="exact"/>
        <w:ind w:firstLine="570"/>
        <w:jc w:val="left"/>
        <w:rPr>
          <w:rFonts w:hint="eastAsia" w:ascii="黑体" w:hAnsi="黑体" w:eastAsia="黑体" w:cs="黑体"/>
          <w:color w:val="auto"/>
          <w:sz w:val="24"/>
          <w:highlight w:val="none"/>
        </w:rPr>
      </w:pPr>
    </w:p>
    <w:p w14:paraId="5D83D212">
      <w:pPr>
        <w:tabs>
          <w:tab w:val="left" w:pos="6300"/>
        </w:tabs>
        <w:snapToGrid w:val="0"/>
        <w:spacing w:line="500" w:lineRule="exact"/>
        <w:ind w:firstLine="570"/>
        <w:jc w:val="left"/>
        <w:rPr>
          <w:rFonts w:hint="eastAsia" w:ascii="黑体" w:hAnsi="黑体" w:eastAsia="黑体" w:cs="黑体"/>
          <w:color w:val="auto"/>
          <w:sz w:val="24"/>
          <w:highlight w:val="none"/>
        </w:rPr>
      </w:pPr>
    </w:p>
    <w:p w14:paraId="502B0A79">
      <w:pPr>
        <w:tabs>
          <w:tab w:val="left" w:pos="6300"/>
        </w:tabs>
        <w:snapToGrid w:val="0"/>
        <w:spacing w:line="500" w:lineRule="exact"/>
        <w:ind w:firstLine="570"/>
        <w:jc w:val="left"/>
        <w:rPr>
          <w:rFonts w:hint="eastAsia" w:ascii="黑体" w:hAnsi="黑体" w:eastAsia="黑体" w:cs="黑体"/>
          <w:color w:val="auto"/>
          <w:sz w:val="24"/>
          <w:highlight w:val="none"/>
        </w:rPr>
      </w:pPr>
    </w:p>
    <w:p w14:paraId="64CB2ABA">
      <w:pPr>
        <w:tabs>
          <w:tab w:val="left" w:pos="6300"/>
        </w:tabs>
        <w:snapToGrid w:val="0"/>
        <w:spacing w:line="500" w:lineRule="exact"/>
        <w:ind w:firstLine="570"/>
        <w:jc w:val="left"/>
        <w:rPr>
          <w:rFonts w:hint="eastAsia" w:ascii="黑体" w:hAnsi="黑体" w:eastAsia="黑体" w:cs="黑体"/>
          <w:color w:val="auto"/>
          <w:sz w:val="24"/>
          <w:highlight w:val="none"/>
        </w:rPr>
      </w:pPr>
    </w:p>
    <w:p w14:paraId="2EA6BF33">
      <w:pPr>
        <w:rPr>
          <w:rFonts w:hint="eastAsia" w:ascii="黑体" w:hAnsi="黑体" w:eastAsia="黑体" w:cs="黑体"/>
          <w:color w:val="auto"/>
          <w:sz w:val="24"/>
          <w:highlight w:val="none"/>
        </w:rPr>
      </w:pPr>
      <w:r>
        <w:rPr>
          <w:rFonts w:hint="eastAsia" w:ascii="黑体" w:hAnsi="黑体" w:eastAsia="黑体" w:cs="黑体"/>
          <w:color w:val="auto"/>
          <w:sz w:val="24"/>
          <w:highlight w:val="none"/>
        </w:rPr>
        <w:br w:type="page"/>
      </w:r>
    </w:p>
    <w:p w14:paraId="1EF8C576">
      <w:pPr>
        <w:spacing w:line="400" w:lineRule="exact"/>
        <w:ind w:firstLine="480" w:firstLineChars="200"/>
        <w:rPr>
          <w:rFonts w:hint="eastAsia" w:ascii="黑体" w:hAnsi="黑体" w:eastAsia="黑体" w:cs="黑体"/>
          <w:color w:val="auto"/>
          <w:sz w:val="24"/>
          <w:szCs w:val="28"/>
          <w:highlight w:val="none"/>
          <w:lang w:val="en-US" w:eastAsia="zh-CN"/>
        </w:rPr>
      </w:pPr>
      <w:r>
        <w:rPr>
          <w:rFonts w:hint="eastAsia" w:ascii="黑体" w:hAnsi="黑体" w:eastAsia="黑体" w:cs="黑体"/>
          <w:color w:val="auto"/>
          <w:sz w:val="24"/>
          <w:szCs w:val="28"/>
          <w:highlight w:val="none"/>
          <w:lang w:val="en-US" w:eastAsia="zh-CN"/>
        </w:rPr>
        <w:t>（六）投标廉政承诺</w:t>
      </w:r>
    </w:p>
    <w:p w14:paraId="0FFD567A">
      <w:pPr>
        <w:pStyle w:val="9"/>
        <w:jc w:val="center"/>
        <w:rPr>
          <w:rFonts w:hint="eastAsia" w:ascii="黑体" w:hAnsi="黑体" w:eastAsia="黑体" w:cs="黑体"/>
          <w:color w:val="auto"/>
          <w:sz w:val="24"/>
          <w:szCs w:val="24"/>
          <w:highlight w:val="none"/>
        </w:rPr>
      </w:pPr>
      <w:r>
        <w:rPr>
          <w:rFonts w:hint="eastAsia" w:ascii="黑体" w:hAnsi="黑体" w:eastAsia="黑体" w:cs="黑体"/>
          <w:b/>
          <w:snapToGrid w:val="0"/>
          <w:color w:val="auto"/>
          <w:kern w:val="0"/>
          <w:sz w:val="24"/>
          <w:szCs w:val="24"/>
          <w:highlight w:val="none"/>
          <w:lang w:val="en-US" w:eastAsia="zh-CN"/>
        </w:rPr>
        <w:t>投标</w:t>
      </w:r>
      <w:r>
        <w:rPr>
          <w:rFonts w:hint="eastAsia" w:ascii="黑体" w:hAnsi="黑体" w:eastAsia="黑体" w:cs="黑体"/>
          <w:b/>
          <w:snapToGrid w:val="0"/>
          <w:color w:val="auto"/>
          <w:kern w:val="0"/>
          <w:sz w:val="24"/>
          <w:szCs w:val="24"/>
          <w:highlight w:val="none"/>
        </w:rPr>
        <w:t>廉政承诺书</w:t>
      </w:r>
    </w:p>
    <w:p w14:paraId="2DBCF8E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根据国家廉政建设的有关规定，为了做好耗材、货物、服务、工程等采购过程中的党风廉政建设，保证医院资金的安全和有效使用以及投资效益，我公司做如下廉政承诺：</w:t>
      </w:r>
    </w:p>
    <w:p w14:paraId="27D9955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w:t>
      </w:r>
      <w:r>
        <w:rPr>
          <w:rFonts w:hint="eastAsia" w:ascii="黑体" w:hAnsi="黑体" w:eastAsia="黑体" w:cs="黑体"/>
          <w:color w:val="auto"/>
          <w:sz w:val="24"/>
          <w:szCs w:val="24"/>
          <w:highlight w:val="none"/>
          <w:lang w:val="en-US" w:eastAsia="zh-CN"/>
        </w:rPr>
        <w:t>供应商遵守党、国家、行业、医院的廉政纪律要求，已对相关相关人员进行</w:t>
      </w:r>
      <w:r>
        <w:rPr>
          <w:rFonts w:hint="eastAsia" w:ascii="黑体" w:hAnsi="黑体" w:eastAsia="黑体" w:cs="黑体"/>
          <w:color w:val="auto"/>
          <w:sz w:val="24"/>
          <w:szCs w:val="24"/>
          <w:highlight w:val="none"/>
        </w:rPr>
        <w:t>法律法规</w:t>
      </w:r>
      <w:r>
        <w:rPr>
          <w:rFonts w:hint="eastAsia" w:ascii="黑体" w:hAnsi="黑体" w:eastAsia="黑体" w:cs="黑体"/>
          <w:color w:val="auto"/>
          <w:sz w:val="24"/>
          <w:szCs w:val="24"/>
          <w:highlight w:val="none"/>
          <w:lang w:val="en-US" w:eastAsia="zh-CN"/>
        </w:rPr>
        <w:t>培训</w:t>
      </w:r>
      <w:r>
        <w:rPr>
          <w:rFonts w:hint="eastAsia" w:ascii="黑体" w:hAnsi="黑体" w:eastAsia="黑体" w:cs="黑体"/>
          <w:color w:val="auto"/>
          <w:sz w:val="24"/>
          <w:szCs w:val="24"/>
          <w:highlight w:val="none"/>
        </w:rPr>
        <w:t>。</w:t>
      </w:r>
    </w:p>
    <w:p w14:paraId="2267913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w:t>
      </w:r>
      <w:r>
        <w:rPr>
          <w:rFonts w:hint="eastAsia" w:ascii="黑体" w:hAnsi="黑体" w:eastAsia="黑体" w:cs="黑体"/>
          <w:color w:val="auto"/>
          <w:sz w:val="24"/>
          <w:szCs w:val="24"/>
          <w:highlight w:val="none"/>
          <w:lang w:val="en-US" w:eastAsia="zh-CN"/>
        </w:rPr>
        <w:t>投标资料真实可靠，不虚假投标，不随意撤回、撤销投标，中选后20天内签署合同。</w:t>
      </w:r>
    </w:p>
    <w:p w14:paraId="75BB655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三、坚持公开、公正、诚信、透明的原则</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rPr>
        <w:t>，不损害国家</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医院及第三方合法权益</w:t>
      </w:r>
      <w:r>
        <w:rPr>
          <w:rFonts w:hint="eastAsia" w:ascii="黑体" w:hAnsi="黑体" w:eastAsia="黑体" w:cs="黑体"/>
          <w:color w:val="auto"/>
          <w:sz w:val="24"/>
          <w:szCs w:val="24"/>
          <w:highlight w:val="none"/>
        </w:rPr>
        <w:t>。</w:t>
      </w:r>
    </w:p>
    <w:p w14:paraId="5279CB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四、建立健全</w:t>
      </w:r>
      <w:r>
        <w:rPr>
          <w:rFonts w:hint="eastAsia" w:ascii="黑体" w:hAnsi="黑体" w:eastAsia="黑体" w:cs="黑体"/>
          <w:color w:val="auto"/>
          <w:sz w:val="24"/>
          <w:szCs w:val="24"/>
          <w:highlight w:val="none"/>
          <w:lang w:val="en-US" w:eastAsia="zh-CN"/>
        </w:rPr>
        <w:t>公司内部</w:t>
      </w:r>
      <w:r>
        <w:rPr>
          <w:rFonts w:hint="eastAsia" w:ascii="黑体" w:hAnsi="黑体" w:eastAsia="黑体" w:cs="黑体"/>
          <w:color w:val="auto"/>
          <w:sz w:val="24"/>
          <w:szCs w:val="24"/>
          <w:highlight w:val="none"/>
        </w:rPr>
        <w:t>廉政制度，开展廉政教育，公布举报电话，监督并认真查处违法违纪行为。</w:t>
      </w:r>
    </w:p>
    <w:p w14:paraId="55A9058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五、在</w:t>
      </w:r>
      <w:r>
        <w:rPr>
          <w:rFonts w:hint="eastAsia" w:ascii="黑体" w:hAnsi="黑体" w:eastAsia="黑体" w:cs="黑体"/>
          <w:color w:val="auto"/>
          <w:sz w:val="24"/>
          <w:szCs w:val="24"/>
          <w:highlight w:val="none"/>
          <w:lang w:val="en-US" w:eastAsia="zh-CN"/>
        </w:rPr>
        <w:t>采购</w:t>
      </w:r>
      <w:r>
        <w:rPr>
          <w:rFonts w:hint="eastAsia" w:ascii="黑体" w:hAnsi="黑体" w:eastAsia="黑体" w:cs="黑体"/>
          <w:color w:val="auto"/>
          <w:sz w:val="24"/>
          <w:szCs w:val="24"/>
          <w:highlight w:val="none"/>
        </w:rPr>
        <w:t>活动中如有违反廉政规定的行为，</w:t>
      </w:r>
      <w:r>
        <w:rPr>
          <w:rFonts w:hint="eastAsia" w:ascii="黑体" w:hAnsi="黑体" w:eastAsia="黑体" w:cs="黑体"/>
          <w:color w:val="auto"/>
          <w:sz w:val="24"/>
          <w:szCs w:val="24"/>
          <w:highlight w:val="none"/>
          <w:lang w:val="en-US" w:eastAsia="zh-CN"/>
        </w:rPr>
        <w:t>及时公开并予以</w:t>
      </w:r>
      <w:r>
        <w:rPr>
          <w:rFonts w:hint="eastAsia" w:ascii="黑体" w:hAnsi="黑体" w:eastAsia="黑体" w:cs="黑体"/>
          <w:color w:val="auto"/>
          <w:sz w:val="24"/>
          <w:szCs w:val="24"/>
          <w:highlight w:val="none"/>
        </w:rPr>
        <w:t xml:space="preserve">纠正。 </w:t>
      </w:r>
    </w:p>
    <w:p w14:paraId="301B1F1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六、如</w:t>
      </w:r>
      <w:r>
        <w:rPr>
          <w:rFonts w:hint="eastAsia" w:ascii="黑体" w:hAnsi="黑体" w:eastAsia="黑体" w:cs="黑体"/>
          <w:color w:val="auto"/>
          <w:sz w:val="24"/>
          <w:szCs w:val="24"/>
          <w:highlight w:val="none"/>
          <w:lang w:val="en-US" w:eastAsia="zh-CN"/>
        </w:rPr>
        <w:t>需方工作人员有违反廉政纪律要求的</w:t>
      </w:r>
      <w:r>
        <w:rPr>
          <w:rFonts w:hint="eastAsia" w:ascii="黑体" w:hAnsi="黑体" w:eastAsia="黑体" w:cs="黑体"/>
          <w:color w:val="auto"/>
          <w:sz w:val="24"/>
          <w:szCs w:val="24"/>
          <w:highlight w:val="none"/>
        </w:rPr>
        <w:t>行为，</w:t>
      </w:r>
      <w:r>
        <w:rPr>
          <w:rFonts w:hint="eastAsia" w:ascii="黑体" w:hAnsi="黑体" w:eastAsia="黑体" w:cs="黑体"/>
          <w:color w:val="auto"/>
          <w:sz w:val="24"/>
          <w:szCs w:val="24"/>
          <w:highlight w:val="none"/>
          <w:lang w:val="en-US" w:eastAsia="zh-CN"/>
        </w:rPr>
        <w:t>将主动向医院纪检监察室进行举报</w:t>
      </w:r>
      <w:r>
        <w:rPr>
          <w:rFonts w:hint="eastAsia" w:ascii="黑体" w:hAnsi="黑体" w:eastAsia="黑体" w:cs="黑体"/>
          <w:color w:val="auto"/>
          <w:sz w:val="24"/>
          <w:szCs w:val="24"/>
          <w:highlight w:val="none"/>
        </w:rPr>
        <w:t>。</w:t>
      </w:r>
    </w:p>
    <w:p w14:paraId="5B7BCA9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七、不得以任何理由向与采购相关的各部门工作人员行贿或赠礼金、有价证券、礼品。</w:t>
      </w:r>
    </w:p>
    <w:p w14:paraId="183BA96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八、不得以任何名义为与采购相关的各部门工作人员报销应由其单位或个人支付的任何费用。</w:t>
      </w:r>
    </w:p>
    <w:p w14:paraId="65DA520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九、不得以任何理由安排与采购相关的各部门工作人员参加宴请及娱乐活动。</w:t>
      </w:r>
    </w:p>
    <w:p w14:paraId="27A64B6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十、不得为与采购相关的各部门工作人员购置或提供通讯工具、交通工具和高档办公用品等。</w:t>
      </w:r>
    </w:p>
    <w:p w14:paraId="6BA6D86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十一、违纪违法责任</w:t>
      </w:r>
    </w:p>
    <w:p w14:paraId="4522745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我公司违反本</w:t>
      </w:r>
      <w:r>
        <w:rPr>
          <w:rFonts w:hint="eastAsia" w:ascii="黑体" w:hAnsi="黑体" w:eastAsia="黑体" w:cs="黑体"/>
          <w:color w:val="auto"/>
          <w:sz w:val="24"/>
          <w:szCs w:val="24"/>
          <w:highlight w:val="none"/>
          <w:lang w:val="en-US" w:eastAsia="zh-CN"/>
        </w:rPr>
        <w:t>承诺</w:t>
      </w:r>
      <w:r>
        <w:rPr>
          <w:rFonts w:hint="eastAsia" w:ascii="黑体" w:hAnsi="黑体" w:eastAsia="黑体" w:cs="黑体"/>
          <w:color w:val="auto"/>
          <w:sz w:val="24"/>
          <w:szCs w:val="24"/>
          <w:highlight w:val="none"/>
        </w:rPr>
        <w:t>给</w:t>
      </w:r>
      <w:r>
        <w:rPr>
          <w:rFonts w:hint="eastAsia" w:ascii="黑体" w:hAnsi="黑体" w:eastAsia="黑体" w:cs="黑体"/>
          <w:color w:val="auto"/>
          <w:sz w:val="24"/>
          <w:szCs w:val="24"/>
          <w:highlight w:val="none"/>
          <w:lang w:val="en-US" w:eastAsia="zh-CN"/>
        </w:rPr>
        <w:t>采购方</w:t>
      </w:r>
      <w:r>
        <w:rPr>
          <w:rFonts w:hint="eastAsia" w:ascii="黑体" w:hAnsi="黑体" w:eastAsia="黑体" w:cs="黑体"/>
          <w:color w:val="auto"/>
          <w:sz w:val="24"/>
          <w:szCs w:val="24"/>
          <w:highlight w:val="none"/>
        </w:rPr>
        <w:t>造成损失的，予以</w:t>
      </w:r>
      <w:r>
        <w:rPr>
          <w:rFonts w:hint="eastAsia" w:ascii="黑体" w:hAnsi="黑体" w:eastAsia="黑体" w:cs="黑体"/>
          <w:color w:val="auto"/>
          <w:sz w:val="24"/>
          <w:szCs w:val="24"/>
          <w:highlight w:val="none"/>
          <w:lang w:val="en-US" w:eastAsia="zh-CN"/>
        </w:rPr>
        <w:t>足额</w:t>
      </w:r>
      <w:r>
        <w:rPr>
          <w:rFonts w:hint="eastAsia" w:ascii="黑体" w:hAnsi="黑体" w:eastAsia="黑体" w:cs="黑体"/>
          <w:color w:val="auto"/>
          <w:sz w:val="24"/>
          <w:szCs w:val="24"/>
          <w:highlight w:val="none"/>
        </w:rPr>
        <w:t>赔偿；若违反七、八、九、十条规定，发现一次按每次查处金额的10倍支付违约金；</w:t>
      </w:r>
      <w:r>
        <w:rPr>
          <w:rFonts w:hint="eastAsia" w:ascii="黑体" w:hAnsi="黑体" w:eastAsia="黑体" w:cs="黑体"/>
          <w:color w:val="auto"/>
          <w:sz w:val="24"/>
          <w:szCs w:val="24"/>
          <w:highlight w:val="none"/>
          <w:lang w:val="en-US" w:eastAsia="zh-CN"/>
        </w:rPr>
        <w:t>签订采购合同后才发现违规行为，按采购合同和医院供应商不良行为库制度进行管理，情节严重的</w:t>
      </w:r>
      <w:r>
        <w:rPr>
          <w:rFonts w:hint="eastAsia" w:ascii="黑体" w:hAnsi="黑体" w:eastAsia="黑体" w:cs="黑体"/>
          <w:color w:val="auto"/>
          <w:sz w:val="24"/>
          <w:szCs w:val="24"/>
          <w:highlight w:val="none"/>
        </w:rPr>
        <w:t>采购方有权要求终止合同</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对触及刑法者移送司法机关处理。</w:t>
      </w:r>
    </w:p>
    <w:p w14:paraId="32CD96B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十二、本承诺作为</w:t>
      </w:r>
      <w:r>
        <w:rPr>
          <w:rFonts w:hint="eastAsia" w:ascii="黑体" w:hAnsi="黑体" w:eastAsia="黑体" w:cs="黑体"/>
          <w:color w:val="auto"/>
          <w:sz w:val="24"/>
          <w:szCs w:val="24"/>
          <w:highlight w:val="none"/>
          <w:lang w:val="en-US" w:eastAsia="zh-CN"/>
        </w:rPr>
        <w:t>采购前廉洁竞争承诺</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中选后供应商还应单独签订购销廉政协议</w:t>
      </w:r>
      <w:r>
        <w:rPr>
          <w:rFonts w:hint="eastAsia" w:ascii="黑体" w:hAnsi="黑体" w:eastAsia="黑体" w:cs="黑体"/>
          <w:color w:val="auto"/>
          <w:sz w:val="24"/>
          <w:szCs w:val="24"/>
          <w:highlight w:val="none"/>
        </w:rPr>
        <w:t>。</w:t>
      </w:r>
    </w:p>
    <w:p w14:paraId="426E79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承诺方：      （签字并加盖企业公章）                              </w:t>
      </w:r>
    </w:p>
    <w:p w14:paraId="55F74EA9">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黑体" w:hAnsi="黑体" w:eastAsia="黑体" w:cs="黑体"/>
          <w:color w:val="auto"/>
          <w:sz w:val="24"/>
          <w:szCs w:val="24"/>
          <w:highlight w:val="none"/>
          <w:lang w:val="en-US" w:eastAsia="zh-CN"/>
        </w:rPr>
      </w:pPr>
    </w:p>
    <w:p w14:paraId="495F90E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 xml:space="preserve">供应商公司名称并盖章：           </w:t>
      </w:r>
    </w:p>
    <w:p w14:paraId="710BBDD8">
      <w:pPr>
        <w:pStyle w:val="9"/>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sz w:val="24"/>
          <w:szCs w:val="24"/>
          <w:highlight w:val="none"/>
          <w:lang w:val="zh-CN"/>
        </w:rPr>
        <w:t>法人或</w:t>
      </w:r>
      <w:r>
        <w:rPr>
          <w:rFonts w:hint="eastAsia" w:ascii="黑体" w:hAnsi="黑体" w:eastAsia="黑体" w:cs="黑体"/>
          <w:color w:val="auto"/>
          <w:sz w:val="24"/>
          <w:szCs w:val="24"/>
          <w:highlight w:val="none"/>
          <w:lang w:val="en-US" w:eastAsia="zh-CN"/>
        </w:rPr>
        <w:t>被</w:t>
      </w:r>
      <w:r>
        <w:rPr>
          <w:rFonts w:hint="eastAsia" w:ascii="黑体" w:hAnsi="黑体" w:eastAsia="黑体" w:cs="黑体"/>
          <w:color w:val="auto"/>
          <w:sz w:val="24"/>
          <w:szCs w:val="24"/>
          <w:highlight w:val="none"/>
          <w:lang w:val="zh-CN"/>
        </w:rPr>
        <w:t>授权代表人</w:t>
      </w:r>
      <w:r>
        <w:rPr>
          <w:rFonts w:hint="eastAsia" w:ascii="黑体" w:hAnsi="黑体" w:eastAsia="黑体" w:cs="黑体"/>
          <w:color w:val="auto"/>
          <w:kern w:val="2"/>
          <w:sz w:val="24"/>
          <w:szCs w:val="24"/>
          <w:highlight w:val="none"/>
          <w:lang w:val="en-US" w:eastAsia="zh-CN" w:bidi="ar-SA"/>
        </w:rPr>
        <w:t xml:space="preserve">签名：           </w:t>
      </w:r>
    </w:p>
    <w:p w14:paraId="7BE89FA3">
      <w:pPr>
        <w:tabs>
          <w:tab w:val="left" w:pos="6300"/>
        </w:tabs>
        <w:snapToGrid w:val="0"/>
        <w:spacing w:line="500" w:lineRule="exact"/>
        <w:ind w:firstLine="570"/>
        <w:jc w:val="left"/>
        <w:rPr>
          <w:rFonts w:hint="eastAsia" w:ascii="黑体" w:hAnsi="黑体" w:eastAsia="黑体" w:cs="黑体"/>
          <w:color w:val="auto"/>
          <w:sz w:val="24"/>
          <w:highlight w:val="none"/>
        </w:rPr>
      </w:pPr>
      <w:r>
        <w:rPr>
          <w:rFonts w:hint="eastAsia" w:ascii="黑体" w:hAnsi="黑体" w:eastAsia="黑体" w:cs="黑体"/>
          <w:color w:val="auto"/>
          <w:kern w:val="2"/>
          <w:sz w:val="24"/>
          <w:szCs w:val="24"/>
          <w:highlight w:val="none"/>
          <w:lang w:val="en-US" w:eastAsia="zh-CN" w:bidi="ar-SA"/>
        </w:rPr>
        <w:t xml:space="preserve">                                                    年   月   日</w:t>
      </w:r>
    </w:p>
    <w:p w14:paraId="5C8A6399">
      <w:pPr>
        <w:tabs>
          <w:tab w:val="left" w:pos="6300"/>
        </w:tabs>
        <w:snapToGrid w:val="0"/>
        <w:spacing w:line="500" w:lineRule="exact"/>
        <w:ind w:firstLine="570"/>
        <w:jc w:val="left"/>
        <w:rPr>
          <w:rFonts w:hint="eastAsia" w:ascii="黑体" w:hAnsi="黑体" w:eastAsia="黑体" w:cs="黑体"/>
          <w:color w:val="auto"/>
          <w:sz w:val="24"/>
          <w:highlight w:val="none"/>
        </w:rPr>
      </w:pPr>
    </w:p>
    <w:p w14:paraId="78DAE96B">
      <w:pPr>
        <w:tabs>
          <w:tab w:val="left" w:pos="6300"/>
        </w:tabs>
        <w:snapToGrid w:val="0"/>
        <w:spacing w:line="500" w:lineRule="exact"/>
        <w:ind w:firstLine="570"/>
        <w:jc w:val="left"/>
        <w:rPr>
          <w:rFonts w:hint="eastAsia" w:ascii="黑体" w:hAnsi="黑体" w:eastAsia="黑体" w:cs="黑体"/>
          <w:color w:val="auto"/>
          <w:sz w:val="24"/>
          <w:highlight w:val="none"/>
        </w:rPr>
      </w:pPr>
    </w:p>
    <w:p w14:paraId="1F5D7F9C">
      <w:pPr>
        <w:tabs>
          <w:tab w:val="left" w:pos="6300"/>
        </w:tabs>
        <w:snapToGrid w:val="0"/>
        <w:spacing w:line="500" w:lineRule="exact"/>
        <w:ind w:firstLine="570"/>
        <w:jc w:val="left"/>
        <w:rPr>
          <w:rFonts w:hint="eastAsia" w:ascii="黑体" w:hAnsi="黑体" w:eastAsia="黑体" w:cs="黑体"/>
          <w:color w:val="auto"/>
          <w:sz w:val="24"/>
          <w:highlight w:val="none"/>
        </w:rPr>
      </w:pPr>
    </w:p>
    <w:p w14:paraId="757B6C04">
      <w:pPr>
        <w:tabs>
          <w:tab w:val="left" w:pos="6300"/>
        </w:tabs>
        <w:snapToGrid w:val="0"/>
        <w:spacing w:line="500" w:lineRule="exact"/>
        <w:jc w:val="left"/>
        <w:rPr>
          <w:rFonts w:hint="eastAsia" w:ascii="黑体" w:hAnsi="黑体" w:eastAsia="黑体" w:cs="黑体"/>
          <w:color w:val="auto"/>
          <w:sz w:val="24"/>
          <w:highlight w:val="none"/>
        </w:rPr>
      </w:pPr>
    </w:p>
    <w:p w14:paraId="292D4064">
      <w:pPr>
        <w:spacing w:line="400" w:lineRule="exact"/>
        <w:ind w:firstLine="480" w:firstLineChars="200"/>
        <w:rPr>
          <w:rFonts w:hint="eastAsia" w:ascii="黑体" w:hAnsi="黑体" w:eastAsia="黑体" w:cs="黑体"/>
          <w:color w:val="auto"/>
          <w:sz w:val="24"/>
          <w:szCs w:val="28"/>
          <w:highlight w:val="none"/>
          <w:lang w:val="en-US" w:eastAsia="zh-CN"/>
        </w:rPr>
      </w:pPr>
      <w:bookmarkStart w:id="167" w:name="_Toc26132"/>
      <w:bookmarkStart w:id="168" w:name="_Toc76462354"/>
      <w:r>
        <w:rPr>
          <w:rFonts w:hint="eastAsia" w:ascii="黑体" w:hAnsi="黑体" w:eastAsia="黑体" w:cs="黑体"/>
          <w:color w:val="auto"/>
          <w:sz w:val="24"/>
          <w:szCs w:val="28"/>
          <w:highlight w:val="none"/>
          <w:lang w:val="en-US" w:eastAsia="zh-CN"/>
        </w:rPr>
        <w:t>（七）其他资料</w:t>
      </w:r>
      <w:bookmarkEnd w:id="167"/>
      <w:bookmarkEnd w:id="168"/>
    </w:p>
    <w:p w14:paraId="0B36F01E">
      <w:pPr>
        <w:tabs>
          <w:tab w:val="left" w:pos="6300"/>
        </w:tabs>
        <w:snapToGrid w:val="0"/>
        <w:spacing w:line="500" w:lineRule="exact"/>
        <w:jc w:val="center"/>
        <w:rPr>
          <w:rFonts w:hint="eastAsia" w:ascii="黑体" w:hAnsi="黑体" w:eastAsia="黑体" w:cs="黑体"/>
          <w:color w:val="auto"/>
          <w:sz w:val="24"/>
          <w:szCs w:val="24"/>
          <w:highlight w:val="none"/>
        </w:rPr>
      </w:pPr>
    </w:p>
    <w:p w14:paraId="47060D14">
      <w:pPr>
        <w:tabs>
          <w:tab w:val="left" w:pos="6300"/>
        </w:tabs>
        <w:snapToGrid w:val="0"/>
        <w:spacing w:line="500" w:lineRule="exact"/>
        <w:jc w:val="center"/>
        <w:rPr>
          <w:rFonts w:hint="eastAsia" w:ascii="黑体" w:hAnsi="黑体" w:eastAsia="黑体" w:cs="黑体"/>
          <w:color w:val="auto"/>
          <w:sz w:val="24"/>
          <w:szCs w:val="24"/>
          <w:highlight w:val="none"/>
        </w:rPr>
      </w:pPr>
    </w:p>
    <w:p w14:paraId="20FFA481">
      <w:pPr>
        <w:tabs>
          <w:tab w:val="left" w:pos="6300"/>
        </w:tabs>
        <w:snapToGrid w:val="0"/>
        <w:spacing w:line="500" w:lineRule="exact"/>
        <w:jc w:val="center"/>
        <w:rPr>
          <w:rFonts w:hint="eastAsia" w:ascii="黑体" w:hAnsi="黑体" w:eastAsia="黑体" w:cs="黑体"/>
          <w:color w:val="auto"/>
          <w:sz w:val="24"/>
          <w:szCs w:val="24"/>
          <w:highlight w:val="none"/>
        </w:rPr>
      </w:pPr>
    </w:p>
    <w:p w14:paraId="25222637">
      <w:pP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br w:type="page"/>
      </w:r>
    </w:p>
    <w:p w14:paraId="64122D8F">
      <w:pPr>
        <w:tabs>
          <w:tab w:val="left" w:pos="6300"/>
        </w:tabs>
        <w:snapToGrid w:val="0"/>
        <w:spacing w:line="500" w:lineRule="exact"/>
        <w:jc w:val="center"/>
        <w:rPr>
          <w:rFonts w:hint="eastAsia" w:ascii="黑体" w:hAnsi="黑体" w:eastAsia="黑体" w:cs="黑体"/>
          <w:color w:val="auto"/>
          <w:sz w:val="24"/>
          <w:szCs w:val="24"/>
          <w:highlight w:val="none"/>
        </w:rPr>
      </w:pPr>
    </w:p>
    <w:p w14:paraId="7EB889DF">
      <w:pPr>
        <w:tabs>
          <w:tab w:val="left" w:pos="6300"/>
        </w:tabs>
        <w:snapToGrid w:val="0"/>
        <w:spacing w:line="5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（结束）</w:t>
      </w:r>
    </w:p>
    <w:p w14:paraId="71B2603A">
      <w:pPr>
        <w:rPr>
          <w:rFonts w:hint="eastAsia" w:ascii="黑体" w:hAnsi="黑体" w:eastAsia="黑体" w:cs="黑体"/>
          <w:color w:val="auto"/>
          <w:highlight w:val="none"/>
        </w:rPr>
      </w:pPr>
    </w:p>
    <w:sectPr>
      <w:pgSz w:w="11907" w:h="16840"/>
      <w:pgMar w:top="1134" w:right="1191" w:bottom="1134" w:left="1304" w:header="964"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1CA5">
    <w:pPr>
      <w:pStyle w:val="15"/>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D37A">
    <w:pPr>
      <w:pStyle w:val="15"/>
      <w:framePr w:wrap="around" w:vAnchor="text" w:hAnchor="margin" w:xAlign="center" w:y="1"/>
      <w:rPr>
        <w:rStyle w:val="27"/>
      </w:rPr>
    </w:pPr>
    <w:r>
      <w:fldChar w:fldCharType="begin"/>
    </w:r>
    <w:r>
      <w:rPr>
        <w:rStyle w:val="27"/>
      </w:rPr>
      <w:instrText xml:space="preserve">PAGE  </w:instrText>
    </w:r>
    <w:r>
      <w:fldChar w:fldCharType="end"/>
    </w:r>
  </w:p>
  <w:p w14:paraId="2036D031">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DAF8">
    <w:pPr>
      <w:pStyle w:val="15"/>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D518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0D518A">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4EFF7F">
                          <w:pPr>
                            <w:pStyle w:val="15"/>
                          </w:pPr>
                        </w:p>
                        <w:p w14:paraId="73839D90"/>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14:paraId="794EFF7F">
                    <w:pPr>
                      <w:pStyle w:val="15"/>
                    </w:pPr>
                  </w:p>
                  <w:p w14:paraId="73839D9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C896">
    <w:pPr>
      <w:pStyle w:val="15"/>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6B7FD">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046B7FD">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9DCD">
    <w:pPr>
      <w:pStyle w:val="16"/>
      <w:jc w:val="both"/>
      <w:rPr>
        <w:rFonts w:ascii="宋体" w:hAnsi="宋体"/>
        <w:sz w:val="21"/>
        <w:szCs w:val="21"/>
      </w:rPr>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4A3D">
    <w:pPr>
      <w:pStyle w:val="16"/>
      <w:ind w:firstLine="1050" w:firstLineChars="500"/>
      <w:jc w:val="both"/>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7369">
    <w:pPr>
      <w:pStyle w:val="16"/>
      <w:ind w:firstLine="1050" w:firstLineChars="500"/>
      <w:jc w:val="both"/>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5C84D"/>
    <w:multiLevelType w:val="singleLevel"/>
    <w:tmpl w:val="B4D5C84D"/>
    <w:lvl w:ilvl="0" w:tentative="0">
      <w:start w:val="1"/>
      <w:numFmt w:val="chineseCounting"/>
      <w:pStyle w:val="49"/>
      <w:suff w:val="nothing"/>
      <w:lvlText w:val="%1、"/>
      <w:lvlJc w:val="left"/>
      <w:pPr>
        <w:ind w:left="0" w:firstLine="397"/>
      </w:pPr>
      <w:rPr>
        <w:rFonts w:hint="eastAsia" w:eastAsia="方正黑体_GBK"/>
        <w:sz w:val="32"/>
      </w:rPr>
    </w:lvl>
  </w:abstractNum>
  <w:abstractNum w:abstractNumId="1">
    <w:nsid w:val="E238F140"/>
    <w:multiLevelType w:val="singleLevel"/>
    <w:tmpl w:val="E238F140"/>
    <w:lvl w:ilvl="0" w:tentative="0">
      <w:start w:val="1"/>
      <w:numFmt w:val="decimal"/>
      <w:pStyle w:val="53"/>
      <w:suff w:val="nothing"/>
      <w:lvlText w:val="%1."/>
      <w:lvlJc w:val="left"/>
      <w:pPr>
        <w:tabs>
          <w:tab w:val="left" w:pos="0"/>
        </w:tabs>
        <w:ind w:left="0" w:firstLine="1134"/>
      </w:pPr>
      <w:rPr>
        <w:rFonts w:hint="default" w:ascii="Times New Roman" w:hAnsi="Times New Roman" w:eastAsia="方正仿宋_GBK"/>
        <w:sz w:val="32"/>
        <w:szCs w:val="32"/>
      </w:rPr>
    </w:lvl>
  </w:abstractNum>
  <w:abstractNum w:abstractNumId="2">
    <w:nsid w:val="0AEE2331"/>
    <w:multiLevelType w:val="singleLevel"/>
    <w:tmpl w:val="0AEE2331"/>
    <w:lvl w:ilvl="0" w:tentative="0">
      <w:start w:val="1"/>
      <w:numFmt w:val="chineseCounting"/>
      <w:pStyle w:val="51"/>
      <w:suff w:val="nothing"/>
      <w:lvlText w:val="(%1)"/>
      <w:lvlJc w:val="left"/>
      <w:pPr>
        <w:ind w:left="0" w:firstLine="397"/>
      </w:pPr>
      <w:rPr>
        <w:rFonts w:hint="eastAsia" w:ascii="黑体" w:hAnsi="黑体" w:eastAsia="黑体" w:cs="黑体"/>
        <w:sz w:val="24"/>
        <w:szCs w:val="24"/>
      </w:rPr>
    </w:lvl>
  </w:abstractNum>
  <w:abstractNum w:abstractNumId="3">
    <w:nsid w:val="216948CC"/>
    <w:multiLevelType w:val="singleLevel"/>
    <w:tmpl w:val="216948CC"/>
    <w:lvl w:ilvl="0" w:tentative="0">
      <w:start w:val="1"/>
      <w:numFmt w:val="chineseCounting"/>
      <w:suff w:val="nothing"/>
      <w:lvlText w:val="%1、"/>
      <w:lvlJc w:val="left"/>
      <w:rPr>
        <w:rFonts w:hint="eastAsia"/>
      </w:rPr>
    </w:lvl>
  </w:abstractNum>
  <w:abstractNum w:abstractNumId="4">
    <w:nsid w:val="32151949"/>
    <w:multiLevelType w:val="singleLevel"/>
    <w:tmpl w:val="32151949"/>
    <w:lvl w:ilvl="0" w:tentative="0">
      <w:start w:val="2"/>
      <w:numFmt w:val="chineseCounting"/>
      <w:suff w:val="nothing"/>
      <w:lvlText w:val="（%1）"/>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60772D32"/>
    <w:multiLevelType w:val="singleLevel"/>
    <w:tmpl w:val="60772D32"/>
    <w:lvl w:ilvl="0" w:tentative="0">
      <w:start w:val="2"/>
      <w:numFmt w:val="chineseCounting"/>
      <w:suff w:val="space"/>
      <w:lvlText w:val="第%1篇"/>
      <w:lvlJc w:val="left"/>
      <w:rPr>
        <w:rFonts w:hint="eastAsia"/>
        <w:sz w:val="32"/>
        <w:szCs w:val="32"/>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5ODgwNTE0MzQyZDQ3ZGFhYzJhNTRjYjQ3MzkxMzkifQ=="/>
  </w:docVars>
  <w:rsids>
    <w:rsidRoot w:val="003F64DF"/>
    <w:rsid w:val="00002829"/>
    <w:rsid w:val="00090316"/>
    <w:rsid w:val="00097331"/>
    <w:rsid w:val="001B61D3"/>
    <w:rsid w:val="00363330"/>
    <w:rsid w:val="003D2012"/>
    <w:rsid w:val="003D65F9"/>
    <w:rsid w:val="003F64DF"/>
    <w:rsid w:val="005574B6"/>
    <w:rsid w:val="00683924"/>
    <w:rsid w:val="00736549"/>
    <w:rsid w:val="007678AE"/>
    <w:rsid w:val="00833266"/>
    <w:rsid w:val="008C1B86"/>
    <w:rsid w:val="008C6A26"/>
    <w:rsid w:val="008E5F79"/>
    <w:rsid w:val="00923653"/>
    <w:rsid w:val="009D0D7F"/>
    <w:rsid w:val="00AC1248"/>
    <w:rsid w:val="00B061CC"/>
    <w:rsid w:val="00B57D92"/>
    <w:rsid w:val="00C1441F"/>
    <w:rsid w:val="00C43576"/>
    <w:rsid w:val="00C5526F"/>
    <w:rsid w:val="00C56F40"/>
    <w:rsid w:val="00C7305E"/>
    <w:rsid w:val="00D04E12"/>
    <w:rsid w:val="00D71C8C"/>
    <w:rsid w:val="00DB671F"/>
    <w:rsid w:val="00DB704F"/>
    <w:rsid w:val="00DE6B67"/>
    <w:rsid w:val="00F55B22"/>
    <w:rsid w:val="00F70230"/>
    <w:rsid w:val="01071886"/>
    <w:rsid w:val="01321717"/>
    <w:rsid w:val="014063FE"/>
    <w:rsid w:val="01AD5709"/>
    <w:rsid w:val="01BA03D3"/>
    <w:rsid w:val="01F176F8"/>
    <w:rsid w:val="01FB29CA"/>
    <w:rsid w:val="02A84A13"/>
    <w:rsid w:val="02C01C7E"/>
    <w:rsid w:val="03060375"/>
    <w:rsid w:val="03234395"/>
    <w:rsid w:val="0330642E"/>
    <w:rsid w:val="033124A2"/>
    <w:rsid w:val="03366934"/>
    <w:rsid w:val="03531BBB"/>
    <w:rsid w:val="04002EEB"/>
    <w:rsid w:val="04053DDB"/>
    <w:rsid w:val="04201940"/>
    <w:rsid w:val="043E5C37"/>
    <w:rsid w:val="046C107D"/>
    <w:rsid w:val="04715086"/>
    <w:rsid w:val="04844998"/>
    <w:rsid w:val="04AA627B"/>
    <w:rsid w:val="04B01547"/>
    <w:rsid w:val="04B600DC"/>
    <w:rsid w:val="04FC5157"/>
    <w:rsid w:val="04FD4F9D"/>
    <w:rsid w:val="0513614F"/>
    <w:rsid w:val="051479CB"/>
    <w:rsid w:val="05E4721A"/>
    <w:rsid w:val="06202622"/>
    <w:rsid w:val="06351851"/>
    <w:rsid w:val="0652464D"/>
    <w:rsid w:val="06563E0F"/>
    <w:rsid w:val="06A21E2E"/>
    <w:rsid w:val="06C67D3B"/>
    <w:rsid w:val="07045BE4"/>
    <w:rsid w:val="07065894"/>
    <w:rsid w:val="07300560"/>
    <w:rsid w:val="0730481F"/>
    <w:rsid w:val="07462294"/>
    <w:rsid w:val="078678A3"/>
    <w:rsid w:val="07AC40CA"/>
    <w:rsid w:val="07D64FE9"/>
    <w:rsid w:val="084F61A9"/>
    <w:rsid w:val="085C7202"/>
    <w:rsid w:val="08720C4E"/>
    <w:rsid w:val="08871C3B"/>
    <w:rsid w:val="08C16DFB"/>
    <w:rsid w:val="08D8516E"/>
    <w:rsid w:val="090F170E"/>
    <w:rsid w:val="0911242E"/>
    <w:rsid w:val="0915434D"/>
    <w:rsid w:val="09433FB4"/>
    <w:rsid w:val="09570789"/>
    <w:rsid w:val="09692CFE"/>
    <w:rsid w:val="09AC4925"/>
    <w:rsid w:val="09B81EE6"/>
    <w:rsid w:val="09DE7C9B"/>
    <w:rsid w:val="0A1B3599"/>
    <w:rsid w:val="0A247833"/>
    <w:rsid w:val="0A255471"/>
    <w:rsid w:val="0A312874"/>
    <w:rsid w:val="0A3D5C1F"/>
    <w:rsid w:val="0AB05EE0"/>
    <w:rsid w:val="0ADD4CBE"/>
    <w:rsid w:val="0B150E80"/>
    <w:rsid w:val="0B1B4E9F"/>
    <w:rsid w:val="0B555F68"/>
    <w:rsid w:val="0B754DBF"/>
    <w:rsid w:val="0B832A76"/>
    <w:rsid w:val="0B907F82"/>
    <w:rsid w:val="0B943386"/>
    <w:rsid w:val="0BA754AC"/>
    <w:rsid w:val="0C0C38E5"/>
    <w:rsid w:val="0C4E2A38"/>
    <w:rsid w:val="0C9D0A96"/>
    <w:rsid w:val="0D186073"/>
    <w:rsid w:val="0D1F336B"/>
    <w:rsid w:val="0D200115"/>
    <w:rsid w:val="0D3A13D1"/>
    <w:rsid w:val="0D7E2680"/>
    <w:rsid w:val="0DA5089B"/>
    <w:rsid w:val="0DC45984"/>
    <w:rsid w:val="0DC90C9D"/>
    <w:rsid w:val="0DD15B32"/>
    <w:rsid w:val="0E444976"/>
    <w:rsid w:val="0E942550"/>
    <w:rsid w:val="0F095358"/>
    <w:rsid w:val="0F523AA1"/>
    <w:rsid w:val="0FB62066"/>
    <w:rsid w:val="0FDA4256"/>
    <w:rsid w:val="0FDB5044"/>
    <w:rsid w:val="0FEB058E"/>
    <w:rsid w:val="0FF91B8D"/>
    <w:rsid w:val="10463305"/>
    <w:rsid w:val="10E26A75"/>
    <w:rsid w:val="1111468E"/>
    <w:rsid w:val="113D09D4"/>
    <w:rsid w:val="11B22661"/>
    <w:rsid w:val="12551016"/>
    <w:rsid w:val="1274518F"/>
    <w:rsid w:val="129C4EA4"/>
    <w:rsid w:val="135E3743"/>
    <w:rsid w:val="137C1DE1"/>
    <w:rsid w:val="13B3480E"/>
    <w:rsid w:val="13D31F2D"/>
    <w:rsid w:val="13D77899"/>
    <w:rsid w:val="140F5ECA"/>
    <w:rsid w:val="145E653F"/>
    <w:rsid w:val="14E668EF"/>
    <w:rsid w:val="14FF1941"/>
    <w:rsid w:val="150F4227"/>
    <w:rsid w:val="15127C85"/>
    <w:rsid w:val="15852D86"/>
    <w:rsid w:val="15B236AC"/>
    <w:rsid w:val="15E24080"/>
    <w:rsid w:val="161E668F"/>
    <w:rsid w:val="162007EB"/>
    <w:rsid w:val="165278A2"/>
    <w:rsid w:val="16545074"/>
    <w:rsid w:val="171D3518"/>
    <w:rsid w:val="173A7BC1"/>
    <w:rsid w:val="174938FB"/>
    <w:rsid w:val="176E48A4"/>
    <w:rsid w:val="17713A83"/>
    <w:rsid w:val="17D43276"/>
    <w:rsid w:val="17E01278"/>
    <w:rsid w:val="180E76B6"/>
    <w:rsid w:val="183F7C64"/>
    <w:rsid w:val="18425115"/>
    <w:rsid w:val="18876719"/>
    <w:rsid w:val="18AB5100"/>
    <w:rsid w:val="18F24F4C"/>
    <w:rsid w:val="19212FEA"/>
    <w:rsid w:val="199B3FF6"/>
    <w:rsid w:val="1A902BF7"/>
    <w:rsid w:val="1A9477D1"/>
    <w:rsid w:val="1A9C7660"/>
    <w:rsid w:val="1B195B66"/>
    <w:rsid w:val="1B701B09"/>
    <w:rsid w:val="1B7335E1"/>
    <w:rsid w:val="1B7B7093"/>
    <w:rsid w:val="1B8D3B96"/>
    <w:rsid w:val="1B972E10"/>
    <w:rsid w:val="1B99409A"/>
    <w:rsid w:val="1BAC13DD"/>
    <w:rsid w:val="1BE965CD"/>
    <w:rsid w:val="1C4C3A51"/>
    <w:rsid w:val="1C6B3664"/>
    <w:rsid w:val="1C7A78CB"/>
    <w:rsid w:val="1C87496C"/>
    <w:rsid w:val="1CCD4909"/>
    <w:rsid w:val="1CEA1DC7"/>
    <w:rsid w:val="1D1470F8"/>
    <w:rsid w:val="1D8C0325"/>
    <w:rsid w:val="1E4A6ACF"/>
    <w:rsid w:val="1E540B6E"/>
    <w:rsid w:val="1F001E1B"/>
    <w:rsid w:val="1F3C0957"/>
    <w:rsid w:val="1F5444C9"/>
    <w:rsid w:val="1FBB2909"/>
    <w:rsid w:val="1FD57B86"/>
    <w:rsid w:val="1FF1184C"/>
    <w:rsid w:val="20163B31"/>
    <w:rsid w:val="20396D4C"/>
    <w:rsid w:val="20B636B2"/>
    <w:rsid w:val="20C2246D"/>
    <w:rsid w:val="20E17D82"/>
    <w:rsid w:val="211C2D3C"/>
    <w:rsid w:val="21513085"/>
    <w:rsid w:val="21B02714"/>
    <w:rsid w:val="22127575"/>
    <w:rsid w:val="22227480"/>
    <w:rsid w:val="22DF12E8"/>
    <w:rsid w:val="22E771D2"/>
    <w:rsid w:val="22F55497"/>
    <w:rsid w:val="23112215"/>
    <w:rsid w:val="231B1C43"/>
    <w:rsid w:val="233D0598"/>
    <w:rsid w:val="23887D1E"/>
    <w:rsid w:val="23B00D99"/>
    <w:rsid w:val="24174D49"/>
    <w:rsid w:val="24782911"/>
    <w:rsid w:val="24C41DFA"/>
    <w:rsid w:val="24D46CDA"/>
    <w:rsid w:val="2511224D"/>
    <w:rsid w:val="25410460"/>
    <w:rsid w:val="257C3FCA"/>
    <w:rsid w:val="2584478D"/>
    <w:rsid w:val="25924DB0"/>
    <w:rsid w:val="2594733E"/>
    <w:rsid w:val="25D31184"/>
    <w:rsid w:val="260903DC"/>
    <w:rsid w:val="26184AB5"/>
    <w:rsid w:val="264B4D7A"/>
    <w:rsid w:val="264D7521"/>
    <w:rsid w:val="267442D0"/>
    <w:rsid w:val="27485D58"/>
    <w:rsid w:val="27565140"/>
    <w:rsid w:val="277427C9"/>
    <w:rsid w:val="27923F2B"/>
    <w:rsid w:val="27E410B0"/>
    <w:rsid w:val="27F32442"/>
    <w:rsid w:val="27F41502"/>
    <w:rsid w:val="282D4176"/>
    <w:rsid w:val="285362EB"/>
    <w:rsid w:val="285E6309"/>
    <w:rsid w:val="28623BF3"/>
    <w:rsid w:val="28650036"/>
    <w:rsid w:val="286E74C5"/>
    <w:rsid w:val="287C20AE"/>
    <w:rsid w:val="29037B8D"/>
    <w:rsid w:val="29743C6A"/>
    <w:rsid w:val="29CF5D9E"/>
    <w:rsid w:val="29FB33B1"/>
    <w:rsid w:val="2A1D4CF4"/>
    <w:rsid w:val="2A3C14CA"/>
    <w:rsid w:val="2AAB452F"/>
    <w:rsid w:val="2AAC7666"/>
    <w:rsid w:val="2ACD3652"/>
    <w:rsid w:val="2AF27F90"/>
    <w:rsid w:val="2AF96DFD"/>
    <w:rsid w:val="2B0763EE"/>
    <w:rsid w:val="2B49709C"/>
    <w:rsid w:val="2B904F26"/>
    <w:rsid w:val="2BAC0068"/>
    <w:rsid w:val="2BE65BAC"/>
    <w:rsid w:val="2C5E566B"/>
    <w:rsid w:val="2C6446FC"/>
    <w:rsid w:val="2C7212B2"/>
    <w:rsid w:val="2CB803E8"/>
    <w:rsid w:val="2CC533FC"/>
    <w:rsid w:val="2D4A367C"/>
    <w:rsid w:val="2D6E4D90"/>
    <w:rsid w:val="2DD64620"/>
    <w:rsid w:val="2DD83A52"/>
    <w:rsid w:val="2E0D2171"/>
    <w:rsid w:val="2E0D7A25"/>
    <w:rsid w:val="2E2E1810"/>
    <w:rsid w:val="2E364092"/>
    <w:rsid w:val="2E646A9C"/>
    <w:rsid w:val="2E836B4A"/>
    <w:rsid w:val="2EBA484A"/>
    <w:rsid w:val="2EF20887"/>
    <w:rsid w:val="2F423881"/>
    <w:rsid w:val="2F6269D5"/>
    <w:rsid w:val="2FB90FA6"/>
    <w:rsid w:val="30694B86"/>
    <w:rsid w:val="307C711A"/>
    <w:rsid w:val="308F743D"/>
    <w:rsid w:val="309235D4"/>
    <w:rsid w:val="309315BF"/>
    <w:rsid w:val="31042414"/>
    <w:rsid w:val="318E06E6"/>
    <w:rsid w:val="31A33515"/>
    <w:rsid w:val="31B76198"/>
    <w:rsid w:val="321235E8"/>
    <w:rsid w:val="327A6A0C"/>
    <w:rsid w:val="3304364F"/>
    <w:rsid w:val="33093437"/>
    <w:rsid w:val="337F665B"/>
    <w:rsid w:val="33B0155D"/>
    <w:rsid w:val="33DC6096"/>
    <w:rsid w:val="344A71EC"/>
    <w:rsid w:val="34856FAF"/>
    <w:rsid w:val="34993C9C"/>
    <w:rsid w:val="349A4F59"/>
    <w:rsid w:val="34D82FC0"/>
    <w:rsid w:val="3538051B"/>
    <w:rsid w:val="35C86B1F"/>
    <w:rsid w:val="35CD7187"/>
    <w:rsid w:val="35DF1CD9"/>
    <w:rsid w:val="35F30E7D"/>
    <w:rsid w:val="35FE0154"/>
    <w:rsid w:val="360F7EC5"/>
    <w:rsid w:val="36274383"/>
    <w:rsid w:val="367E5E56"/>
    <w:rsid w:val="36943BDB"/>
    <w:rsid w:val="36DF3D38"/>
    <w:rsid w:val="371A058F"/>
    <w:rsid w:val="3803453A"/>
    <w:rsid w:val="387202A9"/>
    <w:rsid w:val="38C95943"/>
    <w:rsid w:val="38CF64C6"/>
    <w:rsid w:val="38F930B9"/>
    <w:rsid w:val="390F4B99"/>
    <w:rsid w:val="395B634B"/>
    <w:rsid w:val="39690C95"/>
    <w:rsid w:val="39C9222B"/>
    <w:rsid w:val="39DD6D5D"/>
    <w:rsid w:val="39ED01CA"/>
    <w:rsid w:val="39FF41F7"/>
    <w:rsid w:val="3A09061F"/>
    <w:rsid w:val="3A11680D"/>
    <w:rsid w:val="3A196D09"/>
    <w:rsid w:val="3A3B57E0"/>
    <w:rsid w:val="3B5B2086"/>
    <w:rsid w:val="3B9D0775"/>
    <w:rsid w:val="3BAD1D4F"/>
    <w:rsid w:val="3BCB3621"/>
    <w:rsid w:val="3BCC12CB"/>
    <w:rsid w:val="3BCC3EB1"/>
    <w:rsid w:val="3C183519"/>
    <w:rsid w:val="3CAC41EE"/>
    <w:rsid w:val="3CCA3CA2"/>
    <w:rsid w:val="3CFF6E9A"/>
    <w:rsid w:val="3D5B6754"/>
    <w:rsid w:val="3D8C7C42"/>
    <w:rsid w:val="3D9A7390"/>
    <w:rsid w:val="3DA05EF8"/>
    <w:rsid w:val="3E1D5E77"/>
    <w:rsid w:val="3F2C59B8"/>
    <w:rsid w:val="3F426508"/>
    <w:rsid w:val="3F804D90"/>
    <w:rsid w:val="3F91294A"/>
    <w:rsid w:val="400B1B47"/>
    <w:rsid w:val="401A4E1B"/>
    <w:rsid w:val="40520309"/>
    <w:rsid w:val="405C1C05"/>
    <w:rsid w:val="406242B1"/>
    <w:rsid w:val="406805AA"/>
    <w:rsid w:val="408C7674"/>
    <w:rsid w:val="40AB31AA"/>
    <w:rsid w:val="40BE3A2A"/>
    <w:rsid w:val="41234F25"/>
    <w:rsid w:val="41784E93"/>
    <w:rsid w:val="419F39BB"/>
    <w:rsid w:val="41A03C64"/>
    <w:rsid w:val="41B20F4B"/>
    <w:rsid w:val="41CF4BFC"/>
    <w:rsid w:val="42354E99"/>
    <w:rsid w:val="426564BA"/>
    <w:rsid w:val="42862242"/>
    <w:rsid w:val="42B55972"/>
    <w:rsid w:val="42D90D3F"/>
    <w:rsid w:val="42DB7405"/>
    <w:rsid w:val="430D45F5"/>
    <w:rsid w:val="43127A2F"/>
    <w:rsid w:val="43505A87"/>
    <w:rsid w:val="436F49F9"/>
    <w:rsid w:val="43971882"/>
    <w:rsid w:val="43C54498"/>
    <w:rsid w:val="43C92DAB"/>
    <w:rsid w:val="43DB57E2"/>
    <w:rsid w:val="44157520"/>
    <w:rsid w:val="442A2D16"/>
    <w:rsid w:val="44384900"/>
    <w:rsid w:val="45292C93"/>
    <w:rsid w:val="4548307F"/>
    <w:rsid w:val="45593A55"/>
    <w:rsid w:val="4577303D"/>
    <w:rsid w:val="45AD2040"/>
    <w:rsid w:val="45CC5137"/>
    <w:rsid w:val="45E26F48"/>
    <w:rsid w:val="46EB783F"/>
    <w:rsid w:val="473C0FE9"/>
    <w:rsid w:val="473C76F2"/>
    <w:rsid w:val="477334B1"/>
    <w:rsid w:val="47AC1D54"/>
    <w:rsid w:val="47BB488F"/>
    <w:rsid w:val="47CE6F15"/>
    <w:rsid w:val="48091984"/>
    <w:rsid w:val="484A461F"/>
    <w:rsid w:val="485C7545"/>
    <w:rsid w:val="48627B8F"/>
    <w:rsid w:val="486C0E54"/>
    <w:rsid w:val="487B420F"/>
    <w:rsid w:val="48972AB9"/>
    <w:rsid w:val="48DE5777"/>
    <w:rsid w:val="49070D6B"/>
    <w:rsid w:val="49596BEF"/>
    <w:rsid w:val="496374AD"/>
    <w:rsid w:val="497D1F9B"/>
    <w:rsid w:val="49A65250"/>
    <w:rsid w:val="49B3042E"/>
    <w:rsid w:val="49D825F6"/>
    <w:rsid w:val="4A287AB5"/>
    <w:rsid w:val="4A355B61"/>
    <w:rsid w:val="4A491906"/>
    <w:rsid w:val="4A592677"/>
    <w:rsid w:val="4A593725"/>
    <w:rsid w:val="4AF42BA6"/>
    <w:rsid w:val="4BBD33CE"/>
    <w:rsid w:val="4BC45398"/>
    <w:rsid w:val="4BE9179B"/>
    <w:rsid w:val="4BF5130F"/>
    <w:rsid w:val="4C0D6415"/>
    <w:rsid w:val="4C2B644B"/>
    <w:rsid w:val="4C481875"/>
    <w:rsid w:val="4C8B4D21"/>
    <w:rsid w:val="4C90344E"/>
    <w:rsid w:val="4CAB5124"/>
    <w:rsid w:val="4CE34A23"/>
    <w:rsid w:val="4CE63746"/>
    <w:rsid w:val="4D4D6AF7"/>
    <w:rsid w:val="4DC628C7"/>
    <w:rsid w:val="4DF307CC"/>
    <w:rsid w:val="4E146DA6"/>
    <w:rsid w:val="4E3F33A4"/>
    <w:rsid w:val="4EB920C3"/>
    <w:rsid w:val="4EDB63EB"/>
    <w:rsid w:val="4F883B3F"/>
    <w:rsid w:val="4FB156F0"/>
    <w:rsid w:val="4FB20659"/>
    <w:rsid w:val="4FF12AC8"/>
    <w:rsid w:val="5005175F"/>
    <w:rsid w:val="503F2822"/>
    <w:rsid w:val="507E5B4E"/>
    <w:rsid w:val="50813882"/>
    <w:rsid w:val="50833C49"/>
    <w:rsid w:val="50E57CDA"/>
    <w:rsid w:val="511D7F4B"/>
    <w:rsid w:val="51345A4A"/>
    <w:rsid w:val="5149048F"/>
    <w:rsid w:val="51A85E3A"/>
    <w:rsid w:val="51C67BDC"/>
    <w:rsid w:val="51E101BC"/>
    <w:rsid w:val="52221E4F"/>
    <w:rsid w:val="52B608F7"/>
    <w:rsid w:val="52ED4BF7"/>
    <w:rsid w:val="52F370F4"/>
    <w:rsid w:val="53145F0A"/>
    <w:rsid w:val="53171558"/>
    <w:rsid w:val="53282BFB"/>
    <w:rsid w:val="53880737"/>
    <w:rsid w:val="5399332C"/>
    <w:rsid w:val="539A0D27"/>
    <w:rsid w:val="53E96434"/>
    <w:rsid w:val="53F0059A"/>
    <w:rsid w:val="54091700"/>
    <w:rsid w:val="540B4A41"/>
    <w:rsid w:val="54155B02"/>
    <w:rsid w:val="546C1CD2"/>
    <w:rsid w:val="54E20F64"/>
    <w:rsid w:val="551E609F"/>
    <w:rsid w:val="55484D4D"/>
    <w:rsid w:val="5560203F"/>
    <w:rsid w:val="55844CA6"/>
    <w:rsid w:val="55A80943"/>
    <w:rsid w:val="55D54D6B"/>
    <w:rsid w:val="55E305B3"/>
    <w:rsid w:val="566713A2"/>
    <w:rsid w:val="56786ED9"/>
    <w:rsid w:val="567D3324"/>
    <w:rsid w:val="56C53855"/>
    <w:rsid w:val="56C9515D"/>
    <w:rsid w:val="56D73B74"/>
    <w:rsid w:val="56EC18AB"/>
    <w:rsid w:val="56FD597B"/>
    <w:rsid w:val="57175364"/>
    <w:rsid w:val="57F01AC2"/>
    <w:rsid w:val="580D310A"/>
    <w:rsid w:val="58133B49"/>
    <w:rsid w:val="584E6ADC"/>
    <w:rsid w:val="585B3A49"/>
    <w:rsid w:val="588B414B"/>
    <w:rsid w:val="58C44589"/>
    <w:rsid w:val="58CD4E39"/>
    <w:rsid w:val="58D36DCB"/>
    <w:rsid w:val="58ED3A55"/>
    <w:rsid w:val="593A22DB"/>
    <w:rsid w:val="593F7DC1"/>
    <w:rsid w:val="597A0806"/>
    <w:rsid w:val="5988716F"/>
    <w:rsid w:val="59F85860"/>
    <w:rsid w:val="5A3E2160"/>
    <w:rsid w:val="5A66646F"/>
    <w:rsid w:val="5A872CC3"/>
    <w:rsid w:val="5AD57489"/>
    <w:rsid w:val="5ADF3707"/>
    <w:rsid w:val="5B09379C"/>
    <w:rsid w:val="5B0F7B63"/>
    <w:rsid w:val="5B655265"/>
    <w:rsid w:val="5BD11EF7"/>
    <w:rsid w:val="5BE16287"/>
    <w:rsid w:val="5BEC742D"/>
    <w:rsid w:val="5C026AAE"/>
    <w:rsid w:val="5C5F2392"/>
    <w:rsid w:val="5C65262A"/>
    <w:rsid w:val="5C9B486A"/>
    <w:rsid w:val="5CD04DA9"/>
    <w:rsid w:val="5CF3109F"/>
    <w:rsid w:val="5D7B3A69"/>
    <w:rsid w:val="5DA10E17"/>
    <w:rsid w:val="5DAA6929"/>
    <w:rsid w:val="5E105899"/>
    <w:rsid w:val="5E167440"/>
    <w:rsid w:val="5E925A47"/>
    <w:rsid w:val="5ED65E9E"/>
    <w:rsid w:val="5EDA221B"/>
    <w:rsid w:val="5F2A7D2E"/>
    <w:rsid w:val="5FA54869"/>
    <w:rsid w:val="5FC1303B"/>
    <w:rsid w:val="5FDD385E"/>
    <w:rsid w:val="5FDF718B"/>
    <w:rsid w:val="5FE756C4"/>
    <w:rsid w:val="5FF065AE"/>
    <w:rsid w:val="602D2F76"/>
    <w:rsid w:val="60582CEA"/>
    <w:rsid w:val="606A7B03"/>
    <w:rsid w:val="60FA2453"/>
    <w:rsid w:val="611B34FA"/>
    <w:rsid w:val="612F2805"/>
    <w:rsid w:val="61DD7C94"/>
    <w:rsid w:val="61E60EAB"/>
    <w:rsid w:val="61EA2317"/>
    <w:rsid w:val="61EF17A6"/>
    <w:rsid w:val="622F287E"/>
    <w:rsid w:val="62456545"/>
    <w:rsid w:val="62714880"/>
    <w:rsid w:val="627C1237"/>
    <w:rsid w:val="629F486C"/>
    <w:rsid w:val="62ED6FF8"/>
    <w:rsid w:val="62F039C6"/>
    <w:rsid w:val="632E0D88"/>
    <w:rsid w:val="635849BE"/>
    <w:rsid w:val="636447A9"/>
    <w:rsid w:val="63811D1D"/>
    <w:rsid w:val="63891996"/>
    <w:rsid w:val="64411535"/>
    <w:rsid w:val="648A6668"/>
    <w:rsid w:val="64BA16F0"/>
    <w:rsid w:val="64D70C50"/>
    <w:rsid w:val="64DE43EE"/>
    <w:rsid w:val="64EE4C72"/>
    <w:rsid w:val="651D4188"/>
    <w:rsid w:val="653123E6"/>
    <w:rsid w:val="6554017F"/>
    <w:rsid w:val="65854BB3"/>
    <w:rsid w:val="661D2A90"/>
    <w:rsid w:val="665C6DFC"/>
    <w:rsid w:val="669833B2"/>
    <w:rsid w:val="66D24120"/>
    <w:rsid w:val="670F1E09"/>
    <w:rsid w:val="67102822"/>
    <w:rsid w:val="672D1DA9"/>
    <w:rsid w:val="674943E2"/>
    <w:rsid w:val="67513397"/>
    <w:rsid w:val="67911E71"/>
    <w:rsid w:val="67B920E7"/>
    <w:rsid w:val="67D23492"/>
    <w:rsid w:val="68451951"/>
    <w:rsid w:val="687E7FCC"/>
    <w:rsid w:val="68922FBB"/>
    <w:rsid w:val="689C70B5"/>
    <w:rsid w:val="693E76EB"/>
    <w:rsid w:val="694A6860"/>
    <w:rsid w:val="695D35A4"/>
    <w:rsid w:val="6AA93C07"/>
    <w:rsid w:val="6ACC4637"/>
    <w:rsid w:val="6AE062A3"/>
    <w:rsid w:val="6AE32D8D"/>
    <w:rsid w:val="6AF26948"/>
    <w:rsid w:val="6B357768"/>
    <w:rsid w:val="6B7E5E0A"/>
    <w:rsid w:val="6B804704"/>
    <w:rsid w:val="6B9163AB"/>
    <w:rsid w:val="6BC51FA8"/>
    <w:rsid w:val="6BD2716D"/>
    <w:rsid w:val="6BEA6900"/>
    <w:rsid w:val="6C2E2990"/>
    <w:rsid w:val="6C47523B"/>
    <w:rsid w:val="6C68355C"/>
    <w:rsid w:val="6C9B185F"/>
    <w:rsid w:val="6CB22631"/>
    <w:rsid w:val="6CE511B7"/>
    <w:rsid w:val="6CF739D2"/>
    <w:rsid w:val="6D262141"/>
    <w:rsid w:val="6D604895"/>
    <w:rsid w:val="6E3F1BBB"/>
    <w:rsid w:val="6E5646E1"/>
    <w:rsid w:val="6EB65F9A"/>
    <w:rsid w:val="6EBB01B4"/>
    <w:rsid w:val="6EBE220D"/>
    <w:rsid w:val="6ECE4F99"/>
    <w:rsid w:val="6F1C5268"/>
    <w:rsid w:val="6F2B4BE9"/>
    <w:rsid w:val="6F524530"/>
    <w:rsid w:val="6FA67EF8"/>
    <w:rsid w:val="6FA7505D"/>
    <w:rsid w:val="70A60751"/>
    <w:rsid w:val="70A873E0"/>
    <w:rsid w:val="70E1568B"/>
    <w:rsid w:val="71087F7A"/>
    <w:rsid w:val="710B7F81"/>
    <w:rsid w:val="71106500"/>
    <w:rsid w:val="71286171"/>
    <w:rsid w:val="713C1D22"/>
    <w:rsid w:val="715570FC"/>
    <w:rsid w:val="71953882"/>
    <w:rsid w:val="71A671E9"/>
    <w:rsid w:val="71A911D9"/>
    <w:rsid w:val="721C4D44"/>
    <w:rsid w:val="7245393B"/>
    <w:rsid w:val="724D2D45"/>
    <w:rsid w:val="724D390C"/>
    <w:rsid w:val="72C802E6"/>
    <w:rsid w:val="73531A97"/>
    <w:rsid w:val="73B71C61"/>
    <w:rsid w:val="74181387"/>
    <w:rsid w:val="744273BD"/>
    <w:rsid w:val="74595839"/>
    <w:rsid w:val="74B47091"/>
    <w:rsid w:val="753321E9"/>
    <w:rsid w:val="757A0AC2"/>
    <w:rsid w:val="75801FAC"/>
    <w:rsid w:val="758A4A98"/>
    <w:rsid w:val="75F5118C"/>
    <w:rsid w:val="76682CA4"/>
    <w:rsid w:val="76AD6595"/>
    <w:rsid w:val="76D22381"/>
    <w:rsid w:val="76E0351B"/>
    <w:rsid w:val="7858544F"/>
    <w:rsid w:val="79073893"/>
    <w:rsid w:val="790F6B53"/>
    <w:rsid w:val="795D4D28"/>
    <w:rsid w:val="79676AB2"/>
    <w:rsid w:val="79997044"/>
    <w:rsid w:val="79B92D89"/>
    <w:rsid w:val="79C541D2"/>
    <w:rsid w:val="79D13178"/>
    <w:rsid w:val="7A3178FE"/>
    <w:rsid w:val="7A485FC6"/>
    <w:rsid w:val="7A5D3FC6"/>
    <w:rsid w:val="7AE140E0"/>
    <w:rsid w:val="7AEA6F5B"/>
    <w:rsid w:val="7AF242BB"/>
    <w:rsid w:val="7B455AED"/>
    <w:rsid w:val="7B5430AD"/>
    <w:rsid w:val="7B645359"/>
    <w:rsid w:val="7B8E3856"/>
    <w:rsid w:val="7B987C18"/>
    <w:rsid w:val="7BA9149B"/>
    <w:rsid w:val="7BDE1658"/>
    <w:rsid w:val="7C0C342A"/>
    <w:rsid w:val="7C613C68"/>
    <w:rsid w:val="7C706DAF"/>
    <w:rsid w:val="7C7A77A6"/>
    <w:rsid w:val="7CBD0876"/>
    <w:rsid w:val="7CD514F6"/>
    <w:rsid w:val="7D31427A"/>
    <w:rsid w:val="7DC1685E"/>
    <w:rsid w:val="7DEB07D9"/>
    <w:rsid w:val="7E1C7C20"/>
    <w:rsid w:val="7E4F6CCE"/>
    <w:rsid w:val="7E506BE1"/>
    <w:rsid w:val="7EC06E8A"/>
    <w:rsid w:val="7F332D5F"/>
    <w:rsid w:val="7F3A6F59"/>
    <w:rsid w:val="7F3B71EA"/>
    <w:rsid w:val="7F7B314F"/>
    <w:rsid w:val="7FAF00F0"/>
    <w:rsid w:val="7FB37317"/>
    <w:rsid w:val="7FE0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4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tabs>
        <w:tab w:val="left" w:pos="720"/>
      </w:tabs>
      <w:spacing w:before="10" w:after="10" w:line="380" w:lineRule="exact"/>
      <w:ind w:firstLine="208" w:firstLineChars="208"/>
      <w:outlineLvl w:val="3"/>
    </w:pPr>
    <w:rPr>
      <w:rFonts w:ascii="Arial" w:hAnsi="Arial" w:eastAsia="黑体"/>
      <w:b/>
      <w:kern w:val="2"/>
      <w:sz w:val="25"/>
      <w:szCs w:val="24"/>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napToGrid w:val="0"/>
      <w:spacing w:line="360" w:lineRule="auto"/>
      <w:ind w:firstLine="420"/>
    </w:pPr>
    <w:rPr>
      <w:rFonts w:ascii="Calibri" w:hAnsi="Calibri"/>
      <w:sz w:val="24"/>
    </w:rPr>
  </w:style>
  <w:style w:type="paragraph" w:styleId="8">
    <w:name w:val="annotation text"/>
    <w:basedOn w:val="1"/>
    <w:qFormat/>
    <w:uiPriority w:val="0"/>
    <w:pPr>
      <w:jc w:val="left"/>
    </w:pPr>
  </w:style>
  <w:style w:type="paragraph" w:styleId="9">
    <w:name w:val="Body Text"/>
    <w:basedOn w:val="1"/>
    <w:next w:val="1"/>
    <w:link w:val="52"/>
    <w:unhideWhenUsed/>
    <w:qFormat/>
    <w:uiPriority w:val="0"/>
    <w:pPr>
      <w:spacing w:after="120"/>
    </w:pPr>
  </w:style>
  <w:style w:type="paragraph" w:styleId="10">
    <w:name w:val="Body Text Indent"/>
    <w:basedOn w:val="1"/>
    <w:next w:val="9"/>
    <w:unhideWhenUsed/>
    <w:qFormat/>
    <w:uiPriority w:val="0"/>
    <w:pPr>
      <w:spacing w:after="120"/>
      <w:ind w:left="420" w:leftChars="200"/>
    </w:pPr>
  </w:style>
  <w:style w:type="paragraph" w:styleId="11">
    <w:name w:val="Plain Text"/>
    <w:basedOn w:val="1"/>
    <w:qFormat/>
    <w:uiPriority w:val="0"/>
    <w:pPr>
      <w:adjustRightInd w:val="0"/>
      <w:snapToGrid w:val="0"/>
      <w:spacing w:line="360" w:lineRule="auto"/>
    </w:pPr>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qFormat/>
    <w:uiPriority w:val="0"/>
    <w:rPr>
      <w:sz w:val="18"/>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8">
    <w:name w:val="Subtitle"/>
    <w:basedOn w:val="1"/>
    <w:next w:val="1"/>
    <w:qFormat/>
    <w:uiPriority w:val="0"/>
    <w:pPr>
      <w:spacing w:before="240" w:after="60" w:line="312" w:lineRule="auto"/>
      <w:jc w:val="center"/>
      <w:outlineLvl w:val="1"/>
    </w:pPr>
    <w:rPr>
      <w:b/>
      <w:bCs/>
      <w:kern w:val="28"/>
      <w:sz w:val="32"/>
      <w:szCs w:val="32"/>
    </w:rPr>
  </w:style>
  <w:style w:type="paragraph" w:styleId="19">
    <w:name w:val="toc 2"/>
    <w:basedOn w:val="1"/>
    <w:next w:val="1"/>
    <w:qFormat/>
    <w:uiPriority w:val="39"/>
    <w:pPr>
      <w:tabs>
        <w:tab w:val="right" w:leader="dot" w:pos="8400"/>
      </w:tabs>
      <w:spacing w:line="440" w:lineRule="exact"/>
      <w:ind w:left="280" w:leftChars="100" w:right="-91" w:rightChars="-91"/>
    </w:pPr>
  </w:style>
  <w:style w:type="paragraph" w:styleId="20">
    <w:name w:val="Normal (Web)"/>
    <w:basedOn w:val="1"/>
    <w:qFormat/>
    <w:uiPriority w:val="0"/>
    <w:pPr>
      <w:widowControl/>
      <w:jc w:val="left"/>
    </w:pPr>
    <w:rPr>
      <w:rFonts w:ascii="宋体" w:hAnsi="宋体" w:cs="宋体"/>
      <w:kern w:val="0"/>
      <w:sz w:val="24"/>
    </w:rPr>
  </w:style>
  <w:style w:type="paragraph" w:styleId="21">
    <w:name w:val="Body Text First Indent"/>
    <w:basedOn w:val="1"/>
    <w:next w:val="1"/>
    <w:qFormat/>
    <w:uiPriority w:val="0"/>
    <w:pPr>
      <w:spacing w:line="360" w:lineRule="auto"/>
      <w:ind w:firstLine="420"/>
    </w:pPr>
    <w:rPr>
      <w:rFonts w:ascii="宋体" w:hAnsi="宋体"/>
      <w:sz w:val="24"/>
    </w:rPr>
  </w:style>
  <w:style w:type="paragraph" w:styleId="22">
    <w:name w:val="Body Text First Indent 2"/>
    <w:basedOn w:val="10"/>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semiHidden/>
    <w:unhideWhenUsed/>
    <w:qFormat/>
    <w:uiPriority w:val="99"/>
    <w:rPr>
      <w:b/>
    </w:rPr>
  </w:style>
  <w:style w:type="character" w:styleId="27">
    <w:name w:val="page number"/>
    <w:basedOn w:val="25"/>
    <w:qFormat/>
    <w:uiPriority w:val="0"/>
  </w:style>
  <w:style w:type="character" w:styleId="28">
    <w:name w:val="annotation reference"/>
    <w:qFormat/>
    <w:uiPriority w:val="0"/>
    <w:rPr>
      <w:sz w:val="21"/>
    </w:rPr>
  </w:style>
  <w:style w:type="paragraph" w:customStyle="1" w:styleId="29">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30">
    <w:name w:val="无间隔1"/>
    <w:qFormat/>
    <w:uiPriority w:val="1"/>
    <w:pPr>
      <w:jc w:val="both"/>
    </w:pPr>
    <w:rPr>
      <w:rFonts w:ascii="Times New Roman" w:hAnsi="Times New Roman" w:eastAsia="Times New Roman" w:cs="Times New Roman"/>
      <w:lang w:val="en-US" w:eastAsia="zh-CN" w:bidi="ar-SA"/>
    </w:rPr>
  </w:style>
  <w:style w:type="paragraph" w:customStyle="1" w:styleId="31">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32">
    <w:name w:val="Heading3"/>
    <w:basedOn w:val="1"/>
    <w:next w:val="1"/>
    <w:qFormat/>
    <w:uiPriority w:val="0"/>
    <w:pPr>
      <w:keepNext/>
      <w:keepLines/>
      <w:spacing w:before="260" w:after="260" w:line="416" w:lineRule="auto"/>
      <w:textAlignment w:val="baseline"/>
    </w:pPr>
    <w:rPr>
      <w:rFonts w:ascii="Cambria Math" w:hAnsi="Cambria Math" w:cs="Cambria Math"/>
      <w:b/>
      <w:bCs/>
      <w:kern w:val="0"/>
      <w:sz w:val="32"/>
      <w:szCs w:val="32"/>
    </w:rPr>
  </w:style>
  <w:style w:type="character" w:customStyle="1" w:styleId="33">
    <w:name w:val="NormalCharacter"/>
    <w:qFormat/>
    <w:uiPriority w:val="0"/>
    <w:rPr>
      <w:kern w:val="2"/>
      <w:sz w:val="21"/>
      <w:szCs w:val="24"/>
      <w:lang w:val="en-US" w:eastAsia="zh-CN" w:bidi="ar-SA"/>
    </w:rPr>
  </w:style>
  <w:style w:type="paragraph" w:customStyle="1" w:styleId="34">
    <w:name w:val="正文（缩进）"/>
    <w:basedOn w:val="1"/>
    <w:qFormat/>
    <w:uiPriority w:val="99"/>
    <w:pPr>
      <w:spacing w:before="156" w:after="156"/>
      <w:ind w:firstLine="480"/>
    </w:pPr>
  </w:style>
  <w:style w:type="character" w:customStyle="1" w:styleId="35">
    <w:name w:val="15"/>
    <w:basedOn w:val="25"/>
    <w:qFormat/>
    <w:uiPriority w:val="0"/>
    <w:rPr>
      <w:rFonts w:hint="eastAsia" w:ascii="仿宋" w:hAnsi="仿宋" w:eastAsia="仿宋"/>
      <w:color w:val="000000"/>
      <w:sz w:val="24"/>
      <w:szCs w:val="24"/>
    </w:rPr>
  </w:style>
  <w:style w:type="character" w:customStyle="1" w:styleId="36">
    <w:name w:val="16"/>
    <w:basedOn w:val="25"/>
    <w:qFormat/>
    <w:uiPriority w:val="0"/>
    <w:rPr>
      <w:rFonts w:hint="eastAsia" w:ascii="仿宋" w:hAnsi="仿宋" w:eastAsia="仿宋"/>
      <w:b/>
      <w:bCs/>
      <w:color w:val="FF0000"/>
      <w:sz w:val="24"/>
      <w:szCs w:val="24"/>
    </w:rPr>
  </w:style>
  <w:style w:type="paragraph" w:customStyle="1" w:styleId="3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8">
    <w:name w:val="1.正文"/>
    <w:basedOn w:val="1"/>
    <w:qFormat/>
    <w:uiPriority w:val="0"/>
    <w:pPr>
      <w:spacing w:line="360" w:lineRule="auto"/>
      <w:ind w:left="540" w:leftChars="225" w:firstLine="540" w:firstLineChars="225"/>
    </w:pPr>
  </w:style>
  <w:style w:type="paragraph" w:styleId="39">
    <w:name w:val="List Paragraph"/>
    <w:basedOn w:val="1"/>
    <w:qFormat/>
    <w:uiPriority w:val="34"/>
    <w:pPr>
      <w:ind w:firstLine="420" w:firstLineChars="200"/>
    </w:pPr>
    <w:rPr>
      <w:rFonts w:ascii="Calibri" w:hAnsi="Calibri"/>
      <w:sz w:val="21"/>
      <w:szCs w:val="22"/>
    </w:rPr>
  </w:style>
  <w:style w:type="character" w:customStyle="1" w:styleId="40">
    <w:name w:val="标题 1 字符"/>
    <w:link w:val="2"/>
    <w:qFormat/>
    <w:uiPriority w:val="0"/>
    <w:rPr>
      <w:rFonts w:eastAsia="黑体"/>
      <w:sz w:val="44"/>
    </w:rPr>
  </w:style>
  <w:style w:type="character" w:customStyle="1" w:styleId="41">
    <w:name w:val="标题 2 字符"/>
    <w:link w:val="3"/>
    <w:qFormat/>
    <w:uiPriority w:val="0"/>
    <w:rPr>
      <w:rFonts w:ascii="宋体" w:hAnsi="宋体"/>
    </w:rPr>
  </w:style>
  <w:style w:type="paragraph" w:customStyle="1" w:styleId="4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4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44">
    <w:name w:val="2表格（表体）"/>
    <w:basedOn w:val="1"/>
    <w:qFormat/>
    <w:uiPriority w:val="99"/>
    <w:pPr>
      <w:spacing w:line="440" w:lineRule="exact"/>
      <w:ind w:firstLine="240" w:firstLineChars="100"/>
    </w:pPr>
  </w:style>
  <w:style w:type="paragraph" w:customStyle="1" w:styleId="45">
    <w:name w:val="标题 21"/>
    <w:basedOn w:val="1"/>
    <w:qFormat/>
    <w:uiPriority w:val="0"/>
    <w:pPr>
      <w:snapToGrid w:val="0"/>
      <w:spacing w:line="360" w:lineRule="auto"/>
      <w:outlineLvl w:val="1"/>
    </w:pPr>
    <w:rPr>
      <w:rFonts w:ascii="宋体" w:hAnsi="宋体"/>
    </w:rPr>
  </w:style>
  <w:style w:type="paragraph" w:customStyle="1" w:styleId="46">
    <w:name w:val="U_正文"/>
    <w:basedOn w:val="1"/>
    <w:qFormat/>
    <w:uiPriority w:val="0"/>
    <w:pPr>
      <w:spacing w:before="20" w:beforeLines="20" w:after="20" w:afterLines="20" w:line="300" w:lineRule="auto"/>
      <w:ind w:firstLine="200" w:firstLineChars="200"/>
    </w:pPr>
    <w:rPr>
      <w:rFonts w:ascii="Times New Roman" w:hAnsi="Times New Roman" w:eastAsia="宋体" w:cs="Times New Roman"/>
      <w:sz w:val="24"/>
      <w:szCs w:val="20"/>
    </w:rPr>
  </w:style>
  <w:style w:type="paragraph" w:customStyle="1" w:styleId="47">
    <w:name w:val="U_正文2"/>
    <w:basedOn w:val="1"/>
    <w:qFormat/>
    <w:uiPriority w:val="0"/>
    <w:pPr>
      <w:spacing w:before="10" w:beforeLines="10" w:after="10" w:afterLines="10" w:line="300" w:lineRule="auto"/>
    </w:pPr>
    <w:rPr>
      <w:rFonts w:ascii="Times New Roman" w:hAnsi="Times New Roman" w:cs="Times New Roman"/>
      <w:sz w:val="24"/>
      <w:szCs w:val="20"/>
    </w:rPr>
  </w:style>
  <w:style w:type="paragraph" w:customStyle="1" w:styleId="48">
    <w:name w:val="U_编号2"/>
    <w:basedOn w:val="1"/>
    <w:qFormat/>
    <w:uiPriority w:val="0"/>
    <w:pPr>
      <w:tabs>
        <w:tab w:val="left" w:pos="420"/>
        <w:tab w:val="left" w:pos="785"/>
      </w:tabs>
      <w:spacing w:before="10" w:beforeLines="10" w:after="10" w:afterLines="10" w:line="300" w:lineRule="auto"/>
      <w:ind w:left="420" w:hanging="420"/>
    </w:pPr>
    <w:rPr>
      <w:rFonts w:ascii="Times New Roman" w:hAnsi="Times New Roman" w:cs="Times New Roman"/>
      <w:sz w:val="24"/>
      <w:szCs w:val="20"/>
    </w:rPr>
  </w:style>
  <w:style w:type="paragraph" w:customStyle="1" w:styleId="49">
    <w:name w:val="一级标题"/>
    <w:basedOn w:val="1"/>
    <w:qFormat/>
    <w:uiPriority w:val="0"/>
    <w:pPr>
      <w:numPr>
        <w:ilvl w:val="0"/>
        <w:numId w:val="2"/>
      </w:numPr>
      <w:spacing w:before="10" w:beforeLines="10" w:line="900" w:lineRule="exact"/>
      <w:ind w:left="0" w:firstLine="640"/>
      <w:jc w:val="left"/>
      <w:outlineLvl w:val="0"/>
    </w:pPr>
    <w:rPr>
      <w:rFonts w:hint="eastAsia" w:eastAsia="方正黑体_GBK" w:cs="Times New Roman"/>
      <w:spacing w:val="0"/>
      <w:szCs w:val="32"/>
    </w:rPr>
  </w:style>
  <w:style w:type="paragraph" w:customStyle="1" w:styleId="50">
    <w:name w:val="表格内容"/>
    <w:basedOn w:val="9"/>
    <w:qFormat/>
    <w:uiPriority w:val="0"/>
    <w:pPr>
      <w:ind w:firstLine="0" w:firstLineChars="0"/>
      <w:jc w:val="center"/>
    </w:pPr>
    <w:rPr>
      <w:rFonts w:eastAsia="黑体"/>
      <w:sz w:val="24"/>
    </w:rPr>
  </w:style>
  <w:style w:type="paragraph" w:customStyle="1" w:styleId="51">
    <w:name w:val="二级标题"/>
    <w:basedOn w:val="49"/>
    <w:qFormat/>
    <w:uiPriority w:val="0"/>
    <w:pPr>
      <w:numPr>
        <w:numId w:val="3"/>
      </w:numPr>
      <w:spacing w:line="720" w:lineRule="exact"/>
      <w:ind w:left="0" w:firstLine="867" w:firstLineChars="200"/>
      <w:jc w:val="left"/>
      <w:outlineLvl w:val="1"/>
    </w:pPr>
    <w:rPr>
      <w:rFonts w:eastAsia="楷体"/>
    </w:rPr>
  </w:style>
  <w:style w:type="character" w:customStyle="1" w:styleId="52">
    <w:name w:val="正文文本 字符"/>
    <w:link w:val="9"/>
    <w:qFormat/>
    <w:uiPriority w:val="0"/>
  </w:style>
  <w:style w:type="paragraph" w:customStyle="1" w:styleId="53">
    <w:name w:val="三级标题"/>
    <w:basedOn w:val="1"/>
    <w:qFormat/>
    <w:uiPriority w:val="0"/>
    <w:pPr>
      <w:numPr>
        <w:ilvl w:val="0"/>
        <w:numId w:val="4"/>
      </w:numPr>
      <w:autoSpaceDE w:val="0"/>
      <w:autoSpaceDN w:val="0"/>
      <w:spacing w:before="10" w:beforeLines="10" w:after="40" w:afterLines="40" w:line="480" w:lineRule="exact"/>
      <w:ind w:firstLine="640" w:firstLineChars="200"/>
      <w:jc w:val="left"/>
      <w:outlineLvl w:val="2"/>
    </w:pPr>
    <w:rPr>
      <w:rFonts w:hint="eastAsia" w:ascii="Times New Roman" w:hAnsi="Times New Roman" w:cs="Times New Roman"/>
      <w:b/>
    </w:rPr>
  </w:style>
  <w:style w:type="paragraph" w:customStyle="1" w:styleId="54">
    <w:name w:val="1"/>
    <w:autoRedefine/>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55">
    <w:name w:val="正文 A"/>
    <w:autoRedefine/>
    <w:qFormat/>
    <w:uiPriority w:val="0"/>
    <w:pPr>
      <w:widowControl w:val="0"/>
      <w:jc w:val="both"/>
    </w:pPr>
    <w:rPr>
      <w:rFonts w:ascii="Times New Roman" w:hAnsi="Times New Roman" w:eastAsia="Arial Unicode MS" w:cs="Arial Unicode MS"/>
      <w:color w:val="000000"/>
      <w:kern w:val="2"/>
      <w:sz w:val="28"/>
      <w:szCs w:val="28"/>
      <w:u w:val="none" w:color="000000"/>
      <w:lang w:val="en-US" w:eastAsia="zh-CN" w:bidi="ar-SA"/>
    </w:rPr>
  </w:style>
  <w:style w:type="character" w:customStyle="1" w:styleId="56">
    <w:name w:val="Hyperlink.0"/>
    <w:autoRedefine/>
    <w:qFormat/>
    <w:uiPriority w:val="0"/>
    <w:rPr>
      <w:lang w:val="en-US"/>
    </w:rPr>
  </w:style>
  <w:style w:type="character" w:customStyle="1" w:styleId="57">
    <w:name w:val="font21"/>
    <w:basedOn w:val="25"/>
    <w:qFormat/>
    <w:uiPriority w:val="0"/>
    <w:rPr>
      <w:rFonts w:hint="eastAsia" w:ascii="宋体" w:hAnsi="宋体" w:eastAsia="宋体" w:cs="宋体"/>
      <w:color w:val="000000"/>
      <w:sz w:val="20"/>
      <w:szCs w:val="20"/>
      <w:u w:val="none"/>
    </w:rPr>
  </w:style>
  <w:style w:type="paragraph" w:customStyle="1" w:styleId="58">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4234</Words>
  <Characters>4636</Characters>
  <Lines>148</Lines>
  <Paragraphs>41</Paragraphs>
  <TotalTime>19</TotalTime>
  <ScaleCrop>false</ScaleCrop>
  <LinksUpToDate>false</LinksUpToDate>
  <CharactersWithSpaces>4711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2024-04-23T09:24:00Z</dcterms:created>
  <dc:creator>重庆华西工程造价咨询有限公司</dc:creator>
  <cp:lastModifiedBy>柚</cp:lastModifiedBy>
  <cp:lastPrinted>2025-02-21T09:40:00Z</cp:lastPrinted>
  <dcterms:modified xsi:type="dcterms:W3CDTF">2026-01-27T08:13:17Z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9E838C4383D84F11833EBAA046025758_13</vt:lpwstr>
  </property>
  <property fmtid="{D5CDD505-2E9C-101B-9397-08002B2CF9AE}" pid="4" name="KSOTemplateDocerSaveRecord">
    <vt:lpwstr>eyJoZGlkIjoiNzdkNTM4MTkwYTE0Yjk0Y2Y4MjVlZDcwOGViZTQwYjIiLCJ1c2VySWQiOiIxMTc2NDE1MTk0In0=</vt:lpwstr>
  </property>
</Properties>
</file>