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083ED8">
      <w:pPr>
        <w:pStyle w:val="82"/>
        <w:ind w:firstLine="2409"/>
        <w:rPr>
          <w:rFonts w:hint="eastAsia" w:ascii="宋体" w:hAnsi="宋体" w:eastAsia="宋体" w:cs="宋体"/>
          <w:b/>
          <w:sz w:val="120"/>
          <w:szCs w:val="120"/>
        </w:rPr>
      </w:pPr>
    </w:p>
    <w:p w14:paraId="26DF2980">
      <w:pPr>
        <w:pStyle w:val="82"/>
        <w:ind w:firstLine="2409"/>
        <w:rPr>
          <w:rFonts w:hint="eastAsia" w:ascii="宋体" w:hAnsi="宋体" w:eastAsia="宋体" w:cs="宋体"/>
        </w:rPr>
      </w:pPr>
      <w:r>
        <w:rPr>
          <w:rFonts w:hint="eastAsia" w:ascii="宋体" w:hAnsi="宋体" w:eastAsia="宋体" w:cs="宋体"/>
          <w:b/>
          <w:sz w:val="120"/>
          <w:szCs w:val="120"/>
        </w:rPr>
        <w:tab/>
      </w:r>
    </w:p>
    <w:p w14:paraId="31DD02CE">
      <w:pPr>
        <w:spacing w:line="1600" w:lineRule="exact"/>
        <w:jc w:val="center"/>
        <w:outlineLvl w:val="0"/>
        <w:rPr>
          <w:rFonts w:hint="eastAsia" w:ascii="宋体" w:hAnsi="宋体" w:eastAsia="宋体" w:cs="宋体"/>
          <w:sz w:val="120"/>
          <w:szCs w:val="120"/>
        </w:rPr>
      </w:pPr>
      <w:r>
        <w:rPr>
          <w:rFonts w:hint="eastAsia" w:ascii="宋体" w:hAnsi="宋体" w:eastAsia="宋体" w:cs="宋体"/>
          <w:b/>
          <w:sz w:val="120"/>
          <w:szCs w:val="120"/>
        </w:rPr>
        <w:t>竞争性磋商文件</w:t>
      </w:r>
    </w:p>
    <w:p w14:paraId="38512B01">
      <w:pPr>
        <w:pStyle w:val="24"/>
        <w:spacing w:line="500" w:lineRule="exact"/>
        <w:ind w:left="0"/>
        <w:jc w:val="center"/>
        <w:rPr>
          <w:rFonts w:hint="eastAsia" w:ascii="宋体" w:hAnsi="宋体" w:eastAsia="宋体" w:cs="宋体"/>
          <w:sz w:val="32"/>
        </w:rPr>
      </w:pPr>
    </w:p>
    <w:p w14:paraId="4044BCC8">
      <w:pPr>
        <w:pStyle w:val="24"/>
        <w:spacing w:line="500" w:lineRule="exact"/>
        <w:ind w:left="0"/>
        <w:jc w:val="center"/>
        <w:rPr>
          <w:rFonts w:hint="eastAsia" w:ascii="宋体" w:hAnsi="宋体" w:eastAsia="宋体" w:cs="宋体"/>
          <w:sz w:val="32"/>
        </w:rPr>
      </w:pPr>
    </w:p>
    <w:p w14:paraId="31331EA5">
      <w:pPr>
        <w:pStyle w:val="24"/>
        <w:spacing w:line="500" w:lineRule="exact"/>
        <w:ind w:left="0"/>
        <w:jc w:val="center"/>
        <w:rPr>
          <w:rFonts w:hint="eastAsia" w:ascii="宋体" w:hAnsi="宋体" w:eastAsia="宋体" w:cs="宋体"/>
          <w:sz w:val="32"/>
        </w:rPr>
      </w:pPr>
    </w:p>
    <w:p w14:paraId="770835EC">
      <w:pPr>
        <w:pStyle w:val="24"/>
        <w:spacing w:line="500" w:lineRule="exact"/>
        <w:ind w:left="0"/>
        <w:rPr>
          <w:rFonts w:hint="eastAsia" w:ascii="宋体" w:hAnsi="宋体" w:eastAsia="宋体" w:cs="宋体"/>
          <w:sz w:val="32"/>
        </w:rPr>
      </w:pPr>
    </w:p>
    <w:p w14:paraId="32D59E2B">
      <w:pPr>
        <w:pStyle w:val="24"/>
        <w:spacing w:line="500" w:lineRule="exact"/>
        <w:ind w:left="0"/>
        <w:jc w:val="center"/>
        <w:rPr>
          <w:rFonts w:hint="eastAsia" w:ascii="宋体" w:hAnsi="宋体" w:eastAsia="宋体" w:cs="宋体"/>
          <w:sz w:val="32"/>
        </w:rPr>
      </w:pPr>
    </w:p>
    <w:p w14:paraId="59E110E6">
      <w:pPr>
        <w:pStyle w:val="24"/>
        <w:spacing w:line="500" w:lineRule="exact"/>
        <w:ind w:left="0"/>
        <w:jc w:val="center"/>
        <w:rPr>
          <w:rFonts w:hint="eastAsia" w:ascii="宋体" w:hAnsi="宋体" w:eastAsia="宋体" w:cs="宋体"/>
          <w:sz w:val="32"/>
        </w:rPr>
      </w:pPr>
    </w:p>
    <w:p w14:paraId="222484CF">
      <w:pPr>
        <w:pStyle w:val="24"/>
        <w:spacing w:line="500" w:lineRule="exact"/>
        <w:ind w:left="0"/>
        <w:jc w:val="center"/>
        <w:rPr>
          <w:rFonts w:hint="eastAsia" w:ascii="宋体" w:hAnsi="宋体" w:eastAsia="宋体" w:cs="宋体"/>
          <w:sz w:val="32"/>
        </w:rPr>
      </w:pPr>
    </w:p>
    <w:p w14:paraId="7AF2CFD2">
      <w:pPr>
        <w:pStyle w:val="24"/>
        <w:spacing w:line="500" w:lineRule="exact"/>
        <w:rPr>
          <w:rFonts w:hint="default" w:ascii="宋体" w:hAnsi="宋体" w:eastAsia="宋体" w:cs="宋体"/>
          <w:sz w:val="32"/>
          <w:szCs w:val="22"/>
          <w:lang w:val="en-US" w:eastAsia="zh-CN"/>
        </w:rPr>
      </w:pPr>
      <w:r>
        <w:rPr>
          <w:rFonts w:hint="eastAsia" w:ascii="宋体" w:hAnsi="宋体" w:eastAsia="宋体" w:cs="宋体"/>
          <w:sz w:val="32"/>
          <w:szCs w:val="22"/>
        </w:rPr>
        <w:t>采购项目编号：</w:t>
      </w:r>
      <w:r>
        <w:rPr>
          <w:rFonts w:hint="eastAsia" w:ascii="宋体" w:hAnsi="宋体" w:cs="宋体"/>
          <w:sz w:val="32"/>
          <w:szCs w:val="22"/>
          <w:lang w:val="en-US" w:eastAsia="zh-CN"/>
        </w:rPr>
        <w:t>Z25C00084</w:t>
      </w:r>
    </w:p>
    <w:p w14:paraId="2E7574B3">
      <w:pPr>
        <w:spacing w:line="500" w:lineRule="exact"/>
        <w:ind w:firstLine="960" w:firstLineChars="300"/>
        <w:outlineLvl w:val="0"/>
        <w:rPr>
          <w:rFonts w:hint="eastAsia" w:ascii="宋体" w:hAnsi="宋体" w:eastAsia="宋体" w:cs="宋体"/>
          <w:sz w:val="32"/>
          <w:szCs w:val="22"/>
        </w:rPr>
      </w:pPr>
      <w:r>
        <w:rPr>
          <w:rFonts w:hint="eastAsia" w:ascii="宋体" w:hAnsi="宋体" w:eastAsia="宋体" w:cs="宋体"/>
          <w:sz w:val="32"/>
        </w:rPr>
        <w:t>代理机构编号：QC25C0039</w:t>
      </w:r>
    </w:p>
    <w:p w14:paraId="5B054544">
      <w:pPr>
        <w:pStyle w:val="24"/>
        <w:spacing w:line="500" w:lineRule="exact"/>
        <w:ind w:left="3198" w:leftChars="342" w:hanging="2240" w:hangingChars="700"/>
        <w:rPr>
          <w:rFonts w:hint="eastAsia" w:ascii="宋体" w:hAnsi="宋体" w:eastAsia="宋体" w:cs="宋体"/>
          <w:spacing w:val="-6"/>
          <w:sz w:val="32"/>
          <w:szCs w:val="22"/>
        </w:rPr>
      </w:pPr>
      <w:r>
        <w:rPr>
          <w:rFonts w:hint="eastAsia" w:ascii="宋体" w:hAnsi="宋体" w:eastAsia="宋体" w:cs="宋体"/>
          <w:sz w:val="32"/>
          <w:szCs w:val="22"/>
        </w:rPr>
        <w:t>采购项目名称：</w:t>
      </w:r>
      <w:r>
        <w:rPr>
          <w:rFonts w:hint="eastAsia" w:ascii="宋体" w:hAnsi="宋体" w:cs="宋体"/>
          <w:spacing w:val="-6"/>
          <w:sz w:val="32"/>
          <w:szCs w:val="22"/>
          <w:lang w:eastAsia="zh-CN"/>
        </w:rPr>
        <w:t>2025年重庆市大渡口区食品安全抽检服务（第二次）</w:t>
      </w:r>
    </w:p>
    <w:p w14:paraId="17DB0C41">
      <w:pPr>
        <w:spacing w:line="500" w:lineRule="exact"/>
        <w:outlineLvl w:val="0"/>
        <w:rPr>
          <w:rFonts w:hint="eastAsia" w:ascii="宋体" w:hAnsi="宋体" w:eastAsia="宋体" w:cs="宋体"/>
          <w:sz w:val="32"/>
        </w:rPr>
      </w:pPr>
    </w:p>
    <w:p w14:paraId="18BB1940">
      <w:pPr>
        <w:rPr>
          <w:rFonts w:hint="eastAsia" w:ascii="宋体" w:hAnsi="宋体" w:eastAsia="宋体" w:cs="宋体"/>
        </w:rPr>
      </w:pPr>
    </w:p>
    <w:p w14:paraId="44657543">
      <w:pPr>
        <w:pStyle w:val="84"/>
        <w:rPr>
          <w:rFonts w:hint="eastAsia" w:ascii="宋体" w:hAnsi="宋体" w:eastAsia="宋体" w:cs="宋体"/>
        </w:rPr>
      </w:pPr>
    </w:p>
    <w:p w14:paraId="40F4AA48">
      <w:pPr>
        <w:pStyle w:val="84"/>
        <w:rPr>
          <w:rFonts w:hint="eastAsia" w:ascii="宋体" w:hAnsi="宋体" w:eastAsia="宋体" w:cs="宋体"/>
        </w:rPr>
      </w:pPr>
    </w:p>
    <w:p w14:paraId="4FF9F8ED">
      <w:pPr>
        <w:pStyle w:val="84"/>
        <w:rPr>
          <w:rFonts w:hint="eastAsia" w:ascii="宋体" w:hAnsi="宋体" w:eastAsia="宋体" w:cs="宋体"/>
        </w:rPr>
      </w:pPr>
    </w:p>
    <w:p w14:paraId="4EBE9248">
      <w:pPr>
        <w:pStyle w:val="84"/>
        <w:rPr>
          <w:rFonts w:hint="eastAsia" w:ascii="宋体" w:hAnsi="宋体" w:eastAsia="宋体" w:cs="宋体"/>
        </w:rPr>
      </w:pPr>
    </w:p>
    <w:p w14:paraId="38A8EB63">
      <w:pPr>
        <w:pStyle w:val="84"/>
        <w:rPr>
          <w:rFonts w:hint="eastAsia" w:ascii="宋体" w:hAnsi="宋体" w:eastAsia="宋体" w:cs="宋体"/>
          <w:lang w:val="en-US" w:eastAsia="zh-CN"/>
        </w:rPr>
      </w:pPr>
    </w:p>
    <w:p w14:paraId="3962385B">
      <w:pPr>
        <w:pStyle w:val="84"/>
        <w:rPr>
          <w:rFonts w:hint="eastAsia" w:ascii="宋体" w:hAnsi="宋体" w:eastAsia="宋体" w:cs="宋体"/>
          <w:lang w:val="en-US" w:eastAsia="zh-CN"/>
        </w:rPr>
      </w:pPr>
    </w:p>
    <w:p w14:paraId="553771A3">
      <w:pPr>
        <w:pStyle w:val="84"/>
        <w:rPr>
          <w:rFonts w:hint="eastAsia" w:ascii="宋体" w:hAnsi="宋体" w:eastAsia="宋体" w:cs="宋体"/>
          <w:lang w:val="en-US" w:eastAsia="zh-CN"/>
        </w:rPr>
      </w:pPr>
    </w:p>
    <w:p w14:paraId="5B7A7FBA">
      <w:pPr>
        <w:rPr>
          <w:rFonts w:hint="eastAsia" w:ascii="宋体" w:hAnsi="宋体" w:eastAsia="宋体" w:cs="宋体"/>
        </w:rPr>
      </w:pPr>
    </w:p>
    <w:p w14:paraId="4A293396">
      <w:pPr>
        <w:pStyle w:val="24"/>
        <w:spacing w:line="500" w:lineRule="exact"/>
        <w:rPr>
          <w:rFonts w:hint="eastAsia" w:ascii="宋体" w:hAnsi="宋体" w:eastAsia="宋体" w:cs="宋体"/>
          <w:sz w:val="32"/>
          <w:szCs w:val="22"/>
        </w:rPr>
      </w:pPr>
      <w:r>
        <w:rPr>
          <w:rFonts w:hint="eastAsia" w:ascii="宋体" w:hAnsi="宋体" w:eastAsia="宋体" w:cs="宋体"/>
          <w:sz w:val="32"/>
          <w:szCs w:val="22"/>
        </w:rPr>
        <w:t>采购人：重庆市大渡口区市场监督管理局</w:t>
      </w:r>
    </w:p>
    <w:p w14:paraId="711F32B2">
      <w:pPr>
        <w:pStyle w:val="24"/>
        <w:spacing w:line="500" w:lineRule="exact"/>
        <w:rPr>
          <w:rFonts w:hint="eastAsia" w:ascii="宋体" w:hAnsi="宋体" w:eastAsia="宋体" w:cs="宋体"/>
          <w:sz w:val="32"/>
          <w:szCs w:val="22"/>
        </w:rPr>
      </w:pPr>
      <w:r>
        <w:rPr>
          <w:rFonts w:hint="eastAsia" w:ascii="宋体" w:hAnsi="宋体" w:eastAsia="宋体" w:cs="宋体"/>
          <w:sz w:val="32"/>
          <w:szCs w:val="22"/>
        </w:rPr>
        <w:t>采购代理机构：中渝招标代理重庆有限公司</w:t>
      </w:r>
    </w:p>
    <w:p w14:paraId="1FB48711">
      <w:pPr>
        <w:rPr>
          <w:rFonts w:hint="eastAsia" w:ascii="宋体" w:hAnsi="宋体" w:eastAsia="宋体" w:cs="宋体"/>
        </w:rPr>
      </w:pPr>
    </w:p>
    <w:p w14:paraId="20FC93AE">
      <w:pPr>
        <w:rPr>
          <w:rFonts w:hint="eastAsia" w:ascii="宋体" w:hAnsi="宋体" w:eastAsia="宋体" w:cs="宋体"/>
        </w:rPr>
      </w:pPr>
    </w:p>
    <w:p w14:paraId="171066C2">
      <w:pPr>
        <w:rPr>
          <w:rFonts w:hint="eastAsia" w:ascii="宋体" w:hAnsi="宋体" w:eastAsia="宋体" w:cs="宋体"/>
        </w:rPr>
      </w:pPr>
    </w:p>
    <w:p w14:paraId="7911175A">
      <w:pPr>
        <w:snapToGrid w:val="0"/>
        <w:spacing w:line="500" w:lineRule="exact"/>
        <w:jc w:val="center"/>
        <w:rPr>
          <w:rFonts w:hint="eastAsia" w:ascii="宋体" w:hAnsi="宋体" w:eastAsia="宋体" w:cs="宋体"/>
          <w:sz w:val="44"/>
          <w:szCs w:val="28"/>
        </w:rPr>
      </w:pPr>
      <w:r>
        <w:rPr>
          <w:rFonts w:hint="eastAsia" w:ascii="宋体" w:hAnsi="宋体" w:eastAsia="宋体" w:cs="宋体"/>
          <w:sz w:val="32"/>
          <w:szCs w:val="32"/>
        </w:rPr>
        <w:t>二〇二</w:t>
      </w:r>
      <w:r>
        <w:rPr>
          <w:rFonts w:hint="eastAsia" w:ascii="宋体" w:hAnsi="宋体" w:eastAsia="宋体" w:cs="宋体"/>
          <w:sz w:val="32"/>
          <w:szCs w:val="32"/>
          <w:lang w:eastAsia="zh-CN"/>
        </w:rPr>
        <w:t>五</w:t>
      </w:r>
      <w:r>
        <w:rPr>
          <w:rFonts w:hint="eastAsia" w:ascii="宋体" w:hAnsi="宋体" w:eastAsia="宋体" w:cs="宋体"/>
          <w:sz w:val="32"/>
          <w:szCs w:val="32"/>
        </w:rPr>
        <w:t>年</w:t>
      </w:r>
      <w:r>
        <w:rPr>
          <w:rFonts w:hint="eastAsia" w:ascii="宋体" w:hAnsi="宋体" w:cs="宋体"/>
          <w:sz w:val="32"/>
          <w:szCs w:val="32"/>
          <w:lang w:eastAsia="zh-CN"/>
        </w:rPr>
        <w:t>四</w:t>
      </w:r>
      <w:r>
        <w:rPr>
          <w:rFonts w:hint="eastAsia" w:ascii="宋体" w:hAnsi="宋体" w:eastAsia="宋体" w:cs="宋体"/>
          <w:sz w:val="32"/>
          <w:szCs w:val="32"/>
        </w:rPr>
        <w:t>月</w:t>
      </w:r>
    </w:p>
    <w:p w14:paraId="034608BF">
      <w:pPr>
        <w:spacing w:line="480" w:lineRule="exact"/>
        <w:jc w:val="center"/>
        <w:outlineLvl w:val="0"/>
        <w:rPr>
          <w:rFonts w:hint="eastAsia" w:ascii="宋体" w:hAnsi="宋体" w:eastAsia="宋体" w:cs="宋体"/>
          <w:sz w:val="44"/>
          <w:szCs w:val="28"/>
        </w:rPr>
      </w:pPr>
      <w:r>
        <w:rPr>
          <w:rFonts w:hint="eastAsia" w:ascii="宋体" w:hAnsi="宋体" w:eastAsia="宋体" w:cs="宋体"/>
          <w:sz w:val="44"/>
          <w:szCs w:val="28"/>
        </w:rPr>
        <w:t>目   录</w:t>
      </w:r>
    </w:p>
    <w:p w14:paraId="46D9EDB5">
      <w:pPr>
        <w:pStyle w:val="48"/>
        <w:tabs>
          <w:tab w:val="right" w:leader="dot" w:pos="9412"/>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w:instrText>
      </w:r>
      <w:r>
        <w:rPr>
          <w:rFonts w:hint="eastAsia" w:ascii="宋体" w:hAnsi="宋体" w:eastAsia="宋体" w:cs="宋体"/>
          <w:sz w:val="24"/>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_Toc21460 </w:instrText>
      </w:r>
      <w:r>
        <w:rPr>
          <w:rFonts w:hint="eastAsia" w:ascii="宋体" w:hAnsi="宋体" w:eastAsia="宋体" w:cs="宋体"/>
          <w:szCs w:val="24"/>
        </w:rPr>
        <w:fldChar w:fldCharType="separate"/>
      </w:r>
      <w:r>
        <w:rPr>
          <w:rFonts w:hint="eastAsia" w:ascii="宋体" w:hAnsi="宋体" w:eastAsia="宋体" w:cs="宋体"/>
          <w:szCs w:val="30"/>
        </w:rPr>
        <w:t>第一篇  采购邀请书</w:t>
      </w:r>
      <w:r>
        <w:tab/>
      </w:r>
      <w:r>
        <w:fldChar w:fldCharType="begin"/>
      </w:r>
      <w:r>
        <w:instrText xml:space="preserve"> PAGEREF _Toc21460 \h </w:instrText>
      </w:r>
      <w:r>
        <w:fldChar w:fldCharType="separate"/>
      </w:r>
      <w:r>
        <w:t>- 4 -</w:t>
      </w:r>
      <w:r>
        <w:fldChar w:fldCharType="end"/>
      </w:r>
      <w:r>
        <w:rPr>
          <w:rFonts w:hint="eastAsia" w:ascii="宋体" w:hAnsi="宋体" w:eastAsia="宋体" w:cs="宋体"/>
          <w:szCs w:val="24"/>
        </w:rPr>
        <w:fldChar w:fldCharType="end"/>
      </w:r>
    </w:p>
    <w:p w14:paraId="7614E016">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_Toc28642 </w:instrText>
      </w:r>
      <w:r>
        <w:rPr>
          <w:rFonts w:hint="eastAsia" w:ascii="宋体" w:hAnsi="宋体" w:eastAsia="宋体" w:cs="宋体"/>
          <w:szCs w:val="24"/>
        </w:rPr>
        <w:fldChar w:fldCharType="separate"/>
      </w:r>
      <w:r>
        <w:rPr>
          <w:rFonts w:hint="eastAsia" w:ascii="宋体" w:hAnsi="宋体" w:eastAsia="宋体" w:cs="宋体"/>
          <w:szCs w:val="24"/>
        </w:rPr>
        <w:t>一、竞争性磋商内容</w:t>
      </w:r>
      <w:r>
        <w:tab/>
      </w:r>
      <w:r>
        <w:fldChar w:fldCharType="begin"/>
      </w:r>
      <w:r>
        <w:instrText xml:space="preserve"> PAGEREF _Toc28642 \h </w:instrText>
      </w:r>
      <w:r>
        <w:fldChar w:fldCharType="separate"/>
      </w:r>
      <w:r>
        <w:t>- 4 -</w:t>
      </w:r>
      <w:r>
        <w:fldChar w:fldCharType="end"/>
      </w:r>
      <w:r>
        <w:rPr>
          <w:rFonts w:hint="eastAsia" w:ascii="宋体" w:hAnsi="宋体" w:eastAsia="宋体" w:cs="宋体"/>
          <w:szCs w:val="24"/>
        </w:rPr>
        <w:fldChar w:fldCharType="end"/>
      </w:r>
    </w:p>
    <w:p w14:paraId="61CA779D">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_Toc21964 </w:instrText>
      </w:r>
      <w:r>
        <w:rPr>
          <w:rFonts w:hint="eastAsia" w:ascii="宋体" w:hAnsi="宋体" w:eastAsia="宋体" w:cs="宋体"/>
          <w:szCs w:val="24"/>
        </w:rPr>
        <w:fldChar w:fldCharType="separate"/>
      </w:r>
      <w:r>
        <w:rPr>
          <w:rFonts w:hint="eastAsia" w:ascii="宋体" w:hAnsi="宋体" w:eastAsia="宋体" w:cs="宋体"/>
          <w:szCs w:val="24"/>
        </w:rPr>
        <w:t>二、资金来源</w:t>
      </w:r>
      <w:r>
        <w:tab/>
      </w:r>
      <w:r>
        <w:fldChar w:fldCharType="begin"/>
      </w:r>
      <w:r>
        <w:instrText xml:space="preserve"> PAGEREF _Toc21964 \h </w:instrText>
      </w:r>
      <w:r>
        <w:fldChar w:fldCharType="separate"/>
      </w:r>
      <w:r>
        <w:t>- 4 -</w:t>
      </w:r>
      <w:r>
        <w:fldChar w:fldCharType="end"/>
      </w:r>
      <w:r>
        <w:rPr>
          <w:rFonts w:hint="eastAsia" w:ascii="宋体" w:hAnsi="宋体" w:eastAsia="宋体" w:cs="宋体"/>
          <w:szCs w:val="24"/>
        </w:rPr>
        <w:fldChar w:fldCharType="end"/>
      </w:r>
    </w:p>
    <w:p w14:paraId="4B75EF52">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_Toc15872 </w:instrText>
      </w:r>
      <w:r>
        <w:rPr>
          <w:rFonts w:hint="eastAsia" w:ascii="宋体" w:hAnsi="宋体" w:eastAsia="宋体" w:cs="宋体"/>
          <w:szCs w:val="24"/>
        </w:rPr>
        <w:fldChar w:fldCharType="separate"/>
      </w:r>
      <w:r>
        <w:rPr>
          <w:rFonts w:hint="eastAsia" w:ascii="宋体" w:hAnsi="宋体" w:eastAsia="宋体" w:cs="宋体"/>
          <w:szCs w:val="24"/>
        </w:rPr>
        <w:t>三、供应商资格条件</w:t>
      </w:r>
      <w:r>
        <w:tab/>
      </w:r>
      <w:r>
        <w:fldChar w:fldCharType="begin"/>
      </w:r>
      <w:r>
        <w:instrText xml:space="preserve"> PAGEREF _Toc15872 \h </w:instrText>
      </w:r>
      <w:r>
        <w:fldChar w:fldCharType="separate"/>
      </w:r>
      <w:r>
        <w:t>- 4 -</w:t>
      </w:r>
      <w:r>
        <w:fldChar w:fldCharType="end"/>
      </w:r>
      <w:r>
        <w:rPr>
          <w:rFonts w:hint="eastAsia" w:ascii="宋体" w:hAnsi="宋体" w:eastAsia="宋体" w:cs="宋体"/>
          <w:szCs w:val="24"/>
        </w:rPr>
        <w:fldChar w:fldCharType="end"/>
      </w:r>
    </w:p>
    <w:p w14:paraId="6DCF9F30">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_Toc7930 </w:instrText>
      </w:r>
      <w:r>
        <w:rPr>
          <w:rFonts w:hint="eastAsia" w:ascii="宋体" w:hAnsi="宋体" w:eastAsia="宋体" w:cs="宋体"/>
          <w:szCs w:val="24"/>
        </w:rPr>
        <w:fldChar w:fldCharType="separate"/>
      </w:r>
      <w:r>
        <w:rPr>
          <w:rFonts w:hint="eastAsia" w:ascii="宋体" w:hAnsi="宋体" w:eastAsia="宋体" w:cs="宋体"/>
          <w:szCs w:val="24"/>
        </w:rPr>
        <w:t>四、磋商有关说明</w:t>
      </w:r>
      <w:r>
        <w:tab/>
      </w:r>
      <w:r>
        <w:fldChar w:fldCharType="begin"/>
      </w:r>
      <w:r>
        <w:instrText xml:space="preserve"> PAGEREF _Toc7930 \h </w:instrText>
      </w:r>
      <w:r>
        <w:fldChar w:fldCharType="separate"/>
      </w:r>
      <w:r>
        <w:t>- 4 -</w:t>
      </w:r>
      <w:r>
        <w:fldChar w:fldCharType="end"/>
      </w:r>
      <w:r>
        <w:rPr>
          <w:rFonts w:hint="eastAsia" w:ascii="宋体" w:hAnsi="宋体" w:eastAsia="宋体" w:cs="宋体"/>
          <w:szCs w:val="24"/>
        </w:rPr>
        <w:fldChar w:fldCharType="end"/>
      </w:r>
    </w:p>
    <w:p w14:paraId="0F4FA773">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_Toc14584 </w:instrText>
      </w:r>
      <w:r>
        <w:rPr>
          <w:rFonts w:hint="eastAsia" w:ascii="宋体" w:hAnsi="宋体" w:eastAsia="宋体" w:cs="宋体"/>
          <w:szCs w:val="24"/>
        </w:rPr>
        <w:fldChar w:fldCharType="separate"/>
      </w:r>
      <w:r>
        <w:rPr>
          <w:rFonts w:hint="eastAsia" w:ascii="宋体" w:hAnsi="宋体" w:eastAsia="宋体" w:cs="宋体"/>
          <w:szCs w:val="24"/>
        </w:rPr>
        <w:t>五、磋商保证金</w:t>
      </w:r>
      <w:r>
        <w:tab/>
      </w:r>
      <w:r>
        <w:fldChar w:fldCharType="begin"/>
      </w:r>
      <w:r>
        <w:instrText xml:space="preserve"> PAGEREF _Toc14584 \h </w:instrText>
      </w:r>
      <w:r>
        <w:fldChar w:fldCharType="separate"/>
      </w:r>
      <w:r>
        <w:t>- 5 -</w:t>
      </w:r>
      <w:r>
        <w:fldChar w:fldCharType="end"/>
      </w:r>
      <w:r>
        <w:rPr>
          <w:rFonts w:hint="eastAsia" w:ascii="宋体" w:hAnsi="宋体" w:eastAsia="宋体" w:cs="宋体"/>
          <w:szCs w:val="24"/>
        </w:rPr>
        <w:fldChar w:fldCharType="end"/>
      </w:r>
    </w:p>
    <w:p w14:paraId="2DE51875">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_Toc22314 </w:instrText>
      </w:r>
      <w:r>
        <w:rPr>
          <w:rFonts w:hint="eastAsia" w:ascii="宋体" w:hAnsi="宋体" w:eastAsia="宋体" w:cs="宋体"/>
          <w:szCs w:val="24"/>
        </w:rPr>
        <w:fldChar w:fldCharType="separate"/>
      </w:r>
      <w:r>
        <w:rPr>
          <w:rFonts w:hint="eastAsia" w:ascii="宋体" w:hAnsi="宋体" w:eastAsia="宋体" w:cs="宋体"/>
          <w:szCs w:val="24"/>
        </w:rPr>
        <w:t>六、其它有关规定</w:t>
      </w:r>
      <w:r>
        <w:tab/>
      </w:r>
      <w:r>
        <w:fldChar w:fldCharType="begin"/>
      </w:r>
      <w:r>
        <w:instrText xml:space="preserve"> PAGEREF _Toc22314 \h </w:instrText>
      </w:r>
      <w:r>
        <w:fldChar w:fldCharType="separate"/>
      </w:r>
      <w:r>
        <w:t>- 5 -</w:t>
      </w:r>
      <w:r>
        <w:fldChar w:fldCharType="end"/>
      </w:r>
      <w:r>
        <w:rPr>
          <w:rFonts w:hint="eastAsia" w:ascii="宋体" w:hAnsi="宋体" w:eastAsia="宋体" w:cs="宋体"/>
          <w:szCs w:val="24"/>
        </w:rPr>
        <w:fldChar w:fldCharType="end"/>
      </w:r>
    </w:p>
    <w:p w14:paraId="1F08151E">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_Toc3905 </w:instrText>
      </w:r>
      <w:r>
        <w:rPr>
          <w:rFonts w:hint="eastAsia" w:ascii="宋体" w:hAnsi="宋体" w:eastAsia="宋体" w:cs="宋体"/>
          <w:szCs w:val="24"/>
        </w:rPr>
        <w:fldChar w:fldCharType="separate"/>
      </w:r>
      <w:r>
        <w:rPr>
          <w:rFonts w:hint="eastAsia" w:ascii="宋体" w:hAnsi="宋体" w:eastAsia="宋体" w:cs="宋体"/>
          <w:szCs w:val="24"/>
        </w:rPr>
        <w:t>七、联系方式</w:t>
      </w:r>
      <w:r>
        <w:tab/>
      </w:r>
      <w:r>
        <w:fldChar w:fldCharType="begin"/>
      </w:r>
      <w:r>
        <w:instrText xml:space="preserve"> PAGEREF _Toc3905 \h </w:instrText>
      </w:r>
      <w:r>
        <w:fldChar w:fldCharType="separate"/>
      </w:r>
      <w:r>
        <w:t>- 6 -</w:t>
      </w:r>
      <w:r>
        <w:fldChar w:fldCharType="end"/>
      </w:r>
      <w:r>
        <w:rPr>
          <w:rFonts w:hint="eastAsia" w:ascii="宋体" w:hAnsi="宋体" w:eastAsia="宋体" w:cs="宋体"/>
          <w:szCs w:val="24"/>
        </w:rPr>
        <w:fldChar w:fldCharType="end"/>
      </w:r>
    </w:p>
    <w:p w14:paraId="23B20197">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_Toc26984 </w:instrText>
      </w:r>
      <w:r>
        <w:rPr>
          <w:rFonts w:hint="eastAsia" w:ascii="宋体" w:hAnsi="宋体" w:eastAsia="宋体" w:cs="宋体"/>
          <w:szCs w:val="24"/>
        </w:rPr>
        <w:fldChar w:fldCharType="separate"/>
      </w:r>
      <w:r>
        <w:rPr>
          <w:rFonts w:hint="eastAsia" w:ascii="宋体" w:hAnsi="宋体" w:eastAsia="宋体" w:cs="宋体"/>
          <w:szCs w:val="30"/>
        </w:rPr>
        <w:t>第二篇  磋商项目技术需求</w:t>
      </w:r>
      <w:r>
        <w:tab/>
      </w:r>
      <w:r>
        <w:fldChar w:fldCharType="begin"/>
      </w:r>
      <w:r>
        <w:instrText xml:space="preserve"> PAGEREF _Toc26984 \h </w:instrText>
      </w:r>
      <w:r>
        <w:fldChar w:fldCharType="separate"/>
      </w:r>
      <w:r>
        <w:t>- 7 -</w:t>
      </w:r>
      <w:r>
        <w:fldChar w:fldCharType="end"/>
      </w:r>
      <w:r>
        <w:rPr>
          <w:rFonts w:hint="eastAsia" w:ascii="宋体" w:hAnsi="宋体" w:eastAsia="宋体" w:cs="宋体"/>
          <w:szCs w:val="24"/>
        </w:rPr>
        <w:fldChar w:fldCharType="end"/>
      </w:r>
    </w:p>
    <w:p w14:paraId="67BDF691">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_Toc25693 </w:instrText>
      </w:r>
      <w:r>
        <w:rPr>
          <w:rFonts w:hint="eastAsia" w:ascii="宋体" w:hAnsi="宋体" w:eastAsia="宋体" w:cs="宋体"/>
          <w:szCs w:val="24"/>
        </w:rPr>
        <w:fldChar w:fldCharType="separate"/>
      </w:r>
      <w:r>
        <w:rPr>
          <w:rFonts w:hint="eastAsia" w:ascii="宋体" w:hAnsi="宋体" w:eastAsia="宋体" w:cs="宋体"/>
          <w:szCs w:val="24"/>
        </w:rPr>
        <w:t>一、采购项目一览表</w:t>
      </w:r>
      <w:r>
        <w:tab/>
      </w:r>
      <w:r>
        <w:fldChar w:fldCharType="begin"/>
      </w:r>
      <w:r>
        <w:instrText xml:space="preserve"> PAGEREF _Toc25693 \h </w:instrText>
      </w:r>
      <w:r>
        <w:fldChar w:fldCharType="separate"/>
      </w:r>
      <w:r>
        <w:t>- 7 -</w:t>
      </w:r>
      <w:r>
        <w:fldChar w:fldCharType="end"/>
      </w:r>
      <w:r>
        <w:rPr>
          <w:rFonts w:hint="eastAsia" w:ascii="宋体" w:hAnsi="宋体" w:eastAsia="宋体" w:cs="宋体"/>
          <w:szCs w:val="24"/>
        </w:rPr>
        <w:fldChar w:fldCharType="end"/>
      </w:r>
    </w:p>
    <w:p w14:paraId="4A547E31">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_Toc25904 </w:instrText>
      </w:r>
      <w:r>
        <w:rPr>
          <w:rFonts w:hint="eastAsia" w:ascii="宋体" w:hAnsi="宋体" w:eastAsia="宋体" w:cs="宋体"/>
          <w:szCs w:val="24"/>
        </w:rPr>
        <w:fldChar w:fldCharType="separate"/>
      </w:r>
      <w:r>
        <w:rPr>
          <w:rFonts w:hint="eastAsia" w:ascii="宋体" w:hAnsi="宋体" w:eastAsia="宋体" w:cs="宋体"/>
          <w:szCs w:val="24"/>
        </w:rPr>
        <w:t>二、服务质量及要求</w:t>
      </w:r>
      <w:r>
        <w:tab/>
      </w:r>
      <w:r>
        <w:fldChar w:fldCharType="begin"/>
      </w:r>
      <w:r>
        <w:instrText xml:space="preserve"> PAGEREF _Toc25904 \h </w:instrText>
      </w:r>
      <w:r>
        <w:fldChar w:fldCharType="separate"/>
      </w:r>
      <w:r>
        <w:t>- 7 -</w:t>
      </w:r>
      <w:r>
        <w:fldChar w:fldCharType="end"/>
      </w:r>
      <w:r>
        <w:rPr>
          <w:rFonts w:hint="eastAsia" w:ascii="宋体" w:hAnsi="宋体" w:eastAsia="宋体" w:cs="宋体"/>
          <w:szCs w:val="24"/>
        </w:rPr>
        <w:fldChar w:fldCharType="end"/>
      </w:r>
    </w:p>
    <w:p w14:paraId="4A9F04A6">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_Toc9175 </w:instrText>
      </w:r>
      <w:r>
        <w:rPr>
          <w:rFonts w:hint="eastAsia" w:ascii="宋体" w:hAnsi="宋体" w:eastAsia="宋体" w:cs="宋体"/>
          <w:szCs w:val="24"/>
        </w:rPr>
        <w:fldChar w:fldCharType="separate"/>
      </w:r>
      <w:r>
        <w:rPr>
          <w:rFonts w:hint="eastAsia" w:ascii="宋体" w:hAnsi="宋体" w:eastAsia="宋体" w:cs="宋体"/>
          <w:szCs w:val="24"/>
          <w:lang w:eastAsia="zh-CN"/>
        </w:rPr>
        <w:t>三、</w:t>
      </w:r>
      <w:r>
        <w:rPr>
          <w:rFonts w:hint="eastAsia" w:ascii="宋体" w:hAnsi="宋体" w:eastAsia="宋体" w:cs="宋体"/>
          <w:szCs w:val="24"/>
        </w:rPr>
        <w:t>检测</w:t>
      </w:r>
      <w:r>
        <w:rPr>
          <w:rFonts w:hint="eastAsia" w:ascii="宋体" w:hAnsi="宋体" w:eastAsia="宋体" w:cs="宋体"/>
          <w:szCs w:val="24"/>
          <w:lang w:eastAsia="zh-CN"/>
        </w:rPr>
        <w:t>品种及</w:t>
      </w:r>
      <w:r>
        <w:rPr>
          <w:rFonts w:hint="eastAsia" w:ascii="宋体" w:hAnsi="宋体" w:eastAsia="宋体" w:cs="宋体"/>
          <w:szCs w:val="24"/>
        </w:rPr>
        <w:t>指标要求</w:t>
      </w:r>
      <w:r>
        <w:tab/>
      </w:r>
      <w:r>
        <w:fldChar w:fldCharType="begin"/>
      </w:r>
      <w:r>
        <w:instrText xml:space="preserve"> PAGEREF _Toc9175 \h </w:instrText>
      </w:r>
      <w:r>
        <w:fldChar w:fldCharType="separate"/>
      </w:r>
      <w:r>
        <w:t>- 8 -</w:t>
      </w:r>
      <w:r>
        <w:fldChar w:fldCharType="end"/>
      </w:r>
      <w:r>
        <w:rPr>
          <w:rFonts w:hint="eastAsia" w:ascii="宋体" w:hAnsi="宋体" w:eastAsia="宋体" w:cs="宋体"/>
          <w:szCs w:val="24"/>
        </w:rPr>
        <w:fldChar w:fldCharType="end"/>
      </w:r>
    </w:p>
    <w:p w14:paraId="6FEB56D0">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_Toc8688 </w:instrText>
      </w:r>
      <w:r>
        <w:rPr>
          <w:rFonts w:hint="eastAsia" w:ascii="宋体" w:hAnsi="宋体" w:eastAsia="宋体" w:cs="宋体"/>
          <w:szCs w:val="24"/>
        </w:rPr>
        <w:fldChar w:fldCharType="separate"/>
      </w:r>
      <w:r>
        <w:rPr>
          <w:rFonts w:hint="eastAsia" w:ascii="宋体" w:hAnsi="宋体" w:eastAsia="宋体" w:cs="宋体"/>
          <w:szCs w:val="24"/>
        </w:rPr>
        <w:t>四、组织实施要求</w:t>
      </w:r>
      <w:r>
        <w:tab/>
      </w:r>
      <w:r>
        <w:fldChar w:fldCharType="begin"/>
      </w:r>
      <w:r>
        <w:instrText xml:space="preserve"> PAGEREF _Toc8688 \h </w:instrText>
      </w:r>
      <w:r>
        <w:fldChar w:fldCharType="separate"/>
      </w:r>
      <w:r>
        <w:t>- 17 -</w:t>
      </w:r>
      <w:r>
        <w:fldChar w:fldCharType="end"/>
      </w:r>
      <w:r>
        <w:rPr>
          <w:rFonts w:hint="eastAsia" w:ascii="宋体" w:hAnsi="宋体" w:eastAsia="宋体" w:cs="宋体"/>
          <w:szCs w:val="24"/>
        </w:rPr>
        <w:fldChar w:fldCharType="end"/>
      </w:r>
    </w:p>
    <w:p w14:paraId="45141AF3">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_Toc16682 </w:instrText>
      </w:r>
      <w:r>
        <w:rPr>
          <w:rFonts w:hint="eastAsia" w:ascii="宋体" w:hAnsi="宋体" w:eastAsia="宋体" w:cs="宋体"/>
          <w:szCs w:val="24"/>
        </w:rPr>
        <w:fldChar w:fldCharType="separate"/>
      </w:r>
      <w:r>
        <w:rPr>
          <w:rFonts w:hint="eastAsia" w:ascii="宋体" w:hAnsi="宋体" w:eastAsia="宋体" w:cs="宋体"/>
          <w:szCs w:val="30"/>
        </w:rPr>
        <w:t>第</w:t>
      </w:r>
      <w:r>
        <w:rPr>
          <w:rFonts w:hint="eastAsia" w:ascii="宋体" w:hAnsi="宋体" w:eastAsia="宋体" w:cs="宋体"/>
          <w:szCs w:val="30"/>
          <w:lang w:eastAsia="zh-CN"/>
        </w:rPr>
        <w:t>三</w:t>
      </w:r>
      <w:r>
        <w:rPr>
          <w:rFonts w:hint="eastAsia" w:ascii="宋体" w:hAnsi="宋体" w:eastAsia="宋体" w:cs="宋体"/>
          <w:szCs w:val="30"/>
        </w:rPr>
        <w:t>篇  磋商</w:t>
      </w:r>
      <w:r>
        <w:rPr>
          <w:rFonts w:hint="eastAsia" w:ascii="宋体" w:hAnsi="宋体" w:eastAsia="宋体" w:cs="宋体"/>
          <w:szCs w:val="30"/>
          <w:lang w:eastAsia="zh-CN"/>
        </w:rPr>
        <w:t>项目商务需求</w:t>
      </w:r>
      <w:r>
        <w:tab/>
      </w:r>
      <w:r>
        <w:fldChar w:fldCharType="begin"/>
      </w:r>
      <w:r>
        <w:instrText xml:space="preserve"> PAGEREF _Toc16682 \h </w:instrText>
      </w:r>
      <w:r>
        <w:fldChar w:fldCharType="separate"/>
      </w:r>
      <w:r>
        <w:t>- 18 -</w:t>
      </w:r>
      <w:r>
        <w:fldChar w:fldCharType="end"/>
      </w:r>
      <w:r>
        <w:rPr>
          <w:rFonts w:hint="eastAsia" w:ascii="宋体" w:hAnsi="宋体" w:eastAsia="宋体" w:cs="宋体"/>
          <w:szCs w:val="24"/>
        </w:rPr>
        <w:fldChar w:fldCharType="end"/>
      </w:r>
    </w:p>
    <w:p w14:paraId="0EFA94BB">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_Toc32732 </w:instrText>
      </w:r>
      <w:r>
        <w:rPr>
          <w:rFonts w:hint="eastAsia" w:ascii="宋体" w:hAnsi="宋体" w:eastAsia="宋体" w:cs="宋体"/>
          <w:szCs w:val="24"/>
        </w:rPr>
        <w:fldChar w:fldCharType="separate"/>
      </w:r>
      <w:r>
        <w:rPr>
          <w:rFonts w:hint="eastAsia" w:ascii="宋体" w:hAnsi="宋体" w:eastAsia="宋体" w:cs="宋体"/>
          <w:szCs w:val="24"/>
        </w:rPr>
        <w:t>一、服务时间、地点及验收方式</w:t>
      </w:r>
      <w:r>
        <w:tab/>
      </w:r>
      <w:r>
        <w:fldChar w:fldCharType="begin"/>
      </w:r>
      <w:r>
        <w:instrText xml:space="preserve"> PAGEREF _Toc32732 \h </w:instrText>
      </w:r>
      <w:r>
        <w:fldChar w:fldCharType="separate"/>
      </w:r>
      <w:r>
        <w:t>- 18 -</w:t>
      </w:r>
      <w:r>
        <w:fldChar w:fldCharType="end"/>
      </w:r>
      <w:r>
        <w:rPr>
          <w:rFonts w:hint="eastAsia" w:ascii="宋体" w:hAnsi="宋体" w:eastAsia="宋体" w:cs="宋体"/>
          <w:szCs w:val="24"/>
        </w:rPr>
        <w:fldChar w:fldCharType="end"/>
      </w:r>
    </w:p>
    <w:p w14:paraId="0424BEF5">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_Toc29654 </w:instrText>
      </w:r>
      <w:r>
        <w:rPr>
          <w:rFonts w:hint="eastAsia" w:ascii="宋体" w:hAnsi="宋体" w:eastAsia="宋体" w:cs="宋体"/>
          <w:szCs w:val="24"/>
        </w:rPr>
        <w:fldChar w:fldCharType="separate"/>
      </w:r>
      <w:r>
        <w:rPr>
          <w:rFonts w:hint="eastAsia" w:ascii="宋体" w:hAnsi="宋体" w:eastAsia="宋体" w:cs="宋体"/>
          <w:szCs w:val="24"/>
        </w:rPr>
        <w:t>二、报价方式</w:t>
      </w:r>
      <w:r>
        <w:tab/>
      </w:r>
      <w:r>
        <w:fldChar w:fldCharType="begin"/>
      </w:r>
      <w:r>
        <w:instrText xml:space="preserve"> PAGEREF _Toc29654 \h </w:instrText>
      </w:r>
      <w:r>
        <w:fldChar w:fldCharType="separate"/>
      </w:r>
      <w:r>
        <w:t>- 18 -</w:t>
      </w:r>
      <w:r>
        <w:fldChar w:fldCharType="end"/>
      </w:r>
      <w:r>
        <w:rPr>
          <w:rFonts w:hint="eastAsia" w:ascii="宋体" w:hAnsi="宋体" w:eastAsia="宋体" w:cs="宋体"/>
          <w:szCs w:val="24"/>
        </w:rPr>
        <w:fldChar w:fldCharType="end"/>
      </w:r>
    </w:p>
    <w:p w14:paraId="4FDAE500">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_Toc14374 </w:instrText>
      </w:r>
      <w:r>
        <w:rPr>
          <w:rFonts w:hint="eastAsia" w:ascii="宋体" w:hAnsi="宋体" w:eastAsia="宋体" w:cs="宋体"/>
          <w:szCs w:val="24"/>
        </w:rPr>
        <w:fldChar w:fldCharType="separate"/>
      </w:r>
      <w:r>
        <w:rPr>
          <w:rFonts w:hint="eastAsia" w:ascii="宋体" w:hAnsi="宋体" w:eastAsia="宋体" w:cs="宋体"/>
          <w:szCs w:val="24"/>
        </w:rPr>
        <w:t>三、质保要求</w:t>
      </w:r>
      <w:r>
        <w:tab/>
      </w:r>
      <w:r>
        <w:fldChar w:fldCharType="begin"/>
      </w:r>
      <w:r>
        <w:instrText xml:space="preserve"> PAGEREF _Toc14374 \h </w:instrText>
      </w:r>
      <w:r>
        <w:fldChar w:fldCharType="separate"/>
      </w:r>
      <w:r>
        <w:t>- 18 -</w:t>
      </w:r>
      <w:r>
        <w:fldChar w:fldCharType="end"/>
      </w:r>
      <w:r>
        <w:rPr>
          <w:rFonts w:hint="eastAsia" w:ascii="宋体" w:hAnsi="宋体" w:eastAsia="宋体" w:cs="宋体"/>
          <w:szCs w:val="24"/>
        </w:rPr>
        <w:fldChar w:fldCharType="end"/>
      </w:r>
    </w:p>
    <w:p w14:paraId="4387F562">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_Toc14641 </w:instrText>
      </w:r>
      <w:r>
        <w:rPr>
          <w:rFonts w:hint="eastAsia" w:ascii="宋体" w:hAnsi="宋体" w:eastAsia="宋体" w:cs="宋体"/>
          <w:szCs w:val="24"/>
        </w:rPr>
        <w:fldChar w:fldCharType="separate"/>
      </w:r>
      <w:r>
        <w:rPr>
          <w:rFonts w:hint="eastAsia" w:ascii="宋体" w:hAnsi="宋体" w:eastAsia="宋体" w:cs="宋体"/>
          <w:szCs w:val="24"/>
        </w:rPr>
        <w:t>四、履约保证金及付款方式</w:t>
      </w:r>
      <w:r>
        <w:tab/>
      </w:r>
      <w:r>
        <w:fldChar w:fldCharType="begin"/>
      </w:r>
      <w:r>
        <w:instrText xml:space="preserve"> PAGEREF _Toc14641 \h </w:instrText>
      </w:r>
      <w:r>
        <w:fldChar w:fldCharType="separate"/>
      </w:r>
      <w:r>
        <w:t>- 19 -</w:t>
      </w:r>
      <w:r>
        <w:fldChar w:fldCharType="end"/>
      </w:r>
      <w:r>
        <w:rPr>
          <w:rFonts w:hint="eastAsia" w:ascii="宋体" w:hAnsi="宋体" w:eastAsia="宋体" w:cs="宋体"/>
          <w:szCs w:val="24"/>
        </w:rPr>
        <w:fldChar w:fldCharType="end"/>
      </w:r>
    </w:p>
    <w:p w14:paraId="1F4C7C25">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 </w:instrText>
      </w:r>
      <w:r>
        <w:rPr>
          <w:rFonts w:hint="eastAsia" w:ascii="宋体" w:hAnsi="宋体" w:eastAsia="宋体" w:cs="宋体"/>
          <w:szCs w:val="24"/>
        </w:rPr>
        <w:fldChar w:fldCharType="separate"/>
      </w:r>
      <w:r>
        <w:rPr>
          <w:rFonts w:hint="eastAsia" w:ascii="宋体" w:hAnsi="宋体" w:eastAsia="宋体" w:cs="宋体"/>
          <w:szCs w:val="24"/>
        </w:rPr>
        <w:t>五、知识产权</w:t>
      </w:r>
      <w:r>
        <w:tab/>
      </w:r>
      <w:r>
        <w:fldChar w:fldCharType="begin"/>
      </w:r>
      <w:r>
        <w:instrText xml:space="preserve"> PAGEREF _Toc12 \h </w:instrText>
      </w:r>
      <w:r>
        <w:fldChar w:fldCharType="separate"/>
      </w:r>
      <w:r>
        <w:t>- 20 -</w:t>
      </w:r>
      <w:r>
        <w:fldChar w:fldCharType="end"/>
      </w:r>
      <w:r>
        <w:rPr>
          <w:rFonts w:hint="eastAsia" w:ascii="宋体" w:hAnsi="宋体" w:eastAsia="宋体" w:cs="宋体"/>
          <w:szCs w:val="24"/>
        </w:rPr>
        <w:fldChar w:fldCharType="end"/>
      </w:r>
    </w:p>
    <w:p w14:paraId="22272604">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_Toc29113 </w:instrText>
      </w:r>
      <w:r>
        <w:rPr>
          <w:rFonts w:hint="eastAsia" w:ascii="宋体" w:hAnsi="宋体" w:eastAsia="宋体" w:cs="宋体"/>
          <w:szCs w:val="24"/>
        </w:rPr>
        <w:fldChar w:fldCharType="separate"/>
      </w:r>
      <w:r>
        <w:rPr>
          <w:rFonts w:hint="eastAsia" w:ascii="宋体" w:hAnsi="宋体" w:eastAsia="宋体" w:cs="宋体"/>
          <w:szCs w:val="24"/>
        </w:rPr>
        <w:t>六、其他</w:t>
      </w:r>
      <w:r>
        <w:tab/>
      </w:r>
      <w:r>
        <w:fldChar w:fldCharType="begin"/>
      </w:r>
      <w:r>
        <w:instrText xml:space="preserve"> PAGEREF _Toc29113 \h </w:instrText>
      </w:r>
      <w:r>
        <w:fldChar w:fldCharType="separate"/>
      </w:r>
      <w:r>
        <w:t>- 20 -</w:t>
      </w:r>
      <w:r>
        <w:fldChar w:fldCharType="end"/>
      </w:r>
      <w:r>
        <w:rPr>
          <w:rFonts w:hint="eastAsia" w:ascii="宋体" w:hAnsi="宋体" w:eastAsia="宋体" w:cs="宋体"/>
          <w:szCs w:val="24"/>
        </w:rPr>
        <w:fldChar w:fldCharType="end"/>
      </w:r>
    </w:p>
    <w:p w14:paraId="45C378E5">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_Toc7526 </w:instrText>
      </w:r>
      <w:r>
        <w:rPr>
          <w:rFonts w:hint="eastAsia" w:ascii="宋体" w:hAnsi="宋体" w:eastAsia="宋体" w:cs="宋体"/>
          <w:szCs w:val="24"/>
        </w:rPr>
        <w:fldChar w:fldCharType="separate"/>
      </w:r>
      <w:r>
        <w:rPr>
          <w:rFonts w:hint="eastAsia" w:ascii="宋体" w:hAnsi="宋体" w:eastAsia="宋体" w:cs="宋体"/>
          <w:szCs w:val="30"/>
        </w:rPr>
        <w:t>第四篇  磋商程序及方法、评审标准、响应无效和</w:t>
      </w:r>
      <w:r>
        <w:rPr>
          <w:rFonts w:hint="eastAsia" w:ascii="宋体" w:hAnsi="宋体" w:eastAsia="宋体" w:cs="宋体"/>
          <w:szCs w:val="36"/>
        </w:rPr>
        <w:t>采购终止</w:t>
      </w:r>
      <w:r>
        <w:tab/>
      </w:r>
      <w:r>
        <w:fldChar w:fldCharType="begin"/>
      </w:r>
      <w:r>
        <w:instrText xml:space="preserve"> PAGEREF _Toc7526 \h </w:instrText>
      </w:r>
      <w:r>
        <w:fldChar w:fldCharType="separate"/>
      </w:r>
      <w:r>
        <w:t>- 21 -</w:t>
      </w:r>
      <w:r>
        <w:fldChar w:fldCharType="end"/>
      </w:r>
      <w:r>
        <w:rPr>
          <w:rFonts w:hint="eastAsia" w:ascii="宋体" w:hAnsi="宋体" w:eastAsia="宋体" w:cs="宋体"/>
          <w:szCs w:val="24"/>
        </w:rPr>
        <w:fldChar w:fldCharType="end"/>
      </w:r>
    </w:p>
    <w:p w14:paraId="4851F1CA">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_Toc24046 </w:instrText>
      </w:r>
      <w:r>
        <w:rPr>
          <w:rFonts w:hint="eastAsia" w:ascii="宋体" w:hAnsi="宋体" w:eastAsia="宋体" w:cs="宋体"/>
          <w:szCs w:val="24"/>
        </w:rPr>
        <w:fldChar w:fldCharType="separate"/>
      </w:r>
      <w:r>
        <w:rPr>
          <w:rFonts w:hint="eastAsia" w:ascii="宋体" w:hAnsi="宋体" w:eastAsia="宋体" w:cs="宋体"/>
          <w:szCs w:val="24"/>
        </w:rPr>
        <w:t>一、磋商程序及方法</w:t>
      </w:r>
      <w:r>
        <w:tab/>
      </w:r>
      <w:r>
        <w:fldChar w:fldCharType="begin"/>
      </w:r>
      <w:r>
        <w:instrText xml:space="preserve"> PAGEREF _Toc24046 \h </w:instrText>
      </w:r>
      <w:r>
        <w:fldChar w:fldCharType="separate"/>
      </w:r>
      <w:r>
        <w:t>- 21 -</w:t>
      </w:r>
      <w:r>
        <w:fldChar w:fldCharType="end"/>
      </w:r>
      <w:r>
        <w:rPr>
          <w:rFonts w:hint="eastAsia" w:ascii="宋体" w:hAnsi="宋体" w:eastAsia="宋体" w:cs="宋体"/>
          <w:szCs w:val="24"/>
        </w:rPr>
        <w:fldChar w:fldCharType="end"/>
      </w:r>
    </w:p>
    <w:p w14:paraId="5B3A0759">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_Toc16539 </w:instrText>
      </w:r>
      <w:r>
        <w:rPr>
          <w:rFonts w:hint="eastAsia" w:ascii="宋体" w:hAnsi="宋体" w:eastAsia="宋体" w:cs="宋体"/>
          <w:szCs w:val="24"/>
        </w:rPr>
        <w:fldChar w:fldCharType="separate"/>
      </w:r>
      <w:r>
        <w:rPr>
          <w:rFonts w:hint="eastAsia" w:ascii="宋体" w:hAnsi="宋体" w:eastAsia="宋体" w:cs="宋体"/>
          <w:szCs w:val="24"/>
        </w:rPr>
        <w:t>二、评审标准</w:t>
      </w:r>
      <w:r>
        <w:tab/>
      </w:r>
      <w:r>
        <w:fldChar w:fldCharType="begin"/>
      </w:r>
      <w:r>
        <w:instrText xml:space="preserve"> PAGEREF _Toc16539 \h </w:instrText>
      </w:r>
      <w:r>
        <w:fldChar w:fldCharType="separate"/>
      </w:r>
      <w:r>
        <w:t>- 23 -</w:t>
      </w:r>
      <w:r>
        <w:fldChar w:fldCharType="end"/>
      </w:r>
      <w:r>
        <w:rPr>
          <w:rFonts w:hint="eastAsia" w:ascii="宋体" w:hAnsi="宋体" w:eastAsia="宋体" w:cs="宋体"/>
          <w:szCs w:val="24"/>
        </w:rPr>
        <w:fldChar w:fldCharType="end"/>
      </w:r>
    </w:p>
    <w:p w14:paraId="1AB23B3D">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_Toc22297 </w:instrText>
      </w:r>
      <w:r>
        <w:rPr>
          <w:rFonts w:hint="eastAsia" w:ascii="宋体" w:hAnsi="宋体" w:eastAsia="宋体" w:cs="宋体"/>
          <w:szCs w:val="24"/>
        </w:rPr>
        <w:fldChar w:fldCharType="separate"/>
      </w:r>
      <w:r>
        <w:rPr>
          <w:rFonts w:hint="eastAsia" w:ascii="宋体" w:hAnsi="宋体" w:eastAsia="宋体" w:cs="宋体"/>
          <w:szCs w:val="24"/>
        </w:rPr>
        <w:t>三、响应无效</w:t>
      </w:r>
      <w:r>
        <w:tab/>
      </w:r>
      <w:r>
        <w:fldChar w:fldCharType="begin"/>
      </w:r>
      <w:r>
        <w:instrText xml:space="preserve"> PAGEREF _Toc22297 \h </w:instrText>
      </w:r>
      <w:r>
        <w:fldChar w:fldCharType="separate"/>
      </w:r>
      <w:r>
        <w:t>- 26 -</w:t>
      </w:r>
      <w:r>
        <w:fldChar w:fldCharType="end"/>
      </w:r>
      <w:r>
        <w:rPr>
          <w:rFonts w:hint="eastAsia" w:ascii="宋体" w:hAnsi="宋体" w:eastAsia="宋体" w:cs="宋体"/>
          <w:szCs w:val="24"/>
        </w:rPr>
        <w:fldChar w:fldCharType="end"/>
      </w:r>
    </w:p>
    <w:p w14:paraId="35AF1F32">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_Toc16826 </w:instrText>
      </w:r>
      <w:r>
        <w:rPr>
          <w:rFonts w:hint="eastAsia" w:ascii="宋体" w:hAnsi="宋体" w:eastAsia="宋体" w:cs="宋体"/>
          <w:szCs w:val="24"/>
        </w:rPr>
        <w:fldChar w:fldCharType="separate"/>
      </w:r>
      <w:r>
        <w:rPr>
          <w:rFonts w:hint="eastAsia" w:ascii="宋体" w:hAnsi="宋体" w:eastAsia="宋体" w:cs="宋体"/>
          <w:szCs w:val="24"/>
        </w:rPr>
        <w:t>四、采购终止</w:t>
      </w:r>
      <w:r>
        <w:tab/>
      </w:r>
      <w:r>
        <w:fldChar w:fldCharType="begin"/>
      </w:r>
      <w:r>
        <w:instrText xml:space="preserve"> PAGEREF _Toc16826 \h </w:instrText>
      </w:r>
      <w:r>
        <w:fldChar w:fldCharType="separate"/>
      </w:r>
      <w:r>
        <w:t>- 27 -</w:t>
      </w:r>
      <w:r>
        <w:fldChar w:fldCharType="end"/>
      </w:r>
      <w:r>
        <w:rPr>
          <w:rFonts w:hint="eastAsia" w:ascii="宋体" w:hAnsi="宋体" w:eastAsia="宋体" w:cs="宋体"/>
          <w:szCs w:val="24"/>
        </w:rPr>
        <w:fldChar w:fldCharType="end"/>
      </w:r>
    </w:p>
    <w:p w14:paraId="475E41AB">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_Toc25293 </w:instrText>
      </w:r>
      <w:r>
        <w:rPr>
          <w:rFonts w:hint="eastAsia" w:ascii="宋体" w:hAnsi="宋体" w:eastAsia="宋体" w:cs="宋体"/>
          <w:szCs w:val="24"/>
        </w:rPr>
        <w:fldChar w:fldCharType="separate"/>
      </w:r>
      <w:r>
        <w:rPr>
          <w:rFonts w:hint="eastAsia" w:ascii="宋体" w:hAnsi="宋体" w:eastAsia="宋体" w:cs="宋体"/>
          <w:szCs w:val="30"/>
        </w:rPr>
        <w:t>第五篇  供应商须知</w:t>
      </w:r>
      <w:r>
        <w:tab/>
      </w:r>
      <w:r>
        <w:fldChar w:fldCharType="begin"/>
      </w:r>
      <w:r>
        <w:instrText xml:space="preserve"> PAGEREF _Toc25293 \h </w:instrText>
      </w:r>
      <w:r>
        <w:fldChar w:fldCharType="separate"/>
      </w:r>
      <w:r>
        <w:t>- 28 -</w:t>
      </w:r>
      <w:r>
        <w:fldChar w:fldCharType="end"/>
      </w:r>
      <w:r>
        <w:rPr>
          <w:rFonts w:hint="eastAsia" w:ascii="宋体" w:hAnsi="宋体" w:eastAsia="宋体" w:cs="宋体"/>
          <w:szCs w:val="24"/>
        </w:rPr>
        <w:fldChar w:fldCharType="end"/>
      </w:r>
    </w:p>
    <w:p w14:paraId="718C511A">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_Toc20192 </w:instrText>
      </w:r>
      <w:r>
        <w:rPr>
          <w:rFonts w:hint="eastAsia" w:ascii="宋体" w:hAnsi="宋体" w:eastAsia="宋体" w:cs="宋体"/>
          <w:szCs w:val="24"/>
        </w:rPr>
        <w:fldChar w:fldCharType="separate"/>
      </w:r>
      <w:r>
        <w:rPr>
          <w:rFonts w:hint="eastAsia" w:ascii="宋体" w:hAnsi="宋体" w:eastAsia="宋体" w:cs="宋体"/>
          <w:szCs w:val="24"/>
        </w:rPr>
        <w:t>一、磋商费用</w:t>
      </w:r>
      <w:r>
        <w:tab/>
      </w:r>
      <w:r>
        <w:fldChar w:fldCharType="begin"/>
      </w:r>
      <w:r>
        <w:instrText xml:space="preserve"> PAGEREF _Toc20192 \h </w:instrText>
      </w:r>
      <w:r>
        <w:fldChar w:fldCharType="separate"/>
      </w:r>
      <w:r>
        <w:t>- 28 -</w:t>
      </w:r>
      <w:r>
        <w:fldChar w:fldCharType="end"/>
      </w:r>
      <w:r>
        <w:rPr>
          <w:rFonts w:hint="eastAsia" w:ascii="宋体" w:hAnsi="宋体" w:eastAsia="宋体" w:cs="宋体"/>
          <w:szCs w:val="24"/>
        </w:rPr>
        <w:fldChar w:fldCharType="end"/>
      </w:r>
    </w:p>
    <w:p w14:paraId="43B7AB2D">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_Toc1587 </w:instrText>
      </w:r>
      <w:r>
        <w:rPr>
          <w:rFonts w:hint="eastAsia" w:ascii="宋体" w:hAnsi="宋体" w:eastAsia="宋体" w:cs="宋体"/>
          <w:szCs w:val="24"/>
        </w:rPr>
        <w:fldChar w:fldCharType="separate"/>
      </w:r>
      <w:r>
        <w:rPr>
          <w:rFonts w:hint="eastAsia" w:ascii="宋体" w:hAnsi="宋体" w:eastAsia="宋体" w:cs="宋体"/>
          <w:szCs w:val="24"/>
        </w:rPr>
        <w:t>二、竞争性磋商文件</w:t>
      </w:r>
      <w:r>
        <w:tab/>
      </w:r>
      <w:r>
        <w:fldChar w:fldCharType="begin"/>
      </w:r>
      <w:r>
        <w:instrText xml:space="preserve"> PAGEREF _Toc1587 \h </w:instrText>
      </w:r>
      <w:r>
        <w:fldChar w:fldCharType="separate"/>
      </w:r>
      <w:r>
        <w:t>- 28 -</w:t>
      </w:r>
      <w:r>
        <w:fldChar w:fldCharType="end"/>
      </w:r>
      <w:r>
        <w:rPr>
          <w:rFonts w:hint="eastAsia" w:ascii="宋体" w:hAnsi="宋体" w:eastAsia="宋体" w:cs="宋体"/>
          <w:szCs w:val="24"/>
        </w:rPr>
        <w:fldChar w:fldCharType="end"/>
      </w:r>
    </w:p>
    <w:p w14:paraId="33AFF0BC">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_Toc28994 </w:instrText>
      </w:r>
      <w:r>
        <w:rPr>
          <w:rFonts w:hint="eastAsia" w:ascii="宋体" w:hAnsi="宋体" w:eastAsia="宋体" w:cs="宋体"/>
          <w:szCs w:val="24"/>
        </w:rPr>
        <w:fldChar w:fldCharType="separate"/>
      </w:r>
      <w:r>
        <w:rPr>
          <w:rFonts w:hint="eastAsia" w:ascii="宋体" w:hAnsi="宋体" w:eastAsia="宋体" w:cs="宋体"/>
          <w:szCs w:val="24"/>
        </w:rPr>
        <w:t>三、磋商要求</w:t>
      </w:r>
      <w:r>
        <w:tab/>
      </w:r>
      <w:r>
        <w:fldChar w:fldCharType="begin"/>
      </w:r>
      <w:r>
        <w:instrText xml:space="preserve"> PAGEREF _Toc28994 \h </w:instrText>
      </w:r>
      <w:r>
        <w:fldChar w:fldCharType="separate"/>
      </w:r>
      <w:r>
        <w:t>- 28 -</w:t>
      </w:r>
      <w:r>
        <w:fldChar w:fldCharType="end"/>
      </w:r>
      <w:r>
        <w:rPr>
          <w:rFonts w:hint="eastAsia" w:ascii="宋体" w:hAnsi="宋体" w:eastAsia="宋体" w:cs="宋体"/>
          <w:szCs w:val="24"/>
        </w:rPr>
        <w:fldChar w:fldCharType="end"/>
      </w:r>
    </w:p>
    <w:p w14:paraId="393A87F4">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_Toc12781 </w:instrText>
      </w:r>
      <w:r>
        <w:rPr>
          <w:rFonts w:hint="eastAsia" w:ascii="宋体" w:hAnsi="宋体" w:eastAsia="宋体" w:cs="宋体"/>
          <w:szCs w:val="24"/>
        </w:rPr>
        <w:fldChar w:fldCharType="separate"/>
      </w:r>
      <w:r>
        <w:rPr>
          <w:rFonts w:hint="eastAsia" w:ascii="宋体" w:hAnsi="宋体" w:eastAsia="宋体" w:cs="宋体"/>
          <w:szCs w:val="24"/>
        </w:rPr>
        <w:t>四、成交供应商的确认和变更</w:t>
      </w:r>
      <w:r>
        <w:tab/>
      </w:r>
      <w:r>
        <w:fldChar w:fldCharType="begin"/>
      </w:r>
      <w:r>
        <w:instrText xml:space="preserve"> PAGEREF _Toc12781 \h </w:instrText>
      </w:r>
      <w:r>
        <w:fldChar w:fldCharType="separate"/>
      </w:r>
      <w:r>
        <w:t>- 30 -</w:t>
      </w:r>
      <w:r>
        <w:fldChar w:fldCharType="end"/>
      </w:r>
      <w:r>
        <w:rPr>
          <w:rFonts w:hint="eastAsia" w:ascii="宋体" w:hAnsi="宋体" w:eastAsia="宋体" w:cs="宋体"/>
          <w:szCs w:val="24"/>
        </w:rPr>
        <w:fldChar w:fldCharType="end"/>
      </w:r>
    </w:p>
    <w:p w14:paraId="24776D5D">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_Toc2969 </w:instrText>
      </w:r>
      <w:r>
        <w:rPr>
          <w:rFonts w:hint="eastAsia" w:ascii="宋体" w:hAnsi="宋体" w:eastAsia="宋体" w:cs="宋体"/>
          <w:szCs w:val="24"/>
        </w:rPr>
        <w:fldChar w:fldCharType="separate"/>
      </w:r>
      <w:r>
        <w:rPr>
          <w:rFonts w:hint="eastAsia" w:ascii="宋体" w:hAnsi="宋体" w:eastAsia="宋体" w:cs="宋体"/>
          <w:szCs w:val="24"/>
        </w:rPr>
        <w:t>五、成交通知</w:t>
      </w:r>
      <w:r>
        <w:tab/>
      </w:r>
      <w:r>
        <w:fldChar w:fldCharType="begin"/>
      </w:r>
      <w:r>
        <w:instrText xml:space="preserve"> PAGEREF _Toc2969 \h </w:instrText>
      </w:r>
      <w:r>
        <w:fldChar w:fldCharType="separate"/>
      </w:r>
      <w:r>
        <w:t>- 30 -</w:t>
      </w:r>
      <w:r>
        <w:fldChar w:fldCharType="end"/>
      </w:r>
      <w:r>
        <w:rPr>
          <w:rFonts w:hint="eastAsia" w:ascii="宋体" w:hAnsi="宋体" w:eastAsia="宋体" w:cs="宋体"/>
          <w:szCs w:val="24"/>
        </w:rPr>
        <w:fldChar w:fldCharType="end"/>
      </w:r>
    </w:p>
    <w:p w14:paraId="00490C9A">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_Toc2048 </w:instrText>
      </w:r>
      <w:r>
        <w:rPr>
          <w:rFonts w:hint="eastAsia" w:ascii="宋体" w:hAnsi="宋体" w:eastAsia="宋体" w:cs="宋体"/>
          <w:szCs w:val="24"/>
        </w:rPr>
        <w:fldChar w:fldCharType="separate"/>
      </w:r>
      <w:r>
        <w:rPr>
          <w:rFonts w:hint="eastAsia" w:ascii="宋体" w:hAnsi="宋体" w:eastAsia="宋体" w:cs="宋体"/>
          <w:szCs w:val="24"/>
        </w:rPr>
        <w:t>六、采购代理服务费</w:t>
      </w:r>
      <w:r>
        <w:tab/>
      </w:r>
      <w:r>
        <w:fldChar w:fldCharType="begin"/>
      </w:r>
      <w:r>
        <w:instrText xml:space="preserve"> PAGEREF _Toc2048 \h </w:instrText>
      </w:r>
      <w:r>
        <w:fldChar w:fldCharType="separate"/>
      </w:r>
      <w:r>
        <w:t>- 30 -</w:t>
      </w:r>
      <w:r>
        <w:fldChar w:fldCharType="end"/>
      </w:r>
      <w:r>
        <w:rPr>
          <w:rFonts w:hint="eastAsia" w:ascii="宋体" w:hAnsi="宋体" w:eastAsia="宋体" w:cs="宋体"/>
          <w:szCs w:val="24"/>
        </w:rPr>
        <w:fldChar w:fldCharType="end"/>
      </w:r>
    </w:p>
    <w:p w14:paraId="597CE67D">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_Toc8504 </w:instrText>
      </w:r>
      <w:r>
        <w:rPr>
          <w:rFonts w:hint="eastAsia" w:ascii="宋体" w:hAnsi="宋体" w:eastAsia="宋体" w:cs="宋体"/>
          <w:szCs w:val="24"/>
        </w:rPr>
        <w:fldChar w:fldCharType="separate"/>
      </w:r>
      <w:r>
        <w:rPr>
          <w:rFonts w:hint="eastAsia" w:ascii="宋体" w:hAnsi="宋体" w:eastAsia="宋体" w:cs="宋体"/>
          <w:szCs w:val="24"/>
        </w:rPr>
        <w:t>七、关于质疑和投诉</w:t>
      </w:r>
      <w:r>
        <w:tab/>
      </w:r>
      <w:r>
        <w:fldChar w:fldCharType="begin"/>
      </w:r>
      <w:r>
        <w:instrText xml:space="preserve"> PAGEREF _Toc8504 \h </w:instrText>
      </w:r>
      <w:r>
        <w:fldChar w:fldCharType="separate"/>
      </w:r>
      <w:r>
        <w:t>- 31 -</w:t>
      </w:r>
      <w:r>
        <w:fldChar w:fldCharType="end"/>
      </w:r>
      <w:r>
        <w:rPr>
          <w:rFonts w:hint="eastAsia" w:ascii="宋体" w:hAnsi="宋体" w:eastAsia="宋体" w:cs="宋体"/>
          <w:szCs w:val="24"/>
        </w:rPr>
        <w:fldChar w:fldCharType="end"/>
      </w:r>
    </w:p>
    <w:p w14:paraId="73C648F8">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_Toc27188 </w:instrText>
      </w:r>
      <w:r>
        <w:rPr>
          <w:rFonts w:hint="eastAsia" w:ascii="宋体" w:hAnsi="宋体" w:eastAsia="宋体" w:cs="宋体"/>
          <w:szCs w:val="24"/>
        </w:rPr>
        <w:fldChar w:fldCharType="separate"/>
      </w:r>
      <w:r>
        <w:rPr>
          <w:rFonts w:hint="eastAsia" w:ascii="宋体" w:hAnsi="宋体" w:eastAsia="宋体" w:cs="宋体"/>
          <w:szCs w:val="24"/>
        </w:rPr>
        <w:t>八、签订合同</w:t>
      </w:r>
      <w:r>
        <w:tab/>
      </w:r>
      <w:r>
        <w:fldChar w:fldCharType="begin"/>
      </w:r>
      <w:r>
        <w:instrText xml:space="preserve"> PAGEREF _Toc27188 \h </w:instrText>
      </w:r>
      <w:r>
        <w:fldChar w:fldCharType="separate"/>
      </w:r>
      <w:r>
        <w:t>- 32 -</w:t>
      </w:r>
      <w:r>
        <w:fldChar w:fldCharType="end"/>
      </w:r>
      <w:r>
        <w:rPr>
          <w:rFonts w:hint="eastAsia" w:ascii="宋体" w:hAnsi="宋体" w:eastAsia="宋体" w:cs="宋体"/>
          <w:szCs w:val="24"/>
        </w:rPr>
        <w:fldChar w:fldCharType="end"/>
      </w:r>
    </w:p>
    <w:p w14:paraId="6C4D6666">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_Toc20872 </w:instrText>
      </w:r>
      <w:r>
        <w:rPr>
          <w:rFonts w:hint="eastAsia" w:ascii="宋体" w:hAnsi="宋体" w:eastAsia="宋体" w:cs="宋体"/>
          <w:szCs w:val="24"/>
        </w:rPr>
        <w:fldChar w:fldCharType="separate"/>
      </w:r>
      <w:r>
        <w:rPr>
          <w:rFonts w:hint="eastAsia" w:ascii="宋体" w:hAnsi="宋体" w:eastAsia="宋体" w:cs="宋体"/>
          <w:szCs w:val="30"/>
        </w:rPr>
        <w:t>第六篇  合同草案条款和格式合同</w:t>
      </w:r>
      <w:r>
        <w:tab/>
      </w:r>
      <w:r>
        <w:fldChar w:fldCharType="begin"/>
      </w:r>
      <w:r>
        <w:instrText xml:space="preserve"> PAGEREF _Toc20872 \h </w:instrText>
      </w:r>
      <w:r>
        <w:fldChar w:fldCharType="separate"/>
      </w:r>
      <w:r>
        <w:t>- 34 -</w:t>
      </w:r>
      <w:r>
        <w:fldChar w:fldCharType="end"/>
      </w:r>
      <w:r>
        <w:rPr>
          <w:rFonts w:hint="eastAsia" w:ascii="宋体" w:hAnsi="宋体" w:eastAsia="宋体" w:cs="宋体"/>
          <w:szCs w:val="24"/>
        </w:rPr>
        <w:fldChar w:fldCharType="end"/>
      </w:r>
    </w:p>
    <w:p w14:paraId="34DE8176">
      <w:pPr>
        <w:pStyle w:val="48"/>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_Toc5153 </w:instrText>
      </w:r>
      <w:r>
        <w:rPr>
          <w:rFonts w:hint="eastAsia" w:ascii="宋体" w:hAnsi="宋体" w:eastAsia="宋体" w:cs="宋体"/>
          <w:szCs w:val="24"/>
        </w:rPr>
        <w:fldChar w:fldCharType="separate"/>
      </w:r>
      <w:r>
        <w:rPr>
          <w:rFonts w:hint="eastAsia" w:ascii="宋体" w:hAnsi="宋体" w:eastAsia="宋体" w:cs="宋体"/>
          <w:szCs w:val="30"/>
        </w:rPr>
        <w:t>第七篇  响应文件编制要求</w:t>
      </w:r>
      <w:r>
        <w:tab/>
      </w:r>
      <w:r>
        <w:fldChar w:fldCharType="begin"/>
      </w:r>
      <w:r>
        <w:instrText xml:space="preserve"> PAGEREF _Toc5153 \h </w:instrText>
      </w:r>
      <w:r>
        <w:fldChar w:fldCharType="separate"/>
      </w:r>
      <w:r>
        <w:t>- 39 -</w:t>
      </w:r>
      <w:r>
        <w:fldChar w:fldCharType="end"/>
      </w:r>
      <w:r>
        <w:rPr>
          <w:rFonts w:hint="eastAsia" w:ascii="宋体" w:hAnsi="宋体" w:eastAsia="宋体" w:cs="宋体"/>
          <w:szCs w:val="24"/>
        </w:rPr>
        <w:fldChar w:fldCharType="end"/>
      </w:r>
    </w:p>
    <w:p w14:paraId="617F1134">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_Toc25672 </w:instrText>
      </w:r>
      <w:r>
        <w:rPr>
          <w:rFonts w:hint="eastAsia" w:ascii="宋体" w:hAnsi="宋体" w:eastAsia="宋体" w:cs="宋体"/>
          <w:szCs w:val="24"/>
        </w:rPr>
        <w:fldChar w:fldCharType="separate"/>
      </w:r>
      <w:r>
        <w:rPr>
          <w:rFonts w:hint="eastAsia" w:ascii="宋体" w:hAnsi="宋体" w:eastAsia="宋体" w:cs="宋体"/>
          <w:szCs w:val="24"/>
        </w:rPr>
        <w:t>一、经济部分</w:t>
      </w:r>
      <w:r>
        <w:tab/>
      </w:r>
      <w:r>
        <w:fldChar w:fldCharType="begin"/>
      </w:r>
      <w:r>
        <w:instrText xml:space="preserve"> PAGEREF _Toc25672 \h </w:instrText>
      </w:r>
      <w:r>
        <w:fldChar w:fldCharType="separate"/>
      </w:r>
      <w:r>
        <w:t>- 40 -</w:t>
      </w:r>
      <w:r>
        <w:fldChar w:fldCharType="end"/>
      </w:r>
      <w:r>
        <w:rPr>
          <w:rFonts w:hint="eastAsia" w:ascii="宋体" w:hAnsi="宋体" w:eastAsia="宋体" w:cs="宋体"/>
          <w:szCs w:val="24"/>
        </w:rPr>
        <w:fldChar w:fldCharType="end"/>
      </w:r>
    </w:p>
    <w:p w14:paraId="6139DAF7">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_Toc26349 </w:instrText>
      </w:r>
      <w:r>
        <w:rPr>
          <w:rFonts w:hint="eastAsia" w:ascii="宋体" w:hAnsi="宋体" w:eastAsia="宋体" w:cs="宋体"/>
          <w:szCs w:val="24"/>
        </w:rPr>
        <w:fldChar w:fldCharType="separate"/>
      </w:r>
      <w:r>
        <w:rPr>
          <w:rFonts w:hint="eastAsia" w:ascii="宋体" w:hAnsi="宋体" w:eastAsia="宋体" w:cs="宋体"/>
          <w:szCs w:val="24"/>
        </w:rPr>
        <w:t>二、技术部分</w:t>
      </w:r>
      <w:r>
        <w:tab/>
      </w:r>
      <w:r>
        <w:fldChar w:fldCharType="begin"/>
      </w:r>
      <w:r>
        <w:instrText xml:space="preserve"> PAGEREF _Toc26349 \h </w:instrText>
      </w:r>
      <w:r>
        <w:fldChar w:fldCharType="separate"/>
      </w:r>
      <w:r>
        <w:t>- 41 -</w:t>
      </w:r>
      <w:r>
        <w:fldChar w:fldCharType="end"/>
      </w:r>
      <w:r>
        <w:rPr>
          <w:rFonts w:hint="eastAsia" w:ascii="宋体" w:hAnsi="宋体" w:eastAsia="宋体" w:cs="宋体"/>
          <w:szCs w:val="24"/>
        </w:rPr>
        <w:fldChar w:fldCharType="end"/>
      </w:r>
    </w:p>
    <w:p w14:paraId="6C96ADF1">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_Toc5344 </w:instrText>
      </w:r>
      <w:r>
        <w:rPr>
          <w:rFonts w:hint="eastAsia" w:ascii="宋体" w:hAnsi="宋体" w:eastAsia="宋体" w:cs="宋体"/>
          <w:szCs w:val="24"/>
        </w:rPr>
        <w:fldChar w:fldCharType="separate"/>
      </w:r>
      <w:r>
        <w:rPr>
          <w:rFonts w:hint="eastAsia" w:ascii="宋体" w:hAnsi="宋体" w:eastAsia="宋体" w:cs="宋体"/>
          <w:szCs w:val="24"/>
        </w:rPr>
        <w:t>三、商务部分</w:t>
      </w:r>
      <w:r>
        <w:tab/>
      </w:r>
      <w:r>
        <w:fldChar w:fldCharType="begin"/>
      </w:r>
      <w:r>
        <w:instrText xml:space="preserve"> PAGEREF _Toc5344 \h </w:instrText>
      </w:r>
      <w:r>
        <w:fldChar w:fldCharType="separate"/>
      </w:r>
      <w:r>
        <w:t>- 43 -</w:t>
      </w:r>
      <w:r>
        <w:fldChar w:fldCharType="end"/>
      </w:r>
      <w:r>
        <w:rPr>
          <w:rFonts w:hint="eastAsia" w:ascii="宋体" w:hAnsi="宋体" w:eastAsia="宋体" w:cs="宋体"/>
          <w:szCs w:val="24"/>
        </w:rPr>
        <w:fldChar w:fldCharType="end"/>
      </w:r>
    </w:p>
    <w:p w14:paraId="03CCBC20">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_Toc31698 </w:instrText>
      </w:r>
      <w:r>
        <w:rPr>
          <w:rFonts w:hint="eastAsia" w:ascii="宋体" w:hAnsi="宋体" w:eastAsia="宋体" w:cs="宋体"/>
          <w:szCs w:val="24"/>
        </w:rPr>
        <w:fldChar w:fldCharType="separate"/>
      </w:r>
      <w:r>
        <w:rPr>
          <w:rFonts w:hint="eastAsia" w:ascii="宋体" w:hAnsi="宋体" w:eastAsia="宋体" w:cs="宋体"/>
          <w:szCs w:val="24"/>
        </w:rPr>
        <w:t>四、资格条件及其他</w:t>
      </w:r>
      <w:r>
        <w:tab/>
      </w:r>
      <w:r>
        <w:fldChar w:fldCharType="begin"/>
      </w:r>
      <w:r>
        <w:instrText xml:space="preserve"> PAGEREF _Toc31698 \h </w:instrText>
      </w:r>
      <w:r>
        <w:fldChar w:fldCharType="separate"/>
      </w:r>
      <w:r>
        <w:t>- 45 -</w:t>
      </w:r>
      <w:r>
        <w:fldChar w:fldCharType="end"/>
      </w:r>
      <w:r>
        <w:rPr>
          <w:rFonts w:hint="eastAsia" w:ascii="宋体" w:hAnsi="宋体" w:eastAsia="宋体" w:cs="宋体"/>
          <w:szCs w:val="24"/>
        </w:rPr>
        <w:fldChar w:fldCharType="end"/>
      </w:r>
    </w:p>
    <w:p w14:paraId="45332661">
      <w:pPr>
        <w:pStyle w:val="31"/>
        <w:tabs>
          <w:tab w:val="right" w:leader="dot" w:pos="9412"/>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_Toc32078 </w:instrText>
      </w:r>
      <w:r>
        <w:rPr>
          <w:rFonts w:hint="eastAsia" w:ascii="宋体" w:hAnsi="宋体" w:eastAsia="宋体" w:cs="宋体"/>
          <w:szCs w:val="24"/>
        </w:rPr>
        <w:fldChar w:fldCharType="separate"/>
      </w:r>
      <w:r>
        <w:rPr>
          <w:rFonts w:hint="eastAsia" w:ascii="宋体" w:hAnsi="宋体" w:eastAsia="宋体" w:cs="宋体"/>
          <w:szCs w:val="24"/>
        </w:rPr>
        <w:t>五、其他应提供的资料</w:t>
      </w:r>
      <w:r>
        <w:tab/>
      </w:r>
      <w:r>
        <w:fldChar w:fldCharType="begin"/>
      </w:r>
      <w:r>
        <w:instrText xml:space="preserve"> PAGEREF _Toc32078 \h </w:instrText>
      </w:r>
      <w:r>
        <w:fldChar w:fldCharType="separate"/>
      </w:r>
      <w:r>
        <w:t>- 50 -</w:t>
      </w:r>
      <w:r>
        <w:fldChar w:fldCharType="end"/>
      </w:r>
      <w:r>
        <w:rPr>
          <w:rFonts w:hint="eastAsia" w:ascii="宋体" w:hAnsi="宋体" w:eastAsia="宋体" w:cs="宋体"/>
          <w:szCs w:val="24"/>
        </w:rPr>
        <w:fldChar w:fldCharType="end"/>
      </w:r>
    </w:p>
    <w:p w14:paraId="0206EC52">
      <w:pPr>
        <w:pStyle w:val="48"/>
        <w:tabs>
          <w:tab w:val="right" w:leader="dot" w:pos="9402"/>
        </w:tabs>
        <w:spacing w:line="480" w:lineRule="exact"/>
        <w:ind w:left="560"/>
        <w:jc w:val="center"/>
        <w:rPr>
          <w:rFonts w:hint="eastAsia" w:ascii="宋体" w:hAnsi="宋体" w:eastAsia="宋体" w:cs="宋体"/>
          <w:sz w:val="18"/>
          <w:szCs w:val="22"/>
        </w:rPr>
        <w:sectPr>
          <w:headerReference r:id="rId3" w:type="default"/>
          <w:footerReference r:id="rId4" w:type="default"/>
          <w:pgSz w:w="11907" w:h="16840"/>
          <w:pgMar w:top="1134" w:right="1191" w:bottom="567" w:left="1304" w:header="851" w:footer="624" w:gutter="0"/>
          <w:pgNumType w:fmt="numberInDash" w:start="1"/>
          <w:cols w:space="720" w:num="1"/>
          <w:docGrid w:linePitch="380" w:charSpace="-5735"/>
        </w:sectPr>
      </w:pPr>
      <w:r>
        <w:rPr>
          <w:rFonts w:hint="eastAsia" w:ascii="宋体" w:hAnsi="宋体" w:eastAsia="宋体" w:cs="宋体"/>
          <w:szCs w:val="24"/>
        </w:rPr>
        <w:fldChar w:fldCharType="end"/>
      </w:r>
    </w:p>
    <w:p w14:paraId="21659996">
      <w:pPr>
        <w:pStyle w:val="3"/>
        <w:spacing w:line="360" w:lineRule="auto"/>
        <w:jc w:val="center"/>
        <w:rPr>
          <w:rFonts w:hint="eastAsia" w:ascii="宋体" w:hAnsi="宋体" w:eastAsia="宋体" w:cs="宋体"/>
          <w:b w:val="0"/>
          <w:szCs w:val="30"/>
        </w:rPr>
      </w:pPr>
      <w:bookmarkStart w:id="0" w:name="_Toc11641050"/>
      <w:bookmarkStart w:id="1" w:name="_Toc21460"/>
      <w:bookmarkStart w:id="2" w:name="_Toc12789052"/>
      <w:r>
        <w:rPr>
          <w:rFonts w:hint="eastAsia" w:ascii="宋体" w:hAnsi="宋体" w:eastAsia="宋体" w:cs="宋体"/>
          <w:b w:val="0"/>
          <w:sz w:val="36"/>
          <w:szCs w:val="30"/>
        </w:rPr>
        <w:t>第一篇  采购邀请书</w:t>
      </w:r>
      <w:bookmarkEnd w:id="0"/>
      <w:bookmarkEnd w:id="1"/>
      <w:bookmarkEnd w:id="2"/>
    </w:p>
    <w:p w14:paraId="30BF80B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中渝招标代理重庆有限公司（以下简称：采购代理机构）接受重庆市大渡口区市场监督管理局（以下简称：采购人）的委托，对</w:t>
      </w:r>
      <w:r>
        <w:rPr>
          <w:rFonts w:hint="eastAsia" w:ascii="宋体" w:hAnsi="宋体" w:cs="宋体"/>
          <w:sz w:val="24"/>
          <w:szCs w:val="24"/>
          <w:u w:val="single"/>
          <w:lang w:eastAsia="zh-CN"/>
        </w:rPr>
        <w:t>2025年重庆市大渡口区食品安全抽检服务（第二次）</w:t>
      </w:r>
      <w:r>
        <w:rPr>
          <w:rFonts w:hint="eastAsia" w:ascii="宋体" w:hAnsi="宋体" w:eastAsia="宋体" w:cs="宋体"/>
          <w:sz w:val="24"/>
          <w:szCs w:val="24"/>
        </w:rPr>
        <w:t>进行竞争性磋商采购。欢迎有资格的供应商前来参与磋商。</w:t>
      </w:r>
    </w:p>
    <w:p w14:paraId="60BD47C5">
      <w:pPr>
        <w:pStyle w:val="4"/>
        <w:spacing w:before="0" w:after="0" w:line="360" w:lineRule="auto"/>
        <w:rPr>
          <w:rFonts w:hint="eastAsia" w:ascii="宋体" w:hAnsi="宋体" w:eastAsia="宋体" w:cs="宋体"/>
          <w:sz w:val="21"/>
          <w:szCs w:val="21"/>
        </w:rPr>
      </w:pPr>
      <w:bookmarkStart w:id="3" w:name="_Toc313893526"/>
      <w:bookmarkStart w:id="4" w:name="_Toc317775175"/>
      <w:bookmarkStart w:id="5" w:name="_Toc28642"/>
      <w:r>
        <w:rPr>
          <w:rFonts w:hint="eastAsia" w:ascii="宋体" w:hAnsi="宋体" w:eastAsia="宋体" w:cs="宋体"/>
          <w:sz w:val="24"/>
          <w:szCs w:val="24"/>
        </w:rPr>
        <w:t>一、竞争性磋商内容</w:t>
      </w:r>
      <w:bookmarkEnd w:id="3"/>
      <w:bookmarkEnd w:id="4"/>
      <w:bookmarkEnd w:id="5"/>
    </w:p>
    <w:tbl>
      <w:tblPr>
        <w:tblStyle w:val="60"/>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533"/>
        <w:gridCol w:w="1396"/>
        <w:gridCol w:w="2227"/>
        <w:gridCol w:w="1553"/>
        <w:gridCol w:w="1694"/>
      </w:tblGrid>
      <w:tr w14:paraId="6490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74" w:type="dxa"/>
            <w:vAlign w:val="center"/>
          </w:tcPr>
          <w:p w14:paraId="313792F8">
            <w:pPr>
              <w:widowControl/>
              <w:spacing w:line="240" w:lineRule="auto"/>
              <w:jc w:val="center"/>
              <w:rPr>
                <w:rFonts w:hint="eastAsia" w:ascii="宋体" w:hAnsi="宋体" w:eastAsia="宋体" w:cs="宋体"/>
                <w:b/>
                <w:bCs/>
                <w:kern w:val="0"/>
                <w:sz w:val="24"/>
                <w:szCs w:val="24"/>
              </w:rPr>
            </w:pPr>
            <w:bookmarkStart w:id="6" w:name="_Toc373860293"/>
            <w:bookmarkStart w:id="7" w:name="_Toc317775178"/>
            <w:r>
              <w:rPr>
                <w:rFonts w:hint="eastAsia" w:ascii="宋体" w:hAnsi="宋体" w:eastAsia="宋体" w:cs="宋体"/>
                <w:b/>
                <w:bCs/>
                <w:kern w:val="0"/>
                <w:sz w:val="24"/>
                <w:szCs w:val="24"/>
              </w:rPr>
              <w:t>序号</w:t>
            </w:r>
          </w:p>
        </w:tc>
        <w:tc>
          <w:tcPr>
            <w:tcW w:w="2533" w:type="dxa"/>
            <w:vAlign w:val="center"/>
          </w:tcPr>
          <w:p w14:paraId="143C516A">
            <w:pPr>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名称</w:t>
            </w:r>
          </w:p>
        </w:tc>
        <w:tc>
          <w:tcPr>
            <w:tcW w:w="1396" w:type="dxa"/>
            <w:vAlign w:val="center"/>
          </w:tcPr>
          <w:p w14:paraId="0DC803C2">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预算金额</w:t>
            </w:r>
          </w:p>
          <w:p w14:paraId="56874D70">
            <w:pPr>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（万元）</w:t>
            </w:r>
          </w:p>
        </w:tc>
        <w:tc>
          <w:tcPr>
            <w:tcW w:w="2227" w:type="dxa"/>
            <w:vAlign w:val="center"/>
          </w:tcPr>
          <w:p w14:paraId="44EEDD6D">
            <w:pPr>
              <w:spacing w:line="240" w:lineRule="auto"/>
              <w:jc w:val="center"/>
              <w:rPr>
                <w:rFonts w:hint="eastAsia" w:ascii="宋体" w:hAnsi="宋体" w:eastAsia="宋体" w:cs="宋体"/>
                <w:b/>
                <w:bCs/>
                <w:kern w:val="0"/>
                <w:sz w:val="24"/>
                <w:szCs w:val="24"/>
              </w:rPr>
            </w:pPr>
            <w:r>
              <w:rPr>
                <w:rFonts w:hint="eastAsia" w:ascii="宋体" w:hAnsi="宋体" w:eastAsia="宋体" w:cs="宋体"/>
                <w:b/>
                <w:sz w:val="24"/>
                <w:szCs w:val="24"/>
              </w:rPr>
              <w:t>最低抽检批次数量</w:t>
            </w:r>
          </w:p>
        </w:tc>
        <w:tc>
          <w:tcPr>
            <w:tcW w:w="1553" w:type="dxa"/>
            <w:vAlign w:val="center"/>
          </w:tcPr>
          <w:p w14:paraId="05C17863">
            <w:pPr>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磋商保证金</w:t>
            </w:r>
          </w:p>
          <w:p w14:paraId="397AD7F9">
            <w:pPr>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（万元）</w:t>
            </w:r>
          </w:p>
        </w:tc>
        <w:tc>
          <w:tcPr>
            <w:tcW w:w="1694" w:type="dxa"/>
            <w:vAlign w:val="center"/>
          </w:tcPr>
          <w:p w14:paraId="2E37E16C">
            <w:pPr>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成交供应商数量（名）</w:t>
            </w:r>
          </w:p>
        </w:tc>
      </w:tr>
      <w:tr w14:paraId="7EAF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74" w:type="dxa"/>
            <w:vAlign w:val="center"/>
          </w:tcPr>
          <w:p w14:paraId="5F6D6BA6">
            <w:pPr>
              <w:spacing w:line="240" w:lineRule="auto"/>
              <w:jc w:val="center"/>
              <w:rPr>
                <w:rFonts w:hint="eastAsia" w:ascii="宋体" w:hAnsi="宋体" w:eastAsia="宋体" w:cs="宋体"/>
                <w:sz w:val="24"/>
                <w:szCs w:val="24"/>
              </w:rPr>
            </w:pPr>
            <w:bookmarkStart w:id="8" w:name="_Hlk344477914"/>
            <w:r>
              <w:rPr>
                <w:rFonts w:hint="eastAsia" w:ascii="宋体" w:hAnsi="宋体" w:eastAsia="宋体" w:cs="宋体"/>
                <w:sz w:val="24"/>
                <w:szCs w:val="24"/>
              </w:rPr>
              <w:t>1</w:t>
            </w:r>
          </w:p>
        </w:tc>
        <w:tc>
          <w:tcPr>
            <w:tcW w:w="2533" w:type="dxa"/>
            <w:vAlign w:val="center"/>
          </w:tcPr>
          <w:p w14:paraId="1ECC4172">
            <w:pPr>
              <w:spacing w:line="240" w:lineRule="auto"/>
              <w:jc w:val="left"/>
              <w:rPr>
                <w:rFonts w:hint="eastAsia" w:ascii="宋体" w:hAnsi="宋体" w:eastAsia="宋体" w:cs="宋体"/>
                <w:kern w:val="0"/>
                <w:sz w:val="24"/>
                <w:szCs w:val="24"/>
                <w:lang w:eastAsia="zh-CN"/>
              </w:rPr>
            </w:pPr>
            <w:r>
              <w:rPr>
                <w:rFonts w:hint="eastAsia" w:ascii="宋体" w:hAnsi="宋体" w:cs="宋体"/>
                <w:sz w:val="24"/>
                <w:szCs w:val="24"/>
                <w:lang w:eastAsia="zh-CN"/>
              </w:rPr>
              <w:t>2025年重庆市大渡口区食品安全抽检服务（第二次）</w:t>
            </w:r>
          </w:p>
        </w:tc>
        <w:tc>
          <w:tcPr>
            <w:tcW w:w="1396" w:type="dxa"/>
            <w:vAlign w:val="center"/>
          </w:tcPr>
          <w:p w14:paraId="6D73F3E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2227" w:type="dxa"/>
            <w:vAlign w:val="center"/>
          </w:tcPr>
          <w:p w14:paraId="2162002E">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1300批次(含校园</w:t>
            </w:r>
            <w:r>
              <w:rPr>
                <w:rFonts w:hint="eastAsia" w:ascii="宋体" w:hAnsi="宋体" w:eastAsia="宋体" w:cs="宋体"/>
                <w:color w:val="auto"/>
                <w:sz w:val="24"/>
                <w:szCs w:val="24"/>
                <w:highlight w:val="none"/>
                <w:lang w:eastAsia="zh-CN"/>
              </w:rPr>
              <w:t>及周边</w:t>
            </w:r>
            <w:r>
              <w:rPr>
                <w:rFonts w:hint="eastAsia" w:ascii="宋体" w:hAnsi="宋体" w:eastAsia="宋体" w:cs="宋体"/>
                <w:sz w:val="24"/>
                <w:szCs w:val="24"/>
              </w:rPr>
              <w:t>专项200批次）</w:t>
            </w:r>
          </w:p>
        </w:tc>
        <w:tc>
          <w:tcPr>
            <w:tcW w:w="1553" w:type="dxa"/>
            <w:vAlign w:val="center"/>
          </w:tcPr>
          <w:p w14:paraId="3D5809E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0.8</w:t>
            </w:r>
          </w:p>
        </w:tc>
        <w:tc>
          <w:tcPr>
            <w:tcW w:w="1694" w:type="dxa"/>
            <w:vAlign w:val="center"/>
          </w:tcPr>
          <w:p w14:paraId="50B1F50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r>
      <w:bookmarkEnd w:id="8"/>
    </w:tbl>
    <w:p w14:paraId="71B4C1D5">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备注：本项目为固定总价项目，供应商不需对总价进行报价，采购人将执行完所有预算。各供应商根据预算金额及实际情况分别报抽检批次数量，抽检批次数量不得少于1300批次，抽检批次数量少于1300批次的按响应无效处理。</w:t>
      </w:r>
    </w:p>
    <w:p w14:paraId="7D111598">
      <w:pPr>
        <w:pStyle w:val="4"/>
        <w:spacing w:before="0" w:after="0" w:line="360" w:lineRule="auto"/>
        <w:rPr>
          <w:rFonts w:hint="eastAsia" w:ascii="宋体" w:hAnsi="宋体" w:eastAsia="宋体" w:cs="宋体"/>
          <w:sz w:val="24"/>
          <w:szCs w:val="24"/>
        </w:rPr>
      </w:pPr>
      <w:bookmarkStart w:id="9" w:name="_Toc21964"/>
      <w:r>
        <w:rPr>
          <w:rFonts w:hint="eastAsia" w:ascii="宋体" w:hAnsi="宋体" w:eastAsia="宋体" w:cs="宋体"/>
          <w:sz w:val="24"/>
          <w:szCs w:val="24"/>
        </w:rPr>
        <w:t>二、资金来源</w:t>
      </w:r>
      <w:bookmarkEnd w:id="9"/>
    </w:p>
    <w:p w14:paraId="222EBD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预算内资金，预算金额40万元。</w:t>
      </w:r>
    </w:p>
    <w:p w14:paraId="3D563B81">
      <w:pPr>
        <w:pStyle w:val="4"/>
        <w:spacing w:before="0" w:after="0" w:line="360" w:lineRule="auto"/>
        <w:rPr>
          <w:rFonts w:hint="eastAsia" w:ascii="宋体" w:hAnsi="宋体" w:eastAsia="宋体" w:cs="宋体"/>
          <w:sz w:val="24"/>
          <w:szCs w:val="24"/>
        </w:rPr>
      </w:pPr>
      <w:bookmarkStart w:id="10" w:name="_Toc15872"/>
      <w:r>
        <w:rPr>
          <w:rFonts w:hint="eastAsia" w:ascii="宋体" w:hAnsi="宋体" w:eastAsia="宋体" w:cs="宋体"/>
          <w:sz w:val="24"/>
          <w:szCs w:val="24"/>
        </w:rPr>
        <w:t>三、供应商资格条件</w:t>
      </w:r>
      <w:bookmarkEnd w:id="10"/>
    </w:p>
    <w:p w14:paraId="7CB1143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（一）满足《中华人民共和国政府采购法》第二十二条规定。</w:t>
      </w:r>
    </w:p>
    <w:p w14:paraId="43C4B9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（二）本项目的特定资格要求：供应商须具备CMA食品检验检测资质，提供资质证书复印件并加盖供应商公章。</w:t>
      </w:r>
    </w:p>
    <w:p w14:paraId="3A052970">
      <w:pPr>
        <w:pStyle w:val="4"/>
        <w:spacing w:before="0" w:after="0" w:line="360" w:lineRule="auto"/>
        <w:rPr>
          <w:rFonts w:hint="eastAsia" w:ascii="宋体" w:hAnsi="宋体" w:eastAsia="宋体" w:cs="宋体"/>
          <w:sz w:val="24"/>
          <w:szCs w:val="24"/>
        </w:rPr>
      </w:pPr>
      <w:bookmarkStart w:id="11" w:name="_Toc7930"/>
      <w:r>
        <w:rPr>
          <w:rFonts w:hint="eastAsia" w:ascii="宋体" w:hAnsi="宋体" w:eastAsia="宋体" w:cs="宋体"/>
          <w:sz w:val="24"/>
          <w:szCs w:val="24"/>
        </w:rPr>
        <w:t>四、磋商有关说明</w:t>
      </w:r>
      <w:bookmarkEnd w:id="6"/>
      <w:bookmarkEnd w:id="11"/>
    </w:p>
    <w:p w14:paraId="3D8006D4">
      <w:pPr>
        <w:spacing w:line="360" w:lineRule="auto"/>
        <w:ind w:firstLine="480" w:firstLineChars="200"/>
        <w:rPr>
          <w:rFonts w:hint="eastAsia" w:ascii="宋体" w:hAnsi="宋体" w:eastAsia="宋体" w:cs="宋体"/>
          <w:sz w:val="24"/>
          <w:szCs w:val="24"/>
        </w:rPr>
      </w:pPr>
      <w:bookmarkStart w:id="12" w:name="_Toc373860294"/>
      <w:r>
        <w:rPr>
          <w:rFonts w:hint="eastAsia" w:ascii="宋体" w:hAnsi="宋体" w:eastAsia="宋体" w:cs="宋体"/>
          <w:sz w:val="24"/>
          <w:szCs w:val="24"/>
        </w:rPr>
        <w:t>（一）凡有意参加磋商的供应商，请在“行采家”（ https://www.gec123.com/）网上下载本项目竞争性磋商文件以及补遗等磋商前公布的所有项目资料，无论供应商下载与否，均视为已知晓所有磋商实质性要求内容，竞争性磋商文件购买费在各供应商递交响应文件时一并缴纳。</w:t>
      </w:r>
    </w:p>
    <w:p w14:paraId="636959D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（二）竞争性磋商公告期限：自采购公告发布之日（</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日）起三个工作日。</w:t>
      </w:r>
    </w:p>
    <w:p w14:paraId="6581A1E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（三）报名及磋商文件发售</w:t>
      </w:r>
    </w:p>
    <w:p w14:paraId="666F711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1.报名和磋商文件发售期：</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w:t>
      </w:r>
    </w:p>
    <w:p w14:paraId="7F54A19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2.磋商文件售价：人民币300元/份（售后不退）,竞争性磋商文件购买费在各供应商递交响应文件时一并缴纳。</w:t>
      </w:r>
    </w:p>
    <w:p w14:paraId="10FF32A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3.报名方式：供应商将《中渝招标代理重庆有限公司</w:t>
      </w:r>
      <w:r>
        <w:rPr>
          <w:rFonts w:hint="eastAsia" w:ascii="宋体" w:hAnsi="宋体" w:eastAsia="宋体" w:cs="宋体"/>
          <w:sz w:val="24"/>
          <w:szCs w:val="24"/>
          <w:lang w:eastAsia="zh-CN"/>
        </w:rPr>
        <w:t>报名</w:t>
      </w:r>
      <w:r>
        <w:rPr>
          <w:rFonts w:hint="eastAsia" w:ascii="宋体" w:hAnsi="宋体" w:eastAsia="宋体" w:cs="宋体"/>
          <w:sz w:val="24"/>
          <w:szCs w:val="24"/>
        </w:rPr>
        <w:t>表》（加盖供应商公章）扫描后发送至3580019410@qq.com（邮箱）。</w:t>
      </w:r>
    </w:p>
    <w:p w14:paraId="179269CF">
      <w:pPr>
        <w:numPr>
          <w:ilvl w:val="0"/>
          <w:numId w:val="14"/>
        </w:num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递交响应文件地点：重庆市大渡口区市场监督管理局</w:t>
      </w:r>
      <w:r>
        <w:rPr>
          <w:rFonts w:hint="eastAsia" w:ascii="宋体" w:hAnsi="宋体" w:cs="宋体"/>
          <w:sz w:val="24"/>
          <w:szCs w:val="24"/>
          <w:lang w:eastAsia="zh-CN"/>
        </w:rPr>
        <w:t>二</w:t>
      </w:r>
      <w:r>
        <w:rPr>
          <w:rFonts w:hint="eastAsia" w:ascii="宋体" w:hAnsi="宋体" w:eastAsia="宋体" w:cs="宋体"/>
          <w:sz w:val="24"/>
          <w:szCs w:val="24"/>
        </w:rPr>
        <w:t>楼会议室（重庆市大渡口区春晖路88号附20号）</w:t>
      </w:r>
    </w:p>
    <w:p w14:paraId="1A92728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（五）响应文件递交开始时间：</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25</w:t>
      </w:r>
      <w:r>
        <w:rPr>
          <w:rFonts w:hint="eastAsia" w:ascii="宋体" w:hAnsi="宋体" w:eastAsia="宋体" w:cs="宋体"/>
          <w:sz w:val="24"/>
          <w:szCs w:val="24"/>
        </w:rPr>
        <w:t>日北京时间</w:t>
      </w:r>
      <w:r>
        <w:rPr>
          <w:rFonts w:hint="eastAsia" w:ascii="宋体" w:hAnsi="宋体" w:cs="宋体"/>
          <w:sz w:val="24"/>
          <w:szCs w:val="24"/>
          <w:lang w:val="en-US" w:eastAsia="zh-CN"/>
        </w:rPr>
        <w:t>09</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0</w:t>
      </w:r>
    </w:p>
    <w:p w14:paraId="258D395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（六）响应文件递交截止时间：</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25</w:t>
      </w:r>
      <w:r>
        <w:rPr>
          <w:rFonts w:hint="eastAsia" w:ascii="宋体" w:hAnsi="宋体" w:eastAsia="宋体" w:cs="宋体"/>
          <w:sz w:val="24"/>
          <w:szCs w:val="24"/>
        </w:rPr>
        <w:t>日北京时间</w:t>
      </w:r>
      <w:r>
        <w:rPr>
          <w:rFonts w:hint="eastAsia" w:ascii="宋体" w:hAnsi="宋体" w:cs="宋体"/>
          <w:sz w:val="24"/>
          <w:szCs w:val="24"/>
          <w:lang w:val="en-US" w:eastAsia="zh-CN"/>
        </w:rPr>
        <w:t>10</w:t>
      </w:r>
      <w:r>
        <w:rPr>
          <w:rFonts w:hint="eastAsia" w:ascii="宋体" w:hAnsi="宋体" w:eastAsia="宋体" w:cs="宋体"/>
          <w:sz w:val="24"/>
          <w:szCs w:val="24"/>
        </w:rPr>
        <w:t>:</w:t>
      </w:r>
      <w:r>
        <w:rPr>
          <w:rFonts w:hint="eastAsia" w:ascii="宋体" w:hAnsi="宋体" w:cs="宋体"/>
          <w:sz w:val="24"/>
          <w:szCs w:val="24"/>
          <w:lang w:val="en-US" w:eastAsia="zh-CN"/>
        </w:rPr>
        <w:t>0</w:t>
      </w:r>
      <w:r>
        <w:rPr>
          <w:rFonts w:hint="eastAsia" w:ascii="宋体" w:hAnsi="宋体" w:eastAsia="宋体" w:cs="宋体"/>
          <w:sz w:val="24"/>
          <w:szCs w:val="24"/>
        </w:rPr>
        <w:t>0</w:t>
      </w:r>
    </w:p>
    <w:p w14:paraId="7B85EEE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（七）磋商开始时间：</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25</w:t>
      </w:r>
      <w:r>
        <w:rPr>
          <w:rFonts w:hint="eastAsia" w:ascii="宋体" w:hAnsi="宋体" w:eastAsia="宋体" w:cs="宋体"/>
          <w:sz w:val="24"/>
          <w:szCs w:val="24"/>
        </w:rPr>
        <w:t>日北京时间1</w:t>
      </w:r>
      <w:r>
        <w:rPr>
          <w:rFonts w:hint="eastAsia" w:ascii="宋体" w:hAnsi="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0</w:t>
      </w:r>
      <w:r>
        <w:rPr>
          <w:rFonts w:hint="eastAsia" w:ascii="宋体" w:hAnsi="宋体" w:eastAsia="宋体" w:cs="宋体"/>
          <w:sz w:val="24"/>
          <w:szCs w:val="24"/>
        </w:rPr>
        <w:t>0</w:t>
      </w:r>
    </w:p>
    <w:p w14:paraId="192DAB78">
      <w:pPr>
        <w:pStyle w:val="4"/>
        <w:spacing w:before="0" w:after="0" w:line="360" w:lineRule="auto"/>
        <w:rPr>
          <w:rFonts w:hint="eastAsia" w:ascii="宋体" w:hAnsi="宋体" w:eastAsia="宋体" w:cs="宋体"/>
          <w:sz w:val="24"/>
          <w:szCs w:val="24"/>
        </w:rPr>
      </w:pPr>
      <w:bookmarkStart w:id="13" w:name="_Toc14584"/>
      <w:r>
        <w:rPr>
          <w:rFonts w:hint="eastAsia" w:ascii="宋体" w:hAnsi="宋体" w:eastAsia="宋体" w:cs="宋体"/>
          <w:sz w:val="24"/>
          <w:szCs w:val="24"/>
        </w:rPr>
        <w:t>五、磋商保证金</w:t>
      </w:r>
      <w:bookmarkEnd w:id="12"/>
      <w:bookmarkEnd w:id="13"/>
    </w:p>
    <w:bookmarkEnd w:id="7"/>
    <w:p w14:paraId="729296E1">
      <w:pPr>
        <w:snapToGrid w:val="0"/>
        <w:spacing w:line="360" w:lineRule="auto"/>
        <w:ind w:firstLine="480" w:firstLineChars="200"/>
        <w:rPr>
          <w:rFonts w:hint="eastAsia" w:ascii="宋体" w:hAnsi="宋体" w:eastAsia="宋体" w:cs="宋体"/>
          <w:sz w:val="24"/>
          <w:szCs w:val="24"/>
        </w:rPr>
      </w:pPr>
      <w:bookmarkStart w:id="14" w:name="_Toc480466698"/>
      <w:bookmarkStart w:id="15" w:name="_Toc479668114"/>
      <w:r>
        <w:rPr>
          <w:rFonts w:hint="eastAsia" w:ascii="宋体" w:hAnsi="宋体" w:eastAsia="宋体" w:cs="宋体"/>
          <w:sz w:val="24"/>
          <w:szCs w:val="24"/>
        </w:rPr>
        <w:t>（一）保证金递交</w:t>
      </w:r>
    </w:p>
    <w:p w14:paraId="3CA9A45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1.供应商应足额缴纳保证金（保证金金额详见本篇，一、竞争性磋商内容），并汇至以下账户，保证金的到账截止时间同响应文件递交截止</w:t>
      </w:r>
      <w:bookmarkStart w:id="134" w:name="_GoBack"/>
      <w:bookmarkEnd w:id="134"/>
      <w:r>
        <w:rPr>
          <w:rFonts w:hint="eastAsia" w:ascii="宋体" w:hAnsi="宋体" w:eastAsia="宋体" w:cs="宋体"/>
          <w:sz w:val="24"/>
          <w:szCs w:val="24"/>
        </w:rPr>
        <w:t>时间。</w:t>
      </w:r>
    </w:p>
    <w:p w14:paraId="5C9C2CE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保证金账户：</w:t>
      </w:r>
    </w:p>
    <w:p w14:paraId="4CAC0000">
      <w:pPr>
        <w:spacing w:line="360" w:lineRule="auto"/>
        <w:ind w:firstLine="480" w:firstLineChars="200"/>
        <w:rPr>
          <w:rFonts w:hint="eastAsia" w:ascii="宋体" w:hAnsi="宋体" w:eastAsia="宋体" w:cs="宋体"/>
          <w:sz w:val="24"/>
        </w:rPr>
      </w:pPr>
      <w:r>
        <w:rPr>
          <w:rFonts w:hint="eastAsia" w:ascii="宋体" w:hAnsi="宋体" w:eastAsia="宋体" w:cs="宋体"/>
          <w:sz w:val="24"/>
        </w:rPr>
        <w:t>户  名：中渝招标代理重庆有限公司</w:t>
      </w:r>
    </w:p>
    <w:p w14:paraId="00F294E2">
      <w:pPr>
        <w:spacing w:line="360" w:lineRule="auto"/>
        <w:ind w:firstLine="480" w:firstLineChars="200"/>
        <w:rPr>
          <w:rFonts w:hint="eastAsia" w:ascii="宋体" w:hAnsi="宋体" w:eastAsia="宋体" w:cs="宋体"/>
          <w:sz w:val="24"/>
        </w:rPr>
      </w:pPr>
      <w:r>
        <w:rPr>
          <w:rFonts w:hint="eastAsia" w:ascii="宋体" w:hAnsi="宋体" w:eastAsia="宋体" w:cs="宋体"/>
          <w:sz w:val="24"/>
        </w:rPr>
        <w:t>开户行：中国民生银行股份有限公司重庆科学城支行</w:t>
      </w:r>
    </w:p>
    <w:p w14:paraId="29ADE7A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账  号：640598255</w:t>
      </w:r>
    </w:p>
    <w:p w14:paraId="6F53AFF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2.各供应商在银行转账（电汇）时，须充分考虑银行转账（电汇）的时间差风险，如同城转账、异地转账或汇款、跨行转账或电汇的时间要求。</w:t>
      </w:r>
    </w:p>
    <w:p w14:paraId="11392C9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（二）保证金退还方式</w:t>
      </w:r>
    </w:p>
    <w:p w14:paraId="0E760F9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1.未成交供应商的保证金，在成交通知书发放后，采购代理机构在五个工作日内按供应商来款账户信息退还。</w:t>
      </w:r>
    </w:p>
    <w:p w14:paraId="087CF01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2.成交供应商的保证金，在成交供应商与采购人签订合同后，采购代理机构在五个工作日内按供应商来款账户信息退还。</w:t>
      </w:r>
    </w:p>
    <w:bookmarkEnd w:id="14"/>
    <w:bookmarkEnd w:id="15"/>
    <w:p w14:paraId="7F2E63F4">
      <w:pPr>
        <w:pStyle w:val="4"/>
        <w:spacing w:before="0" w:after="0" w:line="360" w:lineRule="auto"/>
        <w:rPr>
          <w:rFonts w:hint="eastAsia" w:ascii="宋体" w:hAnsi="宋体" w:eastAsia="宋体" w:cs="宋体"/>
          <w:sz w:val="24"/>
          <w:szCs w:val="24"/>
        </w:rPr>
      </w:pPr>
      <w:bookmarkStart w:id="16" w:name="_Toc480466699"/>
      <w:bookmarkStart w:id="17" w:name="_Toc22314"/>
      <w:r>
        <w:rPr>
          <w:rFonts w:hint="eastAsia" w:ascii="宋体" w:hAnsi="宋体" w:eastAsia="宋体" w:cs="宋体"/>
          <w:sz w:val="24"/>
          <w:szCs w:val="24"/>
        </w:rPr>
        <w:t>六、其它有关规定</w:t>
      </w:r>
      <w:bookmarkEnd w:id="16"/>
      <w:bookmarkEnd w:id="17"/>
    </w:p>
    <w:p w14:paraId="6B886FCA">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（一）单位负责人为同一人或者存在直接控股、管理关系的不同供应商，不得参加同一合同项（分包）下的政府采购活动，否则均为响应无效。</w:t>
      </w:r>
    </w:p>
    <w:p w14:paraId="3649003C">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14:paraId="5EC08DA1">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（三）本项目的补遗文件（如果有）一律在“行采家”（ https://www.gec123.com/）上发布，请各供应商注意下载；无论供应商下载与否，均视同供应商已知晓本项目补遗文件（如果有）的内容。</w:t>
      </w:r>
    </w:p>
    <w:p w14:paraId="08868496">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（四）超过响应文件截止时间递交的响应文件，恕不接收。</w:t>
      </w:r>
    </w:p>
    <w:p w14:paraId="4F9CBCEB">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（五）磋商费用：无论磋商结果如何，供应商参与本项目磋商的所有费用均应由供应商自行承担。</w:t>
      </w:r>
    </w:p>
    <w:p w14:paraId="64B661E9">
      <w:pPr>
        <w:snapToGrid w:val="0"/>
        <w:spacing w:line="360" w:lineRule="auto"/>
        <w:ind w:firstLine="360" w:firstLineChars="150"/>
        <w:rPr>
          <w:rFonts w:hint="eastAsia" w:ascii="宋体" w:hAnsi="宋体" w:eastAsia="宋体" w:cs="宋体"/>
          <w:sz w:val="24"/>
          <w:szCs w:val="24"/>
        </w:rPr>
      </w:pPr>
      <w:bookmarkStart w:id="18" w:name="_Toc480466700"/>
      <w:r>
        <w:rPr>
          <w:rFonts w:hint="eastAsia" w:ascii="宋体" w:hAnsi="宋体" w:eastAsia="宋体" w:cs="宋体"/>
          <w:sz w:val="24"/>
          <w:szCs w:val="24"/>
        </w:rPr>
        <w:t>（六）本项目不接受联合体参与磋商。</w:t>
      </w:r>
    </w:p>
    <w:p w14:paraId="48121287">
      <w:pPr>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7693923">
      <w:pPr>
        <w:pStyle w:val="4"/>
        <w:spacing w:before="0" w:after="0" w:line="360" w:lineRule="auto"/>
        <w:rPr>
          <w:rFonts w:hint="eastAsia" w:ascii="宋体" w:hAnsi="宋体" w:eastAsia="宋体" w:cs="宋体"/>
          <w:sz w:val="24"/>
          <w:szCs w:val="24"/>
        </w:rPr>
      </w:pPr>
      <w:bookmarkStart w:id="19" w:name="_Toc3905"/>
      <w:r>
        <w:rPr>
          <w:rFonts w:hint="eastAsia" w:ascii="宋体" w:hAnsi="宋体" w:eastAsia="宋体" w:cs="宋体"/>
          <w:sz w:val="24"/>
          <w:szCs w:val="24"/>
        </w:rPr>
        <w:t>七、联系方式</w:t>
      </w:r>
      <w:bookmarkEnd w:id="18"/>
      <w:bookmarkEnd w:id="19"/>
    </w:p>
    <w:p w14:paraId="2919D92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（一）采购人：重庆市大渡口区市场监督管理局</w:t>
      </w:r>
    </w:p>
    <w:p w14:paraId="7C43492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联系人：刘老师</w:t>
      </w:r>
    </w:p>
    <w:p w14:paraId="56D6E7E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  话：023-68900580</w:t>
      </w:r>
    </w:p>
    <w:p w14:paraId="040323E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color w:val="000000"/>
          <w:sz w:val="24"/>
          <w:szCs w:val="24"/>
        </w:rPr>
        <w:t>重庆市大渡口区春晖路88号附20号</w:t>
      </w:r>
    </w:p>
    <w:p w14:paraId="12CB83D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（二）采购代理机构：中渝招标代理重庆有限公司</w:t>
      </w:r>
    </w:p>
    <w:p w14:paraId="529ED94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联系人：汪老师</w:t>
      </w:r>
    </w:p>
    <w:p w14:paraId="77B26AFC">
      <w:pPr>
        <w:snapToGrid w:val="0"/>
        <w:spacing w:line="360" w:lineRule="auto"/>
        <w:ind w:firstLine="480" w:firstLineChars="200"/>
        <w:rPr>
          <w:rFonts w:hint="eastAsia" w:ascii="宋体" w:hAnsi="宋体" w:eastAsia="宋体" w:cs="宋体"/>
          <w:kern w:val="1"/>
          <w:sz w:val="24"/>
          <w:szCs w:val="24"/>
        </w:rPr>
      </w:pPr>
      <w:r>
        <w:rPr>
          <w:rFonts w:hint="eastAsia" w:ascii="宋体" w:hAnsi="宋体" w:eastAsia="宋体" w:cs="宋体"/>
          <w:kern w:val="1"/>
          <w:sz w:val="24"/>
          <w:szCs w:val="24"/>
        </w:rPr>
        <w:t xml:space="preserve">电  话：023-63052945   </w:t>
      </w:r>
    </w:p>
    <w:p w14:paraId="3E7561EC">
      <w:pPr>
        <w:snapToGrid w:val="0"/>
        <w:spacing w:line="360" w:lineRule="auto"/>
        <w:ind w:firstLine="480" w:firstLineChars="200"/>
        <w:rPr>
          <w:rFonts w:hint="eastAsia" w:ascii="宋体" w:hAnsi="宋体" w:eastAsia="宋体" w:cs="宋体"/>
          <w:b/>
          <w:sz w:val="36"/>
          <w:szCs w:val="30"/>
        </w:rPr>
      </w:pPr>
      <w:r>
        <w:rPr>
          <w:rFonts w:hint="eastAsia" w:ascii="宋体" w:hAnsi="宋体" w:eastAsia="宋体" w:cs="宋体"/>
          <w:sz w:val="24"/>
          <w:szCs w:val="24"/>
        </w:rPr>
        <w:t>地  址：</w:t>
      </w:r>
      <w:r>
        <w:rPr>
          <w:rFonts w:hint="eastAsia" w:ascii="宋体" w:hAnsi="宋体" w:eastAsia="宋体" w:cs="宋体"/>
          <w:kern w:val="1"/>
          <w:sz w:val="24"/>
          <w:szCs w:val="24"/>
        </w:rPr>
        <w:t>重庆市渝中区化龙桥街道李子坝正街</w:t>
      </w:r>
    </w:p>
    <w:p w14:paraId="5969E266">
      <w:pPr>
        <w:rPr>
          <w:rFonts w:hint="eastAsia" w:ascii="宋体" w:hAnsi="宋体" w:eastAsia="宋体" w:cs="宋体"/>
          <w:sz w:val="36"/>
          <w:szCs w:val="30"/>
        </w:rPr>
      </w:pPr>
      <w:r>
        <w:rPr>
          <w:rFonts w:hint="eastAsia" w:ascii="宋体" w:hAnsi="宋体" w:eastAsia="宋体" w:cs="宋体"/>
          <w:sz w:val="36"/>
          <w:szCs w:val="30"/>
        </w:rPr>
        <w:br w:type="page"/>
      </w:r>
    </w:p>
    <w:p w14:paraId="53FD3256">
      <w:pPr>
        <w:pStyle w:val="3"/>
        <w:spacing w:before="0" w:after="0" w:line="360" w:lineRule="auto"/>
        <w:jc w:val="center"/>
        <w:rPr>
          <w:rFonts w:hint="eastAsia" w:ascii="宋体" w:hAnsi="宋体" w:eastAsia="宋体" w:cs="宋体"/>
          <w:b w:val="0"/>
          <w:sz w:val="30"/>
          <w:szCs w:val="30"/>
        </w:rPr>
      </w:pPr>
      <w:bookmarkStart w:id="20" w:name="_Toc26984"/>
      <w:r>
        <w:rPr>
          <w:rFonts w:hint="eastAsia" w:ascii="宋体" w:hAnsi="宋体" w:eastAsia="宋体" w:cs="宋体"/>
          <w:b w:val="0"/>
          <w:sz w:val="36"/>
          <w:szCs w:val="30"/>
        </w:rPr>
        <w:t>第二篇  磋商项目技术需求</w:t>
      </w:r>
      <w:bookmarkEnd w:id="20"/>
    </w:p>
    <w:p w14:paraId="0666EB31">
      <w:pPr>
        <w:pStyle w:val="4"/>
        <w:spacing w:before="0" w:after="0" w:line="360" w:lineRule="auto"/>
        <w:rPr>
          <w:rFonts w:hint="eastAsia" w:ascii="宋体" w:hAnsi="宋体" w:eastAsia="宋体" w:cs="宋体"/>
          <w:sz w:val="24"/>
          <w:szCs w:val="24"/>
        </w:rPr>
      </w:pPr>
      <w:bookmarkStart w:id="21" w:name="_Toc22047738"/>
      <w:bookmarkStart w:id="22" w:name="_Toc5623"/>
      <w:bookmarkStart w:id="23" w:name="_Toc25693"/>
      <w:bookmarkStart w:id="24" w:name="_Toc12789058"/>
      <w:r>
        <w:rPr>
          <w:rFonts w:hint="eastAsia" w:ascii="宋体" w:hAnsi="宋体" w:eastAsia="宋体" w:cs="宋体"/>
          <w:sz w:val="24"/>
          <w:szCs w:val="24"/>
        </w:rPr>
        <w:t>一、</w:t>
      </w:r>
      <w:bookmarkEnd w:id="21"/>
      <w:r>
        <w:rPr>
          <w:rFonts w:hint="eastAsia" w:ascii="宋体" w:hAnsi="宋体" w:eastAsia="宋体" w:cs="宋体"/>
          <w:sz w:val="24"/>
          <w:szCs w:val="24"/>
        </w:rPr>
        <w:t>采购项目一览表</w:t>
      </w:r>
      <w:bookmarkEnd w:id="22"/>
      <w:bookmarkEnd w:id="23"/>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4530"/>
        <w:gridCol w:w="2370"/>
        <w:gridCol w:w="1853"/>
      </w:tblGrid>
      <w:tr w14:paraId="66EC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5" w:type="dxa"/>
            <w:vAlign w:val="center"/>
          </w:tcPr>
          <w:p w14:paraId="2EC247B6">
            <w:pPr>
              <w:snapToGrid w:val="0"/>
              <w:jc w:val="center"/>
              <w:rPr>
                <w:rFonts w:hint="eastAsia" w:ascii="宋体" w:hAnsi="宋体" w:eastAsia="宋体" w:cs="宋体"/>
                <w:b/>
                <w:sz w:val="24"/>
                <w:szCs w:val="24"/>
              </w:rPr>
            </w:pPr>
            <w:bookmarkStart w:id="25" w:name="_Toc9863"/>
            <w:bookmarkStart w:id="26" w:name="_Toc31288"/>
            <w:bookmarkStart w:id="27" w:name="_Toc3669"/>
            <w:bookmarkStart w:id="28" w:name="_Toc313536013"/>
            <w:bookmarkStart w:id="29" w:name="_Toc530144826"/>
            <w:bookmarkStart w:id="30" w:name="_Toc344475116"/>
            <w:r>
              <w:rPr>
                <w:rFonts w:hint="eastAsia" w:ascii="宋体" w:hAnsi="宋体" w:eastAsia="宋体" w:cs="宋体"/>
                <w:b/>
                <w:sz w:val="24"/>
                <w:szCs w:val="24"/>
              </w:rPr>
              <w:t>序号</w:t>
            </w:r>
          </w:p>
        </w:tc>
        <w:tc>
          <w:tcPr>
            <w:tcW w:w="4530" w:type="dxa"/>
            <w:vAlign w:val="center"/>
          </w:tcPr>
          <w:p w14:paraId="31489F1B">
            <w:pPr>
              <w:snapToGrid w:val="0"/>
              <w:jc w:val="center"/>
              <w:rPr>
                <w:rFonts w:hint="eastAsia" w:ascii="宋体" w:hAnsi="宋体" w:eastAsia="宋体" w:cs="宋体"/>
                <w:b/>
                <w:sz w:val="24"/>
                <w:szCs w:val="24"/>
              </w:rPr>
            </w:pPr>
            <w:r>
              <w:rPr>
                <w:rFonts w:hint="eastAsia" w:ascii="宋体" w:hAnsi="宋体" w:eastAsia="宋体" w:cs="宋体"/>
                <w:b/>
                <w:sz w:val="24"/>
                <w:szCs w:val="24"/>
              </w:rPr>
              <w:t>服务范围</w:t>
            </w:r>
          </w:p>
        </w:tc>
        <w:tc>
          <w:tcPr>
            <w:tcW w:w="2370" w:type="dxa"/>
            <w:vAlign w:val="center"/>
          </w:tcPr>
          <w:p w14:paraId="3B5B4516">
            <w:pPr>
              <w:snapToGrid w:val="0"/>
              <w:jc w:val="center"/>
              <w:rPr>
                <w:rFonts w:hint="eastAsia" w:ascii="宋体" w:hAnsi="宋体" w:eastAsia="宋体" w:cs="宋体"/>
                <w:b/>
                <w:sz w:val="24"/>
                <w:szCs w:val="24"/>
              </w:rPr>
            </w:pPr>
            <w:r>
              <w:rPr>
                <w:rFonts w:hint="eastAsia" w:ascii="宋体" w:hAnsi="宋体" w:eastAsia="宋体" w:cs="宋体"/>
                <w:b/>
                <w:sz w:val="24"/>
                <w:szCs w:val="24"/>
              </w:rPr>
              <w:t>最低抽检批次数量</w:t>
            </w:r>
          </w:p>
        </w:tc>
        <w:tc>
          <w:tcPr>
            <w:tcW w:w="1853" w:type="dxa"/>
            <w:vAlign w:val="center"/>
          </w:tcPr>
          <w:p w14:paraId="18A4AA04">
            <w:pPr>
              <w:snapToGrid w:val="0"/>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0941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45" w:type="dxa"/>
            <w:vAlign w:val="center"/>
          </w:tcPr>
          <w:p w14:paraId="15426D7B">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530" w:type="dxa"/>
            <w:vAlign w:val="center"/>
          </w:tcPr>
          <w:p w14:paraId="7FBD9308">
            <w:pPr>
              <w:snapToGrid w:val="0"/>
              <w:jc w:val="left"/>
              <w:rPr>
                <w:rFonts w:hint="eastAsia" w:ascii="宋体" w:hAnsi="宋体" w:eastAsia="宋体" w:cs="宋体"/>
                <w:sz w:val="24"/>
                <w:szCs w:val="24"/>
              </w:rPr>
            </w:pPr>
            <w:r>
              <w:rPr>
                <w:rFonts w:hint="eastAsia" w:ascii="宋体" w:hAnsi="宋体" w:eastAsia="宋体" w:cs="宋体"/>
                <w:sz w:val="24"/>
                <w:szCs w:val="24"/>
              </w:rPr>
              <w:t>大渡口区全区：八桥、跳磴、春晖、跃进村、建胜、茄子溪、九宫庙、新山村片区。</w:t>
            </w:r>
          </w:p>
        </w:tc>
        <w:tc>
          <w:tcPr>
            <w:tcW w:w="2370" w:type="dxa"/>
            <w:vAlign w:val="center"/>
          </w:tcPr>
          <w:p w14:paraId="0F27663B">
            <w:pPr>
              <w:snapToGrid w:val="0"/>
              <w:jc w:val="center"/>
              <w:rPr>
                <w:rFonts w:hint="eastAsia" w:ascii="宋体" w:hAnsi="宋体" w:eastAsia="宋体" w:cs="宋体"/>
                <w:sz w:val="24"/>
                <w:szCs w:val="24"/>
              </w:rPr>
            </w:pPr>
            <w:r>
              <w:rPr>
                <w:rFonts w:hint="eastAsia" w:ascii="宋体" w:hAnsi="宋体" w:eastAsia="宋体" w:cs="宋体"/>
                <w:sz w:val="24"/>
                <w:szCs w:val="24"/>
              </w:rPr>
              <w:t>1300批次(含校园</w:t>
            </w:r>
            <w:r>
              <w:rPr>
                <w:rFonts w:hint="eastAsia" w:ascii="宋体" w:hAnsi="宋体" w:eastAsia="宋体" w:cs="宋体"/>
                <w:color w:val="auto"/>
                <w:sz w:val="24"/>
                <w:szCs w:val="24"/>
                <w:highlight w:val="none"/>
                <w:lang w:eastAsia="zh-CN"/>
              </w:rPr>
              <w:t>及周边</w:t>
            </w:r>
            <w:r>
              <w:rPr>
                <w:rFonts w:hint="eastAsia" w:ascii="宋体" w:hAnsi="宋体" w:eastAsia="宋体" w:cs="宋体"/>
                <w:sz w:val="24"/>
                <w:szCs w:val="24"/>
              </w:rPr>
              <w:t>专项200批次）</w:t>
            </w:r>
          </w:p>
        </w:tc>
        <w:tc>
          <w:tcPr>
            <w:tcW w:w="1853" w:type="dxa"/>
            <w:vAlign w:val="center"/>
          </w:tcPr>
          <w:p w14:paraId="71EAFD92">
            <w:pPr>
              <w:snapToGrid w:val="0"/>
              <w:jc w:val="left"/>
              <w:rPr>
                <w:rFonts w:hint="eastAsia" w:ascii="宋体" w:hAnsi="宋体" w:eastAsia="宋体" w:cs="宋体"/>
                <w:sz w:val="24"/>
                <w:szCs w:val="24"/>
                <w:lang w:eastAsia="zh-CN"/>
              </w:rPr>
            </w:pPr>
            <w:r>
              <w:rPr>
                <w:rFonts w:hint="eastAsia" w:ascii="宋体" w:hAnsi="宋体" w:eastAsia="宋体" w:cs="宋体"/>
                <w:sz w:val="24"/>
                <w:szCs w:val="24"/>
              </w:rPr>
              <w:t>具体内容详见下文</w:t>
            </w:r>
            <w:r>
              <w:rPr>
                <w:rFonts w:hint="eastAsia" w:ascii="宋体" w:hAnsi="宋体" w:eastAsia="宋体" w:cs="宋体"/>
                <w:sz w:val="24"/>
                <w:szCs w:val="24"/>
                <w:lang w:eastAsia="zh-CN"/>
              </w:rPr>
              <w:t>。</w:t>
            </w:r>
          </w:p>
        </w:tc>
      </w:tr>
    </w:tbl>
    <w:p w14:paraId="764FCF71">
      <w:pPr>
        <w:pStyle w:val="4"/>
        <w:spacing w:before="0" w:after="0" w:line="360" w:lineRule="auto"/>
        <w:rPr>
          <w:rFonts w:hint="eastAsia" w:ascii="宋体" w:hAnsi="宋体" w:eastAsia="宋体" w:cs="宋体"/>
          <w:color w:val="000000"/>
          <w:sz w:val="24"/>
          <w:szCs w:val="24"/>
        </w:rPr>
      </w:pPr>
      <w:bookmarkStart w:id="31" w:name="_Toc4359"/>
      <w:bookmarkStart w:id="32" w:name="_Toc25904"/>
      <w:r>
        <w:rPr>
          <w:rFonts w:hint="eastAsia" w:ascii="宋体" w:hAnsi="宋体" w:eastAsia="宋体" w:cs="宋体"/>
          <w:color w:val="000000"/>
          <w:sz w:val="24"/>
          <w:szCs w:val="24"/>
        </w:rPr>
        <w:t>二、</w:t>
      </w:r>
      <w:bookmarkEnd w:id="25"/>
      <w:bookmarkEnd w:id="26"/>
      <w:r>
        <w:rPr>
          <w:rFonts w:hint="eastAsia" w:ascii="宋体" w:hAnsi="宋体" w:eastAsia="宋体" w:cs="宋体"/>
          <w:color w:val="000000"/>
          <w:sz w:val="24"/>
          <w:szCs w:val="24"/>
        </w:rPr>
        <w:t>服务</w:t>
      </w:r>
      <w:bookmarkEnd w:id="31"/>
      <w:r>
        <w:rPr>
          <w:rFonts w:hint="eastAsia" w:ascii="宋体" w:hAnsi="宋体" w:eastAsia="宋体" w:cs="宋体"/>
          <w:color w:val="000000"/>
          <w:sz w:val="24"/>
          <w:szCs w:val="24"/>
        </w:rPr>
        <w:t>质量及要求</w:t>
      </w:r>
      <w:bookmarkEnd w:id="32"/>
    </w:p>
    <w:bookmarkEnd w:id="27"/>
    <w:bookmarkEnd w:id="28"/>
    <w:bookmarkEnd w:id="29"/>
    <w:bookmarkEnd w:id="30"/>
    <w:p w14:paraId="6AAA356E">
      <w:pPr>
        <w:snapToGrid w:val="0"/>
        <w:spacing w:line="360" w:lineRule="auto"/>
        <w:ind w:firstLine="482" w:firstLineChars="200"/>
        <w:rPr>
          <w:rFonts w:hint="eastAsia" w:ascii="宋体" w:hAnsi="宋体" w:eastAsia="宋体" w:cs="宋体"/>
          <w:b/>
          <w:bCs/>
          <w:kern w:val="0"/>
          <w:sz w:val="24"/>
          <w:szCs w:val="24"/>
        </w:rPr>
      </w:pPr>
      <w:bookmarkStart w:id="33" w:name="_Toc28964"/>
      <w:bookmarkStart w:id="34" w:name="_Toc11843"/>
      <w:bookmarkStart w:id="35" w:name="_Toc6909"/>
      <w:r>
        <w:rPr>
          <w:rFonts w:hint="eastAsia" w:ascii="宋体" w:hAnsi="宋体" w:eastAsia="宋体" w:cs="宋体"/>
          <w:b/>
          <w:bCs/>
          <w:kern w:val="0"/>
          <w:sz w:val="24"/>
          <w:szCs w:val="24"/>
        </w:rPr>
        <w:t>（一）抽检区域</w:t>
      </w:r>
    </w:p>
    <w:p w14:paraId="0DDAE459">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大渡口区全区：八桥、跳磴、春晖、跃进村、建胜、茄子溪、九宫庙、新山村片区。</w:t>
      </w:r>
    </w:p>
    <w:p w14:paraId="1A64204E">
      <w:pPr>
        <w:snapToGri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（二）抽检要求</w:t>
      </w:r>
    </w:p>
    <w:p w14:paraId="57B7BA5F">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1.成交供应商根据中标批次在各区域实施抽检任务，重点抽取群众关注、消费较多、风险较高的食品，各供应商需要根据区域批次数量合理安排各区域抽检计划。</w:t>
      </w:r>
    </w:p>
    <w:p w14:paraId="18BCC868">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2.成交供应商需覆盖本项目的所有区域，根据业态分布情况开展采样工作。</w:t>
      </w:r>
    </w:p>
    <w:p w14:paraId="1943AC55">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3.成交供应商需按照要求安排时间均衡抽检,且同一年度内同一被抽样单位所抽样品批次不得超过20批次。</w:t>
      </w:r>
    </w:p>
    <w:p w14:paraId="1DFD7BD3">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4.被抽检单位应覆盖所有小作坊，且同一季度内同一小作坊不得超过3批次。</w:t>
      </w:r>
    </w:p>
    <w:p w14:paraId="1600FEEC">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校园及周边专项抽检不少于</w:t>
      </w:r>
      <w:r>
        <w:rPr>
          <w:rFonts w:hint="eastAsia" w:ascii="宋体" w:hAnsi="宋体" w:eastAsia="宋体" w:cs="宋体"/>
          <w:kern w:val="0"/>
          <w:sz w:val="24"/>
          <w:szCs w:val="24"/>
          <w:lang w:val="en-US" w:eastAsia="zh-CN"/>
        </w:rPr>
        <w:t>200批次，</w:t>
      </w:r>
      <w:r>
        <w:rPr>
          <w:rFonts w:hint="eastAsia" w:ascii="宋体" w:hAnsi="宋体" w:eastAsia="宋体" w:cs="宋体"/>
          <w:kern w:val="0"/>
          <w:sz w:val="24"/>
          <w:szCs w:val="24"/>
        </w:rPr>
        <w:t>食用农产品</w:t>
      </w:r>
      <w:r>
        <w:rPr>
          <w:rFonts w:hint="eastAsia" w:ascii="宋体" w:hAnsi="宋体" w:eastAsia="宋体" w:cs="宋体"/>
          <w:kern w:val="0"/>
          <w:sz w:val="24"/>
          <w:szCs w:val="24"/>
          <w:lang w:eastAsia="zh-CN"/>
        </w:rPr>
        <w:t>不少于</w:t>
      </w:r>
      <w:r>
        <w:rPr>
          <w:rFonts w:hint="eastAsia" w:ascii="宋体" w:hAnsi="宋体" w:eastAsia="宋体" w:cs="宋体"/>
          <w:kern w:val="0"/>
          <w:sz w:val="24"/>
          <w:szCs w:val="24"/>
        </w:rPr>
        <w:t>35%、预包装食品</w:t>
      </w:r>
      <w:r>
        <w:rPr>
          <w:rFonts w:hint="eastAsia" w:ascii="宋体" w:hAnsi="宋体" w:eastAsia="宋体" w:cs="宋体"/>
          <w:kern w:val="0"/>
          <w:sz w:val="24"/>
          <w:szCs w:val="24"/>
          <w:lang w:eastAsia="zh-CN"/>
        </w:rPr>
        <w:t>不少于</w:t>
      </w:r>
      <w:r>
        <w:rPr>
          <w:rFonts w:hint="eastAsia" w:ascii="宋体" w:hAnsi="宋体" w:eastAsia="宋体" w:cs="宋体"/>
          <w:kern w:val="0"/>
          <w:sz w:val="24"/>
          <w:szCs w:val="24"/>
        </w:rPr>
        <w:t>25%，餐饮环节</w:t>
      </w:r>
      <w:r>
        <w:rPr>
          <w:rFonts w:hint="eastAsia" w:ascii="宋体" w:hAnsi="宋体" w:eastAsia="宋体" w:cs="宋体"/>
          <w:kern w:val="0"/>
          <w:sz w:val="24"/>
          <w:szCs w:val="24"/>
          <w:lang w:eastAsia="zh-CN"/>
        </w:rPr>
        <w:t>不少于</w:t>
      </w:r>
      <w:r>
        <w:rPr>
          <w:rFonts w:hint="eastAsia" w:ascii="宋体" w:hAnsi="宋体" w:eastAsia="宋体" w:cs="宋体"/>
          <w:kern w:val="0"/>
          <w:sz w:val="24"/>
          <w:szCs w:val="24"/>
        </w:rPr>
        <w:t>35%，其他(包含保健食品）5%（任务数不变的情况下，采购人可以根据实际情况自行调整抽检品类比例，最多不超过10%）。</w:t>
      </w:r>
    </w:p>
    <w:p w14:paraId="056137D0">
      <w:pPr>
        <w:snapToGrid w:val="0"/>
        <w:spacing w:line="360" w:lineRule="auto"/>
        <w:ind w:firstLine="480" w:firstLineChars="200"/>
        <w:rPr>
          <w:rFonts w:hint="eastAsia" w:ascii="宋体" w:hAnsi="宋体" w:eastAsia="宋体" w:cs="宋体"/>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.任务完成时限:二季度任务累计完成量</w:t>
      </w:r>
      <w:r>
        <w:rPr>
          <w:rFonts w:hint="eastAsia" w:ascii="宋体" w:hAnsi="宋体" w:eastAsia="宋体" w:cs="宋体"/>
          <w:kern w:val="0"/>
          <w:sz w:val="24"/>
          <w:szCs w:val="24"/>
          <w:lang w:val="en-US" w:eastAsia="zh-CN"/>
        </w:rPr>
        <w:t>55</w:t>
      </w:r>
      <w:r>
        <w:rPr>
          <w:rFonts w:hint="eastAsia" w:ascii="宋体" w:hAnsi="宋体" w:eastAsia="宋体" w:cs="宋体"/>
          <w:kern w:val="0"/>
          <w:sz w:val="24"/>
          <w:szCs w:val="24"/>
        </w:rPr>
        <w:t>%，三季度任务累计完成量</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0%，四季度完成量100%的均衡抽检。</w:t>
      </w:r>
    </w:p>
    <w:p w14:paraId="398494DB">
      <w:pPr>
        <w:snapToGri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（三）任务分配计划表</w:t>
      </w:r>
    </w:p>
    <w:tbl>
      <w:tblPr>
        <w:tblStyle w:val="60"/>
        <w:tblpPr w:leftFromText="180" w:rightFromText="180" w:vertAnchor="text" w:tblpY="1"/>
        <w:tblOverlap w:val="never"/>
        <w:tblW w:w="9519" w:type="dxa"/>
        <w:tblInd w:w="0" w:type="dxa"/>
        <w:tblLayout w:type="autofit"/>
        <w:tblCellMar>
          <w:top w:w="0" w:type="dxa"/>
          <w:left w:w="108" w:type="dxa"/>
          <w:bottom w:w="0" w:type="dxa"/>
          <w:right w:w="108" w:type="dxa"/>
        </w:tblCellMar>
      </w:tblPr>
      <w:tblGrid>
        <w:gridCol w:w="1710"/>
        <w:gridCol w:w="3270"/>
        <w:gridCol w:w="4539"/>
      </w:tblGrid>
      <w:tr w14:paraId="57E92D9D">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A190">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序号</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E748">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抽检区域</w:t>
            </w:r>
          </w:p>
        </w:tc>
        <w:tc>
          <w:tcPr>
            <w:tcW w:w="4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6CE6">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bidi="ar"/>
              </w:rPr>
              <w:t>计划抽检批次</w:t>
            </w:r>
          </w:p>
        </w:tc>
      </w:tr>
      <w:tr w14:paraId="25045AD9">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C2E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35AB">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八桥</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279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200 </w:t>
            </w:r>
          </w:p>
        </w:tc>
      </w:tr>
      <w:tr w14:paraId="793A53DD">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4AD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8C82">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跳磴</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A98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160</w:t>
            </w:r>
          </w:p>
        </w:tc>
      </w:tr>
      <w:tr w14:paraId="40026D3C">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F12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7216">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春晖</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990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180 </w:t>
            </w:r>
          </w:p>
        </w:tc>
      </w:tr>
      <w:tr w14:paraId="649BE5EB">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32D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1454">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跃进村</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586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 xml:space="preserve">140 </w:t>
            </w:r>
          </w:p>
        </w:tc>
      </w:tr>
      <w:tr w14:paraId="4DE3EE57">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7D0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D4F0">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建胜</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337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140</w:t>
            </w:r>
          </w:p>
        </w:tc>
      </w:tr>
      <w:tr w14:paraId="325FDA9F">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C63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7D4D">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九宫庙</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0A4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140</w:t>
            </w:r>
          </w:p>
        </w:tc>
      </w:tr>
      <w:tr w14:paraId="2E31CD6A">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37C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A96C">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茄子溪</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B82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r>
      <w:tr w14:paraId="136C2CB0">
        <w:tblPrEx>
          <w:tblCellMar>
            <w:top w:w="0" w:type="dxa"/>
            <w:left w:w="108" w:type="dxa"/>
            <w:bottom w:w="0" w:type="dxa"/>
            <w:right w:w="108" w:type="dxa"/>
          </w:tblCellMar>
        </w:tblPrEx>
        <w:trPr>
          <w:trHeight w:val="38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7A3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A3C2">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新山村</w:t>
            </w:r>
          </w:p>
        </w:tc>
        <w:tc>
          <w:tcPr>
            <w:tcW w:w="4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B27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140</w:t>
            </w:r>
          </w:p>
        </w:tc>
      </w:tr>
      <w:tr w14:paraId="008B4127">
        <w:tblPrEx>
          <w:tblCellMar>
            <w:top w:w="0" w:type="dxa"/>
            <w:left w:w="108" w:type="dxa"/>
            <w:bottom w:w="0" w:type="dxa"/>
            <w:right w:w="108" w:type="dxa"/>
          </w:tblCellMar>
        </w:tblPrEx>
        <w:trPr>
          <w:trHeight w:val="380" w:hRule="atLeast"/>
        </w:trPr>
        <w:tc>
          <w:tcPr>
            <w:tcW w:w="9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7D617">
            <w:pPr>
              <w:widowControl/>
              <w:jc w:val="left"/>
              <w:textAlignment w:val="center"/>
              <w:rPr>
                <w:rFonts w:hint="eastAsia" w:ascii="宋体" w:hAnsi="宋体" w:eastAsia="宋体" w:cs="宋体"/>
                <w:color w:val="FF0000"/>
                <w:kern w:val="0"/>
                <w:sz w:val="24"/>
                <w:szCs w:val="24"/>
                <w:lang w:bidi="ar"/>
              </w:rPr>
            </w:pPr>
            <w:r>
              <w:rPr>
                <w:rFonts w:hint="eastAsia" w:ascii="宋体" w:hAnsi="宋体" w:eastAsia="宋体" w:cs="宋体"/>
                <w:color w:val="auto"/>
                <w:kern w:val="0"/>
                <w:sz w:val="24"/>
                <w:szCs w:val="24"/>
                <w:lang w:bidi="ar"/>
              </w:rPr>
              <w:t>注：最终根据成交供应商中标批次进行抽检，当中标批次大于计划抽检批次时，由成交供应商与采购人协商确定抽检批次。</w:t>
            </w:r>
          </w:p>
        </w:tc>
      </w:tr>
    </w:tbl>
    <w:p w14:paraId="62030FC7">
      <w:pPr>
        <w:pageBreakBefore w:val="0"/>
        <w:kinsoku/>
        <w:wordWrap/>
        <w:overflowPunct/>
        <w:topLinePunct w:val="0"/>
        <w:autoSpaceDE/>
        <w:autoSpaceDN/>
        <w:bidi w:val="0"/>
        <w:snapToGrid w:val="0"/>
        <w:spacing w:line="440" w:lineRule="exact"/>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（四）重点抽检品类（必抽）</w:t>
      </w:r>
    </w:p>
    <w:tbl>
      <w:tblPr>
        <w:tblStyle w:val="60"/>
        <w:tblpPr w:leftFromText="180" w:rightFromText="180" w:vertAnchor="text" w:horzAnchor="page" w:tblpX="1267" w:tblpY="391"/>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3054"/>
        <w:gridCol w:w="3940"/>
      </w:tblGrid>
      <w:tr w14:paraId="1BE6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49" w:type="dxa"/>
            <w:vAlign w:val="center"/>
          </w:tcPr>
          <w:p w14:paraId="2CC26D0D">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品种</w:t>
            </w:r>
          </w:p>
        </w:tc>
        <w:tc>
          <w:tcPr>
            <w:tcW w:w="3054" w:type="dxa"/>
            <w:vAlign w:val="center"/>
          </w:tcPr>
          <w:p w14:paraId="00D88116">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3940" w:type="dxa"/>
            <w:vAlign w:val="center"/>
          </w:tcPr>
          <w:p w14:paraId="7CC408C3">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2940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49" w:type="dxa"/>
            <w:vAlign w:val="center"/>
          </w:tcPr>
          <w:p w14:paraId="632E5A11">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粮食及其加工制品</w:t>
            </w:r>
          </w:p>
        </w:tc>
        <w:tc>
          <w:tcPr>
            <w:tcW w:w="3054" w:type="dxa"/>
            <w:vAlign w:val="center"/>
          </w:tcPr>
          <w:p w14:paraId="2A4C8E9E">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总量不低于80批次</w:t>
            </w:r>
          </w:p>
        </w:tc>
        <w:tc>
          <w:tcPr>
            <w:tcW w:w="3940" w:type="dxa"/>
            <w:vAlign w:val="center"/>
          </w:tcPr>
          <w:p w14:paraId="05D9ECA6">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重点检测重金属污染物</w:t>
            </w:r>
          </w:p>
        </w:tc>
      </w:tr>
      <w:tr w14:paraId="71CE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49" w:type="dxa"/>
            <w:vAlign w:val="center"/>
          </w:tcPr>
          <w:p w14:paraId="7312E3A3">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调味面制品</w:t>
            </w:r>
          </w:p>
        </w:tc>
        <w:tc>
          <w:tcPr>
            <w:tcW w:w="3054" w:type="dxa"/>
            <w:vAlign w:val="center"/>
          </w:tcPr>
          <w:p w14:paraId="62297192">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总量不低于70批次</w:t>
            </w:r>
          </w:p>
        </w:tc>
        <w:tc>
          <w:tcPr>
            <w:tcW w:w="3940" w:type="dxa"/>
            <w:vAlign w:val="center"/>
          </w:tcPr>
          <w:p w14:paraId="6D182E82">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重点抽检对象为校园周边</w:t>
            </w:r>
          </w:p>
        </w:tc>
      </w:tr>
      <w:tr w14:paraId="7CB5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49" w:type="dxa"/>
            <w:vAlign w:val="center"/>
          </w:tcPr>
          <w:p w14:paraId="1CC1FA0B">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水发产品</w:t>
            </w:r>
          </w:p>
        </w:tc>
        <w:tc>
          <w:tcPr>
            <w:tcW w:w="3054" w:type="dxa"/>
            <w:vAlign w:val="center"/>
          </w:tcPr>
          <w:p w14:paraId="1756B992">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总量不低于40批次</w:t>
            </w:r>
          </w:p>
        </w:tc>
        <w:tc>
          <w:tcPr>
            <w:tcW w:w="3940" w:type="dxa"/>
            <w:vAlign w:val="center"/>
          </w:tcPr>
          <w:p w14:paraId="519E24A8">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重点抽检餐饮火锅店</w:t>
            </w:r>
          </w:p>
        </w:tc>
      </w:tr>
      <w:tr w14:paraId="20E2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49" w:type="dxa"/>
            <w:vAlign w:val="center"/>
          </w:tcPr>
          <w:p w14:paraId="48916137">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淀粉及淀粉制品</w:t>
            </w:r>
          </w:p>
        </w:tc>
        <w:tc>
          <w:tcPr>
            <w:tcW w:w="3054" w:type="dxa"/>
            <w:vAlign w:val="center"/>
          </w:tcPr>
          <w:p w14:paraId="0D331D63">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总量不低于60批次</w:t>
            </w:r>
          </w:p>
        </w:tc>
        <w:tc>
          <w:tcPr>
            <w:tcW w:w="3940" w:type="dxa"/>
            <w:vAlign w:val="center"/>
          </w:tcPr>
          <w:p w14:paraId="753B7E48">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r>
      <w:tr w14:paraId="3937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49" w:type="dxa"/>
            <w:vAlign w:val="center"/>
          </w:tcPr>
          <w:p w14:paraId="0DCA4899">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保健食品</w:t>
            </w:r>
          </w:p>
        </w:tc>
        <w:tc>
          <w:tcPr>
            <w:tcW w:w="3054" w:type="dxa"/>
            <w:vAlign w:val="center"/>
          </w:tcPr>
          <w:p w14:paraId="4C092E39">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总量不低于9批次</w:t>
            </w:r>
          </w:p>
        </w:tc>
        <w:tc>
          <w:tcPr>
            <w:tcW w:w="3940" w:type="dxa"/>
            <w:vAlign w:val="center"/>
          </w:tcPr>
          <w:p w14:paraId="3D31C2B6">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r>
      <w:tr w14:paraId="1FA0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49" w:type="dxa"/>
            <w:vAlign w:val="center"/>
          </w:tcPr>
          <w:p w14:paraId="2EAC0E23">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发酵面制品</w:t>
            </w:r>
          </w:p>
        </w:tc>
        <w:tc>
          <w:tcPr>
            <w:tcW w:w="3054" w:type="dxa"/>
            <w:vAlign w:val="center"/>
          </w:tcPr>
          <w:p w14:paraId="3C75FD29">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总量不低于60批次</w:t>
            </w:r>
          </w:p>
        </w:tc>
        <w:tc>
          <w:tcPr>
            <w:tcW w:w="3940" w:type="dxa"/>
            <w:vAlign w:val="center"/>
          </w:tcPr>
          <w:p w14:paraId="122ECB8C">
            <w:pPr>
              <w:keepNext w:val="0"/>
              <w:keepLines w:val="0"/>
              <w:pageBreakBefore w:val="0"/>
              <w:widowControl/>
              <w:kinsoku/>
              <w:wordWrap/>
              <w:overflowPunct/>
              <w:topLinePunct w:val="0"/>
              <w:autoSpaceDE/>
              <w:autoSpaceDN/>
              <w:bidi w:val="0"/>
              <w:adjustRightInd w:val="0"/>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r>
    </w:tbl>
    <w:p w14:paraId="2E56EA21">
      <w:pPr>
        <w:pStyle w:val="4"/>
        <w:pageBreakBefore w:val="0"/>
        <w:numPr>
          <w:ilvl w:val="0"/>
          <w:numId w:val="0"/>
        </w:numPr>
        <w:kinsoku/>
        <w:wordWrap/>
        <w:overflowPunct/>
        <w:topLinePunct w:val="0"/>
        <w:autoSpaceDE/>
        <w:autoSpaceDN/>
        <w:bidi w:val="0"/>
        <w:adjustRightInd/>
        <w:spacing w:before="0" w:after="0" w:line="360" w:lineRule="auto"/>
        <w:textAlignment w:val="auto"/>
        <w:rPr>
          <w:rFonts w:hint="eastAsia" w:ascii="宋体" w:hAnsi="宋体" w:eastAsia="宋体" w:cs="宋体"/>
          <w:color w:val="000000"/>
          <w:sz w:val="24"/>
          <w:szCs w:val="24"/>
        </w:rPr>
      </w:pPr>
      <w:bookmarkStart w:id="36" w:name="_Toc9175"/>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检测</w:t>
      </w:r>
      <w:r>
        <w:rPr>
          <w:rFonts w:hint="eastAsia" w:ascii="宋体" w:hAnsi="宋体" w:eastAsia="宋体" w:cs="宋体"/>
          <w:color w:val="000000"/>
          <w:sz w:val="24"/>
          <w:szCs w:val="24"/>
          <w:lang w:eastAsia="zh-CN"/>
        </w:rPr>
        <w:t>品种及</w:t>
      </w:r>
      <w:r>
        <w:rPr>
          <w:rFonts w:hint="eastAsia" w:ascii="宋体" w:hAnsi="宋体" w:eastAsia="宋体" w:cs="宋体"/>
          <w:color w:val="000000"/>
          <w:sz w:val="24"/>
          <w:szCs w:val="24"/>
        </w:rPr>
        <w:t>指标要求</w:t>
      </w:r>
      <w:bookmarkEnd w:id="33"/>
      <w:bookmarkEnd w:id="34"/>
      <w:bookmarkEnd w:id="35"/>
      <w:bookmarkEnd w:id="36"/>
    </w:p>
    <w:p w14:paraId="0363AF24">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pacing w:val="-20"/>
          <w:w w:val="98"/>
          <w:kern w:val="2"/>
          <w:sz w:val="44"/>
          <w:szCs w:val="44"/>
        </w:rPr>
      </w:pPr>
      <w:r>
        <w:rPr>
          <w:rFonts w:hint="eastAsia" w:ascii="宋体" w:hAnsi="宋体" w:eastAsia="宋体" w:cs="宋体"/>
          <w:kern w:val="0"/>
          <w:sz w:val="24"/>
          <w:szCs w:val="24"/>
          <w:lang w:eastAsia="zh-CN"/>
        </w:rPr>
        <w:t>工业加工食品和餐饮食品抽检品种参照2025年国家总局食品安全监督抽检计划（重庆承担）任务的抽检品种，检验项目</w:t>
      </w:r>
      <w:r>
        <w:rPr>
          <w:rFonts w:hint="eastAsia" w:ascii="宋体" w:hAnsi="宋体" w:eastAsia="宋体" w:cs="宋体"/>
          <w:sz w:val="24"/>
          <w:szCs w:val="24"/>
        </w:rPr>
        <w:t>以发现问题为导</w:t>
      </w:r>
      <w:r>
        <w:rPr>
          <w:rFonts w:hint="eastAsia" w:ascii="宋体" w:hAnsi="宋体" w:eastAsia="宋体" w:cs="宋体"/>
          <w:sz w:val="24"/>
          <w:szCs w:val="24"/>
          <w:highlight w:val="none"/>
          <w:lang w:eastAsia="zh-CN"/>
        </w:rPr>
        <w:t>向</w:t>
      </w:r>
      <w:r>
        <w:rPr>
          <w:rFonts w:hint="eastAsia" w:ascii="宋体" w:hAnsi="宋体" w:eastAsia="宋体" w:cs="宋体"/>
          <w:sz w:val="24"/>
          <w:szCs w:val="24"/>
          <w:lang w:eastAsia="zh-CN"/>
        </w:rPr>
        <w:t>，</w:t>
      </w:r>
      <w:r>
        <w:rPr>
          <w:rFonts w:hint="eastAsia" w:ascii="宋体" w:hAnsi="宋体" w:eastAsia="宋体" w:cs="宋体"/>
          <w:kern w:val="0"/>
          <w:sz w:val="24"/>
          <w:szCs w:val="24"/>
          <w:lang w:eastAsia="zh-CN"/>
        </w:rPr>
        <w:t>结合</w:t>
      </w:r>
      <w:r>
        <w:rPr>
          <w:rFonts w:hint="eastAsia" w:ascii="宋体" w:hAnsi="宋体" w:eastAsia="宋体" w:cs="宋体"/>
          <w:kern w:val="0"/>
          <w:sz w:val="24"/>
          <w:szCs w:val="24"/>
        </w:rPr>
        <w:t>《全国食品安全监督抽检实施细则（2025年版）》</w:t>
      </w:r>
      <w:r>
        <w:rPr>
          <w:rFonts w:hint="eastAsia" w:ascii="宋体" w:hAnsi="宋体" w:eastAsia="宋体" w:cs="宋体"/>
          <w:kern w:val="0"/>
          <w:sz w:val="24"/>
          <w:szCs w:val="24"/>
          <w:lang w:eastAsia="zh-CN"/>
        </w:rPr>
        <w:t>选择既往抽检不合格率较高、风险较大、公众关注度</w:t>
      </w:r>
      <w:r>
        <w:rPr>
          <w:rFonts w:hint="eastAsia" w:ascii="宋体" w:hAnsi="宋体" w:eastAsia="宋体" w:cs="宋体"/>
          <w:kern w:val="0"/>
          <w:sz w:val="24"/>
          <w:szCs w:val="24"/>
          <w:highlight w:val="none"/>
          <w:lang w:eastAsia="zh-CN"/>
        </w:rPr>
        <w:t>较</w:t>
      </w:r>
      <w:r>
        <w:rPr>
          <w:rFonts w:hint="eastAsia" w:ascii="宋体" w:hAnsi="宋体" w:eastAsia="宋体" w:cs="宋体"/>
          <w:kern w:val="0"/>
          <w:sz w:val="24"/>
          <w:szCs w:val="24"/>
          <w:lang w:eastAsia="zh-CN"/>
        </w:rPr>
        <w:t>高的检验项目进行检验，且所选检验项目不少于</w:t>
      </w:r>
      <w:r>
        <w:rPr>
          <w:rFonts w:hint="eastAsia" w:ascii="宋体" w:hAnsi="宋体" w:eastAsia="宋体" w:cs="宋体"/>
          <w:kern w:val="0"/>
          <w:sz w:val="24"/>
          <w:szCs w:val="24"/>
          <w:lang w:val="en-US" w:eastAsia="zh-CN"/>
        </w:rPr>
        <w:t>三个，</w:t>
      </w:r>
      <w:r>
        <w:rPr>
          <w:rFonts w:hint="eastAsia" w:ascii="宋体" w:hAnsi="宋体" w:eastAsia="宋体" w:cs="宋体"/>
          <w:sz w:val="24"/>
          <w:szCs w:val="24"/>
          <w:lang w:eastAsia="zh-CN"/>
        </w:rPr>
        <w:t>可</w:t>
      </w:r>
      <w:r>
        <w:rPr>
          <w:rFonts w:hint="eastAsia" w:ascii="宋体" w:hAnsi="宋体" w:eastAsia="宋体" w:cs="宋体"/>
          <w:sz w:val="24"/>
          <w:szCs w:val="24"/>
        </w:rPr>
        <w:t>根据实际情况进行调整，</w:t>
      </w:r>
      <w:r>
        <w:rPr>
          <w:rFonts w:hint="eastAsia" w:ascii="宋体" w:hAnsi="宋体" w:eastAsia="宋体" w:cs="宋体"/>
          <w:kern w:val="0"/>
          <w:sz w:val="24"/>
          <w:szCs w:val="24"/>
          <w:lang w:eastAsia="zh-CN"/>
        </w:rPr>
        <w:t>检验方法</w:t>
      </w:r>
      <w:r>
        <w:rPr>
          <w:rFonts w:hint="eastAsia" w:ascii="宋体" w:hAnsi="宋体" w:eastAsia="宋体" w:cs="宋体"/>
          <w:kern w:val="0"/>
          <w:sz w:val="24"/>
          <w:szCs w:val="24"/>
        </w:rPr>
        <w:t>参照《全国食品安全监督抽检实施细则（2025年版）》。食用农产品抽检应包括总局要求的重点品种</w:t>
      </w:r>
      <w:r>
        <w:rPr>
          <w:rFonts w:hint="eastAsia" w:ascii="宋体" w:hAnsi="宋体" w:eastAsia="宋体" w:cs="宋体"/>
          <w:kern w:val="0"/>
          <w:sz w:val="24"/>
          <w:szCs w:val="24"/>
          <w:lang w:eastAsia="zh-CN"/>
        </w:rPr>
        <w:t>和</w:t>
      </w:r>
      <w:r>
        <w:rPr>
          <w:rFonts w:hint="eastAsia" w:ascii="宋体" w:hAnsi="宋体" w:eastAsia="宋体" w:cs="宋体"/>
          <w:kern w:val="0"/>
          <w:sz w:val="24"/>
          <w:szCs w:val="24"/>
        </w:rPr>
        <w:t>必检项目，同时结合实际选择不少于两个自选项目</w:t>
      </w:r>
      <w:r>
        <w:rPr>
          <w:rFonts w:hint="eastAsia" w:ascii="宋体" w:hAnsi="宋体" w:eastAsia="宋体" w:cs="宋体"/>
          <w:kern w:val="0"/>
          <w:sz w:val="24"/>
          <w:szCs w:val="24"/>
          <w:lang w:eastAsia="zh-CN"/>
        </w:rPr>
        <w:t>，</w:t>
      </w:r>
      <w:r>
        <w:rPr>
          <w:rFonts w:hint="eastAsia" w:ascii="宋体" w:hAnsi="宋体" w:eastAsia="宋体" w:cs="宋体"/>
          <w:kern w:val="0"/>
          <w:sz w:val="24"/>
          <w:szCs w:val="24"/>
          <w:highlight w:val="none"/>
          <w:lang w:eastAsia="zh-CN"/>
        </w:rPr>
        <w:t>抽检品种和检验项目具体见下表，</w:t>
      </w:r>
      <w:r>
        <w:rPr>
          <w:rFonts w:hint="eastAsia" w:ascii="宋体" w:hAnsi="宋体" w:eastAsia="宋体" w:cs="宋体"/>
          <w:kern w:val="0"/>
          <w:sz w:val="24"/>
          <w:szCs w:val="24"/>
          <w:lang w:eastAsia="zh-CN"/>
        </w:rPr>
        <w:t>若无必检项目的，选检项目应不少于</w:t>
      </w:r>
      <w:r>
        <w:rPr>
          <w:rFonts w:hint="eastAsia" w:ascii="宋体" w:hAnsi="宋体" w:eastAsia="宋体" w:cs="宋体"/>
          <w:kern w:val="0"/>
          <w:sz w:val="24"/>
          <w:szCs w:val="24"/>
          <w:lang w:val="en-US" w:eastAsia="zh-CN"/>
        </w:rPr>
        <w:t>三个，</w:t>
      </w:r>
      <w:r>
        <w:rPr>
          <w:rFonts w:hint="eastAsia" w:ascii="宋体" w:hAnsi="宋体" w:eastAsia="宋体" w:cs="宋体"/>
          <w:kern w:val="0"/>
          <w:sz w:val="24"/>
          <w:szCs w:val="24"/>
        </w:rPr>
        <w:t>检验方法参照《全国食品安全监督抽检实施细则（2025年版）》</w:t>
      </w:r>
      <w:r>
        <w:rPr>
          <w:rFonts w:hint="eastAsia" w:ascii="宋体" w:hAnsi="宋体" w:eastAsia="宋体" w:cs="宋体"/>
          <w:kern w:val="0"/>
          <w:sz w:val="24"/>
          <w:szCs w:val="24"/>
          <w:lang w:eastAsia="zh-CN"/>
        </w:rPr>
        <w:t>。</w:t>
      </w:r>
    </w:p>
    <w:p w14:paraId="5F76A523">
      <w:pPr>
        <w:pStyle w:val="59"/>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center"/>
        <w:textAlignment w:val="auto"/>
        <w:outlineLvl w:val="9"/>
        <w:rPr>
          <w:rFonts w:hint="eastAsia" w:ascii="宋体" w:hAnsi="宋体" w:eastAsia="宋体" w:cs="宋体"/>
          <w:color w:val="000000"/>
          <w:kern w:val="0"/>
          <w:sz w:val="44"/>
          <w:szCs w:val="44"/>
        </w:rPr>
      </w:pPr>
      <w:r>
        <w:rPr>
          <w:rFonts w:hint="eastAsia" w:ascii="宋体" w:hAnsi="宋体" w:eastAsia="宋体" w:cs="宋体"/>
          <w:kern w:val="0"/>
          <w:sz w:val="24"/>
          <w:szCs w:val="24"/>
          <w:lang w:val="en-US" w:eastAsia="zh-CN" w:bidi="ar-SA"/>
        </w:rPr>
        <w:t>食用农产品抽检品种、项目表</w:t>
      </w:r>
    </w:p>
    <w:tbl>
      <w:tblPr>
        <w:tblStyle w:val="60"/>
        <w:tblW w:w="93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6"/>
        <w:gridCol w:w="988"/>
        <w:gridCol w:w="1025"/>
        <w:gridCol w:w="1025"/>
        <w:gridCol w:w="675"/>
        <w:gridCol w:w="1164"/>
        <w:gridCol w:w="2370"/>
        <w:gridCol w:w="1088"/>
      </w:tblGrid>
      <w:tr w14:paraId="6C89D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jc w:val="center"/>
        </w:trPr>
        <w:tc>
          <w:tcPr>
            <w:tcW w:w="986" w:type="dxa"/>
            <w:noWrap w:val="0"/>
            <w:vAlign w:val="center"/>
          </w:tcPr>
          <w:p w14:paraId="3E8BE94E">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食品</w:t>
            </w:r>
          </w:p>
          <w:p w14:paraId="403C3E41">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大类</w:t>
            </w:r>
          </w:p>
          <w:p w14:paraId="366EE818">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（一级）</w:t>
            </w:r>
          </w:p>
        </w:tc>
        <w:tc>
          <w:tcPr>
            <w:tcW w:w="988" w:type="dxa"/>
            <w:noWrap w:val="0"/>
            <w:vAlign w:val="center"/>
          </w:tcPr>
          <w:p w14:paraId="75601EFC">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食品</w:t>
            </w:r>
          </w:p>
          <w:p w14:paraId="45842A1F">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亚类</w:t>
            </w:r>
          </w:p>
          <w:p w14:paraId="0D8224F6">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（二级）</w:t>
            </w:r>
          </w:p>
        </w:tc>
        <w:tc>
          <w:tcPr>
            <w:tcW w:w="1025" w:type="dxa"/>
            <w:noWrap w:val="0"/>
            <w:vAlign w:val="center"/>
          </w:tcPr>
          <w:p w14:paraId="63F174EA">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食品</w:t>
            </w:r>
          </w:p>
          <w:p w14:paraId="68BE8924">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品种</w:t>
            </w:r>
          </w:p>
          <w:p w14:paraId="51DBD85E">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（三级）</w:t>
            </w:r>
          </w:p>
        </w:tc>
        <w:tc>
          <w:tcPr>
            <w:tcW w:w="1025" w:type="dxa"/>
            <w:noWrap w:val="0"/>
            <w:vAlign w:val="center"/>
          </w:tcPr>
          <w:p w14:paraId="360F3CE2">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食品</w:t>
            </w:r>
          </w:p>
          <w:p w14:paraId="682774CE">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细类</w:t>
            </w:r>
          </w:p>
          <w:p w14:paraId="30EE0A50">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（四级）</w:t>
            </w:r>
          </w:p>
        </w:tc>
        <w:tc>
          <w:tcPr>
            <w:tcW w:w="675" w:type="dxa"/>
            <w:noWrap w:val="0"/>
            <w:vAlign w:val="center"/>
          </w:tcPr>
          <w:p w14:paraId="07021786">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风险等级</w:t>
            </w:r>
          </w:p>
        </w:tc>
        <w:tc>
          <w:tcPr>
            <w:tcW w:w="1164" w:type="dxa"/>
            <w:noWrap w:val="0"/>
            <w:vAlign w:val="center"/>
          </w:tcPr>
          <w:p w14:paraId="44EDFD0E">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必检项目</w:t>
            </w:r>
          </w:p>
        </w:tc>
        <w:tc>
          <w:tcPr>
            <w:tcW w:w="2370" w:type="dxa"/>
            <w:noWrap w:val="0"/>
            <w:vAlign w:val="center"/>
          </w:tcPr>
          <w:p w14:paraId="654AE05C">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选检项目</w:t>
            </w:r>
          </w:p>
        </w:tc>
        <w:tc>
          <w:tcPr>
            <w:tcW w:w="1088" w:type="dxa"/>
            <w:noWrap w:val="0"/>
            <w:vAlign w:val="center"/>
          </w:tcPr>
          <w:p w14:paraId="33E00C48">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highlight w:val="none"/>
                <w:lang w:val="en-US" w:eastAsia="zh-CN" w:bidi="ar"/>
              </w:rPr>
              <w:t>备注</w:t>
            </w:r>
          </w:p>
        </w:tc>
      </w:tr>
      <w:tr w14:paraId="374FF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79771A2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畜禽肉及副产品</w:t>
            </w:r>
          </w:p>
        </w:tc>
        <w:tc>
          <w:tcPr>
            <w:tcW w:w="988" w:type="dxa"/>
            <w:vMerge w:val="restart"/>
            <w:noWrap w:val="0"/>
            <w:vAlign w:val="center"/>
          </w:tcPr>
          <w:p w14:paraId="7DAEC31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畜禽肉及副产品</w:t>
            </w:r>
          </w:p>
        </w:tc>
        <w:tc>
          <w:tcPr>
            <w:tcW w:w="1025" w:type="dxa"/>
            <w:vMerge w:val="restart"/>
            <w:noWrap w:val="0"/>
            <w:vAlign w:val="center"/>
          </w:tcPr>
          <w:p w14:paraId="21BF1E1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畜肉</w:t>
            </w:r>
          </w:p>
        </w:tc>
        <w:tc>
          <w:tcPr>
            <w:tcW w:w="1025" w:type="dxa"/>
            <w:noWrap w:val="0"/>
            <w:vAlign w:val="center"/>
          </w:tcPr>
          <w:p w14:paraId="2DBBFD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猪肉</w:t>
            </w:r>
          </w:p>
        </w:tc>
        <w:tc>
          <w:tcPr>
            <w:tcW w:w="675" w:type="dxa"/>
            <w:noWrap w:val="0"/>
            <w:vAlign w:val="center"/>
          </w:tcPr>
          <w:p w14:paraId="5993E05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5B3751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甲氧苄啶、恩诺沙星、磺胺类（总量）</w:t>
            </w:r>
          </w:p>
        </w:tc>
        <w:tc>
          <w:tcPr>
            <w:tcW w:w="2370" w:type="dxa"/>
            <w:noWrap w:val="0"/>
            <w:vAlign w:val="center"/>
          </w:tcPr>
          <w:p w14:paraId="2B52FC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氧苄啶、恩诺沙星、磺胺类（总量）、挥发性盐基氮、呋喃唑酮代谢物、呋喃西林代谢物、氯霉素、克伦特罗、莱克多巴胺、沙丁胺醇、喹乙醇、替米考星、氟苯尼考、多西环素、地塞米松、甲硝唑、氯丙嗪、土霉素/金霉素/四环素（组合含量）、林可霉素</w:t>
            </w:r>
          </w:p>
        </w:tc>
        <w:tc>
          <w:tcPr>
            <w:tcW w:w="1088" w:type="dxa"/>
            <w:noWrap w:val="0"/>
            <w:vAlign w:val="center"/>
          </w:tcPr>
          <w:p w14:paraId="1BAAE5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E5E9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076EE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094FB2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3906A4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9326A1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牛肉</w:t>
            </w:r>
          </w:p>
        </w:tc>
        <w:tc>
          <w:tcPr>
            <w:tcW w:w="675" w:type="dxa"/>
            <w:noWrap w:val="0"/>
            <w:vAlign w:val="center"/>
          </w:tcPr>
          <w:p w14:paraId="10B4ED2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036A6AD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林可霉素、土霉素/金霉素/四环素（组合含量）、地塞米松</w:t>
            </w:r>
          </w:p>
        </w:tc>
        <w:tc>
          <w:tcPr>
            <w:tcW w:w="2370" w:type="dxa"/>
            <w:noWrap w:val="0"/>
            <w:vAlign w:val="center"/>
          </w:tcPr>
          <w:p w14:paraId="1192105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林可霉素、土霉素/金霉素/四环素（组合含量）、地塞米松、挥发性盐基氮、水分、呋喃唑酮代谢物、呋喃西林代谢物、氯霉素、克伦特罗、莱克多巴胺、沙丁胺醇、恩诺沙星、磺胺类（总量）、甲氧苄啶、氟苯尼考、多西环素、倍他米松</w:t>
            </w:r>
          </w:p>
        </w:tc>
        <w:tc>
          <w:tcPr>
            <w:tcW w:w="1088" w:type="dxa"/>
            <w:noWrap w:val="0"/>
            <w:vAlign w:val="center"/>
          </w:tcPr>
          <w:p w14:paraId="7DC6440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7349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106FD6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FF323D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974F4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721B207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羊肉</w:t>
            </w:r>
          </w:p>
        </w:tc>
        <w:tc>
          <w:tcPr>
            <w:tcW w:w="675" w:type="dxa"/>
            <w:noWrap w:val="0"/>
            <w:vAlign w:val="center"/>
          </w:tcPr>
          <w:p w14:paraId="479DE8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65DC32B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FF4C96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恩诺沙星、磺胺类（总量）、克伦特罗、莱克多巴胺、沙丁胺醇、土霉素/金霉素/四环素（组合含量）</w:t>
            </w:r>
          </w:p>
        </w:tc>
        <w:tc>
          <w:tcPr>
            <w:tcW w:w="1088" w:type="dxa"/>
            <w:noWrap w:val="0"/>
            <w:vAlign w:val="center"/>
          </w:tcPr>
          <w:p w14:paraId="01B90CA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0B24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04180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4244F8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A457D5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92AB19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其他畜肉</w:t>
            </w:r>
          </w:p>
        </w:tc>
        <w:tc>
          <w:tcPr>
            <w:tcW w:w="675" w:type="dxa"/>
            <w:noWrap w:val="0"/>
            <w:vAlign w:val="center"/>
          </w:tcPr>
          <w:p w14:paraId="25F3662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4197D20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29697E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呋喃唑酮代谢物、氯霉素、克伦特罗、莱克多巴胺、沙丁胺醇</w:t>
            </w:r>
          </w:p>
        </w:tc>
        <w:tc>
          <w:tcPr>
            <w:tcW w:w="1088" w:type="dxa"/>
            <w:noWrap w:val="0"/>
            <w:vAlign w:val="center"/>
          </w:tcPr>
          <w:p w14:paraId="23278DD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D453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9058B0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C7980B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6036C92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禽肉</w:t>
            </w:r>
          </w:p>
        </w:tc>
        <w:tc>
          <w:tcPr>
            <w:tcW w:w="1025" w:type="dxa"/>
            <w:noWrap w:val="0"/>
            <w:vAlign w:val="center"/>
          </w:tcPr>
          <w:p w14:paraId="0EF8B19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鸡肉</w:t>
            </w:r>
          </w:p>
        </w:tc>
        <w:tc>
          <w:tcPr>
            <w:tcW w:w="675" w:type="dxa"/>
            <w:noWrap w:val="0"/>
            <w:vAlign w:val="center"/>
          </w:tcPr>
          <w:p w14:paraId="064507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4E81418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呋喃西林代谢物、多西环素、恩诺沙星、甲氧苄啶、磺胺类（总量）</w:t>
            </w:r>
          </w:p>
        </w:tc>
        <w:tc>
          <w:tcPr>
            <w:tcW w:w="2370" w:type="dxa"/>
            <w:noWrap w:val="0"/>
            <w:vAlign w:val="center"/>
          </w:tcPr>
          <w:p w14:paraId="59494FC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呋喃西林代谢物、多西环素、恩诺沙星、甲氧苄啶、磺胺类（总量）、挥发性盐基氮、呋喃唑酮代谢物、呋喃它酮代谢物、氯霉素、氧氟沙星、培氟沙星、诺氟沙星、沙拉沙星、替米考星、氟苯尼考、甲硝唑 、尼卡巴嗪、环丙氨嗪、土霉素/金霉素/四环素（组合含量）</w:t>
            </w:r>
          </w:p>
        </w:tc>
        <w:tc>
          <w:tcPr>
            <w:tcW w:w="1088" w:type="dxa"/>
            <w:noWrap w:val="0"/>
            <w:vAlign w:val="center"/>
          </w:tcPr>
          <w:p w14:paraId="7AA0AB3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B303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517031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12E98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B1CD04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F67B86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鸭肉</w:t>
            </w:r>
          </w:p>
        </w:tc>
        <w:tc>
          <w:tcPr>
            <w:tcW w:w="675" w:type="dxa"/>
            <w:noWrap w:val="0"/>
            <w:vAlign w:val="center"/>
          </w:tcPr>
          <w:p w14:paraId="52E79D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682F4BB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w:t>
            </w:r>
          </w:p>
        </w:tc>
        <w:tc>
          <w:tcPr>
            <w:tcW w:w="2370" w:type="dxa"/>
            <w:noWrap w:val="0"/>
            <w:vAlign w:val="center"/>
          </w:tcPr>
          <w:p w14:paraId="05173C4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呋喃唑酮代谢物、呋喃妥因代谢物、氯霉素、氧氟沙星、恩诺沙星、磺胺类（总量）、 氟苯尼考、多西环素、甲硝唑、环丙氨嗪</w:t>
            </w:r>
          </w:p>
        </w:tc>
        <w:tc>
          <w:tcPr>
            <w:tcW w:w="1088" w:type="dxa"/>
            <w:noWrap w:val="0"/>
            <w:vAlign w:val="center"/>
          </w:tcPr>
          <w:p w14:paraId="7DFECED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FE72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56F15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B691FA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B1E1B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E09D77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其他禽肉</w:t>
            </w:r>
          </w:p>
        </w:tc>
        <w:tc>
          <w:tcPr>
            <w:tcW w:w="675" w:type="dxa"/>
            <w:noWrap w:val="0"/>
            <w:vAlign w:val="center"/>
          </w:tcPr>
          <w:p w14:paraId="4FE288E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3004EA8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6145E5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氯霉素、磺胺类（总量）、恩诺沙星</w:t>
            </w:r>
          </w:p>
        </w:tc>
        <w:tc>
          <w:tcPr>
            <w:tcW w:w="1088" w:type="dxa"/>
            <w:noWrap w:val="0"/>
            <w:vAlign w:val="center"/>
          </w:tcPr>
          <w:p w14:paraId="6AB7597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B015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D25FE3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82AC9B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6E431D0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畜副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w:t>
            </w:r>
          </w:p>
        </w:tc>
        <w:tc>
          <w:tcPr>
            <w:tcW w:w="1025" w:type="dxa"/>
            <w:noWrap w:val="0"/>
            <w:vAlign w:val="center"/>
          </w:tcPr>
          <w:p w14:paraId="5174CB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猪肝</w:t>
            </w:r>
          </w:p>
        </w:tc>
        <w:tc>
          <w:tcPr>
            <w:tcW w:w="675" w:type="dxa"/>
            <w:noWrap w:val="0"/>
            <w:vAlign w:val="center"/>
          </w:tcPr>
          <w:p w14:paraId="6784CF3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7BCFDE2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镉（以Cd计）、恩诺沙星</w:t>
            </w:r>
          </w:p>
        </w:tc>
        <w:tc>
          <w:tcPr>
            <w:tcW w:w="2370" w:type="dxa"/>
            <w:noWrap w:val="0"/>
            <w:vAlign w:val="center"/>
          </w:tcPr>
          <w:p w14:paraId="292F57B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镉（以Cd计）、恩诺沙星、呋喃唑酮代谢物、呋喃西林代谢物、氯霉素、克伦特罗、莱克多巴胺 、沙丁胺醇、磺胺类（总量）、甲氧苄啶、氯丙嗪</w:t>
            </w:r>
          </w:p>
        </w:tc>
        <w:tc>
          <w:tcPr>
            <w:tcW w:w="1088" w:type="dxa"/>
            <w:noWrap w:val="0"/>
            <w:vAlign w:val="center"/>
          </w:tcPr>
          <w:p w14:paraId="17DB756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18E1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241408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D6FA85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09C9AD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102FBC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牛肝</w:t>
            </w:r>
          </w:p>
        </w:tc>
        <w:tc>
          <w:tcPr>
            <w:tcW w:w="675" w:type="dxa"/>
            <w:noWrap w:val="0"/>
            <w:vAlign w:val="center"/>
          </w:tcPr>
          <w:p w14:paraId="13061E6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4EB095C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EF0511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克伦特罗、莱克多巴胺、沙丁胺醇</w:t>
            </w:r>
          </w:p>
        </w:tc>
        <w:tc>
          <w:tcPr>
            <w:tcW w:w="1088" w:type="dxa"/>
            <w:noWrap w:val="0"/>
            <w:vAlign w:val="center"/>
          </w:tcPr>
          <w:p w14:paraId="0129780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6B25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8B843C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12B18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8FA8F7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7A98B5E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羊肝</w:t>
            </w:r>
          </w:p>
        </w:tc>
        <w:tc>
          <w:tcPr>
            <w:tcW w:w="675" w:type="dxa"/>
            <w:noWrap w:val="0"/>
            <w:vAlign w:val="center"/>
          </w:tcPr>
          <w:p w14:paraId="3883F9F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44F888D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0FEB703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克伦特罗、莱克多巴胺、沙丁胺醇</w:t>
            </w:r>
          </w:p>
        </w:tc>
        <w:tc>
          <w:tcPr>
            <w:tcW w:w="1088" w:type="dxa"/>
            <w:noWrap w:val="0"/>
            <w:vAlign w:val="center"/>
          </w:tcPr>
          <w:p w14:paraId="5F60F66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C6B1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C6BA9A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9C4DFC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2AAC9B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23A75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猪肾</w:t>
            </w:r>
          </w:p>
        </w:tc>
        <w:tc>
          <w:tcPr>
            <w:tcW w:w="675" w:type="dxa"/>
            <w:noWrap w:val="0"/>
            <w:vAlign w:val="center"/>
          </w:tcPr>
          <w:p w14:paraId="4C51F40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7AC2B33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772E2F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呋喃西林代谢物、磺胺类（总量）、甲氧苄啶</w:t>
            </w:r>
          </w:p>
        </w:tc>
        <w:tc>
          <w:tcPr>
            <w:tcW w:w="1088" w:type="dxa"/>
            <w:noWrap w:val="0"/>
            <w:vAlign w:val="center"/>
          </w:tcPr>
          <w:p w14:paraId="006DF8C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EE46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BEC240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1E6786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AED12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99862F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牛肾</w:t>
            </w:r>
          </w:p>
        </w:tc>
        <w:tc>
          <w:tcPr>
            <w:tcW w:w="675" w:type="dxa"/>
            <w:noWrap w:val="0"/>
            <w:vAlign w:val="center"/>
          </w:tcPr>
          <w:p w14:paraId="739F400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63755B0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B0F512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恩诺沙星、克伦特罗、沙丁胺醇、莱克多巴胺</w:t>
            </w:r>
          </w:p>
        </w:tc>
        <w:tc>
          <w:tcPr>
            <w:tcW w:w="1088" w:type="dxa"/>
            <w:noWrap w:val="0"/>
            <w:vAlign w:val="center"/>
          </w:tcPr>
          <w:p w14:paraId="620C1D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8C03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C8274C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0179AF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D7922B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059D02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羊肾</w:t>
            </w:r>
          </w:p>
        </w:tc>
        <w:tc>
          <w:tcPr>
            <w:tcW w:w="675" w:type="dxa"/>
            <w:noWrap w:val="0"/>
            <w:vAlign w:val="center"/>
          </w:tcPr>
          <w:p w14:paraId="3560D3C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2E2477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13B856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镉（以Cd计）、恩诺沙星、克伦特罗、沙丁胺醇、莱克多巴胺</w:t>
            </w:r>
          </w:p>
        </w:tc>
        <w:tc>
          <w:tcPr>
            <w:tcW w:w="1088" w:type="dxa"/>
            <w:noWrap w:val="0"/>
            <w:vAlign w:val="center"/>
          </w:tcPr>
          <w:p w14:paraId="05089F6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054C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82090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6F7519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510DE0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598A29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其他畜副产品</w:t>
            </w:r>
          </w:p>
        </w:tc>
        <w:tc>
          <w:tcPr>
            <w:tcW w:w="675" w:type="dxa"/>
            <w:noWrap w:val="0"/>
            <w:vAlign w:val="center"/>
          </w:tcPr>
          <w:p w14:paraId="14A9D5A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017488A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7FD7A6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呋喃唑酮代谢物、呋喃西林代谢物、氯霉素</w:t>
            </w:r>
          </w:p>
        </w:tc>
        <w:tc>
          <w:tcPr>
            <w:tcW w:w="1088" w:type="dxa"/>
            <w:noWrap w:val="0"/>
            <w:vAlign w:val="center"/>
          </w:tcPr>
          <w:p w14:paraId="59D97F5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415E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988202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371FED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53A5C16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禽副产品</w:t>
            </w:r>
          </w:p>
        </w:tc>
        <w:tc>
          <w:tcPr>
            <w:tcW w:w="1025" w:type="dxa"/>
            <w:noWrap w:val="0"/>
            <w:vAlign w:val="center"/>
          </w:tcPr>
          <w:p w14:paraId="1B5A607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鸡肝</w:t>
            </w:r>
          </w:p>
        </w:tc>
        <w:tc>
          <w:tcPr>
            <w:tcW w:w="675" w:type="dxa"/>
            <w:noWrap w:val="0"/>
            <w:vAlign w:val="center"/>
          </w:tcPr>
          <w:p w14:paraId="35FE6D9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0FEF11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5765DA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呋喃西林代谢物、恩诺沙星、氯霉素</w:t>
            </w:r>
          </w:p>
        </w:tc>
        <w:tc>
          <w:tcPr>
            <w:tcW w:w="1088" w:type="dxa"/>
            <w:noWrap w:val="0"/>
            <w:vAlign w:val="center"/>
          </w:tcPr>
          <w:p w14:paraId="3E177A0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5516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F88228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B2C28F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18292D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6B6FC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其他禽副产品</w:t>
            </w:r>
          </w:p>
        </w:tc>
        <w:tc>
          <w:tcPr>
            <w:tcW w:w="675" w:type="dxa"/>
            <w:noWrap w:val="0"/>
            <w:vAlign w:val="center"/>
          </w:tcPr>
          <w:p w14:paraId="070A1D4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6EF651C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F141AC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呋喃唑酮代谢物、呋喃西林代谢物、氯霉素</w:t>
            </w:r>
          </w:p>
        </w:tc>
        <w:tc>
          <w:tcPr>
            <w:tcW w:w="1088" w:type="dxa"/>
            <w:noWrap w:val="0"/>
            <w:vAlign w:val="center"/>
          </w:tcPr>
          <w:p w14:paraId="097139B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F7EE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2F7009C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蔬菜</w:t>
            </w:r>
          </w:p>
        </w:tc>
        <w:tc>
          <w:tcPr>
            <w:tcW w:w="988" w:type="dxa"/>
            <w:vMerge w:val="restart"/>
            <w:noWrap w:val="0"/>
            <w:vAlign w:val="center"/>
          </w:tcPr>
          <w:p w14:paraId="4461EEB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蔬菜</w:t>
            </w:r>
          </w:p>
        </w:tc>
        <w:tc>
          <w:tcPr>
            <w:tcW w:w="1025" w:type="dxa"/>
            <w:noWrap w:val="0"/>
            <w:vAlign w:val="center"/>
          </w:tcPr>
          <w:p w14:paraId="1A5CEB2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豆芽</w:t>
            </w:r>
          </w:p>
        </w:tc>
        <w:tc>
          <w:tcPr>
            <w:tcW w:w="1025" w:type="dxa"/>
            <w:noWrap w:val="0"/>
            <w:vAlign w:val="center"/>
          </w:tcPr>
          <w:p w14:paraId="3CA4D05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豆芽</w:t>
            </w:r>
          </w:p>
        </w:tc>
        <w:tc>
          <w:tcPr>
            <w:tcW w:w="675" w:type="dxa"/>
            <w:noWrap w:val="0"/>
            <w:vAlign w:val="center"/>
          </w:tcPr>
          <w:p w14:paraId="1CF0F22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324330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4-氯苯氧乙酸钠（以4-氯苯氧乙酸计）、6-苄基腺嘌呤（6-BA）</w:t>
            </w:r>
          </w:p>
        </w:tc>
        <w:tc>
          <w:tcPr>
            <w:tcW w:w="2370" w:type="dxa"/>
            <w:noWrap w:val="0"/>
            <w:vAlign w:val="center"/>
          </w:tcPr>
          <w:p w14:paraId="367126B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4-氯苯氧乙酸钠（以4-氯苯氧乙酸计）、6-苄基腺嘌呤（6-BA）、亚硫酸盐（以SO2计）、铅（以pb计）、总汞（以Hg计）</w:t>
            </w:r>
          </w:p>
        </w:tc>
        <w:tc>
          <w:tcPr>
            <w:tcW w:w="1088" w:type="dxa"/>
            <w:noWrap w:val="0"/>
            <w:vAlign w:val="center"/>
          </w:tcPr>
          <w:p w14:paraId="7609390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76D9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AFC4D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1FD3E8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E03E74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鲜食用菌</w:t>
            </w:r>
          </w:p>
        </w:tc>
        <w:tc>
          <w:tcPr>
            <w:tcW w:w="1025" w:type="dxa"/>
            <w:noWrap w:val="0"/>
            <w:vAlign w:val="center"/>
          </w:tcPr>
          <w:p w14:paraId="7AB0EB7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鲜食用菌</w:t>
            </w:r>
          </w:p>
        </w:tc>
        <w:tc>
          <w:tcPr>
            <w:tcW w:w="675" w:type="dxa"/>
            <w:noWrap w:val="0"/>
            <w:vAlign w:val="center"/>
          </w:tcPr>
          <w:p w14:paraId="4C99496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65AFB9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C78BF8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镉（以Cd计）、无机砷（以As计）、氯氰菊酯和高效氯氰菊酯</w:t>
            </w:r>
          </w:p>
        </w:tc>
        <w:tc>
          <w:tcPr>
            <w:tcW w:w="1088" w:type="dxa"/>
            <w:noWrap w:val="0"/>
            <w:vAlign w:val="center"/>
          </w:tcPr>
          <w:p w14:paraId="3F57CA9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6472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488A84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38E908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7196133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鳞茎类</w:t>
            </w:r>
          </w:p>
          <w:p w14:paraId="0BEBD5E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蔬菜</w:t>
            </w:r>
          </w:p>
        </w:tc>
        <w:tc>
          <w:tcPr>
            <w:tcW w:w="1025" w:type="dxa"/>
            <w:noWrap w:val="0"/>
            <w:vAlign w:val="center"/>
          </w:tcPr>
          <w:p w14:paraId="3EBB954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韭菜</w:t>
            </w:r>
          </w:p>
        </w:tc>
        <w:tc>
          <w:tcPr>
            <w:tcW w:w="675" w:type="dxa"/>
            <w:noWrap w:val="0"/>
            <w:vAlign w:val="center"/>
          </w:tcPr>
          <w:p w14:paraId="7D81F32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F265B0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镉（以Cd计）、乙酰甲胺磷、毒死蜱</w:t>
            </w:r>
          </w:p>
        </w:tc>
        <w:tc>
          <w:tcPr>
            <w:tcW w:w="2370" w:type="dxa"/>
            <w:noWrap w:val="0"/>
            <w:vAlign w:val="center"/>
          </w:tcPr>
          <w:p w14:paraId="46638AE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乙酰甲胺磷、毒死蜱、三氯杀螨醇、甲胺磷、铅（以Pb计）、腐霉利、氧乐果、水胺硫磷、氯氰菊酯和高效氯氰菊酯、敌敌畏、三唑磷、甲拌磷、多菌灵、克百威、乐果、二甲戊灵、阿维菌素、氟虫腈、六六六、辛硫磷、氯氟氰菊酯和高效氯氟氰菊酯</w:t>
            </w:r>
          </w:p>
        </w:tc>
        <w:tc>
          <w:tcPr>
            <w:tcW w:w="1088" w:type="dxa"/>
            <w:noWrap w:val="0"/>
            <w:vAlign w:val="center"/>
          </w:tcPr>
          <w:p w14:paraId="7A31B48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7957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D0B01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4F31D22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34863C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685841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葱</w:t>
            </w:r>
          </w:p>
        </w:tc>
        <w:tc>
          <w:tcPr>
            <w:tcW w:w="675" w:type="dxa"/>
            <w:noWrap w:val="0"/>
            <w:vAlign w:val="center"/>
          </w:tcPr>
          <w:p w14:paraId="5FD4217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09923C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镉（以Cd计）、噻虫嗪</w:t>
            </w:r>
          </w:p>
        </w:tc>
        <w:tc>
          <w:tcPr>
            <w:tcW w:w="2370" w:type="dxa"/>
            <w:noWrap w:val="0"/>
            <w:vAlign w:val="center"/>
          </w:tcPr>
          <w:p w14:paraId="68E770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镉（以Cd计）、噻虫嗪、乙酰甲胺磷、毒死蜱、水胺硫磷、氯氟氰菊酯和高效氯氟氰菊酯、克百威、铅（以Pb计）、甲基异柳磷、氧乐果、甲拌磷、三唑磷、戊唑醇、丙环唑</w:t>
            </w:r>
          </w:p>
        </w:tc>
        <w:tc>
          <w:tcPr>
            <w:tcW w:w="1088" w:type="dxa"/>
            <w:noWrap w:val="0"/>
            <w:vAlign w:val="center"/>
          </w:tcPr>
          <w:p w14:paraId="49C23FB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8CD2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7148BC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E7CCC0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E96091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D08F16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洋葱</w:t>
            </w:r>
          </w:p>
        </w:tc>
        <w:tc>
          <w:tcPr>
            <w:tcW w:w="675" w:type="dxa"/>
            <w:noWrap w:val="0"/>
            <w:vAlign w:val="center"/>
          </w:tcPr>
          <w:p w14:paraId="3EAB4D1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B6BBB5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277EE14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铅、倍硫磷、氯氟氰菊酯和高效氯氟氰菊酯、水胺硫磷、氧乐果</w:t>
            </w:r>
          </w:p>
        </w:tc>
        <w:tc>
          <w:tcPr>
            <w:tcW w:w="1088" w:type="dxa"/>
            <w:noWrap w:val="0"/>
            <w:vAlign w:val="center"/>
          </w:tcPr>
          <w:p w14:paraId="312466F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6306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DD9FA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BCE48C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132F9A9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芸薹属类蔬菜</w:t>
            </w:r>
          </w:p>
        </w:tc>
        <w:tc>
          <w:tcPr>
            <w:tcW w:w="1025" w:type="dxa"/>
            <w:noWrap w:val="0"/>
            <w:vAlign w:val="center"/>
          </w:tcPr>
          <w:p w14:paraId="152BE24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结球甘蓝</w:t>
            </w:r>
          </w:p>
        </w:tc>
        <w:tc>
          <w:tcPr>
            <w:tcW w:w="675" w:type="dxa"/>
            <w:noWrap w:val="0"/>
            <w:vAlign w:val="center"/>
          </w:tcPr>
          <w:p w14:paraId="226F9EB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89AAB5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2EAC12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甲胺磷、乙酰甲胺磷、氧乐果</w:t>
            </w:r>
          </w:p>
        </w:tc>
        <w:tc>
          <w:tcPr>
            <w:tcW w:w="1088" w:type="dxa"/>
            <w:noWrap w:val="0"/>
            <w:vAlign w:val="center"/>
          </w:tcPr>
          <w:p w14:paraId="65FCC2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CE06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DCD85A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50809C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729173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7974B2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菜薹</w:t>
            </w:r>
          </w:p>
        </w:tc>
        <w:tc>
          <w:tcPr>
            <w:tcW w:w="675" w:type="dxa"/>
            <w:noWrap w:val="0"/>
            <w:vAlign w:val="center"/>
          </w:tcPr>
          <w:p w14:paraId="77D3F9A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F4998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毒死蜱、啶虫脒</w:t>
            </w:r>
          </w:p>
        </w:tc>
        <w:tc>
          <w:tcPr>
            <w:tcW w:w="2370" w:type="dxa"/>
            <w:noWrap w:val="0"/>
            <w:vAlign w:val="center"/>
          </w:tcPr>
          <w:p w14:paraId="13F42C2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毒死蜱、啶虫脒、噻虫胺、联苯菊酯、镉（以Cd计）、吡虫啉、氟虫腈</w:t>
            </w:r>
          </w:p>
        </w:tc>
        <w:tc>
          <w:tcPr>
            <w:tcW w:w="1088" w:type="dxa"/>
            <w:noWrap w:val="0"/>
            <w:vAlign w:val="center"/>
          </w:tcPr>
          <w:p w14:paraId="541A4F6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F241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89387D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0606C8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5999B6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69CBB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青花菜</w:t>
            </w:r>
          </w:p>
        </w:tc>
        <w:tc>
          <w:tcPr>
            <w:tcW w:w="675" w:type="dxa"/>
            <w:noWrap w:val="0"/>
            <w:vAlign w:val="center"/>
          </w:tcPr>
          <w:p w14:paraId="7DF2E39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1BA262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BAC36A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镉（以Cd计）、克百威、氧乐果、甲胺磷、甲拌磷、啶虫脒</w:t>
            </w:r>
          </w:p>
        </w:tc>
        <w:tc>
          <w:tcPr>
            <w:tcW w:w="1088" w:type="dxa"/>
            <w:noWrap w:val="0"/>
            <w:vAlign w:val="center"/>
          </w:tcPr>
          <w:p w14:paraId="38B5179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490C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67E0EC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15D6DC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5E7C38C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叶菜类</w:t>
            </w:r>
          </w:p>
          <w:p w14:paraId="63DED2F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蔬菜</w:t>
            </w:r>
          </w:p>
          <w:p w14:paraId="04236B3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635A11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菠菜</w:t>
            </w:r>
          </w:p>
        </w:tc>
        <w:tc>
          <w:tcPr>
            <w:tcW w:w="675" w:type="dxa"/>
            <w:noWrap w:val="0"/>
            <w:vAlign w:val="center"/>
          </w:tcPr>
          <w:p w14:paraId="17BCAC2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4B7504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w:t>
            </w:r>
          </w:p>
        </w:tc>
        <w:tc>
          <w:tcPr>
            <w:tcW w:w="2370" w:type="dxa"/>
            <w:noWrap w:val="0"/>
            <w:vAlign w:val="center"/>
          </w:tcPr>
          <w:p w14:paraId="1FB7C86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毒死蜱、水胺硫磷、乙酰甲胺磷、铬（以Cr计）、氟虫腈、氯氟氰菊酯和高效氯氟氰菊酯、阿维菌素、氧乐果、腐霉利、甲拌磷、乐果、克百威、甲氨基阿维菌素苯甲酸盐、铅（以Pb计）、镉（以Cd计）</w:t>
            </w:r>
          </w:p>
        </w:tc>
        <w:tc>
          <w:tcPr>
            <w:tcW w:w="1088" w:type="dxa"/>
            <w:noWrap w:val="0"/>
            <w:vAlign w:val="center"/>
          </w:tcPr>
          <w:p w14:paraId="2CA718E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9BA8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704834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45A91C0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D59C13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EC0238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芹菜</w:t>
            </w:r>
          </w:p>
        </w:tc>
        <w:tc>
          <w:tcPr>
            <w:tcW w:w="675" w:type="dxa"/>
            <w:noWrap w:val="0"/>
            <w:vAlign w:val="center"/>
          </w:tcPr>
          <w:p w14:paraId="722CF89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762ACD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毒死蜱、噻虫胺</w:t>
            </w:r>
          </w:p>
        </w:tc>
        <w:tc>
          <w:tcPr>
            <w:tcW w:w="2370" w:type="dxa"/>
            <w:noWrap w:val="0"/>
            <w:vAlign w:val="center"/>
          </w:tcPr>
          <w:p w14:paraId="7DA4AB5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噻虫胺、甲拌磷、克百威、铅（以Pb计）、腈菌唑、苯醚甲环唑、氯氟氰菊酯和高效氯氟氰菊酯、辛硫磷、乙酰甲胺磷、乐果、镉（以Cd计）、噻虫嗪、氧乐果、甲基异柳磷、阿维菌素、水胺硫磷、敌敌畏、啶虫脒、百菌清、二甲戊灵、氟虫腈、三氯杀螨醇、氯氰菊酯和高效氯氰菊酯</w:t>
            </w:r>
          </w:p>
        </w:tc>
        <w:tc>
          <w:tcPr>
            <w:tcW w:w="1088" w:type="dxa"/>
            <w:noWrap w:val="0"/>
            <w:vAlign w:val="center"/>
          </w:tcPr>
          <w:p w14:paraId="4777692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BD8A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D792B9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FC2697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0D171F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FC1ECB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普通白菜（小白菜、小油菜、青菜）</w:t>
            </w:r>
          </w:p>
        </w:tc>
        <w:tc>
          <w:tcPr>
            <w:tcW w:w="675" w:type="dxa"/>
            <w:noWrap w:val="0"/>
            <w:vAlign w:val="center"/>
          </w:tcPr>
          <w:p w14:paraId="6489FC1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B7E015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442E791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镉（以Cd计）、毒死蜱、氟虫腈、啶虫脒、氧乐果、氯氰菊酯和高效氯氰菊酯、吡虫啉</w:t>
            </w:r>
          </w:p>
        </w:tc>
        <w:tc>
          <w:tcPr>
            <w:tcW w:w="1088" w:type="dxa"/>
            <w:noWrap w:val="0"/>
            <w:vAlign w:val="center"/>
          </w:tcPr>
          <w:p w14:paraId="0D74552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0B72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63DD73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3ADD3A7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C32391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C8F16D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油麦菜</w:t>
            </w:r>
          </w:p>
        </w:tc>
        <w:tc>
          <w:tcPr>
            <w:tcW w:w="675" w:type="dxa"/>
            <w:noWrap w:val="0"/>
            <w:vAlign w:val="center"/>
          </w:tcPr>
          <w:p w14:paraId="67A7C7C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5B68F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1DC553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氟虫腈、氧乐果、克百威、灭多威、氯氟氰菊酯和高效氯氟氰菊酯、乙酰甲胺磷、阿维菌素、啶虫脒</w:t>
            </w:r>
          </w:p>
        </w:tc>
        <w:tc>
          <w:tcPr>
            <w:tcW w:w="1088" w:type="dxa"/>
            <w:noWrap w:val="0"/>
            <w:vAlign w:val="center"/>
          </w:tcPr>
          <w:p w14:paraId="21D3A58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5FD4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53B2D9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02600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6DA05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790272E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大白菜</w:t>
            </w:r>
          </w:p>
        </w:tc>
        <w:tc>
          <w:tcPr>
            <w:tcW w:w="675" w:type="dxa"/>
            <w:noWrap w:val="0"/>
            <w:vAlign w:val="center"/>
          </w:tcPr>
          <w:p w14:paraId="2021B9A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ADD83B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0C13734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毒死蜱、氧乐果、吡虫啉</w:t>
            </w:r>
          </w:p>
        </w:tc>
        <w:tc>
          <w:tcPr>
            <w:tcW w:w="1088" w:type="dxa"/>
            <w:noWrap w:val="0"/>
            <w:vAlign w:val="center"/>
          </w:tcPr>
          <w:p w14:paraId="6274A44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F1EC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8B561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1B500B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32BE873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茄果类</w:t>
            </w:r>
          </w:p>
          <w:p w14:paraId="375630A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蔬菜</w:t>
            </w:r>
          </w:p>
        </w:tc>
        <w:tc>
          <w:tcPr>
            <w:tcW w:w="1025" w:type="dxa"/>
            <w:noWrap w:val="0"/>
            <w:vAlign w:val="center"/>
          </w:tcPr>
          <w:p w14:paraId="23BAF71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茄子</w:t>
            </w:r>
          </w:p>
        </w:tc>
        <w:tc>
          <w:tcPr>
            <w:tcW w:w="675" w:type="dxa"/>
            <w:noWrap w:val="0"/>
            <w:vAlign w:val="center"/>
          </w:tcPr>
          <w:p w14:paraId="1CB0435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DE53C3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w:t>
            </w:r>
          </w:p>
        </w:tc>
        <w:tc>
          <w:tcPr>
            <w:tcW w:w="2370" w:type="dxa"/>
            <w:noWrap w:val="0"/>
            <w:vAlign w:val="center"/>
          </w:tcPr>
          <w:p w14:paraId="1511E0C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镉（以Cd计）、铅（以Pb计）、吡唑醚菌酯、毒死蜱、氟虫腈、甲氨基阿维菌素苯甲酸盐、甲胺磷、甲拌磷、克百威、噻虫胺、噻虫嗪、霜霉威和霜霉威盐酸盐、水胺硫磷、氧乐果、乙酰甲胺磷</w:t>
            </w:r>
          </w:p>
        </w:tc>
        <w:tc>
          <w:tcPr>
            <w:tcW w:w="1088" w:type="dxa"/>
            <w:noWrap w:val="0"/>
            <w:vAlign w:val="center"/>
          </w:tcPr>
          <w:p w14:paraId="039732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E2D2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58F7A1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308FC2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25BBCB5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9A859D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辣椒</w:t>
            </w:r>
          </w:p>
        </w:tc>
        <w:tc>
          <w:tcPr>
            <w:tcW w:w="675" w:type="dxa"/>
            <w:noWrap w:val="0"/>
            <w:vAlign w:val="center"/>
          </w:tcPr>
          <w:p w14:paraId="61B4BF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37159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镉（以Cd计）、噻虫胺、毒死蜱、啶虫脒</w:t>
            </w:r>
          </w:p>
        </w:tc>
        <w:tc>
          <w:tcPr>
            <w:tcW w:w="2370" w:type="dxa"/>
            <w:noWrap w:val="0"/>
            <w:vAlign w:val="center"/>
          </w:tcPr>
          <w:p w14:paraId="2E029BD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噻虫胺、毒死蜱、啶虫脒、呋虫胺、氟吡菌胺、氯氟氰菊酯和高效氯氟氰菊酯、倍硫磷、乙酰甲胺磷、氧乐果、吡唑醚菌酯、水胺硫磷、克百威、联苯菊酯、乐果、噻虫嗪、甲胺磷、吡虫啉、铅（以Pb计）、敌敌畏、杀扑磷、甲氨基阿维菌素苯甲酸盐、甲拌磷、氟虫腈、三唑磷、丙溴磷</w:t>
            </w:r>
          </w:p>
        </w:tc>
        <w:tc>
          <w:tcPr>
            <w:tcW w:w="1088" w:type="dxa"/>
            <w:noWrap w:val="0"/>
            <w:vAlign w:val="center"/>
          </w:tcPr>
          <w:p w14:paraId="649A732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5C79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76F916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C6B777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1ABF9B9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79BC5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番茄</w:t>
            </w:r>
          </w:p>
        </w:tc>
        <w:tc>
          <w:tcPr>
            <w:tcW w:w="675" w:type="dxa"/>
            <w:noWrap w:val="0"/>
            <w:vAlign w:val="center"/>
          </w:tcPr>
          <w:p w14:paraId="27B165C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305EDC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004293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镉（以Cd计）、氧乐果、氯氟氰菊酯和高效氯氟氰菊酯、烯酰吗啉、毒死蜱</w:t>
            </w:r>
          </w:p>
        </w:tc>
        <w:tc>
          <w:tcPr>
            <w:tcW w:w="1088" w:type="dxa"/>
            <w:noWrap w:val="0"/>
            <w:vAlign w:val="center"/>
          </w:tcPr>
          <w:p w14:paraId="625C146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75A7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5A077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6D71D8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2A012B7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622C8A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甜椒</w:t>
            </w:r>
          </w:p>
        </w:tc>
        <w:tc>
          <w:tcPr>
            <w:tcW w:w="675" w:type="dxa"/>
            <w:noWrap w:val="0"/>
            <w:vAlign w:val="center"/>
          </w:tcPr>
          <w:p w14:paraId="6130647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8155F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噻虫胺、吡虫啉</w:t>
            </w:r>
          </w:p>
        </w:tc>
        <w:tc>
          <w:tcPr>
            <w:tcW w:w="2370" w:type="dxa"/>
            <w:noWrap w:val="0"/>
            <w:vAlign w:val="center"/>
          </w:tcPr>
          <w:p w14:paraId="44BFA00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噻虫胺、吡虫啉、毒死蜱、氧乐果、镉（以Cd计）、噻虫嗪、倍硫磷、克百威、吡唑醚菌酯、阿维菌素</w:t>
            </w:r>
          </w:p>
        </w:tc>
        <w:tc>
          <w:tcPr>
            <w:tcW w:w="1088" w:type="dxa"/>
            <w:noWrap w:val="0"/>
            <w:vAlign w:val="center"/>
          </w:tcPr>
          <w:p w14:paraId="7F3E5EC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1459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711AEA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D04E16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38385A5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瓜类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蔬菜</w:t>
            </w:r>
          </w:p>
        </w:tc>
        <w:tc>
          <w:tcPr>
            <w:tcW w:w="1025" w:type="dxa"/>
            <w:noWrap w:val="0"/>
            <w:vAlign w:val="center"/>
          </w:tcPr>
          <w:p w14:paraId="40903F3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黄瓜</w:t>
            </w:r>
          </w:p>
        </w:tc>
        <w:tc>
          <w:tcPr>
            <w:tcW w:w="675" w:type="dxa"/>
            <w:noWrap w:val="0"/>
            <w:vAlign w:val="center"/>
          </w:tcPr>
          <w:p w14:paraId="5594226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F6E9AF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4A73BAC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氧乐果、毒死蜱、甲氨基阿维菌素苯甲酸盐、噻虫嗪</w:t>
            </w:r>
          </w:p>
        </w:tc>
        <w:tc>
          <w:tcPr>
            <w:tcW w:w="1088" w:type="dxa"/>
            <w:noWrap w:val="0"/>
            <w:vAlign w:val="center"/>
          </w:tcPr>
          <w:p w14:paraId="50FDCEB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7D13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33953B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34C916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4A8C1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70EF39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苦瓜</w:t>
            </w:r>
          </w:p>
        </w:tc>
        <w:tc>
          <w:tcPr>
            <w:tcW w:w="675" w:type="dxa"/>
            <w:noWrap w:val="0"/>
            <w:vAlign w:val="center"/>
          </w:tcPr>
          <w:p w14:paraId="53D69C7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0FDB0B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247A835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氧乐果、氯氟氰菊酯和高效氯氟氰菊酯、吡虫啉、毒死蜱、甲胺磷</w:t>
            </w:r>
          </w:p>
        </w:tc>
        <w:tc>
          <w:tcPr>
            <w:tcW w:w="1088" w:type="dxa"/>
            <w:noWrap w:val="0"/>
            <w:vAlign w:val="center"/>
          </w:tcPr>
          <w:p w14:paraId="209F5E1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28A0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4DE088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78DDBD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4C50B97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蔬菜</w:t>
            </w:r>
          </w:p>
        </w:tc>
        <w:tc>
          <w:tcPr>
            <w:tcW w:w="1025" w:type="dxa"/>
            <w:noWrap w:val="0"/>
            <w:vAlign w:val="center"/>
          </w:tcPr>
          <w:p w14:paraId="061618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豇豆</w:t>
            </w:r>
          </w:p>
        </w:tc>
        <w:tc>
          <w:tcPr>
            <w:tcW w:w="675" w:type="dxa"/>
            <w:noWrap w:val="0"/>
            <w:vAlign w:val="center"/>
          </w:tcPr>
          <w:p w14:paraId="342DAF0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D1815E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噻虫胺、噻虫嗪</w:t>
            </w:r>
          </w:p>
        </w:tc>
        <w:tc>
          <w:tcPr>
            <w:tcW w:w="2370" w:type="dxa"/>
            <w:noWrap w:val="0"/>
            <w:vAlign w:val="center"/>
          </w:tcPr>
          <w:p w14:paraId="7A7C98A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噻虫嗪、倍硫磷、阿维菌素、啶虫脒、氯氟氰菊酯和高效氯氟氰菊酯、毒死蜱、乙酰甲胺磷、克百威、氧乐果、灭蝇胺、甲胺磷、水胺硫磷、三唑磷、甲基异柳磷、乐果、甲拌磷、氟虫腈、甲氨基阿维菌素苯甲酸盐、氯氰菊酯和高效氯氰菊酯</w:t>
            </w:r>
          </w:p>
        </w:tc>
        <w:tc>
          <w:tcPr>
            <w:tcW w:w="1088" w:type="dxa"/>
            <w:noWrap w:val="0"/>
            <w:vAlign w:val="center"/>
          </w:tcPr>
          <w:p w14:paraId="0EEBDA1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EC6E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FDBE0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B2188F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A3CA10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6DA275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菜豆</w:t>
            </w:r>
          </w:p>
        </w:tc>
        <w:tc>
          <w:tcPr>
            <w:tcW w:w="675" w:type="dxa"/>
            <w:noWrap w:val="0"/>
            <w:vAlign w:val="center"/>
          </w:tcPr>
          <w:p w14:paraId="7AB5AB5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2256F5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7F7936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氧乐果、多菌灵、氯氟氰菊酯和高效氯氟氰菊酯</w:t>
            </w:r>
          </w:p>
        </w:tc>
        <w:tc>
          <w:tcPr>
            <w:tcW w:w="1088" w:type="dxa"/>
            <w:noWrap w:val="0"/>
            <w:vAlign w:val="center"/>
          </w:tcPr>
          <w:p w14:paraId="6366A29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1BB6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707249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43F28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5E79E9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0631BA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食荚豌豆</w:t>
            </w:r>
          </w:p>
        </w:tc>
        <w:tc>
          <w:tcPr>
            <w:tcW w:w="675" w:type="dxa"/>
            <w:noWrap w:val="0"/>
            <w:vAlign w:val="center"/>
          </w:tcPr>
          <w:p w14:paraId="7604287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95B8EA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吡唑醚菌酯、烯酰吗啉、多菌灵 、噻虫胺</w:t>
            </w:r>
          </w:p>
        </w:tc>
        <w:tc>
          <w:tcPr>
            <w:tcW w:w="2370" w:type="dxa"/>
            <w:noWrap w:val="0"/>
            <w:vAlign w:val="center"/>
          </w:tcPr>
          <w:p w14:paraId="5980388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吡唑醚菌酯、烯酰吗啉、多菌灵、噻虫胺、阿维菌素、毒死蜱、甲氨基阿维菌素苯甲酸盐、灭蝇胺、乙酰甲胺磷 、氧乐果</w:t>
            </w:r>
          </w:p>
        </w:tc>
        <w:tc>
          <w:tcPr>
            <w:tcW w:w="1088" w:type="dxa"/>
            <w:noWrap w:val="0"/>
            <w:vAlign w:val="center"/>
          </w:tcPr>
          <w:p w14:paraId="480611F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92DF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185F17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992B5B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4196A87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根茎类和薯芋类蔬菜</w:t>
            </w:r>
          </w:p>
        </w:tc>
        <w:tc>
          <w:tcPr>
            <w:tcW w:w="1025" w:type="dxa"/>
            <w:noWrap w:val="0"/>
            <w:vAlign w:val="center"/>
          </w:tcPr>
          <w:p w14:paraId="2AC0888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山药</w:t>
            </w:r>
          </w:p>
        </w:tc>
        <w:tc>
          <w:tcPr>
            <w:tcW w:w="675" w:type="dxa"/>
            <w:noWrap w:val="0"/>
            <w:vAlign w:val="center"/>
          </w:tcPr>
          <w:p w14:paraId="3D5D04A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8C79B3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03BA20C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氯氟氰菊酯和高效氯氟氰菊酯、涕灭威、咪鲜胺和咪鲜胺锰盐</w:t>
            </w:r>
          </w:p>
        </w:tc>
        <w:tc>
          <w:tcPr>
            <w:tcW w:w="1088" w:type="dxa"/>
            <w:noWrap w:val="0"/>
            <w:vAlign w:val="center"/>
          </w:tcPr>
          <w:p w14:paraId="2DEB273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6565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0767E2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F2B500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DD07A2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632357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姜</w:t>
            </w:r>
          </w:p>
        </w:tc>
        <w:tc>
          <w:tcPr>
            <w:tcW w:w="675" w:type="dxa"/>
            <w:noWrap w:val="0"/>
            <w:vAlign w:val="center"/>
          </w:tcPr>
          <w:p w14:paraId="1454FCC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AAEC3D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镉（以Cd计）、铅（以Pb计）、噻虫胺</w:t>
            </w:r>
          </w:p>
        </w:tc>
        <w:tc>
          <w:tcPr>
            <w:tcW w:w="2370" w:type="dxa"/>
            <w:noWrap w:val="0"/>
            <w:vAlign w:val="center"/>
          </w:tcPr>
          <w:p w14:paraId="1E5A38B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铅（以Pb计）、噻虫胺、吡唑醚菌酯、咪鲜胺和咪鲜胺锰盐、甲胺磷、氯氰菊酯和高效氯氰菊酯、二氧化硫残留量、克百威、毒死蜱、噻虫嗪、吡虫啉、甲拌磷、氯氟氰菊酯和高效氯氟氰菊酯、敌敌畏、氯唑磷、六六六</w:t>
            </w:r>
          </w:p>
        </w:tc>
        <w:tc>
          <w:tcPr>
            <w:tcW w:w="1088" w:type="dxa"/>
            <w:noWrap w:val="0"/>
            <w:vAlign w:val="center"/>
          </w:tcPr>
          <w:p w14:paraId="400FEE3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B6C0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0653A4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5B8086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A12A99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114570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胡萝卜</w:t>
            </w:r>
          </w:p>
        </w:tc>
        <w:tc>
          <w:tcPr>
            <w:tcW w:w="675" w:type="dxa"/>
            <w:noWrap w:val="0"/>
            <w:vAlign w:val="center"/>
          </w:tcPr>
          <w:p w14:paraId="0ED00C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A68DE5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CF4B24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铅（以Pb计）、氟虫腈、甲拌磷、氯氟氰菊酯和高效氯氟氰菊酯</w:t>
            </w:r>
          </w:p>
        </w:tc>
        <w:tc>
          <w:tcPr>
            <w:tcW w:w="1088" w:type="dxa"/>
            <w:noWrap w:val="0"/>
            <w:vAlign w:val="center"/>
          </w:tcPr>
          <w:p w14:paraId="0F0B03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7E3A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D600BF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AFA391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73689E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703434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萝卜</w:t>
            </w:r>
          </w:p>
        </w:tc>
        <w:tc>
          <w:tcPr>
            <w:tcW w:w="675" w:type="dxa"/>
            <w:noWrap w:val="0"/>
            <w:vAlign w:val="center"/>
          </w:tcPr>
          <w:p w14:paraId="101532F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308E8F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4B830C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氯氟氰菊酯和高效氯氟氰菊酯、氧乐果、甲拌磷、甲胺磷、铅（以Pb计）</w:t>
            </w:r>
          </w:p>
        </w:tc>
        <w:tc>
          <w:tcPr>
            <w:tcW w:w="1088" w:type="dxa"/>
            <w:noWrap w:val="0"/>
            <w:vAlign w:val="center"/>
          </w:tcPr>
          <w:p w14:paraId="756E43C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42BB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1EA0E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47D112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3425E6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157083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甘薯</w:t>
            </w:r>
          </w:p>
        </w:tc>
        <w:tc>
          <w:tcPr>
            <w:tcW w:w="675" w:type="dxa"/>
            <w:noWrap w:val="0"/>
            <w:vAlign w:val="center"/>
          </w:tcPr>
          <w:p w14:paraId="6E1A60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10B467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氯氟氰菊酯和高效氯氟氰菊酯、毒</w:t>
            </w:r>
          </w:p>
          <w:p w14:paraId="3C3683A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死蜱</w:t>
            </w:r>
          </w:p>
        </w:tc>
        <w:tc>
          <w:tcPr>
            <w:tcW w:w="2370" w:type="dxa"/>
            <w:noWrap w:val="0"/>
            <w:vAlign w:val="center"/>
          </w:tcPr>
          <w:p w14:paraId="0536D53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氯氟氰菊酯和高效氯氟氰菊酯、毒死蜱、杀扑磷、噻虫嗪、甲拌磷、氟虫腈、氯氰菊酯和高效氯氰菊酯、铅（以Pb计）</w:t>
            </w:r>
          </w:p>
        </w:tc>
        <w:tc>
          <w:tcPr>
            <w:tcW w:w="1088" w:type="dxa"/>
            <w:noWrap w:val="0"/>
            <w:vAlign w:val="center"/>
          </w:tcPr>
          <w:p w14:paraId="2F87A82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F715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BD6ECD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58B307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E0FEB4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1E48EC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马铃薯</w:t>
            </w:r>
          </w:p>
        </w:tc>
        <w:tc>
          <w:tcPr>
            <w:tcW w:w="675" w:type="dxa"/>
            <w:noWrap w:val="0"/>
            <w:vAlign w:val="center"/>
          </w:tcPr>
          <w:p w14:paraId="43F2F39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3FEAC0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563B3C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镉（以Cd计）、甲拌磷、氯氟氰菊酯和高效氯氟氰菊酯</w:t>
            </w:r>
          </w:p>
        </w:tc>
        <w:tc>
          <w:tcPr>
            <w:tcW w:w="1088" w:type="dxa"/>
            <w:noWrap w:val="0"/>
            <w:vAlign w:val="center"/>
          </w:tcPr>
          <w:p w14:paraId="232018B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B611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F41B7C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E9E706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B4AC82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0568F8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芋</w:t>
            </w:r>
          </w:p>
        </w:tc>
        <w:tc>
          <w:tcPr>
            <w:tcW w:w="675" w:type="dxa"/>
            <w:noWrap w:val="0"/>
            <w:vAlign w:val="center"/>
          </w:tcPr>
          <w:p w14:paraId="094350D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077934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DC292A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铅(以Pb计)、镉(以Cd计)、二氧化硫残留量</w:t>
            </w:r>
          </w:p>
        </w:tc>
        <w:tc>
          <w:tcPr>
            <w:tcW w:w="1088" w:type="dxa"/>
            <w:noWrap w:val="0"/>
            <w:vAlign w:val="center"/>
          </w:tcPr>
          <w:p w14:paraId="52F51BA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2F3D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25C6CB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F6AEE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E2682B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水生类蔬菜</w:t>
            </w:r>
          </w:p>
        </w:tc>
        <w:tc>
          <w:tcPr>
            <w:tcW w:w="1025" w:type="dxa"/>
            <w:noWrap w:val="0"/>
            <w:vAlign w:val="center"/>
          </w:tcPr>
          <w:p w14:paraId="1189BF0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莲藕</w:t>
            </w:r>
          </w:p>
        </w:tc>
        <w:tc>
          <w:tcPr>
            <w:tcW w:w="675" w:type="dxa"/>
            <w:noWrap w:val="0"/>
            <w:vAlign w:val="center"/>
          </w:tcPr>
          <w:p w14:paraId="0DB35D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1AB890B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513D7B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铅（以Pb计）、镉（以Cd计）、总砷（以As计）、铬（以Cr计）、克百威、氧乐果</w:t>
            </w:r>
          </w:p>
        </w:tc>
        <w:tc>
          <w:tcPr>
            <w:tcW w:w="1088" w:type="dxa"/>
            <w:noWrap w:val="0"/>
            <w:vAlign w:val="center"/>
          </w:tcPr>
          <w:p w14:paraId="061DB6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2515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4DB02F6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水产品</w:t>
            </w:r>
          </w:p>
        </w:tc>
        <w:tc>
          <w:tcPr>
            <w:tcW w:w="988" w:type="dxa"/>
            <w:vMerge w:val="restart"/>
            <w:noWrap w:val="0"/>
            <w:vAlign w:val="center"/>
          </w:tcPr>
          <w:p w14:paraId="57FE9D7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水产品</w:t>
            </w:r>
          </w:p>
        </w:tc>
        <w:tc>
          <w:tcPr>
            <w:tcW w:w="1025" w:type="dxa"/>
            <w:vMerge w:val="restart"/>
            <w:noWrap w:val="0"/>
            <w:vAlign w:val="center"/>
          </w:tcPr>
          <w:p w14:paraId="45A9D66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淡水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w:t>
            </w:r>
          </w:p>
        </w:tc>
        <w:tc>
          <w:tcPr>
            <w:tcW w:w="1025" w:type="dxa"/>
            <w:noWrap w:val="0"/>
            <w:vAlign w:val="center"/>
          </w:tcPr>
          <w:p w14:paraId="251AF8C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淡水鱼（重点品种：泥鳅、鳝鱼）</w:t>
            </w:r>
          </w:p>
        </w:tc>
        <w:tc>
          <w:tcPr>
            <w:tcW w:w="675" w:type="dxa"/>
            <w:noWrap w:val="0"/>
            <w:vAlign w:val="center"/>
          </w:tcPr>
          <w:p w14:paraId="28276CA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705649A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恩诺沙星、地西泮、孔雀石绿、磺胺类（总量）、氧氟</w:t>
            </w:r>
          </w:p>
          <w:p w14:paraId="2F07EAB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沙星</w:t>
            </w:r>
          </w:p>
        </w:tc>
        <w:tc>
          <w:tcPr>
            <w:tcW w:w="2370" w:type="dxa"/>
            <w:noWrap w:val="0"/>
            <w:vAlign w:val="center"/>
          </w:tcPr>
          <w:p w14:paraId="4628608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地西泮、孔雀石绿、磺胺类（总量）、氧氟沙星、挥发性盐基氮、镉（以Cd计）、氯霉素、呋喃唑酮代谢物、呋喃西林代谢物、呋喃妥因代谢物、五氯酚酸钠、沙拉沙星、甲氧苄啶、氟苯尼考、甲硝唑、诺氟沙星、培氟沙星</w:t>
            </w:r>
          </w:p>
        </w:tc>
        <w:tc>
          <w:tcPr>
            <w:tcW w:w="1088" w:type="dxa"/>
            <w:noWrap w:val="0"/>
            <w:vAlign w:val="center"/>
          </w:tcPr>
          <w:p w14:paraId="1D932D4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4117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E59A31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B2C7F8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AE1058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1E611C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淡水虾</w:t>
            </w:r>
          </w:p>
        </w:tc>
        <w:tc>
          <w:tcPr>
            <w:tcW w:w="675" w:type="dxa"/>
            <w:noWrap w:val="0"/>
            <w:vAlign w:val="center"/>
          </w:tcPr>
          <w:p w14:paraId="37E3624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2F6F358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494B938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镉（以Cd计）、呋喃唑酮代谢物、呋喃妥因代谢物、恩诺沙星、土霉素/金霉素/四环素（组合含量）</w:t>
            </w:r>
          </w:p>
        </w:tc>
        <w:tc>
          <w:tcPr>
            <w:tcW w:w="1088" w:type="dxa"/>
            <w:noWrap w:val="0"/>
            <w:vAlign w:val="center"/>
          </w:tcPr>
          <w:p w14:paraId="2332D1C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854F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D1DA0B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870DA9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08AE35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057071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淡水蟹</w:t>
            </w:r>
          </w:p>
        </w:tc>
        <w:tc>
          <w:tcPr>
            <w:tcW w:w="675" w:type="dxa"/>
            <w:noWrap w:val="0"/>
            <w:vAlign w:val="center"/>
          </w:tcPr>
          <w:p w14:paraId="190FBE7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504F9AB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CED636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孔雀石绿、氯霉素、五氯酚酸钠（以五氯酚计）</w:t>
            </w:r>
          </w:p>
        </w:tc>
        <w:tc>
          <w:tcPr>
            <w:tcW w:w="1088" w:type="dxa"/>
            <w:noWrap w:val="0"/>
            <w:vAlign w:val="center"/>
          </w:tcPr>
          <w:p w14:paraId="168F875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63BA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54047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97CBB3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1365BCD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海水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w:t>
            </w:r>
          </w:p>
        </w:tc>
        <w:tc>
          <w:tcPr>
            <w:tcW w:w="1025" w:type="dxa"/>
            <w:noWrap w:val="0"/>
            <w:vAlign w:val="center"/>
          </w:tcPr>
          <w:p w14:paraId="411A7A3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海水鱼</w:t>
            </w:r>
          </w:p>
        </w:tc>
        <w:tc>
          <w:tcPr>
            <w:tcW w:w="675" w:type="dxa"/>
            <w:noWrap w:val="0"/>
            <w:vAlign w:val="center"/>
          </w:tcPr>
          <w:p w14:paraId="722342C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53E5297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BA72B5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呋喃唑酮代谢物、呋喃西林代谢物、恩诺沙星、呋喃它酮代谢物</w:t>
            </w:r>
          </w:p>
        </w:tc>
        <w:tc>
          <w:tcPr>
            <w:tcW w:w="1088" w:type="dxa"/>
            <w:noWrap w:val="0"/>
            <w:vAlign w:val="center"/>
          </w:tcPr>
          <w:p w14:paraId="74F054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63B8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A05F40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DDBD43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82177E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370F38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海水虾</w:t>
            </w:r>
          </w:p>
        </w:tc>
        <w:tc>
          <w:tcPr>
            <w:tcW w:w="675" w:type="dxa"/>
            <w:noWrap w:val="0"/>
            <w:vAlign w:val="center"/>
          </w:tcPr>
          <w:p w14:paraId="31D3286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140AB5C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472E84B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镉（以Cd计）、呋喃唑酮代谢物、呋喃妥因代谢物、恩诺沙星</w:t>
            </w:r>
          </w:p>
        </w:tc>
        <w:tc>
          <w:tcPr>
            <w:tcW w:w="1088" w:type="dxa"/>
            <w:noWrap w:val="0"/>
            <w:vAlign w:val="center"/>
          </w:tcPr>
          <w:p w14:paraId="0F9D8A3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E7F7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7D029D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460044A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190E7A6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CE7066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海水蟹</w:t>
            </w:r>
          </w:p>
        </w:tc>
        <w:tc>
          <w:tcPr>
            <w:tcW w:w="675" w:type="dxa"/>
            <w:noWrap w:val="0"/>
            <w:vAlign w:val="center"/>
          </w:tcPr>
          <w:p w14:paraId="402136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638B118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8681D5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镉（以Cd计）、呋喃妥因代谢物、氯霉素</w:t>
            </w:r>
          </w:p>
        </w:tc>
        <w:tc>
          <w:tcPr>
            <w:tcW w:w="1088" w:type="dxa"/>
            <w:noWrap w:val="0"/>
            <w:vAlign w:val="center"/>
          </w:tcPr>
          <w:p w14:paraId="1240783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0AD8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00FBF6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AB205A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D1F765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贝类</w:t>
            </w:r>
          </w:p>
        </w:tc>
        <w:tc>
          <w:tcPr>
            <w:tcW w:w="1025" w:type="dxa"/>
            <w:noWrap w:val="0"/>
            <w:vAlign w:val="center"/>
          </w:tcPr>
          <w:p w14:paraId="6070160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贝类</w:t>
            </w:r>
          </w:p>
        </w:tc>
        <w:tc>
          <w:tcPr>
            <w:tcW w:w="675" w:type="dxa"/>
            <w:noWrap w:val="0"/>
            <w:vAlign w:val="center"/>
          </w:tcPr>
          <w:p w14:paraId="3E1A7FD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3B7A378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8B174F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镉（以Cd计）、孔雀石绿、氯霉素、氟苯尼考、恩诺沙星、呋喃西林代谢物</w:t>
            </w:r>
          </w:p>
        </w:tc>
        <w:tc>
          <w:tcPr>
            <w:tcW w:w="1088" w:type="dxa"/>
            <w:noWrap w:val="0"/>
            <w:vAlign w:val="center"/>
          </w:tcPr>
          <w:p w14:paraId="7D9818B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ABCF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0466DD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366578B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4AC3BE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其他水产品</w:t>
            </w:r>
          </w:p>
        </w:tc>
        <w:tc>
          <w:tcPr>
            <w:tcW w:w="1025" w:type="dxa"/>
            <w:noWrap w:val="0"/>
            <w:vAlign w:val="center"/>
          </w:tcPr>
          <w:p w14:paraId="338148D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其他水产品（重点品种：牛蛙）</w:t>
            </w:r>
          </w:p>
        </w:tc>
        <w:tc>
          <w:tcPr>
            <w:tcW w:w="675" w:type="dxa"/>
            <w:noWrap w:val="0"/>
            <w:vAlign w:val="center"/>
          </w:tcPr>
          <w:p w14:paraId="4343D84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17BFF01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恩诺沙星a、呋喃西林代谢物、氟苯尼考a</w:t>
            </w:r>
          </w:p>
        </w:tc>
        <w:tc>
          <w:tcPr>
            <w:tcW w:w="2370" w:type="dxa"/>
            <w:noWrap w:val="0"/>
            <w:vAlign w:val="center"/>
          </w:tcPr>
          <w:p w14:paraId="78F1710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恩诺沙星a、呋喃西林代谢物、氟苯尼考a、镉（以Cd计）b、孔雀石绿、氯霉素、呋喃唑酮代谢物、呋喃妥因代谢物、五氯酚酸钠（以五氯酚计）、磺胺类（总量）a、甲硝唑a、氧氟沙星a、诺氟沙星a</w:t>
            </w:r>
          </w:p>
        </w:tc>
        <w:tc>
          <w:tcPr>
            <w:tcW w:w="1088" w:type="dxa"/>
            <w:noWrap w:val="0"/>
            <w:vAlign w:val="center"/>
          </w:tcPr>
          <w:p w14:paraId="134A44C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a.仅蛙科、鳖科食品动物检测</w:t>
            </w:r>
          </w:p>
          <w:p w14:paraId="3E6765A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b.限头足类、腹足类、棘皮类检测。</w:t>
            </w:r>
          </w:p>
        </w:tc>
      </w:tr>
      <w:tr w14:paraId="62126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3A7CE9B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水果类</w:t>
            </w:r>
          </w:p>
        </w:tc>
        <w:tc>
          <w:tcPr>
            <w:tcW w:w="988" w:type="dxa"/>
            <w:vMerge w:val="restart"/>
            <w:noWrap w:val="0"/>
            <w:vAlign w:val="center"/>
          </w:tcPr>
          <w:p w14:paraId="1C40E2D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水果类</w:t>
            </w:r>
          </w:p>
        </w:tc>
        <w:tc>
          <w:tcPr>
            <w:tcW w:w="1025" w:type="dxa"/>
            <w:vMerge w:val="restart"/>
            <w:noWrap w:val="0"/>
            <w:vAlign w:val="center"/>
          </w:tcPr>
          <w:p w14:paraId="54DA602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仁果类水果</w:t>
            </w:r>
          </w:p>
        </w:tc>
        <w:tc>
          <w:tcPr>
            <w:tcW w:w="1025" w:type="dxa"/>
            <w:noWrap w:val="0"/>
            <w:vAlign w:val="center"/>
          </w:tcPr>
          <w:p w14:paraId="2EA55D0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苹果</w:t>
            </w:r>
          </w:p>
        </w:tc>
        <w:tc>
          <w:tcPr>
            <w:tcW w:w="675" w:type="dxa"/>
            <w:noWrap w:val="0"/>
            <w:vAlign w:val="center"/>
          </w:tcPr>
          <w:p w14:paraId="69B2B73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B6F116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A0B19E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敌敌畏、啶虫脒、克百威、氧乐果、毒死蜱</w:t>
            </w:r>
          </w:p>
        </w:tc>
        <w:tc>
          <w:tcPr>
            <w:tcW w:w="1088" w:type="dxa"/>
            <w:noWrap w:val="0"/>
            <w:vAlign w:val="center"/>
          </w:tcPr>
          <w:p w14:paraId="520F04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F348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377253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7FBD4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6F4F53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B72E16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梨</w:t>
            </w:r>
          </w:p>
        </w:tc>
        <w:tc>
          <w:tcPr>
            <w:tcW w:w="675" w:type="dxa"/>
            <w:noWrap w:val="0"/>
            <w:vAlign w:val="center"/>
          </w:tcPr>
          <w:p w14:paraId="0E14370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B7AD5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BA5B9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敌敌畏、多菌灵、氯氟氰菊酯和高效氯氟氰菊酯、氧乐果、毒死蜱</w:t>
            </w:r>
          </w:p>
        </w:tc>
        <w:tc>
          <w:tcPr>
            <w:tcW w:w="1088" w:type="dxa"/>
            <w:noWrap w:val="0"/>
            <w:vAlign w:val="center"/>
          </w:tcPr>
          <w:p w14:paraId="6B23CA1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7172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734B5C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4EC096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439016F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核果类水果</w:t>
            </w:r>
          </w:p>
        </w:tc>
        <w:tc>
          <w:tcPr>
            <w:tcW w:w="1025" w:type="dxa"/>
            <w:noWrap w:val="0"/>
            <w:vAlign w:val="center"/>
          </w:tcPr>
          <w:p w14:paraId="1C1AC41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枣</w:t>
            </w:r>
          </w:p>
        </w:tc>
        <w:tc>
          <w:tcPr>
            <w:tcW w:w="675" w:type="dxa"/>
            <w:noWrap w:val="0"/>
            <w:vAlign w:val="center"/>
          </w:tcPr>
          <w:p w14:paraId="1BCD267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8621ED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64F6FE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多菌灵、氟虫腈、氧乐果、糖精钠（以糖精计）</w:t>
            </w:r>
          </w:p>
        </w:tc>
        <w:tc>
          <w:tcPr>
            <w:tcW w:w="1088" w:type="dxa"/>
            <w:noWrap w:val="0"/>
            <w:vAlign w:val="center"/>
          </w:tcPr>
          <w:p w14:paraId="03FE38E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D711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AAC99F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59E09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66755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9B801F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桃</w:t>
            </w:r>
          </w:p>
        </w:tc>
        <w:tc>
          <w:tcPr>
            <w:tcW w:w="675" w:type="dxa"/>
            <w:noWrap w:val="0"/>
            <w:vAlign w:val="center"/>
          </w:tcPr>
          <w:p w14:paraId="22BFF5A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56967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A3D082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敌敌畏、多菌灵、氧乐果、克百威</w:t>
            </w:r>
          </w:p>
        </w:tc>
        <w:tc>
          <w:tcPr>
            <w:tcW w:w="1088" w:type="dxa"/>
            <w:noWrap w:val="0"/>
            <w:vAlign w:val="center"/>
          </w:tcPr>
          <w:p w14:paraId="1DF774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97FF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F7C1AF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0DB3A4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21C060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7CE680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油桃</w:t>
            </w:r>
          </w:p>
        </w:tc>
        <w:tc>
          <w:tcPr>
            <w:tcW w:w="675" w:type="dxa"/>
            <w:noWrap w:val="0"/>
            <w:vAlign w:val="center"/>
          </w:tcPr>
          <w:p w14:paraId="235D89E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E49D4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8765B2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克百威、氧乐果、敌敌畏</w:t>
            </w:r>
          </w:p>
        </w:tc>
        <w:tc>
          <w:tcPr>
            <w:tcW w:w="1088" w:type="dxa"/>
            <w:noWrap w:val="0"/>
            <w:vAlign w:val="center"/>
          </w:tcPr>
          <w:p w14:paraId="053163F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17E2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DD56A1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C6974F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7C364F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柑橘类水果</w:t>
            </w:r>
          </w:p>
        </w:tc>
        <w:tc>
          <w:tcPr>
            <w:tcW w:w="1025" w:type="dxa"/>
            <w:noWrap w:val="0"/>
            <w:vAlign w:val="center"/>
          </w:tcPr>
          <w:p w14:paraId="7E7EC1A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柑、橘</w:t>
            </w:r>
          </w:p>
        </w:tc>
        <w:tc>
          <w:tcPr>
            <w:tcW w:w="675" w:type="dxa"/>
            <w:noWrap w:val="0"/>
            <w:vAlign w:val="center"/>
          </w:tcPr>
          <w:p w14:paraId="7BA7EA5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7B84C0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苯醚甲环唑、联苯菊酯</w:t>
            </w:r>
          </w:p>
        </w:tc>
        <w:tc>
          <w:tcPr>
            <w:tcW w:w="2370" w:type="dxa"/>
            <w:noWrap w:val="0"/>
            <w:vAlign w:val="center"/>
          </w:tcPr>
          <w:p w14:paraId="36E51BB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苯醚甲环唑、联苯菊酯、丙溴磷、克百威、氯唑磷、三唑磷、水胺硫磷、氧乐果、氯氟氰菊酯和高效氯氟氰菊酯、甲拌磷、2,4-滴和2,4-滴钠盐、狄氏剂、毒死蜱、杀扑磷、敌敌畏、联苯肼酯</w:t>
            </w:r>
          </w:p>
        </w:tc>
        <w:tc>
          <w:tcPr>
            <w:tcW w:w="1088" w:type="dxa"/>
            <w:noWrap w:val="0"/>
            <w:vAlign w:val="center"/>
          </w:tcPr>
          <w:p w14:paraId="71AB5FC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BFEA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287B1A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544ACE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A3144E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C1A7B8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柚</w:t>
            </w:r>
          </w:p>
        </w:tc>
        <w:tc>
          <w:tcPr>
            <w:tcW w:w="675" w:type="dxa"/>
            <w:noWrap w:val="0"/>
            <w:vAlign w:val="center"/>
          </w:tcPr>
          <w:p w14:paraId="5D5D054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68C018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735469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水胺硫磷、氯氟氰菊酯和高效氯氟氰菊酯、联苯菊酯</w:t>
            </w:r>
          </w:p>
        </w:tc>
        <w:tc>
          <w:tcPr>
            <w:tcW w:w="1088" w:type="dxa"/>
            <w:noWrap w:val="0"/>
            <w:vAlign w:val="center"/>
          </w:tcPr>
          <w:p w14:paraId="71B0FA4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20CC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3B66EA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D18797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267014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ADF41D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柠檬</w:t>
            </w:r>
          </w:p>
        </w:tc>
        <w:tc>
          <w:tcPr>
            <w:tcW w:w="675" w:type="dxa"/>
            <w:noWrap w:val="0"/>
            <w:vAlign w:val="center"/>
          </w:tcPr>
          <w:p w14:paraId="06013D1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FE5F42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F0D948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多菌灵、联苯菊酯、乙螨唑</w:t>
            </w:r>
          </w:p>
        </w:tc>
        <w:tc>
          <w:tcPr>
            <w:tcW w:w="1088" w:type="dxa"/>
            <w:noWrap w:val="0"/>
            <w:vAlign w:val="center"/>
          </w:tcPr>
          <w:p w14:paraId="1D10336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0988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65C0E0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3F5766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89E2E9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7B4604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橙</w:t>
            </w:r>
          </w:p>
        </w:tc>
        <w:tc>
          <w:tcPr>
            <w:tcW w:w="675" w:type="dxa"/>
            <w:noWrap w:val="0"/>
            <w:vAlign w:val="center"/>
          </w:tcPr>
          <w:p w14:paraId="2D8973C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01276B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联苯菊酯</w:t>
            </w:r>
          </w:p>
        </w:tc>
        <w:tc>
          <w:tcPr>
            <w:tcW w:w="2370" w:type="dxa"/>
            <w:noWrap w:val="0"/>
            <w:vAlign w:val="center"/>
          </w:tcPr>
          <w:p w14:paraId="591FE90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联苯菊酯、丙溴磷、克百威、三唑磷、杀扑磷、水胺硫磷、氧乐果、2,4-滴和2,4-滴钠盐、苯醚甲环唑、氯唑磷、敌敌畏、氯氟氰菊酯和高效氯氟氰菊酯、乙酰甲胺磷</w:t>
            </w:r>
          </w:p>
        </w:tc>
        <w:tc>
          <w:tcPr>
            <w:tcW w:w="1088" w:type="dxa"/>
            <w:noWrap w:val="0"/>
            <w:vAlign w:val="center"/>
          </w:tcPr>
          <w:p w14:paraId="3B33975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7CFE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BDD9B5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716DDD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237C0EC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浆果和其他小型水果</w:t>
            </w:r>
          </w:p>
        </w:tc>
        <w:tc>
          <w:tcPr>
            <w:tcW w:w="1025" w:type="dxa"/>
            <w:noWrap w:val="0"/>
            <w:vAlign w:val="center"/>
          </w:tcPr>
          <w:p w14:paraId="7DE983D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葡萄</w:t>
            </w:r>
          </w:p>
        </w:tc>
        <w:tc>
          <w:tcPr>
            <w:tcW w:w="675" w:type="dxa"/>
            <w:noWrap w:val="0"/>
            <w:vAlign w:val="center"/>
          </w:tcPr>
          <w:p w14:paraId="2CB23C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00CFFD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C83601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苯醚甲环唑、氯氰菊酯和高效氯氰菊酯、氧乐果</w:t>
            </w:r>
          </w:p>
        </w:tc>
        <w:tc>
          <w:tcPr>
            <w:tcW w:w="1088" w:type="dxa"/>
            <w:noWrap w:val="0"/>
            <w:vAlign w:val="center"/>
          </w:tcPr>
          <w:p w14:paraId="599481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6300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39B76C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58E72A4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B7DD6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AD2D6D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草莓</w:t>
            </w:r>
          </w:p>
        </w:tc>
        <w:tc>
          <w:tcPr>
            <w:tcW w:w="675" w:type="dxa"/>
            <w:noWrap w:val="0"/>
            <w:vAlign w:val="center"/>
          </w:tcPr>
          <w:p w14:paraId="6F6C11F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7A1102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1B53415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敌敌畏、多菌灵、烯酰吗啉、氧乐果</w:t>
            </w:r>
          </w:p>
        </w:tc>
        <w:tc>
          <w:tcPr>
            <w:tcW w:w="1088" w:type="dxa"/>
            <w:noWrap w:val="0"/>
            <w:vAlign w:val="center"/>
          </w:tcPr>
          <w:p w14:paraId="5FF2AA5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8B88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D218C2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EC092C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1DA74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29D273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猕猴桃</w:t>
            </w:r>
          </w:p>
        </w:tc>
        <w:tc>
          <w:tcPr>
            <w:tcW w:w="675" w:type="dxa"/>
            <w:noWrap w:val="0"/>
            <w:vAlign w:val="center"/>
          </w:tcPr>
          <w:p w14:paraId="003655D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99E2C2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5E3926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敌敌畏、多菌灵、氯吡脲、氧乐果</w:t>
            </w:r>
          </w:p>
        </w:tc>
        <w:tc>
          <w:tcPr>
            <w:tcW w:w="1088" w:type="dxa"/>
            <w:noWrap w:val="0"/>
            <w:vAlign w:val="center"/>
          </w:tcPr>
          <w:p w14:paraId="4A7A5E6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7F265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277393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BD6210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C783C1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0206DA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桑葚</w:t>
            </w:r>
          </w:p>
        </w:tc>
        <w:tc>
          <w:tcPr>
            <w:tcW w:w="675" w:type="dxa"/>
            <w:noWrap w:val="0"/>
            <w:vAlign w:val="center"/>
          </w:tcPr>
          <w:p w14:paraId="1B3CE41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550BE80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脱氢乙酸及其钠盐（以脱氢乙酸计）、甜蜜素（以环己基氨基磺酸计）</w:t>
            </w:r>
          </w:p>
        </w:tc>
        <w:tc>
          <w:tcPr>
            <w:tcW w:w="2370" w:type="dxa"/>
            <w:noWrap w:val="0"/>
            <w:vAlign w:val="center"/>
          </w:tcPr>
          <w:p w14:paraId="73C0AFC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脱氢乙酸及其钠盐（以脱氢乙酸计）、甜蜜素（以环己基氨基磺酸计）、苯甲酸及其钠盐（以苯甲酸计）、山梨酸及其钾盐（以山梨酸计）、糖精钠（以糖精计）、三氯蔗糖、多菌灵</w:t>
            </w:r>
          </w:p>
        </w:tc>
        <w:tc>
          <w:tcPr>
            <w:tcW w:w="1088" w:type="dxa"/>
            <w:noWrap w:val="0"/>
            <w:vAlign w:val="center"/>
          </w:tcPr>
          <w:p w14:paraId="199235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8102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0DECF4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5B7BE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44CBE9B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热带和亚热带水果</w:t>
            </w:r>
          </w:p>
        </w:tc>
        <w:tc>
          <w:tcPr>
            <w:tcW w:w="1025" w:type="dxa"/>
            <w:noWrap w:val="0"/>
            <w:vAlign w:val="center"/>
          </w:tcPr>
          <w:p w14:paraId="5E4D3D8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香蕉</w:t>
            </w:r>
          </w:p>
        </w:tc>
        <w:tc>
          <w:tcPr>
            <w:tcW w:w="675" w:type="dxa"/>
            <w:noWrap w:val="0"/>
            <w:vAlign w:val="center"/>
          </w:tcPr>
          <w:p w14:paraId="7BC58D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19AE77A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吡虫啉、噻虫胺、噻虫嗪、腈苯唑</w:t>
            </w:r>
          </w:p>
        </w:tc>
        <w:tc>
          <w:tcPr>
            <w:tcW w:w="2370" w:type="dxa"/>
            <w:noWrap w:val="0"/>
            <w:vAlign w:val="center"/>
          </w:tcPr>
          <w:p w14:paraId="7BEF515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吡虫啉、噻虫胺、噻虫嗪、腈苯唑、苯醚甲环唑、吡唑醚菌酯、多菌灵、氟虫腈、甲拌磷、联苯菊酯、烯唑醇、百菌清、噻唑膦、氟唑菌酰胺</w:t>
            </w:r>
          </w:p>
        </w:tc>
        <w:tc>
          <w:tcPr>
            <w:tcW w:w="1088" w:type="dxa"/>
            <w:noWrap w:val="0"/>
            <w:vAlign w:val="center"/>
          </w:tcPr>
          <w:p w14:paraId="26FE5D8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95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CDBB98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1C52B3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9CEDC7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3AA07D2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芒果</w:t>
            </w:r>
          </w:p>
        </w:tc>
        <w:tc>
          <w:tcPr>
            <w:tcW w:w="675" w:type="dxa"/>
            <w:noWrap w:val="0"/>
            <w:vAlign w:val="center"/>
          </w:tcPr>
          <w:p w14:paraId="1E0D4F8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9B392D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吡唑醚菌酯、戊唑醇、噻虫胺</w:t>
            </w:r>
          </w:p>
        </w:tc>
        <w:tc>
          <w:tcPr>
            <w:tcW w:w="2370" w:type="dxa"/>
            <w:noWrap w:val="0"/>
            <w:vAlign w:val="center"/>
          </w:tcPr>
          <w:p w14:paraId="6B94FFF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吡唑醚菌酯、戊唑醇、噻虫胺、苯醚甲环唑、氧乐果、乙酰甲胺磷、吡虫啉、噻虫嗪、噻嗪酮</w:t>
            </w:r>
          </w:p>
        </w:tc>
        <w:tc>
          <w:tcPr>
            <w:tcW w:w="1088" w:type="dxa"/>
            <w:noWrap w:val="0"/>
            <w:vAlign w:val="center"/>
          </w:tcPr>
          <w:p w14:paraId="7CF28B5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9DE8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538AC7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3770C2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500B83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56DB1F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火龙果</w:t>
            </w:r>
          </w:p>
        </w:tc>
        <w:tc>
          <w:tcPr>
            <w:tcW w:w="675" w:type="dxa"/>
            <w:noWrap w:val="0"/>
            <w:vAlign w:val="center"/>
          </w:tcPr>
          <w:p w14:paraId="0245C01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97966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A26636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氟虫腈、甲胺磷、克百威、氧乐果</w:t>
            </w:r>
          </w:p>
        </w:tc>
        <w:tc>
          <w:tcPr>
            <w:tcW w:w="1088" w:type="dxa"/>
            <w:noWrap w:val="0"/>
            <w:vAlign w:val="center"/>
          </w:tcPr>
          <w:p w14:paraId="5705D30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0ADB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91EE64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1FE57FC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1ED4640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635C139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荔枝</w:t>
            </w:r>
          </w:p>
        </w:tc>
        <w:tc>
          <w:tcPr>
            <w:tcW w:w="675" w:type="dxa"/>
            <w:noWrap w:val="0"/>
            <w:vAlign w:val="center"/>
          </w:tcPr>
          <w:p w14:paraId="5A9A2CE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3ECF92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氯氟氰菊酯和高效氯氟氰菊酯、吡唑醚菌酯、除虫脲</w:t>
            </w:r>
          </w:p>
        </w:tc>
        <w:tc>
          <w:tcPr>
            <w:tcW w:w="2370" w:type="dxa"/>
            <w:noWrap w:val="0"/>
            <w:vAlign w:val="center"/>
          </w:tcPr>
          <w:p w14:paraId="2FE7C1B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氯氟氰菊酯和高效氯氟氰菊酯、吡唑醚菌酯、除虫脲、多菌灵、氧乐果、毒死蜱、苯醚甲环唑、氯氰菊酯和高效氯氰菊酯、氰霜唑、氟吗啉、咪鲜胺和咪鲜胺锰盐、乐果</w:t>
            </w:r>
          </w:p>
        </w:tc>
        <w:tc>
          <w:tcPr>
            <w:tcW w:w="1088" w:type="dxa"/>
            <w:noWrap w:val="0"/>
            <w:vAlign w:val="center"/>
          </w:tcPr>
          <w:p w14:paraId="725D870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1EBD5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471F4A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4677C9B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38AEDA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0F5CE30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菠萝</w:t>
            </w:r>
          </w:p>
        </w:tc>
        <w:tc>
          <w:tcPr>
            <w:tcW w:w="675" w:type="dxa"/>
            <w:noWrap w:val="0"/>
            <w:vAlign w:val="center"/>
          </w:tcPr>
          <w:p w14:paraId="0C2F604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662CD5D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77186BB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苯醚甲环唑、克百威、氧乐果、脱氢乙酸及其钠盐（以脱氢乙酸计）、糖精钠（以糖精计）、三氯蔗糖</w:t>
            </w:r>
          </w:p>
        </w:tc>
        <w:tc>
          <w:tcPr>
            <w:tcW w:w="1088" w:type="dxa"/>
            <w:noWrap w:val="0"/>
            <w:vAlign w:val="center"/>
          </w:tcPr>
          <w:p w14:paraId="53C63FD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156B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181A4FD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5F9163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7BE27F6B">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E831D5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杨梅</w:t>
            </w:r>
          </w:p>
        </w:tc>
        <w:tc>
          <w:tcPr>
            <w:tcW w:w="675" w:type="dxa"/>
            <w:noWrap w:val="0"/>
            <w:vAlign w:val="center"/>
          </w:tcPr>
          <w:p w14:paraId="2566C7E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431BD6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脱氢乙酸及其钠盐（以脱氢乙酸计）、甜蜜素（以环己基氨基磺酸计）</w:t>
            </w:r>
          </w:p>
        </w:tc>
        <w:tc>
          <w:tcPr>
            <w:tcW w:w="2370" w:type="dxa"/>
            <w:noWrap w:val="0"/>
            <w:vAlign w:val="center"/>
          </w:tcPr>
          <w:p w14:paraId="37FEF52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脱氢乙酸及其钠盐（以脱氢乙酸计）、甜蜜素（以环己基氨基磺酸计）、苯甲酸及其钠盐（以苯甲酸计）、山梨酸及其钾盐（以山梨酸计）、糖精钠（以糖精计）、三氯蔗糖、敌敌畏、氧乐果、啶虫脒</w:t>
            </w:r>
          </w:p>
        </w:tc>
        <w:tc>
          <w:tcPr>
            <w:tcW w:w="1088" w:type="dxa"/>
            <w:noWrap w:val="0"/>
            <w:vAlign w:val="center"/>
          </w:tcPr>
          <w:p w14:paraId="1307BC4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5FDED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6294B28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3D37509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584CE51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44ECA2E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龙眼</w:t>
            </w:r>
          </w:p>
        </w:tc>
        <w:tc>
          <w:tcPr>
            <w:tcW w:w="675" w:type="dxa"/>
            <w:noWrap w:val="0"/>
            <w:vAlign w:val="center"/>
          </w:tcPr>
          <w:p w14:paraId="143A4FA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312FB6E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二氧化硫残留量</w:t>
            </w:r>
          </w:p>
        </w:tc>
        <w:tc>
          <w:tcPr>
            <w:tcW w:w="2370" w:type="dxa"/>
            <w:noWrap w:val="0"/>
            <w:vAlign w:val="center"/>
          </w:tcPr>
          <w:p w14:paraId="649691C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二氧化硫残留量、克百威、氯氰菊酯和高效氯氰菊酯、氧乐果</w:t>
            </w:r>
          </w:p>
        </w:tc>
        <w:tc>
          <w:tcPr>
            <w:tcW w:w="1088" w:type="dxa"/>
            <w:noWrap w:val="0"/>
            <w:vAlign w:val="center"/>
          </w:tcPr>
          <w:p w14:paraId="20B75CB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6D0DD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F8D796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5FBB91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468B366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34B794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番木瓜</w:t>
            </w:r>
          </w:p>
        </w:tc>
        <w:tc>
          <w:tcPr>
            <w:tcW w:w="675" w:type="dxa"/>
            <w:noWrap w:val="0"/>
            <w:vAlign w:val="center"/>
          </w:tcPr>
          <w:p w14:paraId="666A4EB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2E85A3F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噻虫胺、噻虫嗪</w:t>
            </w:r>
          </w:p>
        </w:tc>
        <w:tc>
          <w:tcPr>
            <w:tcW w:w="2370" w:type="dxa"/>
            <w:noWrap w:val="0"/>
            <w:vAlign w:val="center"/>
          </w:tcPr>
          <w:p w14:paraId="60F265A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噻虫胺、噻虫嗪、乙酰甲胺磷</w:t>
            </w:r>
          </w:p>
        </w:tc>
        <w:tc>
          <w:tcPr>
            <w:tcW w:w="1088" w:type="dxa"/>
            <w:noWrap w:val="0"/>
            <w:vAlign w:val="center"/>
          </w:tcPr>
          <w:p w14:paraId="276AD398">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419A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68F884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6A49876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4FBECB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5C49DE2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橄榄</w:t>
            </w:r>
          </w:p>
        </w:tc>
        <w:tc>
          <w:tcPr>
            <w:tcW w:w="675" w:type="dxa"/>
            <w:noWrap w:val="0"/>
            <w:vAlign w:val="center"/>
          </w:tcPr>
          <w:p w14:paraId="54DE0EE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7DD3D2E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8E0617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三氯蔗糖、糖精钠（以糖精计）、甜蜜素（以环己基氨基磺酸计）</w:t>
            </w:r>
          </w:p>
        </w:tc>
        <w:tc>
          <w:tcPr>
            <w:tcW w:w="1088" w:type="dxa"/>
            <w:noWrap w:val="0"/>
            <w:vAlign w:val="center"/>
          </w:tcPr>
          <w:p w14:paraId="31DC1FB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A558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4FC3577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37573D3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restart"/>
            <w:noWrap w:val="0"/>
            <w:vAlign w:val="center"/>
          </w:tcPr>
          <w:p w14:paraId="3C53E9F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瓜果类水果</w:t>
            </w:r>
          </w:p>
        </w:tc>
        <w:tc>
          <w:tcPr>
            <w:tcW w:w="1025" w:type="dxa"/>
            <w:noWrap w:val="0"/>
            <w:vAlign w:val="center"/>
          </w:tcPr>
          <w:p w14:paraId="1082409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西瓜</w:t>
            </w:r>
          </w:p>
        </w:tc>
        <w:tc>
          <w:tcPr>
            <w:tcW w:w="675" w:type="dxa"/>
            <w:noWrap w:val="0"/>
            <w:vAlign w:val="center"/>
          </w:tcPr>
          <w:p w14:paraId="3A2A32D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4622E4C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9BC4E4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克百威、噻虫嗪、氧乐果</w:t>
            </w:r>
          </w:p>
        </w:tc>
        <w:tc>
          <w:tcPr>
            <w:tcW w:w="1088" w:type="dxa"/>
            <w:noWrap w:val="0"/>
            <w:vAlign w:val="center"/>
          </w:tcPr>
          <w:p w14:paraId="4937763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3378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71E91FD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29B419C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971656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114F123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甜瓜类</w:t>
            </w:r>
          </w:p>
        </w:tc>
        <w:tc>
          <w:tcPr>
            <w:tcW w:w="675" w:type="dxa"/>
            <w:noWrap w:val="0"/>
            <w:vAlign w:val="center"/>
          </w:tcPr>
          <w:p w14:paraId="6E8409F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较高</w:t>
            </w:r>
          </w:p>
        </w:tc>
        <w:tc>
          <w:tcPr>
            <w:tcW w:w="1164" w:type="dxa"/>
            <w:noWrap w:val="0"/>
            <w:vAlign w:val="center"/>
          </w:tcPr>
          <w:p w14:paraId="08563A0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25735C0E">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克百威、氧乐果、乙酰甲胺磷</w:t>
            </w:r>
          </w:p>
        </w:tc>
        <w:tc>
          <w:tcPr>
            <w:tcW w:w="1088" w:type="dxa"/>
            <w:noWrap w:val="0"/>
            <w:vAlign w:val="center"/>
          </w:tcPr>
          <w:p w14:paraId="398D5CD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2D398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17B23B2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鲜蛋</w:t>
            </w:r>
          </w:p>
        </w:tc>
        <w:tc>
          <w:tcPr>
            <w:tcW w:w="988" w:type="dxa"/>
            <w:vMerge w:val="restart"/>
            <w:noWrap w:val="0"/>
            <w:vAlign w:val="center"/>
          </w:tcPr>
          <w:p w14:paraId="52BAB8B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鲜蛋</w:t>
            </w:r>
          </w:p>
        </w:tc>
        <w:tc>
          <w:tcPr>
            <w:tcW w:w="1025" w:type="dxa"/>
            <w:vMerge w:val="restart"/>
            <w:noWrap w:val="0"/>
            <w:vAlign w:val="center"/>
          </w:tcPr>
          <w:p w14:paraId="61C97A1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鲜蛋</w:t>
            </w:r>
          </w:p>
        </w:tc>
        <w:tc>
          <w:tcPr>
            <w:tcW w:w="1025" w:type="dxa"/>
            <w:noWrap w:val="0"/>
            <w:vAlign w:val="center"/>
          </w:tcPr>
          <w:p w14:paraId="2ADA020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鸡蛋</w:t>
            </w:r>
          </w:p>
        </w:tc>
        <w:tc>
          <w:tcPr>
            <w:tcW w:w="675" w:type="dxa"/>
            <w:noWrap w:val="0"/>
            <w:vAlign w:val="center"/>
          </w:tcPr>
          <w:p w14:paraId="3B2E295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25D7E4C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磺胺类（总量）、</w:t>
            </w:r>
          </w:p>
          <w:p w14:paraId="464017A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甲氧苄啶</w:t>
            </w:r>
          </w:p>
        </w:tc>
        <w:tc>
          <w:tcPr>
            <w:tcW w:w="2370" w:type="dxa"/>
            <w:noWrap w:val="0"/>
            <w:vAlign w:val="center"/>
          </w:tcPr>
          <w:p w14:paraId="4EED7CF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磺胺类（总量）、甲氧苄啶、甲硝唑、地美硝唑、呋喃唑酮代谢物、氟虫腈、氯霉素、氟苯尼考、甲砜霉素、恩诺沙星、氧氟沙星、沙拉沙星、多西环素、地克珠利、托曲珠利</w:t>
            </w:r>
          </w:p>
        </w:tc>
        <w:tc>
          <w:tcPr>
            <w:tcW w:w="1088" w:type="dxa"/>
            <w:noWrap w:val="0"/>
            <w:vAlign w:val="center"/>
          </w:tcPr>
          <w:p w14:paraId="71DB75D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0229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33C8AE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737C5DC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24C61317">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27960B4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其他禽蛋</w:t>
            </w:r>
          </w:p>
        </w:tc>
        <w:tc>
          <w:tcPr>
            <w:tcW w:w="675" w:type="dxa"/>
            <w:noWrap w:val="0"/>
            <w:vAlign w:val="center"/>
          </w:tcPr>
          <w:p w14:paraId="1020612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高</w:t>
            </w:r>
          </w:p>
        </w:tc>
        <w:tc>
          <w:tcPr>
            <w:tcW w:w="1164" w:type="dxa"/>
            <w:noWrap w:val="0"/>
            <w:vAlign w:val="center"/>
          </w:tcPr>
          <w:p w14:paraId="7CFE4D5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34FA333C">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多西环素、呋喃唑酮代谢物、磺胺类（总量）</w:t>
            </w:r>
          </w:p>
        </w:tc>
        <w:tc>
          <w:tcPr>
            <w:tcW w:w="1088" w:type="dxa"/>
            <w:noWrap w:val="0"/>
            <w:vAlign w:val="center"/>
          </w:tcPr>
          <w:p w14:paraId="6A8E370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06A2E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noWrap w:val="0"/>
            <w:vAlign w:val="center"/>
          </w:tcPr>
          <w:p w14:paraId="3DD4BC7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豆类</w:t>
            </w:r>
          </w:p>
        </w:tc>
        <w:tc>
          <w:tcPr>
            <w:tcW w:w="988" w:type="dxa"/>
            <w:noWrap w:val="0"/>
            <w:vAlign w:val="center"/>
          </w:tcPr>
          <w:p w14:paraId="7AE3F5D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豆类</w:t>
            </w:r>
          </w:p>
        </w:tc>
        <w:tc>
          <w:tcPr>
            <w:tcW w:w="1025" w:type="dxa"/>
            <w:noWrap w:val="0"/>
            <w:vAlign w:val="center"/>
          </w:tcPr>
          <w:p w14:paraId="36C44D8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豆类</w:t>
            </w:r>
          </w:p>
        </w:tc>
        <w:tc>
          <w:tcPr>
            <w:tcW w:w="1025" w:type="dxa"/>
            <w:noWrap w:val="0"/>
            <w:vAlign w:val="center"/>
          </w:tcPr>
          <w:p w14:paraId="5C073D8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豆类</w:t>
            </w:r>
          </w:p>
        </w:tc>
        <w:tc>
          <w:tcPr>
            <w:tcW w:w="675" w:type="dxa"/>
            <w:noWrap w:val="0"/>
            <w:vAlign w:val="center"/>
          </w:tcPr>
          <w:p w14:paraId="3F4AFEE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一般</w:t>
            </w:r>
          </w:p>
        </w:tc>
        <w:tc>
          <w:tcPr>
            <w:tcW w:w="1164" w:type="dxa"/>
            <w:noWrap w:val="0"/>
            <w:vAlign w:val="center"/>
          </w:tcPr>
          <w:p w14:paraId="6FEE91A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414F0AC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铅（以Pb计）、铬（以Cr计）、赭曲霉毒素A、吡虫啉</w:t>
            </w:r>
          </w:p>
        </w:tc>
        <w:tc>
          <w:tcPr>
            <w:tcW w:w="1088" w:type="dxa"/>
            <w:noWrap w:val="0"/>
            <w:vAlign w:val="center"/>
          </w:tcPr>
          <w:p w14:paraId="2DE92AE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48314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restart"/>
            <w:noWrap w:val="0"/>
            <w:vAlign w:val="center"/>
          </w:tcPr>
          <w:p w14:paraId="6981671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生干坚果与籽类食品</w:t>
            </w:r>
          </w:p>
        </w:tc>
        <w:tc>
          <w:tcPr>
            <w:tcW w:w="988" w:type="dxa"/>
            <w:vMerge w:val="restart"/>
            <w:noWrap w:val="0"/>
            <w:vAlign w:val="center"/>
          </w:tcPr>
          <w:p w14:paraId="17D3CB34">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生干坚果与籽类食品</w:t>
            </w:r>
          </w:p>
        </w:tc>
        <w:tc>
          <w:tcPr>
            <w:tcW w:w="1025" w:type="dxa"/>
            <w:vMerge w:val="restart"/>
            <w:noWrap w:val="0"/>
            <w:vAlign w:val="center"/>
          </w:tcPr>
          <w:p w14:paraId="21A0399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生干坚果与籽类食品</w:t>
            </w:r>
          </w:p>
        </w:tc>
        <w:tc>
          <w:tcPr>
            <w:tcW w:w="1025" w:type="dxa"/>
            <w:noWrap w:val="0"/>
            <w:vAlign w:val="center"/>
          </w:tcPr>
          <w:p w14:paraId="4FB6E97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生干坚果</w:t>
            </w:r>
          </w:p>
        </w:tc>
        <w:tc>
          <w:tcPr>
            <w:tcW w:w="675" w:type="dxa"/>
            <w:noWrap w:val="0"/>
            <w:vAlign w:val="center"/>
          </w:tcPr>
          <w:p w14:paraId="216E2D6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一般</w:t>
            </w:r>
          </w:p>
        </w:tc>
        <w:tc>
          <w:tcPr>
            <w:tcW w:w="1164" w:type="dxa"/>
            <w:noWrap w:val="0"/>
            <w:vAlign w:val="center"/>
          </w:tcPr>
          <w:p w14:paraId="617EECA3">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p>
        </w:tc>
        <w:tc>
          <w:tcPr>
            <w:tcW w:w="2370" w:type="dxa"/>
            <w:noWrap w:val="0"/>
            <w:vAlign w:val="center"/>
          </w:tcPr>
          <w:p w14:paraId="62100881">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酸价（以脂肪计）（KOH）、过氧化值（以脂肪计）、吡虫啉</w:t>
            </w:r>
          </w:p>
        </w:tc>
        <w:tc>
          <w:tcPr>
            <w:tcW w:w="1088" w:type="dxa"/>
            <w:noWrap w:val="0"/>
            <w:vAlign w:val="center"/>
          </w:tcPr>
          <w:p w14:paraId="45DF066D">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r w14:paraId="3DAA7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6" w:type="dxa"/>
            <w:vMerge w:val="continue"/>
            <w:noWrap w:val="0"/>
            <w:vAlign w:val="center"/>
          </w:tcPr>
          <w:p w14:paraId="2AD00D2F">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988" w:type="dxa"/>
            <w:vMerge w:val="continue"/>
            <w:noWrap w:val="0"/>
            <w:vAlign w:val="center"/>
          </w:tcPr>
          <w:p w14:paraId="057FC0EA">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vMerge w:val="continue"/>
            <w:noWrap w:val="0"/>
            <w:vAlign w:val="center"/>
          </w:tcPr>
          <w:p w14:paraId="027ADC42">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c>
          <w:tcPr>
            <w:tcW w:w="1025" w:type="dxa"/>
            <w:noWrap w:val="0"/>
            <w:vAlign w:val="center"/>
          </w:tcPr>
          <w:p w14:paraId="7DA04C3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生干籽类</w:t>
            </w:r>
          </w:p>
        </w:tc>
        <w:tc>
          <w:tcPr>
            <w:tcW w:w="675" w:type="dxa"/>
            <w:noWrap w:val="0"/>
            <w:vAlign w:val="center"/>
          </w:tcPr>
          <w:p w14:paraId="27B0D0B5">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一般</w:t>
            </w:r>
          </w:p>
        </w:tc>
        <w:tc>
          <w:tcPr>
            <w:tcW w:w="1164" w:type="dxa"/>
            <w:noWrap w:val="0"/>
            <w:vAlign w:val="center"/>
          </w:tcPr>
          <w:p w14:paraId="1C3F64D9">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黄曲霉毒素B1</w:t>
            </w:r>
          </w:p>
        </w:tc>
        <w:tc>
          <w:tcPr>
            <w:tcW w:w="2370" w:type="dxa"/>
            <w:noWrap w:val="0"/>
            <w:vAlign w:val="center"/>
          </w:tcPr>
          <w:p w14:paraId="534FD690">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黄曲霉毒素B1、酸价（以脂肪计）（KOH）、过氧化值（以脂肪计）、铅（以Pb计）、镉（以Cd计）、噻虫嗪、噻虫胺</w:t>
            </w:r>
          </w:p>
        </w:tc>
        <w:tc>
          <w:tcPr>
            <w:tcW w:w="1088" w:type="dxa"/>
            <w:noWrap w:val="0"/>
            <w:vAlign w:val="center"/>
          </w:tcPr>
          <w:p w14:paraId="35284876">
            <w:pPr>
              <w:keepNext w:val="0"/>
              <w:keepLines w:val="0"/>
              <w:pageBreakBefore w:val="0"/>
              <w:widowControl/>
              <w:kinsoku/>
              <w:wordWrap/>
              <w:overflowPunct/>
              <w:topLinePunct w:val="0"/>
              <w:autoSpaceDE/>
              <w:autoSpaceDN/>
              <w:bidi w:val="0"/>
              <w:adjustRightInd w:val="0"/>
              <w:snapToGrid w:val="0"/>
              <w:spacing w:line="260" w:lineRule="exact"/>
              <w:jc w:val="center"/>
              <w:rPr>
                <w:rFonts w:hint="eastAsia" w:ascii="宋体" w:hAnsi="宋体" w:eastAsia="宋体" w:cs="宋体"/>
                <w:color w:val="000000"/>
                <w:kern w:val="0"/>
                <w:sz w:val="21"/>
                <w:szCs w:val="21"/>
                <w:lang w:bidi="ar"/>
              </w:rPr>
            </w:pPr>
          </w:p>
        </w:tc>
      </w:tr>
    </w:tbl>
    <w:p w14:paraId="44540BA6">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部分项目检测结果说明：恩诺沙星检验结果以恩诺沙星与环丙沙星之和计；孔雀石绿检验结果以孔雀石绿与隐色孔雀石绿之和计，以孔雀石绿表示；磺胺类（总量）包含的具体磺胺药物按国家食品安全监督抽检实施细则（2025年版）中相应食品类别要求检验。</w:t>
      </w:r>
    </w:p>
    <w:p w14:paraId="7016513F">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酸价、过氧化值依据GB19300判定时，样品前处理按该标准附录B规定；脂肪含量低的莲子、板栗类等食品，其酸价、过氧化值不作要求；其中芝麻的酸价不纳入2025年监督抽检。</w:t>
      </w:r>
    </w:p>
    <w:p w14:paraId="015FEAF4">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海水蟹、虾蛄中镉（以Cd计）仅限生产日期在2023年6月30日（含）之后的产品检测。</w:t>
      </w:r>
    </w:p>
    <w:p w14:paraId="0A2DD4B1">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可选项目选择原则:</w:t>
      </w:r>
    </w:p>
    <w:p w14:paraId="3B88C368">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1）金刚烷胺、利巴韦林等药物在相关限量标准发布实施前不得纳入监督抽检﹔鉴于检测方法等问题，虾、蟹中呋喃西林代谢物不得纳入监督抽检。</w:t>
      </w:r>
    </w:p>
    <w:p w14:paraId="0ACF1E34">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2）可选项目应根据当地农业投入品使用情况及既往抽检不合格、当地舆情情况选择，如在本表可选项目之外确定检测项目时，应注意:农药残留项目在GB 2763-2021、GB 2763.1-2022标准中有该品种最大允许残留限量及相应指定检测方法；兽药项目在GB31650-2019、GB 31650.1-2022有该动物类别相应组织部位的允许限量，或农业农村部公告250号有禁用要求，且有适用检测方法（检测范围应包</w:t>
      </w:r>
      <w:r>
        <w:rPr>
          <w:rFonts w:hint="eastAsia" w:ascii="宋体" w:hAnsi="宋体" w:eastAsia="宋体" w:cs="宋体"/>
          <w:sz w:val="24"/>
          <w:szCs w:val="24"/>
          <w:lang w:val="en-US" w:eastAsia="zh-CN"/>
        </w:rPr>
        <w:tab/>
      </w:r>
      <w:r>
        <w:rPr>
          <w:rFonts w:hint="eastAsia" w:ascii="宋体" w:hAnsi="宋体" w:eastAsia="宋体" w:cs="宋体"/>
          <w:sz w:val="24"/>
          <w:szCs w:val="24"/>
          <w:lang w:eastAsia="zh-CN"/>
        </w:rPr>
        <w:t>含该动物相应组织部位），符合上述要求的农兽药项目方可纳入监督抽检。</w:t>
      </w:r>
    </w:p>
    <w:p w14:paraId="1A0BB6E5">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因生干籽类细类中包含除重点品种花生外的其他生干籽类产品，其他水产品中包含除重点品种牛蛙、鱿鱼外的其他水产品，其他禽蛋中包含除重点品种鸭蛋外的其他禽蛋，因此“国抽信息系统”不作必检项限制，但各承检机构应按必检项目要求实施检验，不得漏检漏报。</w:t>
      </w:r>
    </w:p>
    <w:p w14:paraId="053802D7">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抽样前，应制定抽样方案，抽取样品量、检验及复检备份所需样品量应根据采用的检测方法标准要求确定。</w:t>
      </w:r>
    </w:p>
    <w:p w14:paraId="1678248F">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000000"/>
          <w:sz w:val="24"/>
          <w:szCs w:val="24"/>
        </w:rPr>
      </w:pPr>
      <w:bookmarkStart w:id="37" w:name="_Toc5787"/>
      <w:bookmarkStart w:id="38" w:name="_Toc8688"/>
      <w:r>
        <w:rPr>
          <w:rFonts w:hint="eastAsia" w:ascii="宋体" w:hAnsi="宋体" w:eastAsia="宋体" w:cs="宋体"/>
          <w:color w:val="000000"/>
          <w:sz w:val="24"/>
          <w:szCs w:val="24"/>
        </w:rPr>
        <w:t>四、组织实施要求</w:t>
      </w:r>
      <w:bookmarkEnd w:id="37"/>
      <w:bookmarkEnd w:id="38"/>
    </w:p>
    <w:p w14:paraId="3C7B073E">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一</w:t>
      </w:r>
      <w:r>
        <w:rPr>
          <w:rFonts w:hint="eastAsia" w:ascii="宋体" w:hAnsi="宋体" w:eastAsia="宋体" w:cs="宋体"/>
          <w:sz w:val="24"/>
          <w:szCs w:val="24"/>
        </w:rPr>
        <w:t>）</w:t>
      </w:r>
      <w:r>
        <w:rPr>
          <w:rFonts w:hint="eastAsia" w:ascii="宋体" w:hAnsi="宋体" w:eastAsia="宋体" w:cs="宋体"/>
          <w:sz w:val="24"/>
          <w:szCs w:val="24"/>
          <w:highlight w:val="none"/>
          <w:lang w:eastAsia="zh-CN"/>
        </w:rPr>
        <w:t>以</w:t>
      </w:r>
      <w:r>
        <w:rPr>
          <w:rFonts w:hint="eastAsia" w:ascii="宋体" w:hAnsi="宋体" w:eastAsia="宋体" w:cs="宋体"/>
          <w:sz w:val="24"/>
          <w:szCs w:val="24"/>
          <w:lang w:eastAsia="zh-CN"/>
        </w:rPr>
        <w:t>发现问题为导向，</w:t>
      </w:r>
      <w:r>
        <w:rPr>
          <w:rFonts w:hint="eastAsia" w:ascii="宋体" w:hAnsi="宋体" w:eastAsia="宋体" w:cs="宋体"/>
          <w:sz w:val="24"/>
          <w:szCs w:val="24"/>
        </w:rPr>
        <w:t>注重抽检的靶向性，抽检不合格率不得低于2.5%。抽样检验样品报告不合格率低于2.5%的，按照以下扣除服务费：不足2.5%的，每少于0.2%扣除2%的服务费，最多扣除10%的服务费。</w:t>
      </w:r>
    </w:p>
    <w:p w14:paraId="6F09FEFD">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）供应商负责抽样的具体工作，</w:t>
      </w:r>
      <w:r>
        <w:rPr>
          <w:rFonts w:hint="eastAsia" w:ascii="宋体" w:hAnsi="宋体" w:eastAsia="宋体" w:cs="宋体"/>
          <w:sz w:val="24"/>
          <w:szCs w:val="24"/>
          <w:lang w:eastAsia="zh-CN"/>
        </w:rPr>
        <w:t>需要陪同抽样的，</w:t>
      </w:r>
      <w:r>
        <w:rPr>
          <w:rFonts w:hint="eastAsia" w:ascii="宋体" w:hAnsi="宋体" w:eastAsia="宋体" w:cs="宋体"/>
          <w:sz w:val="24"/>
          <w:szCs w:val="24"/>
        </w:rPr>
        <w:t>由区市场监督管理局派2人到现场配合抽样并在抽样单上确认签字。</w:t>
      </w:r>
    </w:p>
    <w:p w14:paraId="73EB59DF">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）供应商按照《食品安全抽样检验管理办法》（国家市场监管总局令第15号 ）、</w:t>
      </w:r>
      <w:r>
        <w:rPr>
          <w:rFonts w:hint="eastAsia" w:ascii="宋体" w:hAnsi="宋体" w:eastAsia="宋体" w:cs="宋体"/>
          <w:sz w:val="24"/>
          <w:szCs w:val="24"/>
          <w:lang w:eastAsia="zh-CN"/>
        </w:rPr>
        <w:t>《食品安全抽样检验工作规范》</w:t>
      </w:r>
      <w:r>
        <w:rPr>
          <w:rFonts w:hint="eastAsia" w:ascii="宋体" w:hAnsi="宋体" w:eastAsia="宋体" w:cs="宋体"/>
          <w:sz w:val="24"/>
          <w:szCs w:val="24"/>
        </w:rPr>
        <w:t>（</w:t>
      </w:r>
      <w:r>
        <w:rPr>
          <w:rFonts w:hint="eastAsia" w:ascii="宋体" w:hAnsi="宋体" w:eastAsia="宋体" w:cs="宋体"/>
          <w:sz w:val="24"/>
          <w:szCs w:val="24"/>
          <w:lang w:eastAsia="zh-CN"/>
        </w:rPr>
        <w:t>市监食检发〔20</w:t>
      </w: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76</w:t>
      </w:r>
      <w:r>
        <w:rPr>
          <w:rFonts w:hint="eastAsia" w:ascii="宋体" w:hAnsi="宋体" w:eastAsia="宋体" w:cs="宋体"/>
          <w:sz w:val="24"/>
          <w:szCs w:val="24"/>
          <w:lang w:eastAsia="zh-CN"/>
        </w:rPr>
        <w:t>号</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《国家食品安全监督抽检实施细则（202</w:t>
      </w:r>
      <w:r>
        <w:rPr>
          <w:rFonts w:hint="eastAsia" w:ascii="宋体" w:hAnsi="宋体" w:eastAsia="宋体" w:cs="宋体"/>
          <w:sz w:val="24"/>
          <w:szCs w:val="24"/>
          <w:lang w:val="en-US" w:eastAsia="zh-CN"/>
        </w:rPr>
        <w:t>5</w:t>
      </w:r>
      <w:r>
        <w:rPr>
          <w:rFonts w:hint="eastAsia" w:ascii="宋体" w:hAnsi="宋体" w:eastAsia="宋体" w:cs="宋体"/>
          <w:sz w:val="24"/>
          <w:szCs w:val="24"/>
        </w:rPr>
        <w:t>年版）》有关工作要求开展检验（检验项目、抽样地点等严格按照本次食品专项抽检任务要求执行），保证检测结果准确可靠。</w:t>
      </w:r>
    </w:p>
    <w:p w14:paraId="4A6B74B4">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）各</w:t>
      </w:r>
      <w:r>
        <w:rPr>
          <w:rFonts w:hint="eastAsia" w:ascii="宋体" w:hAnsi="宋体" w:eastAsia="宋体" w:cs="宋体"/>
          <w:sz w:val="24"/>
          <w:szCs w:val="24"/>
          <w:lang w:eastAsia="zh-CN"/>
        </w:rPr>
        <w:t>成交</w:t>
      </w:r>
      <w:r>
        <w:rPr>
          <w:rFonts w:hint="eastAsia" w:ascii="宋体" w:hAnsi="宋体" w:eastAsia="宋体" w:cs="宋体"/>
          <w:sz w:val="24"/>
          <w:szCs w:val="24"/>
        </w:rPr>
        <w:t>供应商所检测指标需判定，不得抽取风险监测指标。</w:t>
      </w:r>
    </w:p>
    <w:p w14:paraId="579CB6AF">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）供应商可以根据食品安全风险预警机制临时调整抽检计划中的抽检样品类别（最高不超过20%），向采购人报备调整方案同意后执行。</w:t>
      </w:r>
    </w:p>
    <w:p w14:paraId="4A851AB0">
      <w:pPr>
        <w:pStyle w:val="3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供应商为本项目配置的技术人员应当熟悉《食品安全法》及其相关法律法规以及有关食品标准和检验方法的原理，掌握检验操作技能、标准操作规程、质量控制要求、实验室安全与防护知识、计量和数据处理知识等，并应当经过食品相关法律法规、质量管理和有关专业技术的培训和考核。抽检人员与检测人员必须分离，抽检人员、抽样信息录入人员、报告书录入人员等必须为投标人职工。</w:t>
      </w:r>
    </w:p>
    <w:p w14:paraId="68DD4DDB">
      <w:pPr>
        <w:pStyle w:val="35"/>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）成交供应商负责</w:t>
      </w:r>
      <w:r>
        <w:rPr>
          <w:rFonts w:hint="eastAsia" w:ascii="宋体" w:hAnsi="宋体" w:eastAsia="宋体" w:cs="宋体"/>
          <w:sz w:val="24"/>
          <w:szCs w:val="24"/>
          <w:lang w:eastAsia="zh-CN"/>
        </w:rPr>
        <w:t>样品的抽取、资料填写、封样、购买、运输、检验等</w:t>
      </w:r>
      <w:r>
        <w:rPr>
          <w:rFonts w:hint="eastAsia" w:ascii="宋体" w:hAnsi="宋体" w:eastAsia="宋体" w:cs="宋体"/>
          <w:sz w:val="24"/>
          <w:szCs w:val="24"/>
        </w:rPr>
        <w:t>，并及时将抽样信息、检验报告录入食品安全抽检监测信息平台。不得向被抽检单位收取检验费</w:t>
      </w:r>
      <w:r>
        <w:rPr>
          <w:rFonts w:hint="eastAsia" w:ascii="宋体" w:hAnsi="宋体" w:cs="宋体"/>
          <w:sz w:val="24"/>
          <w:szCs w:val="24"/>
          <w:lang w:eastAsia="zh-CN"/>
        </w:rPr>
        <w:t>、</w:t>
      </w:r>
      <w:r>
        <w:rPr>
          <w:rFonts w:hint="eastAsia" w:ascii="宋体" w:hAnsi="宋体" w:eastAsia="宋体" w:cs="宋体"/>
          <w:sz w:val="24"/>
          <w:szCs w:val="24"/>
        </w:rPr>
        <w:t>样品费或其他任何费用，不得在承检期间向抽样单位宣传或推销自身业务。</w:t>
      </w:r>
      <w:r>
        <w:rPr>
          <w:rFonts w:hint="eastAsia" w:ascii="宋体" w:hAnsi="宋体" w:eastAsia="宋体" w:cs="宋体"/>
        </w:rPr>
        <w:br w:type="page"/>
      </w:r>
    </w:p>
    <w:p w14:paraId="1D5917F7">
      <w:pPr>
        <w:pStyle w:val="3"/>
        <w:pageBreakBefore/>
        <w:spacing w:before="0" w:after="0" w:line="360" w:lineRule="auto"/>
        <w:jc w:val="center"/>
        <w:rPr>
          <w:rFonts w:hint="eastAsia" w:ascii="宋体" w:hAnsi="宋体" w:eastAsia="宋体" w:cs="宋体"/>
          <w:sz w:val="24"/>
          <w:szCs w:val="24"/>
        </w:rPr>
      </w:pPr>
      <w:bookmarkStart w:id="39" w:name="_Toc16682"/>
      <w:r>
        <w:rPr>
          <w:rFonts w:hint="eastAsia" w:ascii="宋体" w:hAnsi="宋体" w:eastAsia="宋体" w:cs="宋体"/>
          <w:b w:val="0"/>
          <w:sz w:val="36"/>
          <w:szCs w:val="30"/>
        </w:rPr>
        <w:t>第</w:t>
      </w:r>
      <w:r>
        <w:rPr>
          <w:rFonts w:hint="eastAsia" w:ascii="宋体" w:hAnsi="宋体" w:eastAsia="宋体" w:cs="宋体"/>
          <w:b w:val="0"/>
          <w:sz w:val="36"/>
          <w:szCs w:val="30"/>
          <w:lang w:eastAsia="zh-CN"/>
        </w:rPr>
        <w:t>三</w:t>
      </w:r>
      <w:r>
        <w:rPr>
          <w:rFonts w:hint="eastAsia" w:ascii="宋体" w:hAnsi="宋体" w:eastAsia="宋体" w:cs="宋体"/>
          <w:b w:val="0"/>
          <w:sz w:val="36"/>
          <w:szCs w:val="30"/>
        </w:rPr>
        <w:t>篇  磋商</w:t>
      </w:r>
      <w:r>
        <w:rPr>
          <w:rFonts w:hint="eastAsia" w:ascii="宋体" w:hAnsi="宋体" w:eastAsia="宋体" w:cs="宋体"/>
          <w:b w:val="0"/>
          <w:sz w:val="36"/>
          <w:szCs w:val="30"/>
          <w:lang w:eastAsia="zh-CN"/>
        </w:rPr>
        <w:t>项目商务需求</w:t>
      </w:r>
      <w:bookmarkEnd w:id="24"/>
      <w:bookmarkEnd w:id="39"/>
      <w:bookmarkStart w:id="40" w:name="_Toc13571379"/>
      <w:bookmarkStart w:id="41" w:name="_Toc344475120"/>
      <w:bookmarkStart w:id="42" w:name="_Toc487204789"/>
    </w:p>
    <w:p w14:paraId="285439D2">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43" w:name="_Toc32732"/>
      <w:r>
        <w:rPr>
          <w:rFonts w:hint="eastAsia" w:ascii="宋体" w:hAnsi="宋体" w:eastAsia="宋体" w:cs="宋体"/>
          <w:sz w:val="24"/>
          <w:szCs w:val="24"/>
        </w:rPr>
        <w:t>一、服务时间、地点</w:t>
      </w:r>
      <w:bookmarkEnd w:id="40"/>
      <w:bookmarkEnd w:id="41"/>
      <w:bookmarkEnd w:id="42"/>
      <w:r>
        <w:rPr>
          <w:rFonts w:hint="eastAsia" w:ascii="宋体" w:hAnsi="宋体" w:eastAsia="宋体" w:cs="宋体"/>
          <w:sz w:val="24"/>
          <w:szCs w:val="24"/>
        </w:rPr>
        <w:t>及验收方式</w:t>
      </w:r>
      <w:bookmarkEnd w:id="43"/>
    </w:p>
    <w:p w14:paraId="23FBD3F2">
      <w:pPr>
        <w:pStyle w:val="35"/>
        <w:pageBreakBefore w:val="0"/>
        <w:numPr>
          <w:ilvl w:val="0"/>
          <w:numId w:val="15"/>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bookmarkStart w:id="44" w:name="_Toc24209"/>
      <w:bookmarkStart w:id="45" w:name="_Toc30218"/>
      <w:bookmarkStart w:id="46" w:name="_Toc506192852"/>
      <w:bookmarkStart w:id="47" w:name="_Toc22847432"/>
      <w:bookmarkStart w:id="48" w:name="_Toc26822021"/>
      <w:bookmarkStart w:id="49" w:name="_Toc487204791"/>
      <w:bookmarkStart w:id="50" w:name="_Toc480882276"/>
      <w:bookmarkStart w:id="51" w:name="_Toc344475122"/>
      <w:bookmarkStart w:id="52" w:name="_Toc13571381"/>
      <w:r>
        <w:rPr>
          <w:rFonts w:hint="eastAsia" w:ascii="宋体" w:hAnsi="宋体" w:eastAsia="宋体" w:cs="宋体"/>
          <w:sz w:val="24"/>
          <w:szCs w:val="24"/>
        </w:rPr>
        <w:t>服务时间</w:t>
      </w:r>
    </w:p>
    <w:p w14:paraId="2CE10EAB">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服务时间：签订合同后，供应商于3个自然日内将抽验方案报重庆市大渡口区市场监督管理局审定，审定通过后于</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日前完成食品抽样工作，并录入国家食品安全抽检监测系统，于</w:t>
      </w:r>
      <w:r>
        <w:rPr>
          <w:rFonts w:hint="eastAsia" w:ascii="宋体" w:hAnsi="宋体" w:eastAsia="宋体" w:cs="宋体"/>
          <w:sz w:val="24"/>
          <w:szCs w:val="24"/>
          <w:lang w:eastAsia="zh-CN"/>
        </w:rPr>
        <w:t>2025</w:t>
      </w:r>
      <w:r>
        <w:rPr>
          <w:rFonts w:hint="eastAsia" w:ascii="宋体" w:hAnsi="宋体" w:eastAsia="宋体" w:cs="宋体"/>
          <w:sz w:val="24"/>
          <w:szCs w:val="24"/>
        </w:rPr>
        <w:t>年12月</w:t>
      </w:r>
      <w:r>
        <w:rPr>
          <w:rFonts w:hint="eastAsia" w:ascii="宋体" w:hAnsi="宋体" w:eastAsia="宋体" w:cs="宋体"/>
          <w:sz w:val="24"/>
          <w:szCs w:val="24"/>
          <w:lang w:val="en-US" w:eastAsia="zh-CN"/>
        </w:rPr>
        <w:t>15</w:t>
      </w:r>
      <w:r>
        <w:rPr>
          <w:rFonts w:hint="eastAsia" w:ascii="宋体" w:hAnsi="宋体" w:eastAsia="宋体" w:cs="宋体"/>
          <w:sz w:val="24"/>
          <w:szCs w:val="24"/>
        </w:rPr>
        <w:t>日前出具相应的检验报告、抽验分析报告及《数据汇总表》。相关检验按照有关法律法规、规章和《食品安全抽检实施细则（</w:t>
      </w:r>
      <w:r>
        <w:rPr>
          <w:rFonts w:hint="eastAsia" w:ascii="宋体" w:hAnsi="宋体" w:eastAsia="宋体" w:cs="宋体"/>
          <w:sz w:val="24"/>
          <w:szCs w:val="24"/>
          <w:lang w:eastAsia="zh-CN"/>
        </w:rPr>
        <w:t>2025</w:t>
      </w:r>
      <w:r>
        <w:rPr>
          <w:rFonts w:hint="eastAsia" w:ascii="宋体" w:hAnsi="宋体" w:eastAsia="宋体" w:cs="宋体"/>
          <w:sz w:val="24"/>
          <w:szCs w:val="24"/>
        </w:rPr>
        <w:t>年版）》等规定执行。</w:t>
      </w:r>
    </w:p>
    <w:p w14:paraId="62487851">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（二）服务地点</w:t>
      </w:r>
    </w:p>
    <w:bookmarkEnd w:id="44"/>
    <w:bookmarkEnd w:id="45"/>
    <w:bookmarkEnd w:id="46"/>
    <w:p w14:paraId="374D916C">
      <w:pPr>
        <w:pStyle w:val="35"/>
        <w:pageBreakBefore w:val="0"/>
        <w:kinsoku/>
        <w:wordWrap/>
        <w:overflowPunct/>
        <w:topLinePunct w:val="0"/>
        <w:autoSpaceDE/>
        <w:autoSpaceDN/>
        <w:bidi w:val="0"/>
        <w:adjustRightInd/>
        <w:spacing w:line="360" w:lineRule="auto"/>
        <w:ind w:firstLine="654" w:firstLineChars="300"/>
        <w:textAlignment w:val="auto"/>
        <w:rPr>
          <w:rFonts w:hint="eastAsia" w:ascii="宋体" w:hAnsi="宋体" w:eastAsia="宋体" w:cs="宋体"/>
          <w:spacing w:val="-11"/>
          <w:sz w:val="24"/>
          <w:szCs w:val="24"/>
        </w:rPr>
      </w:pPr>
      <w:r>
        <w:rPr>
          <w:rFonts w:hint="eastAsia" w:ascii="宋体" w:hAnsi="宋体" w:eastAsia="宋体" w:cs="宋体"/>
          <w:spacing w:val="-11"/>
          <w:sz w:val="24"/>
          <w:szCs w:val="24"/>
        </w:rPr>
        <w:t>大渡口区全区：八桥、跳磴、春晖、跃进村、建胜、茄子溪、九宫庙、新山村片区。</w:t>
      </w:r>
    </w:p>
    <w:p w14:paraId="06FBA33E">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（三）验收方式</w:t>
      </w:r>
    </w:p>
    <w:p w14:paraId="117F3404">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sz w:val="24"/>
          <w:szCs w:val="24"/>
        </w:rPr>
      </w:pPr>
      <w:r>
        <w:rPr>
          <w:rFonts w:hint="eastAsia" w:ascii="宋体" w:hAnsi="宋体" w:eastAsia="宋体" w:cs="宋体"/>
          <w:sz w:val="24"/>
          <w:szCs w:val="24"/>
        </w:rPr>
        <w:t>采购人自行组织验收。成交供应商出具有效的《检测报告》并送达采购人，将抽检数据和抽样图片按时上传至“国家市场监督管理总局国家食品安全抽样检验信息系统”平台即为单个检测项目验收合格。项目全部完成时，出具抽验分析报告及《数据汇总表》。</w:t>
      </w:r>
    </w:p>
    <w:p w14:paraId="77A7835B">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53" w:name="_Toc29654"/>
      <w:r>
        <w:rPr>
          <w:rFonts w:hint="eastAsia" w:ascii="宋体" w:hAnsi="宋体" w:eastAsia="宋体" w:cs="宋体"/>
          <w:sz w:val="24"/>
          <w:szCs w:val="24"/>
        </w:rPr>
        <w:t>二、报价方式</w:t>
      </w:r>
      <w:bookmarkEnd w:id="47"/>
      <w:bookmarkEnd w:id="48"/>
      <w:bookmarkEnd w:id="53"/>
    </w:p>
    <w:bookmarkEnd w:id="49"/>
    <w:bookmarkEnd w:id="50"/>
    <w:bookmarkEnd w:id="51"/>
    <w:bookmarkEnd w:id="52"/>
    <w:p w14:paraId="5F52CDE2">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本项目为固定总价项目，供应商不需对总价进行报价，采购人将执行完所有预算。各供应商根据实际情况报抽检批次数量，抽检批次数量不得少于1300批次(含校园</w:t>
      </w:r>
      <w:r>
        <w:rPr>
          <w:rFonts w:hint="eastAsia" w:ascii="宋体" w:hAnsi="宋体" w:eastAsia="宋体" w:cs="宋体"/>
          <w:color w:val="auto"/>
          <w:sz w:val="24"/>
          <w:szCs w:val="24"/>
          <w:highlight w:val="none"/>
          <w:lang w:eastAsia="zh-CN"/>
        </w:rPr>
        <w:t>及周边</w:t>
      </w:r>
      <w:r>
        <w:rPr>
          <w:rFonts w:hint="eastAsia" w:ascii="宋体" w:hAnsi="宋体" w:eastAsia="宋体" w:cs="宋体"/>
          <w:sz w:val="24"/>
          <w:szCs w:val="24"/>
        </w:rPr>
        <w:t>专项200批次），抽检批次数量少于1300批次(含校园</w:t>
      </w:r>
      <w:r>
        <w:rPr>
          <w:rFonts w:hint="eastAsia" w:ascii="宋体" w:hAnsi="宋体" w:eastAsia="宋体" w:cs="宋体"/>
          <w:color w:val="auto"/>
          <w:sz w:val="24"/>
          <w:szCs w:val="24"/>
          <w:highlight w:val="none"/>
          <w:lang w:eastAsia="zh-CN"/>
        </w:rPr>
        <w:t>及周边</w:t>
      </w:r>
      <w:r>
        <w:rPr>
          <w:rFonts w:hint="eastAsia" w:ascii="宋体" w:hAnsi="宋体" w:eastAsia="宋体" w:cs="宋体"/>
          <w:sz w:val="24"/>
          <w:szCs w:val="24"/>
        </w:rPr>
        <w:t>专项200批次）的按响应无效处理。费用包括但不限于费、住宿费、样品邮寄费、运输费、检测报告邮寄费、样品无害化处理费等）、必要的保险费用、各项税金及实施抽检所需的其他一切费用。采购人除此以外不支付其它费用。因成交供应商自身原因造成漏报、少报皆由其自行承担责任，采购人不再补偿。</w:t>
      </w:r>
    </w:p>
    <w:p w14:paraId="3342CE7E">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54" w:name="_Toc15043"/>
      <w:bookmarkStart w:id="55" w:name="_Toc14374"/>
      <w:bookmarkStart w:id="56" w:name="_Toc20246"/>
      <w:bookmarkStart w:id="57" w:name="_Toc414610283"/>
      <w:bookmarkStart w:id="58" w:name="_Toc344475123"/>
      <w:bookmarkStart w:id="59" w:name="_Toc16472"/>
      <w:bookmarkStart w:id="60" w:name="_Toc506192854"/>
      <w:r>
        <w:rPr>
          <w:rFonts w:hint="eastAsia" w:ascii="宋体" w:hAnsi="宋体" w:eastAsia="宋体" w:cs="宋体"/>
          <w:sz w:val="24"/>
          <w:szCs w:val="24"/>
        </w:rPr>
        <w:t>三、</w:t>
      </w:r>
      <w:bookmarkEnd w:id="54"/>
      <w:r>
        <w:rPr>
          <w:rFonts w:hint="eastAsia" w:ascii="宋体" w:hAnsi="宋体" w:eastAsia="宋体" w:cs="宋体"/>
          <w:sz w:val="24"/>
          <w:szCs w:val="24"/>
        </w:rPr>
        <w:t>质保要求</w:t>
      </w:r>
      <w:bookmarkEnd w:id="55"/>
    </w:p>
    <w:p w14:paraId="668CA24F">
      <w:pPr>
        <w:pStyle w:val="35"/>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（一）技术支持</w:t>
      </w:r>
    </w:p>
    <w:p w14:paraId="1D92224F">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1.供应商必须具有较强的食品检测技术服务实力，能够向采购人提供统一快捷的技术支持服务。</w:t>
      </w:r>
    </w:p>
    <w:p w14:paraId="2A19624B">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2.供应商应针对本项目配备相应的服务队伍，服务队伍必须服从采购人的统一调度管理，响应文件中所列项目人员必须实际参与项目执行。</w:t>
      </w:r>
    </w:p>
    <w:p w14:paraId="375C5749">
      <w:pPr>
        <w:pStyle w:val="35"/>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（二）质量保证</w:t>
      </w:r>
    </w:p>
    <w:p w14:paraId="49DF11D1">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1.本次抽检项目以发现问题为导向，不合格率为2.5%以上，成交供应商须达到该目标。</w:t>
      </w:r>
    </w:p>
    <w:p w14:paraId="11A5DE59">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2.信息报送。成交供应商负责将食品专项抽检的抽样信息、检验结果录入国家食品抽检监测信息系统。对检验结论为不合格的，成交供应商应在检验结论作出后2个工作日内将不合格样品检验报告提供给采购人。</w:t>
      </w:r>
    </w:p>
    <w:p w14:paraId="4A58A993">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3.不合格食品的核查处置。成交供应商应配合各辖区所按属地原则负责不合格样品的核查处置工作。</w:t>
      </w:r>
    </w:p>
    <w:p w14:paraId="09F474C6">
      <w:pPr>
        <w:pStyle w:val="35"/>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（三）保密要求</w:t>
      </w:r>
    </w:p>
    <w:p w14:paraId="44FAE673">
      <w:pPr>
        <w:pStyle w:val="35"/>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成交供应商须对本项目中所涉及的所有文档、数据、介质和相关信息保密，未经许可，不得透露给第三方。如因成交供应商原因造成泄密，采购人将保留追究其法律责任的权利。</w:t>
      </w:r>
    </w:p>
    <w:p w14:paraId="2E3D6D54">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61" w:name="_Toc14641"/>
      <w:r>
        <w:rPr>
          <w:rFonts w:hint="eastAsia" w:ascii="宋体" w:hAnsi="宋体" w:eastAsia="宋体" w:cs="宋体"/>
          <w:sz w:val="24"/>
          <w:szCs w:val="24"/>
        </w:rPr>
        <w:t>四、履约保证金及付款方式</w:t>
      </w:r>
      <w:bookmarkEnd w:id="61"/>
    </w:p>
    <w:p w14:paraId="665FFB2A">
      <w:pPr>
        <w:pStyle w:val="84"/>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rPr>
      </w:pPr>
      <w:bookmarkStart w:id="62" w:name="_Toc588"/>
      <w:bookmarkStart w:id="63" w:name="_Toc31319"/>
      <w:bookmarkStart w:id="64" w:name="_Toc25726"/>
      <w:bookmarkStart w:id="65" w:name="_Toc16746"/>
      <w:r>
        <w:rPr>
          <w:rFonts w:hint="eastAsia" w:ascii="宋体" w:hAnsi="宋体" w:eastAsia="宋体" w:cs="宋体"/>
          <w:b/>
          <w:bCs/>
          <w:sz w:val="24"/>
          <w:szCs w:val="24"/>
        </w:rPr>
        <w:t>（一）履约保证金</w:t>
      </w:r>
    </w:p>
    <w:p w14:paraId="290062CD">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成交供应商在签订合同时，缴纳成交金额10%的款项（可以转账、支票、汇票、本票或者金融机构、担保机构出具的保函等形式）提交至采购人单位（账户），项目验收合格后无息退还。</w:t>
      </w:r>
    </w:p>
    <w:p w14:paraId="453EAB6B">
      <w:pPr>
        <w:pStyle w:val="84"/>
        <w:pageBreakBefore w:val="0"/>
        <w:numPr>
          <w:ilvl w:val="0"/>
          <w:numId w:val="15"/>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付款方式</w:t>
      </w:r>
    </w:p>
    <w:p w14:paraId="3DD88983">
      <w:pPr>
        <w:pStyle w:val="84"/>
        <w:pageBreakBefore w:val="0"/>
        <w:kinsoku/>
        <w:wordWrap/>
        <w:overflowPunct/>
        <w:topLinePunct w:val="0"/>
        <w:autoSpaceDE/>
        <w:autoSpaceDN/>
        <w:bidi w:val="0"/>
        <w:adjustRightInd/>
        <w:spacing w:line="360" w:lineRule="auto"/>
        <w:ind w:left="560" w:leftChars="200"/>
        <w:textAlignment w:val="auto"/>
        <w:rPr>
          <w:rFonts w:hint="eastAsia" w:ascii="宋体" w:hAnsi="宋体" w:eastAsia="宋体" w:cs="宋体"/>
          <w:sz w:val="24"/>
          <w:szCs w:val="24"/>
        </w:rPr>
      </w:pPr>
      <w:r>
        <w:rPr>
          <w:rFonts w:hint="eastAsia" w:ascii="宋体" w:hAnsi="宋体" w:eastAsia="宋体" w:cs="宋体"/>
          <w:sz w:val="24"/>
          <w:szCs w:val="24"/>
        </w:rPr>
        <w:t>1.支付条款</w:t>
      </w:r>
    </w:p>
    <w:p w14:paraId="01A1BE74">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交供应商与采购人签订合同后，采购人根据实际情况支付成交金额的30%预付款给成交供应商（成交供应商须提供与预付款同等额度的担保函），若供应商明确表示无需预付款或者主动要求降低预付款比例，按成交供应商意愿执行。成交供应商完成所有抽检任务，提交所有档案资料并经采购人验收确认后，由成交供应商提供全部成交金额的发票，采购人于10个工作日内全额支付剩余合同金额的款项及10%履约保证金退还至成交供应商账户。</w:t>
      </w:r>
    </w:p>
    <w:p w14:paraId="136CAB7C">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2.其他条款</w:t>
      </w:r>
    </w:p>
    <w:p w14:paraId="2FEF708E">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经采购人组织专家对成交供应商进行现场检查后发现成交供应商未按照招标要求开展抽检工作或出具虚假检测数据和结论的。</w:t>
      </w:r>
    </w:p>
    <w:p w14:paraId="2CDEBB70">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对留样再测后发现成交供应商出具虚假检测数据和结论的。</w:t>
      </w:r>
    </w:p>
    <w:p w14:paraId="1255FAB5">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接到投诉举报并经核查发现供应商未按照招标要求开展抽检工作或出具虚假检测数据和结论的。</w:t>
      </w:r>
    </w:p>
    <w:p w14:paraId="363C0D9A">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成交供应商以任何形式泄露抽检信息以及数据的。</w:t>
      </w:r>
    </w:p>
    <w:p w14:paraId="59F51F8F">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成交供应商实施本项目时不合格食品检出率要求达到百分之2.5（2.5％）以上（含），抽样检验样品报告不合格率低于2.5%的，按照以下扣除服务费：不足2.5%的，每少于0.2%扣除2%的服务费，最多扣除10%的服务费。</w:t>
      </w:r>
    </w:p>
    <w:p w14:paraId="4490F62C">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凡是发现抽样单或信息录入错误或抽样过程不规范，未造成重大舆情影响的，每份报告扣合同总金额2000元（贰仟元整）。</w:t>
      </w:r>
    </w:p>
    <w:p w14:paraId="568D9190">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rPr>
        <w:t>发现抽样单或信息录入错误或出具虚假报告的，被市级以上市场监管部门通报批评或发生重大舆情影响的，每出现一次，扣合同总金额30%（百分之三十）。</w:t>
      </w:r>
    </w:p>
    <w:p w14:paraId="4E469878">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rPr>
        <w:t>未在规定时间内完成抽检任务（所有抽样、检验数据均录入国家食品安全抽样检验信息系统）的，每超过1天扣除合同总金额3%。</w:t>
      </w:r>
    </w:p>
    <w:p w14:paraId="7383B43B">
      <w:pPr>
        <w:pStyle w:val="84"/>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sz w:val="24"/>
          <w:szCs w:val="24"/>
        </w:rPr>
        <w:t>有上述情形的，成交供应商需承担相应的违约经济赔偿和法律责任，具体条款在合同中约定。</w:t>
      </w:r>
    </w:p>
    <w:bookmarkEnd w:id="62"/>
    <w:bookmarkEnd w:id="63"/>
    <w:bookmarkEnd w:id="64"/>
    <w:bookmarkEnd w:id="65"/>
    <w:p w14:paraId="0901A5A4">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66" w:name="_Toc12"/>
      <w:r>
        <w:rPr>
          <w:rFonts w:hint="eastAsia" w:ascii="宋体" w:hAnsi="宋体" w:eastAsia="宋体" w:cs="宋体"/>
          <w:sz w:val="24"/>
          <w:szCs w:val="24"/>
        </w:rPr>
        <w:t>五、知识产权</w:t>
      </w:r>
      <w:bookmarkEnd w:id="56"/>
      <w:bookmarkEnd w:id="57"/>
      <w:bookmarkEnd w:id="58"/>
      <w:bookmarkEnd w:id="59"/>
      <w:bookmarkEnd w:id="60"/>
      <w:bookmarkEnd w:id="66"/>
    </w:p>
    <w:p w14:paraId="136F9307">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sz w:val="24"/>
          <w:szCs w:val="24"/>
        </w:rPr>
      </w:pPr>
      <w:bookmarkStart w:id="67" w:name="_Toc21712"/>
      <w:bookmarkStart w:id="68" w:name="_Toc414610285"/>
      <w:bookmarkStart w:id="69" w:name="_Toc506192855"/>
      <w:r>
        <w:rPr>
          <w:rFonts w:hint="eastAsia" w:ascii="宋体" w:hAnsi="宋体" w:eastAsia="宋体" w:cs="宋体"/>
          <w:sz w:val="24"/>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6A9E2DD2">
      <w:pPr>
        <w:pStyle w:val="4"/>
        <w:pageBreakBefore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70" w:name="_Toc15351"/>
      <w:bookmarkStart w:id="71" w:name="_Toc29113"/>
      <w:r>
        <w:rPr>
          <w:rFonts w:hint="eastAsia" w:ascii="宋体" w:hAnsi="宋体" w:eastAsia="宋体" w:cs="宋体"/>
          <w:sz w:val="24"/>
          <w:szCs w:val="24"/>
        </w:rPr>
        <w:t>六、</w:t>
      </w:r>
      <w:bookmarkStart w:id="72" w:name="_Toc344475125"/>
      <w:r>
        <w:rPr>
          <w:rFonts w:hint="eastAsia" w:ascii="宋体" w:hAnsi="宋体" w:eastAsia="宋体" w:cs="宋体"/>
          <w:sz w:val="24"/>
          <w:szCs w:val="24"/>
        </w:rPr>
        <w:t>其他</w:t>
      </w:r>
      <w:bookmarkEnd w:id="67"/>
      <w:bookmarkEnd w:id="68"/>
      <w:bookmarkEnd w:id="69"/>
      <w:bookmarkEnd w:id="70"/>
      <w:bookmarkEnd w:id="71"/>
    </w:p>
    <w:bookmarkEnd w:id="72"/>
    <w:p w14:paraId="333D8DEB">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sz w:val="24"/>
          <w:szCs w:val="24"/>
        </w:rPr>
      </w:pPr>
      <w:r>
        <w:rPr>
          <w:rFonts w:hint="eastAsia" w:ascii="宋体" w:hAnsi="宋体" w:eastAsia="宋体" w:cs="宋体"/>
          <w:sz w:val="24"/>
          <w:szCs w:val="24"/>
        </w:rPr>
        <w:t>（一）供应商必须在响应文件中对以上条款和服务承诺明确列出，承诺内容必须达到本篇及竞争性磋商其他条款的要求。</w:t>
      </w:r>
    </w:p>
    <w:p w14:paraId="2F5AC19A">
      <w:pPr>
        <w:pageBreakBefore w:val="0"/>
        <w:kinsoku/>
        <w:wordWrap/>
        <w:overflowPunct/>
        <w:topLinePunct w:val="0"/>
        <w:autoSpaceDE/>
        <w:autoSpaceDN/>
        <w:bidi w:val="0"/>
        <w:adjustRightInd/>
        <w:snapToGrid w:val="0"/>
        <w:spacing w:line="360" w:lineRule="auto"/>
        <w:ind w:firstLine="540"/>
        <w:textAlignment w:val="auto"/>
        <w:rPr>
          <w:rFonts w:hint="eastAsia" w:ascii="宋体" w:hAnsi="宋体" w:eastAsia="宋体" w:cs="宋体"/>
          <w:sz w:val="24"/>
          <w:szCs w:val="24"/>
        </w:rPr>
      </w:pPr>
      <w:r>
        <w:rPr>
          <w:rFonts w:hint="eastAsia" w:ascii="宋体" w:hAnsi="宋体" w:eastAsia="宋体" w:cs="宋体"/>
          <w:sz w:val="24"/>
          <w:szCs w:val="24"/>
        </w:rPr>
        <w:t>（二）其他未尽事宜由供需双方在采购合同中详细约定。</w:t>
      </w:r>
    </w:p>
    <w:p w14:paraId="4117D07B">
      <w:pPr>
        <w:pStyle w:val="3"/>
        <w:pageBreakBefore/>
        <w:spacing w:before="0" w:after="0" w:line="360" w:lineRule="auto"/>
        <w:jc w:val="center"/>
        <w:rPr>
          <w:rFonts w:hint="eastAsia" w:ascii="宋体" w:hAnsi="宋体" w:eastAsia="宋体" w:cs="宋体"/>
          <w:b w:val="0"/>
          <w:sz w:val="36"/>
          <w:szCs w:val="30"/>
        </w:rPr>
      </w:pPr>
      <w:bookmarkStart w:id="73" w:name="_Toc7526"/>
      <w:r>
        <w:rPr>
          <w:rFonts w:hint="eastAsia" w:ascii="宋体" w:hAnsi="宋体" w:eastAsia="宋体" w:cs="宋体"/>
          <w:b w:val="0"/>
          <w:sz w:val="36"/>
          <w:szCs w:val="30"/>
        </w:rPr>
        <w:t>第四篇  磋商程序及方法、评审标准、响应无效和</w:t>
      </w:r>
      <w:r>
        <w:rPr>
          <w:rFonts w:hint="eastAsia" w:ascii="宋体" w:hAnsi="宋体" w:eastAsia="宋体" w:cs="宋体"/>
          <w:b w:val="0"/>
          <w:sz w:val="36"/>
          <w:szCs w:val="36"/>
        </w:rPr>
        <w:t>采购终止</w:t>
      </w:r>
      <w:bookmarkEnd w:id="73"/>
    </w:p>
    <w:p w14:paraId="7015B398">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74" w:name="_Toc24046"/>
      <w:r>
        <w:rPr>
          <w:rFonts w:hint="eastAsia" w:ascii="宋体" w:hAnsi="宋体" w:eastAsia="宋体" w:cs="宋体"/>
          <w:sz w:val="24"/>
          <w:szCs w:val="24"/>
        </w:rPr>
        <w:t>一、磋商程序及方法</w:t>
      </w:r>
      <w:bookmarkEnd w:id="74"/>
    </w:p>
    <w:p w14:paraId="47A42C0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77C2B74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（二）磋商小组对各供应商的资格条件、响应文件的有效性、完整性和响应程度进行审查。各供应商只有在完全符合要求的前提下，才能参与正式磋商。</w:t>
      </w:r>
    </w:p>
    <w:p w14:paraId="7B6A5D0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资格性检查。依据法律法规和竞争性磋商文件的规定，对响应文件中的资格证明、进行审查，以确定供应商是否具备磋商资格。资格性检查资料表如下：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1097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8D19089">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4394" w:type="dxa"/>
            <w:gridSpan w:val="2"/>
            <w:vAlign w:val="center"/>
          </w:tcPr>
          <w:p w14:paraId="01BC75F6">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检查因素</w:t>
            </w:r>
          </w:p>
        </w:tc>
        <w:tc>
          <w:tcPr>
            <w:tcW w:w="4558" w:type="dxa"/>
            <w:vAlign w:val="center"/>
          </w:tcPr>
          <w:p w14:paraId="2FC6BB99">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检查内容</w:t>
            </w:r>
          </w:p>
        </w:tc>
      </w:tr>
      <w:tr w14:paraId="7559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6B4433F6">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09" w:type="dxa"/>
            <w:vMerge w:val="restart"/>
            <w:vAlign w:val="center"/>
          </w:tcPr>
          <w:p w14:paraId="6E00F7C5">
            <w:pPr>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《中华人民共和国政府采购法》第二十二条规定</w:t>
            </w:r>
          </w:p>
        </w:tc>
        <w:tc>
          <w:tcPr>
            <w:tcW w:w="3685" w:type="dxa"/>
            <w:vAlign w:val="center"/>
          </w:tcPr>
          <w:p w14:paraId="572BA792">
            <w:pPr>
              <w:spacing w:line="240" w:lineRule="exact"/>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4558" w:type="dxa"/>
            <w:vAlign w:val="center"/>
          </w:tcPr>
          <w:p w14:paraId="69E8666C">
            <w:pPr>
              <w:spacing w:line="240" w:lineRule="exact"/>
              <w:rPr>
                <w:rFonts w:hint="eastAsia" w:ascii="宋体" w:hAnsi="宋体" w:eastAsia="宋体" w:cs="宋体"/>
                <w:sz w:val="24"/>
                <w:szCs w:val="24"/>
              </w:rPr>
            </w:pPr>
            <w:r>
              <w:rPr>
                <w:rFonts w:hint="eastAsia" w:ascii="宋体" w:hAnsi="宋体" w:eastAsia="宋体" w:cs="宋体"/>
                <w:sz w:val="24"/>
                <w:szCs w:val="24"/>
              </w:rPr>
              <w:t xml:space="preserve">1.供应商法人营业执照（副本）或事业单位法人证书（副本）或个体工商户营业执照或有效的自然人身份证明或社会团体法人登记证书（提供复印件）。 </w:t>
            </w:r>
          </w:p>
          <w:p w14:paraId="579F6D3E">
            <w:pPr>
              <w:spacing w:line="240" w:lineRule="exact"/>
              <w:rPr>
                <w:rFonts w:hint="eastAsia" w:ascii="宋体" w:hAnsi="宋体" w:eastAsia="宋体" w:cs="宋体"/>
                <w:sz w:val="24"/>
                <w:szCs w:val="24"/>
              </w:rPr>
            </w:pPr>
            <w:r>
              <w:rPr>
                <w:rFonts w:hint="eastAsia" w:ascii="宋体" w:hAnsi="宋体" w:eastAsia="宋体" w:cs="宋体"/>
                <w:sz w:val="24"/>
                <w:szCs w:val="24"/>
              </w:rPr>
              <w:t>2.供应商法定代表人身份证明和法定代表人授权代表委托书。</w:t>
            </w:r>
          </w:p>
        </w:tc>
      </w:tr>
      <w:tr w14:paraId="105E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4D837D1">
            <w:pPr>
              <w:spacing w:line="240" w:lineRule="exact"/>
              <w:jc w:val="center"/>
              <w:rPr>
                <w:rFonts w:hint="eastAsia" w:ascii="宋体" w:hAnsi="宋体" w:eastAsia="宋体" w:cs="宋体"/>
                <w:sz w:val="24"/>
                <w:szCs w:val="24"/>
              </w:rPr>
            </w:pPr>
          </w:p>
        </w:tc>
        <w:tc>
          <w:tcPr>
            <w:tcW w:w="709" w:type="dxa"/>
            <w:vMerge w:val="continue"/>
            <w:vAlign w:val="center"/>
          </w:tcPr>
          <w:p w14:paraId="463CF689">
            <w:pPr>
              <w:spacing w:line="240" w:lineRule="exact"/>
              <w:rPr>
                <w:rFonts w:hint="eastAsia" w:ascii="宋体" w:hAnsi="宋体" w:eastAsia="宋体" w:cs="宋体"/>
                <w:sz w:val="24"/>
                <w:szCs w:val="24"/>
                <w:lang w:val="zh-CN"/>
              </w:rPr>
            </w:pPr>
          </w:p>
        </w:tc>
        <w:tc>
          <w:tcPr>
            <w:tcW w:w="3685" w:type="dxa"/>
            <w:vAlign w:val="center"/>
          </w:tcPr>
          <w:p w14:paraId="0960EB2F">
            <w:pPr>
              <w:spacing w:line="240" w:lineRule="exact"/>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具有良好的商业信誉和健全的财务会计制度</w:t>
            </w:r>
          </w:p>
        </w:tc>
        <w:tc>
          <w:tcPr>
            <w:tcW w:w="4558" w:type="dxa"/>
            <w:vMerge w:val="restart"/>
            <w:vAlign w:val="center"/>
          </w:tcPr>
          <w:p w14:paraId="7731EAE1">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供应商提供“基本资格条件承诺函”（详见第七篇）。</w:t>
            </w:r>
          </w:p>
          <w:p w14:paraId="0840BA91">
            <w:pPr>
              <w:spacing w:line="240" w:lineRule="exact"/>
              <w:jc w:val="left"/>
              <w:rPr>
                <w:rFonts w:hint="eastAsia" w:ascii="宋体" w:hAnsi="宋体" w:eastAsia="宋体" w:cs="宋体"/>
                <w:sz w:val="24"/>
                <w:szCs w:val="24"/>
              </w:rPr>
            </w:pPr>
          </w:p>
        </w:tc>
      </w:tr>
      <w:tr w14:paraId="35E1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14:paraId="50DA6F04">
            <w:pPr>
              <w:spacing w:line="240" w:lineRule="exact"/>
              <w:jc w:val="center"/>
              <w:rPr>
                <w:rFonts w:hint="eastAsia" w:ascii="宋体" w:hAnsi="宋体" w:eastAsia="宋体" w:cs="宋体"/>
                <w:sz w:val="24"/>
                <w:szCs w:val="24"/>
              </w:rPr>
            </w:pPr>
          </w:p>
        </w:tc>
        <w:tc>
          <w:tcPr>
            <w:tcW w:w="709" w:type="dxa"/>
            <w:vMerge w:val="continue"/>
            <w:vAlign w:val="center"/>
          </w:tcPr>
          <w:p w14:paraId="2E5D91D5">
            <w:pPr>
              <w:spacing w:line="240" w:lineRule="exact"/>
              <w:rPr>
                <w:rFonts w:hint="eastAsia" w:ascii="宋体" w:hAnsi="宋体" w:eastAsia="宋体" w:cs="宋体"/>
                <w:sz w:val="24"/>
                <w:szCs w:val="24"/>
                <w:lang w:val="zh-CN"/>
              </w:rPr>
            </w:pPr>
          </w:p>
        </w:tc>
        <w:tc>
          <w:tcPr>
            <w:tcW w:w="3685" w:type="dxa"/>
            <w:vAlign w:val="center"/>
          </w:tcPr>
          <w:p w14:paraId="2EBDB282">
            <w:pPr>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（3）具有履行合同所必需的设备和专业技术能力</w:t>
            </w:r>
          </w:p>
        </w:tc>
        <w:tc>
          <w:tcPr>
            <w:tcW w:w="4558" w:type="dxa"/>
            <w:vMerge w:val="continue"/>
            <w:vAlign w:val="center"/>
          </w:tcPr>
          <w:p w14:paraId="79709D18">
            <w:pPr>
              <w:spacing w:line="240" w:lineRule="exact"/>
              <w:rPr>
                <w:rFonts w:hint="eastAsia" w:ascii="宋体" w:hAnsi="宋体" w:eastAsia="宋体" w:cs="宋体"/>
                <w:sz w:val="24"/>
                <w:szCs w:val="24"/>
              </w:rPr>
            </w:pPr>
          </w:p>
        </w:tc>
      </w:tr>
      <w:tr w14:paraId="42AE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6959B5A0">
            <w:pPr>
              <w:spacing w:line="240" w:lineRule="exact"/>
              <w:jc w:val="center"/>
              <w:rPr>
                <w:rFonts w:hint="eastAsia" w:ascii="宋体" w:hAnsi="宋体" w:eastAsia="宋体" w:cs="宋体"/>
                <w:sz w:val="24"/>
                <w:szCs w:val="24"/>
              </w:rPr>
            </w:pPr>
          </w:p>
        </w:tc>
        <w:tc>
          <w:tcPr>
            <w:tcW w:w="709" w:type="dxa"/>
            <w:vMerge w:val="continue"/>
            <w:vAlign w:val="center"/>
          </w:tcPr>
          <w:p w14:paraId="1821B3F2">
            <w:pPr>
              <w:spacing w:line="240" w:lineRule="exact"/>
              <w:rPr>
                <w:rFonts w:hint="eastAsia" w:ascii="宋体" w:hAnsi="宋体" w:eastAsia="宋体" w:cs="宋体"/>
                <w:sz w:val="24"/>
                <w:szCs w:val="24"/>
                <w:lang w:val="zh-CN"/>
              </w:rPr>
            </w:pPr>
          </w:p>
        </w:tc>
        <w:tc>
          <w:tcPr>
            <w:tcW w:w="3685" w:type="dxa"/>
            <w:vAlign w:val="center"/>
          </w:tcPr>
          <w:p w14:paraId="32E294F7">
            <w:pPr>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（4）有依法缴纳税收和社会保障金的良好记录</w:t>
            </w:r>
          </w:p>
        </w:tc>
        <w:tc>
          <w:tcPr>
            <w:tcW w:w="4558" w:type="dxa"/>
            <w:vMerge w:val="continue"/>
            <w:vAlign w:val="center"/>
          </w:tcPr>
          <w:p w14:paraId="74E6F816">
            <w:pPr>
              <w:spacing w:line="240" w:lineRule="exact"/>
              <w:rPr>
                <w:rFonts w:hint="eastAsia" w:ascii="宋体" w:hAnsi="宋体" w:eastAsia="宋体" w:cs="宋体"/>
                <w:sz w:val="24"/>
                <w:szCs w:val="24"/>
              </w:rPr>
            </w:pPr>
          </w:p>
        </w:tc>
      </w:tr>
      <w:tr w14:paraId="24B0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0B1F101">
            <w:pPr>
              <w:spacing w:line="240" w:lineRule="exact"/>
              <w:jc w:val="center"/>
              <w:rPr>
                <w:rFonts w:hint="eastAsia" w:ascii="宋体" w:hAnsi="宋体" w:eastAsia="宋体" w:cs="宋体"/>
                <w:sz w:val="24"/>
                <w:szCs w:val="24"/>
              </w:rPr>
            </w:pPr>
          </w:p>
        </w:tc>
        <w:tc>
          <w:tcPr>
            <w:tcW w:w="709" w:type="dxa"/>
            <w:vMerge w:val="continue"/>
            <w:vAlign w:val="center"/>
          </w:tcPr>
          <w:p w14:paraId="1A31FE1F">
            <w:pPr>
              <w:spacing w:line="240" w:lineRule="exact"/>
              <w:rPr>
                <w:rFonts w:hint="eastAsia" w:ascii="宋体" w:hAnsi="宋体" w:eastAsia="宋体" w:cs="宋体"/>
                <w:sz w:val="24"/>
                <w:szCs w:val="24"/>
                <w:lang w:val="zh-CN"/>
              </w:rPr>
            </w:pPr>
          </w:p>
        </w:tc>
        <w:tc>
          <w:tcPr>
            <w:tcW w:w="3685" w:type="dxa"/>
            <w:vAlign w:val="center"/>
          </w:tcPr>
          <w:p w14:paraId="1A488303">
            <w:pPr>
              <w:spacing w:line="240" w:lineRule="exact"/>
              <w:rPr>
                <w:rFonts w:hint="eastAsia" w:ascii="宋体" w:hAnsi="宋体" w:eastAsia="宋体" w:cs="宋体"/>
                <w:sz w:val="24"/>
                <w:szCs w:val="24"/>
                <w:lang w:val="zh-CN"/>
              </w:rPr>
            </w:pPr>
            <w:r>
              <w:rPr>
                <w:rFonts w:hint="eastAsia" w:ascii="宋体" w:hAnsi="宋体" w:eastAsia="宋体" w:cs="宋体"/>
                <w:sz w:val="24"/>
                <w:szCs w:val="24"/>
              </w:rPr>
              <w:t>（5）参加政府采购活动前三年内，在经营活动中没有重大违法记录（注）</w:t>
            </w:r>
          </w:p>
        </w:tc>
        <w:tc>
          <w:tcPr>
            <w:tcW w:w="4558" w:type="dxa"/>
            <w:vMerge w:val="continue"/>
            <w:vAlign w:val="center"/>
          </w:tcPr>
          <w:p w14:paraId="7D682B9F">
            <w:pPr>
              <w:spacing w:line="240" w:lineRule="exact"/>
              <w:rPr>
                <w:rFonts w:hint="eastAsia" w:ascii="宋体" w:hAnsi="宋体" w:eastAsia="宋体" w:cs="宋体"/>
                <w:sz w:val="24"/>
                <w:szCs w:val="24"/>
              </w:rPr>
            </w:pPr>
          </w:p>
        </w:tc>
      </w:tr>
      <w:tr w14:paraId="0C41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0ADC9452">
            <w:pPr>
              <w:spacing w:line="240" w:lineRule="exact"/>
              <w:jc w:val="center"/>
              <w:rPr>
                <w:rFonts w:hint="eastAsia" w:ascii="宋体" w:hAnsi="宋体" w:eastAsia="宋体" w:cs="宋体"/>
                <w:sz w:val="24"/>
                <w:szCs w:val="24"/>
              </w:rPr>
            </w:pPr>
          </w:p>
        </w:tc>
        <w:tc>
          <w:tcPr>
            <w:tcW w:w="709" w:type="dxa"/>
            <w:vMerge w:val="continue"/>
            <w:vAlign w:val="center"/>
          </w:tcPr>
          <w:p w14:paraId="7E713EB4">
            <w:pPr>
              <w:spacing w:line="240" w:lineRule="exact"/>
              <w:rPr>
                <w:rFonts w:hint="eastAsia" w:ascii="宋体" w:hAnsi="宋体" w:eastAsia="宋体" w:cs="宋体"/>
                <w:sz w:val="24"/>
                <w:szCs w:val="24"/>
                <w:lang w:val="zh-CN"/>
              </w:rPr>
            </w:pPr>
          </w:p>
        </w:tc>
        <w:tc>
          <w:tcPr>
            <w:tcW w:w="3685" w:type="dxa"/>
            <w:vAlign w:val="center"/>
          </w:tcPr>
          <w:p w14:paraId="39858366">
            <w:pPr>
              <w:spacing w:line="240" w:lineRule="exact"/>
              <w:rPr>
                <w:rFonts w:hint="eastAsia" w:ascii="宋体" w:hAnsi="宋体" w:eastAsia="宋体" w:cs="宋体"/>
                <w:sz w:val="24"/>
                <w:szCs w:val="24"/>
              </w:rPr>
            </w:pPr>
            <w:r>
              <w:rPr>
                <w:rFonts w:hint="eastAsia" w:ascii="宋体" w:hAnsi="宋体" w:eastAsia="宋体" w:cs="宋体"/>
                <w:sz w:val="24"/>
                <w:szCs w:val="24"/>
              </w:rPr>
              <w:t>（6）法律、行政法规规定的其他条件</w:t>
            </w:r>
          </w:p>
        </w:tc>
        <w:tc>
          <w:tcPr>
            <w:tcW w:w="4558" w:type="dxa"/>
            <w:vAlign w:val="center"/>
          </w:tcPr>
          <w:p w14:paraId="51842470">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w:t>
            </w:r>
          </w:p>
        </w:tc>
      </w:tr>
      <w:tr w14:paraId="09D1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3170C705">
            <w:pPr>
              <w:spacing w:line="240" w:lineRule="exact"/>
              <w:jc w:val="center"/>
              <w:rPr>
                <w:rFonts w:hint="eastAsia" w:ascii="宋体" w:hAnsi="宋体" w:eastAsia="宋体" w:cs="宋体"/>
                <w:sz w:val="24"/>
                <w:szCs w:val="24"/>
              </w:rPr>
            </w:pPr>
          </w:p>
        </w:tc>
        <w:tc>
          <w:tcPr>
            <w:tcW w:w="709" w:type="dxa"/>
            <w:vMerge w:val="continue"/>
            <w:vAlign w:val="center"/>
          </w:tcPr>
          <w:p w14:paraId="6603198C">
            <w:pPr>
              <w:spacing w:line="240" w:lineRule="exact"/>
              <w:rPr>
                <w:rFonts w:hint="eastAsia" w:ascii="宋体" w:hAnsi="宋体" w:eastAsia="宋体" w:cs="宋体"/>
                <w:sz w:val="24"/>
                <w:szCs w:val="24"/>
                <w:lang w:val="zh-CN"/>
              </w:rPr>
            </w:pPr>
          </w:p>
        </w:tc>
        <w:tc>
          <w:tcPr>
            <w:tcW w:w="3685" w:type="dxa"/>
            <w:vAlign w:val="center"/>
          </w:tcPr>
          <w:p w14:paraId="4CB1F2D2">
            <w:pPr>
              <w:spacing w:line="240" w:lineRule="exact"/>
              <w:rPr>
                <w:rFonts w:hint="eastAsia" w:ascii="宋体" w:hAnsi="宋体" w:eastAsia="宋体" w:cs="宋体"/>
                <w:sz w:val="24"/>
                <w:szCs w:val="24"/>
              </w:rPr>
            </w:pPr>
            <w:r>
              <w:rPr>
                <w:rFonts w:hint="eastAsia" w:ascii="宋体" w:hAnsi="宋体" w:eastAsia="宋体" w:cs="宋体"/>
                <w:sz w:val="24"/>
                <w:szCs w:val="24"/>
              </w:rPr>
              <w:t>（7）本项目的特定资格要求</w:t>
            </w:r>
          </w:p>
        </w:tc>
        <w:tc>
          <w:tcPr>
            <w:tcW w:w="4558" w:type="dxa"/>
            <w:vAlign w:val="center"/>
          </w:tcPr>
          <w:p w14:paraId="364C6346">
            <w:pPr>
              <w:spacing w:line="240" w:lineRule="exact"/>
              <w:rPr>
                <w:rFonts w:hint="eastAsia" w:ascii="宋体" w:hAnsi="宋体" w:eastAsia="宋体" w:cs="宋体"/>
                <w:sz w:val="24"/>
                <w:szCs w:val="24"/>
              </w:rPr>
            </w:pPr>
            <w:r>
              <w:rPr>
                <w:rFonts w:hint="eastAsia" w:ascii="宋体" w:hAnsi="宋体" w:eastAsia="宋体" w:cs="宋体"/>
                <w:sz w:val="24"/>
                <w:szCs w:val="24"/>
              </w:rPr>
              <w:t>按第一篇“三、供应商资格条件（二）本项目的特定资格要求”的要求提交（如果有）。</w:t>
            </w:r>
          </w:p>
        </w:tc>
      </w:tr>
      <w:tr w14:paraId="3BEE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6" w:type="dxa"/>
            <w:vAlign w:val="center"/>
          </w:tcPr>
          <w:p w14:paraId="3CD72F50">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4394" w:type="dxa"/>
            <w:gridSpan w:val="2"/>
            <w:vAlign w:val="center"/>
          </w:tcPr>
          <w:p w14:paraId="39DD2116">
            <w:pPr>
              <w:spacing w:line="240" w:lineRule="exact"/>
              <w:rPr>
                <w:rFonts w:hint="eastAsia" w:ascii="宋体" w:hAnsi="宋体" w:eastAsia="宋体" w:cs="宋体"/>
                <w:sz w:val="24"/>
                <w:szCs w:val="24"/>
              </w:rPr>
            </w:pPr>
            <w:r>
              <w:rPr>
                <w:rFonts w:hint="eastAsia" w:ascii="宋体" w:hAnsi="宋体" w:eastAsia="宋体" w:cs="宋体"/>
                <w:sz w:val="24"/>
                <w:szCs w:val="24"/>
              </w:rPr>
              <w:t>保证金</w:t>
            </w:r>
          </w:p>
        </w:tc>
        <w:tc>
          <w:tcPr>
            <w:tcW w:w="4558" w:type="dxa"/>
            <w:vAlign w:val="center"/>
          </w:tcPr>
          <w:p w14:paraId="68FF20EC">
            <w:pPr>
              <w:spacing w:line="240" w:lineRule="exact"/>
              <w:rPr>
                <w:rFonts w:hint="eastAsia" w:ascii="宋体" w:hAnsi="宋体" w:eastAsia="宋体" w:cs="宋体"/>
                <w:sz w:val="24"/>
                <w:szCs w:val="24"/>
              </w:rPr>
            </w:pPr>
            <w:r>
              <w:rPr>
                <w:rFonts w:hint="eastAsia" w:ascii="宋体" w:hAnsi="宋体" w:eastAsia="宋体" w:cs="宋体"/>
                <w:sz w:val="24"/>
                <w:szCs w:val="24"/>
              </w:rPr>
              <w:t>本竞争性磋商文件要求提交。</w:t>
            </w:r>
          </w:p>
        </w:tc>
      </w:tr>
    </w:tbl>
    <w:p w14:paraId="6C3C4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45E360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47138D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B5F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FA75881">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3544" w:type="dxa"/>
            <w:gridSpan w:val="2"/>
            <w:vAlign w:val="center"/>
          </w:tcPr>
          <w:p w14:paraId="60ED6407">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评审因素</w:t>
            </w:r>
          </w:p>
        </w:tc>
        <w:tc>
          <w:tcPr>
            <w:tcW w:w="5409" w:type="dxa"/>
            <w:vAlign w:val="center"/>
          </w:tcPr>
          <w:p w14:paraId="19A36B19">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评审标准</w:t>
            </w:r>
          </w:p>
        </w:tc>
      </w:tr>
      <w:tr w14:paraId="0EB4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DC7C2AF">
            <w:pPr>
              <w:spacing w:line="2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0" w:type="dxa"/>
            <w:vMerge w:val="restart"/>
            <w:vAlign w:val="center"/>
          </w:tcPr>
          <w:p w14:paraId="3AC4281D">
            <w:pPr>
              <w:spacing w:line="240" w:lineRule="exact"/>
              <w:rPr>
                <w:rFonts w:hint="eastAsia" w:ascii="宋体" w:hAnsi="宋体" w:eastAsia="宋体" w:cs="宋体"/>
                <w:kern w:val="0"/>
                <w:sz w:val="24"/>
                <w:szCs w:val="24"/>
              </w:rPr>
            </w:pPr>
            <w:r>
              <w:rPr>
                <w:rFonts w:hint="eastAsia" w:ascii="宋体" w:hAnsi="宋体" w:eastAsia="宋体" w:cs="宋体"/>
                <w:kern w:val="0"/>
                <w:sz w:val="24"/>
                <w:szCs w:val="24"/>
              </w:rPr>
              <w:t>有效性审查</w:t>
            </w:r>
          </w:p>
        </w:tc>
        <w:tc>
          <w:tcPr>
            <w:tcW w:w="1984" w:type="dxa"/>
            <w:vAlign w:val="center"/>
          </w:tcPr>
          <w:p w14:paraId="1A5ECB9D">
            <w:pPr>
              <w:spacing w:line="240" w:lineRule="exact"/>
              <w:rPr>
                <w:rFonts w:hint="eastAsia" w:ascii="宋体" w:hAnsi="宋体" w:eastAsia="宋体" w:cs="宋体"/>
                <w:kern w:val="0"/>
                <w:sz w:val="24"/>
                <w:szCs w:val="24"/>
              </w:rPr>
            </w:pPr>
            <w:r>
              <w:rPr>
                <w:rFonts w:hint="eastAsia" w:ascii="宋体" w:hAnsi="宋体" w:eastAsia="宋体" w:cs="宋体"/>
                <w:sz w:val="24"/>
                <w:szCs w:val="24"/>
              </w:rPr>
              <w:t>响应文件签署</w:t>
            </w:r>
          </w:p>
        </w:tc>
        <w:tc>
          <w:tcPr>
            <w:tcW w:w="5409" w:type="dxa"/>
            <w:vAlign w:val="center"/>
          </w:tcPr>
          <w:p w14:paraId="68D14B37">
            <w:pPr>
              <w:spacing w:line="240" w:lineRule="exact"/>
              <w:rPr>
                <w:rFonts w:hint="eastAsia" w:ascii="宋体" w:hAnsi="宋体" w:eastAsia="宋体" w:cs="宋体"/>
                <w:kern w:val="0"/>
                <w:sz w:val="24"/>
                <w:szCs w:val="24"/>
              </w:rPr>
            </w:pPr>
            <w:r>
              <w:rPr>
                <w:rFonts w:hint="eastAsia" w:ascii="宋体" w:hAnsi="宋体" w:eastAsia="宋体" w:cs="宋体"/>
                <w:sz w:val="24"/>
                <w:szCs w:val="24"/>
              </w:rPr>
              <w:t>响应文件上法定代表人或其授权代表人的签字齐全。</w:t>
            </w:r>
          </w:p>
        </w:tc>
      </w:tr>
      <w:tr w14:paraId="1CD4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8C83C63">
            <w:pPr>
              <w:spacing w:line="240" w:lineRule="exact"/>
              <w:jc w:val="center"/>
              <w:rPr>
                <w:rFonts w:hint="eastAsia" w:ascii="宋体" w:hAnsi="宋体" w:eastAsia="宋体" w:cs="宋体"/>
                <w:kern w:val="0"/>
                <w:sz w:val="24"/>
                <w:szCs w:val="24"/>
              </w:rPr>
            </w:pPr>
          </w:p>
        </w:tc>
        <w:tc>
          <w:tcPr>
            <w:tcW w:w="1560" w:type="dxa"/>
            <w:vMerge w:val="continue"/>
            <w:vAlign w:val="center"/>
          </w:tcPr>
          <w:p w14:paraId="2C7F8A81">
            <w:pPr>
              <w:spacing w:line="240" w:lineRule="exact"/>
              <w:rPr>
                <w:rFonts w:hint="eastAsia" w:ascii="宋体" w:hAnsi="宋体" w:eastAsia="宋体" w:cs="宋体"/>
                <w:kern w:val="0"/>
                <w:sz w:val="24"/>
                <w:szCs w:val="24"/>
              </w:rPr>
            </w:pPr>
          </w:p>
        </w:tc>
        <w:tc>
          <w:tcPr>
            <w:tcW w:w="1984" w:type="dxa"/>
            <w:vAlign w:val="center"/>
          </w:tcPr>
          <w:p w14:paraId="315704A4">
            <w:pPr>
              <w:spacing w:line="240" w:lineRule="exact"/>
              <w:rPr>
                <w:rFonts w:hint="eastAsia" w:ascii="宋体" w:hAnsi="宋体" w:eastAsia="宋体" w:cs="宋体"/>
                <w:sz w:val="24"/>
                <w:szCs w:val="24"/>
              </w:rPr>
            </w:pPr>
            <w:r>
              <w:rPr>
                <w:rFonts w:hint="eastAsia" w:ascii="宋体" w:hAnsi="宋体" w:eastAsia="宋体" w:cs="宋体"/>
                <w:sz w:val="24"/>
                <w:szCs w:val="24"/>
              </w:rPr>
              <w:t>法定代表人身份证明及授权委托书</w:t>
            </w:r>
          </w:p>
        </w:tc>
        <w:tc>
          <w:tcPr>
            <w:tcW w:w="5409" w:type="dxa"/>
            <w:vAlign w:val="center"/>
          </w:tcPr>
          <w:p w14:paraId="64CDEEB2">
            <w:pPr>
              <w:spacing w:line="240" w:lineRule="exact"/>
              <w:rPr>
                <w:rFonts w:hint="eastAsia" w:ascii="宋体" w:hAnsi="宋体" w:eastAsia="宋体" w:cs="宋体"/>
                <w:sz w:val="24"/>
                <w:szCs w:val="24"/>
              </w:rPr>
            </w:pPr>
            <w:r>
              <w:rPr>
                <w:rFonts w:hint="eastAsia" w:ascii="宋体" w:hAnsi="宋体" w:eastAsia="宋体" w:cs="宋体"/>
                <w:sz w:val="24"/>
                <w:szCs w:val="24"/>
              </w:rPr>
              <w:t>法定代表人身份证明及授权委托书有效，符合竞争性磋商文件规定的格式，签字或盖章齐全。</w:t>
            </w:r>
          </w:p>
        </w:tc>
      </w:tr>
      <w:tr w14:paraId="3C4B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CBECB1E">
            <w:pPr>
              <w:spacing w:line="240" w:lineRule="exact"/>
              <w:jc w:val="center"/>
              <w:rPr>
                <w:rFonts w:hint="eastAsia" w:ascii="宋体" w:hAnsi="宋体" w:eastAsia="宋体" w:cs="宋体"/>
                <w:kern w:val="0"/>
                <w:sz w:val="24"/>
                <w:szCs w:val="24"/>
              </w:rPr>
            </w:pPr>
          </w:p>
        </w:tc>
        <w:tc>
          <w:tcPr>
            <w:tcW w:w="1560" w:type="dxa"/>
            <w:vMerge w:val="continue"/>
            <w:vAlign w:val="center"/>
          </w:tcPr>
          <w:p w14:paraId="4FF56546">
            <w:pPr>
              <w:spacing w:line="240" w:lineRule="exact"/>
              <w:rPr>
                <w:rFonts w:hint="eastAsia" w:ascii="宋体" w:hAnsi="宋体" w:eastAsia="宋体" w:cs="宋体"/>
                <w:kern w:val="0"/>
                <w:sz w:val="24"/>
                <w:szCs w:val="24"/>
              </w:rPr>
            </w:pPr>
          </w:p>
        </w:tc>
        <w:tc>
          <w:tcPr>
            <w:tcW w:w="1984" w:type="dxa"/>
            <w:vAlign w:val="center"/>
          </w:tcPr>
          <w:p w14:paraId="4D4AA957">
            <w:pPr>
              <w:spacing w:line="240" w:lineRule="exact"/>
              <w:rPr>
                <w:rFonts w:hint="eastAsia" w:ascii="宋体" w:hAnsi="宋体" w:eastAsia="宋体" w:cs="宋体"/>
                <w:sz w:val="24"/>
                <w:szCs w:val="24"/>
                <w:lang w:val="zh-CN"/>
              </w:rPr>
            </w:pPr>
            <w:r>
              <w:rPr>
                <w:rFonts w:hint="eastAsia" w:ascii="宋体" w:hAnsi="宋体" w:eastAsia="宋体" w:cs="宋体"/>
                <w:sz w:val="24"/>
                <w:szCs w:val="24"/>
              </w:rPr>
              <w:t>响应</w:t>
            </w:r>
            <w:r>
              <w:rPr>
                <w:rFonts w:hint="eastAsia" w:ascii="宋体" w:hAnsi="宋体" w:eastAsia="宋体" w:cs="宋体"/>
                <w:sz w:val="24"/>
                <w:szCs w:val="24"/>
                <w:lang w:val="zh-CN"/>
              </w:rPr>
              <w:t>方案</w:t>
            </w:r>
          </w:p>
        </w:tc>
        <w:tc>
          <w:tcPr>
            <w:tcW w:w="5409" w:type="dxa"/>
            <w:vAlign w:val="center"/>
          </w:tcPr>
          <w:p w14:paraId="591C5A0A">
            <w:pPr>
              <w:spacing w:line="240" w:lineRule="exact"/>
              <w:rPr>
                <w:rFonts w:hint="eastAsia" w:ascii="宋体" w:hAnsi="宋体" w:eastAsia="宋体" w:cs="宋体"/>
                <w:kern w:val="0"/>
                <w:sz w:val="24"/>
                <w:szCs w:val="24"/>
              </w:rPr>
            </w:pPr>
            <w:r>
              <w:rPr>
                <w:rFonts w:hint="eastAsia" w:ascii="宋体" w:hAnsi="宋体" w:eastAsia="宋体" w:cs="宋体"/>
                <w:sz w:val="24"/>
                <w:szCs w:val="24"/>
                <w:lang w:val="zh-CN"/>
              </w:rPr>
              <w:t>每个分包只能有一个</w:t>
            </w:r>
            <w:r>
              <w:rPr>
                <w:rFonts w:hint="eastAsia" w:ascii="宋体" w:hAnsi="宋体" w:eastAsia="宋体" w:cs="宋体"/>
                <w:sz w:val="24"/>
                <w:szCs w:val="24"/>
              </w:rPr>
              <w:t>响应</w:t>
            </w:r>
            <w:r>
              <w:rPr>
                <w:rFonts w:hint="eastAsia" w:ascii="宋体" w:hAnsi="宋体" w:eastAsia="宋体" w:cs="宋体"/>
                <w:sz w:val="24"/>
                <w:szCs w:val="24"/>
                <w:lang w:val="zh-CN"/>
              </w:rPr>
              <w:t>方案。</w:t>
            </w:r>
          </w:p>
        </w:tc>
      </w:tr>
      <w:tr w14:paraId="24BE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6CFEBA9">
            <w:pPr>
              <w:spacing w:line="240" w:lineRule="exact"/>
              <w:jc w:val="center"/>
              <w:rPr>
                <w:rFonts w:hint="eastAsia" w:ascii="宋体" w:hAnsi="宋体" w:eastAsia="宋体" w:cs="宋体"/>
                <w:kern w:val="0"/>
                <w:sz w:val="24"/>
                <w:szCs w:val="24"/>
              </w:rPr>
            </w:pPr>
          </w:p>
        </w:tc>
        <w:tc>
          <w:tcPr>
            <w:tcW w:w="1560" w:type="dxa"/>
            <w:vMerge w:val="continue"/>
            <w:vAlign w:val="center"/>
          </w:tcPr>
          <w:p w14:paraId="0813844C">
            <w:pPr>
              <w:spacing w:line="240" w:lineRule="exact"/>
              <w:rPr>
                <w:rFonts w:hint="eastAsia" w:ascii="宋体" w:hAnsi="宋体" w:eastAsia="宋体" w:cs="宋体"/>
                <w:kern w:val="0"/>
                <w:sz w:val="24"/>
                <w:szCs w:val="24"/>
              </w:rPr>
            </w:pPr>
          </w:p>
        </w:tc>
        <w:tc>
          <w:tcPr>
            <w:tcW w:w="1984" w:type="dxa"/>
            <w:vAlign w:val="center"/>
          </w:tcPr>
          <w:p w14:paraId="78021258">
            <w:pPr>
              <w:spacing w:line="240" w:lineRule="exact"/>
              <w:rPr>
                <w:rFonts w:hint="eastAsia" w:ascii="宋体" w:hAnsi="宋体" w:eastAsia="宋体" w:cs="宋体"/>
                <w:sz w:val="24"/>
                <w:szCs w:val="24"/>
                <w:lang w:val="zh-CN"/>
              </w:rPr>
            </w:pPr>
            <w:r>
              <w:rPr>
                <w:rFonts w:hint="eastAsia" w:ascii="宋体" w:hAnsi="宋体" w:eastAsia="宋体" w:cs="宋体"/>
                <w:sz w:val="24"/>
                <w:szCs w:val="24"/>
              </w:rPr>
              <w:t>报价唯一</w:t>
            </w:r>
          </w:p>
        </w:tc>
        <w:tc>
          <w:tcPr>
            <w:tcW w:w="5409" w:type="dxa"/>
            <w:vAlign w:val="center"/>
          </w:tcPr>
          <w:p w14:paraId="1924A322">
            <w:pPr>
              <w:spacing w:line="240" w:lineRule="exact"/>
              <w:rPr>
                <w:rFonts w:hint="eastAsia" w:ascii="宋体" w:hAnsi="宋体" w:eastAsia="宋体" w:cs="宋体"/>
                <w:kern w:val="0"/>
                <w:sz w:val="24"/>
                <w:szCs w:val="24"/>
              </w:rPr>
            </w:pPr>
            <w:r>
              <w:rPr>
                <w:rFonts w:hint="eastAsia" w:ascii="宋体" w:hAnsi="宋体" w:eastAsia="宋体" w:cs="宋体"/>
                <w:sz w:val="24"/>
                <w:szCs w:val="24"/>
                <w:lang w:val="zh-CN"/>
              </w:rPr>
              <w:t>只能在采购预算范围内报价，</w:t>
            </w:r>
            <w:r>
              <w:rPr>
                <w:rFonts w:hint="eastAsia" w:ascii="宋体" w:hAnsi="宋体" w:eastAsia="宋体" w:cs="宋体"/>
                <w:sz w:val="24"/>
                <w:szCs w:val="24"/>
              </w:rPr>
              <w:t>只能有一个有效报价，不得提交选择性报价。</w:t>
            </w:r>
          </w:p>
        </w:tc>
      </w:tr>
      <w:tr w14:paraId="5889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75" w:type="dxa"/>
            <w:vAlign w:val="center"/>
          </w:tcPr>
          <w:p w14:paraId="18A55264">
            <w:pPr>
              <w:spacing w:line="2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560" w:type="dxa"/>
            <w:vAlign w:val="center"/>
          </w:tcPr>
          <w:p w14:paraId="32C29505">
            <w:pPr>
              <w:spacing w:line="240" w:lineRule="exact"/>
              <w:rPr>
                <w:rFonts w:hint="eastAsia" w:ascii="宋体" w:hAnsi="宋体" w:eastAsia="宋体" w:cs="宋体"/>
                <w:kern w:val="0"/>
                <w:sz w:val="24"/>
                <w:szCs w:val="24"/>
              </w:rPr>
            </w:pPr>
            <w:r>
              <w:rPr>
                <w:rFonts w:hint="eastAsia" w:ascii="宋体" w:hAnsi="宋体" w:eastAsia="宋体" w:cs="宋体"/>
                <w:kern w:val="0"/>
                <w:sz w:val="24"/>
                <w:szCs w:val="24"/>
              </w:rPr>
              <w:t>完整性审查</w:t>
            </w:r>
          </w:p>
        </w:tc>
        <w:tc>
          <w:tcPr>
            <w:tcW w:w="1984" w:type="dxa"/>
            <w:vAlign w:val="center"/>
          </w:tcPr>
          <w:p w14:paraId="36518246">
            <w:pPr>
              <w:spacing w:line="240" w:lineRule="exact"/>
              <w:rPr>
                <w:rFonts w:hint="eastAsia" w:ascii="宋体" w:hAnsi="宋体" w:eastAsia="宋体" w:cs="宋体"/>
                <w:kern w:val="0"/>
                <w:sz w:val="24"/>
                <w:szCs w:val="24"/>
              </w:rPr>
            </w:pPr>
            <w:r>
              <w:rPr>
                <w:rFonts w:hint="eastAsia" w:ascii="宋体" w:hAnsi="宋体" w:eastAsia="宋体" w:cs="宋体"/>
                <w:sz w:val="24"/>
                <w:szCs w:val="24"/>
              </w:rPr>
              <w:t>响应</w:t>
            </w:r>
            <w:r>
              <w:rPr>
                <w:rFonts w:hint="eastAsia" w:ascii="宋体" w:hAnsi="宋体" w:eastAsia="宋体" w:cs="宋体"/>
                <w:sz w:val="24"/>
                <w:szCs w:val="24"/>
                <w:lang w:val="zh-CN"/>
              </w:rPr>
              <w:t>文件份数</w:t>
            </w:r>
          </w:p>
        </w:tc>
        <w:tc>
          <w:tcPr>
            <w:tcW w:w="5409" w:type="dxa"/>
            <w:vAlign w:val="center"/>
          </w:tcPr>
          <w:p w14:paraId="368587FE">
            <w:pPr>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响应文件正、副本数量（含电子文档）符合竞争性磋商文件要求。</w:t>
            </w:r>
          </w:p>
        </w:tc>
      </w:tr>
      <w:tr w14:paraId="2FA1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0A88E3B">
            <w:pPr>
              <w:spacing w:line="2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560" w:type="dxa"/>
            <w:vMerge w:val="restart"/>
            <w:vAlign w:val="center"/>
          </w:tcPr>
          <w:p w14:paraId="7356B6B0">
            <w:pPr>
              <w:spacing w:line="240" w:lineRule="exact"/>
              <w:rPr>
                <w:rFonts w:hint="eastAsia" w:ascii="宋体" w:hAnsi="宋体" w:eastAsia="宋体" w:cs="宋体"/>
                <w:sz w:val="24"/>
                <w:szCs w:val="24"/>
                <w:lang w:val="zh-CN"/>
              </w:rPr>
            </w:pPr>
            <w:r>
              <w:rPr>
                <w:rFonts w:hint="eastAsia" w:ascii="宋体" w:hAnsi="宋体" w:eastAsia="宋体" w:cs="宋体"/>
                <w:kern w:val="0"/>
                <w:sz w:val="24"/>
                <w:szCs w:val="24"/>
              </w:rPr>
              <w:t>竞争性磋商文件的响应程度审查</w:t>
            </w:r>
          </w:p>
        </w:tc>
        <w:tc>
          <w:tcPr>
            <w:tcW w:w="1984" w:type="dxa"/>
            <w:vAlign w:val="center"/>
          </w:tcPr>
          <w:p w14:paraId="067BDBB6">
            <w:pPr>
              <w:spacing w:line="240" w:lineRule="exact"/>
              <w:rPr>
                <w:rFonts w:hint="eastAsia" w:ascii="宋体" w:hAnsi="宋体" w:eastAsia="宋体" w:cs="宋体"/>
                <w:kern w:val="0"/>
                <w:sz w:val="24"/>
                <w:szCs w:val="24"/>
              </w:rPr>
            </w:pPr>
            <w:r>
              <w:rPr>
                <w:rFonts w:hint="eastAsia" w:ascii="宋体" w:hAnsi="宋体" w:eastAsia="宋体" w:cs="宋体"/>
                <w:kern w:val="0"/>
                <w:sz w:val="24"/>
                <w:szCs w:val="24"/>
              </w:rPr>
              <w:t>实质性响应</w:t>
            </w:r>
          </w:p>
        </w:tc>
        <w:tc>
          <w:tcPr>
            <w:tcW w:w="5409" w:type="dxa"/>
            <w:vAlign w:val="center"/>
          </w:tcPr>
          <w:p w14:paraId="58858A06">
            <w:pPr>
              <w:pStyle w:val="34"/>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对竞争性磋商文件第二篇、第三篇规定的磋商内容作出响应。</w:t>
            </w:r>
          </w:p>
        </w:tc>
      </w:tr>
      <w:tr w14:paraId="7E78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10137D1">
            <w:pPr>
              <w:spacing w:line="240" w:lineRule="exact"/>
              <w:jc w:val="center"/>
              <w:rPr>
                <w:rFonts w:hint="eastAsia" w:ascii="宋体" w:hAnsi="宋体" w:eastAsia="宋体" w:cs="宋体"/>
                <w:kern w:val="0"/>
                <w:sz w:val="24"/>
                <w:szCs w:val="24"/>
              </w:rPr>
            </w:pPr>
          </w:p>
        </w:tc>
        <w:tc>
          <w:tcPr>
            <w:tcW w:w="1560" w:type="dxa"/>
            <w:vMerge w:val="continue"/>
            <w:vAlign w:val="center"/>
          </w:tcPr>
          <w:p w14:paraId="5336FF09">
            <w:pPr>
              <w:spacing w:line="240" w:lineRule="exact"/>
              <w:rPr>
                <w:rFonts w:hint="eastAsia" w:ascii="宋体" w:hAnsi="宋体" w:eastAsia="宋体" w:cs="宋体"/>
                <w:sz w:val="24"/>
                <w:szCs w:val="24"/>
                <w:lang w:val="zh-CN"/>
              </w:rPr>
            </w:pPr>
          </w:p>
        </w:tc>
        <w:tc>
          <w:tcPr>
            <w:tcW w:w="1984" w:type="dxa"/>
            <w:vAlign w:val="center"/>
          </w:tcPr>
          <w:p w14:paraId="38E7AB8C">
            <w:pPr>
              <w:spacing w:line="240" w:lineRule="exact"/>
              <w:rPr>
                <w:rFonts w:hint="eastAsia" w:ascii="宋体" w:hAnsi="宋体" w:eastAsia="宋体" w:cs="宋体"/>
                <w:kern w:val="0"/>
                <w:sz w:val="24"/>
                <w:szCs w:val="24"/>
              </w:rPr>
            </w:pPr>
            <w:r>
              <w:rPr>
                <w:rFonts w:hint="eastAsia" w:ascii="宋体" w:hAnsi="宋体" w:eastAsia="宋体" w:cs="宋体"/>
                <w:kern w:val="0"/>
                <w:sz w:val="24"/>
                <w:szCs w:val="24"/>
              </w:rPr>
              <w:t>磋商有效期</w:t>
            </w:r>
          </w:p>
        </w:tc>
        <w:tc>
          <w:tcPr>
            <w:tcW w:w="5409" w:type="dxa"/>
            <w:vAlign w:val="center"/>
          </w:tcPr>
          <w:p w14:paraId="63AC79CC">
            <w:pPr>
              <w:spacing w:line="240" w:lineRule="exact"/>
              <w:rPr>
                <w:rFonts w:hint="eastAsia" w:ascii="宋体" w:hAnsi="宋体" w:eastAsia="宋体" w:cs="宋体"/>
                <w:kern w:val="0"/>
                <w:sz w:val="24"/>
                <w:szCs w:val="24"/>
              </w:rPr>
            </w:pPr>
            <w:r>
              <w:rPr>
                <w:rFonts w:hint="eastAsia" w:ascii="宋体" w:hAnsi="宋体" w:eastAsia="宋体" w:cs="宋体"/>
                <w:kern w:val="0"/>
                <w:sz w:val="24"/>
                <w:szCs w:val="24"/>
              </w:rPr>
              <w:t>满足竞争性磋商文件</w:t>
            </w:r>
            <w:r>
              <w:rPr>
                <w:rFonts w:hint="eastAsia" w:ascii="宋体" w:hAnsi="宋体" w:eastAsia="宋体" w:cs="宋体"/>
                <w:sz w:val="24"/>
                <w:szCs w:val="24"/>
                <w:lang w:val="zh-CN"/>
              </w:rPr>
              <w:t>规定。</w:t>
            </w:r>
          </w:p>
        </w:tc>
      </w:tr>
    </w:tbl>
    <w:p w14:paraId="20FA80B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BAF30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482C96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（五）在磋商过程中磋商的任何一方不得向他人透露与磋商有关的服务资料、价格或其他信息。</w:t>
      </w:r>
    </w:p>
    <w:p w14:paraId="6BD0CD2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FD42BB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（七）供应商在磋商时作出的所有书面承诺须由法定代表人或其授权代表签字。</w:t>
      </w:r>
    </w:p>
    <w:p w14:paraId="72B972A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1A6F114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（九）磋商小组采用综合评分法对提交最后报价的供应商的响应文件和最后报价（含有效书面承诺）进行综合评分。</w:t>
      </w:r>
      <w:r>
        <w:rPr>
          <w:rFonts w:hint="eastAsia" w:ascii="宋体" w:hAnsi="宋体" w:eastAsia="宋体" w:cs="宋体"/>
          <w:kern w:val="0"/>
          <w:sz w:val="24"/>
          <w:szCs w:val="24"/>
        </w:rPr>
        <w:t>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宋体" w:hAnsi="宋体" w:eastAsia="宋体" w:cs="宋体"/>
          <w:sz w:val="24"/>
          <w:szCs w:val="24"/>
        </w:rPr>
        <w:t>。</w:t>
      </w:r>
    </w:p>
    <w:p w14:paraId="2C3F9BA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（十）磋商小组各成员独立对每个有效响应（通过资格性检查、</w:t>
      </w:r>
      <w:r>
        <w:rPr>
          <w:rFonts w:hint="eastAsia" w:ascii="宋体" w:hAnsi="宋体" w:eastAsia="宋体" w:cs="宋体"/>
          <w:kern w:val="0"/>
          <w:sz w:val="24"/>
          <w:szCs w:val="24"/>
        </w:rPr>
        <w:t>符合性检查的供应商</w:t>
      </w:r>
      <w:r>
        <w:rPr>
          <w:rFonts w:hint="eastAsia" w:ascii="宋体" w:hAnsi="宋体" w:eastAsia="宋体" w:cs="宋体"/>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部分得分高低顺序排列推荐。以上都相同的，按商务部分得分高低顺序排列推荐。</w:t>
      </w:r>
    </w:p>
    <w:p w14:paraId="4787453E">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75" w:name="_Toc16539"/>
      <w:r>
        <w:rPr>
          <w:rFonts w:hint="eastAsia" w:ascii="宋体" w:hAnsi="宋体" w:eastAsia="宋体" w:cs="宋体"/>
          <w:sz w:val="24"/>
          <w:szCs w:val="24"/>
        </w:rPr>
        <w:t>二、</w:t>
      </w:r>
      <w:bookmarkStart w:id="76" w:name="_Toc102227320"/>
      <w:bookmarkStart w:id="77" w:name="_Toc342913394"/>
      <w:r>
        <w:rPr>
          <w:rFonts w:hint="eastAsia" w:ascii="宋体" w:hAnsi="宋体" w:eastAsia="宋体" w:cs="宋体"/>
          <w:sz w:val="24"/>
          <w:szCs w:val="24"/>
        </w:rPr>
        <w:t>评审标准</w:t>
      </w:r>
      <w:bookmarkEnd w:id="75"/>
    </w:p>
    <w:tbl>
      <w:tblPr>
        <w:tblStyle w:val="60"/>
        <w:tblpPr w:leftFromText="180" w:rightFromText="180" w:vertAnchor="text" w:horzAnchor="page" w:tblpX="1356" w:tblpY="447"/>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65"/>
        <w:gridCol w:w="840"/>
        <w:gridCol w:w="4380"/>
        <w:gridCol w:w="2190"/>
      </w:tblGrid>
      <w:tr w14:paraId="0290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5" w:type="dxa"/>
            <w:noWrap/>
            <w:vAlign w:val="center"/>
          </w:tcPr>
          <w:p w14:paraId="5751B670">
            <w:pPr>
              <w:ind w:firstLine="28"/>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65" w:type="dxa"/>
            <w:noWrap/>
            <w:vAlign w:val="center"/>
          </w:tcPr>
          <w:p w14:paraId="7985B159">
            <w:pPr>
              <w:ind w:firstLine="28"/>
              <w:jc w:val="center"/>
              <w:rPr>
                <w:rFonts w:hint="eastAsia" w:ascii="宋体" w:hAnsi="宋体" w:eastAsia="宋体" w:cs="宋体"/>
                <w:b/>
                <w:bCs/>
                <w:sz w:val="24"/>
                <w:szCs w:val="24"/>
              </w:rPr>
            </w:pPr>
            <w:r>
              <w:rPr>
                <w:rFonts w:hint="eastAsia" w:ascii="宋体" w:hAnsi="宋体" w:eastAsia="宋体" w:cs="宋体"/>
                <w:b/>
                <w:bCs/>
                <w:sz w:val="24"/>
                <w:szCs w:val="24"/>
              </w:rPr>
              <w:t>评分因素</w:t>
            </w:r>
          </w:p>
          <w:p w14:paraId="507A1A9A">
            <w:pPr>
              <w:ind w:firstLine="28"/>
              <w:jc w:val="center"/>
              <w:rPr>
                <w:rFonts w:hint="eastAsia" w:ascii="宋体" w:hAnsi="宋体" w:eastAsia="宋体" w:cs="宋体"/>
                <w:b/>
                <w:bCs/>
                <w:sz w:val="24"/>
                <w:szCs w:val="24"/>
              </w:rPr>
            </w:pPr>
            <w:r>
              <w:rPr>
                <w:rFonts w:hint="eastAsia" w:ascii="宋体" w:hAnsi="宋体" w:eastAsia="宋体" w:cs="宋体"/>
                <w:b/>
                <w:bCs/>
                <w:sz w:val="24"/>
                <w:szCs w:val="24"/>
              </w:rPr>
              <w:t>及权重</w:t>
            </w:r>
          </w:p>
        </w:tc>
        <w:tc>
          <w:tcPr>
            <w:tcW w:w="840" w:type="dxa"/>
            <w:noWrap/>
            <w:vAlign w:val="center"/>
          </w:tcPr>
          <w:p w14:paraId="2A873217">
            <w:pPr>
              <w:ind w:firstLine="28"/>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4380" w:type="dxa"/>
            <w:noWrap/>
            <w:vAlign w:val="center"/>
          </w:tcPr>
          <w:p w14:paraId="31A7E1B8">
            <w:pPr>
              <w:ind w:firstLine="28"/>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2190" w:type="dxa"/>
            <w:noWrap/>
            <w:vAlign w:val="center"/>
          </w:tcPr>
          <w:p w14:paraId="11F5B0B7">
            <w:pPr>
              <w:pStyle w:val="270"/>
              <w:rPr>
                <w:rFonts w:hint="eastAsia" w:ascii="宋体" w:hAnsi="宋体" w:eastAsia="宋体" w:cs="宋体"/>
              </w:rPr>
            </w:pPr>
            <w:r>
              <w:rPr>
                <w:rFonts w:hint="eastAsia" w:ascii="宋体" w:hAnsi="宋体" w:eastAsia="宋体" w:cs="宋体"/>
              </w:rPr>
              <w:t>说明</w:t>
            </w:r>
          </w:p>
        </w:tc>
      </w:tr>
      <w:tr w14:paraId="021B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trPr>
        <w:tc>
          <w:tcPr>
            <w:tcW w:w="705" w:type="dxa"/>
            <w:noWrap/>
            <w:vAlign w:val="center"/>
          </w:tcPr>
          <w:p w14:paraId="2AF8CEBB">
            <w:pPr>
              <w:ind w:firstLine="28"/>
              <w:jc w:val="center"/>
              <w:rPr>
                <w:rFonts w:hint="eastAsia" w:ascii="宋体" w:hAnsi="宋体" w:eastAsia="宋体" w:cs="宋体"/>
                <w:sz w:val="24"/>
                <w:szCs w:val="24"/>
              </w:rPr>
            </w:pPr>
            <w:r>
              <w:rPr>
                <w:rFonts w:hint="eastAsia" w:ascii="宋体" w:hAnsi="宋体" w:eastAsia="宋体" w:cs="宋体"/>
                <w:sz w:val="24"/>
                <w:szCs w:val="24"/>
              </w:rPr>
              <w:t>1</w:t>
            </w:r>
          </w:p>
        </w:tc>
        <w:tc>
          <w:tcPr>
            <w:tcW w:w="1365" w:type="dxa"/>
            <w:noWrap/>
            <w:vAlign w:val="center"/>
          </w:tcPr>
          <w:p w14:paraId="3482A891">
            <w:pPr>
              <w:ind w:firstLine="28"/>
              <w:jc w:val="center"/>
              <w:rPr>
                <w:rFonts w:hint="eastAsia" w:ascii="宋体" w:hAnsi="宋体" w:eastAsia="宋体" w:cs="宋体"/>
                <w:sz w:val="24"/>
                <w:szCs w:val="24"/>
              </w:rPr>
            </w:pPr>
            <w:r>
              <w:rPr>
                <w:rFonts w:hint="eastAsia" w:ascii="宋体" w:hAnsi="宋体" w:eastAsia="宋体" w:cs="宋体"/>
                <w:sz w:val="24"/>
                <w:szCs w:val="24"/>
              </w:rPr>
              <w:t>磋商报价</w:t>
            </w:r>
          </w:p>
          <w:p w14:paraId="63E9E484">
            <w:pPr>
              <w:ind w:firstLine="28"/>
              <w:jc w:val="center"/>
              <w:rPr>
                <w:rFonts w:hint="eastAsia" w:ascii="宋体" w:hAnsi="宋体" w:eastAsia="宋体" w:cs="宋体"/>
                <w:sz w:val="24"/>
                <w:szCs w:val="24"/>
              </w:rPr>
            </w:pPr>
            <w:r>
              <w:rPr>
                <w:rFonts w:hint="eastAsia" w:ascii="宋体" w:hAnsi="宋体" w:eastAsia="宋体" w:cs="宋体"/>
                <w:sz w:val="24"/>
                <w:szCs w:val="24"/>
              </w:rPr>
              <w:t>（10%）</w:t>
            </w:r>
          </w:p>
        </w:tc>
        <w:tc>
          <w:tcPr>
            <w:tcW w:w="840" w:type="dxa"/>
            <w:noWrap/>
            <w:vAlign w:val="center"/>
          </w:tcPr>
          <w:p w14:paraId="4629809E">
            <w:pPr>
              <w:ind w:firstLine="28"/>
              <w:jc w:val="center"/>
              <w:rPr>
                <w:rFonts w:hint="eastAsia" w:ascii="宋体" w:hAnsi="宋体" w:eastAsia="宋体" w:cs="宋体"/>
                <w:sz w:val="24"/>
                <w:szCs w:val="24"/>
              </w:rPr>
            </w:pPr>
            <w:r>
              <w:rPr>
                <w:rFonts w:hint="eastAsia" w:ascii="宋体" w:hAnsi="宋体" w:eastAsia="宋体" w:cs="宋体"/>
                <w:sz w:val="24"/>
                <w:szCs w:val="24"/>
              </w:rPr>
              <w:t>10分</w:t>
            </w:r>
          </w:p>
        </w:tc>
        <w:tc>
          <w:tcPr>
            <w:tcW w:w="4380" w:type="dxa"/>
            <w:noWrap/>
            <w:vAlign w:val="center"/>
          </w:tcPr>
          <w:p w14:paraId="0033B2E2">
            <w:pPr>
              <w:jc w:val="left"/>
              <w:rPr>
                <w:rFonts w:hint="eastAsia" w:ascii="宋体" w:hAnsi="宋体" w:eastAsia="宋体" w:cs="宋体"/>
                <w:sz w:val="24"/>
                <w:szCs w:val="24"/>
              </w:rPr>
            </w:pPr>
            <w:r>
              <w:rPr>
                <w:rFonts w:hint="eastAsia" w:ascii="宋体" w:hAnsi="宋体" w:eastAsia="宋体" w:cs="宋体"/>
                <w:sz w:val="24"/>
                <w:szCs w:val="24"/>
              </w:rPr>
              <w:t>满足资格性、符合性要求且最后批次数量最多的供应商的价格为竞采基准价，其价格分为满分。其他供应商的价格分统一按照下列公式计算：</w:t>
            </w:r>
          </w:p>
          <w:p w14:paraId="6217A9AE">
            <w:pPr>
              <w:rPr>
                <w:rFonts w:hint="eastAsia" w:ascii="宋体" w:hAnsi="宋体" w:eastAsia="宋体" w:cs="宋体"/>
                <w:sz w:val="24"/>
                <w:szCs w:val="24"/>
              </w:rPr>
            </w:pPr>
            <w:r>
              <w:rPr>
                <w:rFonts w:hint="eastAsia" w:ascii="宋体" w:hAnsi="宋体" w:eastAsia="宋体" w:cs="宋体"/>
                <w:sz w:val="24"/>
                <w:szCs w:val="24"/>
              </w:rPr>
              <w:t>磋商报价得分=（最后批次数量/磋商基准价）×价格权值×100（按四舍五入法保留两位小数）</w:t>
            </w:r>
          </w:p>
        </w:tc>
        <w:tc>
          <w:tcPr>
            <w:tcW w:w="2190" w:type="dxa"/>
            <w:noWrap/>
            <w:vAlign w:val="center"/>
          </w:tcPr>
          <w:p w14:paraId="0DEB9747">
            <w:pPr>
              <w:ind w:left="-38"/>
              <w:jc w:val="center"/>
              <w:rPr>
                <w:rFonts w:hint="eastAsia" w:ascii="宋体" w:hAnsi="宋体" w:eastAsia="宋体" w:cs="宋体"/>
                <w:sz w:val="24"/>
                <w:szCs w:val="24"/>
              </w:rPr>
            </w:pPr>
            <w:r>
              <w:rPr>
                <w:rFonts w:hint="eastAsia" w:ascii="宋体" w:hAnsi="宋体" w:eastAsia="宋体" w:cs="宋体"/>
                <w:sz w:val="24"/>
                <w:szCs w:val="24"/>
              </w:rPr>
              <w:t>无。</w:t>
            </w:r>
          </w:p>
        </w:tc>
      </w:tr>
      <w:tr w14:paraId="5012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705" w:type="dxa"/>
            <w:vMerge w:val="restart"/>
            <w:noWrap/>
            <w:vAlign w:val="center"/>
          </w:tcPr>
          <w:p w14:paraId="00A7E297">
            <w:pPr>
              <w:ind w:firstLine="28"/>
              <w:jc w:val="center"/>
              <w:rPr>
                <w:rFonts w:hint="eastAsia" w:ascii="宋体" w:hAnsi="宋体" w:eastAsia="宋体" w:cs="宋体"/>
                <w:sz w:val="24"/>
                <w:szCs w:val="24"/>
              </w:rPr>
            </w:pPr>
            <w:r>
              <w:rPr>
                <w:rFonts w:hint="eastAsia" w:ascii="宋体" w:hAnsi="宋体" w:eastAsia="宋体" w:cs="宋体"/>
                <w:sz w:val="24"/>
                <w:szCs w:val="24"/>
              </w:rPr>
              <w:t>2</w:t>
            </w:r>
          </w:p>
        </w:tc>
        <w:tc>
          <w:tcPr>
            <w:tcW w:w="1365" w:type="dxa"/>
            <w:vMerge w:val="restart"/>
            <w:noWrap/>
            <w:vAlign w:val="center"/>
          </w:tcPr>
          <w:p w14:paraId="02211AEE">
            <w:pPr>
              <w:ind w:firstLine="28"/>
              <w:jc w:val="center"/>
              <w:rPr>
                <w:rFonts w:hint="eastAsia" w:ascii="宋体" w:hAnsi="宋体" w:eastAsia="宋体" w:cs="宋体"/>
                <w:sz w:val="24"/>
                <w:szCs w:val="24"/>
              </w:rPr>
            </w:pPr>
            <w:r>
              <w:rPr>
                <w:rFonts w:hint="eastAsia" w:ascii="宋体" w:hAnsi="宋体" w:eastAsia="宋体" w:cs="宋体"/>
                <w:sz w:val="24"/>
                <w:szCs w:val="24"/>
              </w:rPr>
              <w:t>技术部分</w:t>
            </w:r>
          </w:p>
          <w:p w14:paraId="4A50945B">
            <w:pPr>
              <w:ind w:firstLine="28"/>
              <w:jc w:val="center"/>
              <w:rPr>
                <w:rFonts w:hint="eastAsia" w:ascii="宋体" w:hAnsi="宋体" w:eastAsia="宋体" w:cs="宋体"/>
                <w:sz w:val="24"/>
                <w:szCs w:val="24"/>
              </w:rPr>
            </w:pPr>
            <w:r>
              <w:rPr>
                <w:rFonts w:hint="eastAsia" w:ascii="宋体" w:hAnsi="宋体" w:eastAsia="宋体" w:cs="宋体"/>
                <w:sz w:val="24"/>
                <w:szCs w:val="24"/>
              </w:rPr>
              <w:t>（41%）</w:t>
            </w:r>
          </w:p>
        </w:tc>
        <w:tc>
          <w:tcPr>
            <w:tcW w:w="840" w:type="dxa"/>
            <w:noWrap/>
            <w:vAlign w:val="center"/>
          </w:tcPr>
          <w:p w14:paraId="0AC6E475">
            <w:pPr>
              <w:ind w:firstLine="28"/>
              <w:jc w:val="center"/>
              <w:rPr>
                <w:rFonts w:hint="eastAsia" w:ascii="宋体" w:hAnsi="宋体" w:eastAsia="宋体" w:cs="宋体"/>
                <w:sz w:val="24"/>
                <w:szCs w:val="24"/>
              </w:rPr>
            </w:pPr>
            <w:r>
              <w:rPr>
                <w:rFonts w:hint="eastAsia" w:ascii="宋体" w:hAnsi="宋体" w:eastAsia="宋体" w:cs="宋体"/>
                <w:sz w:val="24"/>
                <w:szCs w:val="24"/>
              </w:rPr>
              <w:t>20分</w:t>
            </w:r>
          </w:p>
        </w:tc>
        <w:tc>
          <w:tcPr>
            <w:tcW w:w="4380" w:type="dxa"/>
            <w:noWrap/>
            <w:vAlign w:val="center"/>
          </w:tcPr>
          <w:p w14:paraId="367F5401">
            <w:pPr>
              <w:jc w:val="left"/>
              <w:rPr>
                <w:rFonts w:hint="eastAsia" w:ascii="宋体" w:hAnsi="宋体" w:eastAsia="宋体" w:cs="宋体"/>
                <w:b/>
                <w:bCs/>
                <w:sz w:val="24"/>
                <w:szCs w:val="24"/>
              </w:rPr>
            </w:pPr>
            <w:r>
              <w:rPr>
                <w:rFonts w:hint="eastAsia" w:ascii="宋体" w:hAnsi="宋体" w:eastAsia="宋体" w:cs="宋体"/>
                <w:b/>
                <w:bCs/>
                <w:sz w:val="24"/>
                <w:szCs w:val="24"/>
              </w:rPr>
              <w:t>服务方案（20分）</w:t>
            </w:r>
          </w:p>
          <w:p w14:paraId="25622CC2">
            <w:pPr>
              <w:jc w:val="left"/>
              <w:rPr>
                <w:rFonts w:hint="eastAsia" w:ascii="宋体" w:hAnsi="宋体" w:eastAsia="宋体" w:cs="宋体"/>
                <w:szCs w:val="24"/>
              </w:rPr>
            </w:pPr>
            <w:r>
              <w:rPr>
                <w:rFonts w:hint="eastAsia" w:ascii="宋体" w:hAnsi="宋体" w:eastAsia="宋体" w:cs="宋体"/>
                <w:sz w:val="24"/>
                <w:szCs w:val="24"/>
              </w:rPr>
              <w:t>供应商针对本项目提供完整的服务方案，内容包含但不限于：抽检工作目标、抽检工作原则、具体实施（抽样、保存、运输、检测、质量控制、数据处理、时效性、结果异议处置、检验数据汇总分析及应用、应急服务）等。内容完整、考虑周密、综合服务能力强、针对性强的得20分，内容较完整、考虑较周密、综合服务能力强、针对性较强的得15分，内容不够完整、综合服务能力不够强、针对性不够强的得10分，内容的欠缺的得5分，未提供不得分。</w:t>
            </w:r>
          </w:p>
        </w:tc>
        <w:tc>
          <w:tcPr>
            <w:tcW w:w="2190" w:type="dxa"/>
            <w:noWrap/>
            <w:vAlign w:val="center"/>
          </w:tcPr>
          <w:p w14:paraId="653ECBB0">
            <w:pPr>
              <w:jc w:val="center"/>
              <w:rPr>
                <w:rFonts w:hint="eastAsia" w:ascii="宋体" w:hAnsi="宋体" w:eastAsia="宋体" w:cs="宋体"/>
                <w:sz w:val="24"/>
                <w:szCs w:val="24"/>
              </w:rPr>
            </w:pPr>
            <w:r>
              <w:rPr>
                <w:rFonts w:hint="eastAsia" w:ascii="宋体" w:hAnsi="宋体" w:eastAsia="宋体" w:cs="宋体"/>
                <w:sz w:val="24"/>
                <w:szCs w:val="24"/>
              </w:rPr>
              <w:t>提供工作方案。</w:t>
            </w:r>
          </w:p>
        </w:tc>
      </w:tr>
      <w:tr w14:paraId="0DFC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705" w:type="dxa"/>
            <w:vMerge w:val="continue"/>
            <w:noWrap/>
            <w:vAlign w:val="center"/>
          </w:tcPr>
          <w:p w14:paraId="6D37C89B">
            <w:pPr>
              <w:ind w:firstLine="28"/>
              <w:jc w:val="center"/>
              <w:rPr>
                <w:rFonts w:hint="eastAsia" w:ascii="宋体" w:hAnsi="宋体" w:eastAsia="宋体" w:cs="宋体"/>
                <w:sz w:val="24"/>
                <w:szCs w:val="24"/>
              </w:rPr>
            </w:pPr>
          </w:p>
        </w:tc>
        <w:tc>
          <w:tcPr>
            <w:tcW w:w="1365" w:type="dxa"/>
            <w:vMerge w:val="continue"/>
            <w:noWrap/>
            <w:vAlign w:val="center"/>
          </w:tcPr>
          <w:p w14:paraId="665E56B6">
            <w:pPr>
              <w:ind w:firstLine="28"/>
              <w:jc w:val="center"/>
              <w:rPr>
                <w:rFonts w:hint="eastAsia" w:ascii="宋体" w:hAnsi="宋体" w:eastAsia="宋体" w:cs="宋体"/>
                <w:sz w:val="24"/>
                <w:szCs w:val="24"/>
              </w:rPr>
            </w:pPr>
          </w:p>
        </w:tc>
        <w:tc>
          <w:tcPr>
            <w:tcW w:w="840" w:type="dxa"/>
            <w:noWrap/>
            <w:vAlign w:val="center"/>
          </w:tcPr>
          <w:p w14:paraId="2AC18810">
            <w:pPr>
              <w:ind w:firstLine="28"/>
              <w:jc w:val="center"/>
              <w:rPr>
                <w:rFonts w:hint="eastAsia" w:ascii="宋体" w:hAnsi="宋体" w:eastAsia="宋体" w:cs="宋体"/>
                <w:sz w:val="24"/>
                <w:szCs w:val="24"/>
              </w:rPr>
            </w:pPr>
            <w:r>
              <w:rPr>
                <w:rFonts w:hint="eastAsia" w:ascii="宋体" w:hAnsi="宋体" w:eastAsia="宋体" w:cs="宋体"/>
                <w:sz w:val="24"/>
                <w:szCs w:val="24"/>
              </w:rPr>
              <w:t>10分</w:t>
            </w:r>
          </w:p>
        </w:tc>
        <w:tc>
          <w:tcPr>
            <w:tcW w:w="4380" w:type="dxa"/>
            <w:noWrap/>
            <w:vAlign w:val="center"/>
          </w:tcPr>
          <w:p w14:paraId="68AFE13E">
            <w:pPr>
              <w:jc w:val="left"/>
              <w:rPr>
                <w:rFonts w:hint="eastAsia" w:ascii="宋体" w:hAnsi="宋体" w:eastAsia="宋体" w:cs="宋体"/>
                <w:b/>
                <w:bCs/>
                <w:sz w:val="24"/>
                <w:szCs w:val="24"/>
              </w:rPr>
            </w:pPr>
            <w:r>
              <w:rPr>
                <w:rFonts w:hint="eastAsia" w:ascii="宋体" w:hAnsi="宋体" w:eastAsia="宋体" w:cs="宋体"/>
                <w:b/>
                <w:bCs/>
                <w:sz w:val="24"/>
                <w:szCs w:val="24"/>
              </w:rPr>
              <w:t>设备配置（10分）</w:t>
            </w:r>
          </w:p>
          <w:p w14:paraId="0CED19BE">
            <w:pPr>
              <w:jc w:val="left"/>
              <w:rPr>
                <w:rFonts w:hint="eastAsia" w:ascii="宋体" w:hAnsi="宋体" w:eastAsia="宋体" w:cs="宋体"/>
                <w:sz w:val="24"/>
                <w:szCs w:val="24"/>
              </w:rPr>
            </w:pPr>
            <w:r>
              <w:rPr>
                <w:rFonts w:hint="eastAsia" w:ascii="宋体" w:hAnsi="宋体" w:eastAsia="宋体" w:cs="宋体"/>
                <w:sz w:val="24"/>
                <w:szCs w:val="24"/>
              </w:rPr>
              <w:t>拟投入本项目检验工作的仪器设备：</w:t>
            </w:r>
          </w:p>
          <w:p w14:paraId="126EB06B">
            <w:pPr>
              <w:jc w:val="left"/>
              <w:rPr>
                <w:rFonts w:hint="eastAsia" w:ascii="宋体" w:hAnsi="宋体" w:eastAsia="宋体" w:cs="宋体"/>
                <w:sz w:val="24"/>
                <w:szCs w:val="24"/>
              </w:rPr>
            </w:pPr>
            <w:r>
              <w:rPr>
                <w:rFonts w:hint="eastAsia" w:ascii="宋体" w:hAnsi="宋体" w:eastAsia="宋体" w:cs="宋体"/>
                <w:sz w:val="24"/>
                <w:szCs w:val="24"/>
              </w:rPr>
              <w:t>1.供应商为本项目投入的液相色谱仪≥5台的得2分, 3台的得1.5分，2台的得1分，没有不得分。</w:t>
            </w:r>
          </w:p>
          <w:p w14:paraId="0F6BEC0E">
            <w:pPr>
              <w:jc w:val="left"/>
              <w:rPr>
                <w:rFonts w:hint="eastAsia" w:ascii="宋体" w:hAnsi="宋体" w:eastAsia="宋体" w:cs="宋体"/>
                <w:sz w:val="24"/>
                <w:szCs w:val="24"/>
              </w:rPr>
            </w:pPr>
            <w:r>
              <w:rPr>
                <w:rFonts w:hint="eastAsia" w:ascii="宋体" w:hAnsi="宋体" w:eastAsia="宋体" w:cs="宋体"/>
                <w:sz w:val="24"/>
                <w:szCs w:val="24"/>
              </w:rPr>
              <w:t>2.供应商为本项目投入的气相色谱仪≥5台的得2分，3台的得1.5分，2台的得1分，没有不得分。</w:t>
            </w:r>
          </w:p>
          <w:p w14:paraId="6564F20B">
            <w:pPr>
              <w:jc w:val="left"/>
              <w:rPr>
                <w:rFonts w:hint="eastAsia" w:ascii="宋体" w:hAnsi="宋体" w:eastAsia="宋体" w:cs="宋体"/>
                <w:sz w:val="24"/>
                <w:szCs w:val="24"/>
              </w:rPr>
            </w:pPr>
            <w:r>
              <w:rPr>
                <w:rFonts w:hint="eastAsia" w:ascii="宋体" w:hAnsi="宋体" w:eastAsia="宋体" w:cs="宋体"/>
                <w:sz w:val="24"/>
                <w:szCs w:val="24"/>
              </w:rPr>
              <w:t>3.供应商为本项目投入的液相色谱-串联质谱仪≥4台的得2分，3台的得1分，没有不得分。</w:t>
            </w:r>
          </w:p>
          <w:p w14:paraId="71F33C1F">
            <w:pPr>
              <w:jc w:val="left"/>
              <w:rPr>
                <w:rFonts w:hint="eastAsia" w:ascii="宋体" w:hAnsi="宋体" w:eastAsia="宋体" w:cs="宋体"/>
                <w:sz w:val="24"/>
                <w:szCs w:val="24"/>
              </w:rPr>
            </w:pPr>
            <w:r>
              <w:rPr>
                <w:rFonts w:hint="eastAsia" w:ascii="宋体" w:hAnsi="宋体" w:eastAsia="宋体" w:cs="宋体"/>
                <w:sz w:val="24"/>
                <w:szCs w:val="24"/>
              </w:rPr>
              <w:t>4.供应商为本项目投入的气相色谱-质谱联用仪≥4台的得2分, 3台的得1.5分，2台的得1分，没有不得分。</w:t>
            </w:r>
          </w:p>
          <w:p w14:paraId="60FD6406">
            <w:pPr>
              <w:jc w:val="left"/>
              <w:rPr>
                <w:rFonts w:hint="eastAsia" w:ascii="宋体" w:hAnsi="宋体" w:eastAsia="宋体" w:cs="宋体"/>
                <w:szCs w:val="24"/>
              </w:rPr>
            </w:pPr>
            <w:r>
              <w:rPr>
                <w:rFonts w:hint="eastAsia" w:ascii="宋体" w:hAnsi="宋体" w:eastAsia="宋体" w:cs="宋体"/>
                <w:sz w:val="24"/>
                <w:szCs w:val="24"/>
              </w:rPr>
              <w:t>5.供应商为本项目同时投入原子吸收光谱仪≥2台、原子荧光光谱仪≥2台、液相色谱-原子荧光联用仪≥2台、电感耦合等离子体质谱仪≥2台的得2分，1台的得1分，没有不得分；以上设备需要同时具备，缺一项不得分。</w:t>
            </w:r>
          </w:p>
        </w:tc>
        <w:tc>
          <w:tcPr>
            <w:tcW w:w="2190" w:type="dxa"/>
            <w:noWrap/>
            <w:vAlign w:val="center"/>
          </w:tcPr>
          <w:p w14:paraId="20696CDF">
            <w:pPr>
              <w:jc w:val="left"/>
              <w:rPr>
                <w:rFonts w:hint="eastAsia" w:ascii="宋体" w:hAnsi="宋体" w:eastAsia="宋体" w:cs="宋体"/>
                <w:sz w:val="24"/>
                <w:szCs w:val="24"/>
              </w:rPr>
            </w:pPr>
            <w:r>
              <w:rPr>
                <w:rFonts w:hint="eastAsia" w:ascii="宋体" w:hAnsi="宋体" w:eastAsia="宋体" w:cs="宋体"/>
                <w:sz w:val="24"/>
                <w:szCs w:val="24"/>
              </w:rPr>
              <w:t>提供相关设备照片（包含整体照片）及购买发票复印件并加盖供应商公章。</w:t>
            </w:r>
          </w:p>
        </w:tc>
      </w:tr>
      <w:tr w14:paraId="77CB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705" w:type="dxa"/>
            <w:vMerge w:val="continue"/>
            <w:noWrap/>
            <w:vAlign w:val="center"/>
          </w:tcPr>
          <w:p w14:paraId="3C27739D">
            <w:pPr>
              <w:ind w:firstLine="28"/>
              <w:jc w:val="center"/>
              <w:rPr>
                <w:rFonts w:hint="eastAsia" w:ascii="宋体" w:hAnsi="宋体" w:eastAsia="宋体" w:cs="宋体"/>
                <w:sz w:val="24"/>
                <w:szCs w:val="24"/>
              </w:rPr>
            </w:pPr>
          </w:p>
        </w:tc>
        <w:tc>
          <w:tcPr>
            <w:tcW w:w="1365" w:type="dxa"/>
            <w:vMerge w:val="continue"/>
            <w:noWrap/>
            <w:vAlign w:val="center"/>
          </w:tcPr>
          <w:p w14:paraId="25EC0406">
            <w:pPr>
              <w:ind w:firstLine="28"/>
              <w:jc w:val="center"/>
              <w:rPr>
                <w:rFonts w:hint="eastAsia" w:ascii="宋体" w:hAnsi="宋体" w:eastAsia="宋体" w:cs="宋体"/>
                <w:sz w:val="24"/>
                <w:szCs w:val="24"/>
              </w:rPr>
            </w:pPr>
          </w:p>
        </w:tc>
        <w:tc>
          <w:tcPr>
            <w:tcW w:w="840" w:type="dxa"/>
            <w:noWrap/>
            <w:vAlign w:val="center"/>
          </w:tcPr>
          <w:p w14:paraId="50A1E3E3">
            <w:pPr>
              <w:spacing w:line="240" w:lineRule="atLeast"/>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4380" w:type="dxa"/>
            <w:noWrap/>
            <w:vAlign w:val="center"/>
          </w:tcPr>
          <w:p w14:paraId="3BBBFE1B">
            <w:pPr>
              <w:spacing w:line="240" w:lineRule="atLeast"/>
              <w:rPr>
                <w:rFonts w:hint="eastAsia" w:ascii="宋体" w:hAnsi="宋体" w:eastAsia="宋体" w:cs="宋体"/>
                <w:sz w:val="24"/>
                <w:szCs w:val="24"/>
              </w:rPr>
            </w:pPr>
            <w:r>
              <w:rPr>
                <w:rFonts w:hint="eastAsia" w:ascii="宋体" w:hAnsi="宋体" w:eastAsia="宋体" w:cs="宋体"/>
                <w:sz w:val="24"/>
                <w:szCs w:val="24"/>
              </w:rPr>
              <w:t>供应商具有冻库的得1分，未提供不得分。</w:t>
            </w:r>
          </w:p>
        </w:tc>
        <w:tc>
          <w:tcPr>
            <w:tcW w:w="2190" w:type="dxa"/>
            <w:noWrap/>
            <w:vAlign w:val="center"/>
          </w:tcPr>
          <w:p w14:paraId="6F40E5CD">
            <w:pPr>
              <w:jc w:val="left"/>
              <w:rPr>
                <w:rFonts w:hint="eastAsia" w:ascii="宋体" w:hAnsi="宋体" w:eastAsia="宋体" w:cs="宋体"/>
                <w:sz w:val="24"/>
                <w:szCs w:val="24"/>
              </w:rPr>
            </w:pPr>
            <w:r>
              <w:rPr>
                <w:rFonts w:hint="eastAsia" w:ascii="宋体" w:hAnsi="宋体" w:eastAsia="宋体" w:cs="宋体"/>
                <w:sz w:val="24"/>
                <w:szCs w:val="24"/>
              </w:rPr>
              <w:t>提供冻库照片、建设或租赁合同或发票复印件。</w:t>
            </w:r>
          </w:p>
        </w:tc>
      </w:tr>
      <w:tr w14:paraId="654B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705" w:type="dxa"/>
            <w:vMerge w:val="continue"/>
            <w:noWrap/>
            <w:vAlign w:val="center"/>
          </w:tcPr>
          <w:p w14:paraId="5C128A5E">
            <w:pPr>
              <w:ind w:firstLine="28"/>
              <w:jc w:val="center"/>
              <w:rPr>
                <w:rFonts w:hint="eastAsia" w:ascii="宋体" w:hAnsi="宋体" w:eastAsia="宋体" w:cs="宋体"/>
                <w:sz w:val="24"/>
                <w:szCs w:val="24"/>
              </w:rPr>
            </w:pPr>
          </w:p>
        </w:tc>
        <w:tc>
          <w:tcPr>
            <w:tcW w:w="1365" w:type="dxa"/>
            <w:vMerge w:val="continue"/>
            <w:noWrap/>
            <w:vAlign w:val="center"/>
          </w:tcPr>
          <w:p w14:paraId="726FAC94">
            <w:pPr>
              <w:ind w:firstLine="28"/>
              <w:jc w:val="center"/>
              <w:rPr>
                <w:rFonts w:hint="eastAsia" w:ascii="宋体" w:hAnsi="宋体" w:eastAsia="宋体" w:cs="宋体"/>
                <w:sz w:val="24"/>
                <w:szCs w:val="24"/>
              </w:rPr>
            </w:pPr>
          </w:p>
        </w:tc>
        <w:tc>
          <w:tcPr>
            <w:tcW w:w="840" w:type="dxa"/>
            <w:noWrap/>
            <w:vAlign w:val="center"/>
          </w:tcPr>
          <w:p w14:paraId="070A3B02">
            <w:pPr>
              <w:ind w:firstLine="28"/>
              <w:jc w:val="center"/>
              <w:rPr>
                <w:rFonts w:hint="eastAsia" w:ascii="宋体" w:hAnsi="宋体" w:eastAsia="宋体" w:cs="宋体"/>
                <w:sz w:val="24"/>
                <w:szCs w:val="24"/>
              </w:rPr>
            </w:pPr>
            <w:r>
              <w:rPr>
                <w:rFonts w:hint="eastAsia" w:ascii="宋体" w:hAnsi="宋体" w:eastAsia="宋体" w:cs="宋体"/>
                <w:sz w:val="24"/>
                <w:szCs w:val="24"/>
              </w:rPr>
              <w:t>5分</w:t>
            </w:r>
          </w:p>
        </w:tc>
        <w:tc>
          <w:tcPr>
            <w:tcW w:w="4380" w:type="dxa"/>
            <w:noWrap/>
            <w:vAlign w:val="center"/>
          </w:tcPr>
          <w:p w14:paraId="696A93CF">
            <w:pPr>
              <w:spacing w:line="240" w:lineRule="atLeast"/>
              <w:rPr>
                <w:rFonts w:hint="eastAsia" w:ascii="宋体" w:hAnsi="宋体" w:eastAsia="宋体" w:cs="宋体"/>
                <w:szCs w:val="24"/>
              </w:rPr>
            </w:pPr>
            <w:r>
              <w:rPr>
                <w:rFonts w:hint="eastAsia" w:ascii="宋体" w:hAnsi="宋体" w:eastAsia="宋体" w:cs="宋体"/>
                <w:sz w:val="24"/>
                <w:szCs w:val="24"/>
              </w:rPr>
              <w:t>供应商拟投入本项目服务团队人员中，具有专职抽样人员15名（含）以上的，得5分，5名（含）～14名（含）的得3分，4名（含）以下或抽检人员未分离的不得分。</w:t>
            </w:r>
          </w:p>
        </w:tc>
        <w:tc>
          <w:tcPr>
            <w:tcW w:w="2190" w:type="dxa"/>
            <w:noWrap/>
            <w:vAlign w:val="center"/>
          </w:tcPr>
          <w:p w14:paraId="5298C18E">
            <w:pPr>
              <w:jc w:val="left"/>
              <w:rPr>
                <w:rFonts w:hint="eastAsia" w:ascii="宋体" w:hAnsi="宋体" w:eastAsia="宋体" w:cs="宋体"/>
                <w:sz w:val="24"/>
                <w:szCs w:val="24"/>
              </w:rPr>
            </w:pPr>
            <w:r>
              <w:rPr>
                <w:rFonts w:hint="eastAsia" w:ascii="宋体" w:hAnsi="宋体" w:eastAsia="宋体" w:cs="宋体"/>
                <w:sz w:val="24"/>
                <w:szCs w:val="24"/>
              </w:rPr>
              <w:t>1.提供</w:t>
            </w:r>
            <w:r>
              <w:rPr>
                <w:rFonts w:hint="eastAsia" w:ascii="宋体" w:hAnsi="宋体" w:eastAsia="宋体" w:cs="宋体"/>
                <w:sz w:val="24"/>
                <w:szCs w:val="24"/>
                <w:lang w:eastAsia="zh-CN"/>
              </w:rPr>
              <w:t>2025</w:t>
            </w:r>
            <w:r>
              <w:rPr>
                <w:rFonts w:hint="eastAsia" w:ascii="宋体" w:hAnsi="宋体" w:eastAsia="宋体" w:cs="宋体"/>
                <w:sz w:val="24"/>
                <w:szCs w:val="24"/>
              </w:rPr>
              <w:t>年任意一个月供应商为其缴纳社保的发票复印件和明细清单（或专用收据）复印件或提供社保部门盖章的缴纳社保的证明文件复印件。</w:t>
            </w:r>
          </w:p>
          <w:p w14:paraId="1E6FD45C">
            <w:pPr>
              <w:jc w:val="left"/>
              <w:rPr>
                <w:rFonts w:hint="eastAsia" w:ascii="宋体" w:hAnsi="宋体" w:eastAsia="宋体" w:cs="宋体"/>
                <w:sz w:val="24"/>
                <w:szCs w:val="24"/>
              </w:rPr>
            </w:pPr>
            <w:r>
              <w:rPr>
                <w:rFonts w:hint="eastAsia" w:ascii="宋体" w:hAnsi="宋体" w:eastAsia="宋体" w:cs="宋体"/>
                <w:sz w:val="24"/>
                <w:szCs w:val="24"/>
              </w:rPr>
              <w:t>2.提供抽样员证书复印件，并加盖供应商公章。</w:t>
            </w:r>
          </w:p>
        </w:tc>
      </w:tr>
      <w:tr w14:paraId="2BC2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705" w:type="dxa"/>
            <w:vMerge w:val="continue"/>
            <w:noWrap/>
            <w:vAlign w:val="center"/>
          </w:tcPr>
          <w:p w14:paraId="6556896F">
            <w:pPr>
              <w:ind w:firstLine="28"/>
              <w:jc w:val="center"/>
              <w:rPr>
                <w:rFonts w:hint="eastAsia" w:ascii="宋体" w:hAnsi="宋体" w:eastAsia="宋体" w:cs="宋体"/>
                <w:sz w:val="24"/>
                <w:szCs w:val="24"/>
              </w:rPr>
            </w:pPr>
          </w:p>
        </w:tc>
        <w:tc>
          <w:tcPr>
            <w:tcW w:w="1365" w:type="dxa"/>
            <w:vMerge w:val="continue"/>
            <w:noWrap/>
            <w:vAlign w:val="center"/>
          </w:tcPr>
          <w:p w14:paraId="3D3E0834">
            <w:pPr>
              <w:ind w:firstLine="28"/>
              <w:jc w:val="center"/>
              <w:rPr>
                <w:rFonts w:hint="eastAsia" w:ascii="宋体" w:hAnsi="宋体" w:eastAsia="宋体" w:cs="宋体"/>
                <w:sz w:val="24"/>
                <w:szCs w:val="24"/>
              </w:rPr>
            </w:pPr>
          </w:p>
        </w:tc>
        <w:tc>
          <w:tcPr>
            <w:tcW w:w="840" w:type="dxa"/>
            <w:noWrap/>
            <w:vAlign w:val="center"/>
          </w:tcPr>
          <w:p w14:paraId="59F3217C">
            <w:pPr>
              <w:ind w:firstLine="28"/>
              <w:jc w:val="center"/>
              <w:rPr>
                <w:rFonts w:hint="eastAsia" w:ascii="宋体" w:hAnsi="宋体" w:eastAsia="宋体" w:cs="宋体"/>
                <w:sz w:val="24"/>
                <w:szCs w:val="24"/>
              </w:rPr>
            </w:pPr>
            <w:r>
              <w:rPr>
                <w:rFonts w:hint="eastAsia" w:ascii="宋体" w:hAnsi="宋体" w:eastAsia="宋体" w:cs="宋体"/>
                <w:sz w:val="24"/>
                <w:szCs w:val="24"/>
              </w:rPr>
              <w:t>5分</w:t>
            </w:r>
          </w:p>
        </w:tc>
        <w:tc>
          <w:tcPr>
            <w:tcW w:w="4380" w:type="dxa"/>
            <w:noWrap/>
            <w:vAlign w:val="center"/>
          </w:tcPr>
          <w:p w14:paraId="5B76EE69">
            <w:pPr>
              <w:spacing w:line="240" w:lineRule="atLeast"/>
              <w:rPr>
                <w:rFonts w:hint="eastAsia" w:ascii="宋体" w:hAnsi="宋体" w:eastAsia="宋体" w:cs="宋体"/>
                <w:szCs w:val="24"/>
              </w:rPr>
            </w:pPr>
            <w:r>
              <w:rPr>
                <w:rFonts w:hint="eastAsia" w:ascii="宋体" w:hAnsi="宋体" w:eastAsia="宋体" w:cs="宋体"/>
                <w:sz w:val="24"/>
                <w:szCs w:val="24"/>
              </w:rPr>
              <w:t>供应商拟投入本项目服务团队人员中，具有食品或化学或化工或生物或医学或水产或农业或畜牧或环境相关专业学历，且具有高级及以上职称5人(含5人)以上的得5分, 4（含）～3人（含）得3分，1（含）～3人（含）得2分，未提供不得分。</w:t>
            </w:r>
          </w:p>
        </w:tc>
        <w:tc>
          <w:tcPr>
            <w:tcW w:w="2190" w:type="dxa"/>
            <w:noWrap/>
            <w:vAlign w:val="center"/>
          </w:tcPr>
          <w:p w14:paraId="721E7DD2">
            <w:pPr>
              <w:jc w:val="left"/>
              <w:rPr>
                <w:rFonts w:hint="eastAsia" w:ascii="宋体" w:hAnsi="宋体" w:eastAsia="宋体" w:cs="宋体"/>
                <w:sz w:val="24"/>
                <w:szCs w:val="24"/>
              </w:rPr>
            </w:pPr>
            <w:r>
              <w:rPr>
                <w:rFonts w:hint="eastAsia" w:ascii="宋体" w:hAnsi="宋体" w:eastAsia="宋体" w:cs="宋体"/>
                <w:sz w:val="24"/>
                <w:szCs w:val="24"/>
              </w:rPr>
              <w:t>1.提供</w:t>
            </w:r>
            <w:r>
              <w:rPr>
                <w:rFonts w:hint="eastAsia" w:ascii="宋体" w:hAnsi="宋体" w:eastAsia="宋体" w:cs="宋体"/>
                <w:sz w:val="24"/>
                <w:szCs w:val="24"/>
                <w:lang w:eastAsia="zh-CN"/>
              </w:rPr>
              <w:t>2025</w:t>
            </w:r>
            <w:r>
              <w:rPr>
                <w:rFonts w:hint="eastAsia" w:ascii="宋体" w:hAnsi="宋体" w:eastAsia="宋体" w:cs="宋体"/>
                <w:sz w:val="24"/>
                <w:szCs w:val="24"/>
              </w:rPr>
              <w:t>年任意一个月供应商为其缴纳社保的发票复印件和明细清单（或专用收据）复印件或提供社保部门盖章的缴纳社保的证明文件复印件，单位退休返聘人员无社保的，提供退休证和返聘材料。</w:t>
            </w:r>
          </w:p>
          <w:p w14:paraId="04995E15">
            <w:pPr>
              <w:jc w:val="left"/>
              <w:rPr>
                <w:rFonts w:hint="eastAsia" w:ascii="宋体" w:hAnsi="宋体" w:eastAsia="宋体" w:cs="宋体"/>
                <w:sz w:val="24"/>
                <w:szCs w:val="24"/>
              </w:rPr>
            </w:pPr>
            <w:r>
              <w:rPr>
                <w:rFonts w:hint="eastAsia" w:ascii="宋体" w:hAnsi="宋体" w:eastAsia="宋体" w:cs="宋体"/>
                <w:sz w:val="24"/>
                <w:szCs w:val="24"/>
              </w:rPr>
              <w:t>2.提供职称证书复印件，毕业证或学位证复印件并加盖供应商公章。</w:t>
            </w:r>
          </w:p>
        </w:tc>
      </w:tr>
      <w:tr w14:paraId="7F7B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05" w:type="dxa"/>
            <w:vMerge w:val="restart"/>
            <w:noWrap/>
            <w:vAlign w:val="center"/>
          </w:tcPr>
          <w:p w14:paraId="075B9C1E">
            <w:pPr>
              <w:widowControl/>
              <w:jc w:val="center"/>
              <w:rPr>
                <w:rFonts w:hint="eastAsia" w:ascii="宋体" w:hAnsi="宋体" w:eastAsia="宋体" w:cs="宋体"/>
                <w:sz w:val="24"/>
                <w:szCs w:val="24"/>
              </w:rPr>
            </w:pPr>
            <w:r>
              <w:rPr>
                <w:rFonts w:hint="eastAsia" w:ascii="宋体" w:hAnsi="宋体" w:eastAsia="宋体" w:cs="宋体"/>
                <w:sz w:val="24"/>
                <w:szCs w:val="24"/>
              </w:rPr>
              <w:t>3</w:t>
            </w:r>
          </w:p>
        </w:tc>
        <w:tc>
          <w:tcPr>
            <w:tcW w:w="1365" w:type="dxa"/>
            <w:vMerge w:val="restart"/>
            <w:noWrap/>
            <w:vAlign w:val="center"/>
          </w:tcPr>
          <w:p w14:paraId="17A88227">
            <w:pPr>
              <w:ind w:firstLine="28"/>
              <w:jc w:val="center"/>
              <w:rPr>
                <w:rFonts w:hint="eastAsia" w:ascii="宋体" w:hAnsi="宋体" w:eastAsia="宋体" w:cs="宋体"/>
                <w:sz w:val="24"/>
                <w:szCs w:val="24"/>
              </w:rPr>
            </w:pPr>
            <w:r>
              <w:rPr>
                <w:rFonts w:hint="eastAsia" w:ascii="宋体" w:hAnsi="宋体" w:eastAsia="宋体" w:cs="宋体"/>
                <w:sz w:val="24"/>
                <w:szCs w:val="24"/>
              </w:rPr>
              <w:t>商务部分</w:t>
            </w:r>
          </w:p>
          <w:p w14:paraId="4B770DE7">
            <w:pPr>
              <w:widowControl/>
              <w:jc w:val="center"/>
              <w:rPr>
                <w:rFonts w:hint="eastAsia" w:ascii="宋体" w:hAnsi="宋体" w:eastAsia="宋体" w:cs="宋体"/>
                <w:sz w:val="24"/>
                <w:szCs w:val="24"/>
              </w:rPr>
            </w:pPr>
            <w:r>
              <w:rPr>
                <w:rFonts w:hint="eastAsia" w:ascii="宋体" w:hAnsi="宋体" w:eastAsia="宋体" w:cs="宋体"/>
                <w:sz w:val="24"/>
                <w:szCs w:val="24"/>
              </w:rPr>
              <w:t>（49%）</w:t>
            </w:r>
          </w:p>
        </w:tc>
        <w:tc>
          <w:tcPr>
            <w:tcW w:w="840" w:type="dxa"/>
            <w:noWrap/>
            <w:vAlign w:val="center"/>
          </w:tcPr>
          <w:p w14:paraId="5324CB74">
            <w:pPr>
              <w:widowControl/>
              <w:jc w:val="center"/>
              <w:rPr>
                <w:rFonts w:hint="eastAsia" w:ascii="宋体" w:hAnsi="宋体" w:eastAsia="宋体" w:cs="宋体"/>
                <w:sz w:val="24"/>
                <w:szCs w:val="24"/>
              </w:rPr>
            </w:pPr>
            <w:r>
              <w:rPr>
                <w:rFonts w:hint="eastAsia" w:ascii="宋体" w:hAnsi="宋体" w:eastAsia="宋体" w:cs="宋体"/>
                <w:sz w:val="24"/>
                <w:szCs w:val="24"/>
              </w:rPr>
              <w:t>21分</w:t>
            </w:r>
          </w:p>
        </w:tc>
        <w:tc>
          <w:tcPr>
            <w:tcW w:w="4380" w:type="dxa"/>
            <w:noWrap/>
            <w:vAlign w:val="center"/>
          </w:tcPr>
          <w:p w14:paraId="53F0252B">
            <w:pPr>
              <w:spacing w:line="240" w:lineRule="atLeast"/>
              <w:rPr>
                <w:rFonts w:hint="eastAsia" w:ascii="宋体" w:hAnsi="宋体" w:eastAsia="宋体" w:cs="宋体"/>
                <w:sz w:val="24"/>
                <w:szCs w:val="24"/>
              </w:rPr>
            </w:pPr>
            <w:r>
              <w:rPr>
                <w:rFonts w:hint="eastAsia" w:ascii="宋体" w:hAnsi="宋体" w:eastAsia="宋体" w:cs="宋体"/>
                <w:sz w:val="24"/>
                <w:szCs w:val="24"/>
              </w:rPr>
              <w:t>1.供应商具有中国合格评定国家认可委员会实验室认可证书（CNAS）的得3分，未提供不得分。</w:t>
            </w:r>
          </w:p>
          <w:p w14:paraId="4847F300">
            <w:pPr>
              <w:spacing w:line="240" w:lineRule="atLeast"/>
              <w:rPr>
                <w:rFonts w:hint="eastAsia" w:ascii="宋体" w:hAnsi="宋体" w:eastAsia="宋体" w:cs="宋体"/>
                <w:sz w:val="24"/>
                <w:szCs w:val="24"/>
              </w:rPr>
            </w:pPr>
          </w:p>
          <w:p w14:paraId="57337205">
            <w:pPr>
              <w:spacing w:line="240" w:lineRule="atLeast"/>
              <w:rPr>
                <w:rFonts w:hint="eastAsia" w:ascii="宋体" w:hAnsi="宋体" w:eastAsia="宋体" w:cs="宋体"/>
                <w:sz w:val="24"/>
                <w:szCs w:val="24"/>
              </w:rPr>
            </w:pPr>
            <w:r>
              <w:rPr>
                <w:rFonts w:hint="eastAsia" w:ascii="宋体" w:hAnsi="宋体" w:eastAsia="宋体" w:cs="宋体"/>
                <w:sz w:val="24"/>
                <w:szCs w:val="24"/>
              </w:rPr>
              <w:t>2.供应商具有农产品质量安全检测机构考核合格证书（CATL）的得</w:t>
            </w:r>
            <w:r>
              <w:rPr>
                <w:rFonts w:hint="eastAsia" w:ascii="宋体" w:hAnsi="宋体" w:eastAsia="宋体" w:cs="宋体"/>
                <w:sz w:val="24"/>
                <w:szCs w:val="24"/>
                <w:highlight w:val="none"/>
              </w:rPr>
              <w:t>2</w:t>
            </w:r>
            <w:r>
              <w:rPr>
                <w:rFonts w:hint="eastAsia" w:ascii="宋体" w:hAnsi="宋体" w:eastAsia="宋体" w:cs="宋体"/>
                <w:sz w:val="24"/>
                <w:szCs w:val="24"/>
              </w:rPr>
              <w:t>分，未提供不得分。</w:t>
            </w:r>
          </w:p>
          <w:p w14:paraId="2DEB547D">
            <w:pPr>
              <w:spacing w:line="240" w:lineRule="atLeast"/>
              <w:rPr>
                <w:rFonts w:hint="eastAsia" w:ascii="宋体" w:hAnsi="宋体" w:eastAsia="宋体" w:cs="宋体"/>
                <w:sz w:val="24"/>
                <w:szCs w:val="24"/>
              </w:rPr>
            </w:pPr>
          </w:p>
          <w:p w14:paraId="70F32FB2">
            <w:pPr>
              <w:spacing w:line="240" w:lineRule="atLeast"/>
              <w:rPr>
                <w:rFonts w:hint="eastAsia" w:ascii="宋体" w:hAnsi="宋体" w:eastAsia="宋体" w:cs="宋体"/>
                <w:sz w:val="24"/>
                <w:szCs w:val="24"/>
              </w:rPr>
            </w:pPr>
            <w:r>
              <w:rPr>
                <w:rFonts w:hint="eastAsia" w:ascii="宋体" w:hAnsi="宋体" w:eastAsia="宋体" w:cs="宋体"/>
                <w:sz w:val="24"/>
                <w:szCs w:val="24"/>
              </w:rPr>
              <w:t>3.供应商具有工程技术中心的得</w:t>
            </w:r>
            <w:r>
              <w:rPr>
                <w:rFonts w:hint="eastAsia" w:ascii="宋体" w:hAnsi="宋体" w:eastAsia="宋体" w:cs="宋体"/>
                <w:sz w:val="24"/>
                <w:szCs w:val="24"/>
                <w:highlight w:val="none"/>
              </w:rPr>
              <w:t>2</w:t>
            </w:r>
            <w:r>
              <w:rPr>
                <w:rFonts w:hint="eastAsia" w:ascii="宋体" w:hAnsi="宋体" w:eastAsia="宋体" w:cs="宋体"/>
                <w:sz w:val="24"/>
                <w:szCs w:val="24"/>
              </w:rPr>
              <w:t>分，未提供不得分。</w:t>
            </w:r>
          </w:p>
          <w:p w14:paraId="076F6299">
            <w:pPr>
              <w:spacing w:line="240" w:lineRule="atLeast"/>
              <w:rPr>
                <w:rFonts w:hint="eastAsia" w:ascii="宋体" w:hAnsi="宋体" w:eastAsia="宋体" w:cs="宋体"/>
                <w:sz w:val="24"/>
                <w:szCs w:val="24"/>
              </w:rPr>
            </w:pPr>
          </w:p>
          <w:p w14:paraId="02A4D49C">
            <w:pPr>
              <w:spacing w:line="240" w:lineRule="atLeast"/>
              <w:rPr>
                <w:rFonts w:hint="eastAsia" w:ascii="宋体" w:hAnsi="宋体" w:eastAsia="宋体" w:cs="宋体"/>
                <w:sz w:val="24"/>
                <w:szCs w:val="24"/>
              </w:rPr>
            </w:pPr>
            <w:r>
              <w:rPr>
                <w:rFonts w:hint="eastAsia" w:ascii="宋体" w:hAnsi="宋体" w:eastAsia="宋体" w:cs="宋体"/>
                <w:sz w:val="24"/>
                <w:szCs w:val="24"/>
              </w:rPr>
              <w:t>4.供应商具有国家级食品及相关产品检验中心的得</w:t>
            </w:r>
            <w:r>
              <w:rPr>
                <w:rFonts w:hint="eastAsia" w:ascii="宋体" w:hAnsi="宋体" w:eastAsia="宋体" w:cs="宋体"/>
                <w:sz w:val="24"/>
                <w:szCs w:val="24"/>
                <w:highlight w:val="none"/>
              </w:rPr>
              <w:t>3</w:t>
            </w:r>
            <w:r>
              <w:rPr>
                <w:rFonts w:hint="eastAsia" w:ascii="宋体" w:hAnsi="宋体" w:eastAsia="宋体" w:cs="宋体"/>
                <w:sz w:val="24"/>
                <w:szCs w:val="24"/>
              </w:rPr>
              <w:t>分，未提供不得分。</w:t>
            </w:r>
          </w:p>
          <w:p w14:paraId="4C952A82">
            <w:pPr>
              <w:spacing w:line="240" w:lineRule="atLeast"/>
              <w:rPr>
                <w:rFonts w:hint="eastAsia" w:ascii="宋体" w:hAnsi="宋体" w:eastAsia="宋体" w:cs="宋体"/>
                <w:sz w:val="24"/>
                <w:szCs w:val="24"/>
              </w:rPr>
            </w:pPr>
          </w:p>
          <w:p w14:paraId="119A1655">
            <w:pPr>
              <w:spacing w:line="240" w:lineRule="atLeast"/>
              <w:rPr>
                <w:rFonts w:hint="eastAsia" w:ascii="宋体" w:hAnsi="宋体" w:eastAsia="宋体" w:cs="宋体"/>
                <w:sz w:val="24"/>
                <w:szCs w:val="24"/>
              </w:rPr>
            </w:pPr>
            <w:r>
              <w:rPr>
                <w:rFonts w:hint="eastAsia" w:ascii="宋体" w:hAnsi="宋体" w:eastAsia="宋体" w:cs="宋体"/>
                <w:sz w:val="24"/>
                <w:szCs w:val="24"/>
              </w:rPr>
              <w:t>5.供应商同时具备ISO9001质量管理体系认证、ISO14001环境管理体系认证、OHSAS18001或ISO45001职业健康安全管理体系认证的得3分，每少一项扣1分，未提供不得分。</w:t>
            </w:r>
          </w:p>
          <w:p w14:paraId="4DBD598C">
            <w:pPr>
              <w:spacing w:line="240" w:lineRule="atLeast"/>
              <w:rPr>
                <w:rFonts w:hint="eastAsia" w:ascii="宋体" w:hAnsi="宋体" w:eastAsia="宋体" w:cs="宋体"/>
                <w:sz w:val="24"/>
                <w:szCs w:val="24"/>
              </w:rPr>
            </w:pPr>
          </w:p>
          <w:p w14:paraId="59D4FEB1">
            <w:pPr>
              <w:numPr>
                <w:ilvl w:val="0"/>
                <w:numId w:val="0"/>
              </w:numPr>
              <w:spacing w:line="240" w:lineRule="atLeast"/>
              <w:rPr>
                <w:rFonts w:hint="eastAsia" w:ascii="宋体" w:hAnsi="宋体" w:eastAsia="宋体" w:cs="宋体"/>
              </w:rPr>
            </w:pPr>
            <w:r>
              <w:rPr>
                <w:rFonts w:hint="eastAsia" w:ascii="宋体" w:hAnsi="宋体" w:eastAsia="宋体" w:cs="宋体"/>
                <w:sz w:val="24"/>
                <w:szCs w:val="24"/>
                <w:lang w:val="en-US" w:eastAsia="zh-CN"/>
              </w:rPr>
              <w:t>6.</w:t>
            </w:r>
            <w:r>
              <w:rPr>
                <w:rFonts w:hint="eastAsia" w:ascii="宋体" w:hAnsi="宋体" w:eastAsia="宋体" w:cs="宋体"/>
                <w:sz w:val="24"/>
                <w:szCs w:val="24"/>
              </w:rPr>
              <w:t>供应商为通过国家市场监督管理局审核取得“特殊食品验证评价技术机构”备案的检测机构的得</w:t>
            </w:r>
            <w:r>
              <w:rPr>
                <w:rFonts w:hint="eastAsia" w:ascii="宋体" w:hAnsi="宋体" w:eastAsia="宋体" w:cs="宋体"/>
                <w:sz w:val="24"/>
                <w:szCs w:val="24"/>
                <w:highlight w:val="none"/>
              </w:rPr>
              <w:t>3</w:t>
            </w:r>
            <w:r>
              <w:rPr>
                <w:rFonts w:hint="eastAsia" w:ascii="宋体" w:hAnsi="宋体" w:eastAsia="宋体" w:cs="宋体"/>
                <w:sz w:val="24"/>
                <w:szCs w:val="24"/>
              </w:rPr>
              <w:t>分，未提供不得分。</w:t>
            </w:r>
          </w:p>
          <w:p w14:paraId="4ABB828F">
            <w:pPr>
              <w:spacing w:line="240" w:lineRule="atLeast"/>
              <w:rPr>
                <w:rFonts w:hint="eastAsia" w:ascii="宋体" w:hAnsi="宋体" w:eastAsia="宋体" w:cs="宋体"/>
                <w:sz w:val="24"/>
                <w:szCs w:val="24"/>
                <w:highlight w:val="cyan"/>
              </w:rPr>
            </w:pPr>
          </w:p>
          <w:p w14:paraId="5B4FB4D0">
            <w:pPr>
              <w:spacing w:line="240" w:lineRule="atLeast"/>
              <w:rPr>
                <w:rFonts w:hint="eastAsia" w:ascii="宋体" w:hAnsi="宋体" w:eastAsia="宋体" w:cs="宋体"/>
                <w:sz w:val="24"/>
                <w:szCs w:val="24"/>
              </w:rPr>
            </w:pPr>
            <w:r>
              <w:rPr>
                <w:rFonts w:hint="eastAsia" w:ascii="宋体" w:hAnsi="宋体" w:eastAsia="宋体" w:cs="宋体"/>
                <w:sz w:val="24"/>
                <w:szCs w:val="24"/>
              </w:rPr>
              <w:t>7.供应商具有食品复检机构资质的得2分，未提供不得分。</w:t>
            </w:r>
          </w:p>
          <w:p w14:paraId="5FA16417">
            <w:pPr>
              <w:spacing w:line="240" w:lineRule="atLeast"/>
              <w:rPr>
                <w:rFonts w:hint="eastAsia" w:ascii="宋体" w:hAnsi="宋体" w:eastAsia="宋体" w:cs="宋体"/>
                <w:sz w:val="24"/>
                <w:szCs w:val="24"/>
                <w:highlight w:val="yellow"/>
              </w:rPr>
            </w:pPr>
          </w:p>
          <w:p w14:paraId="55B845BB">
            <w:pPr>
              <w:spacing w:line="240" w:lineRule="atLeast"/>
              <w:rPr>
                <w:rFonts w:hint="eastAsia" w:ascii="宋体" w:hAnsi="宋体" w:eastAsia="宋体" w:cs="宋体"/>
              </w:rPr>
            </w:pPr>
            <w:r>
              <w:rPr>
                <w:rFonts w:hint="eastAsia" w:ascii="宋体" w:hAnsi="宋体" w:eastAsia="宋体" w:cs="宋体"/>
                <w:sz w:val="24"/>
                <w:szCs w:val="24"/>
              </w:rPr>
              <w:t>8.供应商具有食品类国家级重点实验室资质的得3分，未提供不得分。</w:t>
            </w:r>
          </w:p>
        </w:tc>
        <w:tc>
          <w:tcPr>
            <w:tcW w:w="2190" w:type="dxa"/>
            <w:noWrap/>
            <w:vAlign w:val="center"/>
          </w:tcPr>
          <w:p w14:paraId="021F96FC">
            <w:pPr>
              <w:snapToGrid w:val="0"/>
              <w:rPr>
                <w:rFonts w:hint="eastAsia" w:ascii="宋体" w:hAnsi="宋体" w:eastAsia="宋体" w:cs="宋体"/>
                <w:sz w:val="24"/>
                <w:szCs w:val="24"/>
              </w:rPr>
            </w:pPr>
            <w:r>
              <w:rPr>
                <w:rFonts w:hint="eastAsia" w:ascii="宋体" w:hAnsi="宋体" w:eastAsia="宋体" w:cs="宋体"/>
                <w:sz w:val="24"/>
                <w:szCs w:val="24"/>
              </w:rPr>
              <w:t>提供证书（或证明材料）复印件</w:t>
            </w:r>
            <w:r>
              <w:rPr>
                <w:rFonts w:hint="eastAsia" w:ascii="宋体" w:hAnsi="宋体" w:eastAsia="宋体" w:cs="宋体"/>
                <w:sz w:val="24"/>
                <w:szCs w:val="24"/>
                <w:lang w:eastAsia="zh-CN"/>
              </w:rPr>
              <w:t>，</w:t>
            </w:r>
            <w:r>
              <w:rPr>
                <w:rFonts w:hint="eastAsia" w:ascii="宋体" w:hAnsi="宋体" w:eastAsia="宋体" w:cs="宋体"/>
                <w:sz w:val="24"/>
                <w:szCs w:val="24"/>
              </w:rPr>
              <w:t>并加盖供应商公章。</w:t>
            </w:r>
          </w:p>
        </w:tc>
      </w:tr>
      <w:tr w14:paraId="466F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8" w:hRule="atLeast"/>
        </w:trPr>
        <w:tc>
          <w:tcPr>
            <w:tcW w:w="705" w:type="dxa"/>
            <w:vMerge w:val="continue"/>
            <w:noWrap/>
            <w:vAlign w:val="center"/>
          </w:tcPr>
          <w:p w14:paraId="22DB4BB5">
            <w:pPr>
              <w:widowControl/>
              <w:jc w:val="left"/>
              <w:rPr>
                <w:rFonts w:hint="eastAsia" w:ascii="宋体" w:hAnsi="宋体" w:eastAsia="宋体" w:cs="宋体"/>
                <w:sz w:val="24"/>
                <w:szCs w:val="24"/>
              </w:rPr>
            </w:pPr>
          </w:p>
        </w:tc>
        <w:tc>
          <w:tcPr>
            <w:tcW w:w="1365" w:type="dxa"/>
            <w:vMerge w:val="continue"/>
            <w:noWrap/>
            <w:vAlign w:val="center"/>
          </w:tcPr>
          <w:p w14:paraId="17BC58D3">
            <w:pPr>
              <w:widowControl/>
              <w:jc w:val="left"/>
              <w:rPr>
                <w:rFonts w:hint="eastAsia" w:ascii="宋体" w:hAnsi="宋体" w:eastAsia="宋体" w:cs="宋体"/>
                <w:sz w:val="24"/>
                <w:szCs w:val="24"/>
              </w:rPr>
            </w:pPr>
          </w:p>
        </w:tc>
        <w:tc>
          <w:tcPr>
            <w:tcW w:w="840" w:type="dxa"/>
            <w:noWrap/>
            <w:vAlign w:val="center"/>
          </w:tcPr>
          <w:p w14:paraId="7F2EB02C">
            <w:pPr>
              <w:widowControl/>
              <w:jc w:val="center"/>
              <w:rPr>
                <w:rFonts w:hint="eastAsia" w:ascii="宋体" w:hAnsi="宋体" w:eastAsia="宋体" w:cs="宋体"/>
                <w:sz w:val="24"/>
                <w:szCs w:val="24"/>
              </w:rPr>
            </w:pPr>
            <w:r>
              <w:rPr>
                <w:rFonts w:hint="eastAsia" w:ascii="宋体" w:hAnsi="宋体" w:eastAsia="宋体" w:cs="宋体"/>
                <w:sz w:val="24"/>
                <w:szCs w:val="24"/>
              </w:rPr>
              <w:t>9分</w:t>
            </w:r>
          </w:p>
        </w:tc>
        <w:tc>
          <w:tcPr>
            <w:tcW w:w="4380" w:type="dxa"/>
            <w:noWrap/>
            <w:vAlign w:val="center"/>
          </w:tcPr>
          <w:p w14:paraId="6D5428F6">
            <w:pPr>
              <w:spacing w:line="240" w:lineRule="atLeas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Hans"/>
              </w:rPr>
              <w:t>.</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供应商参加过省级市场监督管理部门（含原质量技术监督局、原食品药品监督管理局）或省级农业农村部门（含原农业厅）及国家认可的能力验证提供者组织的食品、农产品检验检测领域能力验证（含盲样考核、实验室间比对）取得满意（含通过）结果的每一个检验参数得0.1分，最高得3分，未提供不得分。</w:t>
            </w:r>
          </w:p>
          <w:p w14:paraId="41EE7F41">
            <w:pPr>
              <w:spacing w:line="240" w:lineRule="atLeast"/>
              <w:rPr>
                <w:rFonts w:hint="eastAsia" w:ascii="宋体" w:hAnsi="宋体" w:eastAsia="宋体" w:cs="宋体"/>
                <w:sz w:val="24"/>
                <w:szCs w:val="24"/>
              </w:rPr>
            </w:pPr>
          </w:p>
          <w:p w14:paraId="41A5D823">
            <w:pPr>
              <w:spacing w:line="240" w:lineRule="atLeast"/>
              <w:rPr>
                <w:rFonts w:hint="eastAsia" w:ascii="宋体" w:hAnsi="宋体" w:eastAsia="宋体" w:cs="宋体"/>
                <w:sz w:val="24"/>
                <w:szCs w:val="24"/>
                <w:highlight w:val="yellow"/>
              </w:rPr>
            </w:pPr>
            <w:r>
              <w:rPr>
                <w:rFonts w:hint="eastAsia" w:ascii="宋体" w:hAnsi="宋体" w:eastAsia="宋体" w:cs="宋体"/>
                <w:sz w:val="24"/>
                <w:szCs w:val="24"/>
              </w:rPr>
              <w:t>2</w:t>
            </w:r>
            <w:r>
              <w:rPr>
                <w:rFonts w:hint="eastAsia" w:ascii="宋体" w:hAnsi="宋体" w:eastAsia="宋体" w:cs="宋体"/>
                <w:sz w:val="24"/>
                <w:szCs w:val="24"/>
                <w:lang w:eastAsia="zh-Hans"/>
              </w:rPr>
              <w:t>.</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w:t>
            </w:r>
            <w:r>
              <w:rPr>
                <w:rFonts w:hint="eastAsia" w:ascii="宋体" w:hAnsi="宋体" w:eastAsia="宋体" w:cs="宋体"/>
                <w:sz w:val="24"/>
                <w:szCs w:val="24"/>
                <w:lang w:eastAsia="zh-Hans"/>
              </w:rPr>
              <w:t>供应商</w:t>
            </w:r>
            <w:r>
              <w:rPr>
                <w:rFonts w:hint="eastAsia" w:ascii="宋体" w:hAnsi="宋体" w:eastAsia="宋体" w:cs="宋体"/>
                <w:sz w:val="24"/>
                <w:szCs w:val="24"/>
              </w:rPr>
              <w:t>连续3年参加</w:t>
            </w:r>
            <w:r>
              <w:rPr>
                <w:rFonts w:hint="eastAsia" w:ascii="宋体" w:hAnsi="宋体" w:eastAsia="宋体" w:cs="宋体"/>
                <w:sz w:val="24"/>
                <w:szCs w:val="24"/>
                <w:lang w:eastAsia="zh-Hans"/>
              </w:rPr>
              <w:t>国</w:t>
            </w:r>
            <w:r>
              <w:rPr>
                <w:rFonts w:hint="eastAsia" w:ascii="宋体" w:hAnsi="宋体" w:eastAsia="宋体" w:cs="宋体"/>
                <w:sz w:val="24"/>
                <w:szCs w:val="24"/>
                <w:highlight w:val="none"/>
                <w:lang w:eastAsia="zh-Hans"/>
              </w:rPr>
              <w:t>家级</w:t>
            </w:r>
            <w:r>
              <w:rPr>
                <w:rFonts w:hint="eastAsia" w:ascii="宋体" w:hAnsi="宋体" w:eastAsia="宋体" w:cs="宋体"/>
                <w:sz w:val="24"/>
                <w:szCs w:val="24"/>
                <w:highlight w:val="none"/>
              </w:rPr>
              <w:t>能力验证考核并获得满意结果的得3分，</w:t>
            </w:r>
            <w:r>
              <w:rPr>
                <w:rFonts w:hint="eastAsia" w:ascii="宋体" w:hAnsi="宋体" w:eastAsia="宋体" w:cs="宋体"/>
                <w:sz w:val="24"/>
                <w:szCs w:val="24"/>
                <w:highlight w:val="none"/>
                <w:lang w:eastAsia="zh-Hans"/>
              </w:rPr>
              <w:t>少1次扣1分</w:t>
            </w:r>
            <w:r>
              <w:rPr>
                <w:rFonts w:hint="eastAsia" w:ascii="宋体" w:hAnsi="宋体" w:eastAsia="宋体" w:cs="宋体"/>
                <w:sz w:val="24"/>
                <w:szCs w:val="24"/>
                <w:highlight w:val="none"/>
              </w:rPr>
              <w:t>，扣完为止。</w:t>
            </w:r>
          </w:p>
          <w:p w14:paraId="55AD59B3">
            <w:pPr>
              <w:spacing w:line="240" w:lineRule="atLeast"/>
              <w:rPr>
                <w:rFonts w:hint="eastAsia" w:ascii="宋体" w:hAnsi="宋体" w:eastAsia="宋体" w:cs="宋体"/>
                <w:sz w:val="24"/>
                <w:szCs w:val="24"/>
              </w:rPr>
            </w:pPr>
          </w:p>
          <w:p w14:paraId="7BCD1D04">
            <w:pPr>
              <w:spacing w:line="240" w:lineRule="atLeast"/>
              <w:rPr>
                <w:rFonts w:hint="eastAsia" w:ascii="宋体" w:hAnsi="宋体" w:eastAsia="宋体" w:cs="宋体"/>
                <w:szCs w:val="24"/>
              </w:rPr>
            </w:pPr>
            <w:r>
              <w:rPr>
                <w:rFonts w:hint="eastAsia" w:ascii="宋体" w:hAnsi="宋体" w:eastAsia="宋体" w:cs="宋体"/>
                <w:sz w:val="24"/>
                <w:szCs w:val="24"/>
              </w:rPr>
              <w:t>3</w:t>
            </w:r>
            <w:r>
              <w:rPr>
                <w:rFonts w:hint="eastAsia" w:ascii="宋体" w:hAnsi="宋体" w:eastAsia="宋体" w:cs="宋体"/>
                <w:sz w:val="24"/>
                <w:szCs w:val="24"/>
                <w:lang w:eastAsia="zh-Hans"/>
              </w:rPr>
              <w:t>.</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w:t>
            </w:r>
            <w:r>
              <w:rPr>
                <w:rFonts w:hint="eastAsia" w:ascii="宋体" w:hAnsi="宋体" w:eastAsia="宋体" w:cs="宋体"/>
                <w:sz w:val="24"/>
                <w:szCs w:val="24"/>
                <w:lang w:eastAsia="zh-Hans"/>
              </w:rPr>
              <w:t>供应商</w:t>
            </w:r>
            <w:r>
              <w:rPr>
                <w:rFonts w:hint="eastAsia" w:ascii="宋体" w:hAnsi="宋体" w:eastAsia="宋体" w:cs="宋体"/>
                <w:sz w:val="24"/>
                <w:szCs w:val="24"/>
              </w:rPr>
              <w:t>参加3</w:t>
            </w:r>
            <w:r>
              <w:rPr>
                <w:rFonts w:hint="eastAsia" w:ascii="宋体" w:hAnsi="宋体" w:eastAsia="宋体" w:cs="宋体"/>
                <w:sz w:val="24"/>
                <w:szCs w:val="24"/>
                <w:lang w:eastAsia="zh-Hans"/>
              </w:rPr>
              <w:t>次及以上</w:t>
            </w:r>
            <w:r>
              <w:rPr>
                <w:rFonts w:hint="eastAsia" w:ascii="宋体" w:hAnsi="宋体" w:eastAsia="宋体" w:cs="宋体"/>
                <w:sz w:val="24"/>
                <w:szCs w:val="24"/>
              </w:rPr>
              <w:t>国际能力验证考核并获得满意结果的得3分，</w:t>
            </w:r>
            <w:r>
              <w:rPr>
                <w:rFonts w:hint="eastAsia" w:ascii="宋体" w:hAnsi="宋体" w:eastAsia="宋体" w:cs="宋体"/>
                <w:sz w:val="24"/>
                <w:szCs w:val="24"/>
                <w:lang w:eastAsia="zh-Hans"/>
              </w:rPr>
              <w:t>少1次扣1分</w:t>
            </w:r>
            <w:r>
              <w:rPr>
                <w:rFonts w:hint="eastAsia" w:ascii="宋体" w:hAnsi="宋体" w:eastAsia="宋体" w:cs="宋体"/>
                <w:sz w:val="24"/>
                <w:szCs w:val="24"/>
              </w:rPr>
              <w:t>，扣完为止。</w:t>
            </w:r>
          </w:p>
        </w:tc>
        <w:tc>
          <w:tcPr>
            <w:tcW w:w="2190" w:type="dxa"/>
            <w:noWrap/>
            <w:vAlign w:val="center"/>
          </w:tcPr>
          <w:p w14:paraId="1AAABBEA">
            <w:pPr>
              <w:snapToGrid w:val="0"/>
              <w:rPr>
                <w:rFonts w:hint="eastAsia" w:ascii="宋体" w:hAnsi="宋体" w:eastAsia="宋体" w:cs="宋体"/>
                <w:sz w:val="24"/>
                <w:szCs w:val="24"/>
              </w:rPr>
            </w:pPr>
            <w:r>
              <w:rPr>
                <w:rFonts w:hint="eastAsia" w:ascii="宋体" w:hAnsi="宋体" w:eastAsia="宋体" w:cs="宋体"/>
                <w:sz w:val="24"/>
                <w:szCs w:val="24"/>
              </w:rPr>
              <w:t>提供相关验证结果通报文件或证书（名称与供应商名称一致）复印件</w:t>
            </w:r>
            <w:r>
              <w:rPr>
                <w:rFonts w:hint="eastAsia" w:ascii="宋体" w:hAnsi="宋体" w:eastAsia="宋体" w:cs="宋体"/>
                <w:sz w:val="24"/>
                <w:szCs w:val="24"/>
                <w:lang w:eastAsia="zh-CN"/>
              </w:rPr>
              <w:t>，</w:t>
            </w:r>
            <w:r>
              <w:rPr>
                <w:rFonts w:hint="eastAsia" w:ascii="宋体" w:hAnsi="宋体" w:eastAsia="宋体" w:cs="宋体"/>
                <w:sz w:val="24"/>
                <w:szCs w:val="24"/>
              </w:rPr>
              <w:t>并加盖供应商公章。</w:t>
            </w:r>
          </w:p>
          <w:p w14:paraId="1517FD9B">
            <w:pPr>
              <w:widowControl/>
              <w:jc w:val="left"/>
              <w:rPr>
                <w:rFonts w:hint="eastAsia" w:ascii="宋体" w:hAnsi="宋体" w:eastAsia="宋体" w:cs="宋体"/>
                <w:sz w:val="24"/>
                <w:szCs w:val="24"/>
              </w:rPr>
            </w:pPr>
          </w:p>
        </w:tc>
      </w:tr>
      <w:tr w14:paraId="5BEF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705" w:type="dxa"/>
            <w:vMerge w:val="continue"/>
            <w:noWrap/>
            <w:vAlign w:val="center"/>
          </w:tcPr>
          <w:p w14:paraId="7475893B">
            <w:pPr>
              <w:widowControl/>
              <w:jc w:val="left"/>
              <w:rPr>
                <w:rFonts w:hint="eastAsia" w:ascii="宋体" w:hAnsi="宋体" w:eastAsia="宋体" w:cs="宋体"/>
                <w:sz w:val="24"/>
                <w:szCs w:val="24"/>
              </w:rPr>
            </w:pPr>
          </w:p>
        </w:tc>
        <w:tc>
          <w:tcPr>
            <w:tcW w:w="1365" w:type="dxa"/>
            <w:vMerge w:val="continue"/>
            <w:noWrap/>
            <w:vAlign w:val="center"/>
          </w:tcPr>
          <w:p w14:paraId="45FE2692">
            <w:pPr>
              <w:widowControl/>
              <w:jc w:val="left"/>
              <w:rPr>
                <w:rFonts w:hint="eastAsia" w:ascii="宋体" w:hAnsi="宋体" w:eastAsia="宋体" w:cs="宋体"/>
                <w:sz w:val="24"/>
                <w:szCs w:val="24"/>
              </w:rPr>
            </w:pPr>
          </w:p>
        </w:tc>
        <w:tc>
          <w:tcPr>
            <w:tcW w:w="840" w:type="dxa"/>
            <w:noWrap/>
            <w:vAlign w:val="center"/>
          </w:tcPr>
          <w:p w14:paraId="79CB07A8">
            <w:pPr>
              <w:widowControl/>
              <w:jc w:val="center"/>
              <w:rPr>
                <w:rFonts w:hint="eastAsia" w:ascii="宋体" w:hAnsi="宋体" w:eastAsia="宋体" w:cs="宋体"/>
                <w:sz w:val="24"/>
                <w:szCs w:val="24"/>
              </w:rPr>
            </w:pPr>
            <w:r>
              <w:rPr>
                <w:rFonts w:hint="eastAsia" w:ascii="宋体" w:hAnsi="宋体" w:eastAsia="宋体" w:cs="宋体"/>
                <w:sz w:val="24"/>
                <w:szCs w:val="24"/>
              </w:rPr>
              <w:t>10分</w:t>
            </w:r>
          </w:p>
        </w:tc>
        <w:tc>
          <w:tcPr>
            <w:tcW w:w="4380" w:type="dxa"/>
            <w:noWrap/>
            <w:vAlign w:val="center"/>
          </w:tcPr>
          <w:p w14:paraId="3136237C">
            <w:pPr>
              <w:spacing w:line="240" w:lineRule="atLeast"/>
              <w:rPr>
                <w:rFonts w:hint="eastAsia"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年1月1日以来，供应商承担市场监督管理部门（或原食品药品监督管理局）部门下达的抽检检测任务的，承担一次任务得0.5分，最高可得5分，未提供不得分。</w:t>
            </w:r>
          </w:p>
          <w:p w14:paraId="5068C050">
            <w:pPr>
              <w:spacing w:line="240" w:lineRule="atLeast"/>
              <w:rPr>
                <w:rFonts w:hint="eastAsia" w:ascii="宋体" w:hAnsi="宋体" w:eastAsia="宋体" w:cs="宋体"/>
                <w:sz w:val="24"/>
                <w:szCs w:val="24"/>
              </w:rPr>
            </w:pPr>
          </w:p>
          <w:p w14:paraId="2E106CC3">
            <w:pPr>
              <w:spacing w:line="240" w:lineRule="atLeast"/>
              <w:rPr>
                <w:rFonts w:hint="eastAsia" w:ascii="宋体" w:hAnsi="宋体" w:eastAsia="宋体" w:cs="宋体"/>
                <w:szCs w:val="24"/>
              </w:rPr>
            </w:pPr>
            <w:r>
              <w:rPr>
                <w:rFonts w:hint="eastAsia" w:ascii="宋体" w:hAnsi="宋体" w:eastAsia="宋体" w:cs="宋体"/>
                <w:sz w:val="24"/>
                <w:szCs w:val="24"/>
              </w:rPr>
              <w:t>2.202</w:t>
            </w:r>
            <w:r>
              <w:rPr>
                <w:rFonts w:hint="eastAsia" w:ascii="宋体" w:hAnsi="宋体" w:eastAsia="宋体" w:cs="宋体"/>
                <w:sz w:val="24"/>
                <w:szCs w:val="24"/>
                <w:lang w:val="en-US" w:eastAsia="zh-CN"/>
              </w:rPr>
              <w:t>2</w:t>
            </w:r>
            <w:r>
              <w:rPr>
                <w:rFonts w:hint="eastAsia" w:ascii="宋体" w:hAnsi="宋体" w:eastAsia="宋体" w:cs="宋体"/>
                <w:sz w:val="24"/>
                <w:szCs w:val="24"/>
              </w:rPr>
              <w:t>年1月1日以来，供应商承担过市场监督管理部门（或原食品药品监督管理局）下达的食品抽检检测任务，累计40000批次及以上得5分，30000-39999批次得3分，20000批次-29999批次得2分，＜20000批次的得0分。</w:t>
            </w:r>
          </w:p>
        </w:tc>
        <w:tc>
          <w:tcPr>
            <w:tcW w:w="2190" w:type="dxa"/>
            <w:noWrap/>
            <w:vAlign w:val="center"/>
          </w:tcPr>
          <w:p w14:paraId="7AA854B8">
            <w:pPr>
              <w:widowControl/>
              <w:jc w:val="left"/>
              <w:rPr>
                <w:rFonts w:hint="eastAsia" w:ascii="宋体" w:hAnsi="宋体" w:eastAsia="宋体" w:cs="宋体"/>
                <w:sz w:val="24"/>
                <w:szCs w:val="24"/>
              </w:rPr>
            </w:pPr>
            <w:r>
              <w:rPr>
                <w:rFonts w:hint="eastAsia" w:ascii="宋体" w:hAnsi="宋体" w:eastAsia="宋体" w:cs="宋体"/>
                <w:sz w:val="24"/>
                <w:szCs w:val="24"/>
              </w:rPr>
              <w:t>提供相关委托检测合同复印件并加盖供应商公章，以证明所承担的任务次数和检测批次数（一份合同相当于承担一次任务）。</w:t>
            </w:r>
          </w:p>
        </w:tc>
      </w:tr>
      <w:tr w14:paraId="51CC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705" w:type="dxa"/>
            <w:vMerge w:val="continue"/>
            <w:noWrap/>
            <w:vAlign w:val="center"/>
          </w:tcPr>
          <w:p w14:paraId="044AF198">
            <w:pPr>
              <w:widowControl/>
              <w:jc w:val="left"/>
              <w:rPr>
                <w:rFonts w:hint="eastAsia" w:ascii="宋体" w:hAnsi="宋体" w:eastAsia="宋体" w:cs="宋体"/>
                <w:sz w:val="24"/>
                <w:szCs w:val="24"/>
              </w:rPr>
            </w:pPr>
          </w:p>
        </w:tc>
        <w:tc>
          <w:tcPr>
            <w:tcW w:w="1365" w:type="dxa"/>
            <w:vMerge w:val="continue"/>
            <w:noWrap/>
            <w:vAlign w:val="center"/>
          </w:tcPr>
          <w:p w14:paraId="25F51C38">
            <w:pPr>
              <w:widowControl/>
              <w:jc w:val="left"/>
              <w:rPr>
                <w:rFonts w:hint="eastAsia" w:ascii="宋体" w:hAnsi="宋体" w:eastAsia="宋体" w:cs="宋体"/>
                <w:sz w:val="24"/>
                <w:szCs w:val="24"/>
              </w:rPr>
            </w:pPr>
          </w:p>
        </w:tc>
        <w:tc>
          <w:tcPr>
            <w:tcW w:w="840" w:type="dxa"/>
            <w:noWrap/>
            <w:vAlign w:val="center"/>
          </w:tcPr>
          <w:p w14:paraId="1584502F">
            <w:pPr>
              <w:widowControl/>
              <w:jc w:val="center"/>
              <w:rPr>
                <w:rFonts w:hint="eastAsia" w:ascii="宋体" w:hAnsi="宋体" w:eastAsia="宋体" w:cs="宋体"/>
                <w:sz w:val="24"/>
                <w:szCs w:val="24"/>
              </w:rPr>
            </w:pPr>
            <w:r>
              <w:rPr>
                <w:rFonts w:hint="eastAsia" w:ascii="宋体" w:hAnsi="宋体" w:eastAsia="宋体" w:cs="宋体"/>
                <w:sz w:val="24"/>
                <w:szCs w:val="24"/>
              </w:rPr>
              <w:t>1分</w:t>
            </w:r>
          </w:p>
        </w:tc>
        <w:tc>
          <w:tcPr>
            <w:tcW w:w="4380" w:type="dxa"/>
            <w:noWrap/>
            <w:vAlign w:val="center"/>
          </w:tcPr>
          <w:p w14:paraId="06095AD6">
            <w:pPr>
              <w:pStyle w:val="195"/>
              <w:rPr>
                <w:rFonts w:hint="eastAsia" w:ascii="宋体" w:hAnsi="宋体" w:eastAsia="宋体" w:cs="宋体"/>
                <w:szCs w:val="24"/>
              </w:rPr>
            </w:pPr>
            <w:r>
              <w:rPr>
                <w:rFonts w:hint="eastAsia" w:ascii="宋体" w:hAnsi="宋体" w:eastAsia="宋体" w:cs="宋体"/>
                <w:kern w:val="2"/>
                <w:szCs w:val="24"/>
                <w:lang w:eastAsia="zh-CN"/>
              </w:rPr>
              <w:t>应急响应：为保证紧急样品的抽取，供应商接到采购人抽检任务后1个小时（含）内到达抽样点的得1分，2（不含）～3小时（含）的得0.5分，4个小时以上不得分。</w:t>
            </w:r>
          </w:p>
        </w:tc>
        <w:tc>
          <w:tcPr>
            <w:tcW w:w="2190" w:type="dxa"/>
            <w:noWrap/>
          </w:tcPr>
          <w:p w14:paraId="1470EB94">
            <w:pPr>
              <w:rPr>
                <w:rFonts w:hint="eastAsia" w:ascii="宋体" w:hAnsi="宋体" w:eastAsia="宋体" w:cs="宋体"/>
                <w:sz w:val="21"/>
                <w:szCs w:val="21"/>
                <w:lang w:val="zh-CN"/>
              </w:rPr>
            </w:pPr>
            <w:r>
              <w:rPr>
                <w:rFonts w:hint="eastAsia" w:ascii="宋体" w:hAnsi="宋体" w:eastAsia="宋体" w:cs="宋体"/>
                <w:sz w:val="24"/>
                <w:szCs w:val="24"/>
              </w:rPr>
              <w:t>提供供应商应急响应服务点到采购人所在地的详细的路线图、说明及所用时间，路线说明以导航地图截图为准。</w:t>
            </w:r>
          </w:p>
        </w:tc>
      </w:tr>
      <w:tr w14:paraId="75A6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705" w:type="dxa"/>
            <w:vMerge w:val="continue"/>
            <w:noWrap/>
            <w:vAlign w:val="center"/>
          </w:tcPr>
          <w:p w14:paraId="537379B5">
            <w:pPr>
              <w:widowControl/>
              <w:jc w:val="left"/>
              <w:rPr>
                <w:rFonts w:hint="eastAsia" w:ascii="宋体" w:hAnsi="宋体" w:eastAsia="宋体" w:cs="宋体"/>
                <w:sz w:val="24"/>
                <w:szCs w:val="24"/>
              </w:rPr>
            </w:pPr>
          </w:p>
        </w:tc>
        <w:tc>
          <w:tcPr>
            <w:tcW w:w="1365" w:type="dxa"/>
            <w:vMerge w:val="continue"/>
            <w:noWrap/>
            <w:vAlign w:val="center"/>
          </w:tcPr>
          <w:p w14:paraId="618BA01A">
            <w:pPr>
              <w:widowControl/>
              <w:jc w:val="left"/>
              <w:rPr>
                <w:rFonts w:hint="eastAsia" w:ascii="宋体" w:hAnsi="宋体" w:eastAsia="宋体" w:cs="宋体"/>
                <w:sz w:val="24"/>
                <w:szCs w:val="24"/>
              </w:rPr>
            </w:pPr>
          </w:p>
        </w:tc>
        <w:tc>
          <w:tcPr>
            <w:tcW w:w="840" w:type="dxa"/>
            <w:noWrap/>
            <w:vAlign w:val="center"/>
          </w:tcPr>
          <w:p w14:paraId="28795866">
            <w:pPr>
              <w:widowControl/>
              <w:jc w:val="center"/>
              <w:rPr>
                <w:rFonts w:hint="eastAsia" w:ascii="宋体" w:hAnsi="宋体" w:eastAsia="宋体" w:cs="宋体"/>
                <w:sz w:val="24"/>
                <w:szCs w:val="24"/>
              </w:rPr>
            </w:pPr>
            <w:r>
              <w:rPr>
                <w:rFonts w:hint="eastAsia" w:ascii="宋体" w:hAnsi="宋体" w:eastAsia="宋体" w:cs="宋体"/>
                <w:sz w:val="24"/>
                <w:szCs w:val="24"/>
              </w:rPr>
              <w:t>8分</w:t>
            </w:r>
          </w:p>
        </w:tc>
        <w:tc>
          <w:tcPr>
            <w:tcW w:w="4380" w:type="dxa"/>
            <w:noWrap/>
            <w:vAlign w:val="center"/>
          </w:tcPr>
          <w:p w14:paraId="215B4CA9">
            <w:pPr>
              <w:pStyle w:val="275"/>
              <w:spacing w:before="1"/>
              <w:ind w:right="96"/>
              <w:rPr>
                <w:rFonts w:hint="eastAsia" w:ascii="宋体" w:hAnsi="宋体" w:eastAsia="宋体" w:cs="宋体"/>
                <w:szCs w:val="24"/>
              </w:rPr>
            </w:pPr>
            <w:r>
              <w:rPr>
                <w:rFonts w:hint="eastAsia" w:ascii="宋体" w:hAnsi="宋体" w:eastAsia="宋体" w:cs="宋体"/>
                <w:szCs w:val="24"/>
              </w:rPr>
              <w:t>质量保证：为保证样品的送检的时效性,供应商提供所需时间承诺及路线图评定，在抽样完成后从采购人所在地送达到承担本项目的检验场地采用汽车运输常1小时（含）内的得8分，2（不含）～3小时（含）得2分，超过4小时不得分。</w:t>
            </w:r>
          </w:p>
        </w:tc>
        <w:tc>
          <w:tcPr>
            <w:tcW w:w="2190" w:type="dxa"/>
            <w:noWrap/>
            <w:vAlign w:val="center"/>
          </w:tcPr>
          <w:p w14:paraId="4579B574">
            <w:pPr>
              <w:widowControl/>
              <w:jc w:val="left"/>
              <w:rPr>
                <w:rFonts w:hint="eastAsia" w:ascii="宋体" w:hAnsi="宋体" w:eastAsia="宋体" w:cs="宋体"/>
                <w:sz w:val="24"/>
                <w:szCs w:val="24"/>
              </w:rPr>
            </w:pPr>
            <w:r>
              <w:rPr>
                <w:rFonts w:hint="eastAsia" w:ascii="宋体" w:hAnsi="宋体" w:eastAsia="宋体" w:cs="宋体"/>
                <w:sz w:val="24"/>
                <w:szCs w:val="24"/>
              </w:rPr>
              <w:t>提供供应商资质认定证书上地址到采购人所在地的详细的路线图、说明所用时间，路线说明以导航地图截图为准。</w:t>
            </w:r>
          </w:p>
        </w:tc>
      </w:tr>
    </w:tbl>
    <w:p w14:paraId="08EE524E">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78" w:name="_Toc22297"/>
      <w:r>
        <w:rPr>
          <w:rFonts w:hint="eastAsia" w:ascii="宋体" w:hAnsi="宋体" w:eastAsia="宋体" w:cs="宋体"/>
          <w:sz w:val="24"/>
          <w:szCs w:val="24"/>
        </w:rPr>
        <w:t>三、响应无效</w:t>
      </w:r>
      <w:bookmarkEnd w:id="78"/>
    </w:p>
    <w:p w14:paraId="09F5BFC4">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供应商发生以下条款情况之一者，视为响应无效，其响应文件将被拒绝：</w:t>
      </w:r>
    </w:p>
    <w:p w14:paraId="736BA518">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（一）供应商不符合规定的基本资格条件或特定资格条件的；</w:t>
      </w:r>
    </w:p>
    <w:p w14:paraId="556DA212">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（二）供应商的法定代表人或其授权代表未参加磋商；</w:t>
      </w:r>
    </w:p>
    <w:p w14:paraId="27959BE0">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（三）供应商所提交的响应文件不按第七篇“响应文件编制要求”规定签字、盖章；</w:t>
      </w:r>
    </w:p>
    <w:p w14:paraId="62A62082">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color w:val="000000"/>
          <w:sz w:val="24"/>
          <w:szCs w:val="24"/>
        </w:rPr>
        <w:t>供应商的最后批次数量低于最低抽检批次数量的</w:t>
      </w:r>
      <w:r>
        <w:rPr>
          <w:rFonts w:hint="eastAsia" w:ascii="宋体" w:hAnsi="宋体" w:eastAsia="宋体" w:cs="宋体"/>
          <w:sz w:val="24"/>
          <w:szCs w:val="24"/>
        </w:rPr>
        <w:t>；</w:t>
      </w:r>
    </w:p>
    <w:p w14:paraId="4954FE9D">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（五）法定代表人为同一个人的两个及两个以上法人，母公司、全资子公司及其控股公司，在同一分包采购中同时参与磋商；</w:t>
      </w:r>
    </w:p>
    <w:p w14:paraId="59D19B3E">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（六）单位负责人为同一人或者存在直接控股、管理关系的不同供应商，参加同一合同项下的政府采购活动的；</w:t>
      </w:r>
    </w:p>
    <w:p w14:paraId="6814F43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（七）为采购项目提供整体设计、规范编制或者项目管理、监理、检测等服务的供应商，再参加该采购项目的其他采购活动；</w:t>
      </w:r>
    </w:p>
    <w:p w14:paraId="30573C1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（八）供应商的服务期、磋商有效期不满足竞争性磋商文件要求的；</w:t>
      </w:r>
    </w:p>
    <w:p w14:paraId="04CD8E8A">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（九）供应商响应文件内容有与国家现行法律法规相违背的内容，或附有采购人无法接受的条件。</w:t>
      </w:r>
    </w:p>
    <w:p w14:paraId="017801B9">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（十）供应商被列入失信被执行人、重大税收违法案件当事人名单、政府采购严重违法失信行为记录名单及其他不符合《中华人民共和国政府采购法》第二十二条规定条件的。</w:t>
      </w:r>
    </w:p>
    <w:p w14:paraId="0A548CF6">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12D9AB54">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79" w:name="_Toc16826"/>
      <w:r>
        <w:rPr>
          <w:rFonts w:hint="eastAsia" w:ascii="宋体" w:hAnsi="宋体" w:eastAsia="宋体" w:cs="宋体"/>
          <w:sz w:val="24"/>
          <w:szCs w:val="24"/>
        </w:rPr>
        <w:t>四、</w:t>
      </w:r>
      <w:bookmarkEnd w:id="76"/>
      <w:bookmarkEnd w:id="77"/>
      <w:r>
        <w:rPr>
          <w:rFonts w:hint="eastAsia" w:ascii="宋体" w:hAnsi="宋体" w:eastAsia="宋体" w:cs="宋体"/>
          <w:sz w:val="24"/>
          <w:szCs w:val="24"/>
        </w:rPr>
        <w:t>采购终止</w:t>
      </w:r>
      <w:bookmarkEnd w:id="79"/>
    </w:p>
    <w:p w14:paraId="55D757F2">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14:paraId="7F7C0FB2">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（一）因情况变化，不再符合规定的竞争性磋商采购方式适用情形的；</w:t>
      </w:r>
    </w:p>
    <w:p w14:paraId="33658154">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14:paraId="3FD9EAAB">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sz w:val="36"/>
          <w:szCs w:val="30"/>
        </w:rPr>
      </w:pPr>
      <w:r>
        <w:rPr>
          <w:rFonts w:hint="eastAsia" w:ascii="宋体" w:hAnsi="宋体" w:eastAsia="宋体" w:cs="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财库[2015]124号文规定的情形除外。</w:t>
      </w:r>
      <w:bookmarkStart w:id="80" w:name="_Toc102227313"/>
      <w:r>
        <w:rPr>
          <w:rFonts w:hint="eastAsia" w:ascii="宋体" w:hAnsi="宋体" w:eastAsia="宋体" w:cs="宋体"/>
          <w:sz w:val="36"/>
          <w:szCs w:val="30"/>
        </w:rPr>
        <w:br w:type="page"/>
      </w:r>
    </w:p>
    <w:p w14:paraId="55F7E676">
      <w:pPr>
        <w:pStyle w:val="3"/>
        <w:spacing w:line="360" w:lineRule="auto"/>
        <w:jc w:val="center"/>
        <w:rPr>
          <w:rFonts w:hint="eastAsia" w:ascii="宋体" w:hAnsi="宋体" w:eastAsia="宋体" w:cs="宋体"/>
          <w:b w:val="0"/>
          <w:szCs w:val="30"/>
        </w:rPr>
      </w:pPr>
      <w:bookmarkStart w:id="81" w:name="_Toc25293"/>
      <w:r>
        <w:rPr>
          <w:rFonts w:hint="eastAsia" w:ascii="宋体" w:hAnsi="宋体" w:eastAsia="宋体" w:cs="宋体"/>
          <w:b w:val="0"/>
          <w:sz w:val="36"/>
          <w:szCs w:val="30"/>
        </w:rPr>
        <w:t>第五篇  供应商须知</w:t>
      </w:r>
      <w:bookmarkEnd w:id="80"/>
      <w:bookmarkEnd w:id="81"/>
    </w:p>
    <w:p w14:paraId="15121B0C">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82" w:name="_Toc342913389"/>
      <w:bookmarkStart w:id="83" w:name="_Toc20192"/>
      <w:r>
        <w:rPr>
          <w:rFonts w:hint="eastAsia" w:ascii="宋体" w:hAnsi="宋体" w:eastAsia="宋体" w:cs="宋体"/>
          <w:sz w:val="24"/>
          <w:szCs w:val="24"/>
        </w:rPr>
        <w:t>一、磋商费用</w:t>
      </w:r>
      <w:bookmarkEnd w:id="82"/>
      <w:bookmarkEnd w:id="83"/>
    </w:p>
    <w:p w14:paraId="62331C4E">
      <w:pPr>
        <w:pStyle w:val="156"/>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参与磋商的供应商应承担其编制响应文件与递交响应文件所涉及的一切费用，不论磋商结果如何，采购人和采购代理机构在任何情况下无义务也无责任承担这些费用。</w:t>
      </w:r>
    </w:p>
    <w:p w14:paraId="6683CBA4">
      <w:pPr>
        <w:pStyle w:val="4"/>
        <w:pageBreakBefore w:val="0"/>
        <w:widowControl w:val="0"/>
        <w:tabs>
          <w:tab w:val="left" w:pos="2640"/>
        </w:tabs>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84" w:name="_Toc342913391"/>
      <w:bookmarkStart w:id="85" w:name="_Toc1587"/>
      <w:r>
        <w:rPr>
          <w:rFonts w:hint="eastAsia" w:ascii="宋体" w:hAnsi="宋体" w:eastAsia="宋体" w:cs="宋体"/>
          <w:sz w:val="24"/>
          <w:szCs w:val="24"/>
        </w:rPr>
        <w:t>二、竞争性磋商文件</w:t>
      </w:r>
      <w:bookmarkEnd w:id="84"/>
      <w:bookmarkEnd w:id="85"/>
    </w:p>
    <w:p w14:paraId="4B7B6AF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（一）竞争性磋商文件由采购邀请书、磋商项目技术需求、磋商项目商务需求、磋商程序及方法、评审标准、响应无效和采购终止、供应商须知</w:t>
      </w:r>
      <w:r>
        <w:rPr>
          <w:rFonts w:hint="eastAsia" w:ascii="宋体" w:hAnsi="宋体" w:eastAsia="宋体" w:cs="宋体"/>
          <w:b/>
          <w:sz w:val="24"/>
          <w:szCs w:val="24"/>
        </w:rPr>
        <w:t>、</w:t>
      </w:r>
      <w:r>
        <w:rPr>
          <w:rFonts w:hint="eastAsia" w:ascii="宋体" w:hAnsi="宋体" w:eastAsia="宋体" w:cs="宋体"/>
          <w:sz w:val="24"/>
          <w:szCs w:val="24"/>
        </w:rPr>
        <w:t>合同草案条款及格式合同（样本）</w:t>
      </w:r>
      <w:r>
        <w:rPr>
          <w:rFonts w:hint="eastAsia" w:ascii="宋体" w:hAnsi="宋体" w:eastAsia="宋体" w:cs="宋体"/>
          <w:b/>
          <w:sz w:val="24"/>
          <w:szCs w:val="24"/>
        </w:rPr>
        <w:t>、</w:t>
      </w:r>
      <w:r>
        <w:rPr>
          <w:rFonts w:hint="eastAsia" w:ascii="宋体" w:hAnsi="宋体" w:eastAsia="宋体" w:cs="宋体"/>
          <w:sz w:val="24"/>
          <w:szCs w:val="24"/>
        </w:rPr>
        <w:t>响应文件编制要求七部分组成。</w:t>
      </w:r>
    </w:p>
    <w:p w14:paraId="66025B5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（二）采购人（或采购代理机构）所作的一切有效的书面通知、修改及补充，都是竞争性磋商文件不可分割的部分。</w:t>
      </w:r>
    </w:p>
    <w:p w14:paraId="2B60628C">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（三）竞争性磋商文件的解释</w:t>
      </w:r>
    </w:p>
    <w:p w14:paraId="5587688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6" w:name="_Toc318159349"/>
      <w:bookmarkStart w:id="87" w:name="_Toc318166429"/>
      <w:bookmarkStart w:id="88" w:name="_Toc318159780"/>
      <w:bookmarkStart w:id="89" w:name="_Toc318159160"/>
    </w:p>
    <w:p w14:paraId="296FBAA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（四）本竞争性磋商文件中，磋商小组根据与供应商进行磋商可能实质性变动的内容为竞争性磋商文件第二、三、六篇全部内容。</w:t>
      </w:r>
    </w:p>
    <w:p w14:paraId="28108A8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（五）评审的依据为竞争性磋商文件和响应文件（含有效的书面承诺）。磋商小组判断响应文件对竞争性磋商文件的响应，仅基于响应文件本身而不靠外部证据。</w:t>
      </w:r>
    </w:p>
    <w:bookmarkEnd w:id="86"/>
    <w:bookmarkEnd w:id="87"/>
    <w:bookmarkEnd w:id="88"/>
    <w:bookmarkEnd w:id="89"/>
    <w:p w14:paraId="13B3E765">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90" w:name="_Toc179714297"/>
      <w:bookmarkStart w:id="91" w:name="_Toc342913392"/>
      <w:bookmarkStart w:id="92" w:name="_Toc102227318"/>
      <w:bookmarkStart w:id="93" w:name="_Toc28994"/>
      <w:r>
        <w:rPr>
          <w:rFonts w:hint="eastAsia" w:ascii="宋体" w:hAnsi="宋体" w:eastAsia="宋体" w:cs="宋体"/>
          <w:sz w:val="24"/>
          <w:szCs w:val="24"/>
        </w:rPr>
        <w:t>三、磋商要求</w:t>
      </w:r>
      <w:bookmarkEnd w:id="90"/>
      <w:bookmarkEnd w:id="91"/>
      <w:bookmarkEnd w:id="92"/>
      <w:bookmarkEnd w:id="93"/>
    </w:p>
    <w:p w14:paraId="6EAE45B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（一）响应文件</w:t>
      </w:r>
    </w:p>
    <w:p w14:paraId="7435D68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231749B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2.响应文件组成</w:t>
      </w:r>
    </w:p>
    <w:p w14:paraId="709C445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9C2C58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（二）联合体</w:t>
      </w:r>
    </w:p>
    <w:p w14:paraId="357C1E9D">
      <w:pPr>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本项目不接受联合体竞标。</w:t>
      </w:r>
    </w:p>
    <w:p w14:paraId="5CB7474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（三）磋商有效期：响应文件及有关承诺文件有效期为提交响应文件截止时间起90天。</w:t>
      </w:r>
    </w:p>
    <w:p w14:paraId="455581C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（四）修正错误</w:t>
      </w:r>
    </w:p>
    <w:p w14:paraId="6C92C1B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1.若供应商所递交的响应文件或最后报价中的价格出现大写金额和小写金额不一致的错误，以大写金额修正为准。</w:t>
      </w:r>
    </w:p>
    <w:p w14:paraId="3E98B52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7AAD90D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（五）提交响应文件的份数和签署</w:t>
      </w:r>
    </w:p>
    <w:p w14:paraId="446C6D0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E93B81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rPr>
        <w:t>在响应文件正本中，竞争性磋商文件第七篇响应文件编制要求中规定签字、盖章的地方必须按其规定签字、盖章。</w:t>
      </w:r>
    </w:p>
    <w:p w14:paraId="3EAC7F5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（六）响应文件的递交</w:t>
      </w:r>
    </w:p>
    <w:p w14:paraId="12087E80">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1.响应文件的密封与标记</w:t>
      </w:r>
    </w:p>
    <w:p w14:paraId="0C6C5BA7">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1.1响应文件的正本、副本以及电子文档均应密封送达磋商地点，应在封套上注明项目名称、供应商名称。若正本、副本以及电子文档分别进行密封的，还应在封套上注明“正本”、“副本”、“电子文档”字样。</w:t>
      </w:r>
    </w:p>
    <w:p w14:paraId="22274AF5">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1.2封套的封口处应加盖供应商公章或由法定代表人授权代表签字。</w:t>
      </w:r>
    </w:p>
    <w:p w14:paraId="370DE240">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2.如果响应文件通过邮寄递交，供应商应将响应文件用内、外两层封套密封。</w:t>
      </w:r>
    </w:p>
    <w:p w14:paraId="3061E4CE">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2.1内层封套的封装与标记同 “1、”款规定。</w:t>
      </w:r>
    </w:p>
    <w:p w14:paraId="7931105F">
      <w:pPr>
        <w:pStyle w:val="32"/>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2.2外层封套装入“1、”款所述全部内封资料，并注明项目编号、项目名称、采购代理机构名称及地址。同时应写明供应商的名称、地址，以便将迟交的响应文件原封退还。</w:t>
      </w:r>
    </w:p>
    <w:p w14:paraId="6FCA44FF">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rPr>
        <w:t>3.如果未按上述规定进行密封和标记，采购代理机构对响应文件误投、丢失或提前拆封不负责任。</w:t>
      </w:r>
    </w:p>
    <w:p w14:paraId="1315642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（七）供应商参与人员</w:t>
      </w:r>
    </w:p>
    <w:p w14:paraId="73467C8C">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各个供应商应当派1-2名代表参与磋商，至少1人应为法定代表人或具有法定代表人授权委托书的授权代表。</w:t>
      </w:r>
    </w:p>
    <w:p w14:paraId="273895BA">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94" w:name="_Toc12781"/>
      <w:r>
        <w:rPr>
          <w:rFonts w:hint="eastAsia" w:ascii="宋体" w:hAnsi="宋体" w:eastAsia="宋体" w:cs="宋体"/>
          <w:sz w:val="24"/>
          <w:szCs w:val="24"/>
        </w:rPr>
        <w:t>四、成交供应商的确认和变更</w:t>
      </w:r>
      <w:bookmarkEnd w:id="94"/>
    </w:p>
    <w:p w14:paraId="1702D2B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（一）成交供应商的确认</w:t>
      </w:r>
    </w:p>
    <w:p w14:paraId="7AC7CF8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135DF8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（二）成交供应商的变更</w:t>
      </w:r>
    </w:p>
    <w:p w14:paraId="526EC20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rPr>
        <w:t>成交供应商拒绝与采购人签订合同的，采购人可以按照评标报告推荐的成交候选供应商顺序，确定排名下一位的候选人为成交供应商，也可以重新开展政府采购活动。</w:t>
      </w:r>
    </w:p>
    <w:p w14:paraId="678A299A">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95" w:name="_Toc342913395"/>
      <w:bookmarkStart w:id="96" w:name="_Toc102227321"/>
      <w:bookmarkStart w:id="97" w:name="_Toc2969"/>
      <w:r>
        <w:rPr>
          <w:rFonts w:hint="eastAsia" w:ascii="宋体" w:hAnsi="宋体" w:eastAsia="宋体" w:cs="宋体"/>
          <w:sz w:val="24"/>
          <w:szCs w:val="24"/>
        </w:rPr>
        <w:t>五、成交通知</w:t>
      </w:r>
      <w:bookmarkEnd w:id="95"/>
      <w:bookmarkEnd w:id="96"/>
      <w:bookmarkEnd w:id="97"/>
    </w:p>
    <w:p w14:paraId="108B855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（一）成交供应商确定后，采购代理机构将在“行采家”（ https://www.gec123.com/）上发布成交结果公告。</w:t>
      </w:r>
    </w:p>
    <w:p w14:paraId="1531B5A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（二）结果公告发出同时，采购代理机构将以书面形式发出《成交通知书》。《成交通知书》一经发出即发生法律效力。</w:t>
      </w:r>
    </w:p>
    <w:p w14:paraId="62817FA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（三）《成交通知书》将作为签订合同的依据。</w:t>
      </w:r>
    </w:p>
    <w:p w14:paraId="6CF9384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（四）如有供应商对成交结果提出质疑的，在质疑处理完毕后发出成交通知书。</w:t>
      </w:r>
    </w:p>
    <w:p w14:paraId="570D3D28">
      <w:pPr>
        <w:pStyle w:val="4"/>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rPr>
      </w:pPr>
      <w:bookmarkStart w:id="98" w:name="_Toc2048"/>
      <w:r>
        <w:rPr>
          <w:rFonts w:hint="eastAsia" w:ascii="宋体" w:hAnsi="宋体" w:eastAsia="宋体" w:cs="宋体"/>
          <w:sz w:val="24"/>
          <w:szCs w:val="24"/>
        </w:rPr>
        <w:t>六、采购代理服务费</w:t>
      </w:r>
      <w:bookmarkEnd w:id="98"/>
    </w:p>
    <w:p w14:paraId="59BF8BD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（一）供应商成交后向采购代理机构缴纳采购代理服务费，采购代理服务费的收取标准以预算金额（40万元）为基数，按照以下服务招标标准执行: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5415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35881D46">
            <w:pPr>
              <w:snapToGrid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AlYmpG&#10;5gEAANY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sz w:val="24"/>
                <w:szCs w:val="24"/>
              </w:rPr>
              <w:t>招标类型</w:t>
            </w:r>
          </w:p>
          <w:p w14:paraId="76F8AE73">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预算金额（万元）</w:t>
            </w:r>
          </w:p>
        </w:tc>
        <w:tc>
          <w:tcPr>
            <w:tcW w:w="2273" w:type="dxa"/>
            <w:vAlign w:val="center"/>
          </w:tcPr>
          <w:p w14:paraId="6C305DB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货物招标</w:t>
            </w:r>
          </w:p>
        </w:tc>
        <w:tc>
          <w:tcPr>
            <w:tcW w:w="2273" w:type="dxa"/>
            <w:vAlign w:val="center"/>
          </w:tcPr>
          <w:p w14:paraId="2F669E1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服务招标</w:t>
            </w:r>
          </w:p>
        </w:tc>
        <w:tc>
          <w:tcPr>
            <w:tcW w:w="2272" w:type="dxa"/>
            <w:vAlign w:val="center"/>
          </w:tcPr>
          <w:p w14:paraId="5AA49B2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工程招标</w:t>
            </w:r>
          </w:p>
        </w:tc>
      </w:tr>
      <w:tr w14:paraId="5C18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F88298A">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100以下</w:t>
            </w:r>
          </w:p>
        </w:tc>
        <w:tc>
          <w:tcPr>
            <w:tcW w:w="2273" w:type="dxa"/>
            <w:vAlign w:val="center"/>
          </w:tcPr>
          <w:p w14:paraId="1F7156A8">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273" w:type="dxa"/>
            <w:vAlign w:val="center"/>
          </w:tcPr>
          <w:p w14:paraId="6E6D5117">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272" w:type="dxa"/>
            <w:vAlign w:val="center"/>
          </w:tcPr>
          <w:p w14:paraId="2B7004E2">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r>
      <w:tr w14:paraId="2559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490248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100-200</w:t>
            </w:r>
          </w:p>
        </w:tc>
        <w:tc>
          <w:tcPr>
            <w:tcW w:w="2273" w:type="dxa"/>
            <w:vAlign w:val="center"/>
          </w:tcPr>
          <w:p w14:paraId="75417DE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2273" w:type="dxa"/>
            <w:vAlign w:val="center"/>
          </w:tcPr>
          <w:p w14:paraId="3B840761">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0.8%</w:t>
            </w:r>
          </w:p>
        </w:tc>
        <w:tc>
          <w:tcPr>
            <w:tcW w:w="2272" w:type="dxa"/>
            <w:vAlign w:val="center"/>
          </w:tcPr>
          <w:p w14:paraId="1A190078">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0.7%</w:t>
            </w:r>
          </w:p>
        </w:tc>
      </w:tr>
      <w:tr w14:paraId="48C9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E72088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200-500</w:t>
            </w:r>
          </w:p>
        </w:tc>
        <w:tc>
          <w:tcPr>
            <w:tcW w:w="2273" w:type="dxa"/>
            <w:vAlign w:val="center"/>
          </w:tcPr>
          <w:p w14:paraId="228D404D">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1.08%</w:t>
            </w:r>
          </w:p>
        </w:tc>
        <w:tc>
          <w:tcPr>
            <w:tcW w:w="2273" w:type="dxa"/>
            <w:vAlign w:val="center"/>
          </w:tcPr>
          <w:p w14:paraId="0296F02F">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0.78%</w:t>
            </w:r>
          </w:p>
        </w:tc>
        <w:tc>
          <w:tcPr>
            <w:tcW w:w="2272" w:type="dxa"/>
            <w:vAlign w:val="center"/>
          </w:tcPr>
          <w:p w14:paraId="32EC6B37">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0.69%</w:t>
            </w:r>
          </w:p>
        </w:tc>
      </w:tr>
      <w:tr w14:paraId="29AB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51A8ED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500-1000</w:t>
            </w:r>
          </w:p>
        </w:tc>
        <w:tc>
          <w:tcPr>
            <w:tcW w:w="2273" w:type="dxa"/>
            <w:vAlign w:val="center"/>
          </w:tcPr>
          <w:p w14:paraId="34D3F87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0.76%</w:t>
            </w:r>
          </w:p>
        </w:tc>
        <w:tc>
          <w:tcPr>
            <w:tcW w:w="2273" w:type="dxa"/>
            <w:vAlign w:val="center"/>
          </w:tcPr>
          <w:p w14:paraId="703D8181">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0.43%</w:t>
            </w:r>
          </w:p>
        </w:tc>
        <w:tc>
          <w:tcPr>
            <w:tcW w:w="2272" w:type="dxa"/>
            <w:vAlign w:val="center"/>
          </w:tcPr>
          <w:p w14:paraId="02F888D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0.52%</w:t>
            </w:r>
          </w:p>
        </w:tc>
      </w:tr>
      <w:tr w14:paraId="6FF8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C99B631">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1000-5000</w:t>
            </w:r>
          </w:p>
        </w:tc>
        <w:tc>
          <w:tcPr>
            <w:tcW w:w="2273" w:type="dxa"/>
            <w:vAlign w:val="center"/>
          </w:tcPr>
          <w:p w14:paraId="59D95DA2">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0.45%</w:t>
            </w:r>
          </w:p>
        </w:tc>
        <w:tc>
          <w:tcPr>
            <w:tcW w:w="2273" w:type="dxa"/>
            <w:vAlign w:val="center"/>
          </w:tcPr>
          <w:p w14:paraId="1F47627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0.23%</w:t>
            </w:r>
          </w:p>
        </w:tc>
        <w:tc>
          <w:tcPr>
            <w:tcW w:w="2272" w:type="dxa"/>
            <w:vAlign w:val="center"/>
          </w:tcPr>
          <w:p w14:paraId="24D309BF">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0.32%</w:t>
            </w:r>
          </w:p>
        </w:tc>
      </w:tr>
      <w:tr w14:paraId="2FEE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37B9E42">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5000-10000</w:t>
            </w:r>
          </w:p>
        </w:tc>
        <w:tc>
          <w:tcPr>
            <w:tcW w:w="2273" w:type="dxa"/>
            <w:vAlign w:val="center"/>
          </w:tcPr>
          <w:p w14:paraId="0480A2D2">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0.23%</w:t>
            </w:r>
          </w:p>
        </w:tc>
        <w:tc>
          <w:tcPr>
            <w:tcW w:w="2273" w:type="dxa"/>
            <w:vAlign w:val="center"/>
          </w:tcPr>
          <w:p w14:paraId="68E55EF4">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0.09%</w:t>
            </w:r>
          </w:p>
        </w:tc>
        <w:tc>
          <w:tcPr>
            <w:tcW w:w="2272" w:type="dxa"/>
            <w:vAlign w:val="center"/>
          </w:tcPr>
          <w:p w14:paraId="69BD11F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0.18%</w:t>
            </w:r>
          </w:p>
        </w:tc>
      </w:tr>
      <w:tr w14:paraId="6854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B5FF7CB">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10000-100000</w:t>
            </w:r>
          </w:p>
        </w:tc>
        <w:tc>
          <w:tcPr>
            <w:tcW w:w="2273" w:type="dxa"/>
            <w:vAlign w:val="center"/>
          </w:tcPr>
          <w:p w14:paraId="47A02746">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0.045%</w:t>
            </w:r>
          </w:p>
        </w:tc>
        <w:tc>
          <w:tcPr>
            <w:tcW w:w="2273" w:type="dxa"/>
            <w:vAlign w:val="center"/>
          </w:tcPr>
          <w:p w14:paraId="7E5D7246">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0.045%</w:t>
            </w:r>
          </w:p>
        </w:tc>
        <w:tc>
          <w:tcPr>
            <w:tcW w:w="2272" w:type="dxa"/>
            <w:vAlign w:val="center"/>
          </w:tcPr>
          <w:p w14:paraId="1281E357">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0.045%</w:t>
            </w:r>
          </w:p>
        </w:tc>
      </w:tr>
      <w:tr w14:paraId="5B37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C96B39D">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1000000以上</w:t>
            </w:r>
          </w:p>
        </w:tc>
        <w:tc>
          <w:tcPr>
            <w:tcW w:w="2273" w:type="dxa"/>
            <w:vAlign w:val="center"/>
          </w:tcPr>
          <w:p w14:paraId="5B53C736">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0.009%</w:t>
            </w:r>
          </w:p>
        </w:tc>
        <w:tc>
          <w:tcPr>
            <w:tcW w:w="2273" w:type="dxa"/>
            <w:vAlign w:val="center"/>
          </w:tcPr>
          <w:p w14:paraId="6B9942A5">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0.009%</w:t>
            </w:r>
          </w:p>
        </w:tc>
        <w:tc>
          <w:tcPr>
            <w:tcW w:w="2272" w:type="dxa"/>
            <w:vAlign w:val="center"/>
          </w:tcPr>
          <w:p w14:paraId="030CD986">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0.009%</w:t>
            </w:r>
          </w:p>
        </w:tc>
      </w:tr>
    </w:tbl>
    <w:p w14:paraId="782EC0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注：采购代理服务收费按差额定率累进法计算。例如：某服务招标代理业务预算金额为500万元，计算招标代理服务收费额如下：</w:t>
      </w:r>
    </w:p>
    <w:p w14:paraId="2D5798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100万元×1.5%=1.5万元</w:t>
      </w:r>
    </w:p>
    <w:p w14:paraId="4B61C61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（200-100）万元×0.8%=0.8万元</w:t>
      </w:r>
    </w:p>
    <w:p w14:paraId="3DD5B9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（500-200）×0.78%=2.34万元</w:t>
      </w:r>
    </w:p>
    <w:p w14:paraId="42ED32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合计收费=1.5+0.8+2.34=4.64（万元）</w:t>
      </w:r>
    </w:p>
    <w:p w14:paraId="4F6A72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（二）采购代理服务费缴纳账号：</w:t>
      </w:r>
    </w:p>
    <w:p w14:paraId="734C03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户  名：中渝招标代理重庆有限公司</w:t>
      </w:r>
    </w:p>
    <w:p w14:paraId="4A30DB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开户行：中国民生银行股份有限公司重庆科学城支行</w:t>
      </w:r>
    </w:p>
    <w:p w14:paraId="0BD23DE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账  号：640598255</w:t>
      </w:r>
    </w:p>
    <w:p w14:paraId="56775438">
      <w:pPr>
        <w:pStyle w:val="4"/>
        <w:spacing w:before="0" w:after="0" w:line="360" w:lineRule="auto"/>
        <w:rPr>
          <w:rFonts w:hint="eastAsia" w:ascii="宋体" w:hAnsi="宋体" w:eastAsia="宋体" w:cs="宋体"/>
          <w:sz w:val="24"/>
          <w:szCs w:val="24"/>
        </w:rPr>
      </w:pPr>
      <w:bookmarkStart w:id="99" w:name="_Toc8504"/>
      <w:r>
        <w:rPr>
          <w:rFonts w:hint="eastAsia" w:ascii="宋体" w:hAnsi="宋体" w:eastAsia="宋体" w:cs="宋体"/>
          <w:sz w:val="24"/>
          <w:szCs w:val="24"/>
        </w:rPr>
        <w:t>七、关于质疑和投诉</w:t>
      </w:r>
      <w:bookmarkEnd w:id="99"/>
    </w:p>
    <w:p w14:paraId="6899B38A">
      <w:pPr>
        <w:spacing w:line="360" w:lineRule="auto"/>
        <w:ind w:firstLine="480" w:firstLineChars="200"/>
        <w:rPr>
          <w:rFonts w:hint="eastAsia" w:ascii="宋体" w:hAnsi="宋体" w:eastAsia="宋体" w:cs="宋体"/>
          <w:sz w:val="24"/>
        </w:rPr>
      </w:pPr>
      <w:r>
        <w:rPr>
          <w:rFonts w:hint="eastAsia" w:ascii="宋体" w:hAnsi="宋体" w:eastAsia="宋体" w:cs="宋体"/>
          <w:sz w:val="24"/>
        </w:rPr>
        <w:t>（一）质疑</w:t>
      </w:r>
    </w:p>
    <w:p w14:paraId="32786070">
      <w:pPr>
        <w:spacing w:line="360" w:lineRule="auto"/>
        <w:ind w:right="12" w:firstLine="480"/>
        <w:rPr>
          <w:rFonts w:hint="eastAsia" w:ascii="宋体" w:hAnsi="宋体" w:eastAsia="宋体" w:cs="宋体"/>
          <w:sz w:val="24"/>
        </w:rPr>
      </w:pPr>
      <w:r>
        <w:rPr>
          <w:rFonts w:hint="eastAsia" w:ascii="宋体" w:hAnsi="宋体" w:eastAsia="宋体" w:cs="宋体"/>
          <w:sz w:val="24"/>
        </w:rPr>
        <w:t>供应商认为采购文件、采购过程和成交结果使自己的权益收到伤害的，可向采购人或采购代理机构以书面形式提出质疑。</w:t>
      </w:r>
    </w:p>
    <w:p w14:paraId="63C8F207">
      <w:pPr>
        <w:spacing w:line="360" w:lineRule="auto"/>
        <w:ind w:right="12" w:firstLine="480"/>
        <w:rPr>
          <w:rFonts w:hint="eastAsia" w:ascii="宋体" w:hAnsi="宋体" w:eastAsia="宋体" w:cs="宋体"/>
          <w:sz w:val="24"/>
        </w:rPr>
      </w:pPr>
      <w:r>
        <w:rPr>
          <w:rFonts w:hint="eastAsia" w:ascii="宋体" w:hAnsi="宋体" w:eastAsia="宋体" w:cs="宋体"/>
          <w:sz w:val="24"/>
        </w:rPr>
        <w:t xml:space="preserve">提出质疑的应当是参与所质疑项目采购活动的供应商。 </w:t>
      </w:r>
    </w:p>
    <w:p w14:paraId="64569A3F">
      <w:pPr>
        <w:spacing w:line="360" w:lineRule="auto"/>
        <w:ind w:right="12" w:firstLine="480"/>
        <w:rPr>
          <w:rFonts w:hint="eastAsia" w:ascii="宋体" w:hAnsi="宋体" w:eastAsia="宋体" w:cs="宋体"/>
          <w:sz w:val="24"/>
        </w:rPr>
      </w:pPr>
      <w:r>
        <w:rPr>
          <w:rFonts w:hint="eastAsia" w:ascii="宋体" w:hAnsi="宋体" w:eastAsia="宋体" w:cs="宋体"/>
          <w:sz w:val="24"/>
        </w:rPr>
        <w:t>1.质疑时限、内容</w:t>
      </w:r>
    </w:p>
    <w:p w14:paraId="78DA7728">
      <w:pPr>
        <w:spacing w:line="360" w:lineRule="auto"/>
        <w:ind w:right="12" w:firstLine="480"/>
        <w:rPr>
          <w:rFonts w:hint="eastAsia" w:ascii="宋体" w:hAnsi="宋体" w:eastAsia="宋体" w:cs="宋体"/>
          <w:sz w:val="24"/>
        </w:rPr>
      </w:pPr>
      <w:r>
        <w:rPr>
          <w:rFonts w:hint="eastAsia" w:ascii="宋体" w:hAnsi="宋体" w:eastAsia="宋体" w:cs="宋体"/>
          <w:sz w:val="24"/>
        </w:rPr>
        <w:t>1.1供应商认为采购文件、采购过程、成交结果使自己的权益受到损害的，可以在知道或者应知其权益受到损害之日起7个工作日内，以书面形式向采购人、采购代理机构提出质疑。</w:t>
      </w:r>
    </w:p>
    <w:p w14:paraId="66F1B98A">
      <w:pPr>
        <w:spacing w:line="360" w:lineRule="auto"/>
        <w:ind w:right="12" w:firstLine="480"/>
        <w:rPr>
          <w:rFonts w:hint="eastAsia" w:ascii="宋体" w:hAnsi="宋体" w:eastAsia="宋体" w:cs="宋体"/>
          <w:sz w:val="24"/>
        </w:rPr>
      </w:pPr>
      <w:r>
        <w:rPr>
          <w:rFonts w:hint="eastAsia" w:ascii="宋体" w:hAnsi="宋体" w:eastAsia="宋体" w:cs="宋体"/>
          <w:sz w:val="24"/>
        </w:rPr>
        <w:t>1.2 供应商对采购过程提出质疑的，应在各采购程序环节结束之日起七个工作日内提出。</w:t>
      </w:r>
    </w:p>
    <w:p w14:paraId="7C57957E">
      <w:pPr>
        <w:spacing w:line="360" w:lineRule="auto"/>
        <w:ind w:right="12" w:firstLine="480"/>
        <w:rPr>
          <w:rFonts w:hint="eastAsia" w:ascii="宋体" w:hAnsi="宋体" w:eastAsia="宋体" w:cs="宋体"/>
          <w:sz w:val="24"/>
        </w:rPr>
      </w:pPr>
      <w:r>
        <w:rPr>
          <w:rFonts w:hint="eastAsia" w:ascii="宋体" w:hAnsi="宋体" w:eastAsia="宋体" w:cs="宋体"/>
          <w:sz w:val="24"/>
        </w:rPr>
        <w:t>1.3供应商对成交结果提出质疑的，应当在成交结果公告期限届满之日起七个工作日内提出。</w:t>
      </w:r>
    </w:p>
    <w:p w14:paraId="65645F52">
      <w:pPr>
        <w:spacing w:line="360" w:lineRule="auto"/>
        <w:ind w:right="12" w:firstLine="480"/>
        <w:rPr>
          <w:rFonts w:hint="eastAsia" w:ascii="宋体" w:hAnsi="宋体" w:eastAsia="宋体" w:cs="宋体"/>
          <w:sz w:val="24"/>
        </w:rPr>
      </w:pPr>
      <w:r>
        <w:rPr>
          <w:rFonts w:hint="eastAsia" w:ascii="宋体" w:hAnsi="宋体" w:eastAsia="宋体" w:cs="宋体"/>
          <w:sz w:val="24"/>
        </w:rPr>
        <w:t>1.4供应商提出质疑应当提交质疑函和必要的证明材料，质疑函应当包括下列内容：</w:t>
      </w:r>
    </w:p>
    <w:p w14:paraId="3E60CE16">
      <w:pPr>
        <w:spacing w:line="360" w:lineRule="auto"/>
        <w:ind w:right="12" w:firstLine="480"/>
        <w:rPr>
          <w:rFonts w:hint="eastAsia" w:ascii="宋体" w:hAnsi="宋体" w:eastAsia="宋体" w:cs="宋体"/>
          <w:sz w:val="24"/>
        </w:rPr>
      </w:pPr>
      <w:r>
        <w:rPr>
          <w:rFonts w:hint="eastAsia" w:ascii="宋体" w:hAnsi="宋体" w:eastAsia="宋体" w:cs="宋体"/>
          <w:sz w:val="24"/>
        </w:rPr>
        <w:t>1.4.1供应商的姓名或者名称、地址、邮编、联系人及联系电话；</w:t>
      </w:r>
    </w:p>
    <w:p w14:paraId="2DD5A943">
      <w:pPr>
        <w:spacing w:line="360" w:lineRule="auto"/>
        <w:ind w:right="12" w:firstLine="480"/>
        <w:rPr>
          <w:rFonts w:hint="eastAsia" w:ascii="宋体" w:hAnsi="宋体" w:eastAsia="宋体" w:cs="宋体"/>
          <w:sz w:val="24"/>
        </w:rPr>
      </w:pPr>
      <w:r>
        <w:rPr>
          <w:rFonts w:hint="eastAsia" w:ascii="宋体" w:hAnsi="宋体" w:eastAsia="宋体" w:cs="宋体"/>
          <w:sz w:val="24"/>
        </w:rPr>
        <w:t>1.4.2质疑项目的名称、项目号以及磋商项目编号；</w:t>
      </w:r>
    </w:p>
    <w:p w14:paraId="631FB610">
      <w:pPr>
        <w:spacing w:line="360" w:lineRule="auto"/>
        <w:ind w:right="12" w:firstLine="480"/>
        <w:rPr>
          <w:rFonts w:hint="eastAsia" w:ascii="宋体" w:hAnsi="宋体" w:eastAsia="宋体" w:cs="宋体"/>
          <w:sz w:val="24"/>
        </w:rPr>
      </w:pPr>
      <w:r>
        <w:rPr>
          <w:rFonts w:hint="eastAsia" w:ascii="宋体" w:hAnsi="宋体" w:eastAsia="宋体" w:cs="宋体"/>
          <w:sz w:val="24"/>
        </w:rPr>
        <w:t>1.4.3具体、明确的质疑事项和与质疑事项相关的请求；</w:t>
      </w:r>
    </w:p>
    <w:p w14:paraId="6269D5C6">
      <w:pPr>
        <w:spacing w:line="360" w:lineRule="auto"/>
        <w:ind w:right="12" w:firstLine="480"/>
        <w:rPr>
          <w:rFonts w:hint="eastAsia" w:ascii="宋体" w:hAnsi="宋体" w:eastAsia="宋体" w:cs="宋体"/>
          <w:sz w:val="24"/>
        </w:rPr>
      </w:pPr>
      <w:r>
        <w:rPr>
          <w:rFonts w:hint="eastAsia" w:ascii="宋体" w:hAnsi="宋体" w:eastAsia="宋体" w:cs="宋体"/>
          <w:sz w:val="24"/>
        </w:rPr>
        <w:t>1.4.4事实依据；</w:t>
      </w:r>
    </w:p>
    <w:p w14:paraId="581DAEBF">
      <w:pPr>
        <w:spacing w:line="360" w:lineRule="auto"/>
        <w:ind w:right="12" w:firstLine="480"/>
        <w:rPr>
          <w:rFonts w:hint="eastAsia" w:ascii="宋体" w:hAnsi="宋体" w:eastAsia="宋体" w:cs="宋体"/>
          <w:sz w:val="24"/>
        </w:rPr>
      </w:pPr>
      <w:r>
        <w:rPr>
          <w:rFonts w:hint="eastAsia" w:ascii="宋体" w:hAnsi="宋体" w:eastAsia="宋体" w:cs="宋体"/>
          <w:sz w:val="24"/>
        </w:rPr>
        <w:t>1.4.5必要的法律依据；</w:t>
      </w:r>
    </w:p>
    <w:p w14:paraId="5058F8BC">
      <w:pPr>
        <w:spacing w:line="360" w:lineRule="auto"/>
        <w:ind w:right="12" w:firstLine="480"/>
        <w:rPr>
          <w:rFonts w:hint="eastAsia" w:ascii="宋体" w:hAnsi="宋体" w:eastAsia="宋体" w:cs="宋体"/>
          <w:sz w:val="24"/>
        </w:rPr>
      </w:pPr>
      <w:r>
        <w:rPr>
          <w:rFonts w:hint="eastAsia" w:ascii="宋体" w:hAnsi="宋体" w:eastAsia="宋体" w:cs="宋体"/>
          <w:sz w:val="24"/>
        </w:rPr>
        <w:t>1.4.6提出质疑的日期；</w:t>
      </w:r>
    </w:p>
    <w:p w14:paraId="6F37B9ED">
      <w:pPr>
        <w:spacing w:line="360" w:lineRule="auto"/>
        <w:ind w:right="12" w:firstLine="480"/>
        <w:rPr>
          <w:rFonts w:hint="eastAsia" w:ascii="宋体" w:hAnsi="宋体" w:eastAsia="宋体" w:cs="宋体"/>
          <w:sz w:val="24"/>
        </w:rPr>
      </w:pPr>
      <w:r>
        <w:rPr>
          <w:rFonts w:hint="eastAsia" w:ascii="宋体" w:hAnsi="宋体" w:eastAsia="宋体" w:cs="宋体"/>
          <w:sz w:val="24"/>
        </w:rPr>
        <w:t>1.4.7营业执照（或事业单位法人证书，或个体工商户营业执照或有效的自然人身份证明、组织机构代码证）复印件；</w:t>
      </w:r>
    </w:p>
    <w:p w14:paraId="528CD513">
      <w:pPr>
        <w:spacing w:line="360" w:lineRule="auto"/>
        <w:ind w:right="12" w:firstLine="480"/>
        <w:rPr>
          <w:rFonts w:hint="eastAsia" w:ascii="宋体" w:hAnsi="宋体" w:eastAsia="宋体" w:cs="宋体"/>
          <w:sz w:val="24"/>
        </w:rPr>
      </w:pPr>
      <w:r>
        <w:rPr>
          <w:rFonts w:hint="eastAsia" w:ascii="宋体" w:hAnsi="宋体" w:eastAsia="宋体" w:cs="宋体"/>
          <w:sz w:val="24"/>
        </w:rPr>
        <w:t>1.4.8法定代表人授权委托书原件、法定代表人身份证复印件和其授权代表的身份证复印件（供应商为自然人的提供自然人身份证复印件）；</w:t>
      </w:r>
    </w:p>
    <w:p w14:paraId="0F60075B">
      <w:pPr>
        <w:spacing w:line="360" w:lineRule="auto"/>
        <w:ind w:right="12" w:firstLine="480"/>
        <w:rPr>
          <w:rFonts w:hint="eastAsia" w:ascii="宋体" w:hAnsi="宋体" w:eastAsia="宋体" w:cs="宋体"/>
          <w:sz w:val="24"/>
        </w:rPr>
      </w:pPr>
      <w:r>
        <w:rPr>
          <w:rFonts w:hint="eastAsia" w:ascii="宋体" w:hAnsi="宋体" w:eastAsia="宋体" w:cs="宋体"/>
          <w:sz w:val="24"/>
        </w:rPr>
        <w:t>1.5供应商为自然人的，质疑函应当由本人签字；供应商为法人或者其他组织的，质疑函应当由法定代表人、主要负责人，或者其授权代表签字或者盖章，并加盖公章。</w:t>
      </w:r>
    </w:p>
    <w:p w14:paraId="1811712F">
      <w:pPr>
        <w:spacing w:line="360" w:lineRule="auto"/>
        <w:ind w:right="12" w:firstLine="480"/>
        <w:rPr>
          <w:rFonts w:hint="eastAsia" w:ascii="宋体" w:hAnsi="宋体" w:eastAsia="宋体" w:cs="宋体"/>
          <w:sz w:val="24"/>
        </w:rPr>
      </w:pPr>
      <w:r>
        <w:rPr>
          <w:rFonts w:hint="eastAsia" w:ascii="宋体" w:hAnsi="宋体" w:eastAsia="宋体" w:cs="宋体"/>
          <w:sz w:val="24"/>
        </w:rPr>
        <w:t>2.质疑答复</w:t>
      </w:r>
    </w:p>
    <w:p w14:paraId="7C3F5ABD">
      <w:pPr>
        <w:spacing w:line="360" w:lineRule="auto"/>
        <w:ind w:right="12" w:firstLine="480"/>
        <w:rPr>
          <w:rFonts w:hint="eastAsia" w:ascii="宋体" w:hAnsi="宋体" w:eastAsia="宋体" w:cs="宋体"/>
          <w:sz w:val="24"/>
        </w:rPr>
      </w:pPr>
      <w:r>
        <w:rPr>
          <w:rFonts w:hint="eastAsia" w:ascii="宋体" w:hAnsi="宋体" w:eastAsia="宋体" w:cs="宋体"/>
          <w:sz w:val="24"/>
        </w:rPr>
        <w:t>采购人、采购代理机构应当在收到供应商的书面质疑后七个工作日内作出答复，并以书面形式通知质疑供应商和其他有关供应商。</w:t>
      </w:r>
    </w:p>
    <w:p w14:paraId="120D6B37">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3.其他</w:t>
      </w:r>
    </w:p>
    <w:p w14:paraId="4ACB82C4">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3.1供应商应按照《政府采购质疑和投诉办法》（财政部令第94号）及相关法律法规要求，在法定质疑期内一次性提出针对同一采购程序环节的质疑。</w:t>
      </w:r>
    </w:p>
    <w:p w14:paraId="3974C691">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3.2质疑函范本可在财政部门户网站和中国政府采购网下载。</w:t>
      </w:r>
    </w:p>
    <w:p w14:paraId="59C79186">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（二）投诉</w:t>
      </w:r>
    </w:p>
    <w:p w14:paraId="68905A49">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1.供应商对采购人、采购代理机构的答复不满意，或者采购人、采购代理机构未在规定时间内作出答复的，可以在答复期满后15个工作日内按照相关法律法规向监督部门提起投诉。</w:t>
      </w:r>
    </w:p>
    <w:p w14:paraId="59F89192">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2.供应商应按照《政府采购质疑和投诉办法》（财政部令第94号）及相关法律法规要求递交投诉书和必要的证明材料。投诉书范本可在财政部门户网站和中国政府采购网下载。</w:t>
      </w:r>
    </w:p>
    <w:p w14:paraId="3ADE069A">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6EDE122">
      <w:pPr>
        <w:spacing w:line="360" w:lineRule="auto"/>
        <w:ind w:right="12" w:firstLine="480"/>
        <w:rPr>
          <w:rFonts w:hint="eastAsia" w:ascii="宋体" w:hAnsi="宋体" w:eastAsia="宋体" w:cs="宋体"/>
          <w:sz w:val="24"/>
          <w:szCs w:val="22"/>
        </w:rPr>
      </w:pPr>
      <w:r>
        <w:rPr>
          <w:rFonts w:hint="eastAsia" w:ascii="宋体" w:hAnsi="宋体" w:eastAsia="宋体" w:cs="宋体"/>
          <w:sz w:val="24"/>
          <w:szCs w:val="22"/>
        </w:rPr>
        <w:t>4.在确定受理投诉后，监督部门自受理投诉之日起30个工作日内（需要检验、检测、鉴定、专家评审以及需要投诉人补正材料的，所需时间不计算在投诉处理期限内）对投诉事项做出处理决定。</w:t>
      </w:r>
    </w:p>
    <w:p w14:paraId="3043A5BF">
      <w:pPr>
        <w:pStyle w:val="4"/>
        <w:spacing w:before="0" w:after="0" w:line="360" w:lineRule="auto"/>
        <w:rPr>
          <w:rFonts w:hint="eastAsia" w:ascii="宋体" w:hAnsi="宋体" w:eastAsia="宋体" w:cs="宋体"/>
          <w:sz w:val="24"/>
          <w:szCs w:val="24"/>
        </w:rPr>
      </w:pPr>
      <w:bookmarkStart w:id="100" w:name="_Toc102227322"/>
      <w:bookmarkStart w:id="101" w:name="_Toc342913396"/>
      <w:bookmarkStart w:id="102" w:name="_Toc27188"/>
      <w:bookmarkStart w:id="103" w:name="_Toc11641055"/>
      <w:bookmarkStart w:id="104" w:name="_Toc12789059"/>
      <w:r>
        <w:rPr>
          <w:rFonts w:hint="eastAsia" w:ascii="宋体" w:hAnsi="宋体" w:eastAsia="宋体" w:cs="宋体"/>
          <w:sz w:val="24"/>
          <w:szCs w:val="24"/>
        </w:rPr>
        <w:t>八、签订</w:t>
      </w:r>
      <w:bookmarkEnd w:id="100"/>
      <w:r>
        <w:rPr>
          <w:rFonts w:hint="eastAsia" w:ascii="宋体" w:hAnsi="宋体" w:eastAsia="宋体" w:cs="宋体"/>
          <w:sz w:val="24"/>
          <w:szCs w:val="24"/>
        </w:rPr>
        <w:t>合同</w:t>
      </w:r>
      <w:bookmarkEnd w:id="101"/>
      <w:bookmarkEnd w:id="102"/>
    </w:p>
    <w:p w14:paraId="159FCFF5">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016678A0">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（二）竞争性磋商文件、供应商的响应文件及澄清文件等，均为签订采购合同的依据。</w:t>
      </w:r>
    </w:p>
    <w:p w14:paraId="246A5909">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（三）合同生效条款由供需双方约定，法律、行政法规规定应当办理批准、登记等手续后生效的合同，依照其规定。</w:t>
      </w:r>
    </w:p>
    <w:p w14:paraId="210AC312">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（四）合同原则上应按照《采购合同》签订，相关单位要求适用合同通用格式版本的，应按其要求另行签订其他合同。</w:t>
      </w:r>
    </w:p>
    <w:p w14:paraId="57AD8253">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（五）采购人要求成交供应商提供履约保证金的，应当在竞争性磋商文件中予以约定。成交供应商履约完毕后，采购人应于五日内无息退还其履约保证金。</w:t>
      </w:r>
    </w:p>
    <w:p w14:paraId="0BBB57C9">
      <w:pPr>
        <w:spacing w:line="400" w:lineRule="exact"/>
        <w:ind w:firstLine="480" w:firstLineChars="200"/>
        <w:rPr>
          <w:rFonts w:hint="eastAsia" w:ascii="宋体" w:hAnsi="宋体" w:eastAsia="宋体" w:cs="宋体"/>
          <w:sz w:val="24"/>
          <w:szCs w:val="24"/>
        </w:rPr>
      </w:pPr>
    </w:p>
    <w:p w14:paraId="4AC43D90">
      <w:pPr>
        <w:pStyle w:val="84"/>
        <w:rPr>
          <w:rFonts w:hint="eastAsia" w:ascii="宋体" w:hAnsi="宋体" w:eastAsia="宋体" w:cs="宋体"/>
          <w:sz w:val="24"/>
          <w:szCs w:val="24"/>
        </w:rPr>
      </w:pPr>
    </w:p>
    <w:p w14:paraId="4EB766CE">
      <w:pPr>
        <w:pStyle w:val="84"/>
        <w:rPr>
          <w:rFonts w:hint="eastAsia" w:ascii="宋体" w:hAnsi="宋体" w:eastAsia="宋体" w:cs="宋体"/>
          <w:sz w:val="24"/>
          <w:szCs w:val="24"/>
        </w:rPr>
      </w:pPr>
    </w:p>
    <w:p w14:paraId="05393E3E">
      <w:pPr>
        <w:pStyle w:val="84"/>
        <w:rPr>
          <w:rFonts w:hint="eastAsia" w:ascii="宋体" w:hAnsi="宋体" w:eastAsia="宋体" w:cs="宋体"/>
          <w:sz w:val="24"/>
          <w:szCs w:val="24"/>
        </w:rPr>
      </w:pPr>
    </w:p>
    <w:p w14:paraId="54EF4240">
      <w:pPr>
        <w:pStyle w:val="84"/>
        <w:rPr>
          <w:rFonts w:hint="eastAsia" w:ascii="宋体" w:hAnsi="宋体" w:eastAsia="宋体" w:cs="宋体"/>
          <w:sz w:val="24"/>
          <w:szCs w:val="24"/>
        </w:rPr>
      </w:pPr>
    </w:p>
    <w:p w14:paraId="4D339F71">
      <w:pPr>
        <w:pStyle w:val="84"/>
        <w:rPr>
          <w:rFonts w:hint="eastAsia" w:ascii="宋体" w:hAnsi="宋体" w:eastAsia="宋体" w:cs="宋体"/>
          <w:sz w:val="24"/>
          <w:szCs w:val="24"/>
        </w:rPr>
      </w:pPr>
    </w:p>
    <w:p w14:paraId="6443F94F">
      <w:pPr>
        <w:pStyle w:val="84"/>
        <w:rPr>
          <w:rFonts w:hint="eastAsia" w:ascii="宋体" w:hAnsi="宋体" w:eastAsia="宋体" w:cs="宋体"/>
          <w:sz w:val="24"/>
          <w:szCs w:val="24"/>
        </w:rPr>
      </w:pPr>
    </w:p>
    <w:p w14:paraId="5947B515">
      <w:pPr>
        <w:pStyle w:val="84"/>
        <w:rPr>
          <w:rFonts w:hint="eastAsia" w:ascii="宋体" w:hAnsi="宋体" w:eastAsia="宋体" w:cs="宋体"/>
          <w:sz w:val="24"/>
          <w:szCs w:val="24"/>
        </w:rPr>
      </w:pPr>
    </w:p>
    <w:p w14:paraId="4078537D">
      <w:pPr>
        <w:pStyle w:val="84"/>
        <w:rPr>
          <w:rFonts w:hint="eastAsia" w:ascii="宋体" w:hAnsi="宋体" w:eastAsia="宋体" w:cs="宋体"/>
          <w:sz w:val="24"/>
          <w:szCs w:val="24"/>
        </w:rPr>
      </w:pPr>
    </w:p>
    <w:p w14:paraId="603B339A">
      <w:pPr>
        <w:pStyle w:val="84"/>
        <w:rPr>
          <w:rFonts w:hint="eastAsia" w:ascii="宋体" w:hAnsi="宋体" w:eastAsia="宋体" w:cs="宋体"/>
          <w:sz w:val="24"/>
          <w:szCs w:val="24"/>
        </w:rPr>
      </w:pPr>
    </w:p>
    <w:p w14:paraId="0C312900">
      <w:pPr>
        <w:pStyle w:val="84"/>
        <w:rPr>
          <w:rFonts w:hint="eastAsia" w:ascii="宋体" w:hAnsi="宋体" w:eastAsia="宋体" w:cs="宋体"/>
          <w:sz w:val="24"/>
          <w:szCs w:val="24"/>
        </w:rPr>
      </w:pPr>
    </w:p>
    <w:p w14:paraId="3E6F901F">
      <w:pPr>
        <w:pStyle w:val="84"/>
        <w:rPr>
          <w:rFonts w:hint="eastAsia" w:ascii="宋体" w:hAnsi="宋体" w:eastAsia="宋体" w:cs="宋体"/>
          <w:sz w:val="24"/>
          <w:szCs w:val="24"/>
        </w:rPr>
      </w:pPr>
    </w:p>
    <w:p w14:paraId="3CA25EE9">
      <w:pPr>
        <w:pStyle w:val="3"/>
        <w:spacing w:line="360" w:lineRule="auto"/>
        <w:jc w:val="center"/>
        <w:rPr>
          <w:rFonts w:hint="eastAsia" w:ascii="宋体" w:hAnsi="宋体" w:eastAsia="宋体" w:cs="宋体"/>
          <w:b w:val="0"/>
          <w:sz w:val="44"/>
        </w:rPr>
      </w:pPr>
      <w:r>
        <w:rPr>
          <w:rFonts w:hint="eastAsia" w:ascii="宋体" w:hAnsi="宋体" w:eastAsia="宋体" w:cs="宋体"/>
          <w:b w:val="0"/>
          <w:sz w:val="36"/>
          <w:szCs w:val="30"/>
        </w:rPr>
        <w:br w:type="page"/>
      </w:r>
      <w:bookmarkEnd w:id="103"/>
      <w:bookmarkEnd w:id="104"/>
      <w:bookmarkStart w:id="105" w:name="_Toc916"/>
      <w:bookmarkStart w:id="106" w:name="_Toc20872"/>
      <w:r>
        <w:rPr>
          <w:rFonts w:hint="eastAsia" w:ascii="宋体" w:hAnsi="宋体" w:eastAsia="宋体" w:cs="宋体"/>
          <w:color w:val="000000"/>
          <w:sz w:val="36"/>
          <w:szCs w:val="30"/>
        </w:rPr>
        <w:t>第六篇  合同草案条款和格式合同</w:t>
      </w:r>
      <w:bookmarkEnd w:id="105"/>
      <w:bookmarkEnd w:id="106"/>
    </w:p>
    <w:p w14:paraId="088F3D0C">
      <w:pPr>
        <w:snapToGrid w:val="0"/>
        <w:spacing w:line="360" w:lineRule="auto"/>
        <w:ind w:firstLine="600" w:firstLineChars="250"/>
        <w:outlineLvl w:val="0"/>
        <w:rPr>
          <w:rFonts w:hint="eastAsia" w:ascii="宋体" w:hAnsi="宋体" w:eastAsia="宋体" w:cs="宋体"/>
          <w:bCs/>
          <w:color w:val="000000"/>
          <w:sz w:val="24"/>
        </w:rPr>
      </w:pPr>
      <w:r>
        <w:rPr>
          <w:rFonts w:hint="eastAsia" w:ascii="宋体" w:hAnsi="宋体" w:eastAsia="宋体" w:cs="宋体"/>
          <w:bCs/>
          <w:color w:val="000000"/>
          <w:sz w:val="24"/>
        </w:rPr>
        <w:t>一、定义</w:t>
      </w:r>
    </w:p>
    <w:p w14:paraId="60474B52">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（一）甲方（需方）即采购人，是指通过网上竞采，接受合同货物和服务的各级国家机关、事业单位和团体组织。</w:t>
      </w:r>
    </w:p>
    <w:p w14:paraId="3E489DD5">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（二）乙方（供方）即成交供应商，是指成交后提供合同货物和服务的自然人、法人及其他组织。</w:t>
      </w:r>
    </w:p>
    <w:p w14:paraId="3E159C3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（三）合同是指由甲乙双方按照竞争性磋商文件和响应文件的实质性内容，通过协商一致达成的书面协议。</w:t>
      </w:r>
    </w:p>
    <w:p w14:paraId="3376840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（四）合同价格指以成交价格为依据，在供方全面履行合同义务后，需方（或财政部门）应支付给供方的金额。</w:t>
      </w:r>
    </w:p>
    <w:p w14:paraId="3268B08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二、服务内容</w:t>
      </w:r>
    </w:p>
    <w:p w14:paraId="5747C82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合同包括以下内容</w:t>
      </w:r>
      <w:r>
        <w:rPr>
          <w:rFonts w:hint="eastAsia" w:ascii="宋体" w:hAnsi="宋体" w:eastAsia="宋体" w:cs="宋体"/>
          <w:bCs/>
          <w:color w:val="000000"/>
          <w:sz w:val="24"/>
          <w:szCs w:val="22"/>
        </w:rPr>
        <w:t>：服务名称、服务时间、服务地点、质量要求、服务要求等内容。</w:t>
      </w:r>
    </w:p>
    <w:p w14:paraId="5AD24241">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三、合同价格</w:t>
      </w:r>
    </w:p>
    <w:p w14:paraId="6BCF8569">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（一）合同价格即合同总价。</w:t>
      </w:r>
    </w:p>
    <w:p w14:paraId="53367EC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szCs w:val="22"/>
        </w:rPr>
        <w:t>（二）合同价格包括提供服务所需提供的所有人、财、物、税费等一切费用，所有税费由乙方负担。</w:t>
      </w:r>
    </w:p>
    <w:p w14:paraId="2716559A">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（三）合同价格为不变价。</w:t>
      </w:r>
    </w:p>
    <w:p w14:paraId="258B763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四、转包或分包</w:t>
      </w:r>
    </w:p>
    <w:p w14:paraId="70162A08">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（一）本合同范围的服务，应由乙方直接供应，不得转让他人供应；</w:t>
      </w:r>
    </w:p>
    <w:p w14:paraId="5BB5D213">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（二）非经甲方书面同意，乙方不得将本合同范围的服务全部或部分分包给他人供应；</w:t>
      </w:r>
    </w:p>
    <w:p w14:paraId="56D25ED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（三）如有转让和未经甲方同意的分包行为，甲方有权解除合同，没收履约保证金并追究乙方的违约责任。</w:t>
      </w:r>
    </w:p>
    <w:p w14:paraId="4DA3CD75">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五、质量保证及售后服务</w:t>
      </w:r>
    </w:p>
    <w:p w14:paraId="5B287B57">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（一）乙方应按竞争性磋商文件规定的服务要求、质量标准向甲方保质保量的提供服务。</w:t>
      </w:r>
    </w:p>
    <w:p w14:paraId="1DCD4475">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（二）乙方提供的服务如果存在质量问题，乙方应负责更正。对达不到服务要求者，根据实际情况，经双方协商，可按以下办法处理：</w:t>
      </w:r>
    </w:p>
    <w:p w14:paraId="270FD419">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1.重做：由乙方承担所发生的全部费用。</w:t>
      </w:r>
    </w:p>
    <w:p w14:paraId="195C2774">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2.乙方应对服务过程中出现的安全问题负责处理解决并承担一切费用。</w:t>
      </w:r>
    </w:p>
    <w:p w14:paraId="0C5265DF">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（三）如在使用过程中发生质量问题，乙方应同本项目“第三篇 磋商项目商务需求”对</w:t>
      </w:r>
      <w:r>
        <w:rPr>
          <w:rFonts w:hint="eastAsia" w:ascii="宋体" w:hAnsi="宋体" w:eastAsia="宋体" w:cs="宋体"/>
          <w:color w:val="000000"/>
          <w:sz w:val="24"/>
          <w:szCs w:val="24"/>
        </w:rPr>
        <w:t>质量保证期及售后服务</w:t>
      </w:r>
      <w:r>
        <w:rPr>
          <w:rFonts w:hint="eastAsia" w:ascii="宋体" w:hAnsi="宋体" w:eastAsia="宋体" w:cs="宋体"/>
          <w:bCs/>
          <w:color w:val="000000"/>
          <w:sz w:val="24"/>
        </w:rPr>
        <w:t>内容的约定。</w:t>
      </w:r>
    </w:p>
    <w:p w14:paraId="3B943EB9">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（四）在质保期内，乙方应对货物或服务出现的质量及安全问题负责处理解决并承担一切费用。</w:t>
      </w:r>
    </w:p>
    <w:p w14:paraId="5DBE0640">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六、付款</w:t>
      </w:r>
    </w:p>
    <w:p w14:paraId="1515683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（一）本合同使用货币币制如未作特别说明均为人民币。</w:t>
      </w:r>
    </w:p>
    <w:p w14:paraId="2F2D43DE">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（二）付款方式：银行转账、现金支票。</w:t>
      </w:r>
    </w:p>
    <w:p w14:paraId="69219280">
      <w:pPr>
        <w:snapToGrid w:val="0"/>
        <w:spacing w:line="360" w:lineRule="auto"/>
        <w:ind w:firstLine="360" w:firstLineChars="150"/>
        <w:jc w:val="left"/>
        <w:outlineLvl w:val="0"/>
        <w:rPr>
          <w:rFonts w:hint="eastAsia" w:ascii="宋体" w:hAnsi="宋体" w:eastAsia="宋体" w:cs="宋体"/>
          <w:bCs/>
          <w:color w:val="000000"/>
          <w:sz w:val="24"/>
        </w:rPr>
      </w:pPr>
      <w:r>
        <w:rPr>
          <w:rFonts w:hint="eastAsia" w:ascii="宋体" w:hAnsi="宋体" w:eastAsia="宋体" w:cs="宋体"/>
          <w:bCs/>
          <w:color w:val="000000"/>
          <w:sz w:val="24"/>
        </w:rPr>
        <w:t>（三）付款方法：同本项目“第三篇 磋商项目商务需求”中关于付款方式的约定。</w:t>
      </w:r>
    </w:p>
    <w:p w14:paraId="5856E1A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七、检查验收</w:t>
      </w:r>
    </w:p>
    <w:p w14:paraId="665D5D52">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（一）供方所供服务的各种指标不得低于竞争性磋商文件和响应文件的约定，服务质量要求按照竞争性磋商文件 和响应文件的内容执行。</w:t>
      </w:r>
    </w:p>
    <w:p w14:paraId="19E2F693">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（二）验收报告应由需方、供方经办人签字，并加盖双方公章，以此作为支付凭据。</w:t>
      </w:r>
    </w:p>
    <w:p w14:paraId="67C21F5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八、索赔</w:t>
      </w:r>
    </w:p>
    <w:p w14:paraId="3EF06330">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供方对所提供服务与合同要求不符负有责任，并且需方提出索赔，供方应按需方同意的下述一种或多种方法解决索赔事宜。</w:t>
      </w:r>
    </w:p>
    <w:p w14:paraId="673FF3FA">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（一）供方同意需方拒绝服务并把拒绝部分的金额以合同规定的同类货币付给需方，供方负担发生的一切损失和费用。</w:t>
      </w:r>
    </w:p>
    <w:p w14:paraId="2BEF5D55">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（二）根据服务的疵劣和受损程度以及需方遭受损失的金额，经双方同意降低服务价格。</w:t>
      </w:r>
    </w:p>
    <w:p w14:paraId="05473C56">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九、知识产权</w:t>
      </w:r>
    </w:p>
    <w:p w14:paraId="68001DC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szCs w:val="22"/>
        </w:rPr>
        <w:t>（一）甲方在中华人民共和国境内使用</w:t>
      </w:r>
      <w:r>
        <w:rPr>
          <w:rFonts w:hint="eastAsia" w:ascii="宋体" w:hAnsi="宋体" w:eastAsia="宋体" w:cs="宋体"/>
          <w:bCs/>
          <w:color w:val="000000"/>
          <w:sz w:val="24"/>
        </w:rPr>
        <w:t>乙方提供的货物及服务时免受第三方提出的侵犯其专利权或其它知识产权的起诉。如果第三方提出侵权指控，乙方承担由此而引起的一切法律责任和费用。</w:t>
      </w:r>
    </w:p>
    <w:p w14:paraId="5A3CDA3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（二）若涉及软件开发等服务类项目知识产权的，知识产权归采购人所有。</w:t>
      </w:r>
    </w:p>
    <w:p w14:paraId="2ACEA6A3">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十、合同争议的解决</w:t>
      </w:r>
    </w:p>
    <w:p w14:paraId="7893DDF9">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（一）当事人友好协商达成一致</w:t>
      </w:r>
    </w:p>
    <w:p w14:paraId="4F7AB9C8">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（二）在60天内当事人协商不能达成协议的，可提请采购人当地仲裁机构仲裁。</w:t>
      </w:r>
    </w:p>
    <w:p w14:paraId="3198CD8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十一、违约责任</w:t>
      </w:r>
    </w:p>
    <w:p w14:paraId="1D877853">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按《中华人民共和国民法典》、《中华人民共和国政府采购法》有关条款，或由供需双方约定。</w:t>
      </w:r>
    </w:p>
    <w:p w14:paraId="43D14DA1">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十二、合同生效及其它</w:t>
      </w:r>
    </w:p>
    <w:p w14:paraId="1FC1D38E">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（一）合同生效及其效力应符合《中华人民共和国民法典》有关规定。</w:t>
      </w:r>
    </w:p>
    <w:p w14:paraId="1C450B9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（二）合同应经当事人法定代表人或委托代理人签字，加盖双方合同专用章或公章。</w:t>
      </w:r>
    </w:p>
    <w:p w14:paraId="6184314F">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（三）合同所包括附件，是合同不可分割的一部分，具有同等法法律效力。</w:t>
      </w:r>
    </w:p>
    <w:p w14:paraId="456AF04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（四）合同需提供担保的，按《中华人民共和国担保法》规定执行。</w:t>
      </w:r>
    </w:p>
    <w:p w14:paraId="037D2BB6">
      <w:pPr>
        <w:spacing w:line="360" w:lineRule="auto"/>
        <w:jc w:val="center"/>
        <w:rPr>
          <w:rFonts w:hint="eastAsia" w:ascii="宋体" w:hAnsi="宋体" w:eastAsia="宋体" w:cs="宋体"/>
          <w:b/>
          <w:sz w:val="32"/>
          <w:szCs w:val="32"/>
        </w:rPr>
      </w:pPr>
      <w:r>
        <w:rPr>
          <w:rFonts w:hint="eastAsia" w:ascii="宋体" w:hAnsi="宋体" w:eastAsia="宋体" w:cs="宋体"/>
          <w:bCs/>
          <w:color w:val="000000"/>
          <w:sz w:val="24"/>
        </w:rPr>
        <w:t xml:space="preserve">   （五）本合同条件未尽事宜依照《中华人民共和国民法典》，由供需双方共同协商确定。</w:t>
      </w:r>
    </w:p>
    <w:p w14:paraId="788506B0">
      <w:pPr>
        <w:spacing w:line="500" w:lineRule="exact"/>
        <w:jc w:val="center"/>
        <w:rPr>
          <w:rFonts w:hint="eastAsia" w:ascii="宋体" w:hAnsi="宋体" w:eastAsia="宋体" w:cs="宋体"/>
          <w:b/>
          <w:sz w:val="32"/>
          <w:szCs w:val="32"/>
        </w:rPr>
      </w:pPr>
    </w:p>
    <w:p w14:paraId="385917FD">
      <w:pPr>
        <w:pStyle w:val="4"/>
        <w:rPr>
          <w:rFonts w:hint="eastAsia" w:ascii="宋体" w:hAnsi="宋体" w:eastAsia="宋体" w:cs="宋体"/>
          <w:b w:val="0"/>
          <w:szCs w:val="32"/>
        </w:rPr>
      </w:pPr>
    </w:p>
    <w:p w14:paraId="7310D5E1">
      <w:pPr>
        <w:rPr>
          <w:rFonts w:hint="eastAsia" w:ascii="宋体" w:hAnsi="宋体" w:eastAsia="宋体" w:cs="宋体"/>
          <w:b/>
          <w:sz w:val="32"/>
          <w:szCs w:val="32"/>
        </w:rPr>
      </w:pPr>
    </w:p>
    <w:p w14:paraId="22B0C1E6">
      <w:pPr>
        <w:pStyle w:val="4"/>
        <w:rPr>
          <w:rFonts w:hint="eastAsia" w:ascii="宋体" w:hAnsi="宋体" w:eastAsia="宋体" w:cs="宋体"/>
          <w:b w:val="0"/>
          <w:szCs w:val="32"/>
        </w:rPr>
      </w:pPr>
    </w:p>
    <w:p w14:paraId="469EF080">
      <w:pPr>
        <w:rPr>
          <w:rFonts w:hint="eastAsia" w:ascii="宋体" w:hAnsi="宋体" w:eastAsia="宋体" w:cs="宋体"/>
          <w:b/>
          <w:sz w:val="32"/>
          <w:szCs w:val="32"/>
        </w:rPr>
      </w:pPr>
    </w:p>
    <w:p w14:paraId="09C2CDAB">
      <w:pPr>
        <w:pStyle w:val="4"/>
        <w:rPr>
          <w:rFonts w:hint="eastAsia" w:ascii="宋体" w:hAnsi="宋体" w:eastAsia="宋体" w:cs="宋体"/>
          <w:b w:val="0"/>
          <w:szCs w:val="32"/>
        </w:rPr>
      </w:pPr>
    </w:p>
    <w:p w14:paraId="540B011D">
      <w:pPr>
        <w:rPr>
          <w:rFonts w:hint="eastAsia" w:ascii="宋体" w:hAnsi="宋体" w:eastAsia="宋体" w:cs="宋体"/>
          <w:b/>
          <w:sz w:val="32"/>
          <w:szCs w:val="32"/>
        </w:rPr>
      </w:pPr>
    </w:p>
    <w:p w14:paraId="54305085">
      <w:pPr>
        <w:pStyle w:val="4"/>
        <w:rPr>
          <w:rFonts w:hint="eastAsia" w:ascii="宋体" w:hAnsi="宋体" w:eastAsia="宋体" w:cs="宋体"/>
          <w:b w:val="0"/>
          <w:szCs w:val="32"/>
        </w:rPr>
      </w:pPr>
    </w:p>
    <w:p w14:paraId="4006A78B">
      <w:pPr>
        <w:rPr>
          <w:rFonts w:hint="eastAsia" w:ascii="宋体" w:hAnsi="宋体" w:eastAsia="宋体" w:cs="宋体"/>
          <w:b/>
          <w:sz w:val="32"/>
          <w:szCs w:val="32"/>
        </w:rPr>
      </w:pPr>
    </w:p>
    <w:p w14:paraId="04C6F627">
      <w:pPr>
        <w:pStyle w:val="4"/>
        <w:rPr>
          <w:rFonts w:hint="eastAsia" w:ascii="宋体" w:hAnsi="宋体" w:eastAsia="宋体" w:cs="宋体"/>
          <w:b w:val="0"/>
          <w:szCs w:val="32"/>
        </w:rPr>
      </w:pPr>
    </w:p>
    <w:p w14:paraId="38FD49B3">
      <w:pPr>
        <w:rPr>
          <w:rFonts w:hint="eastAsia" w:ascii="宋体" w:hAnsi="宋体" w:eastAsia="宋体" w:cs="宋体"/>
          <w:b/>
          <w:sz w:val="32"/>
          <w:szCs w:val="32"/>
        </w:rPr>
      </w:pPr>
    </w:p>
    <w:p w14:paraId="02A576C7">
      <w:pPr>
        <w:pStyle w:val="4"/>
        <w:rPr>
          <w:rFonts w:hint="eastAsia" w:ascii="宋体" w:hAnsi="宋体" w:eastAsia="宋体" w:cs="宋体"/>
        </w:rPr>
      </w:pPr>
    </w:p>
    <w:p w14:paraId="74DCC640">
      <w:pPr>
        <w:rPr>
          <w:rFonts w:hint="eastAsia" w:ascii="宋体" w:hAnsi="宋体" w:eastAsia="宋体" w:cs="宋体"/>
          <w:b/>
          <w:sz w:val="32"/>
          <w:szCs w:val="32"/>
        </w:rPr>
      </w:pPr>
    </w:p>
    <w:p w14:paraId="61A906AA">
      <w:pPr>
        <w:pStyle w:val="4"/>
        <w:tabs>
          <w:tab w:val="left" w:pos="1274"/>
        </w:tabs>
        <w:rPr>
          <w:rFonts w:hint="eastAsia" w:ascii="宋体" w:hAnsi="宋体" w:eastAsia="宋体" w:cs="宋体"/>
        </w:rPr>
      </w:pPr>
      <w:r>
        <w:rPr>
          <w:rFonts w:hint="eastAsia" w:ascii="宋体" w:hAnsi="宋体" w:eastAsia="宋体" w:cs="宋体"/>
        </w:rPr>
        <w:tab/>
      </w:r>
    </w:p>
    <w:p w14:paraId="333ADC4E">
      <w:pPr>
        <w:rPr>
          <w:rFonts w:hint="eastAsia" w:ascii="宋体" w:hAnsi="宋体" w:eastAsia="宋体" w:cs="宋体"/>
        </w:rPr>
      </w:pPr>
    </w:p>
    <w:p w14:paraId="1FD9FCBB">
      <w:pPr>
        <w:rPr>
          <w:rFonts w:hint="eastAsia" w:ascii="宋体" w:hAnsi="宋体" w:eastAsia="宋体" w:cs="宋体"/>
        </w:rPr>
      </w:pPr>
    </w:p>
    <w:p w14:paraId="7427C6D8">
      <w:pPr>
        <w:pStyle w:val="220"/>
        <w:rPr>
          <w:rFonts w:hint="eastAsia" w:ascii="宋体" w:hAnsi="宋体" w:eastAsia="宋体" w:cs="宋体"/>
        </w:rPr>
      </w:pPr>
    </w:p>
    <w:p w14:paraId="41047995">
      <w:pPr>
        <w:rPr>
          <w:rFonts w:hint="eastAsia" w:ascii="宋体" w:hAnsi="宋体" w:eastAsia="宋体" w:cs="宋体"/>
        </w:rPr>
      </w:pPr>
      <w:bookmarkStart w:id="107" w:name="_Toc148265480"/>
      <w:bookmarkStart w:id="108" w:name="_Toc303945820"/>
      <w:r>
        <w:rPr>
          <w:rFonts w:hint="eastAsia" w:ascii="宋体" w:hAnsi="宋体" w:eastAsia="宋体" w:cs="宋体"/>
          <w:color w:val="000000"/>
          <w:sz w:val="24"/>
        </w:rPr>
        <w:t>附页：合同格式</w:t>
      </w:r>
      <w:bookmarkEnd w:id="107"/>
      <w:bookmarkEnd w:id="108"/>
    </w:p>
    <w:p w14:paraId="0A78DD8D">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采购合同</w:t>
      </w:r>
    </w:p>
    <w:p w14:paraId="74926600">
      <w:pPr>
        <w:spacing w:line="500" w:lineRule="exact"/>
        <w:rPr>
          <w:rFonts w:hint="eastAsia" w:ascii="宋体" w:hAnsi="宋体" w:eastAsia="宋体" w:cs="宋体"/>
          <w:sz w:val="24"/>
        </w:rPr>
      </w:pPr>
    </w:p>
    <w:p w14:paraId="62846C9E">
      <w:pPr>
        <w:spacing w:line="50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14:paraId="5D66EB28">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14:paraId="41BF54E0">
      <w:pPr>
        <w:spacing w:line="500" w:lineRule="exact"/>
        <w:rPr>
          <w:rFonts w:hint="eastAsia" w:ascii="宋体" w:hAnsi="宋体" w:eastAsia="宋体" w:cs="宋体"/>
          <w:sz w:val="24"/>
        </w:rPr>
      </w:pPr>
    </w:p>
    <w:p w14:paraId="069A554F">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1984"/>
        <w:gridCol w:w="1559"/>
        <w:gridCol w:w="1567"/>
        <w:gridCol w:w="15"/>
      </w:tblGrid>
      <w:tr w14:paraId="24F4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14:paraId="0918095B">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名称</w:t>
            </w:r>
          </w:p>
        </w:tc>
        <w:tc>
          <w:tcPr>
            <w:tcW w:w="2529" w:type="dxa"/>
            <w:vAlign w:val="center"/>
          </w:tcPr>
          <w:p w14:paraId="0443F5BA">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数量</w:t>
            </w:r>
          </w:p>
        </w:tc>
        <w:tc>
          <w:tcPr>
            <w:tcW w:w="2432" w:type="dxa"/>
            <w:gridSpan w:val="2"/>
            <w:vAlign w:val="center"/>
          </w:tcPr>
          <w:p w14:paraId="13C3854D">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总价</w:t>
            </w:r>
          </w:p>
        </w:tc>
        <w:tc>
          <w:tcPr>
            <w:tcW w:w="1559" w:type="dxa"/>
            <w:vAlign w:val="center"/>
          </w:tcPr>
          <w:p w14:paraId="08E493C8">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服务时间</w:t>
            </w:r>
          </w:p>
        </w:tc>
        <w:tc>
          <w:tcPr>
            <w:tcW w:w="1567" w:type="dxa"/>
            <w:vAlign w:val="center"/>
          </w:tcPr>
          <w:p w14:paraId="54D4F953">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服务地点</w:t>
            </w:r>
          </w:p>
        </w:tc>
      </w:tr>
      <w:tr w14:paraId="7005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4C67D5B6">
            <w:pPr>
              <w:spacing w:line="240" w:lineRule="atLeast"/>
              <w:jc w:val="center"/>
              <w:rPr>
                <w:rFonts w:hint="eastAsia" w:ascii="宋体" w:hAnsi="宋体" w:eastAsia="宋体" w:cs="宋体"/>
                <w:sz w:val="24"/>
                <w:szCs w:val="24"/>
              </w:rPr>
            </w:pPr>
          </w:p>
        </w:tc>
        <w:tc>
          <w:tcPr>
            <w:tcW w:w="2529" w:type="dxa"/>
            <w:vAlign w:val="center"/>
          </w:tcPr>
          <w:p w14:paraId="30F59AAC">
            <w:pPr>
              <w:spacing w:line="240" w:lineRule="atLeast"/>
              <w:jc w:val="center"/>
              <w:rPr>
                <w:rFonts w:hint="eastAsia" w:ascii="宋体" w:hAnsi="宋体" w:eastAsia="宋体" w:cs="宋体"/>
                <w:sz w:val="24"/>
                <w:szCs w:val="24"/>
              </w:rPr>
            </w:pPr>
          </w:p>
        </w:tc>
        <w:tc>
          <w:tcPr>
            <w:tcW w:w="2432" w:type="dxa"/>
            <w:gridSpan w:val="2"/>
            <w:vAlign w:val="center"/>
          </w:tcPr>
          <w:p w14:paraId="03477B77">
            <w:pPr>
              <w:spacing w:line="240" w:lineRule="atLeast"/>
              <w:jc w:val="center"/>
              <w:rPr>
                <w:rFonts w:hint="eastAsia" w:ascii="宋体" w:hAnsi="宋体" w:eastAsia="宋体" w:cs="宋体"/>
                <w:sz w:val="24"/>
                <w:szCs w:val="24"/>
              </w:rPr>
            </w:pPr>
          </w:p>
        </w:tc>
        <w:tc>
          <w:tcPr>
            <w:tcW w:w="1559" w:type="dxa"/>
            <w:vAlign w:val="center"/>
          </w:tcPr>
          <w:p w14:paraId="0CB6AF61">
            <w:pPr>
              <w:spacing w:line="240" w:lineRule="atLeast"/>
              <w:jc w:val="center"/>
              <w:rPr>
                <w:rFonts w:hint="eastAsia" w:ascii="宋体" w:hAnsi="宋体" w:eastAsia="宋体" w:cs="宋体"/>
                <w:sz w:val="24"/>
                <w:szCs w:val="24"/>
              </w:rPr>
            </w:pPr>
          </w:p>
        </w:tc>
        <w:tc>
          <w:tcPr>
            <w:tcW w:w="1567" w:type="dxa"/>
            <w:vAlign w:val="center"/>
          </w:tcPr>
          <w:p w14:paraId="37700D3A">
            <w:pPr>
              <w:spacing w:line="240" w:lineRule="atLeast"/>
              <w:jc w:val="center"/>
              <w:rPr>
                <w:rFonts w:hint="eastAsia" w:ascii="宋体" w:hAnsi="宋体" w:eastAsia="宋体" w:cs="宋体"/>
                <w:sz w:val="24"/>
                <w:szCs w:val="24"/>
              </w:rPr>
            </w:pPr>
          </w:p>
        </w:tc>
      </w:tr>
      <w:tr w14:paraId="66F8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56E4CE07">
            <w:pPr>
              <w:spacing w:line="240" w:lineRule="atLeast"/>
              <w:jc w:val="center"/>
              <w:rPr>
                <w:rFonts w:hint="eastAsia" w:ascii="宋体" w:hAnsi="宋体" w:eastAsia="宋体" w:cs="宋体"/>
                <w:sz w:val="24"/>
                <w:szCs w:val="24"/>
              </w:rPr>
            </w:pPr>
          </w:p>
        </w:tc>
        <w:tc>
          <w:tcPr>
            <w:tcW w:w="2529" w:type="dxa"/>
            <w:vAlign w:val="center"/>
          </w:tcPr>
          <w:p w14:paraId="79871863">
            <w:pPr>
              <w:spacing w:line="240" w:lineRule="atLeast"/>
              <w:jc w:val="center"/>
              <w:rPr>
                <w:rFonts w:hint="eastAsia" w:ascii="宋体" w:hAnsi="宋体" w:eastAsia="宋体" w:cs="宋体"/>
                <w:sz w:val="24"/>
                <w:szCs w:val="24"/>
              </w:rPr>
            </w:pPr>
          </w:p>
        </w:tc>
        <w:tc>
          <w:tcPr>
            <w:tcW w:w="2432" w:type="dxa"/>
            <w:gridSpan w:val="2"/>
            <w:vAlign w:val="center"/>
          </w:tcPr>
          <w:p w14:paraId="6D913747">
            <w:pPr>
              <w:spacing w:line="240" w:lineRule="atLeast"/>
              <w:jc w:val="center"/>
              <w:rPr>
                <w:rFonts w:hint="eastAsia" w:ascii="宋体" w:hAnsi="宋体" w:eastAsia="宋体" w:cs="宋体"/>
                <w:sz w:val="24"/>
                <w:szCs w:val="24"/>
              </w:rPr>
            </w:pPr>
          </w:p>
        </w:tc>
        <w:tc>
          <w:tcPr>
            <w:tcW w:w="1559" w:type="dxa"/>
            <w:vAlign w:val="center"/>
          </w:tcPr>
          <w:p w14:paraId="22951A3D">
            <w:pPr>
              <w:spacing w:line="240" w:lineRule="atLeast"/>
              <w:jc w:val="center"/>
              <w:rPr>
                <w:rFonts w:hint="eastAsia" w:ascii="宋体" w:hAnsi="宋体" w:eastAsia="宋体" w:cs="宋体"/>
                <w:sz w:val="24"/>
                <w:szCs w:val="24"/>
              </w:rPr>
            </w:pPr>
          </w:p>
        </w:tc>
        <w:tc>
          <w:tcPr>
            <w:tcW w:w="1567" w:type="dxa"/>
            <w:vAlign w:val="center"/>
          </w:tcPr>
          <w:p w14:paraId="09CAAA99">
            <w:pPr>
              <w:spacing w:line="240" w:lineRule="atLeast"/>
              <w:jc w:val="center"/>
              <w:rPr>
                <w:rFonts w:hint="eastAsia" w:ascii="宋体" w:hAnsi="宋体" w:eastAsia="宋体" w:cs="宋体"/>
                <w:sz w:val="24"/>
                <w:szCs w:val="24"/>
              </w:rPr>
            </w:pPr>
          </w:p>
        </w:tc>
      </w:tr>
      <w:tr w14:paraId="0D61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38" w:hRule="atLeast"/>
        </w:trPr>
        <w:tc>
          <w:tcPr>
            <w:tcW w:w="1526" w:type="dxa"/>
            <w:vAlign w:val="center"/>
          </w:tcPr>
          <w:p w14:paraId="1DDA1948">
            <w:pPr>
              <w:spacing w:line="240" w:lineRule="atLeast"/>
              <w:jc w:val="center"/>
              <w:rPr>
                <w:rFonts w:hint="eastAsia" w:ascii="宋体" w:hAnsi="宋体" w:eastAsia="宋体" w:cs="宋体"/>
                <w:sz w:val="24"/>
                <w:szCs w:val="24"/>
              </w:rPr>
            </w:pPr>
          </w:p>
        </w:tc>
        <w:tc>
          <w:tcPr>
            <w:tcW w:w="2529" w:type="dxa"/>
            <w:vAlign w:val="center"/>
          </w:tcPr>
          <w:p w14:paraId="1893A97F">
            <w:pPr>
              <w:spacing w:line="240" w:lineRule="atLeast"/>
              <w:jc w:val="center"/>
              <w:rPr>
                <w:rFonts w:hint="eastAsia" w:ascii="宋体" w:hAnsi="宋体" w:eastAsia="宋体" w:cs="宋体"/>
                <w:sz w:val="24"/>
                <w:szCs w:val="24"/>
              </w:rPr>
            </w:pPr>
          </w:p>
        </w:tc>
        <w:tc>
          <w:tcPr>
            <w:tcW w:w="2432" w:type="dxa"/>
            <w:gridSpan w:val="2"/>
            <w:vAlign w:val="center"/>
          </w:tcPr>
          <w:p w14:paraId="1F57105B">
            <w:pPr>
              <w:spacing w:line="240" w:lineRule="atLeast"/>
              <w:jc w:val="center"/>
              <w:rPr>
                <w:rFonts w:hint="eastAsia" w:ascii="宋体" w:hAnsi="宋体" w:eastAsia="宋体" w:cs="宋体"/>
                <w:sz w:val="24"/>
                <w:szCs w:val="24"/>
              </w:rPr>
            </w:pPr>
          </w:p>
        </w:tc>
        <w:tc>
          <w:tcPr>
            <w:tcW w:w="1559" w:type="dxa"/>
            <w:vAlign w:val="center"/>
          </w:tcPr>
          <w:p w14:paraId="49CC4E74">
            <w:pPr>
              <w:spacing w:line="240" w:lineRule="atLeast"/>
              <w:jc w:val="center"/>
              <w:rPr>
                <w:rFonts w:hint="eastAsia" w:ascii="宋体" w:hAnsi="宋体" w:eastAsia="宋体" w:cs="宋体"/>
                <w:sz w:val="24"/>
                <w:szCs w:val="24"/>
              </w:rPr>
            </w:pPr>
          </w:p>
        </w:tc>
        <w:tc>
          <w:tcPr>
            <w:tcW w:w="1567" w:type="dxa"/>
            <w:vAlign w:val="center"/>
          </w:tcPr>
          <w:p w14:paraId="09C24FC1">
            <w:pPr>
              <w:spacing w:line="240" w:lineRule="atLeast"/>
              <w:jc w:val="center"/>
              <w:rPr>
                <w:rFonts w:hint="eastAsia" w:ascii="宋体" w:hAnsi="宋体" w:eastAsia="宋体" w:cs="宋体"/>
                <w:sz w:val="24"/>
                <w:szCs w:val="24"/>
              </w:rPr>
            </w:pPr>
          </w:p>
        </w:tc>
      </w:tr>
      <w:tr w14:paraId="4DC8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07B0497A">
            <w:pPr>
              <w:spacing w:line="240" w:lineRule="atLeast"/>
              <w:jc w:val="center"/>
              <w:rPr>
                <w:rFonts w:hint="eastAsia" w:ascii="宋体" w:hAnsi="宋体" w:eastAsia="宋体" w:cs="宋体"/>
                <w:sz w:val="24"/>
                <w:szCs w:val="24"/>
              </w:rPr>
            </w:pPr>
          </w:p>
        </w:tc>
        <w:tc>
          <w:tcPr>
            <w:tcW w:w="2529" w:type="dxa"/>
            <w:vAlign w:val="center"/>
          </w:tcPr>
          <w:p w14:paraId="24A9B201">
            <w:pPr>
              <w:spacing w:line="240" w:lineRule="atLeast"/>
              <w:jc w:val="center"/>
              <w:rPr>
                <w:rFonts w:hint="eastAsia" w:ascii="宋体" w:hAnsi="宋体" w:eastAsia="宋体" w:cs="宋体"/>
                <w:sz w:val="24"/>
                <w:szCs w:val="24"/>
              </w:rPr>
            </w:pPr>
          </w:p>
        </w:tc>
        <w:tc>
          <w:tcPr>
            <w:tcW w:w="2432" w:type="dxa"/>
            <w:gridSpan w:val="2"/>
            <w:vAlign w:val="center"/>
          </w:tcPr>
          <w:p w14:paraId="5D10F018">
            <w:pPr>
              <w:spacing w:line="240" w:lineRule="atLeast"/>
              <w:jc w:val="center"/>
              <w:rPr>
                <w:rFonts w:hint="eastAsia" w:ascii="宋体" w:hAnsi="宋体" w:eastAsia="宋体" w:cs="宋体"/>
                <w:sz w:val="24"/>
                <w:szCs w:val="24"/>
              </w:rPr>
            </w:pPr>
          </w:p>
        </w:tc>
        <w:tc>
          <w:tcPr>
            <w:tcW w:w="1559" w:type="dxa"/>
            <w:vAlign w:val="center"/>
          </w:tcPr>
          <w:p w14:paraId="4B319640">
            <w:pPr>
              <w:spacing w:line="240" w:lineRule="atLeast"/>
              <w:jc w:val="center"/>
              <w:rPr>
                <w:rFonts w:hint="eastAsia" w:ascii="宋体" w:hAnsi="宋体" w:eastAsia="宋体" w:cs="宋体"/>
                <w:sz w:val="24"/>
                <w:szCs w:val="24"/>
              </w:rPr>
            </w:pPr>
          </w:p>
        </w:tc>
        <w:tc>
          <w:tcPr>
            <w:tcW w:w="1567" w:type="dxa"/>
            <w:vAlign w:val="center"/>
          </w:tcPr>
          <w:p w14:paraId="2E1EBF7E">
            <w:pPr>
              <w:spacing w:line="240" w:lineRule="atLeast"/>
              <w:jc w:val="center"/>
              <w:rPr>
                <w:rFonts w:hint="eastAsia" w:ascii="宋体" w:hAnsi="宋体" w:eastAsia="宋体" w:cs="宋体"/>
                <w:sz w:val="24"/>
                <w:szCs w:val="24"/>
              </w:rPr>
            </w:pPr>
          </w:p>
        </w:tc>
      </w:tr>
      <w:tr w14:paraId="1A99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58314104">
            <w:pPr>
              <w:spacing w:line="240" w:lineRule="atLeast"/>
              <w:jc w:val="center"/>
              <w:rPr>
                <w:rFonts w:hint="eastAsia" w:ascii="宋体" w:hAnsi="宋体" w:eastAsia="宋体" w:cs="宋体"/>
                <w:sz w:val="24"/>
                <w:szCs w:val="24"/>
              </w:rPr>
            </w:pPr>
          </w:p>
        </w:tc>
        <w:tc>
          <w:tcPr>
            <w:tcW w:w="2529" w:type="dxa"/>
            <w:vAlign w:val="center"/>
          </w:tcPr>
          <w:p w14:paraId="2D052039">
            <w:pPr>
              <w:spacing w:line="240" w:lineRule="atLeast"/>
              <w:jc w:val="center"/>
              <w:rPr>
                <w:rFonts w:hint="eastAsia" w:ascii="宋体" w:hAnsi="宋体" w:eastAsia="宋体" w:cs="宋体"/>
                <w:sz w:val="24"/>
                <w:szCs w:val="24"/>
              </w:rPr>
            </w:pPr>
          </w:p>
        </w:tc>
        <w:tc>
          <w:tcPr>
            <w:tcW w:w="2432" w:type="dxa"/>
            <w:gridSpan w:val="2"/>
            <w:vAlign w:val="center"/>
          </w:tcPr>
          <w:p w14:paraId="312AE5C7">
            <w:pPr>
              <w:spacing w:line="240" w:lineRule="atLeast"/>
              <w:jc w:val="center"/>
              <w:rPr>
                <w:rFonts w:hint="eastAsia" w:ascii="宋体" w:hAnsi="宋体" w:eastAsia="宋体" w:cs="宋体"/>
                <w:sz w:val="24"/>
                <w:szCs w:val="24"/>
              </w:rPr>
            </w:pPr>
          </w:p>
        </w:tc>
        <w:tc>
          <w:tcPr>
            <w:tcW w:w="1559" w:type="dxa"/>
            <w:vAlign w:val="center"/>
          </w:tcPr>
          <w:p w14:paraId="113D2309">
            <w:pPr>
              <w:spacing w:line="240" w:lineRule="atLeast"/>
              <w:jc w:val="center"/>
              <w:rPr>
                <w:rFonts w:hint="eastAsia" w:ascii="宋体" w:hAnsi="宋体" w:eastAsia="宋体" w:cs="宋体"/>
                <w:sz w:val="24"/>
                <w:szCs w:val="24"/>
              </w:rPr>
            </w:pPr>
          </w:p>
        </w:tc>
        <w:tc>
          <w:tcPr>
            <w:tcW w:w="1567" w:type="dxa"/>
            <w:vAlign w:val="center"/>
          </w:tcPr>
          <w:p w14:paraId="33557319">
            <w:pPr>
              <w:spacing w:line="240" w:lineRule="atLeast"/>
              <w:jc w:val="center"/>
              <w:rPr>
                <w:rFonts w:hint="eastAsia" w:ascii="宋体" w:hAnsi="宋体" w:eastAsia="宋体" w:cs="宋体"/>
                <w:sz w:val="24"/>
                <w:szCs w:val="24"/>
              </w:rPr>
            </w:pPr>
          </w:p>
        </w:tc>
      </w:tr>
      <w:tr w14:paraId="7583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10D65D8A">
            <w:pPr>
              <w:spacing w:line="240" w:lineRule="atLeast"/>
              <w:jc w:val="center"/>
              <w:rPr>
                <w:rFonts w:hint="eastAsia" w:ascii="宋体" w:hAnsi="宋体" w:eastAsia="宋体" w:cs="宋体"/>
                <w:sz w:val="24"/>
                <w:szCs w:val="24"/>
              </w:rPr>
            </w:pPr>
          </w:p>
        </w:tc>
        <w:tc>
          <w:tcPr>
            <w:tcW w:w="2529" w:type="dxa"/>
            <w:vAlign w:val="center"/>
          </w:tcPr>
          <w:p w14:paraId="26999890">
            <w:pPr>
              <w:spacing w:line="240" w:lineRule="atLeast"/>
              <w:jc w:val="center"/>
              <w:rPr>
                <w:rFonts w:hint="eastAsia" w:ascii="宋体" w:hAnsi="宋体" w:eastAsia="宋体" w:cs="宋体"/>
                <w:sz w:val="24"/>
                <w:szCs w:val="24"/>
              </w:rPr>
            </w:pPr>
          </w:p>
        </w:tc>
        <w:tc>
          <w:tcPr>
            <w:tcW w:w="2432" w:type="dxa"/>
            <w:gridSpan w:val="2"/>
            <w:vAlign w:val="center"/>
          </w:tcPr>
          <w:p w14:paraId="1189B296">
            <w:pPr>
              <w:spacing w:line="240" w:lineRule="atLeast"/>
              <w:jc w:val="center"/>
              <w:rPr>
                <w:rFonts w:hint="eastAsia" w:ascii="宋体" w:hAnsi="宋体" w:eastAsia="宋体" w:cs="宋体"/>
                <w:sz w:val="24"/>
                <w:szCs w:val="24"/>
              </w:rPr>
            </w:pPr>
          </w:p>
        </w:tc>
        <w:tc>
          <w:tcPr>
            <w:tcW w:w="1559" w:type="dxa"/>
            <w:vAlign w:val="center"/>
          </w:tcPr>
          <w:p w14:paraId="0E526F4F">
            <w:pPr>
              <w:spacing w:line="240" w:lineRule="atLeast"/>
              <w:jc w:val="center"/>
              <w:rPr>
                <w:rFonts w:hint="eastAsia" w:ascii="宋体" w:hAnsi="宋体" w:eastAsia="宋体" w:cs="宋体"/>
                <w:sz w:val="24"/>
                <w:szCs w:val="24"/>
              </w:rPr>
            </w:pPr>
          </w:p>
        </w:tc>
        <w:tc>
          <w:tcPr>
            <w:tcW w:w="1567" w:type="dxa"/>
            <w:vAlign w:val="center"/>
          </w:tcPr>
          <w:p w14:paraId="381D616F">
            <w:pPr>
              <w:spacing w:line="240" w:lineRule="atLeast"/>
              <w:jc w:val="center"/>
              <w:rPr>
                <w:rFonts w:hint="eastAsia" w:ascii="宋体" w:hAnsi="宋体" w:eastAsia="宋体" w:cs="宋体"/>
                <w:sz w:val="24"/>
                <w:szCs w:val="24"/>
              </w:rPr>
            </w:pPr>
          </w:p>
        </w:tc>
      </w:tr>
      <w:tr w14:paraId="7FC0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33C48A5E">
            <w:pPr>
              <w:spacing w:line="240" w:lineRule="atLeast"/>
              <w:jc w:val="center"/>
              <w:rPr>
                <w:rFonts w:hint="eastAsia" w:ascii="宋体" w:hAnsi="宋体" w:eastAsia="宋体" w:cs="宋体"/>
                <w:sz w:val="24"/>
                <w:szCs w:val="24"/>
              </w:rPr>
            </w:pPr>
          </w:p>
        </w:tc>
        <w:tc>
          <w:tcPr>
            <w:tcW w:w="2529" w:type="dxa"/>
            <w:vAlign w:val="center"/>
          </w:tcPr>
          <w:p w14:paraId="50CF7294">
            <w:pPr>
              <w:spacing w:line="240" w:lineRule="atLeast"/>
              <w:jc w:val="center"/>
              <w:rPr>
                <w:rFonts w:hint="eastAsia" w:ascii="宋体" w:hAnsi="宋体" w:eastAsia="宋体" w:cs="宋体"/>
                <w:sz w:val="24"/>
                <w:szCs w:val="24"/>
              </w:rPr>
            </w:pPr>
          </w:p>
        </w:tc>
        <w:tc>
          <w:tcPr>
            <w:tcW w:w="2432" w:type="dxa"/>
            <w:gridSpan w:val="2"/>
            <w:vAlign w:val="center"/>
          </w:tcPr>
          <w:p w14:paraId="74429C87">
            <w:pPr>
              <w:spacing w:line="240" w:lineRule="atLeast"/>
              <w:jc w:val="center"/>
              <w:rPr>
                <w:rFonts w:hint="eastAsia" w:ascii="宋体" w:hAnsi="宋体" w:eastAsia="宋体" w:cs="宋体"/>
                <w:sz w:val="24"/>
                <w:szCs w:val="24"/>
              </w:rPr>
            </w:pPr>
          </w:p>
        </w:tc>
        <w:tc>
          <w:tcPr>
            <w:tcW w:w="1559" w:type="dxa"/>
            <w:vAlign w:val="center"/>
          </w:tcPr>
          <w:p w14:paraId="036558C2">
            <w:pPr>
              <w:spacing w:line="240" w:lineRule="atLeast"/>
              <w:jc w:val="center"/>
              <w:rPr>
                <w:rFonts w:hint="eastAsia" w:ascii="宋体" w:hAnsi="宋体" w:eastAsia="宋体" w:cs="宋体"/>
                <w:sz w:val="24"/>
                <w:szCs w:val="24"/>
              </w:rPr>
            </w:pPr>
          </w:p>
        </w:tc>
        <w:tc>
          <w:tcPr>
            <w:tcW w:w="1567" w:type="dxa"/>
            <w:vAlign w:val="center"/>
          </w:tcPr>
          <w:p w14:paraId="1AA1BAAC">
            <w:pPr>
              <w:spacing w:line="240" w:lineRule="atLeast"/>
              <w:jc w:val="center"/>
              <w:rPr>
                <w:rFonts w:hint="eastAsia" w:ascii="宋体" w:hAnsi="宋体" w:eastAsia="宋体" w:cs="宋体"/>
                <w:sz w:val="24"/>
                <w:szCs w:val="24"/>
              </w:rPr>
            </w:pPr>
          </w:p>
        </w:tc>
      </w:tr>
      <w:tr w14:paraId="1018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70C26E4C">
            <w:pPr>
              <w:spacing w:line="240" w:lineRule="atLeast"/>
              <w:jc w:val="center"/>
              <w:rPr>
                <w:rFonts w:hint="eastAsia" w:ascii="宋体" w:hAnsi="宋体" w:eastAsia="宋体" w:cs="宋体"/>
                <w:sz w:val="24"/>
                <w:szCs w:val="24"/>
              </w:rPr>
            </w:pPr>
          </w:p>
        </w:tc>
        <w:tc>
          <w:tcPr>
            <w:tcW w:w="2529" w:type="dxa"/>
            <w:vAlign w:val="center"/>
          </w:tcPr>
          <w:p w14:paraId="632BED46">
            <w:pPr>
              <w:spacing w:line="240" w:lineRule="atLeast"/>
              <w:jc w:val="center"/>
              <w:rPr>
                <w:rFonts w:hint="eastAsia" w:ascii="宋体" w:hAnsi="宋体" w:eastAsia="宋体" w:cs="宋体"/>
                <w:sz w:val="24"/>
                <w:szCs w:val="24"/>
              </w:rPr>
            </w:pPr>
          </w:p>
        </w:tc>
        <w:tc>
          <w:tcPr>
            <w:tcW w:w="2432" w:type="dxa"/>
            <w:gridSpan w:val="2"/>
            <w:vAlign w:val="center"/>
          </w:tcPr>
          <w:p w14:paraId="76D12FF0">
            <w:pPr>
              <w:spacing w:line="240" w:lineRule="atLeast"/>
              <w:jc w:val="center"/>
              <w:rPr>
                <w:rFonts w:hint="eastAsia" w:ascii="宋体" w:hAnsi="宋体" w:eastAsia="宋体" w:cs="宋体"/>
                <w:sz w:val="24"/>
                <w:szCs w:val="24"/>
              </w:rPr>
            </w:pPr>
          </w:p>
        </w:tc>
        <w:tc>
          <w:tcPr>
            <w:tcW w:w="1559" w:type="dxa"/>
            <w:vAlign w:val="center"/>
          </w:tcPr>
          <w:p w14:paraId="681E21DE">
            <w:pPr>
              <w:spacing w:line="240" w:lineRule="atLeast"/>
              <w:jc w:val="center"/>
              <w:rPr>
                <w:rFonts w:hint="eastAsia" w:ascii="宋体" w:hAnsi="宋体" w:eastAsia="宋体" w:cs="宋体"/>
                <w:sz w:val="24"/>
                <w:szCs w:val="24"/>
              </w:rPr>
            </w:pPr>
          </w:p>
        </w:tc>
        <w:tc>
          <w:tcPr>
            <w:tcW w:w="1567" w:type="dxa"/>
            <w:vAlign w:val="center"/>
          </w:tcPr>
          <w:p w14:paraId="7BCE279A">
            <w:pPr>
              <w:spacing w:line="240" w:lineRule="atLeast"/>
              <w:jc w:val="center"/>
              <w:rPr>
                <w:rFonts w:hint="eastAsia" w:ascii="宋体" w:hAnsi="宋体" w:eastAsia="宋体" w:cs="宋体"/>
                <w:sz w:val="24"/>
                <w:szCs w:val="24"/>
              </w:rPr>
            </w:pPr>
          </w:p>
        </w:tc>
      </w:tr>
      <w:tr w14:paraId="6FC8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vAlign w:val="center"/>
          </w:tcPr>
          <w:p w14:paraId="536FB98C">
            <w:pPr>
              <w:spacing w:line="240" w:lineRule="atLeast"/>
              <w:rPr>
                <w:rFonts w:hint="eastAsia" w:ascii="宋体" w:hAnsi="宋体" w:eastAsia="宋体" w:cs="宋体"/>
                <w:sz w:val="24"/>
                <w:szCs w:val="24"/>
              </w:rPr>
            </w:pPr>
            <w:r>
              <w:rPr>
                <w:rFonts w:hint="eastAsia" w:ascii="宋体" w:hAnsi="宋体" w:eastAsia="宋体" w:cs="宋体"/>
                <w:sz w:val="24"/>
                <w:szCs w:val="24"/>
              </w:rPr>
              <w:t>合计人民币（小写）：</w:t>
            </w:r>
          </w:p>
        </w:tc>
      </w:tr>
      <w:tr w14:paraId="5869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vAlign w:val="center"/>
          </w:tcPr>
          <w:p w14:paraId="73A023CA">
            <w:pPr>
              <w:spacing w:line="240" w:lineRule="atLeast"/>
              <w:rPr>
                <w:rFonts w:hint="eastAsia" w:ascii="宋体" w:hAnsi="宋体" w:eastAsia="宋体" w:cs="宋体"/>
                <w:sz w:val="24"/>
                <w:szCs w:val="24"/>
              </w:rPr>
            </w:pPr>
            <w:r>
              <w:rPr>
                <w:rFonts w:hint="eastAsia" w:ascii="宋体" w:hAnsi="宋体" w:eastAsia="宋体" w:cs="宋体"/>
                <w:sz w:val="24"/>
                <w:szCs w:val="24"/>
              </w:rPr>
              <w:t>合计人民币（大写）：</w:t>
            </w:r>
          </w:p>
        </w:tc>
      </w:tr>
      <w:tr w14:paraId="7274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tcPr>
          <w:p w14:paraId="6B685807">
            <w:pPr>
              <w:spacing w:line="240" w:lineRule="atLeast"/>
              <w:rPr>
                <w:rFonts w:hint="eastAsia" w:ascii="宋体" w:hAnsi="宋体" w:eastAsia="宋体" w:cs="宋体"/>
                <w:sz w:val="24"/>
                <w:szCs w:val="24"/>
              </w:rPr>
            </w:pPr>
            <w:r>
              <w:rPr>
                <w:rFonts w:hint="eastAsia" w:ascii="宋体" w:hAnsi="宋体" w:eastAsia="宋体" w:cs="宋体"/>
                <w:sz w:val="24"/>
                <w:szCs w:val="24"/>
              </w:rPr>
              <w:t>一、质量要求和技术标准。供方须根据需方要求及本招标文件规定的国家相关标准进行服务，服务承诺如下：</w:t>
            </w:r>
          </w:p>
          <w:p w14:paraId="7BE2EF56">
            <w:pPr>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（一）质量要求</w:t>
            </w:r>
          </w:p>
          <w:p w14:paraId="458DFD86">
            <w:pPr>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（二）服务要求</w:t>
            </w:r>
          </w:p>
        </w:tc>
      </w:tr>
      <w:tr w14:paraId="0B53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6"/>
          </w:tcPr>
          <w:p w14:paraId="5FCEDCEB">
            <w:pPr>
              <w:spacing w:line="240" w:lineRule="atLeast"/>
              <w:rPr>
                <w:rFonts w:hint="eastAsia" w:ascii="宋体" w:hAnsi="宋体" w:eastAsia="宋体" w:cs="宋体"/>
                <w:sz w:val="24"/>
                <w:szCs w:val="24"/>
              </w:rPr>
            </w:pPr>
            <w:r>
              <w:rPr>
                <w:rFonts w:hint="eastAsia" w:ascii="宋体" w:hAnsi="宋体" w:eastAsia="宋体" w:cs="宋体"/>
                <w:sz w:val="24"/>
                <w:szCs w:val="24"/>
              </w:rPr>
              <w:t>二、执行标准：</w:t>
            </w:r>
          </w:p>
          <w:p w14:paraId="47260503">
            <w:pPr>
              <w:spacing w:line="240" w:lineRule="atLeast"/>
              <w:rPr>
                <w:rFonts w:hint="eastAsia" w:ascii="宋体" w:hAnsi="宋体" w:eastAsia="宋体" w:cs="宋体"/>
                <w:sz w:val="24"/>
                <w:szCs w:val="24"/>
              </w:rPr>
            </w:pPr>
          </w:p>
        </w:tc>
      </w:tr>
      <w:tr w14:paraId="1906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tcPr>
          <w:p w14:paraId="43ADAD53">
            <w:pPr>
              <w:spacing w:line="240" w:lineRule="atLeast"/>
              <w:rPr>
                <w:rFonts w:hint="eastAsia" w:ascii="宋体" w:hAnsi="宋体" w:eastAsia="宋体" w:cs="宋体"/>
                <w:sz w:val="24"/>
                <w:szCs w:val="24"/>
              </w:rPr>
            </w:pPr>
            <w:r>
              <w:rPr>
                <w:rFonts w:hint="eastAsia" w:ascii="宋体" w:hAnsi="宋体" w:eastAsia="宋体" w:cs="宋体"/>
                <w:sz w:val="24"/>
                <w:szCs w:val="24"/>
              </w:rPr>
              <w:t>三、验收标准、方法：</w:t>
            </w:r>
          </w:p>
          <w:p w14:paraId="699A8039">
            <w:pPr>
              <w:spacing w:line="240" w:lineRule="atLeast"/>
              <w:rPr>
                <w:rFonts w:hint="eastAsia" w:ascii="宋体" w:hAnsi="宋体" w:eastAsia="宋体" w:cs="宋体"/>
                <w:sz w:val="24"/>
                <w:szCs w:val="24"/>
              </w:rPr>
            </w:pPr>
            <w:r>
              <w:rPr>
                <w:rFonts w:hint="eastAsia" w:ascii="宋体" w:hAnsi="宋体" w:eastAsia="宋体" w:cs="宋体"/>
                <w:sz w:val="24"/>
                <w:szCs w:val="24"/>
              </w:rPr>
              <w:t>如有异议，请于      日内提出。</w:t>
            </w:r>
          </w:p>
        </w:tc>
      </w:tr>
      <w:tr w14:paraId="3E5E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tcPr>
          <w:p w14:paraId="4D139377">
            <w:pPr>
              <w:spacing w:line="240" w:lineRule="atLeast"/>
              <w:rPr>
                <w:rFonts w:hint="eastAsia" w:ascii="宋体" w:hAnsi="宋体" w:eastAsia="宋体" w:cs="宋体"/>
                <w:sz w:val="24"/>
                <w:szCs w:val="24"/>
              </w:rPr>
            </w:pPr>
            <w:r>
              <w:rPr>
                <w:rFonts w:hint="eastAsia" w:ascii="宋体" w:hAnsi="宋体" w:eastAsia="宋体" w:cs="宋体"/>
                <w:sz w:val="24"/>
                <w:szCs w:val="24"/>
              </w:rPr>
              <w:t>四、付款方式：</w:t>
            </w:r>
          </w:p>
          <w:p w14:paraId="22ED500B">
            <w:pPr>
              <w:pStyle w:val="34"/>
              <w:spacing w:line="240" w:lineRule="atLeast"/>
              <w:rPr>
                <w:rFonts w:hint="eastAsia" w:ascii="宋体" w:hAnsi="宋体" w:eastAsia="宋体" w:cs="宋体"/>
                <w:sz w:val="24"/>
                <w:szCs w:val="24"/>
              </w:rPr>
            </w:pPr>
          </w:p>
        </w:tc>
      </w:tr>
      <w:tr w14:paraId="075D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tcPr>
          <w:p w14:paraId="6C2B79D7">
            <w:pPr>
              <w:spacing w:line="240" w:lineRule="atLeast"/>
              <w:rPr>
                <w:rFonts w:hint="eastAsia" w:ascii="宋体" w:hAnsi="宋体" w:eastAsia="宋体" w:cs="宋体"/>
                <w:sz w:val="24"/>
                <w:szCs w:val="24"/>
              </w:rPr>
            </w:pPr>
            <w:r>
              <w:rPr>
                <w:rFonts w:hint="eastAsia" w:ascii="宋体" w:hAnsi="宋体" w:eastAsia="宋体" w:cs="宋体"/>
                <w:sz w:val="24"/>
                <w:szCs w:val="24"/>
              </w:rPr>
              <w:t>五、违约责任：</w:t>
            </w:r>
          </w:p>
          <w:p w14:paraId="6C242539">
            <w:pPr>
              <w:spacing w:line="240" w:lineRule="atLeast"/>
              <w:rPr>
                <w:rFonts w:hint="eastAsia" w:ascii="宋体" w:hAnsi="宋体" w:eastAsia="宋体" w:cs="宋体"/>
                <w:sz w:val="24"/>
                <w:szCs w:val="24"/>
              </w:rPr>
            </w:pPr>
          </w:p>
        </w:tc>
      </w:tr>
      <w:tr w14:paraId="7CF7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tcPr>
          <w:p w14:paraId="2856E553">
            <w:pPr>
              <w:spacing w:line="240" w:lineRule="atLeast"/>
              <w:rPr>
                <w:rFonts w:hint="eastAsia" w:ascii="宋体" w:hAnsi="宋体" w:eastAsia="宋体" w:cs="宋体"/>
                <w:sz w:val="24"/>
                <w:szCs w:val="24"/>
              </w:rPr>
            </w:pPr>
            <w:r>
              <w:rPr>
                <w:rFonts w:hint="eastAsia" w:ascii="宋体" w:hAnsi="宋体" w:eastAsia="宋体" w:cs="宋体"/>
                <w:sz w:val="24"/>
                <w:szCs w:val="24"/>
              </w:rPr>
              <w:t>六、其他约定事项：</w:t>
            </w:r>
          </w:p>
          <w:p w14:paraId="43A34E8A">
            <w:pPr>
              <w:spacing w:line="240" w:lineRule="atLeast"/>
              <w:rPr>
                <w:rFonts w:hint="eastAsia" w:ascii="宋体" w:hAnsi="宋体" w:eastAsia="宋体" w:cs="宋体"/>
                <w:sz w:val="24"/>
                <w:szCs w:val="24"/>
              </w:rPr>
            </w:pPr>
            <w:r>
              <w:rPr>
                <w:rFonts w:hint="eastAsia" w:ascii="宋体" w:hAnsi="宋体" w:eastAsia="宋体" w:cs="宋体"/>
                <w:sz w:val="24"/>
                <w:szCs w:val="24"/>
              </w:rPr>
              <w:t>1.招标文件及其补遗文件、投标文件和承诺是本合同不可分割的部分。</w:t>
            </w:r>
          </w:p>
          <w:p w14:paraId="63BFB764">
            <w:pPr>
              <w:spacing w:line="240" w:lineRule="atLeast"/>
              <w:rPr>
                <w:rFonts w:hint="eastAsia" w:ascii="宋体" w:hAnsi="宋体" w:eastAsia="宋体" w:cs="宋体"/>
                <w:sz w:val="24"/>
                <w:szCs w:val="24"/>
              </w:rPr>
            </w:pPr>
            <w:r>
              <w:rPr>
                <w:rFonts w:hint="eastAsia" w:ascii="宋体" w:hAnsi="宋体" w:eastAsia="宋体" w:cs="宋体"/>
                <w:sz w:val="24"/>
                <w:szCs w:val="24"/>
              </w:rPr>
              <w:t>2.本合同如发生争议由双方协商解决，协商不成向需方所在人民法院提请诉讼。</w:t>
            </w:r>
          </w:p>
          <w:p w14:paraId="72010726">
            <w:pPr>
              <w:spacing w:line="240" w:lineRule="atLeast"/>
              <w:rPr>
                <w:rFonts w:hint="eastAsia" w:ascii="宋体" w:hAnsi="宋体" w:eastAsia="宋体" w:cs="宋体"/>
                <w:sz w:val="24"/>
                <w:szCs w:val="24"/>
              </w:rPr>
            </w:pPr>
            <w:r>
              <w:rPr>
                <w:rFonts w:hint="eastAsia" w:ascii="宋体" w:hAnsi="宋体" w:eastAsia="宋体" w:cs="宋体"/>
                <w:sz w:val="24"/>
                <w:szCs w:val="24"/>
              </w:rPr>
              <w:t>3.本合同一式__份， 需方__份，供方__份，具备同等法律效力。</w:t>
            </w:r>
          </w:p>
          <w:p w14:paraId="4BD268C2">
            <w:pPr>
              <w:spacing w:line="240" w:lineRule="atLeast"/>
              <w:rPr>
                <w:rFonts w:hint="eastAsia" w:ascii="宋体" w:hAnsi="宋体" w:eastAsia="宋体" w:cs="宋体"/>
                <w:sz w:val="24"/>
                <w:szCs w:val="24"/>
              </w:rPr>
            </w:pPr>
            <w:r>
              <w:rPr>
                <w:rFonts w:hint="eastAsia" w:ascii="宋体" w:hAnsi="宋体" w:eastAsia="宋体" w:cs="宋体"/>
                <w:sz w:val="24"/>
                <w:szCs w:val="24"/>
              </w:rPr>
              <w:t>4.其他：</w:t>
            </w:r>
          </w:p>
        </w:tc>
      </w:tr>
      <w:tr w14:paraId="0B24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6F323B9B">
            <w:pPr>
              <w:spacing w:line="240" w:lineRule="atLeast"/>
              <w:rPr>
                <w:rFonts w:hint="eastAsia" w:ascii="宋体" w:hAnsi="宋体" w:eastAsia="宋体" w:cs="宋体"/>
                <w:sz w:val="24"/>
                <w:szCs w:val="24"/>
              </w:rPr>
            </w:pPr>
            <w:r>
              <w:rPr>
                <w:rFonts w:hint="eastAsia" w:ascii="宋体" w:hAnsi="宋体" w:eastAsia="宋体" w:cs="宋体"/>
                <w:sz w:val="24"/>
                <w:szCs w:val="24"/>
              </w:rPr>
              <w:t>需方：</w:t>
            </w:r>
          </w:p>
          <w:p w14:paraId="27325D68">
            <w:pPr>
              <w:spacing w:line="240" w:lineRule="atLeast"/>
              <w:rPr>
                <w:rFonts w:hint="eastAsia" w:ascii="宋体" w:hAnsi="宋体" w:eastAsia="宋体" w:cs="宋体"/>
                <w:sz w:val="24"/>
                <w:szCs w:val="24"/>
              </w:rPr>
            </w:pPr>
            <w:r>
              <w:rPr>
                <w:rFonts w:hint="eastAsia" w:ascii="宋体" w:hAnsi="宋体" w:eastAsia="宋体" w:cs="宋体"/>
                <w:sz w:val="24"/>
                <w:szCs w:val="24"/>
              </w:rPr>
              <w:t>地址：</w:t>
            </w:r>
          </w:p>
          <w:p w14:paraId="5E1431ED">
            <w:pPr>
              <w:spacing w:line="240" w:lineRule="atLeast"/>
              <w:rPr>
                <w:rFonts w:hint="eastAsia" w:ascii="宋体" w:hAnsi="宋体" w:eastAsia="宋体" w:cs="宋体"/>
                <w:sz w:val="24"/>
                <w:szCs w:val="24"/>
              </w:rPr>
            </w:pPr>
            <w:r>
              <w:rPr>
                <w:rFonts w:hint="eastAsia" w:ascii="宋体" w:hAnsi="宋体" w:eastAsia="宋体" w:cs="宋体"/>
                <w:sz w:val="24"/>
                <w:szCs w:val="24"/>
              </w:rPr>
              <w:t>联系电话：</w:t>
            </w:r>
          </w:p>
          <w:p w14:paraId="4FC9680C">
            <w:pPr>
              <w:spacing w:line="240" w:lineRule="atLeast"/>
              <w:rPr>
                <w:rFonts w:hint="eastAsia" w:ascii="宋体" w:hAnsi="宋体" w:eastAsia="宋体" w:cs="宋体"/>
                <w:sz w:val="24"/>
                <w:szCs w:val="24"/>
              </w:rPr>
            </w:pPr>
            <w:r>
              <w:rPr>
                <w:rFonts w:hint="eastAsia" w:ascii="宋体" w:hAnsi="宋体" w:eastAsia="宋体" w:cs="宋体"/>
                <w:sz w:val="24"/>
                <w:szCs w:val="24"/>
              </w:rPr>
              <w:t>授权代表：</w:t>
            </w:r>
          </w:p>
        </w:tc>
        <w:tc>
          <w:tcPr>
            <w:tcW w:w="5125" w:type="dxa"/>
            <w:gridSpan w:val="4"/>
          </w:tcPr>
          <w:p w14:paraId="6C506EA2">
            <w:pPr>
              <w:spacing w:line="240" w:lineRule="atLeast"/>
              <w:rPr>
                <w:rFonts w:hint="eastAsia" w:ascii="宋体" w:hAnsi="宋体" w:eastAsia="宋体" w:cs="宋体"/>
                <w:sz w:val="24"/>
                <w:szCs w:val="24"/>
              </w:rPr>
            </w:pPr>
            <w:r>
              <w:rPr>
                <w:rFonts w:hint="eastAsia" w:ascii="宋体" w:hAnsi="宋体" w:eastAsia="宋体" w:cs="宋体"/>
                <w:sz w:val="24"/>
                <w:szCs w:val="24"/>
              </w:rPr>
              <w:t>供方：</w:t>
            </w:r>
          </w:p>
          <w:p w14:paraId="6E92B20D">
            <w:pPr>
              <w:spacing w:line="240" w:lineRule="atLeast"/>
              <w:rPr>
                <w:rFonts w:hint="eastAsia" w:ascii="宋体" w:hAnsi="宋体" w:eastAsia="宋体" w:cs="宋体"/>
                <w:sz w:val="24"/>
                <w:szCs w:val="24"/>
              </w:rPr>
            </w:pPr>
            <w:r>
              <w:rPr>
                <w:rFonts w:hint="eastAsia" w:ascii="宋体" w:hAnsi="宋体" w:eastAsia="宋体" w:cs="宋体"/>
                <w:sz w:val="24"/>
                <w:szCs w:val="24"/>
              </w:rPr>
              <w:t>地址：</w:t>
            </w:r>
          </w:p>
          <w:p w14:paraId="264BDA5C">
            <w:pPr>
              <w:spacing w:line="240" w:lineRule="atLeast"/>
              <w:rPr>
                <w:rFonts w:hint="eastAsia" w:ascii="宋体" w:hAnsi="宋体" w:eastAsia="宋体" w:cs="宋体"/>
                <w:sz w:val="24"/>
                <w:szCs w:val="24"/>
              </w:rPr>
            </w:pPr>
            <w:r>
              <w:rPr>
                <w:rFonts w:hint="eastAsia" w:ascii="宋体" w:hAnsi="宋体" w:eastAsia="宋体" w:cs="宋体"/>
                <w:sz w:val="24"/>
                <w:szCs w:val="24"/>
              </w:rPr>
              <w:t>电话：</w:t>
            </w:r>
          </w:p>
          <w:p w14:paraId="62C5E762">
            <w:pPr>
              <w:spacing w:line="240" w:lineRule="atLeast"/>
              <w:rPr>
                <w:rFonts w:hint="eastAsia" w:ascii="宋体" w:hAnsi="宋体" w:eastAsia="宋体" w:cs="宋体"/>
                <w:sz w:val="24"/>
                <w:szCs w:val="24"/>
              </w:rPr>
            </w:pPr>
            <w:r>
              <w:rPr>
                <w:rFonts w:hint="eastAsia" w:ascii="宋体" w:hAnsi="宋体" w:eastAsia="宋体" w:cs="宋体"/>
                <w:sz w:val="24"/>
                <w:szCs w:val="24"/>
              </w:rPr>
              <w:t>传真：</w:t>
            </w:r>
          </w:p>
          <w:p w14:paraId="2821A044">
            <w:pPr>
              <w:spacing w:line="240" w:lineRule="atLeast"/>
              <w:rPr>
                <w:rFonts w:hint="eastAsia" w:ascii="宋体" w:hAnsi="宋体" w:eastAsia="宋体" w:cs="宋体"/>
                <w:sz w:val="24"/>
                <w:szCs w:val="24"/>
              </w:rPr>
            </w:pPr>
            <w:r>
              <w:rPr>
                <w:rFonts w:hint="eastAsia" w:ascii="宋体" w:hAnsi="宋体" w:eastAsia="宋体" w:cs="宋体"/>
                <w:sz w:val="24"/>
                <w:szCs w:val="24"/>
              </w:rPr>
              <w:t>开户银行：</w:t>
            </w:r>
          </w:p>
          <w:p w14:paraId="189D396A">
            <w:pPr>
              <w:spacing w:line="240" w:lineRule="atLeast"/>
              <w:rPr>
                <w:rFonts w:hint="eastAsia" w:ascii="宋体" w:hAnsi="宋体" w:eastAsia="宋体" w:cs="宋体"/>
                <w:sz w:val="24"/>
                <w:szCs w:val="24"/>
              </w:rPr>
            </w:pPr>
            <w:r>
              <w:rPr>
                <w:rFonts w:hint="eastAsia" w:ascii="宋体" w:hAnsi="宋体" w:eastAsia="宋体" w:cs="宋体"/>
                <w:sz w:val="24"/>
                <w:szCs w:val="24"/>
              </w:rPr>
              <w:t>账号：</w:t>
            </w:r>
          </w:p>
          <w:p w14:paraId="7F124685">
            <w:pPr>
              <w:spacing w:line="240" w:lineRule="atLeast"/>
              <w:rPr>
                <w:rFonts w:hint="eastAsia" w:ascii="宋体" w:hAnsi="宋体" w:eastAsia="宋体" w:cs="宋体"/>
                <w:sz w:val="24"/>
                <w:szCs w:val="24"/>
              </w:rPr>
            </w:pPr>
            <w:r>
              <w:rPr>
                <w:rFonts w:hint="eastAsia" w:ascii="宋体" w:hAnsi="宋体" w:eastAsia="宋体" w:cs="宋体"/>
                <w:sz w:val="24"/>
                <w:szCs w:val="24"/>
              </w:rPr>
              <w:t>授权代表：</w:t>
            </w:r>
          </w:p>
          <w:p w14:paraId="45C68EA1">
            <w:pPr>
              <w:widowControl/>
              <w:spacing w:line="240" w:lineRule="atLeast"/>
              <w:jc w:val="left"/>
              <w:rPr>
                <w:rFonts w:hint="eastAsia" w:ascii="宋体" w:hAnsi="宋体" w:eastAsia="宋体" w:cs="宋体"/>
                <w:sz w:val="24"/>
                <w:szCs w:val="24"/>
              </w:rPr>
            </w:pPr>
            <w:r>
              <w:rPr>
                <w:rFonts w:hint="eastAsia" w:ascii="宋体" w:hAnsi="宋体" w:eastAsia="宋体" w:cs="宋体"/>
                <w:sz w:val="24"/>
                <w:szCs w:val="24"/>
              </w:rPr>
              <w:t>（本栏请用计算机打印以便于准确付款）</w:t>
            </w:r>
          </w:p>
        </w:tc>
      </w:tr>
      <w:tr w14:paraId="22CC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tcPr>
          <w:p w14:paraId="4E0E2101">
            <w:pPr>
              <w:spacing w:line="240" w:lineRule="atLeast"/>
              <w:rPr>
                <w:rFonts w:hint="eastAsia" w:ascii="宋体" w:hAnsi="宋体" w:eastAsia="宋体" w:cs="宋体"/>
                <w:sz w:val="24"/>
                <w:szCs w:val="24"/>
              </w:rPr>
            </w:pPr>
            <w:r>
              <w:rPr>
                <w:rFonts w:hint="eastAsia" w:ascii="宋体" w:hAnsi="宋体" w:eastAsia="宋体" w:cs="宋体"/>
                <w:sz w:val="24"/>
                <w:szCs w:val="24"/>
              </w:rPr>
              <w:t>备注：</w:t>
            </w:r>
          </w:p>
          <w:p w14:paraId="3C7A0A3C">
            <w:pPr>
              <w:spacing w:line="240" w:lineRule="atLeast"/>
              <w:rPr>
                <w:rFonts w:hint="eastAsia" w:ascii="宋体" w:hAnsi="宋体" w:eastAsia="宋体" w:cs="宋体"/>
                <w:sz w:val="24"/>
                <w:szCs w:val="24"/>
              </w:rPr>
            </w:pPr>
          </w:p>
          <w:p w14:paraId="7F5F86E6">
            <w:pPr>
              <w:spacing w:line="240" w:lineRule="atLeast"/>
              <w:rPr>
                <w:rFonts w:hint="eastAsia" w:ascii="宋体" w:hAnsi="宋体" w:eastAsia="宋体" w:cs="宋体"/>
                <w:sz w:val="24"/>
                <w:szCs w:val="24"/>
              </w:rPr>
            </w:pPr>
          </w:p>
        </w:tc>
      </w:tr>
    </w:tbl>
    <w:p w14:paraId="7643A57A">
      <w:pPr>
        <w:spacing w:line="500" w:lineRule="exact"/>
        <w:ind w:firstLine="480" w:firstLineChars="200"/>
        <w:rPr>
          <w:rFonts w:hint="eastAsia" w:ascii="宋体" w:hAnsi="宋体" w:eastAsia="宋体" w:cs="宋体"/>
        </w:rPr>
        <w:sectPr>
          <w:headerReference r:id="rId5" w:type="default"/>
          <w:footerReference r:id="rId6" w:type="default"/>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sz w:val="24"/>
        </w:rPr>
        <w:t>签约时间：           年   月   日      签约地点：</w:t>
      </w:r>
    </w:p>
    <w:p w14:paraId="27EA3837">
      <w:pPr>
        <w:pStyle w:val="3"/>
        <w:spacing w:before="0" w:after="0" w:line="360" w:lineRule="auto"/>
        <w:jc w:val="center"/>
        <w:rPr>
          <w:rFonts w:hint="eastAsia" w:ascii="宋体" w:hAnsi="宋体" w:eastAsia="宋体" w:cs="宋体"/>
          <w:b w:val="0"/>
          <w:sz w:val="36"/>
          <w:szCs w:val="30"/>
        </w:rPr>
      </w:pPr>
      <w:bookmarkStart w:id="109" w:name="_Toc5153"/>
      <w:r>
        <w:rPr>
          <w:rFonts w:hint="eastAsia" w:ascii="宋体" w:hAnsi="宋体" w:eastAsia="宋体" w:cs="宋体"/>
          <w:b w:val="0"/>
          <w:sz w:val="36"/>
          <w:szCs w:val="30"/>
        </w:rPr>
        <w:t>第七篇  响应文件编制要求</w:t>
      </w:r>
      <w:bookmarkEnd w:id="109"/>
    </w:p>
    <w:p w14:paraId="1DDC2FF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14:paraId="0CFBBFE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竞争性磋商报价函</w:t>
      </w:r>
    </w:p>
    <w:p w14:paraId="7CB48F4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二、技术部分</w:t>
      </w:r>
    </w:p>
    <w:p w14:paraId="74F8D67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（一）技术响应偏离表</w:t>
      </w:r>
    </w:p>
    <w:p w14:paraId="4814FA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（二）工作方案</w:t>
      </w:r>
    </w:p>
    <w:p w14:paraId="712B1E2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14:paraId="188AD2D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（一）商务响应偏离表</w:t>
      </w:r>
    </w:p>
    <w:p w14:paraId="7F3126E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（二）其它优惠服务承诺</w:t>
      </w:r>
    </w:p>
    <w:p w14:paraId="2980E22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14:paraId="08BA9C98">
      <w:pPr>
        <w:spacing w:line="440" w:lineRule="exact"/>
        <w:ind w:firstLine="480" w:firstLineChars="200"/>
        <w:rPr>
          <w:rFonts w:hint="eastAsia" w:ascii="宋体" w:hAnsi="宋体" w:eastAsia="宋体" w:cs="宋体"/>
          <w:sz w:val="24"/>
          <w:szCs w:val="24"/>
        </w:rPr>
      </w:pPr>
      <w:bookmarkStart w:id="110" w:name="_Toc313008356"/>
      <w:bookmarkStart w:id="111" w:name="_Toc342913419"/>
      <w:bookmarkStart w:id="112" w:name="_Toc313888360"/>
      <w:bookmarkStart w:id="113" w:name="_Toc283382454"/>
      <w:bookmarkStart w:id="114" w:name="_Toc12789073"/>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5879537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1B323B5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27501C5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14:paraId="72068A8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（五）特定资格条件证明文件（如果有）</w:t>
      </w:r>
    </w:p>
    <w:p w14:paraId="4D36109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五、其他应提供的资料</w:t>
      </w:r>
    </w:p>
    <w:p w14:paraId="30918C0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其他与项目有关的资料（自附）</w:t>
      </w:r>
    </w:p>
    <w:p w14:paraId="2DABA6D9">
      <w:pPr>
        <w:snapToGrid w:val="0"/>
        <w:spacing w:line="360" w:lineRule="auto"/>
        <w:rPr>
          <w:rFonts w:hint="eastAsia" w:ascii="宋体" w:hAnsi="宋体" w:eastAsia="宋体" w:cs="宋体"/>
          <w:sz w:val="24"/>
          <w:szCs w:val="24"/>
          <w:bdr w:val="single" w:color="auto" w:sz="4" w:space="0"/>
        </w:rPr>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pPr>
    </w:p>
    <w:p w14:paraId="5EC40AC6">
      <w:pPr>
        <w:pStyle w:val="4"/>
        <w:spacing w:before="0" w:after="0" w:line="360" w:lineRule="auto"/>
        <w:rPr>
          <w:rFonts w:hint="eastAsia" w:ascii="宋体" w:hAnsi="宋体" w:eastAsia="宋体" w:cs="宋体"/>
          <w:sz w:val="24"/>
          <w:szCs w:val="24"/>
        </w:rPr>
      </w:pPr>
      <w:bookmarkStart w:id="115" w:name="_Toc25672"/>
      <w:r>
        <w:rPr>
          <w:rFonts w:hint="eastAsia" w:ascii="宋体" w:hAnsi="宋体" w:eastAsia="宋体" w:cs="宋体"/>
          <w:sz w:val="24"/>
          <w:szCs w:val="24"/>
        </w:rPr>
        <w:t>一、经济部分</w:t>
      </w:r>
      <w:bookmarkEnd w:id="110"/>
      <w:bookmarkEnd w:id="111"/>
      <w:bookmarkEnd w:id="112"/>
      <w:bookmarkEnd w:id="115"/>
    </w:p>
    <w:bookmarkEnd w:id="113"/>
    <w:bookmarkEnd w:id="114"/>
    <w:p w14:paraId="18C482F9">
      <w:pPr>
        <w:tabs>
          <w:tab w:val="left" w:pos="6300"/>
        </w:tabs>
        <w:snapToGrid w:val="0"/>
        <w:spacing w:line="312" w:lineRule="auto"/>
        <w:jc w:val="left"/>
        <w:outlineLvl w:val="0"/>
        <w:rPr>
          <w:rFonts w:hint="eastAsia" w:ascii="宋体" w:hAnsi="宋体" w:eastAsia="宋体" w:cs="宋体"/>
          <w:bCs/>
          <w:sz w:val="24"/>
          <w:szCs w:val="24"/>
        </w:rPr>
      </w:pPr>
    </w:p>
    <w:p w14:paraId="5396DA03">
      <w:pPr>
        <w:tabs>
          <w:tab w:val="left" w:pos="6300"/>
        </w:tabs>
        <w:snapToGrid w:val="0"/>
        <w:spacing w:line="312" w:lineRule="auto"/>
        <w:jc w:val="center"/>
        <w:outlineLvl w:val="0"/>
        <w:rPr>
          <w:rFonts w:hint="eastAsia" w:ascii="宋体" w:hAnsi="宋体" w:eastAsia="宋体" w:cs="宋体"/>
          <w:b/>
          <w:szCs w:val="28"/>
        </w:rPr>
      </w:pPr>
      <w:r>
        <w:rPr>
          <w:rFonts w:hint="eastAsia" w:ascii="宋体" w:hAnsi="宋体" w:eastAsia="宋体" w:cs="宋体"/>
          <w:b/>
          <w:szCs w:val="28"/>
        </w:rPr>
        <w:t>竞争性磋商报价函</w:t>
      </w:r>
    </w:p>
    <w:p w14:paraId="20F5535C">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14:paraId="21DF79E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我方收到____________________________（项目名称）的竞争性磋商文件，经详细研究，决定参加该项目的磋商。</w:t>
      </w:r>
    </w:p>
    <w:p w14:paraId="23824FA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1.愿意按照竞争性磋商文件中的一切要求，提供本项目采购内容及相关服务，初始</w:t>
      </w:r>
      <w:r>
        <w:rPr>
          <w:rFonts w:hint="eastAsia" w:ascii="宋体" w:hAnsi="宋体" w:eastAsia="宋体" w:cs="宋体"/>
          <w:color w:val="000000"/>
          <w:sz w:val="24"/>
          <w:szCs w:val="24"/>
        </w:rPr>
        <w:t>抽检批次数量为：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批次</w:t>
      </w:r>
      <w:r>
        <w:rPr>
          <w:rFonts w:hint="eastAsia" w:ascii="宋体" w:hAnsi="宋体" w:eastAsia="宋体" w:cs="宋体"/>
          <w:sz w:val="24"/>
          <w:szCs w:val="24"/>
        </w:rPr>
        <w:t>。以我公司最后批次数量为准。</w:t>
      </w:r>
    </w:p>
    <w:p w14:paraId="34F4D9A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份，电子文档</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4A0BE09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3.我方承诺：本次磋商的有效期为90天。</w:t>
      </w:r>
    </w:p>
    <w:p w14:paraId="092918A9">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4.我方完全理解和接受贵方竞争性磋商文件的一切规定和要求及评审办法。</w:t>
      </w:r>
    </w:p>
    <w:p w14:paraId="01A57B0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5.在整个竞争性磋商过程中，我方若有违规行为，接受按照《中华人民共和国政府采购法》和《竞争性磋商文件》之规定给予惩罚。</w:t>
      </w:r>
    </w:p>
    <w:p w14:paraId="04A8F9E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6.我方若成为成交供应商，将按照最终磋商结果签订合同，并且严格履行合同义务。本承诺函将成为合同不可分割的一部分，与合同具有同等的法律效力。</w:t>
      </w:r>
    </w:p>
    <w:p w14:paraId="3AECF44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7.我方同意按竞争性磋商文件规定。如果我方成为成交供应商，保证在接到成交通知书前，向采购代理机构缴纳竞争性磋商文件规定的采购代理服务费。</w:t>
      </w:r>
    </w:p>
    <w:p w14:paraId="67F6B4D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8"/>
        </w:rPr>
        <w:t>我方未</w:t>
      </w:r>
      <w:r>
        <w:rPr>
          <w:rFonts w:hint="eastAsia" w:ascii="宋体" w:hAnsi="宋体" w:eastAsia="宋体" w:cs="宋体"/>
          <w:sz w:val="24"/>
          <w:szCs w:val="24"/>
        </w:rPr>
        <w:t>为采购项目提供整体设计、规范编制或者项目管理、监理、检测等服务。</w:t>
      </w:r>
    </w:p>
    <w:p w14:paraId="137327F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供应商（公章）：</w:t>
      </w:r>
    </w:p>
    <w:p w14:paraId="22CEE94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p>
    <w:p w14:paraId="0FC533E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电话：                                             传真：</w:t>
      </w:r>
    </w:p>
    <w:p w14:paraId="6B2080D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网址：                                             邮编：</w:t>
      </w:r>
    </w:p>
    <w:p w14:paraId="420BA9E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联系人：</w:t>
      </w:r>
    </w:p>
    <w:p w14:paraId="60650B6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69B1DDC5">
      <w:pPr>
        <w:pStyle w:val="84"/>
        <w:rPr>
          <w:rFonts w:hint="eastAsia" w:ascii="宋体" w:hAnsi="宋体" w:eastAsia="宋体" w:cs="宋体"/>
        </w:rPr>
      </w:pPr>
    </w:p>
    <w:p w14:paraId="3FDD72DF">
      <w:pPr>
        <w:pStyle w:val="84"/>
        <w:rPr>
          <w:rFonts w:hint="eastAsia" w:ascii="宋体" w:hAnsi="宋体" w:eastAsia="宋体" w:cs="宋体"/>
        </w:rPr>
      </w:pPr>
    </w:p>
    <w:p w14:paraId="1856365F">
      <w:pPr>
        <w:pStyle w:val="84"/>
        <w:rPr>
          <w:rFonts w:hint="eastAsia" w:ascii="宋体" w:hAnsi="宋体" w:eastAsia="宋体" w:cs="宋体"/>
        </w:rPr>
      </w:pPr>
    </w:p>
    <w:p w14:paraId="1010A44A">
      <w:pPr>
        <w:pStyle w:val="84"/>
        <w:rPr>
          <w:rFonts w:hint="eastAsia" w:ascii="宋体" w:hAnsi="宋体" w:eastAsia="宋体" w:cs="宋体"/>
        </w:rPr>
      </w:pPr>
    </w:p>
    <w:p w14:paraId="296C9F41">
      <w:pPr>
        <w:pStyle w:val="84"/>
        <w:rPr>
          <w:rFonts w:hint="eastAsia" w:ascii="宋体" w:hAnsi="宋体" w:eastAsia="宋体" w:cs="宋体"/>
        </w:rPr>
      </w:pPr>
    </w:p>
    <w:p w14:paraId="2ED2BD50">
      <w:pPr>
        <w:pStyle w:val="84"/>
        <w:rPr>
          <w:rFonts w:hint="eastAsia" w:ascii="宋体" w:hAnsi="宋体" w:eastAsia="宋体" w:cs="宋体"/>
        </w:rPr>
      </w:pPr>
    </w:p>
    <w:p w14:paraId="75C66161">
      <w:pPr>
        <w:pStyle w:val="84"/>
        <w:rPr>
          <w:rFonts w:hint="eastAsia" w:ascii="宋体" w:hAnsi="宋体" w:eastAsia="宋体" w:cs="宋体"/>
        </w:rPr>
      </w:pPr>
    </w:p>
    <w:p w14:paraId="629F2E6E">
      <w:pPr>
        <w:pStyle w:val="84"/>
        <w:rPr>
          <w:rFonts w:hint="eastAsia" w:ascii="宋体" w:hAnsi="宋体" w:eastAsia="宋体" w:cs="宋体"/>
        </w:rPr>
      </w:pPr>
    </w:p>
    <w:p w14:paraId="4C79EFC8">
      <w:pPr>
        <w:pStyle w:val="84"/>
        <w:rPr>
          <w:rFonts w:hint="eastAsia" w:ascii="宋体" w:hAnsi="宋体" w:eastAsia="宋体" w:cs="宋体"/>
        </w:rPr>
      </w:pPr>
    </w:p>
    <w:p w14:paraId="35A57F87">
      <w:pPr>
        <w:pStyle w:val="84"/>
        <w:rPr>
          <w:rFonts w:hint="eastAsia" w:ascii="宋体" w:hAnsi="宋体" w:eastAsia="宋体" w:cs="宋体"/>
        </w:rPr>
      </w:pPr>
    </w:p>
    <w:p w14:paraId="5C9701BC">
      <w:pPr>
        <w:pStyle w:val="84"/>
        <w:rPr>
          <w:rFonts w:hint="eastAsia" w:ascii="宋体" w:hAnsi="宋体" w:eastAsia="宋体" w:cs="宋体"/>
        </w:rPr>
      </w:pPr>
    </w:p>
    <w:p w14:paraId="77BBDE19">
      <w:pPr>
        <w:pStyle w:val="84"/>
        <w:rPr>
          <w:rFonts w:hint="eastAsia" w:ascii="宋体" w:hAnsi="宋体" w:eastAsia="宋体" w:cs="宋体"/>
        </w:rPr>
      </w:pPr>
      <w:bookmarkStart w:id="116" w:name="_Toc342913420"/>
      <w:bookmarkStart w:id="117" w:name="_Toc313008357"/>
      <w:bookmarkStart w:id="118" w:name="_Toc313888361"/>
    </w:p>
    <w:p w14:paraId="3ED2BF76">
      <w:pPr>
        <w:pStyle w:val="84"/>
        <w:rPr>
          <w:rFonts w:hint="eastAsia" w:ascii="宋体" w:hAnsi="宋体" w:eastAsia="宋体" w:cs="宋体"/>
        </w:rPr>
      </w:pPr>
    </w:p>
    <w:p w14:paraId="413DF14B">
      <w:pPr>
        <w:pStyle w:val="4"/>
        <w:spacing w:before="0" w:after="0" w:line="360" w:lineRule="auto"/>
        <w:rPr>
          <w:rFonts w:hint="eastAsia" w:ascii="宋体" w:hAnsi="宋体" w:eastAsia="宋体" w:cs="宋体"/>
          <w:sz w:val="24"/>
          <w:szCs w:val="24"/>
        </w:rPr>
      </w:pPr>
      <w:bookmarkStart w:id="119" w:name="_Toc26349"/>
      <w:r>
        <w:rPr>
          <w:rFonts w:hint="eastAsia" w:ascii="宋体" w:hAnsi="宋体" w:eastAsia="宋体" w:cs="宋体"/>
          <w:sz w:val="24"/>
          <w:szCs w:val="24"/>
        </w:rPr>
        <w:t>二、技术部分</w:t>
      </w:r>
      <w:bookmarkEnd w:id="116"/>
      <w:bookmarkEnd w:id="117"/>
      <w:bookmarkEnd w:id="118"/>
      <w:bookmarkEnd w:id="119"/>
    </w:p>
    <w:p w14:paraId="001B924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（一）技术响应偏离表</w:t>
      </w:r>
    </w:p>
    <w:p w14:paraId="2576F481">
      <w:pPr>
        <w:snapToGrid w:val="0"/>
        <w:spacing w:line="360" w:lineRule="auto"/>
        <w:jc w:val="center"/>
        <w:rPr>
          <w:rFonts w:hint="eastAsia" w:ascii="宋体" w:hAnsi="宋体" w:eastAsia="宋体" w:cs="宋体"/>
          <w:b/>
          <w:szCs w:val="28"/>
        </w:rPr>
      </w:pPr>
      <w:r>
        <w:rPr>
          <w:rFonts w:hint="eastAsia" w:ascii="宋体" w:hAnsi="宋体" w:eastAsia="宋体" w:cs="宋体"/>
          <w:b/>
          <w:szCs w:val="28"/>
        </w:rPr>
        <w:t>技术响应偏离表</w:t>
      </w:r>
    </w:p>
    <w:p w14:paraId="049B4A1A">
      <w:pPr>
        <w:pStyle w:val="34"/>
        <w:tabs>
          <w:tab w:val="left" w:pos="6300"/>
        </w:tabs>
        <w:snapToGrid w:val="0"/>
        <w:spacing w:line="380" w:lineRule="exact"/>
        <w:ind w:firstLine="360" w:firstLineChars="150"/>
        <w:outlineLvl w:val="0"/>
        <w:rPr>
          <w:rFonts w:hint="eastAsia" w:ascii="宋体" w:hAnsi="宋体" w:eastAsia="宋体" w:cs="宋体"/>
          <w:sz w:val="24"/>
          <w:szCs w:val="24"/>
        </w:rPr>
      </w:pPr>
      <w:r>
        <w:rPr>
          <w:rFonts w:hint="eastAsia" w:ascii="宋体" w:hAnsi="宋体" w:eastAsia="宋体" w:cs="宋体"/>
          <w:sz w:val="24"/>
          <w:szCs w:val="24"/>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658"/>
        <w:gridCol w:w="2759"/>
        <w:gridCol w:w="2445"/>
      </w:tblGrid>
      <w:tr w14:paraId="23DC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15CB7986">
            <w:pPr>
              <w:tabs>
                <w:tab w:val="left" w:pos="6300"/>
              </w:tabs>
              <w:snapToGrid w:val="0"/>
              <w:spacing w:line="380" w:lineRule="exact"/>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tcBorders>
              <w:top w:val="single" w:color="auto" w:sz="4" w:space="0"/>
              <w:left w:val="single" w:color="auto" w:sz="4" w:space="0"/>
              <w:bottom w:val="single" w:color="auto" w:sz="4" w:space="0"/>
              <w:right w:val="single" w:color="auto" w:sz="4" w:space="0"/>
            </w:tcBorders>
            <w:vAlign w:val="center"/>
          </w:tcPr>
          <w:p w14:paraId="5F77607F">
            <w:pPr>
              <w:tabs>
                <w:tab w:val="left" w:pos="6300"/>
              </w:tabs>
              <w:snapToGrid w:val="0"/>
              <w:spacing w:line="380" w:lineRule="exact"/>
              <w:jc w:val="center"/>
              <w:outlineLvl w:val="0"/>
              <w:rPr>
                <w:rFonts w:hint="eastAsia" w:ascii="宋体" w:hAnsi="宋体" w:eastAsia="宋体" w:cs="宋体"/>
                <w:sz w:val="24"/>
                <w:szCs w:val="24"/>
              </w:rPr>
            </w:pPr>
            <w:r>
              <w:rPr>
                <w:rFonts w:hint="eastAsia" w:ascii="宋体" w:hAnsi="宋体" w:eastAsia="宋体" w:cs="宋体"/>
                <w:sz w:val="24"/>
                <w:szCs w:val="24"/>
              </w:rPr>
              <w:t>采购需求</w:t>
            </w:r>
          </w:p>
        </w:tc>
        <w:tc>
          <w:tcPr>
            <w:tcW w:w="2759" w:type="dxa"/>
            <w:tcBorders>
              <w:top w:val="single" w:color="auto" w:sz="4" w:space="0"/>
              <w:left w:val="single" w:color="auto" w:sz="4" w:space="0"/>
              <w:bottom w:val="single" w:color="auto" w:sz="4" w:space="0"/>
              <w:right w:val="single" w:color="auto" w:sz="4" w:space="0"/>
            </w:tcBorders>
            <w:vAlign w:val="center"/>
          </w:tcPr>
          <w:p w14:paraId="5C3D6E89">
            <w:pPr>
              <w:tabs>
                <w:tab w:val="left" w:pos="6300"/>
              </w:tabs>
              <w:snapToGrid w:val="0"/>
              <w:spacing w:line="380" w:lineRule="exact"/>
              <w:jc w:val="center"/>
              <w:outlineLvl w:val="0"/>
              <w:rPr>
                <w:rFonts w:hint="eastAsia" w:ascii="宋体" w:hAnsi="宋体" w:eastAsia="宋体" w:cs="宋体"/>
                <w:sz w:val="24"/>
                <w:szCs w:val="24"/>
              </w:rPr>
            </w:pPr>
            <w:r>
              <w:rPr>
                <w:rFonts w:hint="eastAsia" w:ascii="宋体" w:hAnsi="宋体" w:eastAsia="宋体" w:cs="宋体"/>
                <w:sz w:val="24"/>
                <w:szCs w:val="24"/>
              </w:rPr>
              <w:t>响应情况</w:t>
            </w:r>
          </w:p>
        </w:tc>
        <w:tc>
          <w:tcPr>
            <w:tcW w:w="2445" w:type="dxa"/>
            <w:tcBorders>
              <w:top w:val="single" w:color="auto" w:sz="4" w:space="0"/>
              <w:left w:val="single" w:color="auto" w:sz="4" w:space="0"/>
              <w:bottom w:val="single" w:color="auto" w:sz="4" w:space="0"/>
              <w:right w:val="single" w:color="auto" w:sz="4" w:space="0"/>
            </w:tcBorders>
            <w:vAlign w:val="center"/>
          </w:tcPr>
          <w:p w14:paraId="19CDFE02">
            <w:pPr>
              <w:tabs>
                <w:tab w:val="left" w:pos="6300"/>
              </w:tabs>
              <w:snapToGrid w:val="0"/>
              <w:spacing w:line="380" w:lineRule="exact"/>
              <w:jc w:val="center"/>
              <w:outlineLvl w:val="0"/>
              <w:rPr>
                <w:rFonts w:hint="eastAsia" w:ascii="宋体" w:hAnsi="宋体" w:eastAsia="宋体" w:cs="宋体"/>
                <w:sz w:val="24"/>
                <w:szCs w:val="24"/>
              </w:rPr>
            </w:pPr>
            <w:r>
              <w:rPr>
                <w:rFonts w:hint="eastAsia" w:ascii="宋体" w:hAnsi="宋体" w:eastAsia="宋体" w:cs="宋体"/>
                <w:sz w:val="24"/>
                <w:szCs w:val="24"/>
              </w:rPr>
              <w:t>差异说明</w:t>
            </w:r>
          </w:p>
        </w:tc>
      </w:tr>
      <w:tr w14:paraId="65C0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49255F1A">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2915C8A6">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6FCCF142">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23A43776">
            <w:pPr>
              <w:tabs>
                <w:tab w:val="left" w:pos="6300"/>
              </w:tabs>
              <w:snapToGrid w:val="0"/>
              <w:spacing w:line="380" w:lineRule="exact"/>
              <w:jc w:val="center"/>
              <w:outlineLvl w:val="0"/>
              <w:rPr>
                <w:rFonts w:hint="eastAsia" w:ascii="宋体" w:hAnsi="宋体" w:eastAsia="宋体" w:cs="宋体"/>
                <w:sz w:val="24"/>
                <w:szCs w:val="24"/>
              </w:rPr>
            </w:pPr>
          </w:p>
        </w:tc>
      </w:tr>
      <w:tr w14:paraId="08CE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62F06FA1">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4D3D9302">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1405C9CE">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621A63F1">
            <w:pPr>
              <w:tabs>
                <w:tab w:val="left" w:pos="6300"/>
              </w:tabs>
              <w:snapToGrid w:val="0"/>
              <w:spacing w:line="380" w:lineRule="exact"/>
              <w:jc w:val="center"/>
              <w:outlineLvl w:val="0"/>
              <w:rPr>
                <w:rFonts w:hint="eastAsia" w:ascii="宋体" w:hAnsi="宋体" w:eastAsia="宋体" w:cs="宋体"/>
                <w:sz w:val="24"/>
                <w:szCs w:val="24"/>
              </w:rPr>
            </w:pPr>
          </w:p>
        </w:tc>
      </w:tr>
      <w:tr w14:paraId="3238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557F0D13">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22DE9E4A">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205637FE">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7E8273E2">
            <w:pPr>
              <w:tabs>
                <w:tab w:val="left" w:pos="6300"/>
              </w:tabs>
              <w:snapToGrid w:val="0"/>
              <w:spacing w:line="380" w:lineRule="exact"/>
              <w:jc w:val="center"/>
              <w:outlineLvl w:val="0"/>
              <w:rPr>
                <w:rFonts w:hint="eastAsia" w:ascii="宋体" w:hAnsi="宋体" w:eastAsia="宋体" w:cs="宋体"/>
                <w:sz w:val="24"/>
                <w:szCs w:val="24"/>
              </w:rPr>
            </w:pPr>
          </w:p>
        </w:tc>
      </w:tr>
      <w:tr w14:paraId="799F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69AF557B">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077AE48A">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2F6C0FCF">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5F377BAD">
            <w:pPr>
              <w:tabs>
                <w:tab w:val="left" w:pos="6300"/>
              </w:tabs>
              <w:snapToGrid w:val="0"/>
              <w:spacing w:line="380" w:lineRule="exact"/>
              <w:jc w:val="center"/>
              <w:outlineLvl w:val="0"/>
              <w:rPr>
                <w:rFonts w:hint="eastAsia" w:ascii="宋体" w:hAnsi="宋体" w:eastAsia="宋体" w:cs="宋体"/>
                <w:sz w:val="24"/>
                <w:szCs w:val="24"/>
              </w:rPr>
            </w:pPr>
          </w:p>
        </w:tc>
      </w:tr>
      <w:tr w14:paraId="1829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6C1BE36C">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5B7E79DA">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55167E73">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354D06BB">
            <w:pPr>
              <w:tabs>
                <w:tab w:val="left" w:pos="6300"/>
              </w:tabs>
              <w:snapToGrid w:val="0"/>
              <w:spacing w:line="380" w:lineRule="exact"/>
              <w:jc w:val="center"/>
              <w:outlineLvl w:val="0"/>
              <w:rPr>
                <w:rFonts w:hint="eastAsia" w:ascii="宋体" w:hAnsi="宋体" w:eastAsia="宋体" w:cs="宋体"/>
                <w:sz w:val="24"/>
                <w:szCs w:val="24"/>
              </w:rPr>
            </w:pPr>
          </w:p>
        </w:tc>
      </w:tr>
      <w:tr w14:paraId="65D2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7C649E62">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159A25CB">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31F738F1">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03ACC2F8">
            <w:pPr>
              <w:tabs>
                <w:tab w:val="left" w:pos="6300"/>
              </w:tabs>
              <w:snapToGrid w:val="0"/>
              <w:spacing w:line="380" w:lineRule="exact"/>
              <w:jc w:val="center"/>
              <w:outlineLvl w:val="0"/>
              <w:rPr>
                <w:rFonts w:hint="eastAsia" w:ascii="宋体" w:hAnsi="宋体" w:eastAsia="宋体" w:cs="宋体"/>
                <w:sz w:val="24"/>
                <w:szCs w:val="24"/>
              </w:rPr>
            </w:pPr>
          </w:p>
        </w:tc>
      </w:tr>
      <w:tr w14:paraId="6F49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12CB11B6">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2904A0D3">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13661F91">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1C91553D">
            <w:pPr>
              <w:tabs>
                <w:tab w:val="left" w:pos="6300"/>
              </w:tabs>
              <w:snapToGrid w:val="0"/>
              <w:spacing w:line="380" w:lineRule="exact"/>
              <w:jc w:val="center"/>
              <w:outlineLvl w:val="0"/>
              <w:rPr>
                <w:rFonts w:hint="eastAsia" w:ascii="宋体" w:hAnsi="宋体" w:eastAsia="宋体" w:cs="宋体"/>
                <w:sz w:val="24"/>
                <w:szCs w:val="24"/>
              </w:rPr>
            </w:pPr>
          </w:p>
        </w:tc>
      </w:tr>
      <w:tr w14:paraId="1448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390222B8">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04BD2CC9">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39EAEC1A">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0B4DD151">
            <w:pPr>
              <w:tabs>
                <w:tab w:val="left" w:pos="6300"/>
              </w:tabs>
              <w:snapToGrid w:val="0"/>
              <w:spacing w:line="380" w:lineRule="exact"/>
              <w:jc w:val="center"/>
              <w:outlineLvl w:val="0"/>
              <w:rPr>
                <w:rFonts w:hint="eastAsia" w:ascii="宋体" w:hAnsi="宋体" w:eastAsia="宋体" w:cs="宋体"/>
                <w:sz w:val="24"/>
                <w:szCs w:val="24"/>
              </w:rPr>
            </w:pPr>
          </w:p>
        </w:tc>
      </w:tr>
      <w:tr w14:paraId="17C1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63C9C7B0">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28845AAC">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750CC24D">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0EFE7542">
            <w:pPr>
              <w:tabs>
                <w:tab w:val="left" w:pos="6300"/>
              </w:tabs>
              <w:snapToGrid w:val="0"/>
              <w:spacing w:line="380" w:lineRule="exact"/>
              <w:jc w:val="center"/>
              <w:outlineLvl w:val="0"/>
              <w:rPr>
                <w:rFonts w:hint="eastAsia" w:ascii="宋体" w:hAnsi="宋体" w:eastAsia="宋体" w:cs="宋体"/>
                <w:sz w:val="24"/>
                <w:szCs w:val="24"/>
              </w:rPr>
            </w:pPr>
          </w:p>
        </w:tc>
      </w:tr>
      <w:tr w14:paraId="4709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76FF561F">
            <w:pPr>
              <w:tabs>
                <w:tab w:val="left" w:pos="6300"/>
              </w:tabs>
              <w:snapToGrid w:val="0"/>
              <w:spacing w:line="380" w:lineRule="exact"/>
              <w:jc w:val="center"/>
              <w:outlineLvl w:val="0"/>
              <w:rPr>
                <w:rFonts w:hint="eastAsia" w:ascii="宋体" w:hAnsi="宋体" w:eastAsia="宋体" w:cs="宋体"/>
                <w:sz w:val="24"/>
                <w:szCs w:val="24"/>
              </w:rPr>
            </w:pPr>
          </w:p>
        </w:tc>
        <w:tc>
          <w:tcPr>
            <w:tcW w:w="2658" w:type="dxa"/>
            <w:tcBorders>
              <w:top w:val="single" w:color="auto" w:sz="4" w:space="0"/>
              <w:left w:val="single" w:color="auto" w:sz="4" w:space="0"/>
              <w:bottom w:val="single" w:color="auto" w:sz="4" w:space="0"/>
              <w:right w:val="single" w:color="auto" w:sz="4" w:space="0"/>
            </w:tcBorders>
            <w:vAlign w:val="center"/>
          </w:tcPr>
          <w:p w14:paraId="5F054A62">
            <w:pPr>
              <w:tabs>
                <w:tab w:val="left" w:pos="6300"/>
              </w:tabs>
              <w:snapToGrid w:val="0"/>
              <w:spacing w:line="380" w:lineRule="exact"/>
              <w:jc w:val="center"/>
              <w:outlineLvl w:val="0"/>
              <w:rPr>
                <w:rFonts w:hint="eastAsia" w:ascii="宋体" w:hAnsi="宋体" w:eastAsia="宋体" w:cs="宋体"/>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11BAC788">
            <w:pPr>
              <w:tabs>
                <w:tab w:val="left" w:pos="6300"/>
              </w:tabs>
              <w:snapToGrid w:val="0"/>
              <w:spacing w:line="380" w:lineRule="exact"/>
              <w:jc w:val="center"/>
              <w:outlineLvl w:val="0"/>
              <w:rPr>
                <w:rFonts w:hint="eastAsia" w:ascii="宋体" w:hAnsi="宋体" w:eastAsia="宋体" w:cs="宋体"/>
                <w:sz w:val="24"/>
                <w:szCs w:val="24"/>
              </w:rPr>
            </w:pPr>
          </w:p>
        </w:tc>
        <w:tc>
          <w:tcPr>
            <w:tcW w:w="2445" w:type="dxa"/>
            <w:tcBorders>
              <w:top w:val="single" w:color="auto" w:sz="4" w:space="0"/>
              <w:left w:val="single" w:color="auto" w:sz="4" w:space="0"/>
              <w:bottom w:val="single" w:color="auto" w:sz="4" w:space="0"/>
              <w:right w:val="single" w:color="auto" w:sz="4" w:space="0"/>
            </w:tcBorders>
            <w:vAlign w:val="center"/>
          </w:tcPr>
          <w:p w14:paraId="3315572F">
            <w:pPr>
              <w:tabs>
                <w:tab w:val="left" w:pos="6300"/>
              </w:tabs>
              <w:snapToGrid w:val="0"/>
              <w:spacing w:line="380" w:lineRule="exact"/>
              <w:jc w:val="center"/>
              <w:outlineLvl w:val="0"/>
              <w:rPr>
                <w:rFonts w:hint="eastAsia" w:ascii="宋体" w:hAnsi="宋体" w:eastAsia="宋体" w:cs="宋体"/>
                <w:sz w:val="24"/>
                <w:szCs w:val="24"/>
              </w:rPr>
            </w:pPr>
          </w:p>
        </w:tc>
      </w:tr>
    </w:tbl>
    <w:p w14:paraId="6130C07E">
      <w:pPr>
        <w:spacing w:line="38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供应商：                                 法定代表人授权代表：</w:t>
      </w:r>
    </w:p>
    <w:p w14:paraId="4290232E">
      <w:pPr>
        <w:spacing w:line="380" w:lineRule="exact"/>
        <w:rPr>
          <w:rFonts w:hint="eastAsia" w:ascii="宋体" w:hAnsi="宋体" w:eastAsia="宋体" w:cs="宋体"/>
          <w:sz w:val="24"/>
          <w:szCs w:val="24"/>
        </w:rPr>
      </w:pPr>
    </w:p>
    <w:p w14:paraId="2066CAF7">
      <w:pPr>
        <w:spacing w:line="38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14:paraId="06DAD280">
      <w:pPr>
        <w:pStyle w:val="84"/>
        <w:rPr>
          <w:rFonts w:hint="eastAsia" w:ascii="宋体" w:hAnsi="宋体" w:eastAsia="宋体" w:cs="宋体"/>
          <w:sz w:val="24"/>
          <w:szCs w:val="24"/>
        </w:rPr>
      </w:pPr>
      <w:r>
        <w:rPr>
          <w:rFonts w:hint="eastAsia" w:ascii="宋体" w:hAnsi="宋体" w:eastAsia="宋体" w:cs="宋体"/>
          <w:sz w:val="24"/>
          <w:szCs w:val="24"/>
        </w:rPr>
        <w:t xml:space="preserve">                                                         </w:t>
      </w:r>
    </w:p>
    <w:p w14:paraId="74A59D9A">
      <w:pPr>
        <w:pStyle w:val="84"/>
        <w:ind w:firstLine="7080" w:firstLineChars="2950"/>
        <w:rPr>
          <w:rFonts w:hint="eastAsia" w:ascii="宋体" w:hAnsi="宋体" w:eastAsia="宋体" w:cs="宋体"/>
          <w:sz w:val="24"/>
          <w:szCs w:val="24"/>
        </w:rPr>
      </w:pPr>
      <w:r>
        <w:rPr>
          <w:rFonts w:hint="eastAsia" w:ascii="宋体" w:hAnsi="宋体" w:eastAsia="宋体" w:cs="宋体"/>
          <w:sz w:val="24"/>
          <w:szCs w:val="24"/>
        </w:rPr>
        <w:t xml:space="preserve">  年     月     日</w:t>
      </w:r>
    </w:p>
    <w:p w14:paraId="65E075C5">
      <w:pPr>
        <w:tabs>
          <w:tab w:val="left" w:pos="6300"/>
        </w:tabs>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14:paraId="0F4BF0AC">
      <w:pPr>
        <w:tabs>
          <w:tab w:val="left" w:pos="6300"/>
        </w:tabs>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1.本表必须按照“第二篇  磋商项目技术需求”中所列内容进行比较和响应，根据响应情况在“差异说明”项填写正偏离或负偏离及原因，完全符合的填写“无差异”</w:t>
      </w:r>
      <w:r>
        <w:rPr>
          <w:rFonts w:hint="eastAsia" w:ascii="宋体" w:hAnsi="宋体" w:eastAsia="宋体" w:cs="宋体"/>
          <w:sz w:val="24"/>
        </w:rPr>
        <w:t>；</w:t>
      </w:r>
    </w:p>
    <w:p w14:paraId="7A6E63D8">
      <w:pPr>
        <w:tabs>
          <w:tab w:val="left" w:pos="6300"/>
        </w:tabs>
        <w:snapToGrid w:val="0"/>
        <w:spacing w:line="38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2.本表可扩展。</w:t>
      </w:r>
    </w:p>
    <w:p w14:paraId="325AF2A6">
      <w:pPr>
        <w:tabs>
          <w:tab w:val="left" w:pos="6300"/>
        </w:tabs>
        <w:snapToGrid w:val="0"/>
        <w:spacing w:line="380" w:lineRule="exact"/>
        <w:ind w:firstLine="482" w:firstLineChars="200"/>
        <w:rPr>
          <w:rFonts w:hint="eastAsia" w:ascii="宋体" w:hAnsi="宋体" w:eastAsia="宋体" w:cs="宋体"/>
          <w:b/>
          <w:sz w:val="24"/>
          <w:szCs w:val="24"/>
        </w:rPr>
      </w:pPr>
    </w:p>
    <w:p w14:paraId="0EBDE94F">
      <w:pPr>
        <w:pStyle w:val="4"/>
        <w:rPr>
          <w:rFonts w:hint="eastAsia" w:ascii="宋体" w:hAnsi="宋体" w:eastAsia="宋体" w:cs="宋体"/>
        </w:rPr>
      </w:pPr>
    </w:p>
    <w:p w14:paraId="7C7175BD">
      <w:pPr>
        <w:pStyle w:val="84"/>
        <w:rPr>
          <w:rFonts w:hint="eastAsia" w:ascii="宋体" w:hAnsi="宋体" w:eastAsia="宋体" w:cs="宋体"/>
        </w:rPr>
      </w:pPr>
    </w:p>
    <w:p w14:paraId="0F0B4881">
      <w:pPr>
        <w:pStyle w:val="84"/>
        <w:rPr>
          <w:rFonts w:hint="eastAsia" w:ascii="宋体" w:hAnsi="宋体" w:eastAsia="宋体" w:cs="宋体"/>
        </w:rPr>
      </w:pPr>
    </w:p>
    <w:p w14:paraId="7640C02F">
      <w:pPr>
        <w:spacing w:line="440" w:lineRule="exact"/>
        <w:ind w:firstLine="480" w:firstLineChars="200"/>
        <w:rPr>
          <w:rFonts w:hint="eastAsia" w:ascii="宋体" w:hAnsi="宋体" w:eastAsia="宋体" w:cs="宋体"/>
          <w:sz w:val="24"/>
          <w:szCs w:val="24"/>
        </w:rPr>
        <w:sectPr>
          <w:headerReference r:id="rId9"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（二）工作方案（格式自定，建议按照评审标准技术部分编写）</w:t>
      </w:r>
    </w:p>
    <w:p w14:paraId="0D93C6D9">
      <w:pPr>
        <w:pStyle w:val="4"/>
        <w:rPr>
          <w:rFonts w:hint="eastAsia" w:ascii="宋体" w:hAnsi="宋体" w:eastAsia="宋体" w:cs="宋体"/>
          <w:sz w:val="24"/>
          <w:szCs w:val="24"/>
        </w:rPr>
      </w:pPr>
      <w:bookmarkStart w:id="120" w:name="_Toc313888362"/>
      <w:bookmarkStart w:id="121" w:name="_Toc313008358"/>
      <w:bookmarkStart w:id="122" w:name="_Toc342913421"/>
      <w:bookmarkStart w:id="123" w:name="_Toc5344"/>
      <w:r>
        <w:rPr>
          <w:rFonts w:hint="eastAsia" w:ascii="宋体" w:hAnsi="宋体" w:eastAsia="宋体" w:cs="宋体"/>
          <w:sz w:val="24"/>
          <w:szCs w:val="24"/>
        </w:rPr>
        <w:t>三、商务部分</w:t>
      </w:r>
      <w:bookmarkEnd w:id="120"/>
      <w:bookmarkEnd w:id="121"/>
      <w:bookmarkEnd w:id="122"/>
      <w:bookmarkEnd w:id="123"/>
    </w:p>
    <w:p w14:paraId="0C93858F">
      <w:pPr>
        <w:spacing w:line="360" w:lineRule="auto"/>
        <w:ind w:firstLine="480" w:firstLineChars="200"/>
        <w:rPr>
          <w:rFonts w:hint="eastAsia" w:ascii="宋体" w:hAnsi="宋体" w:eastAsia="宋体" w:cs="宋体"/>
          <w:sz w:val="24"/>
          <w:szCs w:val="24"/>
        </w:rPr>
      </w:pPr>
      <w:bookmarkStart w:id="124" w:name="_Toc283382459"/>
      <w:r>
        <w:rPr>
          <w:rFonts w:hint="eastAsia" w:ascii="宋体" w:hAnsi="宋体" w:eastAsia="宋体" w:cs="宋体"/>
          <w:sz w:val="24"/>
          <w:szCs w:val="24"/>
        </w:rPr>
        <w:t>（一）商务响应偏离表</w:t>
      </w:r>
    </w:p>
    <w:p w14:paraId="596F9295">
      <w:pPr>
        <w:snapToGrid w:val="0"/>
        <w:spacing w:line="360" w:lineRule="auto"/>
        <w:jc w:val="center"/>
        <w:rPr>
          <w:rFonts w:hint="eastAsia" w:ascii="宋体" w:hAnsi="宋体" w:eastAsia="宋体" w:cs="宋体"/>
          <w:b/>
          <w:szCs w:val="28"/>
        </w:rPr>
      </w:pPr>
      <w:r>
        <w:rPr>
          <w:rFonts w:hint="eastAsia" w:ascii="宋体" w:hAnsi="宋体" w:eastAsia="宋体" w:cs="宋体"/>
          <w:b/>
          <w:szCs w:val="28"/>
        </w:rPr>
        <w:t>商务响应偏离表</w:t>
      </w:r>
    </w:p>
    <w:p w14:paraId="4A0930E6">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对于竞争性磋商文件的商务要求，如有任何偏离请如实填写下表：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D9E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38E2F36">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序号</w:t>
            </w:r>
          </w:p>
        </w:tc>
        <w:tc>
          <w:tcPr>
            <w:tcW w:w="3179" w:type="dxa"/>
            <w:vAlign w:val="center"/>
          </w:tcPr>
          <w:p w14:paraId="5E4F8AA5">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磋商项目需求</w:t>
            </w:r>
          </w:p>
        </w:tc>
        <w:tc>
          <w:tcPr>
            <w:tcW w:w="2434" w:type="dxa"/>
            <w:vAlign w:val="center"/>
          </w:tcPr>
          <w:p w14:paraId="34154FDA">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响应情况</w:t>
            </w:r>
          </w:p>
        </w:tc>
        <w:tc>
          <w:tcPr>
            <w:tcW w:w="2355" w:type="dxa"/>
            <w:vAlign w:val="center"/>
          </w:tcPr>
          <w:p w14:paraId="4FF17170">
            <w:pPr>
              <w:tabs>
                <w:tab w:val="left" w:pos="6300"/>
              </w:tabs>
              <w:snapToGrid w:val="0"/>
              <w:spacing w:line="360" w:lineRule="auto"/>
              <w:jc w:val="center"/>
              <w:outlineLvl w:val="0"/>
              <w:rPr>
                <w:rFonts w:hint="eastAsia" w:ascii="宋体" w:hAnsi="宋体" w:eastAsia="宋体" w:cs="宋体"/>
                <w:sz w:val="21"/>
                <w:szCs w:val="24"/>
              </w:rPr>
            </w:pPr>
            <w:r>
              <w:rPr>
                <w:rFonts w:hint="eastAsia" w:ascii="宋体" w:hAnsi="宋体" w:eastAsia="宋体" w:cs="宋体"/>
                <w:sz w:val="21"/>
                <w:szCs w:val="24"/>
              </w:rPr>
              <w:t>差异说明</w:t>
            </w:r>
          </w:p>
        </w:tc>
      </w:tr>
      <w:tr w14:paraId="3504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8E71C2E">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445B6A14">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47E12D10">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5BC0F3BF">
            <w:pPr>
              <w:tabs>
                <w:tab w:val="left" w:pos="6300"/>
              </w:tabs>
              <w:snapToGrid w:val="0"/>
              <w:spacing w:line="360" w:lineRule="auto"/>
              <w:jc w:val="center"/>
              <w:outlineLvl w:val="0"/>
              <w:rPr>
                <w:rFonts w:hint="eastAsia" w:ascii="宋体" w:hAnsi="宋体" w:eastAsia="宋体" w:cs="宋体"/>
                <w:sz w:val="21"/>
                <w:szCs w:val="24"/>
              </w:rPr>
            </w:pPr>
          </w:p>
        </w:tc>
      </w:tr>
      <w:tr w14:paraId="70FB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42B70B8">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08C694D3">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3A9C4FD3">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6010170A">
            <w:pPr>
              <w:tabs>
                <w:tab w:val="left" w:pos="6300"/>
              </w:tabs>
              <w:snapToGrid w:val="0"/>
              <w:spacing w:line="360" w:lineRule="auto"/>
              <w:jc w:val="center"/>
              <w:outlineLvl w:val="0"/>
              <w:rPr>
                <w:rFonts w:hint="eastAsia" w:ascii="宋体" w:hAnsi="宋体" w:eastAsia="宋体" w:cs="宋体"/>
                <w:sz w:val="21"/>
                <w:szCs w:val="24"/>
              </w:rPr>
            </w:pPr>
          </w:p>
        </w:tc>
      </w:tr>
      <w:tr w14:paraId="7D0D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13A768">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13796B9A">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43FB38EE">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018814F6">
            <w:pPr>
              <w:tabs>
                <w:tab w:val="left" w:pos="6300"/>
              </w:tabs>
              <w:snapToGrid w:val="0"/>
              <w:spacing w:line="360" w:lineRule="auto"/>
              <w:jc w:val="center"/>
              <w:outlineLvl w:val="0"/>
              <w:rPr>
                <w:rFonts w:hint="eastAsia" w:ascii="宋体" w:hAnsi="宋体" w:eastAsia="宋体" w:cs="宋体"/>
                <w:sz w:val="21"/>
                <w:szCs w:val="24"/>
              </w:rPr>
            </w:pPr>
          </w:p>
        </w:tc>
      </w:tr>
      <w:tr w14:paraId="4FE6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EB134B">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22282393">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5A8E5C93">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5BE0C50C">
            <w:pPr>
              <w:tabs>
                <w:tab w:val="left" w:pos="6300"/>
              </w:tabs>
              <w:snapToGrid w:val="0"/>
              <w:spacing w:line="360" w:lineRule="auto"/>
              <w:jc w:val="center"/>
              <w:outlineLvl w:val="0"/>
              <w:rPr>
                <w:rFonts w:hint="eastAsia" w:ascii="宋体" w:hAnsi="宋体" w:eastAsia="宋体" w:cs="宋体"/>
                <w:sz w:val="21"/>
                <w:szCs w:val="24"/>
              </w:rPr>
            </w:pPr>
          </w:p>
        </w:tc>
      </w:tr>
      <w:tr w14:paraId="3B96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886044">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7A66CC46">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0185DF80">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4B713EFF">
            <w:pPr>
              <w:tabs>
                <w:tab w:val="left" w:pos="6300"/>
              </w:tabs>
              <w:snapToGrid w:val="0"/>
              <w:spacing w:line="360" w:lineRule="auto"/>
              <w:jc w:val="center"/>
              <w:outlineLvl w:val="0"/>
              <w:rPr>
                <w:rFonts w:hint="eastAsia" w:ascii="宋体" w:hAnsi="宋体" w:eastAsia="宋体" w:cs="宋体"/>
                <w:sz w:val="21"/>
                <w:szCs w:val="24"/>
              </w:rPr>
            </w:pPr>
          </w:p>
        </w:tc>
      </w:tr>
      <w:tr w14:paraId="7955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C19224">
            <w:pPr>
              <w:tabs>
                <w:tab w:val="left" w:pos="6300"/>
              </w:tabs>
              <w:snapToGrid w:val="0"/>
              <w:spacing w:line="360" w:lineRule="auto"/>
              <w:jc w:val="center"/>
              <w:outlineLvl w:val="0"/>
              <w:rPr>
                <w:rFonts w:hint="eastAsia" w:ascii="宋体" w:hAnsi="宋体" w:eastAsia="宋体" w:cs="宋体"/>
                <w:sz w:val="21"/>
                <w:szCs w:val="24"/>
              </w:rPr>
            </w:pPr>
          </w:p>
        </w:tc>
        <w:tc>
          <w:tcPr>
            <w:tcW w:w="3179" w:type="dxa"/>
            <w:vAlign w:val="center"/>
          </w:tcPr>
          <w:p w14:paraId="0F417F62">
            <w:pPr>
              <w:tabs>
                <w:tab w:val="left" w:pos="6300"/>
              </w:tabs>
              <w:snapToGrid w:val="0"/>
              <w:spacing w:line="360" w:lineRule="auto"/>
              <w:jc w:val="center"/>
              <w:outlineLvl w:val="0"/>
              <w:rPr>
                <w:rFonts w:hint="eastAsia" w:ascii="宋体" w:hAnsi="宋体" w:eastAsia="宋体" w:cs="宋体"/>
                <w:sz w:val="21"/>
                <w:szCs w:val="24"/>
              </w:rPr>
            </w:pPr>
          </w:p>
        </w:tc>
        <w:tc>
          <w:tcPr>
            <w:tcW w:w="2434" w:type="dxa"/>
            <w:vAlign w:val="center"/>
          </w:tcPr>
          <w:p w14:paraId="79E39F2C">
            <w:pPr>
              <w:tabs>
                <w:tab w:val="left" w:pos="6300"/>
              </w:tabs>
              <w:snapToGrid w:val="0"/>
              <w:spacing w:line="360" w:lineRule="auto"/>
              <w:jc w:val="center"/>
              <w:outlineLvl w:val="0"/>
              <w:rPr>
                <w:rFonts w:hint="eastAsia" w:ascii="宋体" w:hAnsi="宋体" w:eastAsia="宋体" w:cs="宋体"/>
                <w:sz w:val="21"/>
                <w:szCs w:val="24"/>
              </w:rPr>
            </w:pPr>
          </w:p>
        </w:tc>
        <w:tc>
          <w:tcPr>
            <w:tcW w:w="2355" w:type="dxa"/>
            <w:vAlign w:val="center"/>
          </w:tcPr>
          <w:p w14:paraId="7342C198">
            <w:pPr>
              <w:tabs>
                <w:tab w:val="left" w:pos="6300"/>
              </w:tabs>
              <w:snapToGrid w:val="0"/>
              <w:spacing w:line="360" w:lineRule="auto"/>
              <w:jc w:val="center"/>
              <w:outlineLvl w:val="0"/>
              <w:rPr>
                <w:rFonts w:hint="eastAsia" w:ascii="宋体" w:hAnsi="宋体" w:eastAsia="宋体" w:cs="宋体"/>
                <w:sz w:val="21"/>
                <w:szCs w:val="24"/>
              </w:rPr>
            </w:pPr>
          </w:p>
        </w:tc>
      </w:tr>
    </w:tbl>
    <w:p w14:paraId="30463877">
      <w:pPr>
        <w:snapToGrid w:val="0"/>
        <w:spacing w:line="360" w:lineRule="auto"/>
        <w:ind w:firstLine="465"/>
        <w:rPr>
          <w:rFonts w:hint="eastAsia" w:ascii="宋体" w:hAnsi="宋体" w:eastAsia="宋体" w:cs="宋体"/>
          <w:sz w:val="24"/>
          <w:szCs w:val="24"/>
        </w:rPr>
      </w:pPr>
    </w:p>
    <w:p w14:paraId="7AD56A01">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法定代表人授权代表：</w:t>
      </w:r>
    </w:p>
    <w:p w14:paraId="7533AF38">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4781EF51">
      <w:pPr>
        <w:spacing w:line="500" w:lineRule="exact"/>
        <w:ind w:firstLine="360" w:firstLineChars="150"/>
        <w:rPr>
          <w:rFonts w:hint="eastAsia" w:ascii="宋体" w:hAnsi="宋体" w:eastAsia="宋体" w:cs="宋体"/>
          <w:sz w:val="24"/>
          <w:szCs w:val="28"/>
        </w:rPr>
      </w:pPr>
      <w:r>
        <w:rPr>
          <w:rFonts w:hint="eastAsia" w:ascii="宋体" w:hAnsi="宋体" w:eastAsia="宋体" w:cs="宋体"/>
          <w:sz w:val="24"/>
          <w:szCs w:val="28"/>
        </w:rPr>
        <w:t>（供应商公章）                                 （签字或盖章）</w:t>
      </w:r>
    </w:p>
    <w:p w14:paraId="1CE552A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75CE1B8F">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0383AFE7">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.本表即为对本项目“第三篇 磋商项目商务需求”中所列商务要求进行比较和响应，根据响应情况在“差异说明”项填写正偏离或负偏离及原因，完全符合的填写“无差异”；</w:t>
      </w:r>
    </w:p>
    <w:p w14:paraId="3FF7269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2.该表可扩展</w:t>
      </w:r>
      <w:r>
        <w:rPr>
          <w:rFonts w:hint="eastAsia" w:ascii="宋体" w:hAnsi="宋体" w:eastAsia="宋体" w:cs="宋体"/>
          <w:sz w:val="24"/>
          <w:szCs w:val="24"/>
        </w:rPr>
        <w:t>。</w:t>
      </w:r>
    </w:p>
    <w:p w14:paraId="0C93D750">
      <w:pPr>
        <w:spacing w:line="360" w:lineRule="auto"/>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（二）其它优惠服务承诺（格式自定）</w:t>
      </w:r>
    </w:p>
    <w:p w14:paraId="00874ACC">
      <w:pPr>
        <w:pStyle w:val="4"/>
        <w:spacing w:before="0" w:after="0" w:line="360" w:lineRule="auto"/>
        <w:rPr>
          <w:rFonts w:hint="eastAsia" w:ascii="宋体" w:hAnsi="宋体" w:eastAsia="宋体" w:cs="宋体"/>
          <w:sz w:val="24"/>
          <w:szCs w:val="24"/>
        </w:rPr>
      </w:pPr>
      <w:r>
        <w:rPr>
          <w:rFonts w:hint="eastAsia" w:ascii="宋体" w:hAnsi="宋体" w:eastAsia="宋体" w:cs="宋体"/>
          <w:sz w:val="24"/>
          <w:szCs w:val="24"/>
        </w:rPr>
        <w:br w:type="page"/>
      </w:r>
      <w:bookmarkEnd w:id="124"/>
      <w:bookmarkStart w:id="125" w:name="_Toc342913422"/>
      <w:bookmarkStart w:id="126" w:name="_Toc313008359"/>
      <w:bookmarkStart w:id="127" w:name="_Toc313888363"/>
      <w:bookmarkStart w:id="128" w:name="_Toc31698"/>
      <w:r>
        <w:rPr>
          <w:rFonts w:hint="eastAsia" w:ascii="宋体" w:hAnsi="宋体" w:eastAsia="宋体" w:cs="宋体"/>
          <w:sz w:val="24"/>
          <w:szCs w:val="24"/>
        </w:rPr>
        <w:t>四、资格条件及其他</w:t>
      </w:r>
      <w:bookmarkEnd w:id="125"/>
      <w:bookmarkEnd w:id="126"/>
      <w:bookmarkEnd w:id="127"/>
      <w:bookmarkEnd w:id="128"/>
    </w:p>
    <w:p w14:paraId="14782983">
      <w:pPr>
        <w:tabs>
          <w:tab w:val="left" w:pos="6300"/>
        </w:tabs>
        <w:snapToGrid w:val="0"/>
        <w:spacing w:line="500" w:lineRule="exact"/>
        <w:ind w:firstLine="570"/>
        <w:rPr>
          <w:rFonts w:hint="eastAsia" w:ascii="宋体" w:hAnsi="宋体" w:eastAsia="宋体" w:cs="宋体"/>
          <w:sz w:val="24"/>
          <w:szCs w:val="24"/>
        </w:rPr>
      </w:pPr>
      <w:bookmarkStart w:id="129" w:name="_Toc24308"/>
      <w:bookmarkStart w:id="130" w:name="_Toc31311"/>
      <w:bookmarkStart w:id="131" w:name="_Toc14422"/>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72F0713B">
      <w:pPr>
        <w:tabs>
          <w:tab w:val="left" w:pos="6300"/>
        </w:tabs>
        <w:snapToGrid w:val="0"/>
        <w:spacing w:line="500" w:lineRule="exact"/>
        <w:ind w:firstLine="570"/>
        <w:rPr>
          <w:rFonts w:hint="eastAsia" w:ascii="宋体" w:hAnsi="宋体" w:eastAsia="宋体" w:cs="宋体"/>
          <w:sz w:val="24"/>
          <w:szCs w:val="24"/>
        </w:rPr>
      </w:pPr>
    </w:p>
    <w:p w14:paraId="75439987">
      <w:pPr>
        <w:tabs>
          <w:tab w:val="left" w:pos="6300"/>
        </w:tabs>
        <w:snapToGrid w:val="0"/>
        <w:spacing w:line="500" w:lineRule="exact"/>
        <w:ind w:firstLine="570"/>
        <w:rPr>
          <w:rFonts w:hint="eastAsia" w:ascii="宋体" w:hAnsi="宋体" w:eastAsia="宋体" w:cs="宋体"/>
        </w:rPr>
      </w:pPr>
    </w:p>
    <w:p w14:paraId="736AA211">
      <w:pPr>
        <w:tabs>
          <w:tab w:val="left" w:pos="6300"/>
        </w:tabs>
        <w:snapToGrid w:val="0"/>
        <w:spacing w:line="500" w:lineRule="exact"/>
        <w:ind w:firstLine="570"/>
        <w:rPr>
          <w:rFonts w:hint="eastAsia" w:ascii="宋体" w:hAnsi="宋体" w:eastAsia="宋体" w:cs="宋体"/>
        </w:rPr>
      </w:pPr>
    </w:p>
    <w:p w14:paraId="22A36485">
      <w:pPr>
        <w:tabs>
          <w:tab w:val="left" w:pos="6300"/>
        </w:tabs>
        <w:snapToGrid w:val="0"/>
        <w:spacing w:line="500" w:lineRule="exact"/>
        <w:ind w:firstLine="570"/>
        <w:rPr>
          <w:rFonts w:hint="eastAsia" w:ascii="宋体" w:hAnsi="宋体" w:eastAsia="宋体" w:cs="宋体"/>
        </w:rPr>
      </w:pPr>
    </w:p>
    <w:p w14:paraId="6DC5F44B">
      <w:pPr>
        <w:widowControl/>
        <w:ind w:firstLine="560" w:firstLineChars="200"/>
        <w:jc w:val="left"/>
        <w:rPr>
          <w:rFonts w:hint="eastAsia" w:ascii="宋体" w:hAnsi="宋体" w:eastAsia="宋体" w:cs="宋体"/>
        </w:rPr>
      </w:pPr>
      <w:r>
        <w:rPr>
          <w:rFonts w:hint="eastAsia" w:ascii="宋体" w:hAnsi="宋体" w:eastAsia="宋体" w:cs="宋体"/>
        </w:rPr>
        <w:br w:type="page"/>
      </w:r>
      <w:r>
        <w:rPr>
          <w:rFonts w:hint="eastAsia" w:ascii="宋体" w:hAnsi="宋体" w:eastAsia="宋体" w:cs="宋体"/>
          <w:sz w:val="24"/>
          <w:szCs w:val="24"/>
        </w:rPr>
        <w:t>（二）法定代表人身份证明书（格式）</w:t>
      </w:r>
    </w:p>
    <w:p w14:paraId="71AB162A">
      <w:pPr>
        <w:tabs>
          <w:tab w:val="left" w:pos="6300"/>
        </w:tabs>
        <w:snapToGrid w:val="0"/>
        <w:spacing w:line="500" w:lineRule="exact"/>
        <w:ind w:firstLine="570"/>
        <w:rPr>
          <w:rFonts w:hint="eastAsia" w:ascii="宋体" w:hAnsi="宋体" w:eastAsia="宋体" w:cs="宋体"/>
          <w:sz w:val="24"/>
        </w:rPr>
      </w:pPr>
    </w:p>
    <w:p w14:paraId="75483893">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7E66F829">
      <w:pPr>
        <w:tabs>
          <w:tab w:val="left" w:pos="6300"/>
        </w:tabs>
        <w:snapToGrid w:val="0"/>
        <w:spacing w:line="500" w:lineRule="exact"/>
        <w:ind w:firstLine="570"/>
        <w:rPr>
          <w:rFonts w:hint="eastAsia" w:ascii="宋体" w:hAnsi="宋体" w:eastAsia="宋体" w:cs="宋体"/>
          <w:sz w:val="24"/>
        </w:rPr>
      </w:pPr>
    </w:p>
    <w:p w14:paraId="2C1EAD0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0B5D637E">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14:paraId="0EFDDE69">
      <w:pPr>
        <w:tabs>
          <w:tab w:val="left" w:pos="6300"/>
        </w:tabs>
        <w:snapToGrid w:val="0"/>
        <w:spacing w:line="500" w:lineRule="exact"/>
        <w:ind w:firstLine="570"/>
        <w:rPr>
          <w:rFonts w:hint="eastAsia" w:ascii="宋体" w:hAnsi="宋体" w:eastAsia="宋体" w:cs="宋体"/>
          <w:sz w:val="24"/>
        </w:rPr>
      </w:pPr>
    </w:p>
    <w:p w14:paraId="4CA5E66B">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14:paraId="3F785DF0">
      <w:pPr>
        <w:tabs>
          <w:tab w:val="left" w:pos="6300"/>
        </w:tabs>
        <w:snapToGrid w:val="0"/>
        <w:spacing w:line="500" w:lineRule="exact"/>
        <w:ind w:firstLine="570"/>
        <w:rPr>
          <w:rFonts w:hint="eastAsia" w:ascii="宋体" w:hAnsi="宋体" w:eastAsia="宋体" w:cs="宋体"/>
          <w:sz w:val="24"/>
        </w:rPr>
      </w:pPr>
    </w:p>
    <w:p w14:paraId="373E49FB">
      <w:pPr>
        <w:tabs>
          <w:tab w:val="left" w:pos="6300"/>
        </w:tabs>
        <w:snapToGrid w:val="0"/>
        <w:spacing w:line="500" w:lineRule="exact"/>
        <w:ind w:firstLine="570"/>
        <w:rPr>
          <w:rFonts w:hint="eastAsia" w:ascii="宋体" w:hAnsi="宋体" w:eastAsia="宋体" w:cs="宋体"/>
          <w:sz w:val="24"/>
        </w:rPr>
      </w:pPr>
    </w:p>
    <w:p w14:paraId="7356B646">
      <w:pPr>
        <w:tabs>
          <w:tab w:val="left" w:pos="6300"/>
        </w:tabs>
        <w:snapToGrid w:val="0"/>
        <w:spacing w:line="500" w:lineRule="exact"/>
        <w:ind w:firstLine="570"/>
        <w:rPr>
          <w:rFonts w:hint="eastAsia" w:ascii="宋体" w:hAnsi="宋体" w:eastAsia="宋体" w:cs="宋体"/>
          <w:sz w:val="24"/>
        </w:rPr>
      </w:pPr>
    </w:p>
    <w:p w14:paraId="591492F9">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14:paraId="3EC3693B">
      <w:pPr>
        <w:tabs>
          <w:tab w:val="left" w:pos="6300"/>
        </w:tabs>
        <w:snapToGrid w:val="0"/>
        <w:spacing w:line="500" w:lineRule="exact"/>
        <w:ind w:firstLine="570"/>
        <w:rPr>
          <w:rFonts w:hint="eastAsia" w:ascii="宋体" w:hAnsi="宋体" w:eastAsia="宋体" w:cs="宋体"/>
          <w:sz w:val="24"/>
        </w:rPr>
      </w:pPr>
    </w:p>
    <w:p w14:paraId="1F88CA63">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14:paraId="0F0F4212">
      <w:pPr>
        <w:tabs>
          <w:tab w:val="left" w:pos="6300"/>
        </w:tabs>
        <w:snapToGrid w:val="0"/>
        <w:spacing w:line="500" w:lineRule="exact"/>
        <w:ind w:firstLine="570"/>
        <w:rPr>
          <w:rFonts w:hint="eastAsia" w:ascii="宋体" w:hAnsi="宋体" w:eastAsia="宋体" w:cs="宋体"/>
          <w:sz w:val="24"/>
        </w:rPr>
      </w:pPr>
    </w:p>
    <w:p w14:paraId="0208590A">
      <w:pPr>
        <w:tabs>
          <w:tab w:val="left" w:pos="6300"/>
        </w:tabs>
        <w:snapToGrid w:val="0"/>
        <w:spacing w:line="500" w:lineRule="exact"/>
        <w:ind w:firstLine="570"/>
        <w:rPr>
          <w:rFonts w:hint="eastAsia" w:ascii="宋体" w:hAnsi="宋体" w:eastAsia="宋体" w:cs="宋体"/>
          <w:sz w:val="24"/>
          <w:szCs w:val="22"/>
        </w:rPr>
      </w:pPr>
      <w:r>
        <w:rPr>
          <w:rFonts w:hint="eastAsia" w:ascii="宋体" w:hAnsi="宋体" w:eastAsia="宋体" w:cs="宋体"/>
          <w:sz w:val="24"/>
          <w:szCs w:val="22"/>
        </w:rPr>
        <w:t>法定代表人电话：XXXXXXX      电子邮箱：XXXXXX@XXXXX（若授权他人办理并签署响应文件的可不填写）</w:t>
      </w:r>
    </w:p>
    <w:p w14:paraId="026AC755">
      <w:pPr>
        <w:tabs>
          <w:tab w:val="left" w:pos="6300"/>
        </w:tabs>
        <w:snapToGrid w:val="0"/>
        <w:spacing w:line="500" w:lineRule="exact"/>
        <w:ind w:firstLine="570"/>
        <w:rPr>
          <w:rFonts w:hint="eastAsia" w:ascii="宋体" w:hAnsi="宋体" w:eastAsia="宋体" w:cs="宋体"/>
          <w:sz w:val="24"/>
        </w:rPr>
      </w:pPr>
    </w:p>
    <w:p w14:paraId="55E8B5E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14:paraId="577FB505">
      <w:pPr>
        <w:tabs>
          <w:tab w:val="left" w:pos="6300"/>
        </w:tabs>
        <w:snapToGrid w:val="0"/>
        <w:spacing w:line="500" w:lineRule="exact"/>
        <w:ind w:firstLine="570"/>
        <w:rPr>
          <w:rFonts w:hint="eastAsia" w:ascii="宋体" w:hAnsi="宋体" w:eastAsia="宋体" w:cs="宋体"/>
          <w:sz w:val="24"/>
        </w:rPr>
      </w:pPr>
    </w:p>
    <w:p w14:paraId="7EAF1FDC">
      <w:pPr>
        <w:tabs>
          <w:tab w:val="left" w:pos="6300"/>
        </w:tabs>
        <w:snapToGrid w:val="0"/>
        <w:spacing w:line="500" w:lineRule="exact"/>
        <w:ind w:firstLine="570"/>
        <w:rPr>
          <w:rFonts w:hint="eastAsia" w:ascii="宋体" w:hAnsi="宋体" w:eastAsia="宋体" w:cs="宋体"/>
          <w:sz w:val="24"/>
        </w:rPr>
      </w:pPr>
    </w:p>
    <w:p w14:paraId="5E4D0D00">
      <w:pPr>
        <w:tabs>
          <w:tab w:val="left" w:pos="6300"/>
        </w:tabs>
        <w:snapToGrid w:val="0"/>
        <w:spacing w:line="500" w:lineRule="exact"/>
        <w:ind w:firstLine="570"/>
        <w:rPr>
          <w:rFonts w:hint="eastAsia" w:ascii="宋体" w:hAnsi="宋体" w:eastAsia="宋体" w:cs="宋体"/>
          <w:sz w:val="24"/>
        </w:rPr>
      </w:pPr>
    </w:p>
    <w:p w14:paraId="7522E9BF">
      <w:pPr>
        <w:tabs>
          <w:tab w:val="left" w:pos="6300"/>
        </w:tabs>
        <w:snapToGrid w:val="0"/>
        <w:spacing w:line="500" w:lineRule="exact"/>
        <w:ind w:firstLine="570"/>
        <w:rPr>
          <w:rFonts w:hint="eastAsia" w:ascii="宋体" w:hAnsi="宋体" w:eastAsia="宋体" w:cs="宋体"/>
          <w:sz w:val="24"/>
        </w:rPr>
      </w:pPr>
    </w:p>
    <w:p w14:paraId="6EE92CFC">
      <w:pPr>
        <w:tabs>
          <w:tab w:val="left" w:pos="6300"/>
        </w:tabs>
        <w:snapToGrid w:val="0"/>
        <w:spacing w:line="500" w:lineRule="exact"/>
        <w:ind w:firstLine="570"/>
        <w:rPr>
          <w:rFonts w:hint="eastAsia" w:ascii="宋体" w:hAnsi="宋体" w:eastAsia="宋体" w:cs="宋体"/>
          <w:sz w:val="24"/>
        </w:rPr>
      </w:pPr>
    </w:p>
    <w:p w14:paraId="0BEBD2DD">
      <w:pPr>
        <w:tabs>
          <w:tab w:val="left" w:pos="6300"/>
        </w:tabs>
        <w:snapToGrid w:val="0"/>
        <w:spacing w:line="500" w:lineRule="exact"/>
        <w:ind w:firstLine="570"/>
        <w:rPr>
          <w:rFonts w:hint="eastAsia" w:ascii="宋体" w:hAnsi="宋体" w:eastAsia="宋体" w:cs="宋体"/>
          <w:sz w:val="24"/>
        </w:rPr>
      </w:pPr>
    </w:p>
    <w:p w14:paraId="472A3E38">
      <w:pPr>
        <w:tabs>
          <w:tab w:val="left" w:pos="6300"/>
        </w:tabs>
        <w:snapToGrid w:val="0"/>
        <w:spacing w:line="500" w:lineRule="exact"/>
        <w:ind w:firstLine="570"/>
        <w:rPr>
          <w:rFonts w:hint="eastAsia" w:ascii="宋体" w:hAnsi="宋体" w:eastAsia="宋体" w:cs="宋体"/>
        </w:rPr>
      </w:pPr>
      <w:r>
        <w:rPr>
          <w:rFonts w:hint="eastAsia" w:ascii="宋体" w:hAnsi="宋体" w:eastAsia="宋体" w:cs="宋体"/>
        </w:rPr>
        <w:br w:type="column"/>
      </w:r>
      <w:r>
        <w:rPr>
          <w:rFonts w:hint="eastAsia" w:ascii="宋体" w:hAnsi="宋体" w:eastAsia="宋体" w:cs="宋体"/>
          <w:sz w:val="24"/>
          <w:szCs w:val="24"/>
        </w:rPr>
        <w:t>（三）法定代表人授权委托书（格式）</w:t>
      </w:r>
    </w:p>
    <w:p w14:paraId="2E1B77B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29C05D5F">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项目名称</w:t>
      </w:r>
      <w:r>
        <w:rPr>
          <w:rFonts w:hint="eastAsia" w:ascii="宋体" w:hAnsi="宋体" w:eastAsia="宋体" w:cs="宋体"/>
          <w:sz w:val="24"/>
        </w:rPr>
        <w:t>：</w:t>
      </w:r>
      <w:r>
        <w:rPr>
          <w:rFonts w:hint="eastAsia" w:ascii="宋体" w:hAnsi="宋体" w:eastAsia="宋体" w:cs="宋体"/>
          <w:sz w:val="24"/>
          <w:u w:val="single"/>
        </w:rPr>
        <w:t xml:space="preserve">                                                </w:t>
      </w:r>
    </w:p>
    <w:p w14:paraId="73E97582">
      <w:pPr>
        <w:tabs>
          <w:tab w:val="left" w:pos="6300"/>
        </w:tabs>
        <w:snapToGrid w:val="0"/>
        <w:spacing w:line="500" w:lineRule="exact"/>
        <w:ind w:firstLine="570"/>
        <w:rPr>
          <w:rFonts w:hint="eastAsia" w:ascii="宋体" w:hAnsi="宋体" w:eastAsia="宋体" w:cs="宋体"/>
          <w:sz w:val="24"/>
        </w:rPr>
      </w:pPr>
    </w:p>
    <w:p w14:paraId="5F44337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1E75D69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（被授权人姓名及身份证号码）代表我单位全权办理上述项目的磋商、签约等具体工作，并签署全部有关文件、协议及合同。</w:t>
      </w:r>
    </w:p>
    <w:p w14:paraId="413A1BA8">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我单位对被授权人的签字负全部责任。</w:t>
      </w:r>
    </w:p>
    <w:p w14:paraId="66DFE04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在撤消授权的书面通知以前，本授权书一直有效。被授权人在授权书有效期内签署的所有文件不因授权的撤消而失效。</w:t>
      </w:r>
    </w:p>
    <w:p w14:paraId="3B4440BA">
      <w:pPr>
        <w:tabs>
          <w:tab w:val="left" w:pos="6300"/>
        </w:tabs>
        <w:snapToGrid w:val="0"/>
        <w:spacing w:line="500" w:lineRule="exact"/>
        <w:ind w:firstLine="570"/>
        <w:rPr>
          <w:rFonts w:hint="eastAsia" w:ascii="宋体" w:hAnsi="宋体" w:eastAsia="宋体" w:cs="宋体"/>
          <w:sz w:val="24"/>
        </w:rPr>
      </w:pPr>
    </w:p>
    <w:p w14:paraId="7AF7E28E">
      <w:pPr>
        <w:tabs>
          <w:tab w:val="left" w:pos="6300"/>
        </w:tabs>
        <w:snapToGrid w:val="0"/>
        <w:spacing w:line="500" w:lineRule="exact"/>
        <w:ind w:firstLine="570"/>
        <w:rPr>
          <w:rFonts w:hint="eastAsia" w:ascii="宋体" w:hAnsi="宋体" w:eastAsia="宋体" w:cs="宋体"/>
          <w:sz w:val="24"/>
        </w:rPr>
      </w:pPr>
    </w:p>
    <w:p w14:paraId="604E2FCE">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59089553">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（签字或盖章）                                （签字或盖章）</w:t>
      </w:r>
    </w:p>
    <w:p w14:paraId="433CE0BF">
      <w:pPr>
        <w:tabs>
          <w:tab w:val="left" w:pos="6300"/>
        </w:tabs>
        <w:snapToGrid w:val="0"/>
        <w:spacing w:line="500" w:lineRule="exact"/>
        <w:ind w:firstLine="570"/>
        <w:rPr>
          <w:rFonts w:hint="eastAsia" w:ascii="宋体" w:hAnsi="宋体" w:eastAsia="宋体" w:cs="宋体"/>
          <w:sz w:val="24"/>
          <w:szCs w:val="28"/>
        </w:rPr>
      </w:pPr>
    </w:p>
    <w:p w14:paraId="42CA195E">
      <w:pPr>
        <w:tabs>
          <w:tab w:val="left" w:pos="6300"/>
        </w:tabs>
        <w:snapToGrid w:val="0"/>
        <w:spacing w:line="500" w:lineRule="exact"/>
        <w:ind w:firstLine="570"/>
        <w:rPr>
          <w:rFonts w:hint="eastAsia" w:ascii="宋体" w:hAnsi="宋体" w:eastAsia="宋体" w:cs="宋体"/>
          <w:sz w:val="24"/>
        </w:rPr>
      </w:pPr>
    </w:p>
    <w:p w14:paraId="45D156D5">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2"/>
        </w:rPr>
        <w:t>被授权人电话：XXXXXXX     电子邮箱：XXXXXX@XXXXX（若法定代表人办理并签署响应文件的可不填写）</w:t>
      </w:r>
    </w:p>
    <w:p w14:paraId="40569E41">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6934A3EE">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396F4DDA">
      <w:pPr>
        <w:tabs>
          <w:tab w:val="left" w:pos="6300"/>
        </w:tabs>
        <w:snapToGrid w:val="0"/>
        <w:spacing w:line="500" w:lineRule="exact"/>
        <w:ind w:firstLine="570"/>
        <w:rPr>
          <w:rFonts w:hint="eastAsia" w:ascii="宋体" w:hAnsi="宋体" w:eastAsia="宋体" w:cs="宋体"/>
          <w:sz w:val="24"/>
        </w:rPr>
      </w:pPr>
    </w:p>
    <w:p w14:paraId="21248B28">
      <w:pPr>
        <w:tabs>
          <w:tab w:val="left" w:pos="6300"/>
        </w:tabs>
        <w:snapToGrid w:val="0"/>
        <w:spacing w:line="500" w:lineRule="exact"/>
        <w:ind w:firstLine="570"/>
        <w:rPr>
          <w:rFonts w:hint="eastAsia" w:ascii="宋体" w:hAnsi="宋体" w:eastAsia="宋体" w:cs="宋体"/>
          <w:sz w:val="24"/>
        </w:rPr>
      </w:pPr>
    </w:p>
    <w:p w14:paraId="27F1FA3E">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14:paraId="6283B7E4">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6B77058F">
      <w:pPr>
        <w:tabs>
          <w:tab w:val="left" w:pos="6300"/>
        </w:tabs>
        <w:snapToGrid w:val="0"/>
        <w:spacing w:line="500" w:lineRule="exact"/>
        <w:rPr>
          <w:rFonts w:hint="eastAsia" w:ascii="宋体" w:hAnsi="宋体" w:eastAsia="宋体" w:cs="宋体"/>
          <w:sz w:val="24"/>
        </w:rPr>
      </w:pPr>
      <w:r>
        <w:rPr>
          <w:rFonts w:hint="eastAsia" w:ascii="宋体" w:hAnsi="宋体" w:eastAsia="宋体" w:cs="宋体"/>
        </w:rPr>
        <w:br w:type="column"/>
      </w:r>
      <w:r>
        <w:rPr>
          <w:rFonts w:hint="eastAsia" w:ascii="宋体" w:hAnsi="宋体" w:eastAsia="宋体" w:cs="宋体"/>
          <w:sz w:val="24"/>
          <w:szCs w:val="24"/>
        </w:rPr>
        <w:t>（四）基本资格条件承诺函</w:t>
      </w:r>
    </w:p>
    <w:p w14:paraId="74CACDEC">
      <w:pPr>
        <w:tabs>
          <w:tab w:val="left" w:pos="6300"/>
        </w:tabs>
        <w:snapToGrid w:val="0"/>
        <w:spacing w:line="500" w:lineRule="exact"/>
        <w:ind w:firstLine="570"/>
        <w:rPr>
          <w:rFonts w:hint="eastAsia" w:ascii="宋体" w:hAnsi="宋体" w:eastAsia="宋体" w:cs="宋体"/>
          <w:sz w:val="24"/>
        </w:rPr>
      </w:pPr>
    </w:p>
    <w:p w14:paraId="5125BCC1">
      <w:pPr>
        <w:tabs>
          <w:tab w:val="left" w:pos="6300"/>
        </w:tabs>
        <w:snapToGrid w:val="0"/>
        <w:spacing w:line="530" w:lineRule="exact"/>
        <w:jc w:val="center"/>
        <w:rPr>
          <w:rFonts w:hint="eastAsia" w:ascii="宋体" w:hAnsi="宋体" w:eastAsia="宋体" w:cs="宋体"/>
          <w:sz w:val="24"/>
          <w:szCs w:val="24"/>
        </w:rPr>
      </w:pPr>
      <w:r>
        <w:rPr>
          <w:rFonts w:hint="eastAsia" w:ascii="宋体" w:hAnsi="宋体" w:eastAsia="宋体" w:cs="宋体"/>
          <w:sz w:val="24"/>
          <w:szCs w:val="24"/>
        </w:rPr>
        <w:t>基本资格条件承诺函</w:t>
      </w:r>
    </w:p>
    <w:p w14:paraId="420B60C9">
      <w:pPr>
        <w:tabs>
          <w:tab w:val="left" w:pos="6300"/>
        </w:tabs>
        <w:snapToGrid w:val="0"/>
        <w:spacing w:line="530" w:lineRule="exact"/>
        <w:rPr>
          <w:rFonts w:hint="eastAsia" w:ascii="宋体" w:hAnsi="宋体" w:eastAsia="宋体" w:cs="宋体"/>
          <w:sz w:val="24"/>
          <w:szCs w:val="24"/>
        </w:rPr>
      </w:pPr>
    </w:p>
    <w:p w14:paraId="34D4F692">
      <w:pPr>
        <w:tabs>
          <w:tab w:val="left" w:pos="6300"/>
        </w:tabs>
        <w:snapToGrid w:val="0"/>
        <w:spacing w:line="53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（采购代理机构名称）：</w:t>
      </w:r>
    </w:p>
    <w:p w14:paraId="7DABA53F">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（供应商名称）郑重承诺：</w:t>
      </w:r>
    </w:p>
    <w:p w14:paraId="68B85621">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w:t>
      </w:r>
      <w:r>
        <w:rPr>
          <w:rFonts w:hint="eastAsia" w:ascii="宋体" w:hAnsi="宋体" w:eastAsia="宋体" w:cs="宋体"/>
          <w:sz w:val="24"/>
          <w:szCs w:val="24"/>
          <w:lang w:val="zh-CN"/>
        </w:rPr>
        <w:t>有依法缴纳税收和社会保障金的良好记录</w:t>
      </w:r>
      <w:r>
        <w:rPr>
          <w:rFonts w:hint="eastAsia" w:ascii="宋体" w:hAnsi="宋体" w:eastAsia="宋体" w:cs="宋体"/>
          <w:sz w:val="24"/>
          <w:szCs w:val="24"/>
        </w:rPr>
        <w:t>，参加本项目采购活动前三年内无重大违法活动记录。</w:t>
      </w:r>
    </w:p>
    <w:p w14:paraId="5980E041">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4C028925">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3.我方在采购项目评审（评标）环节结束后，随时接受采购人、采购代理机构的检查验证，配合提供相关证明材料，证明符合《中华人民共和国政府采购法》规定的供应商基本资格条件。</w:t>
      </w:r>
    </w:p>
    <w:p w14:paraId="36BA326C">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14:paraId="5974548F">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59FCA782">
      <w:pPr>
        <w:tabs>
          <w:tab w:val="left" w:pos="6300"/>
        </w:tabs>
        <w:snapToGrid w:val="0"/>
        <w:spacing w:line="530" w:lineRule="exact"/>
        <w:rPr>
          <w:rFonts w:hint="eastAsia" w:ascii="宋体" w:hAnsi="宋体" w:eastAsia="宋体" w:cs="宋体"/>
          <w:sz w:val="24"/>
          <w:szCs w:val="24"/>
        </w:rPr>
      </w:pPr>
    </w:p>
    <w:p w14:paraId="23AB21F5">
      <w:pPr>
        <w:tabs>
          <w:tab w:val="left" w:pos="6300"/>
        </w:tabs>
        <w:snapToGrid w:val="0"/>
        <w:spacing w:line="530" w:lineRule="exact"/>
        <w:ind w:right="424" w:firstLine="570"/>
        <w:jc w:val="right"/>
        <w:rPr>
          <w:rFonts w:hint="eastAsia" w:ascii="宋体" w:hAnsi="宋体" w:eastAsia="宋体" w:cs="宋体"/>
          <w:sz w:val="24"/>
          <w:szCs w:val="24"/>
        </w:rPr>
      </w:pPr>
      <w:r>
        <w:rPr>
          <w:rFonts w:hint="eastAsia" w:ascii="宋体" w:hAnsi="宋体" w:eastAsia="宋体" w:cs="宋体"/>
          <w:sz w:val="24"/>
          <w:szCs w:val="24"/>
        </w:rPr>
        <w:t>（供应商公章）</w:t>
      </w:r>
    </w:p>
    <w:p w14:paraId="16AFD7D0">
      <w:pPr>
        <w:tabs>
          <w:tab w:val="left" w:pos="6300"/>
        </w:tabs>
        <w:snapToGrid w:val="0"/>
        <w:spacing w:line="500" w:lineRule="exact"/>
        <w:ind w:firstLine="7680" w:firstLineChars="3200"/>
        <w:rPr>
          <w:rFonts w:hint="eastAsia" w:ascii="宋体" w:hAnsi="宋体" w:eastAsia="宋体" w:cs="宋体"/>
          <w:sz w:val="24"/>
          <w:szCs w:val="24"/>
        </w:rPr>
      </w:pPr>
      <w:r>
        <w:rPr>
          <w:rFonts w:hint="eastAsia" w:ascii="宋体" w:hAnsi="宋体" w:eastAsia="宋体" w:cs="宋体"/>
          <w:sz w:val="24"/>
          <w:szCs w:val="24"/>
        </w:rPr>
        <w:t>年   月   日</w:t>
      </w:r>
    </w:p>
    <w:p w14:paraId="514C994C">
      <w:pPr>
        <w:tabs>
          <w:tab w:val="left" w:pos="6300"/>
        </w:tabs>
        <w:snapToGrid w:val="0"/>
        <w:spacing w:line="500" w:lineRule="exact"/>
        <w:ind w:firstLine="570"/>
        <w:rPr>
          <w:rFonts w:hint="eastAsia" w:ascii="宋体" w:hAnsi="宋体" w:eastAsia="宋体" w:cs="宋体"/>
          <w:sz w:val="24"/>
          <w:szCs w:val="24"/>
        </w:rPr>
      </w:pPr>
    </w:p>
    <w:p w14:paraId="6E730A72">
      <w:pPr>
        <w:pStyle w:val="22"/>
        <w:rPr>
          <w:rFonts w:hint="eastAsia" w:ascii="宋体" w:hAnsi="宋体" w:eastAsia="宋体" w:cs="宋体"/>
        </w:rPr>
      </w:pPr>
    </w:p>
    <w:p w14:paraId="673A7F31">
      <w:pPr>
        <w:pStyle w:val="22"/>
        <w:rPr>
          <w:rFonts w:hint="eastAsia" w:ascii="宋体" w:hAnsi="宋体" w:eastAsia="宋体" w:cs="宋体"/>
        </w:rPr>
      </w:pPr>
    </w:p>
    <w:p w14:paraId="2660372C">
      <w:pPr>
        <w:pStyle w:val="22"/>
        <w:rPr>
          <w:rFonts w:hint="eastAsia" w:ascii="宋体" w:hAnsi="宋体" w:eastAsia="宋体" w:cs="宋体"/>
        </w:rPr>
      </w:pPr>
    </w:p>
    <w:p w14:paraId="36549988">
      <w:pPr>
        <w:pStyle w:val="22"/>
        <w:rPr>
          <w:rFonts w:hint="eastAsia" w:ascii="宋体" w:hAnsi="宋体" w:eastAsia="宋体" w:cs="宋体"/>
        </w:rPr>
      </w:pPr>
    </w:p>
    <w:p w14:paraId="6F0EAD36">
      <w:pPr>
        <w:pStyle w:val="22"/>
        <w:rPr>
          <w:rFonts w:hint="eastAsia" w:ascii="宋体" w:hAnsi="宋体" w:eastAsia="宋体" w:cs="宋体"/>
        </w:rPr>
      </w:pPr>
    </w:p>
    <w:p w14:paraId="19920D1D">
      <w:pPr>
        <w:pStyle w:val="22"/>
        <w:rPr>
          <w:rFonts w:hint="eastAsia" w:ascii="宋体" w:hAnsi="宋体" w:eastAsia="宋体" w:cs="宋体"/>
        </w:rPr>
      </w:pPr>
    </w:p>
    <w:p w14:paraId="5AA94461">
      <w:pPr>
        <w:pStyle w:val="22"/>
        <w:rPr>
          <w:rFonts w:hint="eastAsia" w:ascii="宋体" w:hAnsi="宋体" w:eastAsia="宋体" w:cs="宋体"/>
        </w:rPr>
      </w:pPr>
    </w:p>
    <w:p w14:paraId="5AA1F5AA">
      <w:pPr>
        <w:snapToGrid w:val="0"/>
        <w:spacing w:line="360" w:lineRule="auto"/>
        <w:rPr>
          <w:rFonts w:hint="eastAsia" w:ascii="宋体" w:hAnsi="宋体" w:eastAsia="宋体" w:cs="宋体"/>
          <w:sz w:val="24"/>
          <w:szCs w:val="24"/>
        </w:rPr>
      </w:pPr>
    </w:p>
    <w:p w14:paraId="336C803C">
      <w:pPr>
        <w:snapToGrid w:val="0"/>
        <w:spacing w:line="360" w:lineRule="auto"/>
        <w:rPr>
          <w:rFonts w:hint="eastAsia" w:ascii="宋体" w:hAnsi="宋体" w:eastAsia="宋体" w:cs="宋体"/>
        </w:rPr>
      </w:pPr>
      <w:r>
        <w:rPr>
          <w:rFonts w:hint="eastAsia" w:ascii="宋体" w:hAnsi="宋体" w:eastAsia="宋体" w:cs="宋体"/>
          <w:sz w:val="24"/>
          <w:szCs w:val="24"/>
        </w:rPr>
        <w:t>（五）特定资格条件证明材料（如果有）</w:t>
      </w:r>
    </w:p>
    <w:p w14:paraId="78A7CD5D">
      <w:pPr>
        <w:tabs>
          <w:tab w:val="left" w:pos="6300"/>
        </w:tabs>
        <w:snapToGrid w:val="0"/>
        <w:spacing w:line="500" w:lineRule="exact"/>
        <w:rPr>
          <w:rFonts w:hint="eastAsia" w:ascii="宋体" w:hAnsi="宋体" w:eastAsia="宋体" w:cs="宋体"/>
          <w:sz w:val="24"/>
          <w:szCs w:val="24"/>
        </w:rPr>
      </w:pPr>
    </w:p>
    <w:p w14:paraId="4791EDA1">
      <w:pPr>
        <w:pStyle w:val="4"/>
        <w:spacing w:before="0" w:after="0" w:line="360" w:lineRule="auto"/>
        <w:rPr>
          <w:rFonts w:hint="eastAsia" w:ascii="宋体" w:hAnsi="宋体" w:eastAsia="宋体" w:cs="宋体"/>
          <w:b w:val="0"/>
          <w:sz w:val="28"/>
        </w:rPr>
      </w:pPr>
    </w:p>
    <w:p w14:paraId="053EFAEF">
      <w:pPr>
        <w:rPr>
          <w:rFonts w:hint="eastAsia" w:ascii="宋体" w:hAnsi="宋体" w:eastAsia="宋体" w:cs="宋体"/>
          <w:b/>
        </w:rPr>
      </w:pPr>
    </w:p>
    <w:p w14:paraId="19BCCFF7">
      <w:pPr>
        <w:pStyle w:val="28"/>
        <w:ind w:left="1960" w:right="1960"/>
        <w:rPr>
          <w:rFonts w:hint="eastAsia" w:ascii="宋体" w:hAnsi="宋体" w:eastAsia="宋体" w:cs="宋体"/>
          <w:b/>
        </w:rPr>
      </w:pPr>
    </w:p>
    <w:p w14:paraId="3E3BE43A">
      <w:pPr>
        <w:pStyle w:val="28"/>
        <w:ind w:left="1960" w:right="1960"/>
        <w:rPr>
          <w:rFonts w:hint="eastAsia" w:ascii="宋体" w:hAnsi="宋体" w:eastAsia="宋体" w:cs="宋体"/>
          <w:b/>
        </w:rPr>
      </w:pPr>
    </w:p>
    <w:p w14:paraId="2BD5E453">
      <w:pPr>
        <w:pStyle w:val="28"/>
        <w:ind w:left="1960" w:right="1960"/>
        <w:rPr>
          <w:rFonts w:hint="eastAsia" w:ascii="宋体" w:hAnsi="宋体" w:eastAsia="宋体" w:cs="宋体"/>
          <w:b/>
        </w:rPr>
      </w:pPr>
    </w:p>
    <w:p w14:paraId="3C245043">
      <w:pPr>
        <w:pStyle w:val="28"/>
        <w:ind w:left="1960" w:right="1960"/>
        <w:rPr>
          <w:rFonts w:hint="eastAsia" w:ascii="宋体" w:hAnsi="宋体" w:eastAsia="宋体" w:cs="宋体"/>
          <w:b/>
        </w:rPr>
      </w:pPr>
    </w:p>
    <w:p w14:paraId="671A1391">
      <w:pPr>
        <w:pStyle w:val="28"/>
        <w:ind w:left="1960" w:right="1960"/>
        <w:rPr>
          <w:rFonts w:hint="eastAsia" w:ascii="宋体" w:hAnsi="宋体" w:eastAsia="宋体" w:cs="宋体"/>
          <w:b/>
        </w:rPr>
      </w:pPr>
    </w:p>
    <w:p w14:paraId="2938EFB6">
      <w:pPr>
        <w:pStyle w:val="28"/>
        <w:ind w:left="1960" w:right="1960"/>
        <w:rPr>
          <w:rFonts w:hint="eastAsia" w:ascii="宋体" w:hAnsi="宋体" w:eastAsia="宋体" w:cs="宋体"/>
          <w:b/>
        </w:rPr>
      </w:pPr>
    </w:p>
    <w:p w14:paraId="0ED9DC16">
      <w:pPr>
        <w:pStyle w:val="28"/>
        <w:ind w:left="1960" w:right="1960"/>
        <w:rPr>
          <w:rFonts w:hint="eastAsia" w:ascii="宋体" w:hAnsi="宋体" w:eastAsia="宋体" w:cs="宋体"/>
          <w:b/>
        </w:rPr>
      </w:pPr>
    </w:p>
    <w:p w14:paraId="3FF205CD">
      <w:pPr>
        <w:pStyle w:val="28"/>
        <w:ind w:left="1960" w:right="1960"/>
        <w:rPr>
          <w:rFonts w:hint="eastAsia" w:ascii="宋体" w:hAnsi="宋体" w:eastAsia="宋体" w:cs="宋体"/>
          <w:b/>
        </w:rPr>
      </w:pPr>
    </w:p>
    <w:p w14:paraId="0F1AF256">
      <w:pPr>
        <w:pStyle w:val="28"/>
        <w:ind w:left="1960" w:right="1960"/>
        <w:rPr>
          <w:rFonts w:hint="eastAsia" w:ascii="宋体" w:hAnsi="宋体" w:eastAsia="宋体" w:cs="宋体"/>
          <w:b/>
        </w:rPr>
      </w:pPr>
    </w:p>
    <w:p w14:paraId="2A197CEF">
      <w:pPr>
        <w:pStyle w:val="28"/>
        <w:ind w:left="1960" w:right="1960"/>
        <w:rPr>
          <w:rFonts w:hint="eastAsia" w:ascii="宋体" w:hAnsi="宋体" w:eastAsia="宋体" w:cs="宋体"/>
          <w:b/>
        </w:rPr>
      </w:pPr>
    </w:p>
    <w:p w14:paraId="0EF1A4C4">
      <w:pPr>
        <w:pStyle w:val="28"/>
        <w:ind w:left="1960" w:right="1960"/>
        <w:rPr>
          <w:rFonts w:hint="eastAsia" w:ascii="宋体" w:hAnsi="宋体" w:eastAsia="宋体" w:cs="宋体"/>
          <w:b/>
        </w:rPr>
      </w:pPr>
    </w:p>
    <w:p w14:paraId="0CF6E4A3">
      <w:pPr>
        <w:pStyle w:val="28"/>
        <w:ind w:left="1960" w:right="1960"/>
        <w:rPr>
          <w:rFonts w:hint="eastAsia" w:ascii="宋体" w:hAnsi="宋体" w:eastAsia="宋体" w:cs="宋体"/>
          <w:b/>
        </w:rPr>
      </w:pPr>
    </w:p>
    <w:p w14:paraId="4382F388">
      <w:pPr>
        <w:pStyle w:val="28"/>
        <w:ind w:left="1960" w:right="1960"/>
        <w:rPr>
          <w:rFonts w:hint="eastAsia" w:ascii="宋体" w:hAnsi="宋体" w:eastAsia="宋体" w:cs="宋体"/>
          <w:b/>
        </w:rPr>
      </w:pPr>
    </w:p>
    <w:p w14:paraId="1E520437">
      <w:pPr>
        <w:pStyle w:val="28"/>
        <w:ind w:left="1960" w:right="1960"/>
        <w:rPr>
          <w:rFonts w:hint="eastAsia" w:ascii="宋体" w:hAnsi="宋体" w:eastAsia="宋体" w:cs="宋体"/>
          <w:b/>
        </w:rPr>
      </w:pPr>
    </w:p>
    <w:p w14:paraId="5615E3A1">
      <w:pPr>
        <w:pStyle w:val="28"/>
        <w:ind w:left="1960" w:right="1960"/>
        <w:rPr>
          <w:rFonts w:hint="eastAsia" w:ascii="宋体" w:hAnsi="宋体" w:eastAsia="宋体" w:cs="宋体"/>
          <w:b/>
        </w:rPr>
      </w:pPr>
    </w:p>
    <w:p w14:paraId="2B2A3B05">
      <w:pPr>
        <w:pStyle w:val="28"/>
        <w:ind w:left="1960" w:right="1960"/>
        <w:rPr>
          <w:rFonts w:hint="eastAsia" w:ascii="宋体" w:hAnsi="宋体" w:eastAsia="宋体" w:cs="宋体"/>
          <w:b/>
        </w:rPr>
      </w:pPr>
    </w:p>
    <w:p w14:paraId="650AE896">
      <w:pPr>
        <w:pStyle w:val="28"/>
        <w:ind w:left="1960" w:right="1960"/>
        <w:rPr>
          <w:rFonts w:hint="eastAsia" w:ascii="宋体" w:hAnsi="宋体" w:eastAsia="宋体" w:cs="宋体"/>
          <w:b/>
        </w:rPr>
      </w:pPr>
    </w:p>
    <w:p w14:paraId="349F4E46">
      <w:pPr>
        <w:pStyle w:val="28"/>
        <w:ind w:left="1960" w:right="1960"/>
        <w:rPr>
          <w:rFonts w:hint="eastAsia" w:ascii="宋体" w:hAnsi="宋体" w:eastAsia="宋体" w:cs="宋体"/>
          <w:b/>
        </w:rPr>
      </w:pPr>
    </w:p>
    <w:p w14:paraId="67DAD708">
      <w:pPr>
        <w:pStyle w:val="28"/>
        <w:ind w:left="1960" w:right="1960"/>
        <w:rPr>
          <w:rFonts w:hint="eastAsia" w:ascii="宋体" w:hAnsi="宋体" w:eastAsia="宋体" w:cs="宋体"/>
          <w:b/>
        </w:rPr>
      </w:pPr>
    </w:p>
    <w:p w14:paraId="0E94860D">
      <w:pPr>
        <w:pStyle w:val="28"/>
        <w:ind w:left="1960" w:right="1960"/>
        <w:rPr>
          <w:rFonts w:hint="eastAsia" w:ascii="宋体" w:hAnsi="宋体" w:eastAsia="宋体" w:cs="宋体"/>
          <w:b/>
        </w:rPr>
      </w:pPr>
    </w:p>
    <w:p w14:paraId="51595DE7">
      <w:pPr>
        <w:pStyle w:val="28"/>
        <w:ind w:left="1960" w:right="1960"/>
        <w:rPr>
          <w:rFonts w:hint="eastAsia" w:ascii="宋体" w:hAnsi="宋体" w:eastAsia="宋体" w:cs="宋体"/>
          <w:b/>
        </w:rPr>
      </w:pPr>
    </w:p>
    <w:p w14:paraId="3CA91E96">
      <w:pPr>
        <w:rPr>
          <w:rFonts w:hint="eastAsia" w:ascii="宋体" w:hAnsi="宋体" w:eastAsia="宋体" w:cs="宋体"/>
        </w:rPr>
      </w:pPr>
    </w:p>
    <w:p w14:paraId="5DD6A234">
      <w:pPr>
        <w:pStyle w:val="83"/>
        <w:rPr>
          <w:rFonts w:hint="eastAsia" w:ascii="宋体" w:hAnsi="宋体" w:eastAsia="宋体" w:cs="宋体"/>
        </w:rPr>
      </w:pPr>
    </w:p>
    <w:p w14:paraId="6E6E9876">
      <w:pPr>
        <w:pStyle w:val="28"/>
        <w:ind w:left="1960" w:right="1960"/>
        <w:rPr>
          <w:rFonts w:hint="eastAsia" w:ascii="宋体" w:hAnsi="宋体" w:eastAsia="宋体" w:cs="宋体"/>
          <w:b/>
        </w:rPr>
      </w:pPr>
    </w:p>
    <w:p w14:paraId="5B989220">
      <w:pPr>
        <w:pStyle w:val="28"/>
        <w:ind w:left="1960" w:right="1960"/>
        <w:rPr>
          <w:rFonts w:hint="eastAsia" w:ascii="宋体" w:hAnsi="宋体" w:eastAsia="宋体" w:cs="宋体"/>
          <w:b/>
        </w:rPr>
      </w:pPr>
    </w:p>
    <w:p w14:paraId="04CACF51">
      <w:pPr>
        <w:pStyle w:val="28"/>
        <w:ind w:left="1960" w:right="1960"/>
        <w:rPr>
          <w:rFonts w:hint="eastAsia" w:ascii="宋体" w:hAnsi="宋体" w:eastAsia="宋体" w:cs="宋体"/>
          <w:b/>
        </w:rPr>
      </w:pPr>
    </w:p>
    <w:p w14:paraId="66661FAC">
      <w:pPr>
        <w:pStyle w:val="28"/>
        <w:ind w:left="0" w:leftChars="0" w:right="1960"/>
        <w:rPr>
          <w:rFonts w:hint="eastAsia" w:ascii="宋体" w:hAnsi="宋体" w:eastAsia="宋体" w:cs="宋体"/>
          <w:b/>
        </w:rPr>
      </w:pPr>
    </w:p>
    <w:p w14:paraId="4C514418">
      <w:pPr>
        <w:pStyle w:val="4"/>
        <w:spacing w:before="0" w:after="0" w:line="360" w:lineRule="auto"/>
        <w:rPr>
          <w:rFonts w:hint="eastAsia" w:ascii="宋体" w:hAnsi="宋体" w:eastAsia="宋体" w:cs="宋体"/>
          <w:sz w:val="24"/>
          <w:szCs w:val="24"/>
        </w:rPr>
      </w:pPr>
      <w:bookmarkStart w:id="132" w:name="_Toc28617"/>
      <w:bookmarkStart w:id="133" w:name="_Toc32078"/>
      <w:r>
        <w:rPr>
          <w:rFonts w:hint="eastAsia" w:ascii="宋体" w:hAnsi="宋体" w:eastAsia="宋体" w:cs="宋体"/>
          <w:sz w:val="24"/>
          <w:szCs w:val="24"/>
        </w:rPr>
        <w:t>五、其他应提供的资料</w:t>
      </w:r>
      <w:bookmarkEnd w:id="132"/>
      <w:bookmarkEnd w:id="133"/>
    </w:p>
    <w:p w14:paraId="18708BB7">
      <w:pPr>
        <w:pStyle w:val="22"/>
        <w:rPr>
          <w:rFonts w:hint="eastAsia" w:ascii="宋体" w:hAnsi="宋体" w:eastAsia="宋体" w:cs="宋体"/>
        </w:rPr>
      </w:pPr>
      <w:r>
        <w:rPr>
          <w:rFonts w:hint="eastAsia" w:ascii="宋体" w:hAnsi="宋体" w:eastAsia="宋体" w:cs="宋体"/>
          <w:sz w:val="24"/>
          <w:szCs w:val="24"/>
        </w:rPr>
        <w:t>其他与项目有关的资料（自附）</w:t>
      </w:r>
    </w:p>
    <w:p w14:paraId="5E2B5AA4">
      <w:pPr>
        <w:tabs>
          <w:tab w:val="left" w:pos="6300"/>
        </w:tabs>
        <w:snapToGrid w:val="0"/>
        <w:spacing w:line="500" w:lineRule="exact"/>
        <w:rPr>
          <w:rFonts w:hint="eastAsia" w:ascii="宋体" w:hAnsi="宋体" w:eastAsia="宋体" w:cs="宋体"/>
          <w:sz w:val="24"/>
          <w:szCs w:val="24"/>
        </w:rPr>
      </w:pPr>
    </w:p>
    <w:p w14:paraId="37712F61">
      <w:pPr>
        <w:pStyle w:val="4"/>
        <w:spacing w:before="0" w:after="0" w:line="360" w:lineRule="auto"/>
        <w:rPr>
          <w:rFonts w:hint="eastAsia" w:ascii="宋体" w:hAnsi="宋体" w:eastAsia="宋体" w:cs="宋体"/>
          <w:b w:val="0"/>
          <w:sz w:val="28"/>
        </w:rPr>
      </w:pPr>
    </w:p>
    <w:p w14:paraId="3FB04FAA">
      <w:pPr>
        <w:rPr>
          <w:rFonts w:hint="eastAsia" w:ascii="宋体" w:hAnsi="宋体" w:eastAsia="宋体" w:cs="宋体"/>
          <w:b/>
        </w:rPr>
      </w:pPr>
    </w:p>
    <w:p w14:paraId="1D1D0FF0">
      <w:pPr>
        <w:pStyle w:val="28"/>
        <w:ind w:left="1960" w:right="1960"/>
        <w:rPr>
          <w:rFonts w:hint="eastAsia" w:ascii="宋体" w:hAnsi="宋体" w:eastAsia="宋体" w:cs="宋体"/>
          <w:b/>
        </w:rPr>
      </w:pPr>
    </w:p>
    <w:p w14:paraId="70ECD80B">
      <w:pPr>
        <w:pStyle w:val="28"/>
        <w:ind w:left="1960" w:right="1960"/>
        <w:rPr>
          <w:rFonts w:hint="eastAsia" w:ascii="宋体" w:hAnsi="宋体" w:eastAsia="宋体" w:cs="宋体"/>
          <w:b/>
        </w:rPr>
      </w:pPr>
    </w:p>
    <w:p w14:paraId="28B56A04">
      <w:pPr>
        <w:pStyle w:val="28"/>
        <w:ind w:left="1960" w:right="1960"/>
        <w:rPr>
          <w:rFonts w:hint="eastAsia" w:ascii="宋体" w:hAnsi="宋体" w:eastAsia="宋体" w:cs="宋体"/>
          <w:b/>
        </w:rPr>
      </w:pPr>
    </w:p>
    <w:p w14:paraId="38D5B37B">
      <w:pPr>
        <w:pStyle w:val="28"/>
        <w:ind w:left="1960" w:right="1960"/>
        <w:rPr>
          <w:rFonts w:hint="eastAsia" w:ascii="宋体" w:hAnsi="宋体" w:eastAsia="宋体" w:cs="宋体"/>
          <w:b/>
        </w:rPr>
      </w:pPr>
    </w:p>
    <w:p w14:paraId="3B6C32C3">
      <w:pPr>
        <w:pStyle w:val="28"/>
        <w:ind w:left="1960" w:right="1960"/>
        <w:rPr>
          <w:rFonts w:hint="eastAsia" w:ascii="宋体" w:hAnsi="宋体" w:eastAsia="宋体" w:cs="宋体"/>
          <w:b/>
        </w:rPr>
      </w:pPr>
    </w:p>
    <w:p w14:paraId="54FC6D7F">
      <w:pPr>
        <w:pStyle w:val="28"/>
        <w:ind w:left="1960" w:right="1960"/>
        <w:rPr>
          <w:rFonts w:hint="eastAsia" w:ascii="宋体" w:hAnsi="宋体" w:eastAsia="宋体" w:cs="宋体"/>
          <w:b/>
        </w:rPr>
      </w:pPr>
    </w:p>
    <w:p w14:paraId="03805F89">
      <w:pPr>
        <w:pStyle w:val="28"/>
        <w:ind w:left="1960" w:right="1960"/>
        <w:rPr>
          <w:rFonts w:hint="eastAsia" w:ascii="宋体" w:hAnsi="宋体" w:eastAsia="宋体" w:cs="宋体"/>
          <w:b/>
        </w:rPr>
      </w:pPr>
    </w:p>
    <w:p w14:paraId="519D79E0">
      <w:pPr>
        <w:pStyle w:val="28"/>
        <w:ind w:left="1960" w:right="1960"/>
        <w:rPr>
          <w:rFonts w:hint="eastAsia" w:ascii="宋体" w:hAnsi="宋体" w:eastAsia="宋体" w:cs="宋体"/>
          <w:b/>
        </w:rPr>
      </w:pPr>
    </w:p>
    <w:p w14:paraId="112988C3">
      <w:pPr>
        <w:pStyle w:val="28"/>
        <w:ind w:left="1960" w:right="1960"/>
        <w:rPr>
          <w:rFonts w:hint="eastAsia" w:ascii="宋体" w:hAnsi="宋体" w:eastAsia="宋体" w:cs="宋体"/>
          <w:b/>
        </w:rPr>
      </w:pPr>
    </w:p>
    <w:p w14:paraId="40BC6DBC">
      <w:pPr>
        <w:pStyle w:val="28"/>
        <w:ind w:left="1960" w:right="1960"/>
        <w:rPr>
          <w:rFonts w:hint="eastAsia" w:ascii="宋体" w:hAnsi="宋体" w:eastAsia="宋体" w:cs="宋体"/>
          <w:b/>
        </w:rPr>
      </w:pPr>
    </w:p>
    <w:p w14:paraId="6D9259C1">
      <w:pPr>
        <w:pStyle w:val="28"/>
        <w:ind w:left="1960" w:right="1960"/>
        <w:rPr>
          <w:rFonts w:hint="eastAsia" w:ascii="宋体" w:hAnsi="宋体" w:eastAsia="宋体" w:cs="宋体"/>
          <w:b/>
        </w:rPr>
      </w:pPr>
    </w:p>
    <w:p w14:paraId="1BE881EE">
      <w:pPr>
        <w:pStyle w:val="28"/>
        <w:ind w:left="1960" w:right="1960"/>
        <w:rPr>
          <w:rFonts w:hint="eastAsia" w:ascii="宋体" w:hAnsi="宋体" w:eastAsia="宋体" w:cs="宋体"/>
          <w:b/>
        </w:rPr>
      </w:pPr>
    </w:p>
    <w:p w14:paraId="42E347F7">
      <w:pPr>
        <w:pStyle w:val="28"/>
        <w:ind w:left="1960" w:right="1960"/>
        <w:rPr>
          <w:rFonts w:hint="eastAsia" w:ascii="宋体" w:hAnsi="宋体" w:eastAsia="宋体" w:cs="宋体"/>
          <w:b/>
        </w:rPr>
      </w:pPr>
    </w:p>
    <w:p w14:paraId="43A73698">
      <w:pPr>
        <w:pStyle w:val="28"/>
        <w:ind w:left="1960" w:right="1960"/>
        <w:rPr>
          <w:rFonts w:hint="eastAsia" w:ascii="宋体" w:hAnsi="宋体" w:eastAsia="宋体" w:cs="宋体"/>
          <w:b/>
        </w:rPr>
      </w:pPr>
    </w:p>
    <w:p w14:paraId="2DF5EE00">
      <w:pPr>
        <w:pStyle w:val="28"/>
        <w:ind w:left="1960" w:right="1960"/>
        <w:rPr>
          <w:rFonts w:hint="eastAsia" w:ascii="宋体" w:hAnsi="宋体" w:eastAsia="宋体" w:cs="宋体"/>
          <w:b/>
        </w:rPr>
      </w:pPr>
    </w:p>
    <w:p w14:paraId="59ABFB22">
      <w:pPr>
        <w:pStyle w:val="28"/>
        <w:ind w:left="1960" w:right="1960"/>
        <w:rPr>
          <w:rFonts w:hint="eastAsia" w:ascii="宋体" w:hAnsi="宋体" w:eastAsia="宋体" w:cs="宋体"/>
          <w:b/>
        </w:rPr>
      </w:pPr>
    </w:p>
    <w:p w14:paraId="0E42D8BD">
      <w:pPr>
        <w:pStyle w:val="28"/>
        <w:ind w:left="1960" w:right="1960"/>
        <w:rPr>
          <w:rFonts w:hint="eastAsia" w:ascii="宋体" w:hAnsi="宋体" w:eastAsia="宋体" w:cs="宋体"/>
          <w:b/>
        </w:rPr>
      </w:pPr>
    </w:p>
    <w:p w14:paraId="35B9FED4">
      <w:pPr>
        <w:pStyle w:val="28"/>
        <w:ind w:left="1960" w:right="1960"/>
        <w:rPr>
          <w:rFonts w:hint="eastAsia" w:ascii="宋体" w:hAnsi="宋体" w:eastAsia="宋体" w:cs="宋体"/>
          <w:b/>
        </w:rPr>
      </w:pPr>
    </w:p>
    <w:p w14:paraId="3E87E864">
      <w:pPr>
        <w:pStyle w:val="28"/>
        <w:ind w:left="1960" w:right="1960"/>
        <w:rPr>
          <w:rFonts w:hint="eastAsia" w:ascii="宋体" w:hAnsi="宋体" w:eastAsia="宋体" w:cs="宋体"/>
          <w:b/>
        </w:rPr>
      </w:pPr>
    </w:p>
    <w:bookmarkEnd w:id="129"/>
    <w:bookmarkEnd w:id="130"/>
    <w:bookmarkEnd w:id="131"/>
    <w:p w14:paraId="1EEFC5C5">
      <w:pPr>
        <w:pStyle w:val="84"/>
        <w:rPr>
          <w:rFonts w:hint="eastAsia" w:ascii="宋体" w:hAnsi="宋体" w:eastAsia="宋体" w:cs="宋体"/>
          <w:sz w:val="24"/>
          <w:szCs w:val="24"/>
        </w:rPr>
      </w:pPr>
    </w:p>
    <w:p w14:paraId="3F899448">
      <w:pPr>
        <w:pStyle w:val="84"/>
        <w:rPr>
          <w:rFonts w:hint="eastAsia" w:ascii="宋体" w:hAnsi="宋体" w:eastAsia="宋体" w:cs="宋体"/>
          <w:sz w:val="24"/>
          <w:szCs w:val="24"/>
        </w:rPr>
      </w:pPr>
    </w:p>
    <w:p w14:paraId="3C5736B1">
      <w:pPr>
        <w:pStyle w:val="84"/>
        <w:spacing w:line="20" w:lineRule="atLeast"/>
        <w:jc w:val="center"/>
        <w:rPr>
          <w:rFonts w:hint="eastAsia" w:ascii="宋体" w:hAnsi="宋体" w:eastAsia="宋体" w:cs="宋体"/>
        </w:rPr>
      </w:pPr>
      <w:r>
        <w:rPr>
          <w:rFonts w:hint="eastAsia" w:ascii="宋体" w:hAnsi="宋体" w:eastAsia="宋体" w:cs="宋体"/>
          <w:sz w:val="24"/>
          <w:szCs w:val="24"/>
        </w:rPr>
        <w:t>（结束）</w:t>
      </w:r>
    </w:p>
    <w:sectPr>
      <w:head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C645F">
    <w:pPr>
      <w:pStyle w:val="37"/>
      <w:framePr w:wrap="around" w:vAnchor="text" w:hAnchor="margin" w:xAlign="center" w:y="1"/>
      <w:jc w:val="center"/>
      <w:rPr>
        <w:rStyle w:val="64"/>
        <w:rFonts w:ascii="宋体"/>
        <w:sz w:val="21"/>
        <w:szCs w:val="21"/>
      </w:rPr>
    </w:pPr>
    <w:r>
      <w:rPr>
        <w:rFonts w:ascii="宋体"/>
        <w:sz w:val="21"/>
        <w:szCs w:val="21"/>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- 3 -</w:t>
    </w:r>
    <w:r>
      <w:rPr>
        <w:rFonts w:ascii="宋体"/>
        <w:sz w:val="21"/>
        <w:szCs w:val="21"/>
      </w:rPr>
      <w:fldChar w:fldCharType="end"/>
    </w:r>
  </w:p>
  <w:p w14:paraId="2488CB5C">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F761F">
    <w:pPr>
      <w:pStyle w:val="37"/>
      <w:ind w:right="360"/>
      <w:jc w:val="center"/>
    </w:pPr>
    <w:r>
      <w:rPr>
        <w:rStyle w:val="64"/>
      </w:rPr>
      <w:fldChar w:fldCharType="begin"/>
    </w:r>
    <w:r>
      <w:rPr>
        <w:rStyle w:val="64"/>
      </w:rPr>
      <w:instrText xml:space="preserve"> PAGE </w:instrText>
    </w:r>
    <w:r>
      <w:rPr>
        <w:rStyle w:val="64"/>
      </w:rPr>
      <w:fldChar w:fldCharType="separate"/>
    </w:r>
    <w:r>
      <w:rPr>
        <w:rStyle w:val="64"/>
      </w:rPr>
      <w:t>- 32 -</w:t>
    </w:r>
    <w:r>
      <w:rPr>
        <w:rStyle w:val="6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B8D5">
    <w:pPr>
      <w:pStyle w:val="37"/>
      <w:ind w:right="360"/>
      <w:jc w:val="center"/>
    </w:pPr>
    <w:r>
      <w:fldChar w:fldCharType="begin"/>
    </w:r>
    <w:r>
      <w:rPr>
        <w:rStyle w:val="64"/>
      </w:rPr>
      <w:instrText xml:space="preserve"> PAGE </w:instrText>
    </w:r>
    <w:r>
      <w:fldChar w:fldCharType="separate"/>
    </w:r>
    <w:r>
      <w:rPr>
        <w:rStyle w:val="64"/>
      </w:rPr>
      <w:t>- 46 -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F7DAC">
    <w:pPr>
      <w:pStyle w:val="38"/>
      <w:pBdr>
        <w:top w:val="none" w:color="auto" w:sz="0" w:space="1"/>
        <w:left w:val="none" w:color="auto" w:sz="0" w:space="4"/>
        <w:bottom w:val="single" w:color="auto" w:sz="4" w:space="1"/>
        <w:right w:val="none" w:color="auto" w:sz="0" w:space="4"/>
      </w:pBdr>
      <w:jc w:val="both"/>
      <w:rPr>
        <w:rFonts w:ascii="仿宋" w:hAnsi="仿宋" w:eastAsia="方正仿宋_GBK" w:cs="仿宋"/>
        <w:sz w:val="24"/>
        <w:szCs w:val="24"/>
      </w:rPr>
    </w:pPr>
    <w:r>
      <w:rPr>
        <w:rFonts w:hint="eastAsia" w:ascii="宋体" w:hAnsi="宋体" w:cs="宋体"/>
        <w:sz w:val="24"/>
        <w:szCs w:val="24"/>
      </w:rPr>
      <w:t>中渝招标代理重庆有限公司</w:t>
    </w:r>
    <w:r>
      <w:rPr>
        <w:rFonts w:hint="eastAsia" w:ascii="宋体" w:hAnsi="宋体" w:cs="宋体"/>
        <w:sz w:val="21"/>
        <w:szCs w:val="21"/>
      </w:rPr>
      <w:t xml:space="preserve">                                             </w:t>
    </w:r>
    <w:r>
      <w:rPr>
        <w:rFonts w:hint="eastAsia" w:ascii="宋体" w:hAnsi="宋体" w:cs="宋体"/>
        <w:sz w:val="24"/>
        <w:szCs w:val="24"/>
      </w:rPr>
      <w:t xml:space="preserve"> 竞争性磋商文件</w:t>
    </w:r>
    <w:r>
      <w:rPr>
        <w:rFonts w:hint="eastAsia" w:ascii="仿宋" w:hAnsi="仿宋" w:eastAsia="仿宋" w:cs="仿宋"/>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DEA3">
    <w:pPr>
      <w:pStyle w:val="38"/>
      <w:jc w:val="both"/>
      <w:rPr>
        <w:rFonts w:ascii="仿宋" w:hAnsi="仿宋" w:eastAsia="仿宋" w:cs="仿宋"/>
        <w:sz w:val="24"/>
        <w:szCs w:val="24"/>
      </w:rPr>
    </w:pPr>
    <w:r>
      <w:rPr>
        <w:rFonts w:hint="eastAsia" w:ascii="宋体" w:hAnsi="宋体" w:cs="宋体"/>
        <w:sz w:val="24"/>
        <w:szCs w:val="24"/>
      </w:rPr>
      <w:t>中渝招标代理重庆有限公司</w:t>
    </w:r>
    <w:r>
      <w:rPr>
        <w:rFonts w:hint="eastAsia" w:ascii="宋体" w:hAnsi="宋体" w:cs="宋体"/>
        <w:sz w:val="21"/>
        <w:szCs w:val="21"/>
      </w:rPr>
      <w:t xml:space="preserve">                                             </w:t>
    </w:r>
    <w:r>
      <w:rPr>
        <w:rFonts w:hint="eastAsia" w:ascii="宋体" w:hAnsi="宋体" w:cs="宋体"/>
        <w:sz w:val="24"/>
        <w:szCs w:val="24"/>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B76B">
    <w:pPr>
      <w:pStyle w:val="38"/>
      <w:jc w:val="both"/>
      <w:rPr>
        <w:rFonts w:ascii="仿宋" w:hAnsi="仿宋" w:eastAsia="仿宋" w:cs="仿宋"/>
        <w:sz w:val="24"/>
        <w:szCs w:val="24"/>
      </w:rPr>
    </w:pPr>
    <w:r>
      <w:rPr>
        <w:rFonts w:hint="eastAsia" w:ascii="宋体" w:hAnsi="宋体" w:cs="宋体"/>
        <w:sz w:val="24"/>
        <w:szCs w:val="24"/>
      </w:rPr>
      <w:t>中渝招标代理重庆有限公司</w:t>
    </w:r>
    <w:r>
      <w:rPr>
        <w:rFonts w:hint="eastAsia" w:ascii="宋体" w:hAnsi="宋体" w:cs="宋体"/>
        <w:sz w:val="21"/>
        <w:szCs w:val="21"/>
      </w:rPr>
      <w:t xml:space="preserve">                                             </w:t>
    </w:r>
    <w:r>
      <w:rPr>
        <w:rFonts w:hint="eastAsia" w:ascii="宋体" w:hAnsi="宋体" w:cs="宋体"/>
        <w:sz w:val="24"/>
        <w:szCs w:val="24"/>
      </w:rPr>
      <w:t xml:space="preserve"> 竞争性磋商文件</w:t>
    </w:r>
    <w:r>
      <w:rPr>
        <w:rFonts w:hint="eastAsia" w:ascii="仿宋" w:hAnsi="仿宋" w:eastAsia="仿宋" w:cs="仿宋"/>
        <w:sz w:val="24"/>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BF79">
    <w:pPr>
      <w:pStyle w:val="38"/>
      <w:jc w:val="both"/>
      <w:rPr>
        <w:rFonts w:ascii="宋体" w:hAnsi="宋体" w:cs="宋体"/>
        <w:sz w:val="21"/>
        <w:szCs w:val="21"/>
      </w:rPr>
    </w:pPr>
    <w:r>
      <w:rPr>
        <w:rFonts w:hint="eastAsia" w:ascii="宋体" w:hAnsi="宋体" w:cs="宋体"/>
        <w:sz w:val="24"/>
        <w:szCs w:val="24"/>
      </w:rPr>
      <w:t>中渝招标代理重庆有限公司</w:t>
    </w:r>
    <w:r>
      <w:rPr>
        <w:rFonts w:hint="eastAsia" w:ascii="宋体" w:hAnsi="宋体" w:cs="宋体"/>
        <w:sz w:val="21"/>
        <w:szCs w:val="21"/>
      </w:rPr>
      <w:t xml:space="preserve">                                             </w:t>
    </w:r>
    <w:r>
      <w:rPr>
        <w:rFonts w:hint="eastAsia" w:ascii="宋体" w:hAnsi="宋体" w:cs="宋体"/>
        <w:sz w:val="24"/>
        <w:szCs w:val="24"/>
      </w:rPr>
      <w:t xml:space="preserve"> 竞争性磋商文件</w:t>
    </w:r>
    <w:r>
      <w:rPr>
        <w:rFonts w:hint="eastAsia" w:ascii="方正仿宋_GBK" w:eastAsia="方正仿宋_GBK"/>
        <w:sz w:val="21"/>
        <w:szCs w:val="21"/>
      </w:rPr>
      <w:t xml:space="preserve">       </w:t>
    </w:r>
    <w:r>
      <w:rPr>
        <w:rFonts w:hint="eastAsia" w:ascii="宋体" w:hAnsi="宋体" w:cs="宋体"/>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49843">
    <w:pPr>
      <w:pStyle w:val="38"/>
      <w:jc w:val="both"/>
      <w:rPr>
        <w:rFonts w:ascii="仿宋" w:hAnsi="仿宋" w:eastAsia="仿宋" w:cs="仿宋"/>
        <w:sz w:val="24"/>
        <w:szCs w:val="24"/>
      </w:rPr>
    </w:pPr>
    <w:r>
      <w:rPr>
        <w:rFonts w:hint="eastAsia" w:ascii="宋体" w:hAnsi="宋体" w:cs="宋体"/>
        <w:sz w:val="24"/>
        <w:szCs w:val="24"/>
      </w:rPr>
      <w:t>中渝招标代理重庆有限公司</w:t>
    </w:r>
    <w:r>
      <w:rPr>
        <w:rFonts w:hint="eastAsia" w:ascii="宋体" w:hAnsi="宋体" w:cs="宋体"/>
        <w:sz w:val="21"/>
        <w:szCs w:val="21"/>
      </w:rPr>
      <w:t xml:space="preserve">                                             </w:t>
    </w:r>
    <w:r>
      <w:rPr>
        <w:rFonts w:hint="eastAsia" w:ascii="宋体" w:hAnsi="宋体" w:cs="宋体"/>
        <w:sz w:val="24"/>
        <w:szCs w:val="24"/>
      </w:rPr>
      <w:t xml:space="preserve"> 竞争性磋商文件</w:t>
    </w:r>
    <w:r>
      <w:rPr>
        <w:rFonts w:hint="eastAsia" w:ascii="方正仿宋_GBK" w:eastAsia="方正仿宋_GBK"/>
        <w:sz w:val="21"/>
        <w:szCs w:val="21"/>
      </w:rPr>
      <w:t xml:space="preserve">            </w:t>
    </w:r>
    <w:r>
      <w:rPr>
        <w:rFonts w:hint="eastAsia" w:ascii="仿宋" w:hAnsi="仿宋" w:eastAsia="仿宋" w:cs="仿宋"/>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E18D1"/>
    <w:multiLevelType w:val="singleLevel"/>
    <w:tmpl w:val="80AE18D1"/>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25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5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38"/>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7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4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1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1DF1CBA"/>
    <w:multiLevelType w:val="multilevel"/>
    <w:tmpl w:val="21DF1CBA"/>
    <w:lvl w:ilvl="0" w:tentative="0">
      <w:start w:val="1"/>
      <w:numFmt w:val="decimal"/>
      <w:pStyle w:val="128"/>
      <w:lvlText w:val="%1"/>
      <w:lvlJc w:val="left"/>
      <w:pPr>
        <w:ind w:left="432" w:hanging="432"/>
      </w:pPr>
    </w:lvl>
    <w:lvl w:ilvl="1" w:tentative="0">
      <w:start w:val="1"/>
      <w:numFmt w:val="decimal"/>
      <w:pStyle w:val="22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4">
    <w:nsid w:val="35ED1AFB"/>
    <w:multiLevelType w:val="singleLevel"/>
    <w:tmpl w:val="35ED1AFB"/>
    <w:lvl w:ilvl="0" w:tentative="0">
      <w:start w:val="4"/>
      <w:numFmt w:val="chineseCounting"/>
      <w:suff w:val="nothing"/>
      <w:lvlText w:val="（%1）"/>
      <w:lvlJc w:val="left"/>
      <w:rPr>
        <w:rFonts w:hint="eastAsia"/>
      </w:rPr>
    </w:lvl>
  </w:abstractNum>
  <w:num w:numId="1">
    <w:abstractNumId w:val="9"/>
  </w:num>
  <w:num w:numId="2">
    <w:abstractNumId w:val="4"/>
  </w:num>
  <w:num w:numId="3">
    <w:abstractNumId w:val="10"/>
  </w:num>
  <w:num w:numId="4">
    <w:abstractNumId w:val="13"/>
  </w:num>
  <w:num w:numId="5">
    <w:abstractNumId w:val="8"/>
  </w:num>
  <w:num w:numId="6">
    <w:abstractNumId w:val="1"/>
  </w:num>
  <w:num w:numId="7">
    <w:abstractNumId w:val="2"/>
  </w:num>
  <w:num w:numId="8">
    <w:abstractNumId w:val="5"/>
  </w:num>
  <w:num w:numId="9">
    <w:abstractNumId w:val="6"/>
  </w:num>
  <w:num w:numId="10">
    <w:abstractNumId w:val="11"/>
  </w:num>
  <w:num w:numId="11">
    <w:abstractNumId w:val="12"/>
  </w:num>
  <w:num w:numId="12">
    <w:abstractNumId w:val="3"/>
  </w:num>
  <w:num w:numId="13">
    <w:abstractNumId w:val="7"/>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lZTZjMjA3MGUwMTFmODM4YjMyMzY4MjI1ZTZjZDcifQ=="/>
  </w:docVars>
  <w:rsids>
    <w:rsidRoot w:val="00172A27"/>
    <w:rsid w:val="000032C1"/>
    <w:rsid w:val="000144FF"/>
    <w:rsid w:val="00052437"/>
    <w:rsid w:val="0007582E"/>
    <w:rsid w:val="000960AB"/>
    <w:rsid w:val="000A3FA4"/>
    <w:rsid w:val="000B0946"/>
    <w:rsid w:val="000C4A6F"/>
    <w:rsid w:val="000D3144"/>
    <w:rsid w:val="000E574F"/>
    <w:rsid w:val="000E5A7B"/>
    <w:rsid w:val="00101243"/>
    <w:rsid w:val="0010132E"/>
    <w:rsid w:val="00104B7C"/>
    <w:rsid w:val="0012020D"/>
    <w:rsid w:val="0013205C"/>
    <w:rsid w:val="001442CB"/>
    <w:rsid w:val="001503EE"/>
    <w:rsid w:val="00172A27"/>
    <w:rsid w:val="00173FD0"/>
    <w:rsid w:val="00180033"/>
    <w:rsid w:val="0019001C"/>
    <w:rsid w:val="00194277"/>
    <w:rsid w:val="001A6A84"/>
    <w:rsid w:val="001B0E76"/>
    <w:rsid w:val="001B1221"/>
    <w:rsid w:val="001C1765"/>
    <w:rsid w:val="001E6751"/>
    <w:rsid w:val="001F099E"/>
    <w:rsid w:val="002040ED"/>
    <w:rsid w:val="00233EC1"/>
    <w:rsid w:val="00245498"/>
    <w:rsid w:val="002726B8"/>
    <w:rsid w:val="00294069"/>
    <w:rsid w:val="00296707"/>
    <w:rsid w:val="002C42CB"/>
    <w:rsid w:val="002D395B"/>
    <w:rsid w:val="002F3263"/>
    <w:rsid w:val="0030207A"/>
    <w:rsid w:val="003142C7"/>
    <w:rsid w:val="0039293A"/>
    <w:rsid w:val="003A02A9"/>
    <w:rsid w:val="003B2C0D"/>
    <w:rsid w:val="003C6B9D"/>
    <w:rsid w:val="003D65E7"/>
    <w:rsid w:val="00404A9A"/>
    <w:rsid w:val="0041086B"/>
    <w:rsid w:val="00425A22"/>
    <w:rsid w:val="004357F5"/>
    <w:rsid w:val="00444138"/>
    <w:rsid w:val="004704D8"/>
    <w:rsid w:val="004A557B"/>
    <w:rsid w:val="004B0AD8"/>
    <w:rsid w:val="004E19F0"/>
    <w:rsid w:val="004E5B4F"/>
    <w:rsid w:val="00502A01"/>
    <w:rsid w:val="00511BA0"/>
    <w:rsid w:val="00514C18"/>
    <w:rsid w:val="00536F26"/>
    <w:rsid w:val="00550936"/>
    <w:rsid w:val="00553340"/>
    <w:rsid w:val="005737C2"/>
    <w:rsid w:val="00583828"/>
    <w:rsid w:val="005A0F05"/>
    <w:rsid w:val="005A72EA"/>
    <w:rsid w:val="005B40E0"/>
    <w:rsid w:val="005C1E01"/>
    <w:rsid w:val="005F102E"/>
    <w:rsid w:val="005F1FED"/>
    <w:rsid w:val="00633F94"/>
    <w:rsid w:val="00647A46"/>
    <w:rsid w:val="0065194B"/>
    <w:rsid w:val="006522F9"/>
    <w:rsid w:val="00672EA9"/>
    <w:rsid w:val="00675BFC"/>
    <w:rsid w:val="0069152D"/>
    <w:rsid w:val="00694391"/>
    <w:rsid w:val="00695666"/>
    <w:rsid w:val="006D12C9"/>
    <w:rsid w:val="006D6D79"/>
    <w:rsid w:val="00714DAD"/>
    <w:rsid w:val="00724819"/>
    <w:rsid w:val="0073257F"/>
    <w:rsid w:val="00734FCD"/>
    <w:rsid w:val="00754366"/>
    <w:rsid w:val="007572D5"/>
    <w:rsid w:val="007B7419"/>
    <w:rsid w:val="00804EF0"/>
    <w:rsid w:val="00805E93"/>
    <w:rsid w:val="00812825"/>
    <w:rsid w:val="008140D7"/>
    <w:rsid w:val="0081645A"/>
    <w:rsid w:val="00837400"/>
    <w:rsid w:val="00874DEE"/>
    <w:rsid w:val="00895212"/>
    <w:rsid w:val="008A25EB"/>
    <w:rsid w:val="008C4FFE"/>
    <w:rsid w:val="008E5BCE"/>
    <w:rsid w:val="009114FF"/>
    <w:rsid w:val="0091346C"/>
    <w:rsid w:val="00942F4F"/>
    <w:rsid w:val="00986939"/>
    <w:rsid w:val="009D3B90"/>
    <w:rsid w:val="009E2A30"/>
    <w:rsid w:val="009F1C7F"/>
    <w:rsid w:val="00A27C85"/>
    <w:rsid w:val="00A629F4"/>
    <w:rsid w:val="00A6420B"/>
    <w:rsid w:val="00A709EF"/>
    <w:rsid w:val="00A81AB0"/>
    <w:rsid w:val="00A9455C"/>
    <w:rsid w:val="00AB3B9C"/>
    <w:rsid w:val="00AC134D"/>
    <w:rsid w:val="00AC1927"/>
    <w:rsid w:val="00AD007E"/>
    <w:rsid w:val="00AD6E96"/>
    <w:rsid w:val="00AE0C55"/>
    <w:rsid w:val="00AE0F95"/>
    <w:rsid w:val="00B3093A"/>
    <w:rsid w:val="00B31974"/>
    <w:rsid w:val="00B4092E"/>
    <w:rsid w:val="00B42085"/>
    <w:rsid w:val="00B520D8"/>
    <w:rsid w:val="00B742B8"/>
    <w:rsid w:val="00B759D8"/>
    <w:rsid w:val="00B97F6C"/>
    <w:rsid w:val="00C1483E"/>
    <w:rsid w:val="00C34DAD"/>
    <w:rsid w:val="00C775DB"/>
    <w:rsid w:val="00C823C4"/>
    <w:rsid w:val="00CA7094"/>
    <w:rsid w:val="00CB369A"/>
    <w:rsid w:val="00CC7A1C"/>
    <w:rsid w:val="00CD4CA4"/>
    <w:rsid w:val="00CD6247"/>
    <w:rsid w:val="00CE1156"/>
    <w:rsid w:val="00CE56FD"/>
    <w:rsid w:val="00CF0F4B"/>
    <w:rsid w:val="00D009AD"/>
    <w:rsid w:val="00D00CC8"/>
    <w:rsid w:val="00D85BF7"/>
    <w:rsid w:val="00DA0F94"/>
    <w:rsid w:val="00DA1140"/>
    <w:rsid w:val="00DB1B2E"/>
    <w:rsid w:val="00DC03D1"/>
    <w:rsid w:val="00DC5CC7"/>
    <w:rsid w:val="00E43CB1"/>
    <w:rsid w:val="00E844B0"/>
    <w:rsid w:val="00E9691F"/>
    <w:rsid w:val="00EC05D5"/>
    <w:rsid w:val="00EF4D3D"/>
    <w:rsid w:val="00F0484F"/>
    <w:rsid w:val="00F1268A"/>
    <w:rsid w:val="00F220D4"/>
    <w:rsid w:val="00F513E8"/>
    <w:rsid w:val="00F8258C"/>
    <w:rsid w:val="00FD60EA"/>
    <w:rsid w:val="0107419A"/>
    <w:rsid w:val="01076975"/>
    <w:rsid w:val="01145709"/>
    <w:rsid w:val="01150F41"/>
    <w:rsid w:val="011A6C21"/>
    <w:rsid w:val="011D40DA"/>
    <w:rsid w:val="01345E00"/>
    <w:rsid w:val="01374468"/>
    <w:rsid w:val="013F11BF"/>
    <w:rsid w:val="01516DBE"/>
    <w:rsid w:val="015208F8"/>
    <w:rsid w:val="01546674"/>
    <w:rsid w:val="0166351B"/>
    <w:rsid w:val="016657F4"/>
    <w:rsid w:val="01690805"/>
    <w:rsid w:val="017145A4"/>
    <w:rsid w:val="01720029"/>
    <w:rsid w:val="018351B8"/>
    <w:rsid w:val="01910A98"/>
    <w:rsid w:val="019167DD"/>
    <w:rsid w:val="01A26F51"/>
    <w:rsid w:val="01AB6536"/>
    <w:rsid w:val="01B17FF9"/>
    <w:rsid w:val="01C629F2"/>
    <w:rsid w:val="01D31020"/>
    <w:rsid w:val="01E71F27"/>
    <w:rsid w:val="01FD66EF"/>
    <w:rsid w:val="01FE5D60"/>
    <w:rsid w:val="020056FF"/>
    <w:rsid w:val="020076AD"/>
    <w:rsid w:val="020A2F1A"/>
    <w:rsid w:val="021160E9"/>
    <w:rsid w:val="021312D8"/>
    <w:rsid w:val="021E13BB"/>
    <w:rsid w:val="02275D29"/>
    <w:rsid w:val="02297713"/>
    <w:rsid w:val="022F05D0"/>
    <w:rsid w:val="02325AE1"/>
    <w:rsid w:val="023E1CE2"/>
    <w:rsid w:val="023F3B85"/>
    <w:rsid w:val="02475522"/>
    <w:rsid w:val="0247576F"/>
    <w:rsid w:val="024A4F80"/>
    <w:rsid w:val="024F7B6F"/>
    <w:rsid w:val="02523E87"/>
    <w:rsid w:val="025317B6"/>
    <w:rsid w:val="02582BA3"/>
    <w:rsid w:val="02582FAF"/>
    <w:rsid w:val="025A14B5"/>
    <w:rsid w:val="025D1DAF"/>
    <w:rsid w:val="02621DF5"/>
    <w:rsid w:val="02654081"/>
    <w:rsid w:val="02655829"/>
    <w:rsid w:val="02655EAE"/>
    <w:rsid w:val="027228D8"/>
    <w:rsid w:val="027C0652"/>
    <w:rsid w:val="02A156E7"/>
    <w:rsid w:val="02A2036E"/>
    <w:rsid w:val="02AB6F85"/>
    <w:rsid w:val="02B150B1"/>
    <w:rsid w:val="02B625AB"/>
    <w:rsid w:val="02D16486"/>
    <w:rsid w:val="02DB69C3"/>
    <w:rsid w:val="02DE4D2E"/>
    <w:rsid w:val="02EB239A"/>
    <w:rsid w:val="02EF723F"/>
    <w:rsid w:val="02F027D3"/>
    <w:rsid w:val="02F36652"/>
    <w:rsid w:val="02F43670"/>
    <w:rsid w:val="02F51AD0"/>
    <w:rsid w:val="02FB577F"/>
    <w:rsid w:val="02FF2AC3"/>
    <w:rsid w:val="02FF5C30"/>
    <w:rsid w:val="030569C0"/>
    <w:rsid w:val="03147A28"/>
    <w:rsid w:val="031B2BD3"/>
    <w:rsid w:val="03274D43"/>
    <w:rsid w:val="032D283D"/>
    <w:rsid w:val="03325A51"/>
    <w:rsid w:val="03350560"/>
    <w:rsid w:val="03352627"/>
    <w:rsid w:val="033B406F"/>
    <w:rsid w:val="033F7124"/>
    <w:rsid w:val="034A7BE9"/>
    <w:rsid w:val="03777325"/>
    <w:rsid w:val="037D4A1B"/>
    <w:rsid w:val="038C168D"/>
    <w:rsid w:val="038E799C"/>
    <w:rsid w:val="038F6F0C"/>
    <w:rsid w:val="03970E07"/>
    <w:rsid w:val="03975E24"/>
    <w:rsid w:val="039B1B37"/>
    <w:rsid w:val="03B30FB9"/>
    <w:rsid w:val="03B3498B"/>
    <w:rsid w:val="03B9276C"/>
    <w:rsid w:val="03B933CC"/>
    <w:rsid w:val="03C26892"/>
    <w:rsid w:val="03C35C90"/>
    <w:rsid w:val="03C70711"/>
    <w:rsid w:val="03D312B4"/>
    <w:rsid w:val="03D92863"/>
    <w:rsid w:val="03E15B68"/>
    <w:rsid w:val="03E65197"/>
    <w:rsid w:val="03E83F3F"/>
    <w:rsid w:val="03EB67A3"/>
    <w:rsid w:val="03F8606A"/>
    <w:rsid w:val="03FA4A2E"/>
    <w:rsid w:val="04055069"/>
    <w:rsid w:val="04217129"/>
    <w:rsid w:val="04266528"/>
    <w:rsid w:val="04277587"/>
    <w:rsid w:val="04357D70"/>
    <w:rsid w:val="04371523"/>
    <w:rsid w:val="043763B0"/>
    <w:rsid w:val="043D3FBF"/>
    <w:rsid w:val="043F5B62"/>
    <w:rsid w:val="04462B4E"/>
    <w:rsid w:val="04574CA4"/>
    <w:rsid w:val="0462766A"/>
    <w:rsid w:val="046A396D"/>
    <w:rsid w:val="046F4022"/>
    <w:rsid w:val="04756300"/>
    <w:rsid w:val="047B1E62"/>
    <w:rsid w:val="047F5F57"/>
    <w:rsid w:val="04965F4E"/>
    <w:rsid w:val="04974587"/>
    <w:rsid w:val="04994D0D"/>
    <w:rsid w:val="049B1DE3"/>
    <w:rsid w:val="04A516A5"/>
    <w:rsid w:val="04A516BB"/>
    <w:rsid w:val="04A813F4"/>
    <w:rsid w:val="04A8362D"/>
    <w:rsid w:val="04AF16E6"/>
    <w:rsid w:val="04B03389"/>
    <w:rsid w:val="04B57B4D"/>
    <w:rsid w:val="04B70785"/>
    <w:rsid w:val="04BD1D80"/>
    <w:rsid w:val="04CA5985"/>
    <w:rsid w:val="04D20EA6"/>
    <w:rsid w:val="04DF5A20"/>
    <w:rsid w:val="04E357F9"/>
    <w:rsid w:val="04ED068D"/>
    <w:rsid w:val="04F55751"/>
    <w:rsid w:val="05060670"/>
    <w:rsid w:val="050D58FE"/>
    <w:rsid w:val="0513306F"/>
    <w:rsid w:val="051D0E6D"/>
    <w:rsid w:val="051D72DF"/>
    <w:rsid w:val="052F7F12"/>
    <w:rsid w:val="0530604D"/>
    <w:rsid w:val="0533537D"/>
    <w:rsid w:val="05382B17"/>
    <w:rsid w:val="05403FA3"/>
    <w:rsid w:val="054A68FD"/>
    <w:rsid w:val="055B54C5"/>
    <w:rsid w:val="05670FFA"/>
    <w:rsid w:val="056819E9"/>
    <w:rsid w:val="05686138"/>
    <w:rsid w:val="056F7B26"/>
    <w:rsid w:val="0574233D"/>
    <w:rsid w:val="05834B0B"/>
    <w:rsid w:val="058C5714"/>
    <w:rsid w:val="058F7BAE"/>
    <w:rsid w:val="059617EC"/>
    <w:rsid w:val="059C7D12"/>
    <w:rsid w:val="05A606F7"/>
    <w:rsid w:val="05A734CB"/>
    <w:rsid w:val="05A90980"/>
    <w:rsid w:val="05B46ADA"/>
    <w:rsid w:val="05B53F44"/>
    <w:rsid w:val="05BD046B"/>
    <w:rsid w:val="05C15AEF"/>
    <w:rsid w:val="05CA322C"/>
    <w:rsid w:val="05CB2090"/>
    <w:rsid w:val="05CE3071"/>
    <w:rsid w:val="05D264E8"/>
    <w:rsid w:val="05EB1D3F"/>
    <w:rsid w:val="05EC28C3"/>
    <w:rsid w:val="05EE2186"/>
    <w:rsid w:val="05F66680"/>
    <w:rsid w:val="05F76D57"/>
    <w:rsid w:val="05FC21DF"/>
    <w:rsid w:val="05FF6A84"/>
    <w:rsid w:val="0600615C"/>
    <w:rsid w:val="061E60EB"/>
    <w:rsid w:val="06246080"/>
    <w:rsid w:val="063336BA"/>
    <w:rsid w:val="063C4CDE"/>
    <w:rsid w:val="0653754B"/>
    <w:rsid w:val="065B13E4"/>
    <w:rsid w:val="06764670"/>
    <w:rsid w:val="067F3EBD"/>
    <w:rsid w:val="068329AF"/>
    <w:rsid w:val="068701CA"/>
    <w:rsid w:val="069A2CD6"/>
    <w:rsid w:val="069F6654"/>
    <w:rsid w:val="06A27213"/>
    <w:rsid w:val="06AA4984"/>
    <w:rsid w:val="06B16E3E"/>
    <w:rsid w:val="06B525DC"/>
    <w:rsid w:val="06BB4119"/>
    <w:rsid w:val="06BC7784"/>
    <w:rsid w:val="06BD06BD"/>
    <w:rsid w:val="06C36581"/>
    <w:rsid w:val="06CF52F8"/>
    <w:rsid w:val="06D05A14"/>
    <w:rsid w:val="06DA1344"/>
    <w:rsid w:val="06DE6B25"/>
    <w:rsid w:val="06E05FE3"/>
    <w:rsid w:val="06E871C0"/>
    <w:rsid w:val="06F13DAF"/>
    <w:rsid w:val="06F15A67"/>
    <w:rsid w:val="06FC0EB8"/>
    <w:rsid w:val="070419BF"/>
    <w:rsid w:val="07196A78"/>
    <w:rsid w:val="07257453"/>
    <w:rsid w:val="07272687"/>
    <w:rsid w:val="0728389A"/>
    <w:rsid w:val="07306F8E"/>
    <w:rsid w:val="07463BF5"/>
    <w:rsid w:val="07505ECA"/>
    <w:rsid w:val="07583AEC"/>
    <w:rsid w:val="076D34E7"/>
    <w:rsid w:val="07701420"/>
    <w:rsid w:val="07741AE5"/>
    <w:rsid w:val="078238A2"/>
    <w:rsid w:val="07835D16"/>
    <w:rsid w:val="078C5C8C"/>
    <w:rsid w:val="078E245B"/>
    <w:rsid w:val="0791162E"/>
    <w:rsid w:val="07A7447D"/>
    <w:rsid w:val="07AC6AA6"/>
    <w:rsid w:val="07B12912"/>
    <w:rsid w:val="07B569DF"/>
    <w:rsid w:val="07B878C3"/>
    <w:rsid w:val="07C34941"/>
    <w:rsid w:val="07C77F3A"/>
    <w:rsid w:val="07CD6092"/>
    <w:rsid w:val="07D547B2"/>
    <w:rsid w:val="07D74D9F"/>
    <w:rsid w:val="07E30117"/>
    <w:rsid w:val="07E856F2"/>
    <w:rsid w:val="07EA30C6"/>
    <w:rsid w:val="07EB6F5F"/>
    <w:rsid w:val="07F25A88"/>
    <w:rsid w:val="07F4418E"/>
    <w:rsid w:val="07FE07F9"/>
    <w:rsid w:val="07FE2C58"/>
    <w:rsid w:val="08083E84"/>
    <w:rsid w:val="08091ED1"/>
    <w:rsid w:val="081044B7"/>
    <w:rsid w:val="081F1DC6"/>
    <w:rsid w:val="08244B72"/>
    <w:rsid w:val="083A2CFC"/>
    <w:rsid w:val="08435CA6"/>
    <w:rsid w:val="08472F7C"/>
    <w:rsid w:val="084A4B71"/>
    <w:rsid w:val="084B5CD7"/>
    <w:rsid w:val="085162F3"/>
    <w:rsid w:val="085207C5"/>
    <w:rsid w:val="085A5573"/>
    <w:rsid w:val="08780F1A"/>
    <w:rsid w:val="087C0E91"/>
    <w:rsid w:val="08811F94"/>
    <w:rsid w:val="088E01AB"/>
    <w:rsid w:val="08961E4C"/>
    <w:rsid w:val="089D1583"/>
    <w:rsid w:val="08AE7318"/>
    <w:rsid w:val="08AF1043"/>
    <w:rsid w:val="08BA1DB3"/>
    <w:rsid w:val="08C711B3"/>
    <w:rsid w:val="08CE43FF"/>
    <w:rsid w:val="08CF4EBD"/>
    <w:rsid w:val="08D76920"/>
    <w:rsid w:val="08D92BCF"/>
    <w:rsid w:val="08DD4532"/>
    <w:rsid w:val="08E47211"/>
    <w:rsid w:val="08EC29C7"/>
    <w:rsid w:val="08F20E06"/>
    <w:rsid w:val="08F23B65"/>
    <w:rsid w:val="08F55DE6"/>
    <w:rsid w:val="08F875BE"/>
    <w:rsid w:val="090E54D3"/>
    <w:rsid w:val="09304F3B"/>
    <w:rsid w:val="093662DA"/>
    <w:rsid w:val="09377A9D"/>
    <w:rsid w:val="093E5040"/>
    <w:rsid w:val="093F6F9B"/>
    <w:rsid w:val="09431F48"/>
    <w:rsid w:val="094A7787"/>
    <w:rsid w:val="094B1DE4"/>
    <w:rsid w:val="09631E0A"/>
    <w:rsid w:val="096D7CAA"/>
    <w:rsid w:val="097158E4"/>
    <w:rsid w:val="09717DDB"/>
    <w:rsid w:val="097A6225"/>
    <w:rsid w:val="097A71C8"/>
    <w:rsid w:val="097C3BA0"/>
    <w:rsid w:val="09847F50"/>
    <w:rsid w:val="098B3C24"/>
    <w:rsid w:val="099217C1"/>
    <w:rsid w:val="09987157"/>
    <w:rsid w:val="099B143F"/>
    <w:rsid w:val="09A077D3"/>
    <w:rsid w:val="09A2420C"/>
    <w:rsid w:val="09A5092C"/>
    <w:rsid w:val="09B11339"/>
    <w:rsid w:val="09C0048D"/>
    <w:rsid w:val="09DF390D"/>
    <w:rsid w:val="09EB4366"/>
    <w:rsid w:val="09F81EC8"/>
    <w:rsid w:val="09FB55B8"/>
    <w:rsid w:val="0A03621B"/>
    <w:rsid w:val="0A0855DF"/>
    <w:rsid w:val="0A142DE8"/>
    <w:rsid w:val="0A1572EA"/>
    <w:rsid w:val="0A177E9D"/>
    <w:rsid w:val="0A184378"/>
    <w:rsid w:val="0A1D783A"/>
    <w:rsid w:val="0A2277B0"/>
    <w:rsid w:val="0A2340F8"/>
    <w:rsid w:val="0A371330"/>
    <w:rsid w:val="0A3F2871"/>
    <w:rsid w:val="0A487A6F"/>
    <w:rsid w:val="0A4E6697"/>
    <w:rsid w:val="0A5102D1"/>
    <w:rsid w:val="0A562F7E"/>
    <w:rsid w:val="0A575318"/>
    <w:rsid w:val="0A5A18A6"/>
    <w:rsid w:val="0A5F477C"/>
    <w:rsid w:val="0A6F565E"/>
    <w:rsid w:val="0A7A5116"/>
    <w:rsid w:val="0A7E4F23"/>
    <w:rsid w:val="0A7F728B"/>
    <w:rsid w:val="0A8203B5"/>
    <w:rsid w:val="0A84467C"/>
    <w:rsid w:val="0A8F4F4F"/>
    <w:rsid w:val="0A927581"/>
    <w:rsid w:val="0A964DC0"/>
    <w:rsid w:val="0A9A2452"/>
    <w:rsid w:val="0A9D21B9"/>
    <w:rsid w:val="0AAF1755"/>
    <w:rsid w:val="0AC64377"/>
    <w:rsid w:val="0AC8150F"/>
    <w:rsid w:val="0ACD3055"/>
    <w:rsid w:val="0AD13355"/>
    <w:rsid w:val="0ADD1A98"/>
    <w:rsid w:val="0AE84FB3"/>
    <w:rsid w:val="0AED097D"/>
    <w:rsid w:val="0AF52D67"/>
    <w:rsid w:val="0AFD4DC3"/>
    <w:rsid w:val="0B0D34B2"/>
    <w:rsid w:val="0B106574"/>
    <w:rsid w:val="0B161888"/>
    <w:rsid w:val="0B1775DA"/>
    <w:rsid w:val="0B1F6A1E"/>
    <w:rsid w:val="0B2337C7"/>
    <w:rsid w:val="0B25031D"/>
    <w:rsid w:val="0B253CD7"/>
    <w:rsid w:val="0B295BDA"/>
    <w:rsid w:val="0B2E1A0A"/>
    <w:rsid w:val="0B303BC7"/>
    <w:rsid w:val="0B3A2791"/>
    <w:rsid w:val="0B45092B"/>
    <w:rsid w:val="0B4C4CFF"/>
    <w:rsid w:val="0B4C599F"/>
    <w:rsid w:val="0B4D4BB0"/>
    <w:rsid w:val="0B4E077E"/>
    <w:rsid w:val="0B4E31FB"/>
    <w:rsid w:val="0B5029B9"/>
    <w:rsid w:val="0B527BE2"/>
    <w:rsid w:val="0B536204"/>
    <w:rsid w:val="0B7067E1"/>
    <w:rsid w:val="0B7E532E"/>
    <w:rsid w:val="0B7F252D"/>
    <w:rsid w:val="0B800156"/>
    <w:rsid w:val="0B813E62"/>
    <w:rsid w:val="0B884DD9"/>
    <w:rsid w:val="0B8932F6"/>
    <w:rsid w:val="0B9530BC"/>
    <w:rsid w:val="0B953302"/>
    <w:rsid w:val="0B9965F9"/>
    <w:rsid w:val="0B9F0AA8"/>
    <w:rsid w:val="0BA822D9"/>
    <w:rsid w:val="0BAF3D4A"/>
    <w:rsid w:val="0BB856F5"/>
    <w:rsid w:val="0BBD322A"/>
    <w:rsid w:val="0BC03673"/>
    <w:rsid w:val="0BC06FC1"/>
    <w:rsid w:val="0BC57C0D"/>
    <w:rsid w:val="0BC84FF4"/>
    <w:rsid w:val="0BCC463D"/>
    <w:rsid w:val="0BD50B8E"/>
    <w:rsid w:val="0BDB3BF8"/>
    <w:rsid w:val="0BE34556"/>
    <w:rsid w:val="0BF23F58"/>
    <w:rsid w:val="0BF500D3"/>
    <w:rsid w:val="0BF85050"/>
    <w:rsid w:val="0C0205D1"/>
    <w:rsid w:val="0C022FE3"/>
    <w:rsid w:val="0C027467"/>
    <w:rsid w:val="0C0369C0"/>
    <w:rsid w:val="0C067389"/>
    <w:rsid w:val="0C0C0DFA"/>
    <w:rsid w:val="0C1110C3"/>
    <w:rsid w:val="0C182CE3"/>
    <w:rsid w:val="0C26641D"/>
    <w:rsid w:val="0C2D18D8"/>
    <w:rsid w:val="0C2E2F4D"/>
    <w:rsid w:val="0C3405FA"/>
    <w:rsid w:val="0C34206B"/>
    <w:rsid w:val="0C3847F7"/>
    <w:rsid w:val="0C3C6854"/>
    <w:rsid w:val="0C4209D5"/>
    <w:rsid w:val="0C57138F"/>
    <w:rsid w:val="0C594218"/>
    <w:rsid w:val="0C5B3CF0"/>
    <w:rsid w:val="0C716A86"/>
    <w:rsid w:val="0C8443FD"/>
    <w:rsid w:val="0C901ED7"/>
    <w:rsid w:val="0C955293"/>
    <w:rsid w:val="0C9574CF"/>
    <w:rsid w:val="0C96784A"/>
    <w:rsid w:val="0C975914"/>
    <w:rsid w:val="0CA372E3"/>
    <w:rsid w:val="0CA656D9"/>
    <w:rsid w:val="0CAF0C66"/>
    <w:rsid w:val="0CB07AEB"/>
    <w:rsid w:val="0CB54402"/>
    <w:rsid w:val="0CBD2489"/>
    <w:rsid w:val="0CCC22AE"/>
    <w:rsid w:val="0CD07758"/>
    <w:rsid w:val="0CE82FDA"/>
    <w:rsid w:val="0CEA37E8"/>
    <w:rsid w:val="0CEA4D98"/>
    <w:rsid w:val="0CED4ADC"/>
    <w:rsid w:val="0CED731E"/>
    <w:rsid w:val="0D0B0A94"/>
    <w:rsid w:val="0D111775"/>
    <w:rsid w:val="0D194214"/>
    <w:rsid w:val="0D1B3242"/>
    <w:rsid w:val="0D1B62D3"/>
    <w:rsid w:val="0D3914B5"/>
    <w:rsid w:val="0D571430"/>
    <w:rsid w:val="0D5C527C"/>
    <w:rsid w:val="0D6044E7"/>
    <w:rsid w:val="0D696587"/>
    <w:rsid w:val="0D78432D"/>
    <w:rsid w:val="0D8D32E6"/>
    <w:rsid w:val="0D9147D7"/>
    <w:rsid w:val="0D931B69"/>
    <w:rsid w:val="0D9755F8"/>
    <w:rsid w:val="0D995B12"/>
    <w:rsid w:val="0DA05BC5"/>
    <w:rsid w:val="0DA2531C"/>
    <w:rsid w:val="0DA77FDE"/>
    <w:rsid w:val="0DCC36E1"/>
    <w:rsid w:val="0DDD1CE2"/>
    <w:rsid w:val="0DDE2DFB"/>
    <w:rsid w:val="0DEA3806"/>
    <w:rsid w:val="0DF72D99"/>
    <w:rsid w:val="0E02266F"/>
    <w:rsid w:val="0E0407B3"/>
    <w:rsid w:val="0E0A2C2F"/>
    <w:rsid w:val="0E0C4E50"/>
    <w:rsid w:val="0E1843A6"/>
    <w:rsid w:val="0E1D1806"/>
    <w:rsid w:val="0E234A50"/>
    <w:rsid w:val="0E417788"/>
    <w:rsid w:val="0E455083"/>
    <w:rsid w:val="0E4D334D"/>
    <w:rsid w:val="0E517530"/>
    <w:rsid w:val="0E5B718E"/>
    <w:rsid w:val="0E6D03A0"/>
    <w:rsid w:val="0E747961"/>
    <w:rsid w:val="0E757165"/>
    <w:rsid w:val="0E7E5F5E"/>
    <w:rsid w:val="0E806136"/>
    <w:rsid w:val="0E8719F4"/>
    <w:rsid w:val="0E883B42"/>
    <w:rsid w:val="0E8904BC"/>
    <w:rsid w:val="0E8B67DF"/>
    <w:rsid w:val="0E924DE4"/>
    <w:rsid w:val="0E962723"/>
    <w:rsid w:val="0E9C65F9"/>
    <w:rsid w:val="0E9D17C1"/>
    <w:rsid w:val="0E9F3CBC"/>
    <w:rsid w:val="0EA81C32"/>
    <w:rsid w:val="0EAE222D"/>
    <w:rsid w:val="0EAE34BB"/>
    <w:rsid w:val="0EB455A8"/>
    <w:rsid w:val="0EB81713"/>
    <w:rsid w:val="0EBF32E5"/>
    <w:rsid w:val="0ECE1B50"/>
    <w:rsid w:val="0EDC2369"/>
    <w:rsid w:val="0EE72017"/>
    <w:rsid w:val="0EE72070"/>
    <w:rsid w:val="0EED5E94"/>
    <w:rsid w:val="0EEE56EB"/>
    <w:rsid w:val="0EF15C33"/>
    <w:rsid w:val="0EF15D83"/>
    <w:rsid w:val="0EF901DA"/>
    <w:rsid w:val="0F1F3966"/>
    <w:rsid w:val="0F24348A"/>
    <w:rsid w:val="0F2624B6"/>
    <w:rsid w:val="0F2B249C"/>
    <w:rsid w:val="0F481D70"/>
    <w:rsid w:val="0F486866"/>
    <w:rsid w:val="0F4B5ED3"/>
    <w:rsid w:val="0F501429"/>
    <w:rsid w:val="0F5337A0"/>
    <w:rsid w:val="0F583B39"/>
    <w:rsid w:val="0F586A49"/>
    <w:rsid w:val="0F5D017B"/>
    <w:rsid w:val="0F5D680D"/>
    <w:rsid w:val="0F643EC3"/>
    <w:rsid w:val="0F6C234D"/>
    <w:rsid w:val="0F865452"/>
    <w:rsid w:val="0F9743F3"/>
    <w:rsid w:val="0F997970"/>
    <w:rsid w:val="0F9C7C93"/>
    <w:rsid w:val="0FA82715"/>
    <w:rsid w:val="0FA83AEC"/>
    <w:rsid w:val="0FA94CAB"/>
    <w:rsid w:val="0FAA0628"/>
    <w:rsid w:val="0FAC0781"/>
    <w:rsid w:val="0FAC38D6"/>
    <w:rsid w:val="0FB31B63"/>
    <w:rsid w:val="0FBF0E36"/>
    <w:rsid w:val="0FBF512E"/>
    <w:rsid w:val="0FC35537"/>
    <w:rsid w:val="0FC71A98"/>
    <w:rsid w:val="0FD45DE5"/>
    <w:rsid w:val="0FE807CE"/>
    <w:rsid w:val="0FF13981"/>
    <w:rsid w:val="0FF57680"/>
    <w:rsid w:val="0FFC7994"/>
    <w:rsid w:val="10020193"/>
    <w:rsid w:val="100946FE"/>
    <w:rsid w:val="101523E8"/>
    <w:rsid w:val="1017355A"/>
    <w:rsid w:val="10187B80"/>
    <w:rsid w:val="101D11EC"/>
    <w:rsid w:val="102238D0"/>
    <w:rsid w:val="10321608"/>
    <w:rsid w:val="10386DC0"/>
    <w:rsid w:val="103A0F36"/>
    <w:rsid w:val="10505F32"/>
    <w:rsid w:val="106A4107"/>
    <w:rsid w:val="106B2877"/>
    <w:rsid w:val="107574B7"/>
    <w:rsid w:val="10806480"/>
    <w:rsid w:val="10871FE0"/>
    <w:rsid w:val="109B43B7"/>
    <w:rsid w:val="10A91FDC"/>
    <w:rsid w:val="10AA5E42"/>
    <w:rsid w:val="10AA7096"/>
    <w:rsid w:val="10D80C3E"/>
    <w:rsid w:val="10EA0579"/>
    <w:rsid w:val="10EF0167"/>
    <w:rsid w:val="10F06C61"/>
    <w:rsid w:val="10F155BE"/>
    <w:rsid w:val="10F513CE"/>
    <w:rsid w:val="10F61B23"/>
    <w:rsid w:val="10F70B00"/>
    <w:rsid w:val="10FD0349"/>
    <w:rsid w:val="11074433"/>
    <w:rsid w:val="110976C7"/>
    <w:rsid w:val="111A31EF"/>
    <w:rsid w:val="111A5EE8"/>
    <w:rsid w:val="111B7284"/>
    <w:rsid w:val="111E1D3A"/>
    <w:rsid w:val="112C0B83"/>
    <w:rsid w:val="112D4228"/>
    <w:rsid w:val="112E1F3D"/>
    <w:rsid w:val="113A175A"/>
    <w:rsid w:val="113B3DDF"/>
    <w:rsid w:val="113D0264"/>
    <w:rsid w:val="114B0966"/>
    <w:rsid w:val="114C2B9B"/>
    <w:rsid w:val="114C3B49"/>
    <w:rsid w:val="114D5EEF"/>
    <w:rsid w:val="1156255E"/>
    <w:rsid w:val="1163130E"/>
    <w:rsid w:val="116F60A4"/>
    <w:rsid w:val="117D657F"/>
    <w:rsid w:val="117F04DD"/>
    <w:rsid w:val="118979FF"/>
    <w:rsid w:val="118A003A"/>
    <w:rsid w:val="118C0FCF"/>
    <w:rsid w:val="11906163"/>
    <w:rsid w:val="119C2F13"/>
    <w:rsid w:val="11A94571"/>
    <w:rsid w:val="11AE72F3"/>
    <w:rsid w:val="11B226BD"/>
    <w:rsid w:val="11BF2FF8"/>
    <w:rsid w:val="11C720CD"/>
    <w:rsid w:val="11C87EF8"/>
    <w:rsid w:val="11CD58C5"/>
    <w:rsid w:val="11D54078"/>
    <w:rsid w:val="11F171A8"/>
    <w:rsid w:val="11F87330"/>
    <w:rsid w:val="12015736"/>
    <w:rsid w:val="1204234A"/>
    <w:rsid w:val="12053118"/>
    <w:rsid w:val="120E1B92"/>
    <w:rsid w:val="121E64FB"/>
    <w:rsid w:val="121F3E0E"/>
    <w:rsid w:val="122823A7"/>
    <w:rsid w:val="122F47BA"/>
    <w:rsid w:val="12300400"/>
    <w:rsid w:val="123771B9"/>
    <w:rsid w:val="12382C34"/>
    <w:rsid w:val="12394ECF"/>
    <w:rsid w:val="123C0B5C"/>
    <w:rsid w:val="1243251C"/>
    <w:rsid w:val="12470A41"/>
    <w:rsid w:val="125A643F"/>
    <w:rsid w:val="12611DC1"/>
    <w:rsid w:val="126148C9"/>
    <w:rsid w:val="127B2A94"/>
    <w:rsid w:val="1280081C"/>
    <w:rsid w:val="128C526B"/>
    <w:rsid w:val="129003B2"/>
    <w:rsid w:val="129254D2"/>
    <w:rsid w:val="12927504"/>
    <w:rsid w:val="129907C0"/>
    <w:rsid w:val="129F6DB1"/>
    <w:rsid w:val="12AA01C2"/>
    <w:rsid w:val="12AB7D05"/>
    <w:rsid w:val="12CE7AB3"/>
    <w:rsid w:val="12D72C6A"/>
    <w:rsid w:val="12DE5DC1"/>
    <w:rsid w:val="12E320F3"/>
    <w:rsid w:val="12E91B51"/>
    <w:rsid w:val="12EA7B0F"/>
    <w:rsid w:val="12EC7FF5"/>
    <w:rsid w:val="12FF1E1D"/>
    <w:rsid w:val="1307588D"/>
    <w:rsid w:val="13196897"/>
    <w:rsid w:val="13323067"/>
    <w:rsid w:val="13390C57"/>
    <w:rsid w:val="133F3FEE"/>
    <w:rsid w:val="1340563C"/>
    <w:rsid w:val="13486459"/>
    <w:rsid w:val="136061E0"/>
    <w:rsid w:val="13726A32"/>
    <w:rsid w:val="13750189"/>
    <w:rsid w:val="137F0AFC"/>
    <w:rsid w:val="137F23AF"/>
    <w:rsid w:val="13851FC5"/>
    <w:rsid w:val="13902D58"/>
    <w:rsid w:val="13942CC6"/>
    <w:rsid w:val="13967749"/>
    <w:rsid w:val="139C1269"/>
    <w:rsid w:val="13A810EF"/>
    <w:rsid w:val="13BD420B"/>
    <w:rsid w:val="13BF5241"/>
    <w:rsid w:val="13C06B75"/>
    <w:rsid w:val="13CB2D52"/>
    <w:rsid w:val="13E33C2F"/>
    <w:rsid w:val="13E53E5D"/>
    <w:rsid w:val="13E56991"/>
    <w:rsid w:val="13EF1D22"/>
    <w:rsid w:val="13F60B9E"/>
    <w:rsid w:val="13F84916"/>
    <w:rsid w:val="14050FFC"/>
    <w:rsid w:val="140A00B6"/>
    <w:rsid w:val="14151C5B"/>
    <w:rsid w:val="14212D5A"/>
    <w:rsid w:val="14313E35"/>
    <w:rsid w:val="14385D13"/>
    <w:rsid w:val="14424250"/>
    <w:rsid w:val="14471716"/>
    <w:rsid w:val="144814F9"/>
    <w:rsid w:val="1452143B"/>
    <w:rsid w:val="145D1875"/>
    <w:rsid w:val="1470252E"/>
    <w:rsid w:val="14725425"/>
    <w:rsid w:val="147321EF"/>
    <w:rsid w:val="1478278F"/>
    <w:rsid w:val="147D7441"/>
    <w:rsid w:val="148368D6"/>
    <w:rsid w:val="148C0606"/>
    <w:rsid w:val="148D1429"/>
    <w:rsid w:val="14994BCF"/>
    <w:rsid w:val="149F016D"/>
    <w:rsid w:val="14A648CC"/>
    <w:rsid w:val="14A75AD2"/>
    <w:rsid w:val="14C5099F"/>
    <w:rsid w:val="14C56C43"/>
    <w:rsid w:val="14C807C2"/>
    <w:rsid w:val="14CC7B9D"/>
    <w:rsid w:val="14CE7280"/>
    <w:rsid w:val="14D76888"/>
    <w:rsid w:val="14DD26E7"/>
    <w:rsid w:val="14F47115"/>
    <w:rsid w:val="14FE5051"/>
    <w:rsid w:val="1504489D"/>
    <w:rsid w:val="15163C30"/>
    <w:rsid w:val="151F78A1"/>
    <w:rsid w:val="15261441"/>
    <w:rsid w:val="15282F5D"/>
    <w:rsid w:val="15352122"/>
    <w:rsid w:val="154E676F"/>
    <w:rsid w:val="1557566D"/>
    <w:rsid w:val="155A78B7"/>
    <w:rsid w:val="155B56D8"/>
    <w:rsid w:val="15677EE6"/>
    <w:rsid w:val="156C76D3"/>
    <w:rsid w:val="156F0F9A"/>
    <w:rsid w:val="15790997"/>
    <w:rsid w:val="157C3A3D"/>
    <w:rsid w:val="158B1912"/>
    <w:rsid w:val="158F0818"/>
    <w:rsid w:val="158F12AA"/>
    <w:rsid w:val="15A01510"/>
    <w:rsid w:val="15A144BF"/>
    <w:rsid w:val="15BA52C5"/>
    <w:rsid w:val="15BE0960"/>
    <w:rsid w:val="15C2040D"/>
    <w:rsid w:val="15CA44FF"/>
    <w:rsid w:val="15CD0C22"/>
    <w:rsid w:val="15D20513"/>
    <w:rsid w:val="15D62CB7"/>
    <w:rsid w:val="15D716E2"/>
    <w:rsid w:val="15D817AC"/>
    <w:rsid w:val="15E01C12"/>
    <w:rsid w:val="15FD7A07"/>
    <w:rsid w:val="160662CE"/>
    <w:rsid w:val="162F63B1"/>
    <w:rsid w:val="16345EE9"/>
    <w:rsid w:val="164F39BB"/>
    <w:rsid w:val="165104B3"/>
    <w:rsid w:val="165A1131"/>
    <w:rsid w:val="166A71F2"/>
    <w:rsid w:val="167732D8"/>
    <w:rsid w:val="1680690D"/>
    <w:rsid w:val="168E0774"/>
    <w:rsid w:val="16922195"/>
    <w:rsid w:val="169E2818"/>
    <w:rsid w:val="16AD262A"/>
    <w:rsid w:val="16B72F93"/>
    <w:rsid w:val="16BB29E0"/>
    <w:rsid w:val="16BD4CFF"/>
    <w:rsid w:val="16C36BEA"/>
    <w:rsid w:val="16D01BA6"/>
    <w:rsid w:val="16FC3D6F"/>
    <w:rsid w:val="16FD0832"/>
    <w:rsid w:val="16FE745A"/>
    <w:rsid w:val="1701002E"/>
    <w:rsid w:val="17016F05"/>
    <w:rsid w:val="170A5E20"/>
    <w:rsid w:val="170A5E63"/>
    <w:rsid w:val="17281031"/>
    <w:rsid w:val="172E4A83"/>
    <w:rsid w:val="17375756"/>
    <w:rsid w:val="17386FC3"/>
    <w:rsid w:val="173A5C67"/>
    <w:rsid w:val="173B7CBA"/>
    <w:rsid w:val="1746328F"/>
    <w:rsid w:val="174956FB"/>
    <w:rsid w:val="175525EA"/>
    <w:rsid w:val="17632F6E"/>
    <w:rsid w:val="176A1A2E"/>
    <w:rsid w:val="1779419B"/>
    <w:rsid w:val="178F3B29"/>
    <w:rsid w:val="17936F7C"/>
    <w:rsid w:val="17953728"/>
    <w:rsid w:val="179752EE"/>
    <w:rsid w:val="17984864"/>
    <w:rsid w:val="17996ED7"/>
    <w:rsid w:val="17A41237"/>
    <w:rsid w:val="17AA30A7"/>
    <w:rsid w:val="17AA5F28"/>
    <w:rsid w:val="17AC12C1"/>
    <w:rsid w:val="17AF2CE4"/>
    <w:rsid w:val="17B01E78"/>
    <w:rsid w:val="17B14BE0"/>
    <w:rsid w:val="17B80FE7"/>
    <w:rsid w:val="17B97F3E"/>
    <w:rsid w:val="17D024B5"/>
    <w:rsid w:val="17D27DF1"/>
    <w:rsid w:val="17D95F0E"/>
    <w:rsid w:val="17E04CD2"/>
    <w:rsid w:val="17E172AF"/>
    <w:rsid w:val="17EA54A6"/>
    <w:rsid w:val="18006CB7"/>
    <w:rsid w:val="18094608"/>
    <w:rsid w:val="180A1900"/>
    <w:rsid w:val="180E5AE3"/>
    <w:rsid w:val="181204D9"/>
    <w:rsid w:val="181B143D"/>
    <w:rsid w:val="181B426E"/>
    <w:rsid w:val="181C1B70"/>
    <w:rsid w:val="181D3DCB"/>
    <w:rsid w:val="181F42DC"/>
    <w:rsid w:val="182454D5"/>
    <w:rsid w:val="18314DAF"/>
    <w:rsid w:val="18325F17"/>
    <w:rsid w:val="183A20A7"/>
    <w:rsid w:val="183C05F3"/>
    <w:rsid w:val="18403652"/>
    <w:rsid w:val="18435B9A"/>
    <w:rsid w:val="18473BFB"/>
    <w:rsid w:val="18491181"/>
    <w:rsid w:val="184F7C54"/>
    <w:rsid w:val="18565439"/>
    <w:rsid w:val="185657AC"/>
    <w:rsid w:val="185903BC"/>
    <w:rsid w:val="185D08BB"/>
    <w:rsid w:val="185E4C84"/>
    <w:rsid w:val="1865141A"/>
    <w:rsid w:val="186775EA"/>
    <w:rsid w:val="18712096"/>
    <w:rsid w:val="18757FDB"/>
    <w:rsid w:val="187C3940"/>
    <w:rsid w:val="18801E9F"/>
    <w:rsid w:val="188349A4"/>
    <w:rsid w:val="18871CAE"/>
    <w:rsid w:val="189A03D9"/>
    <w:rsid w:val="189E4B66"/>
    <w:rsid w:val="18A550C2"/>
    <w:rsid w:val="18AA01A6"/>
    <w:rsid w:val="18AB7FE4"/>
    <w:rsid w:val="18B87467"/>
    <w:rsid w:val="18C05A92"/>
    <w:rsid w:val="18C075C8"/>
    <w:rsid w:val="18C272A1"/>
    <w:rsid w:val="18C951D5"/>
    <w:rsid w:val="18CB7645"/>
    <w:rsid w:val="18D16C4A"/>
    <w:rsid w:val="18F55C47"/>
    <w:rsid w:val="18F877A2"/>
    <w:rsid w:val="190E0CBB"/>
    <w:rsid w:val="19103DBD"/>
    <w:rsid w:val="191404B0"/>
    <w:rsid w:val="1919028D"/>
    <w:rsid w:val="19191B69"/>
    <w:rsid w:val="191A1737"/>
    <w:rsid w:val="192409D3"/>
    <w:rsid w:val="19246FE0"/>
    <w:rsid w:val="19305A9C"/>
    <w:rsid w:val="193947B2"/>
    <w:rsid w:val="193B7925"/>
    <w:rsid w:val="193E2F03"/>
    <w:rsid w:val="194950FA"/>
    <w:rsid w:val="194E23A6"/>
    <w:rsid w:val="19510D51"/>
    <w:rsid w:val="19553293"/>
    <w:rsid w:val="19556902"/>
    <w:rsid w:val="195E267A"/>
    <w:rsid w:val="19606A35"/>
    <w:rsid w:val="1962496B"/>
    <w:rsid w:val="19697852"/>
    <w:rsid w:val="196C55FA"/>
    <w:rsid w:val="1973039C"/>
    <w:rsid w:val="1973094D"/>
    <w:rsid w:val="1979132C"/>
    <w:rsid w:val="198D4711"/>
    <w:rsid w:val="19A303F8"/>
    <w:rsid w:val="19A744D6"/>
    <w:rsid w:val="19A76BC3"/>
    <w:rsid w:val="19AF10BC"/>
    <w:rsid w:val="19B17162"/>
    <w:rsid w:val="19BD0F26"/>
    <w:rsid w:val="19C10DA4"/>
    <w:rsid w:val="19C22408"/>
    <w:rsid w:val="19C72174"/>
    <w:rsid w:val="19CD5C5C"/>
    <w:rsid w:val="19CF5488"/>
    <w:rsid w:val="19D342D6"/>
    <w:rsid w:val="19D87087"/>
    <w:rsid w:val="19E07A0B"/>
    <w:rsid w:val="19E21248"/>
    <w:rsid w:val="19E32935"/>
    <w:rsid w:val="19EA6077"/>
    <w:rsid w:val="19F16E60"/>
    <w:rsid w:val="19F33F5D"/>
    <w:rsid w:val="19F35525"/>
    <w:rsid w:val="1A034F0B"/>
    <w:rsid w:val="1A0B5D3F"/>
    <w:rsid w:val="1A166BE5"/>
    <w:rsid w:val="1A2D3787"/>
    <w:rsid w:val="1A393A32"/>
    <w:rsid w:val="1A426E67"/>
    <w:rsid w:val="1A4D13CC"/>
    <w:rsid w:val="1A54369B"/>
    <w:rsid w:val="1A660126"/>
    <w:rsid w:val="1A664B90"/>
    <w:rsid w:val="1A791258"/>
    <w:rsid w:val="1A7C4CB0"/>
    <w:rsid w:val="1A7E1E5D"/>
    <w:rsid w:val="1A8962C8"/>
    <w:rsid w:val="1A954A1F"/>
    <w:rsid w:val="1A9D6090"/>
    <w:rsid w:val="1AA6039B"/>
    <w:rsid w:val="1AAA6A23"/>
    <w:rsid w:val="1AB13622"/>
    <w:rsid w:val="1AB20974"/>
    <w:rsid w:val="1ABA2965"/>
    <w:rsid w:val="1ABB2384"/>
    <w:rsid w:val="1ABF7F3C"/>
    <w:rsid w:val="1AD7549E"/>
    <w:rsid w:val="1ADA52A6"/>
    <w:rsid w:val="1ADD02C9"/>
    <w:rsid w:val="1B0143E6"/>
    <w:rsid w:val="1B0622C5"/>
    <w:rsid w:val="1B07305E"/>
    <w:rsid w:val="1B0A1D6B"/>
    <w:rsid w:val="1B0C45C3"/>
    <w:rsid w:val="1B100C27"/>
    <w:rsid w:val="1B17352B"/>
    <w:rsid w:val="1B185D64"/>
    <w:rsid w:val="1B1E4BF1"/>
    <w:rsid w:val="1B20052F"/>
    <w:rsid w:val="1B23640A"/>
    <w:rsid w:val="1B3462A6"/>
    <w:rsid w:val="1B3F1CD3"/>
    <w:rsid w:val="1B4B2131"/>
    <w:rsid w:val="1B68589D"/>
    <w:rsid w:val="1B6C31FE"/>
    <w:rsid w:val="1B737233"/>
    <w:rsid w:val="1B7B3B6E"/>
    <w:rsid w:val="1B850EB0"/>
    <w:rsid w:val="1B882747"/>
    <w:rsid w:val="1B8B5545"/>
    <w:rsid w:val="1B9269A6"/>
    <w:rsid w:val="1B972792"/>
    <w:rsid w:val="1B984500"/>
    <w:rsid w:val="1B9924D7"/>
    <w:rsid w:val="1B9D1E17"/>
    <w:rsid w:val="1BA77ADD"/>
    <w:rsid w:val="1BA935AC"/>
    <w:rsid w:val="1BB33E57"/>
    <w:rsid w:val="1BB669F0"/>
    <w:rsid w:val="1BC56CA0"/>
    <w:rsid w:val="1BD11F0C"/>
    <w:rsid w:val="1BD374E2"/>
    <w:rsid w:val="1BD764D8"/>
    <w:rsid w:val="1BD807E5"/>
    <w:rsid w:val="1BEE12A4"/>
    <w:rsid w:val="1BF35229"/>
    <w:rsid w:val="1BF4109B"/>
    <w:rsid w:val="1BFB39AB"/>
    <w:rsid w:val="1C14206E"/>
    <w:rsid w:val="1C1671DC"/>
    <w:rsid w:val="1C1A0EF6"/>
    <w:rsid w:val="1C1D6754"/>
    <w:rsid w:val="1C363C13"/>
    <w:rsid w:val="1C39489B"/>
    <w:rsid w:val="1C3C3172"/>
    <w:rsid w:val="1C564C69"/>
    <w:rsid w:val="1C6D69DD"/>
    <w:rsid w:val="1C70141D"/>
    <w:rsid w:val="1C743EBF"/>
    <w:rsid w:val="1C8B7A29"/>
    <w:rsid w:val="1C930BE2"/>
    <w:rsid w:val="1C980944"/>
    <w:rsid w:val="1CA5053E"/>
    <w:rsid w:val="1CB53DF6"/>
    <w:rsid w:val="1CBB4A96"/>
    <w:rsid w:val="1CDE5BBF"/>
    <w:rsid w:val="1CE539F5"/>
    <w:rsid w:val="1CE54D16"/>
    <w:rsid w:val="1CEB5D69"/>
    <w:rsid w:val="1CFA5558"/>
    <w:rsid w:val="1D0D6EBD"/>
    <w:rsid w:val="1D101937"/>
    <w:rsid w:val="1D324654"/>
    <w:rsid w:val="1D4663D2"/>
    <w:rsid w:val="1D474399"/>
    <w:rsid w:val="1D57447D"/>
    <w:rsid w:val="1D576CD5"/>
    <w:rsid w:val="1D59369F"/>
    <w:rsid w:val="1D662A98"/>
    <w:rsid w:val="1D684662"/>
    <w:rsid w:val="1D6F2501"/>
    <w:rsid w:val="1D795E89"/>
    <w:rsid w:val="1D7D1870"/>
    <w:rsid w:val="1D7F07C3"/>
    <w:rsid w:val="1D813DBE"/>
    <w:rsid w:val="1D8D20E5"/>
    <w:rsid w:val="1D9A0AA3"/>
    <w:rsid w:val="1DA376A1"/>
    <w:rsid w:val="1DA37F78"/>
    <w:rsid w:val="1DB55E9D"/>
    <w:rsid w:val="1DBE49E6"/>
    <w:rsid w:val="1DD466F0"/>
    <w:rsid w:val="1DD53793"/>
    <w:rsid w:val="1DEB6D06"/>
    <w:rsid w:val="1DF56AA7"/>
    <w:rsid w:val="1E0617A6"/>
    <w:rsid w:val="1E080AB7"/>
    <w:rsid w:val="1E0C4297"/>
    <w:rsid w:val="1E0E76A7"/>
    <w:rsid w:val="1E164317"/>
    <w:rsid w:val="1E1E3ADD"/>
    <w:rsid w:val="1E467843"/>
    <w:rsid w:val="1E481255"/>
    <w:rsid w:val="1E4E2F3E"/>
    <w:rsid w:val="1E511F69"/>
    <w:rsid w:val="1E545513"/>
    <w:rsid w:val="1E5E19F1"/>
    <w:rsid w:val="1E62141D"/>
    <w:rsid w:val="1E731769"/>
    <w:rsid w:val="1E740588"/>
    <w:rsid w:val="1E797FE6"/>
    <w:rsid w:val="1E826EAB"/>
    <w:rsid w:val="1E835BEC"/>
    <w:rsid w:val="1E865382"/>
    <w:rsid w:val="1E886626"/>
    <w:rsid w:val="1E93738D"/>
    <w:rsid w:val="1EA1713E"/>
    <w:rsid w:val="1EA3296F"/>
    <w:rsid w:val="1EA425FC"/>
    <w:rsid w:val="1EA61568"/>
    <w:rsid w:val="1EAA2CB1"/>
    <w:rsid w:val="1EAF2E0F"/>
    <w:rsid w:val="1EB012C3"/>
    <w:rsid w:val="1EB22F4F"/>
    <w:rsid w:val="1EB8473E"/>
    <w:rsid w:val="1EBC3110"/>
    <w:rsid w:val="1ECB0219"/>
    <w:rsid w:val="1EE419C0"/>
    <w:rsid w:val="1EE63EE2"/>
    <w:rsid w:val="1EE858C7"/>
    <w:rsid w:val="1EF15A72"/>
    <w:rsid w:val="1F042124"/>
    <w:rsid w:val="1F074272"/>
    <w:rsid w:val="1F0914BA"/>
    <w:rsid w:val="1F2F113C"/>
    <w:rsid w:val="1F3E2F49"/>
    <w:rsid w:val="1F431201"/>
    <w:rsid w:val="1F460C2C"/>
    <w:rsid w:val="1F511F91"/>
    <w:rsid w:val="1F512546"/>
    <w:rsid w:val="1F55140D"/>
    <w:rsid w:val="1F617347"/>
    <w:rsid w:val="1F622CB6"/>
    <w:rsid w:val="1F693B0A"/>
    <w:rsid w:val="1F7F3A66"/>
    <w:rsid w:val="1F923570"/>
    <w:rsid w:val="1F9952DA"/>
    <w:rsid w:val="1F9E133E"/>
    <w:rsid w:val="1F9E72D1"/>
    <w:rsid w:val="1FAD2A59"/>
    <w:rsid w:val="1FBF2009"/>
    <w:rsid w:val="1FC05FA5"/>
    <w:rsid w:val="1FC12F0F"/>
    <w:rsid w:val="1FC16E96"/>
    <w:rsid w:val="1FDA1F6E"/>
    <w:rsid w:val="1FDA7BAD"/>
    <w:rsid w:val="1FDD1623"/>
    <w:rsid w:val="1FE00695"/>
    <w:rsid w:val="1FE015E0"/>
    <w:rsid w:val="1FE03A76"/>
    <w:rsid w:val="1FE24FEE"/>
    <w:rsid w:val="1FE25B18"/>
    <w:rsid w:val="1FE633AE"/>
    <w:rsid w:val="1FE71012"/>
    <w:rsid w:val="1FEC3461"/>
    <w:rsid w:val="1FF64E6C"/>
    <w:rsid w:val="20015B3D"/>
    <w:rsid w:val="20025ED3"/>
    <w:rsid w:val="20061DBC"/>
    <w:rsid w:val="20251CBA"/>
    <w:rsid w:val="202563B5"/>
    <w:rsid w:val="202D7D5A"/>
    <w:rsid w:val="204246D8"/>
    <w:rsid w:val="20490A7C"/>
    <w:rsid w:val="204E06A8"/>
    <w:rsid w:val="20553A19"/>
    <w:rsid w:val="20570321"/>
    <w:rsid w:val="20586866"/>
    <w:rsid w:val="20727802"/>
    <w:rsid w:val="207D5D6C"/>
    <w:rsid w:val="20805661"/>
    <w:rsid w:val="20867E1A"/>
    <w:rsid w:val="20892F04"/>
    <w:rsid w:val="208A5396"/>
    <w:rsid w:val="20913F86"/>
    <w:rsid w:val="20A14EBE"/>
    <w:rsid w:val="20A64565"/>
    <w:rsid w:val="20B56069"/>
    <w:rsid w:val="20B9664B"/>
    <w:rsid w:val="20C64A1D"/>
    <w:rsid w:val="20C663D9"/>
    <w:rsid w:val="20CB03A8"/>
    <w:rsid w:val="20DB20C6"/>
    <w:rsid w:val="20DB5B62"/>
    <w:rsid w:val="20E234F7"/>
    <w:rsid w:val="2103596A"/>
    <w:rsid w:val="210407CB"/>
    <w:rsid w:val="21096A0E"/>
    <w:rsid w:val="210B064E"/>
    <w:rsid w:val="210D5E3E"/>
    <w:rsid w:val="21115269"/>
    <w:rsid w:val="211B37FD"/>
    <w:rsid w:val="211C1714"/>
    <w:rsid w:val="211C3D3A"/>
    <w:rsid w:val="211F2E63"/>
    <w:rsid w:val="2131050E"/>
    <w:rsid w:val="213D3F49"/>
    <w:rsid w:val="214428B9"/>
    <w:rsid w:val="21461B88"/>
    <w:rsid w:val="214747E7"/>
    <w:rsid w:val="214D3A7B"/>
    <w:rsid w:val="215C7202"/>
    <w:rsid w:val="21601179"/>
    <w:rsid w:val="21604A7A"/>
    <w:rsid w:val="21607FB4"/>
    <w:rsid w:val="21664E0A"/>
    <w:rsid w:val="21684320"/>
    <w:rsid w:val="216915F2"/>
    <w:rsid w:val="21741722"/>
    <w:rsid w:val="218107C4"/>
    <w:rsid w:val="21812C24"/>
    <w:rsid w:val="21855967"/>
    <w:rsid w:val="21A12149"/>
    <w:rsid w:val="21A333B8"/>
    <w:rsid w:val="21AE2AB8"/>
    <w:rsid w:val="21B529CB"/>
    <w:rsid w:val="21C0262E"/>
    <w:rsid w:val="21D342CD"/>
    <w:rsid w:val="21D36C1C"/>
    <w:rsid w:val="21D40226"/>
    <w:rsid w:val="21D54AE9"/>
    <w:rsid w:val="21DD5CFF"/>
    <w:rsid w:val="21DE258D"/>
    <w:rsid w:val="21E668B1"/>
    <w:rsid w:val="21E90A93"/>
    <w:rsid w:val="21ED1832"/>
    <w:rsid w:val="21F07992"/>
    <w:rsid w:val="21F25371"/>
    <w:rsid w:val="21F77738"/>
    <w:rsid w:val="22002496"/>
    <w:rsid w:val="2202004A"/>
    <w:rsid w:val="22060080"/>
    <w:rsid w:val="22094610"/>
    <w:rsid w:val="22123EFA"/>
    <w:rsid w:val="22133F53"/>
    <w:rsid w:val="221B1919"/>
    <w:rsid w:val="221B3E81"/>
    <w:rsid w:val="221D7058"/>
    <w:rsid w:val="221D75D4"/>
    <w:rsid w:val="22203D25"/>
    <w:rsid w:val="22227544"/>
    <w:rsid w:val="22285991"/>
    <w:rsid w:val="222C2093"/>
    <w:rsid w:val="225029E8"/>
    <w:rsid w:val="225A11A5"/>
    <w:rsid w:val="225B0C51"/>
    <w:rsid w:val="225D495F"/>
    <w:rsid w:val="22631AF5"/>
    <w:rsid w:val="22636913"/>
    <w:rsid w:val="227014B0"/>
    <w:rsid w:val="22772D1B"/>
    <w:rsid w:val="227867D9"/>
    <w:rsid w:val="22807F78"/>
    <w:rsid w:val="228179C3"/>
    <w:rsid w:val="228702ED"/>
    <w:rsid w:val="22A242F6"/>
    <w:rsid w:val="22AD45DB"/>
    <w:rsid w:val="22B36C11"/>
    <w:rsid w:val="22B46FA1"/>
    <w:rsid w:val="22B53C34"/>
    <w:rsid w:val="22BF5BCD"/>
    <w:rsid w:val="22C22865"/>
    <w:rsid w:val="22D342F6"/>
    <w:rsid w:val="22DD2EB7"/>
    <w:rsid w:val="22DD430D"/>
    <w:rsid w:val="22DD7530"/>
    <w:rsid w:val="22E569AE"/>
    <w:rsid w:val="22E821DA"/>
    <w:rsid w:val="22EB76E6"/>
    <w:rsid w:val="22F90161"/>
    <w:rsid w:val="230E74C6"/>
    <w:rsid w:val="231350C2"/>
    <w:rsid w:val="2315039C"/>
    <w:rsid w:val="231A1D64"/>
    <w:rsid w:val="23287A23"/>
    <w:rsid w:val="232C1211"/>
    <w:rsid w:val="23363C3D"/>
    <w:rsid w:val="23393B4F"/>
    <w:rsid w:val="233E2153"/>
    <w:rsid w:val="2344695E"/>
    <w:rsid w:val="235801A9"/>
    <w:rsid w:val="23583B4A"/>
    <w:rsid w:val="235F25CF"/>
    <w:rsid w:val="23620D3F"/>
    <w:rsid w:val="23667A34"/>
    <w:rsid w:val="236F2771"/>
    <w:rsid w:val="23751A58"/>
    <w:rsid w:val="237A7E4D"/>
    <w:rsid w:val="237B6635"/>
    <w:rsid w:val="2383565B"/>
    <w:rsid w:val="2387216D"/>
    <w:rsid w:val="239A70C6"/>
    <w:rsid w:val="239A7798"/>
    <w:rsid w:val="239F2A46"/>
    <w:rsid w:val="23A3228C"/>
    <w:rsid w:val="23AB5501"/>
    <w:rsid w:val="23AE1679"/>
    <w:rsid w:val="23C40567"/>
    <w:rsid w:val="23C56284"/>
    <w:rsid w:val="23CA3E1C"/>
    <w:rsid w:val="23D72F30"/>
    <w:rsid w:val="23DB5353"/>
    <w:rsid w:val="23F019ED"/>
    <w:rsid w:val="23F045FD"/>
    <w:rsid w:val="23F165C9"/>
    <w:rsid w:val="23F46A0A"/>
    <w:rsid w:val="23F65FCF"/>
    <w:rsid w:val="23FC24FE"/>
    <w:rsid w:val="23FC7401"/>
    <w:rsid w:val="23FE7BF3"/>
    <w:rsid w:val="23FF8AA7"/>
    <w:rsid w:val="24030DCA"/>
    <w:rsid w:val="240361BF"/>
    <w:rsid w:val="24090C73"/>
    <w:rsid w:val="240A74A7"/>
    <w:rsid w:val="241C16CC"/>
    <w:rsid w:val="241F13A4"/>
    <w:rsid w:val="24220B7D"/>
    <w:rsid w:val="242D0702"/>
    <w:rsid w:val="24367430"/>
    <w:rsid w:val="2437102C"/>
    <w:rsid w:val="243E7926"/>
    <w:rsid w:val="2441663E"/>
    <w:rsid w:val="24505BE6"/>
    <w:rsid w:val="245179E9"/>
    <w:rsid w:val="245F02EB"/>
    <w:rsid w:val="24734AAF"/>
    <w:rsid w:val="248018F0"/>
    <w:rsid w:val="248A7C2F"/>
    <w:rsid w:val="248C78CA"/>
    <w:rsid w:val="24973BC6"/>
    <w:rsid w:val="24990C72"/>
    <w:rsid w:val="249B4A8C"/>
    <w:rsid w:val="249E6BC7"/>
    <w:rsid w:val="24A07959"/>
    <w:rsid w:val="24AA01D5"/>
    <w:rsid w:val="24B7626D"/>
    <w:rsid w:val="24D30654"/>
    <w:rsid w:val="24D66F71"/>
    <w:rsid w:val="24D924AC"/>
    <w:rsid w:val="24DA750F"/>
    <w:rsid w:val="24F7349D"/>
    <w:rsid w:val="24FC56A7"/>
    <w:rsid w:val="250072EC"/>
    <w:rsid w:val="250131A4"/>
    <w:rsid w:val="25063387"/>
    <w:rsid w:val="250A73B3"/>
    <w:rsid w:val="250D79BD"/>
    <w:rsid w:val="25186C89"/>
    <w:rsid w:val="251D7809"/>
    <w:rsid w:val="251E63BA"/>
    <w:rsid w:val="25222C3E"/>
    <w:rsid w:val="2524779C"/>
    <w:rsid w:val="252B2791"/>
    <w:rsid w:val="252C4420"/>
    <w:rsid w:val="253505CE"/>
    <w:rsid w:val="253C6767"/>
    <w:rsid w:val="253D50DA"/>
    <w:rsid w:val="254350DD"/>
    <w:rsid w:val="254D115C"/>
    <w:rsid w:val="255117C2"/>
    <w:rsid w:val="255676EF"/>
    <w:rsid w:val="255A1372"/>
    <w:rsid w:val="2562781D"/>
    <w:rsid w:val="256500A6"/>
    <w:rsid w:val="25653D37"/>
    <w:rsid w:val="25685D14"/>
    <w:rsid w:val="256E2CCC"/>
    <w:rsid w:val="256F4BEF"/>
    <w:rsid w:val="257B60BD"/>
    <w:rsid w:val="258204E4"/>
    <w:rsid w:val="2582186B"/>
    <w:rsid w:val="259F7611"/>
    <w:rsid w:val="25A07B9A"/>
    <w:rsid w:val="25A24CEA"/>
    <w:rsid w:val="25A62424"/>
    <w:rsid w:val="25AA2D5C"/>
    <w:rsid w:val="25B1114F"/>
    <w:rsid w:val="25C161C4"/>
    <w:rsid w:val="25C470A2"/>
    <w:rsid w:val="25CE5669"/>
    <w:rsid w:val="25D9777E"/>
    <w:rsid w:val="25DF0247"/>
    <w:rsid w:val="25E1332C"/>
    <w:rsid w:val="25F40E53"/>
    <w:rsid w:val="25FFEAA0"/>
    <w:rsid w:val="26013AFE"/>
    <w:rsid w:val="260C1A23"/>
    <w:rsid w:val="26123616"/>
    <w:rsid w:val="261865CC"/>
    <w:rsid w:val="261A55B5"/>
    <w:rsid w:val="261D4396"/>
    <w:rsid w:val="261F60A6"/>
    <w:rsid w:val="26210A57"/>
    <w:rsid w:val="262957A3"/>
    <w:rsid w:val="262A465D"/>
    <w:rsid w:val="264B4B2E"/>
    <w:rsid w:val="26545BDD"/>
    <w:rsid w:val="266519FE"/>
    <w:rsid w:val="266D0388"/>
    <w:rsid w:val="26742B45"/>
    <w:rsid w:val="26750F19"/>
    <w:rsid w:val="267B12E7"/>
    <w:rsid w:val="268A7C1A"/>
    <w:rsid w:val="26A74B18"/>
    <w:rsid w:val="26A940E5"/>
    <w:rsid w:val="26AC49CF"/>
    <w:rsid w:val="26AD369D"/>
    <w:rsid w:val="26CA7D04"/>
    <w:rsid w:val="26CF79D9"/>
    <w:rsid w:val="26DC634C"/>
    <w:rsid w:val="26E17572"/>
    <w:rsid w:val="26E25BE7"/>
    <w:rsid w:val="270E2432"/>
    <w:rsid w:val="27114B57"/>
    <w:rsid w:val="272708C6"/>
    <w:rsid w:val="27337FB1"/>
    <w:rsid w:val="273A5942"/>
    <w:rsid w:val="273B52A0"/>
    <w:rsid w:val="273D7CB0"/>
    <w:rsid w:val="273E008D"/>
    <w:rsid w:val="274068F9"/>
    <w:rsid w:val="27481352"/>
    <w:rsid w:val="274A45E9"/>
    <w:rsid w:val="275F2F36"/>
    <w:rsid w:val="2761079E"/>
    <w:rsid w:val="27626BF4"/>
    <w:rsid w:val="27735C78"/>
    <w:rsid w:val="27761834"/>
    <w:rsid w:val="277B691A"/>
    <w:rsid w:val="277D71B5"/>
    <w:rsid w:val="278A250C"/>
    <w:rsid w:val="279C12E8"/>
    <w:rsid w:val="27A64C8D"/>
    <w:rsid w:val="27AC7945"/>
    <w:rsid w:val="27B70A72"/>
    <w:rsid w:val="27BB71AD"/>
    <w:rsid w:val="27BD1D3D"/>
    <w:rsid w:val="27BE747E"/>
    <w:rsid w:val="27C50772"/>
    <w:rsid w:val="27D703E6"/>
    <w:rsid w:val="27D91323"/>
    <w:rsid w:val="27DC43C0"/>
    <w:rsid w:val="27E17A21"/>
    <w:rsid w:val="27EB2A31"/>
    <w:rsid w:val="27ED433A"/>
    <w:rsid w:val="27EE1DE2"/>
    <w:rsid w:val="27F25783"/>
    <w:rsid w:val="27FD5EE2"/>
    <w:rsid w:val="28001BCB"/>
    <w:rsid w:val="280B4583"/>
    <w:rsid w:val="280F0811"/>
    <w:rsid w:val="281809BD"/>
    <w:rsid w:val="281C4742"/>
    <w:rsid w:val="28211E32"/>
    <w:rsid w:val="28245882"/>
    <w:rsid w:val="2833124D"/>
    <w:rsid w:val="2837349D"/>
    <w:rsid w:val="283A6E54"/>
    <w:rsid w:val="28592BB7"/>
    <w:rsid w:val="285B0840"/>
    <w:rsid w:val="285D52E8"/>
    <w:rsid w:val="285E6FE6"/>
    <w:rsid w:val="2861499D"/>
    <w:rsid w:val="2863649B"/>
    <w:rsid w:val="286B452F"/>
    <w:rsid w:val="28745B9C"/>
    <w:rsid w:val="287661AF"/>
    <w:rsid w:val="28793E20"/>
    <w:rsid w:val="28802774"/>
    <w:rsid w:val="28806CAC"/>
    <w:rsid w:val="28865ED0"/>
    <w:rsid w:val="288A1B62"/>
    <w:rsid w:val="288A210C"/>
    <w:rsid w:val="288F14EE"/>
    <w:rsid w:val="28957BEC"/>
    <w:rsid w:val="289A54CB"/>
    <w:rsid w:val="28A13006"/>
    <w:rsid w:val="28A4702F"/>
    <w:rsid w:val="28AE2F1D"/>
    <w:rsid w:val="28B409B4"/>
    <w:rsid w:val="28B73D85"/>
    <w:rsid w:val="28C35D1A"/>
    <w:rsid w:val="28C5040F"/>
    <w:rsid w:val="28CA5BF4"/>
    <w:rsid w:val="28D3002A"/>
    <w:rsid w:val="28D564C6"/>
    <w:rsid w:val="28DB694F"/>
    <w:rsid w:val="28DE79F8"/>
    <w:rsid w:val="28E5023D"/>
    <w:rsid w:val="28E77920"/>
    <w:rsid w:val="28EA6ACC"/>
    <w:rsid w:val="28EB5377"/>
    <w:rsid w:val="28ED4DB1"/>
    <w:rsid w:val="28EF0D1A"/>
    <w:rsid w:val="28F45B0E"/>
    <w:rsid w:val="28F530B6"/>
    <w:rsid w:val="290B0FA7"/>
    <w:rsid w:val="290E318C"/>
    <w:rsid w:val="291E19A2"/>
    <w:rsid w:val="291F1913"/>
    <w:rsid w:val="29427144"/>
    <w:rsid w:val="294C1DE0"/>
    <w:rsid w:val="294E18BB"/>
    <w:rsid w:val="295A343E"/>
    <w:rsid w:val="29632ECF"/>
    <w:rsid w:val="296D3919"/>
    <w:rsid w:val="296F1122"/>
    <w:rsid w:val="29781C11"/>
    <w:rsid w:val="297A3183"/>
    <w:rsid w:val="297C54B5"/>
    <w:rsid w:val="29803351"/>
    <w:rsid w:val="29860488"/>
    <w:rsid w:val="298F4610"/>
    <w:rsid w:val="299C3335"/>
    <w:rsid w:val="29A31AAE"/>
    <w:rsid w:val="29A719F5"/>
    <w:rsid w:val="29C235A5"/>
    <w:rsid w:val="29C27651"/>
    <w:rsid w:val="29C507DB"/>
    <w:rsid w:val="29C5129D"/>
    <w:rsid w:val="2A272577"/>
    <w:rsid w:val="2A315734"/>
    <w:rsid w:val="2A510485"/>
    <w:rsid w:val="2A580F9F"/>
    <w:rsid w:val="2A742747"/>
    <w:rsid w:val="2A7E5870"/>
    <w:rsid w:val="2A8E7DA1"/>
    <w:rsid w:val="2A915D6A"/>
    <w:rsid w:val="2A937164"/>
    <w:rsid w:val="2A97576A"/>
    <w:rsid w:val="2AA60503"/>
    <w:rsid w:val="2AC17091"/>
    <w:rsid w:val="2ADA0AC4"/>
    <w:rsid w:val="2ADE3EC6"/>
    <w:rsid w:val="2AE10078"/>
    <w:rsid w:val="2AE577DB"/>
    <w:rsid w:val="2AF7FE7F"/>
    <w:rsid w:val="2AF91248"/>
    <w:rsid w:val="2AFE7991"/>
    <w:rsid w:val="2B006133"/>
    <w:rsid w:val="2B01239D"/>
    <w:rsid w:val="2B013829"/>
    <w:rsid w:val="2B132C7E"/>
    <w:rsid w:val="2B156E67"/>
    <w:rsid w:val="2B305CA6"/>
    <w:rsid w:val="2B402E4B"/>
    <w:rsid w:val="2B4077C2"/>
    <w:rsid w:val="2B4D3342"/>
    <w:rsid w:val="2B5B32CE"/>
    <w:rsid w:val="2B5D006F"/>
    <w:rsid w:val="2B5F3539"/>
    <w:rsid w:val="2B62152E"/>
    <w:rsid w:val="2B6B4176"/>
    <w:rsid w:val="2B6C3C5C"/>
    <w:rsid w:val="2B730C3B"/>
    <w:rsid w:val="2B835CDE"/>
    <w:rsid w:val="2B86716D"/>
    <w:rsid w:val="2B8E055F"/>
    <w:rsid w:val="2B921C85"/>
    <w:rsid w:val="2B9D43E8"/>
    <w:rsid w:val="2BA788E9"/>
    <w:rsid w:val="2BA84505"/>
    <w:rsid w:val="2BAA1B9A"/>
    <w:rsid w:val="2BAB6961"/>
    <w:rsid w:val="2BB1491A"/>
    <w:rsid w:val="2BB50774"/>
    <w:rsid w:val="2BB63999"/>
    <w:rsid w:val="2BC361A7"/>
    <w:rsid w:val="2BC53361"/>
    <w:rsid w:val="2BC65696"/>
    <w:rsid w:val="2BDC4F67"/>
    <w:rsid w:val="2BDE0894"/>
    <w:rsid w:val="2BDE656D"/>
    <w:rsid w:val="2BE6160A"/>
    <w:rsid w:val="2BE71FA5"/>
    <w:rsid w:val="2BE91F2D"/>
    <w:rsid w:val="2BE9679C"/>
    <w:rsid w:val="2BF55E03"/>
    <w:rsid w:val="2BF83201"/>
    <w:rsid w:val="2BFD08C4"/>
    <w:rsid w:val="2C16292F"/>
    <w:rsid w:val="2C2916B9"/>
    <w:rsid w:val="2C310A64"/>
    <w:rsid w:val="2C32518C"/>
    <w:rsid w:val="2C546C4C"/>
    <w:rsid w:val="2C5A4210"/>
    <w:rsid w:val="2C5D2435"/>
    <w:rsid w:val="2C7248E5"/>
    <w:rsid w:val="2C745FD4"/>
    <w:rsid w:val="2C7507A2"/>
    <w:rsid w:val="2C753F2E"/>
    <w:rsid w:val="2C792640"/>
    <w:rsid w:val="2CA51B8B"/>
    <w:rsid w:val="2CAA0469"/>
    <w:rsid w:val="2CBD0636"/>
    <w:rsid w:val="2CC97E46"/>
    <w:rsid w:val="2CD36F56"/>
    <w:rsid w:val="2CE363E6"/>
    <w:rsid w:val="2CE67225"/>
    <w:rsid w:val="2CFD16BA"/>
    <w:rsid w:val="2D032895"/>
    <w:rsid w:val="2D046081"/>
    <w:rsid w:val="2D091DF9"/>
    <w:rsid w:val="2D0E21F9"/>
    <w:rsid w:val="2D0E6A21"/>
    <w:rsid w:val="2D137415"/>
    <w:rsid w:val="2D3E57D3"/>
    <w:rsid w:val="2D462357"/>
    <w:rsid w:val="2D4654C6"/>
    <w:rsid w:val="2D5C0446"/>
    <w:rsid w:val="2D5C161A"/>
    <w:rsid w:val="2D5C1D16"/>
    <w:rsid w:val="2D5C58DA"/>
    <w:rsid w:val="2D620AFD"/>
    <w:rsid w:val="2D6A5F92"/>
    <w:rsid w:val="2D6B7C96"/>
    <w:rsid w:val="2D885316"/>
    <w:rsid w:val="2D9F3A6E"/>
    <w:rsid w:val="2DAB0CD8"/>
    <w:rsid w:val="2DAC25A2"/>
    <w:rsid w:val="2DBA0727"/>
    <w:rsid w:val="2DC00F64"/>
    <w:rsid w:val="2DCB7600"/>
    <w:rsid w:val="2DCE7B3D"/>
    <w:rsid w:val="2DD22563"/>
    <w:rsid w:val="2DE06954"/>
    <w:rsid w:val="2DED27BC"/>
    <w:rsid w:val="2DF47344"/>
    <w:rsid w:val="2DF8255E"/>
    <w:rsid w:val="2E03650C"/>
    <w:rsid w:val="2E086EDD"/>
    <w:rsid w:val="2E0E54CE"/>
    <w:rsid w:val="2E1E0641"/>
    <w:rsid w:val="2E20114C"/>
    <w:rsid w:val="2E323A56"/>
    <w:rsid w:val="2E3A2052"/>
    <w:rsid w:val="2E45146E"/>
    <w:rsid w:val="2E480644"/>
    <w:rsid w:val="2E516B58"/>
    <w:rsid w:val="2E536158"/>
    <w:rsid w:val="2E5A435C"/>
    <w:rsid w:val="2E726233"/>
    <w:rsid w:val="2E755089"/>
    <w:rsid w:val="2E7756BD"/>
    <w:rsid w:val="2E777CA0"/>
    <w:rsid w:val="2E837A81"/>
    <w:rsid w:val="2E8459B6"/>
    <w:rsid w:val="2E915535"/>
    <w:rsid w:val="2E9E6D98"/>
    <w:rsid w:val="2E9F3E10"/>
    <w:rsid w:val="2EA24396"/>
    <w:rsid w:val="2EA34680"/>
    <w:rsid w:val="2EA74B17"/>
    <w:rsid w:val="2EAE0C7F"/>
    <w:rsid w:val="2EB402C7"/>
    <w:rsid w:val="2ECE0D6B"/>
    <w:rsid w:val="2EE1236A"/>
    <w:rsid w:val="2EF95BAB"/>
    <w:rsid w:val="2EFB5267"/>
    <w:rsid w:val="2F057DD6"/>
    <w:rsid w:val="2F0877D6"/>
    <w:rsid w:val="2F1C5505"/>
    <w:rsid w:val="2F204228"/>
    <w:rsid w:val="2F260132"/>
    <w:rsid w:val="2F42129D"/>
    <w:rsid w:val="2F442316"/>
    <w:rsid w:val="2F4C45BA"/>
    <w:rsid w:val="2F514ACB"/>
    <w:rsid w:val="2F636E91"/>
    <w:rsid w:val="2F6854F7"/>
    <w:rsid w:val="2F6C7FFE"/>
    <w:rsid w:val="2F6F58B8"/>
    <w:rsid w:val="2F6F679D"/>
    <w:rsid w:val="2F6F7D2B"/>
    <w:rsid w:val="2F7204B5"/>
    <w:rsid w:val="2F721607"/>
    <w:rsid w:val="2F794E37"/>
    <w:rsid w:val="2F7D18E3"/>
    <w:rsid w:val="2F8145BD"/>
    <w:rsid w:val="2F8519C1"/>
    <w:rsid w:val="2F8905FC"/>
    <w:rsid w:val="2F891B90"/>
    <w:rsid w:val="2F8B09AF"/>
    <w:rsid w:val="2F8B3A72"/>
    <w:rsid w:val="2F8C268B"/>
    <w:rsid w:val="2F954C0E"/>
    <w:rsid w:val="2F981BB9"/>
    <w:rsid w:val="2FB541D8"/>
    <w:rsid w:val="2FBA4158"/>
    <w:rsid w:val="2FC53FDE"/>
    <w:rsid w:val="2FC55D03"/>
    <w:rsid w:val="2FCD62C0"/>
    <w:rsid w:val="2FDB2AA2"/>
    <w:rsid w:val="2FE70A67"/>
    <w:rsid w:val="2FE778C1"/>
    <w:rsid w:val="2FED0575"/>
    <w:rsid w:val="2FEF5A78"/>
    <w:rsid w:val="2FF01D48"/>
    <w:rsid w:val="2FF036C7"/>
    <w:rsid w:val="2FFA5718"/>
    <w:rsid w:val="300D6E3B"/>
    <w:rsid w:val="30186A7A"/>
    <w:rsid w:val="302009DD"/>
    <w:rsid w:val="30223C02"/>
    <w:rsid w:val="30290808"/>
    <w:rsid w:val="302E4CBA"/>
    <w:rsid w:val="30306CC8"/>
    <w:rsid w:val="303A4A0F"/>
    <w:rsid w:val="303C0C04"/>
    <w:rsid w:val="303F76FD"/>
    <w:rsid w:val="303FF4EC"/>
    <w:rsid w:val="30417D0A"/>
    <w:rsid w:val="3047014C"/>
    <w:rsid w:val="304C0C3C"/>
    <w:rsid w:val="3058106A"/>
    <w:rsid w:val="30696528"/>
    <w:rsid w:val="306D3CAE"/>
    <w:rsid w:val="307422CD"/>
    <w:rsid w:val="307E11DE"/>
    <w:rsid w:val="308B2D1C"/>
    <w:rsid w:val="308F2C4B"/>
    <w:rsid w:val="3097519F"/>
    <w:rsid w:val="309C68FD"/>
    <w:rsid w:val="30AB5655"/>
    <w:rsid w:val="30AD0437"/>
    <w:rsid w:val="30AD0971"/>
    <w:rsid w:val="30AD1E0F"/>
    <w:rsid w:val="30B5003C"/>
    <w:rsid w:val="30B546C7"/>
    <w:rsid w:val="30BC48B0"/>
    <w:rsid w:val="30BD3B03"/>
    <w:rsid w:val="30D22B0B"/>
    <w:rsid w:val="30D86F06"/>
    <w:rsid w:val="30D96163"/>
    <w:rsid w:val="30F17EB5"/>
    <w:rsid w:val="31000C18"/>
    <w:rsid w:val="311B219A"/>
    <w:rsid w:val="31285E93"/>
    <w:rsid w:val="31297A62"/>
    <w:rsid w:val="31326C0D"/>
    <w:rsid w:val="31372C0D"/>
    <w:rsid w:val="313762C2"/>
    <w:rsid w:val="313F2BCE"/>
    <w:rsid w:val="314451E9"/>
    <w:rsid w:val="31515A3E"/>
    <w:rsid w:val="316470ED"/>
    <w:rsid w:val="31756177"/>
    <w:rsid w:val="31871D17"/>
    <w:rsid w:val="319D2241"/>
    <w:rsid w:val="31A714B3"/>
    <w:rsid w:val="31BB7257"/>
    <w:rsid w:val="31C25309"/>
    <w:rsid w:val="31CD2757"/>
    <w:rsid w:val="31D52C15"/>
    <w:rsid w:val="31D71BB7"/>
    <w:rsid w:val="31E260C9"/>
    <w:rsid w:val="31EB2597"/>
    <w:rsid w:val="31EE11EE"/>
    <w:rsid w:val="31F37EA9"/>
    <w:rsid w:val="31F77B64"/>
    <w:rsid w:val="320D32CD"/>
    <w:rsid w:val="320F0171"/>
    <w:rsid w:val="320F246E"/>
    <w:rsid w:val="32133AB7"/>
    <w:rsid w:val="3221700E"/>
    <w:rsid w:val="3222452D"/>
    <w:rsid w:val="322E7751"/>
    <w:rsid w:val="3233213E"/>
    <w:rsid w:val="32365E9D"/>
    <w:rsid w:val="32531B72"/>
    <w:rsid w:val="32551BF4"/>
    <w:rsid w:val="325B3331"/>
    <w:rsid w:val="3262717D"/>
    <w:rsid w:val="326C3B10"/>
    <w:rsid w:val="326C5B1A"/>
    <w:rsid w:val="32701F47"/>
    <w:rsid w:val="327166AB"/>
    <w:rsid w:val="3276633D"/>
    <w:rsid w:val="327B2096"/>
    <w:rsid w:val="327D50E0"/>
    <w:rsid w:val="32814CA2"/>
    <w:rsid w:val="32895EA4"/>
    <w:rsid w:val="32B17417"/>
    <w:rsid w:val="32BC1296"/>
    <w:rsid w:val="32BD47B1"/>
    <w:rsid w:val="32C26989"/>
    <w:rsid w:val="32C54928"/>
    <w:rsid w:val="32C7767A"/>
    <w:rsid w:val="32DC3A12"/>
    <w:rsid w:val="32E215E1"/>
    <w:rsid w:val="32EB76C8"/>
    <w:rsid w:val="32F743D4"/>
    <w:rsid w:val="33025845"/>
    <w:rsid w:val="330E09DE"/>
    <w:rsid w:val="330F1C25"/>
    <w:rsid w:val="33105856"/>
    <w:rsid w:val="33171ED4"/>
    <w:rsid w:val="331E20F0"/>
    <w:rsid w:val="332660D5"/>
    <w:rsid w:val="332C7C57"/>
    <w:rsid w:val="332D2E2E"/>
    <w:rsid w:val="33305673"/>
    <w:rsid w:val="33362A83"/>
    <w:rsid w:val="333C6BA6"/>
    <w:rsid w:val="334E7C15"/>
    <w:rsid w:val="3351764D"/>
    <w:rsid w:val="335D2F12"/>
    <w:rsid w:val="335F1B5C"/>
    <w:rsid w:val="335F2799"/>
    <w:rsid w:val="33704071"/>
    <w:rsid w:val="33720F0B"/>
    <w:rsid w:val="3376D538"/>
    <w:rsid w:val="33796209"/>
    <w:rsid w:val="33991B1C"/>
    <w:rsid w:val="339923A9"/>
    <w:rsid w:val="33C167AC"/>
    <w:rsid w:val="33C90297"/>
    <w:rsid w:val="33CC206D"/>
    <w:rsid w:val="33D65DF4"/>
    <w:rsid w:val="33DA3C4D"/>
    <w:rsid w:val="33DE5045"/>
    <w:rsid w:val="33E60AE1"/>
    <w:rsid w:val="33EB6D5F"/>
    <w:rsid w:val="33FF52E8"/>
    <w:rsid w:val="340A1A07"/>
    <w:rsid w:val="340E1922"/>
    <w:rsid w:val="342359B3"/>
    <w:rsid w:val="34275A75"/>
    <w:rsid w:val="3437693D"/>
    <w:rsid w:val="343A4C8B"/>
    <w:rsid w:val="34453850"/>
    <w:rsid w:val="344766A9"/>
    <w:rsid w:val="3455089D"/>
    <w:rsid w:val="34607EAF"/>
    <w:rsid w:val="34652AF9"/>
    <w:rsid w:val="346540DF"/>
    <w:rsid w:val="347043DB"/>
    <w:rsid w:val="347219B5"/>
    <w:rsid w:val="34765948"/>
    <w:rsid w:val="34884A1E"/>
    <w:rsid w:val="348B759D"/>
    <w:rsid w:val="348D0665"/>
    <w:rsid w:val="3491685A"/>
    <w:rsid w:val="349275FC"/>
    <w:rsid w:val="34942F9B"/>
    <w:rsid w:val="34945FC1"/>
    <w:rsid w:val="34A401AE"/>
    <w:rsid w:val="34A561D0"/>
    <w:rsid w:val="34A96A82"/>
    <w:rsid w:val="34AF1BEC"/>
    <w:rsid w:val="34B265BF"/>
    <w:rsid w:val="34B333A7"/>
    <w:rsid w:val="34B91A0A"/>
    <w:rsid w:val="34B9588B"/>
    <w:rsid w:val="34BA5512"/>
    <w:rsid w:val="34BA724E"/>
    <w:rsid w:val="34BC3637"/>
    <w:rsid w:val="34BE3349"/>
    <w:rsid w:val="34C959DE"/>
    <w:rsid w:val="34CC19DB"/>
    <w:rsid w:val="34CE3FA7"/>
    <w:rsid w:val="34D11F3D"/>
    <w:rsid w:val="34D24A56"/>
    <w:rsid w:val="34DD22D8"/>
    <w:rsid w:val="34E03414"/>
    <w:rsid w:val="34E8142A"/>
    <w:rsid w:val="34EE3D9A"/>
    <w:rsid w:val="34EE58BB"/>
    <w:rsid w:val="34F06EDE"/>
    <w:rsid w:val="35023286"/>
    <w:rsid w:val="35042C33"/>
    <w:rsid w:val="351F2E04"/>
    <w:rsid w:val="35213BF8"/>
    <w:rsid w:val="35363E67"/>
    <w:rsid w:val="35391B18"/>
    <w:rsid w:val="3543670A"/>
    <w:rsid w:val="354B59C3"/>
    <w:rsid w:val="354C5DFB"/>
    <w:rsid w:val="354D742F"/>
    <w:rsid w:val="355012DF"/>
    <w:rsid w:val="35581E42"/>
    <w:rsid w:val="35596E36"/>
    <w:rsid w:val="355A29CD"/>
    <w:rsid w:val="35653C1D"/>
    <w:rsid w:val="356E56D2"/>
    <w:rsid w:val="35740235"/>
    <w:rsid w:val="35753BB6"/>
    <w:rsid w:val="35787DA1"/>
    <w:rsid w:val="357F17AC"/>
    <w:rsid w:val="35822836"/>
    <w:rsid w:val="358A5F78"/>
    <w:rsid w:val="358B4411"/>
    <w:rsid w:val="359E4EC6"/>
    <w:rsid w:val="35AA3370"/>
    <w:rsid w:val="35B42003"/>
    <w:rsid w:val="35B47404"/>
    <w:rsid w:val="35BD445A"/>
    <w:rsid w:val="35C13629"/>
    <w:rsid w:val="35C90C25"/>
    <w:rsid w:val="35D07BA0"/>
    <w:rsid w:val="35D946C3"/>
    <w:rsid w:val="35DC2CC7"/>
    <w:rsid w:val="35DE7E73"/>
    <w:rsid w:val="35E36D7D"/>
    <w:rsid w:val="35EE3341"/>
    <w:rsid w:val="35FC374A"/>
    <w:rsid w:val="361523D8"/>
    <w:rsid w:val="36167BD6"/>
    <w:rsid w:val="36171FEF"/>
    <w:rsid w:val="361B02C4"/>
    <w:rsid w:val="361E1F6B"/>
    <w:rsid w:val="36296A91"/>
    <w:rsid w:val="3638374E"/>
    <w:rsid w:val="363C023B"/>
    <w:rsid w:val="363F431B"/>
    <w:rsid w:val="36453524"/>
    <w:rsid w:val="3645583E"/>
    <w:rsid w:val="365C2088"/>
    <w:rsid w:val="36647B9C"/>
    <w:rsid w:val="36652426"/>
    <w:rsid w:val="366609A9"/>
    <w:rsid w:val="36691BAB"/>
    <w:rsid w:val="366A6D07"/>
    <w:rsid w:val="36716136"/>
    <w:rsid w:val="367B0FBD"/>
    <w:rsid w:val="367D70A9"/>
    <w:rsid w:val="367D78C5"/>
    <w:rsid w:val="36805890"/>
    <w:rsid w:val="3687595A"/>
    <w:rsid w:val="36894C95"/>
    <w:rsid w:val="369442AE"/>
    <w:rsid w:val="36A4627F"/>
    <w:rsid w:val="36AE56A5"/>
    <w:rsid w:val="36B0620C"/>
    <w:rsid w:val="36B46CE3"/>
    <w:rsid w:val="36B46EAD"/>
    <w:rsid w:val="36B60460"/>
    <w:rsid w:val="36B66A44"/>
    <w:rsid w:val="36B670EB"/>
    <w:rsid w:val="36C1018C"/>
    <w:rsid w:val="36C571C0"/>
    <w:rsid w:val="36CF78AF"/>
    <w:rsid w:val="36D02E94"/>
    <w:rsid w:val="36D55140"/>
    <w:rsid w:val="36DC6238"/>
    <w:rsid w:val="36DF463A"/>
    <w:rsid w:val="36E37C6F"/>
    <w:rsid w:val="36EE931C"/>
    <w:rsid w:val="36F530E8"/>
    <w:rsid w:val="36F95D7C"/>
    <w:rsid w:val="36F9612C"/>
    <w:rsid w:val="36FB1EA4"/>
    <w:rsid w:val="36FC4004"/>
    <w:rsid w:val="36FF1A8C"/>
    <w:rsid w:val="370D61B4"/>
    <w:rsid w:val="370E23AF"/>
    <w:rsid w:val="371371EE"/>
    <w:rsid w:val="37191021"/>
    <w:rsid w:val="371F3DE4"/>
    <w:rsid w:val="37260A51"/>
    <w:rsid w:val="372D52D9"/>
    <w:rsid w:val="37305FF2"/>
    <w:rsid w:val="37392FD7"/>
    <w:rsid w:val="373F877C"/>
    <w:rsid w:val="374019D1"/>
    <w:rsid w:val="37425F4A"/>
    <w:rsid w:val="37430B5D"/>
    <w:rsid w:val="3756111B"/>
    <w:rsid w:val="375BEC93"/>
    <w:rsid w:val="3761258B"/>
    <w:rsid w:val="37644C20"/>
    <w:rsid w:val="37647A49"/>
    <w:rsid w:val="378400EB"/>
    <w:rsid w:val="378B3228"/>
    <w:rsid w:val="37924146"/>
    <w:rsid w:val="37976071"/>
    <w:rsid w:val="37982CA0"/>
    <w:rsid w:val="37A178BD"/>
    <w:rsid w:val="37A35C88"/>
    <w:rsid w:val="37AA60F5"/>
    <w:rsid w:val="37AF4203"/>
    <w:rsid w:val="37B56C3F"/>
    <w:rsid w:val="37BA58BB"/>
    <w:rsid w:val="37BC4E5A"/>
    <w:rsid w:val="37C06BF7"/>
    <w:rsid w:val="37CE76EC"/>
    <w:rsid w:val="37D87A40"/>
    <w:rsid w:val="37DD2013"/>
    <w:rsid w:val="37E01D2A"/>
    <w:rsid w:val="37E8112E"/>
    <w:rsid w:val="37EF0CAE"/>
    <w:rsid w:val="37F7FE57"/>
    <w:rsid w:val="37F92887"/>
    <w:rsid w:val="37FB65FF"/>
    <w:rsid w:val="37FBFD4C"/>
    <w:rsid w:val="37FD2C74"/>
    <w:rsid w:val="380750AB"/>
    <w:rsid w:val="38082ACA"/>
    <w:rsid w:val="380F4B01"/>
    <w:rsid w:val="38141A6B"/>
    <w:rsid w:val="381B5834"/>
    <w:rsid w:val="381F554D"/>
    <w:rsid w:val="38225F18"/>
    <w:rsid w:val="38363980"/>
    <w:rsid w:val="383C263E"/>
    <w:rsid w:val="38406B17"/>
    <w:rsid w:val="3844044A"/>
    <w:rsid w:val="384929CF"/>
    <w:rsid w:val="384A648F"/>
    <w:rsid w:val="38575F5B"/>
    <w:rsid w:val="38592450"/>
    <w:rsid w:val="385C2E16"/>
    <w:rsid w:val="385D16DD"/>
    <w:rsid w:val="385D42EA"/>
    <w:rsid w:val="38600819"/>
    <w:rsid w:val="38730EF2"/>
    <w:rsid w:val="38740160"/>
    <w:rsid w:val="387652F6"/>
    <w:rsid w:val="38803F08"/>
    <w:rsid w:val="38820BB9"/>
    <w:rsid w:val="388324CC"/>
    <w:rsid w:val="38862AB5"/>
    <w:rsid w:val="38A86413"/>
    <w:rsid w:val="38AB29FA"/>
    <w:rsid w:val="38AB2B95"/>
    <w:rsid w:val="38AF3722"/>
    <w:rsid w:val="38B4192A"/>
    <w:rsid w:val="38C970AF"/>
    <w:rsid w:val="38D21F64"/>
    <w:rsid w:val="38DA14A6"/>
    <w:rsid w:val="38DC7D67"/>
    <w:rsid w:val="38DD36B0"/>
    <w:rsid w:val="38DF6862"/>
    <w:rsid w:val="38E057F5"/>
    <w:rsid w:val="38E46876"/>
    <w:rsid w:val="38EB1410"/>
    <w:rsid w:val="390205EB"/>
    <w:rsid w:val="39092998"/>
    <w:rsid w:val="390D4368"/>
    <w:rsid w:val="391C3E06"/>
    <w:rsid w:val="39212A95"/>
    <w:rsid w:val="39220387"/>
    <w:rsid w:val="392751D2"/>
    <w:rsid w:val="392D7F31"/>
    <w:rsid w:val="39311C3D"/>
    <w:rsid w:val="394904EA"/>
    <w:rsid w:val="395438A0"/>
    <w:rsid w:val="39545D90"/>
    <w:rsid w:val="395730C0"/>
    <w:rsid w:val="395747FA"/>
    <w:rsid w:val="395860FA"/>
    <w:rsid w:val="395D4F0C"/>
    <w:rsid w:val="39636FC4"/>
    <w:rsid w:val="39706A8B"/>
    <w:rsid w:val="397805C1"/>
    <w:rsid w:val="39825E19"/>
    <w:rsid w:val="398C78DC"/>
    <w:rsid w:val="3993338A"/>
    <w:rsid w:val="39974BB0"/>
    <w:rsid w:val="39983994"/>
    <w:rsid w:val="399F4246"/>
    <w:rsid w:val="39B06B6A"/>
    <w:rsid w:val="39B46D77"/>
    <w:rsid w:val="39B669AA"/>
    <w:rsid w:val="39C03A63"/>
    <w:rsid w:val="39C26769"/>
    <w:rsid w:val="39CC0FE7"/>
    <w:rsid w:val="39DC7215"/>
    <w:rsid w:val="39DE85F7"/>
    <w:rsid w:val="39E21301"/>
    <w:rsid w:val="39E36069"/>
    <w:rsid w:val="39E71F26"/>
    <w:rsid w:val="39F22B3B"/>
    <w:rsid w:val="39F61A71"/>
    <w:rsid w:val="3A036CD0"/>
    <w:rsid w:val="3A05709F"/>
    <w:rsid w:val="3A0A0D20"/>
    <w:rsid w:val="3A1E24DE"/>
    <w:rsid w:val="3A2371FF"/>
    <w:rsid w:val="3A2B78AB"/>
    <w:rsid w:val="3A2C0C9B"/>
    <w:rsid w:val="3A2D4EFC"/>
    <w:rsid w:val="3A333CC0"/>
    <w:rsid w:val="3A390567"/>
    <w:rsid w:val="3A405BE8"/>
    <w:rsid w:val="3A4818A4"/>
    <w:rsid w:val="3A497423"/>
    <w:rsid w:val="3A54746F"/>
    <w:rsid w:val="3A57697F"/>
    <w:rsid w:val="3A5A5133"/>
    <w:rsid w:val="3A5A6414"/>
    <w:rsid w:val="3A5B41B1"/>
    <w:rsid w:val="3A666552"/>
    <w:rsid w:val="3A774E76"/>
    <w:rsid w:val="3A7A51FE"/>
    <w:rsid w:val="3A7E1530"/>
    <w:rsid w:val="3A8D2324"/>
    <w:rsid w:val="3A9212FF"/>
    <w:rsid w:val="3A94141A"/>
    <w:rsid w:val="3A94716F"/>
    <w:rsid w:val="3A9F7335"/>
    <w:rsid w:val="3AA1378A"/>
    <w:rsid w:val="3AA57AF6"/>
    <w:rsid w:val="3AAD5762"/>
    <w:rsid w:val="3AC01FD7"/>
    <w:rsid w:val="3AC020CD"/>
    <w:rsid w:val="3AC117AD"/>
    <w:rsid w:val="3ACC125D"/>
    <w:rsid w:val="3ADB683E"/>
    <w:rsid w:val="3ADC2724"/>
    <w:rsid w:val="3AEC0782"/>
    <w:rsid w:val="3AF173D4"/>
    <w:rsid w:val="3AF2296F"/>
    <w:rsid w:val="3AFF65BF"/>
    <w:rsid w:val="3B064C59"/>
    <w:rsid w:val="3B08529C"/>
    <w:rsid w:val="3B1608D2"/>
    <w:rsid w:val="3B2207A9"/>
    <w:rsid w:val="3B2859B6"/>
    <w:rsid w:val="3B2A1B6F"/>
    <w:rsid w:val="3B34246B"/>
    <w:rsid w:val="3B3A24B2"/>
    <w:rsid w:val="3B3B038A"/>
    <w:rsid w:val="3B3F4BD4"/>
    <w:rsid w:val="3B4A1C84"/>
    <w:rsid w:val="3B5563FC"/>
    <w:rsid w:val="3B57563B"/>
    <w:rsid w:val="3B6140DE"/>
    <w:rsid w:val="3B681E90"/>
    <w:rsid w:val="3B6C54BB"/>
    <w:rsid w:val="3B6E4F3B"/>
    <w:rsid w:val="3B7665B8"/>
    <w:rsid w:val="3B7668AA"/>
    <w:rsid w:val="3B7C1BB1"/>
    <w:rsid w:val="3B803689"/>
    <w:rsid w:val="3B806E1C"/>
    <w:rsid w:val="3B817091"/>
    <w:rsid w:val="3B8C2CA9"/>
    <w:rsid w:val="3B925038"/>
    <w:rsid w:val="3B9B2CB8"/>
    <w:rsid w:val="3BA60303"/>
    <w:rsid w:val="3BA91A53"/>
    <w:rsid w:val="3BB10B6B"/>
    <w:rsid w:val="3BB62C1A"/>
    <w:rsid w:val="3BB7197D"/>
    <w:rsid w:val="3BBB6650"/>
    <w:rsid w:val="3BBC2D72"/>
    <w:rsid w:val="3BC215A7"/>
    <w:rsid w:val="3BC33F36"/>
    <w:rsid w:val="3BC34721"/>
    <w:rsid w:val="3BC521BA"/>
    <w:rsid w:val="3BCF66AB"/>
    <w:rsid w:val="3BD408D0"/>
    <w:rsid w:val="3BD828CA"/>
    <w:rsid w:val="3BFFC33C"/>
    <w:rsid w:val="3C033CD5"/>
    <w:rsid w:val="3C0645F1"/>
    <w:rsid w:val="3C0C3F89"/>
    <w:rsid w:val="3C210E39"/>
    <w:rsid w:val="3C3A0FDC"/>
    <w:rsid w:val="3C3F0A85"/>
    <w:rsid w:val="3C455F10"/>
    <w:rsid w:val="3C4B270C"/>
    <w:rsid w:val="3C4D7806"/>
    <w:rsid w:val="3C5B3124"/>
    <w:rsid w:val="3C604ADE"/>
    <w:rsid w:val="3C757B50"/>
    <w:rsid w:val="3C7B5B23"/>
    <w:rsid w:val="3C860462"/>
    <w:rsid w:val="3C8D16B3"/>
    <w:rsid w:val="3C9D319F"/>
    <w:rsid w:val="3C9F3130"/>
    <w:rsid w:val="3CA00129"/>
    <w:rsid w:val="3CA26607"/>
    <w:rsid w:val="3CA95EB2"/>
    <w:rsid w:val="3CAC3E6D"/>
    <w:rsid w:val="3CAD2237"/>
    <w:rsid w:val="3CB72D5C"/>
    <w:rsid w:val="3CBE3DD8"/>
    <w:rsid w:val="3CC35687"/>
    <w:rsid w:val="3CC40791"/>
    <w:rsid w:val="3CC44DE9"/>
    <w:rsid w:val="3CC96AA7"/>
    <w:rsid w:val="3CCF3657"/>
    <w:rsid w:val="3CD322A6"/>
    <w:rsid w:val="3CDE1E22"/>
    <w:rsid w:val="3CFE0BF1"/>
    <w:rsid w:val="3D0B2F32"/>
    <w:rsid w:val="3D166B78"/>
    <w:rsid w:val="3D174CF3"/>
    <w:rsid w:val="3D1E6CF0"/>
    <w:rsid w:val="3D1E71DA"/>
    <w:rsid w:val="3D212CB9"/>
    <w:rsid w:val="3D232155"/>
    <w:rsid w:val="3D245E80"/>
    <w:rsid w:val="3D286954"/>
    <w:rsid w:val="3D3D3565"/>
    <w:rsid w:val="3D3D7DD2"/>
    <w:rsid w:val="3D536760"/>
    <w:rsid w:val="3D581D2C"/>
    <w:rsid w:val="3D5B757E"/>
    <w:rsid w:val="3D5E24DD"/>
    <w:rsid w:val="3D626827"/>
    <w:rsid w:val="3D6B0873"/>
    <w:rsid w:val="3D7906A1"/>
    <w:rsid w:val="3D7B64FF"/>
    <w:rsid w:val="3D7D5E1F"/>
    <w:rsid w:val="3D8126D0"/>
    <w:rsid w:val="3D8568CB"/>
    <w:rsid w:val="3D943A59"/>
    <w:rsid w:val="3D9C6B56"/>
    <w:rsid w:val="3DB35633"/>
    <w:rsid w:val="3DB801AD"/>
    <w:rsid w:val="3DD06F9F"/>
    <w:rsid w:val="3DE203C8"/>
    <w:rsid w:val="3DE7610E"/>
    <w:rsid w:val="3DE90F8D"/>
    <w:rsid w:val="3DEE2762"/>
    <w:rsid w:val="3DF32777"/>
    <w:rsid w:val="3DFF2534"/>
    <w:rsid w:val="3E000F31"/>
    <w:rsid w:val="3E0A605D"/>
    <w:rsid w:val="3E100F79"/>
    <w:rsid w:val="3E1A1BF0"/>
    <w:rsid w:val="3E1E65E5"/>
    <w:rsid w:val="3E3349D9"/>
    <w:rsid w:val="3E4049CD"/>
    <w:rsid w:val="3E435CB3"/>
    <w:rsid w:val="3E47101D"/>
    <w:rsid w:val="3E4B3617"/>
    <w:rsid w:val="3E5C76CC"/>
    <w:rsid w:val="3E5F540E"/>
    <w:rsid w:val="3E6153CE"/>
    <w:rsid w:val="3E6C5603"/>
    <w:rsid w:val="3E703177"/>
    <w:rsid w:val="3E7220D7"/>
    <w:rsid w:val="3E7FB2E1"/>
    <w:rsid w:val="3E806721"/>
    <w:rsid w:val="3E88226F"/>
    <w:rsid w:val="3E8A7BE6"/>
    <w:rsid w:val="3E8B7FB1"/>
    <w:rsid w:val="3E8D4242"/>
    <w:rsid w:val="3E96604A"/>
    <w:rsid w:val="3E9C3D9F"/>
    <w:rsid w:val="3E9F2016"/>
    <w:rsid w:val="3EC4197C"/>
    <w:rsid w:val="3EC6769D"/>
    <w:rsid w:val="3EC96532"/>
    <w:rsid w:val="3ED100BA"/>
    <w:rsid w:val="3ED767AD"/>
    <w:rsid w:val="3ED85EFC"/>
    <w:rsid w:val="3EDB3B26"/>
    <w:rsid w:val="3EDC7CD3"/>
    <w:rsid w:val="3EECAB52"/>
    <w:rsid w:val="3EFB1D45"/>
    <w:rsid w:val="3EFB4F54"/>
    <w:rsid w:val="3EFB5BB6"/>
    <w:rsid w:val="3F0D733D"/>
    <w:rsid w:val="3F0E78C1"/>
    <w:rsid w:val="3F0F623F"/>
    <w:rsid w:val="3F11469F"/>
    <w:rsid w:val="3F1920E4"/>
    <w:rsid w:val="3F20575B"/>
    <w:rsid w:val="3F2D7130"/>
    <w:rsid w:val="3F301666"/>
    <w:rsid w:val="3F3A2092"/>
    <w:rsid w:val="3F403A3D"/>
    <w:rsid w:val="3F501598"/>
    <w:rsid w:val="3F522BDB"/>
    <w:rsid w:val="3F555727"/>
    <w:rsid w:val="3F5C79E5"/>
    <w:rsid w:val="3F5E71F4"/>
    <w:rsid w:val="3F6A57DD"/>
    <w:rsid w:val="3F8518AF"/>
    <w:rsid w:val="3F90413D"/>
    <w:rsid w:val="3F9D7D37"/>
    <w:rsid w:val="3F9E3A2C"/>
    <w:rsid w:val="3FA0620E"/>
    <w:rsid w:val="3FA235B6"/>
    <w:rsid w:val="3FA7336D"/>
    <w:rsid w:val="3FA94B5E"/>
    <w:rsid w:val="3FB3232D"/>
    <w:rsid w:val="3FB7093E"/>
    <w:rsid w:val="3FCC46C9"/>
    <w:rsid w:val="3FD955F6"/>
    <w:rsid w:val="3FDA1A36"/>
    <w:rsid w:val="3FE43B7F"/>
    <w:rsid w:val="3FF410A4"/>
    <w:rsid w:val="3FF64953"/>
    <w:rsid w:val="3FF6BF63"/>
    <w:rsid w:val="3FF95E48"/>
    <w:rsid w:val="3FFF144B"/>
    <w:rsid w:val="400021A5"/>
    <w:rsid w:val="40126488"/>
    <w:rsid w:val="401427B7"/>
    <w:rsid w:val="40155668"/>
    <w:rsid w:val="401610CD"/>
    <w:rsid w:val="401D0988"/>
    <w:rsid w:val="401D718A"/>
    <w:rsid w:val="40206A9C"/>
    <w:rsid w:val="40251B80"/>
    <w:rsid w:val="403829A3"/>
    <w:rsid w:val="4046760F"/>
    <w:rsid w:val="40521B59"/>
    <w:rsid w:val="4053641A"/>
    <w:rsid w:val="405F28ED"/>
    <w:rsid w:val="406A3401"/>
    <w:rsid w:val="40722E3F"/>
    <w:rsid w:val="4086725A"/>
    <w:rsid w:val="40897C8E"/>
    <w:rsid w:val="408C3B18"/>
    <w:rsid w:val="408E035C"/>
    <w:rsid w:val="40A07080"/>
    <w:rsid w:val="40A97453"/>
    <w:rsid w:val="40B03A16"/>
    <w:rsid w:val="40B240AE"/>
    <w:rsid w:val="40BC16BC"/>
    <w:rsid w:val="40BC5743"/>
    <w:rsid w:val="40C36896"/>
    <w:rsid w:val="40D53937"/>
    <w:rsid w:val="40D64DF4"/>
    <w:rsid w:val="40D73E2E"/>
    <w:rsid w:val="40DE4227"/>
    <w:rsid w:val="40EA2ABE"/>
    <w:rsid w:val="40F97789"/>
    <w:rsid w:val="410F0587"/>
    <w:rsid w:val="411663F6"/>
    <w:rsid w:val="411D0CD7"/>
    <w:rsid w:val="41273661"/>
    <w:rsid w:val="412B003F"/>
    <w:rsid w:val="41381728"/>
    <w:rsid w:val="414217F6"/>
    <w:rsid w:val="4143516C"/>
    <w:rsid w:val="4146590F"/>
    <w:rsid w:val="4164298A"/>
    <w:rsid w:val="416611E1"/>
    <w:rsid w:val="41681ABB"/>
    <w:rsid w:val="416A2262"/>
    <w:rsid w:val="41865AF8"/>
    <w:rsid w:val="41990C37"/>
    <w:rsid w:val="419C7F9A"/>
    <w:rsid w:val="419F4BB7"/>
    <w:rsid w:val="41A84E5D"/>
    <w:rsid w:val="41AB328C"/>
    <w:rsid w:val="41AD4233"/>
    <w:rsid w:val="41B005A0"/>
    <w:rsid w:val="41B12834"/>
    <w:rsid w:val="41BF36C1"/>
    <w:rsid w:val="41CF3150"/>
    <w:rsid w:val="41DA0227"/>
    <w:rsid w:val="41DD7EDD"/>
    <w:rsid w:val="41E14C76"/>
    <w:rsid w:val="41E96DF6"/>
    <w:rsid w:val="41EF0633"/>
    <w:rsid w:val="41F27AE2"/>
    <w:rsid w:val="41FC484F"/>
    <w:rsid w:val="42024A2E"/>
    <w:rsid w:val="42042555"/>
    <w:rsid w:val="42067465"/>
    <w:rsid w:val="42083FA1"/>
    <w:rsid w:val="4209731C"/>
    <w:rsid w:val="421155CA"/>
    <w:rsid w:val="42164983"/>
    <w:rsid w:val="421E1715"/>
    <w:rsid w:val="4222050F"/>
    <w:rsid w:val="423A7845"/>
    <w:rsid w:val="423D2F48"/>
    <w:rsid w:val="42405B9F"/>
    <w:rsid w:val="42436C8C"/>
    <w:rsid w:val="42524648"/>
    <w:rsid w:val="4256345A"/>
    <w:rsid w:val="425F5730"/>
    <w:rsid w:val="42660897"/>
    <w:rsid w:val="4278406F"/>
    <w:rsid w:val="42890CAC"/>
    <w:rsid w:val="42980EEF"/>
    <w:rsid w:val="42991783"/>
    <w:rsid w:val="42997ACA"/>
    <w:rsid w:val="42A65D50"/>
    <w:rsid w:val="42B82D5A"/>
    <w:rsid w:val="42BD6531"/>
    <w:rsid w:val="42C611FA"/>
    <w:rsid w:val="42CD5700"/>
    <w:rsid w:val="42D069C4"/>
    <w:rsid w:val="42D86356"/>
    <w:rsid w:val="42E6377E"/>
    <w:rsid w:val="42E768B2"/>
    <w:rsid w:val="42F00180"/>
    <w:rsid w:val="43036368"/>
    <w:rsid w:val="43210EE4"/>
    <w:rsid w:val="432114B0"/>
    <w:rsid w:val="432159CE"/>
    <w:rsid w:val="432A2F62"/>
    <w:rsid w:val="432F0AE0"/>
    <w:rsid w:val="43367ED9"/>
    <w:rsid w:val="43370708"/>
    <w:rsid w:val="434906F1"/>
    <w:rsid w:val="434F5938"/>
    <w:rsid w:val="435425CC"/>
    <w:rsid w:val="43582264"/>
    <w:rsid w:val="435960A5"/>
    <w:rsid w:val="43667314"/>
    <w:rsid w:val="436815DB"/>
    <w:rsid w:val="436A0E08"/>
    <w:rsid w:val="436A4F2B"/>
    <w:rsid w:val="43760BF5"/>
    <w:rsid w:val="437F0A98"/>
    <w:rsid w:val="438D4256"/>
    <w:rsid w:val="43901D26"/>
    <w:rsid w:val="43A802EA"/>
    <w:rsid w:val="43A825DF"/>
    <w:rsid w:val="43BE4E51"/>
    <w:rsid w:val="43C539EF"/>
    <w:rsid w:val="43CA50D8"/>
    <w:rsid w:val="43CE4AF8"/>
    <w:rsid w:val="43E278F8"/>
    <w:rsid w:val="43E719C1"/>
    <w:rsid w:val="43F01065"/>
    <w:rsid w:val="43F42BEB"/>
    <w:rsid w:val="44064768"/>
    <w:rsid w:val="441223E2"/>
    <w:rsid w:val="441234FF"/>
    <w:rsid w:val="441277A8"/>
    <w:rsid w:val="442704B0"/>
    <w:rsid w:val="44381695"/>
    <w:rsid w:val="44457713"/>
    <w:rsid w:val="44500AF2"/>
    <w:rsid w:val="445C6678"/>
    <w:rsid w:val="446A5B11"/>
    <w:rsid w:val="44710B54"/>
    <w:rsid w:val="447137A5"/>
    <w:rsid w:val="44782AE9"/>
    <w:rsid w:val="448C0A23"/>
    <w:rsid w:val="448C27A4"/>
    <w:rsid w:val="448D5C18"/>
    <w:rsid w:val="44934DC0"/>
    <w:rsid w:val="44A167C5"/>
    <w:rsid w:val="44A8778B"/>
    <w:rsid w:val="44AA669A"/>
    <w:rsid w:val="44AD3B58"/>
    <w:rsid w:val="44B9717F"/>
    <w:rsid w:val="44C22253"/>
    <w:rsid w:val="44C94CD1"/>
    <w:rsid w:val="44E55B24"/>
    <w:rsid w:val="45066B52"/>
    <w:rsid w:val="4509248E"/>
    <w:rsid w:val="450A59AD"/>
    <w:rsid w:val="451418B5"/>
    <w:rsid w:val="45181E29"/>
    <w:rsid w:val="451E0C2B"/>
    <w:rsid w:val="45207363"/>
    <w:rsid w:val="45321187"/>
    <w:rsid w:val="453A0E3F"/>
    <w:rsid w:val="453B01B2"/>
    <w:rsid w:val="4545525B"/>
    <w:rsid w:val="45493BCE"/>
    <w:rsid w:val="45516C59"/>
    <w:rsid w:val="4555693A"/>
    <w:rsid w:val="455A3027"/>
    <w:rsid w:val="456775E6"/>
    <w:rsid w:val="456D332E"/>
    <w:rsid w:val="4575386B"/>
    <w:rsid w:val="45835C4F"/>
    <w:rsid w:val="458750A9"/>
    <w:rsid w:val="45897422"/>
    <w:rsid w:val="458E1D0C"/>
    <w:rsid w:val="45B31307"/>
    <w:rsid w:val="45B3619A"/>
    <w:rsid w:val="45C17C91"/>
    <w:rsid w:val="45C42745"/>
    <w:rsid w:val="45CB347C"/>
    <w:rsid w:val="45D93CF8"/>
    <w:rsid w:val="45E069BC"/>
    <w:rsid w:val="45F63D09"/>
    <w:rsid w:val="45FD0C56"/>
    <w:rsid w:val="45FD0E3D"/>
    <w:rsid w:val="460A4561"/>
    <w:rsid w:val="460A5893"/>
    <w:rsid w:val="46136D99"/>
    <w:rsid w:val="461716E3"/>
    <w:rsid w:val="461E4551"/>
    <w:rsid w:val="4620500A"/>
    <w:rsid w:val="46231BDA"/>
    <w:rsid w:val="462A4554"/>
    <w:rsid w:val="462C2099"/>
    <w:rsid w:val="46340BE3"/>
    <w:rsid w:val="46403D5E"/>
    <w:rsid w:val="464A4F59"/>
    <w:rsid w:val="46556134"/>
    <w:rsid w:val="465B04BB"/>
    <w:rsid w:val="465C0560"/>
    <w:rsid w:val="46712183"/>
    <w:rsid w:val="46847922"/>
    <w:rsid w:val="468C48C7"/>
    <w:rsid w:val="46913359"/>
    <w:rsid w:val="46926B9F"/>
    <w:rsid w:val="46955E71"/>
    <w:rsid w:val="46974F91"/>
    <w:rsid w:val="469D7425"/>
    <w:rsid w:val="46A36DF8"/>
    <w:rsid w:val="46A92432"/>
    <w:rsid w:val="46AC7421"/>
    <w:rsid w:val="46B2123F"/>
    <w:rsid w:val="46BA0C33"/>
    <w:rsid w:val="46C45E21"/>
    <w:rsid w:val="46C95D18"/>
    <w:rsid w:val="46CC06CB"/>
    <w:rsid w:val="46CF4DFA"/>
    <w:rsid w:val="46D14F3D"/>
    <w:rsid w:val="46DA7FD3"/>
    <w:rsid w:val="46DD29A0"/>
    <w:rsid w:val="46E66C69"/>
    <w:rsid w:val="46EB3CE3"/>
    <w:rsid w:val="46ED1F5E"/>
    <w:rsid w:val="470069BC"/>
    <w:rsid w:val="470A69B5"/>
    <w:rsid w:val="470B1083"/>
    <w:rsid w:val="470B64BF"/>
    <w:rsid w:val="470F5AB3"/>
    <w:rsid w:val="4710119F"/>
    <w:rsid w:val="471028AD"/>
    <w:rsid w:val="47161E89"/>
    <w:rsid w:val="47205938"/>
    <w:rsid w:val="4724418F"/>
    <w:rsid w:val="472B08CE"/>
    <w:rsid w:val="472F3525"/>
    <w:rsid w:val="47324FBD"/>
    <w:rsid w:val="47341476"/>
    <w:rsid w:val="47462CC7"/>
    <w:rsid w:val="47491F75"/>
    <w:rsid w:val="47652587"/>
    <w:rsid w:val="476844D6"/>
    <w:rsid w:val="47695B6D"/>
    <w:rsid w:val="47705AEF"/>
    <w:rsid w:val="47705F96"/>
    <w:rsid w:val="47745A86"/>
    <w:rsid w:val="47801770"/>
    <w:rsid w:val="47927734"/>
    <w:rsid w:val="47957068"/>
    <w:rsid w:val="479A3013"/>
    <w:rsid w:val="479D61F2"/>
    <w:rsid w:val="47A30800"/>
    <w:rsid w:val="47A40163"/>
    <w:rsid w:val="47AC1299"/>
    <w:rsid w:val="47B7277C"/>
    <w:rsid w:val="47C23F4D"/>
    <w:rsid w:val="47C46934"/>
    <w:rsid w:val="47CC3351"/>
    <w:rsid w:val="47E90A91"/>
    <w:rsid w:val="47F7BF2F"/>
    <w:rsid w:val="47FD675B"/>
    <w:rsid w:val="4803363D"/>
    <w:rsid w:val="48082673"/>
    <w:rsid w:val="48104E07"/>
    <w:rsid w:val="481F766D"/>
    <w:rsid w:val="48251D78"/>
    <w:rsid w:val="48296776"/>
    <w:rsid w:val="48314E4C"/>
    <w:rsid w:val="48364CB7"/>
    <w:rsid w:val="483B2A48"/>
    <w:rsid w:val="485B0380"/>
    <w:rsid w:val="485D4154"/>
    <w:rsid w:val="486E4AE3"/>
    <w:rsid w:val="4870194E"/>
    <w:rsid w:val="48710218"/>
    <w:rsid w:val="487607E1"/>
    <w:rsid w:val="487F10DE"/>
    <w:rsid w:val="489428B9"/>
    <w:rsid w:val="48A62154"/>
    <w:rsid w:val="48A62C11"/>
    <w:rsid w:val="48A722D3"/>
    <w:rsid w:val="48B30090"/>
    <w:rsid w:val="48B90123"/>
    <w:rsid w:val="48BE355C"/>
    <w:rsid w:val="48C14B40"/>
    <w:rsid w:val="48C53990"/>
    <w:rsid w:val="48CB5887"/>
    <w:rsid w:val="48CF5D41"/>
    <w:rsid w:val="48E64CA6"/>
    <w:rsid w:val="48F67C96"/>
    <w:rsid w:val="48FD1D82"/>
    <w:rsid w:val="490030DA"/>
    <w:rsid w:val="4907098B"/>
    <w:rsid w:val="490A09DA"/>
    <w:rsid w:val="4916491B"/>
    <w:rsid w:val="49164D23"/>
    <w:rsid w:val="493445E8"/>
    <w:rsid w:val="49430B04"/>
    <w:rsid w:val="49433BF3"/>
    <w:rsid w:val="4949693A"/>
    <w:rsid w:val="49531E37"/>
    <w:rsid w:val="49544377"/>
    <w:rsid w:val="4956126D"/>
    <w:rsid w:val="495841A2"/>
    <w:rsid w:val="49595ED6"/>
    <w:rsid w:val="495B1E58"/>
    <w:rsid w:val="495B65AC"/>
    <w:rsid w:val="4968101F"/>
    <w:rsid w:val="49791166"/>
    <w:rsid w:val="497E7A81"/>
    <w:rsid w:val="4984352A"/>
    <w:rsid w:val="498A5163"/>
    <w:rsid w:val="499439FF"/>
    <w:rsid w:val="49997624"/>
    <w:rsid w:val="49A0043C"/>
    <w:rsid w:val="49A94711"/>
    <w:rsid w:val="49A94EF2"/>
    <w:rsid w:val="49B41A92"/>
    <w:rsid w:val="49BF60C5"/>
    <w:rsid w:val="49C815C7"/>
    <w:rsid w:val="49D828EB"/>
    <w:rsid w:val="49DB00B8"/>
    <w:rsid w:val="49DB63B3"/>
    <w:rsid w:val="49E27D1C"/>
    <w:rsid w:val="49EC7858"/>
    <w:rsid w:val="49F21AB7"/>
    <w:rsid w:val="49FC5AAB"/>
    <w:rsid w:val="49FF1953"/>
    <w:rsid w:val="4A0D5D1E"/>
    <w:rsid w:val="4A1969C6"/>
    <w:rsid w:val="4A1E7F2C"/>
    <w:rsid w:val="4A264FFB"/>
    <w:rsid w:val="4A2D170C"/>
    <w:rsid w:val="4A327386"/>
    <w:rsid w:val="4A42274A"/>
    <w:rsid w:val="4A4921DD"/>
    <w:rsid w:val="4A4F4589"/>
    <w:rsid w:val="4A572EAD"/>
    <w:rsid w:val="4A593049"/>
    <w:rsid w:val="4A5B335C"/>
    <w:rsid w:val="4A5F76A5"/>
    <w:rsid w:val="4A627251"/>
    <w:rsid w:val="4A6C79A0"/>
    <w:rsid w:val="4A6E3175"/>
    <w:rsid w:val="4A792C58"/>
    <w:rsid w:val="4A915FDE"/>
    <w:rsid w:val="4AA5608C"/>
    <w:rsid w:val="4AA75137"/>
    <w:rsid w:val="4AAE55D1"/>
    <w:rsid w:val="4AB0687E"/>
    <w:rsid w:val="4AB51535"/>
    <w:rsid w:val="4ABB7F50"/>
    <w:rsid w:val="4AC01DDE"/>
    <w:rsid w:val="4AE021EA"/>
    <w:rsid w:val="4AE150D8"/>
    <w:rsid w:val="4AFE1984"/>
    <w:rsid w:val="4B026B87"/>
    <w:rsid w:val="4B06170A"/>
    <w:rsid w:val="4B0E5A26"/>
    <w:rsid w:val="4B1955CF"/>
    <w:rsid w:val="4B254B8E"/>
    <w:rsid w:val="4B261D3B"/>
    <w:rsid w:val="4B2C6678"/>
    <w:rsid w:val="4B2F7AF2"/>
    <w:rsid w:val="4B425FE4"/>
    <w:rsid w:val="4B4D775A"/>
    <w:rsid w:val="4B547A1E"/>
    <w:rsid w:val="4B5A6ADA"/>
    <w:rsid w:val="4B5C153F"/>
    <w:rsid w:val="4B5C4FF6"/>
    <w:rsid w:val="4B5D0D4D"/>
    <w:rsid w:val="4B601190"/>
    <w:rsid w:val="4B65425A"/>
    <w:rsid w:val="4B662A52"/>
    <w:rsid w:val="4B674100"/>
    <w:rsid w:val="4B6C124C"/>
    <w:rsid w:val="4B6C1CBB"/>
    <w:rsid w:val="4B6D58F5"/>
    <w:rsid w:val="4B7402BA"/>
    <w:rsid w:val="4B763A8E"/>
    <w:rsid w:val="4B84416D"/>
    <w:rsid w:val="4B8B757C"/>
    <w:rsid w:val="4B9D3CF5"/>
    <w:rsid w:val="4BA452A3"/>
    <w:rsid w:val="4BB2128E"/>
    <w:rsid w:val="4BBD407A"/>
    <w:rsid w:val="4BC14047"/>
    <w:rsid w:val="4BC813F6"/>
    <w:rsid w:val="4BCB5E91"/>
    <w:rsid w:val="4BD35A25"/>
    <w:rsid w:val="4BD92EEB"/>
    <w:rsid w:val="4BDA3ADB"/>
    <w:rsid w:val="4BE11AB7"/>
    <w:rsid w:val="4BE52123"/>
    <w:rsid w:val="4C00036E"/>
    <w:rsid w:val="4C015E7A"/>
    <w:rsid w:val="4C051AF4"/>
    <w:rsid w:val="4C0C1187"/>
    <w:rsid w:val="4C0D6835"/>
    <w:rsid w:val="4C2448FF"/>
    <w:rsid w:val="4C2F7CB0"/>
    <w:rsid w:val="4C394DE6"/>
    <w:rsid w:val="4C3A36A1"/>
    <w:rsid w:val="4C4D7B29"/>
    <w:rsid w:val="4C517095"/>
    <w:rsid w:val="4C754107"/>
    <w:rsid w:val="4C7D6192"/>
    <w:rsid w:val="4C7E1E47"/>
    <w:rsid w:val="4C864318"/>
    <w:rsid w:val="4C8C5583"/>
    <w:rsid w:val="4C935E81"/>
    <w:rsid w:val="4CAC0170"/>
    <w:rsid w:val="4CB9796E"/>
    <w:rsid w:val="4CBC607F"/>
    <w:rsid w:val="4CC36991"/>
    <w:rsid w:val="4CCF086B"/>
    <w:rsid w:val="4CD7101B"/>
    <w:rsid w:val="4CDE6B47"/>
    <w:rsid w:val="4CDF17AD"/>
    <w:rsid w:val="4CE16044"/>
    <w:rsid w:val="4CE71C99"/>
    <w:rsid w:val="4CEF2168"/>
    <w:rsid w:val="4CF03534"/>
    <w:rsid w:val="4CF26E8A"/>
    <w:rsid w:val="4CFD689C"/>
    <w:rsid w:val="4D057181"/>
    <w:rsid w:val="4D085340"/>
    <w:rsid w:val="4D170D53"/>
    <w:rsid w:val="4D1900F3"/>
    <w:rsid w:val="4D1960F4"/>
    <w:rsid w:val="4D19766C"/>
    <w:rsid w:val="4D1E0AB0"/>
    <w:rsid w:val="4D317373"/>
    <w:rsid w:val="4D322F46"/>
    <w:rsid w:val="4D3748C1"/>
    <w:rsid w:val="4D3E11FF"/>
    <w:rsid w:val="4D4836B3"/>
    <w:rsid w:val="4D4B5981"/>
    <w:rsid w:val="4D4C6775"/>
    <w:rsid w:val="4D562B8B"/>
    <w:rsid w:val="4D651505"/>
    <w:rsid w:val="4D651B57"/>
    <w:rsid w:val="4D6C1209"/>
    <w:rsid w:val="4D6F51BB"/>
    <w:rsid w:val="4D756838"/>
    <w:rsid w:val="4D7D23CB"/>
    <w:rsid w:val="4D834199"/>
    <w:rsid w:val="4D867251"/>
    <w:rsid w:val="4D8761AD"/>
    <w:rsid w:val="4D995A96"/>
    <w:rsid w:val="4D9F7C55"/>
    <w:rsid w:val="4DA95366"/>
    <w:rsid w:val="4DAD51B1"/>
    <w:rsid w:val="4DB03590"/>
    <w:rsid w:val="4DB407C5"/>
    <w:rsid w:val="4DBB1975"/>
    <w:rsid w:val="4DC33A59"/>
    <w:rsid w:val="4DCF174D"/>
    <w:rsid w:val="4DD0550A"/>
    <w:rsid w:val="4DD64C11"/>
    <w:rsid w:val="4DE00FEA"/>
    <w:rsid w:val="4DE037AF"/>
    <w:rsid w:val="4DE220D0"/>
    <w:rsid w:val="4DE44D55"/>
    <w:rsid w:val="4DEF6547"/>
    <w:rsid w:val="4DF164EA"/>
    <w:rsid w:val="4DF512B1"/>
    <w:rsid w:val="4DF570CB"/>
    <w:rsid w:val="4DF74B80"/>
    <w:rsid w:val="4DFA54B5"/>
    <w:rsid w:val="4DFB5D32"/>
    <w:rsid w:val="4E010201"/>
    <w:rsid w:val="4E043E02"/>
    <w:rsid w:val="4E047461"/>
    <w:rsid w:val="4E072410"/>
    <w:rsid w:val="4E0B6A19"/>
    <w:rsid w:val="4E126E25"/>
    <w:rsid w:val="4E127365"/>
    <w:rsid w:val="4E1A067A"/>
    <w:rsid w:val="4E1C141A"/>
    <w:rsid w:val="4E237A7D"/>
    <w:rsid w:val="4E2D4E95"/>
    <w:rsid w:val="4E3917D8"/>
    <w:rsid w:val="4E3F1E70"/>
    <w:rsid w:val="4E414A20"/>
    <w:rsid w:val="4E4837F7"/>
    <w:rsid w:val="4E4A0199"/>
    <w:rsid w:val="4E4F3BE0"/>
    <w:rsid w:val="4E5B174E"/>
    <w:rsid w:val="4E673F3C"/>
    <w:rsid w:val="4E7C16C5"/>
    <w:rsid w:val="4E7D5034"/>
    <w:rsid w:val="4E834634"/>
    <w:rsid w:val="4E835A23"/>
    <w:rsid w:val="4E887F5B"/>
    <w:rsid w:val="4EA5408F"/>
    <w:rsid w:val="4EB62BCD"/>
    <w:rsid w:val="4EB83869"/>
    <w:rsid w:val="4ED270C0"/>
    <w:rsid w:val="4ED4477F"/>
    <w:rsid w:val="4ED923F6"/>
    <w:rsid w:val="4EDA7309"/>
    <w:rsid w:val="4EDB7799"/>
    <w:rsid w:val="4EDD4BEA"/>
    <w:rsid w:val="4EEA78E2"/>
    <w:rsid w:val="4EEE7F57"/>
    <w:rsid w:val="4EF227F3"/>
    <w:rsid w:val="4EFF53E0"/>
    <w:rsid w:val="4F085707"/>
    <w:rsid w:val="4F0B5BF3"/>
    <w:rsid w:val="4F135B85"/>
    <w:rsid w:val="4F1C31D7"/>
    <w:rsid w:val="4F2602F0"/>
    <w:rsid w:val="4F294A60"/>
    <w:rsid w:val="4F2953A8"/>
    <w:rsid w:val="4F2A42A3"/>
    <w:rsid w:val="4F2C534C"/>
    <w:rsid w:val="4F384E31"/>
    <w:rsid w:val="4F416C82"/>
    <w:rsid w:val="4F552AA3"/>
    <w:rsid w:val="4F597B8A"/>
    <w:rsid w:val="4F5B1EAD"/>
    <w:rsid w:val="4F627BB1"/>
    <w:rsid w:val="4F720D80"/>
    <w:rsid w:val="4F7F2B78"/>
    <w:rsid w:val="4F8545A9"/>
    <w:rsid w:val="4F8A7312"/>
    <w:rsid w:val="4F8B6880"/>
    <w:rsid w:val="4F924DF7"/>
    <w:rsid w:val="4F9A0054"/>
    <w:rsid w:val="4F9C1675"/>
    <w:rsid w:val="4F9D2A2D"/>
    <w:rsid w:val="4F9D6421"/>
    <w:rsid w:val="4FA3433D"/>
    <w:rsid w:val="4FA61988"/>
    <w:rsid w:val="4FA71DA8"/>
    <w:rsid w:val="4FAC339D"/>
    <w:rsid w:val="4FAE0E63"/>
    <w:rsid w:val="4FAF220E"/>
    <w:rsid w:val="4FB5732A"/>
    <w:rsid w:val="4FB9576F"/>
    <w:rsid w:val="4FBA32E2"/>
    <w:rsid w:val="4FBD79C2"/>
    <w:rsid w:val="4FD72978"/>
    <w:rsid w:val="4FDB326A"/>
    <w:rsid w:val="4FE17A31"/>
    <w:rsid w:val="4FEB6926"/>
    <w:rsid w:val="4FF228E5"/>
    <w:rsid w:val="4FF624F8"/>
    <w:rsid w:val="4FF80134"/>
    <w:rsid w:val="4FFF63D4"/>
    <w:rsid w:val="4FFF6FB3"/>
    <w:rsid w:val="50040B94"/>
    <w:rsid w:val="501505C4"/>
    <w:rsid w:val="50223808"/>
    <w:rsid w:val="502D2C76"/>
    <w:rsid w:val="503A10EE"/>
    <w:rsid w:val="503B47E8"/>
    <w:rsid w:val="503B61D7"/>
    <w:rsid w:val="503F411C"/>
    <w:rsid w:val="50400F96"/>
    <w:rsid w:val="50417145"/>
    <w:rsid w:val="504425A0"/>
    <w:rsid w:val="50506B75"/>
    <w:rsid w:val="505226DD"/>
    <w:rsid w:val="505D7058"/>
    <w:rsid w:val="506049EE"/>
    <w:rsid w:val="506E50F2"/>
    <w:rsid w:val="5075528E"/>
    <w:rsid w:val="50892281"/>
    <w:rsid w:val="50A12D2A"/>
    <w:rsid w:val="50AE2BED"/>
    <w:rsid w:val="50B152CD"/>
    <w:rsid w:val="50B873E8"/>
    <w:rsid w:val="50C902FA"/>
    <w:rsid w:val="50D4165D"/>
    <w:rsid w:val="50DD469C"/>
    <w:rsid w:val="50DE165B"/>
    <w:rsid w:val="50E1560F"/>
    <w:rsid w:val="50EF093E"/>
    <w:rsid w:val="50F443E4"/>
    <w:rsid w:val="510A120A"/>
    <w:rsid w:val="510B71F0"/>
    <w:rsid w:val="511249AA"/>
    <w:rsid w:val="511300BE"/>
    <w:rsid w:val="51142235"/>
    <w:rsid w:val="51197FAF"/>
    <w:rsid w:val="512322CB"/>
    <w:rsid w:val="512336E9"/>
    <w:rsid w:val="512642B1"/>
    <w:rsid w:val="512C3F0B"/>
    <w:rsid w:val="51346A06"/>
    <w:rsid w:val="513807FF"/>
    <w:rsid w:val="513D1FE2"/>
    <w:rsid w:val="51451216"/>
    <w:rsid w:val="514A6C8A"/>
    <w:rsid w:val="514C35D0"/>
    <w:rsid w:val="51517AE7"/>
    <w:rsid w:val="51566B1A"/>
    <w:rsid w:val="516F60A9"/>
    <w:rsid w:val="51894E68"/>
    <w:rsid w:val="51915487"/>
    <w:rsid w:val="51960034"/>
    <w:rsid w:val="51973ECA"/>
    <w:rsid w:val="51977EA6"/>
    <w:rsid w:val="51AB377C"/>
    <w:rsid w:val="51BB2351"/>
    <w:rsid w:val="51C97195"/>
    <w:rsid w:val="51CE7AA5"/>
    <w:rsid w:val="51DC50A4"/>
    <w:rsid w:val="51E421A9"/>
    <w:rsid w:val="51EB399C"/>
    <w:rsid w:val="51EE7B1C"/>
    <w:rsid w:val="51FD3F95"/>
    <w:rsid w:val="52047613"/>
    <w:rsid w:val="52095DA3"/>
    <w:rsid w:val="520B5BC8"/>
    <w:rsid w:val="520B5E7F"/>
    <w:rsid w:val="520D3447"/>
    <w:rsid w:val="520E77AB"/>
    <w:rsid w:val="52211AFD"/>
    <w:rsid w:val="52227845"/>
    <w:rsid w:val="52297201"/>
    <w:rsid w:val="52376AAF"/>
    <w:rsid w:val="5245331F"/>
    <w:rsid w:val="524E2466"/>
    <w:rsid w:val="525A1077"/>
    <w:rsid w:val="52607DEE"/>
    <w:rsid w:val="52654A74"/>
    <w:rsid w:val="526C53E4"/>
    <w:rsid w:val="52802F0B"/>
    <w:rsid w:val="52860D64"/>
    <w:rsid w:val="52867A0E"/>
    <w:rsid w:val="529419C1"/>
    <w:rsid w:val="529B3EB7"/>
    <w:rsid w:val="52A32D9D"/>
    <w:rsid w:val="52A56D29"/>
    <w:rsid w:val="52AC003B"/>
    <w:rsid w:val="52B252EA"/>
    <w:rsid w:val="52B45F0D"/>
    <w:rsid w:val="52BB6C5F"/>
    <w:rsid w:val="52BB733A"/>
    <w:rsid w:val="52BC7DDB"/>
    <w:rsid w:val="52C51F6A"/>
    <w:rsid w:val="52D41A3C"/>
    <w:rsid w:val="52D42A07"/>
    <w:rsid w:val="52E22734"/>
    <w:rsid w:val="52E252FF"/>
    <w:rsid w:val="52E64F8C"/>
    <w:rsid w:val="52EC41AF"/>
    <w:rsid w:val="52EE649C"/>
    <w:rsid w:val="52F26C92"/>
    <w:rsid w:val="52F44992"/>
    <w:rsid w:val="530A729F"/>
    <w:rsid w:val="531403CB"/>
    <w:rsid w:val="532768F9"/>
    <w:rsid w:val="533479AC"/>
    <w:rsid w:val="53350200"/>
    <w:rsid w:val="53361DF5"/>
    <w:rsid w:val="534F2DD1"/>
    <w:rsid w:val="53594FE8"/>
    <w:rsid w:val="536E5A80"/>
    <w:rsid w:val="53823997"/>
    <w:rsid w:val="5387362B"/>
    <w:rsid w:val="538C23AA"/>
    <w:rsid w:val="539A2D7E"/>
    <w:rsid w:val="539B2ED2"/>
    <w:rsid w:val="539B3697"/>
    <w:rsid w:val="53A82CF5"/>
    <w:rsid w:val="53A911A9"/>
    <w:rsid w:val="53AF1D2F"/>
    <w:rsid w:val="53B91D64"/>
    <w:rsid w:val="53BB2C03"/>
    <w:rsid w:val="53C26EE2"/>
    <w:rsid w:val="53C30706"/>
    <w:rsid w:val="53CE651E"/>
    <w:rsid w:val="53DA25D4"/>
    <w:rsid w:val="53F30564"/>
    <w:rsid w:val="53FC343B"/>
    <w:rsid w:val="5426380C"/>
    <w:rsid w:val="5434552D"/>
    <w:rsid w:val="543469DC"/>
    <w:rsid w:val="543C78B9"/>
    <w:rsid w:val="54457EC7"/>
    <w:rsid w:val="544A0692"/>
    <w:rsid w:val="544B49EE"/>
    <w:rsid w:val="54506132"/>
    <w:rsid w:val="545167BE"/>
    <w:rsid w:val="54544E60"/>
    <w:rsid w:val="54596730"/>
    <w:rsid w:val="545A37BE"/>
    <w:rsid w:val="545C764B"/>
    <w:rsid w:val="5467429F"/>
    <w:rsid w:val="5473474D"/>
    <w:rsid w:val="54745318"/>
    <w:rsid w:val="54774A91"/>
    <w:rsid w:val="54784FC8"/>
    <w:rsid w:val="547F1F0F"/>
    <w:rsid w:val="54910C78"/>
    <w:rsid w:val="549743AA"/>
    <w:rsid w:val="54991305"/>
    <w:rsid w:val="549D1BFF"/>
    <w:rsid w:val="549E2F1B"/>
    <w:rsid w:val="54A13C44"/>
    <w:rsid w:val="54AB2792"/>
    <w:rsid w:val="54BD342A"/>
    <w:rsid w:val="54BE68E2"/>
    <w:rsid w:val="54C3004D"/>
    <w:rsid w:val="54C468E9"/>
    <w:rsid w:val="54CB0056"/>
    <w:rsid w:val="54E10E26"/>
    <w:rsid w:val="54E1240A"/>
    <w:rsid w:val="54F73C59"/>
    <w:rsid w:val="550D3993"/>
    <w:rsid w:val="55102742"/>
    <w:rsid w:val="551B6ABE"/>
    <w:rsid w:val="552344F4"/>
    <w:rsid w:val="55293C4A"/>
    <w:rsid w:val="552E6DF3"/>
    <w:rsid w:val="55347261"/>
    <w:rsid w:val="553D2C80"/>
    <w:rsid w:val="55425B0C"/>
    <w:rsid w:val="55472860"/>
    <w:rsid w:val="554C48E9"/>
    <w:rsid w:val="555D68E0"/>
    <w:rsid w:val="55665D0A"/>
    <w:rsid w:val="556A1FA2"/>
    <w:rsid w:val="556E1D0F"/>
    <w:rsid w:val="557C1FAA"/>
    <w:rsid w:val="55801696"/>
    <w:rsid w:val="55824A50"/>
    <w:rsid w:val="5584168D"/>
    <w:rsid w:val="558439DC"/>
    <w:rsid w:val="5584767F"/>
    <w:rsid w:val="558769B7"/>
    <w:rsid w:val="55890A12"/>
    <w:rsid w:val="558B76A9"/>
    <w:rsid w:val="559A659A"/>
    <w:rsid w:val="55A35AB1"/>
    <w:rsid w:val="55A7171D"/>
    <w:rsid w:val="55AF3619"/>
    <w:rsid w:val="55B440BC"/>
    <w:rsid w:val="55C03AF7"/>
    <w:rsid w:val="55C40B30"/>
    <w:rsid w:val="55C43553"/>
    <w:rsid w:val="55CF4EDC"/>
    <w:rsid w:val="55D07F03"/>
    <w:rsid w:val="55D42DBF"/>
    <w:rsid w:val="55D55F29"/>
    <w:rsid w:val="55D6178A"/>
    <w:rsid w:val="55D838AD"/>
    <w:rsid w:val="55F02B23"/>
    <w:rsid w:val="55F12AA3"/>
    <w:rsid w:val="55F65154"/>
    <w:rsid w:val="55FB7142"/>
    <w:rsid w:val="5603396B"/>
    <w:rsid w:val="560A074D"/>
    <w:rsid w:val="560B5D73"/>
    <w:rsid w:val="560F7AC5"/>
    <w:rsid w:val="561346BC"/>
    <w:rsid w:val="561364F7"/>
    <w:rsid w:val="56244771"/>
    <w:rsid w:val="563576FE"/>
    <w:rsid w:val="564C0324"/>
    <w:rsid w:val="565052E1"/>
    <w:rsid w:val="565E5EB1"/>
    <w:rsid w:val="565E627F"/>
    <w:rsid w:val="56635554"/>
    <w:rsid w:val="566B62A7"/>
    <w:rsid w:val="56705B96"/>
    <w:rsid w:val="567A2F79"/>
    <w:rsid w:val="567C5B67"/>
    <w:rsid w:val="56855C28"/>
    <w:rsid w:val="56881EB2"/>
    <w:rsid w:val="568D4B0E"/>
    <w:rsid w:val="568F6B8A"/>
    <w:rsid w:val="56977668"/>
    <w:rsid w:val="56997DAD"/>
    <w:rsid w:val="569C7783"/>
    <w:rsid w:val="56A44C6C"/>
    <w:rsid w:val="56AC0C4D"/>
    <w:rsid w:val="56AD47C1"/>
    <w:rsid w:val="56AE0BF3"/>
    <w:rsid w:val="56CB5D5F"/>
    <w:rsid w:val="56CF11CC"/>
    <w:rsid w:val="56D159FA"/>
    <w:rsid w:val="56DB7131"/>
    <w:rsid w:val="57034726"/>
    <w:rsid w:val="570A3D43"/>
    <w:rsid w:val="57114ADB"/>
    <w:rsid w:val="57186A56"/>
    <w:rsid w:val="571D1E22"/>
    <w:rsid w:val="572A7220"/>
    <w:rsid w:val="572C393E"/>
    <w:rsid w:val="573215C6"/>
    <w:rsid w:val="57375A9C"/>
    <w:rsid w:val="57433A53"/>
    <w:rsid w:val="574662B4"/>
    <w:rsid w:val="574865E8"/>
    <w:rsid w:val="574D1DC9"/>
    <w:rsid w:val="575A4A51"/>
    <w:rsid w:val="57707EEC"/>
    <w:rsid w:val="5779077F"/>
    <w:rsid w:val="577D6CFC"/>
    <w:rsid w:val="57874DB8"/>
    <w:rsid w:val="57975CCE"/>
    <w:rsid w:val="5799247E"/>
    <w:rsid w:val="579D75AD"/>
    <w:rsid w:val="57A31097"/>
    <w:rsid w:val="57AA1BB3"/>
    <w:rsid w:val="57B1687E"/>
    <w:rsid w:val="57B62BB9"/>
    <w:rsid w:val="57B95B0E"/>
    <w:rsid w:val="57BE7DB6"/>
    <w:rsid w:val="57C54D4D"/>
    <w:rsid w:val="57DB44A5"/>
    <w:rsid w:val="57E1146A"/>
    <w:rsid w:val="57E5155C"/>
    <w:rsid w:val="57E836B8"/>
    <w:rsid w:val="57EE5B69"/>
    <w:rsid w:val="57FF174F"/>
    <w:rsid w:val="57FF9B0D"/>
    <w:rsid w:val="58021622"/>
    <w:rsid w:val="5805746A"/>
    <w:rsid w:val="58133924"/>
    <w:rsid w:val="58205495"/>
    <w:rsid w:val="582A6956"/>
    <w:rsid w:val="584066FE"/>
    <w:rsid w:val="584625B7"/>
    <w:rsid w:val="584A536A"/>
    <w:rsid w:val="584B65A9"/>
    <w:rsid w:val="584D3421"/>
    <w:rsid w:val="58540126"/>
    <w:rsid w:val="58550FBC"/>
    <w:rsid w:val="58577D5D"/>
    <w:rsid w:val="585E70AC"/>
    <w:rsid w:val="586A11DD"/>
    <w:rsid w:val="58717060"/>
    <w:rsid w:val="58734F9E"/>
    <w:rsid w:val="587375E9"/>
    <w:rsid w:val="58765113"/>
    <w:rsid w:val="5877014A"/>
    <w:rsid w:val="588D5C22"/>
    <w:rsid w:val="58917A9E"/>
    <w:rsid w:val="589311D9"/>
    <w:rsid w:val="58942F85"/>
    <w:rsid w:val="589B4AD6"/>
    <w:rsid w:val="589E78CA"/>
    <w:rsid w:val="58A16C92"/>
    <w:rsid w:val="58A51A9E"/>
    <w:rsid w:val="58B43941"/>
    <w:rsid w:val="58BD542B"/>
    <w:rsid w:val="58DE0412"/>
    <w:rsid w:val="58E33DCF"/>
    <w:rsid w:val="58E83541"/>
    <w:rsid w:val="58E8678C"/>
    <w:rsid w:val="58E87582"/>
    <w:rsid w:val="58EF2229"/>
    <w:rsid w:val="58F12508"/>
    <w:rsid w:val="58F65E46"/>
    <w:rsid w:val="58F70D59"/>
    <w:rsid w:val="58F82E7F"/>
    <w:rsid w:val="58FC1E2F"/>
    <w:rsid w:val="5901028A"/>
    <w:rsid w:val="59057A44"/>
    <w:rsid w:val="5906740F"/>
    <w:rsid w:val="59147EBF"/>
    <w:rsid w:val="591B06A3"/>
    <w:rsid w:val="592305FB"/>
    <w:rsid w:val="59240164"/>
    <w:rsid w:val="59296E2F"/>
    <w:rsid w:val="59324967"/>
    <w:rsid w:val="59331A6F"/>
    <w:rsid w:val="59357C67"/>
    <w:rsid w:val="59404C62"/>
    <w:rsid w:val="595D1C1D"/>
    <w:rsid w:val="596811C3"/>
    <w:rsid w:val="59694BF6"/>
    <w:rsid w:val="596E2124"/>
    <w:rsid w:val="597C6C69"/>
    <w:rsid w:val="597D3A2A"/>
    <w:rsid w:val="597E6D4D"/>
    <w:rsid w:val="597F5984"/>
    <w:rsid w:val="598267AD"/>
    <w:rsid w:val="5988728F"/>
    <w:rsid w:val="598C4BAF"/>
    <w:rsid w:val="599351DD"/>
    <w:rsid w:val="59A749B1"/>
    <w:rsid w:val="59B05E35"/>
    <w:rsid w:val="59B10475"/>
    <w:rsid w:val="59C70095"/>
    <w:rsid w:val="59C76E9D"/>
    <w:rsid w:val="59CC0EC5"/>
    <w:rsid w:val="59D2663D"/>
    <w:rsid w:val="59D747E8"/>
    <w:rsid w:val="59E45E34"/>
    <w:rsid w:val="59E90231"/>
    <w:rsid w:val="59ED5575"/>
    <w:rsid w:val="59F65233"/>
    <w:rsid w:val="59FF10BE"/>
    <w:rsid w:val="5A014DFF"/>
    <w:rsid w:val="5A065D67"/>
    <w:rsid w:val="5A132EDD"/>
    <w:rsid w:val="5A270D9D"/>
    <w:rsid w:val="5A345BC7"/>
    <w:rsid w:val="5A372E27"/>
    <w:rsid w:val="5A4123A4"/>
    <w:rsid w:val="5A4F7940"/>
    <w:rsid w:val="5A5029D0"/>
    <w:rsid w:val="5A522FE9"/>
    <w:rsid w:val="5A584320"/>
    <w:rsid w:val="5A5B4884"/>
    <w:rsid w:val="5A6555AE"/>
    <w:rsid w:val="5A72796A"/>
    <w:rsid w:val="5A7476F4"/>
    <w:rsid w:val="5A97393E"/>
    <w:rsid w:val="5A9B5192"/>
    <w:rsid w:val="5A9F3AFC"/>
    <w:rsid w:val="5AAC6BF9"/>
    <w:rsid w:val="5AB727CD"/>
    <w:rsid w:val="5AB83A84"/>
    <w:rsid w:val="5ABA4F52"/>
    <w:rsid w:val="5AD31ADE"/>
    <w:rsid w:val="5ADA4AF0"/>
    <w:rsid w:val="5ADC3C3D"/>
    <w:rsid w:val="5AE83880"/>
    <w:rsid w:val="5AEF0BC2"/>
    <w:rsid w:val="5AF4134F"/>
    <w:rsid w:val="5AFE55BE"/>
    <w:rsid w:val="5B066438"/>
    <w:rsid w:val="5B0A3289"/>
    <w:rsid w:val="5B0F1C1A"/>
    <w:rsid w:val="5B150589"/>
    <w:rsid w:val="5B1879C9"/>
    <w:rsid w:val="5B19121C"/>
    <w:rsid w:val="5B1A00A6"/>
    <w:rsid w:val="5B1D05C9"/>
    <w:rsid w:val="5B1E4672"/>
    <w:rsid w:val="5B235280"/>
    <w:rsid w:val="5B25398B"/>
    <w:rsid w:val="5B3313D3"/>
    <w:rsid w:val="5B382170"/>
    <w:rsid w:val="5B3900CD"/>
    <w:rsid w:val="5B395905"/>
    <w:rsid w:val="5B3A67A4"/>
    <w:rsid w:val="5B490515"/>
    <w:rsid w:val="5B4A1F5C"/>
    <w:rsid w:val="5B4A380E"/>
    <w:rsid w:val="5B4D30CD"/>
    <w:rsid w:val="5B6177A8"/>
    <w:rsid w:val="5B642D48"/>
    <w:rsid w:val="5B72700C"/>
    <w:rsid w:val="5B8957BC"/>
    <w:rsid w:val="5B8B168D"/>
    <w:rsid w:val="5B8D15E1"/>
    <w:rsid w:val="5B8F5F7E"/>
    <w:rsid w:val="5B904CA2"/>
    <w:rsid w:val="5B972BF3"/>
    <w:rsid w:val="5BAE6297"/>
    <w:rsid w:val="5BAF4335"/>
    <w:rsid w:val="5BAF75D3"/>
    <w:rsid w:val="5BB556B6"/>
    <w:rsid w:val="5BBB4C6D"/>
    <w:rsid w:val="5BBC1F7F"/>
    <w:rsid w:val="5BD25D55"/>
    <w:rsid w:val="5BE0762B"/>
    <w:rsid w:val="5BEE75AF"/>
    <w:rsid w:val="5BFE1715"/>
    <w:rsid w:val="5BFF0975"/>
    <w:rsid w:val="5C266760"/>
    <w:rsid w:val="5C2F1723"/>
    <w:rsid w:val="5C3134E5"/>
    <w:rsid w:val="5C337A6D"/>
    <w:rsid w:val="5C374479"/>
    <w:rsid w:val="5C507E0A"/>
    <w:rsid w:val="5C5354F4"/>
    <w:rsid w:val="5C573A93"/>
    <w:rsid w:val="5C5802FA"/>
    <w:rsid w:val="5C6248DE"/>
    <w:rsid w:val="5C68391F"/>
    <w:rsid w:val="5C710D89"/>
    <w:rsid w:val="5C716B6F"/>
    <w:rsid w:val="5C7B2C68"/>
    <w:rsid w:val="5C7B35CA"/>
    <w:rsid w:val="5C8A4BE0"/>
    <w:rsid w:val="5C96296E"/>
    <w:rsid w:val="5C994A9A"/>
    <w:rsid w:val="5C9A57DE"/>
    <w:rsid w:val="5C9F08B2"/>
    <w:rsid w:val="5CA06920"/>
    <w:rsid w:val="5CA17566"/>
    <w:rsid w:val="5CA31A34"/>
    <w:rsid w:val="5CC10786"/>
    <w:rsid w:val="5CD03307"/>
    <w:rsid w:val="5CD1707F"/>
    <w:rsid w:val="5CD73763"/>
    <w:rsid w:val="5CD97294"/>
    <w:rsid w:val="5CF50FC0"/>
    <w:rsid w:val="5CFE2BF0"/>
    <w:rsid w:val="5D023D13"/>
    <w:rsid w:val="5D053F84"/>
    <w:rsid w:val="5D07613E"/>
    <w:rsid w:val="5D1B4EE0"/>
    <w:rsid w:val="5D237880"/>
    <w:rsid w:val="5D2D4991"/>
    <w:rsid w:val="5D33227E"/>
    <w:rsid w:val="5D34731D"/>
    <w:rsid w:val="5D3B2DA1"/>
    <w:rsid w:val="5D3F4EE7"/>
    <w:rsid w:val="5D4167F6"/>
    <w:rsid w:val="5D472F7A"/>
    <w:rsid w:val="5D485E8A"/>
    <w:rsid w:val="5D5061F6"/>
    <w:rsid w:val="5D5340D1"/>
    <w:rsid w:val="5D576B48"/>
    <w:rsid w:val="5D5C41FE"/>
    <w:rsid w:val="5D5F0A7D"/>
    <w:rsid w:val="5D66351C"/>
    <w:rsid w:val="5D6F0D72"/>
    <w:rsid w:val="5D785293"/>
    <w:rsid w:val="5D7B3D56"/>
    <w:rsid w:val="5D916CAE"/>
    <w:rsid w:val="5D9C4163"/>
    <w:rsid w:val="5DA259CE"/>
    <w:rsid w:val="5DA6197D"/>
    <w:rsid w:val="5DAC1AF4"/>
    <w:rsid w:val="5DCA2BF3"/>
    <w:rsid w:val="5DE10E9F"/>
    <w:rsid w:val="5DEE5462"/>
    <w:rsid w:val="5DF2326F"/>
    <w:rsid w:val="5E0019CA"/>
    <w:rsid w:val="5E05392F"/>
    <w:rsid w:val="5E13035D"/>
    <w:rsid w:val="5E1520FB"/>
    <w:rsid w:val="5E164402"/>
    <w:rsid w:val="5E190937"/>
    <w:rsid w:val="5E1D00E4"/>
    <w:rsid w:val="5E1E5DD6"/>
    <w:rsid w:val="5E2733FB"/>
    <w:rsid w:val="5E316AFD"/>
    <w:rsid w:val="5E3D0CA4"/>
    <w:rsid w:val="5E405FE4"/>
    <w:rsid w:val="5E425E40"/>
    <w:rsid w:val="5E460BCD"/>
    <w:rsid w:val="5E5601C8"/>
    <w:rsid w:val="5E576DE2"/>
    <w:rsid w:val="5E660813"/>
    <w:rsid w:val="5E6D5F1F"/>
    <w:rsid w:val="5E710550"/>
    <w:rsid w:val="5E774B75"/>
    <w:rsid w:val="5E7E4FA0"/>
    <w:rsid w:val="5E8E5228"/>
    <w:rsid w:val="5E931FDE"/>
    <w:rsid w:val="5E980B8C"/>
    <w:rsid w:val="5E98586C"/>
    <w:rsid w:val="5EA21B2A"/>
    <w:rsid w:val="5EB34D80"/>
    <w:rsid w:val="5EBE7699"/>
    <w:rsid w:val="5ECC3B3F"/>
    <w:rsid w:val="5ED17964"/>
    <w:rsid w:val="5ED212BA"/>
    <w:rsid w:val="5ED24D49"/>
    <w:rsid w:val="5ED84F3E"/>
    <w:rsid w:val="5ED93ADC"/>
    <w:rsid w:val="5EDC30C9"/>
    <w:rsid w:val="5EDD33F4"/>
    <w:rsid w:val="5EDF6676"/>
    <w:rsid w:val="5EEA73C7"/>
    <w:rsid w:val="5EF12D5D"/>
    <w:rsid w:val="5EF5626E"/>
    <w:rsid w:val="5EF63AD2"/>
    <w:rsid w:val="5EF71F79"/>
    <w:rsid w:val="5F0913F8"/>
    <w:rsid w:val="5F0A4556"/>
    <w:rsid w:val="5F0E24D1"/>
    <w:rsid w:val="5F1955DA"/>
    <w:rsid w:val="5F2D125D"/>
    <w:rsid w:val="5F380DAA"/>
    <w:rsid w:val="5F402692"/>
    <w:rsid w:val="5F426569"/>
    <w:rsid w:val="5F472E78"/>
    <w:rsid w:val="5F4E062F"/>
    <w:rsid w:val="5F630463"/>
    <w:rsid w:val="5F655520"/>
    <w:rsid w:val="5F8465BC"/>
    <w:rsid w:val="5F8A1B1C"/>
    <w:rsid w:val="5F8B5C0B"/>
    <w:rsid w:val="5F9525E6"/>
    <w:rsid w:val="5F9BE872"/>
    <w:rsid w:val="5F9F7162"/>
    <w:rsid w:val="5FA57D4B"/>
    <w:rsid w:val="5FAA3128"/>
    <w:rsid w:val="5FAD7BA5"/>
    <w:rsid w:val="5FB110A3"/>
    <w:rsid w:val="5FC108FD"/>
    <w:rsid w:val="5FC55CDC"/>
    <w:rsid w:val="5FC67A66"/>
    <w:rsid w:val="5FC916DB"/>
    <w:rsid w:val="5FCE4486"/>
    <w:rsid w:val="5FD37FDD"/>
    <w:rsid w:val="5FDA059C"/>
    <w:rsid w:val="5FDBEB1F"/>
    <w:rsid w:val="5FDC5927"/>
    <w:rsid w:val="5FE10120"/>
    <w:rsid w:val="5FE5C7E5"/>
    <w:rsid w:val="5FEFE69E"/>
    <w:rsid w:val="5FF32DAA"/>
    <w:rsid w:val="600148D7"/>
    <w:rsid w:val="60033C9F"/>
    <w:rsid w:val="60046906"/>
    <w:rsid w:val="6007012E"/>
    <w:rsid w:val="600A5F05"/>
    <w:rsid w:val="600E7079"/>
    <w:rsid w:val="60141E89"/>
    <w:rsid w:val="601B2C3A"/>
    <w:rsid w:val="601E15B7"/>
    <w:rsid w:val="601E2AB6"/>
    <w:rsid w:val="60227F08"/>
    <w:rsid w:val="602C18F0"/>
    <w:rsid w:val="603371AD"/>
    <w:rsid w:val="603B318E"/>
    <w:rsid w:val="603C6A24"/>
    <w:rsid w:val="603F57EB"/>
    <w:rsid w:val="60455DBA"/>
    <w:rsid w:val="60536DD5"/>
    <w:rsid w:val="605F3C29"/>
    <w:rsid w:val="60633DAC"/>
    <w:rsid w:val="60666EEB"/>
    <w:rsid w:val="606B6338"/>
    <w:rsid w:val="606F4877"/>
    <w:rsid w:val="606F71ED"/>
    <w:rsid w:val="60713767"/>
    <w:rsid w:val="607A6250"/>
    <w:rsid w:val="607F56A4"/>
    <w:rsid w:val="607F642D"/>
    <w:rsid w:val="60805859"/>
    <w:rsid w:val="60852AB3"/>
    <w:rsid w:val="609C3128"/>
    <w:rsid w:val="609D5FC1"/>
    <w:rsid w:val="60A34758"/>
    <w:rsid w:val="60A83FAB"/>
    <w:rsid w:val="60AC2EC1"/>
    <w:rsid w:val="60B07760"/>
    <w:rsid w:val="60BC5376"/>
    <w:rsid w:val="60C566AF"/>
    <w:rsid w:val="60C91A54"/>
    <w:rsid w:val="60CB4AF7"/>
    <w:rsid w:val="60D16B2A"/>
    <w:rsid w:val="60E13B8E"/>
    <w:rsid w:val="60EB44CB"/>
    <w:rsid w:val="60EF7D36"/>
    <w:rsid w:val="60F3721E"/>
    <w:rsid w:val="60F76ED9"/>
    <w:rsid w:val="60F83130"/>
    <w:rsid w:val="60F97783"/>
    <w:rsid w:val="61120208"/>
    <w:rsid w:val="6119625D"/>
    <w:rsid w:val="611D3CF0"/>
    <w:rsid w:val="611E326B"/>
    <w:rsid w:val="612C4E85"/>
    <w:rsid w:val="613934C7"/>
    <w:rsid w:val="61405D6B"/>
    <w:rsid w:val="61442516"/>
    <w:rsid w:val="614D13CA"/>
    <w:rsid w:val="614D26BA"/>
    <w:rsid w:val="61523AA8"/>
    <w:rsid w:val="61556210"/>
    <w:rsid w:val="61657FDC"/>
    <w:rsid w:val="6166527D"/>
    <w:rsid w:val="61741BC9"/>
    <w:rsid w:val="61752C9D"/>
    <w:rsid w:val="618169E2"/>
    <w:rsid w:val="618327EB"/>
    <w:rsid w:val="61836DF3"/>
    <w:rsid w:val="618F5C05"/>
    <w:rsid w:val="6198070F"/>
    <w:rsid w:val="619E27B6"/>
    <w:rsid w:val="619F4839"/>
    <w:rsid w:val="61BD37EC"/>
    <w:rsid w:val="61C74AAC"/>
    <w:rsid w:val="61C827FF"/>
    <w:rsid w:val="61C9415B"/>
    <w:rsid w:val="61CA0FA8"/>
    <w:rsid w:val="61CD7A33"/>
    <w:rsid w:val="61CF4006"/>
    <w:rsid w:val="61D73ADF"/>
    <w:rsid w:val="61DF14C5"/>
    <w:rsid w:val="61DF6AAF"/>
    <w:rsid w:val="61E21FBD"/>
    <w:rsid w:val="61E41DC0"/>
    <w:rsid w:val="61E613BA"/>
    <w:rsid w:val="61EB42AB"/>
    <w:rsid w:val="61F1571A"/>
    <w:rsid w:val="621305AE"/>
    <w:rsid w:val="62165134"/>
    <w:rsid w:val="621D2BD9"/>
    <w:rsid w:val="622A6D9F"/>
    <w:rsid w:val="62350D90"/>
    <w:rsid w:val="62391BE7"/>
    <w:rsid w:val="623A39FE"/>
    <w:rsid w:val="623B0410"/>
    <w:rsid w:val="623B4E0F"/>
    <w:rsid w:val="623D2C0E"/>
    <w:rsid w:val="623F7B99"/>
    <w:rsid w:val="62403A97"/>
    <w:rsid w:val="625326EB"/>
    <w:rsid w:val="62584A6B"/>
    <w:rsid w:val="62646147"/>
    <w:rsid w:val="62657961"/>
    <w:rsid w:val="62704F00"/>
    <w:rsid w:val="6277038C"/>
    <w:rsid w:val="62776DE4"/>
    <w:rsid w:val="627F1FA8"/>
    <w:rsid w:val="628B55F7"/>
    <w:rsid w:val="62982F71"/>
    <w:rsid w:val="6299063F"/>
    <w:rsid w:val="629F7852"/>
    <w:rsid w:val="62A65811"/>
    <w:rsid w:val="62AB68B6"/>
    <w:rsid w:val="62B312CC"/>
    <w:rsid w:val="62B73D40"/>
    <w:rsid w:val="62C12636"/>
    <w:rsid w:val="62CF4B57"/>
    <w:rsid w:val="62CF7066"/>
    <w:rsid w:val="62D13F1D"/>
    <w:rsid w:val="62D23953"/>
    <w:rsid w:val="62D41928"/>
    <w:rsid w:val="62D545BF"/>
    <w:rsid w:val="62D94CCA"/>
    <w:rsid w:val="62DD1DC6"/>
    <w:rsid w:val="62E82867"/>
    <w:rsid w:val="62EB119D"/>
    <w:rsid w:val="63037677"/>
    <w:rsid w:val="630E06E5"/>
    <w:rsid w:val="63104229"/>
    <w:rsid w:val="63387E58"/>
    <w:rsid w:val="633A772C"/>
    <w:rsid w:val="635238A7"/>
    <w:rsid w:val="63530F13"/>
    <w:rsid w:val="63552085"/>
    <w:rsid w:val="63560197"/>
    <w:rsid w:val="63583E36"/>
    <w:rsid w:val="635E1DA0"/>
    <w:rsid w:val="636464E6"/>
    <w:rsid w:val="637341BD"/>
    <w:rsid w:val="6389141D"/>
    <w:rsid w:val="6389162B"/>
    <w:rsid w:val="6396643A"/>
    <w:rsid w:val="63974F1F"/>
    <w:rsid w:val="639D156E"/>
    <w:rsid w:val="63A90EA8"/>
    <w:rsid w:val="63AD68AC"/>
    <w:rsid w:val="63B85679"/>
    <w:rsid w:val="63C17C50"/>
    <w:rsid w:val="63D759A6"/>
    <w:rsid w:val="63D767D6"/>
    <w:rsid w:val="63D86AEA"/>
    <w:rsid w:val="63DB3AA3"/>
    <w:rsid w:val="63DD23A0"/>
    <w:rsid w:val="63E207D6"/>
    <w:rsid w:val="63E92D78"/>
    <w:rsid w:val="63F4037D"/>
    <w:rsid w:val="63F57B13"/>
    <w:rsid w:val="64171CD1"/>
    <w:rsid w:val="64191A38"/>
    <w:rsid w:val="641933B4"/>
    <w:rsid w:val="642322B3"/>
    <w:rsid w:val="642575A3"/>
    <w:rsid w:val="64275846"/>
    <w:rsid w:val="64524D2D"/>
    <w:rsid w:val="64533F7C"/>
    <w:rsid w:val="64732AFC"/>
    <w:rsid w:val="64A03170"/>
    <w:rsid w:val="64AB2E71"/>
    <w:rsid w:val="64B34F79"/>
    <w:rsid w:val="64C6097E"/>
    <w:rsid w:val="64CC5F19"/>
    <w:rsid w:val="64CE5556"/>
    <w:rsid w:val="64D60F93"/>
    <w:rsid w:val="64D75F7C"/>
    <w:rsid w:val="64DE058B"/>
    <w:rsid w:val="64E04EB2"/>
    <w:rsid w:val="64EA14F3"/>
    <w:rsid w:val="64F795B3"/>
    <w:rsid w:val="64FF4B2D"/>
    <w:rsid w:val="65125366"/>
    <w:rsid w:val="65287FD6"/>
    <w:rsid w:val="65361155"/>
    <w:rsid w:val="65366165"/>
    <w:rsid w:val="65377C43"/>
    <w:rsid w:val="653900FF"/>
    <w:rsid w:val="653B3331"/>
    <w:rsid w:val="654C3747"/>
    <w:rsid w:val="654E7CF1"/>
    <w:rsid w:val="655666FC"/>
    <w:rsid w:val="655E689A"/>
    <w:rsid w:val="656646C6"/>
    <w:rsid w:val="65674B54"/>
    <w:rsid w:val="656F5389"/>
    <w:rsid w:val="65724839"/>
    <w:rsid w:val="657D17E9"/>
    <w:rsid w:val="657D45E9"/>
    <w:rsid w:val="65857371"/>
    <w:rsid w:val="658F6723"/>
    <w:rsid w:val="6593051A"/>
    <w:rsid w:val="65A25E7A"/>
    <w:rsid w:val="65A647C6"/>
    <w:rsid w:val="65A903A2"/>
    <w:rsid w:val="65AD0D92"/>
    <w:rsid w:val="65B75596"/>
    <w:rsid w:val="65BC0B53"/>
    <w:rsid w:val="65BC7976"/>
    <w:rsid w:val="65BD3C1E"/>
    <w:rsid w:val="65BE0386"/>
    <w:rsid w:val="65BF660F"/>
    <w:rsid w:val="65CB6D62"/>
    <w:rsid w:val="65DF0FAD"/>
    <w:rsid w:val="65E15792"/>
    <w:rsid w:val="65E375F3"/>
    <w:rsid w:val="65ED1682"/>
    <w:rsid w:val="65F2272A"/>
    <w:rsid w:val="65F40DCB"/>
    <w:rsid w:val="65FE0780"/>
    <w:rsid w:val="65FF654E"/>
    <w:rsid w:val="660E58E1"/>
    <w:rsid w:val="661B7F4C"/>
    <w:rsid w:val="662F448D"/>
    <w:rsid w:val="66325581"/>
    <w:rsid w:val="663B148B"/>
    <w:rsid w:val="66467E89"/>
    <w:rsid w:val="665244C4"/>
    <w:rsid w:val="66532677"/>
    <w:rsid w:val="66585D99"/>
    <w:rsid w:val="66614756"/>
    <w:rsid w:val="666D1C16"/>
    <w:rsid w:val="66797B0B"/>
    <w:rsid w:val="667C5CF6"/>
    <w:rsid w:val="667D14E3"/>
    <w:rsid w:val="668F68AC"/>
    <w:rsid w:val="669205A9"/>
    <w:rsid w:val="669D34CD"/>
    <w:rsid w:val="66A511AD"/>
    <w:rsid w:val="66A60462"/>
    <w:rsid w:val="66A60A07"/>
    <w:rsid w:val="66A65960"/>
    <w:rsid w:val="66A87161"/>
    <w:rsid w:val="66AC176D"/>
    <w:rsid w:val="66B0435D"/>
    <w:rsid w:val="66B07F66"/>
    <w:rsid w:val="66B51E22"/>
    <w:rsid w:val="66BB4E2E"/>
    <w:rsid w:val="66BE247C"/>
    <w:rsid w:val="66BF7E19"/>
    <w:rsid w:val="66C37A39"/>
    <w:rsid w:val="66C6353A"/>
    <w:rsid w:val="66CF2B24"/>
    <w:rsid w:val="66D03130"/>
    <w:rsid w:val="66DD0934"/>
    <w:rsid w:val="66E33424"/>
    <w:rsid w:val="66E348A8"/>
    <w:rsid w:val="66E80E95"/>
    <w:rsid w:val="66EA1F1E"/>
    <w:rsid w:val="66F42120"/>
    <w:rsid w:val="67004F6F"/>
    <w:rsid w:val="6712065A"/>
    <w:rsid w:val="671532E0"/>
    <w:rsid w:val="6717562E"/>
    <w:rsid w:val="67281693"/>
    <w:rsid w:val="6729003B"/>
    <w:rsid w:val="672E19F4"/>
    <w:rsid w:val="6734779A"/>
    <w:rsid w:val="673D258E"/>
    <w:rsid w:val="673D3550"/>
    <w:rsid w:val="674463BE"/>
    <w:rsid w:val="674D0746"/>
    <w:rsid w:val="674D25A4"/>
    <w:rsid w:val="674E128C"/>
    <w:rsid w:val="675469F1"/>
    <w:rsid w:val="67566AFF"/>
    <w:rsid w:val="67592823"/>
    <w:rsid w:val="675A2102"/>
    <w:rsid w:val="675B29A9"/>
    <w:rsid w:val="677146EC"/>
    <w:rsid w:val="677320DA"/>
    <w:rsid w:val="67801DCE"/>
    <w:rsid w:val="678D4F88"/>
    <w:rsid w:val="67A15D77"/>
    <w:rsid w:val="67C133F3"/>
    <w:rsid w:val="67D06F55"/>
    <w:rsid w:val="67DF427E"/>
    <w:rsid w:val="67EB48B1"/>
    <w:rsid w:val="67EF52FD"/>
    <w:rsid w:val="67F2123B"/>
    <w:rsid w:val="67F437F1"/>
    <w:rsid w:val="67F708FD"/>
    <w:rsid w:val="67FB0B67"/>
    <w:rsid w:val="6800428D"/>
    <w:rsid w:val="68024591"/>
    <w:rsid w:val="680672DA"/>
    <w:rsid w:val="68072EE6"/>
    <w:rsid w:val="680C781B"/>
    <w:rsid w:val="68136337"/>
    <w:rsid w:val="68187347"/>
    <w:rsid w:val="681C3968"/>
    <w:rsid w:val="681F2F55"/>
    <w:rsid w:val="68215C54"/>
    <w:rsid w:val="68323619"/>
    <w:rsid w:val="683A4656"/>
    <w:rsid w:val="6846757A"/>
    <w:rsid w:val="684F41F3"/>
    <w:rsid w:val="686027FB"/>
    <w:rsid w:val="6867259A"/>
    <w:rsid w:val="68673329"/>
    <w:rsid w:val="68685B48"/>
    <w:rsid w:val="686F16F1"/>
    <w:rsid w:val="68703BF0"/>
    <w:rsid w:val="687B4401"/>
    <w:rsid w:val="687D4EE3"/>
    <w:rsid w:val="688A0FE4"/>
    <w:rsid w:val="688D5858"/>
    <w:rsid w:val="689C6793"/>
    <w:rsid w:val="68B0750C"/>
    <w:rsid w:val="68BB7D22"/>
    <w:rsid w:val="68C06671"/>
    <w:rsid w:val="68C82B24"/>
    <w:rsid w:val="68CD364D"/>
    <w:rsid w:val="68D65F9A"/>
    <w:rsid w:val="68D92D3B"/>
    <w:rsid w:val="68E111D3"/>
    <w:rsid w:val="68E5371B"/>
    <w:rsid w:val="68EF2D17"/>
    <w:rsid w:val="68EF720B"/>
    <w:rsid w:val="69042E3B"/>
    <w:rsid w:val="69070C4B"/>
    <w:rsid w:val="691629B3"/>
    <w:rsid w:val="69192491"/>
    <w:rsid w:val="69205A56"/>
    <w:rsid w:val="692E6EFE"/>
    <w:rsid w:val="692E7D33"/>
    <w:rsid w:val="69364B92"/>
    <w:rsid w:val="693659F2"/>
    <w:rsid w:val="693712BE"/>
    <w:rsid w:val="693D7231"/>
    <w:rsid w:val="693F5300"/>
    <w:rsid w:val="6943492B"/>
    <w:rsid w:val="6944444E"/>
    <w:rsid w:val="69483106"/>
    <w:rsid w:val="694A1EA0"/>
    <w:rsid w:val="694C47A5"/>
    <w:rsid w:val="696C73B6"/>
    <w:rsid w:val="696F20F1"/>
    <w:rsid w:val="69717C20"/>
    <w:rsid w:val="697C2F9E"/>
    <w:rsid w:val="697C63E7"/>
    <w:rsid w:val="6981095F"/>
    <w:rsid w:val="69831C08"/>
    <w:rsid w:val="6983789C"/>
    <w:rsid w:val="69861AD3"/>
    <w:rsid w:val="698A40AC"/>
    <w:rsid w:val="69B114B2"/>
    <w:rsid w:val="69B2740E"/>
    <w:rsid w:val="69BB66E2"/>
    <w:rsid w:val="69BE1E34"/>
    <w:rsid w:val="69C877CC"/>
    <w:rsid w:val="69CB1715"/>
    <w:rsid w:val="69D44DA6"/>
    <w:rsid w:val="69D9447A"/>
    <w:rsid w:val="69FE3307"/>
    <w:rsid w:val="6A051B91"/>
    <w:rsid w:val="6A052EEB"/>
    <w:rsid w:val="6A114BAE"/>
    <w:rsid w:val="6A124BF8"/>
    <w:rsid w:val="6A2543DD"/>
    <w:rsid w:val="6A2C7692"/>
    <w:rsid w:val="6A42252D"/>
    <w:rsid w:val="6A437B53"/>
    <w:rsid w:val="6A4852DF"/>
    <w:rsid w:val="6A4B66C3"/>
    <w:rsid w:val="6A4C4615"/>
    <w:rsid w:val="6A5835D0"/>
    <w:rsid w:val="6A5F6401"/>
    <w:rsid w:val="6A610CC7"/>
    <w:rsid w:val="6A677304"/>
    <w:rsid w:val="6A6A3C85"/>
    <w:rsid w:val="6A7B55F6"/>
    <w:rsid w:val="6A7C0F13"/>
    <w:rsid w:val="6A84016A"/>
    <w:rsid w:val="6A895A07"/>
    <w:rsid w:val="6A8A6895"/>
    <w:rsid w:val="6A965AEE"/>
    <w:rsid w:val="6A9E2AF7"/>
    <w:rsid w:val="6AA84591"/>
    <w:rsid w:val="6AB80A8E"/>
    <w:rsid w:val="6ABE4686"/>
    <w:rsid w:val="6ABF5D48"/>
    <w:rsid w:val="6ACF28EE"/>
    <w:rsid w:val="6ADB1317"/>
    <w:rsid w:val="6AE47057"/>
    <w:rsid w:val="6AE47850"/>
    <w:rsid w:val="6AE7764D"/>
    <w:rsid w:val="6AEE41BF"/>
    <w:rsid w:val="6AF02066"/>
    <w:rsid w:val="6AF36189"/>
    <w:rsid w:val="6AF4065D"/>
    <w:rsid w:val="6B046E75"/>
    <w:rsid w:val="6B050AD7"/>
    <w:rsid w:val="6B062DBD"/>
    <w:rsid w:val="6B0C5DE9"/>
    <w:rsid w:val="6B1341EC"/>
    <w:rsid w:val="6B33587D"/>
    <w:rsid w:val="6B3C02B0"/>
    <w:rsid w:val="6B452210"/>
    <w:rsid w:val="6B4A472C"/>
    <w:rsid w:val="6B577812"/>
    <w:rsid w:val="6B58610C"/>
    <w:rsid w:val="6B5870D4"/>
    <w:rsid w:val="6B5E0BFF"/>
    <w:rsid w:val="6B631707"/>
    <w:rsid w:val="6B647BB1"/>
    <w:rsid w:val="6B6526B7"/>
    <w:rsid w:val="6B72240E"/>
    <w:rsid w:val="6B8F0D6C"/>
    <w:rsid w:val="6B906622"/>
    <w:rsid w:val="6B9277EC"/>
    <w:rsid w:val="6B944BB0"/>
    <w:rsid w:val="6B952C2A"/>
    <w:rsid w:val="6B95591D"/>
    <w:rsid w:val="6BA66B12"/>
    <w:rsid w:val="6BB16D84"/>
    <w:rsid w:val="6BB23862"/>
    <w:rsid w:val="6BB817F5"/>
    <w:rsid w:val="6BBF0ACA"/>
    <w:rsid w:val="6BCF6E80"/>
    <w:rsid w:val="6BDE41F5"/>
    <w:rsid w:val="6BE97F42"/>
    <w:rsid w:val="6BF36473"/>
    <w:rsid w:val="6C050806"/>
    <w:rsid w:val="6C051389"/>
    <w:rsid w:val="6C0841CC"/>
    <w:rsid w:val="6C086BA9"/>
    <w:rsid w:val="6C133160"/>
    <w:rsid w:val="6C193318"/>
    <w:rsid w:val="6C1B6564"/>
    <w:rsid w:val="6C24168A"/>
    <w:rsid w:val="6C331D46"/>
    <w:rsid w:val="6C335661"/>
    <w:rsid w:val="6C41521A"/>
    <w:rsid w:val="6C416DB1"/>
    <w:rsid w:val="6C4269D5"/>
    <w:rsid w:val="6C46618C"/>
    <w:rsid w:val="6C4D1421"/>
    <w:rsid w:val="6C6711FD"/>
    <w:rsid w:val="6C6D44AC"/>
    <w:rsid w:val="6C7609BB"/>
    <w:rsid w:val="6C77479E"/>
    <w:rsid w:val="6C775757"/>
    <w:rsid w:val="6C78426D"/>
    <w:rsid w:val="6C7F4E9A"/>
    <w:rsid w:val="6C8053A3"/>
    <w:rsid w:val="6C87130A"/>
    <w:rsid w:val="6C961FA6"/>
    <w:rsid w:val="6C97750F"/>
    <w:rsid w:val="6C9E7F49"/>
    <w:rsid w:val="6CA16795"/>
    <w:rsid w:val="6CA7333C"/>
    <w:rsid w:val="6CBE1C40"/>
    <w:rsid w:val="6CC83FFB"/>
    <w:rsid w:val="6CD65270"/>
    <w:rsid w:val="6CE6465F"/>
    <w:rsid w:val="6CE748F8"/>
    <w:rsid w:val="6CE94267"/>
    <w:rsid w:val="6CEE5112"/>
    <w:rsid w:val="6CF054A1"/>
    <w:rsid w:val="6CF71BCE"/>
    <w:rsid w:val="6D0113F9"/>
    <w:rsid w:val="6D0F39EC"/>
    <w:rsid w:val="6D183351"/>
    <w:rsid w:val="6D201EB6"/>
    <w:rsid w:val="6D2157CB"/>
    <w:rsid w:val="6D216A8E"/>
    <w:rsid w:val="6D36459F"/>
    <w:rsid w:val="6D3C6227"/>
    <w:rsid w:val="6D3E4E2D"/>
    <w:rsid w:val="6D3E5585"/>
    <w:rsid w:val="6D483E90"/>
    <w:rsid w:val="6D507239"/>
    <w:rsid w:val="6D5D0BE7"/>
    <w:rsid w:val="6D5F5AD7"/>
    <w:rsid w:val="6D625AE7"/>
    <w:rsid w:val="6D761CA9"/>
    <w:rsid w:val="6D82593E"/>
    <w:rsid w:val="6D8B1030"/>
    <w:rsid w:val="6D8C503A"/>
    <w:rsid w:val="6D906FDA"/>
    <w:rsid w:val="6DA71E62"/>
    <w:rsid w:val="6DA803C5"/>
    <w:rsid w:val="6DAB651A"/>
    <w:rsid w:val="6DBA7385"/>
    <w:rsid w:val="6DC90EEB"/>
    <w:rsid w:val="6DC944C3"/>
    <w:rsid w:val="6DCD453C"/>
    <w:rsid w:val="6DD5739D"/>
    <w:rsid w:val="6DD66BA9"/>
    <w:rsid w:val="6DD82DCB"/>
    <w:rsid w:val="6DE16E65"/>
    <w:rsid w:val="6DF02E64"/>
    <w:rsid w:val="6DFA0D43"/>
    <w:rsid w:val="6DFE521D"/>
    <w:rsid w:val="6E0B59BC"/>
    <w:rsid w:val="6E11750B"/>
    <w:rsid w:val="6E126DE7"/>
    <w:rsid w:val="6E25330A"/>
    <w:rsid w:val="6E25722B"/>
    <w:rsid w:val="6E2E7FDF"/>
    <w:rsid w:val="6E377769"/>
    <w:rsid w:val="6E3B2985"/>
    <w:rsid w:val="6E417DF4"/>
    <w:rsid w:val="6E44491D"/>
    <w:rsid w:val="6E453699"/>
    <w:rsid w:val="6E48648B"/>
    <w:rsid w:val="6E4B5FE5"/>
    <w:rsid w:val="6E50078A"/>
    <w:rsid w:val="6E512302"/>
    <w:rsid w:val="6E537DF7"/>
    <w:rsid w:val="6E59444F"/>
    <w:rsid w:val="6E6B11C9"/>
    <w:rsid w:val="6E6C6C08"/>
    <w:rsid w:val="6E706AE3"/>
    <w:rsid w:val="6E7302FA"/>
    <w:rsid w:val="6E755ABD"/>
    <w:rsid w:val="6E776451"/>
    <w:rsid w:val="6E781F78"/>
    <w:rsid w:val="6E80341E"/>
    <w:rsid w:val="6E847841"/>
    <w:rsid w:val="6E902425"/>
    <w:rsid w:val="6E931FAE"/>
    <w:rsid w:val="6E9333DE"/>
    <w:rsid w:val="6E944C63"/>
    <w:rsid w:val="6EB3031A"/>
    <w:rsid w:val="6EB62363"/>
    <w:rsid w:val="6EB6244A"/>
    <w:rsid w:val="6EB67C0A"/>
    <w:rsid w:val="6EB81086"/>
    <w:rsid w:val="6EBA648A"/>
    <w:rsid w:val="6EBA78B0"/>
    <w:rsid w:val="6EBB81DF"/>
    <w:rsid w:val="6EC4071D"/>
    <w:rsid w:val="6ECB05A7"/>
    <w:rsid w:val="6ED210CF"/>
    <w:rsid w:val="6ED32D5B"/>
    <w:rsid w:val="6ED80986"/>
    <w:rsid w:val="6EE8031F"/>
    <w:rsid w:val="6EED286F"/>
    <w:rsid w:val="6EF3155C"/>
    <w:rsid w:val="6F051B01"/>
    <w:rsid w:val="6F15602E"/>
    <w:rsid w:val="6F1A607B"/>
    <w:rsid w:val="6F1C5CAB"/>
    <w:rsid w:val="6F2634E5"/>
    <w:rsid w:val="6F277E00"/>
    <w:rsid w:val="6F295C58"/>
    <w:rsid w:val="6F345978"/>
    <w:rsid w:val="6F4C7BE8"/>
    <w:rsid w:val="6F50022F"/>
    <w:rsid w:val="6F554945"/>
    <w:rsid w:val="6F5C4ECE"/>
    <w:rsid w:val="6F62614D"/>
    <w:rsid w:val="6F69081A"/>
    <w:rsid w:val="6F6C26F5"/>
    <w:rsid w:val="6F6F3BE4"/>
    <w:rsid w:val="6F7FF3EF"/>
    <w:rsid w:val="6F820674"/>
    <w:rsid w:val="6F845482"/>
    <w:rsid w:val="6F862608"/>
    <w:rsid w:val="6F8B1D9C"/>
    <w:rsid w:val="6F903551"/>
    <w:rsid w:val="6F954DED"/>
    <w:rsid w:val="6F982ED1"/>
    <w:rsid w:val="6FA64830"/>
    <w:rsid w:val="6FB17131"/>
    <w:rsid w:val="6FBD90EA"/>
    <w:rsid w:val="6FC21DF8"/>
    <w:rsid w:val="6FD11B18"/>
    <w:rsid w:val="6FD430CB"/>
    <w:rsid w:val="6FD8C655"/>
    <w:rsid w:val="6FDD6A1C"/>
    <w:rsid w:val="6FE26169"/>
    <w:rsid w:val="6FE4218F"/>
    <w:rsid w:val="6FE462B0"/>
    <w:rsid w:val="6FE76BB1"/>
    <w:rsid w:val="6FF458D1"/>
    <w:rsid w:val="6FFB05FC"/>
    <w:rsid w:val="6FFE0A07"/>
    <w:rsid w:val="70054763"/>
    <w:rsid w:val="700F6F51"/>
    <w:rsid w:val="70141B9E"/>
    <w:rsid w:val="702172A2"/>
    <w:rsid w:val="70293D1D"/>
    <w:rsid w:val="702C21B5"/>
    <w:rsid w:val="702D2AFA"/>
    <w:rsid w:val="70325A4C"/>
    <w:rsid w:val="703643AA"/>
    <w:rsid w:val="70402BE2"/>
    <w:rsid w:val="704A3B99"/>
    <w:rsid w:val="70531FB4"/>
    <w:rsid w:val="7055205E"/>
    <w:rsid w:val="707324D0"/>
    <w:rsid w:val="7081511E"/>
    <w:rsid w:val="70847156"/>
    <w:rsid w:val="709B3825"/>
    <w:rsid w:val="70A510D7"/>
    <w:rsid w:val="70A72179"/>
    <w:rsid w:val="70BC1F86"/>
    <w:rsid w:val="70BE0B57"/>
    <w:rsid w:val="70C04FE9"/>
    <w:rsid w:val="70C071EB"/>
    <w:rsid w:val="70C23D14"/>
    <w:rsid w:val="70C35F02"/>
    <w:rsid w:val="70C90184"/>
    <w:rsid w:val="70D06322"/>
    <w:rsid w:val="70D721BA"/>
    <w:rsid w:val="70D93901"/>
    <w:rsid w:val="70DA7040"/>
    <w:rsid w:val="70DC4595"/>
    <w:rsid w:val="70E64A50"/>
    <w:rsid w:val="70E83B3D"/>
    <w:rsid w:val="70EA5741"/>
    <w:rsid w:val="70F57CC3"/>
    <w:rsid w:val="70FB0BEB"/>
    <w:rsid w:val="712C6846"/>
    <w:rsid w:val="712F563F"/>
    <w:rsid w:val="71381855"/>
    <w:rsid w:val="713F2E73"/>
    <w:rsid w:val="7147103D"/>
    <w:rsid w:val="715363C0"/>
    <w:rsid w:val="715A3543"/>
    <w:rsid w:val="715E1EAA"/>
    <w:rsid w:val="715E24ED"/>
    <w:rsid w:val="7160338A"/>
    <w:rsid w:val="716B73B6"/>
    <w:rsid w:val="716E0FED"/>
    <w:rsid w:val="717265C6"/>
    <w:rsid w:val="718904D2"/>
    <w:rsid w:val="718E0B4E"/>
    <w:rsid w:val="71906FFB"/>
    <w:rsid w:val="71A92816"/>
    <w:rsid w:val="71BC70AD"/>
    <w:rsid w:val="71BC7EA6"/>
    <w:rsid w:val="71BD453A"/>
    <w:rsid w:val="71BE3332"/>
    <w:rsid w:val="71C91E29"/>
    <w:rsid w:val="71CA7D4F"/>
    <w:rsid w:val="71D81EE9"/>
    <w:rsid w:val="71DE2D95"/>
    <w:rsid w:val="71E62D14"/>
    <w:rsid w:val="71E74944"/>
    <w:rsid w:val="71ED4917"/>
    <w:rsid w:val="71EE46BF"/>
    <w:rsid w:val="71F33E1D"/>
    <w:rsid w:val="71F45E0E"/>
    <w:rsid w:val="720428EA"/>
    <w:rsid w:val="72064D71"/>
    <w:rsid w:val="720807E0"/>
    <w:rsid w:val="720B35D6"/>
    <w:rsid w:val="72105598"/>
    <w:rsid w:val="72222F3A"/>
    <w:rsid w:val="722315D6"/>
    <w:rsid w:val="72232172"/>
    <w:rsid w:val="723914F7"/>
    <w:rsid w:val="723F3532"/>
    <w:rsid w:val="724257AF"/>
    <w:rsid w:val="72480845"/>
    <w:rsid w:val="724D630D"/>
    <w:rsid w:val="72540406"/>
    <w:rsid w:val="727869DF"/>
    <w:rsid w:val="72822DE7"/>
    <w:rsid w:val="728B6163"/>
    <w:rsid w:val="728D3A4C"/>
    <w:rsid w:val="728F555B"/>
    <w:rsid w:val="729C3CFE"/>
    <w:rsid w:val="729F737F"/>
    <w:rsid w:val="72A22A2D"/>
    <w:rsid w:val="72AA235F"/>
    <w:rsid w:val="72BA7455"/>
    <w:rsid w:val="72C04F62"/>
    <w:rsid w:val="72CE7CB6"/>
    <w:rsid w:val="72D54C5F"/>
    <w:rsid w:val="72D8598F"/>
    <w:rsid w:val="72DC4D9E"/>
    <w:rsid w:val="72E46C27"/>
    <w:rsid w:val="72EA3A13"/>
    <w:rsid w:val="72F051F0"/>
    <w:rsid w:val="72F15578"/>
    <w:rsid w:val="72FB3F06"/>
    <w:rsid w:val="73076070"/>
    <w:rsid w:val="730D20C3"/>
    <w:rsid w:val="730D431B"/>
    <w:rsid w:val="730F55A5"/>
    <w:rsid w:val="73202F9E"/>
    <w:rsid w:val="7324262D"/>
    <w:rsid w:val="732C501B"/>
    <w:rsid w:val="733321EF"/>
    <w:rsid w:val="73344525"/>
    <w:rsid w:val="73346116"/>
    <w:rsid w:val="73381174"/>
    <w:rsid w:val="733A2FF3"/>
    <w:rsid w:val="73447147"/>
    <w:rsid w:val="734604B2"/>
    <w:rsid w:val="734A486A"/>
    <w:rsid w:val="73601E95"/>
    <w:rsid w:val="736223C0"/>
    <w:rsid w:val="73766D5E"/>
    <w:rsid w:val="738049B5"/>
    <w:rsid w:val="7386251A"/>
    <w:rsid w:val="73991737"/>
    <w:rsid w:val="739A1145"/>
    <w:rsid w:val="73A87340"/>
    <w:rsid w:val="73AA6A33"/>
    <w:rsid w:val="73AC5D54"/>
    <w:rsid w:val="73B01345"/>
    <w:rsid w:val="73B50A8C"/>
    <w:rsid w:val="73B74896"/>
    <w:rsid w:val="73B81A1E"/>
    <w:rsid w:val="73BE3B2B"/>
    <w:rsid w:val="73C562BB"/>
    <w:rsid w:val="73D126E0"/>
    <w:rsid w:val="73D57B8A"/>
    <w:rsid w:val="73E43A15"/>
    <w:rsid w:val="73E62FB9"/>
    <w:rsid w:val="73E802EE"/>
    <w:rsid w:val="73F0347A"/>
    <w:rsid w:val="73FA7BB5"/>
    <w:rsid w:val="73FAFD1D"/>
    <w:rsid w:val="73FB2F2E"/>
    <w:rsid w:val="73FF28B0"/>
    <w:rsid w:val="741416DB"/>
    <w:rsid w:val="7416197C"/>
    <w:rsid w:val="741E1AAE"/>
    <w:rsid w:val="74281165"/>
    <w:rsid w:val="7428668D"/>
    <w:rsid w:val="743B4F03"/>
    <w:rsid w:val="743E0242"/>
    <w:rsid w:val="74430925"/>
    <w:rsid w:val="74452D97"/>
    <w:rsid w:val="74454183"/>
    <w:rsid w:val="74456EB7"/>
    <w:rsid w:val="74543791"/>
    <w:rsid w:val="74565DC9"/>
    <w:rsid w:val="745B0473"/>
    <w:rsid w:val="74624D35"/>
    <w:rsid w:val="74662D0F"/>
    <w:rsid w:val="74686F84"/>
    <w:rsid w:val="746A433F"/>
    <w:rsid w:val="746D1C4C"/>
    <w:rsid w:val="746D61EC"/>
    <w:rsid w:val="74774491"/>
    <w:rsid w:val="748B713E"/>
    <w:rsid w:val="74992C5F"/>
    <w:rsid w:val="74A30C5C"/>
    <w:rsid w:val="74AA68D2"/>
    <w:rsid w:val="74B55CF4"/>
    <w:rsid w:val="74C36237"/>
    <w:rsid w:val="74D10BFA"/>
    <w:rsid w:val="74DB1C68"/>
    <w:rsid w:val="74E91E1C"/>
    <w:rsid w:val="74ED72C7"/>
    <w:rsid w:val="74EF29BE"/>
    <w:rsid w:val="74FD1343"/>
    <w:rsid w:val="74FF07D6"/>
    <w:rsid w:val="750025AF"/>
    <w:rsid w:val="75022D7A"/>
    <w:rsid w:val="750777A8"/>
    <w:rsid w:val="75087DBF"/>
    <w:rsid w:val="750C0598"/>
    <w:rsid w:val="75230B8C"/>
    <w:rsid w:val="75237D1E"/>
    <w:rsid w:val="752A6094"/>
    <w:rsid w:val="753303F6"/>
    <w:rsid w:val="754200FE"/>
    <w:rsid w:val="754338E4"/>
    <w:rsid w:val="75486E91"/>
    <w:rsid w:val="754D5872"/>
    <w:rsid w:val="756F5DF6"/>
    <w:rsid w:val="757DF2EA"/>
    <w:rsid w:val="75856176"/>
    <w:rsid w:val="7587000A"/>
    <w:rsid w:val="75880462"/>
    <w:rsid w:val="758A7BDE"/>
    <w:rsid w:val="75951A34"/>
    <w:rsid w:val="75967EA6"/>
    <w:rsid w:val="759A1BF3"/>
    <w:rsid w:val="75A56BB9"/>
    <w:rsid w:val="75AA60F6"/>
    <w:rsid w:val="75AF7AD8"/>
    <w:rsid w:val="75C93709"/>
    <w:rsid w:val="75D47243"/>
    <w:rsid w:val="75E1612D"/>
    <w:rsid w:val="75F735C7"/>
    <w:rsid w:val="75F73D5C"/>
    <w:rsid w:val="75F74031"/>
    <w:rsid w:val="75F74894"/>
    <w:rsid w:val="75FF63B0"/>
    <w:rsid w:val="76030174"/>
    <w:rsid w:val="761E56F5"/>
    <w:rsid w:val="76202F8A"/>
    <w:rsid w:val="76211548"/>
    <w:rsid w:val="76277701"/>
    <w:rsid w:val="7645565E"/>
    <w:rsid w:val="76466EEC"/>
    <w:rsid w:val="764809FC"/>
    <w:rsid w:val="76504242"/>
    <w:rsid w:val="76517B5E"/>
    <w:rsid w:val="766E4CE7"/>
    <w:rsid w:val="76721156"/>
    <w:rsid w:val="767947DA"/>
    <w:rsid w:val="767BB6A8"/>
    <w:rsid w:val="76804CE5"/>
    <w:rsid w:val="768210DA"/>
    <w:rsid w:val="76830F93"/>
    <w:rsid w:val="76892CD5"/>
    <w:rsid w:val="769D08B2"/>
    <w:rsid w:val="769D2E38"/>
    <w:rsid w:val="76A719E7"/>
    <w:rsid w:val="76A96F3F"/>
    <w:rsid w:val="76AE6FBF"/>
    <w:rsid w:val="76B31878"/>
    <w:rsid w:val="76B509DA"/>
    <w:rsid w:val="76C42571"/>
    <w:rsid w:val="76C43067"/>
    <w:rsid w:val="76C7568D"/>
    <w:rsid w:val="76CC64CD"/>
    <w:rsid w:val="76CE66B2"/>
    <w:rsid w:val="76D043B1"/>
    <w:rsid w:val="76D15920"/>
    <w:rsid w:val="76DB492B"/>
    <w:rsid w:val="76DD1A37"/>
    <w:rsid w:val="76E402E7"/>
    <w:rsid w:val="76FD1970"/>
    <w:rsid w:val="76FD8551"/>
    <w:rsid w:val="76FE5981"/>
    <w:rsid w:val="76FF364F"/>
    <w:rsid w:val="771954F0"/>
    <w:rsid w:val="771C2A9E"/>
    <w:rsid w:val="77276172"/>
    <w:rsid w:val="772C0E4C"/>
    <w:rsid w:val="77336001"/>
    <w:rsid w:val="77340054"/>
    <w:rsid w:val="7737035F"/>
    <w:rsid w:val="77384D90"/>
    <w:rsid w:val="773B099A"/>
    <w:rsid w:val="773B12D9"/>
    <w:rsid w:val="774E38E2"/>
    <w:rsid w:val="77531521"/>
    <w:rsid w:val="775A6EFF"/>
    <w:rsid w:val="77602A5C"/>
    <w:rsid w:val="7765359D"/>
    <w:rsid w:val="777A5C05"/>
    <w:rsid w:val="777C6F5D"/>
    <w:rsid w:val="77826526"/>
    <w:rsid w:val="778A2830"/>
    <w:rsid w:val="779E681E"/>
    <w:rsid w:val="77A56A7C"/>
    <w:rsid w:val="77A94CF4"/>
    <w:rsid w:val="77AA7556"/>
    <w:rsid w:val="77AD276B"/>
    <w:rsid w:val="77B77E4D"/>
    <w:rsid w:val="77C1780C"/>
    <w:rsid w:val="77C74EAF"/>
    <w:rsid w:val="77CB164C"/>
    <w:rsid w:val="77D8512B"/>
    <w:rsid w:val="77E33886"/>
    <w:rsid w:val="77E642A5"/>
    <w:rsid w:val="77E67A2B"/>
    <w:rsid w:val="77E72F90"/>
    <w:rsid w:val="77E7573B"/>
    <w:rsid w:val="77EE4C3D"/>
    <w:rsid w:val="77F90D83"/>
    <w:rsid w:val="77FD4065"/>
    <w:rsid w:val="78026A89"/>
    <w:rsid w:val="78075F71"/>
    <w:rsid w:val="780A6C16"/>
    <w:rsid w:val="78260B96"/>
    <w:rsid w:val="782A421E"/>
    <w:rsid w:val="78334FE6"/>
    <w:rsid w:val="784023AC"/>
    <w:rsid w:val="78422C95"/>
    <w:rsid w:val="78432B50"/>
    <w:rsid w:val="78444187"/>
    <w:rsid w:val="784971D4"/>
    <w:rsid w:val="78503924"/>
    <w:rsid w:val="78516ECB"/>
    <w:rsid w:val="78536981"/>
    <w:rsid w:val="785A18D9"/>
    <w:rsid w:val="785B7ADD"/>
    <w:rsid w:val="785C1148"/>
    <w:rsid w:val="786616FB"/>
    <w:rsid w:val="786F4EF1"/>
    <w:rsid w:val="7879264D"/>
    <w:rsid w:val="7879519F"/>
    <w:rsid w:val="787E5EB6"/>
    <w:rsid w:val="787F0BD4"/>
    <w:rsid w:val="78890B2B"/>
    <w:rsid w:val="7897509D"/>
    <w:rsid w:val="789819F1"/>
    <w:rsid w:val="78B069FF"/>
    <w:rsid w:val="78B87C83"/>
    <w:rsid w:val="78CE2C4D"/>
    <w:rsid w:val="78E35119"/>
    <w:rsid w:val="78E5060C"/>
    <w:rsid w:val="78E64249"/>
    <w:rsid w:val="78F243D3"/>
    <w:rsid w:val="78F27C0C"/>
    <w:rsid w:val="78FB2934"/>
    <w:rsid w:val="79113230"/>
    <w:rsid w:val="791912D2"/>
    <w:rsid w:val="791B6A3C"/>
    <w:rsid w:val="792026CD"/>
    <w:rsid w:val="79236BD3"/>
    <w:rsid w:val="792C76F3"/>
    <w:rsid w:val="79303823"/>
    <w:rsid w:val="793C3C9C"/>
    <w:rsid w:val="79480BBB"/>
    <w:rsid w:val="794A2966"/>
    <w:rsid w:val="794C0445"/>
    <w:rsid w:val="794D7966"/>
    <w:rsid w:val="794D7FBD"/>
    <w:rsid w:val="79537226"/>
    <w:rsid w:val="79546D17"/>
    <w:rsid w:val="795A0DE5"/>
    <w:rsid w:val="79606D3A"/>
    <w:rsid w:val="796E674D"/>
    <w:rsid w:val="79761A6A"/>
    <w:rsid w:val="7976D4FC"/>
    <w:rsid w:val="798C0D8C"/>
    <w:rsid w:val="798F7BBC"/>
    <w:rsid w:val="79922AD0"/>
    <w:rsid w:val="799401F5"/>
    <w:rsid w:val="79A91368"/>
    <w:rsid w:val="79AA1BC5"/>
    <w:rsid w:val="79B453BA"/>
    <w:rsid w:val="79BB375C"/>
    <w:rsid w:val="79BC14FA"/>
    <w:rsid w:val="79BC6C95"/>
    <w:rsid w:val="79BF637A"/>
    <w:rsid w:val="79C6724D"/>
    <w:rsid w:val="79C8645E"/>
    <w:rsid w:val="79D447AD"/>
    <w:rsid w:val="79E36382"/>
    <w:rsid w:val="79E90A82"/>
    <w:rsid w:val="79ED7484"/>
    <w:rsid w:val="79ED8A26"/>
    <w:rsid w:val="7A073EA4"/>
    <w:rsid w:val="7A111553"/>
    <w:rsid w:val="7A157F61"/>
    <w:rsid w:val="7A22269D"/>
    <w:rsid w:val="7A254FEF"/>
    <w:rsid w:val="7A260D40"/>
    <w:rsid w:val="7A405BDD"/>
    <w:rsid w:val="7A477834"/>
    <w:rsid w:val="7A5F2117"/>
    <w:rsid w:val="7A6606F5"/>
    <w:rsid w:val="7A793C97"/>
    <w:rsid w:val="7A7E7E6E"/>
    <w:rsid w:val="7A821CF3"/>
    <w:rsid w:val="7A8225DC"/>
    <w:rsid w:val="7A8C6095"/>
    <w:rsid w:val="7A932740"/>
    <w:rsid w:val="7A9C35CA"/>
    <w:rsid w:val="7AA16970"/>
    <w:rsid w:val="7AA25E35"/>
    <w:rsid w:val="7AA64549"/>
    <w:rsid w:val="7AB73699"/>
    <w:rsid w:val="7AB936BD"/>
    <w:rsid w:val="7ABE49C8"/>
    <w:rsid w:val="7AC027B5"/>
    <w:rsid w:val="7ACA7E73"/>
    <w:rsid w:val="7AD6447E"/>
    <w:rsid w:val="7AD65B35"/>
    <w:rsid w:val="7ADD3367"/>
    <w:rsid w:val="7AE214C7"/>
    <w:rsid w:val="7AE52A04"/>
    <w:rsid w:val="7AEB71F4"/>
    <w:rsid w:val="7AF04086"/>
    <w:rsid w:val="7AF15ADC"/>
    <w:rsid w:val="7AFB0420"/>
    <w:rsid w:val="7AFE0EBC"/>
    <w:rsid w:val="7B170035"/>
    <w:rsid w:val="7B18170A"/>
    <w:rsid w:val="7B184512"/>
    <w:rsid w:val="7B1A6DA6"/>
    <w:rsid w:val="7B2B519A"/>
    <w:rsid w:val="7B39350C"/>
    <w:rsid w:val="7B404171"/>
    <w:rsid w:val="7B474E5D"/>
    <w:rsid w:val="7B491AE2"/>
    <w:rsid w:val="7B4C25A9"/>
    <w:rsid w:val="7B542FE3"/>
    <w:rsid w:val="7B55310D"/>
    <w:rsid w:val="7B660273"/>
    <w:rsid w:val="7B6A3D9A"/>
    <w:rsid w:val="7B7148A4"/>
    <w:rsid w:val="7B7956B4"/>
    <w:rsid w:val="7B7F3CA3"/>
    <w:rsid w:val="7B958FAA"/>
    <w:rsid w:val="7B9F5C79"/>
    <w:rsid w:val="7BA10EF5"/>
    <w:rsid w:val="7BB792F0"/>
    <w:rsid w:val="7BBA64B8"/>
    <w:rsid w:val="7BCE5B6A"/>
    <w:rsid w:val="7BCF7843"/>
    <w:rsid w:val="7BD77F03"/>
    <w:rsid w:val="7BE33DFF"/>
    <w:rsid w:val="7BE80DA1"/>
    <w:rsid w:val="7BEE7CEB"/>
    <w:rsid w:val="7BF50A46"/>
    <w:rsid w:val="7BF7EC15"/>
    <w:rsid w:val="7BFB2698"/>
    <w:rsid w:val="7BFE4E3A"/>
    <w:rsid w:val="7C031A91"/>
    <w:rsid w:val="7C0A1FBB"/>
    <w:rsid w:val="7C1A4147"/>
    <w:rsid w:val="7C1D01CA"/>
    <w:rsid w:val="7C1F5FA8"/>
    <w:rsid w:val="7C217CE4"/>
    <w:rsid w:val="7C2428D0"/>
    <w:rsid w:val="7C25382D"/>
    <w:rsid w:val="7C2C03B1"/>
    <w:rsid w:val="7C417D68"/>
    <w:rsid w:val="7C6F23B4"/>
    <w:rsid w:val="7C7C42CD"/>
    <w:rsid w:val="7C80217F"/>
    <w:rsid w:val="7C8C73DF"/>
    <w:rsid w:val="7C8D0342"/>
    <w:rsid w:val="7C8E274B"/>
    <w:rsid w:val="7C916190"/>
    <w:rsid w:val="7C916198"/>
    <w:rsid w:val="7C9E3089"/>
    <w:rsid w:val="7CA331DB"/>
    <w:rsid w:val="7CAF120D"/>
    <w:rsid w:val="7CBF1828"/>
    <w:rsid w:val="7CC25162"/>
    <w:rsid w:val="7CC7607D"/>
    <w:rsid w:val="7CC769D3"/>
    <w:rsid w:val="7CCB3980"/>
    <w:rsid w:val="7CCC78D9"/>
    <w:rsid w:val="7CD31B6E"/>
    <w:rsid w:val="7CD540C7"/>
    <w:rsid w:val="7CE04AF1"/>
    <w:rsid w:val="7CE72C49"/>
    <w:rsid w:val="7CF14EA8"/>
    <w:rsid w:val="7CFD160C"/>
    <w:rsid w:val="7D0930C3"/>
    <w:rsid w:val="7D0A6388"/>
    <w:rsid w:val="7D0A6CDB"/>
    <w:rsid w:val="7D104F9D"/>
    <w:rsid w:val="7D155F85"/>
    <w:rsid w:val="7D1A637E"/>
    <w:rsid w:val="7D1C7A4B"/>
    <w:rsid w:val="7D1F16FE"/>
    <w:rsid w:val="7D232A7A"/>
    <w:rsid w:val="7D291949"/>
    <w:rsid w:val="7D333E55"/>
    <w:rsid w:val="7D3707EA"/>
    <w:rsid w:val="7D395A63"/>
    <w:rsid w:val="7D4433DF"/>
    <w:rsid w:val="7D461828"/>
    <w:rsid w:val="7D4B2457"/>
    <w:rsid w:val="7D532A0E"/>
    <w:rsid w:val="7D543ACE"/>
    <w:rsid w:val="7D5A7464"/>
    <w:rsid w:val="7D693F53"/>
    <w:rsid w:val="7D746667"/>
    <w:rsid w:val="7D7F1B54"/>
    <w:rsid w:val="7D7F7AD0"/>
    <w:rsid w:val="7D8762EE"/>
    <w:rsid w:val="7D8A0236"/>
    <w:rsid w:val="7D902303"/>
    <w:rsid w:val="7D987634"/>
    <w:rsid w:val="7D987831"/>
    <w:rsid w:val="7DA41F1A"/>
    <w:rsid w:val="7DA53807"/>
    <w:rsid w:val="7DA96747"/>
    <w:rsid w:val="7DC96406"/>
    <w:rsid w:val="7DCE47FB"/>
    <w:rsid w:val="7DD12F01"/>
    <w:rsid w:val="7DE069C7"/>
    <w:rsid w:val="7DF74280"/>
    <w:rsid w:val="7DFA7510"/>
    <w:rsid w:val="7DFC731A"/>
    <w:rsid w:val="7E01111B"/>
    <w:rsid w:val="7E141C04"/>
    <w:rsid w:val="7E176726"/>
    <w:rsid w:val="7E274F55"/>
    <w:rsid w:val="7E29725F"/>
    <w:rsid w:val="7E2F48B9"/>
    <w:rsid w:val="7E470AF8"/>
    <w:rsid w:val="7E4A124B"/>
    <w:rsid w:val="7E4E46F2"/>
    <w:rsid w:val="7E502DCC"/>
    <w:rsid w:val="7E594996"/>
    <w:rsid w:val="7E6D7D69"/>
    <w:rsid w:val="7E7105EE"/>
    <w:rsid w:val="7E713423"/>
    <w:rsid w:val="7E7829BB"/>
    <w:rsid w:val="7E843E04"/>
    <w:rsid w:val="7E87606D"/>
    <w:rsid w:val="7E8E6203"/>
    <w:rsid w:val="7E9606EA"/>
    <w:rsid w:val="7E992FA0"/>
    <w:rsid w:val="7EB363DC"/>
    <w:rsid w:val="7EB52A02"/>
    <w:rsid w:val="7EBE12E0"/>
    <w:rsid w:val="7EC618F1"/>
    <w:rsid w:val="7ED70BF5"/>
    <w:rsid w:val="7EDD2331"/>
    <w:rsid w:val="7EE63DB7"/>
    <w:rsid w:val="7EE836DD"/>
    <w:rsid w:val="7EF573D8"/>
    <w:rsid w:val="7EF60242"/>
    <w:rsid w:val="7EFD2469"/>
    <w:rsid w:val="7F010379"/>
    <w:rsid w:val="7F055F26"/>
    <w:rsid w:val="7F0833BE"/>
    <w:rsid w:val="7F094EF4"/>
    <w:rsid w:val="7F123C18"/>
    <w:rsid w:val="7F197C66"/>
    <w:rsid w:val="7F26400A"/>
    <w:rsid w:val="7F2D5F40"/>
    <w:rsid w:val="7F39015B"/>
    <w:rsid w:val="7F3F5FE4"/>
    <w:rsid w:val="7F482D79"/>
    <w:rsid w:val="7F512946"/>
    <w:rsid w:val="7F56BD4B"/>
    <w:rsid w:val="7F575C55"/>
    <w:rsid w:val="7F5B36B5"/>
    <w:rsid w:val="7F5C05D3"/>
    <w:rsid w:val="7F5E48F4"/>
    <w:rsid w:val="7F6B2D8A"/>
    <w:rsid w:val="7F6E5844"/>
    <w:rsid w:val="7F752F4B"/>
    <w:rsid w:val="7F8F40DF"/>
    <w:rsid w:val="7F97BD8C"/>
    <w:rsid w:val="7F9E2FD3"/>
    <w:rsid w:val="7FA17E73"/>
    <w:rsid w:val="7FA54FC1"/>
    <w:rsid w:val="7FB671A4"/>
    <w:rsid w:val="7FBB5F18"/>
    <w:rsid w:val="7FBC54A3"/>
    <w:rsid w:val="7FBF9FC9"/>
    <w:rsid w:val="7FC64C82"/>
    <w:rsid w:val="7FCB5E84"/>
    <w:rsid w:val="7FCE4113"/>
    <w:rsid w:val="7FD64DBD"/>
    <w:rsid w:val="7FD67997"/>
    <w:rsid w:val="7FD941C4"/>
    <w:rsid w:val="7FDF3DB3"/>
    <w:rsid w:val="7FDFD4DC"/>
    <w:rsid w:val="7FE6A152"/>
    <w:rsid w:val="7FE761A8"/>
    <w:rsid w:val="7FE930FA"/>
    <w:rsid w:val="7FF54689"/>
    <w:rsid w:val="7FFE6A26"/>
    <w:rsid w:val="7FFF271B"/>
    <w:rsid w:val="7FFF4561"/>
    <w:rsid w:val="7FFF45B3"/>
    <w:rsid w:val="7FFF8419"/>
    <w:rsid w:val="97EF4983"/>
    <w:rsid w:val="999ED625"/>
    <w:rsid w:val="9B9F7A90"/>
    <w:rsid w:val="9EEAD7CB"/>
    <w:rsid w:val="9FF323BE"/>
    <w:rsid w:val="A7F79A37"/>
    <w:rsid w:val="AAEFB35D"/>
    <w:rsid w:val="AEBEE9E2"/>
    <w:rsid w:val="AF9DAA62"/>
    <w:rsid w:val="B5B8653A"/>
    <w:rsid w:val="B71EA1F3"/>
    <w:rsid w:val="B8F7CF7F"/>
    <w:rsid w:val="BADF1264"/>
    <w:rsid w:val="BB27AE73"/>
    <w:rsid w:val="BBEF7840"/>
    <w:rsid w:val="BBFDB632"/>
    <w:rsid w:val="BCB92870"/>
    <w:rsid w:val="BDFFA988"/>
    <w:rsid w:val="BE6F578A"/>
    <w:rsid w:val="BE9AE678"/>
    <w:rsid w:val="BEEF18A0"/>
    <w:rsid w:val="BFBF151F"/>
    <w:rsid w:val="BFBFAD4B"/>
    <w:rsid w:val="BFDE2C5C"/>
    <w:rsid w:val="BFDFEE35"/>
    <w:rsid w:val="BFFB55B5"/>
    <w:rsid w:val="BFFF80F8"/>
    <w:rsid w:val="CAFD00EC"/>
    <w:rsid w:val="CDFBF9DC"/>
    <w:rsid w:val="CFF7FB48"/>
    <w:rsid w:val="CFFFC741"/>
    <w:rsid w:val="D1FF4252"/>
    <w:rsid w:val="D2D6F821"/>
    <w:rsid w:val="D69D61D1"/>
    <w:rsid w:val="D8B6439D"/>
    <w:rsid w:val="DAFF2E80"/>
    <w:rsid w:val="DB7BDA88"/>
    <w:rsid w:val="DBDCFE27"/>
    <w:rsid w:val="DBDF1227"/>
    <w:rsid w:val="DDDF6A18"/>
    <w:rsid w:val="DFB9E6A3"/>
    <w:rsid w:val="E597862E"/>
    <w:rsid w:val="E5F8A45B"/>
    <w:rsid w:val="E6EFD852"/>
    <w:rsid w:val="E7F4C1BF"/>
    <w:rsid w:val="E7FCBC4E"/>
    <w:rsid w:val="EEFEFFFE"/>
    <w:rsid w:val="EF6F1FAD"/>
    <w:rsid w:val="EFBE6D11"/>
    <w:rsid w:val="F1D3B9AC"/>
    <w:rsid w:val="F1F7E212"/>
    <w:rsid w:val="F1FE6B5C"/>
    <w:rsid w:val="F2E55678"/>
    <w:rsid w:val="F42FAF7B"/>
    <w:rsid w:val="F569EAF3"/>
    <w:rsid w:val="F5EF4F78"/>
    <w:rsid w:val="F5FF52D0"/>
    <w:rsid w:val="F648BE09"/>
    <w:rsid w:val="F67A530D"/>
    <w:rsid w:val="F6A38175"/>
    <w:rsid w:val="F7BF345C"/>
    <w:rsid w:val="F85C5B8C"/>
    <w:rsid w:val="F92DD2C6"/>
    <w:rsid w:val="F9BF964A"/>
    <w:rsid w:val="FABD7079"/>
    <w:rsid w:val="FBF5423F"/>
    <w:rsid w:val="FBFEB79E"/>
    <w:rsid w:val="FBFED1E1"/>
    <w:rsid w:val="FC7DA49B"/>
    <w:rsid w:val="FD7BCAA6"/>
    <w:rsid w:val="FD7FFCB6"/>
    <w:rsid w:val="FDFD7EFF"/>
    <w:rsid w:val="FDFE5426"/>
    <w:rsid w:val="FEED0B1D"/>
    <w:rsid w:val="FEFB4F7C"/>
    <w:rsid w:val="FEFE372C"/>
    <w:rsid w:val="FFAC363E"/>
    <w:rsid w:val="FFB211D4"/>
    <w:rsid w:val="FFB7E954"/>
    <w:rsid w:val="FFB8EF95"/>
    <w:rsid w:val="FFBEF41F"/>
    <w:rsid w:val="FFCC5BFB"/>
    <w:rsid w:val="FFDF842F"/>
    <w:rsid w:val="FFF87822"/>
    <w:rsid w:val="FFFB4BD2"/>
    <w:rsid w:val="FFFF8BF7"/>
    <w:rsid w:val="FFFFA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7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4"/>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23"/>
    <w:autoRedefine/>
    <w:qFormat/>
    <w:uiPriority w:val="0"/>
    <w:rPr>
      <w:rFonts w:ascii="仿宋_GB2312" w:eastAsia="仿宋_GB2312"/>
      <w:sz w:val="32"/>
    </w:rPr>
  </w:style>
  <w:style w:type="paragraph" w:styleId="23">
    <w:name w:val="Subtitle"/>
    <w:basedOn w:val="1"/>
    <w:next w:val="1"/>
    <w:autoRedefine/>
    <w:qFormat/>
    <w:uiPriority w:val="0"/>
    <w:pPr>
      <w:spacing w:before="240" w:after="60" w:line="312" w:lineRule="auto"/>
      <w:jc w:val="center"/>
      <w:outlineLvl w:val="1"/>
    </w:pPr>
    <w:rPr>
      <w:rFonts w:ascii="Cambria" w:hAnsi="Cambria"/>
      <w:b/>
      <w:bCs/>
      <w:kern w:val="28"/>
      <w:szCs w:val="32"/>
    </w:rPr>
  </w:style>
  <w:style w:type="paragraph" w:styleId="24">
    <w:name w:val="Body Text Indent"/>
    <w:basedOn w:val="1"/>
    <w:link w:val="71"/>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Block Text"/>
    <w:basedOn w:val="1"/>
    <w:next w:val="1"/>
    <w:autoRedefine/>
    <w:qFormat/>
    <w:uiPriority w:val="0"/>
    <w:pPr>
      <w:spacing w:after="120"/>
      <w:ind w:left="1440" w:leftChars="700" w:right="1440" w:rightChars="700"/>
    </w:pPr>
  </w:style>
  <w:style w:type="paragraph" w:styleId="29">
    <w:name w:val="List Bullet 2"/>
    <w:basedOn w:val="1"/>
    <w:autoRedefine/>
    <w:qFormat/>
    <w:uiPriority w:val="0"/>
    <w:pPr>
      <w:numPr>
        <w:ilvl w:val="0"/>
        <w:numId w:val="3"/>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76"/>
    <w:autoRedefine/>
    <w:qFormat/>
    <w:uiPriority w:val="99"/>
  </w:style>
  <w:style w:type="paragraph" w:styleId="35">
    <w:name w:val="Body Text Indent 2"/>
    <w:basedOn w:val="1"/>
    <w:link w:val="77"/>
    <w:autoRedefine/>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link w:val="78"/>
    <w:autoRedefine/>
    <w:qFormat/>
    <w:uiPriority w:val="99"/>
    <w:pPr>
      <w:tabs>
        <w:tab w:val="center" w:pos="4153"/>
        <w:tab w:val="right" w:pos="8306"/>
      </w:tabs>
      <w:snapToGrid w:val="0"/>
      <w:jc w:val="left"/>
    </w:pPr>
    <w:rPr>
      <w:sz w:val="18"/>
    </w:rPr>
  </w:style>
  <w:style w:type="paragraph" w:styleId="38">
    <w:name w:val="header"/>
    <w:basedOn w:val="1"/>
    <w:link w:val="79"/>
    <w:autoRedefine/>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0"/>
    <w:pPr>
      <w:spacing w:line="180" w:lineRule="auto"/>
      <w:jc w:val="center"/>
    </w:pPr>
    <w:rPr>
      <w:sz w:val="30"/>
    </w:rPr>
  </w:style>
  <w:style w:type="paragraph" w:styleId="40">
    <w:name w:val="List Continue 4"/>
    <w:basedOn w:val="1"/>
    <w:autoRedefine/>
    <w:qFormat/>
    <w:uiPriority w:val="0"/>
    <w:pPr>
      <w:adjustRightInd w:val="0"/>
      <w:snapToGrid w:val="0"/>
      <w:spacing w:after="120" w:line="360" w:lineRule="auto"/>
      <w:ind w:left="1680" w:leftChars="800"/>
    </w:pPr>
    <w:rPr>
      <w:sz w:val="24"/>
    </w:rPr>
  </w:style>
  <w:style w:type="paragraph" w:styleId="41">
    <w:name w:val="toc 4"/>
    <w:basedOn w:val="1"/>
    <w:next w:val="1"/>
    <w:autoRedefine/>
    <w:qFormat/>
    <w:uiPriority w:val="0"/>
    <w:pPr>
      <w:ind w:left="1260" w:leftChars="600"/>
    </w:pPr>
  </w:style>
  <w:style w:type="paragraph" w:styleId="42">
    <w:name w:val="footnote text"/>
    <w:basedOn w:val="1"/>
    <w:link w:val="80"/>
    <w:autoRedefine/>
    <w:qFormat/>
    <w:uiPriority w:val="0"/>
    <w:pPr>
      <w:spacing w:line="360" w:lineRule="auto"/>
    </w:pPr>
    <w:rPr>
      <w:sz w:val="18"/>
    </w:rPr>
  </w:style>
  <w:style w:type="paragraph" w:styleId="43">
    <w:name w:val="toc 6"/>
    <w:basedOn w:val="1"/>
    <w:next w:val="1"/>
    <w:autoRedefine/>
    <w:qFormat/>
    <w:uiPriority w:val="0"/>
    <w:pPr>
      <w:ind w:left="2100" w:leftChars="1000"/>
    </w:pPr>
  </w:style>
  <w:style w:type="paragraph" w:styleId="44">
    <w:name w:val="List 5"/>
    <w:basedOn w:val="1"/>
    <w:autoRedefine/>
    <w:qFormat/>
    <w:uiPriority w:val="0"/>
    <w:pPr>
      <w:adjustRightInd w:val="0"/>
      <w:snapToGrid w:val="0"/>
      <w:spacing w:line="360" w:lineRule="auto"/>
      <w:ind w:left="100" w:leftChars="800" w:hanging="200" w:hangingChars="200"/>
    </w:pPr>
    <w:rPr>
      <w:sz w:val="24"/>
    </w:rPr>
  </w:style>
  <w:style w:type="paragraph" w:styleId="45">
    <w:name w:val="Body Text Indent 3"/>
    <w:basedOn w:val="1"/>
    <w:autoRedefine/>
    <w:qFormat/>
    <w:uiPriority w:val="0"/>
    <w:pPr>
      <w:spacing w:line="360" w:lineRule="auto"/>
      <w:ind w:firstLine="632"/>
    </w:pPr>
    <w:rPr>
      <w:rFonts w:ascii="黑体" w:eastAsia="黑体"/>
    </w:rPr>
  </w:style>
  <w:style w:type="paragraph" w:styleId="46">
    <w:name w:val="index 7"/>
    <w:basedOn w:val="1"/>
    <w:next w:val="1"/>
    <w:autoRedefine/>
    <w:qFormat/>
    <w:uiPriority w:val="0"/>
    <w:pPr>
      <w:ind w:left="2520"/>
    </w:pPr>
  </w:style>
  <w:style w:type="paragraph" w:styleId="47">
    <w:name w:val="table of figures"/>
    <w:basedOn w:val="1"/>
    <w:next w:val="1"/>
    <w:autoRedefine/>
    <w:qFormat/>
    <w:uiPriority w:val="0"/>
    <w:pPr>
      <w:tabs>
        <w:tab w:val="right" w:leader="dot" w:pos="8640"/>
      </w:tabs>
      <w:spacing w:line="360" w:lineRule="auto"/>
      <w:ind w:left="400" w:hanging="400"/>
    </w:pPr>
    <w:rPr>
      <w:sz w:val="24"/>
    </w:rPr>
  </w:style>
  <w:style w:type="paragraph" w:styleId="48">
    <w:name w:val="toc 2"/>
    <w:basedOn w:val="1"/>
    <w:next w:val="1"/>
    <w:autoRedefine/>
    <w:qFormat/>
    <w:uiPriority w:val="39"/>
    <w:pPr>
      <w:ind w:left="420" w:leftChars="200"/>
    </w:pPr>
  </w:style>
  <w:style w:type="paragraph" w:styleId="49">
    <w:name w:val="toc 9"/>
    <w:basedOn w:val="1"/>
    <w:next w:val="1"/>
    <w:autoRedefine/>
    <w:qFormat/>
    <w:uiPriority w:val="0"/>
    <w:pPr>
      <w:ind w:left="3360" w:leftChars="1600"/>
    </w:pPr>
  </w:style>
  <w:style w:type="paragraph" w:styleId="50">
    <w:name w:val="Body Text 2"/>
    <w:basedOn w:val="1"/>
    <w:autoRedefine/>
    <w:qFormat/>
    <w:uiPriority w:val="0"/>
    <w:pPr>
      <w:adjustRightInd w:val="0"/>
      <w:snapToGrid w:val="0"/>
      <w:spacing w:after="120" w:line="480" w:lineRule="auto"/>
    </w:pPr>
    <w:rPr>
      <w:sz w:val="24"/>
    </w:rPr>
  </w:style>
  <w:style w:type="paragraph" w:styleId="51">
    <w:name w:val="List 4"/>
    <w:basedOn w:val="1"/>
    <w:autoRedefine/>
    <w:qFormat/>
    <w:uiPriority w:val="0"/>
    <w:pPr>
      <w:adjustRightInd w:val="0"/>
      <w:snapToGrid w:val="0"/>
      <w:spacing w:line="360" w:lineRule="auto"/>
      <w:ind w:left="100" w:leftChars="600" w:hanging="200" w:hangingChars="200"/>
    </w:pPr>
    <w:rPr>
      <w:sz w:val="24"/>
    </w:rPr>
  </w:style>
  <w:style w:type="paragraph" w:styleId="52">
    <w:name w:val="List Continue 2"/>
    <w:basedOn w:val="1"/>
    <w:autoRedefine/>
    <w:qFormat/>
    <w:uiPriority w:val="0"/>
    <w:pPr>
      <w:adjustRightInd w:val="0"/>
      <w:snapToGrid w:val="0"/>
      <w:spacing w:after="120" w:line="360" w:lineRule="auto"/>
      <w:ind w:left="840" w:leftChars="400"/>
    </w:pPr>
    <w:rPr>
      <w:sz w:val="24"/>
    </w:rPr>
  </w:style>
  <w:style w:type="paragraph" w:styleId="5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after="120"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19"/>
    <w:next w:val="19"/>
    <w:link w:val="81"/>
    <w:autoRedefine/>
    <w:qFormat/>
    <w:uiPriority w:val="0"/>
    <w:pPr>
      <w:adjustRightInd/>
      <w:spacing w:line="240" w:lineRule="auto"/>
      <w:textAlignment w:val="auto"/>
    </w:pPr>
  </w:style>
  <w:style w:type="paragraph" w:styleId="58">
    <w:name w:val="Body Text First Indent"/>
    <w:basedOn w:val="22"/>
    <w:next w:val="59"/>
    <w:autoRedefine/>
    <w:qFormat/>
    <w:uiPriority w:val="0"/>
    <w:pPr>
      <w:spacing w:line="360" w:lineRule="auto"/>
      <w:ind w:firstLine="420"/>
    </w:pPr>
    <w:rPr>
      <w:rFonts w:ascii="宋体" w:hAnsi="宋体"/>
      <w:sz w:val="24"/>
    </w:rPr>
  </w:style>
  <w:style w:type="paragraph" w:styleId="59">
    <w:name w:val="Body Text First Indent 2"/>
    <w:basedOn w:val="24"/>
    <w:link w:val="72"/>
    <w:autoRedefine/>
    <w:qFormat/>
    <w:uiPriority w:val="0"/>
    <w:pPr>
      <w:spacing w:after="120" w:line="240" w:lineRule="auto"/>
      <w:ind w:left="420" w:leftChars="200" w:firstLine="420" w:firstLineChars="200"/>
    </w:pPr>
  </w:style>
  <w:style w:type="table" w:styleId="61">
    <w:name w:val="Table Grid"/>
    <w:basedOn w:val="6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0"/>
    <w:rPr>
      <w:b/>
    </w:rPr>
  </w:style>
  <w:style w:type="character" w:styleId="64">
    <w:name w:val="page number"/>
    <w:basedOn w:val="62"/>
    <w:autoRedefine/>
    <w:qFormat/>
    <w:uiPriority w:val="0"/>
  </w:style>
  <w:style w:type="character" w:styleId="65">
    <w:name w:val="FollowedHyperlink"/>
    <w:autoRedefine/>
    <w:qFormat/>
    <w:uiPriority w:val="99"/>
    <w:rPr>
      <w:color w:val="333333"/>
      <w:u w:val="none"/>
    </w:rPr>
  </w:style>
  <w:style w:type="character" w:styleId="66">
    <w:name w:val="Emphasis"/>
    <w:autoRedefine/>
    <w:qFormat/>
    <w:uiPriority w:val="0"/>
    <w:rPr>
      <w:i/>
    </w:rPr>
  </w:style>
  <w:style w:type="character" w:styleId="67">
    <w:name w:val="Hyperlink"/>
    <w:autoRedefine/>
    <w:qFormat/>
    <w:uiPriority w:val="99"/>
    <w:rPr>
      <w:color w:val="333333"/>
      <w:u w:val="non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标书正文1"/>
    <w:basedOn w:val="1"/>
    <w:autoRedefine/>
    <w:qFormat/>
    <w:uiPriority w:val="0"/>
    <w:pPr>
      <w:spacing w:line="520" w:lineRule="exact"/>
      <w:ind w:firstLine="640" w:firstLineChars="200"/>
    </w:pPr>
  </w:style>
  <w:style w:type="character" w:customStyle="1" w:styleId="71">
    <w:name w:val="正文文本缩进 字符"/>
    <w:link w:val="24"/>
    <w:autoRedefine/>
    <w:qFormat/>
    <w:uiPriority w:val="0"/>
    <w:rPr>
      <w:kern w:val="2"/>
      <w:sz w:val="44"/>
    </w:rPr>
  </w:style>
  <w:style w:type="character" w:customStyle="1" w:styleId="72">
    <w:name w:val="正文首行缩进 2 字符"/>
    <w:link w:val="59"/>
    <w:autoRedefine/>
    <w:qFormat/>
    <w:uiPriority w:val="0"/>
  </w:style>
  <w:style w:type="character" w:customStyle="1" w:styleId="73">
    <w:name w:val="标题 2 字符"/>
    <w:link w:val="3"/>
    <w:autoRedefine/>
    <w:qFormat/>
    <w:uiPriority w:val="0"/>
    <w:rPr>
      <w:rFonts w:ascii="Arial" w:hAnsi="Arial" w:eastAsia="黑体"/>
      <w:b/>
      <w:kern w:val="2"/>
      <w:sz w:val="32"/>
    </w:rPr>
  </w:style>
  <w:style w:type="character" w:customStyle="1" w:styleId="74">
    <w:name w:val="标题 3 字符"/>
    <w:link w:val="4"/>
    <w:autoRedefine/>
    <w:qFormat/>
    <w:uiPriority w:val="0"/>
    <w:rPr>
      <w:rFonts w:eastAsia="宋体"/>
      <w:b/>
      <w:kern w:val="2"/>
      <w:sz w:val="32"/>
      <w:lang w:val="en-US" w:eastAsia="zh-CN"/>
    </w:rPr>
  </w:style>
  <w:style w:type="character" w:customStyle="1" w:styleId="75">
    <w:name w:val="批注文字 字符"/>
    <w:link w:val="19"/>
    <w:autoRedefine/>
    <w:qFormat/>
    <w:uiPriority w:val="0"/>
    <w:rPr>
      <w:sz w:val="24"/>
    </w:rPr>
  </w:style>
  <w:style w:type="character" w:customStyle="1" w:styleId="76">
    <w:name w:val="日期 字符"/>
    <w:link w:val="34"/>
    <w:autoRedefine/>
    <w:qFormat/>
    <w:uiPriority w:val="99"/>
    <w:rPr>
      <w:kern w:val="2"/>
      <w:sz w:val="28"/>
    </w:rPr>
  </w:style>
  <w:style w:type="character" w:customStyle="1" w:styleId="77">
    <w:name w:val="正文文本缩进 2 字符"/>
    <w:link w:val="35"/>
    <w:autoRedefine/>
    <w:qFormat/>
    <w:uiPriority w:val="0"/>
    <w:rPr>
      <w:kern w:val="2"/>
      <w:sz w:val="28"/>
    </w:rPr>
  </w:style>
  <w:style w:type="character" w:customStyle="1" w:styleId="78">
    <w:name w:val="页脚 字符"/>
    <w:link w:val="37"/>
    <w:autoRedefine/>
    <w:qFormat/>
    <w:uiPriority w:val="99"/>
    <w:rPr>
      <w:kern w:val="2"/>
      <w:sz w:val="18"/>
    </w:rPr>
  </w:style>
  <w:style w:type="character" w:customStyle="1" w:styleId="79">
    <w:name w:val="页眉 字符"/>
    <w:link w:val="38"/>
    <w:autoRedefine/>
    <w:qFormat/>
    <w:uiPriority w:val="99"/>
    <w:rPr>
      <w:kern w:val="2"/>
      <w:sz w:val="18"/>
    </w:rPr>
  </w:style>
  <w:style w:type="character" w:customStyle="1" w:styleId="80">
    <w:name w:val="脚注文本 字符"/>
    <w:link w:val="42"/>
    <w:autoRedefine/>
    <w:qFormat/>
    <w:uiPriority w:val="0"/>
    <w:rPr>
      <w:kern w:val="2"/>
      <w:sz w:val="18"/>
    </w:rPr>
  </w:style>
  <w:style w:type="character" w:customStyle="1" w:styleId="81">
    <w:name w:val="批注主题 字符"/>
    <w:link w:val="57"/>
    <w:autoRedefine/>
    <w:qFormat/>
    <w:uiPriority w:val="0"/>
  </w:style>
  <w:style w:type="paragraph" w:customStyle="1" w:styleId="82">
    <w:name w:val="正文（缩进）"/>
    <w:autoRedefine/>
    <w:qFormat/>
    <w:uiPriority w:val="0"/>
    <w:pPr>
      <w:widowControl w:val="0"/>
      <w:spacing w:before="156" w:after="156" w:line="600" w:lineRule="exact"/>
      <w:ind w:firstLine="480" w:firstLineChars="200"/>
      <w:jc w:val="both"/>
    </w:pPr>
    <w:rPr>
      <w:rFonts w:ascii="Times New Roman" w:hAnsi="Times New Roman" w:eastAsia="方正仿宋_GBK" w:cs="Times New Roman"/>
      <w:kern w:val="2"/>
      <w:sz w:val="32"/>
      <w:szCs w:val="24"/>
      <w:lang w:val="en-US" w:eastAsia="zh-CN" w:bidi="ar-SA"/>
    </w:rPr>
  </w:style>
  <w:style w:type="paragraph" w:customStyle="1" w:styleId="83">
    <w:name w:val="BodyText1I"/>
    <w:basedOn w:val="1"/>
    <w:autoRedefine/>
    <w:qFormat/>
    <w:uiPriority w:val="0"/>
    <w:pPr>
      <w:spacing w:line="360" w:lineRule="auto"/>
      <w:ind w:firstLine="420"/>
      <w:textAlignment w:val="baseline"/>
    </w:pPr>
    <w:rPr>
      <w:rFonts w:ascii="宋体" w:hAnsi="宋体"/>
      <w:sz w:val="24"/>
    </w:rPr>
  </w:style>
  <w:style w:type="paragraph" w:customStyle="1" w:styleId="84">
    <w:name w:val="无间隔1"/>
    <w:autoRedefine/>
    <w:qFormat/>
    <w:uiPriority w:val="1"/>
    <w:pPr>
      <w:jc w:val="both"/>
    </w:pPr>
    <w:rPr>
      <w:rFonts w:ascii="Times New Roman" w:hAnsi="Times New Roman" w:eastAsia="Times New Roman" w:cs="Times New Roman"/>
      <w:lang w:val="en-US" w:eastAsia="zh-CN" w:bidi="ar-SA"/>
    </w:rPr>
  </w:style>
  <w:style w:type="character" w:customStyle="1" w:styleId="85">
    <w:name w:val="Char Char7"/>
    <w:autoRedefine/>
    <w:qFormat/>
    <w:uiPriority w:val="0"/>
    <w:rPr>
      <w:rFonts w:ascii="宋体" w:hAnsi="宋体" w:eastAsia="宋体"/>
      <w:kern w:val="2"/>
      <w:sz w:val="28"/>
    </w:rPr>
  </w:style>
  <w:style w:type="character" w:customStyle="1" w:styleId="86">
    <w:name w:val="title_emph1"/>
    <w:autoRedefine/>
    <w:qFormat/>
    <w:uiPriority w:val="0"/>
    <w:rPr>
      <w:rFonts w:hint="default" w:ascii="Arial" w:hAnsi="Arial"/>
      <w:b/>
      <w:sz w:val="20"/>
    </w:rPr>
  </w:style>
  <w:style w:type="character" w:customStyle="1" w:styleId="87">
    <w:name w:val="样式 宋体"/>
    <w:autoRedefine/>
    <w:qFormat/>
    <w:uiPriority w:val="0"/>
    <w:rPr>
      <w:rFonts w:ascii="宋体" w:hAnsi="宋体" w:eastAsia="宋体"/>
      <w:sz w:val="28"/>
    </w:rPr>
  </w:style>
  <w:style w:type="character" w:customStyle="1" w:styleId="88">
    <w:name w:val="Char Char4"/>
    <w:autoRedefine/>
    <w:qFormat/>
    <w:uiPriority w:val="0"/>
    <w:rPr>
      <w:rFonts w:eastAsia="宋体"/>
      <w:b/>
      <w:kern w:val="2"/>
      <w:sz w:val="21"/>
      <w:lang w:val="en-US" w:eastAsia="zh-CN"/>
    </w:rPr>
  </w:style>
  <w:style w:type="character" w:customStyle="1" w:styleId="89">
    <w:name w:val="Char Char6"/>
    <w:autoRedefine/>
    <w:qFormat/>
    <w:uiPriority w:val="0"/>
    <w:rPr>
      <w:rFonts w:ascii="仿宋_GB2312" w:eastAsia="仿宋_GB2312"/>
      <w:kern w:val="2"/>
      <w:sz w:val="32"/>
    </w:rPr>
  </w:style>
  <w:style w:type="character" w:customStyle="1" w:styleId="90">
    <w:name w:val="font11"/>
    <w:autoRedefine/>
    <w:qFormat/>
    <w:uiPriority w:val="0"/>
    <w:rPr>
      <w:rFonts w:hint="eastAsia" w:ascii="宋体" w:hAnsi="宋体" w:eastAsia="宋体" w:cs="宋体"/>
      <w:color w:val="000000"/>
      <w:sz w:val="20"/>
      <w:szCs w:val="20"/>
      <w:u w:val="none"/>
      <w:vertAlign w:val="superscript"/>
    </w:rPr>
  </w:style>
  <w:style w:type="character" w:customStyle="1" w:styleId="91">
    <w:name w:val="font51"/>
    <w:autoRedefine/>
    <w:qFormat/>
    <w:uiPriority w:val="0"/>
    <w:rPr>
      <w:rFonts w:hint="eastAsia" w:ascii="宋体" w:hAnsi="宋体" w:eastAsia="宋体" w:cs="宋体"/>
      <w:color w:val="000000"/>
      <w:sz w:val="20"/>
      <w:szCs w:val="20"/>
      <w:u w:val="none"/>
      <w:vertAlign w:val="superscript"/>
    </w:rPr>
  </w:style>
  <w:style w:type="character" w:customStyle="1" w:styleId="92">
    <w:name w:val="NormalCharacter"/>
    <w:autoRedefine/>
    <w:qFormat/>
    <w:uiPriority w:val="0"/>
  </w:style>
  <w:style w:type="character" w:customStyle="1" w:styleId="93">
    <w:name w:val="time"/>
    <w:autoRedefine/>
    <w:qFormat/>
    <w:uiPriority w:val="0"/>
  </w:style>
  <w:style w:type="character" w:customStyle="1" w:styleId="94">
    <w:name w:val="Char Char5"/>
    <w:autoRedefine/>
    <w:qFormat/>
    <w:uiPriority w:val="0"/>
    <w:rPr>
      <w:rFonts w:ascii="Arial" w:hAnsi="Arial" w:eastAsia="宋体"/>
      <w:b/>
      <w:smallCaps/>
      <w:kern w:val="28"/>
      <w:sz w:val="36"/>
      <w:lang w:val="en-US" w:eastAsia="en-US"/>
    </w:rPr>
  </w:style>
  <w:style w:type="character" w:customStyle="1" w:styleId="95">
    <w:name w:val="crowed11"/>
    <w:autoRedefine/>
    <w:qFormat/>
    <w:uiPriority w:val="0"/>
    <w:rPr>
      <w:rFonts w:hint="default" w:ascii="_x000B__x000C_" w:hAnsi="_x000B__x000C_"/>
      <w:sz w:val="24"/>
    </w:rPr>
  </w:style>
  <w:style w:type="character" w:customStyle="1" w:styleId="96">
    <w:name w:val="正文 + 三号 Char"/>
    <w:autoRedefine/>
    <w:qFormat/>
    <w:uiPriority w:val="0"/>
    <w:rPr>
      <w:rFonts w:eastAsia="宋体"/>
      <w:kern w:val="2"/>
      <w:sz w:val="21"/>
      <w:lang w:val="en-US" w:eastAsia="zh-CN"/>
    </w:rPr>
  </w:style>
  <w:style w:type="character" w:customStyle="1" w:styleId="97">
    <w:name w:val="font1"/>
    <w:autoRedefine/>
    <w:qFormat/>
    <w:uiPriority w:val="0"/>
    <w:rPr>
      <w:color w:val="000000"/>
      <w:sz w:val="18"/>
    </w:rPr>
  </w:style>
  <w:style w:type="character" w:customStyle="1" w:styleId="98">
    <w:name w:val="标书正文:  0.74 厘米 Char1"/>
    <w:autoRedefine/>
    <w:qFormat/>
    <w:uiPriority w:val="0"/>
    <w:rPr>
      <w:rFonts w:eastAsia="宋体"/>
      <w:kern w:val="2"/>
      <w:sz w:val="24"/>
      <w:lang w:val="en-US" w:eastAsia="zh-CN"/>
    </w:rPr>
  </w:style>
  <w:style w:type="character" w:customStyle="1" w:styleId="99">
    <w:name w:val="Table Text Char1 Char Char"/>
    <w:autoRedefine/>
    <w:qFormat/>
    <w:uiPriority w:val="0"/>
    <w:rPr>
      <w:rFonts w:ascii="Arial" w:hAnsi="Arial"/>
      <w:kern w:val="2"/>
      <w:sz w:val="18"/>
      <w:lang w:val="en-US" w:eastAsia="zh-CN" w:bidi="ar-SA"/>
    </w:rPr>
  </w:style>
  <w:style w:type="character" w:customStyle="1" w:styleId="100">
    <w:name w:val="hits"/>
    <w:autoRedefine/>
    <w:qFormat/>
    <w:uiPriority w:val="0"/>
  </w:style>
  <w:style w:type="character" w:customStyle="1" w:styleId="101">
    <w:name w:val="未命名11"/>
    <w:autoRedefine/>
    <w:qFormat/>
    <w:uiPriority w:val="0"/>
    <w:rPr>
      <w:color w:val="77FFFF"/>
      <w:sz w:val="24"/>
    </w:rPr>
  </w:style>
  <w:style w:type="character" w:customStyle="1" w:styleId="102">
    <w:name w:val="Char Char3"/>
    <w:autoRedefine/>
    <w:qFormat/>
    <w:uiPriority w:val="0"/>
    <w:rPr>
      <w:rFonts w:eastAsia="宋体"/>
      <w:kern w:val="2"/>
      <w:sz w:val="18"/>
      <w:lang w:val="en-US" w:eastAsia="zh-CN"/>
    </w:rPr>
  </w:style>
  <w:style w:type="character" w:customStyle="1" w:styleId="103">
    <w:name w:val="v151"/>
    <w:autoRedefine/>
    <w:qFormat/>
    <w:uiPriority w:val="0"/>
    <w:rPr>
      <w:sz w:val="18"/>
    </w:rPr>
  </w:style>
  <w:style w:type="character" w:customStyle="1" w:styleId="104">
    <w:name w:val="Table Text Char Char Char Char"/>
    <w:autoRedefine/>
    <w:qFormat/>
    <w:uiPriority w:val="0"/>
    <w:rPr>
      <w:rFonts w:ascii="Arial" w:hAnsi="Arial"/>
      <w:kern w:val="2"/>
      <w:sz w:val="18"/>
      <w:lang w:val="en-US" w:eastAsia="zh-CN" w:bidi="ar-SA"/>
    </w:rPr>
  </w:style>
  <w:style w:type="character" w:customStyle="1" w:styleId="105">
    <w:name w:val="font31"/>
    <w:autoRedefine/>
    <w:qFormat/>
    <w:uiPriority w:val="99"/>
    <w:rPr>
      <w:rFonts w:hint="eastAsia" w:ascii="宋体" w:hAnsi="宋体" w:eastAsia="宋体" w:cs="宋体"/>
      <w:b/>
      <w:color w:val="000000"/>
      <w:sz w:val="20"/>
      <w:szCs w:val="20"/>
      <w:u w:val="none"/>
    </w:rPr>
  </w:style>
  <w:style w:type="character" w:customStyle="1" w:styleId="106">
    <w:name w:val="Char Char2"/>
    <w:autoRedefine/>
    <w:qFormat/>
    <w:uiPriority w:val="0"/>
    <w:rPr>
      <w:rFonts w:eastAsia="宋体"/>
      <w:kern w:val="2"/>
      <w:sz w:val="18"/>
      <w:lang w:val="en-US" w:eastAsia="zh-CN"/>
    </w:rPr>
  </w:style>
  <w:style w:type="character" w:customStyle="1" w:styleId="107">
    <w:name w:val="H2 Char"/>
    <w:autoRedefine/>
    <w:qFormat/>
    <w:uiPriority w:val="0"/>
    <w:rPr>
      <w:rFonts w:ascii="Arial" w:hAnsi="Arial" w:eastAsia="宋体"/>
      <w:kern w:val="2"/>
      <w:sz w:val="28"/>
      <w:lang w:val="en-US" w:eastAsia="zh-CN"/>
    </w:rPr>
  </w:style>
  <w:style w:type="character" w:customStyle="1" w:styleId="108">
    <w:name w:val="Table Heading Char Char"/>
    <w:autoRedefine/>
    <w:qFormat/>
    <w:uiPriority w:val="0"/>
    <w:rPr>
      <w:rFonts w:ascii="Arial" w:hAnsi="Arial" w:eastAsia="黑体"/>
      <w:kern w:val="2"/>
      <w:sz w:val="18"/>
      <w:lang w:val="en-US" w:eastAsia="zh-CN"/>
    </w:rPr>
  </w:style>
  <w:style w:type="character" w:customStyle="1" w:styleId="109">
    <w:name w:val="文字 Char Char"/>
    <w:link w:val="110"/>
    <w:autoRedefine/>
    <w:qFormat/>
    <w:uiPriority w:val="0"/>
    <w:rPr>
      <w:rFonts w:ascii="宋体"/>
      <w:kern w:val="2"/>
      <w:sz w:val="28"/>
    </w:rPr>
  </w:style>
  <w:style w:type="paragraph" w:customStyle="1" w:styleId="110">
    <w:name w:val="文字"/>
    <w:basedOn w:val="1"/>
    <w:link w:val="109"/>
    <w:autoRedefine/>
    <w:qFormat/>
    <w:uiPriority w:val="0"/>
    <w:pPr>
      <w:tabs>
        <w:tab w:val="left" w:pos="8520"/>
      </w:tabs>
      <w:spacing w:line="312" w:lineRule="auto"/>
      <w:ind w:right="-210" w:firstLine="556"/>
    </w:pPr>
    <w:rPr>
      <w:rFonts w:ascii="宋体"/>
    </w:rPr>
  </w:style>
  <w:style w:type="character" w:customStyle="1" w:styleId="111">
    <w:name w:val="top-det1"/>
    <w:autoRedefine/>
    <w:qFormat/>
    <w:uiPriority w:val="0"/>
    <w:rPr>
      <w:b/>
      <w:color w:val="000000"/>
    </w:rPr>
  </w:style>
  <w:style w:type="character" w:customStyle="1" w:styleId="112">
    <w:name w:val="Char Char11"/>
    <w:autoRedefine/>
    <w:qFormat/>
    <w:uiPriority w:val="0"/>
    <w:rPr>
      <w:rFonts w:ascii="宋体"/>
      <w:kern w:val="2"/>
      <w:sz w:val="28"/>
    </w:rPr>
  </w:style>
  <w:style w:type="character" w:customStyle="1" w:styleId="113">
    <w:name w:val="font41"/>
    <w:autoRedefine/>
    <w:qFormat/>
    <w:uiPriority w:val="0"/>
    <w:rPr>
      <w:rFonts w:hint="eastAsia" w:ascii="宋体" w:hAnsi="宋体" w:eastAsia="宋体" w:cs="宋体"/>
      <w:color w:val="000000"/>
      <w:sz w:val="20"/>
      <w:szCs w:val="20"/>
      <w:u w:val="none"/>
    </w:rPr>
  </w:style>
  <w:style w:type="character" w:customStyle="1" w:styleId="114">
    <w:name w:val="content-white1"/>
    <w:autoRedefine/>
    <w:qFormat/>
    <w:uiPriority w:val="0"/>
    <w:rPr>
      <w:rFonts w:ascii="_x000B__x000C_" w:hAnsi="_x000B__x000C_"/>
      <w:color w:val="auto"/>
      <w:sz w:val="18"/>
      <w:u w:val="none"/>
    </w:rPr>
  </w:style>
  <w:style w:type="character" w:customStyle="1" w:styleId="115">
    <w:name w:val="font101"/>
    <w:autoRedefine/>
    <w:qFormat/>
    <w:uiPriority w:val="0"/>
    <w:rPr>
      <w:rFonts w:hint="default" w:ascii="Times New Roman" w:hAnsi="Times New Roman" w:cs="Times New Roman"/>
      <w:color w:val="000000"/>
      <w:sz w:val="20"/>
      <w:szCs w:val="20"/>
      <w:u w:val="none"/>
    </w:rPr>
  </w:style>
  <w:style w:type="character" w:customStyle="1" w:styleId="116">
    <w:name w:val="font91"/>
    <w:autoRedefine/>
    <w:qFormat/>
    <w:uiPriority w:val="0"/>
    <w:rPr>
      <w:rFonts w:hint="eastAsia" w:ascii="宋体" w:hAnsi="宋体" w:eastAsia="宋体" w:cs="宋体"/>
      <w:color w:val="000000"/>
      <w:sz w:val="20"/>
      <w:szCs w:val="20"/>
      <w:u w:val="none"/>
    </w:rPr>
  </w:style>
  <w:style w:type="character" w:customStyle="1" w:styleId="117">
    <w:name w:val="class"/>
    <w:autoRedefine/>
    <w:qFormat/>
    <w:uiPriority w:val="0"/>
  </w:style>
  <w:style w:type="character" w:customStyle="1" w:styleId="118">
    <w:name w:val="font01"/>
    <w:autoRedefine/>
    <w:qFormat/>
    <w:uiPriority w:val="0"/>
    <w:rPr>
      <w:rFonts w:hint="default" w:ascii="Times New Roman" w:hAnsi="Times New Roman" w:cs="Times New Roman"/>
      <w:color w:val="000000"/>
      <w:sz w:val="20"/>
      <w:szCs w:val="20"/>
      <w:u w:val="none"/>
    </w:rPr>
  </w:style>
  <w:style w:type="character" w:customStyle="1" w:styleId="119">
    <w:name w:val="Char Char Char Char Char Char Char Char Char"/>
    <w:autoRedefine/>
    <w:qFormat/>
    <w:uiPriority w:val="0"/>
    <w:rPr>
      <w:rFonts w:ascii="宋体" w:hAnsi="宋体" w:eastAsia="宋体"/>
      <w:kern w:val="2"/>
      <w:sz w:val="24"/>
      <w:lang w:val="en-US" w:eastAsia="zh-CN" w:bidi="ar-SA"/>
    </w:rPr>
  </w:style>
  <w:style w:type="character" w:customStyle="1" w:styleId="120">
    <w:name w:val="Table Text Char Char Char Char Char"/>
    <w:link w:val="121"/>
    <w:autoRedefine/>
    <w:qFormat/>
    <w:uiPriority w:val="0"/>
    <w:rPr>
      <w:rFonts w:ascii="Arial" w:hAnsi="Arial"/>
      <w:kern w:val="2"/>
      <w:sz w:val="18"/>
      <w:lang w:val="en-US" w:eastAsia="zh-CN" w:bidi="ar-SA"/>
    </w:rPr>
  </w:style>
  <w:style w:type="paragraph" w:customStyle="1" w:styleId="121">
    <w:name w:val="Table Text"/>
    <w:link w:val="120"/>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22">
    <w:name w:val="小 Char"/>
    <w:autoRedefine/>
    <w:qFormat/>
    <w:uiPriority w:val="0"/>
    <w:rPr>
      <w:rFonts w:ascii="宋体" w:hAnsi="Courier New" w:eastAsia="宋体"/>
      <w:kern w:val="2"/>
      <w:sz w:val="21"/>
      <w:lang w:val="en-US" w:eastAsia="zh-CN" w:bidi="ar-SA"/>
    </w:rPr>
  </w:style>
  <w:style w:type="paragraph" w:customStyle="1" w:styleId="123">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24">
    <w:name w:val="样式1xz"/>
    <w:basedOn w:val="1"/>
    <w:autoRedefine/>
    <w:qFormat/>
    <w:uiPriority w:val="0"/>
    <w:pPr>
      <w:tabs>
        <w:tab w:val="left" w:pos="1050"/>
        <w:tab w:val="right" w:leader="dot" w:pos="8296"/>
      </w:tabs>
    </w:pPr>
    <w:rPr>
      <w:caps/>
      <w:spacing w:val="20"/>
      <w:sz w:val="24"/>
    </w:rPr>
  </w:style>
  <w:style w:type="paragraph" w:customStyle="1" w:styleId="125">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6">
    <w:name w:val="列出段落1"/>
    <w:basedOn w:val="1"/>
    <w:autoRedefine/>
    <w:qFormat/>
    <w:uiPriority w:val="34"/>
    <w:pPr>
      <w:ind w:firstLine="420" w:firstLineChars="200"/>
    </w:pPr>
  </w:style>
  <w:style w:type="paragraph" w:customStyle="1" w:styleId="12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28">
    <w:name w:val="标题 11"/>
    <w:basedOn w:val="1"/>
    <w:next w:val="1"/>
    <w:autoRedefine/>
    <w:qFormat/>
    <w:uiPriority w:val="0"/>
    <w:pPr>
      <w:keepNext/>
      <w:keepLines/>
      <w:numPr>
        <w:ilvl w:val="0"/>
        <w:numId w:val="4"/>
      </w:numPr>
      <w:spacing w:beforeLines="50" w:afterLines="50" w:line="578" w:lineRule="auto"/>
      <w:outlineLvl w:val="0"/>
    </w:pPr>
    <w:rPr>
      <w:rFonts w:ascii="楷体" w:hAnsi="楷体" w:eastAsia="楷体"/>
      <w:b/>
      <w:bCs/>
      <w:kern w:val="44"/>
      <w:sz w:val="36"/>
      <w:szCs w:val="36"/>
    </w:rPr>
  </w:style>
  <w:style w:type="paragraph" w:customStyle="1" w:styleId="129">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30">
    <w:name w:val="Item List"/>
    <w:autoRedefine/>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3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2">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3">
    <w:name w:val="标准正文"/>
    <w:basedOn w:val="24"/>
    <w:autoRedefine/>
    <w:qFormat/>
    <w:uiPriority w:val="0"/>
    <w:pPr>
      <w:spacing w:before="60" w:after="60" w:line="360" w:lineRule="auto"/>
      <w:ind w:left="0" w:firstLine="482"/>
    </w:pPr>
    <w:rPr>
      <w:rFonts w:ascii="Arial" w:hAnsi="Arial"/>
      <w:sz w:val="24"/>
    </w:rPr>
  </w:style>
  <w:style w:type="paragraph" w:customStyle="1" w:styleId="134">
    <w:name w:val="样式12"/>
    <w:basedOn w:val="1"/>
    <w:next w:val="1"/>
    <w:autoRedefine/>
    <w:qFormat/>
    <w:uiPriority w:val="0"/>
    <w:rPr>
      <w:rFonts w:eastAsia="仿宋"/>
      <w:sz w:val="24"/>
    </w:rPr>
  </w:style>
  <w:style w:type="paragraph" w:customStyle="1" w:styleId="135">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36">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7">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138">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39">
    <w:name w:val="Title - Revision"/>
    <w:basedOn w:val="56"/>
    <w:autoRedefine/>
    <w:qFormat/>
    <w:uiPriority w:val="0"/>
    <w:pPr>
      <w:spacing w:before="720"/>
    </w:pPr>
  </w:style>
  <w:style w:type="paragraph" w:customStyle="1" w:styleId="140">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1">
    <w:name w:val="（一）公文正文标题2"/>
    <w:basedOn w:val="142"/>
    <w:next w:val="4"/>
    <w:autoRedefine/>
    <w:qFormat/>
    <w:uiPriority w:val="0"/>
    <w:rPr>
      <w:rFonts w:eastAsia="方正楷体_GBK"/>
    </w:rPr>
  </w:style>
  <w:style w:type="paragraph" w:customStyle="1" w:styleId="142">
    <w:name w:val="一、公文正文标题1"/>
    <w:basedOn w:val="3"/>
    <w:autoRedefine/>
    <w:qFormat/>
    <w:uiPriority w:val="0"/>
    <w:pPr>
      <w:spacing w:before="0" w:after="0" w:line="560" w:lineRule="exact"/>
      <w:ind w:firstLine="200" w:firstLineChars="200"/>
    </w:pPr>
    <w:rPr>
      <w:rFonts w:eastAsia="方正黑体_GBK"/>
      <w:b w:val="0"/>
      <w:kern w:val="44"/>
    </w:rPr>
  </w:style>
  <w:style w:type="paragraph" w:customStyle="1" w:styleId="143">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4">
    <w:name w:val="内容标题"/>
    <w:basedOn w:val="17"/>
    <w:autoRedefine/>
    <w:qFormat/>
    <w:uiPriority w:val="0"/>
    <w:rPr>
      <w:rFonts w:ascii="Tahoma" w:hAnsi="Tahoma"/>
      <w:sz w:val="24"/>
    </w:rPr>
  </w:style>
  <w:style w:type="paragraph" w:customStyle="1" w:styleId="145">
    <w:name w:val="章标题"/>
    <w:next w:val="1"/>
    <w:autoRedefine/>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6">
    <w:name w:val="编号正文"/>
    <w:basedOn w:val="147"/>
    <w:autoRedefine/>
    <w:qFormat/>
    <w:uiPriority w:val="0"/>
    <w:pPr>
      <w:snapToGrid/>
      <w:spacing w:line="360" w:lineRule="auto"/>
      <w:ind w:left="1407" w:hanging="1047"/>
      <w:jc w:val="left"/>
    </w:pPr>
    <w:rPr>
      <w:rFonts w:eastAsia="仿宋_GB2312"/>
    </w:rPr>
  </w:style>
  <w:style w:type="paragraph" w:customStyle="1" w:styleId="14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9">
    <w:name w:val="二级列表"/>
    <w:basedOn w:val="150"/>
    <w:next w:val="150"/>
    <w:autoRedefine/>
    <w:qFormat/>
    <w:uiPriority w:val="0"/>
    <w:pPr>
      <w:tabs>
        <w:tab w:val="left" w:pos="2120"/>
      </w:tabs>
      <w:ind w:firstLine="0" w:firstLineChars="0"/>
    </w:pPr>
    <w:rPr>
      <w:b/>
    </w:rPr>
  </w:style>
  <w:style w:type="paragraph" w:customStyle="1" w:styleId="150">
    <w:name w:val="段落正文"/>
    <w:basedOn w:val="1"/>
    <w:autoRedefine/>
    <w:qFormat/>
    <w:uiPriority w:val="0"/>
    <w:pPr>
      <w:spacing w:beforeLines="50" w:line="360" w:lineRule="auto"/>
      <w:ind w:firstLine="200" w:firstLineChars="200"/>
    </w:pPr>
    <w:rPr>
      <w:spacing w:val="2"/>
      <w:sz w:val="24"/>
    </w:rPr>
  </w:style>
  <w:style w:type="paragraph" w:customStyle="1" w:styleId="151">
    <w:name w:val="附录3"/>
    <w:basedOn w:val="1"/>
    <w:next w:val="1"/>
    <w:autoRedefine/>
    <w:qFormat/>
    <w:uiPriority w:val="0"/>
    <w:pPr>
      <w:tabs>
        <w:tab w:val="left" w:pos="851"/>
      </w:tabs>
      <w:ind w:left="425" w:hanging="425"/>
      <w:outlineLvl w:val="2"/>
    </w:pPr>
    <w:rPr>
      <w:rFonts w:eastAsia="黑体"/>
      <w:b/>
      <w:sz w:val="32"/>
    </w:rPr>
  </w:style>
  <w:style w:type="paragraph" w:customStyle="1" w:styleId="152">
    <w:name w:val="Heading3"/>
    <w:basedOn w:val="1"/>
    <w:next w:val="1"/>
    <w:autoRedefine/>
    <w:qFormat/>
    <w:uiPriority w:val="0"/>
    <w:pPr>
      <w:keepNext/>
      <w:keepLines/>
      <w:spacing w:before="260" w:after="260" w:line="413" w:lineRule="auto"/>
    </w:pPr>
    <w:rPr>
      <w:sz w:val="32"/>
    </w:rPr>
  </w:style>
  <w:style w:type="paragraph" w:customStyle="1" w:styleId="153">
    <w:name w:val="Char1 Char Char Char"/>
    <w:basedOn w:val="1"/>
    <w:autoRedefine/>
    <w:qFormat/>
    <w:uiPriority w:val="0"/>
    <w:rPr>
      <w:rFonts w:ascii="Tahoma" w:hAnsi="Tahoma"/>
      <w:sz w:val="30"/>
    </w:rPr>
  </w:style>
  <w:style w:type="paragraph" w:customStyle="1" w:styleId="154">
    <w:name w:val="默认段落字体 Para Char Char Char Char Char Char Char Char Char1 Char Char Char Char"/>
    <w:basedOn w:val="1"/>
    <w:autoRedefine/>
    <w:qFormat/>
    <w:uiPriority w:val="0"/>
    <w:rPr>
      <w:rFonts w:ascii="Tahoma" w:hAnsi="Tahoma"/>
      <w:sz w:val="24"/>
    </w:rPr>
  </w:style>
  <w:style w:type="paragraph" w:customStyle="1" w:styleId="155">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56">
    <w:name w:val="1"/>
    <w:basedOn w:val="1"/>
    <w:next w:val="32"/>
    <w:autoRedefine/>
    <w:qFormat/>
    <w:uiPriority w:val="0"/>
    <w:rPr>
      <w:rFonts w:ascii="宋体" w:hAnsi="Courier New"/>
      <w:sz w:val="21"/>
    </w:rPr>
  </w:style>
  <w:style w:type="paragraph" w:customStyle="1" w:styleId="157">
    <w:name w:val="Char1"/>
    <w:basedOn w:val="1"/>
    <w:autoRedefine/>
    <w:qFormat/>
    <w:uiPriority w:val="0"/>
    <w:rPr>
      <w:sz w:val="21"/>
    </w:rPr>
  </w:style>
  <w:style w:type="paragraph" w:customStyle="1" w:styleId="158">
    <w:name w:val="样式 正文首行缩进 2 + 首行缩进:  2 字符"/>
    <w:basedOn w:val="1"/>
    <w:autoRedefine/>
    <w:qFormat/>
    <w:uiPriority w:val="0"/>
    <w:pPr>
      <w:numPr>
        <w:ilvl w:val="0"/>
        <w:numId w:val="7"/>
      </w:numPr>
      <w:adjustRightInd w:val="0"/>
      <w:snapToGrid w:val="0"/>
      <w:spacing w:line="360" w:lineRule="auto"/>
    </w:pPr>
    <w:rPr>
      <w:rFonts w:ascii="Arial" w:hAnsi="Arial"/>
      <w:b/>
      <w:sz w:val="24"/>
    </w:rPr>
  </w:style>
  <w:style w:type="paragraph" w:customStyle="1" w:styleId="159">
    <w:name w:val="Table Contents"/>
    <w:basedOn w:val="22"/>
    <w:autoRedefine/>
    <w:qFormat/>
    <w:uiPriority w:val="0"/>
    <w:pPr>
      <w:suppressAutoHyphens/>
      <w:jc w:val="left"/>
    </w:pPr>
    <w:rPr>
      <w:rFonts w:ascii="Times New Roman" w:eastAsia="Times New Roman"/>
      <w:kern w:val="0"/>
      <w:sz w:val="24"/>
    </w:rPr>
  </w:style>
  <w:style w:type="paragraph" w:customStyle="1" w:styleId="16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1">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2">
    <w:name w:val="样式 首行缩进:  0.74 厘米"/>
    <w:basedOn w:val="1"/>
    <w:autoRedefine/>
    <w:qFormat/>
    <w:uiPriority w:val="0"/>
    <w:pPr>
      <w:spacing w:line="360" w:lineRule="auto"/>
      <w:ind w:firstLine="420"/>
    </w:pPr>
    <w:rPr>
      <w:sz w:val="24"/>
    </w:rPr>
  </w:style>
  <w:style w:type="paragraph" w:customStyle="1" w:styleId="163">
    <w:name w:val="1.正文"/>
    <w:basedOn w:val="1"/>
    <w:autoRedefine/>
    <w:qFormat/>
    <w:uiPriority w:val="0"/>
    <w:pPr>
      <w:spacing w:line="360" w:lineRule="auto"/>
      <w:ind w:left="540" w:leftChars="225" w:firstLine="540" w:firstLineChars="225"/>
    </w:pPr>
    <w:rPr>
      <w:sz w:val="24"/>
    </w:rPr>
  </w:style>
  <w:style w:type="paragraph" w:customStyle="1" w:styleId="164">
    <w:name w:val="样式9"/>
    <w:basedOn w:val="1"/>
    <w:next w:val="1"/>
    <w:autoRedefine/>
    <w:qFormat/>
    <w:uiPriority w:val="0"/>
    <w:rPr>
      <w:rFonts w:eastAsia="仿宋"/>
      <w:sz w:val="24"/>
    </w:rPr>
  </w:style>
  <w:style w:type="paragraph" w:customStyle="1" w:styleId="165">
    <w:name w:val="Char Char 字元 字元 字元 Char Char Char Char"/>
    <w:basedOn w:val="1"/>
    <w:autoRedefine/>
    <w:qFormat/>
    <w:uiPriority w:val="0"/>
    <w:pPr>
      <w:adjustRightInd w:val="0"/>
      <w:spacing w:line="360" w:lineRule="auto"/>
    </w:pPr>
    <w:rPr>
      <w:kern w:val="0"/>
      <w:sz w:val="24"/>
    </w:rPr>
  </w:style>
  <w:style w:type="paragraph" w:customStyle="1" w:styleId="166">
    <w:name w:val="文本1"/>
    <w:basedOn w:val="1"/>
    <w:autoRedefine/>
    <w:qFormat/>
    <w:uiPriority w:val="0"/>
    <w:pPr>
      <w:adjustRightInd w:val="0"/>
      <w:spacing w:line="312" w:lineRule="atLeast"/>
      <w:jc w:val="center"/>
      <w:textAlignment w:val="baseline"/>
    </w:pPr>
    <w:rPr>
      <w:kern w:val="0"/>
      <w:sz w:val="1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9">
    <w:name w:val="Char Char Char Char Char Char Char"/>
    <w:basedOn w:val="17"/>
    <w:autoRedefine/>
    <w:qFormat/>
    <w:uiPriority w:val="0"/>
    <w:rPr>
      <w:rFonts w:ascii="宋体" w:hAnsi="Tahoma"/>
    </w:rPr>
  </w:style>
  <w:style w:type="paragraph" w:customStyle="1" w:styleId="170">
    <w:name w:val="样式5"/>
    <w:basedOn w:val="146"/>
    <w:next w:val="1"/>
    <w:autoRedefine/>
    <w:qFormat/>
    <w:uiPriority w:val="0"/>
  </w:style>
  <w:style w:type="paragraph" w:customStyle="1" w:styleId="171">
    <w:name w:val="首行缩进"/>
    <w:basedOn w:val="1"/>
    <w:autoRedefine/>
    <w:qFormat/>
    <w:uiPriority w:val="0"/>
    <w:pPr>
      <w:numPr>
        <w:ilvl w:val="0"/>
        <w:numId w:val="8"/>
      </w:numPr>
      <w:spacing w:line="360" w:lineRule="auto"/>
    </w:pPr>
    <w:rPr>
      <w:rFonts w:eastAsia="仿宋_GB2312"/>
    </w:rPr>
  </w:style>
  <w:style w:type="paragraph" w:customStyle="1" w:styleId="172">
    <w:name w:val="Char Char Char Char Char Char Char1"/>
    <w:basedOn w:val="1"/>
    <w:autoRedefine/>
    <w:qFormat/>
    <w:uiPriority w:val="0"/>
    <w:rPr>
      <w:rFonts w:ascii="Tahoma" w:hAnsi="Tahoma"/>
      <w:sz w:val="24"/>
    </w:rPr>
  </w:style>
  <w:style w:type="paragraph" w:customStyle="1" w:styleId="173">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74">
    <w:name w:val="二级条标题"/>
    <w:basedOn w:val="175"/>
    <w:next w:val="176"/>
    <w:autoRedefine/>
    <w:qFormat/>
    <w:uiPriority w:val="0"/>
    <w:pPr>
      <w:ind w:left="840"/>
      <w:outlineLvl w:val="3"/>
    </w:pPr>
  </w:style>
  <w:style w:type="paragraph" w:customStyle="1" w:styleId="175">
    <w:name w:val="一级条标题"/>
    <w:basedOn w:val="145"/>
    <w:next w:val="176"/>
    <w:autoRedefine/>
    <w:qFormat/>
    <w:uiPriority w:val="0"/>
    <w:pPr>
      <w:numPr>
        <w:ilvl w:val="0"/>
        <w:numId w:val="0"/>
      </w:numPr>
      <w:spacing w:beforeLines="0" w:afterLines="0"/>
      <w:ind w:left="525"/>
      <w:outlineLvl w:val="2"/>
    </w:pPr>
    <w:rPr>
      <w:sz w:val="21"/>
    </w:rPr>
  </w:style>
  <w:style w:type="paragraph" w:customStyle="1" w:styleId="17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7">
    <w:name w:val="Char Char1 Char"/>
    <w:basedOn w:val="1"/>
    <w:autoRedefine/>
    <w:qFormat/>
    <w:uiPriority w:val="0"/>
    <w:rPr>
      <w:rFonts w:ascii="Tahoma" w:hAnsi="Tahoma"/>
      <w:sz w:val="24"/>
      <w:szCs w:val="24"/>
    </w:rPr>
  </w:style>
  <w:style w:type="paragraph" w:customStyle="1" w:styleId="178">
    <w:name w:val="Style Heading 3h3Heading 3 - oldLevel 3 HeadH3level_3PIM 3se..."/>
    <w:basedOn w:val="4"/>
    <w:autoRedefine/>
    <w:qFormat/>
    <w:uiPriority w:val="0"/>
    <w:pPr>
      <w:numPr>
        <w:ilvl w:val="2"/>
        <w:numId w:val="9"/>
      </w:numPr>
      <w:tabs>
        <w:tab w:val="left" w:pos="709"/>
        <w:tab w:val="left" w:pos="1620"/>
      </w:tabs>
    </w:pPr>
  </w:style>
  <w:style w:type="paragraph" w:customStyle="1" w:styleId="179">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80">
    <w:name w:val="样式11"/>
    <w:basedOn w:val="1"/>
    <w:next w:val="1"/>
    <w:autoRedefine/>
    <w:qFormat/>
    <w:uiPriority w:val="0"/>
  </w:style>
  <w:style w:type="paragraph" w:customStyle="1" w:styleId="181">
    <w:name w:val="样式 正文缩进正文（首行缩进两字）表正文正文非缩进特点标题4段1 + 首行缩进:  2 字符"/>
    <w:basedOn w:val="15"/>
    <w:autoRedefine/>
    <w:qFormat/>
    <w:uiPriority w:val="0"/>
    <w:pPr>
      <w:ind w:firstLine="480" w:firstLineChars="200"/>
    </w:pPr>
  </w:style>
  <w:style w:type="paragraph" w:customStyle="1" w:styleId="182">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83">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4">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85">
    <w:name w:val="Char1 Char Char Char1"/>
    <w:basedOn w:val="1"/>
    <w:autoRedefine/>
    <w:qFormat/>
    <w:uiPriority w:val="0"/>
    <w:rPr>
      <w:rFonts w:ascii="Tahoma" w:hAnsi="Tahoma"/>
      <w:sz w:val="24"/>
    </w:rPr>
  </w:style>
  <w:style w:type="paragraph" w:customStyle="1" w:styleId="186">
    <w:name w:val="图片文字"/>
    <w:basedOn w:val="1"/>
    <w:autoRedefine/>
    <w:qFormat/>
    <w:uiPriority w:val="0"/>
    <w:pPr>
      <w:spacing w:line="240" w:lineRule="atLeast"/>
      <w:jc w:val="center"/>
    </w:pPr>
    <w:rPr>
      <w:sz w:val="21"/>
    </w:rPr>
  </w:style>
  <w:style w:type="paragraph" w:customStyle="1" w:styleId="187">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styleId="188">
    <w:name w:val="List Paragraph"/>
    <w:basedOn w:val="1"/>
    <w:autoRedefine/>
    <w:qFormat/>
    <w:uiPriority w:val="34"/>
    <w:pPr>
      <w:ind w:firstLine="420" w:firstLineChars="200"/>
    </w:pPr>
  </w:style>
  <w:style w:type="paragraph" w:customStyle="1" w:styleId="189">
    <w:name w:val="样式10"/>
    <w:basedOn w:val="1"/>
    <w:next w:val="1"/>
    <w:autoRedefine/>
    <w:qFormat/>
    <w:uiPriority w:val="0"/>
    <w:rPr>
      <w:rFonts w:eastAsia="仿宋"/>
      <w:sz w:val="24"/>
    </w:rPr>
  </w:style>
  <w:style w:type="paragraph" w:customStyle="1" w:styleId="190">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91">
    <w:name w:val="正文文本 21"/>
    <w:basedOn w:val="1"/>
    <w:autoRedefine/>
    <w:qFormat/>
    <w:uiPriority w:val="0"/>
    <w:pPr>
      <w:adjustRightInd w:val="0"/>
      <w:spacing w:before="120" w:line="360" w:lineRule="auto"/>
      <w:ind w:firstLine="480"/>
      <w:textAlignment w:val="baseline"/>
    </w:pPr>
    <w:rPr>
      <w:sz w:val="24"/>
    </w:rPr>
  </w:style>
  <w:style w:type="paragraph" w:customStyle="1" w:styleId="192">
    <w:name w:val="Char"/>
    <w:basedOn w:val="1"/>
    <w:autoRedefine/>
    <w:qFormat/>
    <w:uiPriority w:val="0"/>
    <w:pPr>
      <w:spacing w:line="240" w:lineRule="atLeast"/>
      <w:ind w:left="420" w:firstLine="420"/>
    </w:pPr>
    <w:rPr>
      <w:kern w:val="0"/>
      <w:sz w:val="21"/>
    </w:rPr>
  </w:style>
  <w:style w:type="paragraph" w:customStyle="1" w:styleId="193">
    <w:name w:val="摘要"/>
    <w:basedOn w:val="1"/>
    <w:next w:val="3"/>
    <w:autoRedefine/>
    <w:qFormat/>
    <w:uiPriority w:val="0"/>
    <w:pPr>
      <w:spacing w:line="360" w:lineRule="auto"/>
    </w:pPr>
    <w:rPr>
      <w:rFonts w:eastAsia="黑体"/>
      <w:sz w:val="20"/>
    </w:rPr>
  </w:style>
  <w:style w:type="paragraph" w:customStyle="1" w:styleId="194">
    <w:name w:val="样式7"/>
    <w:basedOn w:val="1"/>
    <w:next w:val="1"/>
    <w:autoRedefine/>
    <w:qFormat/>
    <w:uiPriority w:val="0"/>
  </w:style>
  <w:style w:type="paragraph" w:customStyle="1" w:styleId="195">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6">
    <w:name w:val="Char2 Char Char Char Char Char Char"/>
    <w:basedOn w:val="1"/>
    <w:autoRedefine/>
    <w:qFormat/>
    <w:uiPriority w:val="0"/>
    <w:rPr>
      <w:rFonts w:ascii="仿宋_GB2312"/>
      <w:b/>
      <w:sz w:val="30"/>
    </w:rPr>
  </w:style>
  <w:style w:type="paragraph" w:customStyle="1" w:styleId="19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8">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99">
    <w:name w:val="首行缩进 1"/>
    <w:basedOn w:val="1"/>
    <w:autoRedefine/>
    <w:qFormat/>
    <w:uiPriority w:val="0"/>
    <w:pPr>
      <w:spacing w:after="120" w:line="360" w:lineRule="auto"/>
      <w:ind w:firstLine="200" w:firstLineChars="200"/>
    </w:pPr>
    <w:rPr>
      <w:sz w:val="24"/>
    </w:rPr>
  </w:style>
  <w:style w:type="paragraph" w:customStyle="1" w:styleId="200">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01">
    <w:name w:val="操作步骤"/>
    <w:basedOn w:val="1"/>
    <w:autoRedefine/>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表文字"/>
    <w:autoRedefine/>
    <w:qFormat/>
    <w:uiPriority w:val="0"/>
    <w:rPr>
      <w:rFonts w:ascii="宋体" w:hAnsi="Times New Roman" w:eastAsia="宋体" w:cs="Times New Roman"/>
      <w:kern w:val="2"/>
      <w:lang w:val="en-US" w:eastAsia="zh-CN" w:bidi="ar-SA"/>
    </w:rPr>
  </w:style>
  <w:style w:type="paragraph" w:customStyle="1" w:styleId="203">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04">
    <w:name w:val="表格内文字"/>
    <w:basedOn w:val="32"/>
    <w:autoRedefine/>
    <w:qFormat/>
    <w:uiPriority w:val="0"/>
    <w:pPr>
      <w:adjustRightInd w:val="0"/>
    </w:pPr>
    <w:rPr>
      <w:color w:val="000000"/>
      <w:lang w:val="en-GB"/>
    </w:rPr>
  </w:style>
  <w:style w:type="paragraph" w:customStyle="1" w:styleId="205">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6">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07">
    <w:name w:val="正文1"/>
    <w:basedOn w:val="1"/>
    <w:autoRedefine/>
    <w:qFormat/>
    <w:uiPriority w:val="0"/>
    <w:pPr>
      <w:spacing w:line="300" w:lineRule="auto"/>
      <w:ind w:firstLine="200" w:firstLineChars="200"/>
    </w:pPr>
    <w:rPr>
      <w:sz w:val="24"/>
    </w:rPr>
  </w:style>
  <w:style w:type="paragraph" w:customStyle="1" w:styleId="208">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209">
    <w:name w:val="IN Feature"/>
    <w:next w:val="205"/>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0">
    <w:name w:val="样式2"/>
    <w:basedOn w:val="5"/>
    <w:autoRedefine/>
    <w:qFormat/>
    <w:uiPriority w:val="0"/>
    <w:pPr>
      <w:numPr>
        <w:ilvl w:val="0"/>
        <w:numId w:val="11"/>
      </w:numPr>
      <w:spacing w:before="560" w:line="400" w:lineRule="exact"/>
      <w:jc w:val="center"/>
      <w:outlineLvl w:val="0"/>
    </w:pPr>
    <w:rPr>
      <w:b w:val="0"/>
      <w:sz w:val="44"/>
    </w:rPr>
  </w:style>
  <w:style w:type="paragraph" w:customStyle="1" w:styleId="211">
    <w:name w:val="样式8"/>
    <w:basedOn w:val="1"/>
    <w:next w:val="1"/>
    <w:autoRedefine/>
    <w:qFormat/>
    <w:uiPriority w:val="0"/>
    <w:rPr>
      <w:rFonts w:eastAsia="仿宋"/>
      <w:sz w:val="24"/>
    </w:rPr>
  </w:style>
  <w:style w:type="paragraph" w:customStyle="1" w:styleId="212">
    <w:name w:val="正文 A"/>
    <w:autoRedefine/>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213">
    <w:name w:val="正文 + 三号"/>
    <w:basedOn w:val="1"/>
    <w:autoRedefine/>
    <w:qFormat/>
    <w:uiPriority w:val="0"/>
    <w:rPr>
      <w:sz w:val="21"/>
    </w:rPr>
  </w:style>
  <w:style w:type="paragraph" w:customStyle="1" w:styleId="21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5">
    <w:name w:val="样式1"/>
    <w:basedOn w:val="5"/>
    <w:autoRedefine/>
    <w:qFormat/>
    <w:uiPriority w:val="0"/>
    <w:pPr>
      <w:tabs>
        <w:tab w:val="left" w:pos="720"/>
      </w:tabs>
      <w:spacing w:before="500" w:after="260" w:line="560" w:lineRule="atLeast"/>
      <w:ind w:left="420" w:hanging="420"/>
    </w:pPr>
  </w:style>
  <w:style w:type="paragraph" w:customStyle="1" w:styleId="216">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7">
    <w:name w:val="正文文本缩进 21"/>
    <w:basedOn w:val="1"/>
    <w:autoRedefine/>
    <w:qFormat/>
    <w:uiPriority w:val="0"/>
    <w:pPr>
      <w:adjustRightInd w:val="0"/>
      <w:spacing w:before="120"/>
      <w:ind w:firstLine="420"/>
      <w:textAlignment w:val="baseline"/>
    </w:pPr>
    <w:rPr>
      <w:sz w:val="24"/>
    </w:rPr>
  </w:style>
  <w:style w:type="paragraph" w:customStyle="1" w:styleId="218">
    <w:name w:val="af"/>
    <w:basedOn w:val="1"/>
    <w:autoRedefine/>
    <w:qFormat/>
    <w:uiPriority w:val="0"/>
    <w:pPr>
      <w:widowControl/>
      <w:spacing w:line="300" w:lineRule="atLeast"/>
      <w:jc w:val="left"/>
    </w:pPr>
    <w:rPr>
      <w:rFonts w:ascii="宋体" w:hAnsi="宋体"/>
      <w:kern w:val="0"/>
      <w:sz w:val="18"/>
    </w:rPr>
  </w:style>
  <w:style w:type="paragraph" w:customStyle="1" w:styleId="219">
    <w:name w:val="可研正文"/>
    <w:basedOn w:val="22"/>
    <w:autoRedefine/>
    <w:qFormat/>
    <w:uiPriority w:val="0"/>
    <w:pPr>
      <w:adjustRightInd w:val="0"/>
      <w:snapToGrid w:val="0"/>
      <w:spacing w:line="440" w:lineRule="exact"/>
      <w:ind w:firstLine="567"/>
    </w:pPr>
    <w:rPr>
      <w:sz w:val="28"/>
    </w:rPr>
  </w:style>
  <w:style w:type="paragraph" w:customStyle="1" w:styleId="22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1">
    <w:name w:val="1. 公文正文标题3"/>
    <w:basedOn w:val="141"/>
    <w:next w:val="5"/>
    <w:autoRedefine/>
    <w:qFormat/>
    <w:uiPriority w:val="0"/>
    <w:pPr>
      <w:ind w:firstLine="643"/>
    </w:pPr>
    <w:rPr>
      <w:rFonts w:ascii="Times New Roman" w:hAnsi="Times New Roman" w:eastAsia="方正仿宋_GBK"/>
      <w:b/>
    </w:rPr>
  </w:style>
  <w:style w:type="paragraph" w:customStyle="1" w:styleId="222">
    <w:name w:val="样式 行距: 1.5 倍行距1"/>
    <w:basedOn w:val="1"/>
    <w:autoRedefine/>
    <w:qFormat/>
    <w:uiPriority w:val="0"/>
    <w:pPr>
      <w:snapToGrid w:val="0"/>
    </w:pPr>
    <w:rPr>
      <w:sz w:val="21"/>
    </w:rPr>
  </w:style>
  <w:style w:type="paragraph" w:customStyle="1" w:styleId="223">
    <w:name w:val="正文 New New New New New New New New New New New New New New New New"/>
    <w:autoRedefine/>
    <w:qFormat/>
    <w:uiPriority w:val="0"/>
    <w:pPr>
      <w:widowControl w:val="0"/>
      <w:jc w:val="both"/>
    </w:pPr>
    <w:rPr>
      <w:rFonts w:ascii="宋体" w:hAnsi="Calibri" w:eastAsia="宋体" w:cs="Calibri"/>
      <w:sz w:val="34"/>
      <w:szCs w:val="22"/>
      <w:lang w:val="en-US" w:eastAsia="zh-CN" w:bidi="ar-SA"/>
    </w:rPr>
  </w:style>
  <w:style w:type="paragraph" w:customStyle="1" w:styleId="224">
    <w:name w:val="标题 21"/>
    <w:basedOn w:val="1"/>
    <w:next w:val="1"/>
    <w:autoRedefine/>
    <w:unhideWhenUsed/>
    <w:qFormat/>
    <w:uiPriority w:val="0"/>
    <w:pPr>
      <w:keepNext/>
      <w:keepLines/>
      <w:numPr>
        <w:ilvl w:val="1"/>
        <w:numId w:val="4"/>
      </w:numPr>
      <w:spacing w:before="260" w:after="260" w:line="416" w:lineRule="auto"/>
      <w:outlineLvl w:val="1"/>
    </w:pPr>
    <w:rPr>
      <w:rFonts w:ascii="Cambria" w:hAnsi="Cambria" w:cs="黑体"/>
      <w:b/>
      <w:bCs/>
      <w:sz w:val="30"/>
      <w:szCs w:val="30"/>
    </w:rPr>
  </w:style>
  <w:style w:type="paragraph" w:customStyle="1" w:styleId="225">
    <w:name w:val="样式 宋体 五号 行距: 单倍行距"/>
    <w:basedOn w:val="1"/>
    <w:autoRedefine/>
    <w:qFormat/>
    <w:uiPriority w:val="0"/>
    <w:pPr>
      <w:adjustRightInd w:val="0"/>
      <w:jc w:val="left"/>
    </w:pPr>
    <w:rPr>
      <w:rFonts w:ascii="宋体" w:hAnsi="宋体"/>
      <w:kern w:val="0"/>
      <w:sz w:val="21"/>
    </w:rPr>
  </w:style>
  <w:style w:type="paragraph" w:customStyle="1" w:styleId="226">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27">
    <w:name w:val="没有缩进（为图形使用）"/>
    <w:basedOn w:val="1"/>
    <w:autoRedefine/>
    <w:qFormat/>
    <w:uiPriority w:val="0"/>
    <w:pPr>
      <w:spacing w:before="120" w:after="120" w:line="360" w:lineRule="auto"/>
    </w:pPr>
    <w:rPr>
      <w:sz w:val="24"/>
    </w:rPr>
  </w:style>
  <w:style w:type="paragraph" w:customStyle="1" w:styleId="228">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29">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0">
    <w:name w:val="标题1"/>
    <w:basedOn w:val="1"/>
    <w:next w:val="1"/>
    <w:autoRedefine/>
    <w:qFormat/>
    <w:uiPriority w:val="0"/>
  </w:style>
  <w:style w:type="paragraph" w:customStyle="1" w:styleId="231">
    <w:name w:val="彩色列表 - 着色 11"/>
    <w:basedOn w:val="1"/>
    <w:autoRedefine/>
    <w:qFormat/>
    <w:uiPriority w:val="0"/>
    <w:pPr>
      <w:ind w:firstLine="420" w:firstLineChars="200"/>
    </w:pPr>
    <w:rPr>
      <w:rFonts w:ascii="Calibri" w:hAnsi="Calibri"/>
    </w:rPr>
  </w:style>
  <w:style w:type="paragraph" w:customStyle="1" w:styleId="232">
    <w:name w:val="标题3——2"/>
    <w:basedOn w:val="4"/>
    <w:next w:val="58"/>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33">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34">
    <w:name w:val="Char Char14 Char Char"/>
    <w:basedOn w:val="1"/>
    <w:autoRedefine/>
    <w:qFormat/>
    <w:uiPriority w:val="0"/>
    <w:rPr>
      <w:sz w:val="21"/>
      <w:szCs w:val="24"/>
    </w:rPr>
  </w:style>
  <w:style w:type="paragraph" w:customStyle="1" w:styleId="235">
    <w:name w:val="文章正文"/>
    <w:basedOn w:val="1"/>
    <w:autoRedefine/>
    <w:qFormat/>
    <w:uiPriority w:val="0"/>
    <w:pPr>
      <w:ind w:firstLine="560" w:firstLineChars="200"/>
    </w:pPr>
    <w:rPr>
      <w:rFonts w:ascii="仿宋_GB2312" w:hAnsi="宋体" w:eastAsia="仿宋_GB2312"/>
      <w:color w:val="000000"/>
    </w:rPr>
  </w:style>
  <w:style w:type="paragraph" w:customStyle="1" w:styleId="236">
    <w:name w:val="Char Char Char Char Char Char Char Char Char Char Char Char Char Char Char Char"/>
    <w:basedOn w:val="1"/>
    <w:autoRedefine/>
    <w:qFormat/>
    <w:uiPriority w:val="0"/>
    <w:pPr>
      <w:tabs>
        <w:tab w:val="left" w:pos="360"/>
      </w:tabs>
    </w:pPr>
    <w:rPr>
      <w:sz w:val="24"/>
    </w:rPr>
  </w:style>
  <w:style w:type="paragraph" w:customStyle="1" w:styleId="237">
    <w:name w:val="默认段落字体 Para Char Char Char Char Char Char Char"/>
    <w:basedOn w:val="1"/>
    <w:autoRedefine/>
    <w:qFormat/>
    <w:uiPriority w:val="0"/>
    <w:rPr>
      <w:rFonts w:ascii="Tahoma" w:hAnsi="Tahoma"/>
      <w:sz w:val="24"/>
    </w:rPr>
  </w:style>
  <w:style w:type="paragraph" w:customStyle="1" w:styleId="238">
    <w:name w:val="表号"/>
    <w:basedOn w:val="1"/>
    <w:autoRedefine/>
    <w:qFormat/>
    <w:uiPriority w:val="0"/>
    <w:pPr>
      <w:numPr>
        <w:ilvl w:val="0"/>
        <w:numId w:val="12"/>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9">
    <w:name w:val="Title - Date"/>
    <w:basedOn w:val="56"/>
    <w:next w:val="1"/>
    <w:autoRedefine/>
    <w:qFormat/>
    <w:uiPriority w:val="0"/>
    <w:pPr>
      <w:spacing w:before="240" w:after="720"/>
    </w:pPr>
    <w:rPr>
      <w:sz w:val="28"/>
    </w:rPr>
  </w:style>
  <w:style w:type="paragraph" w:customStyle="1" w:styleId="240">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41">
    <w:name w:val="00"/>
    <w:basedOn w:val="1"/>
    <w:autoRedefine/>
    <w:qFormat/>
    <w:uiPriority w:val="0"/>
    <w:pPr>
      <w:autoSpaceDE w:val="0"/>
      <w:autoSpaceDN w:val="0"/>
      <w:adjustRightInd w:val="0"/>
      <w:jc w:val="left"/>
    </w:pPr>
    <w:rPr>
      <w:rFonts w:ascii="黑体" w:eastAsia="黑体"/>
      <w:b/>
      <w:kern w:val="0"/>
      <w:sz w:val="20"/>
    </w:rPr>
  </w:style>
  <w:style w:type="paragraph" w:customStyle="1" w:styleId="242">
    <w:name w:val="标题无"/>
    <w:basedOn w:val="1"/>
    <w:autoRedefine/>
    <w:qFormat/>
    <w:uiPriority w:val="0"/>
    <w:pPr>
      <w:spacing w:line="360" w:lineRule="auto"/>
    </w:pPr>
    <w:rPr>
      <w:sz w:val="24"/>
    </w:rPr>
  </w:style>
  <w:style w:type="paragraph" w:customStyle="1" w:styleId="24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45">
    <w:name w:val="样式 样式 首行缩进:  2 字符 + 首行缩进:  2 字符"/>
    <w:basedOn w:val="1"/>
    <w:autoRedefine/>
    <w:qFormat/>
    <w:uiPriority w:val="0"/>
    <w:pPr>
      <w:numPr>
        <w:ilvl w:val="0"/>
        <w:numId w:val="13"/>
      </w:numPr>
      <w:tabs>
        <w:tab w:val="clear" w:pos="1230"/>
      </w:tabs>
      <w:spacing w:line="360" w:lineRule="auto"/>
      <w:ind w:firstLine="480" w:firstLineChars="200"/>
    </w:pPr>
    <w:rPr>
      <w:sz w:val="24"/>
    </w:rPr>
  </w:style>
  <w:style w:type="paragraph" w:customStyle="1" w:styleId="246">
    <w:name w:val="列出段落2"/>
    <w:basedOn w:val="1"/>
    <w:autoRedefine/>
    <w:qFormat/>
    <w:uiPriority w:val="34"/>
    <w:pPr>
      <w:ind w:firstLine="420" w:firstLineChars="200"/>
    </w:pPr>
    <w:rPr>
      <w:rFonts w:ascii="等线" w:hAnsi="等线" w:eastAsia="等线"/>
      <w:sz w:val="24"/>
      <w:szCs w:val="24"/>
    </w:rPr>
  </w:style>
  <w:style w:type="paragraph" w:customStyle="1" w:styleId="247">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48">
    <w:name w:val="简单回函地址"/>
    <w:basedOn w:val="1"/>
    <w:autoRedefine/>
    <w:qFormat/>
    <w:uiPriority w:val="0"/>
    <w:pPr>
      <w:adjustRightInd w:val="0"/>
      <w:snapToGrid w:val="0"/>
      <w:spacing w:line="360" w:lineRule="auto"/>
    </w:pPr>
    <w:rPr>
      <w:sz w:val="24"/>
    </w:rPr>
  </w:style>
  <w:style w:type="paragraph" w:customStyle="1" w:styleId="249">
    <w:name w:val="表头文本"/>
    <w:autoRedefine/>
    <w:qFormat/>
    <w:uiPriority w:val="0"/>
    <w:pPr>
      <w:jc w:val="center"/>
    </w:pPr>
    <w:rPr>
      <w:rFonts w:ascii="Arial" w:hAnsi="Arial" w:eastAsia="宋体" w:cs="Times New Roman"/>
      <w:b/>
      <w:sz w:val="21"/>
      <w:lang w:val="en-US" w:eastAsia="zh-CN" w:bidi="ar-SA"/>
    </w:rPr>
  </w:style>
  <w:style w:type="paragraph" w:customStyle="1" w:styleId="250">
    <w:name w:val="Char Char Char Char Char"/>
    <w:basedOn w:val="1"/>
    <w:autoRedefine/>
    <w:qFormat/>
    <w:uiPriority w:val="0"/>
    <w:pPr>
      <w:tabs>
        <w:tab w:val="left" w:pos="425"/>
      </w:tabs>
      <w:ind w:left="1620" w:hanging="360"/>
    </w:pPr>
    <w:rPr>
      <w:rFonts w:ascii="Tahoma" w:hAnsi="Tahoma"/>
      <w:sz w:val="24"/>
    </w:rPr>
  </w:style>
  <w:style w:type="paragraph" w:customStyle="1" w:styleId="251">
    <w:name w:val="正文字缩2字"/>
    <w:basedOn w:val="1"/>
    <w:autoRedefine/>
    <w:qFormat/>
    <w:uiPriority w:val="0"/>
    <w:pPr>
      <w:spacing w:before="60" w:after="60" w:line="360" w:lineRule="auto"/>
      <w:ind w:left="200" w:leftChars="200" w:firstLine="200" w:firstLineChars="200"/>
    </w:pPr>
    <w:rPr>
      <w:sz w:val="24"/>
    </w:rPr>
  </w:style>
  <w:style w:type="paragraph" w:customStyle="1" w:styleId="252">
    <w:name w:val="正文表格"/>
    <w:basedOn w:val="1"/>
    <w:autoRedefine/>
    <w:qFormat/>
    <w:uiPriority w:val="0"/>
    <w:pPr>
      <w:adjustRightInd w:val="0"/>
      <w:spacing w:before="40" w:after="40"/>
    </w:pPr>
    <w:rPr>
      <w:sz w:val="24"/>
    </w:rPr>
  </w:style>
  <w:style w:type="paragraph" w:customStyle="1" w:styleId="253">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4">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55">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56">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57">
    <w:name w:val="Item Step in Table"/>
    <w:autoRedefin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258">
    <w:name w:val="关键词"/>
    <w:basedOn w:val="1"/>
    <w:next w:val="1"/>
    <w:autoRedefine/>
    <w:qFormat/>
    <w:uiPriority w:val="0"/>
    <w:pPr>
      <w:spacing w:line="360" w:lineRule="auto"/>
    </w:pPr>
    <w:rPr>
      <w:rFonts w:eastAsia="黑体"/>
      <w:sz w:val="20"/>
    </w:rPr>
  </w:style>
  <w:style w:type="paragraph" w:customStyle="1" w:styleId="25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60">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61">
    <w:name w:val="Heading1"/>
    <w:basedOn w:val="1"/>
    <w:next w:val="1"/>
    <w:autoRedefine/>
    <w:qFormat/>
    <w:uiPriority w:val="0"/>
    <w:pPr>
      <w:keepNext/>
      <w:keepLines/>
      <w:spacing w:before="340" w:after="330" w:line="578" w:lineRule="auto"/>
      <w:jc w:val="left"/>
    </w:pPr>
    <w:rPr>
      <w:rFonts w:eastAsia="华文仿宋"/>
      <w:kern w:val="44"/>
      <w:sz w:val="30"/>
      <w:szCs w:val="44"/>
    </w:rPr>
  </w:style>
  <w:style w:type="paragraph" w:customStyle="1" w:styleId="262">
    <w:name w:val="样式4"/>
    <w:basedOn w:val="5"/>
    <w:autoRedefine/>
    <w:qFormat/>
    <w:uiPriority w:val="0"/>
    <w:pPr>
      <w:adjustRightInd w:val="0"/>
      <w:snapToGrid w:val="0"/>
    </w:pPr>
  </w:style>
  <w:style w:type="paragraph" w:customStyle="1" w:styleId="263">
    <w:name w:val="Char Char Char"/>
    <w:basedOn w:val="1"/>
    <w:autoRedefine/>
    <w:qFormat/>
    <w:uiPriority w:val="0"/>
    <w:rPr>
      <w:rFonts w:ascii="Tahoma" w:hAnsi="Tahoma"/>
      <w:sz w:val="24"/>
    </w:rPr>
  </w:style>
  <w:style w:type="paragraph" w:customStyle="1" w:styleId="264">
    <w:name w:val="_Style 260"/>
    <w:autoRedefine/>
    <w:qFormat/>
    <w:uiPriority w:val="0"/>
    <w:rPr>
      <w:rFonts w:ascii="Times New Roman" w:hAnsi="Times New Roman" w:eastAsia="宋体" w:cs="Times New Roman"/>
      <w:kern w:val="2"/>
      <w:sz w:val="21"/>
      <w:lang w:val="en-US" w:eastAsia="zh-CN" w:bidi="ar-SA"/>
    </w:rPr>
  </w:style>
  <w:style w:type="paragraph" w:customStyle="1" w:styleId="265">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266">
    <w:name w:val="样式6"/>
    <w:basedOn w:val="1"/>
    <w:next w:val="1"/>
    <w:autoRedefine/>
    <w:qFormat/>
    <w:uiPriority w:val="0"/>
  </w:style>
  <w:style w:type="paragraph" w:customStyle="1" w:styleId="267">
    <w:name w:val="Char2"/>
    <w:basedOn w:val="1"/>
    <w:autoRedefine/>
    <w:qFormat/>
    <w:uiPriority w:val="0"/>
    <w:pPr>
      <w:spacing w:line="240" w:lineRule="atLeast"/>
      <w:ind w:left="420" w:firstLine="420"/>
    </w:pPr>
    <w:rPr>
      <w:kern w:val="0"/>
      <w:sz w:val="21"/>
    </w:rPr>
  </w:style>
  <w:style w:type="paragraph" w:customStyle="1" w:styleId="268">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69">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70">
    <w:name w:val="图例"/>
    <w:basedOn w:val="1"/>
    <w:autoRedefine/>
    <w:qFormat/>
    <w:uiPriority w:val="0"/>
    <w:pPr>
      <w:spacing w:before="120" w:after="120" w:line="360" w:lineRule="auto"/>
      <w:jc w:val="center"/>
    </w:pPr>
    <w:rPr>
      <w:rFonts w:eastAsia="仿宋_GB2312"/>
      <w:b/>
      <w:sz w:val="24"/>
    </w:rPr>
  </w:style>
  <w:style w:type="paragraph" w:customStyle="1" w:styleId="27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72">
    <w:name w:val="文本框样式1"/>
    <w:basedOn w:val="1"/>
    <w:autoRedefine/>
    <w:qFormat/>
    <w:uiPriority w:val="0"/>
    <w:pPr>
      <w:adjustRightInd w:val="0"/>
      <w:snapToGrid w:val="0"/>
      <w:spacing w:before="60" w:line="180" w:lineRule="exact"/>
      <w:jc w:val="center"/>
    </w:pPr>
    <w:rPr>
      <w:sz w:val="21"/>
    </w:rPr>
  </w:style>
  <w:style w:type="paragraph" w:customStyle="1" w:styleId="273">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74">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75">
    <w:name w:val="Table Paragraph"/>
    <w:basedOn w:val="1"/>
    <w:autoRedefine/>
    <w:qFormat/>
    <w:uiPriority w:val="1"/>
    <w:pPr>
      <w:autoSpaceDE w:val="0"/>
      <w:autoSpaceDN w:val="0"/>
      <w:adjustRightInd w:val="0"/>
    </w:pPr>
    <w:rPr>
      <w:sz w:val="24"/>
    </w:rPr>
  </w:style>
  <w:style w:type="character" w:customStyle="1" w:styleId="276">
    <w:name w:val="font21"/>
    <w:basedOn w:val="62"/>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50</Pages>
  <Words>6439</Words>
  <Characters>6778</Characters>
  <Lines>237</Lines>
  <Paragraphs>66</Paragraphs>
  <TotalTime>2</TotalTime>
  <ScaleCrop>false</ScaleCrop>
  <LinksUpToDate>false</LinksUpToDate>
  <CharactersWithSpaces>6948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2025-03-18T02:09:00Z</dcterms:created>
  <dc:creator>CHEUNGCO</dc:creator>
  <cp:lastModifiedBy>淘淘₆ ₆ ₆  ⁶ ⁶ ⁶</cp:lastModifiedBy>
  <cp:lastPrinted>2022-01-03T08:14:00Z</cp:lastPrinted>
  <dcterms:modified xsi:type="dcterms:W3CDTF">2025-04-14T07:00:51Z</dcterms:modified>
  <dc:title>关于审定“2022年野生动植物保护宣传”项目竞争性磋商文件的请示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304850770_btnclosed</vt:lpwstr>
  </property>
  <property fmtid="{D5CDD505-2E9C-101B-9397-08002B2CF9AE}" pid="4" name="ICV">
    <vt:lpwstr>B084904E9DBA496BBF5A2378E0C64D0E_13</vt:lpwstr>
  </property>
  <property fmtid="{D5CDD505-2E9C-101B-9397-08002B2CF9AE}" pid="5" name="commondata">
    <vt:lpwstr>eyJoZGlkIjoiZDdiYjdhYmUyNjNhZjhhZWUwNGEwN2ZhNDNlYzkxN2UifQ==</vt:lpwstr>
  </property>
  <property fmtid="{D5CDD505-2E9C-101B-9397-08002B2CF9AE}" pid="6" name="KSOTemplateDocerSaveRecord">
    <vt:lpwstr>eyJoZGlkIjoiZDdiYjdhYmUyNjNhZjhhZWUwNGEwN2ZhNDNlYzkxN2UiLCJ1c2VySWQiOiI0NTM4ODY1NTAifQ==</vt:lpwstr>
  </property>
</Properties>
</file>