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9"/>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3929" w:type="dxa"/>
            <w:vAlign w:val="center"/>
          </w:tcPr>
          <w:p>
            <w:pPr>
              <w:pStyle w:val="2"/>
            </w:pPr>
            <w:r>
              <w:rPr>
                <w:rFonts w:hint="eastAsia"/>
              </w:rPr>
              <w:t>项目名称</w:t>
            </w:r>
          </w:p>
        </w:tc>
        <w:tc>
          <w:tcPr>
            <w:tcW w:w="2689" w:type="dxa"/>
            <w:vAlign w:val="center"/>
          </w:tcPr>
          <w:p>
            <w:pPr>
              <w:pStyle w:val="2"/>
            </w:pPr>
            <w:r>
              <w:rPr>
                <w:rFonts w:hint="eastAsia"/>
              </w:rPr>
              <w:t>最高限价</w:t>
            </w:r>
          </w:p>
          <w:p>
            <w:pPr>
              <w:pStyle w:val="2"/>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3929" w:type="dxa"/>
            <w:vAlign w:val="center"/>
          </w:tcPr>
          <w:p>
            <w:pPr>
              <w:pStyle w:val="11"/>
              <w:spacing w:before="0" w:after="0" w:line="500" w:lineRule="exact"/>
              <w:ind w:firstLine="0"/>
              <w:jc w:val="left"/>
              <w:outlineLvl w:val="0"/>
              <w:rPr>
                <w:rFonts w:ascii="方正仿宋_GBK" w:eastAsia="方正仿宋_GBK"/>
                <w:sz w:val="24"/>
              </w:rPr>
            </w:pPr>
            <w:r>
              <w:rPr>
                <w:rFonts w:hint="eastAsia" w:ascii="方正仿宋_GBK" w:eastAsia="方正仿宋_GBK"/>
                <w:sz w:val="24"/>
              </w:rPr>
              <w:t>沙坪坝区人民法院全流程办案设备采购项目</w:t>
            </w:r>
          </w:p>
        </w:tc>
        <w:tc>
          <w:tcPr>
            <w:tcW w:w="2689" w:type="dxa"/>
            <w:vAlign w:val="center"/>
          </w:tcPr>
          <w:p>
            <w:pPr>
              <w:pStyle w:val="2"/>
              <w:rPr>
                <w:color w:val="FF0000"/>
              </w:rPr>
            </w:pPr>
            <w:r>
              <w:rPr>
                <w:rFonts w:hint="eastAsia"/>
              </w:rPr>
              <w:t>49.5万</w:t>
            </w:r>
          </w:p>
        </w:tc>
      </w:tr>
    </w:tbl>
    <w:p/>
    <w:p/>
    <w:p>
      <w:pPr>
        <w:pStyle w:val="15"/>
        <w:widowControl/>
        <w:numPr>
          <w:ilvl w:val="0"/>
          <w:numId w:val="1"/>
        </w:numPr>
        <w:spacing w:line="500" w:lineRule="exact"/>
        <w:ind w:firstLineChars="0"/>
        <w:jc w:val="left"/>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项目名称</w:t>
      </w:r>
    </w:p>
    <w:p>
      <w:pPr>
        <w:widowControl/>
        <w:spacing w:line="500" w:lineRule="exact"/>
        <w:ind w:firstLine="480" w:firstLineChars="200"/>
        <w:jc w:val="left"/>
        <w:rPr>
          <w:rFonts w:asciiTheme="minorEastAsia" w:hAnsiTheme="minorEastAsia" w:eastAsiaTheme="minorEastAsia"/>
          <w:b/>
          <w:color w:val="000000"/>
          <w:sz w:val="30"/>
          <w:szCs w:val="30"/>
        </w:rPr>
      </w:pPr>
      <w:r>
        <w:rPr>
          <w:rFonts w:hint="eastAsia" w:ascii="方正仿宋_GBK" w:eastAsia="方正仿宋_GBK"/>
          <w:sz w:val="24"/>
        </w:rPr>
        <w:t>沙坪坝区人民法院全流程办案设备采购项目</w:t>
      </w:r>
    </w:p>
    <w:p>
      <w:pPr>
        <w:pStyle w:val="11"/>
        <w:spacing w:before="0" w:after="0" w:line="500" w:lineRule="exact"/>
        <w:ind w:firstLine="614" w:firstLineChars="204"/>
        <w:jc w:val="left"/>
        <w:outlineLvl w:val="0"/>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二、采购内容</w:t>
      </w:r>
    </w:p>
    <w:p>
      <w:pPr>
        <w:widowControl/>
        <w:spacing w:line="500" w:lineRule="exact"/>
        <w:ind w:firstLine="480" w:firstLineChars="200"/>
        <w:jc w:val="left"/>
        <w:rPr>
          <w:rFonts w:ascii="方正仿宋_GBK" w:hAnsi="宋体" w:eastAsia="方正仿宋_GBK"/>
          <w:sz w:val="24"/>
          <w:szCs w:val="20"/>
        </w:rPr>
      </w:pPr>
      <w:r>
        <w:rPr>
          <w:rFonts w:hint="eastAsia" w:ascii="方正仿宋_GBK" w:hAnsi="宋体" w:eastAsia="方正仿宋_GBK"/>
          <w:sz w:val="24"/>
          <w:szCs w:val="20"/>
        </w:rPr>
        <w:t>（一）基本</w:t>
      </w:r>
      <w:r>
        <w:rPr>
          <w:rFonts w:ascii="方正仿宋_GBK" w:hAnsi="宋体" w:eastAsia="方正仿宋_GBK"/>
          <w:sz w:val="24"/>
          <w:szCs w:val="20"/>
        </w:rPr>
        <w:t>情况</w:t>
      </w:r>
    </w:p>
    <w:p>
      <w:pPr>
        <w:widowControl/>
        <w:spacing w:line="500" w:lineRule="exact"/>
        <w:ind w:firstLine="480" w:firstLineChars="200"/>
        <w:jc w:val="left"/>
        <w:rPr>
          <w:rFonts w:ascii="方正仿宋_GBK" w:hAnsi="宋体" w:eastAsia="方正仿宋_GBK"/>
          <w:sz w:val="24"/>
          <w:szCs w:val="20"/>
        </w:rPr>
      </w:pPr>
      <w:r>
        <w:rPr>
          <w:rFonts w:hint="eastAsia" w:ascii="方正仿宋_GBK" w:hAnsi="宋体" w:eastAsia="方正仿宋_GBK"/>
          <w:sz w:val="24"/>
          <w:szCs w:val="20"/>
        </w:rPr>
        <w:t>沙坪坝区人民法院拟采购全流程办案设备一批，包括会议摄像机、视频会议终端、发言话筒等，详见清单。</w:t>
      </w:r>
    </w:p>
    <w:p>
      <w:pPr>
        <w:widowControl/>
        <w:spacing w:line="500" w:lineRule="exact"/>
        <w:ind w:firstLine="480" w:firstLineChars="200"/>
        <w:jc w:val="left"/>
        <w:rPr>
          <w:rFonts w:ascii="方正仿宋_GBK" w:hAnsi="宋体" w:eastAsia="方正仿宋_GBK"/>
          <w:sz w:val="24"/>
          <w:szCs w:val="20"/>
        </w:rPr>
      </w:pPr>
      <w:r>
        <w:rPr>
          <w:rFonts w:hint="eastAsia" w:ascii="方正仿宋_GBK" w:hAnsi="宋体" w:eastAsia="方正仿宋_GBK"/>
          <w:sz w:val="24"/>
          <w:szCs w:val="20"/>
        </w:rPr>
        <w:t>（二</w:t>
      </w:r>
      <w:r>
        <w:rPr>
          <w:rFonts w:ascii="方正仿宋_GBK" w:hAnsi="宋体" w:eastAsia="方正仿宋_GBK"/>
          <w:sz w:val="24"/>
          <w:szCs w:val="20"/>
        </w:rPr>
        <w:t>）</w:t>
      </w:r>
      <w:r>
        <w:rPr>
          <w:rFonts w:hint="eastAsia" w:ascii="方正仿宋_GBK" w:hAnsi="宋体" w:eastAsia="方正仿宋_GBK"/>
          <w:sz w:val="24"/>
          <w:szCs w:val="20"/>
        </w:rPr>
        <w:t>、设备</w:t>
      </w:r>
      <w:r>
        <w:rPr>
          <w:rFonts w:ascii="方正仿宋_GBK" w:hAnsi="宋体" w:eastAsia="方正仿宋_GBK"/>
          <w:sz w:val="24"/>
          <w:szCs w:val="20"/>
        </w:rPr>
        <w:t>清单</w:t>
      </w:r>
      <w:r>
        <w:rPr>
          <w:rFonts w:hint="eastAsia" w:ascii="方正仿宋_GBK" w:hAnsi="宋体" w:eastAsia="方正仿宋_GBK"/>
          <w:sz w:val="24"/>
          <w:szCs w:val="20"/>
        </w:rPr>
        <w:t xml:space="preserve">与参数要求 </w:t>
      </w:r>
    </w:p>
    <w:tbl>
      <w:tblPr>
        <w:tblStyle w:val="6"/>
        <w:tblW w:w="5086" w:type="pct"/>
        <w:tblInd w:w="-66" w:type="dxa"/>
        <w:tblLayout w:type="fixed"/>
        <w:tblCellMar>
          <w:top w:w="0" w:type="dxa"/>
          <w:left w:w="108" w:type="dxa"/>
          <w:bottom w:w="0" w:type="dxa"/>
          <w:right w:w="108" w:type="dxa"/>
        </w:tblCellMar>
      </w:tblPr>
      <w:tblGrid>
        <w:gridCol w:w="674"/>
        <w:gridCol w:w="1518"/>
        <w:gridCol w:w="4321"/>
        <w:gridCol w:w="733"/>
        <w:gridCol w:w="794"/>
        <w:gridCol w:w="629"/>
      </w:tblGrid>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序号</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名称</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主要技术参数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单位</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数量</w:t>
            </w:r>
          </w:p>
        </w:tc>
        <w:tc>
          <w:tcPr>
            <w:tcW w:w="363"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2"/>
              </w:rPr>
            </w:pPr>
            <w:r>
              <w:rPr>
                <w:rFonts w:hint="eastAsia" w:ascii="宋体" w:hAnsi="宋体" w:cs="宋体"/>
                <w:b/>
                <w:bCs/>
                <w:kern w:val="0"/>
                <w:sz w:val="22"/>
                <w:lang w:bidi="ar"/>
              </w:rPr>
              <w:t>备注</w:t>
            </w: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会议摄像机</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1.具备4K超高清镜头；</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2.支持POE供电，通过一根网线同时实现供电、信号控制、数据传输；</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3.支持12倍光学变焦，对角线视角80°，传感器像素800万；</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4.支持自动/手动白平衡，自动/手动曝光调节；</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5.支持信噪比不小于63dB，保障传输图像信号质量；</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6.图像分辨率最高可达4K30fps，并能向下兼容1080P、720P；</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18</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2</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视频会议终端</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支持无缝接入（注册）到重庆高院统建的视频庭审平台，与平台侧交互实现庭审会议统一管控功能，保障与已建平台间的最优兼容以及庭审场景功能的完整性，需提供重庆高院统建的视频庭审平台产品制造商“厦门亿联网络技术股份有限公司”出具加盖公章的无缝接入证明文件；</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2.支持NxN、1+N布局，且根据庭审模式还可支持2+0、2+8、3+0、3+4等布局模式，以便庭审多个人员进行最佳画面组合；</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3.支持网页虚拟遥控器功能，支持网页端直接预览终端视频画面并进行相关控制，支持系统配置导入与导出；</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4.支持对外提供rtsp视频流，支持不少于10路视频流被同时访问拉取，以满足庭审室屏幕显示的需要；</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5.具备先进的网络丢包恢复机制，视频会议时：30%丢包下，活动图像有少有花屏、卡顿，但可快速恢复，不影响视频通话；音频通信时：70%丢包下，声音基本连贯，偶有丢字，但语义可理解；</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6.支持OpenVPN功能，内置安全加密证书、支持抗网络及协议攻击；</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7.支持带宽智能升降速，网络拥塞时自动降至匹配的速率以保持会议持续进行而不中断；当网络恢复后，能自动升速。</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8.支持H.265、H.264 HP、H.264 SVC、H.264等多种国际通用视频编解码协议；</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9.采用嵌入式操作系统，非Windows操作系统，不受电脑病毒感染；</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10.支持POE供电，可通过一根网线同时实现对视频采集终端的供电、信号控制、数据传输；</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11.为保证售后服务时效和服务质量，需提供产品制造商针对本项目的售后服务承诺函并加盖产品制造商公章。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15</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3</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编解码器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1.支持音视频流解码，配套安卓主板，支持4K信号编解码功能，搭载安卓10及以上系统，输出HDMI信号或DVI信号，配套显示设备输入用。</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2.支持对外提供rtsp视频流，支持不少于10路视频流被同时访问拉取。</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3.支持专业的布局切换，除了支持NxN、1+N布局，还能够根据需要支持2+0、2+8、3+0、3+4等布局模式。</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94</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4</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发言话筒</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1、频率响应：30Hz-20KHz</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2、指向性：单指向性</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3、输出阻抗（欧姆）：75&amp;Omega;</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4、灵敏度：-45dB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5、输入音量：138dB声压</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6、动态范围：109dB、1KHz</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7、讯噪比：65d</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8、供电电压：DC3V/幻象48V</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9、咪管长度：265mm</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10、咪线长度、配置：10米双芯、卡龙母+卡龙公</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38</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5</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数字音频处理器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1.模拟输入通道：8；</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2.模拟输出通道：8；</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3.处理器:ADI SHARC 21489@450 MHz SIMD；</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4.DSP处理能力:400 MIPS，1.6 GFLOPS；</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5.采样率:48 kHz，± 100 ppm；</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6.THD+N:&lt;-95dB @17dBu；</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7.输入动态范围：113dB；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8.输出动态范围：113dB；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9.处理模块为可配置式，根据需求自由更换；</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10.提供8台设备同时在线操作；</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11.内置一进一出的USB声卡，支持音乐播放、录制和软视频会议（如：ZOOM，腾讯会议，钉钉会议等）；</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12.总线式AEC，尾长时间：512ms，收敛率：60dB/S, 回声消除幅度：60dB；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13.独立通道的AFC（反馈抑制），采用陷波式算法，传声增益提升幅度：10dB；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14.噪声抑制（ANS），信噪比提升18dB；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15.闪避器(Ducker)；</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16.噪声增益补偿器(ANC)；</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17增益共享自动混音(AMC)、门限自动混音（Gate Mixer）；</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18.12段英式参量均衡，提供5种滤波器选择：Parametric,Lowshelf,Highshelf,Lowpass,Highpass；</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19.提供终端用户订制操作界面，最大支持30台设备同一个界面管理；</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20.支持摄像跟踪；</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21.具有8路GPIO；</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22.具有中央控制功能，支持RS232、RS485、UDP三种控制方式，可对系统中的电源、信号切换、环境控制、音频等整体控制，实现一键开启系统所需要的功能。</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6</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6</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功率放大器</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1.采用ClassD技术,转换效率可达90%以上;</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2.1U设计、机身轻、方便携带和安装;</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3.自动限幅输出、短路、过载、过温、开机延时等保护功能;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4.功放配备延时启动系统,保护音箱不受冲击而损坏;</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5.后板配备双通道、单通道、桥接输出转换;</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6.平衡输入接口,SPEAKON输出;</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7.功放开关电源带有单独的冷却系统;</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8.散热风扇采用先进的无级变速电路控制;</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9.技术参数:</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10.额定功率:2×150W/8欧,2×250W/4欧;桥接:1×500W/8欧;</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11.频率响应:20Hz-20kHz(±3dB);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12.总谐波失真(THD):≤0.05%；</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13.输入灵敏度可选:38dB,35dB,32dB,29dB;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14.输入阻抗:10kΩ(电子平衡式);</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15.信噪比:≥80dB;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16.阻尼系数(20Hz-200Hz):≥500;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7</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7</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扩声音箱</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1.喇叭口径:8"X12"X1；</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2.额定功率:60W；</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3.最大功率:120W；</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4.额定阻抗:8Ω；</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5.灵敏度:87dB；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6.频响范围:40Hz-20KHz；</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7.谐振频率:45Hz；</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个</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24</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8</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24口千兆交换机</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1.配置：可用千兆电口数量≥24，千兆光口数量≥2；</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2.交换容量≥56 Gbps；</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3.转发性能≥41.67 Mpps；</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4.提供CQC认证证书复印件并加盖制造商公章；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5.支持通过管理平台和手机APP对交换机进行远程控制和状态查看、展示并管理交换机的拓扑、对交换机进行远程升级、远程重启功能；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6.交换机支持不同拓扑连接方式，包括网线连接、光纤连接、无线连接；</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支持通过管理平台和手机APP在网络拓扑中展示交换机详情，包括基本信息、交换机性能使用信息、交换机面板状态、端口信息、交换机网络断开、电源故障、端口故障等异常情况时，能实时显示交换机告警内容；</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8.支持通过管理平台和手机APP对交换机的端口进行速率、流控、使能配置、实时收发速率、峰值收发速率统计；</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9.支持通过管理平台和手机APP对交换机的VLAN功能进行配置；</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10.支持通过管理平台和手机APP对交换机进行准入配置，识别接入终端并进行终端准入管控，阻止异常终端接入；</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11.支持SNMP管理、LLDP功能；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12.支持链路聚合、QoS、STP/RSTP、端口镜像、端口隔离、风暴抑制功能；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13.浪涌（冲击）抗扰度符合GB/T17626.5；</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14.支持工作温度范围为0℃-45℃；</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15.支持64Bytes-1518Bytes下均能线速转发；</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16.产品制造商需具有CCC现场检测实验室证书，提供证书复印件加盖制造商公章；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17.为保证数据交换传输的稳定性，产品制造商应具备较强的新技术研发实力以保证产品具备较高的先进性和稳定性，产品制造商须是国家科学技术部“国家新一代人工智能开放创新平台”建设支撑单位，提供相应证明文件复印件加盖制造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18.为有效保障信息安全，产品制造商须具备ISO/IEC 29151 个人信息保护管理体系证书，须提供证明材料复印件并加盖厂商公章；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19.提供至少1年原厂维保服务，提供售后服务承诺函并加盖制造商公章。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9</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智能交互一体机</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1.支持国产CPU，处理器核心数量4核，主频1.8G，内存2G，机身内存16G，采用Android系统，系统版本不低于7.1；</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安全性：内置国密加密芯片；终端使用国密芯片负责密钥管理并提供国密算法支持，芯片商用密码产品型号核准，符合公安部安全防范报警设备安全要求，产品制造商须具有商用密码产品认证证书，投标时须提供商用密码产品认证证书复印件加盖制造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3.电磁电容一体屏支持多点触控，使用者在浏览文档可以直接采用手势滑动屏幕翻页。支持电磁笔签字。支持指纹捺印。签字数据和指纹数据支持加密。支持获取签字轨迹；</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4.指纹识别需通过公安部认证，指纹识别传感器类型：半导体电容式，传感器尺寸：23.0*35.0mm，有效图像尺寸：12.8 *18.0 mm，图像大小：256*360pixel，图像分辨率：508dpi，比对方式：1:1，认假率（FAR）&lt;0.0001%；</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高拍仪文件拍摄模块：高拍仪集成在整机设备左侧，高拍仪主头≥1000W，采用自动对焦方式，配套拍摄仪视频展示系统软件。投标时提供中华人民共和国国家版权局颁发的“拍摄仪视屏展示平台系统”软件著作权登记证书复印件加盖制造商公章（投标人提供的软件著作权登记证书名称与上述名称不一致时，投标人应提供证明材料证明其提供的软件包含上述功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6.支持获取硬件设备参数，内置扬声器，可根据文字合成语音并播放。整机内置卡类-PASM卡槽；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7.屏幕尺寸：≥11.6英寸，分辨率1920*1080，有彩色显示，显示屏亮度大于250cd/㎡，响应时间不大于TR 16毫秒(Typ)、TF 12毫秒(Typ)，对比度大于800：1；</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8.手写笔为无线无源，笔尖可更换，手写感应方式为电磁感应，手写压感不小于2048级。电磁笔可吸附在机器侧面，不易丢失；</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9.单目人像模块：传感器尺寸：1/3”(WDR)像素：500万（WDR），支持人脸比对；</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10.支持智能终端与电脑的交互二次开发，为适应后续重庆法院国产化替代，产品制造商为统信同心生态联盟会员单位及信息技术应用创新工作委员会会员单位，投标时须提供统信同心生态联盟会员单位证书复印件及信息技术应用创新工作委员会会员单位证明材料复印件加盖制造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11.电源：9V/2.5A 外置电源。接口：USB2.0扩展口≥2，支持HID免驱连接；以太网接口 1 个，10-1000M 自适应以太网；</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12.设备终端内置安卓定制系统，需支持原笔迹签名回放、信息交互、身份识别、指纹识别、人像拍照、人证比对、卡片服务、服务评价、多媒体显示等多种成熟应用，并能快速提供软件定制服务，无缝接入重庆法院现有云上共享法庭审判管理系统。投标时提供中华人民共和国国家版权局颁发的“高拍仪Android软件”软件著作权登记证书复印件加盖制造商公章（投标人提供的软件著作权登记证书名称与上述名称不一致时，投标人提供证明材料证明其提供的软件包含上述功能）。</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13.设备的电源插头或电源引入端与外壳裸露金属部件之间,应能承受GB16796-2009中表1规定的45Hz~6SHz交流电压的抗电强度试验，历时1min应无击穿和飞弧现象（投标时提供同时具备CMA、CAL及CANS资质的第三方检测机构出具的检测报告复印件并加盖制造商公章）；</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14.为保证售后服务时效性，要求提供不低于1年的原厂售后服务，投标时提供产品制造商出具的针对此项目的售后服务承诺函。</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10</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管理工作站</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1、国产CPU：主频≥2.1GHz；</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2、不少于 8 核；</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3、内存≥</w:t>
            </w:r>
            <w:r>
              <w:rPr>
                <w:rFonts w:hint="eastAsia" w:cs="宋体" w:asciiTheme="minorEastAsia" w:hAnsiTheme="minorEastAsia" w:eastAsiaTheme="minorEastAsia"/>
                <w:kern w:val="0"/>
                <w:szCs w:val="21"/>
                <w:lang w:val="en-US" w:eastAsia="zh-CN" w:bidi="ar"/>
              </w:rPr>
              <w:t>16</w:t>
            </w:r>
            <w:bookmarkStart w:id="0" w:name="_GoBack"/>
            <w:bookmarkEnd w:id="0"/>
            <w:r>
              <w:rPr>
                <w:rFonts w:hint="eastAsia" w:cs="宋体" w:asciiTheme="minorEastAsia" w:hAnsiTheme="minorEastAsia" w:eastAsiaTheme="minorEastAsia"/>
                <w:kern w:val="0"/>
                <w:szCs w:val="21"/>
                <w:lang w:bidi="ar"/>
              </w:rPr>
              <w:t>GB；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4、硬盘≥256GB；</w:t>
            </w:r>
            <w:r>
              <w:rPr>
                <w:rFonts w:hint="eastAsia" w:cs="宋体" w:asciiTheme="minorEastAsia" w:hAnsiTheme="minorEastAsia" w:eastAsiaTheme="minorEastAsia"/>
                <w:kern w:val="0"/>
                <w:szCs w:val="21"/>
                <w:lang w:bidi="ar"/>
              </w:rPr>
              <w:br w:type="textWrapping"/>
            </w:r>
            <w:r>
              <w:rPr>
                <w:rFonts w:hint="eastAsia" w:cs="宋体" w:asciiTheme="minorEastAsia" w:hAnsiTheme="minorEastAsia" w:eastAsiaTheme="minorEastAsia"/>
                <w:kern w:val="0"/>
                <w:szCs w:val="21"/>
                <w:lang w:bidi="ar"/>
              </w:rPr>
              <w:t>5、固态+1TB机械硬盘。</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台</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2</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11</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音频线</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RVVPsnT2×0.37mm²专用音频线。</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1800</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12</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电源线</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RVV2*1.0电源线。</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300</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13</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音箱线</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2×189芯音箱线。</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600</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14</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网  线</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非屏蔽六类标准，实芯铜导体，标准圆形线缆，带骨架分隔器，外皮符合CM阻燃标准。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700</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4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15</w:t>
            </w:r>
          </w:p>
        </w:tc>
        <w:tc>
          <w:tcPr>
            <w:tcW w:w="8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安装辅材</w:t>
            </w:r>
          </w:p>
        </w:tc>
        <w:tc>
          <w:tcPr>
            <w:tcW w:w="2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包含穿线管、扎带、插线板等其他辅材部分。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项</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lang w:bidi="ar"/>
              </w:rPr>
              <w:t>1</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eastAsiaTheme="minorEastAsia"/>
                <w:szCs w:val="21"/>
              </w:rPr>
            </w:pPr>
          </w:p>
        </w:tc>
      </w:tr>
    </w:tbl>
    <w:p>
      <w:pPr>
        <w:widowControl/>
        <w:spacing w:line="500" w:lineRule="exact"/>
        <w:ind w:firstLine="480" w:firstLineChars="200"/>
        <w:jc w:val="left"/>
        <w:rPr>
          <w:rFonts w:ascii="方正仿宋_GBK" w:hAnsi="宋体" w:eastAsia="方正仿宋_GBK"/>
          <w:sz w:val="24"/>
          <w:szCs w:val="20"/>
        </w:rPr>
      </w:pPr>
    </w:p>
    <w:p>
      <w:pPr>
        <w:widowControl/>
        <w:spacing w:line="500" w:lineRule="exact"/>
        <w:ind w:firstLine="602" w:firstLineChars="200"/>
        <w:jc w:val="left"/>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三</w:t>
      </w:r>
      <w:r>
        <w:rPr>
          <w:rFonts w:asciiTheme="minorEastAsia" w:hAnsiTheme="minorEastAsia" w:eastAsiaTheme="minorEastAsia"/>
          <w:b/>
          <w:color w:val="000000"/>
          <w:sz w:val="30"/>
          <w:szCs w:val="30"/>
        </w:rPr>
        <w:t>、</w:t>
      </w:r>
      <w:r>
        <w:rPr>
          <w:rFonts w:hint="eastAsia" w:asciiTheme="minorEastAsia" w:hAnsiTheme="minorEastAsia" w:eastAsiaTheme="minorEastAsia"/>
          <w:b/>
          <w:color w:val="000000"/>
          <w:sz w:val="30"/>
          <w:szCs w:val="30"/>
        </w:rPr>
        <w:t>投标人资格要求</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（一）合格投标人应符合政府采购法第二十二条规定的基本条件：</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1.具有独立承担民事责任的能力；</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2.具有良好的商业信誉和健全的财务会计制度；</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3.具有履行合同所必需的设备和专业技术能力；</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4.有依法缴纳税收和社会保障资金的良好记录；</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5.参加政府采购活动近三年内，在经营活动中没有重大违法记录。</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（二）特定资格条件</w:t>
      </w:r>
    </w:p>
    <w:p>
      <w:pPr>
        <w:widowControl/>
        <w:spacing w:line="500" w:lineRule="exact"/>
        <w:ind w:firstLine="420" w:firstLineChars="200"/>
        <w:jc w:val="left"/>
        <w:rPr>
          <w:rFonts w:asciiTheme="minorEastAsia" w:hAnsiTheme="minorEastAsia" w:eastAsiaTheme="minorEastAsia"/>
          <w:szCs w:val="28"/>
        </w:rPr>
      </w:pPr>
      <w:r>
        <w:rPr>
          <w:rFonts w:hint="eastAsia" w:asciiTheme="minorEastAsia" w:hAnsiTheme="minorEastAsia" w:eastAsiaTheme="minorEastAsia"/>
          <w:szCs w:val="28"/>
        </w:rPr>
        <w:t>无</w:t>
      </w:r>
    </w:p>
    <w:p>
      <w:pPr>
        <w:widowControl/>
        <w:spacing w:line="500" w:lineRule="exact"/>
        <w:ind w:firstLine="602" w:firstLineChars="200"/>
        <w:jc w:val="left"/>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四</w:t>
      </w:r>
      <w:r>
        <w:rPr>
          <w:rFonts w:asciiTheme="minorEastAsia" w:hAnsiTheme="minorEastAsia" w:eastAsiaTheme="minorEastAsia"/>
          <w:b/>
          <w:color w:val="000000"/>
          <w:sz w:val="30"/>
          <w:szCs w:val="30"/>
        </w:rPr>
        <w:t>、</w:t>
      </w:r>
      <w:r>
        <w:rPr>
          <w:rFonts w:hint="eastAsia" w:asciiTheme="minorEastAsia" w:hAnsiTheme="minorEastAsia" w:eastAsiaTheme="minorEastAsia"/>
          <w:b/>
          <w:color w:val="000000"/>
          <w:sz w:val="30"/>
          <w:szCs w:val="30"/>
        </w:rPr>
        <w:t>其他</w:t>
      </w:r>
      <w:r>
        <w:rPr>
          <w:rFonts w:asciiTheme="minorEastAsia" w:hAnsiTheme="minorEastAsia" w:eastAsiaTheme="minorEastAsia"/>
          <w:b/>
          <w:color w:val="000000"/>
          <w:sz w:val="30"/>
          <w:szCs w:val="30"/>
        </w:rPr>
        <w:t>要求</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（一</w:t>
      </w:r>
      <w:r>
        <w:rPr>
          <w:rFonts w:asciiTheme="minorEastAsia" w:hAnsiTheme="minorEastAsia" w:eastAsiaTheme="minorEastAsia"/>
          <w:szCs w:val="28"/>
        </w:rPr>
        <w:t>）</w:t>
      </w:r>
      <w:r>
        <w:rPr>
          <w:rFonts w:hint="eastAsia" w:asciiTheme="minorEastAsia" w:hAnsiTheme="minorEastAsia" w:eastAsiaTheme="minorEastAsia"/>
          <w:szCs w:val="28"/>
        </w:rPr>
        <w:t>、</w:t>
      </w:r>
      <w:r>
        <w:rPr>
          <w:rFonts w:asciiTheme="minorEastAsia" w:hAnsiTheme="minorEastAsia" w:eastAsiaTheme="minorEastAsia"/>
          <w:szCs w:val="28"/>
        </w:rPr>
        <w:t>现场勘查</w:t>
      </w:r>
    </w:p>
    <w:p>
      <w:pPr>
        <w:spacing w:line="500" w:lineRule="exact"/>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本次招标包含旧设备拆除，中标供应商在施工过程中如损坏墙地面或其他设施等，则需照原价赔偿并承担完全责任。为确保施工可行性，响应供应商须在投标前自行到现场踏勘，并对勘查获取的现场资料负责。不管响应供应商是否考察过现场，均被认为已经了解现场情况。</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（二）、交货期</w:t>
      </w:r>
    </w:p>
    <w:p>
      <w:pPr>
        <w:spacing w:line="500" w:lineRule="exact"/>
        <w:ind w:left="560"/>
        <w:rPr>
          <w:rFonts w:asciiTheme="minorEastAsia" w:hAnsiTheme="minorEastAsia" w:eastAsiaTheme="minorEastAsia"/>
          <w:szCs w:val="28"/>
        </w:rPr>
      </w:pPr>
      <w:r>
        <w:rPr>
          <w:rFonts w:hint="eastAsia" w:ascii="宋体" w:hAnsi="宋体" w:cs="微软雅黑"/>
          <w:shd w:val="clear" w:color="auto" w:fill="FFFFFF"/>
        </w:rPr>
        <w:t>采购合同签订后30日内交货。</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（三）、质保期</w:t>
      </w:r>
    </w:p>
    <w:p>
      <w:pPr>
        <w:spacing w:line="500" w:lineRule="exact"/>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本项目包含的产品必须是正规厂商出品，除明确约定标准以外，质保期为1年，质保范围包括非人为破坏产生的损坏（不可抗力因素除外）。</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（四）、付款方式</w:t>
      </w:r>
    </w:p>
    <w:p>
      <w:pPr>
        <w:spacing w:line="500" w:lineRule="exact"/>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验收合格后支付全款，支付前投标人按合同金额5%缴纳质保金，质保金待质保期结束后无质量问题无息退还。</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（五）、售后服务</w:t>
      </w:r>
    </w:p>
    <w:p>
      <w:pPr>
        <w:spacing w:line="500" w:lineRule="exact"/>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出现故障报修后2小时内有响应，4小时内有工程师上门，48小时内修复故障，无法修复或需较长时间方能修复的须提供替代设备。</w:t>
      </w:r>
    </w:p>
    <w:p>
      <w:pPr>
        <w:spacing w:line="500" w:lineRule="exact"/>
        <w:ind w:firstLine="420" w:firstLineChars="200"/>
        <w:rPr>
          <w:rFonts w:asciiTheme="minorEastAsia" w:hAnsiTheme="minorEastAsia" w:eastAsiaTheme="minorEastAsia"/>
          <w:szCs w:val="28"/>
        </w:rPr>
      </w:pPr>
      <w:r>
        <w:rPr>
          <w:rFonts w:hint="eastAsia" w:asciiTheme="minorEastAsia" w:hAnsiTheme="minorEastAsia" w:eastAsiaTheme="minorEastAsia"/>
          <w:szCs w:val="28"/>
        </w:rPr>
        <w:t>质保期届满后，承诺终生维修服务及技术支持，确保设备的各项零部件均有备用件。</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(六)、</w:t>
      </w:r>
      <w:r>
        <w:rPr>
          <w:rFonts w:asciiTheme="minorEastAsia" w:hAnsiTheme="minorEastAsia" w:eastAsiaTheme="minorEastAsia"/>
          <w:szCs w:val="28"/>
        </w:rPr>
        <w:t>联系方式</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联系人：谭老师</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联系电话：65483231</w:t>
      </w:r>
    </w:p>
    <w:p>
      <w:pPr>
        <w:spacing w:line="500" w:lineRule="exact"/>
        <w:ind w:left="560"/>
        <w:rPr>
          <w:rFonts w:asciiTheme="minorEastAsia" w:hAnsiTheme="minorEastAsia" w:eastAsiaTheme="minorEastAsia"/>
          <w:szCs w:val="28"/>
        </w:rPr>
      </w:pPr>
      <w:r>
        <w:rPr>
          <w:rFonts w:hint="eastAsia" w:asciiTheme="minorEastAsia" w:hAnsiTheme="minorEastAsia" w:eastAsiaTheme="minorEastAsia"/>
          <w:szCs w:val="28"/>
        </w:rPr>
        <w:t>联系地址：</w:t>
      </w:r>
      <w:r>
        <w:rPr>
          <w:rFonts w:hint="eastAsia" w:ascii="宋体" w:hAnsi="宋体" w:cs="微软雅黑"/>
          <w:shd w:val="clear" w:color="auto" w:fill="FFFFFF"/>
        </w:rPr>
        <w:t>重庆市沙坪坝区人民法院</w:t>
      </w:r>
    </w:p>
    <w:p>
      <w:pPr>
        <w:rPr>
          <w:rFonts w:ascii="方正仿宋_GBK" w:hAnsi="宋体" w:eastAsia="方正仿宋_GBK"/>
          <w:sz w:val="24"/>
          <w:szCs w:val="20"/>
        </w:rPr>
      </w:pPr>
    </w:p>
    <w:p>
      <w:pPr>
        <w:widowControl/>
        <w:spacing w:line="500" w:lineRule="exact"/>
        <w:ind w:firstLine="480" w:firstLineChars="200"/>
        <w:jc w:val="left"/>
        <w:rPr>
          <w:rFonts w:ascii="方正仿宋_GBK" w:hAnsi="宋体" w:eastAsia="方正仿宋_GBK"/>
          <w:sz w:val="24"/>
          <w:szCs w:val="20"/>
        </w:rPr>
      </w:pPr>
    </w:p>
    <w:p>
      <w:pPr>
        <w:ind w:firstLine="600" w:firstLineChars="250"/>
        <w:rPr>
          <w:rFonts w:ascii="方正仿宋_GBK" w:hAnsi="宋体" w:eastAsia="方正仿宋_GBK"/>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779DF"/>
    <w:multiLevelType w:val="multilevel"/>
    <w:tmpl w:val="10F779DF"/>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MzJmMTExZGZkNWQ2ZDgxZTAyODg0ZmE0N2U1NDQifQ=="/>
  </w:docVars>
  <w:rsids>
    <w:rsidRoot w:val="00A424EC"/>
    <w:rsid w:val="00020DB1"/>
    <w:rsid w:val="00074178"/>
    <w:rsid w:val="00085B8F"/>
    <w:rsid w:val="000A56FE"/>
    <w:rsid w:val="000D38AC"/>
    <w:rsid w:val="00107185"/>
    <w:rsid w:val="001B51B0"/>
    <w:rsid w:val="001D7758"/>
    <w:rsid w:val="00302118"/>
    <w:rsid w:val="00322FBF"/>
    <w:rsid w:val="003F0D6B"/>
    <w:rsid w:val="00474D54"/>
    <w:rsid w:val="00483738"/>
    <w:rsid w:val="004E0DCF"/>
    <w:rsid w:val="004E5B77"/>
    <w:rsid w:val="005C0D61"/>
    <w:rsid w:val="00655DC7"/>
    <w:rsid w:val="0066299E"/>
    <w:rsid w:val="006879F8"/>
    <w:rsid w:val="00722C22"/>
    <w:rsid w:val="00887A18"/>
    <w:rsid w:val="00895C35"/>
    <w:rsid w:val="008B0408"/>
    <w:rsid w:val="00977B1F"/>
    <w:rsid w:val="00A322BA"/>
    <w:rsid w:val="00A424EC"/>
    <w:rsid w:val="00A8299B"/>
    <w:rsid w:val="00AD4CDE"/>
    <w:rsid w:val="00B52C8C"/>
    <w:rsid w:val="00C52B53"/>
    <w:rsid w:val="00C77EE1"/>
    <w:rsid w:val="00CA615F"/>
    <w:rsid w:val="00CC173C"/>
    <w:rsid w:val="00D55647"/>
    <w:rsid w:val="00DA0821"/>
    <w:rsid w:val="00E831F8"/>
    <w:rsid w:val="00E93931"/>
    <w:rsid w:val="00E955CB"/>
    <w:rsid w:val="00F02DBE"/>
    <w:rsid w:val="00F14B1B"/>
    <w:rsid w:val="00F97908"/>
    <w:rsid w:val="20A8344C"/>
    <w:rsid w:val="71AD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autoRedefine/>
    <w:qFormat/>
    <w:uiPriority w:val="0"/>
    <w:pPr>
      <w:spacing w:line="500" w:lineRule="exact"/>
      <w:jc w:val="center"/>
      <w:outlineLvl w:val="0"/>
    </w:pPr>
    <w:rPr>
      <w:rFonts w:ascii="仿宋_GB2312" w:hAnsi="宋体" w:eastAsia="仿宋_GB2312"/>
      <w:color w:val="000000" w:themeColor="text1"/>
      <w:sz w:val="28"/>
      <w:szCs w:val="20"/>
      <w14:textFill>
        <w14:solidFill>
          <w14:schemeClr w14:val="tx1"/>
        </w14:solidFill>
      </w14:textFill>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semiHidden/>
    <w:qFormat/>
    <w:uiPriority w:val="99"/>
    <w:rPr>
      <w:sz w:val="18"/>
      <w:szCs w:val="18"/>
    </w:rPr>
  </w:style>
  <w:style w:type="character" w:customStyle="1" w:styleId="10">
    <w:name w:val="正文文本缩进 Char"/>
    <w:basedOn w:val="7"/>
    <w:link w:val="2"/>
    <w:autoRedefine/>
    <w:qFormat/>
    <w:uiPriority w:val="0"/>
    <w:rPr>
      <w:rFonts w:ascii="仿宋_GB2312" w:hAnsi="宋体" w:eastAsia="仿宋_GB2312" w:cs="Times New Roman"/>
      <w:color w:val="000000" w:themeColor="text1"/>
      <w:kern w:val="2"/>
      <w:sz w:val="28"/>
      <w14:textFill>
        <w14:solidFill>
          <w14:schemeClr w14:val="tx1"/>
        </w14:solidFill>
      </w14:textFill>
    </w:rPr>
  </w:style>
  <w:style w:type="paragraph" w:customStyle="1" w:styleId="11">
    <w:name w:val="Text"/>
    <w:basedOn w:val="1"/>
    <w:uiPriority w:val="0"/>
    <w:pPr>
      <w:tabs>
        <w:tab w:val="left" w:pos="425"/>
        <w:tab w:val="left" w:pos="851"/>
        <w:tab w:val="left" w:pos="1276"/>
        <w:tab w:val="left" w:pos="1701"/>
        <w:tab w:val="left" w:pos="2126"/>
        <w:tab w:val="left" w:pos="2552"/>
        <w:tab w:val="left" w:pos="2977"/>
      </w:tabs>
      <w:adjustRightInd w:val="0"/>
      <w:spacing w:before="120" w:after="120" w:line="300" w:lineRule="auto"/>
      <w:ind w:firstLine="560"/>
    </w:pPr>
    <w:rPr>
      <w:rFonts w:ascii="宋体" w:hAnsi="宋体" w:eastAsia="仿宋_GB2312"/>
      <w:sz w:val="28"/>
      <w:szCs w:val="20"/>
    </w:rPr>
  </w:style>
  <w:style w:type="paragraph" w:customStyle="1" w:styleId="12">
    <w:name w:val="a"/>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表身"/>
    <w:basedOn w:val="1"/>
    <w:uiPriority w:val="0"/>
    <w:pPr>
      <w:autoSpaceDE w:val="0"/>
      <w:autoSpaceDN w:val="0"/>
      <w:adjustRightInd w:val="0"/>
      <w:spacing w:line="300" w:lineRule="auto"/>
      <w:jc w:val="left"/>
    </w:pPr>
    <w:rPr>
      <w:rFonts w:ascii="Times New Roman" w:hAnsi="Times New Roman"/>
      <w:kern w:val="0"/>
      <w:sz w:val="18"/>
      <w:szCs w:val="20"/>
    </w:rPr>
  </w:style>
  <w:style w:type="paragraph" w:customStyle="1" w:styleId="14">
    <w:name w:val="List Paragraph1"/>
    <w:basedOn w:val="1"/>
    <w:autoRedefine/>
    <w:qFormat/>
    <w:uiPriority w:val="0"/>
    <w:pPr>
      <w:ind w:firstLine="420" w:firstLineChars="200"/>
    </w:p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sqfy</Company>
  <Pages>8</Pages>
  <Words>847</Words>
  <Characters>4831</Characters>
  <Lines>40</Lines>
  <Paragraphs>11</Paragraphs>
  <TotalTime>5</TotalTime>
  <ScaleCrop>false</ScaleCrop>
  <LinksUpToDate>false</LinksUpToDate>
  <CharactersWithSpaces>5667</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2024-04-09T06:37:00Z</dcterms:created>
  <dc:creator>tw</dc:creator>
  <cp:lastModifiedBy>oogle</cp:lastModifiedBy>
  <dcterms:modified xsi:type="dcterms:W3CDTF">2024-04-09T09:58:45Z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3C52C17F0E9C4CAA9372B88157999C7A_13</vt:lpwstr>
  </property>
</Properties>
</file>