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0E3D19F">
      <w:pPr>
        <w:spacing w:line="1600" w:lineRule="exact"/>
        <w:jc w:val="center"/>
        <w:outlineLvl w:val="0"/>
        <w:rPr>
          <w:rFonts w:ascii="宋体" w:hAnsi="宋体" w:cs="宋体"/>
          <w:color w:val="auto"/>
          <w:sz w:val="130"/>
          <w:szCs w:val="130"/>
        </w:rPr>
      </w:pPr>
    </w:p>
    <w:p w14:paraId="5638A99B">
      <w:pPr>
        <w:spacing w:line="1600" w:lineRule="exact"/>
        <w:jc w:val="center"/>
        <w:outlineLvl w:val="0"/>
        <w:rPr>
          <w:rFonts w:ascii="宋体" w:hAnsi="宋体" w:cs="宋体"/>
          <w:color w:val="auto"/>
          <w:sz w:val="130"/>
          <w:szCs w:val="130"/>
        </w:rPr>
      </w:pPr>
      <w:r>
        <w:rPr>
          <w:rFonts w:hint="eastAsia" w:ascii="宋体" w:hAnsi="宋体" w:cs="宋体"/>
          <w:color w:val="auto"/>
          <w:sz w:val="130"/>
          <w:szCs w:val="130"/>
        </w:rPr>
        <w:t>竞争性谈判</w:t>
      </w:r>
    </w:p>
    <w:p w14:paraId="22649D90">
      <w:pPr>
        <w:spacing w:line="1600" w:lineRule="exact"/>
        <w:jc w:val="center"/>
        <w:outlineLvl w:val="0"/>
        <w:rPr>
          <w:rFonts w:ascii="宋体" w:hAnsi="宋体" w:cs="宋体"/>
          <w:color w:val="auto"/>
          <w:sz w:val="130"/>
          <w:szCs w:val="130"/>
        </w:rPr>
      </w:pPr>
      <w:r>
        <w:rPr>
          <w:rFonts w:hint="eastAsia" w:ascii="宋体" w:hAnsi="宋体" w:cs="宋体"/>
          <w:color w:val="auto"/>
          <w:sz w:val="130"/>
          <w:szCs w:val="130"/>
        </w:rPr>
        <w:t>文件</w:t>
      </w:r>
    </w:p>
    <w:p w14:paraId="209055ED">
      <w:pPr>
        <w:spacing w:line="700" w:lineRule="exact"/>
        <w:rPr>
          <w:rFonts w:ascii="宋体" w:hAnsi="宋体" w:cs="宋体"/>
          <w:color w:val="auto"/>
          <w:sz w:val="32"/>
        </w:rPr>
      </w:pPr>
    </w:p>
    <w:p w14:paraId="3F23FC93">
      <w:pPr>
        <w:pStyle w:val="151"/>
        <w:ind w:firstLine="480"/>
        <w:rPr>
          <w:rFonts w:ascii="宋体" w:hAnsi="宋体" w:cs="宋体"/>
          <w:color w:val="auto"/>
        </w:rPr>
      </w:pPr>
    </w:p>
    <w:p w14:paraId="5F463B55">
      <w:pPr>
        <w:spacing w:line="700" w:lineRule="exact"/>
        <w:jc w:val="center"/>
        <w:rPr>
          <w:rFonts w:ascii="宋体" w:hAnsi="宋体" w:cs="宋体"/>
          <w:color w:val="auto"/>
          <w:sz w:val="32"/>
        </w:rPr>
      </w:pPr>
    </w:p>
    <w:p w14:paraId="42E6E083">
      <w:pPr>
        <w:spacing w:line="500" w:lineRule="exact"/>
        <w:ind w:firstLine="1080" w:firstLineChars="300"/>
        <w:outlineLvl w:val="0"/>
        <w:rPr>
          <w:rFonts w:ascii="宋体" w:hAnsi="宋体" w:cs="宋体"/>
          <w:color w:val="auto"/>
          <w:sz w:val="36"/>
          <w:szCs w:val="36"/>
        </w:rPr>
      </w:pPr>
      <w:r>
        <w:rPr>
          <w:rFonts w:hint="eastAsia" w:ascii="宋体" w:hAnsi="宋体" w:cs="宋体"/>
          <w:color w:val="auto"/>
          <w:sz w:val="36"/>
          <w:szCs w:val="36"/>
        </w:rPr>
        <w:t>项   目   号：QC25B0028</w:t>
      </w:r>
    </w:p>
    <w:p w14:paraId="51750438">
      <w:pPr>
        <w:spacing w:line="500" w:lineRule="exact"/>
        <w:ind w:left="3472" w:hanging="2392"/>
        <w:outlineLvl w:val="0"/>
        <w:rPr>
          <w:rFonts w:ascii="宋体" w:hAnsi="宋体" w:cs="宋体"/>
          <w:color w:val="auto"/>
          <w:sz w:val="36"/>
          <w:szCs w:val="36"/>
        </w:rPr>
      </w:pPr>
      <w:r>
        <w:rPr>
          <w:rFonts w:hint="eastAsia" w:ascii="宋体" w:hAnsi="宋体" w:cs="宋体"/>
          <w:color w:val="auto"/>
          <w:sz w:val="36"/>
          <w:szCs w:val="36"/>
        </w:rPr>
        <w:t>谈判项目名称：大渡口区2025年校园周边交通设施品</w:t>
      </w:r>
    </w:p>
    <w:p w14:paraId="3447990A">
      <w:pPr>
        <w:spacing w:line="500" w:lineRule="exact"/>
        <w:ind w:left="3472"/>
        <w:outlineLvl w:val="0"/>
        <w:rPr>
          <w:rFonts w:hint="eastAsia" w:ascii="宋体" w:hAnsi="宋体" w:eastAsia="宋体" w:cs="宋体"/>
          <w:color w:val="auto"/>
          <w:sz w:val="36"/>
          <w:szCs w:val="36"/>
          <w:lang w:eastAsia="zh-CN"/>
        </w:rPr>
      </w:pPr>
      <w:r>
        <w:rPr>
          <w:rFonts w:hint="eastAsia" w:ascii="宋体" w:hAnsi="宋体" w:cs="宋体"/>
          <w:color w:val="auto"/>
          <w:sz w:val="36"/>
          <w:szCs w:val="36"/>
        </w:rPr>
        <w:t>质提升项目</w:t>
      </w:r>
      <w:bookmarkStart w:id="203" w:name="_GoBack"/>
      <w:r>
        <w:rPr>
          <w:rFonts w:hint="eastAsia" w:ascii="宋体" w:hAnsi="宋体" w:cs="宋体"/>
          <w:color w:val="auto"/>
          <w:sz w:val="36"/>
          <w:szCs w:val="36"/>
          <w:lang w:eastAsia="zh-CN"/>
        </w:rPr>
        <w:t>（</w:t>
      </w:r>
      <w:r>
        <w:rPr>
          <w:rFonts w:hint="eastAsia" w:ascii="宋体" w:hAnsi="宋体" w:cs="宋体"/>
          <w:color w:val="auto"/>
          <w:sz w:val="36"/>
          <w:szCs w:val="36"/>
          <w:lang w:val="en-US" w:eastAsia="zh-CN"/>
        </w:rPr>
        <w:t>第四次</w:t>
      </w:r>
      <w:r>
        <w:rPr>
          <w:rFonts w:hint="eastAsia" w:ascii="宋体" w:hAnsi="宋体" w:cs="宋体"/>
          <w:color w:val="auto"/>
          <w:sz w:val="36"/>
          <w:szCs w:val="36"/>
          <w:lang w:eastAsia="zh-CN"/>
        </w:rPr>
        <w:t>）</w:t>
      </w:r>
      <w:bookmarkEnd w:id="203"/>
    </w:p>
    <w:p w14:paraId="6C1C6708">
      <w:pPr>
        <w:spacing w:line="500" w:lineRule="exact"/>
        <w:ind w:firstLine="1084" w:firstLineChars="300"/>
        <w:outlineLvl w:val="0"/>
        <w:rPr>
          <w:rFonts w:ascii="宋体" w:hAnsi="宋体" w:cs="宋体"/>
          <w:b/>
          <w:color w:val="auto"/>
          <w:sz w:val="36"/>
          <w:szCs w:val="36"/>
        </w:rPr>
      </w:pPr>
    </w:p>
    <w:p w14:paraId="61F4FFAA">
      <w:pPr>
        <w:pStyle w:val="23"/>
        <w:rPr>
          <w:rFonts w:ascii="宋体" w:hAnsi="宋体" w:eastAsia="宋体" w:cs="宋体"/>
          <w:b/>
          <w:color w:val="auto"/>
          <w:sz w:val="36"/>
          <w:szCs w:val="36"/>
        </w:rPr>
      </w:pPr>
    </w:p>
    <w:p w14:paraId="6D2717F0">
      <w:pPr>
        <w:pStyle w:val="24"/>
        <w:ind w:left="0"/>
        <w:rPr>
          <w:rFonts w:ascii="宋体" w:hAnsi="宋体" w:cs="宋体"/>
          <w:b/>
          <w:color w:val="auto"/>
          <w:sz w:val="36"/>
          <w:szCs w:val="36"/>
        </w:rPr>
      </w:pPr>
    </w:p>
    <w:p w14:paraId="7250C808">
      <w:pPr>
        <w:spacing w:line="500" w:lineRule="exact"/>
        <w:jc w:val="center"/>
        <w:outlineLvl w:val="0"/>
        <w:rPr>
          <w:rFonts w:ascii="宋体" w:hAnsi="宋体" w:cs="宋体"/>
          <w:color w:val="auto"/>
          <w:sz w:val="36"/>
          <w:szCs w:val="36"/>
        </w:rPr>
      </w:pPr>
      <w:r>
        <w:rPr>
          <w:rFonts w:hint="eastAsia" w:ascii="宋体" w:hAnsi="宋体" w:cs="宋体"/>
          <w:color w:val="auto"/>
          <w:sz w:val="36"/>
          <w:szCs w:val="36"/>
        </w:rPr>
        <w:t>采购人：重庆市公安局大渡口区分局</w:t>
      </w:r>
    </w:p>
    <w:p w14:paraId="31F0E5F0">
      <w:pPr>
        <w:spacing w:line="500" w:lineRule="exact"/>
        <w:jc w:val="center"/>
        <w:outlineLvl w:val="0"/>
        <w:rPr>
          <w:rFonts w:ascii="宋体" w:hAnsi="宋体" w:cs="宋体"/>
          <w:color w:val="auto"/>
          <w:sz w:val="36"/>
          <w:szCs w:val="36"/>
        </w:rPr>
      </w:pPr>
      <w:r>
        <w:rPr>
          <w:rFonts w:hint="eastAsia" w:ascii="宋体" w:hAnsi="宋体" w:cs="宋体"/>
          <w:color w:val="auto"/>
          <w:sz w:val="36"/>
          <w:szCs w:val="36"/>
        </w:rPr>
        <w:t>采购代理机构：重庆千策招标代理有限公司</w:t>
      </w:r>
    </w:p>
    <w:p w14:paraId="1A317BBF">
      <w:pPr>
        <w:spacing w:line="500" w:lineRule="exact"/>
        <w:outlineLvl w:val="0"/>
        <w:rPr>
          <w:rFonts w:ascii="宋体" w:hAnsi="宋体" w:cs="宋体"/>
          <w:color w:val="auto"/>
          <w:sz w:val="36"/>
          <w:szCs w:val="36"/>
        </w:rPr>
      </w:pPr>
    </w:p>
    <w:p w14:paraId="21FFE049">
      <w:pPr>
        <w:pStyle w:val="23"/>
        <w:rPr>
          <w:rFonts w:ascii="宋体" w:hAnsi="宋体" w:eastAsia="宋体" w:cs="宋体"/>
          <w:color w:val="auto"/>
          <w:sz w:val="36"/>
          <w:szCs w:val="36"/>
        </w:rPr>
      </w:pPr>
    </w:p>
    <w:p w14:paraId="60C4BC44">
      <w:pPr>
        <w:rPr>
          <w:rFonts w:ascii="宋体" w:hAnsi="宋体"/>
          <w:color w:val="auto"/>
        </w:rPr>
      </w:pPr>
    </w:p>
    <w:p w14:paraId="642308A2">
      <w:pPr>
        <w:rPr>
          <w:rFonts w:ascii="宋体" w:hAnsi="宋体"/>
          <w:color w:val="auto"/>
        </w:rPr>
      </w:pPr>
    </w:p>
    <w:p w14:paraId="3A20C3F8">
      <w:pPr>
        <w:jc w:val="center"/>
        <w:outlineLvl w:val="0"/>
        <w:rPr>
          <w:rFonts w:ascii="宋体" w:hAnsi="宋体" w:cs="宋体"/>
          <w:color w:val="auto"/>
          <w:sz w:val="36"/>
          <w:szCs w:val="36"/>
        </w:rPr>
      </w:pPr>
      <w:r>
        <w:rPr>
          <w:rFonts w:hint="eastAsia" w:ascii="宋体" w:hAnsi="宋体" w:cs="宋体"/>
          <w:color w:val="auto"/>
          <w:sz w:val="36"/>
          <w:szCs w:val="36"/>
        </w:rPr>
        <w:t>二〇二五年十</w:t>
      </w:r>
      <w:r>
        <w:rPr>
          <w:rFonts w:hint="eastAsia" w:ascii="宋体" w:hAnsi="宋体" w:cs="宋体"/>
          <w:color w:val="auto"/>
          <w:sz w:val="36"/>
          <w:szCs w:val="36"/>
          <w:lang w:eastAsia="zh-CN"/>
        </w:rPr>
        <w:t>二</w:t>
      </w:r>
      <w:r>
        <w:rPr>
          <w:rFonts w:hint="eastAsia" w:ascii="宋体" w:hAnsi="宋体" w:cs="宋体"/>
          <w:color w:val="auto"/>
          <w:sz w:val="36"/>
          <w:szCs w:val="36"/>
        </w:rPr>
        <w:t>月</w:t>
      </w:r>
    </w:p>
    <w:p w14:paraId="761A0716">
      <w:pPr>
        <w:spacing w:line="480" w:lineRule="exact"/>
        <w:outlineLvl w:val="0"/>
        <w:rPr>
          <w:rFonts w:ascii="宋体" w:hAnsi="宋体" w:cs="宋体"/>
          <w:color w:val="auto"/>
          <w:sz w:val="44"/>
          <w:szCs w:val="28"/>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680" w:footer="992" w:gutter="0"/>
          <w:pgNumType w:fmt="numberInDash" w:start="1"/>
          <w:cols w:space="720" w:num="1"/>
          <w:titlePg/>
          <w:docGrid w:linePitch="381" w:charSpace="-5735"/>
        </w:sectPr>
      </w:pPr>
    </w:p>
    <w:p w14:paraId="735AA7E5">
      <w:pPr>
        <w:spacing w:line="480" w:lineRule="exact"/>
        <w:jc w:val="center"/>
        <w:outlineLvl w:val="0"/>
        <w:rPr>
          <w:rFonts w:ascii="宋体" w:hAnsi="宋体" w:cs="宋体"/>
          <w:color w:val="auto"/>
          <w:sz w:val="44"/>
          <w:szCs w:val="28"/>
        </w:rPr>
      </w:pPr>
      <w:r>
        <w:rPr>
          <w:rFonts w:hint="eastAsia" w:ascii="宋体" w:hAnsi="宋体" w:cs="宋体"/>
          <w:color w:val="auto"/>
          <w:sz w:val="44"/>
          <w:szCs w:val="28"/>
        </w:rPr>
        <w:t>目   录</w:t>
      </w:r>
    </w:p>
    <w:p w14:paraId="2C7FE1B6">
      <w:pPr>
        <w:pStyle w:val="49"/>
        <w:tabs>
          <w:tab w:val="right" w:leader="dot" w:pos="9412"/>
        </w:tabs>
        <w:rPr>
          <w:color w:val="auto"/>
        </w:rPr>
      </w:pPr>
      <w:r>
        <w:rPr>
          <w:rFonts w:hint="eastAsia" w:ascii="宋体" w:hAnsi="宋体" w:cs="宋体"/>
          <w:color w:val="auto"/>
          <w:sz w:val="21"/>
        </w:rPr>
        <w:fldChar w:fldCharType="begin"/>
      </w:r>
      <w:r>
        <w:rPr>
          <w:rFonts w:hint="eastAsia" w:ascii="宋体" w:hAnsi="宋体" w:cs="宋体"/>
          <w:color w:val="auto"/>
          <w:sz w:val="21"/>
        </w:rPr>
        <w:instrText xml:space="preserve"> TOC \o "1-3" \h \z </w:instrText>
      </w:r>
      <w:r>
        <w:rPr>
          <w:rFonts w:hint="eastAsia" w:ascii="宋体" w:hAnsi="宋体" w:cs="宋体"/>
          <w:color w:val="auto"/>
          <w:sz w:val="21"/>
        </w:rPr>
        <w:fldChar w:fldCharType="separate"/>
      </w:r>
      <w:r>
        <w:rPr>
          <w:rFonts w:hint="eastAsia" w:ascii="宋体" w:hAnsi="宋体" w:cs="宋体"/>
          <w:color w:val="auto"/>
        </w:rPr>
        <w:fldChar w:fldCharType="begin"/>
      </w:r>
      <w:r>
        <w:rPr>
          <w:rFonts w:hint="eastAsia" w:ascii="宋体" w:hAnsi="宋体" w:cs="宋体"/>
          <w:color w:val="auto"/>
        </w:rPr>
        <w:instrText xml:space="preserve"> HYPERLINK \l _Toc2573 </w:instrText>
      </w:r>
      <w:r>
        <w:rPr>
          <w:rFonts w:hint="eastAsia" w:ascii="宋体" w:hAnsi="宋体" w:cs="宋体"/>
          <w:color w:val="auto"/>
        </w:rPr>
        <w:fldChar w:fldCharType="separate"/>
      </w:r>
      <w:r>
        <w:rPr>
          <w:rFonts w:hint="eastAsia" w:ascii="宋体" w:hAnsi="宋体" w:eastAsia="宋体" w:cs="宋体"/>
          <w:color w:val="auto"/>
          <w:szCs w:val="30"/>
        </w:rPr>
        <w:t>第一篇  竞争性谈判邀请书</w:t>
      </w:r>
      <w:r>
        <w:rPr>
          <w:color w:val="auto"/>
        </w:rPr>
        <w:tab/>
      </w:r>
      <w:r>
        <w:rPr>
          <w:color w:val="auto"/>
        </w:rPr>
        <w:fldChar w:fldCharType="begin"/>
      </w:r>
      <w:r>
        <w:rPr>
          <w:color w:val="auto"/>
        </w:rPr>
        <w:instrText xml:space="preserve"> PAGEREF _Toc2573 \h </w:instrText>
      </w:r>
      <w:r>
        <w:rPr>
          <w:color w:val="auto"/>
        </w:rPr>
        <w:fldChar w:fldCharType="separate"/>
      </w:r>
      <w:r>
        <w:rPr>
          <w:color w:val="auto"/>
        </w:rPr>
        <w:t>- 3 -</w:t>
      </w:r>
      <w:r>
        <w:rPr>
          <w:color w:val="auto"/>
        </w:rPr>
        <w:fldChar w:fldCharType="end"/>
      </w:r>
      <w:r>
        <w:rPr>
          <w:rFonts w:hint="eastAsia" w:ascii="宋体" w:hAnsi="宋体" w:cs="宋体"/>
          <w:color w:val="auto"/>
        </w:rPr>
        <w:fldChar w:fldCharType="end"/>
      </w:r>
    </w:p>
    <w:p w14:paraId="471C2C27">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_Toc21179 </w:instrText>
      </w:r>
      <w:r>
        <w:rPr>
          <w:rFonts w:hint="eastAsia" w:ascii="宋体" w:hAnsi="宋体" w:cs="宋体"/>
          <w:color w:val="auto"/>
        </w:rPr>
        <w:fldChar w:fldCharType="separate"/>
      </w:r>
      <w:r>
        <w:rPr>
          <w:rFonts w:hint="eastAsia" w:ascii="宋体" w:hAnsi="宋体" w:eastAsia="宋体" w:cs="宋体"/>
          <w:color w:val="auto"/>
        </w:rPr>
        <w:t>一、竞争性谈判内容</w:t>
      </w:r>
      <w:r>
        <w:rPr>
          <w:color w:val="auto"/>
        </w:rPr>
        <w:tab/>
      </w:r>
      <w:r>
        <w:rPr>
          <w:color w:val="auto"/>
        </w:rPr>
        <w:fldChar w:fldCharType="begin"/>
      </w:r>
      <w:r>
        <w:rPr>
          <w:color w:val="auto"/>
        </w:rPr>
        <w:instrText xml:space="preserve"> PAGEREF _Toc21179 \h </w:instrText>
      </w:r>
      <w:r>
        <w:rPr>
          <w:color w:val="auto"/>
        </w:rPr>
        <w:fldChar w:fldCharType="separate"/>
      </w:r>
      <w:r>
        <w:rPr>
          <w:color w:val="auto"/>
        </w:rPr>
        <w:t>- 3 -</w:t>
      </w:r>
      <w:r>
        <w:rPr>
          <w:color w:val="auto"/>
        </w:rPr>
        <w:fldChar w:fldCharType="end"/>
      </w:r>
      <w:r>
        <w:rPr>
          <w:rFonts w:hint="eastAsia" w:ascii="宋体" w:hAnsi="宋体" w:cs="宋体"/>
          <w:color w:val="auto"/>
        </w:rPr>
        <w:fldChar w:fldCharType="end"/>
      </w:r>
    </w:p>
    <w:p w14:paraId="18493D26">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_Toc783 </w:instrText>
      </w:r>
      <w:r>
        <w:rPr>
          <w:rFonts w:hint="eastAsia" w:ascii="宋体" w:hAnsi="宋体" w:cs="宋体"/>
          <w:color w:val="auto"/>
        </w:rPr>
        <w:fldChar w:fldCharType="separate"/>
      </w:r>
      <w:r>
        <w:rPr>
          <w:rFonts w:hint="eastAsia" w:ascii="宋体" w:hAnsi="宋体" w:eastAsia="宋体" w:cs="宋体"/>
          <w:color w:val="auto"/>
        </w:rPr>
        <w:t>二、资金来源</w:t>
      </w:r>
      <w:r>
        <w:rPr>
          <w:color w:val="auto"/>
        </w:rPr>
        <w:tab/>
      </w:r>
      <w:r>
        <w:rPr>
          <w:color w:val="auto"/>
        </w:rPr>
        <w:fldChar w:fldCharType="begin"/>
      </w:r>
      <w:r>
        <w:rPr>
          <w:color w:val="auto"/>
        </w:rPr>
        <w:instrText xml:space="preserve"> PAGEREF _Toc783 \h </w:instrText>
      </w:r>
      <w:r>
        <w:rPr>
          <w:color w:val="auto"/>
        </w:rPr>
        <w:fldChar w:fldCharType="separate"/>
      </w:r>
      <w:r>
        <w:rPr>
          <w:color w:val="auto"/>
        </w:rPr>
        <w:t>- 3 -</w:t>
      </w:r>
      <w:r>
        <w:rPr>
          <w:color w:val="auto"/>
        </w:rPr>
        <w:fldChar w:fldCharType="end"/>
      </w:r>
      <w:r>
        <w:rPr>
          <w:rFonts w:hint="eastAsia" w:ascii="宋体" w:hAnsi="宋体" w:cs="宋体"/>
          <w:color w:val="auto"/>
        </w:rPr>
        <w:fldChar w:fldCharType="end"/>
      </w:r>
    </w:p>
    <w:p w14:paraId="7C62EC4C">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_Toc430 </w:instrText>
      </w:r>
      <w:r>
        <w:rPr>
          <w:rFonts w:hint="eastAsia" w:ascii="宋体" w:hAnsi="宋体" w:cs="宋体"/>
          <w:color w:val="auto"/>
        </w:rPr>
        <w:fldChar w:fldCharType="separate"/>
      </w:r>
      <w:r>
        <w:rPr>
          <w:rFonts w:hint="eastAsia" w:ascii="宋体" w:hAnsi="宋体" w:eastAsia="宋体" w:cs="宋体"/>
          <w:color w:val="auto"/>
        </w:rPr>
        <w:t>三、供应商资格条件</w:t>
      </w:r>
      <w:r>
        <w:rPr>
          <w:color w:val="auto"/>
        </w:rPr>
        <w:tab/>
      </w:r>
      <w:r>
        <w:rPr>
          <w:color w:val="auto"/>
        </w:rPr>
        <w:fldChar w:fldCharType="begin"/>
      </w:r>
      <w:r>
        <w:rPr>
          <w:color w:val="auto"/>
        </w:rPr>
        <w:instrText xml:space="preserve"> PAGEREF _Toc430 \h </w:instrText>
      </w:r>
      <w:r>
        <w:rPr>
          <w:color w:val="auto"/>
        </w:rPr>
        <w:fldChar w:fldCharType="separate"/>
      </w:r>
      <w:r>
        <w:rPr>
          <w:color w:val="auto"/>
        </w:rPr>
        <w:t>- 3 -</w:t>
      </w:r>
      <w:r>
        <w:rPr>
          <w:color w:val="auto"/>
        </w:rPr>
        <w:fldChar w:fldCharType="end"/>
      </w:r>
      <w:r>
        <w:rPr>
          <w:rFonts w:hint="eastAsia" w:ascii="宋体" w:hAnsi="宋体" w:cs="宋体"/>
          <w:color w:val="auto"/>
        </w:rPr>
        <w:fldChar w:fldCharType="end"/>
      </w:r>
    </w:p>
    <w:p w14:paraId="21A23A78">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_Toc2796 </w:instrText>
      </w:r>
      <w:r>
        <w:rPr>
          <w:rFonts w:hint="eastAsia" w:ascii="宋体" w:hAnsi="宋体" w:cs="宋体"/>
          <w:color w:val="auto"/>
        </w:rPr>
        <w:fldChar w:fldCharType="separate"/>
      </w:r>
      <w:r>
        <w:rPr>
          <w:rFonts w:hint="eastAsia" w:ascii="宋体" w:hAnsi="宋体" w:eastAsia="宋体" w:cs="宋体"/>
          <w:color w:val="auto"/>
        </w:rPr>
        <w:t>四、谈判有关说明</w:t>
      </w:r>
      <w:r>
        <w:rPr>
          <w:color w:val="auto"/>
        </w:rPr>
        <w:tab/>
      </w:r>
      <w:r>
        <w:rPr>
          <w:color w:val="auto"/>
        </w:rPr>
        <w:fldChar w:fldCharType="begin"/>
      </w:r>
      <w:r>
        <w:rPr>
          <w:color w:val="auto"/>
        </w:rPr>
        <w:instrText xml:space="preserve"> PAGEREF _Toc2796 \h </w:instrText>
      </w:r>
      <w:r>
        <w:rPr>
          <w:color w:val="auto"/>
        </w:rPr>
        <w:fldChar w:fldCharType="separate"/>
      </w:r>
      <w:r>
        <w:rPr>
          <w:color w:val="auto"/>
        </w:rPr>
        <w:t>- 3 -</w:t>
      </w:r>
      <w:r>
        <w:rPr>
          <w:color w:val="auto"/>
        </w:rPr>
        <w:fldChar w:fldCharType="end"/>
      </w:r>
      <w:r>
        <w:rPr>
          <w:rFonts w:hint="eastAsia" w:ascii="宋体" w:hAnsi="宋体" w:cs="宋体"/>
          <w:color w:val="auto"/>
        </w:rPr>
        <w:fldChar w:fldCharType="end"/>
      </w:r>
    </w:p>
    <w:p w14:paraId="5D692E0E">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_Toc1040 </w:instrText>
      </w:r>
      <w:r>
        <w:rPr>
          <w:rFonts w:hint="eastAsia" w:ascii="宋体" w:hAnsi="宋体" w:cs="宋体"/>
          <w:color w:val="auto"/>
        </w:rPr>
        <w:fldChar w:fldCharType="separate"/>
      </w:r>
      <w:r>
        <w:rPr>
          <w:rFonts w:hint="eastAsia" w:ascii="宋体" w:hAnsi="宋体" w:eastAsia="宋体" w:cs="宋体"/>
          <w:color w:val="auto"/>
        </w:rPr>
        <w:t>五、谈判保证金</w:t>
      </w:r>
      <w:r>
        <w:rPr>
          <w:color w:val="auto"/>
        </w:rPr>
        <w:tab/>
      </w:r>
      <w:r>
        <w:rPr>
          <w:color w:val="auto"/>
        </w:rPr>
        <w:fldChar w:fldCharType="begin"/>
      </w:r>
      <w:r>
        <w:rPr>
          <w:color w:val="auto"/>
        </w:rPr>
        <w:instrText xml:space="preserve"> PAGEREF _Toc1040 \h </w:instrText>
      </w:r>
      <w:r>
        <w:rPr>
          <w:color w:val="auto"/>
        </w:rPr>
        <w:fldChar w:fldCharType="separate"/>
      </w:r>
      <w:r>
        <w:rPr>
          <w:color w:val="auto"/>
        </w:rPr>
        <w:t>- 4 -</w:t>
      </w:r>
      <w:r>
        <w:rPr>
          <w:color w:val="auto"/>
        </w:rPr>
        <w:fldChar w:fldCharType="end"/>
      </w:r>
      <w:r>
        <w:rPr>
          <w:rFonts w:hint="eastAsia" w:ascii="宋体" w:hAnsi="宋体" w:cs="宋体"/>
          <w:color w:val="auto"/>
        </w:rPr>
        <w:fldChar w:fldCharType="end"/>
      </w:r>
    </w:p>
    <w:p w14:paraId="3BE704DF">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_Toc11642 </w:instrText>
      </w:r>
      <w:r>
        <w:rPr>
          <w:rFonts w:hint="eastAsia" w:ascii="宋体" w:hAnsi="宋体" w:cs="宋体"/>
          <w:color w:val="auto"/>
        </w:rPr>
        <w:fldChar w:fldCharType="separate"/>
      </w:r>
      <w:r>
        <w:rPr>
          <w:rFonts w:hint="eastAsia" w:ascii="宋体" w:hAnsi="宋体" w:eastAsia="宋体" w:cs="宋体"/>
          <w:color w:val="auto"/>
        </w:rPr>
        <w:t>六、其它有关规定</w:t>
      </w:r>
      <w:r>
        <w:rPr>
          <w:color w:val="auto"/>
        </w:rPr>
        <w:tab/>
      </w:r>
      <w:r>
        <w:rPr>
          <w:color w:val="auto"/>
        </w:rPr>
        <w:fldChar w:fldCharType="begin"/>
      </w:r>
      <w:r>
        <w:rPr>
          <w:color w:val="auto"/>
        </w:rPr>
        <w:instrText xml:space="preserve"> PAGEREF _Toc11642 \h </w:instrText>
      </w:r>
      <w:r>
        <w:rPr>
          <w:color w:val="auto"/>
        </w:rPr>
        <w:fldChar w:fldCharType="separate"/>
      </w:r>
      <w:r>
        <w:rPr>
          <w:color w:val="auto"/>
        </w:rPr>
        <w:t>- 4 -</w:t>
      </w:r>
      <w:r>
        <w:rPr>
          <w:color w:val="auto"/>
        </w:rPr>
        <w:fldChar w:fldCharType="end"/>
      </w:r>
      <w:r>
        <w:rPr>
          <w:rFonts w:hint="eastAsia" w:ascii="宋体" w:hAnsi="宋体" w:cs="宋体"/>
          <w:color w:val="auto"/>
        </w:rPr>
        <w:fldChar w:fldCharType="end"/>
      </w:r>
    </w:p>
    <w:p w14:paraId="2877AEEF">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_Toc14444 </w:instrText>
      </w:r>
      <w:r>
        <w:rPr>
          <w:rFonts w:hint="eastAsia" w:ascii="宋体" w:hAnsi="宋体" w:cs="宋体"/>
          <w:color w:val="auto"/>
        </w:rPr>
        <w:fldChar w:fldCharType="separate"/>
      </w:r>
      <w:r>
        <w:rPr>
          <w:rFonts w:hint="eastAsia" w:ascii="宋体" w:hAnsi="宋体" w:eastAsia="宋体" w:cs="宋体"/>
          <w:color w:val="auto"/>
        </w:rPr>
        <w:t>七、联系方式</w:t>
      </w:r>
      <w:r>
        <w:rPr>
          <w:color w:val="auto"/>
        </w:rPr>
        <w:tab/>
      </w:r>
      <w:r>
        <w:rPr>
          <w:color w:val="auto"/>
        </w:rPr>
        <w:fldChar w:fldCharType="begin"/>
      </w:r>
      <w:r>
        <w:rPr>
          <w:color w:val="auto"/>
        </w:rPr>
        <w:instrText xml:space="preserve"> PAGEREF _Toc14444 \h </w:instrText>
      </w:r>
      <w:r>
        <w:rPr>
          <w:color w:val="auto"/>
        </w:rPr>
        <w:fldChar w:fldCharType="separate"/>
      </w:r>
      <w:r>
        <w:rPr>
          <w:color w:val="auto"/>
        </w:rPr>
        <w:t>- 4 -</w:t>
      </w:r>
      <w:r>
        <w:rPr>
          <w:color w:val="auto"/>
        </w:rPr>
        <w:fldChar w:fldCharType="end"/>
      </w:r>
      <w:r>
        <w:rPr>
          <w:rFonts w:hint="eastAsia" w:ascii="宋体" w:hAnsi="宋体" w:cs="宋体"/>
          <w:color w:val="auto"/>
        </w:rPr>
        <w:fldChar w:fldCharType="end"/>
      </w:r>
    </w:p>
    <w:p w14:paraId="5E9E87B2">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_Toc28921 </w:instrText>
      </w:r>
      <w:r>
        <w:rPr>
          <w:rFonts w:hint="eastAsia" w:ascii="宋体" w:hAnsi="宋体" w:cs="宋体"/>
          <w:color w:val="auto"/>
        </w:rPr>
        <w:fldChar w:fldCharType="separate"/>
      </w:r>
      <w:r>
        <w:rPr>
          <w:rFonts w:hint="eastAsia" w:ascii="宋体" w:hAnsi="宋体" w:eastAsia="宋体" w:cs="宋体"/>
          <w:color w:val="auto"/>
          <w:szCs w:val="30"/>
        </w:rPr>
        <w:t>第二篇  谈判项目技术（质量）需求</w:t>
      </w:r>
      <w:r>
        <w:rPr>
          <w:color w:val="auto"/>
        </w:rPr>
        <w:tab/>
      </w:r>
      <w:r>
        <w:rPr>
          <w:color w:val="auto"/>
        </w:rPr>
        <w:fldChar w:fldCharType="begin"/>
      </w:r>
      <w:r>
        <w:rPr>
          <w:color w:val="auto"/>
        </w:rPr>
        <w:instrText xml:space="preserve"> PAGEREF _Toc28921 \h </w:instrText>
      </w:r>
      <w:r>
        <w:rPr>
          <w:color w:val="auto"/>
        </w:rPr>
        <w:fldChar w:fldCharType="separate"/>
      </w:r>
      <w:r>
        <w:rPr>
          <w:color w:val="auto"/>
        </w:rPr>
        <w:t>- 5 -</w:t>
      </w:r>
      <w:r>
        <w:rPr>
          <w:color w:val="auto"/>
        </w:rPr>
        <w:fldChar w:fldCharType="end"/>
      </w:r>
      <w:r>
        <w:rPr>
          <w:rFonts w:hint="eastAsia" w:ascii="宋体" w:hAnsi="宋体" w:cs="宋体"/>
          <w:color w:val="auto"/>
        </w:rPr>
        <w:fldChar w:fldCharType="end"/>
      </w:r>
    </w:p>
    <w:p w14:paraId="5EED78C9">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_Toc11865 </w:instrText>
      </w:r>
      <w:r>
        <w:rPr>
          <w:rFonts w:hint="eastAsia" w:ascii="宋体" w:hAnsi="宋体" w:cs="宋体"/>
          <w:color w:val="auto"/>
        </w:rPr>
        <w:fldChar w:fldCharType="separate"/>
      </w:r>
      <w:r>
        <w:rPr>
          <w:rFonts w:hint="eastAsia" w:ascii="宋体" w:hAnsi="宋体" w:eastAsia="宋体" w:cs="宋体"/>
          <w:color w:val="auto"/>
        </w:rPr>
        <w:t>一、项目一览表</w:t>
      </w:r>
      <w:r>
        <w:rPr>
          <w:color w:val="auto"/>
        </w:rPr>
        <w:tab/>
      </w:r>
      <w:r>
        <w:rPr>
          <w:color w:val="auto"/>
        </w:rPr>
        <w:fldChar w:fldCharType="begin"/>
      </w:r>
      <w:r>
        <w:rPr>
          <w:color w:val="auto"/>
        </w:rPr>
        <w:instrText xml:space="preserve"> PAGEREF _Toc11865 \h </w:instrText>
      </w:r>
      <w:r>
        <w:rPr>
          <w:color w:val="auto"/>
        </w:rPr>
        <w:fldChar w:fldCharType="separate"/>
      </w:r>
      <w:r>
        <w:rPr>
          <w:color w:val="auto"/>
        </w:rPr>
        <w:t>- 5 -</w:t>
      </w:r>
      <w:r>
        <w:rPr>
          <w:color w:val="auto"/>
        </w:rPr>
        <w:fldChar w:fldCharType="end"/>
      </w:r>
      <w:r>
        <w:rPr>
          <w:rFonts w:hint="eastAsia" w:ascii="宋体" w:hAnsi="宋体" w:cs="宋体"/>
          <w:color w:val="auto"/>
        </w:rPr>
        <w:fldChar w:fldCharType="end"/>
      </w:r>
    </w:p>
    <w:p w14:paraId="6023E984">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_Toc10132 </w:instrText>
      </w:r>
      <w:r>
        <w:rPr>
          <w:rFonts w:hint="eastAsia" w:ascii="宋体" w:hAnsi="宋体" w:cs="宋体"/>
          <w:color w:val="auto"/>
        </w:rPr>
        <w:fldChar w:fldCharType="separate"/>
      </w:r>
      <w:r>
        <w:rPr>
          <w:rFonts w:hint="eastAsia" w:ascii="宋体" w:hAnsi="宋体" w:eastAsia="宋体" w:cs="宋体"/>
          <w:color w:val="auto"/>
        </w:rPr>
        <w:t>二、项目基本情况介绍</w:t>
      </w:r>
      <w:r>
        <w:rPr>
          <w:color w:val="auto"/>
        </w:rPr>
        <w:tab/>
      </w:r>
      <w:r>
        <w:rPr>
          <w:color w:val="auto"/>
        </w:rPr>
        <w:fldChar w:fldCharType="begin"/>
      </w:r>
      <w:r>
        <w:rPr>
          <w:color w:val="auto"/>
        </w:rPr>
        <w:instrText xml:space="preserve"> PAGEREF _Toc10132 \h </w:instrText>
      </w:r>
      <w:r>
        <w:rPr>
          <w:color w:val="auto"/>
        </w:rPr>
        <w:fldChar w:fldCharType="separate"/>
      </w:r>
      <w:r>
        <w:rPr>
          <w:color w:val="auto"/>
        </w:rPr>
        <w:t>- 5 -</w:t>
      </w:r>
      <w:r>
        <w:rPr>
          <w:color w:val="auto"/>
        </w:rPr>
        <w:fldChar w:fldCharType="end"/>
      </w:r>
      <w:r>
        <w:rPr>
          <w:rFonts w:hint="eastAsia" w:ascii="宋体" w:hAnsi="宋体" w:cs="宋体"/>
          <w:color w:val="auto"/>
        </w:rPr>
        <w:fldChar w:fldCharType="end"/>
      </w:r>
    </w:p>
    <w:p w14:paraId="2393E2DE">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_Toc13439 </w:instrText>
      </w:r>
      <w:r>
        <w:rPr>
          <w:rFonts w:hint="eastAsia" w:ascii="宋体" w:hAnsi="宋体" w:cs="宋体"/>
          <w:color w:val="auto"/>
        </w:rPr>
        <w:fldChar w:fldCharType="separate"/>
      </w:r>
      <w:r>
        <w:rPr>
          <w:rFonts w:hint="eastAsia" w:ascii="宋体" w:hAnsi="宋体" w:eastAsia="宋体" w:cs="宋体"/>
          <w:color w:val="auto"/>
        </w:rPr>
        <w:t>三、项目技术需求</w:t>
      </w:r>
      <w:r>
        <w:rPr>
          <w:color w:val="auto"/>
        </w:rPr>
        <w:tab/>
      </w:r>
      <w:r>
        <w:rPr>
          <w:color w:val="auto"/>
        </w:rPr>
        <w:fldChar w:fldCharType="begin"/>
      </w:r>
      <w:r>
        <w:rPr>
          <w:color w:val="auto"/>
        </w:rPr>
        <w:instrText xml:space="preserve"> PAGEREF _Toc13439 \h </w:instrText>
      </w:r>
      <w:r>
        <w:rPr>
          <w:color w:val="auto"/>
        </w:rPr>
        <w:fldChar w:fldCharType="separate"/>
      </w:r>
      <w:r>
        <w:rPr>
          <w:color w:val="auto"/>
        </w:rPr>
        <w:t>- 5 -</w:t>
      </w:r>
      <w:r>
        <w:rPr>
          <w:color w:val="auto"/>
        </w:rPr>
        <w:fldChar w:fldCharType="end"/>
      </w:r>
      <w:r>
        <w:rPr>
          <w:rFonts w:hint="eastAsia" w:ascii="宋体" w:hAnsi="宋体" w:cs="宋体"/>
          <w:color w:val="auto"/>
        </w:rPr>
        <w:fldChar w:fldCharType="end"/>
      </w:r>
    </w:p>
    <w:p w14:paraId="0176B614">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_Toc15830 </w:instrText>
      </w:r>
      <w:r>
        <w:rPr>
          <w:rFonts w:hint="eastAsia" w:ascii="宋体" w:hAnsi="宋体" w:cs="宋体"/>
          <w:color w:val="auto"/>
        </w:rPr>
        <w:fldChar w:fldCharType="separate"/>
      </w:r>
      <w:r>
        <w:rPr>
          <w:rFonts w:hint="eastAsia" w:ascii="宋体" w:hAnsi="宋体" w:eastAsia="宋体" w:cs="宋体"/>
          <w:color w:val="auto"/>
        </w:rPr>
        <w:t>四、工程质量及施工要求</w:t>
      </w:r>
      <w:r>
        <w:rPr>
          <w:color w:val="auto"/>
        </w:rPr>
        <w:tab/>
      </w:r>
      <w:r>
        <w:rPr>
          <w:color w:val="auto"/>
        </w:rPr>
        <w:fldChar w:fldCharType="begin"/>
      </w:r>
      <w:r>
        <w:rPr>
          <w:color w:val="auto"/>
        </w:rPr>
        <w:instrText xml:space="preserve"> PAGEREF _Toc15830 \h </w:instrText>
      </w:r>
      <w:r>
        <w:rPr>
          <w:color w:val="auto"/>
        </w:rPr>
        <w:fldChar w:fldCharType="separate"/>
      </w:r>
      <w:r>
        <w:rPr>
          <w:color w:val="auto"/>
        </w:rPr>
        <w:t>- 11 -</w:t>
      </w:r>
      <w:r>
        <w:rPr>
          <w:color w:val="auto"/>
        </w:rPr>
        <w:fldChar w:fldCharType="end"/>
      </w:r>
      <w:r>
        <w:rPr>
          <w:rFonts w:hint="eastAsia" w:ascii="宋体" w:hAnsi="宋体" w:cs="宋体"/>
          <w:color w:val="auto"/>
        </w:rPr>
        <w:fldChar w:fldCharType="end"/>
      </w:r>
    </w:p>
    <w:p w14:paraId="43DE6B97">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_Toc957 </w:instrText>
      </w:r>
      <w:r>
        <w:rPr>
          <w:rFonts w:hint="eastAsia" w:ascii="宋体" w:hAnsi="宋体" w:cs="宋体"/>
          <w:color w:val="auto"/>
        </w:rPr>
        <w:fldChar w:fldCharType="separate"/>
      </w:r>
      <w:r>
        <w:rPr>
          <w:rFonts w:hint="eastAsia" w:ascii="宋体" w:hAnsi="宋体" w:eastAsia="宋体" w:cs="宋体"/>
          <w:color w:val="auto"/>
        </w:rPr>
        <w:t>五、其他要求</w:t>
      </w:r>
      <w:r>
        <w:rPr>
          <w:color w:val="auto"/>
        </w:rPr>
        <w:tab/>
      </w:r>
      <w:r>
        <w:rPr>
          <w:color w:val="auto"/>
        </w:rPr>
        <w:fldChar w:fldCharType="begin"/>
      </w:r>
      <w:r>
        <w:rPr>
          <w:color w:val="auto"/>
        </w:rPr>
        <w:instrText xml:space="preserve"> PAGEREF _Toc957 \h </w:instrText>
      </w:r>
      <w:r>
        <w:rPr>
          <w:color w:val="auto"/>
        </w:rPr>
        <w:fldChar w:fldCharType="separate"/>
      </w:r>
      <w:r>
        <w:rPr>
          <w:color w:val="auto"/>
        </w:rPr>
        <w:t>- 11 -</w:t>
      </w:r>
      <w:r>
        <w:rPr>
          <w:color w:val="auto"/>
        </w:rPr>
        <w:fldChar w:fldCharType="end"/>
      </w:r>
      <w:r>
        <w:rPr>
          <w:rFonts w:hint="eastAsia" w:ascii="宋体" w:hAnsi="宋体" w:cs="宋体"/>
          <w:color w:val="auto"/>
        </w:rPr>
        <w:fldChar w:fldCharType="end"/>
      </w:r>
    </w:p>
    <w:p w14:paraId="76226C08">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_Toc30133 </w:instrText>
      </w:r>
      <w:r>
        <w:rPr>
          <w:rFonts w:hint="eastAsia" w:ascii="宋体" w:hAnsi="宋体" w:cs="宋体"/>
          <w:color w:val="auto"/>
        </w:rPr>
        <w:fldChar w:fldCharType="separate"/>
      </w:r>
      <w:r>
        <w:rPr>
          <w:rFonts w:hint="eastAsia" w:ascii="宋体" w:hAnsi="宋体" w:eastAsia="宋体" w:cs="宋体"/>
          <w:color w:val="auto"/>
        </w:rPr>
        <w:t>六、现场踏勘</w:t>
      </w:r>
      <w:r>
        <w:rPr>
          <w:color w:val="auto"/>
        </w:rPr>
        <w:tab/>
      </w:r>
      <w:r>
        <w:rPr>
          <w:color w:val="auto"/>
        </w:rPr>
        <w:fldChar w:fldCharType="begin"/>
      </w:r>
      <w:r>
        <w:rPr>
          <w:color w:val="auto"/>
        </w:rPr>
        <w:instrText xml:space="preserve"> PAGEREF _Toc30133 \h </w:instrText>
      </w:r>
      <w:r>
        <w:rPr>
          <w:color w:val="auto"/>
        </w:rPr>
        <w:fldChar w:fldCharType="separate"/>
      </w:r>
      <w:r>
        <w:rPr>
          <w:color w:val="auto"/>
        </w:rPr>
        <w:t>- 11 -</w:t>
      </w:r>
      <w:r>
        <w:rPr>
          <w:color w:val="auto"/>
        </w:rPr>
        <w:fldChar w:fldCharType="end"/>
      </w:r>
      <w:r>
        <w:rPr>
          <w:rFonts w:hint="eastAsia" w:ascii="宋体" w:hAnsi="宋体" w:cs="宋体"/>
          <w:color w:val="auto"/>
        </w:rPr>
        <w:fldChar w:fldCharType="end"/>
      </w:r>
    </w:p>
    <w:p w14:paraId="65E22991">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_Toc22644 </w:instrText>
      </w:r>
      <w:r>
        <w:rPr>
          <w:rFonts w:hint="eastAsia" w:ascii="宋体" w:hAnsi="宋体" w:cs="宋体"/>
          <w:color w:val="auto"/>
        </w:rPr>
        <w:fldChar w:fldCharType="separate"/>
      </w:r>
      <w:r>
        <w:rPr>
          <w:rFonts w:hint="eastAsia" w:ascii="宋体" w:hAnsi="宋体" w:eastAsia="宋体" w:cs="宋体"/>
          <w:color w:val="auto"/>
        </w:rPr>
        <w:t>七、附件</w:t>
      </w:r>
      <w:r>
        <w:rPr>
          <w:color w:val="auto"/>
        </w:rPr>
        <w:tab/>
      </w:r>
      <w:r>
        <w:rPr>
          <w:color w:val="auto"/>
        </w:rPr>
        <w:fldChar w:fldCharType="begin"/>
      </w:r>
      <w:r>
        <w:rPr>
          <w:color w:val="auto"/>
        </w:rPr>
        <w:instrText xml:space="preserve"> PAGEREF _Toc22644 \h </w:instrText>
      </w:r>
      <w:r>
        <w:rPr>
          <w:color w:val="auto"/>
        </w:rPr>
        <w:fldChar w:fldCharType="separate"/>
      </w:r>
      <w:r>
        <w:rPr>
          <w:color w:val="auto"/>
        </w:rPr>
        <w:t>- 11 -</w:t>
      </w:r>
      <w:r>
        <w:rPr>
          <w:color w:val="auto"/>
        </w:rPr>
        <w:fldChar w:fldCharType="end"/>
      </w:r>
      <w:r>
        <w:rPr>
          <w:rFonts w:hint="eastAsia" w:ascii="宋体" w:hAnsi="宋体" w:cs="宋体"/>
          <w:color w:val="auto"/>
        </w:rPr>
        <w:fldChar w:fldCharType="end"/>
      </w:r>
    </w:p>
    <w:p w14:paraId="622149B3">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_Toc15151 </w:instrText>
      </w:r>
      <w:r>
        <w:rPr>
          <w:rFonts w:hint="eastAsia" w:ascii="宋体" w:hAnsi="宋体" w:cs="宋体"/>
          <w:color w:val="auto"/>
        </w:rPr>
        <w:fldChar w:fldCharType="separate"/>
      </w:r>
      <w:r>
        <w:rPr>
          <w:rFonts w:hint="eastAsia" w:ascii="宋体" w:hAnsi="宋体" w:eastAsia="宋体" w:cs="宋体"/>
          <w:color w:val="auto"/>
          <w:szCs w:val="30"/>
        </w:rPr>
        <w:t>第三篇  谈判项目商务需求</w:t>
      </w:r>
      <w:r>
        <w:rPr>
          <w:color w:val="auto"/>
        </w:rPr>
        <w:tab/>
      </w:r>
      <w:r>
        <w:rPr>
          <w:color w:val="auto"/>
        </w:rPr>
        <w:fldChar w:fldCharType="begin"/>
      </w:r>
      <w:r>
        <w:rPr>
          <w:color w:val="auto"/>
        </w:rPr>
        <w:instrText xml:space="preserve"> PAGEREF _Toc15151 \h </w:instrText>
      </w:r>
      <w:r>
        <w:rPr>
          <w:color w:val="auto"/>
        </w:rPr>
        <w:fldChar w:fldCharType="separate"/>
      </w:r>
      <w:r>
        <w:rPr>
          <w:color w:val="auto"/>
        </w:rPr>
        <w:t>- 12 -</w:t>
      </w:r>
      <w:r>
        <w:rPr>
          <w:color w:val="auto"/>
        </w:rPr>
        <w:fldChar w:fldCharType="end"/>
      </w:r>
      <w:r>
        <w:rPr>
          <w:rFonts w:hint="eastAsia" w:ascii="宋体" w:hAnsi="宋体" w:cs="宋体"/>
          <w:color w:val="auto"/>
        </w:rPr>
        <w:fldChar w:fldCharType="end"/>
      </w:r>
    </w:p>
    <w:p w14:paraId="425BD8FE">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_Toc4937 </w:instrText>
      </w:r>
      <w:r>
        <w:rPr>
          <w:rFonts w:hint="eastAsia" w:ascii="宋体" w:hAnsi="宋体" w:cs="宋体"/>
          <w:color w:val="auto"/>
        </w:rPr>
        <w:fldChar w:fldCharType="separate"/>
      </w:r>
      <w:r>
        <w:rPr>
          <w:rFonts w:hint="eastAsia" w:ascii="宋体" w:hAnsi="宋体" w:eastAsia="宋体" w:cs="宋体"/>
          <w:color w:val="auto"/>
        </w:rPr>
        <w:t>一、工期、实施地点及验收方式</w:t>
      </w:r>
      <w:r>
        <w:rPr>
          <w:color w:val="auto"/>
        </w:rPr>
        <w:tab/>
      </w:r>
      <w:r>
        <w:rPr>
          <w:color w:val="auto"/>
        </w:rPr>
        <w:fldChar w:fldCharType="begin"/>
      </w:r>
      <w:r>
        <w:rPr>
          <w:color w:val="auto"/>
        </w:rPr>
        <w:instrText xml:space="preserve"> PAGEREF _Toc4937 \h </w:instrText>
      </w:r>
      <w:r>
        <w:rPr>
          <w:color w:val="auto"/>
        </w:rPr>
        <w:fldChar w:fldCharType="separate"/>
      </w:r>
      <w:r>
        <w:rPr>
          <w:color w:val="auto"/>
        </w:rPr>
        <w:t>- 12 -</w:t>
      </w:r>
      <w:r>
        <w:rPr>
          <w:color w:val="auto"/>
        </w:rPr>
        <w:fldChar w:fldCharType="end"/>
      </w:r>
      <w:r>
        <w:rPr>
          <w:rFonts w:hint="eastAsia" w:ascii="宋体" w:hAnsi="宋体" w:cs="宋体"/>
          <w:color w:val="auto"/>
        </w:rPr>
        <w:fldChar w:fldCharType="end"/>
      </w:r>
    </w:p>
    <w:p w14:paraId="023B6642">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_Toc26247 </w:instrText>
      </w:r>
      <w:r>
        <w:rPr>
          <w:rFonts w:hint="eastAsia" w:ascii="宋体" w:hAnsi="宋体" w:cs="宋体"/>
          <w:color w:val="auto"/>
        </w:rPr>
        <w:fldChar w:fldCharType="separate"/>
      </w:r>
      <w:r>
        <w:rPr>
          <w:rFonts w:hint="eastAsia" w:ascii="宋体" w:hAnsi="宋体" w:eastAsia="宋体" w:cs="宋体"/>
          <w:color w:val="auto"/>
        </w:rPr>
        <w:t>二、报价要求</w:t>
      </w:r>
      <w:r>
        <w:rPr>
          <w:color w:val="auto"/>
        </w:rPr>
        <w:tab/>
      </w:r>
      <w:r>
        <w:rPr>
          <w:color w:val="auto"/>
        </w:rPr>
        <w:fldChar w:fldCharType="begin"/>
      </w:r>
      <w:r>
        <w:rPr>
          <w:color w:val="auto"/>
        </w:rPr>
        <w:instrText xml:space="preserve"> PAGEREF _Toc26247 \h </w:instrText>
      </w:r>
      <w:r>
        <w:rPr>
          <w:color w:val="auto"/>
        </w:rPr>
        <w:fldChar w:fldCharType="separate"/>
      </w:r>
      <w:r>
        <w:rPr>
          <w:color w:val="auto"/>
        </w:rPr>
        <w:t>- 12 -</w:t>
      </w:r>
      <w:r>
        <w:rPr>
          <w:color w:val="auto"/>
        </w:rPr>
        <w:fldChar w:fldCharType="end"/>
      </w:r>
      <w:r>
        <w:rPr>
          <w:rFonts w:hint="eastAsia" w:ascii="宋体" w:hAnsi="宋体" w:cs="宋体"/>
          <w:color w:val="auto"/>
        </w:rPr>
        <w:fldChar w:fldCharType="end"/>
      </w:r>
    </w:p>
    <w:p w14:paraId="1E78F614">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_Toc1244 </w:instrText>
      </w:r>
      <w:r>
        <w:rPr>
          <w:rFonts w:hint="eastAsia" w:ascii="宋体" w:hAnsi="宋体" w:cs="宋体"/>
          <w:color w:val="auto"/>
        </w:rPr>
        <w:fldChar w:fldCharType="separate"/>
      </w:r>
      <w:r>
        <w:rPr>
          <w:rFonts w:hint="eastAsia" w:asciiTheme="minorEastAsia" w:hAnsiTheme="minorEastAsia" w:eastAsiaTheme="minorEastAsia" w:cstheme="minorEastAsia"/>
          <w:color w:val="auto"/>
        </w:rPr>
        <w:t>三、结算原则</w:t>
      </w:r>
      <w:r>
        <w:rPr>
          <w:color w:val="auto"/>
        </w:rPr>
        <w:tab/>
      </w:r>
      <w:r>
        <w:rPr>
          <w:color w:val="auto"/>
        </w:rPr>
        <w:fldChar w:fldCharType="begin"/>
      </w:r>
      <w:r>
        <w:rPr>
          <w:color w:val="auto"/>
        </w:rPr>
        <w:instrText xml:space="preserve"> PAGEREF _Toc1244 \h </w:instrText>
      </w:r>
      <w:r>
        <w:rPr>
          <w:color w:val="auto"/>
        </w:rPr>
        <w:fldChar w:fldCharType="separate"/>
      </w:r>
      <w:r>
        <w:rPr>
          <w:color w:val="auto"/>
        </w:rPr>
        <w:t>- 15 -</w:t>
      </w:r>
      <w:r>
        <w:rPr>
          <w:color w:val="auto"/>
        </w:rPr>
        <w:fldChar w:fldCharType="end"/>
      </w:r>
      <w:r>
        <w:rPr>
          <w:rFonts w:hint="eastAsia" w:ascii="宋体" w:hAnsi="宋体" w:cs="宋体"/>
          <w:color w:val="auto"/>
        </w:rPr>
        <w:fldChar w:fldCharType="end"/>
      </w:r>
    </w:p>
    <w:p w14:paraId="77A604F8">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_Toc8606 </w:instrText>
      </w:r>
      <w:r>
        <w:rPr>
          <w:rFonts w:hint="eastAsia" w:ascii="宋体" w:hAnsi="宋体" w:cs="宋体"/>
          <w:color w:val="auto"/>
        </w:rPr>
        <w:fldChar w:fldCharType="separate"/>
      </w:r>
      <w:r>
        <w:rPr>
          <w:rFonts w:hint="eastAsia" w:ascii="宋体" w:hAnsi="宋体" w:eastAsia="宋体" w:cs="宋体"/>
          <w:color w:val="auto"/>
        </w:rPr>
        <w:t>四、缺陷责任期与保修</w:t>
      </w:r>
      <w:r>
        <w:rPr>
          <w:color w:val="auto"/>
        </w:rPr>
        <w:tab/>
      </w:r>
      <w:r>
        <w:rPr>
          <w:color w:val="auto"/>
        </w:rPr>
        <w:fldChar w:fldCharType="begin"/>
      </w:r>
      <w:r>
        <w:rPr>
          <w:color w:val="auto"/>
        </w:rPr>
        <w:instrText xml:space="preserve"> PAGEREF _Toc8606 \h </w:instrText>
      </w:r>
      <w:r>
        <w:rPr>
          <w:color w:val="auto"/>
        </w:rPr>
        <w:fldChar w:fldCharType="separate"/>
      </w:r>
      <w:r>
        <w:rPr>
          <w:color w:val="auto"/>
        </w:rPr>
        <w:t>- 17 -</w:t>
      </w:r>
      <w:r>
        <w:rPr>
          <w:color w:val="auto"/>
        </w:rPr>
        <w:fldChar w:fldCharType="end"/>
      </w:r>
      <w:r>
        <w:rPr>
          <w:rFonts w:hint="eastAsia" w:ascii="宋体" w:hAnsi="宋体" w:cs="宋体"/>
          <w:color w:val="auto"/>
        </w:rPr>
        <w:fldChar w:fldCharType="end"/>
      </w:r>
    </w:p>
    <w:p w14:paraId="1909B2C8">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_Toc25666 </w:instrText>
      </w:r>
      <w:r>
        <w:rPr>
          <w:rFonts w:hint="eastAsia" w:ascii="宋体" w:hAnsi="宋体" w:cs="宋体"/>
          <w:color w:val="auto"/>
        </w:rPr>
        <w:fldChar w:fldCharType="separate"/>
      </w:r>
      <w:r>
        <w:rPr>
          <w:rFonts w:hint="eastAsia" w:ascii="宋体" w:hAnsi="宋体" w:eastAsia="宋体" w:cs="宋体"/>
          <w:color w:val="auto"/>
        </w:rPr>
        <w:t>五、履约保证金及付款方式</w:t>
      </w:r>
      <w:r>
        <w:rPr>
          <w:color w:val="auto"/>
        </w:rPr>
        <w:tab/>
      </w:r>
      <w:r>
        <w:rPr>
          <w:color w:val="auto"/>
        </w:rPr>
        <w:fldChar w:fldCharType="begin"/>
      </w:r>
      <w:r>
        <w:rPr>
          <w:color w:val="auto"/>
        </w:rPr>
        <w:instrText xml:space="preserve"> PAGEREF _Toc25666 \h </w:instrText>
      </w:r>
      <w:r>
        <w:rPr>
          <w:color w:val="auto"/>
        </w:rPr>
        <w:fldChar w:fldCharType="separate"/>
      </w:r>
      <w:r>
        <w:rPr>
          <w:color w:val="auto"/>
        </w:rPr>
        <w:t>- 17 -</w:t>
      </w:r>
      <w:r>
        <w:rPr>
          <w:color w:val="auto"/>
        </w:rPr>
        <w:fldChar w:fldCharType="end"/>
      </w:r>
      <w:r>
        <w:rPr>
          <w:rFonts w:hint="eastAsia" w:ascii="宋体" w:hAnsi="宋体" w:cs="宋体"/>
          <w:color w:val="auto"/>
        </w:rPr>
        <w:fldChar w:fldCharType="end"/>
      </w:r>
    </w:p>
    <w:p w14:paraId="02207CF7">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_Toc4362 </w:instrText>
      </w:r>
      <w:r>
        <w:rPr>
          <w:rFonts w:hint="eastAsia" w:ascii="宋体" w:hAnsi="宋体" w:cs="宋体"/>
          <w:color w:val="auto"/>
        </w:rPr>
        <w:fldChar w:fldCharType="separate"/>
      </w:r>
      <w:r>
        <w:rPr>
          <w:rFonts w:hint="eastAsia" w:ascii="宋体" w:hAnsi="宋体" w:eastAsia="宋体" w:cs="宋体"/>
          <w:color w:val="auto"/>
        </w:rPr>
        <w:t>六、知识产权</w:t>
      </w:r>
      <w:r>
        <w:rPr>
          <w:color w:val="auto"/>
        </w:rPr>
        <w:tab/>
      </w:r>
      <w:r>
        <w:rPr>
          <w:color w:val="auto"/>
        </w:rPr>
        <w:fldChar w:fldCharType="begin"/>
      </w:r>
      <w:r>
        <w:rPr>
          <w:color w:val="auto"/>
        </w:rPr>
        <w:instrText xml:space="preserve"> PAGEREF _Toc4362 \h </w:instrText>
      </w:r>
      <w:r>
        <w:rPr>
          <w:color w:val="auto"/>
        </w:rPr>
        <w:fldChar w:fldCharType="separate"/>
      </w:r>
      <w:r>
        <w:rPr>
          <w:color w:val="auto"/>
        </w:rPr>
        <w:t>- 18 -</w:t>
      </w:r>
      <w:r>
        <w:rPr>
          <w:color w:val="auto"/>
        </w:rPr>
        <w:fldChar w:fldCharType="end"/>
      </w:r>
      <w:r>
        <w:rPr>
          <w:rFonts w:hint="eastAsia" w:ascii="宋体" w:hAnsi="宋体" w:cs="宋体"/>
          <w:color w:val="auto"/>
        </w:rPr>
        <w:fldChar w:fldCharType="end"/>
      </w:r>
    </w:p>
    <w:p w14:paraId="5891632F">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_Toc11846 </w:instrText>
      </w:r>
      <w:r>
        <w:rPr>
          <w:rFonts w:hint="eastAsia" w:ascii="宋体" w:hAnsi="宋体" w:cs="宋体"/>
          <w:color w:val="auto"/>
        </w:rPr>
        <w:fldChar w:fldCharType="separate"/>
      </w:r>
      <w:r>
        <w:rPr>
          <w:rFonts w:hint="eastAsia" w:ascii="宋体" w:hAnsi="宋体" w:eastAsia="宋体" w:cs="宋体"/>
          <w:color w:val="auto"/>
        </w:rPr>
        <w:t>七、其他</w:t>
      </w:r>
      <w:r>
        <w:rPr>
          <w:color w:val="auto"/>
        </w:rPr>
        <w:tab/>
      </w:r>
      <w:r>
        <w:rPr>
          <w:color w:val="auto"/>
        </w:rPr>
        <w:fldChar w:fldCharType="begin"/>
      </w:r>
      <w:r>
        <w:rPr>
          <w:color w:val="auto"/>
        </w:rPr>
        <w:instrText xml:space="preserve"> PAGEREF _Toc11846 \h </w:instrText>
      </w:r>
      <w:r>
        <w:rPr>
          <w:color w:val="auto"/>
        </w:rPr>
        <w:fldChar w:fldCharType="separate"/>
      </w:r>
      <w:r>
        <w:rPr>
          <w:color w:val="auto"/>
        </w:rPr>
        <w:t>- 18 -</w:t>
      </w:r>
      <w:r>
        <w:rPr>
          <w:color w:val="auto"/>
        </w:rPr>
        <w:fldChar w:fldCharType="end"/>
      </w:r>
      <w:r>
        <w:rPr>
          <w:rFonts w:hint="eastAsia" w:ascii="宋体" w:hAnsi="宋体" w:cs="宋体"/>
          <w:color w:val="auto"/>
        </w:rPr>
        <w:fldChar w:fldCharType="end"/>
      </w:r>
    </w:p>
    <w:p w14:paraId="3B9BD59B">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_Toc9932 </w:instrText>
      </w:r>
      <w:r>
        <w:rPr>
          <w:rFonts w:hint="eastAsia" w:ascii="宋体" w:hAnsi="宋体" w:cs="宋体"/>
          <w:color w:val="auto"/>
        </w:rPr>
        <w:fldChar w:fldCharType="separate"/>
      </w:r>
      <w:r>
        <w:rPr>
          <w:rFonts w:hint="eastAsia" w:ascii="宋体" w:hAnsi="宋体" w:eastAsia="宋体" w:cs="宋体"/>
          <w:color w:val="auto"/>
          <w:szCs w:val="30"/>
        </w:rPr>
        <w:t>第四篇  采购程序、评定成交的标准、无效谈判及采购终止</w:t>
      </w:r>
      <w:r>
        <w:rPr>
          <w:color w:val="auto"/>
        </w:rPr>
        <w:tab/>
      </w:r>
      <w:r>
        <w:rPr>
          <w:color w:val="auto"/>
        </w:rPr>
        <w:fldChar w:fldCharType="begin"/>
      </w:r>
      <w:r>
        <w:rPr>
          <w:color w:val="auto"/>
        </w:rPr>
        <w:instrText xml:space="preserve"> PAGEREF _Toc9932 \h </w:instrText>
      </w:r>
      <w:r>
        <w:rPr>
          <w:color w:val="auto"/>
        </w:rPr>
        <w:fldChar w:fldCharType="separate"/>
      </w:r>
      <w:r>
        <w:rPr>
          <w:color w:val="auto"/>
        </w:rPr>
        <w:t>- 19 -</w:t>
      </w:r>
      <w:r>
        <w:rPr>
          <w:color w:val="auto"/>
        </w:rPr>
        <w:fldChar w:fldCharType="end"/>
      </w:r>
      <w:r>
        <w:rPr>
          <w:rFonts w:hint="eastAsia" w:ascii="宋体" w:hAnsi="宋体" w:cs="宋体"/>
          <w:color w:val="auto"/>
        </w:rPr>
        <w:fldChar w:fldCharType="end"/>
      </w:r>
    </w:p>
    <w:p w14:paraId="302F7CB6">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_Toc23482 </w:instrText>
      </w:r>
      <w:r>
        <w:rPr>
          <w:rFonts w:hint="eastAsia" w:ascii="宋体" w:hAnsi="宋体" w:cs="宋体"/>
          <w:color w:val="auto"/>
        </w:rPr>
        <w:fldChar w:fldCharType="separate"/>
      </w:r>
      <w:r>
        <w:rPr>
          <w:rFonts w:hint="eastAsia" w:ascii="宋体" w:hAnsi="宋体" w:eastAsia="宋体" w:cs="宋体"/>
          <w:color w:val="auto"/>
        </w:rPr>
        <w:t>一、采购程序</w:t>
      </w:r>
      <w:r>
        <w:rPr>
          <w:color w:val="auto"/>
        </w:rPr>
        <w:tab/>
      </w:r>
      <w:r>
        <w:rPr>
          <w:color w:val="auto"/>
        </w:rPr>
        <w:fldChar w:fldCharType="begin"/>
      </w:r>
      <w:r>
        <w:rPr>
          <w:color w:val="auto"/>
        </w:rPr>
        <w:instrText xml:space="preserve"> PAGEREF _Toc23482 \h </w:instrText>
      </w:r>
      <w:r>
        <w:rPr>
          <w:color w:val="auto"/>
        </w:rPr>
        <w:fldChar w:fldCharType="separate"/>
      </w:r>
      <w:r>
        <w:rPr>
          <w:color w:val="auto"/>
        </w:rPr>
        <w:t>- 19 -</w:t>
      </w:r>
      <w:r>
        <w:rPr>
          <w:color w:val="auto"/>
        </w:rPr>
        <w:fldChar w:fldCharType="end"/>
      </w:r>
      <w:r>
        <w:rPr>
          <w:rFonts w:hint="eastAsia" w:ascii="宋体" w:hAnsi="宋体" w:cs="宋体"/>
          <w:color w:val="auto"/>
        </w:rPr>
        <w:fldChar w:fldCharType="end"/>
      </w:r>
    </w:p>
    <w:p w14:paraId="13212D50">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_Toc29659 </w:instrText>
      </w:r>
      <w:r>
        <w:rPr>
          <w:rFonts w:hint="eastAsia" w:ascii="宋体" w:hAnsi="宋体" w:cs="宋体"/>
          <w:color w:val="auto"/>
        </w:rPr>
        <w:fldChar w:fldCharType="separate"/>
      </w:r>
      <w:r>
        <w:rPr>
          <w:rFonts w:hint="eastAsia" w:ascii="宋体" w:hAnsi="宋体" w:eastAsia="宋体" w:cs="宋体"/>
          <w:color w:val="auto"/>
        </w:rPr>
        <w:t>二、评定成交的标准</w:t>
      </w:r>
      <w:r>
        <w:rPr>
          <w:color w:val="auto"/>
        </w:rPr>
        <w:tab/>
      </w:r>
      <w:r>
        <w:rPr>
          <w:color w:val="auto"/>
        </w:rPr>
        <w:fldChar w:fldCharType="begin"/>
      </w:r>
      <w:r>
        <w:rPr>
          <w:color w:val="auto"/>
        </w:rPr>
        <w:instrText xml:space="preserve"> PAGEREF _Toc29659 \h </w:instrText>
      </w:r>
      <w:r>
        <w:rPr>
          <w:color w:val="auto"/>
        </w:rPr>
        <w:fldChar w:fldCharType="separate"/>
      </w:r>
      <w:r>
        <w:rPr>
          <w:color w:val="auto"/>
        </w:rPr>
        <w:t>- 21 -</w:t>
      </w:r>
      <w:r>
        <w:rPr>
          <w:color w:val="auto"/>
        </w:rPr>
        <w:fldChar w:fldCharType="end"/>
      </w:r>
      <w:r>
        <w:rPr>
          <w:rFonts w:hint="eastAsia" w:ascii="宋体" w:hAnsi="宋体" w:cs="宋体"/>
          <w:color w:val="auto"/>
        </w:rPr>
        <w:fldChar w:fldCharType="end"/>
      </w:r>
    </w:p>
    <w:p w14:paraId="5DE001FE">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_Toc3946 </w:instrText>
      </w:r>
      <w:r>
        <w:rPr>
          <w:rFonts w:hint="eastAsia" w:ascii="宋体" w:hAnsi="宋体" w:cs="宋体"/>
          <w:color w:val="auto"/>
        </w:rPr>
        <w:fldChar w:fldCharType="separate"/>
      </w:r>
      <w:r>
        <w:rPr>
          <w:rFonts w:hint="eastAsia" w:ascii="宋体" w:hAnsi="宋体" w:eastAsia="宋体" w:cs="宋体"/>
          <w:color w:val="auto"/>
        </w:rPr>
        <w:t>三、无效谈判</w:t>
      </w:r>
      <w:r>
        <w:rPr>
          <w:color w:val="auto"/>
        </w:rPr>
        <w:tab/>
      </w:r>
      <w:r>
        <w:rPr>
          <w:color w:val="auto"/>
        </w:rPr>
        <w:fldChar w:fldCharType="begin"/>
      </w:r>
      <w:r>
        <w:rPr>
          <w:color w:val="auto"/>
        </w:rPr>
        <w:instrText xml:space="preserve"> PAGEREF _Toc3946 \h </w:instrText>
      </w:r>
      <w:r>
        <w:rPr>
          <w:color w:val="auto"/>
        </w:rPr>
        <w:fldChar w:fldCharType="separate"/>
      </w:r>
      <w:r>
        <w:rPr>
          <w:color w:val="auto"/>
        </w:rPr>
        <w:t>- 21 -</w:t>
      </w:r>
      <w:r>
        <w:rPr>
          <w:color w:val="auto"/>
        </w:rPr>
        <w:fldChar w:fldCharType="end"/>
      </w:r>
      <w:r>
        <w:rPr>
          <w:rFonts w:hint="eastAsia" w:ascii="宋体" w:hAnsi="宋体" w:cs="宋体"/>
          <w:color w:val="auto"/>
        </w:rPr>
        <w:fldChar w:fldCharType="end"/>
      </w:r>
    </w:p>
    <w:p w14:paraId="7135686B">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_Toc14042 </w:instrText>
      </w:r>
      <w:r>
        <w:rPr>
          <w:rFonts w:hint="eastAsia" w:ascii="宋体" w:hAnsi="宋体" w:cs="宋体"/>
          <w:color w:val="auto"/>
        </w:rPr>
        <w:fldChar w:fldCharType="separate"/>
      </w:r>
      <w:r>
        <w:rPr>
          <w:rFonts w:hint="eastAsia" w:ascii="宋体" w:hAnsi="宋体" w:eastAsia="宋体" w:cs="宋体"/>
          <w:color w:val="auto"/>
        </w:rPr>
        <w:t>四、采购终止</w:t>
      </w:r>
      <w:r>
        <w:rPr>
          <w:color w:val="auto"/>
        </w:rPr>
        <w:tab/>
      </w:r>
      <w:r>
        <w:rPr>
          <w:color w:val="auto"/>
        </w:rPr>
        <w:fldChar w:fldCharType="begin"/>
      </w:r>
      <w:r>
        <w:rPr>
          <w:color w:val="auto"/>
        </w:rPr>
        <w:instrText xml:space="preserve"> PAGEREF _Toc14042 \h </w:instrText>
      </w:r>
      <w:r>
        <w:rPr>
          <w:color w:val="auto"/>
        </w:rPr>
        <w:fldChar w:fldCharType="separate"/>
      </w:r>
      <w:r>
        <w:rPr>
          <w:color w:val="auto"/>
        </w:rPr>
        <w:t>- 21 -</w:t>
      </w:r>
      <w:r>
        <w:rPr>
          <w:color w:val="auto"/>
        </w:rPr>
        <w:fldChar w:fldCharType="end"/>
      </w:r>
      <w:r>
        <w:rPr>
          <w:rFonts w:hint="eastAsia" w:ascii="宋体" w:hAnsi="宋体" w:cs="宋体"/>
          <w:color w:val="auto"/>
        </w:rPr>
        <w:fldChar w:fldCharType="end"/>
      </w:r>
    </w:p>
    <w:p w14:paraId="10F0DEE7">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_Toc8290 </w:instrText>
      </w:r>
      <w:r>
        <w:rPr>
          <w:rFonts w:hint="eastAsia" w:ascii="宋体" w:hAnsi="宋体" w:cs="宋体"/>
          <w:color w:val="auto"/>
        </w:rPr>
        <w:fldChar w:fldCharType="separate"/>
      </w:r>
      <w:r>
        <w:rPr>
          <w:rFonts w:hint="eastAsia" w:ascii="宋体" w:hAnsi="宋体" w:eastAsia="宋体" w:cs="宋体"/>
          <w:color w:val="auto"/>
          <w:szCs w:val="30"/>
        </w:rPr>
        <w:t>第五篇  供应商须知</w:t>
      </w:r>
      <w:r>
        <w:rPr>
          <w:color w:val="auto"/>
        </w:rPr>
        <w:tab/>
      </w:r>
      <w:r>
        <w:rPr>
          <w:color w:val="auto"/>
        </w:rPr>
        <w:fldChar w:fldCharType="begin"/>
      </w:r>
      <w:r>
        <w:rPr>
          <w:color w:val="auto"/>
        </w:rPr>
        <w:instrText xml:space="preserve"> PAGEREF _Toc8290 \h </w:instrText>
      </w:r>
      <w:r>
        <w:rPr>
          <w:color w:val="auto"/>
        </w:rPr>
        <w:fldChar w:fldCharType="separate"/>
      </w:r>
      <w:r>
        <w:rPr>
          <w:color w:val="auto"/>
        </w:rPr>
        <w:t>- 23 -</w:t>
      </w:r>
      <w:r>
        <w:rPr>
          <w:color w:val="auto"/>
        </w:rPr>
        <w:fldChar w:fldCharType="end"/>
      </w:r>
      <w:r>
        <w:rPr>
          <w:rFonts w:hint="eastAsia" w:ascii="宋体" w:hAnsi="宋体" w:cs="宋体"/>
          <w:color w:val="auto"/>
        </w:rPr>
        <w:fldChar w:fldCharType="end"/>
      </w:r>
    </w:p>
    <w:p w14:paraId="0B1F04F7">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_Toc6581 </w:instrText>
      </w:r>
      <w:r>
        <w:rPr>
          <w:rFonts w:hint="eastAsia" w:ascii="宋体" w:hAnsi="宋体" w:cs="宋体"/>
          <w:color w:val="auto"/>
        </w:rPr>
        <w:fldChar w:fldCharType="separate"/>
      </w:r>
      <w:r>
        <w:rPr>
          <w:rFonts w:hint="eastAsia" w:ascii="宋体" w:hAnsi="宋体" w:eastAsia="宋体" w:cs="宋体"/>
          <w:color w:val="auto"/>
        </w:rPr>
        <w:t>一、谈判费用</w:t>
      </w:r>
      <w:r>
        <w:rPr>
          <w:color w:val="auto"/>
        </w:rPr>
        <w:tab/>
      </w:r>
      <w:r>
        <w:rPr>
          <w:color w:val="auto"/>
        </w:rPr>
        <w:fldChar w:fldCharType="begin"/>
      </w:r>
      <w:r>
        <w:rPr>
          <w:color w:val="auto"/>
        </w:rPr>
        <w:instrText xml:space="preserve"> PAGEREF _Toc6581 \h </w:instrText>
      </w:r>
      <w:r>
        <w:rPr>
          <w:color w:val="auto"/>
        </w:rPr>
        <w:fldChar w:fldCharType="separate"/>
      </w:r>
      <w:r>
        <w:rPr>
          <w:color w:val="auto"/>
        </w:rPr>
        <w:t>- 23 -</w:t>
      </w:r>
      <w:r>
        <w:rPr>
          <w:color w:val="auto"/>
        </w:rPr>
        <w:fldChar w:fldCharType="end"/>
      </w:r>
      <w:r>
        <w:rPr>
          <w:rFonts w:hint="eastAsia" w:ascii="宋体" w:hAnsi="宋体" w:cs="宋体"/>
          <w:color w:val="auto"/>
        </w:rPr>
        <w:fldChar w:fldCharType="end"/>
      </w:r>
    </w:p>
    <w:p w14:paraId="67371FE1">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_Toc19367 </w:instrText>
      </w:r>
      <w:r>
        <w:rPr>
          <w:rFonts w:hint="eastAsia" w:ascii="宋体" w:hAnsi="宋体" w:cs="宋体"/>
          <w:color w:val="auto"/>
        </w:rPr>
        <w:fldChar w:fldCharType="separate"/>
      </w:r>
      <w:r>
        <w:rPr>
          <w:rFonts w:hint="eastAsia" w:ascii="宋体" w:hAnsi="宋体" w:eastAsia="宋体" w:cs="宋体"/>
          <w:color w:val="auto"/>
        </w:rPr>
        <w:t>二、竞争性谈判文件</w:t>
      </w:r>
      <w:r>
        <w:rPr>
          <w:color w:val="auto"/>
        </w:rPr>
        <w:tab/>
      </w:r>
      <w:r>
        <w:rPr>
          <w:color w:val="auto"/>
        </w:rPr>
        <w:fldChar w:fldCharType="begin"/>
      </w:r>
      <w:r>
        <w:rPr>
          <w:color w:val="auto"/>
        </w:rPr>
        <w:instrText xml:space="preserve"> PAGEREF _Toc19367 \h </w:instrText>
      </w:r>
      <w:r>
        <w:rPr>
          <w:color w:val="auto"/>
        </w:rPr>
        <w:fldChar w:fldCharType="separate"/>
      </w:r>
      <w:r>
        <w:rPr>
          <w:color w:val="auto"/>
        </w:rPr>
        <w:t>- 23 -</w:t>
      </w:r>
      <w:r>
        <w:rPr>
          <w:color w:val="auto"/>
        </w:rPr>
        <w:fldChar w:fldCharType="end"/>
      </w:r>
      <w:r>
        <w:rPr>
          <w:rFonts w:hint="eastAsia" w:ascii="宋体" w:hAnsi="宋体" w:cs="宋体"/>
          <w:color w:val="auto"/>
        </w:rPr>
        <w:fldChar w:fldCharType="end"/>
      </w:r>
    </w:p>
    <w:p w14:paraId="0C8BBDEB">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_Toc23807 </w:instrText>
      </w:r>
      <w:r>
        <w:rPr>
          <w:rFonts w:hint="eastAsia" w:ascii="宋体" w:hAnsi="宋体" w:cs="宋体"/>
          <w:color w:val="auto"/>
        </w:rPr>
        <w:fldChar w:fldCharType="separate"/>
      </w:r>
      <w:r>
        <w:rPr>
          <w:rFonts w:hint="eastAsia" w:ascii="宋体" w:hAnsi="宋体" w:eastAsia="宋体" w:cs="宋体"/>
          <w:color w:val="auto"/>
        </w:rPr>
        <w:t>三、谈判要求</w:t>
      </w:r>
      <w:r>
        <w:rPr>
          <w:color w:val="auto"/>
        </w:rPr>
        <w:tab/>
      </w:r>
      <w:r>
        <w:rPr>
          <w:color w:val="auto"/>
        </w:rPr>
        <w:fldChar w:fldCharType="begin"/>
      </w:r>
      <w:r>
        <w:rPr>
          <w:color w:val="auto"/>
        </w:rPr>
        <w:instrText xml:space="preserve"> PAGEREF _Toc23807 \h </w:instrText>
      </w:r>
      <w:r>
        <w:rPr>
          <w:color w:val="auto"/>
        </w:rPr>
        <w:fldChar w:fldCharType="separate"/>
      </w:r>
      <w:r>
        <w:rPr>
          <w:color w:val="auto"/>
        </w:rPr>
        <w:t>- 23 -</w:t>
      </w:r>
      <w:r>
        <w:rPr>
          <w:color w:val="auto"/>
        </w:rPr>
        <w:fldChar w:fldCharType="end"/>
      </w:r>
      <w:r>
        <w:rPr>
          <w:rFonts w:hint="eastAsia" w:ascii="宋体" w:hAnsi="宋体" w:cs="宋体"/>
          <w:color w:val="auto"/>
        </w:rPr>
        <w:fldChar w:fldCharType="end"/>
      </w:r>
    </w:p>
    <w:p w14:paraId="47E54524">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_Toc28831 </w:instrText>
      </w:r>
      <w:r>
        <w:rPr>
          <w:rFonts w:hint="eastAsia" w:ascii="宋体" w:hAnsi="宋体" w:cs="宋体"/>
          <w:color w:val="auto"/>
        </w:rPr>
        <w:fldChar w:fldCharType="separate"/>
      </w:r>
      <w:r>
        <w:rPr>
          <w:rFonts w:hint="eastAsia" w:ascii="宋体" w:hAnsi="宋体" w:eastAsia="宋体" w:cs="宋体"/>
          <w:color w:val="auto"/>
        </w:rPr>
        <w:t>四、成交供应商的确定和变更</w:t>
      </w:r>
      <w:r>
        <w:rPr>
          <w:color w:val="auto"/>
        </w:rPr>
        <w:tab/>
      </w:r>
      <w:r>
        <w:rPr>
          <w:color w:val="auto"/>
        </w:rPr>
        <w:fldChar w:fldCharType="begin"/>
      </w:r>
      <w:r>
        <w:rPr>
          <w:color w:val="auto"/>
        </w:rPr>
        <w:instrText xml:space="preserve"> PAGEREF _Toc28831 \h </w:instrText>
      </w:r>
      <w:r>
        <w:rPr>
          <w:color w:val="auto"/>
        </w:rPr>
        <w:fldChar w:fldCharType="separate"/>
      </w:r>
      <w:r>
        <w:rPr>
          <w:color w:val="auto"/>
        </w:rPr>
        <w:t>- 24 -</w:t>
      </w:r>
      <w:r>
        <w:rPr>
          <w:color w:val="auto"/>
        </w:rPr>
        <w:fldChar w:fldCharType="end"/>
      </w:r>
      <w:r>
        <w:rPr>
          <w:rFonts w:hint="eastAsia" w:ascii="宋体" w:hAnsi="宋体" w:cs="宋体"/>
          <w:color w:val="auto"/>
        </w:rPr>
        <w:fldChar w:fldCharType="end"/>
      </w:r>
    </w:p>
    <w:p w14:paraId="273D0502">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_Toc26424 </w:instrText>
      </w:r>
      <w:r>
        <w:rPr>
          <w:rFonts w:hint="eastAsia" w:ascii="宋体" w:hAnsi="宋体" w:cs="宋体"/>
          <w:color w:val="auto"/>
        </w:rPr>
        <w:fldChar w:fldCharType="separate"/>
      </w:r>
      <w:r>
        <w:rPr>
          <w:rFonts w:hint="eastAsia" w:ascii="宋体" w:hAnsi="宋体" w:eastAsia="宋体" w:cs="宋体"/>
          <w:color w:val="auto"/>
        </w:rPr>
        <w:t>五、成交通知</w:t>
      </w:r>
      <w:r>
        <w:rPr>
          <w:color w:val="auto"/>
        </w:rPr>
        <w:tab/>
      </w:r>
      <w:r>
        <w:rPr>
          <w:color w:val="auto"/>
        </w:rPr>
        <w:fldChar w:fldCharType="begin"/>
      </w:r>
      <w:r>
        <w:rPr>
          <w:color w:val="auto"/>
        </w:rPr>
        <w:instrText xml:space="preserve"> PAGEREF _Toc26424 \h </w:instrText>
      </w:r>
      <w:r>
        <w:rPr>
          <w:color w:val="auto"/>
        </w:rPr>
        <w:fldChar w:fldCharType="separate"/>
      </w:r>
      <w:r>
        <w:rPr>
          <w:color w:val="auto"/>
        </w:rPr>
        <w:t>- 24 -</w:t>
      </w:r>
      <w:r>
        <w:rPr>
          <w:color w:val="auto"/>
        </w:rPr>
        <w:fldChar w:fldCharType="end"/>
      </w:r>
      <w:r>
        <w:rPr>
          <w:rFonts w:hint="eastAsia" w:ascii="宋体" w:hAnsi="宋体" w:cs="宋体"/>
          <w:color w:val="auto"/>
        </w:rPr>
        <w:fldChar w:fldCharType="end"/>
      </w:r>
    </w:p>
    <w:p w14:paraId="2CD535D0">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_Toc5552 </w:instrText>
      </w:r>
      <w:r>
        <w:rPr>
          <w:rFonts w:hint="eastAsia" w:ascii="宋体" w:hAnsi="宋体" w:cs="宋体"/>
          <w:color w:val="auto"/>
        </w:rPr>
        <w:fldChar w:fldCharType="separate"/>
      </w:r>
      <w:r>
        <w:rPr>
          <w:rFonts w:hint="eastAsia" w:ascii="宋体" w:hAnsi="宋体" w:eastAsia="宋体" w:cs="宋体"/>
          <w:color w:val="auto"/>
        </w:rPr>
        <w:t>六、关于质疑和投诉</w:t>
      </w:r>
      <w:r>
        <w:rPr>
          <w:color w:val="auto"/>
        </w:rPr>
        <w:tab/>
      </w:r>
      <w:r>
        <w:rPr>
          <w:color w:val="auto"/>
        </w:rPr>
        <w:fldChar w:fldCharType="begin"/>
      </w:r>
      <w:r>
        <w:rPr>
          <w:color w:val="auto"/>
        </w:rPr>
        <w:instrText xml:space="preserve"> PAGEREF _Toc5552 \h </w:instrText>
      </w:r>
      <w:r>
        <w:rPr>
          <w:color w:val="auto"/>
        </w:rPr>
        <w:fldChar w:fldCharType="separate"/>
      </w:r>
      <w:r>
        <w:rPr>
          <w:color w:val="auto"/>
        </w:rPr>
        <w:t>- 24 -</w:t>
      </w:r>
      <w:r>
        <w:rPr>
          <w:color w:val="auto"/>
        </w:rPr>
        <w:fldChar w:fldCharType="end"/>
      </w:r>
      <w:r>
        <w:rPr>
          <w:rFonts w:hint="eastAsia" w:ascii="宋体" w:hAnsi="宋体" w:cs="宋体"/>
          <w:color w:val="auto"/>
        </w:rPr>
        <w:fldChar w:fldCharType="end"/>
      </w:r>
    </w:p>
    <w:p w14:paraId="6410C92E">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_Toc8050 </w:instrText>
      </w:r>
      <w:r>
        <w:rPr>
          <w:rFonts w:hint="eastAsia" w:ascii="宋体" w:hAnsi="宋体" w:cs="宋体"/>
          <w:color w:val="auto"/>
        </w:rPr>
        <w:fldChar w:fldCharType="separate"/>
      </w:r>
      <w:r>
        <w:rPr>
          <w:rFonts w:hint="eastAsia" w:ascii="宋体" w:hAnsi="宋体" w:eastAsia="宋体" w:cs="宋体"/>
          <w:color w:val="auto"/>
        </w:rPr>
        <w:t>七、签订合同</w:t>
      </w:r>
      <w:r>
        <w:rPr>
          <w:color w:val="auto"/>
        </w:rPr>
        <w:tab/>
      </w:r>
      <w:r>
        <w:rPr>
          <w:color w:val="auto"/>
        </w:rPr>
        <w:fldChar w:fldCharType="begin"/>
      </w:r>
      <w:r>
        <w:rPr>
          <w:color w:val="auto"/>
        </w:rPr>
        <w:instrText xml:space="preserve"> PAGEREF _Toc8050 \h </w:instrText>
      </w:r>
      <w:r>
        <w:rPr>
          <w:color w:val="auto"/>
        </w:rPr>
        <w:fldChar w:fldCharType="separate"/>
      </w:r>
      <w:r>
        <w:rPr>
          <w:color w:val="auto"/>
        </w:rPr>
        <w:t>- 26 -</w:t>
      </w:r>
      <w:r>
        <w:rPr>
          <w:color w:val="auto"/>
        </w:rPr>
        <w:fldChar w:fldCharType="end"/>
      </w:r>
      <w:r>
        <w:rPr>
          <w:rFonts w:hint="eastAsia" w:ascii="宋体" w:hAnsi="宋体" w:cs="宋体"/>
          <w:color w:val="auto"/>
        </w:rPr>
        <w:fldChar w:fldCharType="end"/>
      </w:r>
    </w:p>
    <w:p w14:paraId="7BA1864E">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_Toc7904 </w:instrText>
      </w:r>
      <w:r>
        <w:rPr>
          <w:rFonts w:hint="eastAsia" w:ascii="宋体" w:hAnsi="宋体" w:cs="宋体"/>
          <w:color w:val="auto"/>
        </w:rPr>
        <w:fldChar w:fldCharType="separate"/>
      </w:r>
      <w:r>
        <w:rPr>
          <w:rFonts w:hint="eastAsia" w:ascii="宋体" w:hAnsi="宋体" w:eastAsia="宋体" w:cs="宋体"/>
          <w:color w:val="auto"/>
        </w:rPr>
        <w:t>八、项目验收</w:t>
      </w:r>
      <w:r>
        <w:rPr>
          <w:color w:val="auto"/>
        </w:rPr>
        <w:tab/>
      </w:r>
      <w:r>
        <w:rPr>
          <w:color w:val="auto"/>
        </w:rPr>
        <w:fldChar w:fldCharType="begin"/>
      </w:r>
      <w:r>
        <w:rPr>
          <w:color w:val="auto"/>
        </w:rPr>
        <w:instrText xml:space="preserve"> PAGEREF _Toc7904 \h </w:instrText>
      </w:r>
      <w:r>
        <w:rPr>
          <w:color w:val="auto"/>
        </w:rPr>
        <w:fldChar w:fldCharType="separate"/>
      </w:r>
      <w:r>
        <w:rPr>
          <w:color w:val="auto"/>
        </w:rPr>
        <w:t>- 26 -</w:t>
      </w:r>
      <w:r>
        <w:rPr>
          <w:color w:val="auto"/>
        </w:rPr>
        <w:fldChar w:fldCharType="end"/>
      </w:r>
      <w:r>
        <w:rPr>
          <w:rFonts w:hint="eastAsia" w:ascii="宋体" w:hAnsi="宋体" w:cs="宋体"/>
          <w:color w:val="auto"/>
        </w:rPr>
        <w:fldChar w:fldCharType="end"/>
      </w:r>
    </w:p>
    <w:p w14:paraId="4227DA8E">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_Toc30185 </w:instrText>
      </w:r>
      <w:r>
        <w:rPr>
          <w:rFonts w:hint="eastAsia" w:ascii="宋体" w:hAnsi="宋体" w:cs="宋体"/>
          <w:color w:val="auto"/>
        </w:rPr>
        <w:fldChar w:fldCharType="separate"/>
      </w:r>
      <w:r>
        <w:rPr>
          <w:rFonts w:hint="eastAsia" w:ascii="宋体" w:hAnsi="宋体" w:eastAsia="宋体" w:cs="宋体"/>
          <w:color w:val="auto"/>
        </w:rPr>
        <w:t>九、采购代理服务费</w:t>
      </w:r>
      <w:r>
        <w:rPr>
          <w:color w:val="auto"/>
        </w:rPr>
        <w:tab/>
      </w:r>
      <w:r>
        <w:rPr>
          <w:color w:val="auto"/>
        </w:rPr>
        <w:fldChar w:fldCharType="begin"/>
      </w:r>
      <w:r>
        <w:rPr>
          <w:color w:val="auto"/>
        </w:rPr>
        <w:instrText xml:space="preserve"> PAGEREF _Toc30185 \h </w:instrText>
      </w:r>
      <w:r>
        <w:rPr>
          <w:color w:val="auto"/>
        </w:rPr>
        <w:fldChar w:fldCharType="separate"/>
      </w:r>
      <w:r>
        <w:rPr>
          <w:color w:val="auto"/>
        </w:rPr>
        <w:t>- 26 -</w:t>
      </w:r>
      <w:r>
        <w:rPr>
          <w:color w:val="auto"/>
        </w:rPr>
        <w:fldChar w:fldCharType="end"/>
      </w:r>
      <w:r>
        <w:rPr>
          <w:rFonts w:hint="eastAsia" w:ascii="宋体" w:hAnsi="宋体" w:cs="宋体"/>
          <w:color w:val="auto"/>
        </w:rPr>
        <w:fldChar w:fldCharType="end"/>
      </w:r>
    </w:p>
    <w:p w14:paraId="7948AF52">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_Toc11906 </w:instrText>
      </w:r>
      <w:r>
        <w:rPr>
          <w:rFonts w:hint="eastAsia" w:ascii="宋体" w:hAnsi="宋体" w:cs="宋体"/>
          <w:color w:val="auto"/>
        </w:rPr>
        <w:fldChar w:fldCharType="separate"/>
      </w:r>
      <w:r>
        <w:rPr>
          <w:rFonts w:hint="eastAsia" w:ascii="宋体" w:hAnsi="宋体" w:eastAsia="宋体" w:cs="宋体"/>
          <w:bCs/>
          <w:color w:val="auto"/>
          <w:szCs w:val="30"/>
        </w:rPr>
        <w:t>第六篇  合同</w:t>
      </w:r>
      <w:r>
        <w:rPr>
          <w:color w:val="auto"/>
        </w:rPr>
        <w:tab/>
      </w:r>
      <w:r>
        <w:rPr>
          <w:color w:val="auto"/>
        </w:rPr>
        <w:fldChar w:fldCharType="begin"/>
      </w:r>
      <w:r>
        <w:rPr>
          <w:color w:val="auto"/>
        </w:rPr>
        <w:instrText xml:space="preserve"> PAGEREF _Toc11906 \h </w:instrText>
      </w:r>
      <w:r>
        <w:rPr>
          <w:color w:val="auto"/>
        </w:rPr>
        <w:fldChar w:fldCharType="separate"/>
      </w:r>
      <w:r>
        <w:rPr>
          <w:color w:val="auto"/>
        </w:rPr>
        <w:t>- 27 -</w:t>
      </w:r>
      <w:r>
        <w:rPr>
          <w:color w:val="auto"/>
        </w:rPr>
        <w:fldChar w:fldCharType="end"/>
      </w:r>
      <w:r>
        <w:rPr>
          <w:rFonts w:hint="eastAsia" w:ascii="宋体" w:hAnsi="宋体" w:cs="宋体"/>
          <w:color w:val="auto"/>
        </w:rPr>
        <w:fldChar w:fldCharType="end"/>
      </w:r>
    </w:p>
    <w:p w14:paraId="1FD5023D">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_Toc21130 </w:instrText>
      </w:r>
      <w:r>
        <w:rPr>
          <w:rFonts w:hint="eastAsia" w:ascii="宋体" w:hAnsi="宋体" w:cs="宋体"/>
          <w:color w:val="auto"/>
        </w:rPr>
        <w:fldChar w:fldCharType="separate"/>
      </w:r>
      <w:r>
        <w:rPr>
          <w:rFonts w:hint="eastAsia" w:ascii="宋体" w:hAnsi="宋体" w:eastAsia="宋体" w:cs="宋体"/>
          <w:color w:val="auto"/>
          <w:szCs w:val="30"/>
        </w:rPr>
        <w:t>第七篇  响应文件格式要求</w:t>
      </w:r>
      <w:r>
        <w:rPr>
          <w:color w:val="auto"/>
        </w:rPr>
        <w:tab/>
      </w:r>
      <w:r>
        <w:rPr>
          <w:color w:val="auto"/>
        </w:rPr>
        <w:fldChar w:fldCharType="begin"/>
      </w:r>
      <w:r>
        <w:rPr>
          <w:color w:val="auto"/>
        </w:rPr>
        <w:instrText xml:space="preserve"> PAGEREF _Toc21130 \h </w:instrText>
      </w:r>
      <w:r>
        <w:rPr>
          <w:color w:val="auto"/>
        </w:rPr>
        <w:fldChar w:fldCharType="separate"/>
      </w:r>
      <w:r>
        <w:rPr>
          <w:color w:val="auto"/>
        </w:rPr>
        <w:t>- 28 -</w:t>
      </w:r>
      <w:r>
        <w:rPr>
          <w:color w:val="auto"/>
        </w:rPr>
        <w:fldChar w:fldCharType="end"/>
      </w:r>
      <w:r>
        <w:rPr>
          <w:rFonts w:hint="eastAsia" w:ascii="宋体" w:hAnsi="宋体" w:cs="宋体"/>
          <w:color w:val="auto"/>
        </w:rPr>
        <w:fldChar w:fldCharType="end"/>
      </w:r>
    </w:p>
    <w:p w14:paraId="4F044DE2">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_Toc10286 </w:instrText>
      </w:r>
      <w:r>
        <w:rPr>
          <w:rFonts w:hint="eastAsia" w:ascii="宋体" w:hAnsi="宋体" w:cs="宋体"/>
          <w:color w:val="auto"/>
        </w:rPr>
        <w:fldChar w:fldCharType="separate"/>
      </w:r>
      <w:r>
        <w:rPr>
          <w:rFonts w:hint="eastAsia" w:ascii="宋体" w:hAnsi="宋体" w:eastAsia="宋体" w:cs="宋体"/>
          <w:color w:val="auto"/>
        </w:rPr>
        <w:t>一、经济部分</w:t>
      </w:r>
      <w:r>
        <w:rPr>
          <w:color w:val="auto"/>
        </w:rPr>
        <w:tab/>
      </w:r>
      <w:r>
        <w:rPr>
          <w:color w:val="auto"/>
        </w:rPr>
        <w:fldChar w:fldCharType="begin"/>
      </w:r>
      <w:r>
        <w:rPr>
          <w:color w:val="auto"/>
        </w:rPr>
        <w:instrText xml:space="preserve"> PAGEREF _Toc10286 \h </w:instrText>
      </w:r>
      <w:r>
        <w:rPr>
          <w:color w:val="auto"/>
        </w:rPr>
        <w:fldChar w:fldCharType="separate"/>
      </w:r>
      <w:r>
        <w:rPr>
          <w:color w:val="auto"/>
        </w:rPr>
        <w:t>- 29 -</w:t>
      </w:r>
      <w:r>
        <w:rPr>
          <w:color w:val="auto"/>
        </w:rPr>
        <w:fldChar w:fldCharType="end"/>
      </w:r>
      <w:r>
        <w:rPr>
          <w:rFonts w:hint="eastAsia" w:ascii="宋体" w:hAnsi="宋体" w:cs="宋体"/>
          <w:color w:val="auto"/>
        </w:rPr>
        <w:fldChar w:fldCharType="end"/>
      </w:r>
    </w:p>
    <w:p w14:paraId="757C52CE">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_Toc8315 </w:instrText>
      </w:r>
      <w:r>
        <w:rPr>
          <w:rFonts w:hint="eastAsia" w:ascii="宋体" w:hAnsi="宋体" w:cs="宋体"/>
          <w:color w:val="auto"/>
        </w:rPr>
        <w:fldChar w:fldCharType="separate"/>
      </w:r>
      <w:r>
        <w:rPr>
          <w:rFonts w:hint="eastAsia" w:ascii="宋体" w:hAnsi="宋体" w:eastAsia="宋体" w:cs="宋体"/>
          <w:color w:val="auto"/>
        </w:rPr>
        <w:t>二、技术（质量）部分</w:t>
      </w:r>
      <w:r>
        <w:rPr>
          <w:color w:val="auto"/>
        </w:rPr>
        <w:tab/>
      </w:r>
      <w:r>
        <w:rPr>
          <w:color w:val="auto"/>
        </w:rPr>
        <w:fldChar w:fldCharType="begin"/>
      </w:r>
      <w:r>
        <w:rPr>
          <w:color w:val="auto"/>
        </w:rPr>
        <w:instrText xml:space="preserve"> PAGEREF _Toc8315 \h </w:instrText>
      </w:r>
      <w:r>
        <w:rPr>
          <w:color w:val="auto"/>
        </w:rPr>
        <w:fldChar w:fldCharType="separate"/>
      </w:r>
      <w:r>
        <w:rPr>
          <w:color w:val="auto"/>
        </w:rPr>
        <w:t>- 31 -</w:t>
      </w:r>
      <w:r>
        <w:rPr>
          <w:color w:val="auto"/>
        </w:rPr>
        <w:fldChar w:fldCharType="end"/>
      </w:r>
      <w:r>
        <w:rPr>
          <w:rFonts w:hint="eastAsia" w:ascii="宋体" w:hAnsi="宋体" w:cs="宋体"/>
          <w:color w:val="auto"/>
        </w:rPr>
        <w:fldChar w:fldCharType="end"/>
      </w:r>
    </w:p>
    <w:p w14:paraId="624D6690">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_Toc20633 </w:instrText>
      </w:r>
      <w:r>
        <w:rPr>
          <w:rFonts w:hint="eastAsia" w:ascii="宋体" w:hAnsi="宋体" w:cs="宋体"/>
          <w:color w:val="auto"/>
        </w:rPr>
        <w:fldChar w:fldCharType="separate"/>
      </w:r>
      <w:r>
        <w:rPr>
          <w:rFonts w:hint="eastAsia" w:ascii="宋体" w:hAnsi="宋体" w:eastAsia="宋体" w:cs="宋体"/>
          <w:color w:val="auto"/>
        </w:rPr>
        <w:t>三、商务部分</w:t>
      </w:r>
      <w:r>
        <w:rPr>
          <w:color w:val="auto"/>
        </w:rPr>
        <w:tab/>
      </w:r>
      <w:r>
        <w:rPr>
          <w:color w:val="auto"/>
        </w:rPr>
        <w:fldChar w:fldCharType="begin"/>
      </w:r>
      <w:r>
        <w:rPr>
          <w:color w:val="auto"/>
        </w:rPr>
        <w:instrText xml:space="preserve"> PAGEREF _Toc20633 \h </w:instrText>
      </w:r>
      <w:r>
        <w:rPr>
          <w:color w:val="auto"/>
        </w:rPr>
        <w:fldChar w:fldCharType="separate"/>
      </w:r>
      <w:r>
        <w:rPr>
          <w:color w:val="auto"/>
        </w:rPr>
        <w:t>- 33 -</w:t>
      </w:r>
      <w:r>
        <w:rPr>
          <w:color w:val="auto"/>
        </w:rPr>
        <w:fldChar w:fldCharType="end"/>
      </w:r>
      <w:r>
        <w:rPr>
          <w:rFonts w:hint="eastAsia" w:ascii="宋体" w:hAnsi="宋体" w:cs="宋体"/>
          <w:color w:val="auto"/>
        </w:rPr>
        <w:fldChar w:fldCharType="end"/>
      </w:r>
    </w:p>
    <w:p w14:paraId="3957D777">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_Toc10019 </w:instrText>
      </w:r>
      <w:r>
        <w:rPr>
          <w:rFonts w:hint="eastAsia" w:ascii="宋体" w:hAnsi="宋体" w:cs="宋体"/>
          <w:color w:val="auto"/>
        </w:rPr>
        <w:fldChar w:fldCharType="separate"/>
      </w:r>
      <w:r>
        <w:rPr>
          <w:rFonts w:hint="eastAsia" w:ascii="宋体" w:hAnsi="宋体" w:eastAsia="宋体" w:cs="宋体"/>
          <w:color w:val="auto"/>
        </w:rPr>
        <w:t>四、资格条件及其他</w:t>
      </w:r>
      <w:r>
        <w:rPr>
          <w:color w:val="auto"/>
        </w:rPr>
        <w:tab/>
      </w:r>
      <w:r>
        <w:rPr>
          <w:color w:val="auto"/>
        </w:rPr>
        <w:fldChar w:fldCharType="begin"/>
      </w:r>
      <w:r>
        <w:rPr>
          <w:color w:val="auto"/>
        </w:rPr>
        <w:instrText xml:space="preserve"> PAGEREF _Toc10019 \h </w:instrText>
      </w:r>
      <w:r>
        <w:rPr>
          <w:color w:val="auto"/>
        </w:rPr>
        <w:fldChar w:fldCharType="separate"/>
      </w:r>
      <w:r>
        <w:rPr>
          <w:color w:val="auto"/>
        </w:rPr>
        <w:t>- 35 -</w:t>
      </w:r>
      <w:r>
        <w:rPr>
          <w:color w:val="auto"/>
        </w:rPr>
        <w:fldChar w:fldCharType="end"/>
      </w:r>
      <w:r>
        <w:rPr>
          <w:rFonts w:hint="eastAsia" w:ascii="宋体" w:hAnsi="宋体" w:cs="宋体"/>
          <w:color w:val="auto"/>
        </w:rPr>
        <w:fldChar w:fldCharType="end"/>
      </w:r>
    </w:p>
    <w:p w14:paraId="76618EC1">
      <w:pPr>
        <w:pStyle w:val="49"/>
        <w:tabs>
          <w:tab w:val="right" w:leader="dot" w:pos="9412"/>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_Toc6405 </w:instrText>
      </w:r>
      <w:r>
        <w:rPr>
          <w:rFonts w:hint="eastAsia" w:ascii="宋体" w:hAnsi="宋体" w:cs="宋体"/>
          <w:color w:val="auto"/>
        </w:rPr>
        <w:fldChar w:fldCharType="separate"/>
      </w:r>
      <w:r>
        <w:rPr>
          <w:rFonts w:hint="eastAsia" w:ascii="宋体" w:hAnsi="宋体" w:eastAsia="宋体" w:cs="宋体"/>
          <w:color w:val="auto"/>
        </w:rPr>
        <w:t>五、其他资料</w:t>
      </w:r>
      <w:r>
        <w:rPr>
          <w:color w:val="auto"/>
        </w:rPr>
        <w:tab/>
      </w:r>
      <w:r>
        <w:rPr>
          <w:color w:val="auto"/>
        </w:rPr>
        <w:fldChar w:fldCharType="begin"/>
      </w:r>
      <w:r>
        <w:rPr>
          <w:color w:val="auto"/>
        </w:rPr>
        <w:instrText xml:space="preserve"> PAGEREF _Toc6405 \h </w:instrText>
      </w:r>
      <w:r>
        <w:rPr>
          <w:color w:val="auto"/>
        </w:rPr>
        <w:fldChar w:fldCharType="separate"/>
      </w:r>
      <w:r>
        <w:rPr>
          <w:color w:val="auto"/>
        </w:rPr>
        <w:t>- 40 -</w:t>
      </w:r>
      <w:r>
        <w:rPr>
          <w:color w:val="auto"/>
        </w:rPr>
        <w:fldChar w:fldCharType="end"/>
      </w:r>
      <w:r>
        <w:rPr>
          <w:rFonts w:hint="eastAsia" w:ascii="宋体" w:hAnsi="宋体" w:cs="宋体"/>
          <w:color w:val="auto"/>
        </w:rPr>
        <w:fldChar w:fldCharType="end"/>
      </w:r>
    </w:p>
    <w:p w14:paraId="66F4FB37">
      <w:pPr>
        <w:pStyle w:val="49"/>
        <w:tabs>
          <w:tab w:val="right" w:leader="dot" w:pos="9402"/>
        </w:tabs>
        <w:spacing w:line="480" w:lineRule="exact"/>
        <w:rPr>
          <w:rFonts w:ascii="宋体" w:hAnsi="宋体" w:cs="宋体"/>
          <w:color w:val="auto"/>
          <w:sz w:val="18"/>
          <w:szCs w:val="22"/>
        </w:rPr>
        <w:sectPr>
          <w:pgSz w:w="11907" w:h="16840"/>
          <w:pgMar w:top="1134" w:right="1191" w:bottom="1134" w:left="1304" w:header="680" w:footer="992" w:gutter="0"/>
          <w:pgNumType w:fmt="numberInDash" w:start="1"/>
          <w:cols w:space="720" w:num="1"/>
          <w:docGrid w:linePitch="381" w:charSpace="-5735"/>
        </w:sectPr>
      </w:pPr>
      <w:r>
        <w:rPr>
          <w:rFonts w:hint="eastAsia" w:ascii="宋体" w:hAnsi="宋体" w:cs="宋体"/>
          <w:color w:val="auto"/>
        </w:rPr>
        <w:fldChar w:fldCharType="end"/>
      </w:r>
      <w:bookmarkStart w:id="0" w:name="_Toc65660329"/>
      <w:bookmarkStart w:id="1" w:name="_Toc11641050"/>
      <w:bookmarkStart w:id="2" w:name="_Toc12789052"/>
      <w:bookmarkStart w:id="3" w:name="_Toc24173"/>
      <w:bookmarkStart w:id="4" w:name="_Toc15726"/>
    </w:p>
    <w:p w14:paraId="7B749037">
      <w:pPr>
        <w:pStyle w:val="4"/>
        <w:spacing w:before="0" w:after="0" w:line="360" w:lineRule="auto"/>
        <w:jc w:val="center"/>
        <w:rPr>
          <w:rFonts w:ascii="宋体" w:hAnsi="宋体" w:eastAsia="宋体" w:cs="宋体"/>
          <w:color w:val="auto"/>
          <w:sz w:val="36"/>
          <w:szCs w:val="30"/>
        </w:rPr>
      </w:pPr>
      <w:bookmarkStart w:id="5" w:name="_Toc2573"/>
      <w:r>
        <w:rPr>
          <w:rFonts w:hint="eastAsia" w:ascii="宋体" w:hAnsi="宋体" w:eastAsia="宋体" w:cs="宋体"/>
          <w:color w:val="auto"/>
          <w:sz w:val="36"/>
          <w:szCs w:val="30"/>
        </w:rPr>
        <w:t>第一篇  竞争性谈判邀请书</w:t>
      </w:r>
      <w:bookmarkEnd w:id="0"/>
      <w:bookmarkEnd w:id="1"/>
      <w:bookmarkEnd w:id="2"/>
      <w:bookmarkEnd w:id="3"/>
      <w:bookmarkEnd w:id="4"/>
      <w:bookmarkEnd w:id="5"/>
    </w:p>
    <w:p w14:paraId="4C30E088">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重庆千策招标代理有限公司（以下简称：采购代理机构）接受重庆市公安局大渡口区分局（以下简称：采购人）的委托，对</w:t>
      </w:r>
      <w:r>
        <w:rPr>
          <w:rFonts w:hint="eastAsia" w:ascii="宋体" w:hAnsi="宋体" w:cs="宋体"/>
          <w:color w:val="auto"/>
          <w:sz w:val="24"/>
          <w:szCs w:val="24"/>
          <w:lang w:eastAsia="zh-CN"/>
        </w:rPr>
        <w:t>大渡口区2025年校园周边交通设施品质提升项目（第四次）</w:t>
      </w:r>
      <w:r>
        <w:rPr>
          <w:rFonts w:hint="eastAsia" w:ascii="宋体" w:hAnsi="宋体" w:cs="宋体"/>
          <w:color w:val="auto"/>
          <w:sz w:val="24"/>
          <w:szCs w:val="24"/>
        </w:rPr>
        <w:t>进行竞争性谈判采购。欢迎有资格的供应商前来参加谈判。</w:t>
      </w:r>
    </w:p>
    <w:p w14:paraId="50FBFEF3">
      <w:pPr>
        <w:pStyle w:val="4"/>
        <w:adjustRightInd w:val="0"/>
        <w:snapToGrid w:val="0"/>
        <w:spacing w:before="0" w:after="0" w:line="400" w:lineRule="exact"/>
        <w:ind w:firstLine="482" w:firstLineChars="200"/>
        <w:rPr>
          <w:rFonts w:ascii="宋体" w:hAnsi="宋体" w:eastAsia="宋体" w:cs="宋体"/>
          <w:color w:val="auto"/>
          <w:sz w:val="24"/>
        </w:rPr>
      </w:pPr>
      <w:bookmarkStart w:id="6" w:name="_Toc65660330"/>
      <w:bookmarkStart w:id="7" w:name="_Toc21179"/>
      <w:bookmarkStart w:id="8" w:name="_Toc317775175"/>
      <w:bookmarkStart w:id="9" w:name="_Toc18246"/>
      <w:bookmarkStart w:id="10" w:name="_Toc313893526"/>
      <w:bookmarkStart w:id="11" w:name="_Toc7758"/>
      <w:r>
        <w:rPr>
          <w:rFonts w:hint="eastAsia" w:ascii="宋体" w:hAnsi="宋体" w:eastAsia="宋体" w:cs="宋体"/>
          <w:color w:val="auto"/>
          <w:sz w:val="24"/>
        </w:rPr>
        <w:t>一、竞争性谈判内容</w:t>
      </w:r>
      <w:bookmarkEnd w:id="6"/>
      <w:bookmarkEnd w:id="7"/>
      <w:bookmarkEnd w:id="8"/>
      <w:bookmarkEnd w:id="9"/>
      <w:bookmarkEnd w:id="10"/>
      <w:bookmarkEnd w:id="11"/>
    </w:p>
    <w:tbl>
      <w:tblPr>
        <w:tblStyle w:val="61"/>
        <w:tblW w:w="9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0"/>
        <w:gridCol w:w="2795"/>
        <w:gridCol w:w="3036"/>
      </w:tblGrid>
      <w:tr w14:paraId="1F5C2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3550" w:type="dxa"/>
            <w:tcBorders>
              <w:top w:val="single" w:color="auto" w:sz="4" w:space="0"/>
              <w:left w:val="single" w:color="auto" w:sz="4" w:space="0"/>
              <w:bottom w:val="single" w:color="auto" w:sz="4" w:space="0"/>
              <w:right w:val="single" w:color="auto" w:sz="4" w:space="0"/>
            </w:tcBorders>
            <w:vAlign w:val="center"/>
          </w:tcPr>
          <w:p w14:paraId="781AC70A">
            <w:pPr>
              <w:pStyle w:val="24"/>
              <w:spacing w:line="240" w:lineRule="atLeast"/>
              <w:ind w:left="0"/>
              <w:jc w:val="center"/>
              <w:outlineLvl w:val="0"/>
              <w:rPr>
                <w:rFonts w:ascii="宋体" w:hAnsi="宋体" w:cs="宋体"/>
                <w:b/>
                <w:bCs/>
                <w:color w:val="auto"/>
                <w:sz w:val="24"/>
                <w:szCs w:val="24"/>
              </w:rPr>
            </w:pPr>
            <w:bookmarkStart w:id="12" w:name="_Toc65660331"/>
            <w:bookmarkStart w:id="13" w:name="_Toc27028"/>
            <w:bookmarkStart w:id="14" w:name="_Toc3256"/>
            <w:bookmarkStart w:id="15" w:name="_Toc373860293"/>
            <w:bookmarkStart w:id="16" w:name="_Toc317775178"/>
            <w:r>
              <w:rPr>
                <w:rFonts w:hint="eastAsia" w:ascii="宋体" w:hAnsi="宋体" w:cs="宋体"/>
                <w:b/>
                <w:bCs/>
                <w:color w:val="auto"/>
                <w:sz w:val="24"/>
                <w:szCs w:val="24"/>
              </w:rPr>
              <w:t>谈判项目名称</w:t>
            </w:r>
          </w:p>
        </w:tc>
        <w:tc>
          <w:tcPr>
            <w:tcW w:w="2795" w:type="dxa"/>
            <w:tcBorders>
              <w:top w:val="single" w:color="auto" w:sz="4" w:space="0"/>
              <w:left w:val="single" w:color="auto" w:sz="4" w:space="0"/>
              <w:bottom w:val="single" w:color="auto" w:sz="4" w:space="0"/>
              <w:right w:val="single" w:color="auto" w:sz="4" w:space="0"/>
            </w:tcBorders>
            <w:vAlign w:val="center"/>
          </w:tcPr>
          <w:p w14:paraId="62181E2B">
            <w:pPr>
              <w:pStyle w:val="24"/>
              <w:spacing w:line="240" w:lineRule="atLeast"/>
              <w:ind w:left="0"/>
              <w:jc w:val="center"/>
              <w:outlineLvl w:val="0"/>
              <w:rPr>
                <w:rFonts w:ascii="宋体" w:hAnsi="宋体" w:cs="宋体"/>
                <w:b/>
                <w:bCs/>
                <w:color w:val="auto"/>
                <w:sz w:val="24"/>
                <w:szCs w:val="24"/>
              </w:rPr>
            </w:pPr>
            <w:r>
              <w:rPr>
                <w:rFonts w:hint="eastAsia" w:ascii="宋体" w:hAnsi="宋体" w:cs="宋体"/>
                <w:b/>
                <w:bCs/>
                <w:color w:val="auto"/>
                <w:sz w:val="24"/>
                <w:szCs w:val="24"/>
              </w:rPr>
              <w:t>最高限价</w:t>
            </w:r>
          </w:p>
          <w:p w14:paraId="639BD47C">
            <w:pPr>
              <w:pStyle w:val="24"/>
              <w:spacing w:line="240" w:lineRule="atLeast"/>
              <w:ind w:left="0"/>
              <w:jc w:val="center"/>
              <w:outlineLvl w:val="0"/>
              <w:rPr>
                <w:rFonts w:ascii="宋体" w:hAnsi="宋体" w:cs="宋体"/>
                <w:b/>
                <w:bCs/>
                <w:color w:val="auto"/>
                <w:sz w:val="24"/>
                <w:szCs w:val="24"/>
              </w:rPr>
            </w:pPr>
            <w:r>
              <w:rPr>
                <w:rFonts w:hint="eastAsia" w:ascii="宋体" w:hAnsi="宋体" w:cs="宋体"/>
                <w:b/>
                <w:bCs/>
                <w:color w:val="auto"/>
                <w:sz w:val="24"/>
                <w:szCs w:val="24"/>
              </w:rPr>
              <w:t>（元）</w:t>
            </w:r>
          </w:p>
        </w:tc>
        <w:tc>
          <w:tcPr>
            <w:tcW w:w="3036" w:type="dxa"/>
            <w:tcBorders>
              <w:top w:val="single" w:color="auto" w:sz="4" w:space="0"/>
              <w:left w:val="single" w:color="auto" w:sz="4" w:space="0"/>
              <w:bottom w:val="single" w:color="auto" w:sz="4" w:space="0"/>
              <w:right w:val="single" w:color="auto" w:sz="4" w:space="0"/>
            </w:tcBorders>
            <w:vAlign w:val="center"/>
          </w:tcPr>
          <w:p w14:paraId="4460ED51">
            <w:pPr>
              <w:pStyle w:val="24"/>
              <w:spacing w:line="240" w:lineRule="atLeast"/>
              <w:ind w:left="0"/>
              <w:jc w:val="center"/>
              <w:outlineLvl w:val="0"/>
              <w:rPr>
                <w:rFonts w:ascii="宋体" w:hAnsi="宋体" w:cs="宋体"/>
                <w:b/>
                <w:bCs/>
                <w:color w:val="auto"/>
                <w:sz w:val="24"/>
                <w:szCs w:val="24"/>
              </w:rPr>
            </w:pPr>
            <w:r>
              <w:rPr>
                <w:rFonts w:hint="eastAsia" w:ascii="宋体" w:hAnsi="宋体" w:cs="宋体"/>
                <w:b/>
                <w:bCs/>
                <w:color w:val="auto"/>
                <w:sz w:val="24"/>
                <w:szCs w:val="24"/>
              </w:rPr>
              <w:t>成交供应商数量</w:t>
            </w:r>
          </w:p>
          <w:p w14:paraId="167623F1">
            <w:pPr>
              <w:pStyle w:val="24"/>
              <w:spacing w:line="240" w:lineRule="atLeast"/>
              <w:ind w:left="0"/>
              <w:jc w:val="center"/>
              <w:outlineLvl w:val="0"/>
              <w:rPr>
                <w:rFonts w:ascii="宋体" w:hAnsi="宋体" w:cs="宋体"/>
                <w:b/>
                <w:bCs/>
                <w:color w:val="auto"/>
                <w:sz w:val="24"/>
                <w:szCs w:val="24"/>
              </w:rPr>
            </w:pPr>
            <w:r>
              <w:rPr>
                <w:rFonts w:hint="eastAsia" w:ascii="宋体" w:hAnsi="宋体" w:cs="宋体"/>
                <w:b/>
                <w:bCs/>
                <w:color w:val="auto"/>
                <w:sz w:val="24"/>
                <w:szCs w:val="24"/>
              </w:rPr>
              <w:t>（名）</w:t>
            </w:r>
          </w:p>
        </w:tc>
      </w:tr>
      <w:tr w14:paraId="1A80D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3550" w:type="dxa"/>
            <w:tcBorders>
              <w:top w:val="single" w:color="auto" w:sz="4" w:space="0"/>
              <w:left w:val="single" w:color="auto" w:sz="4" w:space="0"/>
              <w:bottom w:val="single" w:color="auto" w:sz="4" w:space="0"/>
              <w:right w:val="single" w:color="auto" w:sz="4" w:space="0"/>
            </w:tcBorders>
            <w:vAlign w:val="center"/>
          </w:tcPr>
          <w:p w14:paraId="51BD87E7">
            <w:pPr>
              <w:pStyle w:val="24"/>
              <w:spacing w:line="240" w:lineRule="atLeast"/>
              <w:ind w:left="0"/>
              <w:jc w:val="center"/>
              <w:outlineLvl w:val="0"/>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大渡口区2025年校园周边交通设施品质提升项目（第四次）</w:t>
            </w:r>
          </w:p>
        </w:tc>
        <w:tc>
          <w:tcPr>
            <w:tcW w:w="2795" w:type="dxa"/>
            <w:tcBorders>
              <w:top w:val="single" w:color="auto" w:sz="4" w:space="0"/>
              <w:left w:val="single" w:color="auto" w:sz="4" w:space="0"/>
              <w:right w:val="single" w:color="auto" w:sz="4" w:space="0"/>
            </w:tcBorders>
            <w:vAlign w:val="center"/>
          </w:tcPr>
          <w:p w14:paraId="33A7227F">
            <w:pPr>
              <w:pStyle w:val="24"/>
              <w:spacing w:line="240" w:lineRule="atLeast"/>
              <w:ind w:left="0"/>
              <w:jc w:val="center"/>
              <w:outlineLvl w:val="0"/>
              <w:rPr>
                <w:rFonts w:ascii="宋体" w:hAnsi="宋体" w:cs="宋体"/>
                <w:color w:val="auto"/>
                <w:sz w:val="24"/>
                <w:szCs w:val="24"/>
              </w:rPr>
            </w:pPr>
            <w:r>
              <w:rPr>
                <w:rFonts w:hint="eastAsia" w:ascii="宋体" w:hAnsi="宋体" w:cs="宋体"/>
                <w:color w:val="auto"/>
                <w:sz w:val="24"/>
                <w:szCs w:val="24"/>
                <w:lang w:val="en-US" w:eastAsia="zh-CN"/>
              </w:rPr>
              <w:t>757725.21</w:t>
            </w:r>
          </w:p>
        </w:tc>
        <w:tc>
          <w:tcPr>
            <w:tcW w:w="3036" w:type="dxa"/>
            <w:tcBorders>
              <w:top w:val="single" w:color="auto" w:sz="4" w:space="0"/>
              <w:left w:val="single" w:color="auto" w:sz="4" w:space="0"/>
              <w:right w:val="single" w:color="auto" w:sz="4" w:space="0"/>
            </w:tcBorders>
            <w:vAlign w:val="center"/>
          </w:tcPr>
          <w:p w14:paraId="1C5CEA2F">
            <w:pPr>
              <w:pStyle w:val="24"/>
              <w:spacing w:line="240" w:lineRule="atLeast"/>
              <w:ind w:left="0"/>
              <w:jc w:val="center"/>
              <w:outlineLvl w:val="0"/>
              <w:rPr>
                <w:rFonts w:ascii="宋体" w:hAnsi="宋体" w:cs="宋体"/>
                <w:color w:val="auto"/>
                <w:sz w:val="24"/>
                <w:szCs w:val="24"/>
              </w:rPr>
            </w:pPr>
            <w:r>
              <w:rPr>
                <w:rFonts w:hint="eastAsia" w:ascii="宋体" w:hAnsi="宋体" w:cs="宋体"/>
                <w:color w:val="auto"/>
                <w:sz w:val="24"/>
                <w:szCs w:val="24"/>
              </w:rPr>
              <w:t>1</w:t>
            </w:r>
          </w:p>
        </w:tc>
      </w:tr>
    </w:tbl>
    <w:p w14:paraId="7FEFD57C">
      <w:pPr>
        <w:pStyle w:val="4"/>
        <w:adjustRightInd w:val="0"/>
        <w:snapToGrid w:val="0"/>
        <w:spacing w:before="0" w:after="0" w:line="400" w:lineRule="exact"/>
        <w:ind w:firstLine="482" w:firstLineChars="200"/>
        <w:rPr>
          <w:rFonts w:ascii="宋体" w:hAnsi="宋体" w:eastAsia="宋体" w:cs="宋体"/>
          <w:color w:val="auto"/>
          <w:sz w:val="24"/>
        </w:rPr>
      </w:pPr>
      <w:bookmarkStart w:id="17" w:name="_Toc783"/>
      <w:r>
        <w:rPr>
          <w:rFonts w:hint="eastAsia" w:ascii="宋体" w:hAnsi="宋体" w:eastAsia="宋体" w:cs="宋体"/>
          <w:color w:val="auto"/>
          <w:sz w:val="24"/>
        </w:rPr>
        <w:t>二、资金来源</w:t>
      </w:r>
      <w:bookmarkEnd w:id="12"/>
      <w:bookmarkEnd w:id="13"/>
      <w:bookmarkEnd w:id="14"/>
      <w:bookmarkEnd w:id="17"/>
    </w:p>
    <w:p w14:paraId="566BE2CA">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财政预算资金，采购预算</w:t>
      </w:r>
      <w:r>
        <w:rPr>
          <w:rFonts w:hint="eastAsia" w:ascii="宋体" w:hAnsi="宋体" w:cs="宋体"/>
          <w:color w:val="auto"/>
          <w:sz w:val="24"/>
          <w:szCs w:val="24"/>
          <w:lang w:val="en-US" w:eastAsia="zh-CN"/>
        </w:rPr>
        <w:t>757725.21</w:t>
      </w:r>
      <w:r>
        <w:rPr>
          <w:rFonts w:hint="eastAsia" w:ascii="宋体" w:hAnsi="宋体" w:cs="宋体"/>
          <w:color w:val="auto"/>
          <w:sz w:val="24"/>
          <w:szCs w:val="24"/>
        </w:rPr>
        <w:t>元。</w:t>
      </w:r>
    </w:p>
    <w:p w14:paraId="7D14C213">
      <w:pPr>
        <w:pStyle w:val="4"/>
        <w:adjustRightInd w:val="0"/>
        <w:snapToGrid w:val="0"/>
        <w:spacing w:before="0" w:after="0" w:line="400" w:lineRule="exact"/>
        <w:ind w:firstLine="482" w:firstLineChars="200"/>
        <w:rPr>
          <w:rFonts w:ascii="宋体" w:hAnsi="宋体" w:eastAsia="宋体" w:cs="宋体"/>
          <w:color w:val="auto"/>
          <w:sz w:val="24"/>
        </w:rPr>
      </w:pPr>
      <w:bookmarkStart w:id="18" w:name="_Toc430"/>
      <w:bookmarkStart w:id="19" w:name="_Toc18548"/>
      <w:bookmarkStart w:id="20" w:name="_Toc13541"/>
      <w:bookmarkStart w:id="21" w:name="_Toc64731996"/>
      <w:bookmarkStart w:id="22" w:name="_Toc65660332"/>
      <w:r>
        <w:rPr>
          <w:rFonts w:hint="eastAsia" w:ascii="宋体" w:hAnsi="宋体" w:eastAsia="宋体" w:cs="宋体"/>
          <w:color w:val="auto"/>
          <w:sz w:val="24"/>
        </w:rPr>
        <w:t>三、供应商资格条件</w:t>
      </w:r>
      <w:bookmarkEnd w:id="18"/>
      <w:bookmarkEnd w:id="19"/>
      <w:bookmarkEnd w:id="20"/>
      <w:bookmarkEnd w:id="21"/>
      <w:bookmarkEnd w:id="22"/>
    </w:p>
    <w:p w14:paraId="745BD831">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（一）满足《中华人民共和国政府采购法》第二十二条规定。</w:t>
      </w:r>
    </w:p>
    <w:p w14:paraId="27FB8EB5">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（二）本项目的特定资格要求：</w:t>
      </w:r>
    </w:p>
    <w:p w14:paraId="207565F5">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1.</w:t>
      </w:r>
      <w:r>
        <w:rPr>
          <w:rFonts w:hint="eastAsia" w:ascii="宋体" w:hAnsi="宋体" w:cs="宋体"/>
          <w:b w:val="0"/>
          <w:bCs w:val="0"/>
          <w:color w:val="auto"/>
          <w:sz w:val="24"/>
          <w:szCs w:val="24"/>
        </w:rPr>
        <w:t>供应商具备电子与智能化工程专业承包二级及以上或市政公用工程施工总承包</w:t>
      </w:r>
      <w:r>
        <w:rPr>
          <w:rFonts w:hint="eastAsia" w:ascii="宋体" w:hAnsi="宋体" w:eastAsia="宋体" w:cs="宋体"/>
          <w:b w:val="0"/>
          <w:bCs w:val="0"/>
          <w:color w:val="auto"/>
          <w:sz w:val="24"/>
          <w:szCs w:val="24"/>
        </w:rPr>
        <w:t>叁级及以上资质（提供证书复印件并加盖供应商公章）。</w:t>
      </w:r>
    </w:p>
    <w:p w14:paraId="22DA0F05">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供应商具备建设行政主管部门颁发的有效的安全生产许可证（提供有效期内的安全生产许可证复印件并加盖供应商公章）。</w:t>
      </w:r>
    </w:p>
    <w:p w14:paraId="20BAE33E">
      <w:pPr>
        <w:pStyle w:val="4"/>
        <w:pageBreakBefore w:val="0"/>
        <w:widowControl w:val="0"/>
        <w:kinsoku/>
        <w:wordWrap/>
        <w:overflowPunct/>
        <w:topLinePunct w:val="0"/>
        <w:autoSpaceDE/>
        <w:autoSpaceDN/>
        <w:bidi w:val="0"/>
        <w:adjustRightInd w:val="0"/>
        <w:snapToGrid w:val="0"/>
        <w:spacing w:before="0" w:after="0" w:line="400" w:lineRule="exact"/>
        <w:ind w:firstLine="482" w:firstLineChars="200"/>
        <w:textAlignment w:val="auto"/>
        <w:rPr>
          <w:rFonts w:ascii="宋体" w:hAnsi="宋体" w:eastAsia="宋体" w:cs="宋体"/>
          <w:color w:val="auto"/>
          <w:sz w:val="24"/>
        </w:rPr>
      </w:pPr>
      <w:bookmarkStart w:id="23" w:name="_Toc1386"/>
      <w:bookmarkStart w:id="24" w:name="_Toc2796"/>
      <w:bookmarkStart w:id="25" w:name="_Toc65660333"/>
      <w:bookmarkStart w:id="26" w:name="_Toc11908"/>
      <w:r>
        <w:rPr>
          <w:rFonts w:hint="eastAsia" w:ascii="宋体" w:hAnsi="宋体" w:eastAsia="宋体" w:cs="宋体"/>
          <w:color w:val="auto"/>
          <w:sz w:val="24"/>
        </w:rPr>
        <w:t>四、谈判有关说明</w:t>
      </w:r>
      <w:bookmarkEnd w:id="15"/>
      <w:bookmarkEnd w:id="23"/>
      <w:bookmarkEnd w:id="24"/>
      <w:bookmarkEnd w:id="25"/>
      <w:bookmarkEnd w:id="26"/>
    </w:p>
    <w:p w14:paraId="4C3861BF">
      <w:pPr>
        <w:pageBreakBefore w:val="0"/>
        <w:widowControl w:val="0"/>
        <w:kinsoku/>
        <w:wordWrap/>
        <w:overflowPunct/>
        <w:topLinePunct w:val="0"/>
        <w:autoSpaceDE/>
        <w:autoSpaceDN/>
        <w:bidi w:val="0"/>
        <w:snapToGrid w:val="0"/>
        <w:spacing w:line="40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（一）凡有意参加谈判的供应商，请在“行采家”（ https://www.gec123.com/）上下载或到采购代理机构处领取本项目竞争性谈判文件以及图纸、澄清等谈判前公布的所有项目资料，无论供应商下载、领取与否，均视为已知晓所有谈判实质性要求内容。</w:t>
      </w:r>
    </w:p>
    <w:p w14:paraId="2D1A24B4">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（二）竞争性谈判公告期限：自采购公告发布之日（2025年</w:t>
      </w:r>
      <w:r>
        <w:rPr>
          <w:rFonts w:hint="eastAsia" w:ascii="宋体" w:hAnsi="宋体" w:cs="宋体"/>
          <w:color w:val="auto"/>
          <w:sz w:val="24"/>
          <w:szCs w:val="24"/>
          <w:lang w:val="en-US" w:eastAsia="zh-CN"/>
        </w:rPr>
        <w:t>12</w:t>
      </w:r>
      <w:r>
        <w:rPr>
          <w:rFonts w:hint="eastAsia" w:ascii="宋体" w:hAnsi="宋体" w:cs="宋体"/>
          <w:color w:val="auto"/>
          <w:sz w:val="24"/>
          <w:szCs w:val="24"/>
        </w:rPr>
        <w:t>月</w:t>
      </w:r>
      <w:r>
        <w:rPr>
          <w:rFonts w:hint="eastAsia" w:ascii="宋体" w:hAnsi="宋体" w:cs="宋体"/>
          <w:color w:val="auto"/>
          <w:sz w:val="24"/>
          <w:szCs w:val="24"/>
          <w:lang w:val="en-US" w:eastAsia="zh-CN"/>
        </w:rPr>
        <w:t>2</w:t>
      </w:r>
      <w:r>
        <w:rPr>
          <w:rFonts w:hint="eastAsia" w:ascii="宋体" w:hAnsi="宋体" w:cs="宋体"/>
          <w:color w:val="auto"/>
          <w:sz w:val="24"/>
          <w:szCs w:val="24"/>
        </w:rPr>
        <w:t>日）起三个工作日。</w:t>
      </w:r>
    </w:p>
    <w:p w14:paraId="76B7353C">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（三）获取竞争性谈判文件期限：</w:t>
      </w:r>
    </w:p>
    <w:p w14:paraId="2BC01545">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1.竞争性谈判文件提供期限：2025年</w:t>
      </w:r>
      <w:r>
        <w:rPr>
          <w:rFonts w:hint="eastAsia" w:ascii="宋体" w:hAnsi="宋体" w:cs="宋体"/>
          <w:color w:val="auto"/>
          <w:sz w:val="24"/>
          <w:szCs w:val="24"/>
          <w:lang w:val="en-US" w:eastAsia="zh-CN"/>
        </w:rPr>
        <w:t>12</w:t>
      </w:r>
      <w:r>
        <w:rPr>
          <w:rFonts w:hint="eastAsia" w:ascii="宋体" w:hAnsi="宋体" w:cs="宋体"/>
          <w:color w:val="auto"/>
          <w:sz w:val="24"/>
          <w:szCs w:val="24"/>
        </w:rPr>
        <w:t>月</w:t>
      </w:r>
      <w:r>
        <w:rPr>
          <w:rFonts w:hint="eastAsia" w:ascii="宋体" w:hAnsi="宋体" w:cs="宋体"/>
          <w:color w:val="auto"/>
          <w:sz w:val="24"/>
          <w:szCs w:val="24"/>
          <w:lang w:val="en-US" w:eastAsia="zh-CN"/>
        </w:rPr>
        <w:t>2</w:t>
      </w:r>
      <w:r>
        <w:rPr>
          <w:rFonts w:hint="eastAsia" w:ascii="宋体" w:hAnsi="宋体" w:cs="宋体"/>
          <w:color w:val="auto"/>
          <w:sz w:val="24"/>
          <w:szCs w:val="24"/>
        </w:rPr>
        <w:t>日至2025年</w:t>
      </w:r>
      <w:r>
        <w:rPr>
          <w:rFonts w:hint="eastAsia" w:ascii="宋体" w:hAnsi="宋体" w:cs="宋体"/>
          <w:color w:val="auto"/>
          <w:sz w:val="24"/>
          <w:szCs w:val="24"/>
          <w:lang w:val="en-US" w:eastAsia="zh-CN"/>
        </w:rPr>
        <w:t>12</w:t>
      </w:r>
      <w:r>
        <w:rPr>
          <w:rFonts w:hint="eastAsia" w:ascii="宋体" w:hAnsi="宋体" w:cs="宋体"/>
          <w:color w:val="auto"/>
          <w:sz w:val="24"/>
          <w:szCs w:val="24"/>
        </w:rPr>
        <w:t>月</w:t>
      </w:r>
      <w:r>
        <w:rPr>
          <w:rFonts w:hint="eastAsia" w:ascii="宋体" w:hAnsi="宋体" w:cs="宋体"/>
          <w:color w:val="auto"/>
          <w:sz w:val="24"/>
          <w:szCs w:val="24"/>
          <w:lang w:val="en-US" w:eastAsia="zh-CN"/>
        </w:rPr>
        <w:t>5</w:t>
      </w:r>
      <w:r>
        <w:rPr>
          <w:rFonts w:hint="eastAsia" w:ascii="宋体" w:hAnsi="宋体" w:cs="宋体"/>
          <w:color w:val="auto"/>
          <w:sz w:val="24"/>
          <w:szCs w:val="24"/>
        </w:rPr>
        <w:t>日。</w:t>
      </w:r>
    </w:p>
    <w:p w14:paraId="21D54DB6">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2.报名方式：供应商将《重庆千策招标代理有限公司报名表》（加盖供应商公章）扫描后发送至3097860773@qq.com （邮箱）。</w:t>
      </w:r>
    </w:p>
    <w:p w14:paraId="3CD174ED">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3.竞争性谈判文件售价：</w:t>
      </w:r>
      <w:r>
        <w:rPr>
          <w:rFonts w:hint="eastAsia" w:ascii="宋体" w:hAnsi="宋体" w:cs="宋体"/>
          <w:color w:val="auto"/>
          <w:sz w:val="24"/>
          <w:szCs w:val="24"/>
          <w:lang w:val="en-US" w:eastAsia="zh-CN"/>
        </w:rPr>
        <w:t>本项目无需缴纳竞争性谈判文件费用</w:t>
      </w:r>
      <w:r>
        <w:rPr>
          <w:rFonts w:hint="eastAsia" w:ascii="宋体" w:hAnsi="宋体" w:cs="宋体"/>
          <w:color w:val="auto"/>
          <w:sz w:val="24"/>
          <w:szCs w:val="24"/>
        </w:rPr>
        <w:t>。</w:t>
      </w:r>
    </w:p>
    <w:p w14:paraId="1107CBF5">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（四）谈判地点：重庆千策招标代理有限公司（重庆市</w:t>
      </w:r>
      <w:r>
        <w:rPr>
          <w:rFonts w:hint="eastAsia" w:ascii="宋体" w:hAnsi="宋体" w:cs="宋体"/>
          <w:color w:val="auto"/>
          <w:sz w:val="24"/>
          <w:szCs w:val="24"/>
          <w:lang w:eastAsia="zh-CN"/>
        </w:rPr>
        <w:t>两江新区</w:t>
      </w:r>
      <w:r>
        <w:rPr>
          <w:rFonts w:hint="eastAsia" w:ascii="宋体" w:hAnsi="宋体" w:cs="宋体"/>
          <w:color w:val="auto"/>
          <w:sz w:val="24"/>
          <w:szCs w:val="24"/>
        </w:rPr>
        <w:t>星光大道82号天王星D1-2栋7楼）会议室。</w:t>
      </w:r>
    </w:p>
    <w:p w14:paraId="37DDFC79">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（五）提交响应文件开始时间：2025年</w:t>
      </w:r>
      <w:r>
        <w:rPr>
          <w:rFonts w:hint="eastAsia" w:ascii="宋体" w:hAnsi="宋体" w:cs="宋体"/>
          <w:color w:val="auto"/>
          <w:sz w:val="24"/>
          <w:szCs w:val="24"/>
          <w:lang w:val="en-US" w:eastAsia="zh-CN"/>
        </w:rPr>
        <w:t>12</w:t>
      </w:r>
      <w:r>
        <w:rPr>
          <w:rFonts w:hint="eastAsia" w:ascii="宋体" w:hAnsi="宋体" w:cs="宋体"/>
          <w:color w:val="auto"/>
          <w:sz w:val="24"/>
          <w:szCs w:val="24"/>
        </w:rPr>
        <w:t>月</w:t>
      </w:r>
      <w:r>
        <w:rPr>
          <w:rFonts w:hint="eastAsia" w:ascii="宋体" w:hAnsi="宋体" w:cs="宋体"/>
          <w:color w:val="auto"/>
          <w:sz w:val="24"/>
          <w:szCs w:val="24"/>
          <w:lang w:val="en-US" w:eastAsia="zh-CN"/>
        </w:rPr>
        <w:t>8</w:t>
      </w:r>
      <w:r>
        <w:rPr>
          <w:rFonts w:hint="eastAsia" w:ascii="宋体" w:hAnsi="宋体" w:cs="宋体"/>
          <w:color w:val="auto"/>
          <w:sz w:val="24"/>
          <w:szCs w:val="24"/>
        </w:rPr>
        <w:t>日北京时间</w:t>
      </w:r>
      <w:r>
        <w:rPr>
          <w:rFonts w:hint="eastAsia" w:ascii="宋体" w:hAnsi="宋体" w:cs="宋体"/>
          <w:color w:val="auto"/>
          <w:sz w:val="24"/>
          <w:szCs w:val="24"/>
          <w:lang w:val="en-US" w:eastAsia="zh-CN"/>
        </w:rPr>
        <w:t>09</w:t>
      </w:r>
      <w:r>
        <w:rPr>
          <w:rFonts w:hint="eastAsia" w:ascii="宋体" w:hAnsi="宋体" w:cs="宋体"/>
          <w:color w:val="auto"/>
          <w:sz w:val="24"/>
          <w:szCs w:val="24"/>
        </w:rPr>
        <w:t>:</w:t>
      </w:r>
      <w:r>
        <w:rPr>
          <w:rFonts w:hint="eastAsia" w:ascii="宋体" w:hAnsi="宋体" w:cs="宋体"/>
          <w:color w:val="auto"/>
          <w:sz w:val="24"/>
          <w:szCs w:val="24"/>
          <w:lang w:val="en-US" w:eastAsia="zh-CN"/>
        </w:rPr>
        <w:t>3</w:t>
      </w:r>
      <w:r>
        <w:rPr>
          <w:rFonts w:hint="eastAsia" w:ascii="宋体" w:hAnsi="宋体" w:cs="宋体"/>
          <w:color w:val="auto"/>
          <w:sz w:val="24"/>
          <w:szCs w:val="24"/>
        </w:rPr>
        <w:t>0。</w:t>
      </w:r>
    </w:p>
    <w:p w14:paraId="590B0CBD">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（六）提交响应文件截止时间：2025年</w:t>
      </w:r>
      <w:r>
        <w:rPr>
          <w:rFonts w:hint="eastAsia" w:ascii="宋体" w:hAnsi="宋体" w:cs="宋体"/>
          <w:color w:val="auto"/>
          <w:sz w:val="24"/>
          <w:szCs w:val="24"/>
          <w:lang w:val="en-US" w:eastAsia="zh-CN"/>
        </w:rPr>
        <w:t>12</w:t>
      </w:r>
      <w:r>
        <w:rPr>
          <w:rFonts w:hint="eastAsia" w:ascii="宋体" w:hAnsi="宋体" w:cs="宋体"/>
          <w:color w:val="auto"/>
          <w:sz w:val="24"/>
          <w:szCs w:val="24"/>
        </w:rPr>
        <w:t>月</w:t>
      </w:r>
      <w:r>
        <w:rPr>
          <w:rFonts w:hint="eastAsia" w:ascii="宋体" w:hAnsi="宋体" w:cs="宋体"/>
          <w:color w:val="auto"/>
          <w:sz w:val="24"/>
          <w:szCs w:val="24"/>
          <w:lang w:val="en-US" w:eastAsia="zh-CN"/>
        </w:rPr>
        <w:t>8</w:t>
      </w:r>
      <w:r>
        <w:rPr>
          <w:rFonts w:hint="eastAsia" w:ascii="宋体" w:hAnsi="宋体" w:cs="宋体"/>
          <w:color w:val="auto"/>
          <w:sz w:val="24"/>
          <w:szCs w:val="24"/>
        </w:rPr>
        <w:t>日北京时间</w:t>
      </w:r>
      <w:r>
        <w:rPr>
          <w:rFonts w:hint="eastAsia" w:ascii="宋体" w:hAnsi="宋体" w:cs="宋体"/>
          <w:color w:val="auto"/>
          <w:sz w:val="24"/>
          <w:szCs w:val="24"/>
          <w:lang w:val="en-US" w:eastAsia="zh-CN"/>
        </w:rPr>
        <w:t>10</w:t>
      </w:r>
      <w:r>
        <w:rPr>
          <w:rFonts w:hint="eastAsia" w:ascii="宋体" w:hAnsi="宋体" w:cs="宋体"/>
          <w:color w:val="auto"/>
          <w:sz w:val="24"/>
          <w:szCs w:val="24"/>
        </w:rPr>
        <w:t>:</w:t>
      </w:r>
      <w:r>
        <w:rPr>
          <w:rFonts w:hint="eastAsia" w:ascii="宋体" w:hAnsi="宋体" w:cs="宋体"/>
          <w:color w:val="auto"/>
          <w:sz w:val="24"/>
          <w:szCs w:val="24"/>
          <w:lang w:val="en-US" w:eastAsia="zh-CN"/>
        </w:rPr>
        <w:t>0</w:t>
      </w:r>
      <w:r>
        <w:rPr>
          <w:rFonts w:hint="eastAsia" w:ascii="宋体" w:hAnsi="宋体" w:cs="宋体"/>
          <w:color w:val="auto"/>
          <w:sz w:val="24"/>
          <w:szCs w:val="24"/>
        </w:rPr>
        <w:t>0。</w:t>
      </w:r>
    </w:p>
    <w:p w14:paraId="11612F57">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（七）谈判开始时间：2025年</w:t>
      </w:r>
      <w:r>
        <w:rPr>
          <w:rFonts w:hint="eastAsia" w:ascii="宋体" w:hAnsi="宋体" w:cs="宋体"/>
          <w:color w:val="auto"/>
          <w:sz w:val="24"/>
          <w:szCs w:val="24"/>
          <w:lang w:val="en-US" w:eastAsia="zh-CN"/>
        </w:rPr>
        <w:t>12</w:t>
      </w:r>
      <w:r>
        <w:rPr>
          <w:rFonts w:hint="eastAsia" w:ascii="宋体" w:hAnsi="宋体" w:cs="宋体"/>
          <w:color w:val="auto"/>
          <w:sz w:val="24"/>
          <w:szCs w:val="24"/>
        </w:rPr>
        <w:t>月</w:t>
      </w:r>
      <w:r>
        <w:rPr>
          <w:rFonts w:hint="eastAsia" w:ascii="宋体" w:hAnsi="宋体" w:cs="宋体"/>
          <w:color w:val="auto"/>
          <w:sz w:val="24"/>
          <w:szCs w:val="24"/>
          <w:lang w:val="en-US" w:eastAsia="zh-CN"/>
        </w:rPr>
        <w:t>8</w:t>
      </w:r>
      <w:r>
        <w:rPr>
          <w:rFonts w:hint="eastAsia" w:ascii="宋体" w:hAnsi="宋体" w:cs="宋体"/>
          <w:color w:val="auto"/>
          <w:sz w:val="24"/>
          <w:szCs w:val="24"/>
        </w:rPr>
        <w:t>日北京时间</w:t>
      </w:r>
      <w:r>
        <w:rPr>
          <w:rFonts w:hint="eastAsia" w:ascii="宋体" w:hAnsi="宋体" w:cs="宋体"/>
          <w:color w:val="auto"/>
          <w:sz w:val="24"/>
          <w:szCs w:val="24"/>
          <w:lang w:val="en-US" w:eastAsia="zh-CN"/>
        </w:rPr>
        <w:t>10</w:t>
      </w:r>
      <w:r>
        <w:rPr>
          <w:rFonts w:hint="eastAsia" w:ascii="宋体" w:hAnsi="宋体" w:cs="宋体"/>
          <w:color w:val="auto"/>
          <w:sz w:val="24"/>
          <w:szCs w:val="24"/>
        </w:rPr>
        <w:t>:</w:t>
      </w:r>
      <w:r>
        <w:rPr>
          <w:rFonts w:hint="eastAsia" w:ascii="宋体" w:hAnsi="宋体" w:cs="宋体"/>
          <w:color w:val="auto"/>
          <w:sz w:val="24"/>
          <w:szCs w:val="24"/>
          <w:lang w:val="en-US" w:eastAsia="zh-CN"/>
        </w:rPr>
        <w:t>0</w:t>
      </w:r>
      <w:r>
        <w:rPr>
          <w:rFonts w:hint="eastAsia" w:ascii="宋体" w:hAnsi="宋体" w:cs="宋体"/>
          <w:color w:val="auto"/>
          <w:sz w:val="24"/>
          <w:szCs w:val="24"/>
        </w:rPr>
        <w:t>0。</w:t>
      </w:r>
    </w:p>
    <w:bookmarkEnd w:id="16"/>
    <w:p w14:paraId="42AD4484">
      <w:pPr>
        <w:pStyle w:val="4"/>
        <w:adjustRightInd w:val="0"/>
        <w:snapToGrid w:val="0"/>
        <w:spacing w:before="0" w:after="0" w:line="400" w:lineRule="exact"/>
        <w:ind w:firstLine="482" w:firstLineChars="200"/>
        <w:rPr>
          <w:rFonts w:ascii="宋体" w:hAnsi="宋体" w:eastAsia="宋体" w:cs="宋体"/>
          <w:color w:val="auto"/>
          <w:sz w:val="24"/>
        </w:rPr>
      </w:pPr>
      <w:bookmarkStart w:id="27" w:name="_Toc1040"/>
      <w:bookmarkStart w:id="28" w:name="_Toc525047161"/>
      <w:bookmarkStart w:id="29" w:name="_Toc65660334"/>
      <w:bookmarkStart w:id="30" w:name="_Toc6178"/>
      <w:bookmarkStart w:id="31" w:name="_Toc373860294"/>
      <w:bookmarkStart w:id="32" w:name="_Toc11956"/>
      <w:bookmarkStart w:id="33" w:name="_Toc521053053"/>
      <w:r>
        <w:rPr>
          <w:rFonts w:hint="eastAsia" w:ascii="宋体" w:hAnsi="宋体" w:eastAsia="宋体" w:cs="宋体"/>
          <w:color w:val="auto"/>
          <w:sz w:val="24"/>
        </w:rPr>
        <w:t>五、谈判保证金</w:t>
      </w:r>
      <w:bookmarkEnd w:id="27"/>
      <w:bookmarkEnd w:id="28"/>
      <w:bookmarkEnd w:id="29"/>
      <w:bookmarkEnd w:id="30"/>
      <w:bookmarkEnd w:id="31"/>
      <w:bookmarkEnd w:id="32"/>
      <w:bookmarkEnd w:id="33"/>
    </w:p>
    <w:p w14:paraId="1E474E0D">
      <w:pPr>
        <w:spacing w:line="400" w:lineRule="exact"/>
        <w:ind w:firstLine="480" w:firstLineChars="200"/>
        <w:rPr>
          <w:rFonts w:ascii="宋体" w:hAnsi="宋体" w:cs="宋体"/>
          <w:color w:val="auto"/>
          <w:sz w:val="24"/>
          <w:szCs w:val="24"/>
        </w:rPr>
      </w:pPr>
      <w:bookmarkStart w:id="34" w:name="_Toc521053054"/>
      <w:bookmarkStart w:id="35" w:name="_Toc525047162"/>
      <w:bookmarkStart w:id="36" w:name="_Toc65660335"/>
      <w:bookmarkStart w:id="37" w:name="_Toc4355"/>
      <w:bookmarkStart w:id="38" w:name="_Toc2945"/>
      <w:bookmarkStart w:id="39" w:name="_Toc479668114"/>
      <w:r>
        <w:rPr>
          <w:rFonts w:hint="eastAsia" w:ascii="宋体" w:hAnsi="宋体" w:cs="宋体"/>
          <w:color w:val="auto"/>
          <w:sz w:val="24"/>
          <w:szCs w:val="24"/>
          <w:lang w:val="en-US" w:eastAsia="zh-CN"/>
        </w:rPr>
        <w:t>本项目无需缴纳谈判保证金</w:t>
      </w:r>
      <w:r>
        <w:rPr>
          <w:rFonts w:hint="eastAsia" w:ascii="宋体" w:hAnsi="宋体" w:cs="宋体"/>
          <w:color w:val="auto"/>
          <w:sz w:val="24"/>
          <w:szCs w:val="24"/>
        </w:rPr>
        <w:t>。</w:t>
      </w:r>
    </w:p>
    <w:bookmarkEnd w:id="34"/>
    <w:bookmarkEnd w:id="35"/>
    <w:bookmarkEnd w:id="36"/>
    <w:bookmarkEnd w:id="37"/>
    <w:bookmarkEnd w:id="38"/>
    <w:bookmarkEnd w:id="39"/>
    <w:p w14:paraId="61EDB177">
      <w:pPr>
        <w:pStyle w:val="4"/>
        <w:adjustRightInd w:val="0"/>
        <w:snapToGrid w:val="0"/>
        <w:spacing w:before="0" w:after="0" w:line="400" w:lineRule="exact"/>
        <w:ind w:firstLine="482" w:firstLineChars="200"/>
        <w:rPr>
          <w:rFonts w:ascii="宋体" w:hAnsi="宋体" w:eastAsia="宋体" w:cs="宋体"/>
          <w:color w:val="auto"/>
          <w:sz w:val="24"/>
        </w:rPr>
      </w:pPr>
      <w:bookmarkStart w:id="40" w:name="_Toc16269"/>
      <w:bookmarkStart w:id="41" w:name="_Toc65660336"/>
      <w:bookmarkStart w:id="42" w:name="_Toc525047163"/>
      <w:bookmarkStart w:id="43" w:name="_Toc521053055"/>
      <w:bookmarkStart w:id="44" w:name="_Toc6563"/>
      <w:bookmarkStart w:id="45" w:name="_Toc11642"/>
      <w:r>
        <w:rPr>
          <w:rFonts w:hint="eastAsia" w:ascii="宋体" w:hAnsi="宋体" w:eastAsia="宋体" w:cs="宋体"/>
          <w:color w:val="auto"/>
          <w:sz w:val="24"/>
        </w:rPr>
        <w:t>六、其它有关规定</w:t>
      </w:r>
      <w:bookmarkEnd w:id="40"/>
      <w:bookmarkEnd w:id="41"/>
      <w:bookmarkEnd w:id="42"/>
      <w:bookmarkEnd w:id="43"/>
      <w:bookmarkEnd w:id="44"/>
      <w:bookmarkEnd w:id="45"/>
    </w:p>
    <w:p w14:paraId="5156912F">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（一）单位负责人为同一人或者存在直接控股、管理关系的不同供应商，不得参加同一合同项（包）下的采购活动，否则均为无效谈判。</w:t>
      </w:r>
    </w:p>
    <w:p w14:paraId="115A1F9A">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（二）为采购项目提供整体设计、规范编制或者项目管理、监理、检测等服务的供应商，不得再参加该采购项目的其他采购活动。</w:t>
      </w:r>
    </w:p>
    <w:p w14:paraId="1F0E961F">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三）本项目的澄清文件（如果有）一律在“行采家”（https://www.gec123.com/）上发布，请各供应商注意下载或到采购代理机构处领取；无论供应商下载或领取与否，均视同供应商已知晓本项目澄清文件（如果有）的内容。</w:t>
      </w:r>
    </w:p>
    <w:p w14:paraId="2AF42BF1">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（四）超过响应文件截止时间递交的响应文件，恕不接收。</w:t>
      </w:r>
    </w:p>
    <w:p w14:paraId="2EAD0A26">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（五）谈判费用：无论谈判结果如何，供应商参与本项目谈判的所有费用均应由供应商自行承担。</w:t>
      </w:r>
    </w:p>
    <w:p w14:paraId="42E54975">
      <w:pPr>
        <w:snapToGrid w:val="0"/>
        <w:spacing w:line="400" w:lineRule="exact"/>
        <w:ind w:firstLine="361" w:firstLineChars="150"/>
        <w:rPr>
          <w:rFonts w:ascii="宋体" w:hAnsi="宋体" w:cs="宋体"/>
          <w:b/>
          <w:bCs/>
          <w:color w:val="auto"/>
          <w:sz w:val="24"/>
          <w:szCs w:val="24"/>
        </w:rPr>
      </w:pPr>
      <w:r>
        <w:rPr>
          <w:rFonts w:hint="eastAsia" w:ascii="宋体" w:hAnsi="宋体" w:cs="宋体"/>
          <w:b/>
          <w:bCs/>
          <w:color w:val="auto"/>
          <w:sz w:val="24"/>
          <w:szCs w:val="24"/>
        </w:rPr>
        <w:t>（六）本项目不接受联合体参与谈判，否则按无效响应处理。</w:t>
      </w:r>
    </w:p>
    <w:p w14:paraId="76D9DFAE">
      <w:pPr>
        <w:snapToGrid w:val="0"/>
        <w:spacing w:line="400" w:lineRule="exact"/>
        <w:ind w:firstLine="361" w:firstLineChars="150"/>
        <w:rPr>
          <w:rFonts w:ascii="宋体" w:hAnsi="宋体" w:cs="宋体"/>
          <w:color w:val="auto"/>
          <w:sz w:val="24"/>
          <w:szCs w:val="24"/>
        </w:rPr>
      </w:pPr>
      <w:r>
        <w:rPr>
          <w:rFonts w:hint="eastAsia" w:ascii="宋体" w:hAnsi="宋体" w:cs="宋体"/>
          <w:b/>
          <w:bCs/>
          <w:color w:val="auto"/>
          <w:sz w:val="24"/>
          <w:szCs w:val="24"/>
        </w:rPr>
        <w:t>（七）本项目不接受合同分包，否则按无效响应处理。</w:t>
      </w:r>
    </w:p>
    <w:p w14:paraId="198A0C38">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0FFAC327">
      <w:pPr>
        <w:pStyle w:val="4"/>
        <w:adjustRightInd w:val="0"/>
        <w:snapToGrid w:val="0"/>
        <w:spacing w:before="0" w:after="0" w:line="400" w:lineRule="exact"/>
        <w:ind w:firstLine="482" w:firstLineChars="200"/>
        <w:rPr>
          <w:rFonts w:ascii="宋体" w:hAnsi="宋体" w:eastAsia="宋体" w:cs="宋体"/>
          <w:color w:val="auto"/>
          <w:sz w:val="24"/>
        </w:rPr>
      </w:pPr>
      <w:bookmarkStart w:id="46" w:name="_Toc1733"/>
      <w:bookmarkStart w:id="47" w:name="_Toc14444"/>
      <w:bookmarkStart w:id="48" w:name="_Toc525047164"/>
      <w:bookmarkStart w:id="49" w:name="_Toc65660337"/>
      <w:bookmarkStart w:id="50" w:name="_Toc521053056"/>
      <w:bookmarkStart w:id="51" w:name="_Toc10415"/>
      <w:r>
        <w:rPr>
          <w:rFonts w:hint="eastAsia" w:ascii="宋体" w:hAnsi="宋体" w:eastAsia="宋体" w:cs="宋体"/>
          <w:color w:val="auto"/>
          <w:sz w:val="24"/>
        </w:rPr>
        <w:t>七、联系方式</w:t>
      </w:r>
      <w:bookmarkEnd w:id="46"/>
      <w:bookmarkEnd w:id="47"/>
      <w:bookmarkEnd w:id="48"/>
      <w:bookmarkEnd w:id="49"/>
      <w:bookmarkEnd w:id="50"/>
      <w:bookmarkEnd w:id="51"/>
    </w:p>
    <w:p w14:paraId="2F781439">
      <w:pPr>
        <w:snapToGrid w:val="0"/>
        <w:spacing w:line="400" w:lineRule="exact"/>
        <w:ind w:firstLine="480" w:firstLineChars="200"/>
        <w:outlineLvl w:val="2"/>
        <w:rPr>
          <w:rFonts w:ascii="宋体" w:hAnsi="宋体" w:cs="宋体"/>
          <w:color w:val="auto"/>
          <w:sz w:val="24"/>
          <w:szCs w:val="24"/>
        </w:rPr>
      </w:pPr>
      <w:r>
        <w:rPr>
          <w:rFonts w:hint="eastAsia" w:ascii="宋体" w:hAnsi="宋体" w:cs="宋体"/>
          <w:color w:val="auto"/>
          <w:sz w:val="24"/>
          <w:szCs w:val="24"/>
        </w:rPr>
        <w:t>（一）</w:t>
      </w:r>
      <w:bookmarkStart w:id="52" w:name="_Hlk70416418"/>
      <w:r>
        <w:rPr>
          <w:rFonts w:hint="eastAsia" w:ascii="宋体" w:hAnsi="宋体" w:cs="宋体"/>
          <w:color w:val="auto"/>
          <w:sz w:val="24"/>
          <w:szCs w:val="24"/>
        </w:rPr>
        <w:t>采购人：</w:t>
      </w:r>
      <w:bookmarkEnd w:id="52"/>
      <w:bookmarkStart w:id="53" w:name="_Toc9519"/>
      <w:r>
        <w:rPr>
          <w:rFonts w:hint="eastAsia" w:ascii="宋体" w:hAnsi="宋体" w:cs="宋体"/>
          <w:color w:val="auto"/>
          <w:sz w:val="24"/>
          <w:szCs w:val="24"/>
        </w:rPr>
        <w:t>重庆市公安局大渡口区分局</w:t>
      </w:r>
    </w:p>
    <w:bookmarkEnd w:id="53"/>
    <w:p w14:paraId="2B91EE3E">
      <w:pPr>
        <w:snapToGrid w:val="0"/>
        <w:spacing w:line="400" w:lineRule="exact"/>
        <w:ind w:firstLine="480" w:firstLineChars="200"/>
        <w:outlineLvl w:val="2"/>
        <w:rPr>
          <w:rFonts w:ascii="宋体" w:hAnsi="宋体" w:cs="宋体"/>
          <w:color w:val="auto"/>
          <w:sz w:val="24"/>
          <w:szCs w:val="24"/>
        </w:rPr>
      </w:pPr>
      <w:r>
        <w:rPr>
          <w:rFonts w:hint="eastAsia" w:ascii="宋体" w:hAnsi="宋体" w:cs="宋体"/>
          <w:color w:val="auto"/>
          <w:sz w:val="24"/>
          <w:szCs w:val="24"/>
        </w:rPr>
        <w:t>联系人：田老师</w:t>
      </w:r>
    </w:p>
    <w:p w14:paraId="7DD47DD9">
      <w:pPr>
        <w:snapToGrid w:val="0"/>
        <w:spacing w:line="400" w:lineRule="exact"/>
        <w:ind w:firstLine="480" w:firstLineChars="200"/>
        <w:outlineLvl w:val="2"/>
        <w:rPr>
          <w:rFonts w:ascii="宋体" w:hAnsi="宋体" w:cs="宋体"/>
          <w:color w:val="auto"/>
          <w:sz w:val="24"/>
          <w:szCs w:val="24"/>
        </w:rPr>
      </w:pPr>
      <w:r>
        <w:rPr>
          <w:rFonts w:hint="eastAsia" w:ascii="宋体" w:hAnsi="宋体" w:cs="宋体"/>
          <w:color w:val="auto"/>
          <w:sz w:val="24"/>
          <w:szCs w:val="24"/>
        </w:rPr>
        <w:t>联系电话：023-65367058</w:t>
      </w:r>
    </w:p>
    <w:p w14:paraId="2D3903FD">
      <w:pPr>
        <w:snapToGrid w:val="0"/>
        <w:spacing w:line="400" w:lineRule="exact"/>
        <w:ind w:firstLine="480" w:firstLineChars="200"/>
        <w:outlineLvl w:val="2"/>
        <w:rPr>
          <w:rFonts w:ascii="宋体" w:hAnsi="宋体" w:cs="宋体"/>
          <w:color w:val="auto"/>
          <w:sz w:val="24"/>
          <w:szCs w:val="24"/>
        </w:rPr>
      </w:pPr>
      <w:r>
        <w:rPr>
          <w:rFonts w:hint="eastAsia" w:ascii="宋体" w:hAnsi="宋体" w:cs="宋体"/>
          <w:color w:val="auto"/>
          <w:sz w:val="24"/>
          <w:szCs w:val="24"/>
        </w:rPr>
        <w:t>地  址：重庆市大渡口区翠柏路100号</w:t>
      </w:r>
    </w:p>
    <w:p w14:paraId="5EBAEA06">
      <w:pPr>
        <w:snapToGrid w:val="0"/>
        <w:spacing w:line="400" w:lineRule="exact"/>
        <w:ind w:firstLine="480" w:firstLineChars="200"/>
        <w:outlineLvl w:val="2"/>
        <w:rPr>
          <w:rFonts w:ascii="宋体" w:hAnsi="宋体" w:cs="宋体"/>
          <w:color w:val="auto"/>
          <w:sz w:val="24"/>
          <w:szCs w:val="24"/>
        </w:rPr>
      </w:pPr>
      <w:r>
        <w:rPr>
          <w:rFonts w:hint="eastAsia" w:ascii="宋体" w:hAnsi="宋体" w:cs="宋体"/>
          <w:color w:val="auto"/>
          <w:sz w:val="24"/>
          <w:szCs w:val="24"/>
        </w:rPr>
        <w:t>（二）采购代理机构：重庆千策招标代理有限公司</w:t>
      </w:r>
    </w:p>
    <w:p w14:paraId="7F5024C8">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 xml:space="preserve">联系人：王奎     </w:t>
      </w:r>
    </w:p>
    <w:p w14:paraId="48950651">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电  话：023-67461776</w:t>
      </w:r>
    </w:p>
    <w:p w14:paraId="415DEB70">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地  址：重庆市</w:t>
      </w:r>
      <w:r>
        <w:rPr>
          <w:rFonts w:hint="eastAsia" w:ascii="宋体" w:hAnsi="宋体" w:cs="宋体"/>
          <w:color w:val="auto"/>
          <w:sz w:val="24"/>
          <w:szCs w:val="24"/>
          <w:lang w:eastAsia="zh-CN"/>
        </w:rPr>
        <w:t>两江新区</w:t>
      </w:r>
      <w:r>
        <w:rPr>
          <w:rFonts w:hint="eastAsia" w:ascii="宋体" w:hAnsi="宋体" w:cs="宋体"/>
          <w:color w:val="auto"/>
          <w:sz w:val="24"/>
          <w:szCs w:val="24"/>
        </w:rPr>
        <w:t>星光大道82号天王星D1-2栋7楼</w:t>
      </w:r>
    </w:p>
    <w:p w14:paraId="0B5B1F4E">
      <w:pPr>
        <w:snapToGrid w:val="0"/>
        <w:spacing w:line="400" w:lineRule="exact"/>
        <w:ind w:firstLine="480" w:firstLineChars="200"/>
        <w:rPr>
          <w:rFonts w:ascii="宋体" w:hAnsi="宋体" w:cs="宋体"/>
          <w:color w:val="auto"/>
          <w:sz w:val="24"/>
          <w:szCs w:val="24"/>
        </w:rPr>
      </w:pPr>
    </w:p>
    <w:p w14:paraId="58FA113D">
      <w:pPr>
        <w:snapToGrid w:val="0"/>
        <w:spacing w:line="380" w:lineRule="exact"/>
        <w:ind w:firstLine="480" w:firstLineChars="200"/>
        <w:rPr>
          <w:rFonts w:ascii="宋体" w:hAnsi="宋体" w:cs="宋体"/>
          <w:color w:val="auto"/>
          <w:sz w:val="24"/>
          <w:szCs w:val="24"/>
        </w:rPr>
        <w:sectPr>
          <w:pgSz w:w="11907" w:h="16840"/>
          <w:pgMar w:top="1134" w:right="1418" w:bottom="1134" w:left="1418" w:header="680" w:footer="992" w:gutter="0"/>
          <w:pgNumType w:fmt="numberInDash"/>
          <w:cols w:space="720" w:num="1"/>
          <w:docGrid w:linePitch="312" w:charSpace="0"/>
        </w:sectPr>
      </w:pPr>
    </w:p>
    <w:p w14:paraId="1AF58603">
      <w:pPr>
        <w:pStyle w:val="4"/>
        <w:spacing w:before="0" w:after="0" w:line="360" w:lineRule="auto"/>
        <w:jc w:val="center"/>
        <w:rPr>
          <w:rFonts w:ascii="宋体" w:hAnsi="宋体" w:eastAsia="宋体" w:cs="宋体"/>
          <w:b w:val="0"/>
          <w:color w:val="auto"/>
          <w:sz w:val="36"/>
          <w:szCs w:val="30"/>
        </w:rPr>
      </w:pPr>
      <w:bookmarkStart w:id="54" w:name="_Toc28921"/>
      <w:bookmarkStart w:id="55" w:name="_Toc65660338"/>
      <w:bookmarkStart w:id="56" w:name="_Toc1292"/>
      <w:bookmarkStart w:id="57" w:name="_Toc14516"/>
      <w:bookmarkStart w:id="58" w:name="_Toc102227313"/>
      <w:r>
        <w:rPr>
          <w:rFonts w:hint="eastAsia" w:ascii="宋体" w:hAnsi="宋体" w:eastAsia="宋体" w:cs="宋体"/>
          <w:b w:val="0"/>
          <w:color w:val="auto"/>
          <w:sz w:val="36"/>
          <w:szCs w:val="30"/>
        </w:rPr>
        <w:t>第二篇  谈判项目技术（质量）需求</w:t>
      </w:r>
      <w:bookmarkEnd w:id="54"/>
      <w:bookmarkEnd w:id="55"/>
      <w:bookmarkEnd w:id="56"/>
      <w:bookmarkEnd w:id="57"/>
    </w:p>
    <w:p w14:paraId="2AD77659">
      <w:pPr>
        <w:pStyle w:val="4"/>
        <w:adjustRightInd w:val="0"/>
        <w:snapToGrid w:val="0"/>
        <w:spacing w:before="0" w:after="0" w:line="400" w:lineRule="exact"/>
        <w:ind w:firstLine="482" w:firstLineChars="200"/>
        <w:rPr>
          <w:rFonts w:ascii="宋体" w:hAnsi="宋体" w:eastAsia="宋体" w:cs="宋体"/>
          <w:color w:val="auto"/>
          <w:sz w:val="24"/>
        </w:rPr>
      </w:pPr>
      <w:bookmarkStart w:id="59" w:name="_Toc65660339"/>
      <w:bookmarkStart w:id="60" w:name="_Toc26971"/>
      <w:bookmarkStart w:id="61" w:name="_Toc24129"/>
      <w:bookmarkStart w:id="62" w:name="_Toc11865"/>
      <w:r>
        <w:rPr>
          <w:rFonts w:hint="eastAsia" w:ascii="宋体" w:hAnsi="宋体" w:eastAsia="宋体" w:cs="宋体"/>
          <w:color w:val="auto"/>
          <w:sz w:val="24"/>
        </w:rPr>
        <w:t>一、</w:t>
      </w:r>
      <w:bookmarkEnd w:id="59"/>
      <w:bookmarkEnd w:id="60"/>
      <w:bookmarkEnd w:id="61"/>
      <w:r>
        <w:rPr>
          <w:rFonts w:hint="eastAsia" w:ascii="宋体" w:hAnsi="宋体" w:eastAsia="宋体" w:cs="宋体"/>
          <w:color w:val="auto"/>
          <w:sz w:val="24"/>
        </w:rPr>
        <w:t>项目一览表</w:t>
      </w:r>
      <w:bookmarkEnd w:id="62"/>
    </w:p>
    <w:tbl>
      <w:tblPr>
        <w:tblStyle w:val="61"/>
        <w:tblW w:w="48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9"/>
        <w:gridCol w:w="2259"/>
        <w:gridCol w:w="2125"/>
      </w:tblGrid>
      <w:tr w14:paraId="2D9D9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30" w:type="pct"/>
            <w:vAlign w:val="center"/>
          </w:tcPr>
          <w:p w14:paraId="74A85C31">
            <w:pPr>
              <w:pStyle w:val="24"/>
              <w:tabs>
                <w:tab w:val="left" w:pos="647"/>
                <w:tab w:val="center" w:pos="1300"/>
              </w:tabs>
              <w:spacing w:line="400" w:lineRule="exact"/>
              <w:ind w:left="0"/>
              <w:jc w:val="center"/>
              <w:outlineLvl w:val="0"/>
              <w:rPr>
                <w:rFonts w:ascii="宋体" w:hAnsi="宋体" w:cs="宋体"/>
                <w:b/>
                <w:bCs/>
                <w:color w:val="auto"/>
                <w:kern w:val="0"/>
                <w:sz w:val="24"/>
                <w:szCs w:val="24"/>
              </w:rPr>
            </w:pPr>
            <w:r>
              <w:rPr>
                <w:rFonts w:hint="eastAsia" w:ascii="宋体" w:hAnsi="宋体" w:cs="宋体"/>
                <w:b/>
                <w:bCs/>
                <w:color w:val="auto"/>
                <w:kern w:val="0"/>
                <w:sz w:val="24"/>
                <w:szCs w:val="24"/>
              </w:rPr>
              <w:t>谈判项目名称</w:t>
            </w:r>
          </w:p>
        </w:tc>
        <w:tc>
          <w:tcPr>
            <w:tcW w:w="1220" w:type="pct"/>
            <w:vAlign w:val="center"/>
          </w:tcPr>
          <w:p w14:paraId="4273C2A7">
            <w:pPr>
              <w:pStyle w:val="24"/>
              <w:tabs>
                <w:tab w:val="left" w:pos="647"/>
                <w:tab w:val="center" w:pos="1300"/>
              </w:tabs>
              <w:spacing w:line="400" w:lineRule="exact"/>
              <w:ind w:left="0"/>
              <w:jc w:val="center"/>
              <w:outlineLvl w:val="0"/>
              <w:rPr>
                <w:rFonts w:ascii="宋体" w:hAnsi="宋体" w:cs="宋体"/>
                <w:b/>
                <w:bCs/>
                <w:color w:val="auto"/>
                <w:kern w:val="0"/>
                <w:sz w:val="24"/>
                <w:szCs w:val="24"/>
              </w:rPr>
            </w:pPr>
            <w:r>
              <w:rPr>
                <w:rFonts w:hint="eastAsia" w:ascii="宋体" w:hAnsi="宋体" w:cs="宋体"/>
                <w:b/>
                <w:bCs/>
                <w:color w:val="auto"/>
                <w:kern w:val="0"/>
                <w:sz w:val="24"/>
                <w:szCs w:val="24"/>
              </w:rPr>
              <w:t>数量/单位</w:t>
            </w:r>
          </w:p>
        </w:tc>
        <w:tc>
          <w:tcPr>
            <w:tcW w:w="1148" w:type="pct"/>
            <w:vAlign w:val="center"/>
          </w:tcPr>
          <w:p w14:paraId="421BC19E">
            <w:pPr>
              <w:pStyle w:val="24"/>
              <w:tabs>
                <w:tab w:val="left" w:pos="647"/>
                <w:tab w:val="center" w:pos="1300"/>
              </w:tabs>
              <w:spacing w:line="400" w:lineRule="exact"/>
              <w:ind w:left="0"/>
              <w:jc w:val="center"/>
              <w:outlineLvl w:val="0"/>
              <w:rPr>
                <w:rFonts w:ascii="宋体" w:hAnsi="宋体" w:cs="宋体"/>
                <w:b/>
                <w:bCs/>
                <w:color w:val="auto"/>
                <w:kern w:val="0"/>
                <w:sz w:val="24"/>
                <w:szCs w:val="24"/>
              </w:rPr>
            </w:pPr>
            <w:r>
              <w:rPr>
                <w:rFonts w:hint="eastAsia" w:ascii="宋体" w:hAnsi="宋体" w:cs="宋体"/>
                <w:b/>
                <w:bCs/>
                <w:color w:val="auto"/>
                <w:kern w:val="0"/>
                <w:sz w:val="24"/>
                <w:szCs w:val="24"/>
              </w:rPr>
              <w:t>备注</w:t>
            </w:r>
          </w:p>
        </w:tc>
      </w:tr>
      <w:tr w14:paraId="459A9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630" w:type="pct"/>
            <w:vAlign w:val="center"/>
          </w:tcPr>
          <w:p w14:paraId="7507133B">
            <w:pPr>
              <w:pStyle w:val="16"/>
              <w:spacing w:line="400" w:lineRule="exact"/>
              <w:ind w:firstLine="0"/>
              <w:jc w:val="center"/>
              <w:outlineLvl w:val="0"/>
              <w:rPr>
                <w:rFonts w:hint="eastAsia" w:ascii="宋体" w:hAnsi="宋体" w:eastAsia="宋体" w:cs="宋体"/>
                <w:color w:val="auto"/>
                <w:kern w:val="0"/>
                <w:szCs w:val="24"/>
                <w:lang w:eastAsia="zh-CN"/>
              </w:rPr>
            </w:pPr>
            <w:r>
              <w:rPr>
                <w:rFonts w:hint="eastAsia" w:ascii="宋体" w:hAnsi="宋体" w:cs="宋体"/>
                <w:color w:val="auto"/>
                <w:kern w:val="0"/>
                <w:szCs w:val="24"/>
                <w:lang w:eastAsia="zh-CN"/>
              </w:rPr>
              <w:t>大渡口区2025年校园周边交通设施品质提升项目（第四次）</w:t>
            </w:r>
          </w:p>
        </w:tc>
        <w:tc>
          <w:tcPr>
            <w:tcW w:w="1220" w:type="pct"/>
            <w:vAlign w:val="center"/>
          </w:tcPr>
          <w:p w14:paraId="5572C98F">
            <w:pPr>
              <w:pStyle w:val="16"/>
              <w:spacing w:line="400" w:lineRule="exact"/>
              <w:ind w:firstLine="0"/>
              <w:jc w:val="center"/>
              <w:outlineLvl w:val="0"/>
              <w:rPr>
                <w:rFonts w:ascii="宋体" w:hAnsi="宋体" w:cs="宋体"/>
                <w:color w:val="auto"/>
                <w:kern w:val="0"/>
                <w:szCs w:val="24"/>
              </w:rPr>
            </w:pPr>
            <w:r>
              <w:rPr>
                <w:rFonts w:hint="eastAsia" w:ascii="宋体" w:hAnsi="宋体" w:cs="宋体"/>
                <w:color w:val="auto"/>
                <w:kern w:val="0"/>
                <w:szCs w:val="24"/>
              </w:rPr>
              <w:t>1项</w:t>
            </w:r>
          </w:p>
        </w:tc>
        <w:tc>
          <w:tcPr>
            <w:tcW w:w="1148" w:type="pct"/>
            <w:vAlign w:val="center"/>
          </w:tcPr>
          <w:p w14:paraId="1514937F">
            <w:pPr>
              <w:pStyle w:val="16"/>
              <w:spacing w:line="400" w:lineRule="exact"/>
              <w:ind w:firstLine="0"/>
              <w:jc w:val="center"/>
              <w:outlineLvl w:val="0"/>
              <w:rPr>
                <w:rFonts w:ascii="宋体" w:hAnsi="宋体" w:cs="宋体"/>
                <w:color w:val="auto"/>
                <w:kern w:val="0"/>
                <w:szCs w:val="24"/>
              </w:rPr>
            </w:pPr>
            <w:r>
              <w:rPr>
                <w:rFonts w:hint="eastAsia" w:ascii="宋体" w:hAnsi="宋体" w:cs="宋体"/>
                <w:color w:val="auto"/>
                <w:kern w:val="0"/>
                <w:szCs w:val="24"/>
              </w:rPr>
              <w:t>详见下文。</w:t>
            </w:r>
          </w:p>
        </w:tc>
      </w:tr>
    </w:tbl>
    <w:p w14:paraId="2393E7AD">
      <w:pPr>
        <w:pStyle w:val="4"/>
        <w:adjustRightInd w:val="0"/>
        <w:snapToGrid w:val="0"/>
        <w:spacing w:before="0" w:after="0" w:line="400" w:lineRule="exact"/>
        <w:ind w:firstLine="482" w:firstLineChars="200"/>
        <w:rPr>
          <w:rFonts w:ascii="宋体" w:hAnsi="宋体" w:eastAsia="宋体" w:cs="宋体"/>
          <w:color w:val="auto"/>
          <w:sz w:val="24"/>
        </w:rPr>
      </w:pPr>
      <w:bookmarkStart w:id="63" w:name="_Toc10132"/>
      <w:bookmarkStart w:id="64" w:name="_Toc15492"/>
      <w:bookmarkStart w:id="65" w:name="_Toc13356"/>
      <w:bookmarkStart w:id="66" w:name="_Toc65660341"/>
      <w:r>
        <w:rPr>
          <w:rFonts w:hint="eastAsia" w:ascii="宋体" w:hAnsi="宋体" w:eastAsia="宋体" w:cs="宋体"/>
          <w:color w:val="auto"/>
          <w:sz w:val="24"/>
        </w:rPr>
        <w:t>二、项目基本情况介绍</w:t>
      </w:r>
      <w:bookmarkEnd w:id="63"/>
    </w:p>
    <w:p w14:paraId="3CA4FD8F">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项目规模及主要内容：大渡口区公安分局2025年拟实施的“</w:t>
      </w:r>
      <w:r>
        <w:rPr>
          <w:rFonts w:hint="eastAsia" w:ascii="宋体" w:hAnsi="宋体" w:cs="宋体"/>
          <w:color w:val="auto"/>
          <w:sz w:val="24"/>
          <w:szCs w:val="24"/>
          <w:lang w:eastAsia="zh-CN"/>
        </w:rPr>
        <w:t>大渡口区2025年校园周边交通设施品质提升项目</w:t>
      </w:r>
      <w:r>
        <w:rPr>
          <w:rFonts w:hint="eastAsia" w:ascii="宋体" w:hAnsi="宋体" w:cs="宋体"/>
          <w:color w:val="auto"/>
          <w:sz w:val="24"/>
          <w:szCs w:val="24"/>
        </w:rPr>
        <w:t>”包括大渡口区自启学校、钢花小学、三十七中、双山实验小学、钰鑫小学、巴渝学校、西辰小学、慧泉小学、佳兆业小学、佳兆业中学和实验小学九宫庙校区共1</w:t>
      </w:r>
      <w:r>
        <w:rPr>
          <w:rFonts w:ascii="宋体" w:hAnsi="宋体" w:cs="宋体"/>
          <w:color w:val="auto"/>
          <w:sz w:val="24"/>
          <w:szCs w:val="24"/>
        </w:rPr>
        <w:t>1</w:t>
      </w:r>
      <w:r>
        <w:rPr>
          <w:rFonts w:hint="eastAsia" w:ascii="宋体" w:hAnsi="宋体" w:cs="宋体"/>
          <w:color w:val="auto"/>
          <w:sz w:val="24"/>
          <w:szCs w:val="24"/>
        </w:rPr>
        <w:t>所学校校园周边交通设施的建设，包含标志标线、抗滑薄层、红绿灯控制、电子警察、违停抓拍、隔离栏杆、警示柱等交通设施的建设。补充内容详</w:t>
      </w:r>
      <w:r>
        <w:rPr>
          <w:rFonts w:hint="eastAsia" w:ascii="宋体" w:hAnsi="宋体" w:cs="宋体"/>
          <w:color w:val="auto"/>
          <w:sz w:val="24"/>
          <w:szCs w:val="24"/>
          <w:highlight w:val="none"/>
        </w:rPr>
        <w:t>见</w:t>
      </w:r>
      <w:r>
        <w:rPr>
          <w:rFonts w:hint="eastAsia" w:ascii="宋体" w:hAnsi="宋体" w:cs="宋体"/>
          <w:color w:val="auto"/>
          <w:sz w:val="24"/>
          <w:szCs w:val="24"/>
          <w:highlight w:val="none"/>
          <w:lang w:eastAsia="zh-CN"/>
        </w:rPr>
        <w:t>附件</w:t>
      </w:r>
      <w:r>
        <w:rPr>
          <w:rFonts w:hint="eastAsia" w:ascii="宋体" w:hAnsi="宋体" w:cs="宋体"/>
          <w:color w:val="auto"/>
          <w:sz w:val="24"/>
          <w:szCs w:val="24"/>
          <w:highlight w:val="none"/>
        </w:rPr>
        <w:t>。</w:t>
      </w:r>
    </w:p>
    <w:p w14:paraId="311C56C7">
      <w:pPr>
        <w:pStyle w:val="4"/>
        <w:adjustRightInd w:val="0"/>
        <w:snapToGrid w:val="0"/>
        <w:spacing w:before="0" w:after="0" w:line="400" w:lineRule="exact"/>
        <w:ind w:firstLine="482" w:firstLineChars="200"/>
        <w:rPr>
          <w:rFonts w:ascii="宋体" w:hAnsi="宋体" w:cs="宋体"/>
          <w:color w:val="auto"/>
          <w:kern w:val="0"/>
          <w:sz w:val="24"/>
          <w:szCs w:val="24"/>
        </w:rPr>
      </w:pPr>
      <w:bookmarkStart w:id="67" w:name="_Toc13439"/>
      <w:r>
        <w:rPr>
          <w:rFonts w:hint="eastAsia" w:ascii="宋体" w:hAnsi="宋体" w:eastAsia="宋体" w:cs="宋体"/>
          <w:color w:val="auto"/>
          <w:sz w:val="24"/>
        </w:rPr>
        <w:t>三、项目技术需求</w:t>
      </w:r>
      <w:bookmarkEnd w:id="67"/>
    </w:p>
    <w:p w14:paraId="25DB3706">
      <w:pPr>
        <w:jc w:val="center"/>
        <w:rPr>
          <w:color w:val="auto"/>
          <w:sz w:val="24"/>
          <w:szCs w:val="22"/>
        </w:rPr>
      </w:pPr>
      <w:r>
        <w:rPr>
          <w:rFonts w:hint="eastAsia" w:ascii="宋体" w:hAnsi="宋体"/>
          <w:color w:val="auto"/>
          <w:sz w:val="24"/>
          <w:szCs w:val="22"/>
        </w:rPr>
        <w:t>主要设备技术要求</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1132"/>
        <w:gridCol w:w="997"/>
        <w:gridCol w:w="6401"/>
      </w:tblGrid>
      <w:tr w14:paraId="7EAD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098" w:type="dxa"/>
            <w:tcBorders>
              <w:top w:val="single" w:color="auto" w:sz="4" w:space="0"/>
              <w:left w:val="single" w:color="auto" w:sz="4" w:space="0"/>
              <w:bottom w:val="single" w:color="auto" w:sz="4" w:space="0"/>
              <w:right w:val="single" w:color="auto" w:sz="4" w:space="0"/>
              <w:tl2br w:val="nil"/>
              <w:tr2bl w:val="nil"/>
            </w:tcBorders>
            <w:vAlign w:val="center"/>
          </w:tcPr>
          <w:p w14:paraId="7DBDAEA3">
            <w:pPr>
              <w:tabs>
                <w:tab w:val="left" w:pos="5985"/>
              </w:tabs>
              <w:spacing w:line="400" w:lineRule="exact"/>
              <w:jc w:val="center"/>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序号</w:t>
            </w:r>
          </w:p>
        </w:tc>
        <w:tc>
          <w:tcPr>
            <w:tcW w:w="1132" w:type="dxa"/>
            <w:tcBorders>
              <w:top w:val="single" w:color="auto" w:sz="4" w:space="0"/>
              <w:left w:val="single" w:color="auto" w:sz="4" w:space="0"/>
              <w:bottom w:val="single" w:color="auto" w:sz="4" w:space="0"/>
              <w:right w:val="single" w:color="auto" w:sz="4" w:space="0"/>
              <w:tl2br w:val="nil"/>
              <w:tr2bl w:val="nil"/>
            </w:tcBorders>
            <w:vAlign w:val="center"/>
          </w:tcPr>
          <w:p w14:paraId="3FAF4757">
            <w:pPr>
              <w:tabs>
                <w:tab w:val="left" w:pos="5985"/>
              </w:tabs>
              <w:spacing w:line="400" w:lineRule="exact"/>
              <w:jc w:val="center"/>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名称</w:t>
            </w:r>
          </w:p>
        </w:tc>
        <w:tc>
          <w:tcPr>
            <w:tcW w:w="739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482F067">
            <w:pPr>
              <w:tabs>
                <w:tab w:val="left" w:pos="5985"/>
              </w:tabs>
              <w:spacing w:line="400" w:lineRule="exact"/>
              <w:jc w:val="center"/>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技术规格及质量要求</w:t>
            </w:r>
          </w:p>
        </w:tc>
      </w:tr>
      <w:tr w14:paraId="01EB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tcBorders>
              <w:top w:val="single" w:color="auto" w:sz="4" w:space="0"/>
              <w:left w:val="single" w:color="auto" w:sz="4" w:space="0"/>
              <w:bottom w:val="single" w:color="auto" w:sz="4" w:space="0"/>
              <w:right w:val="single" w:color="auto" w:sz="4" w:space="0"/>
              <w:tl2br w:val="nil"/>
              <w:tr2bl w:val="nil"/>
            </w:tcBorders>
            <w:vAlign w:val="center"/>
          </w:tcPr>
          <w:p w14:paraId="041F445D">
            <w:pPr>
              <w:adjustRightInd w:val="0"/>
              <w:spacing w:line="400" w:lineRule="exact"/>
              <w:jc w:val="center"/>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w:t>
            </w:r>
          </w:p>
        </w:tc>
        <w:tc>
          <w:tcPr>
            <w:tcW w:w="8530"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5D7E733">
            <w:pPr>
              <w:tabs>
                <w:tab w:val="left" w:pos="5985"/>
              </w:tabs>
              <w:spacing w:line="4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红绿灯控制</w:t>
            </w:r>
          </w:p>
        </w:tc>
      </w:tr>
      <w:tr w14:paraId="5D44B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tcBorders>
              <w:top w:val="single" w:color="auto" w:sz="4" w:space="0"/>
              <w:left w:val="single" w:color="auto" w:sz="4" w:space="0"/>
              <w:bottom w:val="single" w:color="auto" w:sz="4" w:space="0"/>
              <w:right w:val="single" w:color="auto" w:sz="4" w:space="0"/>
              <w:tl2br w:val="nil"/>
              <w:tr2bl w:val="nil"/>
            </w:tcBorders>
            <w:vAlign w:val="center"/>
          </w:tcPr>
          <w:p w14:paraId="1C969C14">
            <w:pPr>
              <w:adjustRightInd w:val="0"/>
              <w:spacing w:line="400" w:lineRule="exact"/>
              <w:jc w:val="center"/>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132" w:type="dxa"/>
            <w:tcBorders>
              <w:top w:val="single" w:color="auto" w:sz="4" w:space="0"/>
              <w:left w:val="single" w:color="auto" w:sz="4" w:space="0"/>
              <w:bottom w:val="single" w:color="auto" w:sz="4" w:space="0"/>
              <w:right w:val="single" w:color="auto" w:sz="4" w:space="0"/>
              <w:tl2br w:val="nil"/>
              <w:tr2bl w:val="nil"/>
            </w:tcBorders>
            <w:vAlign w:val="center"/>
          </w:tcPr>
          <w:p w14:paraId="0016E766">
            <w:pPr>
              <w:adjustRightInd w:val="0"/>
              <w:spacing w:line="400" w:lineRule="exact"/>
              <w:jc w:val="center"/>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信号控制机箱</w:t>
            </w:r>
          </w:p>
        </w:tc>
        <w:tc>
          <w:tcPr>
            <w:tcW w:w="7398" w:type="dxa"/>
            <w:gridSpan w:val="2"/>
            <w:tcBorders>
              <w:top w:val="single" w:color="auto" w:sz="4" w:space="0"/>
              <w:left w:val="single" w:color="auto" w:sz="4" w:space="0"/>
              <w:bottom w:val="single" w:color="auto" w:sz="4" w:space="0"/>
              <w:right w:val="single" w:color="auto" w:sz="4" w:space="0"/>
              <w:tl2br w:val="nil"/>
              <w:tr2bl w:val="nil"/>
            </w:tcBorders>
          </w:tcPr>
          <w:p w14:paraId="668C65DD">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物联型道路交通信号控制机，符合GB 25280-2016《道路交通信号控制机》标准，通过公安部检测；32位工业级ARM（领先的精简指令CPU）处理器，低功耗、高性能、高可靠性；采用嵌入式实时多任务操作系统，系统稳定可靠；C类A级集中协调式交通信号控制机，4U标准机架堆叠式设计。</w:t>
            </w:r>
          </w:p>
          <w:p w14:paraId="04E3E12C">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（1）支持动态自适应协调控制或者感应协调控制；</w:t>
            </w:r>
          </w:p>
          <w:p w14:paraId="4550B839">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（2）感应、自适应控制下的倒计时支持：无通信模式及RS485通信；支持无通信模式提前一个周期和立即关闭倒计时，避免倒计时显示混乱，同时信号灯无任何闪烁现象；</w:t>
            </w:r>
          </w:p>
          <w:p w14:paraId="4C0B6D05">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（3）支持与视频检测系统无缝对接，实现视频交通检测下的信号控制；</w:t>
            </w:r>
          </w:p>
          <w:p w14:paraId="7F4250DF">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（4）支持连接视频电子警察虚拟线圈存在型检测；</w:t>
            </w:r>
          </w:p>
          <w:p w14:paraId="024638B5">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（5）支持公交优先、出口拥堵控制；事件检测控制；多车道汇入自适应控制；</w:t>
            </w:r>
          </w:p>
          <w:p w14:paraId="457C8B53">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（6）支持虚拟检测器功能，可设置虚拟检测器，并可通过网络远程对虚拟检测器输出状态进行置位；</w:t>
            </w:r>
          </w:p>
          <w:p w14:paraId="090947C1">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支持至少250路前端虚拟检测器进行逻辑运算优化控制；信号控制机可将物理检测器、时刻、事件（时间、流量、占有率、第三方网络等）等多种参数进行逻辑运算；具有基于多参数虚拟检测逻辑运算的自主方案混合调用（多时段定周期、感应、自适应、公交优先）；可模拟输入现场指挥要素与逻辑推理过程，实现绿信时长、周期与相位差优化控制；</w:t>
            </w:r>
          </w:p>
          <w:p w14:paraId="53F7D438">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（8）具有相位控制属性定义，完成相位前伸、后延、插入、弹性控制，提高绿信效率；</w:t>
            </w:r>
          </w:p>
          <w:p w14:paraId="376B15EC">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（9）支持实时车辆存在性或密度检测，用于感应控制或自适应优化控制；</w:t>
            </w:r>
          </w:p>
          <w:p w14:paraId="46026C53">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（10）支持HiPLC技术高效互联路口前端设备，连接设备包括信号灯具、倒计时、待行LED屏等，完成数据通讯；</w:t>
            </w:r>
          </w:p>
          <w:p w14:paraId="6726AEEC">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（11）支持HiPLC技术实现前端设备工况、故障等信息主动上报功能，无需铺设专用通讯线缆，降低用户维护成本，实现智能运维；</w:t>
            </w:r>
          </w:p>
          <w:p w14:paraId="16C34875">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（12）可每4个相位组成一个虚拟信号机控制，支持最多8个虚拟信号机控制；</w:t>
            </w:r>
          </w:p>
          <w:p w14:paraId="013F3C61">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（13）具有工业级可视化触控终端接口，连接后可直接显示/查看/修改信号机参数。</w:t>
            </w:r>
          </w:p>
          <w:p w14:paraId="643311F9">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每板可控制4路独立灯组输出，整机可选择4路*（1-8）组输出，每一信号控制相位可任意设置为机动车、非机动车、行人相位，最大具备扩展到32组灯控的能力；单组输出驱动能力能达到800W；具备单独相位输出开关控制功能以及独立保护功能；具备灯具漏电流检测功能；</w:t>
            </w:r>
          </w:p>
          <w:p w14:paraId="5219D7F3">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（15）有手动控制面板，支持无线手动控制，支持定制图形化路口警卫任务面板；</w:t>
            </w:r>
          </w:p>
          <w:p w14:paraId="126C0EB8">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（16）具备调、无电缆时钟协调、感应控制功能，支持集中自适应协调控制，控制方式可降级实现；</w:t>
            </w:r>
          </w:p>
          <w:p w14:paraId="61843325">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具备“节假日”、“星期”和“普通”三种模式共48个时段，支持多时段定周控制、感应控制、潮汐车道控制、行人过街请求控制、自适应控制、自适应协调控制等方案，以及黄闪、全红、关灯等多种控制模式，方案总数可达到255个；</w:t>
            </w:r>
          </w:p>
          <w:p w14:paraId="6E831192">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（18）采用工业级控制时钟，日误差小于0.1秒，并可远程通过控制中心校正时间； 最小控制时间为1秒，红黄绿输出0～99秒可调； 最大绿、最小绿时间可调；支持后台远程控制和指定相位控制；</w:t>
            </w:r>
          </w:p>
          <w:p w14:paraId="1C26EED4">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支持至少64路检测能力（不含检测卡），支持线圈、地磁、视频、微波等检测方式；支持多种检测器以RS485总线方式连接、扩展到同一信号机；支持饱和度检测、类饱和度；支持占有率检测；交通信息采集包括周期流量、饱和度等统计方式，本地记录并上传，具备通信中断后保存7天以上的流量数据能力；</w:t>
            </w:r>
          </w:p>
          <w:p w14:paraId="7D3BCEB4">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具备RS-232/485、RJ45、USB、WIFI通讯接口，支持手持终端、平板电脑APP、笔记本对信号机现场调试；具备系统通讯功能，支持中心远程控制，具有系统可扩展能力；具有车辆检测器、行人过街按钮、通讯倒计时连接接口；支持无线、有线连接方式，同时具备双工通讯接口；</w:t>
            </w:r>
          </w:p>
          <w:p w14:paraId="15934A6E">
            <w:pPr>
              <w:adjustRightInd w:val="0"/>
              <w:snapToGri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具有公交车、特殊车辆优先控制功能；支持优先车辆到达路口时实时优先和其它相位损失时间补偿功能；支持车路协同系统，支持与RSU设备实时通讯，报送实时状态；实现以上功能时可以同时支持倒计时无通信模式下的定程显示。</w:t>
            </w:r>
          </w:p>
        </w:tc>
      </w:tr>
      <w:tr w14:paraId="415DE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tcBorders>
              <w:top w:val="single" w:color="auto" w:sz="4" w:space="0"/>
              <w:left w:val="single" w:color="auto" w:sz="4" w:space="0"/>
              <w:bottom w:val="single" w:color="auto" w:sz="4" w:space="0"/>
              <w:right w:val="single" w:color="auto" w:sz="4" w:space="0"/>
              <w:tl2br w:val="nil"/>
              <w:tr2bl w:val="nil"/>
            </w:tcBorders>
            <w:vAlign w:val="center"/>
          </w:tcPr>
          <w:p w14:paraId="030BEE8E">
            <w:pPr>
              <w:adjustRightInd w:val="0"/>
              <w:spacing w:line="400" w:lineRule="exact"/>
              <w:jc w:val="center"/>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132" w:type="dxa"/>
            <w:tcBorders>
              <w:top w:val="single" w:color="auto" w:sz="4" w:space="0"/>
              <w:left w:val="single" w:color="auto" w:sz="4" w:space="0"/>
              <w:bottom w:val="single" w:color="auto" w:sz="4" w:space="0"/>
              <w:right w:val="single" w:color="auto" w:sz="4" w:space="0"/>
              <w:tl2br w:val="nil"/>
              <w:tr2bl w:val="nil"/>
            </w:tcBorders>
            <w:vAlign w:val="center"/>
          </w:tcPr>
          <w:p w14:paraId="53681B3E">
            <w:pPr>
              <w:adjustRightInd w:val="0"/>
              <w:spacing w:line="400" w:lineRule="exact"/>
              <w:jc w:val="center"/>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箭头机动车信号灯</w:t>
            </w:r>
          </w:p>
        </w:tc>
        <w:tc>
          <w:tcPr>
            <w:tcW w:w="7398" w:type="dxa"/>
            <w:gridSpan w:val="2"/>
            <w:tcBorders>
              <w:top w:val="single" w:color="auto" w:sz="4" w:space="0"/>
              <w:left w:val="single" w:color="auto" w:sz="4" w:space="0"/>
              <w:bottom w:val="single" w:color="auto" w:sz="4" w:space="0"/>
              <w:right w:val="single" w:color="auto" w:sz="4" w:space="0"/>
              <w:tl2br w:val="nil"/>
              <w:tr2bl w:val="nil"/>
            </w:tcBorders>
          </w:tcPr>
          <w:p w14:paraId="21D2F1A6">
            <w:pPr>
              <w:snapToGrid w:val="0"/>
              <w:spacing w:line="4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Ф400三灯三色，PC面罩，进口超高亮LED芯片，开关电源，通过公安部检测，符合GB 14887-2011《道路交通信号灯》并提供有效期内检测报告</w:t>
            </w:r>
            <w:r>
              <w:rPr>
                <w:rFonts w:hint="eastAsia" w:asciiTheme="minorEastAsia" w:hAnsiTheme="minorEastAsia" w:eastAsiaTheme="minorEastAsia" w:cstheme="minorEastAsia"/>
                <w:b/>
                <w:bCs/>
                <w:color w:val="auto"/>
                <w:sz w:val="24"/>
                <w:szCs w:val="24"/>
                <w:lang w:eastAsia="zh-CN"/>
              </w:rPr>
              <w:t>（未提供按废标处理）</w:t>
            </w:r>
            <w:r>
              <w:rPr>
                <w:rFonts w:hint="eastAsia" w:asciiTheme="minorEastAsia" w:hAnsiTheme="minorEastAsia" w:eastAsiaTheme="minorEastAsia" w:cstheme="minorEastAsia"/>
                <w:b/>
                <w:bCs/>
                <w:color w:val="auto"/>
                <w:sz w:val="24"/>
                <w:szCs w:val="24"/>
              </w:rPr>
              <w:t>。支持黄灯闪通，与交巡警总队主城区常规和重要应急处突线路技术要求一致。</w:t>
            </w:r>
          </w:p>
        </w:tc>
      </w:tr>
      <w:tr w14:paraId="3407C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tcBorders>
              <w:top w:val="single" w:color="auto" w:sz="4" w:space="0"/>
              <w:left w:val="single" w:color="auto" w:sz="4" w:space="0"/>
              <w:bottom w:val="single" w:color="auto" w:sz="4" w:space="0"/>
              <w:right w:val="single" w:color="auto" w:sz="4" w:space="0"/>
              <w:tl2br w:val="nil"/>
              <w:tr2bl w:val="nil"/>
            </w:tcBorders>
            <w:vAlign w:val="center"/>
          </w:tcPr>
          <w:p w14:paraId="5078371B">
            <w:pPr>
              <w:adjustRightInd w:val="0"/>
              <w:spacing w:line="400" w:lineRule="exact"/>
              <w:jc w:val="center"/>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132" w:type="dxa"/>
            <w:tcBorders>
              <w:top w:val="single" w:color="auto" w:sz="4" w:space="0"/>
              <w:left w:val="single" w:color="auto" w:sz="4" w:space="0"/>
              <w:bottom w:val="single" w:color="auto" w:sz="4" w:space="0"/>
              <w:right w:val="single" w:color="auto" w:sz="4" w:space="0"/>
              <w:tl2br w:val="nil"/>
              <w:tr2bl w:val="nil"/>
            </w:tcBorders>
            <w:vAlign w:val="center"/>
          </w:tcPr>
          <w:p w14:paraId="5A115B4F">
            <w:pPr>
              <w:adjustRightInd w:val="0"/>
              <w:spacing w:line="400" w:lineRule="exact"/>
              <w:jc w:val="center"/>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倒计时器</w:t>
            </w:r>
          </w:p>
        </w:tc>
        <w:tc>
          <w:tcPr>
            <w:tcW w:w="7398" w:type="dxa"/>
            <w:gridSpan w:val="2"/>
            <w:tcBorders>
              <w:top w:val="single" w:color="auto" w:sz="4" w:space="0"/>
              <w:left w:val="single" w:color="auto" w:sz="4" w:space="0"/>
              <w:bottom w:val="single" w:color="auto" w:sz="4" w:space="0"/>
              <w:right w:val="single" w:color="auto" w:sz="4" w:space="0"/>
              <w:tl2br w:val="nil"/>
              <w:tr2bl w:val="nil"/>
            </w:tcBorders>
          </w:tcPr>
          <w:p w14:paraId="0E5192F4">
            <w:pPr>
              <w:snapToGrid w:val="0"/>
              <w:spacing w:line="4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（1）LED显示管管芯采用进口一级管芯，降压多分组并接方式；中心光强（亮度）≥5000CD，功耗&lt;=25瓦，视角不小于30度。</w:t>
            </w:r>
          </w:p>
          <w:p w14:paraId="010C9CA1">
            <w:pPr>
              <w:snapToGrid w:val="0"/>
              <w:spacing w:line="4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（2）点阵式动态显示，32级以上亮度调节，同相位倒计时同步时间不大于0.1秒。</w:t>
            </w:r>
          </w:p>
          <w:p w14:paraId="6FA8BEF5">
            <w:pPr>
              <w:snapToGrid w:val="0"/>
              <w:spacing w:line="4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外壳材料为镀锌钢板，显示单元全密封。表面平滑，无划伤，无缺料，无开裂、无明显变形；承受正常使用条件下可能产生的振动而无零件损坏、松动的现象。</w:t>
            </w:r>
          </w:p>
          <w:p w14:paraId="56354CE0">
            <w:pPr>
              <w:snapToGrid w:val="0"/>
              <w:spacing w:line="4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（3）无需单独供电，从信号灯取电，控制主板在信号灯灯色切换时能正常工作。</w:t>
            </w:r>
          </w:p>
          <w:p w14:paraId="4D23E4BC">
            <w:pPr>
              <w:snapToGrid w:val="0"/>
              <w:spacing w:line="4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（4）支持跟随方式（学习式）、通讯方式（实时型）和自适应控制定程显示（显示时间自动学习）；支持无通信电缆模式下手动关闭和开启倒计时。</w:t>
            </w:r>
          </w:p>
          <w:p w14:paraId="489F845B">
            <w:pPr>
              <w:snapToGrid w:val="0"/>
              <w:spacing w:line="4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（5）支持自适应控制时显示红灯和绿灯的最后10秒。</w:t>
            </w:r>
          </w:p>
          <w:p w14:paraId="655E959D">
            <w:pPr>
              <w:snapToGrid w:val="0"/>
              <w:spacing w:line="4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（6）支持单相位和双相位计数和显示。</w:t>
            </w:r>
          </w:p>
          <w:p w14:paraId="3BB1FF85">
            <w:pPr>
              <w:snapToGrid w:val="0"/>
              <w:spacing w:line="4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（7）支持一个信号周期内2次以上红灯和绿灯时间计数和显示。</w:t>
            </w:r>
          </w:p>
          <w:p w14:paraId="08DFD7EF">
            <w:pPr>
              <w:snapToGrid w:val="0"/>
              <w:spacing w:line="4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rPr>
              <w:t>）寿命大于100000小时。</w:t>
            </w:r>
          </w:p>
          <w:p w14:paraId="6A485722">
            <w:pPr>
              <w:snapToGrid w:val="0"/>
              <w:spacing w:line="4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）工作环境：-20℃——＋70℃，湿度不大于95%（温度为25℃）。</w:t>
            </w:r>
          </w:p>
          <w:p w14:paraId="2D15E595">
            <w:pPr>
              <w:snapToGrid w:val="0"/>
              <w:spacing w:line="4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）工作电源：220VAC±15%,50Hz。支持AC36~48V低压交流供电。</w:t>
            </w:r>
          </w:p>
        </w:tc>
      </w:tr>
      <w:tr w14:paraId="0EEB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tcBorders>
              <w:top w:val="single" w:color="auto" w:sz="4" w:space="0"/>
              <w:left w:val="single" w:color="auto" w:sz="4" w:space="0"/>
              <w:bottom w:val="single" w:color="auto" w:sz="4" w:space="0"/>
              <w:right w:val="single" w:color="auto" w:sz="4" w:space="0"/>
              <w:tl2br w:val="nil"/>
              <w:tr2bl w:val="nil"/>
            </w:tcBorders>
            <w:vAlign w:val="center"/>
          </w:tcPr>
          <w:p w14:paraId="2D8E6F4E">
            <w:pPr>
              <w:adjustRightInd w:val="0"/>
              <w:spacing w:line="400" w:lineRule="exact"/>
              <w:jc w:val="center"/>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1132" w:type="dxa"/>
            <w:tcBorders>
              <w:top w:val="single" w:color="auto" w:sz="4" w:space="0"/>
              <w:left w:val="single" w:color="auto" w:sz="4" w:space="0"/>
              <w:bottom w:val="single" w:color="auto" w:sz="4" w:space="0"/>
              <w:right w:val="single" w:color="auto" w:sz="4" w:space="0"/>
              <w:tl2br w:val="nil"/>
              <w:tr2bl w:val="nil"/>
            </w:tcBorders>
            <w:vAlign w:val="center"/>
          </w:tcPr>
          <w:p w14:paraId="7AB01DA0">
            <w:pPr>
              <w:adjustRightInd w:val="0"/>
              <w:spacing w:line="400" w:lineRule="exact"/>
              <w:jc w:val="center"/>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人行信号灯</w:t>
            </w:r>
          </w:p>
        </w:tc>
        <w:tc>
          <w:tcPr>
            <w:tcW w:w="7398" w:type="dxa"/>
            <w:gridSpan w:val="2"/>
            <w:tcBorders>
              <w:top w:val="single" w:color="auto" w:sz="4" w:space="0"/>
              <w:left w:val="single" w:color="auto" w:sz="4" w:space="0"/>
              <w:bottom w:val="single" w:color="auto" w:sz="4" w:space="0"/>
              <w:right w:val="single" w:color="auto" w:sz="4" w:space="0"/>
              <w:tl2br w:val="nil"/>
              <w:tr2bl w:val="nil"/>
            </w:tcBorders>
          </w:tcPr>
          <w:p w14:paraId="55C910D1">
            <w:pPr>
              <w:snapToGrid w:val="0"/>
              <w:spacing w:line="4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Ф300二灯二色+双色点阵倒计时器，PC面罩，进口超高亮LED芯片，开关电源；与交巡警总队常规和重要应急处突线路技术要求一致。</w:t>
            </w:r>
          </w:p>
        </w:tc>
      </w:tr>
      <w:tr w14:paraId="665F4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tcBorders>
              <w:top w:val="single" w:color="auto" w:sz="4" w:space="0"/>
              <w:left w:val="single" w:color="auto" w:sz="4" w:space="0"/>
              <w:bottom w:val="single" w:color="auto" w:sz="4" w:space="0"/>
              <w:right w:val="single" w:color="auto" w:sz="4" w:space="0"/>
              <w:tl2br w:val="nil"/>
              <w:tr2bl w:val="nil"/>
            </w:tcBorders>
            <w:vAlign w:val="center"/>
          </w:tcPr>
          <w:p w14:paraId="342D7FA2">
            <w:pPr>
              <w:adjustRightInd w:val="0"/>
              <w:spacing w:line="400" w:lineRule="exact"/>
              <w:jc w:val="center"/>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w:t>
            </w:r>
          </w:p>
        </w:tc>
        <w:tc>
          <w:tcPr>
            <w:tcW w:w="8530"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BFE8D26">
            <w:pPr>
              <w:tabs>
                <w:tab w:val="left" w:pos="5985"/>
              </w:tabs>
              <w:spacing w:line="4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电子警察系统</w:t>
            </w:r>
          </w:p>
        </w:tc>
      </w:tr>
      <w:tr w14:paraId="6BAB8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tcBorders>
              <w:top w:val="single" w:color="auto" w:sz="4" w:space="0"/>
              <w:left w:val="single" w:color="auto" w:sz="4" w:space="0"/>
              <w:bottom w:val="single" w:color="auto" w:sz="4" w:space="0"/>
              <w:right w:val="single" w:color="auto" w:sz="4" w:space="0"/>
              <w:tl2br w:val="nil"/>
              <w:tr2bl w:val="nil"/>
            </w:tcBorders>
            <w:vAlign w:val="center"/>
          </w:tcPr>
          <w:p w14:paraId="6BBFA4D2">
            <w:pPr>
              <w:adjustRightInd w:val="0"/>
              <w:spacing w:line="400" w:lineRule="exact"/>
              <w:jc w:val="center"/>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212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0F44F81">
            <w:pPr>
              <w:adjustRightInd w:val="0"/>
              <w:spacing w:line="400" w:lineRule="exact"/>
              <w:jc w:val="center"/>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电子警察抓拍摄像机（900w）</w:t>
            </w:r>
          </w:p>
        </w:tc>
        <w:tc>
          <w:tcPr>
            <w:tcW w:w="6401" w:type="dxa"/>
            <w:tcBorders>
              <w:top w:val="single" w:color="auto" w:sz="4" w:space="0"/>
              <w:left w:val="single" w:color="auto" w:sz="4" w:space="0"/>
              <w:bottom w:val="single" w:color="auto" w:sz="4" w:space="0"/>
              <w:right w:val="single" w:color="auto" w:sz="4" w:space="0"/>
              <w:tl2br w:val="nil"/>
              <w:tr2bl w:val="nil"/>
            </w:tcBorders>
          </w:tcPr>
          <w:p w14:paraId="79756C86">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1.基本参数</w:t>
            </w:r>
          </w:p>
          <w:p w14:paraId="25A77A05">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（1）像素：900W。</w:t>
            </w:r>
          </w:p>
          <w:p w14:paraId="15EF1681">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（2）分辨率：4096×2160像素。</w:t>
            </w:r>
          </w:p>
          <w:p w14:paraId="414FB36F">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（3）视频帧率：1～25fps可调。</w:t>
            </w:r>
          </w:p>
          <w:p w14:paraId="45B94CDB">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（4）覆盖范围：3车道。</w:t>
            </w:r>
          </w:p>
          <w:p w14:paraId="7CD1CFA3">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（5）镜头接口：C/CS镜头，自动光圈。</w:t>
            </w:r>
          </w:p>
          <w:p w14:paraId="64F94B71">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（6）编码格式：支持视频流和图片流同时输出，H.265、H.264视频编码。</w:t>
            </w:r>
          </w:p>
          <w:p w14:paraId="7AA479C9">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（7）图像输出格式：JPEG。</w:t>
            </w:r>
          </w:p>
          <w:p w14:paraId="4D055EA0">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（8）最低照度：彩色：0.0002 Lx。</w:t>
            </w:r>
          </w:p>
          <w:p w14:paraId="5C415B10">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（9）感光器件：1英寸彩色CCD或GMOS图像传感器。</w:t>
            </w:r>
          </w:p>
          <w:p w14:paraId="4773A27D">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（10）输出：电平量信号。</w:t>
            </w:r>
          </w:p>
          <w:p w14:paraId="6A67CB72">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（11）通讯接口：2个RJ45 100M/1000M自适应网口，3个RS485接口，1个RS232接口。</w:t>
            </w:r>
          </w:p>
          <w:p w14:paraId="46815602">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（12）外部接口：4路外部触发输入，6路（5V TTL电平量）输出。 </w:t>
            </w:r>
          </w:p>
          <w:p w14:paraId="34BA3750">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（13）存储支持：不少于32GB。</w:t>
            </w:r>
          </w:p>
          <w:p w14:paraId="2A974638">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2.功能参数</w:t>
            </w:r>
          </w:p>
          <w:p w14:paraId="460E7CD1">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（1）系统能至少记录机动车闯红灯行为过程的三幅图片，图纸编码符合ISO/IEC 15444:2000的要求。</w:t>
            </w:r>
          </w:p>
          <w:p w14:paraId="203B0F00">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智能功能：内置车牌识别（含新能源，民航车牌）、车型识别、车身颜色、车辆子品牌识别、闯红灯、逆行、压线、占用应急车道、不按导向行驶、过车记录、加塞事故检测功能、支持交通拥堵预警等多种违章检测功能；同时支持摩托车检测抓拍。</w:t>
            </w:r>
          </w:p>
          <w:p w14:paraId="1C6DCED0">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（3）信号灯增强：具备对信号灯颜色进行增强。</w:t>
            </w:r>
          </w:p>
          <w:p w14:paraId="20441D2E">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（4）抓拍方式：支持连续抓拍功能，其中号牌和车辆特征、车身颜色、识别时间应≤300ms。</w:t>
            </w:r>
          </w:p>
          <w:p w14:paraId="7366C54E">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（5）具备智能绘线功能，可根据场景中车道线自动绘制检测线，具备场景自适应功能，可根据监控场景中车辆速度、背光情况、雾影响效果自动调节图像参数。</w:t>
            </w:r>
          </w:p>
          <w:p w14:paraId="4D029D05">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（6）白天捕获率不低于98%，夜间捕获率不低于90%；闯红灯捕获率不低于95%，闯红灯记录有效率不低于90%。</w:t>
            </w:r>
          </w:p>
          <w:p w14:paraId="3130873A">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（7）号牌识别准确率白天不低于95%，夜间不低于90%。</w:t>
            </w:r>
          </w:p>
          <w:p w14:paraId="542EDD3A">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（8）能清晰记录通过车辆的图片，捕获率不小于95%，逆行记录、不按所需行进方向驶入导向车道、不按规定车道行驶记录捕获率不小于80%，记录有效率不小于80%。</w:t>
            </w:r>
          </w:p>
          <w:p w14:paraId="690E386D">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（9）能准确记录车流量检测精度不小于90%。</w:t>
            </w:r>
          </w:p>
          <w:p w14:paraId="7B809251">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（10）本地存储：具备本地存储、自动加密、自动覆盖、自动上传、断网续传。</w:t>
            </w:r>
          </w:p>
          <w:p w14:paraId="53CBF5CD">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（11）视频接入标准：GB/T28181。</w:t>
            </w:r>
          </w:p>
        </w:tc>
      </w:tr>
      <w:tr w14:paraId="59CF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tcBorders>
              <w:top w:val="single" w:color="auto" w:sz="4" w:space="0"/>
              <w:left w:val="single" w:color="auto" w:sz="4" w:space="0"/>
              <w:bottom w:val="single" w:color="auto" w:sz="4" w:space="0"/>
              <w:right w:val="single" w:color="auto" w:sz="4" w:space="0"/>
              <w:tl2br w:val="nil"/>
              <w:tr2bl w:val="nil"/>
            </w:tcBorders>
            <w:vAlign w:val="center"/>
          </w:tcPr>
          <w:p w14:paraId="1036BB7A">
            <w:pPr>
              <w:adjustRightInd w:val="0"/>
              <w:spacing w:line="400" w:lineRule="exact"/>
              <w:jc w:val="center"/>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212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B15171B">
            <w:pPr>
              <w:adjustRightInd w:val="0"/>
              <w:spacing w:line="400" w:lineRule="exact"/>
              <w:jc w:val="center"/>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智能交通终端管理设备</w:t>
            </w:r>
          </w:p>
        </w:tc>
        <w:tc>
          <w:tcPr>
            <w:tcW w:w="6401" w:type="dxa"/>
            <w:tcBorders>
              <w:top w:val="single" w:color="auto" w:sz="4" w:space="0"/>
              <w:left w:val="single" w:color="auto" w:sz="4" w:space="0"/>
              <w:bottom w:val="single" w:color="auto" w:sz="4" w:space="0"/>
              <w:right w:val="single" w:color="auto" w:sz="4" w:space="0"/>
              <w:tl2br w:val="nil"/>
              <w:tr2bl w:val="nil"/>
            </w:tcBorders>
            <w:vAlign w:val="center"/>
          </w:tcPr>
          <w:p w14:paraId="6AF86776">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（1）嵌入式Linux架构，双核处理器。</w:t>
            </w:r>
          </w:p>
          <w:p w14:paraId="2198E87A">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（2）全机身全铝金属散热，内部无风扇。</w:t>
            </w:r>
          </w:p>
          <w:p w14:paraId="17ABB507">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（3）操作界面： WEB方式。</w:t>
            </w:r>
          </w:p>
          <w:p w14:paraId="4330BAC8">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（4）视频输入：12路高清视频及图片流。</w:t>
            </w:r>
          </w:p>
          <w:p w14:paraId="4A71F781">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（5）硬盘存储：内置4个SATA接口硬盘，存储空间不低于8TB。</w:t>
            </w:r>
          </w:p>
          <w:p w14:paraId="22457D13">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（6）网络接口：配置不低于16个100M以太网接口，2个100/1000M自适应以太网接口。</w:t>
            </w:r>
          </w:p>
          <w:p w14:paraId="7CDA871A">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（7）其他接口：具有报警输入，报警输出，RS232接口，RS485接口，USB2.0/3.0等常用接口。</w:t>
            </w:r>
          </w:p>
          <w:p w14:paraId="0FC3B29D">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（8）视频格式编码：H.264或H.265。</w:t>
            </w:r>
          </w:p>
          <w:p w14:paraId="7E6833E9">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（9）图片格式：JPEG。</w:t>
            </w:r>
          </w:p>
          <w:p w14:paraId="6922354F">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（10）图片合成：违章图片合成，字符叠加等。</w:t>
            </w:r>
          </w:p>
          <w:p w14:paraId="198E518C">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（11）数据上传：支持双平台数据传输。</w:t>
            </w:r>
          </w:p>
          <w:p w14:paraId="629451D7">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（12）数据防删改功能：录像、图片无法直接删除。</w:t>
            </w:r>
          </w:p>
          <w:p w14:paraId="4C9CB4EF">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（13）环境温度：-40℃-70℃。</w:t>
            </w:r>
          </w:p>
          <w:p w14:paraId="0823BF4A">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（14）环境湿度：10%～90%（无冷凝）。</w:t>
            </w:r>
          </w:p>
        </w:tc>
      </w:tr>
      <w:tr w14:paraId="6277F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tcBorders>
              <w:top w:val="single" w:color="auto" w:sz="4" w:space="0"/>
              <w:left w:val="single" w:color="auto" w:sz="4" w:space="0"/>
              <w:bottom w:val="single" w:color="auto" w:sz="4" w:space="0"/>
              <w:right w:val="single" w:color="auto" w:sz="4" w:space="0"/>
              <w:tl2br w:val="nil"/>
              <w:tr2bl w:val="nil"/>
            </w:tcBorders>
            <w:vAlign w:val="center"/>
          </w:tcPr>
          <w:p w14:paraId="4F2B3518">
            <w:pPr>
              <w:adjustRightInd w:val="0"/>
              <w:spacing w:line="400" w:lineRule="exact"/>
              <w:jc w:val="center"/>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w:t>
            </w:r>
          </w:p>
        </w:tc>
        <w:tc>
          <w:tcPr>
            <w:tcW w:w="8530"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EB599D9">
            <w:pPr>
              <w:tabs>
                <w:tab w:val="left" w:pos="5985"/>
              </w:tabs>
              <w:spacing w:line="4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违停抓拍系统</w:t>
            </w:r>
          </w:p>
        </w:tc>
      </w:tr>
      <w:tr w14:paraId="6F10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9" w:hRule="atLeast"/>
        </w:trPr>
        <w:tc>
          <w:tcPr>
            <w:tcW w:w="1098" w:type="dxa"/>
            <w:tcBorders>
              <w:top w:val="single" w:color="auto" w:sz="4" w:space="0"/>
              <w:left w:val="single" w:color="auto" w:sz="4" w:space="0"/>
              <w:bottom w:val="single" w:color="auto" w:sz="4" w:space="0"/>
              <w:right w:val="single" w:color="auto" w:sz="4" w:space="0"/>
              <w:tl2br w:val="nil"/>
              <w:tr2bl w:val="nil"/>
            </w:tcBorders>
            <w:vAlign w:val="center"/>
          </w:tcPr>
          <w:p w14:paraId="544C35D1">
            <w:pPr>
              <w:adjustRightInd w:val="0"/>
              <w:spacing w:line="400" w:lineRule="exact"/>
              <w:jc w:val="center"/>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212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27BD54B">
            <w:pPr>
              <w:adjustRightInd w:val="0"/>
              <w:spacing w:line="400" w:lineRule="exact"/>
              <w:jc w:val="center"/>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枪球一体机（800w+600w）</w:t>
            </w:r>
          </w:p>
        </w:tc>
        <w:tc>
          <w:tcPr>
            <w:tcW w:w="6401" w:type="dxa"/>
            <w:tcBorders>
              <w:top w:val="single" w:color="auto" w:sz="4" w:space="0"/>
              <w:left w:val="single" w:color="auto" w:sz="4" w:space="0"/>
              <w:bottom w:val="single" w:color="auto" w:sz="4" w:space="0"/>
              <w:right w:val="single" w:color="auto" w:sz="4" w:space="0"/>
              <w:tl2br w:val="nil"/>
              <w:tr2bl w:val="nil"/>
            </w:tcBorders>
            <w:vAlign w:val="center"/>
          </w:tcPr>
          <w:p w14:paraId="04C7C84A">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1.功能配置：摄像机内置多个镜头，可输出至少1路全景视频和1路细节视频，其中全景路内置不少于2个F1.0大光圈全彩镜头，细节内置</w:t>
            </w:r>
            <w:r>
              <w:rPr>
                <w:rFonts w:hint="eastAsia" w:asciiTheme="minorEastAsia" w:hAnsiTheme="minorEastAsia" w:eastAsiaTheme="minorEastAsia" w:cstheme="minorEastAsia"/>
                <w:color w:val="auto"/>
                <w:sz w:val="24"/>
                <w:szCs w:val="24"/>
                <w:lang w:eastAsia="zh-CN"/>
              </w:rPr>
              <w:t>不低于</w:t>
            </w:r>
            <w:r>
              <w:rPr>
                <w:rFonts w:hint="eastAsia" w:asciiTheme="minorEastAsia" w:hAnsiTheme="minorEastAsia" w:eastAsiaTheme="minorEastAsia" w:cstheme="minorEastAsia"/>
                <w:color w:val="auto"/>
                <w:sz w:val="24"/>
                <w:szCs w:val="24"/>
              </w:rPr>
              <w:t>1个镜头。</w:t>
            </w:r>
          </w:p>
          <w:p w14:paraId="2A768E91">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2.内置不少于2颗GPU芯片。</w:t>
            </w:r>
          </w:p>
          <w:p w14:paraId="0895CE82">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3.最低照度：≤0.0002 Lux（彩色）。 </w:t>
            </w:r>
          </w:p>
          <w:p w14:paraId="16C5E20C">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4.变倍： ≥40倍（细节）。</w:t>
            </w:r>
          </w:p>
          <w:p w14:paraId="362685E2">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5.主码流帧率分辨率：≥3632 × 1632@30 fps（全景） ，≥3840× 2160@;30 fps（细节）。</w:t>
            </w:r>
          </w:p>
          <w:p w14:paraId="31B3DCB3">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6.全景通道可输出两个镜头无缝拼接的全景图像，拼接偏差像素不大于4个像素，全景画面水平视场角不小于190°，垂直视场角不小于80°。</w:t>
            </w:r>
          </w:p>
          <w:p w14:paraId="69755619">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7.视频压缩标准：H.265，H.264。</w:t>
            </w:r>
          </w:p>
          <w:p w14:paraId="3DF74A2A">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8.补光灯距离：≥250m。</w:t>
            </w:r>
          </w:p>
          <w:p w14:paraId="63B6CBB7">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9.可视距离：≥300m，并可看清车牌。</w:t>
            </w:r>
          </w:p>
          <w:p w14:paraId="273277BD">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10.城市道路违章取证：支持细节路违停、逆行、压线、变道、机占非、掉头，违停有效检测距离300m。</w:t>
            </w:r>
          </w:p>
          <w:p w14:paraId="63539E1B">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11.设备支持违章取证图片单张或多张合成上传，合成图片的数量可设置。</w:t>
            </w:r>
          </w:p>
          <w:p w14:paraId="74816933">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12.设备可将多张抓拍图片合成一张大图，可分别在每张抓拍图片及合成的大图上叠加字符，每张抓拍图片及大图叠加字符的内容可设置。</w:t>
            </w:r>
          </w:p>
          <w:p w14:paraId="6E89B2E2">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13.支持违法停车抓拍功能，且白天和晚上违法停车捕获率、捕获有效率均不小于99%。</w:t>
            </w:r>
          </w:p>
          <w:p w14:paraId="64D3C692">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14.设备进行违法停车检测时，镜头倍率为1倍，白天有效检测距离最大为150米，其他倍率下，白天有效检测距离最大为300米。</w:t>
            </w:r>
          </w:p>
          <w:p w14:paraId="0231BF0B">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15.通信接口：≥1路1000M RJ45网口。</w:t>
            </w:r>
          </w:p>
          <w:p w14:paraId="7A043718">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16.云台水平范围：0~360° ，垂直范围：-20~90°（细节），预置位：≥255个。</w:t>
            </w:r>
          </w:p>
          <w:p w14:paraId="73AE5EE3">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17.报警接口：≥7路报警输入，≥2路报警输出。</w:t>
            </w:r>
          </w:p>
          <w:p w14:paraId="7B42AC68">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18.音频接口：≥1路音频输入，≥1路音频输出。</w:t>
            </w:r>
          </w:p>
          <w:p w14:paraId="59F16EBB">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19.视频接入协议：GB/T 28181。</w:t>
            </w:r>
          </w:p>
          <w:p w14:paraId="1D375A36">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具备声音报警输出功能，可设置不少于11种警戒音、提示音、自定义语音，报警次数1～50次可设；可通过区域入侵侦测、越界侦测、进入区域侦测、离开区域侦测等报警事件，联动声音报警；具备闪光灯报警输出功能，可设置闪光灯闪烁时间（1-300），闪烁频率（高、中、低、常亮），亮度（1-100），当监控画面中有目标触发区域入侵侦测、越界侦测、进入区域侦测、离开区域侦测等报警时，可联动白光灯闪烁进行报警。</w:t>
            </w:r>
          </w:p>
          <w:p w14:paraId="345ECF26">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21.电源：DC：36V。</w:t>
            </w:r>
          </w:p>
          <w:p w14:paraId="1147D517">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22.功耗： 最大功耗：60 W。</w:t>
            </w:r>
          </w:p>
          <w:p w14:paraId="0E3555C5">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23.工作温湿度：-30 ℃~70 ℃，湿度小于95%。</w:t>
            </w:r>
          </w:p>
          <w:p w14:paraId="165AF58A">
            <w:pPr>
              <w:adjustRightInd w:val="0"/>
              <w:spacing w:line="400" w:lineRule="exact"/>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24.防护：≥IP67。</w:t>
            </w:r>
          </w:p>
        </w:tc>
      </w:tr>
    </w:tbl>
    <w:p w14:paraId="14F4F9CE">
      <w:pPr>
        <w:spacing w:line="400" w:lineRule="exact"/>
        <w:ind w:firstLine="480" w:firstLineChars="200"/>
        <w:rPr>
          <w:rFonts w:ascii="宋体" w:hAnsi="宋体" w:cs="宋体"/>
          <w:color w:val="auto"/>
          <w:kern w:val="0"/>
          <w:sz w:val="24"/>
          <w:szCs w:val="24"/>
        </w:rPr>
      </w:pPr>
    </w:p>
    <w:p w14:paraId="57631C5C">
      <w:pPr>
        <w:pStyle w:val="4"/>
        <w:adjustRightInd w:val="0"/>
        <w:snapToGrid w:val="0"/>
        <w:spacing w:before="0" w:after="0" w:line="400" w:lineRule="exact"/>
        <w:ind w:firstLine="482" w:firstLineChars="200"/>
        <w:rPr>
          <w:rFonts w:ascii="宋体" w:hAnsi="宋体" w:eastAsia="宋体" w:cs="宋体"/>
          <w:color w:val="auto"/>
          <w:sz w:val="24"/>
        </w:rPr>
      </w:pPr>
      <w:bookmarkStart w:id="68" w:name="_Toc15830"/>
      <w:r>
        <w:rPr>
          <w:rFonts w:hint="eastAsia" w:ascii="宋体" w:hAnsi="宋体" w:eastAsia="宋体" w:cs="宋体"/>
          <w:color w:val="auto"/>
          <w:sz w:val="24"/>
        </w:rPr>
        <w:t>四、工程质量及施工要求</w:t>
      </w:r>
      <w:bookmarkEnd w:id="68"/>
    </w:p>
    <w:p w14:paraId="1CC0A771">
      <w:pPr>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供应商施工过程中必须按国家相关规范及要求进行施工，达到国家现行有关施工质量验收规范要求，并一次性验收合格。成交供应商须和建设单位等相关施工参与部门一起做好施工全过程中相关工程资料的留存，须有施工现场的施工前后及期间相应节点的对比影像资料（特别是隐蔽工程及暂列金额工程）用于后期结算。因缺少影像资料造成无法办理相关工程内容结算的损失由成交供应商自行承担。</w:t>
      </w:r>
    </w:p>
    <w:p w14:paraId="02B8504A">
      <w:pPr>
        <w:pStyle w:val="4"/>
        <w:adjustRightInd w:val="0"/>
        <w:snapToGrid w:val="0"/>
        <w:spacing w:before="0" w:after="0" w:line="400" w:lineRule="exact"/>
        <w:ind w:firstLine="482" w:firstLineChars="200"/>
        <w:rPr>
          <w:rFonts w:ascii="宋体" w:hAnsi="宋体" w:eastAsia="宋体" w:cs="宋体"/>
          <w:color w:val="auto"/>
          <w:sz w:val="24"/>
        </w:rPr>
      </w:pPr>
      <w:bookmarkStart w:id="69" w:name="_Toc957"/>
      <w:r>
        <w:rPr>
          <w:rFonts w:hint="eastAsia" w:ascii="宋体" w:hAnsi="宋体" w:eastAsia="宋体" w:cs="宋体"/>
          <w:color w:val="auto"/>
          <w:sz w:val="24"/>
        </w:rPr>
        <w:t>五、其他要求</w:t>
      </w:r>
      <w:bookmarkEnd w:id="69"/>
    </w:p>
    <w:p w14:paraId="2EBD5643">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（一）安全要求</w:t>
      </w:r>
    </w:p>
    <w:p w14:paraId="5E5F1B3D">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1.成交供应商应负责施工安全（包含但不仅限于施工现场人身、物品安全等），若发生一切安全事故和经济损失，责任由成交供应商全部承担，采购人不承担任何责任。</w:t>
      </w:r>
    </w:p>
    <w:p w14:paraId="66379207">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2.在施工过程中，成交供应商须做到安全施工、文明施工，并做好相应的施工安全公告及警示标识，施工过程中发生的一切安全事故由成交供应商自行负责处理。成交供应商应当与其施工人员建立劳动关系，承担全部用人用工主体责任，成交供应商应为施工人员购买安全责任保险。</w:t>
      </w:r>
    </w:p>
    <w:p w14:paraId="592F1DBC">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（二）其他要求</w:t>
      </w:r>
    </w:p>
    <w:p w14:paraId="470BAA4A">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项目实施过程中所有与项目有关的文件资料均需在项目实施过程中完善，不能在项目实施完成后补充资料。</w:t>
      </w:r>
    </w:p>
    <w:p w14:paraId="5B96C432">
      <w:pPr>
        <w:pStyle w:val="4"/>
        <w:adjustRightInd w:val="0"/>
        <w:snapToGrid w:val="0"/>
        <w:spacing w:before="0" w:after="0" w:line="400" w:lineRule="exact"/>
        <w:ind w:firstLine="482" w:firstLineChars="200"/>
        <w:rPr>
          <w:rFonts w:ascii="宋体" w:hAnsi="宋体" w:eastAsia="宋体" w:cs="宋体"/>
          <w:color w:val="auto"/>
          <w:sz w:val="24"/>
        </w:rPr>
      </w:pPr>
      <w:bookmarkStart w:id="70" w:name="_Toc30133"/>
      <w:r>
        <w:rPr>
          <w:rFonts w:hint="eastAsia" w:ascii="宋体" w:hAnsi="宋体" w:eastAsia="宋体" w:cs="宋体"/>
          <w:color w:val="auto"/>
          <w:sz w:val="24"/>
        </w:rPr>
        <w:t>六、现场踏勘</w:t>
      </w:r>
      <w:bookmarkEnd w:id="70"/>
    </w:p>
    <w:p w14:paraId="5D6A8AEA">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（一）本次采购不组织集中踏勘现场，供应商可根据自身需要在开标时间截止前自行踏勘现场。踏勘现场所发生的费用及所有风险责任均由供应商自行承担。</w:t>
      </w:r>
    </w:p>
    <w:p w14:paraId="647E07F4">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无论供应商是否踏勘过现场，均被认为在递交投标文件之前已经通过踏勘现场或其他方式，对本项目的风险和义务已经十分了解，并在其投标文件中已充分考虑了现场和环境条件。一旦成交，供应商不得以未踏勘现场、不完全了解项目情况、采购人提供信息不准确、项目情况披露不全面或其他任何理由为借口而提出额外费用或补偿。踏勘现场所发生的所有费用和责任由投标人自行承担，且已包含在本次报价中，无论最终是否中标，供应商均不得再另行要求。</w:t>
      </w:r>
    </w:p>
    <w:p w14:paraId="3F8FE587">
      <w:pPr>
        <w:pStyle w:val="4"/>
        <w:adjustRightInd w:val="0"/>
        <w:snapToGrid w:val="0"/>
        <w:spacing w:before="0" w:after="0" w:line="400" w:lineRule="exact"/>
        <w:ind w:firstLine="482" w:firstLineChars="200"/>
        <w:rPr>
          <w:rFonts w:ascii="宋体" w:hAnsi="宋体" w:eastAsia="宋体" w:cs="宋体"/>
          <w:color w:val="auto"/>
          <w:sz w:val="24"/>
        </w:rPr>
      </w:pPr>
      <w:bookmarkStart w:id="71" w:name="_Toc22644"/>
      <w:r>
        <w:rPr>
          <w:rFonts w:hint="eastAsia" w:ascii="宋体" w:hAnsi="宋体" w:eastAsia="宋体" w:cs="宋体"/>
          <w:color w:val="auto"/>
          <w:sz w:val="24"/>
        </w:rPr>
        <w:t>七、附件</w:t>
      </w:r>
      <w:bookmarkEnd w:id="71"/>
    </w:p>
    <w:p w14:paraId="4936C538">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（一）附件1：</w:t>
      </w:r>
      <w:r>
        <w:rPr>
          <w:rFonts w:hint="eastAsia" w:ascii="宋体" w:hAnsi="宋体" w:cs="宋体"/>
          <w:color w:val="auto"/>
          <w:sz w:val="24"/>
          <w:szCs w:val="24"/>
          <w:lang w:eastAsia="zh-CN"/>
        </w:rPr>
        <w:t>大渡口区2025年校园周边交通设施品质提升项目</w:t>
      </w:r>
      <w:r>
        <w:rPr>
          <w:rFonts w:hint="eastAsia" w:ascii="宋体" w:hAnsi="宋体" w:cs="宋体"/>
          <w:color w:val="auto"/>
          <w:sz w:val="24"/>
          <w:szCs w:val="24"/>
        </w:rPr>
        <w:t>工程量清单。</w:t>
      </w:r>
    </w:p>
    <w:p w14:paraId="41739DEC">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（二）附件2：</w:t>
      </w:r>
      <w:r>
        <w:rPr>
          <w:rFonts w:hint="eastAsia" w:ascii="宋体" w:hAnsi="宋体" w:cs="宋体"/>
          <w:color w:val="auto"/>
          <w:sz w:val="24"/>
          <w:szCs w:val="24"/>
          <w:lang w:eastAsia="zh-CN"/>
        </w:rPr>
        <w:t>大渡口区2025年校园周边交通设施品质提升项目</w:t>
      </w:r>
      <w:r>
        <w:rPr>
          <w:rFonts w:hint="eastAsia" w:ascii="宋体" w:hAnsi="宋体" w:cs="宋体"/>
          <w:color w:val="auto"/>
          <w:sz w:val="24"/>
          <w:szCs w:val="24"/>
        </w:rPr>
        <w:t>图纸。</w:t>
      </w:r>
    </w:p>
    <w:p w14:paraId="4C7207A7">
      <w:pPr>
        <w:pStyle w:val="4"/>
        <w:spacing w:before="0" w:after="0" w:line="360" w:lineRule="auto"/>
        <w:jc w:val="center"/>
        <w:rPr>
          <w:rFonts w:ascii="宋体" w:hAnsi="宋体" w:eastAsia="宋体" w:cs="宋体"/>
          <w:b w:val="0"/>
          <w:color w:val="auto"/>
          <w:sz w:val="36"/>
          <w:szCs w:val="30"/>
        </w:rPr>
      </w:pPr>
      <w:r>
        <w:rPr>
          <w:rFonts w:hint="eastAsia" w:ascii="宋体" w:hAnsi="宋体" w:eastAsia="宋体" w:cs="宋体"/>
          <w:b w:val="0"/>
          <w:color w:val="auto"/>
          <w:sz w:val="36"/>
          <w:szCs w:val="30"/>
        </w:rPr>
        <w:br w:type="page"/>
      </w:r>
      <w:bookmarkStart w:id="72" w:name="_Toc15151"/>
      <w:r>
        <w:rPr>
          <w:rFonts w:hint="eastAsia" w:ascii="宋体" w:hAnsi="宋体" w:eastAsia="宋体" w:cs="宋体"/>
          <w:color w:val="auto"/>
          <w:sz w:val="36"/>
          <w:szCs w:val="30"/>
        </w:rPr>
        <w:t xml:space="preserve">第三篇  </w:t>
      </w:r>
      <w:bookmarkEnd w:id="58"/>
      <w:bookmarkEnd w:id="64"/>
      <w:bookmarkEnd w:id="65"/>
      <w:bookmarkEnd w:id="66"/>
      <w:r>
        <w:rPr>
          <w:rFonts w:hint="eastAsia" w:ascii="宋体" w:hAnsi="宋体" w:eastAsia="宋体" w:cs="宋体"/>
          <w:color w:val="auto"/>
          <w:sz w:val="36"/>
          <w:szCs w:val="30"/>
        </w:rPr>
        <w:t>谈判项目商务需求</w:t>
      </w:r>
      <w:bookmarkEnd w:id="72"/>
    </w:p>
    <w:p w14:paraId="698546F9">
      <w:pPr>
        <w:pStyle w:val="4"/>
        <w:adjustRightInd w:val="0"/>
        <w:snapToGrid w:val="0"/>
        <w:spacing w:before="0" w:after="0" w:line="400" w:lineRule="exact"/>
        <w:ind w:firstLine="482" w:firstLineChars="200"/>
        <w:rPr>
          <w:rFonts w:ascii="宋体" w:hAnsi="宋体" w:eastAsia="宋体" w:cs="宋体"/>
          <w:color w:val="auto"/>
          <w:sz w:val="24"/>
        </w:rPr>
      </w:pPr>
      <w:bookmarkStart w:id="73" w:name="_Toc12935"/>
      <w:bookmarkStart w:id="74" w:name="_Toc65660342"/>
      <w:bookmarkStart w:id="75" w:name="_Toc13555"/>
      <w:bookmarkStart w:id="76" w:name="_Toc4937"/>
      <w:bookmarkStart w:id="77" w:name="_Toc342913389"/>
      <w:r>
        <w:rPr>
          <w:rFonts w:hint="eastAsia" w:ascii="宋体" w:hAnsi="宋体" w:eastAsia="宋体" w:cs="宋体"/>
          <w:color w:val="auto"/>
          <w:sz w:val="24"/>
        </w:rPr>
        <w:t>一、工期、实施地点及验收方式</w:t>
      </w:r>
      <w:bookmarkEnd w:id="73"/>
      <w:bookmarkEnd w:id="74"/>
      <w:bookmarkEnd w:id="75"/>
      <w:bookmarkEnd w:id="76"/>
    </w:p>
    <w:p w14:paraId="26B830E9">
      <w:pPr>
        <w:pStyle w:val="35"/>
        <w:spacing w:line="400" w:lineRule="exact"/>
        <w:ind w:firstLine="360" w:firstLineChars="150"/>
        <w:outlineLvl w:val="2"/>
        <w:rPr>
          <w:rFonts w:ascii="宋体" w:hAnsi="宋体" w:cs="宋体"/>
          <w:color w:val="auto"/>
          <w:sz w:val="24"/>
          <w:szCs w:val="24"/>
        </w:rPr>
      </w:pPr>
      <w:r>
        <w:rPr>
          <w:rFonts w:hint="eastAsia" w:ascii="宋体" w:hAnsi="宋体" w:cs="宋体"/>
          <w:color w:val="auto"/>
          <w:sz w:val="24"/>
          <w:szCs w:val="24"/>
        </w:rPr>
        <w:t>（一）工期</w:t>
      </w:r>
    </w:p>
    <w:p w14:paraId="3BAF532F">
      <w:pPr>
        <w:pStyle w:val="35"/>
        <w:tabs>
          <w:tab w:val="left" w:pos="4905"/>
        </w:tabs>
        <w:spacing w:line="400" w:lineRule="exact"/>
        <w:ind w:firstLine="480" w:firstLineChars="200"/>
        <w:rPr>
          <w:rFonts w:ascii="宋体" w:hAnsi="宋体" w:cs="宋体"/>
          <w:color w:val="auto"/>
          <w:sz w:val="24"/>
          <w:szCs w:val="24"/>
        </w:rPr>
      </w:pPr>
      <w:r>
        <w:rPr>
          <w:rFonts w:hint="eastAsia" w:ascii="宋体" w:hAnsi="宋体" w:cs="宋体"/>
          <w:color w:val="auto"/>
          <w:kern w:val="0"/>
          <w:sz w:val="24"/>
          <w:szCs w:val="24"/>
        </w:rPr>
        <w:t>自合同签订后，施工工期为20个日历日内完工（以采购人通知入场为准，确需调整工期的须经采购人同意）</w:t>
      </w:r>
      <w:r>
        <w:rPr>
          <w:rFonts w:hint="eastAsia" w:ascii="宋体" w:hAnsi="宋体" w:cs="宋体"/>
          <w:color w:val="auto"/>
          <w:sz w:val="24"/>
          <w:szCs w:val="24"/>
        </w:rPr>
        <w:t>。</w:t>
      </w:r>
    </w:p>
    <w:p w14:paraId="19B13931">
      <w:pPr>
        <w:pStyle w:val="35"/>
        <w:spacing w:line="400" w:lineRule="exact"/>
        <w:ind w:firstLine="360" w:firstLineChars="150"/>
        <w:outlineLvl w:val="2"/>
        <w:rPr>
          <w:rFonts w:ascii="宋体" w:hAnsi="宋体" w:cs="宋体"/>
          <w:color w:val="auto"/>
          <w:sz w:val="24"/>
          <w:szCs w:val="24"/>
        </w:rPr>
      </w:pPr>
      <w:r>
        <w:rPr>
          <w:rFonts w:hint="eastAsia" w:ascii="宋体" w:hAnsi="宋体" w:cs="宋体"/>
          <w:color w:val="auto"/>
          <w:sz w:val="24"/>
          <w:szCs w:val="24"/>
        </w:rPr>
        <w:t>（二）实施地点</w:t>
      </w:r>
    </w:p>
    <w:p w14:paraId="1EC37E2C">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 xml:space="preserve">重庆市大渡口区。 </w:t>
      </w:r>
    </w:p>
    <w:p w14:paraId="229B9165">
      <w:pPr>
        <w:pStyle w:val="35"/>
        <w:spacing w:line="400" w:lineRule="exact"/>
        <w:ind w:firstLine="360" w:firstLineChars="150"/>
        <w:outlineLvl w:val="2"/>
        <w:rPr>
          <w:rFonts w:ascii="宋体" w:hAnsi="宋体" w:cs="宋体"/>
          <w:color w:val="auto"/>
          <w:sz w:val="24"/>
          <w:szCs w:val="24"/>
        </w:rPr>
      </w:pPr>
      <w:r>
        <w:rPr>
          <w:rFonts w:hint="eastAsia" w:ascii="宋体" w:hAnsi="宋体" w:cs="宋体"/>
          <w:color w:val="auto"/>
          <w:sz w:val="24"/>
          <w:szCs w:val="24"/>
        </w:rPr>
        <w:t>（三）验收方式</w:t>
      </w:r>
    </w:p>
    <w:p w14:paraId="6E3167D8">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1.验收单位：采购人组织验收。如验收不合格，对采购人造成损失的，成交单位应承担修复、重做、赔偿损失等责任，采购人不再另行付费。</w:t>
      </w:r>
    </w:p>
    <w:p w14:paraId="120A653A">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2.验收标准：满足图纸技术要求， 达到国家及行业现行施工质量验收规范和标准的要求，并一次性验收合格。</w:t>
      </w:r>
    </w:p>
    <w:p w14:paraId="0CB3A9A1">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3.验收解决：采购人对工程质量提出异议要求检验或检测的：结果为合格的，费用由采购人承担。结果为不合格或达不到本条标准的，其费用由承包人承担。</w:t>
      </w:r>
    </w:p>
    <w:p w14:paraId="09B60965">
      <w:pPr>
        <w:pStyle w:val="4"/>
        <w:adjustRightInd w:val="0"/>
        <w:snapToGrid w:val="0"/>
        <w:spacing w:before="0" w:after="0" w:line="400" w:lineRule="exact"/>
        <w:ind w:firstLine="482" w:firstLineChars="200"/>
        <w:rPr>
          <w:rFonts w:ascii="宋体" w:hAnsi="宋体" w:eastAsia="宋体" w:cs="宋体"/>
          <w:color w:val="auto"/>
          <w:sz w:val="24"/>
        </w:rPr>
      </w:pPr>
      <w:bookmarkStart w:id="78" w:name="_Toc26247"/>
      <w:bookmarkStart w:id="79" w:name="_Toc12184"/>
      <w:bookmarkStart w:id="80" w:name="_Toc122"/>
      <w:bookmarkStart w:id="81" w:name="_Toc65660344"/>
      <w:r>
        <w:rPr>
          <w:rFonts w:hint="eastAsia" w:ascii="宋体" w:hAnsi="宋体" w:eastAsia="宋体" w:cs="宋体"/>
          <w:color w:val="auto"/>
          <w:sz w:val="24"/>
        </w:rPr>
        <w:t>二、报价要求</w:t>
      </w:r>
      <w:bookmarkEnd w:id="78"/>
      <w:bookmarkEnd w:id="79"/>
      <w:bookmarkEnd w:id="80"/>
      <w:bookmarkEnd w:id="81"/>
    </w:p>
    <w:p w14:paraId="29E126C2">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（一）报价要求</w:t>
      </w:r>
    </w:p>
    <w:p w14:paraId="5FAA16B5">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1.本次谈判报价须为人民币报价，采用固定单价合同。</w:t>
      </w:r>
    </w:p>
    <w:p w14:paraId="1E266784">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2.供应商须严格按照随谈判文件一并发出的分部分项工程项目清单计价表逐项填报清单单价及总价，清单单价及总价不得超出采购人给出的限价，同时清单总价应与报价函中的总价一致，不一致的按清单总价修正。</w:t>
      </w:r>
    </w:p>
    <w:p w14:paraId="782D8F20">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3.谈判过程中二次报价时，供应商只需对总价进行二次报价，分部分项工程项目清单计价表中的单项报价在签订合同时按照（二次报价/初始报价）的价格比例进行等比例调整即可，二次报价中供应商无需再逐项进行单项报价。</w:t>
      </w:r>
    </w:p>
    <w:p w14:paraId="38B26615">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4.供应商的报价中对于采购人给出的安全文明施工费以及暂列金额都不能进行改动，须按照采购人给出的金额报价，否则视为无效响应。</w:t>
      </w:r>
    </w:p>
    <w:p w14:paraId="638B736E">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5.谈判报价范围：各供应商对采购人提供的工程量清单和现场情况进行自主报价。</w:t>
      </w:r>
    </w:p>
    <w:p w14:paraId="378E7E92">
      <w:pPr>
        <w:spacing w:line="40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（二）谈判报价</w:t>
      </w:r>
    </w:p>
    <w:p w14:paraId="7ABBE691">
      <w:pPr>
        <w:spacing w:line="400" w:lineRule="exact"/>
        <w:ind w:firstLine="482"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本项目设最高限价为人民币：</w:t>
      </w:r>
      <w:r>
        <w:rPr>
          <w:rFonts w:hint="eastAsia" w:asciiTheme="minorEastAsia" w:hAnsiTheme="minorEastAsia" w:eastAsiaTheme="minorEastAsia" w:cstheme="minorEastAsia"/>
          <w:b/>
          <w:bCs/>
          <w:color w:val="auto"/>
          <w:sz w:val="24"/>
          <w:szCs w:val="24"/>
          <w:u w:val="single"/>
        </w:rPr>
        <w:t xml:space="preserve"> </w:t>
      </w:r>
      <w:r>
        <w:rPr>
          <w:rFonts w:hint="eastAsia" w:asciiTheme="minorEastAsia" w:hAnsiTheme="minorEastAsia" w:eastAsiaTheme="minorEastAsia" w:cstheme="minorEastAsia"/>
          <w:b/>
          <w:bCs/>
          <w:color w:val="auto"/>
          <w:sz w:val="24"/>
          <w:szCs w:val="24"/>
          <w:u w:val="single"/>
          <w:lang w:eastAsia="zh-CN"/>
        </w:rPr>
        <w:t>柒</w:t>
      </w:r>
      <w:r>
        <w:rPr>
          <w:rFonts w:hint="eastAsia" w:asciiTheme="minorEastAsia" w:hAnsiTheme="minorEastAsia" w:eastAsiaTheme="minorEastAsia" w:cstheme="minorEastAsia"/>
          <w:b/>
          <w:bCs/>
          <w:color w:val="auto"/>
          <w:sz w:val="24"/>
          <w:szCs w:val="24"/>
          <w:u w:val="single"/>
        </w:rPr>
        <w:t>拾</w:t>
      </w:r>
      <w:r>
        <w:rPr>
          <w:rFonts w:hint="eastAsia" w:asciiTheme="minorEastAsia" w:hAnsiTheme="minorEastAsia" w:eastAsiaTheme="minorEastAsia" w:cstheme="minorEastAsia"/>
          <w:b/>
          <w:bCs/>
          <w:color w:val="auto"/>
          <w:sz w:val="24"/>
          <w:szCs w:val="24"/>
          <w:u w:val="single"/>
          <w:lang w:eastAsia="zh-CN"/>
        </w:rPr>
        <w:t>伍</w:t>
      </w:r>
      <w:r>
        <w:rPr>
          <w:rFonts w:hint="eastAsia" w:asciiTheme="minorEastAsia" w:hAnsiTheme="minorEastAsia" w:eastAsiaTheme="minorEastAsia" w:cstheme="minorEastAsia"/>
          <w:b/>
          <w:bCs/>
          <w:color w:val="auto"/>
          <w:sz w:val="24"/>
          <w:szCs w:val="24"/>
          <w:u w:val="single"/>
        </w:rPr>
        <w:t>万</w:t>
      </w:r>
      <w:r>
        <w:rPr>
          <w:rFonts w:hint="eastAsia" w:asciiTheme="minorEastAsia" w:hAnsiTheme="minorEastAsia" w:eastAsiaTheme="minorEastAsia" w:cstheme="minorEastAsia"/>
          <w:b/>
          <w:bCs/>
          <w:color w:val="auto"/>
          <w:sz w:val="24"/>
          <w:szCs w:val="24"/>
          <w:u w:val="single"/>
          <w:lang w:eastAsia="zh-CN"/>
        </w:rPr>
        <w:t>柒</w:t>
      </w:r>
      <w:r>
        <w:rPr>
          <w:rFonts w:hint="eastAsia" w:asciiTheme="minorEastAsia" w:hAnsiTheme="minorEastAsia" w:eastAsiaTheme="minorEastAsia" w:cstheme="minorEastAsia"/>
          <w:b/>
          <w:bCs/>
          <w:color w:val="auto"/>
          <w:sz w:val="24"/>
          <w:szCs w:val="24"/>
          <w:u w:val="single"/>
        </w:rPr>
        <w:t>仟</w:t>
      </w:r>
      <w:r>
        <w:rPr>
          <w:rFonts w:hint="eastAsia" w:asciiTheme="minorEastAsia" w:hAnsiTheme="minorEastAsia" w:eastAsiaTheme="minorEastAsia" w:cstheme="minorEastAsia"/>
          <w:b/>
          <w:bCs/>
          <w:color w:val="auto"/>
          <w:sz w:val="24"/>
          <w:szCs w:val="24"/>
          <w:u w:val="single"/>
          <w:lang w:eastAsia="zh-CN"/>
        </w:rPr>
        <w:t>柒</w:t>
      </w:r>
      <w:r>
        <w:rPr>
          <w:rFonts w:hint="eastAsia" w:asciiTheme="minorEastAsia" w:hAnsiTheme="minorEastAsia" w:eastAsiaTheme="minorEastAsia" w:cstheme="minorEastAsia"/>
          <w:b/>
          <w:bCs/>
          <w:color w:val="auto"/>
          <w:sz w:val="24"/>
          <w:szCs w:val="24"/>
          <w:u w:val="single"/>
        </w:rPr>
        <w:t>佰</w:t>
      </w:r>
      <w:r>
        <w:rPr>
          <w:rFonts w:hint="eastAsia" w:asciiTheme="minorEastAsia" w:hAnsiTheme="minorEastAsia" w:eastAsiaTheme="minorEastAsia" w:cstheme="minorEastAsia"/>
          <w:b/>
          <w:bCs/>
          <w:color w:val="auto"/>
          <w:sz w:val="24"/>
          <w:szCs w:val="24"/>
          <w:u w:val="single"/>
          <w:lang w:eastAsia="zh-CN"/>
        </w:rPr>
        <w:t>贰</w:t>
      </w:r>
      <w:r>
        <w:rPr>
          <w:rFonts w:hint="eastAsia" w:asciiTheme="minorEastAsia" w:hAnsiTheme="minorEastAsia" w:eastAsiaTheme="minorEastAsia" w:cstheme="minorEastAsia"/>
          <w:b/>
          <w:bCs/>
          <w:color w:val="auto"/>
          <w:sz w:val="24"/>
          <w:szCs w:val="24"/>
          <w:u w:val="single"/>
        </w:rPr>
        <w:t>拾</w:t>
      </w:r>
      <w:r>
        <w:rPr>
          <w:rFonts w:hint="eastAsia" w:asciiTheme="minorEastAsia" w:hAnsiTheme="minorEastAsia" w:eastAsiaTheme="minorEastAsia" w:cstheme="minorEastAsia"/>
          <w:b/>
          <w:bCs/>
          <w:color w:val="auto"/>
          <w:sz w:val="24"/>
          <w:szCs w:val="24"/>
          <w:u w:val="single"/>
          <w:lang w:eastAsia="zh-CN"/>
        </w:rPr>
        <w:t>伍</w:t>
      </w:r>
      <w:r>
        <w:rPr>
          <w:rFonts w:hint="eastAsia" w:asciiTheme="minorEastAsia" w:hAnsiTheme="minorEastAsia" w:eastAsiaTheme="minorEastAsia" w:cstheme="minorEastAsia"/>
          <w:b/>
          <w:bCs/>
          <w:color w:val="auto"/>
          <w:sz w:val="24"/>
          <w:szCs w:val="24"/>
          <w:u w:val="single"/>
        </w:rPr>
        <w:t>元</w:t>
      </w:r>
      <w:r>
        <w:rPr>
          <w:rFonts w:hint="eastAsia" w:asciiTheme="minorEastAsia" w:hAnsiTheme="minorEastAsia" w:eastAsiaTheme="minorEastAsia" w:cstheme="minorEastAsia"/>
          <w:b/>
          <w:bCs/>
          <w:color w:val="auto"/>
          <w:sz w:val="24"/>
          <w:szCs w:val="24"/>
          <w:u w:val="single"/>
          <w:lang w:eastAsia="zh-CN"/>
        </w:rPr>
        <w:t>贰</w:t>
      </w:r>
      <w:r>
        <w:rPr>
          <w:rFonts w:hint="eastAsia" w:asciiTheme="minorEastAsia" w:hAnsiTheme="minorEastAsia" w:eastAsiaTheme="minorEastAsia" w:cstheme="minorEastAsia"/>
          <w:b/>
          <w:bCs/>
          <w:color w:val="auto"/>
          <w:sz w:val="24"/>
          <w:szCs w:val="24"/>
          <w:u w:val="single"/>
        </w:rPr>
        <w:t>角</w:t>
      </w:r>
      <w:r>
        <w:rPr>
          <w:rFonts w:hint="eastAsia" w:asciiTheme="minorEastAsia" w:hAnsiTheme="minorEastAsia" w:eastAsiaTheme="minorEastAsia" w:cstheme="minorEastAsia"/>
          <w:b/>
          <w:bCs/>
          <w:color w:val="auto"/>
          <w:sz w:val="24"/>
          <w:szCs w:val="24"/>
          <w:u w:val="single"/>
          <w:lang w:eastAsia="zh-CN"/>
        </w:rPr>
        <w:t>壹</w:t>
      </w:r>
      <w:r>
        <w:rPr>
          <w:rFonts w:hint="eastAsia" w:asciiTheme="minorEastAsia" w:hAnsiTheme="minorEastAsia" w:eastAsiaTheme="minorEastAsia" w:cstheme="minorEastAsia"/>
          <w:b/>
          <w:bCs/>
          <w:color w:val="auto"/>
          <w:sz w:val="24"/>
          <w:szCs w:val="24"/>
          <w:u w:val="single"/>
        </w:rPr>
        <w:t>分（￥</w:t>
      </w:r>
      <w:r>
        <w:rPr>
          <w:rFonts w:hint="eastAsia" w:asciiTheme="minorEastAsia" w:hAnsiTheme="minorEastAsia" w:eastAsiaTheme="minorEastAsia" w:cstheme="minorEastAsia"/>
          <w:b/>
          <w:bCs/>
          <w:color w:val="auto"/>
          <w:sz w:val="24"/>
          <w:szCs w:val="24"/>
          <w:u w:val="single"/>
          <w:lang w:val="en-US" w:eastAsia="zh-CN"/>
        </w:rPr>
        <w:t>757725.21</w:t>
      </w:r>
      <w:r>
        <w:rPr>
          <w:rFonts w:hint="eastAsia" w:asciiTheme="minorEastAsia" w:hAnsiTheme="minorEastAsia" w:eastAsiaTheme="minorEastAsia" w:cstheme="minorEastAsia"/>
          <w:b/>
          <w:bCs/>
          <w:color w:val="auto"/>
          <w:sz w:val="24"/>
          <w:szCs w:val="24"/>
          <w:u w:val="single"/>
        </w:rPr>
        <w:t>元）</w:t>
      </w:r>
      <w:r>
        <w:rPr>
          <w:rFonts w:hint="eastAsia" w:asciiTheme="minorEastAsia" w:hAnsiTheme="minorEastAsia" w:eastAsiaTheme="minorEastAsia" w:cstheme="minorEastAsia"/>
          <w:b/>
          <w:bCs/>
          <w:color w:val="auto"/>
          <w:sz w:val="24"/>
          <w:szCs w:val="24"/>
        </w:rPr>
        <w:t>，其中安全文明施工费</w:t>
      </w:r>
      <w:r>
        <w:rPr>
          <w:rFonts w:hint="eastAsia" w:asciiTheme="minorEastAsia" w:hAnsiTheme="minorEastAsia" w:eastAsiaTheme="minorEastAsia" w:cstheme="minorEastAsia"/>
          <w:b/>
          <w:bCs/>
          <w:color w:val="auto"/>
          <w:sz w:val="24"/>
          <w:szCs w:val="24"/>
          <w:u w:val="single"/>
        </w:rPr>
        <w:t>1</w:t>
      </w:r>
      <w:r>
        <w:rPr>
          <w:rFonts w:hint="eastAsia" w:asciiTheme="minorEastAsia" w:hAnsiTheme="minorEastAsia" w:eastAsiaTheme="minorEastAsia" w:cstheme="minorEastAsia"/>
          <w:b/>
          <w:bCs/>
          <w:color w:val="auto"/>
          <w:sz w:val="24"/>
          <w:szCs w:val="24"/>
          <w:u w:val="single"/>
          <w:lang w:val="en-US" w:eastAsia="zh-CN"/>
        </w:rPr>
        <w:t>6725.02</w:t>
      </w:r>
      <w:r>
        <w:rPr>
          <w:rFonts w:hint="eastAsia" w:asciiTheme="minorEastAsia" w:hAnsiTheme="minorEastAsia" w:eastAsiaTheme="minorEastAsia" w:cstheme="minorEastAsia"/>
          <w:b/>
          <w:bCs/>
          <w:color w:val="auto"/>
          <w:sz w:val="24"/>
          <w:szCs w:val="24"/>
          <w:u w:val="single"/>
        </w:rPr>
        <w:t>元</w:t>
      </w:r>
      <w:r>
        <w:rPr>
          <w:rFonts w:hint="eastAsia" w:asciiTheme="minorEastAsia" w:hAnsiTheme="minorEastAsia" w:eastAsiaTheme="minorEastAsia" w:cstheme="minorEastAsia"/>
          <w:b/>
          <w:bCs/>
          <w:color w:val="auto"/>
          <w:sz w:val="24"/>
          <w:szCs w:val="24"/>
        </w:rPr>
        <w:t>。施工期间需要其他单位配合及办证等所需的相关费用，须综合考虑在谈判报价中。</w:t>
      </w:r>
      <w:r>
        <w:rPr>
          <w:rFonts w:hint="eastAsia" w:asciiTheme="minorEastAsia" w:hAnsiTheme="minorEastAsia" w:eastAsiaTheme="minorEastAsia" w:cstheme="minorEastAsia"/>
          <w:color w:val="auto"/>
          <w:sz w:val="24"/>
          <w:szCs w:val="24"/>
        </w:rPr>
        <w:t>供应商的总报价、措施项目费总报价（含安全文明施工费）和每项清单的投标单价均不得超过采购人发布的相应最高限价，否则按无效响应处理。</w:t>
      </w:r>
    </w:p>
    <w:p w14:paraId="4B5C828C">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各供应商以竞争性谈判文件、合同条件、工程量清单、本次采购范围的施工设计图纸、地勘报告、国家技术和经济规范及标准《建设工程工程量清单计价规范》（GB50500-2013）、《重庆市建设工程工程量清单计价规则》（CQJJGZ-2013）、《重庆市建设工程工程量计算规则》（CQJLGZ-2013）、《重庆市市政工程计价定额》（CQSZDE-2018）、《重庆市安装工程计价定额》（CQAZDE-2018）、《重庆市房屋建筑与装饰工程计价定额》（CQJZZSDE-2018）、《重庆市建设工程费用定额》（CQFYDE-2018）、《混凝土及砂浆配合比表、施工机械台班定额》（CQPSDE-2018）、《重庆市房屋修缮工程计价定额》（CQJZDE—2018）、《关于印发关于适用增值税新税率调整建设工程计价依据的通知》（渝建〔2019〕143号）及相关配套文件的规定，结合自身实力、市场行情自主合理报价。谈判报价应包括完成采购范围内工程项目的人工费、材料费、机械费、企业管理费、利润、风险费用、措施费、规费、安全文明施工费、税金、政策性文件规定的所有费用。</w:t>
      </w:r>
    </w:p>
    <w:p w14:paraId="53229142">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b/>
          <w:color w:val="auto"/>
          <w:sz w:val="24"/>
          <w:szCs w:val="24"/>
        </w:rPr>
        <w:t>本工程采用固定综合单价</w:t>
      </w:r>
      <w:r>
        <w:rPr>
          <w:rFonts w:hint="eastAsia" w:asciiTheme="minorEastAsia" w:hAnsiTheme="minorEastAsia" w:eastAsiaTheme="minorEastAsia" w:cstheme="minorEastAsia"/>
          <w:color w:val="auto"/>
          <w:sz w:val="24"/>
          <w:szCs w:val="24"/>
        </w:rPr>
        <w:t>。本工程各分部分项工程量清单已包括《建设工程工程量清单计价规范》（GB50500-2013）、《重庆市建设工程工程量清单计价规则》（CQJJGZ-2013）中相应项目编码和项目名称及施工图纸、相关规范、标准、政策性文件、规定、限制和禁止使用通告等所有工程内容及完成此工作内容而必须的各种主要、辅助工作；其综合单价应包括完成该子项所需的人工费、材料费、机械费、管理费、利润、风险费用等除措施费、安全文明施工费、规费、税金外的所有费用。</w:t>
      </w:r>
    </w:p>
    <w:p w14:paraId="0AC55AF1">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b/>
          <w:color w:val="auto"/>
          <w:sz w:val="24"/>
          <w:szCs w:val="24"/>
        </w:rPr>
        <w:t>措施项目费清单</w:t>
      </w:r>
      <w:r>
        <w:rPr>
          <w:rFonts w:hint="eastAsia" w:asciiTheme="minorEastAsia" w:hAnsiTheme="minorEastAsia" w:eastAsiaTheme="minorEastAsia" w:cstheme="minorEastAsia"/>
          <w:color w:val="auto"/>
          <w:sz w:val="24"/>
          <w:szCs w:val="24"/>
        </w:rPr>
        <w:t>包括施工组织措施项目清单和施工技术措施项目清单两部分。</w:t>
      </w:r>
    </w:p>
    <w:p w14:paraId="51E4122C">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施工组织措施项目清单：采购人给出的施工组织措施项目清单仅供供应商参考，供应商在谈判报价时可参照采购人给出的施工组织措施项目清单并结合本工程的实际情况和国家及重庆市相关管理规定自行增减项目，并进行报价。如果漏项或不报价，视为已包含在其他清单项目综合单价内。成交后施工组织措施项目费用（除安全文明施工费外）一概不作调整。</w:t>
      </w:r>
    </w:p>
    <w:p w14:paraId="50EC890E">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 施工技术措施项目清单：采购人给出的施工技术措施项目清单仅供供应商参考，供应商在谈判报价时可参照采购人给出的施工技术措施项目清单并结合本工程的实际情况和国家及重庆市相关管理规定自行增减项目，并进行报价。如果漏项或不报价，视为已包含在其他清单项目综合单价内。</w:t>
      </w:r>
    </w:p>
    <w:p w14:paraId="47B349D0">
      <w:pPr>
        <w:spacing w:line="400" w:lineRule="exact"/>
        <w:ind w:firstLine="482" w:firstLineChars="200"/>
        <w:jc w:val="left"/>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4.工程量清单中的项、量、综合单价：</w:t>
      </w:r>
    </w:p>
    <w:p w14:paraId="5A071536">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如果采购人提供的工程量清单中的工程量与采购的施工设计图中工程量不一致，供应商应按竞争性谈判文件质疑截止时间前通知采购人核查，除采购人对工程量清单主动补遗或对供应商质疑作修改外，应以工程量清单中列出的工程量为准。</w:t>
      </w:r>
    </w:p>
    <w:p w14:paraId="6F764FD2">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程量清单中给出的工程量是估算量或暂定量，是为谈判报价确定的共同的基础，不能作为最终结算的依据。实际工程量应是按《重庆市建设工程工程量计算规则》（CQJLGZ-2013）约定的计量规则计算的实际合格工程量。</w:t>
      </w:r>
    </w:p>
    <w:p w14:paraId="268C8D12">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供应商在编制谈判报价时不得擅自变改采购人提供的分部分项工程量清单中的序号、项目编码、项目名称、项目特征、工程量及计量单位，否则视为对竞争性谈判文件不作实质性响应，其响应文件按无效响应处理。工程量清单中“项目特征”描述不作为谈判报价的唯一依据，供应商应根据分部分项工程量清单计价表中“项目特征”的描述结合竞争性谈判文件中的供应商须知、通用合同条款、专用合同条款、技术标准和要求、施工设计图纸和对现场的勘察情况等一起阅读和理解并确定报价。</w:t>
      </w:r>
    </w:p>
    <w:p w14:paraId="61C22B9F">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竞争性谈判文件及相关补遗文件规定了材料暂估单价、暂定综合单价、专业工程暂估价或暂列金额的，供应商必须按规定的暂定价格进行报价，否则视为对竞争性谈判文件不作实质性响应，其响应文件按无效响应处理。</w:t>
      </w:r>
    </w:p>
    <w:p w14:paraId="7E92F1F1">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供应商只有严格按采购人提供的《工程量清单》和本竞争性谈判文件中提供的已标价工程量清单表格格式内所有项目进行报价，不得出现漏项或增项，否则视为对竞争性谈判文件不作实质性响应，其响应文件按无效响应处理。</w:t>
      </w:r>
    </w:p>
    <w:p w14:paraId="76DDDCF6">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价空白或报价为零，则视为该子项的价款已包括在工程量清单其他子目的单价和合价中，成交后必须完成该子项工作内容，采购人不对该子项进行结算与支付；施工过程中，因采购人原因需要对报价空白或报价为零的项目减少实施工程量或不予实施，采购人将按谈判报价时计价原则计算出该项目的综合单价以及相应的规费、措施费和税金，并据此从结算价中扣除。</w:t>
      </w:r>
    </w:p>
    <w:p w14:paraId="07CB05D5">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5.安全文明施工费</w:t>
      </w:r>
    </w:p>
    <w:p w14:paraId="268D06EA">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1）根据《关于印发〈重庆市建设工程安全文明施工费计取及使用管理规定〉的通知》（渝建发〔2014〕25号）、《关于印发关于适用增值税新税率调整建设工程计价依据的通知》（渝建〔2019〕143号）规定，安全文明施工费由安全施工费、文明施工费、环境保护费及临时设施费组成。 </w:t>
      </w:r>
    </w:p>
    <w:p w14:paraId="77B4D097">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本工程安全文明施工费由采购人根据《建设工程工程量清单计价规范》（GB50500-2013）、《重庆市建设工程工程量清单计价规则》（CQJJGZ-2013）、《关于印发〈重庆市建设工程安全文明施工费计取及使用管理规定〉的通知》（渝建发〔2014〕25号）、《关于调整工程费用计算程序及工程计价表格的通知》（渝建价发〔2014〕6号）、《关于印发关于适用增值税新税率调整建设工程计价依据的通知》（渝建〔2019〕143号）的相关规定和费用标准单列计算，安全文明施工费为暂定金额。《报标函》及工程量清单报价中的安全文明施工费</w:t>
      </w:r>
      <w:r>
        <w:rPr>
          <w:rFonts w:hint="eastAsia" w:asciiTheme="minorEastAsia" w:hAnsiTheme="minorEastAsia" w:eastAsiaTheme="minorEastAsia" w:cstheme="minorEastAsia"/>
          <w:bCs/>
          <w:color w:val="auto"/>
          <w:sz w:val="24"/>
          <w:szCs w:val="24"/>
        </w:rPr>
        <w:t>必须按照采购人给出的暂定金额填报，否则视为对竞争性谈判文件不作实质性响应，其响应文件按无效响应处理。</w:t>
      </w:r>
    </w:p>
    <w:p w14:paraId="2C18FA38">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6.材料采购及报价</w:t>
      </w:r>
    </w:p>
    <w:p w14:paraId="1C96A8B2">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（1）本工程所需材料、设备由成交供应商自行采购，但所采购的材料必须符合国家规范标准及设计文件、竞争性谈判文件要求，并提供相应合格证明资料、质保书等。</w:t>
      </w:r>
    </w:p>
    <w:p w14:paraId="628DC589">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本工程所需的材料（设备）成交供应商应在采购前七日内将所采购材料设备的厂家、技术参数、品牌、质量等级等指标以书面形式通知采购人，采购人收到成交供应商的书面报告后七日内予以确认，经采购人认质、封样后成交供应商方可采购进场。</w:t>
      </w:r>
    </w:p>
    <w:p w14:paraId="5A8878C7">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本工程所需的材料、设备由各供应商参照重庆市建设工程造价总站主办的《重庆工程造价信息》距本项目开标时间最近一期公布的信息价并结合市场行情以及供应商的自身实力自主报价，并承担材料价格涨跌风险。成交后，材料、设备价格均不作调整。</w:t>
      </w:r>
    </w:p>
    <w:p w14:paraId="6A937D69">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（4）材料、设备运输距离由供应商根据自身情况及踏勘现场情况自行确定。</w:t>
      </w:r>
    </w:p>
    <w:p w14:paraId="57A83F74">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（5）发承包双方按照《重庆市城乡建设委员会关于进一步加强建筑安装材料价格风险管控的指导意见》（渝建〔2018〕61号）执行建筑安装材料价格风险管控。</w:t>
      </w:r>
    </w:p>
    <w:p w14:paraId="02B22FC9">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7.人工费</w:t>
      </w:r>
    </w:p>
    <w:p w14:paraId="0936968A">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本工程人工单价由各供应商参照重庆市建设工程造价总站主办的《重庆工程造价信息》距本项目开标时间最近一期公布的市场人工信息价结合市场行情自主测算计入各分部分项综合单价中，成交后不再调整。 </w:t>
      </w:r>
    </w:p>
    <w:p w14:paraId="3DF31848">
      <w:pPr>
        <w:tabs>
          <w:tab w:val="left" w:pos="1287"/>
        </w:tabs>
        <w:snapToGrid w:val="0"/>
        <w:spacing w:line="40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8.其他说明</w:t>
      </w:r>
    </w:p>
    <w:p w14:paraId="52B07135">
      <w:pPr>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（1）按政策和合同约定的应由成交供应商交纳的各种保险费由供应商自行投保，保险费由成交供应商承担并支付，并根据企业自身和本工程情况，测算包含在相应的报价中。</w:t>
      </w:r>
    </w:p>
    <w:p w14:paraId="15263306">
      <w:pPr>
        <w:spacing w:line="400" w:lineRule="exact"/>
        <w:ind w:firstLine="480" w:firstLineChars="200"/>
        <w:jc w:val="left"/>
        <w:rPr>
          <w:rFonts w:ascii="方正仿宋_GBK" w:hAnsi="宋体" w:eastAsia="方正仿宋_GBK"/>
          <w:color w:val="auto"/>
          <w:sz w:val="24"/>
          <w:szCs w:val="24"/>
        </w:rPr>
      </w:pPr>
      <w:r>
        <w:rPr>
          <w:rFonts w:hint="eastAsia" w:asciiTheme="minorEastAsia" w:hAnsiTheme="minorEastAsia" w:eastAsiaTheme="minorEastAsia" w:cstheme="minorEastAsia"/>
          <w:color w:val="auto"/>
          <w:sz w:val="24"/>
          <w:szCs w:val="24"/>
        </w:rPr>
        <w:t>（2）供应商应先到工地踏勘以充分了解工地位置、地质情况、进出场道路、拆迁干扰、储存空间、装卸限制、行车干扰及任何其它足以影响承包价格的情况，任何因忽视或误解工地情况而导致的索赔或工期延长申请将不获批准。</w:t>
      </w:r>
    </w:p>
    <w:p w14:paraId="3C6E891A">
      <w:pPr>
        <w:pStyle w:val="4"/>
        <w:adjustRightInd w:val="0"/>
        <w:snapToGrid w:val="0"/>
        <w:spacing w:before="0" w:after="0" w:line="400" w:lineRule="exact"/>
        <w:ind w:firstLine="482" w:firstLineChars="200"/>
        <w:rPr>
          <w:rFonts w:asciiTheme="minorEastAsia" w:hAnsiTheme="minorEastAsia" w:eastAsiaTheme="minorEastAsia" w:cstheme="minorEastAsia"/>
          <w:color w:val="auto"/>
          <w:sz w:val="24"/>
        </w:rPr>
      </w:pPr>
      <w:bookmarkStart w:id="82" w:name="_Toc1244"/>
      <w:r>
        <w:rPr>
          <w:rFonts w:hint="eastAsia" w:asciiTheme="minorEastAsia" w:hAnsiTheme="minorEastAsia" w:eastAsiaTheme="minorEastAsia" w:cstheme="minorEastAsia"/>
          <w:color w:val="auto"/>
          <w:sz w:val="24"/>
        </w:rPr>
        <w:t>三、结算原则</w:t>
      </w:r>
      <w:bookmarkEnd w:id="82"/>
    </w:p>
    <w:p w14:paraId="1746DAE6">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w:t>
      </w:r>
      <w:r>
        <w:rPr>
          <w:rFonts w:hint="eastAsia" w:asciiTheme="minorEastAsia" w:hAnsiTheme="minorEastAsia" w:eastAsiaTheme="minorEastAsia" w:cstheme="minorEastAsia"/>
          <w:b/>
          <w:color w:val="auto"/>
          <w:sz w:val="24"/>
          <w:szCs w:val="24"/>
        </w:rPr>
        <w:t>本合同价款采用固定综合单价合同（特别说明：本工程结算时，凡涉及营改增的，均按《关于印发关于适用增值税新税率调整建设工程计价依据的通知》（渝建﹝2019﹞143号）调整）。</w:t>
      </w:r>
    </w:p>
    <w:p w14:paraId="343C524D">
      <w:pPr>
        <w:adjustRightInd w:val="0"/>
        <w:snapToGrid w:val="0"/>
        <w:spacing w:line="40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（二）结算价按以下原则办理：</w:t>
      </w:r>
    </w:p>
    <w:p w14:paraId="338EE53D">
      <w:pPr>
        <w:adjustRightInd w:val="0"/>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1.结算总价＝</w:t>
      </w:r>
      <w:r>
        <w:rPr>
          <w:rFonts w:hint="eastAsia" w:asciiTheme="minorEastAsia" w:hAnsiTheme="minorEastAsia" w:eastAsiaTheme="minorEastAsia" w:cstheme="minorEastAsia"/>
          <w:color w:val="auto"/>
          <w:sz w:val="24"/>
          <w:szCs w:val="24"/>
        </w:rPr>
        <w:t>分部分项工程量清单综合单价×子项工程量+措施项目费+其他项目费+安全文明施工费+规费+税金+设计变更及新增部分金额+合同约定的其它费用（合同如果没有约定，则取消此项目）。结算工程量以现场实际收方单工程量为准。</w:t>
      </w:r>
    </w:p>
    <w:p w14:paraId="0C2BDFB1">
      <w:pPr>
        <w:adjustRightInd w:val="0"/>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成交单价由报价文件（第一轮报价）中的清单价格按照实际报价下浮比例﹝第二轮报价的总价减去安全文明施工费和暂列金额（如果有）与第一轮报价总价减去安全文明施工费和暂列金额（如果有）相比的下浮比例﹞同比例下浮进行计算。</w:t>
      </w:r>
    </w:p>
    <w:p w14:paraId="42293CAC">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（三）各部分的结算原则如下：</w:t>
      </w:r>
    </w:p>
    <w:p w14:paraId="6A381BCE">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1.分部分项工程量清单结算价：</w:t>
      </w:r>
    </w:p>
    <w:p w14:paraId="487E8A11">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分部分项工程量清单项目按成交单价实行综合单价包干。工程结算时，以承包人在本项目响应文件中分部分项工程量清单综合单价为结算单价依据，乘以按施工图、设计变更及《重庆市建设工程工程量计算规则》（CQJLGZ-2013）计量规则计算并经发包人审核的工程量，作为该子项的结算合价。各分部分项工程量清单子项合价累计相加，得分部分项工程量清单结算价。</w:t>
      </w:r>
    </w:p>
    <w:p w14:paraId="4E5C920C">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2.措施费：</w:t>
      </w:r>
    </w:p>
    <w:p w14:paraId="4B2BA350">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（1）施工组织措施费：无论因设计变更或施工工艺变化等任何因素而引起实际措施费的变化，均按投标时施工组织措施项目费（除安全文明施工费外）的报价作为结算价。</w:t>
      </w:r>
    </w:p>
    <w:p w14:paraId="221D547C">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施工技术措施费：技术措施清单中以项计列的项目，无论因设计变更或施工工艺变化等任何因素而引起实际措施费的变化，均按投标时施工技术措施项目费的报价作为结算价；技术措施清单中以项目编码、项目名称、项目特征、主要工程内容、工程量及计量单位列项的项目，无论何种因素影响，相应的综合单价不作调整，工程量执行分部分项工程量清单结算原则。</w:t>
      </w:r>
    </w:p>
    <w:p w14:paraId="6566CE2F">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本工程设计变更、招标工程量清单漏项或新增项目价款结算办法：工程设计变更确定后，设计变更涉及工程价款调整的，或招标工程量清单中有漏项或工程施工中出现新增项目，由承包人在变更项目启动后7天内向发包人提出，经发包人审核同意后调整合同价款。调整方法如下：</w:t>
      </w:r>
    </w:p>
    <w:p w14:paraId="7CA0DD8C">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变更（包括签证）工程与磋商报价的工程量清单中有相同的子项，则按投标时的相同子项的综合单价报价执行；如投标报价中相同子项的综合单价明显高于市场价格，其综合单价需由成交供应商报送采购人重新审核，以采购人审定的综合单价执行。</w:t>
      </w:r>
    </w:p>
    <w:p w14:paraId="392B98AC">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变更（包括签证）工程与磋商报价的工程量清单中有类似子项的，则按投标时的类似子项综合单价报价执行（类似子项的综合单价由发包人审定）；如投标报价中类似子项的综合单价明显高于市场价格，其综合单价需由成交供应商报送采购人重新审核，以采购人审定的综合单价执行。</w:t>
      </w:r>
    </w:p>
    <w:p w14:paraId="16113B41">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变更（包括签证）工程与工程量清单中无相同子项或类似子项的，按照以《建设工程工程量清单计价规范》（GB50500-2013）、《重庆市建设工程工程量清单计价规则》（CQJJGZ-2013）、《重庆市建设工程工程量计算规则》（CQJLGZ-2013）、《重庆市市政工程计价定额》（CQSZDE-2018）、《重庆市通用安装工程计价定额》（CQAZDE-2018）、《重庆市房屋建筑与装饰工程计价定额》（CQJZZSDE-2018）、《重庆市园林绿化工程计价定额》（CQYLLHDE-2018）、《重庆市仿古建筑工程计价定额》（CQFGDE-2018）、《重庆市房屋修缮工程计价定额》（CQXSDE-2018）、《重庆市建设工程费用定额》（CQFYDE-2018）、《重庆市绿色建筑工程计价定额》（CQLSJZDE-2018）等为依据，结合《关于印发关于适用增值税新税率调整建设工程计价依据的通知》（渝建〔2019〕143号）等相关配套文件的规定进行组价。（其中材料及人工费成交价中有的按成交价计算，成交价中没有的材料单价按施工期间重庆市建设工程造价总站主办的《重庆工程造价信息》公布的信息价算术平均值执行，《重庆工程造价信息》中没有的材料单价由承包人报发包人，由发包人认质核价，价格最终以审定价为准），组价后按成交价与最高限价下浮比例下浮后进入结算。</w:t>
      </w:r>
    </w:p>
    <w:p w14:paraId="5A6140DE">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（4）变更工程量按《重庆市建设工程工程量计算规则》（CQJLGZ-2013）的规定的计量规则计算。</w:t>
      </w:r>
    </w:p>
    <w:p w14:paraId="4D3DB4DA">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4.其他项目清单结算金额</w:t>
      </w:r>
    </w:p>
    <w:p w14:paraId="3FC64244">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（1）本工程材料采用暂估价格招标的，结算时则按经发包人认质核价后的材料价格进行结算。</w:t>
      </w:r>
    </w:p>
    <w:p w14:paraId="36023AE6">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（2）本工程采用专业工程暂估价或暂列金额招标的，结算时按实结算。其中以暂列金额招标的施工内容实施与否由发包人决定。</w:t>
      </w:r>
    </w:p>
    <w:p w14:paraId="5F111E3B">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安全文明施工费：按渝建发〔2014〕25号、《重庆市建设工程费用定额》（CQFYDE-2018）、《关于印发关于适用增值税新税率调整建设工程计价依据的通知》（渝建〔2019〕143号）的规定按实结算，安全文明施工综合评定结果为不合格，则不计取。</w:t>
      </w:r>
    </w:p>
    <w:p w14:paraId="4F6909FA">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6.规费：按投标费率结算，若承包人的磋商报价中规费费率高于规定费率，则以规定费率结算。</w:t>
      </w:r>
    </w:p>
    <w:p w14:paraId="57633D1B">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7.税金：按投标费率结算，若承包人的磋商报价中税金费率高于规定费率，则以规定费率结算。</w:t>
      </w:r>
    </w:p>
    <w:p w14:paraId="428F6D7C">
      <w:pPr>
        <w:snapToGrid w:val="0"/>
        <w:spacing w:line="400" w:lineRule="exact"/>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8.发包人要求承包人完成合同以外施工范围内或施工范围外但与本施工项目有密切关系的零星项目，承包人应在接受发包人要求的7个工作日内就用工数量和单价、机械台班数量和单价、使用材料和金额等向发包人提出施工签证，发包人于7个工作日内予以签证后施工。如发包人未签证，承包人施工后发生争议，由承包人负责。</w:t>
      </w:r>
    </w:p>
    <w:p w14:paraId="0B75148B">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承包人的合同价中应含的保险费按规定办理：工程一切险和第三方责任险，由承包人自行投保并报发包人书面审核同意，费用已包含在合同价中，不在单独结算，并由承包人负责理赔事宜；承包人装备险和承包人职工的（人身）事故险由承包人自行投保，保险费由承包人承担并支付，并包含在合同价中不再另行结算。</w:t>
      </w:r>
    </w:p>
    <w:p w14:paraId="25422DBC">
      <w:pPr>
        <w:adjustRightInd w:val="0"/>
        <w:snapToGrid w:val="0"/>
        <w:spacing w:line="400" w:lineRule="exact"/>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10.发承包双方按照《重庆市城乡建设委员会关于进一步加强建筑安装材料价格风险管控的指导意见》（渝建〔2018〕61号）执行建筑安装材料价格风险管控。</w:t>
      </w:r>
    </w:p>
    <w:p w14:paraId="54F1BDD9">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（四）本工程结算金额最终以结算评审审定的金额为准</w:t>
      </w:r>
    </w:p>
    <w:p w14:paraId="3A48449B">
      <w:pPr>
        <w:snapToGrid w:val="0"/>
        <w:spacing w:line="40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 在项目结算评审时，发包人应先进行初审，再报结算评审。如果送审结算金额与评审审定金额相比，审减率在5%之内（含5%）的评审费用由发包人承担；审减率超过5%的，全部审减效益费由承包人承担，由发包人统一支付或督促承包人支付。（该审减率为不抵扣审增部分的净审减率）</w:t>
      </w:r>
    </w:p>
    <w:p w14:paraId="61C0EDFC">
      <w:pPr>
        <w:snapToGrid w:val="0"/>
        <w:spacing w:line="400" w:lineRule="exact"/>
        <w:ind w:firstLine="480" w:firstLineChars="200"/>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2.承包人原则上应当于3个月内完善工程结算资料，并积极配合发包人做好竣工验收工作。若三个月未完成相关资料，发包人可自行办理工程结算</w:t>
      </w:r>
      <w:r>
        <w:rPr>
          <w:rFonts w:hint="eastAsia" w:asciiTheme="minorEastAsia" w:hAnsiTheme="minorEastAsia" w:eastAsiaTheme="minorEastAsia" w:cstheme="minorEastAsia"/>
          <w:color w:val="auto"/>
          <w:kern w:val="0"/>
          <w:sz w:val="24"/>
          <w:szCs w:val="24"/>
        </w:rPr>
        <w:t>。</w:t>
      </w:r>
    </w:p>
    <w:p w14:paraId="37AD0B8A">
      <w:pPr>
        <w:pStyle w:val="4"/>
        <w:adjustRightInd w:val="0"/>
        <w:snapToGrid w:val="0"/>
        <w:spacing w:before="0" w:after="0" w:line="400" w:lineRule="exact"/>
        <w:ind w:firstLine="482" w:firstLineChars="200"/>
        <w:rPr>
          <w:rFonts w:ascii="宋体" w:hAnsi="宋体" w:eastAsia="宋体" w:cs="宋体"/>
          <w:color w:val="auto"/>
          <w:sz w:val="24"/>
        </w:rPr>
      </w:pPr>
      <w:bookmarkStart w:id="83" w:name="_Toc8606"/>
      <w:r>
        <w:rPr>
          <w:rFonts w:hint="eastAsia" w:ascii="宋体" w:hAnsi="宋体" w:eastAsia="宋体" w:cs="宋体"/>
          <w:color w:val="auto"/>
          <w:sz w:val="24"/>
        </w:rPr>
        <w:t>四、缺陷责任期与保修</w:t>
      </w:r>
      <w:bookmarkEnd w:id="83"/>
    </w:p>
    <w:p w14:paraId="66E7F2D0">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一）质保期2年，成交供应商对本项目产品提供两年免费保修，成交供应商应在接到采购人通知后15分钟进行维修响应，4小时到达现场并修复；特殊情况在4小时内无法修复的，质保期内成交供应商应予以更换新设备或提供代用设备；在维修及维护期内应予提供代用设备或使设备可正常运转的措施。</w:t>
      </w:r>
    </w:p>
    <w:p w14:paraId="790F2A59">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（二）成交供应商应根据采购人指定的地点提供送货、安装、调试及设备操作使用及维护的培训服务。</w:t>
      </w:r>
    </w:p>
    <w:p w14:paraId="39F1992D">
      <w:pPr>
        <w:pStyle w:val="4"/>
        <w:adjustRightInd w:val="0"/>
        <w:snapToGrid w:val="0"/>
        <w:spacing w:before="0" w:after="0" w:line="400" w:lineRule="exact"/>
        <w:ind w:firstLine="482" w:firstLineChars="200"/>
        <w:rPr>
          <w:rFonts w:ascii="宋体" w:hAnsi="宋体" w:eastAsia="宋体" w:cs="宋体"/>
          <w:color w:val="auto"/>
          <w:sz w:val="24"/>
        </w:rPr>
      </w:pPr>
      <w:bookmarkStart w:id="84" w:name="_Toc65660345"/>
      <w:bookmarkStart w:id="85" w:name="_Toc7562"/>
      <w:bookmarkStart w:id="86" w:name="_Toc25666"/>
      <w:bookmarkStart w:id="87" w:name="_Toc9192"/>
      <w:r>
        <w:rPr>
          <w:rFonts w:hint="eastAsia" w:ascii="宋体" w:hAnsi="宋体" w:eastAsia="宋体" w:cs="宋体"/>
          <w:color w:val="auto"/>
          <w:sz w:val="24"/>
        </w:rPr>
        <w:t>五、履约保证金及付款方式</w:t>
      </w:r>
      <w:bookmarkEnd w:id="84"/>
      <w:bookmarkEnd w:id="85"/>
      <w:bookmarkEnd w:id="86"/>
      <w:bookmarkEnd w:id="87"/>
    </w:p>
    <w:p w14:paraId="2167E6D5">
      <w:pPr>
        <w:snapToGrid w:val="0"/>
        <w:spacing w:line="400" w:lineRule="exact"/>
        <w:ind w:firstLine="480" w:firstLineChars="200"/>
        <w:rPr>
          <w:rFonts w:ascii="宋体" w:hAnsi="宋体" w:cs="宋体"/>
          <w:color w:val="auto"/>
          <w:sz w:val="24"/>
          <w:szCs w:val="24"/>
        </w:rPr>
      </w:pPr>
      <w:bookmarkStart w:id="88" w:name="_Toc24751"/>
      <w:bookmarkStart w:id="89" w:name="_Toc65660346"/>
      <w:bookmarkStart w:id="90" w:name="_Toc7228"/>
      <w:r>
        <w:rPr>
          <w:rFonts w:hint="eastAsia" w:ascii="宋体" w:hAnsi="宋体" w:cs="宋体"/>
          <w:color w:val="auto"/>
          <w:sz w:val="24"/>
          <w:szCs w:val="24"/>
        </w:rPr>
        <w:t>（一）合同签订时成交供应商向采购人缴纳合同金额5%的履约保证金（以支票、汇票、本票或者金融机构、担保机构出具的保函等非现金形式提交）。</w:t>
      </w:r>
    </w:p>
    <w:p w14:paraId="022E13D5">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合同签订后，采购人向成交供应商支付合同金额50%的预付款，采购人向供应商支付预付款时，供应商须提供与预付款同等额度的担保函，如供应商收到预付款后不履行相关义务，通过担保函收回已支付的预付款。若成交供应商明确表示无需预付款，可不适用本条规定。</w:t>
      </w:r>
    </w:p>
    <w:p w14:paraId="7AFFB3A6">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（三）工程完工验收后支付合同金额的30%。</w:t>
      </w:r>
    </w:p>
    <w:p w14:paraId="0E9F4045">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（四）结算评审后支付审定金额的97%，余款3%质保期满两年后无息支付。</w:t>
      </w:r>
    </w:p>
    <w:p w14:paraId="4B229C3F">
      <w:pPr>
        <w:pStyle w:val="4"/>
        <w:adjustRightInd w:val="0"/>
        <w:snapToGrid w:val="0"/>
        <w:spacing w:before="0" w:after="0" w:line="400" w:lineRule="exact"/>
        <w:ind w:firstLine="482" w:firstLineChars="200"/>
        <w:rPr>
          <w:rFonts w:ascii="宋体" w:hAnsi="宋体" w:eastAsia="宋体" w:cs="宋体"/>
          <w:color w:val="auto"/>
          <w:sz w:val="24"/>
        </w:rPr>
      </w:pPr>
      <w:bookmarkStart w:id="91" w:name="_Toc4362"/>
      <w:r>
        <w:rPr>
          <w:rFonts w:hint="eastAsia" w:ascii="宋体" w:hAnsi="宋体" w:eastAsia="宋体" w:cs="宋体"/>
          <w:color w:val="auto"/>
          <w:sz w:val="24"/>
        </w:rPr>
        <w:t>六、知识产权</w:t>
      </w:r>
      <w:bookmarkEnd w:id="88"/>
      <w:bookmarkEnd w:id="89"/>
      <w:bookmarkEnd w:id="90"/>
      <w:bookmarkEnd w:id="91"/>
    </w:p>
    <w:p w14:paraId="01CB34C3">
      <w:pPr>
        <w:snapToGrid w:val="0"/>
        <w:spacing w:line="400" w:lineRule="exact"/>
        <w:ind w:firstLine="540"/>
        <w:rPr>
          <w:rFonts w:ascii="宋体" w:hAnsi="宋体" w:cs="宋体"/>
          <w:color w:val="auto"/>
          <w:sz w:val="24"/>
          <w:szCs w:val="24"/>
        </w:rPr>
      </w:pPr>
      <w:r>
        <w:rPr>
          <w:rFonts w:hint="eastAsia" w:ascii="宋体" w:hAnsi="宋体" w:cs="宋体"/>
          <w:color w:val="auto"/>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71E12046">
      <w:pPr>
        <w:snapToGrid w:val="0"/>
        <w:spacing w:line="400" w:lineRule="exact"/>
        <w:ind w:firstLine="540"/>
        <w:rPr>
          <w:rFonts w:ascii="宋体" w:hAnsi="宋体" w:cs="宋体"/>
          <w:color w:val="auto"/>
          <w:sz w:val="24"/>
          <w:szCs w:val="24"/>
        </w:rPr>
      </w:pPr>
      <w:r>
        <w:rPr>
          <w:rFonts w:hint="eastAsia" w:ascii="宋体" w:hAnsi="宋体" w:cs="宋体"/>
          <w:color w:val="auto"/>
          <w:kern w:val="0"/>
          <w:sz w:val="24"/>
          <w:szCs w:val="24"/>
        </w:rPr>
        <w:t>注：若涉及软件开发等服务类项目知识产权的，知识产权归采购人所有</w:t>
      </w:r>
      <w:r>
        <w:rPr>
          <w:rFonts w:hint="eastAsia" w:ascii="宋体" w:hAnsi="宋体" w:cs="宋体"/>
          <w:color w:val="auto"/>
          <w:sz w:val="24"/>
          <w:szCs w:val="24"/>
        </w:rPr>
        <w:t>。</w:t>
      </w:r>
    </w:p>
    <w:p w14:paraId="61B89550">
      <w:pPr>
        <w:pStyle w:val="4"/>
        <w:adjustRightInd w:val="0"/>
        <w:snapToGrid w:val="0"/>
        <w:spacing w:before="0" w:after="0" w:line="400" w:lineRule="exact"/>
        <w:ind w:firstLine="482" w:firstLineChars="200"/>
        <w:rPr>
          <w:rFonts w:ascii="宋体" w:hAnsi="宋体" w:eastAsia="宋体" w:cs="宋体"/>
          <w:color w:val="auto"/>
          <w:sz w:val="24"/>
        </w:rPr>
      </w:pPr>
      <w:bookmarkStart w:id="92" w:name="_Toc11846"/>
      <w:r>
        <w:rPr>
          <w:rFonts w:hint="eastAsia" w:ascii="宋体" w:hAnsi="宋体" w:eastAsia="宋体" w:cs="宋体"/>
          <w:color w:val="auto"/>
          <w:sz w:val="24"/>
        </w:rPr>
        <w:t>七、其他</w:t>
      </w:r>
      <w:bookmarkEnd w:id="92"/>
    </w:p>
    <w:p w14:paraId="555309CA">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（一）因项目结算需要，成交供应商成交后须按照采购人要求提供与投标时投标文件一致的工程量清单及单价分析表纸质版1份及软件版电子档1份加盖投标人公章。</w:t>
      </w:r>
    </w:p>
    <w:p w14:paraId="78D13B2C">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（二）成交供应商原则上应当于3个月内完善工程结算资料，并积极配合业主单位做好竣工验收工作。若三个月未完成相关资料，采购人可自行办理工程结算。</w:t>
      </w:r>
    </w:p>
    <w:p w14:paraId="2037D285">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（三）成交供应商确定后，由采购人和成交供应商按照相关规定和程序办理有关手续，签订合同。</w:t>
      </w:r>
    </w:p>
    <w:p w14:paraId="5F575211">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（四）本项目不允许分包、转包、挂靠。</w:t>
      </w:r>
    </w:p>
    <w:p w14:paraId="36E17F27">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（五）其他未尽事宜由供需双方在采购合同中详细约定。</w:t>
      </w:r>
    </w:p>
    <w:p w14:paraId="2087CEF3">
      <w:pPr>
        <w:pStyle w:val="4"/>
        <w:spacing w:before="0" w:after="0" w:line="360" w:lineRule="auto"/>
        <w:jc w:val="center"/>
        <w:rPr>
          <w:rFonts w:ascii="宋体" w:hAnsi="宋体" w:eastAsia="宋体" w:cs="宋体"/>
          <w:b w:val="0"/>
          <w:color w:val="auto"/>
          <w:sz w:val="36"/>
          <w:szCs w:val="30"/>
        </w:rPr>
      </w:pPr>
      <w:r>
        <w:rPr>
          <w:rFonts w:hint="eastAsia" w:ascii="宋体" w:hAnsi="宋体" w:eastAsia="宋体" w:cs="宋体"/>
          <w:b w:val="0"/>
          <w:color w:val="auto"/>
          <w:sz w:val="36"/>
          <w:szCs w:val="30"/>
        </w:rPr>
        <w:br w:type="page"/>
      </w:r>
      <w:bookmarkStart w:id="93" w:name="_Toc65660349"/>
      <w:bookmarkStart w:id="94" w:name="_Toc24195"/>
      <w:bookmarkStart w:id="95" w:name="_Toc16123"/>
      <w:bookmarkStart w:id="96" w:name="_Toc9932"/>
      <w:r>
        <w:rPr>
          <w:rFonts w:hint="eastAsia" w:ascii="宋体" w:hAnsi="宋体" w:eastAsia="宋体" w:cs="宋体"/>
          <w:b w:val="0"/>
          <w:color w:val="auto"/>
          <w:sz w:val="36"/>
          <w:szCs w:val="30"/>
        </w:rPr>
        <w:t>第四篇  采购程序、评定成交的标准、无效谈判及采购终止</w:t>
      </w:r>
      <w:bookmarkEnd w:id="93"/>
      <w:bookmarkEnd w:id="94"/>
      <w:bookmarkEnd w:id="95"/>
      <w:bookmarkEnd w:id="96"/>
    </w:p>
    <w:p w14:paraId="09273171">
      <w:pPr>
        <w:pStyle w:val="4"/>
        <w:adjustRightInd w:val="0"/>
        <w:snapToGrid w:val="0"/>
        <w:spacing w:before="0" w:after="0" w:line="400" w:lineRule="exact"/>
        <w:ind w:firstLine="482" w:firstLineChars="200"/>
        <w:rPr>
          <w:rFonts w:ascii="宋体" w:hAnsi="宋体" w:eastAsia="宋体" w:cs="宋体"/>
          <w:color w:val="auto"/>
          <w:sz w:val="24"/>
        </w:rPr>
      </w:pPr>
      <w:bookmarkStart w:id="97" w:name="_Toc9361"/>
      <w:bookmarkStart w:id="98" w:name="_Toc65660350"/>
      <w:bookmarkStart w:id="99" w:name="_Toc5167"/>
      <w:bookmarkStart w:id="100" w:name="_Toc64732012"/>
      <w:bookmarkStart w:id="101" w:name="_Toc23482"/>
      <w:r>
        <w:rPr>
          <w:rFonts w:hint="eastAsia" w:ascii="宋体" w:hAnsi="宋体" w:eastAsia="宋体" w:cs="宋体"/>
          <w:color w:val="auto"/>
          <w:sz w:val="24"/>
        </w:rPr>
        <w:t>一、采购程序</w:t>
      </w:r>
      <w:bookmarkEnd w:id="97"/>
      <w:bookmarkEnd w:id="98"/>
      <w:bookmarkEnd w:id="99"/>
      <w:bookmarkEnd w:id="100"/>
      <w:bookmarkEnd w:id="101"/>
    </w:p>
    <w:p w14:paraId="60571B4C">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（一）谈判按竞争性谈判文件规定的时间和地点进行。供应商须有法定代表人（或其授权代表）或自然人参加并签到。</w:t>
      </w:r>
    </w:p>
    <w:p w14:paraId="5399AAE9">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 xml:space="preserve">（二）竞争性谈判以抽签的形式确定谈判顺序，由本项目谈判小组分别与各供应商进行谈判。在谈判前，对各供应商的资格条件、实质性响应等进行审查。 </w:t>
      </w:r>
    </w:p>
    <w:p w14:paraId="03F39DA7">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sz w:val="24"/>
          <w:szCs w:val="24"/>
        </w:rPr>
        <w:t>1.资格性审查。依据法律法规和竞争性谈判文件的规定，对响应文件中的资格证明材料等进行审查。资格性审查内容如下：</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53BA3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04616C4B">
            <w:pPr>
              <w:spacing w:line="400" w:lineRule="exact"/>
              <w:jc w:val="center"/>
              <w:rPr>
                <w:rFonts w:ascii="宋体" w:hAnsi="宋体" w:cs="宋体"/>
                <w:b/>
                <w:color w:val="auto"/>
                <w:kern w:val="0"/>
                <w:sz w:val="24"/>
                <w:szCs w:val="24"/>
              </w:rPr>
            </w:pPr>
            <w:r>
              <w:rPr>
                <w:rFonts w:hint="eastAsia" w:ascii="宋体" w:hAnsi="宋体" w:cs="宋体"/>
                <w:b/>
                <w:color w:val="auto"/>
                <w:kern w:val="0"/>
                <w:sz w:val="24"/>
                <w:szCs w:val="24"/>
              </w:rPr>
              <w:t>序号</w:t>
            </w:r>
          </w:p>
        </w:tc>
        <w:tc>
          <w:tcPr>
            <w:tcW w:w="3544" w:type="dxa"/>
            <w:gridSpan w:val="2"/>
            <w:tcBorders>
              <w:top w:val="single" w:color="auto" w:sz="4" w:space="0"/>
              <w:left w:val="single" w:color="auto" w:sz="4" w:space="0"/>
              <w:bottom w:val="single" w:color="auto" w:sz="4" w:space="0"/>
              <w:right w:val="single" w:color="auto" w:sz="4" w:space="0"/>
            </w:tcBorders>
            <w:vAlign w:val="center"/>
          </w:tcPr>
          <w:p w14:paraId="35514333">
            <w:pPr>
              <w:spacing w:line="400" w:lineRule="exact"/>
              <w:jc w:val="center"/>
              <w:rPr>
                <w:rFonts w:ascii="宋体" w:hAnsi="宋体" w:cs="宋体"/>
                <w:b/>
                <w:color w:val="auto"/>
                <w:kern w:val="0"/>
                <w:sz w:val="24"/>
                <w:szCs w:val="24"/>
              </w:rPr>
            </w:pPr>
            <w:r>
              <w:rPr>
                <w:rFonts w:hint="eastAsia" w:ascii="宋体" w:hAnsi="宋体" w:cs="宋体"/>
                <w:b/>
                <w:color w:val="auto"/>
                <w:kern w:val="0"/>
                <w:sz w:val="24"/>
                <w:szCs w:val="24"/>
              </w:rPr>
              <w:t>检查因素</w:t>
            </w:r>
          </w:p>
        </w:tc>
        <w:tc>
          <w:tcPr>
            <w:tcW w:w="5267" w:type="dxa"/>
            <w:tcBorders>
              <w:top w:val="single" w:color="auto" w:sz="4" w:space="0"/>
              <w:left w:val="single" w:color="auto" w:sz="4" w:space="0"/>
              <w:bottom w:val="single" w:color="auto" w:sz="4" w:space="0"/>
              <w:right w:val="single" w:color="auto" w:sz="4" w:space="0"/>
            </w:tcBorders>
            <w:vAlign w:val="center"/>
          </w:tcPr>
          <w:p w14:paraId="3BD48CAB">
            <w:pPr>
              <w:spacing w:line="400" w:lineRule="exact"/>
              <w:jc w:val="center"/>
              <w:rPr>
                <w:rFonts w:ascii="宋体" w:hAnsi="宋体" w:cs="宋体"/>
                <w:b/>
                <w:color w:val="auto"/>
                <w:kern w:val="0"/>
                <w:sz w:val="24"/>
                <w:szCs w:val="24"/>
              </w:rPr>
            </w:pPr>
            <w:r>
              <w:rPr>
                <w:rFonts w:hint="eastAsia" w:ascii="宋体" w:hAnsi="宋体" w:cs="宋体"/>
                <w:b/>
                <w:color w:val="auto"/>
                <w:kern w:val="0"/>
                <w:sz w:val="24"/>
                <w:szCs w:val="24"/>
              </w:rPr>
              <w:t>检查内容</w:t>
            </w:r>
          </w:p>
        </w:tc>
      </w:tr>
      <w:tr w14:paraId="31C8B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restart"/>
            <w:vAlign w:val="center"/>
          </w:tcPr>
          <w:p w14:paraId="0CACF20F">
            <w:pPr>
              <w:spacing w:line="400" w:lineRule="exact"/>
              <w:rPr>
                <w:rFonts w:ascii="宋体" w:hAnsi="宋体" w:cs="宋体"/>
                <w:color w:val="auto"/>
                <w:sz w:val="24"/>
                <w:szCs w:val="24"/>
              </w:rPr>
            </w:pPr>
            <w:r>
              <w:rPr>
                <w:rFonts w:hint="eastAsia" w:ascii="宋体" w:hAnsi="宋体" w:cs="宋体"/>
                <w:color w:val="auto"/>
                <w:sz w:val="24"/>
                <w:szCs w:val="24"/>
              </w:rPr>
              <w:t>（一）</w:t>
            </w:r>
          </w:p>
        </w:tc>
        <w:tc>
          <w:tcPr>
            <w:tcW w:w="709" w:type="dxa"/>
            <w:vMerge w:val="restart"/>
            <w:vAlign w:val="center"/>
          </w:tcPr>
          <w:p w14:paraId="526B2E5C">
            <w:pPr>
              <w:spacing w:line="400" w:lineRule="exact"/>
              <w:rPr>
                <w:rFonts w:ascii="宋体" w:hAnsi="宋体" w:cs="宋体"/>
                <w:color w:val="auto"/>
                <w:sz w:val="24"/>
                <w:szCs w:val="24"/>
                <w:lang w:val="zh-CN"/>
              </w:rPr>
            </w:pPr>
            <w:r>
              <w:rPr>
                <w:rFonts w:hint="eastAsia" w:ascii="宋体" w:hAnsi="宋体" w:cs="宋体"/>
                <w:color w:val="auto"/>
                <w:sz w:val="24"/>
                <w:szCs w:val="24"/>
                <w:lang w:val="zh-CN"/>
              </w:rPr>
              <w:t>《中华人民共和国政府采购法》第二十二条规定</w:t>
            </w:r>
          </w:p>
        </w:tc>
        <w:tc>
          <w:tcPr>
            <w:tcW w:w="2835" w:type="dxa"/>
            <w:vAlign w:val="center"/>
          </w:tcPr>
          <w:p w14:paraId="7741FD16">
            <w:pPr>
              <w:spacing w:line="400" w:lineRule="exact"/>
              <w:rPr>
                <w:rFonts w:ascii="宋体" w:hAnsi="宋体" w:cs="宋体"/>
                <w:color w:val="auto"/>
                <w:sz w:val="24"/>
                <w:szCs w:val="24"/>
              </w:rPr>
            </w:pPr>
            <w:r>
              <w:rPr>
                <w:rFonts w:hint="eastAsia" w:ascii="宋体" w:hAnsi="宋体" w:cs="宋体"/>
                <w:color w:val="auto"/>
                <w:sz w:val="24"/>
                <w:szCs w:val="24"/>
              </w:rPr>
              <w:t>1.具有独立承担民事责任的能力</w:t>
            </w:r>
          </w:p>
        </w:tc>
        <w:tc>
          <w:tcPr>
            <w:tcW w:w="5267" w:type="dxa"/>
            <w:vAlign w:val="center"/>
          </w:tcPr>
          <w:p w14:paraId="4120C84E">
            <w:pPr>
              <w:spacing w:line="400" w:lineRule="exact"/>
              <w:rPr>
                <w:rFonts w:ascii="宋体" w:hAnsi="宋体" w:cs="宋体"/>
                <w:color w:val="auto"/>
                <w:sz w:val="24"/>
                <w:szCs w:val="24"/>
              </w:rPr>
            </w:pPr>
            <w:r>
              <w:rPr>
                <w:rFonts w:hint="eastAsia" w:ascii="宋体" w:hAnsi="宋体" w:cs="宋体"/>
                <w:color w:val="auto"/>
                <w:sz w:val="24"/>
                <w:szCs w:val="24"/>
              </w:rPr>
              <w:t xml:space="preserve">1.供应商法人营业执照（副本）或事业单位法人证书（副本）或个体工商户营业执照或有效的自然人身份证明或社会团体法人登记证书（提供复印件）。 </w:t>
            </w:r>
          </w:p>
          <w:p w14:paraId="3C56F81B">
            <w:pPr>
              <w:spacing w:line="400" w:lineRule="exact"/>
              <w:rPr>
                <w:rFonts w:ascii="宋体" w:hAnsi="宋体" w:cs="宋体"/>
                <w:color w:val="auto"/>
                <w:sz w:val="24"/>
                <w:szCs w:val="24"/>
              </w:rPr>
            </w:pPr>
            <w:r>
              <w:rPr>
                <w:rFonts w:hint="eastAsia" w:ascii="宋体" w:hAnsi="宋体" w:cs="宋体"/>
                <w:color w:val="auto"/>
                <w:sz w:val="24"/>
                <w:szCs w:val="24"/>
              </w:rPr>
              <w:t>2.供应商法定代表人身份证明和法定代表人授权代表委托书。</w:t>
            </w:r>
          </w:p>
        </w:tc>
      </w:tr>
      <w:tr w14:paraId="3C55F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14:paraId="1968E92D">
            <w:pPr>
              <w:spacing w:line="400" w:lineRule="exact"/>
              <w:rPr>
                <w:rFonts w:ascii="宋体" w:hAnsi="宋体" w:cs="宋体"/>
                <w:color w:val="auto"/>
                <w:sz w:val="24"/>
                <w:szCs w:val="24"/>
              </w:rPr>
            </w:pPr>
          </w:p>
        </w:tc>
        <w:tc>
          <w:tcPr>
            <w:tcW w:w="709" w:type="dxa"/>
            <w:vMerge w:val="continue"/>
            <w:vAlign w:val="center"/>
          </w:tcPr>
          <w:p w14:paraId="1EE99E1B">
            <w:pPr>
              <w:spacing w:line="400" w:lineRule="exact"/>
              <w:rPr>
                <w:rFonts w:ascii="宋体" w:hAnsi="宋体" w:cs="宋体"/>
                <w:color w:val="auto"/>
                <w:sz w:val="24"/>
                <w:szCs w:val="24"/>
                <w:lang w:val="zh-CN"/>
              </w:rPr>
            </w:pPr>
          </w:p>
        </w:tc>
        <w:tc>
          <w:tcPr>
            <w:tcW w:w="2835" w:type="dxa"/>
            <w:vAlign w:val="center"/>
          </w:tcPr>
          <w:p w14:paraId="6F7D5CE0">
            <w:pPr>
              <w:spacing w:line="400" w:lineRule="exact"/>
              <w:rPr>
                <w:rFonts w:ascii="宋体" w:hAnsi="宋体" w:cs="宋体"/>
                <w:color w:val="auto"/>
                <w:sz w:val="24"/>
                <w:szCs w:val="24"/>
              </w:rPr>
            </w:pPr>
            <w:r>
              <w:rPr>
                <w:rFonts w:hint="eastAsia" w:ascii="宋体" w:hAnsi="宋体" w:cs="宋体"/>
                <w:color w:val="auto"/>
                <w:sz w:val="24"/>
                <w:szCs w:val="24"/>
                <w:lang w:val="zh-CN"/>
              </w:rPr>
              <w:t>2.</w:t>
            </w:r>
            <w:r>
              <w:rPr>
                <w:rFonts w:hint="eastAsia" w:ascii="宋体" w:hAnsi="宋体" w:cs="宋体"/>
                <w:color w:val="auto"/>
                <w:sz w:val="24"/>
                <w:szCs w:val="24"/>
              </w:rPr>
              <w:t>具有良好的商业信誉和健全的财务会计制度</w:t>
            </w:r>
          </w:p>
        </w:tc>
        <w:tc>
          <w:tcPr>
            <w:tcW w:w="5267" w:type="dxa"/>
            <w:vMerge w:val="restart"/>
            <w:vAlign w:val="center"/>
          </w:tcPr>
          <w:p w14:paraId="6693BCCC">
            <w:pPr>
              <w:spacing w:line="400" w:lineRule="exact"/>
              <w:rPr>
                <w:rFonts w:ascii="宋体" w:hAnsi="宋体" w:cs="宋体"/>
                <w:b/>
                <w:color w:val="auto"/>
                <w:sz w:val="24"/>
                <w:szCs w:val="24"/>
              </w:rPr>
            </w:pPr>
            <w:r>
              <w:rPr>
                <w:rFonts w:hint="eastAsia" w:ascii="宋体" w:hAnsi="宋体" w:cs="宋体"/>
                <w:color w:val="auto"/>
                <w:sz w:val="24"/>
                <w:szCs w:val="24"/>
              </w:rPr>
              <w:t>供应商提供“基本资格条件承诺函”（格式详见第七篇）。</w:t>
            </w:r>
          </w:p>
        </w:tc>
      </w:tr>
      <w:tr w14:paraId="5FD9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14:paraId="504CCB40">
            <w:pPr>
              <w:spacing w:line="400" w:lineRule="exact"/>
              <w:rPr>
                <w:rFonts w:ascii="宋体" w:hAnsi="宋体" w:cs="宋体"/>
                <w:color w:val="auto"/>
                <w:sz w:val="24"/>
                <w:szCs w:val="24"/>
              </w:rPr>
            </w:pPr>
          </w:p>
        </w:tc>
        <w:tc>
          <w:tcPr>
            <w:tcW w:w="709" w:type="dxa"/>
            <w:vMerge w:val="continue"/>
            <w:vAlign w:val="center"/>
          </w:tcPr>
          <w:p w14:paraId="04DDB294">
            <w:pPr>
              <w:spacing w:line="400" w:lineRule="exact"/>
              <w:rPr>
                <w:rFonts w:ascii="宋体" w:hAnsi="宋体" w:cs="宋体"/>
                <w:color w:val="auto"/>
                <w:sz w:val="24"/>
                <w:szCs w:val="24"/>
                <w:lang w:val="zh-CN"/>
              </w:rPr>
            </w:pPr>
          </w:p>
        </w:tc>
        <w:tc>
          <w:tcPr>
            <w:tcW w:w="2835" w:type="dxa"/>
            <w:vAlign w:val="center"/>
          </w:tcPr>
          <w:p w14:paraId="75E94A08">
            <w:pPr>
              <w:spacing w:line="400" w:lineRule="exact"/>
              <w:rPr>
                <w:rFonts w:ascii="宋体" w:hAnsi="宋体" w:cs="宋体"/>
                <w:color w:val="auto"/>
                <w:sz w:val="24"/>
                <w:szCs w:val="24"/>
                <w:lang w:val="zh-CN"/>
              </w:rPr>
            </w:pPr>
            <w:r>
              <w:rPr>
                <w:rFonts w:hint="eastAsia" w:ascii="宋体" w:hAnsi="宋体" w:cs="宋体"/>
                <w:color w:val="auto"/>
                <w:sz w:val="24"/>
                <w:szCs w:val="24"/>
                <w:lang w:val="zh-CN"/>
              </w:rPr>
              <w:t>3.具有履行合同所必需的设备和专业技术能力</w:t>
            </w:r>
          </w:p>
        </w:tc>
        <w:tc>
          <w:tcPr>
            <w:tcW w:w="5267" w:type="dxa"/>
            <w:vMerge w:val="continue"/>
            <w:vAlign w:val="center"/>
          </w:tcPr>
          <w:p w14:paraId="52271DBA">
            <w:pPr>
              <w:spacing w:line="400" w:lineRule="exact"/>
              <w:rPr>
                <w:rFonts w:ascii="宋体" w:hAnsi="宋体" w:cs="宋体"/>
                <w:color w:val="auto"/>
                <w:sz w:val="24"/>
                <w:szCs w:val="24"/>
              </w:rPr>
            </w:pPr>
          </w:p>
        </w:tc>
      </w:tr>
      <w:tr w14:paraId="06685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14:paraId="2C441221">
            <w:pPr>
              <w:spacing w:line="400" w:lineRule="exact"/>
              <w:rPr>
                <w:rFonts w:ascii="宋体" w:hAnsi="宋体" w:cs="宋体"/>
                <w:color w:val="auto"/>
                <w:sz w:val="24"/>
                <w:szCs w:val="24"/>
              </w:rPr>
            </w:pPr>
          </w:p>
        </w:tc>
        <w:tc>
          <w:tcPr>
            <w:tcW w:w="709" w:type="dxa"/>
            <w:vMerge w:val="continue"/>
            <w:vAlign w:val="center"/>
          </w:tcPr>
          <w:p w14:paraId="40AB7486">
            <w:pPr>
              <w:spacing w:line="400" w:lineRule="exact"/>
              <w:rPr>
                <w:rFonts w:ascii="宋体" w:hAnsi="宋体" w:cs="宋体"/>
                <w:color w:val="auto"/>
                <w:sz w:val="24"/>
                <w:szCs w:val="24"/>
                <w:lang w:val="zh-CN"/>
              </w:rPr>
            </w:pPr>
          </w:p>
        </w:tc>
        <w:tc>
          <w:tcPr>
            <w:tcW w:w="2835" w:type="dxa"/>
            <w:vAlign w:val="center"/>
          </w:tcPr>
          <w:p w14:paraId="204FC51E">
            <w:pPr>
              <w:spacing w:line="400" w:lineRule="exact"/>
              <w:rPr>
                <w:rFonts w:ascii="宋体" w:hAnsi="宋体" w:cs="宋体"/>
                <w:color w:val="auto"/>
                <w:sz w:val="24"/>
                <w:szCs w:val="24"/>
                <w:lang w:val="zh-CN"/>
              </w:rPr>
            </w:pPr>
            <w:r>
              <w:rPr>
                <w:rFonts w:hint="eastAsia" w:ascii="宋体" w:hAnsi="宋体" w:cs="宋体"/>
                <w:color w:val="auto"/>
                <w:sz w:val="24"/>
                <w:szCs w:val="24"/>
                <w:lang w:val="zh-CN"/>
              </w:rPr>
              <w:t>4.有依法缴纳税收和社会保障金的良好记录</w:t>
            </w:r>
          </w:p>
        </w:tc>
        <w:tc>
          <w:tcPr>
            <w:tcW w:w="5267" w:type="dxa"/>
            <w:vMerge w:val="continue"/>
            <w:vAlign w:val="center"/>
          </w:tcPr>
          <w:p w14:paraId="0615F55D">
            <w:pPr>
              <w:spacing w:line="400" w:lineRule="exact"/>
              <w:rPr>
                <w:rFonts w:ascii="宋体" w:hAnsi="宋体" w:cs="宋体"/>
                <w:color w:val="auto"/>
                <w:sz w:val="24"/>
                <w:szCs w:val="24"/>
              </w:rPr>
            </w:pPr>
          </w:p>
        </w:tc>
      </w:tr>
      <w:tr w14:paraId="60290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14:paraId="483707B7">
            <w:pPr>
              <w:spacing w:line="400" w:lineRule="exact"/>
              <w:rPr>
                <w:rFonts w:ascii="宋体" w:hAnsi="宋体" w:cs="宋体"/>
                <w:color w:val="auto"/>
                <w:sz w:val="24"/>
                <w:szCs w:val="24"/>
              </w:rPr>
            </w:pPr>
          </w:p>
        </w:tc>
        <w:tc>
          <w:tcPr>
            <w:tcW w:w="709" w:type="dxa"/>
            <w:vMerge w:val="continue"/>
            <w:vAlign w:val="center"/>
          </w:tcPr>
          <w:p w14:paraId="0D781E3A">
            <w:pPr>
              <w:spacing w:line="400" w:lineRule="exact"/>
              <w:rPr>
                <w:rFonts w:ascii="宋体" w:hAnsi="宋体" w:cs="宋体"/>
                <w:color w:val="auto"/>
                <w:sz w:val="24"/>
                <w:szCs w:val="24"/>
                <w:lang w:val="zh-CN"/>
              </w:rPr>
            </w:pPr>
          </w:p>
        </w:tc>
        <w:tc>
          <w:tcPr>
            <w:tcW w:w="2835" w:type="dxa"/>
            <w:vAlign w:val="center"/>
          </w:tcPr>
          <w:p w14:paraId="404844BF">
            <w:pPr>
              <w:spacing w:line="400" w:lineRule="exact"/>
              <w:rPr>
                <w:rFonts w:ascii="宋体" w:hAnsi="宋体" w:cs="宋体"/>
                <w:color w:val="auto"/>
                <w:sz w:val="24"/>
                <w:szCs w:val="24"/>
              </w:rPr>
            </w:pPr>
            <w:r>
              <w:rPr>
                <w:rFonts w:hint="eastAsia" w:ascii="宋体" w:hAnsi="宋体" w:cs="宋体"/>
                <w:color w:val="auto"/>
                <w:sz w:val="24"/>
                <w:szCs w:val="24"/>
              </w:rPr>
              <w:t>5.参加政府采购活动前三年内，在经营活动中没有重大违法记录（注①）</w:t>
            </w:r>
          </w:p>
        </w:tc>
        <w:tc>
          <w:tcPr>
            <w:tcW w:w="5267" w:type="dxa"/>
            <w:vMerge w:val="continue"/>
            <w:vAlign w:val="center"/>
          </w:tcPr>
          <w:p w14:paraId="4EDCBAC4">
            <w:pPr>
              <w:spacing w:line="400" w:lineRule="exact"/>
              <w:rPr>
                <w:rFonts w:ascii="宋体" w:hAnsi="宋体" w:cs="宋体"/>
                <w:b/>
                <w:color w:val="auto"/>
                <w:sz w:val="24"/>
                <w:szCs w:val="24"/>
              </w:rPr>
            </w:pPr>
          </w:p>
        </w:tc>
      </w:tr>
      <w:tr w14:paraId="58F3C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17" w:type="dxa"/>
            <w:vMerge w:val="continue"/>
            <w:vAlign w:val="center"/>
          </w:tcPr>
          <w:p w14:paraId="3E11FAEA">
            <w:pPr>
              <w:spacing w:line="400" w:lineRule="exact"/>
              <w:rPr>
                <w:rFonts w:ascii="宋体" w:hAnsi="宋体" w:cs="宋体"/>
                <w:color w:val="auto"/>
                <w:sz w:val="24"/>
                <w:szCs w:val="24"/>
              </w:rPr>
            </w:pPr>
          </w:p>
        </w:tc>
        <w:tc>
          <w:tcPr>
            <w:tcW w:w="709" w:type="dxa"/>
            <w:vMerge w:val="continue"/>
            <w:vAlign w:val="center"/>
          </w:tcPr>
          <w:p w14:paraId="7F88036C">
            <w:pPr>
              <w:spacing w:line="400" w:lineRule="exact"/>
              <w:rPr>
                <w:rFonts w:ascii="宋体" w:hAnsi="宋体" w:cs="宋体"/>
                <w:color w:val="auto"/>
                <w:sz w:val="24"/>
                <w:szCs w:val="24"/>
              </w:rPr>
            </w:pPr>
          </w:p>
        </w:tc>
        <w:tc>
          <w:tcPr>
            <w:tcW w:w="2835" w:type="dxa"/>
            <w:vAlign w:val="center"/>
          </w:tcPr>
          <w:p w14:paraId="733E34D9">
            <w:pPr>
              <w:spacing w:line="400" w:lineRule="exact"/>
              <w:rPr>
                <w:rFonts w:ascii="宋体" w:hAnsi="宋体" w:cs="宋体"/>
                <w:color w:val="auto"/>
                <w:sz w:val="24"/>
                <w:szCs w:val="24"/>
              </w:rPr>
            </w:pPr>
            <w:r>
              <w:rPr>
                <w:rFonts w:hint="eastAsia" w:ascii="宋体" w:hAnsi="宋体" w:cs="宋体"/>
                <w:color w:val="auto"/>
                <w:sz w:val="24"/>
                <w:szCs w:val="24"/>
              </w:rPr>
              <w:t>6.法律、行政法规规定的其他条件</w:t>
            </w:r>
          </w:p>
        </w:tc>
        <w:tc>
          <w:tcPr>
            <w:tcW w:w="5267" w:type="dxa"/>
            <w:vAlign w:val="center"/>
          </w:tcPr>
          <w:p w14:paraId="3375C4C6">
            <w:pPr>
              <w:spacing w:line="400" w:lineRule="exact"/>
              <w:jc w:val="center"/>
              <w:rPr>
                <w:rFonts w:ascii="宋体" w:hAnsi="宋体" w:cs="宋体"/>
                <w:color w:val="auto"/>
                <w:sz w:val="24"/>
                <w:szCs w:val="24"/>
              </w:rPr>
            </w:pPr>
            <w:r>
              <w:rPr>
                <w:rFonts w:hint="eastAsia" w:ascii="宋体" w:hAnsi="宋体" w:cs="宋体"/>
                <w:color w:val="auto"/>
                <w:sz w:val="24"/>
                <w:szCs w:val="24"/>
              </w:rPr>
              <w:t>/</w:t>
            </w:r>
          </w:p>
        </w:tc>
      </w:tr>
      <w:tr w14:paraId="696DE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17" w:type="dxa"/>
            <w:vMerge w:val="continue"/>
            <w:vAlign w:val="center"/>
          </w:tcPr>
          <w:p w14:paraId="070140C4">
            <w:pPr>
              <w:spacing w:line="400" w:lineRule="exact"/>
              <w:rPr>
                <w:rFonts w:ascii="宋体" w:hAnsi="宋体" w:cs="宋体"/>
                <w:color w:val="auto"/>
                <w:sz w:val="24"/>
                <w:szCs w:val="24"/>
              </w:rPr>
            </w:pPr>
          </w:p>
        </w:tc>
        <w:tc>
          <w:tcPr>
            <w:tcW w:w="709" w:type="dxa"/>
            <w:vMerge w:val="continue"/>
            <w:vAlign w:val="center"/>
          </w:tcPr>
          <w:p w14:paraId="7D956A5C">
            <w:pPr>
              <w:spacing w:line="400" w:lineRule="exact"/>
              <w:rPr>
                <w:rFonts w:ascii="宋体" w:hAnsi="宋体" w:cs="宋体"/>
                <w:color w:val="auto"/>
                <w:sz w:val="24"/>
                <w:szCs w:val="24"/>
              </w:rPr>
            </w:pPr>
          </w:p>
        </w:tc>
        <w:tc>
          <w:tcPr>
            <w:tcW w:w="2835" w:type="dxa"/>
            <w:vAlign w:val="center"/>
          </w:tcPr>
          <w:p w14:paraId="2387AF2F">
            <w:pPr>
              <w:spacing w:line="400" w:lineRule="exact"/>
              <w:rPr>
                <w:rFonts w:ascii="宋体" w:hAnsi="宋体" w:cs="宋体"/>
                <w:color w:val="auto"/>
                <w:sz w:val="24"/>
                <w:szCs w:val="24"/>
              </w:rPr>
            </w:pPr>
            <w:r>
              <w:rPr>
                <w:rFonts w:hint="eastAsia" w:ascii="宋体" w:hAnsi="宋体" w:cs="宋体"/>
                <w:color w:val="auto"/>
                <w:sz w:val="24"/>
                <w:szCs w:val="24"/>
              </w:rPr>
              <w:t>7.本项目的特定资格要求</w:t>
            </w:r>
          </w:p>
        </w:tc>
        <w:tc>
          <w:tcPr>
            <w:tcW w:w="5267" w:type="dxa"/>
            <w:vAlign w:val="center"/>
          </w:tcPr>
          <w:p w14:paraId="35CB1FF4">
            <w:pPr>
              <w:spacing w:line="400" w:lineRule="exact"/>
              <w:rPr>
                <w:rFonts w:ascii="宋体" w:hAnsi="宋体" w:cs="宋体"/>
                <w:color w:val="auto"/>
                <w:sz w:val="24"/>
                <w:szCs w:val="24"/>
              </w:rPr>
            </w:pPr>
            <w:r>
              <w:rPr>
                <w:rFonts w:hint="eastAsia" w:ascii="宋体" w:hAnsi="宋体" w:cs="宋体"/>
                <w:color w:val="auto"/>
                <w:sz w:val="24"/>
                <w:szCs w:val="24"/>
              </w:rPr>
              <w:t>按第一篇“三、供应商资格要求（二）本项目的特定资格要求”的要求提交（如果有）。</w:t>
            </w:r>
          </w:p>
        </w:tc>
      </w:tr>
    </w:tbl>
    <w:p w14:paraId="1CB366F8">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注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54ACF38C">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sz w:val="24"/>
          <w:szCs w:val="24"/>
        </w:rPr>
        <w:t>2.实质性响应审查。谈判小组应当对响应文件进行评审，并根据谈判文件规定的采购程序、评定成交的标准等事项与实质性响应谈判文件要求的供应商进行谈判。未实质性响应谈判文件的响应文件按无效处理，谈判小组应当告知有关供应商。实质性响应审查内容如下：</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499"/>
        <w:gridCol w:w="6259"/>
      </w:tblGrid>
      <w:tr w14:paraId="2B3D2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70" w:type="dxa"/>
            <w:vAlign w:val="center"/>
          </w:tcPr>
          <w:p w14:paraId="665FCAEE">
            <w:pPr>
              <w:spacing w:line="400" w:lineRule="exact"/>
              <w:jc w:val="center"/>
              <w:rPr>
                <w:rFonts w:ascii="宋体" w:hAnsi="宋体" w:cs="宋体"/>
                <w:b/>
                <w:color w:val="auto"/>
                <w:kern w:val="0"/>
                <w:sz w:val="24"/>
                <w:szCs w:val="24"/>
              </w:rPr>
            </w:pPr>
            <w:r>
              <w:rPr>
                <w:rFonts w:hint="eastAsia" w:ascii="宋体" w:hAnsi="宋体" w:cs="宋体"/>
                <w:b/>
                <w:color w:val="auto"/>
                <w:kern w:val="0"/>
                <w:sz w:val="24"/>
                <w:szCs w:val="24"/>
              </w:rPr>
              <w:t>序号</w:t>
            </w:r>
          </w:p>
        </w:tc>
        <w:tc>
          <w:tcPr>
            <w:tcW w:w="2499" w:type="dxa"/>
            <w:vAlign w:val="center"/>
          </w:tcPr>
          <w:p w14:paraId="3F6E5A1E">
            <w:pPr>
              <w:spacing w:line="400" w:lineRule="exact"/>
              <w:jc w:val="center"/>
              <w:rPr>
                <w:rFonts w:ascii="宋体" w:hAnsi="宋体" w:cs="宋体"/>
                <w:b/>
                <w:color w:val="auto"/>
                <w:kern w:val="0"/>
                <w:sz w:val="24"/>
                <w:szCs w:val="24"/>
              </w:rPr>
            </w:pPr>
            <w:r>
              <w:rPr>
                <w:rFonts w:hint="eastAsia" w:ascii="宋体" w:hAnsi="宋体" w:cs="宋体"/>
                <w:b/>
                <w:color w:val="auto"/>
                <w:kern w:val="0"/>
                <w:sz w:val="24"/>
                <w:szCs w:val="24"/>
              </w:rPr>
              <w:t>审查因素</w:t>
            </w:r>
          </w:p>
        </w:tc>
        <w:tc>
          <w:tcPr>
            <w:tcW w:w="6259" w:type="dxa"/>
            <w:vAlign w:val="center"/>
          </w:tcPr>
          <w:p w14:paraId="5B8FF102">
            <w:pPr>
              <w:spacing w:line="400" w:lineRule="exact"/>
              <w:jc w:val="center"/>
              <w:rPr>
                <w:rFonts w:ascii="宋体" w:hAnsi="宋体" w:cs="宋体"/>
                <w:b/>
                <w:color w:val="auto"/>
                <w:kern w:val="0"/>
                <w:sz w:val="24"/>
                <w:szCs w:val="24"/>
              </w:rPr>
            </w:pPr>
            <w:r>
              <w:rPr>
                <w:rFonts w:hint="eastAsia" w:ascii="宋体" w:hAnsi="宋体" w:cs="宋体"/>
                <w:b/>
                <w:color w:val="auto"/>
                <w:kern w:val="0"/>
                <w:sz w:val="24"/>
                <w:szCs w:val="24"/>
              </w:rPr>
              <w:t>审查标准</w:t>
            </w:r>
          </w:p>
        </w:tc>
      </w:tr>
      <w:tr w14:paraId="5B614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70" w:type="dxa"/>
            <w:vMerge w:val="restart"/>
            <w:vAlign w:val="center"/>
          </w:tcPr>
          <w:p w14:paraId="74DC27A7">
            <w:pPr>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2499" w:type="dxa"/>
            <w:vAlign w:val="center"/>
          </w:tcPr>
          <w:p w14:paraId="2AFD2537">
            <w:pPr>
              <w:spacing w:line="400" w:lineRule="exact"/>
              <w:rPr>
                <w:rFonts w:ascii="宋体" w:hAnsi="宋体" w:cs="宋体"/>
                <w:color w:val="auto"/>
                <w:kern w:val="0"/>
                <w:sz w:val="24"/>
                <w:szCs w:val="24"/>
              </w:rPr>
            </w:pPr>
            <w:r>
              <w:rPr>
                <w:rFonts w:hint="eastAsia" w:ascii="宋体" w:hAnsi="宋体" w:cs="宋体"/>
                <w:color w:val="auto"/>
                <w:sz w:val="24"/>
                <w:szCs w:val="24"/>
              </w:rPr>
              <w:t>响应文件签署或盖章</w:t>
            </w:r>
          </w:p>
        </w:tc>
        <w:tc>
          <w:tcPr>
            <w:tcW w:w="6259" w:type="dxa"/>
            <w:vAlign w:val="center"/>
          </w:tcPr>
          <w:p w14:paraId="188C1EA9">
            <w:pPr>
              <w:spacing w:line="400" w:lineRule="exact"/>
              <w:rPr>
                <w:rFonts w:ascii="宋体" w:hAnsi="宋体" w:cs="宋体"/>
                <w:color w:val="auto"/>
                <w:kern w:val="0"/>
                <w:sz w:val="24"/>
                <w:szCs w:val="24"/>
              </w:rPr>
            </w:pPr>
            <w:r>
              <w:rPr>
                <w:rFonts w:hint="eastAsia" w:ascii="宋体" w:hAnsi="宋体" w:cs="宋体"/>
                <w:color w:val="auto"/>
                <w:sz w:val="24"/>
                <w:szCs w:val="24"/>
              </w:rPr>
              <w:t>按“第七篇响应文件格式要求”要求签署或盖章</w:t>
            </w:r>
          </w:p>
        </w:tc>
      </w:tr>
      <w:tr w14:paraId="2FE60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70" w:type="dxa"/>
            <w:vMerge w:val="continue"/>
            <w:vAlign w:val="center"/>
          </w:tcPr>
          <w:p w14:paraId="5055246C">
            <w:pPr>
              <w:spacing w:line="400" w:lineRule="exact"/>
              <w:jc w:val="center"/>
              <w:rPr>
                <w:rFonts w:ascii="宋体" w:hAnsi="宋体" w:cs="宋体"/>
                <w:color w:val="auto"/>
                <w:kern w:val="0"/>
                <w:sz w:val="24"/>
                <w:szCs w:val="24"/>
              </w:rPr>
            </w:pPr>
          </w:p>
        </w:tc>
        <w:tc>
          <w:tcPr>
            <w:tcW w:w="2499" w:type="dxa"/>
            <w:vAlign w:val="center"/>
          </w:tcPr>
          <w:p w14:paraId="29268578">
            <w:pPr>
              <w:spacing w:line="400" w:lineRule="exact"/>
              <w:rPr>
                <w:rFonts w:ascii="宋体" w:hAnsi="宋体" w:cs="宋体"/>
                <w:color w:val="auto"/>
                <w:sz w:val="24"/>
                <w:szCs w:val="24"/>
              </w:rPr>
            </w:pPr>
            <w:r>
              <w:rPr>
                <w:rFonts w:hint="eastAsia" w:ascii="宋体" w:hAnsi="宋体" w:cs="宋体"/>
                <w:color w:val="auto"/>
                <w:sz w:val="24"/>
                <w:szCs w:val="24"/>
              </w:rPr>
              <w:t>法定代表人身份证明及授权委托书</w:t>
            </w:r>
          </w:p>
        </w:tc>
        <w:tc>
          <w:tcPr>
            <w:tcW w:w="6259" w:type="dxa"/>
            <w:vAlign w:val="center"/>
          </w:tcPr>
          <w:p w14:paraId="0FF50846">
            <w:pPr>
              <w:spacing w:line="400" w:lineRule="exact"/>
              <w:rPr>
                <w:rFonts w:ascii="宋体" w:hAnsi="宋体" w:cs="宋体"/>
                <w:color w:val="auto"/>
                <w:sz w:val="24"/>
                <w:szCs w:val="24"/>
              </w:rPr>
            </w:pPr>
            <w:r>
              <w:rPr>
                <w:rFonts w:hint="eastAsia" w:ascii="宋体" w:hAnsi="宋体" w:cs="宋体"/>
                <w:color w:val="auto"/>
                <w:sz w:val="24"/>
                <w:szCs w:val="24"/>
              </w:rPr>
              <w:t>法定代表人身份证明及授权委托书有效，符合竞争性谈判文件规定的格式，签署或盖章齐全。</w:t>
            </w:r>
          </w:p>
        </w:tc>
      </w:tr>
      <w:tr w14:paraId="18A21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70" w:type="dxa"/>
            <w:vMerge w:val="continue"/>
            <w:vAlign w:val="center"/>
          </w:tcPr>
          <w:p w14:paraId="7764D2EC">
            <w:pPr>
              <w:spacing w:line="400" w:lineRule="exact"/>
              <w:jc w:val="center"/>
              <w:rPr>
                <w:rFonts w:ascii="宋体" w:hAnsi="宋体" w:cs="宋体"/>
                <w:color w:val="auto"/>
                <w:kern w:val="0"/>
                <w:sz w:val="24"/>
                <w:szCs w:val="24"/>
              </w:rPr>
            </w:pPr>
          </w:p>
        </w:tc>
        <w:tc>
          <w:tcPr>
            <w:tcW w:w="2499" w:type="dxa"/>
            <w:vAlign w:val="center"/>
          </w:tcPr>
          <w:p w14:paraId="18F998F9">
            <w:pPr>
              <w:spacing w:line="400" w:lineRule="exact"/>
              <w:rPr>
                <w:rFonts w:ascii="宋体" w:hAnsi="宋体" w:cs="宋体"/>
                <w:color w:val="auto"/>
                <w:sz w:val="24"/>
                <w:szCs w:val="24"/>
                <w:lang w:val="zh-CN"/>
              </w:rPr>
            </w:pPr>
            <w:r>
              <w:rPr>
                <w:rFonts w:hint="eastAsia" w:ascii="宋体" w:hAnsi="宋体" w:cs="宋体"/>
                <w:color w:val="auto"/>
                <w:sz w:val="24"/>
                <w:szCs w:val="24"/>
              </w:rPr>
              <w:t>响应</w:t>
            </w:r>
            <w:r>
              <w:rPr>
                <w:rFonts w:hint="eastAsia" w:ascii="宋体" w:hAnsi="宋体" w:cs="宋体"/>
                <w:color w:val="auto"/>
                <w:sz w:val="24"/>
                <w:szCs w:val="24"/>
                <w:lang w:val="zh-CN"/>
              </w:rPr>
              <w:t>方案</w:t>
            </w:r>
          </w:p>
        </w:tc>
        <w:tc>
          <w:tcPr>
            <w:tcW w:w="6259" w:type="dxa"/>
            <w:vAlign w:val="center"/>
          </w:tcPr>
          <w:p w14:paraId="17AA22CC">
            <w:pPr>
              <w:spacing w:line="400" w:lineRule="exact"/>
              <w:rPr>
                <w:rFonts w:ascii="宋体" w:hAnsi="宋体" w:cs="宋体"/>
                <w:color w:val="auto"/>
                <w:kern w:val="0"/>
                <w:sz w:val="24"/>
                <w:szCs w:val="24"/>
              </w:rPr>
            </w:pPr>
            <w:r>
              <w:rPr>
                <w:rFonts w:hint="eastAsia" w:ascii="宋体" w:hAnsi="宋体" w:cs="宋体"/>
                <w:color w:val="auto"/>
                <w:sz w:val="24"/>
                <w:szCs w:val="24"/>
                <w:lang w:val="zh-CN"/>
              </w:rPr>
              <w:t>只能有一个</w:t>
            </w:r>
            <w:r>
              <w:rPr>
                <w:rFonts w:hint="eastAsia" w:ascii="宋体" w:hAnsi="宋体" w:cs="宋体"/>
                <w:color w:val="auto"/>
                <w:sz w:val="24"/>
                <w:szCs w:val="24"/>
              </w:rPr>
              <w:t>响应</w:t>
            </w:r>
            <w:r>
              <w:rPr>
                <w:rFonts w:hint="eastAsia" w:ascii="宋体" w:hAnsi="宋体" w:cs="宋体"/>
                <w:color w:val="auto"/>
                <w:sz w:val="24"/>
                <w:szCs w:val="24"/>
                <w:lang w:val="zh-CN"/>
              </w:rPr>
              <w:t>方案。</w:t>
            </w:r>
          </w:p>
        </w:tc>
      </w:tr>
      <w:tr w14:paraId="0B33D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70" w:type="dxa"/>
            <w:vMerge w:val="continue"/>
            <w:vAlign w:val="center"/>
          </w:tcPr>
          <w:p w14:paraId="49FC4F1D">
            <w:pPr>
              <w:spacing w:line="400" w:lineRule="exact"/>
              <w:jc w:val="center"/>
              <w:rPr>
                <w:rFonts w:ascii="宋体" w:hAnsi="宋体" w:cs="宋体"/>
                <w:color w:val="auto"/>
                <w:kern w:val="0"/>
                <w:sz w:val="24"/>
                <w:szCs w:val="24"/>
              </w:rPr>
            </w:pPr>
          </w:p>
        </w:tc>
        <w:tc>
          <w:tcPr>
            <w:tcW w:w="2499" w:type="dxa"/>
            <w:vAlign w:val="center"/>
          </w:tcPr>
          <w:p w14:paraId="67CBD4AE">
            <w:pPr>
              <w:spacing w:line="400" w:lineRule="exact"/>
              <w:rPr>
                <w:rFonts w:ascii="宋体" w:hAnsi="宋体" w:cs="宋体"/>
                <w:color w:val="auto"/>
                <w:sz w:val="24"/>
                <w:szCs w:val="24"/>
                <w:lang w:val="zh-CN"/>
              </w:rPr>
            </w:pPr>
            <w:r>
              <w:rPr>
                <w:rFonts w:hint="eastAsia" w:ascii="宋体" w:hAnsi="宋体" w:cs="宋体"/>
                <w:color w:val="auto"/>
                <w:sz w:val="24"/>
                <w:szCs w:val="24"/>
              </w:rPr>
              <w:t>报价唯一</w:t>
            </w:r>
          </w:p>
        </w:tc>
        <w:tc>
          <w:tcPr>
            <w:tcW w:w="6259" w:type="dxa"/>
            <w:vAlign w:val="center"/>
          </w:tcPr>
          <w:p w14:paraId="4CFF55C1">
            <w:pPr>
              <w:spacing w:line="400" w:lineRule="exact"/>
              <w:rPr>
                <w:rFonts w:ascii="宋体" w:hAnsi="宋体" w:cs="宋体"/>
                <w:color w:val="auto"/>
                <w:kern w:val="0"/>
                <w:sz w:val="24"/>
                <w:szCs w:val="24"/>
              </w:rPr>
            </w:pPr>
            <w:r>
              <w:rPr>
                <w:rFonts w:hint="eastAsia" w:ascii="宋体" w:hAnsi="宋体" w:cs="宋体"/>
                <w:color w:val="auto"/>
                <w:sz w:val="24"/>
                <w:szCs w:val="24"/>
              </w:rPr>
              <w:t>只能有一个有效报价，不得提交选择性报价。</w:t>
            </w:r>
          </w:p>
        </w:tc>
      </w:tr>
      <w:tr w14:paraId="4F313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870" w:type="dxa"/>
            <w:vAlign w:val="center"/>
          </w:tcPr>
          <w:p w14:paraId="3465287A">
            <w:pPr>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2</w:t>
            </w:r>
          </w:p>
        </w:tc>
        <w:tc>
          <w:tcPr>
            <w:tcW w:w="2499" w:type="dxa"/>
            <w:vAlign w:val="center"/>
          </w:tcPr>
          <w:p w14:paraId="611ED971">
            <w:pPr>
              <w:spacing w:line="400" w:lineRule="exact"/>
              <w:rPr>
                <w:rFonts w:ascii="宋体" w:hAnsi="宋体" w:cs="宋体"/>
                <w:color w:val="auto"/>
                <w:kern w:val="0"/>
                <w:sz w:val="24"/>
                <w:szCs w:val="24"/>
              </w:rPr>
            </w:pPr>
            <w:r>
              <w:rPr>
                <w:rFonts w:hint="eastAsia" w:ascii="宋体" w:hAnsi="宋体" w:cs="宋体"/>
                <w:color w:val="auto"/>
                <w:sz w:val="24"/>
                <w:szCs w:val="24"/>
              </w:rPr>
              <w:t>响应</w:t>
            </w:r>
            <w:r>
              <w:rPr>
                <w:rFonts w:hint="eastAsia" w:ascii="宋体" w:hAnsi="宋体" w:cs="宋体"/>
                <w:color w:val="auto"/>
                <w:sz w:val="24"/>
                <w:szCs w:val="24"/>
                <w:lang w:val="zh-CN"/>
              </w:rPr>
              <w:t>文件份数</w:t>
            </w:r>
          </w:p>
        </w:tc>
        <w:tc>
          <w:tcPr>
            <w:tcW w:w="6259" w:type="dxa"/>
            <w:vAlign w:val="center"/>
          </w:tcPr>
          <w:p w14:paraId="1A647224">
            <w:pPr>
              <w:spacing w:line="400" w:lineRule="exact"/>
              <w:rPr>
                <w:rFonts w:ascii="宋体" w:hAnsi="宋体" w:cs="宋体"/>
                <w:color w:val="auto"/>
                <w:kern w:val="0"/>
                <w:sz w:val="24"/>
                <w:szCs w:val="24"/>
              </w:rPr>
            </w:pPr>
            <w:r>
              <w:rPr>
                <w:rFonts w:hint="eastAsia" w:ascii="宋体" w:hAnsi="宋体" w:cs="宋体"/>
                <w:color w:val="auto"/>
                <w:sz w:val="24"/>
                <w:szCs w:val="24"/>
              </w:rPr>
              <w:t>响应</w:t>
            </w:r>
            <w:r>
              <w:rPr>
                <w:rFonts w:hint="eastAsia" w:ascii="宋体" w:hAnsi="宋体" w:cs="宋体"/>
                <w:color w:val="auto"/>
                <w:sz w:val="24"/>
                <w:szCs w:val="24"/>
                <w:lang w:val="zh-CN"/>
              </w:rPr>
              <w:t>文件正、副本数量（含电子文档）符合</w:t>
            </w:r>
            <w:r>
              <w:rPr>
                <w:rFonts w:hint="eastAsia" w:ascii="宋体" w:hAnsi="宋体" w:cs="宋体"/>
                <w:color w:val="auto"/>
                <w:sz w:val="24"/>
                <w:szCs w:val="24"/>
              </w:rPr>
              <w:t>竞争性谈判</w:t>
            </w:r>
            <w:r>
              <w:rPr>
                <w:rFonts w:hint="eastAsia" w:ascii="宋体" w:hAnsi="宋体" w:cs="宋体"/>
                <w:color w:val="auto"/>
                <w:sz w:val="24"/>
                <w:szCs w:val="24"/>
                <w:lang w:val="zh-CN"/>
              </w:rPr>
              <w:t>文件要求。</w:t>
            </w:r>
          </w:p>
        </w:tc>
      </w:tr>
      <w:tr w14:paraId="54B01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70" w:type="dxa"/>
            <w:vMerge w:val="restart"/>
            <w:vAlign w:val="center"/>
          </w:tcPr>
          <w:p w14:paraId="229A562E">
            <w:pPr>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3</w:t>
            </w:r>
          </w:p>
        </w:tc>
        <w:tc>
          <w:tcPr>
            <w:tcW w:w="2499" w:type="dxa"/>
            <w:vAlign w:val="center"/>
          </w:tcPr>
          <w:p w14:paraId="3094D6DE">
            <w:pPr>
              <w:spacing w:line="400" w:lineRule="exact"/>
              <w:rPr>
                <w:rFonts w:ascii="宋体" w:hAnsi="宋体" w:cs="宋体"/>
                <w:color w:val="auto"/>
                <w:kern w:val="0"/>
                <w:sz w:val="24"/>
                <w:szCs w:val="24"/>
              </w:rPr>
            </w:pPr>
            <w:r>
              <w:rPr>
                <w:rFonts w:hint="eastAsia" w:ascii="宋体" w:hAnsi="宋体" w:cs="宋体"/>
                <w:color w:val="auto"/>
                <w:kern w:val="0"/>
                <w:sz w:val="24"/>
                <w:szCs w:val="24"/>
              </w:rPr>
              <w:t>响应文件内容</w:t>
            </w:r>
          </w:p>
        </w:tc>
        <w:tc>
          <w:tcPr>
            <w:tcW w:w="6259" w:type="dxa"/>
            <w:vAlign w:val="center"/>
          </w:tcPr>
          <w:p w14:paraId="6EDE8F02">
            <w:pPr>
              <w:pStyle w:val="34"/>
              <w:spacing w:line="400" w:lineRule="exact"/>
              <w:rPr>
                <w:rFonts w:ascii="宋体" w:hAnsi="宋体" w:cs="宋体"/>
                <w:color w:val="auto"/>
                <w:kern w:val="0"/>
                <w:sz w:val="24"/>
                <w:szCs w:val="24"/>
              </w:rPr>
            </w:pPr>
            <w:r>
              <w:rPr>
                <w:rFonts w:hint="eastAsia" w:ascii="宋体" w:hAnsi="宋体" w:cs="宋体"/>
                <w:color w:val="auto"/>
                <w:kern w:val="0"/>
                <w:sz w:val="24"/>
                <w:szCs w:val="24"/>
              </w:rPr>
              <w:t>对竞争性谈判文件第二篇、第三篇规定的谈判内容进行实质性响应。</w:t>
            </w:r>
          </w:p>
        </w:tc>
      </w:tr>
      <w:tr w14:paraId="32F5B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vMerge w:val="continue"/>
            <w:vAlign w:val="center"/>
          </w:tcPr>
          <w:p w14:paraId="7FCB5EF1">
            <w:pPr>
              <w:spacing w:line="400" w:lineRule="exact"/>
              <w:jc w:val="center"/>
              <w:rPr>
                <w:rFonts w:ascii="宋体" w:hAnsi="宋体" w:cs="宋体"/>
                <w:color w:val="auto"/>
                <w:kern w:val="0"/>
                <w:sz w:val="24"/>
                <w:szCs w:val="24"/>
              </w:rPr>
            </w:pPr>
          </w:p>
        </w:tc>
        <w:tc>
          <w:tcPr>
            <w:tcW w:w="2499" w:type="dxa"/>
            <w:vAlign w:val="center"/>
          </w:tcPr>
          <w:p w14:paraId="045290D2">
            <w:pPr>
              <w:spacing w:line="400" w:lineRule="exact"/>
              <w:rPr>
                <w:rFonts w:ascii="宋体" w:hAnsi="宋体" w:cs="宋体"/>
                <w:color w:val="auto"/>
                <w:kern w:val="0"/>
                <w:sz w:val="24"/>
                <w:szCs w:val="24"/>
              </w:rPr>
            </w:pPr>
            <w:r>
              <w:rPr>
                <w:rFonts w:hint="eastAsia" w:ascii="宋体" w:hAnsi="宋体" w:cs="宋体"/>
                <w:color w:val="auto"/>
                <w:kern w:val="0"/>
                <w:sz w:val="24"/>
                <w:szCs w:val="24"/>
              </w:rPr>
              <w:t>谈判有效期</w:t>
            </w:r>
          </w:p>
        </w:tc>
        <w:tc>
          <w:tcPr>
            <w:tcW w:w="6259" w:type="dxa"/>
            <w:vAlign w:val="center"/>
          </w:tcPr>
          <w:p w14:paraId="1940450C">
            <w:pPr>
              <w:spacing w:line="400" w:lineRule="exact"/>
              <w:rPr>
                <w:rFonts w:ascii="宋体" w:hAnsi="宋体" w:cs="宋体"/>
                <w:color w:val="auto"/>
                <w:kern w:val="0"/>
                <w:sz w:val="24"/>
                <w:szCs w:val="24"/>
              </w:rPr>
            </w:pPr>
            <w:r>
              <w:rPr>
                <w:rFonts w:hint="eastAsia" w:ascii="宋体" w:hAnsi="宋体" w:cs="宋体"/>
                <w:color w:val="auto"/>
                <w:kern w:val="0"/>
                <w:sz w:val="24"/>
                <w:szCs w:val="24"/>
              </w:rPr>
              <w:t>响应文件及有关承诺文件有效期为提交响应文件截止时间起90天。</w:t>
            </w:r>
          </w:p>
        </w:tc>
      </w:tr>
    </w:tbl>
    <w:p w14:paraId="1647230B">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B0AE066">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谈判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5EE190C4">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（四）在谈判过程中谈判的任何一方不得向他人透露与谈判有关的技术资料、价格或其他信息。</w:t>
      </w:r>
    </w:p>
    <w:p w14:paraId="5DFF9F06">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五）在谈判过程中，谈判小组可以根据竞争性谈判文件和谈判情况实质性变动采购需求中的技术（质量）、商务要求以及合同草案条款，但不得变动竞争性谈判文件中的其他内容。实质性变动的内容，须经采购人代表确认。对竞争性谈判文件作出的实质性变动是竞争性谈判文件的有效组成部分，谈判小组应当及时以书面形式同时通知所有参加谈判的供应商。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413102B2">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（六）供应商在谈判时作出的所有书面承诺须由法定代表人（或其授权代表）或自然人（供应商为自然人）签署。</w:t>
      </w:r>
    </w:p>
    <w:p w14:paraId="060B6744">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七）谈判结束后，谈判小组要求所有参加正式谈判的供应商在规定时间内同时书面提交最后报价及有关承诺（《最后报价表》在谈判现场向供应商提供）。已提交响应文件但未在规定时间内进行最后报价的供应商，视为放弃最后报价，以供应商响应文件中的报价为准。</w:t>
      </w:r>
    </w:p>
    <w:p w14:paraId="7C0AD631">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（八）评审的依据为竞争性谈判文件和响应文件（含有效的补充文件）。谈判小组判断响应文件对竞争性谈判文件的响应，仅基于响应文件本身而不靠外部证据。</w:t>
      </w:r>
    </w:p>
    <w:p w14:paraId="7145BD06">
      <w:pPr>
        <w:pStyle w:val="4"/>
        <w:adjustRightInd w:val="0"/>
        <w:snapToGrid w:val="0"/>
        <w:spacing w:before="0" w:after="0" w:line="400" w:lineRule="exact"/>
        <w:ind w:firstLine="482" w:firstLineChars="200"/>
        <w:rPr>
          <w:rFonts w:ascii="宋体" w:hAnsi="宋体" w:eastAsia="宋体" w:cs="宋体"/>
          <w:color w:val="auto"/>
          <w:sz w:val="24"/>
        </w:rPr>
      </w:pPr>
      <w:bookmarkStart w:id="102" w:name="_Toc30639"/>
      <w:bookmarkStart w:id="103" w:name="_Toc29659"/>
      <w:bookmarkStart w:id="104" w:name="_Toc64732013"/>
      <w:bookmarkStart w:id="105" w:name="_Toc11713"/>
      <w:bookmarkStart w:id="106" w:name="_Toc65660351"/>
      <w:r>
        <w:rPr>
          <w:rFonts w:hint="eastAsia" w:ascii="宋体" w:hAnsi="宋体" w:eastAsia="宋体" w:cs="宋体"/>
          <w:color w:val="auto"/>
          <w:sz w:val="24"/>
        </w:rPr>
        <w:t>二、评定成交的标准</w:t>
      </w:r>
      <w:bookmarkEnd w:id="102"/>
      <w:bookmarkEnd w:id="103"/>
      <w:bookmarkEnd w:id="104"/>
      <w:bookmarkEnd w:id="105"/>
      <w:bookmarkEnd w:id="106"/>
    </w:p>
    <w:p w14:paraId="7DC54F28">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（一）谈判小组将依照本竞争性谈判文件相关规定对技术（质量）和商务均能满足竞争性谈判实质性响应要求的供应商所提交的最后报价按照由低到高的顺序提出成交候选人，并编写评审报告。</w:t>
      </w:r>
    </w:p>
    <w:p w14:paraId="2E19E8F6">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（二）若供应商的最后报价价格相同，按技术（质量）条款的优劣顺序排列；以上都相同的，按商务条款的优劣顺序排列。</w:t>
      </w:r>
    </w:p>
    <w:p w14:paraId="26E94C01">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（三）成交价格=成交供应商的最后报价。</w:t>
      </w:r>
    </w:p>
    <w:p w14:paraId="027D8749">
      <w:pPr>
        <w:pStyle w:val="4"/>
        <w:adjustRightInd w:val="0"/>
        <w:snapToGrid w:val="0"/>
        <w:spacing w:before="0" w:after="0" w:line="400" w:lineRule="exact"/>
        <w:ind w:firstLine="482" w:firstLineChars="200"/>
        <w:rPr>
          <w:rFonts w:ascii="宋体" w:hAnsi="宋体" w:eastAsia="宋体" w:cs="宋体"/>
          <w:color w:val="auto"/>
          <w:sz w:val="24"/>
        </w:rPr>
      </w:pPr>
      <w:bookmarkStart w:id="107" w:name="_Toc65660352"/>
      <w:bookmarkStart w:id="108" w:name="_Toc3946"/>
      <w:bookmarkStart w:id="109" w:name="_Toc29113"/>
      <w:bookmarkStart w:id="110" w:name="_Toc12644"/>
      <w:r>
        <w:rPr>
          <w:rFonts w:hint="eastAsia" w:ascii="宋体" w:hAnsi="宋体" w:eastAsia="宋体" w:cs="宋体"/>
          <w:color w:val="auto"/>
          <w:sz w:val="24"/>
        </w:rPr>
        <w:t>三、无效谈判</w:t>
      </w:r>
      <w:bookmarkEnd w:id="107"/>
      <w:bookmarkEnd w:id="108"/>
      <w:bookmarkEnd w:id="109"/>
      <w:bookmarkEnd w:id="110"/>
    </w:p>
    <w:p w14:paraId="4CF12D25">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供应商发生以下条款情况之一者，视为无效谈判：</w:t>
      </w:r>
    </w:p>
    <w:p w14:paraId="17B98AD4">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（一）供应商不符合规定的资格条件的；</w:t>
      </w:r>
    </w:p>
    <w:p w14:paraId="4553E5BB">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（二）供应商未通过实质性响应审查的；</w:t>
      </w:r>
    </w:p>
    <w:p w14:paraId="28F79E43">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（三）供应商的法定代表人（或其授权代表）或自然人未参加谈判的；</w:t>
      </w:r>
    </w:p>
    <w:p w14:paraId="787E55FE">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四</w:t>
      </w:r>
      <w:r>
        <w:rPr>
          <w:rFonts w:hint="eastAsia" w:ascii="宋体" w:hAnsi="宋体" w:cs="宋体"/>
          <w:color w:val="auto"/>
          <w:sz w:val="24"/>
          <w:szCs w:val="24"/>
        </w:rPr>
        <w:t>）供应商所提交的响应文件未按“第七篇响应文件格式要求”要求签署或盖章的；</w:t>
      </w:r>
    </w:p>
    <w:p w14:paraId="2C439B2B">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五</w:t>
      </w:r>
      <w:r>
        <w:rPr>
          <w:rFonts w:hint="eastAsia" w:ascii="宋体" w:hAnsi="宋体" w:cs="宋体"/>
          <w:color w:val="auto"/>
          <w:sz w:val="24"/>
          <w:szCs w:val="24"/>
        </w:rPr>
        <w:t>）供应商的最后报价超过采购预算或最高限价的；</w:t>
      </w:r>
    </w:p>
    <w:p w14:paraId="5E8C1F43">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六</w:t>
      </w:r>
      <w:r>
        <w:rPr>
          <w:rFonts w:hint="eastAsia" w:ascii="宋体" w:hAnsi="宋体" w:cs="宋体"/>
          <w:color w:val="auto"/>
          <w:sz w:val="24"/>
          <w:szCs w:val="24"/>
        </w:rPr>
        <w:t>）供应商不接受谈判小组修正后的价格的；</w:t>
      </w:r>
    </w:p>
    <w:p w14:paraId="0C4127B1">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七</w:t>
      </w:r>
      <w:r>
        <w:rPr>
          <w:rFonts w:hint="eastAsia" w:ascii="宋体" w:hAnsi="宋体" w:cs="宋体"/>
          <w:color w:val="auto"/>
          <w:sz w:val="24"/>
          <w:szCs w:val="24"/>
        </w:rPr>
        <w:t>）单位负责人为同一人或者存在直接控股、管理关系的不同供应商，参加同一合同项（包）谈判的；</w:t>
      </w:r>
    </w:p>
    <w:p w14:paraId="596C6960">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八</w:t>
      </w:r>
      <w:r>
        <w:rPr>
          <w:rFonts w:hint="eastAsia" w:ascii="宋体" w:hAnsi="宋体" w:cs="宋体"/>
          <w:color w:val="auto"/>
          <w:sz w:val="24"/>
          <w:szCs w:val="24"/>
        </w:rPr>
        <w:t>）为采购项目提供整体设计、规范编制或者项目管理、监理、检测等服务的供应商再参加该采购项目的其他采购活动的；</w:t>
      </w:r>
    </w:p>
    <w:p w14:paraId="0EB4C416">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九</w:t>
      </w:r>
      <w:r>
        <w:rPr>
          <w:rFonts w:hint="eastAsia" w:ascii="宋体" w:hAnsi="宋体" w:cs="宋体"/>
          <w:color w:val="auto"/>
          <w:sz w:val="24"/>
          <w:szCs w:val="24"/>
        </w:rPr>
        <w:t>）同一合同项（包）下的货物，制造商参与谈判，再委托代理商参与谈判的；</w:t>
      </w:r>
    </w:p>
    <w:p w14:paraId="6BB0403A">
      <w:pPr>
        <w:pStyle w:val="3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（十）供应商响应文件内容有与国家现行法律法规相违背的内容，或附有采购人无法接受条件的；</w:t>
      </w:r>
    </w:p>
    <w:p w14:paraId="6C8DE4C3">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（十</w:t>
      </w:r>
      <w:r>
        <w:rPr>
          <w:rFonts w:hint="eastAsia" w:ascii="宋体" w:hAnsi="宋体" w:cs="宋体"/>
          <w:color w:val="auto"/>
          <w:sz w:val="24"/>
          <w:szCs w:val="24"/>
          <w:lang w:val="en-US" w:eastAsia="zh-CN"/>
        </w:rPr>
        <w:t>一</w:t>
      </w:r>
      <w:r>
        <w:rPr>
          <w:rFonts w:hint="eastAsia" w:ascii="宋体" w:hAnsi="宋体" w:cs="宋体"/>
          <w:color w:val="auto"/>
          <w:sz w:val="24"/>
          <w:szCs w:val="24"/>
        </w:rPr>
        <w:t>）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谈判处理。</w:t>
      </w:r>
    </w:p>
    <w:p w14:paraId="3B1E1D59">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（十</w:t>
      </w:r>
      <w:r>
        <w:rPr>
          <w:rFonts w:hint="eastAsia" w:ascii="宋体" w:hAnsi="宋体" w:cs="宋体"/>
          <w:color w:val="auto"/>
          <w:sz w:val="24"/>
          <w:szCs w:val="24"/>
          <w:lang w:val="en-US" w:eastAsia="zh-CN"/>
        </w:rPr>
        <w:t>二</w:t>
      </w:r>
      <w:r>
        <w:rPr>
          <w:rFonts w:hint="eastAsia" w:ascii="宋体" w:hAnsi="宋体" w:cs="宋体"/>
          <w:color w:val="auto"/>
          <w:sz w:val="24"/>
          <w:szCs w:val="24"/>
        </w:rPr>
        <w:t>）法律、法规和竞争性谈判文件规定的其他无效情形。</w:t>
      </w:r>
    </w:p>
    <w:p w14:paraId="03430215">
      <w:pPr>
        <w:pStyle w:val="4"/>
        <w:adjustRightInd w:val="0"/>
        <w:snapToGrid w:val="0"/>
        <w:spacing w:before="0" w:after="0" w:line="400" w:lineRule="exact"/>
        <w:ind w:firstLine="482" w:firstLineChars="200"/>
        <w:rPr>
          <w:rFonts w:ascii="宋体" w:hAnsi="宋体" w:eastAsia="宋体" w:cs="宋体"/>
          <w:color w:val="auto"/>
          <w:sz w:val="24"/>
        </w:rPr>
      </w:pPr>
      <w:bookmarkStart w:id="111" w:name="_Toc28422"/>
      <w:bookmarkStart w:id="112" w:name="_Toc29298"/>
      <w:bookmarkStart w:id="113" w:name="_Toc14042"/>
      <w:bookmarkStart w:id="114" w:name="_Toc65660353"/>
      <w:r>
        <w:rPr>
          <w:rFonts w:hint="eastAsia" w:ascii="宋体" w:hAnsi="宋体" w:eastAsia="宋体" w:cs="宋体"/>
          <w:color w:val="auto"/>
          <w:sz w:val="24"/>
        </w:rPr>
        <w:t>四、采购终止</w:t>
      </w:r>
      <w:bookmarkEnd w:id="111"/>
      <w:bookmarkEnd w:id="112"/>
      <w:bookmarkEnd w:id="113"/>
      <w:bookmarkEnd w:id="114"/>
    </w:p>
    <w:p w14:paraId="64E326B0">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出现下列情形之一的，采购人或者采购代理机构应当终止竞争性谈判采购活动，发布项目终止公告并说明原因，重新开展采购活动：</w:t>
      </w:r>
    </w:p>
    <w:p w14:paraId="4D083EF9">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（一）因情况变化，不再符合规定的竞争性谈判采购方式适用情形的；</w:t>
      </w:r>
    </w:p>
    <w:p w14:paraId="4107B3C1">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（二）出现影响采购公正的违法、违规行为的；</w:t>
      </w:r>
    </w:p>
    <w:p w14:paraId="52893F74">
      <w:pPr>
        <w:snapToGrid w:val="0"/>
        <w:spacing w:line="400" w:lineRule="exact"/>
        <w:ind w:firstLine="482" w:firstLineChars="200"/>
        <w:rPr>
          <w:rFonts w:ascii="宋体" w:hAnsi="宋体" w:cs="宋体"/>
          <w:b/>
          <w:bCs/>
          <w:color w:val="auto"/>
          <w:sz w:val="24"/>
          <w:szCs w:val="24"/>
        </w:rPr>
      </w:pPr>
      <w:r>
        <w:rPr>
          <w:rFonts w:hint="eastAsia" w:ascii="宋体" w:hAnsi="宋体" w:cs="宋体"/>
          <w:b/>
          <w:bCs/>
          <w:color w:val="auto"/>
          <w:sz w:val="24"/>
          <w:szCs w:val="24"/>
        </w:rPr>
        <w:t>（三）在采购过程中符合竞争要求的供应商或者报价未超过采购预算的供应商不足</w:t>
      </w:r>
      <w:r>
        <w:rPr>
          <w:rFonts w:hint="eastAsia" w:ascii="宋体" w:hAnsi="宋体" w:cs="宋体"/>
          <w:b/>
          <w:bCs/>
          <w:color w:val="auto"/>
          <w:sz w:val="24"/>
          <w:szCs w:val="24"/>
          <w:lang w:val="en-US" w:eastAsia="zh-CN"/>
        </w:rPr>
        <w:t>2</w:t>
      </w:r>
      <w:r>
        <w:rPr>
          <w:rFonts w:hint="eastAsia" w:ascii="宋体" w:hAnsi="宋体" w:cs="宋体"/>
          <w:b/>
          <w:bCs/>
          <w:color w:val="auto"/>
          <w:sz w:val="24"/>
          <w:szCs w:val="24"/>
        </w:rPr>
        <w:t>家的。</w:t>
      </w:r>
    </w:p>
    <w:p w14:paraId="531B0BD1">
      <w:pPr>
        <w:pStyle w:val="4"/>
        <w:spacing w:before="0" w:after="0" w:line="360" w:lineRule="auto"/>
        <w:jc w:val="center"/>
        <w:rPr>
          <w:rFonts w:ascii="宋体" w:hAnsi="宋体" w:eastAsia="宋体" w:cs="宋体"/>
          <w:b w:val="0"/>
          <w:color w:val="auto"/>
          <w:sz w:val="36"/>
          <w:szCs w:val="30"/>
        </w:rPr>
      </w:pPr>
      <w:r>
        <w:rPr>
          <w:rFonts w:hint="eastAsia" w:ascii="宋体" w:hAnsi="宋体" w:eastAsia="宋体" w:cs="宋体"/>
          <w:color w:val="auto"/>
          <w:sz w:val="24"/>
          <w:szCs w:val="24"/>
        </w:rPr>
        <w:br w:type="page"/>
      </w:r>
      <w:bookmarkStart w:id="115" w:name="_Toc65660354"/>
      <w:bookmarkStart w:id="116" w:name="_Toc20055"/>
      <w:bookmarkStart w:id="117" w:name="_Toc8290"/>
      <w:bookmarkStart w:id="118" w:name="_Toc10768"/>
      <w:r>
        <w:rPr>
          <w:rFonts w:hint="eastAsia" w:ascii="宋体" w:hAnsi="宋体" w:eastAsia="宋体" w:cs="宋体"/>
          <w:b w:val="0"/>
          <w:color w:val="auto"/>
          <w:sz w:val="36"/>
          <w:szCs w:val="30"/>
        </w:rPr>
        <w:t>第五篇  供应商须知</w:t>
      </w:r>
      <w:bookmarkEnd w:id="115"/>
      <w:bookmarkEnd w:id="116"/>
      <w:bookmarkEnd w:id="117"/>
      <w:bookmarkEnd w:id="118"/>
    </w:p>
    <w:p w14:paraId="4E34624D">
      <w:pPr>
        <w:pStyle w:val="4"/>
        <w:adjustRightInd w:val="0"/>
        <w:snapToGrid w:val="0"/>
        <w:spacing w:before="0" w:after="0" w:line="400" w:lineRule="exact"/>
        <w:ind w:firstLine="482" w:firstLineChars="200"/>
        <w:rPr>
          <w:rFonts w:ascii="宋体" w:hAnsi="宋体" w:eastAsia="宋体" w:cs="宋体"/>
          <w:color w:val="auto"/>
          <w:sz w:val="24"/>
        </w:rPr>
      </w:pPr>
      <w:bookmarkStart w:id="119" w:name="_Toc65660355"/>
      <w:bookmarkStart w:id="120" w:name="_Toc16524"/>
      <w:bookmarkStart w:id="121" w:name="_Toc5290"/>
      <w:bookmarkStart w:id="122" w:name="_Toc6581"/>
      <w:r>
        <w:rPr>
          <w:rFonts w:hint="eastAsia" w:ascii="宋体" w:hAnsi="宋体" w:eastAsia="宋体" w:cs="宋体"/>
          <w:color w:val="auto"/>
          <w:sz w:val="24"/>
        </w:rPr>
        <w:t>一、谈判费用</w:t>
      </w:r>
      <w:bookmarkEnd w:id="119"/>
      <w:bookmarkEnd w:id="120"/>
      <w:bookmarkEnd w:id="121"/>
      <w:bookmarkEnd w:id="122"/>
    </w:p>
    <w:p w14:paraId="1A2BFE4B">
      <w:pPr>
        <w:pStyle w:val="180"/>
        <w:spacing w:line="400" w:lineRule="exact"/>
        <w:ind w:firstLine="480" w:firstLineChars="200"/>
        <w:rPr>
          <w:rFonts w:hAnsi="宋体" w:cs="宋体"/>
          <w:color w:val="auto"/>
          <w:sz w:val="24"/>
          <w:szCs w:val="24"/>
        </w:rPr>
      </w:pPr>
      <w:r>
        <w:rPr>
          <w:rFonts w:hint="eastAsia" w:hAnsi="宋体" w:cs="宋体"/>
          <w:color w:val="auto"/>
          <w:sz w:val="24"/>
          <w:szCs w:val="24"/>
        </w:rPr>
        <w:t>参与谈判的供应商应承担其编制响应文件与递交响应文件所涉及的一切费用，不论谈判结果如何，采购人和采购代理机构在任何情况下无义务也无责任承担这些费用。</w:t>
      </w:r>
    </w:p>
    <w:p w14:paraId="68F8239A">
      <w:pPr>
        <w:pStyle w:val="4"/>
        <w:adjustRightInd w:val="0"/>
        <w:snapToGrid w:val="0"/>
        <w:spacing w:before="0" w:after="0" w:line="400" w:lineRule="exact"/>
        <w:ind w:firstLine="482" w:firstLineChars="200"/>
        <w:rPr>
          <w:rFonts w:ascii="宋体" w:hAnsi="宋体" w:eastAsia="宋体" w:cs="宋体"/>
          <w:color w:val="auto"/>
          <w:sz w:val="24"/>
        </w:rPr>
      </w:pPr>
      <w:bookmarkStart w:id="123" w:name="_Toc31739"/>
      <w:bookmarkStart w:id="124" w:name="_Toc5915"/>
      <w:bookmarkStart w:id="125" w:name="_Toc65660356"/>
      <w:bookmarkStart w:id="126" w:name="_Toc19367"/>
      <w:r>
        <w:rPr>
          <w:rFonts w:hint="eastAsia" w:ascii="宋体" w:hAnsi="宋体" w:eastAsia="宋体" w:cs="宋体"/>
          <w:color w:val="auto"/>
          <w:sz w:val="24"/>
        </w:rPr>
        <w:t>二、竞争性谈判文件</w:t>
      </w:r>
      <w:bookmarkEnd w:id="123"/>
      <w:bookmarkEnd w:id="124"/>
      <w:bookmarkEnd w:id="125"/>
      <w:bookmarkEnd w:id="126"/>
      <w:r>
        <w:rPr>
          <w:rFonts w:hint="eastAsia" w:ascii="宋体" w:hAnsi="宋体" w:eastAsia="宋体" w:cs="宋体"/>
          <w:color w:val="auto"/>
          <w:sz w:val="24"/>
        </w:rPr>
        <w:tab/>
      </w:r>
    </w:p>
    <w:p w14:paraId="043F7630">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一）竞争性谈判文件由竞争性谈判邀请书、谈判项目技术（质量）需求、谈判项目商务需求、采购程序、评定成交的标准、无效谈判及采购终止、供应商须知、合同草案条款及格式合同、响应文件格式要求七部分组成。</w:t>
      </w:r>
    </w:p>
    <w:p w14:paraId="2E034967">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（二）采购人（或采购代理机构）所作的一切有效的书面通知、修改及补充，都是竞争性谈判文件不可分割的部分。</w:t>
      </w:r>
    </w:p>
    <w:p w14:paraId="75BAF9C8">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（三）本竞争性谈判文件中，谈判小组根据与供应商谈判情况可能实质性变动的内容为竞争性谈判文件第二、三、六篇全部内容。</w:t>
      </w:r>
    </w:p>
    <w:p w14:paraId="723028BC">
      <w:pPr>
        <w:pStyle w:val="4"/>
        <w:adjustRightInd w:val="0"/>
        <w:snapToGrid w:val="0"/>
        <w:spacing w:before="0" w:after="0" w:line="400" w:lineRule="exact"/>
        <w:ind w:firstLine="482" w:firstLineChars="200"/>
        <w:rPr>
          <w:rFonts w:ascii="宋体" w:hAnsi="宋体" w:eastAsia="宋体" w:cs="宋体"/>
          <w:color w:val="auto"/>
          <w:sz w:val="24"/>
        </w:rPr>
      </w:pPr>
      <w:bookmarkStart w:id="127" w:name="_Toc23807"/>
      <w:bookmarkStart w:id="128" w:name="_Toc9532"/>
      <w:bookmarkStart w:id="129" w:name="_Toc3061"/>
      <w:bookmarkStart w:id="130" w:name="_Toc65660357"/>
      <w:r>
        <w:rPr>
          <w:rFonts w:hint="eastAsia" w:ascii="宋体" w:hAnsi="宋体" w:eastAsia="宋体" w:cs="宋体"/>
          <w:color w:val="auto"/>
          <w:sz w:val="24"/>
        </w:rPr>
        <w:t>三、谈判要求</w:t>
      </w:r>
      <w:bookmarkEnd w:id="127"/>
      <w:bookmarkEnd w:id="128"/>
      <w:bookmarkEnd w:id="129"/>
      <w:bookmarkEnd w:id="130"/>
    </w:p>
    <w:p w14:paraId="787B66EF">
      <w:pPr>
        <w:snapToGrid w:val="0"/>
        <w:spacing w:line="400" w:lineRule="exact"/>
        <w:ind w:firstLine="360" w:firstLineChars="150"/>
        <w:outlineLvl w:val="2"/>
        <w:rPr>
          <w:rFonts w:ascii="宋体" w:hAnsi="宋体" w:cs="宋体"/>
          <w:color w:val="auto"/>
          <w:sz w:val="24"/>
          <w:szCs w:val="24"/>
        </w:rPr>
      </w:pPr>
      <w:r>
        <w:rPr>
          <w:rFonts w:hint="eastAsia" w:ascii="宋体" w:hAnsi="宋体" w:cs="宋体"/>
          <w:color w:val="auto"/>
          <w:sz w:val="24"/>
          <w:szCs w:val="24"/>
        </w:rPr>
        <w:t>（一）响应文件</w:t>
      </w:r>
    </w:p>
    <w:p w14:paraId="1E0F0C30">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供应商应当按照竞争性谈判文件的要求编制响应文件，并对竞争性谈判文件提出的要求和条件作出实质性响应，响应文件原则上采用软面订本。</w:t>
      </w:r>
    </w:p>
    <w:p w14:paraId="623EEC69">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1.响应文件组成</w:t>
      </w:r>
    </w:p>
    <w:p w14:paraId="789C4670">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0B3F118D">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2.联合体</w:t>
      </w:r>
    </w:p>
    <w:p w14:paraId="15D01362">
      <w:pPr>
        <w:spacing w:line="400" w:lineRule="exact"/>
        <w:ind w:firstLine="482" w:firstLineChars="200"/>
        <w:rPr>
          <w:rFonts w:ascii="宋体" w:hAnsi="宋体" w:cs="宋体"/>
          <w:b/>
          <w:bCs/>
          <w:color w:val="auto"/>
          <w:sz w:val="24"/>
          <w:szCs w:val="24"/>
        </w:rPr>
      </w:pPr>
      <w:r>
        <w:rPr>
          <w:rFonts w:hint="eastAsia" w:ascii="宋体" w:hAnsi="宋体" w:cs="宋体"/>
          <w:b/>
          <w:bCs/>
          <w:color w:val="auto"/>
          <w:sz w:val="24"/>
          <w:szCs w:val="24"/>
        </w:rPr>
        <w:t>本项目不接受联合体参与谈判。</w:t>
      </w:r>
    </w:p>
    <w:p w14:paraId="39BAFFFD">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3.谈判有效期：响应文件及有关承诺文件有效期为提交响应文件截止时间起90天。</w:t>
      </w:r>
    </w:p>
    <w:p w14:paraId="21AD296D">
      <w:pPr>
        <w:snapToGrid w:val="0"/>
        <w:spacing w:line="400" w:lineRule="exact"/>
        <w:ind w:firstLine="360" w:firstLineChars="150"/>
        <w:outlineLvl w:val="2"/>
        <w:rPr>
          <w:rFonts w:ascii="宋体" w:hAnsi="宋体" w:cs="宋体"/>
          <w:color w:val="auto"/>
          <w:sz w:val="24"/>
          <w:szCs w:val="24"/>
        </w:rPr>
      </w:pPr>
      <w:r>
        <w:rPr>
          <w:rFonts w:hint="eastAsia" w:ascii="宋体" w:hAnsi="宋体" w:cs="宋体"/>
          <w:color w:val="auto"/>
          <w:sz w:val="24"/>
          <w:szCs w:val="24"/>
        </w:rPr>
        <w:t>（二）谈判保证金：</w:t>
      </w:r>
    </w:p>
    <w:p w14:paraId="5A65C251">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本项目无需缴纳谈判保证金</w:t>
      </w:r>
      <w:r>
        <w:rPr>
          <w:rFonts w:hint="eastAsia" w:ascii="宋体" w:hAnsi="宋体" w:cs="宋体"/>
          <w:color w:val="auto"/>
          <w:sz w:val="24"/>
        </w:rPr>
        <w:t>。</w:t>
      </w:r>
    </w:p>
    <w:p w14:paraId="46036AC3">
      <w:pPr>
        <w:snapToGrid w:val="0"/>
        <w:spacing w:line="400" w:lineRule="exact"/>
        <w:ind w:firstLine="360" w:firstLineChars="150"/>
        <w:outlineLvl w:val="2"/>
        <w:rPr>
          <w:rFonts w:ascii="宋体" w:hAnsi="宋体" w:cs="宋体"/>
          <w:color w:val="auto"/>
          <w:sz w:val="24"/>
          <w:szCs w:val="24"/>
        </w:rPr>
      </w:pPr>
      <w:r>
        <w:rPr>
          <w:rFonts w:hint="eastAsia" w:ascii="宋体" w:hAnsi="宋体" w:cs="宋体"/>
          <w:color w:val="auto"/>
          <w:sz w:val="24"/>
          <w:szCs w:val="24"/>
        </w:rPr>
        <w:t>（三）修正错误</w:t>
      </w:r>
    </w:p>
    <w:p w14:paraId="7D127E98">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若供应商所递交的响应文件或最后报价中的价格出现大写金额和小写金额不一致的错误，以大写金额修正为准。</w:t>
      </w:r>
    </w:p>
    <w:p w14:paraId="47832BCB">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谈判小组按上述修正错误的原则及方法修正供应商的报价，供应商同意并签署确认后，修正后的报价对供应商具有约束作用。如果供应商不接受修正后的价格，将视为无效谈判。</w:t>
      </w:r>
    </w:p>
    <w:p w14:paraId="2B35F0B2">
      <w:pPr>
        <w:snapToGrid w:val="0"/>
        <w:spacing w:line="400" w:lineRule="exact"/>
        <w:ind w:firstLine="360" w:firstLineChars="150"/>
        <w:outlineLvl w:val="2"/>
        <w:rPr>
          <w:rFonts w:ascii="宋体" w:hAnsi="宋体" w:cs="宋体"/>
          <w:color w:val="auto"/>
          <w:sz w:val="24"/>
          <w:szCs w:val="24"/>
        </w:rPr>
      </w:pPr>
      <w:r>
        <w:rPr>
          <w:rFonts w:hint="eastAsia" w:ascii="宋体" w:hAnsi="宋体" w:cs="宋体"/>
          <w:color w:val="auto"/>
          <w:sz w:val="24"/>
          <w:szCs w:val="24"/>
        </w:rPr>
        <w:t>（四）提交响应文件的份数和签署</w:t>
      </w:r>
    </w:p>
    <w:p w14:paraId="3B58FF68">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3FAF56FB">
      <w:pPr>
        <w:snapToGrid w:val="0"/>
        <w:spacing w:line="400" w:lineRule="exact"/>
        <w:ind w:firstLine="480" w:firstLineChars="200"/>
        <w:rPr>
          <w:rFonts w:ascii="宋体" w:hAnsi="宋体" w:cs="宋体"/>
          <w:color w:val="auto"/>
          <w:sz w:val="24"/>
        </w:rPr>
      </w:pPr>
      <w:r>
        <w:rPr>
          <w:rFonts w:hint="eastAsia" w:ascii="宋体" w:hAnsi="宋体" w:cs="宋体"/>
          <w:color w:val="auto"/>
          <w:sz w:val="24"/>
          <w:szCs w:val="24"/>
        </w:rPr>
        <w:t>2.</w:t>
      </w:r>
      <w:r>
        <w:rPr>
          <w:rFonts w:hint="eastAsia" w:ascii="宋体" w:hAnsi="宋体" w:cs="宋体"/>
          <w:color w:val="auto"/>
          <w:sz w:val="24"/>
        </w:rPr>
        <w:t>在响应文件正本中，竞争性谈判文件第七篇响应文件格式中规定签署、盖章的地方必须按其规定签署、盖章。</w:t>
      </w:r>
    </w:p>
    <w:p w14:paraId="2282D0F7">
      <w:pPr>
        <w:snapToGrid w:val="0"/>
        <w:spacing w:line="400" w:lineRule="exact"/>
        <w:ind w:firstLine="480" w:firstLineChars="200"/>
        <w:rPr>
          <w:rFonts w:ascii="宋体" w:hAnsi="宋体" w:cs="宋体"/>
          <w:color w:val="auto"/>
          <w:sz w:val="24"/>
        </w:rPr>
      </w:pPr>
      <w:r>
        <w:rPr>
          <w:rFonts w:hint="eastAsia" w:ascii="宋体" w:hAnsi="宋体" w:cs="宋体"/>
          <w:color w:val="auto"/>
          <w:sz w:val="24"/>
        </w:rPr>
        <w:t>3.若供应商对响应文件的错处作必要修改，则应在修改处加盖供应商公章或由法定代表人（或其授权代表）或自然人</w:t>
      </w:r>
      <w:r>
        <w:rPr>
          <w:rFonts w:hint="eastAsia" w:ascii="宋体" w:hAnsi="宋体" w:cs="宋体"/>
          <w:color w:val="auto"/>
          <w:sz w:val="24"/>
          <w:szCs w:val="24"/>
        </w:rPr>
        <w:t>（供应商为自然人）签署</w:t>
      </w:r>
      <w:r>
        <w:rPr>
          <w:rFonts w:hint="eastAsia" w:ascii="宋体" w:hAnsi="宋体" w:cs="宋体"/>
          <w:color w:val="auto"/>
          <w:sz w:val="24"/>
        </w:rPr>
        <w:t>确认。</w:t>
      </w:r>
    </w:p>
    <w:p w14:paraId="2591BC49">
      <w:pPr>
        <w:snapToGrid w:val="0"/>
        <w:spacing w:line="400" w:lineRule="exact"/>
        <w:ind w:firstLine="480" w:firstLineChars="200"/>
        <w:rPr>
          <w:rFonts w:ascii="宋体" w:hAnsi="宋体" w:cs="宋体"/>
          <w:color w:val="auto"/>
          <w:sz w:val="24"/>
        </w:rPr>
      </w:pPr>
      <w:r>
        <w:rPr>
          <w:rFonts w:hint="eastAsia" w:ascii="宋体" w:hAnsi="宋体" w:cs="宋体"/>
          <w:color w:val="auto"/>
          <w:sz w:val="24"/>
        </w:rPr>
        <w:t>4.电报、电话、传真形式的响应文件概不接受。</w:t>
      </w:r>
    </w:p>
    <w:p w14:paraId="193F29D0">
      <w:pPr>
        <w:snapToGrid w:val="0"/>
        <w:spacing w:line="400" w:lineRule="exact"/>
        <w:ind w:firstLine="360" w:firstLineChars="150"/>
        <w:outlineLvl w:val="2"/>
        <w:rPr>
          <w:rFonts w:ascii="宋体" w:hAnsi="宋体" w:cs="宋体"/>
          <w:color w:val="auto"/>
          <w:sz w:val="24"/>
          <w:szCs w:val="24"/>
        </w:rPr>
      </w:pPr>
      <w:r>
        <w:rPr>
          <w:rFonts w:hint="eastAsia" w:ascii="宋体" w:hAnsi="宋体" w:cs="宋体"/>
          <w:color w:val="auto"/>
          <w:sz w:val="24"/>
          <w:szCs w:val="24"/>
        </w:rPr>
        <w:t>（五）响应文件的递交</w:t>
      </w:r>
    </w:p>
    <w:p w14:paraId="572FE4F2">
      <w:pPr>
        <w:pStyle w:val="32"/>
        <w:spacing w:line="400" w:lineRule="exact"/>
        <w:ind w:firstLine="480" w:firstLineChars="200"/>
        <w:rPr>
          <w:rFonts w:hAnsi="宋体" w:cs="宋体"/>
          <w:color w:val="auto"/>
          <w:sz w:val="24"/>
        </w:rPr>
      </w:pPr>
      <w:r>
        <w:rPr>
          <w:rFonts w:hint="eastAsia" w:hAnsi="宋体" w:cs="宋体"/>
          <w:color w:val="auto"/>
          <w:sz w:val="24"/>
          <w:szCs w:val="24"/>
        </w:rPr>
        <w:t>响应文件的正本、副本以及电子文档均应密封送达谈判地点，应在封套上注明谈判项目名称、供应商名称。若正本、副本以及电子文档分别进行密封的，还应在封套上注明“正本”“副本”“电子文档”字样。</w:t>
      </w:r>
    </w:p>
    <w:p w14:paraId="2972315C">
      <w:pPr>
        <w:snapToGrid w:val="0"/>
        <w:spacing w:line="400" w:lineRule="exact"/>
        <w:ind w:firstLine="360" w:firstLineChars="150"/>
        <w:outlineLvl w:val="2"/>
        <w:rPr>
          <w:rFonts w:ascii="宋体" w:hAnsi="宋体" w:cs="宋体"/>
          <w:color w:val="auto"/>
          <w:sz w:val="24"/>
          <w:szCs w:val="24"/>
        </w:rPr>
      </w:pPr>
      <w:r>
        <w:rPr>
          <w:rFonts w:hint="eastAsia" w:ascii="宋体" w:hAnsi="宋体" w:cs="宋体"/>
          <w:color w:val="auto"/>
          <w:sz w:val="24"/>
          <w:szCs w:val="24"/>
        </w:rPr>
        <w:t>（六）响应文件语言：简体中文</w:t>
      </w:r>
    </w:p>
    <w:p w14:paraId="2BD5D101">
      <w:pPr>
        <w:snapToGrid w:val="0"/>
        <w:spacing w:line="400" w:lineRule="exact"/>
        <w:ind w:firstLine="360" w:firstLineChars="150"/>
        <w:outlineLvl w:val="2"/>
        <w:rPr>
          <w:rFonts w:ascii="宋体" w:hAnsi="宋体" w:cs="宋体"/>
          <w:color w:val="auto"/>
          <w:sz w:val="24"/>
          <w:szCs w:val="24"/>
        </w:rPr>
      </w:pPr>
      <w:r>
        <w:rPr>
          <w:rFonts w:hint="eastAsia" w:ascii="宋体" w:hAnsi="宋体" w:cs="宋体"/>
          <w:color w:val="auto"/>
          <w:sz w:val="24"/>
          <w:szCs w:val="24"/>
        </w:rPr>
        <w:t>（七）供应商参与人员</w:t>
      </w:r>
    </w:p>
    <w:p w14:paraId="43B80987">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各供应商应当派1-2名代表参与谈判，至少1人应为法定代表人（或其授权代表）或自然人（供应商为自然人）。</w:t>
      </w:r>
    </w:p>
    <w:p w14:paraId="2FD847BB">
      <w:pPr>
        <w:pStyle w:val="4"/>
        <w:adjustRightInd w:val="0"/>
        <w:snapToGrid w:val="0"/>
        <w:spacing w:before="0" w:after="0" w:line="400" w:lineRule="exact"/>
        <w:ind w:firstLine="482" w:firstLineChars="200"/>
        <w:rPr>
          <w:rFonts w:ascii="宋体" w:hAnsi="宋体" w:eastAsia="宋体" w:cs="宋体"/>
          <w:color w:val="auto"/>
          <w:sz w:val="24"/>
        </w:rPr>
      </w:pPr>
      <w:bookmarkStart w:id="131" w:name="_Toc6242"/>
      <w:bookmarkStart w:id="132" w:name="_Toc14702"/>
      <w:bookmarkStart w:id="133" w:name="_Toc65660358"/>
      <w:bookmarkStart w:id="134" w:name="_Toc28831"/>
      <w:r>
        <w:rPr>
          <w:rFonts w:hint="eastAsia" w:ascii="宋体" w:hAnsi="宋体" w:eastAsia="宋体" w:cs="宋体"/>
          <w:color w:val="auto"/>
          <w:sz w:val="24"/>
        </w:rPr>
        <w:t>四、成交供应商的确定和变更</w:t>
      </w:r>
      <w:bookmarkEnd w:id="131"/>
      <w:bookmarkEnd w:id="132"/>
      <w:bookmarkEnd w:id="133"/>
      <w:bookmarkEnd w:id="134"/>
    </w:p>
    <w:p w14:paraId="0E96292D">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采购代理机构应当在评审结束后2个工作日内将评审报告送采购人确认。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14:paraId="75B5E128">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（二）成交供应商的变更</w:t>
      </w:r>
    </w:p>
    <w:p w14:paraId="171CFCE0">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成交供应商拒绝签订采购合同的，采购人可以按照评审报告推荐的成交候选人顺序，确定排名下一位的候选人为成交供应商，也可以重新开展采购活动。拒绝签订采购合同的成交供应商不得参加对该项目重新开展的采购活动。</w:t>
      </w:r>
    </w:p>
    <w:p w14:paraId="51D615DC">
      <w:pPr>
        <w:pStyle w:val="4"/>
        <w:adjustRightInd w:val="0"/>
        <w:snapToGrid w:val="0"/>
        <w:spacing w:before="0" w:after="0" w:line="400" w:lineRule="exact"/>
        <w:ind w:firstLine="482" w:firstLineChars="200"/>
        <w:rPr>
          <w:rFonts w:ascii="宋体" w:hAnsi="宋体" w:eastAsia="宋体" w:cs="宋体"/>
          <w:color w:val="auto"/>
          <w:sz w:val="24"/>
        </w:rPr>
      </w:pPr>
      <w:bookmarkStart w:id="135" w:name="_Toc26424"/>
      <w:bookmarkStart w:id="136" w:name="_Toc1092"/>
      <w:bookmarkStart w:id="137" w:name="_Toc29821"/>
      <w:bookmarkStart w:id="138" w:name="_Toc65660359"/>
      <w:r>
        <w:rPr>
          <w:rFonts w:hint="eastAsia" w:ascii="宋体" w:hAnsi="宋体" w:eastAsia="宋体" w:cs="宋体"/>
          <w:color w:val="auto"/>
          <w:sz w:val="24"/>
        </w:rPr>
        <w:t>五、成交通知</w:t>
      </w:r>
      <w:bookmarkEnd w:id="135"/>
      <w:bookmarkEnd w:id="136"/>
      <w:bookmarkEnd w:id="137"/>
      <w:bookmarkEnd w:id="138"/>
    </w:p>
    <w:p w14:paraId="05939188">
      <w:pPr>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（一）成交供应商确定后，采购代理机构将在“行采家”（https://www.gec123.com/）上发布成交结果公告。</w:t>
      </w:r>
    </w:p>
    <w:p w14:paraId="290B5719">
      <w:pPr>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（二）结果公告发出同时，采购代理机构将以书面形式发出《成交通知书》。《成交通知书》一经发出即发生法律效力。</w:t>
      </w:r>
    </w:p>
    <w:p w14:paraId="02F1054C">
      <w:pPr>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（三）《成交通知书》将作为签订合同的依据。</w:t>
      </w:r>
    </w:p>
    <w:p w14:paraId="367C08F4">
      <w:pPr>
        <w:pStyle w:val="4"/>
        <w:adjustRightInd w:val="0"/>
        <w:snapToGrid w:val="0"/>
        <w:spacing w:before="0" w:after="0" w:line="400" w:lineRule="exact"/>
        <w:ind w:firstLine="482" w:firstLineChars="200"/>
        <w:rPr>
          <w:rFonts w:ascii="宋体" w:hAnsi="宋体" w:eastAsia="宋体" w:cs="宋体"/>
          <w:color w:val="auto"/>
          <w:sz w:val="24"/>
        </w:rPr>
      </w:pPr>
      <w:bookmarkStart w:id="139" w:name="_Toc5552"/>
      <w:bookmarkStart w:id="140" w:name="_Toc65660360"/>
      <w:bookmarkStart w:id="141" w:name="_Toc30909"/>
      <w:bookmarkStart w:id="142" w:name="_Toc1010"/>
      <w:r>
        <w:rPr>
          <w:rFonts w:hint="eastAsia" w:ascii="宋体" w:hAnsi="宋体" w:eastAsia="宋体" w:cs="宋体"/>
          <w:color w:val="auto"/>
          <w:sz w:val="24"/>
        </w:rPr>
        <w:t>六、关于质疑和投诉</w:t>
      </w:r>
      <w:bookmarkEnd w:id="139"/>
      <w:bookmarkEnd w:id="140"/>
      <w:bookmarkEnd w:id="141"/>
      <w:bookmarkEnd w:id="142"/>
    </w:p>
    <w:p w14:paraId="5AD703CF">
      <w:pPr>
        <w:spacing w:line="400" w:lineRule="exact"/>
        <w:ind w:firstLine="360" w:firstLineChars="150"/>
        <w:outlineLvl w:val="2"/>
        <w:rPr>
          <w:rFonts w:ascii="宋体" w:hAnsi="宋体" w:cs="宋体"/>
          <w:color w:val="auto"/>
          <w:sz w:val="24"/>
          <w:szCs w:val="24"/>
        </w:rPr>
      </w:pPr>
      <w:r>
        <w:rPr>
          <w:rFonts w:hint="eastAsia" w:ascii="宋体" w:hAnsi="宋体" w:cs="宋体"/>
          <w:color w:val="auto"/>
          <w:sz w:val="24"/>
          <w:szCs w:val="24"/>
        </w:rPr>
        <w:t xml:space="preserve"> （一）质疑</w:t>
      </w:r>
    </w:p>
    <w:p w14:paraId="405C1106">
      <w:pPr>
        <w:spacing w:line="400" w:lineRule="exact"/>
        <w:ind w:right="12" w:firstLine="480"/>
        <w:rPr>
          <w:rFonts w:ascii="宋体" w:hAnsi="宋体" w:cs="宋体"/>
          <w:color w:val="auto"/>
          <w:sz w:val="24"/>
        </w:rPr>
      </w:pPr>
      <w:r>
        <w:rPr>
          <w:rFonts w:hint="eastAsia" w:ascii="宋体" w:hAnsi="宋体" w:cs="宋体"/>
          <w:color w:val="auto"/>
          <w:sz w:val="24"/>
        </w:rPr>
        <w:t>供应商认为采购文件、采购过程和成交结果使自己的权益受到伤害的，可向采购人或采购代理机构以书面形式提出质疑。</w:t>
      </w:r>
    </w:p>
    <w:p w14:paraId="43D3F758">
      <w:pPr>
        <w:spacing w:line="400" w:lineRule="exact"/>
        <w:ind w:right="12" w:firstLine="480"/>
        <w:rPr>
          <w:rFonts w:ascii="宋体" w:hAnsi="宋体" w:cs="宋体"/>
          <w:color w:val="auto"/>
          <w:sz w:val="24"/>
        </w:rPr>
      </w:pPr>
      <w:r>
        <w:rPr>
          <w:rFonts w:hint="eastAsia" w:ascii="宋体" w:hAnsi="宋体" w:cs="宋体"/>
          <w:color w:val="auto"/>
          <w:sz w:val="24"/>
        </w:rPr>
        <w:t xml:space="preserve">提出质疑的应当是参与所质疑项目采购活动的供应商。 </w:t>
      </w:r>
    </w:p>
    <w:p w14:paraId="43AFB13F">
      <w:pPr>
        <w:spacing w:line="400" w:lineRule="exact"/>
        <w:ind w:right="12" w:firstLine="480"/>
        <w:rPr>
          <w:rFonts w:ascii="宋体" w:hAnsi="宋体" w:cs="宋体"/>
          <w:color w:val="auto"/>
          <w:sz w:val="24"/>
        </w:rPr>
      </w:pPr>
      <w:r>
        <w:rPr>
          <w:rFonts w:hint="eastAsia" w:ascii="宋体" w:hAnsi="宋体" w:cs="宋体"/>
          <w:color w:val="auto"/>
          <w:sz w:val="24"/>
        </w:rPr>
        <w:t>1.质疑时限、内容</w:t>
      </w:r>
    </w:p>
    <w:p w14:paraId="46D1BCDE">
      <w:pPr>
        <w:spacing w:line="400" w:lineRule="exact"/>
        <w:ind w:right="12" w:firstLine="480"/>
        <w:rPr>
          <w:rFonts w:ascii="宋体" w:hAnsi="宋体" w:cs="宋体"/>
          <w:color w:val="auto"/>
          <w:sz w:val="24"/>
        </w:rPr>
      </w:pPr>
      <w:r>
        <w:rPr>
          <w:rFonts w:hint="eastAsia" w:ascii="宋体" w:hAnsi="宋体" w:cs="宋体"/>
          <w:color w:val="auto"/>
          <w:sz w:val="24"/>
        </w:rPr>
        <w:t>1.1供应商认为采购文件、采购过程、成交结果使自己的权益受到损害的，可以在知道或者应知其权益受到损害之日起7个工作日内，以书面形式向采购人、采购代理机构提出质疑。</w:t>
      </w:r>
    </w:p>
    <w:p w14:paraId="68A59542">
      <w:pPr>
        <w:spacing w:line="400" w:lineRule="exact"/>
        <w:ind w:right="12" w:firstLine="480"/>
        <w:rPr>
          <w:rFonts w:ascii="宋体" w:hAnsi="宋体" w:cs="宋体"/>
          <w:color w:val="auto"/>
          <w:sz w:val="24"/>
        </w:rPr>
      </w:pPr>
      <w:r>
        <w:rPr>
          <w:rFonts w:hint="eastAsia" w:ascii="宋体" w:hAnsi="宋体" w:cs="宋体"/>
          <w:color w:val="auto"/>
          <w:sz w:val="24"/>
        </w:rPr>
        <w:t>1.2供应商提出质疑应当提交质疑函和必要的证明材料，质疑函应当包括下列内容：</w:t>
      </w:r>
    </w:p>
    <w:p w14:paraId="21DC55FD">
      <w:pPr>
        <w:spacing w:line="400" w:lineRule="exact"/>
        <w:ind w:right="12" w:firstLine="480"/>
        <w:rPr>
          <w:rFonts w:ascii="宋体" w:hAnsi="宋体" w:cs="宋体"/>
          <w:color w:val="auto"/>
          <w:sz w:val="24"/>
        </w:rPr>
      </w:pPr>
      <w:r>
        <w:rPr>
          <w:rFonts w:hint="eastAsia" w:ascii="宋体" w:hAnsi="宋体" w:cs="宋体"/>
          <w:color w:val="auto"/>
          <w:sz w:val="24"/>
        </w:rPr>
        <w:t>1.2.1供应商的姓名或者名称、地址、邮编、联系人及联系电话；</w:t>
      </w:r>
    </w:p>
    <w:p w14:paraId="4DEC36A1">
      <w:pPr>
        <w:spacing w:line="400" w:lineRule="exact"/>
        <w:ind w:right="12" w:firstLine="480"/>
        <w:rPr>
          <w:rFonts w:ascii="宋体" w:hAnsi="宋体" w:cs="宋体"/>
          <w:color w:val="auto"/>
          <w:sz w:val="24"/>
        </w:rPr>
      </w:pPr>
      <w:r>
        <w:rPr>
          <w:rFonts w:hint="eastAsia" w:ascii="宋体" w:hAnsi="宋体" w:cs="宋体"/>
          <w:color w:val="auto"/>
          <w:sz w:val="24"/>
        </w:rPr>
        <w:t>1.2.2</w:t>
      </w:r>
      <w:r>
        <w:rPr>
          <w:rFonts w:hint="eastAsia" w:ascii="宋体" w:hAnsi="宋体" w:cs="宋体"/>
          <w:color w:val="auto"/>
          <w:sz w:val="24"/>
          <w:szCs w:val="24"/>
        </w:rPr>
        <w:t>质疑项目的项目名称、项目号以及采购执行编号</w:t>
      </w:r>
      <w:r>
        <w:rPr>
          <w:rFonts w:hint="eastAsia" w:ascii="宋体" w:hAnsi="宋体" w:cs="宋体"/>
          <w:color w:val="auto"/>
          <w:sz w:val="24"/>
        </w:rPr>
        <w:t>；</w:t>
      </w:r>
    </w:p>
    <w:p w14:paraId="36CA65BE">
      <w:pPr>
        <w:spacing w:line="400" w:lineRule="exact"/>
        <w:ind w:right="12" w:firstLine="480"/>
        <w:rPr>
          <w:rFonts w:ascii="宋体" w:hAnsi="宋体" w:cs="宋体"/>
          <w:color w:val="auto"/>
          <w:sz w:val="24"/>
        </w:rPr>
      </w:pPr>
      <w:r>
        <w:rPr>
          <w:rFonts w:hint="eastAsia" w:ascii="宋体" w:hAnsi="宋体" w:cs="宋体"/>
          <w:color w:val="auto"/>
          <w:sz w:val="24"/>
        </w:rPr>
        <w:t>1.2.3具体、明确的质疑事项和与质疑事项相关的请求；</w:t>
      </w:r>
    </w:p>
    <w:p w14:paraId="4E2F0FDB">
      <w:pPr>
        <w:spacing w:line="400" w:lineRule="exact"/>
        <w:ind w:right="12" w:firstLine="480"/>
        <w:rPr>
          <w:rFonts w:ascii="宋体" w:hAnsi="宋体" w:cs="宋体"/>
          <w:color w:val="auto"/>
          <w:sz w:val="24"/>
        </w:rPr>
      </w:pPr>
      <w:r>
        <w:rPr>
          <w:rFonts w:hint="eastAsia" w:ascii="宋体" w:hAnsi="宋体" w:cs="宋体"/>
          <w:color w:val="auto"/>
          <w:sz w:val="24"/>
        </w:rPr>
        <w:t>1.2.4事实依据；</w:t>
      </w:r>
    </w:p>
    <w:p w14:paraId="644133FB">
      <w:pPr>
        <w:spacing w:line="400" w:lineRule="exact"/>
        <w:ind w:right="12" w:firstLine="480"/>
        <w:rPr>
          <w:rFonts w:ascii="宋体" w:hAnsi="宋体" w:cs="宋体"/>
          <w:color w:val="auto"/>
          <w:sz w:val="24"/>
        </w:rPr>
      </w:pPr>
      <w:r>
        <w:rPr>
          <w:rFonts w:hint="eastAsia" w:ascii="宋体" w:hAnsi="宋体" w:cs="宋体"/>
          <w:color w:val="auto"/>
          <w:sz w:val="24"/>
        </w:rPr>
        <w:t>1.2.5必要的法律依据；</w:t>
      </w:r>
    </w:p>
    <w:p w14:paraId="4C2D710F">
      <w:pPr>
        <w:spacing w:line="400" w:lineRule="exact"/>
        <w:ind w:right="12" w:firstLine="480"/>
        <w:rPr>
          <w:rFonts w:ascii="宋体" w:hAnsi="宋体" w:cs="宋体"/>
          <w:color w:val="auto"/>
          <w:sz w:val="24"/>
        </w:rPr>
      </w:pPr>
      <w:r>
        <w:rPr>
          <w:rFonts w:hint="eastAsia" w:ascii="宋体" w:hAnsi="宋体" w:cs="宋体"/>
          <w:color w:val="auto"/>
          <w:sz w:val="24"/>
        </w:rPr>
        <w:t>1.2.6提出质疑的日期；</w:t>
      </w:r>
    </w:p>
    <w:p w14:paraId="31EB1CD4">
      <w:pPr>
        <w:spacing w:line="400" w:lineRule="exact"/>
        <w:ind w:right="12" w:firstLine="480"/>
        <w:rPr>
          <w:rFonts w:ascii="宋体" w:hAnsi="宋体" w:cs="宋体"/>
          <w:color w:val="auto"/>
          <w:sz w:val="24"/>
        </w:rPr>
      </w:pPr>
      <w:r>
        <w:rPr>
          <w:rFonts w:hint="eastAsia" w:ascii="宋体" w:hAnsi="宋体" w:cs="宋体"/>
          <w:color w:val="auto"/>
          <w:sz w:val="24"/>
        </w:rPr>
        <w:t>1.2.7营业执照（或事业单位法人证书，或个体工商户营业执照或有效的自然人身份证明）复印件；</w:t>
      </w:r>
    </w:p>
    <w:p w14:paraId="583920FF">
      <w:pPr>
        <w:spacing w:line="400" w:lineRule="exact"/>
        <w:ind w:right="12" w:firstLine="480"/>
        <w:rPr>
          <w:rFonts w:ascii="宋体" w:hAnsi="宋体" w:cs="宋体"/>
          <w:color w:val="auto"/>
          <w:sz w:val="24"/>
        </w:rPr>
      </w:pPr>
      <w:r>
        <w:rPr>
          <w:rFonts w:hint="eastAsia" w:ascii="宋体" w:hAnsi="宋体" w:cs="宋体"/>
          <w:color w:val="auto"/>
          <w:sz w:val="24"/>
        </w:rPr>
        <w:t>1.2.8法定代表人授权委托书原件、法定代表人身份证复印件和其授权代表的身份证复印件（供应商为自然人的提供自然人身份证复印件）；</w:t>
      </w:r>
    </w:p>
    <w:p w14:paraId="6B7181F6">
      <w:pPr>
        <w:spacing w:line="400" w:lineRule="exact"/>
        <w:ind w:right="12" w:firstLine="480"/>
        <w:rPr>
          <w:rFonts w:ascii="宋体" w:hAnsi="宋体" w:cs="宋体"/>
          <w:color w:val="auto"/>
          <w:sz w:val="24"/>
        </w:rPr>
      </w:pPr>
      <w:r>
        <w:rPr>
          <w:rFonts w:hint="eastAsia" w:ascii="宋体" w:hAnsi="宋体" w:cs="宋体"/>
          <w:color w:val="auto"/>
          <w:sz w:val="24"/>
        </w:rPr>
        <w:t>1.3供应商为自然人的，质疑函应当由本人签字；供应商为法人或者其他组织的，质疑函应当由法定代表人、主要负责人，或者其授权代表签字或者盖章，并加盖公章。</w:t>
      </w:r>
    </w:p>
    <w:p w14:paraId="66F6DD83">
      <w:pPr>
        <w:spacing w:line="400" w:lineRule="exact"/>
        <w:ind w:right="12" w:firstLine="480"/>
        <w:rPr>
          <w:rFonts w:ascii="宋体" w:hAnsi="宋体" w:cs="宋体"/>
          <w:color w:val="auto"/>
          <w:sz w:val="24"/>
        </w:rPr>
      </w:pPr>
      <w:r>
        <w:rPr>
          <w:rFonts w:hint="eastAsia" w:ascii="宋体" w:hAnsi="宋体" w:cs="宋体"/>
          <w:color w:val="auto"/>
          <w:sz w:val="24"/>
        </w:rPr>
        <w:t>2.质疑答复</w:t>
      </w:r>
    </w:p>
    <w:p w14:paraId="01DC14F5">
      <w:pPr>
        <w:spacing w:line="400" w:lineRule="exact"/>
        <w:ind w:right="12" w:firstLine="480"/>
        <w:rPr>
          <w:rFonts w:ascii="宋体" w:hAnsi="宋体" w:cs="宋体"/>
          <w:color w:val="auto"/>
          <w:sz w:val="24"/>
        </w:rPr>
      </w:pPr>
      <w:r>
        <w:rPr>
          <w:rFonts w:hint="eastAsia" w:ascii="宋体" w:hAnsi="宋体" w:cs="宋体"/>
          <w:color w:val="auto"/>
          <w:sz w:val="24"/>
        </w:rPr>
        <w:t>采购人、采购代理机构应当在收到供应商的书面质疑后七个工作日内作出答复，并以书面形式通知质疑供应商和其他有关供应商。</w:t>
      </w:r>
    </w:p>
    <w:p w14:paraId="5806E32C">
      <w:pPr>
        <w:spacing w:line="400" w:lineRule="exact"/>
        <w:ind w:right="12" w:firstLine="480"/>
        <w:rPr>
          <w:rFonts w:ascii="宋体" w:hAnsi="宋体" w:cs="宋体"/>
          <w:color w:val="auto"/>
          <w:sz w:val="24"/>
        </w:rPr>
      </w:pPr>
      <w:r>
        <w:rPr>
          <w:rFonts w:hint="eastAsia" w:ascii="宋体" w:hAnsi="宋体" w:cs="宋体"/>
          <w:color w:val="auto"/>
          <w:sz w:val="24"/>
        </w:rPr>
        <w:t>3.其他</w:t>
      </w:r>
    </w:p>
    <w:p w14:paraId="77E8AD88">
      <w:pPr>
        <w:spacing w:line="400" w:lineRule="exact"/>
        <w:ind w:right="12" w:firstLine="480"/>
        <w:rPr>
          <w:rFonts w:ascii="宋体" w:hAnsi="宋体" w:cs="宋体"/>
          <w:color w:val="auto"/>
          <w:sz w:val="24"/>
        </w:rPr>
      </w:pPr>
      <w:r>
        <w:rPr>
          <w:rFonts w:hint="eastAsia" w:ascii="宋体" w:hAnsi="宋体" w:cs="宋体"/>
          <w:color w:val="auto"/>
          <w:sz w:val="24"/>
        </w:rPr>
        <w:t>3.1供应商应按照《政府采购质疑和投诉办法》（财政部令第94号）及相关法律法规要求，在法定质疑期内一次性提出针对同一采购程序环节的质疑。</w:t>
      </w:r>
    </w:p>
    <w:p w14:paraId="569BE9AF">
      <w:pPr>
        <w:spacing w:line="400" w:lineRule="exact"/>
        <w:ind w:right="12" w:firstLine="480"/>
        <w:rPr>
          <w:rFonts w:ascii="宋体" w:hAnsi="宋体" w:cs="宋体"/>
          <w:color w:val="auto"/>
          <w:sz w:val="24"/>
        </w:rPr>
      </w:pPr>
      <w:r>
        <w:rPr>
          <w:rFonts w:hint="eastAsia" w:ascii="宋体" w:hAnsi="宋体" w:cs="宋体"/>
          <w:color w:val="auto"/>
          <w:sz w:val="24"/>
        </w:rPr>
        <w:t>3.2质疑函范本可在财政部门户网站和中国政府采购网下载。</w:t>
      </w:r>
    </w:p>
    <w:p w14:paraId="64F9B974">
      <w:pPr>
        <w:spacing w:line="400" w:lineRule="exact"/>
        <w:ind w:right="12" w:firstLine="480"/>
        <w:outlineLvl w:val="2"/>
        <w:rPr>
          <w:rFonts w:ascii="宋体" w:hAnsi="宋体" w:cs="宋体"/>
          <w:color w:val="auto"/>
          <w:sz w:val="24"/>
        </w:rPr>
      </w:pPr>
      <w:r>
        <w:rPr>
          <w:rFonts w:hint="eastAsia" w:ascii="宋体" w:hAnsi="宋体" w:cs="宋体"/>
          <w:color w:val="auto"/>
          <w:sz w:val="24"/>
        </w:rPr>
        <w:t>（二）投诉</w:t>
      </w:r>
    </w:p>
    <w:p w14:paraId="2ED4943A">
      <w:pPr>
        <w:spacing w:line="400" w:lineRule="exact"/>
        <w:ind w:right="12" w:firstLine="480"/>
        <w:rPr>
          <w:rFonts w:ascii="宋体" w:hAnsi="宋体" w:cs="宋体"/>
          <w:color w:val="auto"/>
          <w:sz w:val="24"/>
        </w:rPr>
      </w:pPr>
      <w:r>
        <w:rPr>
          <w:rFonts w:hint="eastAsia" w:ascii="宋体" w:hAnsi="宋体" w:cs="宋体"/>
          <w:color w:val="auto"/>
          <w:sz w:val="24"/>
        </w:rPr>
        <w:t>1.供应商对采购人、采购代理机构的答复不满意，或者采购人、采购代理机构未在规定时间内作出答复的，可以在答复期满后15个工作日内按照相关法律法规向采购人监督部门提起投诉。</w:t>
      </w:r>
    </w:p>
    <w:p w14:paraId="28EE2470">
      <w:pPr>
        <w:spacing w:line="400" w:lineRule="exact"/>
        <w:ind w:right="12" w:firstLine="480"/>
        <w:rPr>
          <w:rFonts w:ascii="宋体" w:hAnsi="宋体" w:cs="宋体"/>
          <w:color w:val="auto"/>
          <w:sz w:val="24"/>
        </w:rPr>
      </w:pPr>
      <w:r>
        <w:rPr>
          <w:rFonts w:hint="eastAsia" w:ascii="宋体" w:hAnsi="宋体" w:cs="宋体"/>
          <w:color w:val="auto"/>
          <w:sz w:val="24"/>
        </w:rPr>
        <w:t>2.供应商应按照《政府采购质疑和投诉办法》（财政部令第94号）及相关法律法规要求递交投诉书和必要的证明材料。投诉书范本可在财政部门户网站和中国政府采购网下载。</w:t>
      </w:r>
    </w:p>
    <w:p w14:paraId="2C9342DD">
      <w:pPr>
        <w:spacing w:line="400" w:lineRule="exact"/>
        <w:ind w:right="12" w:firstLine="480"/>
        <w:rPr>
          <w:rFonts w:ascii="宋体" w:hAnsi="宋体" w:cs="宋体"/>
          <w:color w:val="auto"/>
          <w:sz w:val="24"/>
        </w:rPr>
      </w:pPr>
      <w:r>
        <w:rPr>
          <w:rFonts w:hint="eastAsia" w:ascii="宋体" w:hAnsi="宋体" w:cs="宋体"/>
          <w:color w:val="auto"/>
          <w:sz w:val="24"/>
        </w:rPr>
        <w:t>3.投诉书应当使用中文，相关当事人提供外文书证或者外国语视听资料的，应当附有中文译本，由翻译机构盖章或者翻译人员签名；相关当事人向采购人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48BA4592">
      <w:pPr>
        <w:spacing w:line="400" w:lineRule="exact"/>
        <w:ind w:firstLine="480" w:firstLineChars="200"/>
        <w:rPr>
          <w:rFonts w:ascii="宋体" w:hAnsi="宋体" w:cs="宋体"/>
          <w:color w:val="auto"/>
          <w:sz w:val="24"/>
        </w:rPr>
      </w:pPr>
      <w:r>
        <w:rPr>
          <w:rFonts w:hint="eastAsia" w:ascii="宋体" w:hAnsi="宋体" w:cs="宋体"/>
          <w:color w:val="auto"/>
          <w:sz w:val="24"/>
        </w:rPr>
        <w:t>4.在确定受理投诉后，采购人监督部门自受理投诉之日起30个工作日内（需要检验、检测、鉴定、专家评审以及需要投诉人补正材料的，所需时间不计算在投诉处理期限内）对投诉事项做出处理决定。</w:t>
      </w:r>
    </w:p>
    <w:p w14:paraId="18E7A294">
      <w:pPr>
        <w:pStyle w:val="4"/>
        <w:adjustRightInd w:val="0"/>
        <w:snapToGrid w:val="0"/>
        <w:spacing w:before="0" w:after="0" w:line="400" w:lineRule="exact"/>
        <w:ind w:firstLine="482" w:firstLineChars="200"/>
        <w:rPr>
          <w:rFonts w:ascii="宋体" w:hAnsi="宋体" w:eastAsia="宋体" w:cs="宋体"/>
          <w:color w:val="auto"/>
          <w:sz w:val="24"/>
        </w:rPr>
      </w:pPr>
      <w:bookmarkStart w:id="143" w:name="_Toc3127"/>
      <w:bookmarkStart w:id="144" w:name="_Toc65660361"/>
      <w:bookmarkStart w:id="145" w:name="_Toc16648"/>
      <w:bookmarkStart w:id="146" w:name="_Toc8050"/>
      <w:r>
        <w:rPr>
          <w:rFonts w:hint="eastAsia" w:ascii="宋体" w:hAnsi="宋体" w:eastAsia="宋体" w:cs="宋体"/>
          <w:color w:val="auto"/>
          <w:sz w:val="24"/>
        </w:rPr>
        <w:t>七、签订合同</w:t>
      </w:r>
      <w:bookmarkEnd w:id="143"/>
      <w:bookmarkEnd w:id="144"/>
      <w:bookmarkEnd w:id="145"/>
      <w:bookmarkEnd w:id="146"/>
    </w:p>
    <w:p w14:paraId="519B4CA0">
      <w:pPr>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一）采购人、成交供应商应当在五个工作日内完成采购合同的签订，任何一方无正当理由不得拒绝或拖延合同签订。所签订的合同不得对竞争性谈判文件和供应商的响应文件作实质性修改。其他未尽事宜由采购人和成交供应商在采购合同中详细约定。</w:t>
      </w:r>
    </w:p>
    <w:p w14:paraId="286F55D0">
      <w:pPr>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（二）竞争性谈判文件、供应商的响应文件及澄清文件等，均为签订采购合同的依据。</w:t>
      </w:r>
    </w:p>
    <w:p w14:paraId="20D4B816">
      <w:pPr>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（三）合同生效条款由供需双方约定，法律、行政法规规定应当办理批准、登记等手续后生效的合同，依照其规定。</w:t>
      </w:r>
    </w:p>
    <w:p w14:paraId="45C1CFCA">
      <w:pPr>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（四）合同原则上应按照《采购合同》签订，相关单位要求适用合同通用格式版本的，应按其要求另行签订其他合同。</w:t>
      </w:r>
    </w:p>
    <w:p w14:paraId="6004E2C7">
      <w:pPr>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（五）采购人要求成交供应商提供履约保证金的，应当在竞争性谈判文件中予以约定。成交供应商履约完毕后，采购人根据采购文件规定无息退还其履约保证金。</w:t>
      </w:r>
    </w:p>
    <w:p w14:paraId="1B60E35D">
      <w:pPr>
        <w:pStyle w:val="4"/>
        <w:adjustRightInd w:val="0"/>
        <w:snapToGrid w:val="0"/>
        <w:spacing w:before="0" w:after="0" w:line="400" w:lineRule="exact"/>
        <w:ind w:firstLine="482" w:firstLineChars="200"/>
        <w:rPr>
          <w:rFonts w:ascii="宋体" w:hAnsi="宋体" w:eastAsia="宋体" w:cs="宋体"/>
          <w:color w:val="auto"/>
          <w:sz w:val="24"/>
        </w:rPr>
      </w:pPr>
      <w:bookmarkStart w:id="147" w:name="_Toc7904"/>
      <w:r>
        <w:rPr>
          <w:rFonts w:hint="eastAsia" w:ascii="宋体" w:hAnsi="宋体" w:eastAsia="宋体" w:cs="宋体"/>
          <w:color w:val="auto"/>
          <w:sz w:val="24"/>
        </w:rPr>
        <w:t>八、项目验收</w:t>
      </w:r>
      <w:bookmarkEnd w:id="147"/>
    </w:p>
    <w:p w14:paraId="657D62EF">
      <w:pPr>
        <w:spacing w:line="400" w:lineRule="exact"/>
        <w:ind w:firstLine="360" w:firstLineChars="150"/>
        <w:rPr>
          <w:rFonts w:ascii="宋体" w:hAnsi="宋体" w:cs="宋体"/>
          <w:color w:val="auto"/>
          <w:sz w:val="24"/>
          <w:szCs w:val="24"/>
        </w:rPr>
      </w:pPr>
      <w:r>
        <w:rPr>
          <w:rFonts w:hint="eastAsia" w:ascii="宋体" w:hAnsi="宋体" w:cs="宋体"/>
          <w:color w:val="auto"/>
          <w:sz w:val="24"/>
        </w:rPr>
        <w:t>合同执行完毕，采购人或采购代理机构原则上应在7个工作日内组织履约情况验收，不得无故拖延或附加额外条件。</w:t>
      </w:r>
    </w:p>
    <w:p w14:paraId="07203C58">
      <w:pPr>
        <w:pStyle w:val="4"/>
        <w:adjustRightInd w:val="0"/>
        <w:snapToGrid w:val="0"/>
        <w:spacing w:before="0" w:after="0" w:line="400" w:lineRule="exact"/>
        <w:ind w:firstLine="482" w:firstLineChars="200"/>
        <w:rPr>
          <w:rFonts w:ascii="宋体" w:hAnsi="宋体" w:eastAsia="宋体" w:cs="宋体"/>
          <w:color w:val="auto"/>
          <w:sz w:val="24"/>
        </w:rPr>
      </w:pPr>
      <w:bookmarkStart w:id="148" w:name="_Toc30185"/>
      <w:bookmarkStart w:id="149" w:name="_Toc29513"/>
      <w:bookmarkStart w:id="150" w:name="_Toc32594"/>
      <w:bookmarkStart w:id="151" w:name="_Toc65660362"/>
      <w:r>
        <w:rPr>
          <w:rFonts w:hint="eastAsia" w:ascii="宋体" w:hAnsi="宋体" w:eastAsia="宋体" w:cs="宋体"/>
          <w:color w:val="auto"/>
          <w:sz w:val="24"/>
        </w:rPr>
        <w:t>九、采购代理服务费</w:t>
      </w:r>
      <w:bookmarkEnd w:id="148"/>
      <w:bookmarkEnd w:id="149"/>
      <w:bookmarkEnd w:id="150"/>
      <w:bookmarkEnd w:id="151"/>
    </w:p>
    <w:p w14:paraId="712677CB">
      <w:pPr>
        <w:spacing w:line="400" w:lineRule="exact"/>
        <w:ind w:firstLine="360" w:firstLineChars="150"/>
        <w:rPr>
          <w:rFonts w:ascii="宋体" w:hAnsi="宋体" w:cs="宋体"/>
          <w:color w:val="auto"/>
          <w:sz w:val="24"/>
        </w:rPr>
      </w:pPr>
      <w:r>
        <w:rPr>
          <w:rFonts w:hint="eastAsia" w:ascii="宋体" w:hAnsi="宋体" w:cs="宋体"/>
          <w:color w:val="auto"/>
          <w:sz w:val="24"/>
        </w:rPr>
        <w:t>（一）</w:t>
      </w:r>
      <w:bookmarkStart w:id="152" w:name="_Toc9730"/>
      <w:bookmarkStart w:id="153" w:name="_Toc4867"/>
      <w:bookmarkStart w:id="154" w:name="_Toc65660363"/>
      <w:r>
        <w:rPr>
          <w:rFonts w:hint="eastAsia" w:ascii="宋体" w:hAnsi="宋体" w:cs="宋体"/>
          <w:color w:val="auto"/>
          <w:sz w:val="24"/>
        </w:rPr>
        <w:t>供应商成交后，由成交供应商向采购代理机构缴纳采购代理服务费，采购代理服务费按照以下工程招标类型</w:t>
      </w:r>
      <w:r>
        <w:rPr>
          <w:rFonts w:hint="eastAsia" w:ascii="宋体" w:hAnsi="宋体" w:cs="宋体"/>
          <w:color w:val="auto"/>
          <w:sz w:val="24"/>
          <w:lang w:val="en-US" w:eastAsia="zh-CN"/>
        </w:rPr>
        <w:t>的80%</w:t>
      </w:r>
      <w:r>
        <w:rPr>
          <w:rFonts w:hint="eastAsia" w:ascii="宋体" w:hAnsi="宋体" w:cs="宋体"/>
          <w:color w:val="auto"/>
          <w:sz w:val="24"/>
        </w:rPr>
        <w:t>执行：</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273"/>
        <w:gridCol w:w="2273"/>
        <w:gridCol w:w="2272"/>
      </w:tblGrid>
      <w:tr w14:paraId="12C88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810" w:type="dxa"/>
            <w:tcBorders>
              <w:tl2br w:val="single" w:color="auto" w:sz="4" w:space="0"/>
            </w:tcBorders>
          </w:tcPr>
          <w:p w14:paraId="10C45105">
            <w:pPr>
              <w:spacing w:line="400" w:lineRule="exact"/>
              <w:jc w:val="center"/>
              <w:rPr>
                <w:rFonts w:ascii="宋体" w:hAnsi="宋体" w:cs="宋体"/>
                <w:b/>
                <w:bCs/>
                <w:color w:val="auto"/>
                <w:sz w:val="24"/>
              </w:rPr>
            </w:pPr>
            <w:r>
              <w:rPr>
                <w:rFonts w:hint="eastAsia" w:ascii="宋体" w:hAnsi="宋体" w:cs="宋体"/>
                <w:b/>
                <w:bCs/>
                <w:color w:val="auto"/>
                <w:sz w:val="24"/>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 name="直线 5"/>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5"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P8+m1naAQAAzQMAAA4AAABkcnMvZTJvRG9jLnhtbK1TS44T&#10;MRDdI3EHy3vSmaCMoJXOLCYMGwSRgANU/Elb8k8uTzo5C9dgxYbjzDUou5sMzGyymF64y+Wq53qv&#10;yqubo7PsoBKa4Dt+NZtzprwI0vh9x79/u3vzjjPM4CXY4FXHTwr5zfr1q9UQW7UIfbBSJUYgHtsh&#10;drzPObZNg6JXDnAWovJ0qENykGmb9o1MMBC6s81iPr9uhpBkTEEoRPJuxkM+IaZLAIPWRqhNEPdO&#10;+TyiJmUhEyXsTUS+rtVqrUT+ojWqzGzHiWmuK11C9q6szXoF7T5B7I2YSoBLSnjCyYHxdOkZagMZ&#10;2H0yz6CcESlg0HkmgmtGIlURYnE1f6LN1x6iqlxIaoxn0fHlYMXnwzYxI2kSOPPgqOEPP34+/PrN&#10;lkWbIWJLIbd+m6Ydxm0qRI86ufInCuxY9Tyd9VTHzAQ5r98uORPkLwblN49pMWH+qIJjxei4Nb4Q&#10;hRYOnzCPoX9Ditt6NnT8/XJRAIGmTlO3yXSRKke/r7kYrJF3xtqSgWm/u7WJHaB0vn5TCf+FlUs2&#10;gP0YV49KGLS9AvnBS5ZPkTTx9BR4KcEpyZlV9HKKVSMzGHtJJLG3nkQomo4qFmsX5KmKW/3U5SrT&#10;NJFljP7d1+zHV7j+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8++YPWAAAACAEAAA8AAAAAAAAA&#10;AQAgAAAAIgAAAGRycy9kb3ducmV2LnhtbFBLAQIUABQAAAAIAIdO4kD/PptZ2gEAAM0DAAAOAAAA&#10;AAAAAAEAIAAAACUBAABkcnMvZTJvRG9jLnhtbFBLBQYAAAAABgAGAFkBAABxBQAAAAA=&#10;">
                      <v:fill on="f" focussize="0,0"/>
                      <v:stroke color="#000000" joinstyle="round"/>
                      <v:imagedata o:title=""/>
                      <o:lock v:ext="edit" aspectratio="f"/>
                    </v:line>
                  </w:pict>
                </mc:Fallback>
              </mc:AlternateContent>
            </w:r>
            <w:r>
              <w:rPr>
                <w:rFonts w:hint="eastAsia" w:ascii="宋体" w:hAnsi="宋体" w:cs="宋体"/>
                <w:b/>
                <w:bCs/>
                <w:color w:val="auto"/>
                <w:sz w:val="24"/>
              </w:rPr>
              <w:t xml:space="preserve">     采购类型</w:t>
            </w:r>
          </w:p>
          <w:p w14:paraId="4B44FAB4">
            <w:pPr>
              <w:spacing w:line="400" w:lineRule="exact"/>
              <w:rPr>
                <w:rFonts w:ascii="宋体" w:hAnsi="宋体" w:cs="宋体"/>
                <w:b/>
                <w:bCs/>
                <w:color w:val="auto"/>
                <w:sz w:val="24"/>
              </w:rPr>
            </w:pPr>
            <w:r>
              <w:rPr>
                <w:rFonts w:hint="eastAsia" w:ascii="宋体" w:hAnsi="宋体" w:cs="宋体"/>
                <w:b/>
                <w:bCs/>
                <w:color w:val="auto"/>
                <w:sz w:val="24"/>
              </w:rPr>
              <w:t>成交金额（万元）</w:t>
            </w:r>
          </w:p>
        </w:tc>
        <w:tc>
          <w:tcPr>
            <w:tcW w:w="2273" w:type="dxa"/>
            <w:vAlign w:val="center"/>
          </w:tcPr>
          <w:p w14:paraId="514FCCC6">
            <w:pPr>
              <w:spacing w:line="400" w:lineRule="exact"/>
              <w:jc w:val="center"/>
              <w:rPr>
                <w:rFonts w:ascii="宋体" w:hAnsi="宋体" w:cs="宋体"/>
                <w:b/>
                <w:bCs/>
                <w:color w:val="auto"/>
                <w:sz w:val="24"/>
              </w:rPr>
            </w:pPr>
            <w:r>
              <w:rPr>
                <w:rFonts w:hint="eastAsia" w:ascii="宋体" w:hAnsi="宋体" w:cs="宋体"/>
                <w:b/>
                <w:bCs/>
                <w:color w:val="auto"/>
                <w:sz w:val="24"/>
              </w:rPr>
              <w:t>货物招标</w:t>
            </w:r>
          </w:p>
        </w:tc>
        <w:tc>
          <w:tcPr>
            <w:tcW w:w="2273" w:type="dxa"/>
            <w:vAlign w:val="center"/>
          </w:tcPr>
          <w:p w14:paraId="5B0FC53B">
            <w:pPr>
              <w:spacing w:line="400" w:lineRule="exact"/>
              <w:jc w:val="center"/>
              <w:rPr>
                <w:rFonts w:ascii="宋体" w:hAnsi="宋体" w:cs="宋体"/>
                <w:b/>
                <w:bCs/>
                <w:color w:val="auto"/>
                <w:sz w:val="24"/>
              </w:rPr>
            </w:pPr>
            <w:r>
              <w:rPr>
                <w:rFonts w:hint="eastAsia" w:ascii="宋体" w:hAnsi="宋体" w:cs="宋体"/>
                <w:b/>
                <w:bCs/>
                <w:color w:val="auto"/>
                <w:sz w:val="24"/>
              </w:rPr>
              <w:t>服务招标</w:t>
            </w:r>
          </w:p>
        </w:tc>
        <w:tc>
          <w:tcPr>
            <w:tcW w:w="2272" w:type="dxa"/>
            <w:vAlign w:val="center"/>
          </w:tcPr>
          <w:p w14:paraId="399BD9A4">
            <w:pPr>
              <w:spacing w:line="400" w:lineRule="exact"/>
              <w:jc w:val="center"/>
              <w:rPr>
                <w:rFonts w:ascii="宋体" w:hAnsi="宋体" w:cs="宋体"/>
                <w:b/>
                <w:bCs/>
                <w:color w:val="auto"/>
                <w:sz w:val="24"/>
              </w:rPr>
            </w:pPr>
            <w:r>
              <w:rPr>
                <w:rFonts w:hint="eastAsia" w:ascii="宋体" w:hAnsi="宋体" w:cs="宋体"/>
                <w:b/>
                <w:bCs/>
                <w:color w:val="auto"/>
                <w:sz w:val="24"/>
              </w:rPr>
              <w:t>工程招标</w:t>
            </w:r>
          </w:p>
        </w:tc>
      </w:tr>
      <w:tr w14:paraId="502C3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810" w:type="dxa"/>
            <w:vAlign w:val="center"/>
          </w:tcPr>
          <w:p w14:paraId="58813747">
            <w:pPr>
              <w:spacing w:line="400" w:lineRule="exact"/>
              <w:jc w:val="center"/>
              <w:rPr>
                <w:rFonts w:ascii="宋体" w:hAnsi="宋体" w:cs="宋体"/>
                <w:color w:val="auto"/>
                <w:sz w:val="24"/>
              </w:rPr>
            </w:pPr>
            <w:r>
              <w:rPr>
                <w:rFonts w:hint="eastAsia" w:ascii="宋体" w:hAnsi="宋体" w:cs="宋体"/>
                <w:color w:val="auto"/>
                <w:sz w:val="24"/>
              </w:rPr>
              <w:t>100以下</w:t>
            </w:r>
          </w:p>
        </w:tc>
        <w:tc>
          <w:tcPr>
            <w:tcW w:w="2273" w:type="dxa"/>
            <w:vAlign w:val="center"/>
          </w:tcPr>
          <w:p w14:paraId="6D664B96">
            <w:pPr>
              <w:spacing w:line="400" w:lineRule="exact"/>
              <w:jc w:val="center"/>
              <w:rPr>
                <w:rFonts w:ascii="宋体" w:hAnsi="宋体" w:cs="宋体"/>
                <w:color w:val="auto"/>
                <w:sz w:val="24"/>
              </w:rPr>
            </w:pPr>
            <w:r>
              <w:rPr>
                <w:rFonts w:hint="eastAsia" w:ascii="宋体" w:hAnsi="宋体" w:cs="宋体"/>
                <w:color w:val="auto"/>
                <w:sz w:val="24"/>
              </w:rPr>
              <w:t>1.5%</w:t>
            </w:r>
          </w:p>
        </w:tc>
        <w:tc>
          <w:tcPr>
            <w:tcW w:w="2273" w:type="dxa"/>
            <w:vAlign w:val="center"/>
          </w:tcPr>
          <w:p w14:paraId="42C2BC2D">
            <w:pPr>
              <w:spacing w:line="400" w:lineRule="exact"/>
              <w:jc w:val="center"/>
              <w:rPr>
                <w:rFonts w:ascii="宋体" w:hAnsi="宋体" w:cs="宋体"/>
                <w:color w:val="auto"/>
                <w:sz w:val="24"/>
              </w:rPr>
            </w:pPr>
            <w:r>
              <w:rPr>
                <w:rFonts w:hint="eastAsia" w:ascii="宋体" w:hAnsi="宋体" w:cs="宋体"/>
                <w:color w:val="auto"/>
                <w:sz w:val="24"/>
              </w:rPr>
              <w:t>1.5%</w:t>
            </w:r>
          </w:p>
        </w:tc>
        <w:tc>
          <w:tcPr>
            <w:tcW w:w="2272" w:type="dxa"/>
            <w:vAlign w:val="center"/>
          </w:tcPr>
          <w:p w14:paraId="758BD4F3">
            <w:pPr>
              <w:spacing w:line="400" w:lineRule="exact"/>
              <w:jc w:val="center"/>
              <w:rPr>
                <w:rFonts w:ascii="宋体" w:hAnsi="宋体" w:cs="宋体"/>
                <w:color w:val="auto"/>
                <w:sz w:val="24"/>
              </w:rPr>
            </w:pPr>
            <w:r>
              <w:rPr>
                <w:rFonts w:hint="eastAsia" w:ascii="宋体" w:hAnsi="宋体" w:cs="宋体"/>
                <w:color w:val="auto"/>
                <w:sz w:val="24"/>
              </w:rPr>
              <w:t>1.0%</w:t>
            </w:r>
          </w:p>
        </w:tc>
      </w:tr>
      <w:tr w14:paraId="17B04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810" w:type="dxa"/>
            <w:vAlign w:val="center"/>
          </w:tcPr>
          <w:p w14:paraId="1C639AC0">
            <w:pPr>
              <w:spacing w:line="400" w:lineRule="exact"/>
              <w:jc w:val="center"/>
              <w:rPr>
                <w:rFonts w:ascii="宋体" w:hAnsi="宋体" w:cs="宋体"/>
                <w:color w:val="auto"/>
                <w:sz w:val="24"/>
              </w:rPr>
            </w:pPr>
            <w:r>
              <w:rPr>
                <w:rFonts w:hint="eastAsia" w:ascii="宋体" w:hAnsi="宋体" w:cs="宋体"/>
                <w:color w:val="auto"/>
                <w:sz w:val="24"/>
              </w:rPr>
              <w:t>100-500</w:t>
            </w:r>
          </w:p>
        </w:tc>
        <w:tc>
          <w:tcPr>
            <w:tcW w:w="2273" w:type="dxa"/>
            <w:vAlign w:val="center"/>
          </w:tcPr>
          <w:p w14:paraId="5C121ABF">
            <w:pPr>
              <w:spacing w:line="400" w:lineRule="exact"/>
              <w:jc w:val="center"/>
              <w:rPr>
                <w:rFonts w:ascii="宋体" w:hAnsi="宋体" w:cs="宋体"/>
                <w:color w:val="auto"/>
                <w:sz w:val="24"/>
              </w:rPr>
            </w:pPr>
            <w:r>
              <w:rPr>
                <w:rFonts w:hint="eastAsia" w:ascii="宋体" w:hAnsi="宋体" w:cs="宋体"/>
                <w:color w:val="auto"/>
                <w:sz w:val="24"/>
              </w:rPr>
              <w:t>1.1%</w:t>
            </w:r>
          </w:p>
        </w:tc>
        <w:tc>
          <w:tcPr>
            <w:tcW w:w="2273" w:type="dxa"/>
            <w:vAlign w:val="center"/>
          </w:tcPr>
          <w:p w14:paraId="203C0315">
            <w:pPr>
              <w:spacing w:line="400" w:lineRule="exact"/>
              <w:jc w:val="center"/>
              <w:rPr>
                <w:rFonts w:ascii="宋体" w:hAnsi="宋体" w:cs="宋体"/>
                <w:color w:val="auto"/>
                <w:sz w:val="24"/>
              </w:rPr>
            </w:pPr>
            <w:r>
              <w:rPr>
                <w:rFonts w:hint="eastAsia" w:ascii="宋体" w:hAnsi="宋体" w:cs="宋体"/>
                <w:color w:val="auto"/>
                <w:sz w:val="24"/>
              </w:rPr>
              <w:t>0.8%</w:t>
            </w:r>
          </w:p>
        </w:tc>
        <w:tc>
          <w:tcPr>
            <w:tcW w:w="2272" w:type="dxa"/>
            <w:vAlign w:val="center"/>
          </w:tcPr>
          <w:p w14:paraId="055A2107">
            <w:pPr>
              <w:spacing w:line="400" w:lineRule="exact"/>
              <w:jc w:val="center"/>
              <w:rPr>
                <w:rFonts w:ascii="宋体" w:hAnsi="宋体" w:cs="宋体"/>
                <w:color w:val="auto"/>
                <w:sz w:val="24"/>
              </w:rPr>
            </w:pPr>
            <w:r>
              <w:rPr>
                <w:rFonts w:hint="eastAsia" w:ascii="宋体" w:hAnsi="宋体" w:cs="宋体"/>
                <w:color w:val="auto"/>
                <w:sz w:val="24"/>
              </w:rPr>
              <w:t>0.7%</w:t>
            </w:r>
          </w:p>
        </w:tc>
      </w:tr>
      <w:tr w14:paraId="2FC3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2810" w:type="dxa"/>
            <w:vAlign w:val="center"/>
          </w:tcPr>
          <w:p w14:paraId="0AD6AE51">
            <w:pPr>
              <w:spacing w:line="400" w:lineRule="exact"/>
              <w:jc w:val="center"/>
              <w:rPr>
                <w:rFonts w:ascii="宋体" w:hAnsi="宋体" w:cs="宋体"/>
                <w:color w:val="auto"/>
                <w:sz w:val="24"/>
              </w:rPr>
            </w:pPr>
            <w:r>
              <w:rPr>
                <w:rFonts w:hint="eastAsia" w:ascii="宋体" w:hAnsi="宋体" w:cs="宋体"/>
                <w:color w:val="auto"/>
                <w:sz w:val="24"/>
              </w:rPr>
              <w:t>500-1000</w:t>
            </w:r>
          </w:p>
        </w:tc>
        <w:tc>
          <w:tcPr>
            <w:tcW w:w="2273" w:type="dxa"/>
            <w:vAlign w:val="center"/>
          </w:tcPr>
          <w:p w14:paraId="1DC4AE60">
            <w:pPr>
              <w:spacing w:line="400" w:lineRule="exact"/>
              <w:jc w:val="center"/>
              <w:rPr>
                <w:rFonts w:ascii="宋体" w:hAnsi="宋体" w:cs="宋体"/>
                <w:color w:val="auto"/>
                <w:sz w:val="24"/>
              </w:rPr>
            </w:pPr>
            <w:r>
              <w:rPr>
                <w:rFonts w:hint="eastAsia" w:ascii="宋体" w:hAnsi="宋体" w:cs="宋体"/>
                <w:color w:val="auto"/>
                <w:sz w:val="24"/>
              </w:rPr>
              <w:t>0.8%</w:t>
            </w:r>
          </w:p>
        </w:tc>
        <w:tc>
          <w:tcPr>
            <w:tcW w:w="2273" w:type="dxa"/>
            <w:vAlign w:val="center"/>
          </w:tcPr>
          <w:p w14:paraId="469EF617">
            <w:pPr>
              <w:spacing w:line="400" w:lineRule="exact"/>
              <w:jc w:val="center"/>
              <w:rPr>
                <w:rFonts w:ascii="宋体" w:hAnsi="宋体" w:cs="宋体"/>
                <w:color w:val="auto"/>
                <w:sz w:val="24"/>
              </w:rPr>
            </w:pPr>
            <w:r>
              <w:rPr>
                <w:rFonts w:hint="eastAsia" w:ascii="宋体" w:hAnsi="宋体" w:cs="宋体"/>
                <w:color w:val="auto"/>
                <w:sz w:val="24"/>
              </w:rPr>
              <w:t>0.45%</w:t>
            </w:r>
          </w:p>
        </w:tc>
        <w:tc>
          <w:tcPr>
            <w:tcW w:w="2272" w:type="dxa"/>
            <w:vAlign w:val="center"/>
          </w:tcPr>
          <w:p w14:paraId="0042B9DB">
            <w:pPr>
              <w:spacing w:line="400" w:lineRule="exact"/>
              <w:jc w:val="center"/>
              <w:rPr>
                <w:rFonts w:ascii="宋体" w:hAnsi="宋体" w:cs="宋体"/>
                <w:color w:val="auto"/>
                <w:sz w:val="24"/>
              </w:rPr>
            </w:pPr>
            <w:r>
              <w:rPr>
                <w:rFonts w:hint="eastAsia" w:ascii="宋体" w:hAnsi="宋体" w:cs="宋体"/>
                <w:color w:val="auto"/>
                <w:sz w:val="24"/>
              </w:rPr>
              <w:t>0.55%</w:t>
            </w:r>
          </w:p>
        </w:tc>
      </w:tr>
      <w:tr w14:paraId="6F7FE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2810" w:type="dxa"/>
            <w:vAlign w:val="center"/>
          </w:tcPr>
          <w:p w14:paraId="0359E4C9">
            <w:pPr>
              <w:spacing w:line="400" w:lineRule="exact"/>
              <w:jc w:val="center"/>
              <w:rPr>
                <w:rFonts w:ascii="宋体" w:hAnsi="宋体" w:cs="宋体"/>
                <w:color w:val="auto"/>
                <w:sz w:val="24"/>
              </w:rPr>
            </w:pPr>
            <w:r>
              <w:rPr>
                <w:rFonts w:hint="eastAsia" w:ascii="宋体" w:hAnsi="宋体" w:cs="宋体"/>
                <w:color w:val="auto"/>
                <w:sz w:val="24"/>
              </w:rPr>
              <w:t>1000-5000</w:t>
            </w:r>
          </w:p>
        </w:tc>
        <w:tc>
          <w:tcPr>
            <w:tcW w:w="2273" w:type="dxa"/>
            <w:vAlign w:val="center"/>
          </w:tcPr>
          <w:p w14:paraId="4A1F38FF">
            <w:pPr>
              <w:spacing w:line="400" w:lineRule="exact"/>
              <w:jc w:val="center"/>
              <w:rPr>
                <w:rFonts w:ascii="宋体" w:hAnsi="宋体" w:cs="宋体"/>
                <w:color w:val="auto"/>
                <w:sz w:val="24"/>
              </w:rPr>
            </w:pPr>
            <w:r>
              <w:rPr>
                <w:rFonts w:hint="eastAsia" w:ascii="宋体" w:hAnsi="宋体" w:cs="宋体"/>
                <w:color w:val="auto"/>
                <w:sz w:val="24"/>
              </w:rPr>
              <w:t>0.5%</w:t>
            </w:r>
          </w:p>
        </w:tc>
        <w:tc>
          <w:tcPr>
            <w:tcW w:w="2273" w:type="dxa"/>
            <w:vAlign w:val="center"/>
          </w:tcPr>
          <w:p w14:paraId="116E445C">
            <w:pPr>
              <w:spacing w:line="400" w:lineRule="exact"/>
              <w:jc w:val="center"/>
              <w:rPr>
                <w:rFonts w:ascii="宋体" w:hAnsi="宋体" w:cs="宋体"/>
                <w:color w:val="auto"/>
                <w:sz w:val="24"/>
              </w:rPr>
            </w:pPr>
            <w:r>
              <w:rPr>
                <w:rFonts w:hint="eastAsia" w:ascii="宋体" w:hAnsi="宋体" w:cs="宋体"/>
                <w:color w:val="auto"/>
                <w:sz w:val="24"/>
              </w:rPr>
              <w:t>0.25%</w:t>
            </w:r>
          </w:p>
        </w:tc>
        <w:tc>
          <w:tcPr>
            <w:tcW w:w="2272" w:type="dxa"/>
            <w:vAlign w:val="center"/>
          </w:tcPr>
          <w:p w14:paraId="42A06EC8">
            <w:pPr>
              <w:spacing w:line="400" w:lineRule="exact"/>
              <w:jc w:val="center"/>
              <w:rPr>
                <w:rFonts w:ascii="宋体" w:hAnsi="宋体" w:cs="宋体"/>
                <w:color w:val="auto"/>
                <w:sz w:val="24"/>
              </w:rPr>
            </w:pPr>
            <w:r>
              <w:rPr>
                <w:rFonts w:hint="eastAsia" w:ascii="宋体" w:hAnsi="宋体" w:cs="宋体"/>
                <w:color w:val="auto"/>
                <w:sz w:val="24"/>
              </w:rPr>
              <w:t>0.35%</w:t>
            </w:r>
          </w:p>
        </w:tc>
      </w:tr>
      <w:tr w14:paraId="74CC6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810" w:type="dxa"/>
            <w:vAlign w:val="center"/>
          </w:tcPr>
          <w:p w14:paraId="2C5799E8">
            <w:pPr>
              <w:spacing w:line="400" w:lineRule="exact"/>
              <w:jc w:val="center"/>
              <w:rPr>
                <w:rFonts w:ascii="宋体" w:hAnsi="宋体" w:cs="宋体"/>
                <w:color w:val="auto"/>
                <w:sz w:val="24"/>
              </w:rPr>
            </w:pPr>
            <w:r>
              <w:rPr>
                <w:rFonts w:hint="eastAsia" w:ascii="宋体" w:hAnsi="宋体" w:cs="宋体"/>
                <w:color w:val="auto"/>
                <w:sz w:val="24"/>
              </w:rPr>
              <w:t>5000-10000</w:t>
            </w:r>
          </w:p>
        </w:tc>
        <w:tc>
          <w:tcPr>
            <w:tcW w:w="2273" w:type="dxa"/>
            <w:vAlign w:val="center"/>
          </w:tcPr>
          <w:p w14:paraId="24B90B3B">
            <w:pPr>
              <w:spacing w:line="400" w:lineRule="exact"/>
              <w:jc w:val="center"/>
              <w:rPr>
                <w:rFonts w:ascii="宋体" w:hAnsi="宋体" w:cs="宋体"/>
                <w:color w:val="auto"/>
                <w:sz w:val="24"/>
              </w:rPr>
            </w:pPr>
            <w:r>
              <w:rPr>
                <w:rFonts w:hint="eastAsia" w:ascii="宋体" w:hAnsi="宋体" w:cs="宋体"/>
                <w:color w:val="auto"/>
                <w:sz w:val="24"/>
              </w:rPr>
              <w:t>0.25%</w:t>
            </w:r>
          </w:p>
        </w:tc>
        <w:tc>
          <w:tcPr>
            <w:tcW w:w="2273" w:type="dxa"/>
            <w:vAlign w:val="center"/>
          </w:tcPr>
          <w:p w14:paraId="7312F8E8">
            <w:pPr>
              <w:spacing w:line="400" w:lineRule="exact"/>
              <w:jc w:val="center"/>
              <w:rPr>
                <w:rFonts w:ascii="宋体" w:hAnsi="宋体" w:cs="宋体"/>
                <w:color w:val="auto"/>
                <w:sz w:val="24"/>
              </w:rPr>
            </w:pPr>
            <w:r>
              <w:rPr>
                <w:rFonts w:hint="eastAsia" w:ascii="宋体" w:hAnsi="宋体" w:cs="宋体"/>
                <w:color w:val="auto"/>
                <w:sz w:val="24"/>
              </w:rPr>
              <w:t>0.1%</w:t>
            </w:r>
          </w:p>
        </w:tc>
        <w:tc>
          <w:tcPr>
            <w:tcW w:w="2272" w:type="dxa"/>
            <w:vAlign w:val="center"/>
          </w:tcPr>
          <w:p w14:paraId="6D5779C9">
            <w:pPr>
              <w:spacing w:line="400" w:lineRule="exact"/>
              <w:jc w:val="center"/>
              <w:rPr>
                <w:rFonts w:ascii="宋体" w:hAnsi="宋体" w:cs="宋体"/>
                <w:color w:val="auto"/>
                <w:sz w:val="24"/>
              </w:rPr>
            </w:pPr>
            <w:r>
              <w:rPr>
                <w:rFonts w:hint="eastAsia" w:ascii="宋体" w:hAnsi="宋体" w:cs="宋体"/>
                <w:color w:val="auto"/>
                <w:sz w:val="24"/>
              </w:rPr>
              <w:t>0.2%</w:t>
            </w:r>
          </w:p>
        </w:tc>
      </w:tr>
      <w:tr w14:paraId="2CA88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810" w:type="dxa"/>
            <w:vAlign w:val="center"/>
          </w:tcPr>
          <w:p w14:paraId="6CE550ED">
            <w:pPr>
              <w:spacing w:line="400" w:lineRule="exact"/>
              <w:jc w:val="center"/>
              <w:rPr>
                <w:rFonts w:ascii="宋体" w:hAnsi="宋体" w:cs="宋体"/>
                <w:color w:val="auto"/>
                <w:sz w:val="24"/>
              </w:rPr>
            </w:pPr>
            <w:r>
              <w:rPr>
                <w:rFonts w:hint="eastAsia" w:ascii="宋体" w:hAnsi="宋体" w:cs="宋体"/>
                <w:color w:val="auto"/>
                <w:sz w:val="24"/>
              </w:rPr>
              <w:t>10000-100000</w:t>
            </w:r>
          </w:p>
        </w:tc>
        <w:tc>
          <w:tcPr>
            <w:tcW w:w="2273" w:type="dxa"/>
            <w:vAlign w:val="center"/>
          </w:tcPr>
          <w:p w14:paraId="2292C212">
            <w:pPr>
              <w:spacing w:line="400" w:lineRule="exact"/>
              <w:jc w:val="center"/>
              <w:rPr>
                <w:rFonts w:ascii="宋体" w:hAnsi="宋体" w:cs="宋体"/>
                <w:color w:val="auto"/>
                <w:sz w:val="24"/>
              </w:rPr>
            </w:pPr>
            <w:r>
              <w:rPr>
                <w:rFonts w:hint="eastAsia" w:ascii="宋体" w:hAnsi="宋体" w:cs="宋体"/>
                <w:color w:val="auto"/>
                <w:sz w:val="24"/>
              </w:rPr>
              <w:t>0.05%</w:t>
            </w:r>
          </w:p>
        </w:tc>
        <w:tc>
          <w:tcPr>
            <w:tcW w:w="2273" w:type="dxa"/>
            <w:vAlign w:val="center"/>
          </w:tcPr>
          <w:p w14:paraId="6CB914F4">
            <w:pPr>
              <w:spacing w:line="400" w:lineRule="exact"/>
              <w:jc w:val="center"/>
              <w:rPr>
                <w:rFonts w:ascii="宋体" w:hAnsi="宋体" w:cs="宋体"/>
                <w:color w:val="auto"/>
                <w:sz w:val="24"/>
              </w:rPr>
            </w:pPr>
            <w:r>
              <w:rPr>
                <w:rFonts w:hint="eastAsia" w:ascii="宋体" w:hAnsi="宋体" w:cs="宋体"/>
                <w:color w:val="auto"/>
                <w:sz w:val="24"/>
              </w:rPr>
              <w:t>0.05%</w:t>
            </w:r>
          </w:p>
        </w:tc>
        <w:tc>
          <w:tcPr>
            <w:tcW w:w="2272" w:type="dxa"/>
            <w:vAlign w:val="center"/>
          </w:tcPr>
          <w:p w14:paraId="04BAF5FD">
            <w:pPr>
              <w:spacing w:line="400" w:lineRule="exact"/>
              <w:jc w:val="center"/>
              <w:rPr>
                <w:rFonts w:ascii="宋体" w:hAnsi="宋体" w:cs="宋体"/>
                <w:color w:val="auto"/>
                <w:sz w:val="24"/>
              </w:rPr>
            </w:pPr>
            <w:r>
              <w:rPr>
                <w:rFonts w:hint="eastAsia" w:ascii="宋体" w:hAnsi="宋体" w:cs="宋体"/>
                <w:color w:val="auto"/>
                <w:sz w:val="24"/>
              </w:rPr>
              <w:t>0.05%</w:t>
            </w:r>
          </w:p>
        </w:tc>
      </w:tr>
      <w:tr w14:paraId="3979D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10" w:type="dxa"/>
            <w:vAlign w:val="center"/>
          </w:tcPr>
          <w:p w14:paraId="1820DDCD">
            <w:pPr>
              <w:spacing w:line="400" w:lineRule="exact"/>
              <w:jc w:val="center"/>
              <w:rPr>
                <w:rFonts w:ascii="宋体" w:hAnsi="宋体" w:cs="宋体"/>
                <w:color w:val="auto"/>
                <w:sz w:val="24"/>
              </w:rPr>
            </w:pPr>
            <w:r>
              <w:rPr>
                <w:rFonts w:hint="eastAsia" w:ascii="宋体" w:hAnsi="宋体" w:cs="宋体"/>
                <w:color w:val="auto"/>
                <w:sz w:val="24"/>
              </w:rPr>
              <w:t>1000000以上</w:t>
            </w:r>
          </w:p>
        </w:tc>
        <w:tc>
          <w:tcPr>
            <w:tcW w:w="2273" w:type="dxa"/>
            <w:vAlign w:val="center"/>
          </w:tcPr>
          <w:p w14:paraId="18715562">
            <w:pPr>
              <w:spacing w:line="400" w:lineRule="exact"/>
              <w:jc w:val="center"/>
              <w:rPr>
                <w:rFonts w:ascii="宋体" w:hAnsi="宋体" w:cs="宋体"/>
                <w:color w:val="auto"/>
                <w:sz w:val="24"/>
              </w:rPr>
            </w:pPr>
            <w:r>
              <w:rPr>
                <w:rFonts w:hint="eastAsia" w:ascii="宋体" w:hAnsi="宋体" w:cs="宋体"/>
                <w:color w:val="auto"/>
                <w:sz w:val="24"/>
              </w:rPr>
              <w:t>0.01%</w:t>
            </w:r>
          </w:p>
        </w:tc>
        <w:tc>
          <w:tcPr>
            <w:tcW w:w="2273" w:type="dxa"/>
            <w:vAlign w:val="center"/>
          </w:tcPr>
          <w:p w14:paraId="0E0F9823">
            <w:pPr>
              <w:spacing w:line="400" w:lineRule="exact"/>
              <w:jc w:val="center"/>
              <w:rPr>
                <w:rFonts w:ascii="宋体" w:hAnsi="宋体" w:cs="宋体"/>
                <w:color w:val="auto"/>
                <w:sz w:val="24"/>
              </w:rPr>
            </w:pPr>
            <w:r>
              <w:rPr>
                <w:rFonts w:hint="eastAsia" w:ascii="宋体" w:hAnsi="宋体" w:cs="宋体"/>
                <w:color w:val="auto"/>
                <w:sz w:val="24"/>
              </w:rPr>
              <w:t>0.01%</w:t>
            </w:r>
          </w:p>
        </w:tc>
        <w:tc>
          <w:tcPr>
            <w:tcW w:w="2272" w:type="dxa"/>
            <w:vAlign w:val="center"/>
          </w:tcPr>
          <w:p w14:paraId="33D25C93">
            <w:pPr>
              <w:spacing w:line="400" w:lineRule="exact"/>
              <w:jc w:val="center"/>
              <w:rPr>
                <w:rFonts w:ascii="宋体" w:hAnsi="宋体" w:cs="宋体"/>
                <w:color w:val="auto"/>
                <w:sz w:val="24"/>
              </w:rPr>
            </w:pPr>
            <w:r>
              <w:rPr>
                <w:rFonts w:hint="eastAsia" w:ascii="宋体" w:hAnsi="宋体" w:cs="宋体"/>
                <w:color w:val="auto"/>
                <w:sz w:val="24"/>
              </w:rPr>
              <w:t>0.01%</w:t>
            </w:r>
          </w:p>
        </w:tc>
      </w:tr>
    </w:tbl>
    <w:p w14:paraId="70BE14EC">
      <w:pPr>
        <w:spacing w:line="400" w:lineRule="exact"/>
        <w:ind w:firstLine="360" w:firstLineChars="150"/>
        <w:rPr>
          <w:rFonts w:ascii="宋体" w:hAnsi="宋体" w:cs="宋体"/>
          <w:color w:val="auto"/>
          <w:sz w:val="24"/>
        </w:rPr>
      </w:pPr>
      <w:r>
        <w:rPr>
          <w:rFonts w:hint="eastAsia" w:ascii="宋体" w:hAnsi="宋体" w:cs="宋体"/>
          <w:color w:val="auto"/>
          <w:sz w:val="24"/>
        </w:rPr>
        <w:t>注：采购代理服务收费按差额定率累进法计算。</w:t>
      </w:r>
    </w:p>
    <w:p w14:paraId="795EB246">
      <w:pPr>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（二）采购代理服务费缴纳账号：</w:t>
      </w:r>
    </w:p>
    <w:p w14:paraId="1519BD42">
      <w:pPr>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户  名：重庆千策招标代理有限公司</w:t>
      </w:r>
    </w:p>
    <w:p w14:paraId="11838BA7">
      <w:pPr>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开户行：中国建设银行重庆杨家坪支行</w:t>
      </w:r>
    </w:p>
    <w:p w14:paraId="34C170BB">
      <w:pPr>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账  号：50050103360000000623</w:t>
      </w:r>
    </w:p>
    <w:bookmarkEnd w:id="152"/>
    <w:bookmarkEnd w:id="153"/>
    <w:bookmarkEnd w:id="154"/>
    <w:p w14:paraId="08381529">
      <w:pPr>
        <w:spacing w:line="360" w:lineRule="auto"/>
        <w:ind w:firstLine="480" w:firstLineChars="200"/>
        <w:rPr>
          <w:rFonts w:ascii="宋体" w:hAnsi="宋体" w:cs="宋体"/>
          <w:color w:val="auto"/>
          <w:sz w:val="24"/>
          <w:szCs w:val="24"/>
        </w:rPr>
        <w:sectPr>
          <w:footerReference r:id="rId9" w:type="default"/>
          <w:pgSz w:w="11907" w:h="16840"/>
          <w:pgMar w:top="1134" w:right="1191" w:bottom="1134" w:left="1304" w:header="680" w:footer="992" w:gutter="0"/>
          <w:pgNumType w:fmt="numberInDash"/>
          <w:cols w:space="720" w:num="1"/>
          <w:docGrid w:linePitch="312" w:charSpace="0"/>
        </w:sectPr>
      </w:pPr>
    </w:p>
    <w:bookmarkEnd w:id="77"/>
    <w:p w14:paraId="7E07534F">
      <w:pPr>
        <w:pStyle w:val="4"/>
        <w:spacing w:before="0" w:after="0" w:line="360" w:lineRule="auto"/>
        <w:jc w:val="center"/>
        <w:rPr>
          <w:rFonts w:ascii="宋体" w:hAnsi="宋体" w:eastAsia="宋体" w:cs="宋体"/>
          <w:color w:val="auto"/>
          <w:sz w:val="44"/>
          <w:szCs w:val="44"/>
        </w:rPr>
      </w:pPr>
      <w:bookmarkStart w:id="155" w:name="_Toc65660365"/>
      <w:bookmarkStart w:id="156" w:name="_Toc12789059"/>
      <w:bookmarkStart w:id="157" w:name="_Toc14861"/>
      <w:bookmarkStart w:id="158" w:name="_Toc28162"/>
      <w:bookmarkStart w:id="159" w:name="_Toc11641055"/>
      <w:bookmarkStart w:id="160" w:name="_Toc11906"/>
      <w:r>
        <w:rPr>
          <w:rFonts w:hint="eastAsia" w:ascii="宋体" w:hAnsi="宋体" w:eastAsia="宋体" w:cs="宋体"/>
          <w:bCs/>
          <w:color w:val="auto"/>
          <w:sz w:val="36"/>
          <w:szCs w:val="30"/>
        </w:rPr>
        <w:t xml:space="preserve">第六篇  </w:t>
      </w:r>
      <w:bookmarkEnd w:id="155"/>
      <w:bookmarkEnd w:id="156"/>
      <w:bookmarkEnd w:id="157"/>
      <w:bookmarkEnd w:id="158"/>
      <w:bookmarkEnd w:id="159"/>
      <w:bookmarkStart w:id="161" w:name="_Toc9538"/>
      <w:bookmarkStart w:id="162" w:name="_Toc12789072"/>
      <w:bookmarkStart w:id="163" w:name="_Toc6968"/>
      <w:bookmarkStart w:id="164" w:name="_Toc65660378"/>
      <w:r>
        <w:rPr>
          <w:rFonts w:hint="eastAsia" w:ascii="宋体" w:hAnsi="宋体" w:eastAsia="宋体" w:cs="宋体"/>
          <w:bCs/>
          <w:color w:val="auto"/>
          <w:sz w:val="36"/>
          <w:szCs w:val="30"/>
        </w:rPr>
        <w:t>合同</w:t>
      </w:r>
      <w:bookmarkEnd w:id="160"/>
    </w:p>
    <w:p w14:paraId="117F47AD">
      <w:pPr>
        <w:spacing w:line="500" w:lineRule="exact"/>
        <w:jc w:val="center"/>
        <w:rPr>
          <w:rFonts w:ascii="宋体" w:hAnsi="宋体" w:cs="宋体"/>
          <w:b/>
          <w:color w:val="auto"/>
          <w:sz w:val="28"/>
          <w:szCs w:val="13"/>
        </w:rPr>
      </w:pPr>
      <w:bookmarkStart w:id="165" w:name="_Toc296503025"/>
      <w:bookmarkStart w:id="166" w:name="_Toc296890982"/>
      <w:bookmarkStart w:id="167" w:name="_Toc504472973"/>
      <w:r>
        <w:rPr>
          <w:rFonts w:hint="eastAsia" w:ascii="宋体" w:hAnsi="宋体" w:cs="宋体"/>
          <w:b/>
          <w:color w:val="auto"/>
          <w:sz w:val="28"/>
          <w:szCs w:val="13"/>
        </w:rPr>
        <w:t>采购合同（以实际签订为准）</w:t>
      </w:r>
    </w:p>
    <w:p w14:paraId="730D9C2F">
      <w:pPr>
        <w:spacing w:line="500" w:lineRule="exact"/>
        <w:jc w:val="center"/>
        <w:rPr>
          <w:rFonts w:ascii="宋体" w:hAnsi="宋体" w:cs="宋体"/>
          <w:color w:val="auto"/>
          <w:sz w:val="28"/>
          <w:szCs w:val="24"/>
        </w:rPr>
      </w:pPr>
      <w:r>
        <w:rPr>
          <w:rFonts w:hint="eastAsia" w:ascii="宋体" w:hAnsi="宋体" w:cs="宋体"/>
          <w:color w:val="auto"/>
          <w:sz w:val="28"/>
          <w:szCs w:val="24"/>
        </w:rPr>
        <w:t>（采购项目编号：     ）</w:t>
      </w:r>
    </w:p>
    <w:p w14:paraId="580CD789">
      <w:pPr>
        <w:spacing w:line="500" w:lineRule="exact"/>
        <w:rPr>
          <w:rFonts w:ascii="宋体" w:hAnsi="宋体" w:cs="宋体"/>
          <w:color w:val="auto"/>
          <w:sz w:val="24"/>
          <w:szCs w:val="24"/>
        </w:rPr>
      </w:pPr>
    </w:p>
    <w:p w14:paraId="4053F54C">
      <w:pPr>
        <w:spacing w:line="500" w:lineRule="exact"/>
        <w:rPr>
          <w:rFonts w:ascii="宋体" w:hAnsi="宋体" w:cs="宋体"/>
          <w:color w:val="auto"/>
          <w:sz w:val="24"/>
          <w:szCs w:val="24"/>
        </w:rPr>
      </w:pPr>
      <w:r>
        <w:rPr>
          <w:rFonts w:hint="eastAsia" w:ascii="宋体" w:hAnsi="宋体" w:cs="宋体"/>
          <w:color w:val="auto"/>
          <w:sz w:val="24"/>
          <w:szCs w:val="24"/>
        </w:rPr>
        <w:t>甲方（需方）：___________________________      计价单位：____________</w:t>
      </w:r>
    </w:p>
    <w:p w14:paraId="5A12D829">
      <w:pPr>
        <w:spacing w:line="500" w:lineRule="exact"/>
        <w:rPr>
          <w:rFonts w:ascii="宋体" w:hAnsi="宋体" w:cs="宋体"/>
          <w:color w:val="auto"/>
          <w:sz w:val="24"/>
          <w:szCs w:val="24"/>
        </w:rPr>
      </w:pPr>
      <w:r>
        <w:rPr>
          <w:rFonts w:hint="eastAsia" w:ascii="宋体" w:hAnsi="宋体" w:cs="宋体"/>
          <w:color w:val="auto"/>
          <w:sz w:val="24"/>
          <w:szCs w:val="24"/>
        </w:rPr>
        <w:t>乙方（供方）：___________________________      计量单位：_____________</w:t>
      </w:r>
    </w:p>
    <w:p w14:paraId="15DB9CEE">
      <w:pPr>
        <w:spacing w:line="500" w:lineRule="exact"/>
        <w:rPr>
          <w:rFonts w:ascii="宋体" w:hAnsi="宋体" w:cs="宋体"/>
          <w:color w:val="auto"/>
          <w:sz w:val="24"/>
          <w:szCs w:val="24"/>
        </w:rPr>
      </w:pPr>
    </w:p>
    <w:p w14:paraId="7D39C894">
      <w:pPr>
        <w:spacing w:line="500" w:lineRule="exact"/>
        <w:rPr>
          <w:rFonts w:ascii="宋体" w:hAnsi="宋体" w:cs="宋体"/>
          <w:color w:val="auto"/>
          <w:sz w:val="24"/>
          <w:szCs w:val="24"/>
        </w:rPr>
      </w:pPr>
      <w:r>
        <w:rPr>
          <w:rFonts w:hint="eastAsia" w:ascii="宋体" w:hAnsi="宋体" w:cs="宋体"/>
          <w:color w:val="auto"/>
          <w:sz w:val="24"/>
          <w:szCs w:val="24"/>
        </w:rPr>
        <w:t>经双方协商一致，达成以下采购合同：</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22FD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tcBorders>
              <w:top w:val="single" w:color="auto" w:sz="4" w:space="0"/>
              <w:left w:val="single" w:color="auto" w:sz="4" w:space="0"/>
              <w:bottom w:val="single" w:color="auto" w:sz="4" w:space="0"/>
              <w:right w:val="single" w:color="auto" w:sz="4" w:space="0"/>
              <w:tl2br w:val="nil"/>
              <w:tr2bl w:val="nil"/>
            </w:tcBorders>
            <w:vAlign w:val="center"/>
          </w:tcPr>
          <w:p w14:paraId="4527CE81">
            <w:pPr>
              <w:spacing w:line="240" w:lineRule="atLeast"/>
              <w:jc w:val="center"/>
              <w:rPr>
                <w:rFonts w:ascii="宋体" w:hAnsi="宋体" w:cs="宋体"/>
                <w:color w:val="auto"/>
                <w:sz w:val="24"/>
                <w:szCs w:val="24"/>
              </w:rPr>
            </w:pPr>
            <w:r>
              <w:rPr>
                <w:rFonts w:hint="eastAsia" w:ascii="宋体" w:hAnsi="宋体" w:cs="宋体"/>
                <w:color w:val="auto"/>
                <w:sz w:val="24"/>
                <w:szCs w:val="24"/>
              </w:rPr>
              <w:t>项目名称</w:t>
            </w:r>
          </w:p>
        </w:tc>
        <w:tc>
          <w:tcPr>
            <w:tcW w:w="984" w:type="dxa"/>
            <w:tcBorders>
              <w:top w:val="single" w:color="auto" w:sz="4" w:space="0"/>
              <w:left w:val="single" w:color="auto" w:sz="4" w:space="0"/>
              <w:bottom w:val="single" w:color="auto" w:sz="4" w:space="0"/>
              <w:right w:val="single" w:color="auto" w:sz="4" w:space="0"/>
              <w:tl2br w:val="nil"/>
              <w:tr2bl w:val="nil"/>
            </w:tcBorders>
            <w:vAlign w:val="center"/>
          </w:tcPr>
          <w:p w14:paraId="23E8E320">
            <w:pPr>
              <w:spacing w:line="240" w:lineRule="atLeast"/>
              <w:jc w:val="center"/>
              <w:rPr>
                <w:rFonts w:ascii="宋体" w:hAnsi="宋体" w:cs="宋体"/>
                <w:color w:val="auto"/>
                <w:sz w:val="24"/>
                <w:szCs w:val="24"/>
              </w:rPr>
            </w:pPr>
            <w:r>
              <w:rPr>
                <w:rFonts w:hint="eastAsia" w:ascii="宋体" w:hAnsi="宋体" w:cs="宋体"/>
                <w:color w:val="auto"/>
                <w:sz w:val="24"/>
                <w:szCs w:val="24"/>
              </w:rPr>
              <w:t>数量</w:t>
            </w:r>
          </w:p>
        </w:tc>
        <w:tc>
          <w:tcPr>
            <w:tcW w:w="129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333BBF6">
            <w:pPr>
              <w:spacing w:line="240" w:lineRule="atLeast"/>
              <w:jc w:val="center"/>
              <w:rPr>
                <w:rFonts w:ascii="宋体" w:hAnsi="宋体" w:cs="宋体"/>
                <w:color w:val="auto"/>
                <w:sz w:val="24"/>
                <w:szCs w:val="24"/>
              </w:rPr>
            </w:pPr>
            <w:r>
              <w:rPr>
                <w:rFonts w:hint="eastAsia" w:ascii="宋体" w:hAnsi="宋体" w:cs="宋体"/>
                <w:color w:val="auto"/>
                <w:sz w:val="24"/>
                <w:szCs w:val="24"/>
              </w:rPr>
              <w:t>综合单价</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4A783081">
            <w:pPr>
              <w:spacing w:line="240" w:lineRule="atLeast"/>
              <w:jc w:val="center"/>
              <w:rPr>
                <w:rFonts w:ascii="宋体" w:hAnsi="宋体" w:cs="宋体"/>
                <w:color w:val="auto"/>
                <w:sz w:val="24"/>
                <w:szCs w:val="24"/>
              </w:rPr>
            </w:pPr>
            <w:r>
              <w:rPr>
                <w:rFonts w:hint="eastAsia" w:ascii="宋体" w:hAnsi="宋体" w:cs="宋体"/>
                <w:color w:val="auto"/>
                <w:sz w:val="24"/>
                <w:szCs w:val="24"/>
              </w:rPr>
              <w:t>总价</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14:paraId="5D88802A">
            <w:pPr>
              <w:spacing w:line="240" w:lineRule="atLeast"/>
              <w:jc w:val="center"/>
              <w:rPr>
                <w:rFonts w:ascii="宋体" w:hAnsi="宋体" w:cs="宋体"/>
                <w:color w:val="auto"/>
                <w:sz w:val="24"/>
                <w:szCs w:val="24"/>
              </w:rPr>
            </w:pPr>
            <w:r>
              <w:rPr>
                <w:rFonts w:hint="eastAsia" w:ascii="宋体" w:hAnsi="宋体" w:cs="宋体"/>
                <w:color w:val="auto"/>
                <w:sz w:val="24"/>
                <w:szCs w:val="24"/>
              </w:rPr>
              <w:t>服务时间</w:t>
            </w:r>
          </w:p>
        </w:tc>
        <w:tc>
          <w:tcPr>
            <w:tcW w:w="1567" w:type="dxa"/>
            <w:tcBorders>
              <w:top w:val="single" w:color="auto" w:sz="4" w:space="0"/>
              <w:left w:val="single" w:color="auto" w:sz="4" w:space="0"/>
              <w:bottom w:val="single" w:color="auto" w:sz="4" w:space="0"/>
              <w:right w:val="single" w:color="auto" w:sz="4" w:space="0"/>
              <w:tl2br w:val="nil"/>
              <w:tr2bl w:val="nil"/>
            </w:tcBorders>
            <w:vAlign w:val="center"/>
          </w:tcPr>
          <w:p w14:paraId="76C3F67F">
            <w:pPr>
              <w:spacing w:line="240" w:lineRule="atLeast"/>
              <w:jc w:val="center"/>
              <w:rPr>
                <w:rFonts w:ascii="宋体" w:hAnsi="宋体" w:cs="宋体"/>
                <w:color w:val="auto"/>
                <w:sz w:val="24"/>
                <w:szCs w:val="24"/>
              </w:rPr>
            </w:pPr>
            <w:r>
              <w:rPr>
                <w:rFonts w:hint="eastAsia" w:ascii="宋体" w:hAnsi="宋体" w:cs="宋体"/>
                <w:color w:val="auto"/>
                <w:sz w:val="24"/>
                <w:szCs w:val="24"/>
              </w:rPr>
              <w:t>服务地点</w:t>
            </w:r>
          </w:p>
        </w:tc>
      </w:tr>
      <w:tr w14:paraId="70211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tcBorders>
              <w:top w:val="single" w:color="auto" w:sz="4" w:space="0"/>
              <w:left w:val="single" w:color="auto" w:sz="4" w:space="0"/>
              <w:bottom w:val="single" w:color="auto" w:sz="4" w:space="0"/>
              <w:right w:val="single" w:color="auto" w:sz="4" w:space="0"/>
              <w:tl2br w:val="nil"/>
              <w:tr2bl w:val="nil"/>
            </w:tcBorders>
            <w:vAlign w:val="center"/>
          </w:tcPr>
          <w:p w14:paraId="612978DA">
            <w:pPr>
              <w:spacing w:line="240" w:lineRule="atLeast"/>
              <w:jc w:val="center"/>
              <w:rPr>
                <w:rFonts w:ascii="宋体" w:hAnsi="宋体" w:cs="宋体"/>
                <w:color w:val="auto"/>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vAlign w:val="center"/>
          </w:tcPr>
          <w:p w14:paraId="21FB7CDE">
            <w:pPr>
              <w:spacing w:line="240" w:lineRule="atLeast"/>
              <w:jc w:val="center"/>
              <w:rPr>
                <w:rFonts w:ascii="宋体" w:hAnsi="宋体" w:cs="宋体"/>
                <w:color w:val="auto"/>
                <w:sz w:val="24"/>
                <w:szCs w:val="24"/>
              </w:rPr>
            </w:pPr>
          </w:p>
        </w:tc>
        <w:tc>
          <w:tcPr>
            <w:tcW w:w="129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F407C5E">
            <w:pPr>
              <w:spacing w:line="240" w:lineRule="atLeast"/>
              <w:jc w:val="center"/>
              <w:rPr>
                <w:rFonts w:ascii="宋体" w:hAnsi="宋体" w:cs="宋体"/>
                <w:color w:val="auto"/>
                <w:sz w:val="24"/>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7689A48A">
            <w:pPr>
              <w:spacing w:line="240" w:lineRule="atLeast"/>
              <w:jc w:val="center"/>
              <w:rPr>
                <w:rFonts w:ascii="宋体" w:hAnsi="宋体" w:cs="宋体"/>
                <w:color w:val="auto"/>
                <w:sz w:val="24"/>
                <w:szCs w:val="24"/>
              </w:rPr>
            </w:pP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14:paraId="4C030145">
            <w:pPr>
              <w:spacing w:line="240" w:lineRule="atLeast"/>
              <w:jc w:val="center"/>
              <w:rPr>
                <w:rFonts w:ascii="宋体" w:hAnsi="宋体" w:cs="宋体"/>
                <w:color w:val="auto"/>
                <w:sz w:val="24"/>
                <w:szCs w:val="24"/>
              </w:rPr>
            </w:pPr>
          </w:p>
        </w:tc>
        <w:tc>
          <w:tcPr>
            <w:tcW w:w="1567" w:type="dxa"/>
            <w:tcBorders>
              <w:top w:val="single" w:color="auto" w:sz="4" w:space="0"/>
              <w:left w:val="single" w:color="auto" w:sz="4" w:space="0"/>
              <w:bottom w:val="single" w:color="auto" w:sz="4" w:space="0"/>
              <w:right w:val="single" w:color="auto" w:sz="4" w:space="0"/>
              <w:tl2br w:val="nil"/>
              <w:tr2bl w:val="nil"/>
            </w:tcBorders>
            <w:vAlign w:val="center"/>
          </w:tcPr>
          <w:p w14:paraId="4D6881EB">
            <w:pPr>
              <w:spacing w:line="240" w:lineRule="atLeast"/>
              <w:jc w:val="center"/>
              <w:rPr>
                <w:rFonts w:ascii="宋体" w:hAnsi="宋体" w:cs="宋体"/>
                <w:color w:val="auto"/>
                <w:sz w:val="24"/>
                <w:szCs w:val="24"/>
              </w:rPr>
            </w:pPr>
          </w:p>
        </w:tc>
      </w:tr>
      <w:tr w14:paraId="4156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tcBorders>
              <w:top w:val="single" w:color="auto" w:sz="4" w:space="0"/>
              <w:left w:val="single" w:color="auto" w:sz="4" w:space="0"/>
              <w:bottom w:val="single" w:color="auto" w:sz="4" w:space="0"/>
              <w:right w:val="single" w:color="auto" w:sz="4" w:space="0"/>
              <w:tl2br w:val="nil"/>
              <w:tr2bl w:val="nil"/>
            </w:tcBorders>
            <w:vAlign w:val="center"/>
          </w:tcPr>
          <w:p w14:paraId="5A56EFA0">
            <w:pPr>
              <w:spacing w:line="240" w:lineRule="atLeast"/>
              <w:jc w:val="center"/>
              <w:rPr>
                <w:rFonts w:ascii="宋体" w:hAnsi="宋体" w:cs="宋体"/>
                <w:color w:val="auto"/>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vAlign w:val="center"/>
          </w:tcPr>
          <w:p w14:paraId="19AC498D">
            <w:pPr>
              <w:spacing w:line="240" w:lineRule="atLeast"/>
              <w:jc w:val="center"/>
              <w:rPr>
                <w:rFonts w:ascii="宋体" w:hAnsi="宋体" w:cs="宋体"/>
                <w:color w:val="auto"/>
                <w:sz w:val="24"/>
                <w:szCs w:val="24"/>
              </w:rPr>
            </w:pPr>
          </w:p>
        </w:tc>
        <w:tc>
          <w:tcPr>
            <w:tcW w:w="129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EE973C6">
            <w:pPr>
              <w:spacing w:line="240" w:lineRule="atLeast"/>
              <w:jc w:val="center"/>
              <w:rPr>
                <w:rFonts w:ascii="宋体" w:hAnsi="宋体" w:cs="宋体"/>
                <w:color w:val="auto"/>
                <w:sz w:val="24"/>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48FB0D60">
            <w:pPr>
              <w:spacing w:line="240" w:lineRule="atLeast"/>
              <w:jc w:val="center"/>
              <w:rPr>
                <w:rFonts w:ascii="宋体" w:hAnsi="宋体" w:cs="宋体"/>
                <w:color w:val="auto"/>
                <w:sz w:val="24"/>
                <w:szCs w:val="24"/>
              </w:rPr>
            </w:pP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14:paraId="5E748E4E">
            <w:pPr>
              <w:spacing w:line="240" w:lineRule="atLeast"/>
              <w:jc w:val="center"/>
              <w:rPr>
                <w:rFonts w:ascii="宋体" w:hAnsi="宋体" w:cs="宋体"/>
                <w:color w:val="auto"/>
                <w:sz w:val="24"/>
                <w:szCs w:val="24"/>
              </w:rPr>
            </w:pPr>
          </w:p>
        </w:tc>
        <w:tc>
          <w:tcPr>
            <w:tcW w:w="1567" w:type="dxa"/>
            <w:tcBorders>
              <w:top w:val="single" w:color="auto" w:sz="4" w:space="0"/>
              <w:left w:val="single" w:color="auto" w:sz="4" w:space="0"/>
              <w:bottom w:val="single" w:color="auto" w:sz="4" w:space="0"/>
              <w:right w:val="single" w:color="auto" w:sz="4" w:space="0"/>
              <w:tl2br w:val="nil"/>
              <w:tr2bl w:val="nil"/>
            </w:tcBorders>
            <w:vAlign w:val="center"/>
          </w:tcPr>
          <w:p w14:paraId="63D2C0CD">
            <w:pPr>
              <w:spacing w:line="240" w:lineRule="atLeast"/>
              <w:jc w:val="center"/>
              <w:rPr>
                <w:rFonts w:ascii="宋体" w:hAnsi="宋体" w:cs="宋体"/>
                <w:color w:val="auto"/>
                <w:sz w:val="24"/>
                <w:szCs w:val="24"/>
              </w:rPr>
            </w:pPr>
          </w:p>
        </w:tc>
      </w:tr>
      <w:tr w14:paraId="4F9B4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tcBorders>
              <w:top w:val="single" w:color="auto" w:sz="4" w:space="0"/>
              <w:left w:val="single" w:color="auto" w:sz="4" w:space="0"/>
              <w:bottom w:val="single" w:color="auto" w:sz="4" w:space="0"/>
              <w:right w:val="single" w:color="auto" w:sz="4" w:space="0"/>
              <w:tl2br w:val="nil"/>
              <w:tr2bl w:val="nil"/>
            </w:tcBorders>
            <w:vAlign w:val="center"/>
          </w:tcPr>
          <w:p w14:paraId="21F4C78F">
            <w:pPr>
              <w:spacing w:line="240" w:lineRule="atLeast"/>
              <w:rPr>
                <w:rFonts w:ascii="宋体" w:hAnsi="宋体" w:cs="宋体"/>
                <w:color w:val="auto"/>
                <w:sz w:val="24"/>
                <w:szCs w:val="24"/>
              </w:rPr>
            </w:pPr>
            <w:r>
              <w:rPr>
                <w:rFonts w:hint="eastAsia" w:ascii="宋体" w:hAnsi="宋体" w:cs="宋体"/>
                <w:color w:val="auto"/>
                <w:sz w:val="24"/>
                <w:szCs w:val="24"/>
              </w:rPr>
              <w:t>合计人民币（小写）：</w:t>
            </w:r>
          </w:p>
        </w:tc>
      </w:tr>
      <w:tr w14:paraId="013F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tcBorders>
              <w:top w:val="single" w:color="auto" w:sz="4" w:space="0"/>
              <w:left w:val="single" w:color="auto" w:sz="4" w:space="0"/>
              <w:bottom w:val="single" w:color="auto" w:sz="4" w:space="0"/>
              <w:right w:val="single" w:color="auto" w:sz="4" w:space="0"/>
              <w:tl2br w:val="nil"/>
              <w:tr2bl w:val="nil"/>
            </w:tcBorders>
            <w:vAlign w:val="center"/>
          </w:tcPr>
          <w:p w14:paraId="10F4FC92">
            <w:pPr>
              <w:spacing w:line="240" w:lineRule="atLeast"/>
              <w:rPr>
                <w:rFonts w:ascii="宋体" w:hAnsi="宋体" w:cs="宋体"/>
                <w:color w:val="auto"/>
                <w:sz w:val="24"/>
                <w:szCs w:val="24"/>
              </w:rPr>
            </w:pPr>
            <w:r>
              <w:rPr>
                <w:rFonts w:hint="eastAsia" w:ascii="宋体" w:hAnsi="宋体" w:cs="宋体"/>
                <w:color w:val="auto"/>
                <w:sz w:val="24"/>
                <w:szCs w:val="24"/>
              </w:rPr>
              <w:t>合计人民币（大写）：</w:t>
            </w:r>
          </w:p>
        </w:tc>
      </w:tr>
      <w:tr w14:paraId="6B972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09" w:hRule="atLeast"/>
        </w:trPr>
        <w:tc>
          <w:tcPr>
            <w:tcW w:w="9613" w:type="dxa"/>
            <w:gridSpan w:val="7"/>
            <w:tcBorders>
              <w:top w:val="single" w:color="auto" w:sz="4" w:space="0"/>
              <w:left w:val="single" w:color="auto" w:sz="4" w:space="0"/>
              <w:bottom w:val="single" w:color="auto" w:sz="4" w:space="0"/>
              <w:right w:val="single" w:color="auto" w:sz="4" w:space="0"/>
              <w:tl2br w:val="nil"/>
              <w:tr2bl w:val="nil"/>
            </w:tcBorders>
          </w:tcPr>
          <w:p w14:paraId="16149B53">
            <w:pPr>
              <w:spacing w:line="240" w:lineRule="atLeast"/>
              <w:rPr>
                <w:rFonts w:ascii="宋体" w:hAnsi="宋体" w:cs="宋体"/>
                <w:color w:val="auto"/>
                <w:sz w:val="24"/>
                <w:szCs w:val="24"/>
              </w:rPr>
            </w:pPr>
            <w:r>
              <w:rPr>
                <w:rFonts w:hint="eastAsia" w:ascii="宋体" w:hAnsi="宋体" w:cs="宋体"/>
                <w:color w:val="auto"/>
                <w:sz w:val="24"/>
                <w:szCs w:val="24"/>
              </w:rPr>
              <w:t>一、服务要求</w:t>
            </w:r>
          </w:p>
        </w:tc>
      </w:tr>
      <w:tr w14:paraId="240C2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628" w:type="dxa"/>
            <w:gridSpan w:val="8"/>
            <w:tcBorders>
              <w:top w:val="single" w:color="auto" w:sz="4" w:space="0"/>
              <w:left w:val="single" w:color="auto" w:sz="4" w:space="0"/>
              <w:bottom w:val="single" w:color="auto" w:sz="4" w:space="0"/>
              <w:right w:val="single" w:color="auto" w:sz="4" w:space="0"/>
              <w:tl2br w:val="nil"/>
              <w:tr2bl w:val="nil"/>
            </w:tcBorders>
          </w:tcPr>
          <w:p w14:paraId="5B33DD57">
            <w:pPr>
              <w:spacing w:line="240" w:lineRule="atLeast"/>
              <w:rPr>
                <w:rFonts w:ascii="宋体" w:hAnsi="宋体" w:cs="宋体"/>
                <w:color w:val="auto"/>
                <w:sz w:val="24"/>
                <w:szCs w:val="24"/>
              </w:rPr>
            </w:pPr>
            <w:r>
              <w:rPr>
                <w:rFonts w:hint="eastAsia" w:ascii="宋体" w:hAnsi="宋体" w:cs="宋体"/>
                <w:color w:val="auto"/>
                <w:sz w:val="24"/>
                <w:szCs w:val="24"/>
              </w:rPr>
              <w:t>二、考核方式</w:t>
            </w:r>
          </w:p>
        </w:tc>
      </w:tr>
      <w:tr w14:paraId="44AEF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8"/>
            <w:tcBorders>
              <w:top w:val="single" w:color="auto" w:sz="4" w:space="0"/>
              <w:left w:val="single" w:color="auto" w:sz="4" w:space="0"/>
              <w:bottom w:val="single" w:color="auto" w:sz="4" w:space="0"/>
              <w:right w:val="single" w:color="auto" w:sz="4" w:space="0"/>
              <w:tl2br w:val="nil"/>
              <w:tr2bl w:val="nil"/>
            </w:tcBorders>
          </w:tcPr>
          <w:p w14:paraId="528CD11E">
            <w:pPr>
              <w:spacing w:line="240" w:lineRule="atLeast"/>
              <w:rPr>
                <w:rFonts w:ascii="宋体" w:hAnsi="宋体" w:cs="宋体"/>
                <w:color w:val="auto"/>
                <w:sz w:val="24"/>
                <w:szCs w:val="24"/>
              </w:rPr>
            </w:pPr>
            <w:r>
              <w:rPr>
                <w:rFonts w:hint="eastAsia" w:ascii="宋体" w:hAnsi="宋体" w:cs="宋体"/>
                <w:color w:val="auto"/>
                <w:sz w:val="24"/>
                <w:szCs w:val="24"/>
              </w:rPr>
              <w:t>三、付款方式：</w:t>
            </w:r>
          </w:p>
          <w:p w14:paraId="7B16616A">
            <w:pPr>
              <w:rPr>
                <w:rFonts w:ascii="宋体" w:hAnsi="宋体" w:cs="宋体"/>
                <w:color w:val="auto"/>
                <w:sz w:val="24"/>
                <w:szCs w:val="24"/>
              </w:rPr>
            </w:pPr>
          </w:p>
        </w:tc>
      </w:tr>
      <w:tr w14:paraId="5B251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Borders>
              <w:top w:val="single" w:color="auto" w:sz="4" w:space="0"/>
              <w:left w:val="single" w:color="auto" w:sz="4" w:space="0"/>
              <w:bottom w:val="single" w:color="auto" w:sz="4" w:space="0"/>
              <w:right w:val="single" w:color="auto" w:sz="4" w:space="0"/>
              <w:tl2br w:val="nil"/>
              <w:tr2bl w:val="nil"/>
            </w:tcBorders>
          </w:tcPr>
          <w:p w14:paraId="082D8EEF">
            <w:pPr>
              <w:spacing w:line="240" w:lineRule="atLeast"/>
              <w:rPr>
                <w:rFonts w:ascii="宋体" w:hAnsi="宋体" w:cs="宋体"/>
                <w:color w:val="auto"/>
                <w:sz w:val="24"/>
                <w:szCs w:val="24"/>
              </w:rPr>
            </w:pPr>
            <w:r>
              <w:rPr>
                <w:rFonts w:hint="eastAsia" w:ascii="宋体" w:hAnsi="宋体" w:cs="宋体"/>
                <w:color w:val="auto"/>
                <w:sz w:val="24"/>
                <w:szCs w:val="24"/>
              </w:rPr>
              <w:t>四、违约责任：</w:t>
            </w:r>
          </w:p>
          <w:p w14:paraId="6E991554">
            <w:pPr>
              <w:spacing w:line="240" w:lineRule="atLeast"/>
              <w:rPr>
                <w:rFonts w:ascii="宋体" w:hAnsi="宋体" w:cs="宋体"/>
                <w:color w:val="auto"/>
                <w:sz w:val="24"/>
                <w:szCs w:val="24"/>
              </w:rPr>
            </w:pPr>
            <w:r>
              <w:rPr>
                <w:rFonts w:hint="eastAsia" w:ascii="宋体" w:hAnsi="宋体" w:cs="宋体"/>
                <w:color w:val="auto"/>
                <w:sz w:val="24"/>
                <w:szCs w:val="24"/>
              </w:rPr>
              <w:t>按《中华人民共和国民法典》《中华人民共和国政府采购法》执行，或按双方约定。</w:t>
            </w:r>
          </w:p>
        </w:tc>
      </w:tr>
      <w:tr w14:paraId="4D402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Borders>
              <w:top w:val="single" w:color="auto" w:sz="4" w:space="0"/>
              <w:left w:val="single" w:color="auto" w:sz="4" w:space="0"/>
              <w:bottom w:val="single" w:color="auto" w:sz="4" w:space="0"/>
              <w:right w:val="single" w:color="auto" w:sz="4" w:space="0"/>
              <w:tl2br w:val="nil"/>
              <w:tr2bl w:val="nil"/>
            </w:tcBorders>
          </w:tcPr>
          <w:p w14:paraId="7804B68A">
            <w:pPr>
              <w:spacing w:line="240" w:lineRule="atLeast"/>
              <w:rPr>
                <w:rFonts w:ascii="宋体" w:hAnsi="宋体" w:cs="宋体"/>
                <w:color w:val="auto"/>
                <w:sz w:val="24"/>
                <w:szCs w:val="24"/>
              </w:rPr>
            </w:pPr>
            <w:r>
              <w:rPr>
                <w:rFonts w:hint="eastAsia" w:ascii="宋体" w:hAnsi="宋体" w:cs="宋体"/>
                <w:color w:val="auto"/>
                <w:sz w:val="24"/>
                <w:szCs w:val="24"/>
              </w:rPr>
              <w:t>五、其他约定事项：</w:t>
            </w:r>
          </w:p>
          <w:p w14:paraId="094E72FA">
            <w:pPr>
              <w:spacing w:line="240" w:lineRule="atLeast"/>
              <w:rPr>
                <w:rFonts w:ascii="宋体" w:hAnsi="宋体" w:cs="宋体"/>
                <w:color w:val="auto"/>
                <w:sz w:val="24"/>
                <w:szCs w:val="24"/>
              </w:rPr>
            </w:pPr>
            <w:r>
              <w:rPr>
                <w:rFonts w:hint="eastAsia" w:ascii="宋体" w:hAnsi="宋体" w:cs="宋体"/>
                <w:color w:val="auto"/>
                <w:sz w:val="24"/>
                <w:szCs w:val="24"/>
              </w:rPr>
              <w:t>1.采购文件及其澄清文件、响应文件和承诺是本合同不可分割的部分。</w:t>
            </w:r>
          </w:p>
          <w:p w14:paraId="671B2485">
            <w:pPr>
              <w:spacing w:line="240" w:lineRule="atLeast"/>
              <w:rPr>
                <w:rFonts w:ascii="宋体" w:hAnsi="宋体" w:cs="宋体"/>
                <w:color w:val="auto"/>
                <w:sz w:val="24"/>
                <w:szCs w:val="24"/>
              </w:rPr>
            </w:pPr>
            <w:r>
              <w:rPr>
                <w:rFonts w:hint="eastAsia" w:ascii="宋体" w:hAnsi="宋体" w:cs="宋体"/>
                <w:color w:val="auto"/>
                <w:sz w:val="24"/>
                <w:szCs w:val="24"/>
              </w:rPr>
              <w:t>2.本合同如发生争议由双方协商解决，协商不成向需方所在人民法院提起诉讼。</w:t>
            </w:r>
          </w:p>
          <w:p w14:paraId="6A2CA4A9">
            <w:pPr>
              <w:spacing w:line="240" w:lineRule="atLeast"/>
              <w:rPr>
                <w:rFonts w:ascii="宋体" w:hAnsi="宋体" w:cs="宋体"/>
                <w:color w:val="auto"/>
                <w:sz w:val="24"/>
                <w:szCs w:val="24"/>
              </w:rPr>
            </w:pPr>
            <w:r>
              <w:rPr>
                <w:rFonts w:hint="eastAsia" w:ascii="宋体" w:hAnsi="宋体" w:cs="宋体"/>
                <w:color w:val="auto"/>
                <w:sz w:val="24"/>
                <w:szCs w:val="24"/>
              </w:rPr>
              <w:t>3.本合同一式__份， 需方__份，供方__份，具有同等法律效力。</w:t>
            </w:r>
          </w:p>
          <w:p w14:paraId="5EA46E46">
            <w:pPr>
              <w:spacing w:line="240" w:lineRule="atLeast"/>
              <w:rPr>
                <w:rFonts w:ascii="宋体" w:hAnsi="宋体" w:cs="宋体"/>
                <w:color w:val="auto"/>
                <w:sz w:val="24"/>
                <w:szCs w:val="24"/>
              </w:rPr>
            </w:pPr>
            <w:r>
              <w:rPr>
                <w:rFonts w:hint="eastAsia" w:ascii="宋体" w:hAnsi="宋体" w:cs="宋体"/>
                <w:color w:val="auto"/>
                <w:sz w:val="24"/>
                <w:szCs w:val="24"/>
              </w:rPr>
              <w:t>4.其他：</w:t>
            </w:r>
          </w:p>
        </w:tc>
      </w:tr>
      <w:tr w14:paraId="5D3A5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Borders>
              <w:top w:val="single" w:color="auto" w:sz="4" w:space="0"/>
              <w:left w:val="single" w:color="auto" w:sz="4" w:space="0"/>
              <w:bottom w:val="single" w:color="auto" w:sz="4" w:space="0"/>
              <w:right w:val="single" w:color="auto" w:sz="4" w:space="0"/>
              <w:tl2br w:val="nil"/>
              <w:tr2bl w:val="nil"/>
            </w:tcBorders>
          </w:tcPr>
          <w:p w14:paraId="0DA9A2FE">
            <w:pPr>
              <w:spacing w:line="240" w:lineRule="atLeast"/>
              <w:rPr>
                <w:rFonts w:ascii="宋体" w:hAnsi="宋体" w:cs="宋体"/>
                <w:color w:val="auto"/>
                <w:sz w:val="24"/>
                <w:szCs w:val="24"/>
              </w:rPr>
            </w:pPr>
            <w:r>
              <w:rPr>
                <w:rFonts w:hint="eastAsia" w:ascii="宋体" w:hAnsi="宋体" w:cs="宋体"/>
                <w:color w:val="auto"/>
                <w:sz w:val="24"/>
                <w:szCs w:val="24"/>
              </w:rPr>
              <w:t>需方：</w:t>
            </w:r>
          </w:p>
          <w:p w14:paraId="1B2216DD">
            <w:pPr>
              <w:spacing w:line="240" w:lineRule="atLeast"/>
              <w:rPr>
                <w:rFonts w:ascii="宋体" w:hAnsi="宋体" w:cs="宋体"/>
                <w:color w:val="auto"/>
                <w:sz w:val="24"/>
                <w:szCs w:val="24"/>
              </w:rPr>
            </w:pPr>
            <w:r>
              <w:rPr>
                <w:rFonts w:hint="eastAsia" w:ascii="宋体" w:hAnsi="宋体" w:cs="宋体"/>
                <w:color w:val="auto"/>
                <w:sz w:val="24"/>
                <w:szCs w:val="24"/>
              </w:rPr>
              <w:t>地址：</w:t>
            </w:r>
          </w:p>
          <w:p w14:paraId="6863F0AD">
            <w:pPr>
              <w:spacing w:line="240" w:lineRule="atLeast"/>
              <w:rPr>
                <w:rFonts w:ascii="宋体" w:hAnsi="宋体" w:cs="宋体"/>
                <w:color w:val="auto"/>
                <w:sz w:val="24"/>
                <w:szCs w:val="24"/>
              </w:rPr>
            </w:pPr>
            <w:r>
              <w:rPr>
                <w:rFonts w:hint="eastAsia" w:ascii="宋体" w:hAnsi="宋体" w:cs="宋体"/>
                <w:color w:val="auto"/>
                <w:sz w:val="24"/>
                <w:szCs w:val="24"/>
              </w:rPr>
              <w:t>联系电话：</w:t>
            </w:r>
          </w:p>
          <w:p w14:paraId="6280F023">
            <w:pPr>
              <w:spacing w:line="240" w:lineRule="atLeast"/>
              <w:rPr>
                <w:rFonts w:ascii="宋体" w:hAnsi="宋体" w:cs="宋体"/>
                <w:color w:val="auto"/>
                <w:sz w:val="24"/>
                <w:szCs w:val="24"/>
              </w:rPr>
            </w:pPr>
            <w:r>
              <w:rPr>
                <w:rFonts w:hint="eastAsia" w:ascii="宋体" w:hAnsi="宋体" w:cs="宋体"/>
                <w:color w:val="auto"/>
                <w:sz w:val="24"/>
                <w:szCs w:val="24"/>
              </w:rPr>
              <w:t>授权代表：</w:t>
            </w:r>
          </w:p>
        </w:tc>
        <w:tc>
          <w:tcPr>
            <w:tcW w:w="4984" w:type="dxa"/>
            <w:gridSpan w:val="5"/>
            <w:tcBorders>
              <w:top w:val="single" w:color="auto" w:sz="4" w:space="0"/>
              <w:left w:val="single" w:color="auto" w:sz="4" w:space="0"/>
              <w:bottom w:val="single" w:color="auto" w:sz="4" w:space="0"/>
              <w:right w:val="single" w:color="auto" w:sz="4" w:space="0"/>
              <w:tl2br w:val="nil"/>
              <w:tr2bl w:val="nil"/>
            </w:tcBorders>
          </w:tcPr>
          <w:p w14:paraId="29D2E48C">
            <w:pPr>
              <w:spacing w:line="240" w:lineRule="atLeast"/>
              <w:rPr>
                <w:rFonts w:ascii="宋体" w:hAnsi="宋体" w:cs="宋体"/>
                <w:color w:val="auto"/>
                <w:sz w:val="24"/>
                <w:szCs w:val="24"/>
              </w:rPr>
            </w:pPr>
            <w:r>
              <w:rPr>
                <w:rFonts w:hint="eastAsia" w:ascii="宋体" w:hAnsi="宋体" w:cs="宋体"/>
                <w:color w:val="auto"/>
                <w:sz w:val="24"/>
                <w:szCs w:val="24"/>
              </w:rPr>
              <w:t>供方：</w:t>
            </w:r>
          </w:p>
          <w:p w14:paraId="21B0F12D">
            <w:pPr>
              <w:spacing w:line="240" w:lineRule="atLeast"/>
              <w:rPr>
                <w:rFonts w:ascii="宋体" w:hAnsi="宋体" w:cs="宋体"/>
                <w:color w:val="auto"/>
                <w:sz w:val="24"/>
                <w:szCs w:val="24"/>
              </w:rPr>
            </w:pPr>
            <w:r>
              <w:rPr>
                <w:rFonts w:hint="eastAsia" w:ascii="宋体" w:hAnsi="宋体" w:cs="宋体"/>
                <w:color w:val="auto"/>
                <w:sz w:val="24"/>
                <w:szCs w:val="24"/>
              </w:rPr>
              <w:t>地址：</w:t>
            </w:r>
          </w:p>
          <w:p w14:paraId="289E06F1">
            <w:pPr>
              <w:spacing w:line="240" w:lineRule="atLeast"/>
              <w:rPr>
                <w:rFonts w:ascii="宋体" w:hAnsi="宋体" w:cs="宋体"/>
                <w:color w:val="auto"/>
                <w:sz w:val="24"/>
                <w:szCs w:val="24"/>
              </w:rPr>
            </w:pPr>
            <w:r>
              <w:rPr>
                <w:rFonts w:hint="eastAsia" w:ascii="宋体" w:hAnsi="宋体" w:cs="宋体"/>
                <w:color w:val="auto"/>
                <w:sz w:val="24"/>
                <w:szCs w:val="24"/>
              </w:rPr>
              <w:t>电话：</w:t>
            </w:r>
          </w:p>
          <w:p w14:paraId="5E143335">
            <w:pPr>
              <w:spacing w:line="240" w:lineRule="atLeast"/>
              <w:rPr>
                <w:rFonts w:ascii="宋体" w:hAnsi="宋体" w:cs="宋体"/>
                <w:color w:val="auto"/>
                <w:sz w:val="24"/>
                <w:szCs w:val="24"/>
              </w:rPr>
            </w:pPr>
            <w:r>
              <w:rPr>
                <w:rFonts w:hint="eastAsia" w:ascii="宋体" w:hAnsi="宋体" w:cs="宋体"/>
                <w:color w:val="auto"/>
                <w:sz w:val="24"/>
                <w:szCs w:val="24"/>
              </w:rPr>
              <w:t>传真：</w:t>
            </w:r>
          </w:p>
          <w:p w14:paraId="29B2A43A">
            <w:pPr>
              <w:spacing w:line="240" w:lineRule="atLeast"/>
              <w:rPr>
                <w:rFonts w:ascii="宋体" w:hAnsi="宋体" w:cs="宋体"/>
                <w:color w:val="auto"/>
                <w:sz w:val="24"/>
                <w:szCs w:val="24"/>
              </w:rPr>
            </w:pPr>
            <w:r>
              <w:rPr>
                <w:rFonts w:hint="eastAsia" w:ascii="宋体" w:hAnsi="宋体" w:cs="宋体"/>
                <w:color w:val="auto"/>
                <w:sz w:val="24"/>
                <w:szCs w:val="24"/>
              </w:rPr>
              <w:t>开户银行：</w:t>
            </w:r>
          </w:p>
          <w:p w14:paraId="276A8EB4">
            <w:pPr>
              <w:spacing w:line="240" w:lineRule="atLeast"/>
              <w:rPr>
                <w:rFonts w:ascii="宋体" w:hAnsi="宋体" w:cs="宋体"/>
                <w:color w:val="auto"/>
                <w:sz w:val="24"/>
                <w:szCs w:val="24"/>
              </w:rPr>
            </w:pPr>
            <w:r>
              <w:rPr>
                <w:rFonts w:hint="eastAsia" w:ascii="宋体" w:hAnsi="宋体" w:cs="宋体"/>
                <w:color w:val="auto"/>
                <w:sz w:val="24"/>
                <w:szCs w:val="24"/>
              </w:rPr>
              <w:t>账号：</w:t>
            </w:r>
          </w:p>
          <w:p w14:paraId="4332CCDE">
            <w:pPr>
              <w:spacing w:line="240" w:lineRule="atLeast"/>
              <w:rPr>
                <w:rFonts w:ascii="宋体" w:hAnsi="宋体" w:cs="宋体"/>
                <w:color w:val="auto"/>
                <w:sz w:val="24"/>
                <w:szCs w:val="24"/>
              </w:rPr>
            </w:pPr>
            <w:r>
              <w:rPr>
                <w:rFonts w:hint="eastAsia" w:ascii="宋体" w:hAnsi="宋体" w:cs="宋体"/>
                <w:color w:val="auto"/>
                <w:sz w:val="24"/>
                <w:szCs w:val="24"/>
              </w:rPr>
              <w:t>授权代表：</w:t>
            </w:r>
          </w:p>
          <w:p w14:paraId="5EB9EDE2">
            <w:pPr>
              <w:widowControl/>
              <w:spacing w:line="240" w:lineRule="atLeast"/>
              <w:jc w:val="left"/>
              <w:rPr>
                <w:rFonts w:ascii="宋体" w:hAnsi="宋体" w:cs="宋体"/>
                <w:color w:val="auto"/>
                <w:sz w:val="24"/>
                <w:szCs w:val="24"/>
              </w:rPr>
            </w:pPr>
            <w:r>
              <w:rPr>
                <w:rFonts w:hint="eastAsia" w:ascii="宋体" w:hAnsi="宋体" w:cs="宋体"/>
                <w:color w:val="auto"/>
                <w:sz w:val="24"/>
                <w:szCs w:val="24"/>
              </w:rPr>
              <w:t>（本栏请用计算机打印以便于准确付款）</w:t>
            </w:r>
          </w:p>
        </w:tc>
      </w:tr>
      <w:tr w14:paraId="069E4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Borders>
              <w:top w:val="single" w:color="auto" w:sz="4" w:space="0"/>
              <w:left w:val="single" w:color="auto" w:sz="4" w:space="0"/>
              <w:bottom w:val="single" w:color="auto" w:sz="4" w:space="0"/>
              <w:right w:val="single" w:color="auto" w:sz="4" w:space="0"/>
              <w:tl2br w:val="nil"/>
              <w:tr2bl w:val="nil"/>
            </w:tcBorders>
          </w:tcPr>
          <w:p w14:paraId="4E7DC7CD">
            <w:pPr>
              <w:spacing w:line="240" w:lineRule="atLeast"/>
              <w:rPr>
                <w:rFonts w:ascii="宋体" w:hAnsi="宋体" w:cs="宋体"/>
                <w:color w:val="auto"/>
                <w:sz w:val="24"/>
                <w:szCs w:val="24"/>
              </w:rPr>
            </w:pPr>
            <w:r>
              <w:rPr>
                <w:rFonts w:hint="eastAsia" w:ascii="宋体" w:hAnsi="宋体" w:cs="宋体"/>
                <w:color w:val="auto"/>
                <w:sz w:val="24"/>
                <w:szCs w:val="24"/>
              </w:rPr>
              <w:t>备注：</w:t>
            </w:r>
          </w:p>
          <w:p w14:paraId="2ECF9C5D">
            <w:pPr>
              <w:spacing w:line="240" w:lineRule="atLeast"/>
              <w:rPr>
                <w:rFonts w:ascii="宋体" w:hAnsi="宋体" w:cs="宋体"/>
                <w:color w:val="auto"/>
                <w:sz w:val="24"/>
                <w:szCs w:val="24"/>
              </w:rPr>
            </w:pPr>
          </w:p>
        </w:tc>
      </w:tr>
    </w:tbl>
    <w:p w14:paraId="06157FAA">
      <w:pPr>
        <w:rPr>
          <w:color w:val="auto"/>
        </w:rPr>
      </w:pPr>
      <w:r>
        <w:rPr>
          <w:rFonts w:hint="eastAsia" w:ascii="宋体" w:hAnsi="宋体" w:cs="宋体"/>
          <w:color w:val="auto"/>
          <w:sz w:val="24"/>
          <w:szCs w:val="22"/>
        </w:rPr>
        <w:t>签约时间：           年   月   日      签约地点：</w:t>
      </w:r>
      <w:r>
        <w:rPr>
          <w:rFonts w:hint="eastAsia"/>
          <w:color w:val="auto"/>
        </w:rPr>
        <w:t xml:space="preserve">                       </w:t>
      </w:r>
    </w:p>
    <w:bookmarkEnd w:id="165"/>
    <w:bookmarkEnd w:id="166"/>
    <w:bookmarkEnd w:id="167"/>
    <w:p w14:paraId="54BE07A1">
      <w:pPr>
        <w:rPr>
          <w:rFonts w:ascii="宋体" w:hAnsi="宋体" w:cs="宋体"/>
          <w:color w:val="auto"/>
          <w:sz w:val="24"/>
          <w:szCs w:val="24"/>
        </w:rPr>
      </w:pPr>
      <w:r>
        <w:rPr>
          <w:rFonts w:hint="eastAsia" w:ascii="宋体" w:hAnsi="宋体" w:cs="宋体"/>
          <w:color w:val="auto"/>
          <w:sz w:val="24"/>
          <w:szCs w:val="24"/>
        </w:rPr>
        <w:t xml:space="preserve">              </w:t>
      </w:r>
    </w:p>
    <w:p w14:paraId="19F39EFC">
      <w:pPr>
        <w:pStyle w:val="4"/>
        <w:spacing w:before="0" w:after="0" w:line="360" w:lineRule="auto"/>
        <w:jc w:val="center"/>
        <w:rPr>
          <w:rFonts w:ascii="宋体" w:hAnsi="宋体" w:eastAsia="宋体" w:cs="宋体"/>
          <w:b w:val="0"/>
          <w:color w:val="auto"/>
          <w:sz w:val="36"/>
          <w:szCs w:val="30"/>
        </w:rPr>
      </w:pPr>
      <w:bookmarkStart w:id="168" w:name="_Toc21130"/>
      <w:r>
        <w:rPr>
          <w:rFonts w:hint="eastAsia" w:ascii="宋体" w:hAnsi="宋体" w:eastAsia="宋体" w:cs="宋体"/>
          <w:color w:val="auto"/>
          <w:sz w:val="36"/>
          <w:szCs w:val="30"/>
        </w:rPr>
        <w:t>第七篇  响应文件格式要求</w:t>
      </w:r>
      <w:bookmarkEnd w:id="161"/>
      <w:bookmarkEnd w:id="162"/>
      <w:bookmarkEnd w:id="163"/>
      <w:bookmarkEnd w:id="164"/>
      <w:bookmarkEnd w:id="168"/>
    </w:p>
    <w:p w14:paraId="7CE8E0BA">
      <w:pPr>
        <w:spacing w:line="400" w:lineRule="exact"/>
        <w:ind w:firstLine="482" w:firstLineChars="200"/>
        <w:rPr>
          <w:rFonts w:ascii="宋体" w:hAnsi="宋体" w:cs="宋体"/>
          <w:b/>
          <w:color w:val="auto"/>
          <w:sz w:val="24"/>
          <w:szCs w:val="24"/>
        </w:rPr>
      </w:pPr>
      <w:r>
        <w:rPr>
          <w:rFonts w:hint="eastAsia" w:ascii="宋体" w:hAnsi="宋体" w:cs="宋体"/>
          <w:b/>
          <w:color w:val="auto"/>
          <w:sz w:val="24"/>
          <w:szCs w:val="24"/>
        </w:rPr>
        <w:t>一、经济部分</w:t>
      </w:r>
    </w:p>
    <w:p w14:paraId="1046F626">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（一）竞争性报价函</w:t>
      </w:r>
    </w:p>
    <w:p w14:paraId="571BFFFA">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（二）明细报价表</w:t>
      </w:r>
    </w:p>
    <w:p w14:paraId="14709E6C">
      <w:pPr>
        <w:spacing w:line="400" w:lineRule="exact"/>
        <w:ind w:firstLine="482" w:firstLineChars="200"/>
        <w:rPr>
          <w:rFonts w:ascii="宋体" w:hAnsi="宋体" w:cs="宋体"/>
          <w:b/>
          <w:color w:val="auto"/>
          <w:sz w:val="24"/>
          <w:szCs w:val="24"/>
        </w:rPr>
      </w:pPr>
      <w:r>
        <w:rPr>
          <w:rFonts w:hint="eastAsia" w:ascii="宋体" w:hAnsi="宋体" w:cs="宋体"/>
          <w:b/>
          <w:color w:val="auto"/>
          <w:sz w:val="24"/>
          <w:szCs w:val="24"/>
        </w:rPr>
        <w:t>二、技术（质量）部分</w:t>
      </w:r>
    </w:p>
    <w:p w14:paraId="4FFB4442">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（一）技术（质量）响应偏离表</w:t>
      </w:r>
    </w:p>
    <w:p w14:paraId="57E5065B">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（二）其他资料（格式自定）</w:t>
      </w:r>
    </w:p>
    <w:p w14:paraId="0884E790">
      <w:pPr>
        <w:spacing w:line="400" w:lineRule="exact"/>
        <w:ind w:firstLine="482" w:firstLineChars="200"/>
        <w:rPr>
          <w:rFonts w:ascii="宋体" w:hAnsi="宋体" w:cs="宋体"/>
          <w:b/>
          <w:color w:val="auto"/>
          <w:sz w:val="24"/>
          <w:szCs w:val="24"/>
        </w:rPr>
      </w:pPr>
      <w:r>
        <w:rPr>
          <w:rFonts w:hint="eastAsia" w:ascii="宋体" w:hAnsi="宋体" w:cs="宋体"/>
          <w:b/>
          <w:color w:val="auto"/>
          <w:sz w:val="24"/>
          <w:szCs w:val="24"/>
        </w:rPr>
        <w:t>三、商务部分</w:t>
      </w:r>
    </w:p>
    <w:p w14:paraId="404F0185">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（一）商务响应偏离表</w:t>
      </w:r>
    </w:p>
    <w:p w14:paraId="10F5443E">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（二）其它优惠服务承诺（格式自定）</w:t>
      </w:r>
    </w:p>
    <w:p w14:paraId="78974955">
      <w:pPr>
        <w:spacing w:line="400" w:lineRule="exact"/>
        <w:ind w:firstLine="482" w:firstLineChars="200"/>
        <w:rPr>
          <w:rFonts w:ascii="宋体" w:hAnsi="宋体" w:cs="宋体"/>
          <w:b/>
          <w:color w:val="auto"/>
          <w:sz w:val="24"/>
          <w:szCs w:val="24"/>
        </w:rPr>
      </w:pPr>
      <w:r>
        <w:rPr>
          <w:rFonts w:hint="eastAsia" w:ascii="宋体" w:hAnsi="宋体" w:cs="宋体"/>
          <w:b/>
          <w:color w:val="auto"/>
          <w:sz w:val="24"/>
          <w:szCs w:val="24"/>
        </w:rPr>
        <w:t>四、资格条件及其他</w:t>
      </w:r>
    </w:p>
    <w:p w14:paraId="0CFC9014">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w:t>
      </w:r>
    </w:p>
    <w:p w14:paraId="47296970">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（二）法定代表人身份证明书（格式）</w:t>
      </w:r>
    </w:p>
    <w:p w14:paraId="778AF481">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（三）法定代表人授权委托书（格式）</w:t>
      </w:r>
    </w:p>
    <w:p w14:paraId="6236C789">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（四）基本资格条件承诺函（格式）</w:t>
      </w:r>
    </w:p>
    <w:p w14:paraId="1C3EF9EE">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（五）特定资格条件证书或证明文件</w:t>
      </w:r>
    </w:p>
    <w:p w14:paraId="64BF23E1">
      <w:pPr>
        <w:spacing w:line="400" w:lineRule="exact"/>
        <w:ind w:firstLine="482" w:firstLineChars="200"/>
        <w:rPr>
          <w:rFonts w:ascii="宋体" w:hAnsi="宋体" w:cs="宋体"/>
          <w:b/>
          <w:color w:val="auto"/>
          <w:sz w:val="24"/>
          <w:szCs w:val="24"/>
        </w:rPr>
      </w:pPr>
      <w:r>
        <w:rPr>
          <w:rFonts w:hint="eastAsia" w:ascii="宋体" w:hAnsi="宋体" w:cs="宋体"/>
          <w:b/>
          <w:color w:val="auto"/>
          <w:sz w:val="24"/>
          <w:szCs w:val="24"/>
        </w:rPr>
        <w:t>五、其他资料</w:t>
      </w:r>
    </w:p>
    <w:p w14:paraId="00224754">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（一）其他与项目有关的资料（自附）</w:t>
      </w:r>
    </w:p>
    <w:p w14:paraId="454010AC">
      <w:pPr>
        <w:pStyle w:val="23"/>
        <w:rPr>
          <w:color w:val="auto"/>
        </w:rPr>
        <w:sectPr>
          <w:footerReference r:id="rId10" w:type="default"/>
          <w:pgSz w:w="11907" w:h="16840"/>
          <w:pgMar w:top="1134" w:right="1191" w:bottom="1134" w:left="1304" w:header="680" w:footer="992" w:gutter="0"/>
          <w:pgNumType w:fmt="numberInDash"/>
          <w:cols w:space="720" w:num="1"/>
          <w:docGrid w:linePitch="380" w:charSpace="-5735"/>
        </w:sectPr>
      </w:pPr>
    </w:p>
    <w:p w14:paraId="2CBF26F7">
      <w:pPr>
        <w:pStyle w:val="4"/>
        <w:adjustRightInd w:val="0"/>
        <w:snapToGrid w:val="0"/>
        <w:spacing w:before="0" w:after="0" w:line="400" w:lineRule="exact"/>
        <w:ind w:firstLine="482" w:firstLineChars="200"/>
        <w:rPr>
          <w:rFonts w:ascii="宋体" w:hAnsi="宋体" w:eastAsia="宋体" w:cs="宋体"/>
          <w:color w:val="auto"/>
          <w:sz w:val="24"/>
        </w:rPr>
      </w:pPr>
      <w:bookmarkStart w:id="169" w:name="_Toc313888360"/>
      <w:bookmarkStart w:id="170" w:name="_Toc10286"/>
      <w:bookmarkStart w:id="171" w:name="_Toc14244"/>
      <w:bookmarkStart w:id="172" w:name="_Toc26343"/>
      <w:bookmarkStart w:id="173" w:name="_Toc313008356"/>
      <w:bookmarkStart w:id="174" w:name="_Toc342913419"/>
      <w:bookmarkStart w:id="175" w:name="_Toc65660379"/>
      <w:bookmarkStart w:id="176" w:name="_Toc283382454"/>
      <w:bookmarkStart w:id="177" w:name="_Toc12789073"/>
      <w:r>
        <w:rPr>
          <w:rFonts w:hint="eastAsia" w:ascii="宋体" w:hAnsi="宋体" w:eastAsia="宋体" w:cs="宋体"/>
          <w:color w:val="auto"/>
          <w:sz w:val="24"/>
        </w:rPr>
        <w:t>一、经济部分</w:t>
      </w:r>
      <w:bookmarkEnd w:id="169"/>
      <w:bookmarkEnd w:id="170"/>
      <w:bookmarkEnd w:id="171"/>
      <w:bookmarkEnd w:id="172"/>
      <w:bookmarkEnd w:id="173"/>
      <w:bookmarkEnd w:id="174"/>
      <w:bookmarkEnd w:id="175"/>
    </w:p>
    <w:bookmarkEnd w:id="176"/>
    <w:bookmarkEnd w:id="177"/>
    <w:p w14:paraId="4E606AAC">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（一）竞争性报价函</w:t>
      </w:r>
    </w:p>
    <w:p w14:paraId="4CB75177">
      <w:pPr>
        <w:tabs>
          <w:tab w:val="left" w:pos="6300"/>
        </w:tabs>
        <w:snapToGrid w:val="0"/>
        <w:spacing w:line="312" w:lineRule="auto"/>
        <w:ind w:firstLine="422" w:firstLineChars="200"/>
        <w:jc w:val="center"/>
        <w:rPr>
          <w:rFonts w:ascii="宋体" w:hAnsi="宋体" w:cs="宋体"/>
          <w:b/>
          <w:color w:val="auto"/>
          <w:szCs w:val="28"/>
        </w:rPr>
      </w:pPr>
      <w:r>
        <w:rPr>
          <w:rFonts w:hint="eastAsia" w:ascii="宋体" w:hAnsi="宋体" w:cs="宋体"/>
          <w:b/>
          <w:color w:val="auto"/>
          <w:szCs w:val="28"/>
        </w:rPr>
        <w:t>竞争性报价函</w:t>
      </w:r>
    </w:p>
    <w:p w14:paraId="5B9D9948">
      <w:pPr>
        <w:tabs>
          <w:tab w:val="left" w:pos="6300"/>
        </w:tabs>
        <w:snapToGrid w:val="0"/>
        <w:spacing w:line="312" w:lineRule="auto"/>
        <w:rPr>
          <w:rFonts w:ascii="宋体" w:hAnsi="宋体" w:cs="宋体"/>
          <w:color w:val="auto"/>
          <w:sz w:val="24"/>
          <w:szCs w:val="24"/>
        </w:rPr>
      </w:pPr>
      <w:r>
        <w:rPr>
          <w:rFonts w:hint="eastAsia" w:ascii="宋体" w:hAnsi="宋体" w:cs="宋体"/>
          <w:color w:val="auto"/>
          <w:sz w:val="24"/>
          <w:szCs w:val="24"/>
          <w:u w:val="single"/>
        </w:rPr>
        <w:t>（采购代理机构名称）</w:t>
      </w:r>
      <w:r>
        <w:rPr>
          <w:rFonts w:hint="eastAsia" w:ascii="宋体" w:hAnsi="宋体" w:cs="宋体"/>
          <w:color w:val="auto"/>
          <w:sz w:val="24"/>
          <w:szCs w:val="24"/>
        </w:rPr>
        <w:t>：</w:t>
      </w:r>
    </w:p>
    <w:p w14:paraId="001822CB">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我方收到____________________________（谈判项目名称）的竞争性谈判文件，经详细研究，决定参加该谈判项目的竞争谈判。</w:t>
      </w:r>
    </w:p>
    <w:p w14:paraId="2C92D112">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1.愿意按照竞争性谈判文件中的一切要求，提供本项目的交货及技术服务，项目初始报价（总价）为人民币大写：</w:t>
      </w:r>
      <w:r>
        <w:rPr>
          <w:rFonts w:hint="eastAsia" w:ascii="宋体" w:hAnsi="宋体" w:cs="宋体"/>
          <w:color w:val="auto"/>
          <w:sz w:val="24"/>
          <w:szCs w:val="24"/>
          <w:u w:val="single"/>
        </w:rPr>
        <w:t xml:space="preserve">    </w:t>
      </w:r>
      <w:r>
        <w:rPr>
          <w:rFonts w:hint="eastAsia" w:ascii="宋体" w:hAnsi="宋体" w:cs="宋体"/>
          <w:color w:val="auto"/>
          <w:sz w:val="24"/>
          <w:szCs w:val="24"/>
        </w:rPr>
        <w:t>；人民币小写：</w:t>
      </w:r>
      <w:r>
        <w:rPr>
          <w:rFonts w:hint="eastAsia" w:ascii="宋体" w:hAnsi="宋体" w:cs="宋体"/>
          <w:color w:val="auto"/>
          <w:sz w:val="24"/>
          <w:szCs w:val="24"/>
          <w:u w:val="single"/>
        </w:rPr>
        <w:t xml:space="preserve">     </w:t>
      </w:r>
      <w:r>
        <w:rPr>
          <w:rFonts w:hint="eastAsia" w:ascii="宋体" w:hAnsi="宋体" w:cs="宋体"/>
          <w:color w:val="auto"/>
          <w:sz w:val="24"/>
          <w:szCs w:val="24"/>
        </w:rPr>
        <w:t>（其中安全文明施工费为</w:t>
      </w:r>
      <w:r>
        <w:rPr>
          <w:rFonts w:hint="eastAsia" w:ascii="宋体" w:hAnsi="宋体" w:cs="宋体"/>
          <w:color w:val="auto"/>
          <w:sz w:val="24"/>
          <w:szCs w:val="24"/>
          <w:lang w:eastAsia="zh-CN"/>
        </w:rPr>
        <w:t>：</w:t>
      </w:r>
      <w:r>
        <w:rPr>
          <w:rFonts w:hint="eastAsia" w:ascii="宋体" w:hAnsi="宋体" w:cs="宋体"/>
          <w:color w:val="auto"/>
          <w:sz w:val="24"/>
          <w:szCs w:val="24"/>
          <w:u w:val="single"/>
        </w:rPr>
        <w:t xml:space="preserve">       </w:t>
      </w:r>
      <w:r>
        <w:rPr>
          <w:rFonts w:hint="eastAsia" w:ascii="宋体" w:hAnsi="宋体" w:cs="宋体"/>
          <w:color w:val="auto"/>
          <w:sz w:val="24"/>
          <w:szCs w:val="24"/>
        </w:rPr>
        <w:t>元）。以我公司最后报价为准。</w:t>
      </w:r>
    </w:p>
    <w:p w14:paraId="06FF6C35">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2.我方现提交的响应文件为：响应文件正本</w:t>
      </w:r>
      <w:r>
        <w:rPr>
          <w:rFonts w:hint="eastAsia" w:ascii="宋体" w:hAnsi="宋体" w:cs="宋体"/>
          <w:color w:val="auto"/>
          <w:sz w:val="24"/>
          <w:szCs w:val="24"/>
          <w:u w:val="single"/>
        </w:rPr>
        <w:t xml:space="preserve">   </w:t>
      </w:r>
      <w:r>
        <w:rPr>
          <w:rFonts w:hint="eastAsia" w:ascii="宋体" w:hAnsi="宋体" w:cs="宋体"/>
          <w:color w:val="auto"/>
          <w:sz w:val="24"/>
          <w:szCs w:val="24"/>
        </w:rPr>
        <w:t>份，副本</w:t>
      </w:r>
      <w:r>
        <w:rPr>
          <w:rFonts w:hint="eastAsia" w:ascii="宋体" w:hAnsi="宋体" w:cs="宋体"/>
          <w:color w:val="auto"/>
          <w:sz w:val="24"/>
          <w:szCs w:val="24"/>
          <w:u w:val="single"/>
        </w:rPr>
        <w:t xml:space="preserve">   </w:t>
      </w:r>
      <w:r>
        <w:rPr>
          <w:rFonts w:hint="eastAsia" w:ascii="宋体" w:hAnsi="宋体" w:cs="宋体"/>
          <w:color w:val="auto"/>
          <w:sz w:val="24"/>
          <w:szCs w:val="24"/>
        </w:rPr>
        <w:t>份，电子文档</w:t>
      </w:r>
      <w:r>
        <w:rPr>
          <w:rFonts w:hint="eastAsia" w:ascii="宋体" w:hAnsi="宋体" w:cs="宋体"/>
          <w:color w:val="auto"/>
          <w:sz w:val="24"/>
          <w:szCs w:val="24"/>
          <w:u w:val="single"/>
        </w:rPr>
        <w:t xml:space="preserve">   </w:t>
      </w:r>
      <w:r>
        <w:rPr>
          <w:rFonts w:hint="eastAsia" w:ascii="宋体" w:hAnsi="宋体" w:cs="宋体"/>
          <w:color w:val="auto"/>
          <w:sz w:val="24"/>
          <w:szCs w:val="24"/>
        </w:rPr>
        <w:t>份。</w:t>
      </w:r>
    </w:p>
    <w:p w14:paraId="397427BC">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3.我方承诺：本次谈判的有效期为提交响应文件截止时间起90天。</w:t>
      </w:r>
    </w:p>
    <w:p w14:paraId="37BA66C6">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4.我方完全理解和接受贵方竞争性谈判文件的一切规定和要求及谈判评审办法。</w:t>
      </w:r>
    </w:p>
    <w:p w14:paraId="0A30D431">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5.在整个竞争性谈判过程中，我方若有违规行为，接受按照《中华人民共和国政府采购法》和《竞争性谈判文件》之规定给予惩罚。</w:t>
      </w:r>
    </w:p>
    <w:p w14:paraId="2FC4AC19">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6.我方若成为成交供应商，将按照最终谈判结果签订合同，并且严格履行合同义务。本承诺函将成为合同不可分割的一部分，与合同具有同等的法律效力。</w:t>
      </w:r>
    </w:p>
    <w:p w14:paraId="40CD5C0F">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7.如果我方成为成交供应商，保证在接到成交通知书后，向采购代理机构缴纳竞争性谈判文件规定的采购代理服务费。</w:t>
      </w:r>
    </w:p>
    <w:p w14:paraId="3D858F09">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8.</w:t>
      </w:r>
      <w:r>
        <w:rPr>
          <w:rFonts w:hint="eastAsia" w:ascii="宋体" w:hAnsi="宋体" w:cs="宋体"/>
          <w:color w:val="auto"/>
          <w:sz w:val="24"/>
          <w:szCs w:val="28"/>
        </w:rPr>
        <w:t>我方未</w:t>
      </w:r>
      <w:r>
        <w:rPr>
          <w:rFonts w:hint="eastAsia" w:ascii="宋体" w:hAnsi="宋体" w:cs="宋体"/>
          <w:color w:val="auto"/>
          <w:sz w:val="24"/>
          <w:szCs w:val="24"/>
        </w:rPr>
        <w:t>为采购项目提供整体设计、规范编制或者项目管理、监理、检测等服务。</w:t>
      </w:r>
    </w:p>
    <w:p w14:paraId="348EC15A">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供应商（公章）或自然人签署：</w:t>
      </w:r>
    </w:p>
    <w:p w14:paraId="2C14D124">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 xml:space="preserve">地址：  </w:t>
      </w:r>
    </w:p>
    <w:p w14:paraId="7E52C77F">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电话：                           传真：</w:t>
      </w:r>
    </w:p>
    <w:p w14:paraId="1651B88A">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网址：                           邮编：</w:t>
      </w:r>
    </w:p>
    <w:p w14:paraId="5636A3D6">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联系人：</w:t>
      </w:r>
    </w:p>
    <w:p w14:paraId="3F8D6ECE">
      <w:pPr>
        <w:pStyle w:val="28"/>
        <w:ind w:left="1470" w:right="1470"/>
        <w:rPr>
          <w:color w:val="auto"/>
        </w:rPr>
      </w:pPr>
    </w:p>
    <w:p w14:paraId="6254142E">
      <w:pPr>
        <w:snapToGrid w:val="0"/>
        <w:spacing w:line="312" w:lineRule="auto"/>
        <w:ind w:firstLine="480" w:firstLineChars="200"/>
        <w:jc w:val="center"/>
        <w:rPr>
          <w:rFonts w:ascii="宋体" w:hAnsi="宋体" w:cs="宋体"/>
          <w:color w:val="auto"/>
          <w:sz w:val="24"/>
          <w:szCs w:val="24"/>
        </w:rPr>
        <w:sectPr>
          <w:pgSz w:w="11907" w:h="16840"/>
          <w:pgMar w:top="1134" w:right="1191" w:bottom="1134" w:left="1304" w:header="851" w:footer="992" w:gutter="0"/>
          <w:pgNumType w:fmt="numberInDash"/>
          <w:cols w:space="720" w:num="1"/>
          <w:docGrid w:linePitch="380" w:charSpace="-5735"/>
        </w:sectPr>
      </w:pPr>
      <w:r>
        <w:rPr>
          <w:rFonts w:hint="eastAsia" w:ascii="宋体" w:hAnsi="宋体" w:cs="宋体"/>
          <w:color w:val="auto"/>
          <w:sz w:val="24"/>
          <w:szCs w:val="24"/>
        </w:rPr>
        <w:t xml:space="preserve">                                                       年   月   日</w:t>
      </w:r>
    </w:p>
    <w:p w14:paraId="582BEE4B">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（二）明细报价表</w:t>
      </w:r>
    </w:p>
    <w:p w14:paraId="1DCAA841">
      <w:pPr>
        <w:spacing w:line="400" w:lineRule="exact"/>
        <w:ind w:firstLine="480" w:firstLineChars="200"/>
        <w:rPr>
          <w:rFonts w:ascii="宋体" w:hAnsi="宋体" w:cs="宋体"/>
          <w:color w:val="auto"/>
          <w:sz w:val="24"/>
          <w:szCs w:val="24"/>
        </w:rPr>
      </w:pPr>
    </w:p>
    <w:p w14:paraId="3B2D411F">
      <w:pPr>
        <w:spacing w:line="400" w:lineRule="exact"/>
        <w:ind w:firstLine="480" w:firstLineChars="200"/>
        <w:rPr>
          <w:rFonts w:ascii="宋体" w:hAnsi="宋体" w:cs="宋体"/>
          <w:color w:val="auto"/>
          <w:sz w:val="24"/>
          <w:szCs w:val="24"/>
        </w:rPr>
        <w:sectPr>
          <w:pgSz w:w="11907" w:h="16840"/>
          <w:pgMar w:top="1134" w:right="1191" w:bottom="1134" w:left="1304" w:header="680" w:footer="992" w:gutter="0"/>
          <w:pgNumType w:fmt="numberInDash"/>
          <w:cols w:space="720" w:num="1"/>
          <w:docGrid w:linePitch="380" w:charSpace="-5735"/>
        </w:sectPr>
      </w:pPr>
      <w:r>
        <w:rPr>
          <w:rFonts w:hint="eastAsia" w:ascii="宋体" w:hAnsi="宋体" w:cs="宋体"/>
          <w:color w:val="auto"/>
          <w:sz w:val="24"/>
          <w:szCs w:val="24"/>
        </w:rPr>
        <w:t>根据清单进行填报。</w:t>
      </w:r>
    </w:p>
    <w:p w14:paraId="525CCF37">
      <w:pPr>
        <w:pStyle w:val="4"/>
        <w:adjustRightInd w:val="0"/>
        <w:snapToGrid w:val="0"/>
        <w:spacing w:before="0" w:after="0" w:line="400" w:lineRule="exact"/>
        <w:ind w:firstLine="482" w:firstLineChars="200"/>
        <w:rPr>
          <w:rFonts w:ascii="宋体" w:hAnsi="宋体" w:eastAsia="宋体" w:cs="宋体"/>
          <w:color w:val="auto"/>
          <w:sz w:val="24"/>
        </w:rPr>
      </w:pPr>
      <w:bookmarkStart w:id="178" w:name="_Toc14073"/>
      <w:bookmarkStart w:id="179" w:name="_Toc313888361"/>
      <w:bookmarkStart w:id="180" w:name="_Toc65660380"/>
      <w:bookmarkStart w:id="181" w:name="_Toc22655"/>
      <w:bookmarkStart w:id="182" w:name="_Toc313008357"/>
      <w:bookmarkStart w:id="183" w:name="_Toc342913420"/>
      <w:bookmarkStart w:id="184" w:name="_Toc8315"/>
      <w:r>
        <w:rPr>
          <w:rFonts w:hint="eastAsia" w:ascii="宋体" w:hAnsi="宋体" w:eastAsia="宋体" w:cs="宋体"/>
          <w:color w:val="auto"/>
          <w:sz w:val="24"/>
        </w:rPr>
        <w:t>二、技术（质量）部分</w:t>
      </w:r>
      <w:bookmarkEnd w:id="178"/>
      <w:bookmarkEnd w:id="179"/>
      <w:bookmarkEnd w:id="180"/>
      <w:bookmarkEnd w:id="181"/>
      <w:bookmarkEnd w:id="182"/>
      <w:bookmarkEnd w:id="183"/>
      <w:bookmarkEnd w:id="184"/>
    </w:p>
    <w:p w14:paraId="26A65407">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（一）技术（质量）响应偏离表</w:t>
      </w:r>
    </w:p>
    <w:p w14:paraId="1314DD27">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 xml:space="preserve">项目号：                               </w:t>
      </w:r>
    </w:p>
    <w:p w14:paraId="6943AE9C">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谈判项目名称：</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257E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775BADFE">
            <w:pPr>
              <w:tabs>
                <w:tab w:val="left" w:pos="6300"/>
              </w:tabs>
              <w:snapToGrid w:val="0"/>
              <w:spacing w:line="400" w:lineRule="exact"/>
              <w:jc w:val="center"/>
              <w:outlineLvl w:val="0"/>
              <w:rPr>
                <w:rFonts w:ascii="宋体" w:hAnsi="宋体" w:cs="宋体"/>
                <w:b/>
                <w:color w:val="auto"/>
                <w:sz w:val="24"/>
                <w:szCs w:val="24"/>
              </w:rPr>
            </w:pPr>
            <w:r>
              <w:rPr>
                <w:rFonts w:hint="eastAsia" w:ascii="宋体" w:hAnsi="宋体" w:cs="宋体"/>
                <w:b/>
                <w:color w:val="auto"/>
                <w:sz w:val="24"/>
                <w:szCs w:val="24"/>
              </w:rPr>
              <w:t>序号</w:t>
            </w:r>
          </w:p>
        </w:tc>
        <w:tc>
          <w:tcPr>
            <w:tcW w:w="2844" w:type="dxa"/>
            <w:vAlign w:val="center"/>
          </w:tcPr>
          <w:p w14:paraId="24CCA2A9">
            <w:pPr>
              <w:tabs>
                <w:tab w:val="left" w:pos="6300"/>
              </w:tabs>
              <w:snapToGrid w:val="0"/>
              <w:spacing w:line="400" w:lineRule="exact"/>
              <w:jc w:val="center"/>
              <w:outlineLvl w:val="0"/>
              <w:rPr>
                <w:rFonts w:ascii="宋体" w:hAnsi="宋体" w:cs="宋体"/>
                <w:b/>
                <w:color w:val="auto"/>
                <w:sz w:val="24"/>
                <w:szCs w:val="24"/>
              </w:rPr>
            </w:pPr>
            <w:r>
              <w:rPr>
                <w:rFonts w:hint="eastAsia" w:ascii="宋体" w:hAnsi="宋体" w:cs="宋体"/>
                <w:b/>
                <w:color w:val="auto"/>
                <w:sz w:val="24"/>
                <w:szCs w:val="24"/>
              </w:rPr>
              <w:t>采购需求</w:t>
            </w:r>
          </w:p>
        </w:tc>
        <w:tc>
          <w:tcPr>
            <w:tcW w:w="2952" w:type="dxa"/>
            <w:vAlign w:val="center"/>
          </w:tcPr>
          <w:p w14:paraId="722DE480">
            <w:pPr>
              <w:tabs>
                <w:tab w:val="left" w:pos="6300"/>
              </w:tabs>
              <w:snapToGrid w:val="0"/>
              <w:spacing w:line="400" w:lineRule="exact"/>
              <w:jc w:val="center"/>
              <w:outlineLvl w:val="0"/>
              <w:rPr>
                <w:rFonts w:ascii="宋体" w:hAnsi="宋体" w:cs="宋体"/>
                <w:b/>
                <w:color w:val="auto"/>
                <w:sz w:val="24"/>
                <w:szCs w:val="24"/>
              </w:rPr>
            </w:pPr>
            <w:r>
              <w:rPr>
                <w:rFonts w:hint="eastAsia" w:ascii="宋体" w:hAnsi="宋体" w:cs="宋体"/>
                <w:b/>
                <w:color w:val="auto"/>
                <w:sz w:val="24"/>
                <w:szCs w:val="24"/>
              </w:rPr>
              <w:t>响应情况</w:t>
            </w:r>
          </w:p>
        </w:tc>
        <w:tc>
          <w:tcPr>
            <w:tcW w:w="2212" w:type="dxa"/>
            <w:vAlign w:val="center"/>
          </w:tcPr>
          <w:p w14:paraId="2F619F79">
            <w:pPr>
              <w:tabs>
                <w:tab w:val="left" w:pos="6300"/>
              </w:tabs>
              <w:snapToGrid w:val="0"/>
              <w:spacing w:line="400" w:lineRule="exact"/>
              <w:jc w:val="center"/>
              <w:outlineLvl w:val="0"/>
              <w:rPr>
                <w:rFonts w:ascii="宋体" w:hAnsi="宋体" w:cs="宋体"/>
                <w:b/>
                <w:color w:val="auto"/>
                <w:sz w:val="24"/>
                <w:szCs w:val="24"/>
              </w:rPr>
            </w:pPr>
            <w:r>
              <w:rPr>
                <w:rFonts w:hint="eastAsia" w:ascii="宋体" w:hAnsi="宋体" w:cs="宋体"/>
                <w:b/>
                <w:color w:val="auto"/>
                <w:sz w:val="24"/>
                <w:szCs w:val="24"/>
              </w:rPr>
              <w:t>差异说明</w:t>
            </w:r>
          </w:p>
        </w:tc>
      </w:tr>
      <w:tr w14:paraId="4CC0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05460CD">
            <w:pPr>
              <w:tabs>
                <w:tab w:val="left" w:pos="6300"/>
              </w:tabs>
              <w:snapToGrid w:val="0"/>
              <w:spacing w:line="400" w:lineRule="exact"/>
              <w:jc w:val="center"/>
              <w:outlineLvl w:val="0"/>
              <w:rPr>
                <w:rFonts w:ascii="宋体" w:hAnsi="宋体" w:cs="宋体"/>
                <w:color w:val="auto"/>
                <w:sz w:val="24"/>
                <w:szCs w:val="24"/>
              </w:rPr>
            </w:pPr>
          </w:p>
        </w:tc>
        <w:tc>
          <w:tcPr>
            <w:tcW w:w="2844" w:type="dxa"/>
            <w:vAlign w:val="center"/>
          </w:tcPr>
          <w:p w14:paraId="0C58A6FB">
            <w:pPr>
              <w:tabs>
                <w:tab w:val="left" w:pos="6300"/>
              </w:tabs>
              <w:snapToGrid w:val="0"/>
              <w:spacing w:line="400" w:lineRule="exact"/>
              <w:outlineLvl w:val="0"/>
              <w:rPr>
                <w:rFonts w:ascii="宋体" w:hAnsi="宋体" w:cs="宋体"/>
                <w:color w:val="auto"/>
                <w:sz w:val="24"/>
                <w:szCs w:val="24"/>
              </w:rPr>
            </w:pPr>
          </w:p>
        </w:tc>
        <w:tc>
          <w:tcPr>
            <w:tcW w:w="2952" w:type="dxa"/>
            <w:vAlign w:val="center"/>
          </w:tcPr>
          <w:p w14:paraId="704A5602">
            <w:pPr>
              <w:tabs>
                <w:tab w:val="left" w:pos="6300"/>
              </w:tabs>
              <w:snapToGrid w:val="0"/>
              <w:spacing w:line="400" w:lineRule="exact"/>
              <w:outlineLvl w:val="0"/>
              <w:rPr>
                <w:rFonts w:ascii="宋体" w:hAnsi="宋体" w:cs="宋体"/>
                <w:color w:val="auto"/>
                <w:sz w:val="24"/>
                <w:szCs w:val="24"/>
              </w:rPr>
            </w:pPr>
          </w:p>
        </w:tc>
        <w:tc>
          <w:tcPr>
            <w:tcW w:w="2212" w:type="dxa"/>
            <w:vAlign w:val="center"/>
          </w:tcPr>
          <w:p w14:paraId="76A22695">
            <w:pPr>
              <w:tabs>
                <w:tab w:val="left" w:pos="6300"/>
              </w:tabs>
              <w:snapToGrid w:val="0"/>
              <w:spacing w:line="400" w:lineRule="exact"/>
              <w:jc w:val="center"/>
              <w:outlineLvl w:val="0"/>
              <w:rPr>
                <w:rFonts w:ascii="宋体" w:hAnsi="宋体" w:cs="宋体"/>
                <w:color w:val="auto"/>
                <w:sz w:val="24"/>
                <w:szCs w:val="24"/>
              </w:rPr>
            </w:pPr>
          </w:p>
        </w:tc>
      </w:tr>
      <w:tr w14:paraId="14BC9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0D46725">
            <w:pPr>
              <w:tabs>
                <w:tab w:val="left" w:pos="6300"/>
              </w:tabs>
              <w:snapToGrid w:val="0"/>
              <w:spacing w:line="400" w:lineRule="exact"/>
              <w:jc w:val="center"/>
              <w:outlineLvl w:val="0"/>
              <w:rPr>
                <w:rFonts w:ascii="宋体" w:hAnsi="宋体" w:cs="宋体"/>
                <w:color w:val="auto"/>
                <w:sz w:val="24"/>
                <w:szCs w:val="24"/>
              </w:rPr>
            </w:pPr>
          </w:p>
        </w:tc>
        <w:tc>
          <w:tcPr>
            <w:tcW w:w="2844" w:type="dxa"/>
            <w:vAlign w:val="center"/>
          </w:tcPr>
          <w:p w14:paraId="784A39C0">
            <w:pPr>
              <w:tabs>
                <w:tab w:val="left" w:pos="6300"/>
              </w:tabs>
              <w:snapToGrid w:val="0"/>
              <w:spacing w:line="400" w:lineRule="exact"/>
              <w:outlineLvl w:val="0"/>
              <w:rPr>
                <w:rFonts w:ascii="宋体" w:hAnsi="宋体" w:cs="宋体"/>
                <w:color w:val="auto"/>
                <w:sz w:val="24"/>
                <w:szCs w:val="24"/>
              </w:rPr>
            </w:pPr>
          </w:p>
        </w:tc>
        <w:tc>
          <w:tcPr>
            <w:tcW w:w="2952" w:type="dxa"/>
            <w:vAlign w:val="center"/>
          </w:tcPr>
          <w:p w14:paraId="1C1977C3">
            <w:pPr>
              <w:tabs>
                <w:tab w:val="left" w:pos="6300"/>
              </w:tabs>
              <w:snapToGrid w:val="0"/>
              <w:spacing w:line="400" w:lineRule="exact"/>
              <w:outlineLvl w:val="0"/>
              <w:rPr>
                <w:rFonts w:ascii="宋体" w:hAnsi="宋体" w:cs="宋体"/>
                <w:color w:val="auto"/>
                <w:sz w:val="24"/>
                <w:szCs w:val="24"/>
              </w:rPr>
            </w:pPr>
          </w:p>
        </w:tc>
        <w:tc>
          <w:tcPr>
            <w:tcW w:w="2212" w:type="dxa"/>
            <w:vAlign w:val="center"/>
          </w:tcPr>
          <w:p w14:paraId="6D1D3DC7">
            <w:pPr>
              <w:tabs>
                <w:tab w:val="left" w:pos="6300"/>
              </w:tabs>
              <w:snapToGrid w:val="0"/>
              <w:spacing w:line="400" w:lineRule="exact"/>
              <w:jc w:val="center"/>
              <w:outlineLvl w:val="0"/>
              <w:rPr>
                <w:rFonts w:ascii="宋体" w:hAnsi="宋体" w:cs="宋体"/>
                <w:color w:val="auto"/>
                <w:sz w:val="24"/>
                <w:szCs w:val="24"/>
              </w:rPr>
            </w:pPr>
          </w:p>
        </w:tc>
      </w:tr>
      <w:tr w14:paraId="77855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31CE619">
            <w:pPr>
              <w:tabs>
                <w:tab w:val="left" w:pos="6300"/>
              </w:tabs>
              <w:snapToGrid w:val="0"/>
              <w:spacing w:line="400" w:lineRule="exact"/>
              <w:jc w:val="center"/>
              <w:outlineLvl w:val="0"/>
              <w:rPr>
                <w:rFonts w:ascii="宋体" w:hAnsi="宋体" w:cs="宋体"/>
                <w:color w:val="auto"/>
                <w:sz w:val="24"/>
                <w:szCs w:val="24"/>
              </w:rPr>
            </w:pPr>
          </w:p>
        </w:tc>
        <w:tc>
          <w:tcPr>
            <w:tcW w:w="2844" w:type="dxa"/>
            <w:vAlign w:val="center"/>
          </w:tcPr>
          <w:p w14:paraId="4EDA044A">
            <w:pPr>
              <w:tabs>
                <w:tab w:val="left" w:pos="6300"/>
              </w:tabs>
              <w:snapToGrid w:val="0"/>
              <w:spacing w:line="400" w:lineRule="exact"/>
              <w:outlineLvl w:val="0"/>
              <w:rPr>
                <w:rFonts w:ascii="宋体" w:hAnsi="宋体" w:cs="宋体"/>
                <w:color w:val="auto"/>
                <w:sz w:val="24"/>
                <w:szCs w:val="24"/>
              </w:rPr>
            </w:pPr>
          </w:p>
        </w:tc>
        <w:tc>
          <w:tcPr>
            <w:tcW w:w="2952" w:type="dxa"/>
            <w:vAlign w:val="center"/>
          </w:tcPr>
          <w:p w14:paraId="116419C7">
            <w:pPr>
              <w:tabs>
                <w:tab w:val="left" w:pos="6300"/>
              </w:tabs>
              <w:snapToGrid w:val="0"/>
              <w:spacing w:line="400" w:lineRule="exact"/>
              <w:outlineLvl w:val="0"/>
              <w:rPr>
                <w:rFonts w:ascii="宋体" w:hAnsi="宋体" w:cs="宋体"/>
                <w:color w:val="auto"/>
                <w:sz w:val="24"/>
                <w:szCs w:val="24"/>
              </w:rPr>
            </w:pPr>
          </w:p>
        </w:tc>
        <w:tc>
          <w:tcPr>
            <w:tcW w:w="2212" w:type="dxa"/>
            <w:vAlign w:val="center"/>
          </w:tcPr>
          <w:p w14:paraId="115450AC">
            <w:pPr>
              <w:tabs>
                <w:tab w:val="left" w:pos="6300"/>
              </w:tabs>
              <w:snapToGrid w:val="0"/>
              <w:spacing w:line="400" w:lineRule="exact"/>
              <w:jc w:val="center"/>
              <w:outlineLvl w:val="0"/>
              <w:rPr>
                <w:rFonts w:ascii="宋体" w:hAnsi="宋体" w:cs="宋体"/>
                <w:color w:val="auto"/>
                <w:sz w:val="24"/>
                <w:szCs w:val="24"/>
              </w:rPr>
            </w:pPr>
          </w:p>
        </w:tc>
      </w:tr>
      <w:tr w14:paraId="56710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C4AF04C">
            <w:pPr>
              <w:tabs>
                <w:tab w:val="left" w:pos="6300"/>
              </w:tabs>
              <w:snapToGrid w:val="0"/>
              <w:spacing w:line="400" w:lineRule="exact"/>
              <w:jc w:val="center"/>
              <w:outlineLvl w:val="0"/>
              <w:rPr>
                <w:rFonts w:ascii="宋体" w:hAnsi="宋体" w:cs="宋体"/>
                <w:color w:val="auto"/>
                <w:sz w:val="24"/>
                <w:szCs w:val="24"/>
              </w:rPr>
            </w:pPr>
          </w:p>
        </w:tc>
        <w:tc>
          <w:tcPr>
            <w:tcW w:w="2844" w:type="dxa"/>
            <w:vAlign w:val="center"/>
          </w:tcPr>
          <w:p w14:paraId="238516D2">
            <w:pPr>
              <w:tabs>
                <w:tab w:val="left" w:pos="6300"/>
              </w:tabs>
              <w:snapToGrid w:val="0"/>
              <w:spacing w:line="400" w:lineRule="exact"/>
              <w:outlineLvl w:val="0"/>
              <w:rPr>
                <w:rFonts w:ascii="宋体" w:hAnsi="宋体" w:cs="宋体"/>
                <w:color w:val="auto"/>
                <w:sz w:val="24"/>
                <w:szCs w:val="24"/>
              </w:rPr>
            </w:pPr>
          </w:p>
        </w:tc>
        <w:tc>
          <w:tcPr>
            <w:tcW w:w="2952" w:type="dxa"/>
            <w:vAlign w:val="center"/>
          </w:tcPr>
          <w:p w14:paraId="38FCAEE1">
            <w:pPr>
              <w:tabs>
                <w:tab w:val="left" w:pos="6300"/>
              </w:tabs>
              <w:snapToGrid w:val="0"/>
              <w:spacing w:line="400" w:lineRule="exact"/>
              <w:outlineLvl w:val="0"/>
              <w:rPr>
                <w:rFonts w:ascii="宋体" w:hAnsi="宋体" w:cs="宋体"/>
                <w:color w:val="auto"/>
                <w:sz w:val="24"/>
                <w:szCs w:val="24"/>
              </w:rPr>
            </w:pPr>
          </w:p>
        </w:tc>
        <w:tc>
          <w:tcPr>
            <w:tcW w:w="2212" w:type="dxa"/>
            <w:vAlign w:val="center"/>
          </w:tcPr>
          <w:p w14:paraId="3705A0E3">
            <w:pPr>
              <w:tabs>
                <w:tab w:val="left" w:pos="6300"/>
              </w:tabs>
              <w:snapToGrid w:val="0"/>
              <w:spacing w:line="400" w:lineRule="exact"/>
              <w:jc w:val="center"/>
              <w:outlineLvl w:val="0"/>
              <w:rPr>
                <w:rFonts w:ascii="宋体" w:hAnsi="宋体" w:cs="宋体"/>
                <w:color w:val="auto"/>
                <w:sz w:val="24"/>
                <w:szCs w:val="24"/>
              </w:rPr>
            </w:pPr>
          </w:p>
        </w:tc>
      </w:tr>
      <w:tr w14:paraId="52B63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B88892C">
            <w:pPr>
              <w:tabs>
                <w:tab w:val="left" w:pos="6300"/>
              </w:tabs>
              <w:snapToGrid w:val="0"/>
              <w:spacing w:line="400" w:lineRule="exact"/>
              <w:jc w:val="center"/>
              <w:outlineLvl w:val="0"/>
              <w:rPr>
                <w:rFonts w:ascii="宋体" w:hAnsi="宋体" w:cs="宋体"/>
                <w:color w:val="auto"/>
                <w:sz w:val="24"/>
                <w:szCs w:val="24"/>
              </w:rPr>
            </w:pPr>
          </w:p>
        </w:tc>
        <w:tc>
          <w:tcPr>
            <w:tcW w:w="2844" w:type="dxa"/>
            <w:vAlign w:val="center"/>
          </w:tcPr>
          <w:p w14:paraId="052ECCBE">
            <w:pPr>
              <w:tabs>
                <w:tab w:val="left" w:pos="6300"/>
              </w:tabs>
              <w:snapToGrid w:val="0"/>
              <w:spacing w:line="400" w:lineRule="exact"/>
              <w:jc w:val="center"/>
              <w:outlineLvl w:val="0"/>
              <w:rPr>
                <w:rFonts w:ascii="宋体" w:hAnsi="宋体" w:cs="宋体"/>
                <w:color w:val="auto"/>
                <w:sz w:val="24"/>
                <w:szCs w:val="24"/>
              </w:rPr>
            </w:pPr>
          </w:p>
        </w:tc>
        <w:tc>
          <w:tcPr>
            <w:tcW w:w="2952" w:type="dxa"/>
            <w:vAlign w:val="center"/>
          </w:tcPr>
          <w:p w14:paraId="2C93C2D0">
            <w:pPr>
              <w:tabs>
                <w:tab w:val="left" w:pos="6300"/>
              </w:tabs>
              <w:snapToGrid w:val="0"/>
              <w:spacing w:line="400" w:lineRule="exact"/>
              <w:jc w:val="center"/>
              <w:outlineLvl w:val="0"/>
              <w:rPr>
                <w:rFonts w:ascii="宋体" w:hAnsi="宋体" w:cs="宋体"/>
                <w:color w:val="auto"/>
                <w:sz w:val="24"/>
                <w:szCs w:val="24"/>
              </w:rPr>
            </w:pPr>
          </w:p>
        </w:tc>
        <w:tc>
          <w:tcPr>
            <w:tcW w:w="2212" w:type="dxa"/>
            <w:vAlign w:val="center"/>
          </w:tcPr>
          <w:p w14:paraId="5D8FB453">
            <w:pPr>
              <w:tabs>
                <w:tab w:val="left" w:pos="6300"/>
              </w:tabs>
              <w:snapToGrid w:val="0"/>
              <w:spacing w:line="400" w:lineRule="exact"/>
              <w:jc w:val="center"/>
              <w:outlineLvl w:val="0"/>
              <w:rPr>
                <w:rFonts w:ascii="宋体" w:hAnsi="宋体" w:cs="宋体"/>
                <w:color w:val="auto"/>
                <w:sz w:val="24"/>
                <w:szCs w:val="24"/>
              </w:rPr>
            </w:pPr>
          </w:p>
        </w:tc>
      </w:tr>
      <w:tr w14:paraId="35053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38F1BBE">
            <w:pPr>
              <w:tabs>
                <w:tab w:val="left" w:pos="6300"/>
              </w:tabs>
              <w:snapToGrid w:val="0"/>
              <w:spacing w:line="400" w:lineRule="exact"/>
              <w:jc w:val="center"/>
              <w:outlineLvl w:val="0"/>
              <w:rPr>
                <w:rFonts w:ascii="宋体" w:hAnsi="宋体" w:cs="宋体"/>
                <w:color w:val="auto"/>
                <w:sz w:val="24"/>
                <w:szCs w:val="24"/>
              </w:rPr>
            </w:pPr>
          </w:p>
        </w:tc>
        <w:tc>
          <w:tcPr>
            <w:tcW w:w="2844" w:type="dxa"/>
            <w:vAlign w:val="center"/>
          </w:tcPr>
          <w:p w14:paraId="5BD5F1C3">
            <w:pPr>
              <w:tabs>
                <w:tab w:val="left" w:pos="6300"/>
              </w:tabs>
              <w:snapToGrid w:val="0"/>
              <w:spacing w:line="400" w:lineRule="exact"/>
              <w:jc w:val="center"/>
              <w:outlineLvl w:val="0"/>
              <w:rPr>
                <w:rFonts w:ascii="宋体" w:hAnsi="宋体" w:cs="宋体"/>
                <w:color w:val="auto"/>
                <w:sz w:val="24"/>
                <w:szCs w:val="24"/>
              </w:rPr>
            </w:pPr>
          </w:p>
        </w:tc>
        <w:tc>
          <w:tcPr>
            <w:tcW w:w="2952" w:type="dxa"/>
            <w:vAlign w:val="center"/>
          </w:tcPr>
          <w:p w14:paraId="13857DB4">
            <w:pPr>
              <w:tabs>
                <w:tab w:val="left" w:pos="6300"/>
              </w:tabs>
              <w:snapToGrid w:val="0"/>
              <w:spacing w:line="400" w:lineRule="exact"/>
              <w:jc w:val="center"/>
              <w:outlineLvl w:val="0"/>
              <w:rPr>
                <w:rFonts w:ascii="宋体" w:hAnsi="宋体" w:cs="宋体"/>
                <w:color w:val="auto"/>
                <w:sz w:val="24"/>
                <w:szCs w:val="24"/>
              </w:rPr>
            </w:pPr>
          </w:p>
        </w:tc>
        <w:tc>
          <w:tcPr>
            <w:tcW w:w="2212" w:type="dxa"/>
            <w:vAlign w:val="center"/>
          </w:tcPr>
          <w:p w14:paraId="0FA4DCAE">
            <w:pPr>
              <w:tabs>
                <w:tab w:val="left" w:pos="6300"/>
              </w:tabs>
              <w:snapToGrid w:val="0"/>
              <w:spacing w:line="400" w:lineRule="exact"/>
              <w:jc w:val="center"/>
              <w:outlineLvl w:val="0"/>
              <w:rPr>
                <w:rFonts w:ascii="宋体" w:hAnsi="宋体" w:cs="宋体"/>
                <w:color w:val="auto"/>
                <w:sz w:val="24"/>
                <w:szCs w:val="24"/>
              </w:rPr>
            </w:pPr>
          </w:p>
        </w:tc>
      </w:tr>
      <w:tr w14:paraId="673DA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F1C949D">
            <w:pPr>
              <w:tabs>
                <w:tab w:val="left" w:pos="6300"/>
              </w:tabs>
              <w:snapToGrid w:val="0"/>
              <w:spacing w:line="400" w:lineRule="exact"/>
              <w:jc w:val="center"/>
              <w:outlineLvl w:val="0"/>
              <w:rPr>
                <w:rFonts w:ascii="宋体" w:hAnsi="宋体" w:cs="宋体"/>
                <w:color w:val="auto"/>
                <w:sz w:val="24"/>
                <w:szCs w:val="24"/>
              </w:rPr>
            </w:pPr>
          </w:p>
        </w:tc>
        <w:tc>
          <w:tcPr>
            <w:tcW w:w="2844" w:type="dxa"/>
            <w:vAlign w:val="center"/>
          </w:tcPr>
          <w:p w14:paraId="1FBF4FDA">
            <w:pPr>
              <w:tabs>
                <w:tab w:val="left" w:pos="6300"/>
              </w:tabs>
              <w:snapToGrid w:val="0"/>
              <w:spacing w:line="400" w:lineRule="exact"/>
              <w:jc w:val="center"/>
              <w:outlineLvl w:val="0"/>
              <w:rPr>
                <w:rFonts w:ascii="宋体" w:hAnsi="宋体" w:cs="宋体"/>
                <w:color w:val="auto"/>
                <w:sz w:val="24"/>
                <w:szCs w:val="24"/>
              </w:rPr>
            </w:pPr>
          </w:p>
        </w:tc>
        <w:tc>
          <w:tcPr>
            <w:tcW w:w="2952" w:type="dxa"/>
            <w:vAlign w:val="center"/>
          </w:tcPr>
          <w:p w14:paraId="43323CF9">
            <w:pPr>
              <w:tabs>
                <w:tab w:val="left" w:pos="6300"/>
              </w:tabs>
              <w:snapToGrid w:val="0"/>
              <w:spacing w:line="400" w:lineRule="exact"/>
              <w:jc w:val="center"/>
              <w:outlineLvl w:val="0"/>
              <w:rPr>
                <w:rFonts w:ascii="宋体" w:hAnsi="宋体" w:cs="宋体"/>
                <w:color w:val="auto"/>
                <w:sz w:val="24"/>
                <w:szCs w:val="24"/>
              </w:rPr>
            </w:pPr>
          </w:p>
        </w:tc>
        <w:tc>
          <w:tcPr>
            <w:tcW w:w="2212" w:type="dxa"/>
            <w:vAlign w:val="center"/>
          </w:tcPr>
          <w:p w14:paraId="7F4F4CF9">
            <w:pPr>
              <w:tabs>
                <w:tab w:val="left" w:pos="6300"/>
              </w:tabs>
              <w:snapToGrid w:val="0"/>
              <w:spacing w:line="400" w:lineRule="exact"/>
              <w:jc w:val="center"/>
              <w:outlineLvl w:val="0"/>
              <w:rPr>
                <w:rFonts w:ascii="宋体" w:hAnsi="宋体" w:cs="宋体"/>
                <w:color w:val="auto"/>
                <w:sz w:val="24"/>
                <w:szCs w:val="24"/>
              </w:rPr>
            </w:pPr>
          </w:p>
        </w:tc>
      </w:tr>
      <w:tr w14:paraId="30CF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56FBEEB">
            <w:pPr>
              <w:tabs>
                <w:tab w:val="left" w:pos="6300"/>
              </w:tabs>
              <w:snapToGrid w:val="0"/>
              <w:spacing w:line="400" w:lineRule="exact"/>
              <w:jc w:val="center"/>
              <w:outlineLvl w:val="0"/>
              <w:rPr>
                <w:rFonts w:ascii="宋体" w:hAnsi="宋体" w:cs="宋体"/>
                <w:color w:val="auto"/>
                <w:sz w:val="24"/>
                <w:szCs w:val="24"/>
              </w:rPr>
            </w:pPr>
          </w:p>
        </w:tc>
        <w:tc>
          <w:tcPr>
            <w:tcW w:w="2844" w:type="dxa"/>
            <w:vAlign w:val="center"/>
          </w:tcPr>
          <w:p w14:paraId="786956A2">
            <w:pPr>
              <w:tabs>
                <w:tab w:val="left" w:pos="6300"/>
              </w:tabs>
              <w:snapToGrid w:val="0"/>
              <w:spacing w:line="400" w:lineRule="exact"/>
              <w:jc w:val="center"/>
              <w:outlineLvl w:val="0"/>
              <w:rPr>
                <w:rFonts w:ascii="宋体" w:hAnsi="宋体" w:cs="宋体"/>
                <w:color w:val="auto"/>
                <w:sz w:val="24"/>
                <w:szCs w:val="24"/>
              </w:rPr>
            </w:pPr>
          </w:p>
        </w:tc>
        <w:tc>
          <w:tcPr>
            <w:tcW w:w="2952" w:type="dxa"/>
            <w:vAlign w:val="center"/>
          </w:tcPr>
          <w:p w14:paraId="501CF47D">
            <w:pPr>
              <w:tabs>
                <w:tab w:val="left" w:pos="6300"/>
              </w:tabs>
              <w:snapToGrid w:val="0"/>
              <w:spacing w:line="400" w:lineRule="exact"/>
              <w:jc w:val="center"/>
              <w:outlineLvl w:val="0"/>
              <w:rPr>
                <w:rFonts w:ascii="宋体" w:hAnsi="宋体" w:cs="宋体"/>
                <w:color w:val="auto"/>
                <w:sz w:val="24"/>
                <w:szCs w:val="24"/>
              </w:rPr>
            </w:pPr>
          </w:p>
        </w:tc>
        <w:tc>
          <w:tcPr>
            <w:tcW w:w="2212" w:type="dxa"/>
            <w:vAlign w:val="center"/>
          </w:tcPr>
          <w:p w14:paraId="188E8683">
            <w:pPr>
              <w:tabs>
                <w:tab w:val="left" w:pos="6300"/>
              </w:tabs>
              <w:snapToGrid w:val="0"/>
              <w:spacing w:line="400" w:lineRule="exact"/>
              <w:jc w:val="center"/>
              <w:outlineLvl w:val="0"/>
              <w:rPr>
                <w:rFonts w:ascii="宋体" w:hAnsi="宋体" w:cs="宋体"/>
                <w:color w:val="auto"/>
                <w:sz w:val="24"/>
                <w:szCs w:val="24"/>
              </w:rPr>
            </w:pPr>
          </w:p>
        </w:tc>
      </w:tr>
      <w:tr w14:paraId="43AA3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F48C99D">
            <w:pPr>
              <w:tabs>
                <w:tab w:val="left" w:pos="6300"/>
              </w:tabs>
              <w:snapToGrid w:val="0"/>
              <w:spacing w:line="400" w:lineRule="exact"/>
              <w:jc w:val="center"/>
              <w:outlineLvl w:val="0"/>
              <w:rPr>
                <w:rFonts w:ascii="宋体" w:hAnsi="宋体" w:cs="宋体"/>
                <w:color w:val="auto"/>
                <w:sz w:val="24"/>
                <w:szCs w:val="24"/>
              </w:rPr>
            </w:pPr>
          </w:p>
        </w:tc>
        <w:tc>
          <w:tcPr>
            <w:tcW w:w="2844" w:type="dxa"/>
            <w:vAlign w:val="center"/>
          </w:tcPr>
          <w:p w14:paraId="175F88F3">
            <w:pPr>
              <w:tabs>
                <w:tab w:val="left" w:pos="6300"/>
              </w:tabs>
              <w:snapToGrid w:val="0"/>
              <w:spacing w:line="400" w:lineRule="exact"/>
              <w:jc w:val="center"/>
              <w:outlineLvl w:val="0"/>
              <w:rPr>
                <w:rFonts w:ascii="宋体" w:hAnsi="宋体" w:cs="宋体"/>
                <w:color w:val="auto"/>
                <w:sz w:val="24"/>
                <w:szCs w:val="24"/>
              </w:rPr>
            </w:pPr>
          </w:p>
        </w:tc>
        <w:tc>
          <w:tcPr>
            <w:tcW w:w="2952" w:type="dxa"/>
            <w:vAlign w:val="center"/>
          </w:tcPr>
          <w:p w14:paraId="0022F02A">
            <w:pPr>
              <w:tabs>
                <w:tab w:val="left" w:pos="6300"/>
              </w:tabs>
              <w:snapToGrid w:val="0"/>
              <w:spacing w:line="400" w:lineRule="exact"/>
              <w:jc w:val="center"/>
              <w:outlineLvl w:val="0"/>
              <w:rPr>
                <w:rFonts w:ascii="宋体" w:hAnsi="宋体" w:cs="宋体"/>
                <w:color w:val="auto"/>
                <w:sz w:val="24"/>
                <w:szCs w:val="24"/>
              </w:rPr>
            </w:pPr>
          </w:p>
        </w:tc>
        <w:tc>
          <w:tcPr>
            <w:tcW w:w="2212" w:type="dxa"/>
            <w:vAlign w:val="center"/>
          </w:tcPr>
          <w:p w14:paraId="415AA026">
            <w:pPr>
              <w:tabs>
                <w:tab w:val="left" w:pos="6300"/>
              </w:tabs>
              <w:snapToGrid w:val="0"/>
              <w:spacing w:line="400" w:lineRule="exact"/>
              <w:jc w:val="center"/>
              <w:outlineLvl w:val="0"/>
              <w:rPr>
                <w:rFonts w:ascii="宋体" w:hAnsi="宋体" w:cs="宋体"/>
                <w:color w:val="auto"/>
                <w:sz w:val="24"/>
                <w:szCs w:val="24"/>
              </w:rPr>
            </w:pPr>
          </w:p>
        </w:tc>
      </w:tr>
      <w:tr w14:paraId="5B021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578898F">
            <w:pPr>
              <w:tabs>
                <w:tab w:val="left" w:pos="6300"/>
              </w:tabs>
              <w:snapToGrid w:val="0"/>
              <w:spacing w:line="400" w:lineRule="exact"/>
              <w:jc w:val="center"/>
              <w:outlineLvl w:val="0"/>
              <w:rPr>
                <w:rFonts w:ascii="宋体" w:hAnsi="宋体" w:cs="宋体"/>
                <w:color w:val="auto"/>
                <w:sz w:val="24"/>
                <w:szCs w:val="24"/>
              </w:rPr>
            </w:pPr>
          </w:p>
        </w:tc>
        <w:tc>
          <w:tcPr>
            <w:tcW w:w="2844" w:type="dxa"/>
            <w:vAlign w:val="center"/>
          </w:tcPr>
          <w:p w14:paraId="3FB1056E">
            <w:pPr>
              <w:tabs>
                <w:tab w:val="left" w:pos="6300"/>
              </w:tabs>
              <w:snapToGrid w:val="0"/>
              <w:spacing w:line="400" w:lineRule="exact"/>
              <w:jc w:val="center"/>
              <w:outlineLvl w:val="0"/>
              <w:rPr>
                <w:rFonts w:ascii="宋体" w:hAnsi="宋体" w:cs="宋体"/>
                <w:color w:val="auto"/>
                <w:sz w:val="24"/>
                <w:szCs w:val="24"/>
              </w:rPr>
            </w:pPr>
          </w:p>
        </w:tc>
        <w:tc>
          <w:tcPr>
            <w:tcW w:w="2952" w:type="dxa"/>
            <w:vAlign w:val="center"/>
          </w:tcPr>
          <w:p w14:paraId="343DE814">
            <w:pPr>
              <w:tabs>
                <w:tab w:val="left" w:pos="6300"/>
              </w:tabs>
              <w:snapToGrid w:val="0"/>
              <w:spacing w:line="400" w:lineRule="exact"/>
              <w:jc w:val="center"/>
              <w:outlineLvl w:val="0"/>
              <w:rPr>
                <w:rFonts w:ascii="宋体" w:hAnsi="宋体" w:cs="宋体"/>
                <w:color w:val="auto"/>
                <w:sz w:val="24"/>
                <w:szCs w:val="24"/>
              </w:rPr>
            </w:pPr>
          </w:p>
        </w:tc>
        <w:tc>
          <w:tcPr>
            <w:tcW w:w="2212" w:type="dxa"/>
            <w:vAlign w:val="center"/>
          </w:tcPr>
          <w:p w14:paraId="4F903433">
            <w:pPr>
              <w:tabs>
                <w:tab w:val="left" w:pos="6300"/>
              </w:tabs>
              <w:snapToGrid w:val="0"/>
              <w:spacing w:line="400" w:lineRule="exact"/>
              <w:jc w:val="center"/>
              <w:outlineLvl w:val="0"/>
              <w:rPr>
                <w:rFonts w:ascii="宋体" w:hAnsi="宋体" w:cs="宋体"/>
                <w:color w:val="auto"/>
                <w:sz w:val="24"/>
                <w:szCs w:val="24"/>
              </w:rPr>
            </w:pPr>
          </w:p>
        </w:tc>
      </w:tr>
    </w:tbl>
    <w:p w14:paraId="36F4F84C">
      <w:pPr>
        <w:spacing w:line="500" w:lineRule="exact"/>
        <w:ind w:firstLine="600" w:firstLineChars="250"/>
        <w:rPr>
          <w:rFonts w:ascii="宋体" w:hAnsi="宋体" w:cs="宋体"/>
          <w:color w:val="auto"/>
          <w:sz w:val="24"/>
          <w:szCs w:val="28"/>
        </w:rPr>
      </w:pPr>
      <w:r>
        <w:rPr>
          <w:rFonts w:hint="eastAsia" w:ascii="宋体" w:hAnsi="宋体" w:cs="宋体"/>
          <w:color w:val="auto"/>
          <w:sz w:val="24"/>
          <w:szCs w:val="28"/>
        </w:rPr>
        <w:t xml:space="preserve">供应商：                         </w:t>
      </w:r>
      <w:r>
        <w:rPr>
          <w:rFonts w:hint="eastAsia" w:ascii="宋体" w:hAnsi="宋体" w:cs="宋体"/>
          <w:color w:val="auto"/>
          <w:sz w:val="24"/>
          <w:szCs w:val="24"/>
        </w:rPr>
        <w:t>法定代表人（或其授权代表）或自然人</w:t>
      </w:r>
      <w:r>
        <w:rPr>
          <w:rFonts w:hint="eastAsia" w:ascii="宋体" w:hAnsi="宋体" w:cs="宋体"/>
          <w:color w:val="auto"/>
          <w:sz w:val="24"/>
          <w:szCs w:val="28"/>
        </w:rPr>
        <w:t>：</w:t>
      </w:r>
    </w:p>
    <w:p w14:paraId="3E6B337D">
      <w:pPr>
        <w:spacing w:line="500" w:lineRule="exact"/>
        <w:rPr>
          <w:rFonts w:ascii="宋体" w:hAnsi="宋体" w:cs="宋体"/>
          <w:color w:val="auto"/>
          <w:sz w:val="24"/>
          <w:szCs w:val="28"/>
        </w:rPr>
      </w:pPr>
      <w:r>
        <w:rPr>
          <w:rFonts w:hint="eastAsia" w:ascii="宋体" w:hAnsi="宋体" w:cs="宋体"/>
          <w:color w:val="auto"/>
          <w:sz w:val="24"/>
          <w:szCs w:val="28"/>
        </w:rPr>
        <w:t xml:space="preserve">    </w:t>
      </w:r>
    </w:p>
    <w:p w14:paraId="6F0EF19E">
      <w:pPr>
        <w:spacing w:line="500" w:lineRule="exact"/>
        <w:ind w:firstLine="720" w:firstLineChars="300"/>
        <w:rPr>
          <w:rFonts w:ascii="宋体" w:hAnsi="宋体" w:cs="宋体"/>
          <w:color w:val="auto"/>
          <w:sz w:val="24"/>
          <w:szCs w:val="28"/>
        </w:rPr>
      </w:pPr>
      <w:r>
        <w:rPr>
          <w:rFonts w:hint="eastAsia" w:ascii="宋体" w:hAnsi="宋体" w:cs="宋体"/>
          <w:color w:val="auto"/>
          <w:sz w:val="24"/>
          <w:szCs w:val="28"/>
        </w:rPr>
        <w:t>（供应商公章）                               （</w:t>
      </w:r>
      <w:r>
        <w:rPr>
          <w:rFonts w:hint="eastAsia" w:ascii="宋体" w:hAnsi="宋体" w:cs="宋体"/>
          <w:color w:val="auto"/>
          <w:sz w:val="24"/>
          <w:szCs w:val="24"/>
        </w:rPr>
        <w:t>签署</w:t>
      </w:r>
      <w:r>
        <w:rPr>
          <w:rFonts w:hint="eastAsia" w:ascii="宋体" w:hAnsi="宋体" w:cs="宋体"/>
          <w:color w:val="auto"/>
          <w:sz w:val="24"/>
          <w:szCs w:val="28"/>
        </w:rPr>
        <w:t>或盖章）</w:t>
      </w:r>
    </w:p>
    <w:p w14:paraId="503CF877">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szCs w:val="28"/>
        </w:rPr>
        <w:t xml:space="preserve">                                            年     月     日</w:t>
      </w:r>
    </w:p>
    <w:p w14:paraId="4A09169B">
      <w:pPr>
        <w:tabs>
          <w:tab w:val="left" w:pos="6300"/>
        </w:tabs>
        <w:snapToGrid w:val="0"/>
        <w:spacing w:line="400" w:lineRule="exact"/>
        <w:ind w:firstLine="480" w:firstLineChars="200"/>
        <w:rPr>
          <w:rFonts w:ascii="宋体" w:hAnsi="宋体" w:cs="宋体"/>
          <w:color w:val="auto"/>
          <w:sz w:val="24"/>
        </w:rPr>
      </w:pPr>
      <w:r>
        <w:rPr>
          <w:rFonts w:hint="eastAsia" w:ascii="宋体" w:hAnsi="宋体" w:cs="宋体"/>
          <w:color w:val="auto"/>
          <w:sz w:val="24"/>
        </w:rPr>
        <w:t>注：</w:t>
      </w:r>
    </w:p>
    <w:p w14:paraId="478E1DEF">
      <w:pPr>
        <w:tabs>
          <w:tab w:val="left" w:pos="6300"/>
        </w:tabs>
        <w:snapToGrid w:val="0"/>
        <w:spacing w:line="400" w:lineRule="exact"/>
        <w:ind w:firstLine="480" w:firstLineChars="200"/>
        <w:rPr>
          <w:rFonts w:ascii="宋体" w:hAnsi="宋体" w:cs="宋体"/>
          <w:color w:val="auto"/>
          <w:sz w:val="24"/>
        </w:rPr>
      </w:pPr>
      <w:r>
        <w:rPr>
          <w:rFonts w:hint="eastAsia" w:ascii="宋体" w:hAnsi="宋体" w:cs="宋体"/>
          <w:color w:val="auto"/>
          <w:sz w:val="24"/>
          <w:szCs w:val="24"/>
        </w:rPr>
        <w:t>1</w:t>
      </w:r>
      <w:r>
        <w:rPr>
          <w:rFonts w:hint="eastAsia" w:ascii="宋体" w:hAnsi="宋体" w:cs="宋体"/>
          <w:color w:val="auto"/>
          <w:sz w:val="24"/>
        </w:rPr>
        <w:t>.</w:t>
      </w:r>
      <w:r>
        <w:rPr>
          <w:rFonts w:hint="eastAsia" w:ascii="宋体" w:hAnsi="宋体" w:cs="宋体"/>
          <w:color w:val="auto"/>
          <w:sz w:val="24"/>
          <w:szCs w:val="24"/>
        </w:rPr>
        <w:t>本表即为对本项目“第二篇  谈判项目技术（质量）需求”中所列条款进行比较和响应；</w:t>
      </w:r>
    </w:p>
    <w:p w14:paraId="48875334">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2.本表可扩展。</w:t>
      </w:r>
    </w:p>
    <w:p w14:paraId="0CFCFA82">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szCs w:val="24"/>
        </w:rPr>
        <w:t>（二）其他资料（格式自定）</w:t>
      </w:r>
    </w:p>
    <w:p w14:paraId="707DB89B">
      <w:pPr>
        <w:tabs>
          <w:tab w:val="left" w:pos="6300"/>
        </w:tabs>
        <w:snapToGrid w:val="0"/>
        <w:spacing w:line="500" w:lineRule="exact"/>
        <w:ind w:firstLine="480" w:firstLineChars="200"/>
        <w:rPr>
          <w:rFonts w:ascii="宋体" w:hAnsi="宋体" w:cs="宋体"/>
          <w:color w:val="auto"/>
          <w:sz w:val="24"/>
          <w:szCs w:val="24"/>
        </w:rPr>
      </w:pPr>
    </w:p>
    <w:p w14:paraId="7BC7E08B">
      <w:pPr>
        <w:pStyle w:val="4"/>
        <w:adjustRightInd w:val="0"/>
        <w:snapToGrid w:val="0"/>
        <w:spacing w:before="0" w:after="0" w:line="400" w:lineRule="exact"/>
        <w:ind w:firstLine="640" w:firstLineChars="200"/>
        <w:rPr>
          <w:rFonts w:ascii="宋体" w:hAnsi="宋体" w:eastAsia="宋体" w:cs="宋体"/>
          <w:color w:val="auto"/>
          <w:sz w:val="24"/>
        </w:rPr>
      </w:pPr>
      <w:r>
        <w:rPr>
          <w:rFonts w:hint="eastAsia" w:ascii="宋体" w:hAnsi="宋体" w:eastAsia="宋体" w:cs="宋体"/>
          <w:b w:val="0"/>
          <w:color w:val="auto"/>
        </w:rPr>
        <w:br w:type="page"/>
      </w:r>
      <w:bookmarkStart w:id="185" w:name="_Toc32339"/>
      <w:bookmarkStart w:id="186" w:name="_Toc65660381"/>
      <w:bookmarkStart w:id="187" w:name="_Toc20633"/>
      <w:bookmarkStart w:id="188" w:name="_Toc32158"/>
      <w:bookmarkStart w:id="189" w:name="_Toc342913421"/>
      <w:bookmarkStart w:id="190" w:name="_Toc313008358"/>
      <w:bookmarkStart w:id="191" w:name="_Toc313888362"/>
      <w:r>
        <w:rPr>
          <w:rFonts w:hint="eastAsia" w:ascii="宋体" w:hAnsi="宋体" w:eastAsia="宋体" w:cs="宋体"/>
          <w:color w:val="auto"/>
          <w:sz w:val="24"/>
        </w:rPr>
        <w:t>三、商务部分</w:t>
      </w:r>
      <w:bookmarkEnd w:id="185"/>
      <w:bookmarkEnd w:id="186"/>
      <w:bookmarkEnd w:id="187"/>
      <w:bookmarkEnd w:id="188"/>
    </w:p>
    <w:p w14:paraId="3C3F68C0">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（一）商务响应偏离表</w:t>
      </w:r>
    </w:p>
    <w:p w14:paraId="6351BBF9">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 xml:space="preserve">项目号：                               </w:t>
      </w:r>
    </w:p>
    <w:p w14:paraId="524B9463">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谈判项目名称：</w:t>
      </w:r>
    </w:p>
    <w:tbl>
      <w:tblPr>
        <w:tblStyle w:val="6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3079"/>
        <w:gridCol w:w="1718"/>
      </w:tblGrid>
      <w:tr w14:paraId="73D74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512" w:type="dxa"/>
            <w:vAlign w:val="center"/>
          </w:tcPr>
          <w:p w14:paraId="196A648C">
            <w:pPr>
              <w:tabs>
                <w:tab w:val="left" w:pos="6300"/>
              </w:tabs>
              <w:snapToGrid w:val="0"/>
              <w:spacing w:line="400" w:lineRule="exact"/>
              <w:jc w:val="center"/>
              <w:outlineLvl w:val="0"/>
              <w:rPr>
                <w:rFonts w:ascii="宋体" w:hAnsi="宋体" w:cs="宋体"/>
                <w:b/>
                <w:color w:val="auto"/>
                <w:sz w:val="24"/>
                <w:szCs w:val="24"/>
              </w:rPr>
            </w:pPr>
            <w:r>
              <w:rPr>
                <w:rFonts w:hint="eastAsia" w:ascii="宋体" w:hAnsi="宋体" w:cs="宋体"/>
                <w:b/>
                <w:color w:val="auto"/>
                <w:sz w:val="24"/>
                <w:szCs w:val="24"/>
              </w:rPr>
              <w:t>序号</w:t>
            </w:r>
          </w:p>
        </w:tc>
        <w:tc>
          <w:tcPr>
            <w:tcW w:w="3184" w:type="dxa"/>
            <w:vAlign w:val="center"/>
          </w:tcPr>
          <w:p w14:paraId="0CA008C2">
            <w:pPr>
              <w:tabs>
                <w:tab w:val="left" w:pos="6300"/>
              </w:tabs>
              <w:snapToGrid w:val="0"/>
              <w:spacing w:line="400" w:lineRule="exact"/>
              <w:jc w:val="center"/>
              <w:outlineLvl w:val="0"/>
              <w:rPr>
                <w:rFonts w:ascii="宋体" w:hAnsi="宋体" w:cs="宋体"/>
                <w:b/>
                <w:color w:val="auto"/>
                <w:sz w:val="24"/>
                <w:szCs w:val="24"/>
              </w:rPr>
            </w:pPr>
            <w:r>
              <w:rPr>
                <w:rFonts w:hint="eastAsia" w:ascii="宋体" w:hAnsi="宋体" w:cs="宋体"/>
                <w:b/>
                <w:color w:val="auto"/>
                <w:sz w:val="24"/>
                <w:szCs w:val="24"/>
              </w:rPr>
              <w:t>采购需求</w:t>
            </w:r>
          </w:p>
        </w:tc>
        <w:tc>
          <w:tcPr>
            <w:tcW w:w="3079" w:type="dxa"/>
            <w:vAlign w:val="center"/>
          </w:tcPr>
          <w:p w14:paraId="4ED424C6">
            <w:pPr>
              <w:tabs>
                <w:tab w:val="left" w:pos="6300"/>
              </w:tabs>
              <w:snapToGrid w:val="0"/>
              <w:spacing w:line="400" w:lineRule="exact"/>
              <w:jc w:val="center"/>
              <w:outlineLvl w:val="0"/>
              <w:rPr>
                <w:rFonts w:ascii="宋体" w:hAnsi="宋体" w:cs="宋体"/>
                <w:b/>
                <w:color w:val="auto"/>
                <w:sz w:val="24"/>
                <w:szCs w:val="24"/>
              </w:rPr>
            </w:pPr>
            <w:r>
              <w:rPr>
                <w:rFonts w:hint="eastAsia" w:ascii="宋体" w:hAnsi="宋体" w:cs="宋体"/>
                <w:b/>
                <w:color w:val="auto"/>
                <w:sz w:val="24"/>
                <w:szCs w:val="24"/>
              </w:rPr>
              <w:t>响应情况</w:t>
            </w:r>
          </w:p>
        </w:tc>
        <w:tc>
          <w:tcPr>
            <w:tcW w:w="1718" w:type="dxa"/>
            <w:vAlign w:val="center"/>
          </w:tcPr>
          <w:p w14:paraId="52E8F52B">
            <w:pPr>
              <w:tabs>
                <w:tab w:val="left" w:pos="6300"/>
              </w:tabs>
              <w:snapToGrid w:val="0"/>
              <w:spacing w:line="400" w:lineRule="exact"/>
              <w:jc w:val="center"/>
              <w:outlineLvl w:val="0"/>
              <w:rPr>
                <w:rFonts w:ascii="宋体" w:hAnsi="宋体" w:cs="宋体"/>
                <w:b/>
                <w:color w:val="auto"/>
                <w:sz w:val="24"/>
                <w:szCs w:val="24"/>
              </w:rPr>
            </w:pPr>
            <w:r>
              <w:rPr>
                <w:rFonts w:hint="eastAsia" w:ascii="宋体" w:hAnsi="宋体" w:cs="宋体"/>
                <w:b/>
                <w:color w:val="auto"/>
                <w:sz w:val="24"/>
                <w:szCs w:val="24"/>
              </w:rPr>
              <w:t>差异说明</w:t>
            </w:r>
          </w:p>
        </w:tc>
      </w:tr>
      <w:tr w14:paraId="4223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5594E992">
            <w:pPr>
              <w:tabs>
                <w:tab w:val="left" w:pos="6300"/>
              </w:tabs>
              <w:snapToGrid w:val="0"/>
              <w:spacing w:line="400" w:lineRule="exact"/>
              <w:jc w:val="center"/>
              <w:outlineLvl w:val="0"/>
              <w:rPr>
                <w:rFonts w:ascii="宋体" w:hAnsi="宋体" w:cs="宋体"/>
                <w:color w:val="auto"/>
                <w:sz w:val="24"/>
                <w:szCs w:val="24"/>
              </w:rPr>
            </w:pPr>
          </w:p>
        </w:tc>
        <w:tc>
          <w:tcPr>
            <w:tcW w:w="3184" w:type="dxa"/>
            <w:vAlign w:val="center"/>
          </w:tcPr>
          <w:p w14:paraId="330905EC">
            <w:pPr>
              <w:tabs>
                <w:tab w:val="left" w:pos="6300"/>
              </w:tabs>
              <w:snapToGrid w:val="0"/>
              <w:spacing w:line="400" w:lineRule="exact"/>
              <w:jc w:val="center"/>
              <w:outlineLvl w:val="0"/>
              <w:rPr>
                <w:rFonts w:ascii="宋体" w:hAnsi="宋体" w:cs="宋体"/>
                <w:color w:val="auto"/>
                <w:sz w:val="24"/>
                <w:szCs w:val="24"/>
              </w:rPr>
            </w:pPr>
          </w:p>
        </w:tc>
        <w:tc>
          <w:tcPr>
            <w:tcW w:w="3079" w:type="dxa"/>
            <w:vAlign w:val="center"/>
          </w:tcPr>
          <w:p w14:paraId="2ED79752">
            <w:pPr>
              <w:tabs>
                <w:tab w:val="left" w:pos="6300"/>
              </w:tabs>
              <w:snapToGrid w:val="0"/>
              <w:spacing w:line="400" w:lineRule="exact"/>
              <w:outlineLvl w:val="0"/>
              <w:rPr>
                <w:rFonts w:ascii="宋体" w:hAnsi="宋体" w:cs="宋体"/>
                <w:color w:val="auto"/>
                <w:sz w:val="24"/>
                <w:szCs w:val="24"/>
              </w:rPr>
            </w:pPr>
          </w:p>
        </w:tc>
        <w:tc>
          <w:tcPr>
            <w:tcW w:w="1718" w:type="dxa"/>
            <w:vAlign w:val="center"/>
          </w:tcPr>
          <w:p w14:paraId="6B30547D">
            <w:pPr>
              <w:tabs>
                <w:tab w:val="left" w:pos="6300"/>
              </w:tabs>
              <w:snapToGrid w:val="0"/>
              <w:spacing w:line="400" w:lineRule="exact"/>
              <w:jc w:val="center"/>
              <w:outlineLvl w:val="0"/>
              <w:rPr>
                <w:rFonts w:ascii="宋体" w:hAnsi="宋体" w:cs="宋体"/>
                <w:color w:val="auto"/>
                <w:sz w:val="24"/>
                <w:szCs w:val="24"/>
              </w:rPr>
            </w:pPr>
          </w:p>
        </w:tc>
      </w:tr>
      <w:tr w14:paraId="2FED4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40817725">
            <w:pPr>
              <w:tabs>
                <w:tab w:val="left" w:pos="6300"/>
              </w:tabs>
              <w:snapToGrid w:val="0"/>
              <w:spacing w:line="400" w:lineRule="exact"/>
              <w:jc w:val="center"/>
              <w:outlineLvl w:val="0"/>
              <w:rPr>
                <w:rFonts w:ascii="宋体" w:hAnsi="宋体" w:cs="宋体"/>
                <w:color w:val="auto"/>
                <w:sz w:val="24"/>
                <w:szCs w:val="24"/>
              </w:rPr>
            </w:pPr>
          </w:p>
        </w:tc>
        <w:tc>
          <w:tcPr>
            <w:tcW w:w="3184" w:type="dxa"/>
            <w:vAlign w:val="center"/>
          </w:tcPr>
          <w:p w14:paraId="6FE1BDF9">
            <w:pPr>
              <w:tabs>
                <w:tab w:val="left" w:pos="6300"/>
              </w:tabs>
              <w:snapToGrid w:val="0"/>
              <w:spacing w:line="400" w:lineRule="exact"/>
              <w:jc w:val="center"/>
              <w:outlineLvl w:val="0"/>
              <w:rPr>
                <w:rFonts w:ascii="宋体" w:hAnsi="宋体" w:cs="宋体"/>
                <w:color w:val="auto"/>
                <w:sz w:val="24"/>
                <w:szCs w:val="24"/>
              </w:rPr>
            </w:pPr>
          </w:p>
        </w:tc>
        <w:tc>
          <w:tcPr>
            <w:tcW w:w="3079" w:type="dxa"/>
            <w:vAlign w:val="center"/>
          </w:tcPr>
          <w:p w14:paraId="44A302F4">
            <w:pPr>
              <w:tabs>
                <w:tab w:val="left" w:pos="6300"/>
              </w:tabs>
              <w:snapToGrid w:val="0"/>
              <w:spacing w:line="400" w:lineRule="exact"/>
              <w:jc w:val="center"/>
              <w:outlineLvl w:val="0"/>
              <w:rPr>
                <w:rFonts w:ascii="宋体" w:hAnsi="宋体" w:cs="宋体"/>
                <w:color w:val="auto"/>
                <w:sz w:val="24"/>
                <w:szCs w:val="24"/>
              </w:rPr>
            </w:pPr>
          </w:p>
        </w:tc>
        <w:tc>
          <w:tcPr>
            <w:tcW w:w="1718" w:type="dxa"/>
            <w:vAlign w:val="center"/>
          </w:tcPr>
          <w:p w14:paraId="51247F76">
            <w:pPr>
              <w:tabs>
                <w:tab w:val="left" w:pos="6300"/>
              </w:tabs>
              <w:snapToGrid w:val="0"/>
              <w:spacing w:line="400" w:lineRule="exact"/>
              <w:jc w:val="center"/>
              <w:outlineLvl w:val="0"/>
              <w:rPr>
                <w:rFonts w:ascii="宋体" w:hAnsi="宋体" w:cs="宋体"/>
                <w:color w:val="auto"/>
                <w:sz w:val="24"/>
                <w:szCs w:val="24"/>
              </w:rPr>
            </w:pPr>
          </w:p>
        </w:tc>
      </w:tr>
      <w:tr w14:paraId="3980C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468BF344">
            <w:pPr>
              <w:tabs>
                <w:tab w:val="left" w:pos="6300"/>
              </w:tabs>
              <w:snapToGrid w:val="0"/>
              <w:spacing w:line="400" w:lineRule="exact"/>
              <w:jc w:val="center"/>
              <w:outlineLvl w:val="0"/>
              <w:rPr>
                <w:rFonts w:ascii="宋体" w:hAnsi="宋体" w:cs="宋体"/>
                <w:color w:val="auto"/>
                <w:sz w:val="24"/>
                <w:szCs w:val="24"/>
              </w:rPr>
            </w:pPr>
          </w:p>
        </w:tc>
        <w:tc>
          <w:tcPr>
            <w:tcW w:w="3184" w:type="dxa"/>
            <w:vAlign w:val="center"/>
          </w:tcPr>
          <w:p w14:paraId="4B3BCA2B">
            <w:pPr>
              <w:tabs>
                <w:tab w:val="left" w:pos="6300"/>
              </w:tabs>
              <w:snapToGrid w:val="0"/>
              <w:spacing w:line="400" w:lineRule="exact"/>
              <w:jc w:val="center"/>
              <w:outlineLvl w:val="0"/>
              <w:rPr>
                <w:rFonts w:ascii="宋体" w:hAnsi="宋体" w:cs="宋体"/>
                <w:color w:val="auto"/>
                <w:sz w:val="24"/>
                <w:szCs w:val="24"/>
              </w:rPr>
            </w:pPr>
          </w:p>
        </w:tc>
        <w:tc>
          <w:tcPr>
            <w:tcW w:w="3079" w:type="dxa"/>
            <w:vAlign w:val="center"/>
          </w:tcPr>
          <w:p w14:paraId="0358CB02">
            <w:pPr>
              <w:tabs>
                <w:tab w:val="left" w:pos="6300"/>
              </w:tabs>
              <w:snapToGrid w:val="0"/>
              <w:spacing w:line="400" w:lineRule="exact"/>
              <w:jc w:val="center"/>
              <w:outlineLvl w:val="0"/>
              <w:rPr>
                <w:rFonts w:ascii="宋体" w:hAnsi="宋体" w:cs="宋体"/>
                <w:color w:val="auto"/>
                <w:sz w:val="24"/>
                <w:szCs w:val="24"/>
              </w:rPr>
            </w:pPr>
          </w:p>
        </w:tc>
        <w:tc>
          <w:tcPr>
            <w:tcW w:w="1718" w:type="dxa"/>
            <w:vAlign w:val="center"/>
          </w:tcPr>
          <w:p w14:paraId="70C403CE">
            <w:pPr>
              <w:tabs>
                <w:tab w:val="left" w:pos="6300"/>
              </w:tabs>
              <w:snapToGrid w:val="0"/>
              <w:spacing w:line="400" w:lineRule="exact"/>
              <w:jc w:val="center"/>
              <w:outlineLvl w:val="0"/>
              <w:rPr>
                <w:rFonts w:ascii="宋体" w:hAnsi="宋体" w:cs="宋体"/>
                <w:color w:val="auto"/>
                <w:sz w:val="24"/>
                <w:szCs w:val="24"/>
              </w:rPr>
            </w:pPr>
          </w:p>
        </w:tc>
      </w:tr>
      <w:tr w14:paraId="495A1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7E306E32">
            <w:pPr>
              <w:tabs>
                <w:tab w:val="left" w:pos="6300"/>
              </w:tabs>
              <w:snapToGrid w:val="0"/>
              <w:spacing w:line="400" w:lineRule="exact"/>
              <w:jc w:val="center"/>
              <w:outlineLvl w:val="0"/>
              <w:rPr>
                <w:rFonts w:ascii="宋体" w:hAnsi="宋体" w:cs="宋体"/>
                <w:color w:val="auto"/>
                <w:sz w:val="24"/>
                <w:szCs w:val="24"/>
              </w:rPr>
            </w:pPr>
          </w:p>
        </w:tc>
        <w:tc>
          <w:tcPr>
            <w:tcW w:w="3184" w:type="dxa"/>
            <w:vAlign w:val="center"/>
          </w:tcPr>
          <w:p w14:paraId="3986D465">
            <w:pPr>
              <w:tabs>
                <w:tab w:val="left" w:pos="6300"/>
              </w:tabs>
              <w:snapToGrid w:val="0"/>
              <w:spacing w:line="400" w:lineRule="exact"/>
              <w:jc w:val="center"/>
              <w:outlineLvl w:val="0"/>
              <w:rPr>
                <w:rFonts w:ascii="宋体" w:hAnsi="宋体" w:cs="宋体"/>
                <w:color w:val="auto"/>
                <w:sz w:val="24"/>
                <w:szCs w:val="24"/>
              </w:rPr>
            </w:pPr>
          </w:p>
        </w:tc>
        <w:tc>
          <w:tcPr>
            <w:tcW w:w="3079" w:type="dxa"/>
            <w:vAlign w:val="center"/>
          </w:tcPr>
          <w:p w14:paraId="46D1BD56">
            <w:pPr>
              <w:tabs>
                <w:tab w:val="left" w:pos="6300"/>
              </w:tabs>
              <w:snapToGrid w:val="0"/>
              <w:spacing w:line="400" w:lineRule="exact"/>
              <w:jc w:val="center"/>
              <w:outlineLvl w:val="0"/>
              <w:rPr>
                <w:rFonts w:ascii="宋体" w:hAnsi="宋体" w:cs="宋体"/>
                <w:color w:val="auto"/>
                <w:sz w:val="24"/>
                <w:szCs w:val="24"/>
              </w:rPr>
            </w:pPr>
          </w:p>
        </w:tc>
        <w:tc>
          <w:tcPr>
            <w:tcW w:w="1718" w:type="dxa"/>
            <w:vAlign w:val="center"/>
          </w:tcPr>
          <w:p w14:paraId="62E81FBB">
            <w:pPr>
              <w:tabs>
                <w:tab w:val="left" w:pos="6300"/>
              </w:tabs>
              <w:snapToGrid w:val="0"/>
              <w:spacing w:line="400" w:lineRule="exact"/>
              <w:jc w:val="center"/>
              <w:outlineLvl w:val="0"/>
              <w:rPr>
                <w:rFonts w:ascii="宋体" w:hAnsi="宋体" w:cs="宋体"/>
                <w:color w:val="auto"/>
                <w:sz w:val="24"/>
                <w:szCs w:val="24"/>
              </w:rPr>
            </w:pPr>
          </w:p>
        </w:tc>
      </w:tr>
      <w:tr w14:paraId="7ABE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6DDD513C">
            <w:pPr>
              <w:tabs>
                <w:tab w:val="left" w:pos="6300"/>
              </w:tabs>
              <w:snapToGrid w:val="0"/>
              <w:spacing w:line="400" w:lineRule="exact"/>
              <w:jc w:val="center"/>
              <w:outlineLvl w:val="0"/>
              <w:rPr>
                <w:rFonts w:ascii="宋体" w:hAnsi="宋体" w:cs="宋体"/>
                <w:color w:val="auto"/>
                <w:sz w:val="24"/>
                <w:szCs w:val="24"/>
              </w:rPr>
            </w:pPr>
          </w:p>
        </w:tc>
        <w:tc>
          <w:tcPr>
            <w:tcW w:w="3184" w:type="dxa"/>
            <w:vAlign w:val="center"/>
          </w:tcPr>
          <w:p w14:paraId="378FCB44">
            <w:pPr>
              <w:tabs>
                <w:tab w:val="left" w:pos="6300"/>
              </w:tabs>
              <w:snapToGrid w:val="0"/>
              <w:spacing w:line="400" w:lineRule="exact"/>
              <w:jc w:val="center"/>
              <w:outlineLvl w:val="0"/>
              <w:rPr>
                <w:rFonts w:ascii="宋体" w:hAnsi="宋体" w:cs="宋体"/>
                <w:color w:val="auto"/>
                <w:sz w:val="24"/>
                <w:szCs w:val="24"/>
              </w:rPr>
            </w:pPr>
          </w:p>
        </w:tc>
        <w:tc>
          <w:tcPr>
            <w:tcW w:w="3079" w:type="dxa"/>
            <w:vAlign w:val="center"/>
          </w:tcPr>
          <w:p w14:paraId="65BCAAC2">
            <w:pPr>
              <w:tabs>
                <w:tab w:val="left" w:pos="6300"/>
              </w:tabs>
              <w:snapToGrid w:val="0"/>
              <w:spacing w:line="400" w:lineRule="exact"/>
              <w:jc w:val="center"/>
              <w:outlineLvl w:val="0"/>
              <w:rPr>
                <w:rFonts w:ascii="宋体" w:hAnsi="宋体" w:cs="宋体"/>
                <w:color w:val="auto"/>
                <w:sz w:val="24"/>
                <w:szCs w:val="24"/>
              </w:rPr>
            </w:pPr>
          </w:p>
        </w:tc>
        <w:tc>
          <w:tcPr>
            <w:tcW w:w="1718" w:type="dxa"/>
            <w:vAlign w:val="center"/>
          </w:tcPr>
          <w:p w14:paraId="36FBBDAF">
            <w:pPr>
              <w:tabs>
                <w:tab w:val="left" w:pos="6300"/>
              </w:tabs>
              <w:snapToGrid w:val="0"/>
              <w:spacing w:line="400" w:lineRule="exact"/>
              <w:jc w:val="center"/>
              <w:outlineLvl w:val="0"/>
              <w:rPr>
                <w:rFonts w:ascii="宋体" w:hAnsi="宋体" w:cs="宋体"/>
                <w:color w:val="auto"/>
                <w:sz w:val="24"/>
                <w:szCs w:val="24"/>
              </w:rPr>
            </w:pPr>
          </w:p>
        </w:tc>
      </w:tr>
      <w:tr w14:paraId="761A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589C845E">
            <w:pPr>
              <w:tabs>
                <w:tab w:val="left" w:pos="6300"/>
              </w:tabs>
              <w:snapToGrid w:val="0"/>
              <w:spacing w:line="400" w:lineRule="exact"/>
              <w:jc w:val="center"/>
              <w:outlineLvl w:val="0"/>
              <w:rPr>
                <w:rFonts w:ascii="宋体" w:hAnsi="宋体" w:cs="宋体"/>
                <w:color w:val="auto"/>
                <w:sz w:val="24"/>
                <w:szCs w:val="24"/>
              </w:rPr>
            </w:pPr>
          </w:p>
        </w:tc>
        <w:tc>
          <w:tcPr>
            <w:tcW w:w="3184" w:type="dxa"/>
            <w:vAlign w:val="center"/>
          </w:tcPr>
          <w:p w14:paraId="348B19EF">
            <w:pPr>
              <w:tabs>
                <w:tab w:val="left" w:pos="6300"/>
              </w:tabs>
              <w:snapToGrid w:val="0"/>
              <w:spacing w:line="400" w:lineRule="exact"/>
              <w:jc w:val="center"/>
              <w:outlineLvl w:val="0"/>
              <w:rPr>
                <w:rFonts w:ascii="宋体" w:hAnsi="宋体" w:cs="宋体"/>
                <w:color w:val="auto"/>
                <w:sz w:val="24"/>
                <w:szCs w:val="24"/>
              </w:rPr>
            </w:pPr>
          </w:p>
        </w:tc>
        <w:tc>
          <w:tcPr>
            <w:tcW w:w="3079" w:type="dxa"/>
            <w:vAlign w:val="center"/>
          </w:tcPr>
          <w:p w14:paraId="588A82D8">
            <w:pPr>
              <w:tabs>
                <w:tab w:val="left" w:pos="6300"/>
              </w:tabs>
              <w:snapToGrid w:val="0"/>
              <w:spacing w:line="400" w:lineRule="exact"/>
              <w:jc w:val="center"/>
              <w:outlineLvl w:val="0"/>
              <w:rPr>
                <w:rFonts w:ascii="宋体" w:hAnsi="宋体" w:cs="宋体"/>
                <w:color w:val="auto"/>
                <w:sz w:val="24"/>
                <w:szCs w:val="24"/>
              </w:rPr>
            </w:pPr>
          </w:p>
        </w:tc>
        <w:tc>
          <w:tcPr>
            <w:tcW w:w="1718" w:type="dxa"/>
            <w:vAlign w:val="center"/>
          </w:tcPr>
          <w:p w14:paraId="7DDCB4C9">
            <w:pPr>
              <w:tabs>
                <w:tab w:val="left" w:pos="6300"/>
              </w:tabs>
              <w:snapToGrid w:val="0"/>
              <w:spacing w:line="400" w:lineRule="exact"/>
              <w:jc w:val="center"/>
              <w:outlineLvl w:val="0"/>
              <w:rPr>
                <w:rFonts w:ascii="宋体" w:hAnsi="宋体" w:cs="宋体"/>
                <w:color w:val="auto"/>
                <w:sz w:val="24"/>
                <w:szCs w:val="24"/>
              </w:rPr>
            </w:pPr>
          </w:p>
        </w:tc>
      </w:tr>
    </w:tbl>
    <w:p w14:paraId="1377A235">
      <w:pPr>
        <w:spacing w:line="500" w:lineRule="exact"/>
        <w:ind w:firstLine="600" w:firstLineChars="250"/>
        <w:rPr>
          <w:rFonts w:ascii="宋体" w:hAnsi="宋体" w:cs="宋体"/>
          <w:color w:val="auto"/>
          <w:sz w:val="24"/>
          <w:szCs w:val="28"/>
        </w:rPr>
      </w:pPr>
      <w:r>
        <w:rPr>
          <w:rFonts w:hint="eastAsia" w:ascii="宋体" w:hAnsi="宋体" w:cs="宋体"/>
          <w:color w:val="auto"/>
          <w:sz w:val="24"/>
          <w:szCs w:val="28"/>
        </w:rPr>
        <w:t xml:space="preserve">供应商：                          </w:t>
      </w:r>
      <w:r>
        <w:rPr>
          <w:rFonts w:hint="eastAsia" w:ascii="宋体" w:hAnsi="宋体" w:cs="宋体"/>
          <w:color w:val="auto"/>
          <w:sz w:val="24"/>
          <w:szCs w:val="24"/>
        </w:rPr>
        <w:t>法定代表人（或其授权代表）或自然人</w:t>
      </w:r>
      <w:r>
        <w:rPr>
          <w:rFonts w:hint="eastAsia" w:ascii="宋体" w:hAnsi="宋体" w:cs="宋体"/>
          <w:color w:val="auto"/>
          <w:sz w:val="24"/>
          <w:szCs w:val="28"/>
        </w:rPr>
        <w:t>：</w:t>
      </w:r>
    </w:p>
    <w:p w14:paraId="29E3CF12">
      <w:pPr>
        <w:spacing w:line="500" w:lineRule="exact"/>
        <w:rPr>
          <w:rFonts w:ascii="宋体" w:hAnsi="宋体" w:cs="宋体"/>
          <w:color w:val="auto"/>
          <w:sz w:val="24"/>
          <w:szCs w:val="28"/>
        </w:rPr>
      </w:pPr>
      <w:r>
        <w:rPr>
          <w:rFonts w:hint="eastAsia" w:ascii="宋体" w:hAnsi="宋体" w:cs="宋体"/>
          <w:color w:val="auto"/>
          <w:sz w:val="24"/>
          <w:szCs w:val="28"/>
        </w:rPr>
        <w:t xml:space="preserve">    </w:t>
      </w:r>
    </w:p>
    <w:p w14:paraId="2DCF9305">
      <w:pPr>
        <w:spacing w:line="500" w:lineRule="exact"/>
        <w:ind w:firstLine="360" w:firstLineChars="150"/>
        <w:rPr>
          <w:rFonts w:ascii="宋体" w:hAnsi="宋体" w:cs="宋体"/>
          <w:color w:val="auto"/>
          <w:sz w:val="24"/>
          <w:szCs w:val="28"/>
        </w:rPr>
      </w:pPr>
      <w:r>
        <w:rPr>
          <w:rFonts w:hint="eastAsia" w:ascii="宋体" w:hAnsi="宋体" w:cs="宋体"/>
          <w:color w:val="auto"/>
          <w:sz w:val="24"/>
          <w:szCs w:val="28"/>
        </w:rPr>
        <w:t>（供应商公章）                                     （签署或盖章）</w:t>
      </w:r>
    </w:p>
    <w:p w14:paraId="137B7DAD">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szCs w:val="28"/>
        </w:rPr>
        <w:t xml:space="preserve">                                                  年     月     日</w:t>
      </w:r>
    </w:p>
    <w:p w14:paraId="6D5EF155">
      <w:pPr>
        <w:tabs>
          <w:tab w:val="left" w:pos="6300"/>
        </w:tabs>
        <w:snapToGrid w:val="0"/>
        <w:spacing w:line="400" w:lineRule="exact"/>
        <w:ind w:firstLine="480" w:firstLineChars="200"/>
        <w:rPr>
          <w:rFonts w:ascii="宋体" w:hAnsi="宋体" w:cs="宋体"/>
          <w:color w:val="auto"/>
          <w:sz w:val="24"/>
        </w:rPr>
      </w:pPr>
      <w:r>
        <w:rPr>
          <w:rFonts w:hint="eastAsia" w:ascii="宋体" w:hAnsi="宋体" w:cs="宋体"/>
          <w:color w:val="auto"/>
          <w:sz w:val="24"/>
        </w:rPr>
        <w:t>注：</w:t>
      </w:r>
    </w:p>
    <w:p w14:paraId="18395014">
      <w:pPr>
        <w:tabs>
          <w:tab w:val="left" w:pos="6300"/>
        </w:tabs>
        <w:snapToGrid w:val="0"/>
        <w:spacing w:line="400" w:lineRule="exact"/>
        <w:ind w:firstLine="480" w:firstLineChars="200"/>
        <w:rPr>
          <w:rFonts w:ascii="宋体" w:hAnsi="宋体" w:cs="宋体"/>
          <w:color w:val="auto"/>
          <w:sz w:val="24"/>
        </w:rPr>
      </w:pPr>
      <w:r>
        <w:rPr>
          <w:rFonts w:hint="eastAsia" w:ascii="宋体" w:hAnsi="宋体" w:cs="宋体"/>
          <w:color w:val="auto"/>
          <w:sz w:val="24"/>
          <w:szCs w:val="24"/>
        </w:rPr>
        <w:t>1</w:t>
      </w:r>
      <w:r>
        <w:rPr>
          <w:rFonts w:hint="eastAsia" w:ascii="宋体" w:hAnsi="宋体" w:cs="宋体"/>
          <w:color w:val="auto"/>
          <w:sz w:val="24"/>
        </w:rPr>
        <w:t>.</w:t>
      </w:r>
      <w:r>
        <w:rPr>
          <w:rFonts w:hint="eastAsia" w:ascii="宋体" w:hAnsi="宋体" w:cs="宋体"/>
          <w:color w:val="auto"/>
          <w:sz w:val="24"/>
          <w:szCs w:val="24"/>
        </w:rPr>
        <w:t>本表即为对本项目“第三篇  谈判项目商务需求”中所列条款进行比较和响应；</w:t>
      </w:r>
    </w:p>
    <w:p w14:paraId="21126508">
      <w:pPr>
        <w:tabs>
          <w:tab w:val="left" w:pos="6300"/>
        </w:tabs>
        <w:snapToGrid w:val="0"/>
        <w:spacing w:line="480" w:lineRule="exact"/>
        <w:ind w:firstLine="480" w:firstLineChars="200"/>
        <w:rPr>
          <w:rFonts w:ascii="宋体" w:hAnsi="宋体" w:cs="宋体"/>
          <w:color w:val="auto"/>
          <w:sz w:val="24"/>
          <w:szCs w:val="24"/>
        </w:rPr>
      </w:pPr>
      <w:r>
        <w:rPr>
          <w:rFonts w:hint="eastAsia" w:ascii="宋体" w:hAnsi="宋体" w:cs="宋体"/>
          <w:color w:val="auto"/>
          <w:sz w:val="24"/>
        </w:rPr>
        <w:t>2.本表可扩展</w:t>
      </w:r>
      <w:r>
        <w:rPr>
          <w:rFonts w:hint="eastAsia" w:ascii="宋体" w:hAnsi="宋体" w:cs="宋体"/>
          <w:color w:val="auto"/>
          <w:sz w:val="24"/>
          <w:szCs w:val="24"/>
        </w:rPr>
        <w:t>。</w:t>
      </w:r>
    </w:p>
    <w:p w14:paraId="2FB8E326">
      <w:pPr>
        <w:tabs>
          <w:tab w:val="left" w:pos="6300"/>
        </w:tabs>
        <w:snapToGrid w:val="0"/>
        <w:spacing w:line="480" w:lineRule="exact"/>
        <w:ind w:firstLine="480" w:firstLineChars="200"/>
        <w:rPr>
          <w:rFonts w:ascii="宋体" w:hAnsi="宋体" w:cs="宋体"/>
          <w:color w:val="auto"/>
          <w:sz w:val="24"/>
          <w:szCs w:val="24"/>
        </w:rPr>
      </w:pPr>
    </w:p>
    <w:p w14:paraId="5FA3D442">
      <w:pPr>
        <w:tabs>
          <w:tab w:val="left" w:pos="6300"/>
        </w:tabs>
        <w:snapToGrid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br w:type="page"/>
      </w:r>
      <w:r>
        <w:rPr>
          <w:rFonts w:hint="eastAsia" w:ascii="宋体" w:hAnsi="宋体" w:cs="宋体"/>
          <w:color w:val="auto"/>
          <w:sz w:val="24"/>
          <w:szCs w:val="24"/>
        </w:rPr>
        <w:t>（二）其它优惠服务承诺（格式自定）</w:t>
      </w:r>
    </w:p>
    <w:p w14:paraId="66BA8762">
      <w:pPr>
        <w:tabs>
          <w:tab w:val="left" w:pos="6300"/>
        </w:tabs>
        <w:snapToGrid w:val="0"/>
        <w:spacing w:line="480" w:lineRule="exact"/>
        <w:ind w:firstLine="480" w:firstLineChars="200"/>
        <w:rPr>
          <w:rFonts w:ascii="宋体" w:hAnsi="宋体" w:cs="宋体"/>
          <w:color w:val="auto"/>
          <w:sz w:val="24"/>
          <w:szCs w:val="24"/>
        </w:rPr>
      </w:pPr>
    </w:p>
    <w:p w14:paraId="03013D71">
      <w:pPr>
        <w:pStyle w:val="4"/>
        <w:adjustRightInd w:val="0"/>
        <w:snapToGrid w:val="0"/>
        <w:spacing w:before="0" w:after="0" w:line="400" w:lineRule="exact"/>
        <w:ind w:firstLine="482" w:firstLineChars="200"/>
        <w:rPr>
          <w:rFonts w:ascii="宋体" w:hAnsi="宋体" w:eastAsia="宋体" w:cs="宋体"/>
          <w:color w:val="auto"/>
          <w:sz w:val="24"/>
        </w:rPr>
      </w:pPr>
      <w:r>
        <w:rPr>
          <w:rFonts w:hint="eastAsia" w:ascii="宋体" w:hAnsi="宋体" w:eastAsia="宋体" w:cs="宋体"/>
          <w:color w:val="auto"/>
          <w:sz w:val="24"/>
          <w:szCs w:val="24"/>
        </w:rPr>
        <w:br w:type="page"/>
      </w:r>
      <w:bookmarkStart w:id="192" w:name="_Toc10019"/>
      <w:bookmarkStart w:id="193" w:name="_Toc2082"/>
      <w:bookmarkStart w:id="194" w:name="_Toc20162"/>
      <w:bookmarkStart w:id="195" w:name="_Toc65660382"/>
      <w:r>
        <w:rPr>
          <w:rFonts w:hint="eastAsia" w:ascii="宋体" w:hAnsi="宋体" w:eastAsia="宋体" w:cs="宋体"/>
          <w:color w:val="auto"/>
          <w:sz w:val="24"/>
        </w:rPr>
        <w:t>四、</w:t>
      </w:r>
      <w:bookmarkEnd w:id="189"/>
      <w:bookmarkEnd w:id="190"/>
      <w:bookmarkEnd w:id="191"/>
      <w:r>
        <w:rPr>
          <w:rFonts w:hint="eastAsia" w:ascii="宋体" w:hAnsi="宋体" w:eastAsia="宋体" w:cs="宋体"/>
          <w:color w:val="auto"/>
          <w:sz w:val="24"/>
        </w:rPr>
        <w:t>资格条件及其他</w:t>
      </w:r>
      <w:bookmarkEnd w:id="192"/>
      <w:bookmarkEnd w:id="193"/>
      <w:bookmarkEnd w:id="194"/>
      <w:bookmarkEnd w:id="195"/>
      <w:bookmarkStart w:id="196" w:name="_Toc313888363"/>
      <w:bookmarkStart w:id="197" w:name="_Toc313008359"/>
      <w:bookmarkStart w:id="198" w:name="_Toc342913422"/>
    </w:p>
    <w:p w14:paraId="5F9B7644">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2F7295A6">
      <w:pPr>
        <w:tabs>
          <w:tab w:val="left" w:pos="6300"/>
        </w:tabs>
        <w:snapToGrid w:val="0"/>
        <w:spacing w:line="500" w:lineRule="exact"/>
        <w:ind w:firstLine="570"/>
        <w:rPr>
          <w:rFonts w:ascii="宋体" w:hAnsi="宋体" w:cs="宋体"/>
          <w:color w:val="auto"/>
          <w:sz w:val="24"/>
          <w:szCs w:val="24"/>
        </w:rPr>
      </w:pPr>
    </w:p>
    <w:p w14:paraId="08FAC9A6">
      <w:pPr>
        <w:tabs>
          <w:tab w:val="left" w:pos="6300"/>
        </w:tabs>
        <w:snapToGrid w:val="0"/>
        <w:spacing w:line="500" w:lineRule="exact"/>
        <w:ind w:firstLine="570"/>
        <w:rPr>
          <w:rFonts w:ascii="宋体" w:hAnsi="宋体" w:cs="宋体"/>
          <w:color w:val="auto"/>
        </w:rPr>
      </w:pPr>
    </w:p>
    <w:p w14:paraId="32C60506">
      <w:pPr>
        <w:tabs>
          <w:tab w:val="left" w:pos="6300"/>
        </w:tabs>
        <w:snapToGrid w:val="0"/>
        <w:spacing w:line="500" w:lineRule="exact"/>
        <w:ind w:firstLine="570"/>
        <w:rPr>
          <w:rFonts w:ascii="宋体" w:hAnsi="宋体" w:cs="宋体"/>
          <w:color w:val="auto"/>
        </w:rPr>
      </w:pPr>
    </w:p>
    <w:p w14:paraId="67EF9D5C">
      <w:pPr>
        <w:tabs>
          <w:tab w:val="left" w:pos="6300"/>
        </w:tabs>
        <w:snapToGrid w:val="0"/>
        <w:spacing w:line="500" w:lineRule="exact"/>
        <w:ind w:firstLine="570"/>
        <w:rPr>
          <w:rFonts w:ascii="宋体" w:hAnsi="宋体" w:cs="宋体"/>
          <w:color w:val="auto"/>
        </w:rPr>
      </w:pPr>
    </w:p>
    <w:p w14:paraId="71550A97">
      <w:pPr>
        <w:tabs>
          <w:tab w:val="left" w:pos="6300"/>
        </w:tabs>
        <w:snapToGrid w:val="0"/>
        <w:spacing w:line="500" w:lineRule="exact"/>
        <w:ind w:firstLine="570"/>
        <w:rPr>
          <w:rFonts w:ascii="宋体" w:hAnsi="宋体" w:cs="宋体"/>
          <w:color w:val="auto"/>
        </w:rPr>
      </w:pPr>
    </w:p>
    <w:p w14:paraId="7BBC24D5">
      <w:pPr>
        <w:widowControl/>
        <w:spacing w:line="400" w:lineRule="exact"/>
        <w:ind w:firstLine="420" w:firstLineChars="200"/>
        <w:jc w:val="left"/>
        <w:rPr>
          <w:rFonts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（二）法定代表人身份证明书（格式）</w:t>
      </w:r>
    </w:p>
    <w:p w14:paraId="249DA063">
      <w:pPr>
        <w:tabs>
          <w:tab w:val="left" w:pos="6300"/>
        </w:tabs>
        <w:snapToGrid w:val="0"/>
        <w:spacing w:line="500" w:lineRule="exact"/>
        <w:ind w:firstLine="570"/>
        <w:rPr>
          <w:rFonts w:ascii="宋体" w:hAnsi="宋体" w:cs="宋体"/>
          <w:color w:val="auto"/>
          <w:sz w:val="24"/>
        </w:rPr>
      </w:pPr>
    </w:p>
    <w:p w14:paraId="2AD623EA">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谈判项目名称：</w:t>
      </w:r>
      <w:r>
        <w:rPr>
          <w:rFonts w:hint="eastAsia" w:ascii="宋体" w:hAnsi="宋体" w:cs="宋体"/>
          <w:color w:val="auto"/>
          <w:sz w:val="24"/>
          <w:u w:val="single"/>
        </w:rPr>
        <w:t xml:space="preserve">                                                </w:t>
      </w:r>
    </w:p>
    <w:p w14:paraId="2218BC02">
      <w:pPr>
        <w:tabs>
          <w:tab w:val="left" w:pos="6300"/>
        </w:tabs>
        <w:snapToGrid w:val="0"/>
        <w:spacing w:line="500" w:lineRule="exact"/>
        <w:ind w:firstLine="570"/>
        <w:rPr>
          <w:rFonts w:ascii="宋体" w:hAnsi="宋体" w:cs="宋体"/>
          <w:color w:val="auto"/>
          <w:sz w:val="24"/>
        </w:rPr>
      </w:pPr>
    </w:p>
    <w:p w14:paraId="0A16C0D2">
      <w:pPr>
        <w:tabs>
          <w:tab w:val="left" w:pos="6300"/>
        </w:tabs>
        <w:snapToGrid w:val="0"/>
        <w:spacing w:line="500" w:lineRule="exact"/>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（采购代理机构名称）：</w:t>
      </w:r>
    </w:p>
    <w:p w14:paraId="730C9A5E">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（供应商名称）任</w:t>
      </w:r>
      <w:r>
        <w:rPr>
          <w:rFonts w:hint="eastAsia" w:ascii="宋体" w:hAnsi="宋体" w:cs="宋体"/>
          <w:color w:val="auto"/>
          <w:sz w:val="24"/>
          <w:u w:val="single"/>
        </w:rPr>
        <w:t xml:space="preserve">    </w:t>
      </w:r>
      <w:r>
        <w:rPr>
          <w:rFonts w:hint="eastAsia" w:ascii="宋体" w:hAnsi="宋体" w:cs="宋体"/>
          <w:color w:val="auto"/>
          <w:sz w:val="24"/>
        </w:rPr>
        <w:t>（职务名称）职务，是（供应商名称）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24DAF3D0">
      <w:pPr>
        <w:tabs>
          <w:tab w:val="left" w:pos="6300"/>
        </w:tabs>
        <w:snapToGrid w:val="0"/>
        <w:spacing w:line="500" w:lineRule="exact"/>
        <w:ind w:firstLine="570"/>
        <w:rPr>
          <w:rFonts w:ascii="宋体" w:hAnsi="宋体" w:cs="宋体"/>
          <w:color w:val="auto"/>
          <w:sz w:val="24"/>
        </w:rPr>
      </w:pPr>
    </w:p>
    <w:p w14:paraId="7A71C673">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特此证明。</w:t>
      </w:r>
    </w:p>
    <w:p w14:paraId="1C7B91EA">
      <w:pPr>
        <w:tabs>
          <w:tab w:val="left" w:pos="6300"/>
        </w:tabs>
        <w:snapToGrid w:val="0"/>
        <w:spacing w:line="500" w:lineRule="exact"/>
        <w:ind w:firstLine="570"/>
        <w:rPr>
          <w:rFonts w:ascii="宋体" w:hAnsi="宋体" w:cs="宋体"/>
          <w:color w:val="auto"/>
          <w:sz w:val="24"/>
        </w:rPr>
      </w:pPr>
    </w:p>
    <w:p w14:paraId="19ACFF08">
      <w:pPr>
        <w:tabs>
          <w:tab w:val="left" w:pos="6300"/>
        </w:tabs>
        <w:snapToGrid w:val="0"/>
        <w:spacing w:line="500" w:lineRule="exact"/>
        <w:ind w:firstLine="570"/>
        <w:rPr>
          <w:rFonts w:ascii="宋体" w:hAnsi="宋体" w:cs="宋体"/>
          <w:color w:val="auto"/>
          <w:sz w:val="24"/>
        </w:rPr>
      </w:pPr>
    </w:p>
    <w:p w14:paraId="78AED808">
      <w:pPr>
        <w:tabs>
          <w:tab w:val="left" w:pos="6300"/>
        </w:tabs>
        <w:snapToGrid w:val="0"/>
        <w:spacing w:line="500" w:lineRule="exact"/>
        <w:ind w:firstLine="570"/>
        <w:rPr>
          <w:rFonts w:ascii="宋体" w:hAnsi="宋体" w:cs="宋体"/>
          <w:color w:val="auto"/>
          <w:sz w:val="24"/>
        </w:rPr>
      </w:pPr>
    </w:p>
    <w:p w14:paraId="6D765EF9">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 xml:space="preserve">                                             （供应商公章）</w:t>
      </w:r>
    </w:p>
    <w:p w14:paraId="2C77631B">
      <w:pPr>
        <w:tabs>
          <w:tab w:val="left" w:pos="6300"/>
        </w:tabs>
        <w:snapToGrid w:val="0"/>
        <w:spacing w:line="500" w:lineRule="exact"/>
        <w:ind w:firstLine="570"/>
        <w:rPr>
          <w:rFonts w:ascii="宋体" w:hAnsi="宋体" w:cs="宋体"/>
          <w:color w:val="auto"/>
          <w:sz w:val="24"/>
        </w:rPr>
      </w:pPr>
    </w:p>
    <w:p w14:paraId="22F63798">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 xml:space="preserve">                                             年   月   日</w:t>
      </w:r>
    </w:p>
    <w:p w14:paraId="229DE408">
      <w:pPr>
        <w:tabs>
          <w:tab w:val="left" w:pos="6300"/>
        </w:tabs>
        <w:snapToGrid w:val="0"/>
        <w:spacing w:line="500" w:lineRule="exact"/>
        <w:ind w:firstLine="570"/>
        <w:rPr>
          <w:rFonts w:ascii="宋体" w:hAnsi="宋体" w:cs="宋体"/>
          <w:color w:val="auto"/>
          <w:sz w:val="24"/>
        </w:rPr>
      </w:pPr>
    </w:p>
    <w:p w14:paraId="31017687">
      <w:pPr>
        <w:tabs>
          <w:tab w:val="left" w:pos="6300"/>
        </w:tabs>
        <w:snapToGrid w:val="0"/>
        <w:spacing w:line="500" w:lineRule="exact"/>
        <w:ind w:firstLine="570"/>
        <w:rPr>
          <w:rFonts w:ascii="宋体" w:hAnsi="宋体" w:cs="宋体"/>
          <w:color w:val="auto"/>
          <w:sz w:val="24"/>
        </w:rPr>
      </w:pPr>
    </w:p>
    <w:p w14:paraId="474C7899">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法定代表人电话：XXXXXXX      电子邮箱：XXXXXX@XXXXX（若授权他人办理并签署响应文件的可不填写）</w:t>
      </w:r>
    </w:p>
    <w:p w14:paraId="3582CFC2">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（附：法定代表人身份证正反面复印件）</w:t>
      </w:r>
    </w:p>
    <w:p w14:paraId="593C6807">
      <w:pPr>
        <w:tabs>
          <w:tab w:val="left" w:pos="6300"/>
        </w:tabs>
        <w:snapToGrid w:val="0"/>
        <w:spacing w:line="500" w:lineRule="exact"/>
        <w:ind w:firstLine="570"/>
        <w:rPr>
          <w:rFonts w:ascii="宋体" w:hAnsi="宋体" w:cs="宋体"/>
          <w:color w:val="auto"/>
          <w:sz w:val="24"/>
        </w:rPr>
      </w:pPr>
    </w:p>
    <w:p w14:paraId="0B3715D8">
      <w:pPr>
        <w:tabs>
          <w:tab w:val="left" w:pos="6300"/>
        </w:tabs>
        <w:snapToGrid w:val="0"/>
        <w:spacing w:line="500" w:lineRule="exact"/>
        <w:ind w:firstLine="570"/>
        <w:rPr>
          <w:rFonts w:ascii="宋体" w:hAnsi="宋体" w:cs="宋体"/>
          <w:color w:val="auto"/>
          <w:sz w:val="24"/>
        </w:rPr>
      </w:pPr>
    </w:p>
    <w:p w14:paraId="0210529C">
      <w:pPr>
        <w:tabs>
          <w:tab w:val="left" w:pos="6300"/>
        </w:tabs>
        <w:snapToGrid w:val="0"/>
        <w:spacing w:line="500" w:lineRule="exact"/>
        <w:ind w:firstLine="570"/>
        <w:rPr>
          <w:rFonts w:ascii="宋体" w:hAnsi="宋体" w:cs="宋体"/>
          <w:color w:val="auto"/>
          <w:sz w:val="24"/>
        </w:rPr>
      </w:pPr>
    </w:p>
    <w:p w14:paraId="202B1EFC">
      <w:pPr>
        <w:tabs>
          <w:tab w:val="left" w:pos="6300"/>
        </w:tabs>
        <w:snapToGrid w:val="0"/>
        <w:spacing w:line="500" w:lineRule="exact"/>
        <w:ind w:firstLine="570"/>
        <w:rPr>
          <w:rFonts w:ascii="宋体" w:hAnsi="宋体" w:cs="宋体"/>
          <w:color w:val="auto"/>
          <w:sz w:val="24"/>
        </w:rPr>
      </w:pPr>
    </w:p>
    <w:p w14:paraId="263F56B9">
      <w:pPr>
        <w:tabs>
          <w:tab w:val="left" w:pos="6300"/>
        </w:tabs>
        <w:snapToGrid w:val="0"/>
        <w:spacing w:line="500" w:lineRule="exact"/>
        <w:ind w:firstLine="570"/>
        <w:rPr>
          <w:rFonts w:ascii="宋体" w:hAnsi="宋体" w:cs="宋体"/>
          <w:color w:val="auto"/>
          <w:sz w:val="24"/>
        </w:rPr>
      </w:pPr>
    </w:p>
    <w:p w14:paraId="2EEE6DB9">
      <w:pPr>
        <w:tabs>
          <w:tab w:val="left" w:pos="6300"/>
        </w:tabs>
        <w:snapToGrid w:val="0"/>
        <w:spacing w:line="500" w:lineRule="exact"/>
        <w:ind w:firstLine="570"/>
        <w:rPr>
          <w:rFonts w:ascii="宋体" w:hAnsi="宋体" w:cs="宋体"/>
          <w:color w:val="auto"/>
          <w:sz w:val="24"/>
        </w:rPr>
      </w:pPr>
    </w:p>
    <w:p w14:paraId="6F838B21">
      <w:pPr>
        <w:widowControl/>
        <w:spacing w:line="400" w:lineRule="exact"/>
        <w:ind w:firstLine="420" w:firstLineChars="200"/>
        <w:jc w:val="left"/>
        <w:rPr>
          <w:rFonts w:ascii="宋体" w:hAnsi="宋体" w:cs="宋体"/>
          <w:color w:val="auto"/>
          <w:sz w:val="24"/>
          <w:szCs w:val="24"/>
        </w:rPr>
      </w:pPr>
      <w:r>
        <w:rPr>
          <w:rFonts w:hint="eastAsia" w:ascii="宋体" w:hAnsi="宋体" w:cs="宋体"/>
          <w:color w:val="auto"/>
        </w:rPr>
        <w:br w:type="column"/>
      </w:r>
      <w:r>
        <w:rPr>
          <w:rFonts w:hint="eastAsia" w:ascii="宋体" w:hAnsi="宋体" w:cs="宋体"/>
          <w:color w:val="auto"/>
          <w:sz w:val="24"/>
          <w:szCs w:val="24"/>
        </w:rPr>
        <w:t>（三）法定代表人授权委托书（格式）</w:t>
      </w:r>
    </w:p>
    <w:p w14:paraId="2B3ABE91">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 xml:space="preserve">    </w:t>
      </w:r>
    </w:p>
    <w:p w14:paraId="70D7E847">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szCs w:val="28"/>
        </w:rPr>
        <w:t>谈判项目名称</w:t>
      </w:r>
      <w:r>
        <w:rPr>
          <w:rFonts w:hint="eastAsia" w:ascii="宋体" w:hAnsi="宋体" w:cs="宋体"/>
          <w:color w:val="auto"/>
          <w:sz w:val="24"/>
        </w:rPr>
        <w:t>：</w:t>
      </w:r>
      <w:r>
        <w:rPr>
          <w:rFonts w:hint="eastAsia" w:ascii="宋体" w:hAnsi="宋体" w:cs="宋体"/>
          <w:color w:val="auto"/>
          <w:sz w:val="24"/>
          <w:u w:val="single"/>
        </w:rPr>
        <w:t xml:space="preserve">                                                </w:t>
      </w:r>
    </w:p>
    <w:p w14:paraId="4119F9A6">
      <w:pPr>
        <w:tabs>
          <w:tab w:val="left" w:pos="6300"/>
        </w:tabs>
        <w:snapToGrid w:val="0"/>
        <w:spacing w:line="500" w:lineRule="exact"/>
        <w:ind w:firstLine="570"/>
        <w:rPr>
          <w:rFonts w:ascii="宋体" w:hAnsi="宋体" w:cs="宋体"/>
          <w:color w:val="auto"/>
          <w:sz w:val="24"/>
        </w:rPr>
      </w:pPr>
    </w:p>
    <w:p w14:paraId="5FCB02A0">
      <w:pPr>
        <w:tabs>
          <w:tab w:val="left" w:pos="6300"/>
        </w:tabs>
        <w:snapToGrid w:val="0"/>
        <w:spacing w:line="500" w:lineRule="exact"/>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（采购代理机构名称）：</w:t>
      </w:r>
    </w:p>
    <w:p w14:paraId="0DDC1DD0">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（供应商法定代表人名称）是</w:t>
      </w:r>
      <w:r>
        <w:rPr>
          <w:rFonts w:hint="eastAsia" w:ascii="宋体" w:hAnsi="宋体" w:cs="宋体"/>
          <w:color w:val="auto"/>
          <w:sz w:val="24"/>
          <w:u w:val="single"/>
        </w:rPr>
        <w:t xml:space="preserve">                    </w:t>
      </w:r>
      <w:r>
        <w:rPr>
          <w:rFonts w:hint="eastAsia" w:ascii="宋体" w:hAnsi="宋体" w:cs="宋体"/>
          <w:color w:val="auto"/>
          <w:sz w:val="24"/>
        </w:rPr>
        <w:t>（供应商名称）的法定代表人，特授权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（被授权人姓名及身份证代码）代表我单位全权办理上述项目的谈判、签约等具体工作，并签署全部有关文件、协议及合同。</w:t>
      </w:r>
    </w:p>
    <w:p w14:paraId="508D1F07">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我单位对被授权人的</w:t>
      </w:r>
      <w:r>
        <w:rPr>
          <w:rFonts w:hint="eastAsia" w:ascii="宋体" w:hAnsi="宋体" w:cs="宋体"/>
          <w:color w:val="auto"/>
          <w:sz w:val="24"/>
          <w:szCs w:val="28"/>
        </w:rPr>
        <w:t>签署</w:t>
      </w:r>
      <w:r>
        <w:rPr>
          <w:rFonts w:hint="eastAsia" w:ascii="宋体" w:hAnsi="宋体" w:cs="宋体"/>
          <w:color w:val="auto"/>
          <w:sz w:val="24"/>
        </w:rPr>
        <w:t>负全部责任。</w:t>
      </w:r>
    </w:p>
    <w:p w14:paraId="4056A4AE">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4B7D727A">
      <w:pPr>
        <w:tabs>
          <w:tab w:val="left" w:pos="6300"/>
        </w:tabs>
        <w:snapToGrid w:val="0"/>
        <w:spacing w:line="500" w:lineRule="exact"/>
        <w:ind w:firstLine="570"/>
        <w:rPr>
          <w:rFonts w:ascii="宋体" w:hAnsi="宋体" w:cs="宋体"/>
          <w:color w:val="auto"/>
          <w:sz w:val="24"/>
        </w:rPr>
      </w:pPr>
    </w:p>
    <w:p w14:paraId="6DAB4F30">
      <w:pPr>
        <w:tabs>
          <w:tab w:val="left" w:pos="6300"/>
        </w:tabs>
        <w:snapToGrid w:val="0"/>
        <w:spacing w:line="500" w:lineRule="exact"/>
        <w:ind w:firstLine="570"/>
        <w:rPr>
          <w:rFonts w:ascii="宋体" w:hAnsi="宋体" w:cs="宋体"/>
          <w:color w:val="auto"/>
          <w:sz w:val="24"/>
        </w:rPr>
      </w:pPr>
    </w:p>
    <w:p w14:paraId="1E628931">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被授权人：                                 供应商法定代表人：</w:t>
      </w:r>
    </w:p>
    <w:p w14:paraId="36188E34">
      <w:pPr>
        <w:tabs>
          <w:tab w:val="left" w:pos="6300"/>
        </w:tabs>
        <w:snapToGrid w:val="0"/>
        <w:spacing w:line="500" w:lineRule="exact"/>
        <w:ind w:firstLine="570"/>
        <w:rPr>
          <w:rFonts w:ascii="宋体" w:hAnsi="宋体" w:cs="宋体"/>
          <w:color w:val="auto"/>
          <w:sz w:val="24"/>
          <w:szCs w:val="28"/>
        </w:rPr>
      </w:pPr>
      <w:r>
        <w:rPr>
          <w:rFonts w:hint="eastAsia" w:ascii="宋体" w:hAnsi="宋体" w:cs="宋体"/>
          <w:color w:val="auto"/>
          <w:sz w:val="24"/>
          <w:szCs w:val="28"/>
        </w:rPr>
        <w:t>（签署或盖章）                                （签署或盖章）</w:t>
      </w:r>
    </w:p>
    <w:p w14:paraId="54F13091">
      <w:pPr>
        <w:tabs>
          <w:tab w:val="left" w:pos="6300"/>
        </w:tabs>
        <w:snapToGrid w:val="0"/>
        <w:spacing w:line="500" w:lineRule="exact"/>
        <w:ind w:firstLine="570"/>
        <w:rPr>
          <w:rFonts w:ascii="宋体" w:hAnsi="宋体" w:cs="宋体"/>
          <w:color w:val="auto"/>
          <w:sz w:val="24"/>
          <w:szCs w:val="28"/>
        </w:rPr>
      </w:pPr>
    </w:p>
    <w:p w14:paraId="3C42E3D9">
      <w:pPr>
        <w:tabs>
          <w:tab w:val="left" w:pos="6300"/>
        </w:tabs>
        <w:snapToGrid w:val="0"/>
        <w:spacing w:line="500" w:lineRule="exact"/>
        <w:ind w:firstLine="570"/>
        <w:rPr>
          <w:rFonts w:ascii="宋体" w:hAnsi="宋体" w:cs="宋体"/>
          <w:color w:val="auto"/>
          <w:sz w:val="24"/>
        </w:rPr>
      </w:pPr>
    </w:p>
    <w:p w14:paraId="719C8DDE">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（附：被授权人身份证正反面复印件）</w:t>
      </w:r>
    </w:p>
    <w:p w14:paraId="1F6C30E4">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 xml:space="preserve">                                          </w:t>
      </w:r>
    </w:p>
    <w:p w14:paraId="7157B07F">
      <w:pPr>
        <w:tabs>
          <w:tab w:val="left" w:pos="6300"/>
        </w:tabs>
        <w:snapToGrid w:val="0"/>
        <w:spacing w:line="500" w:lineRule="exact"/>
        <w:ind w:firstLine="570"/>
        <w:rPr>
          <w:rFonts w:ascii="宋体" w:hAnsi="宋体" w:cs="宋体"/>
          <w:color w:val="auto"/>
          <w:sz w:val="24"/>
        </w:rPr>
      </w:pPr>
    </w:p>
    <w:p w14:paraId="675A396A">
      <w:pPr>
        <w:tabs>
          <w:tab w:val="left" w:pos="6300"/>
        </w:tabs>
        <w:snapToGrid w:val="0"/>
        <w:spacing w:line="500" w:lineRule="exact"/>
        <w:ind w:firstLine="570"/>
        <w:rPr>
          <w:rFonts w:ascii="宋体" w:hAnsi="宋体" w:cs="宋体"/>
          <w:color w:val="auto"/>
          <w:sz w:val="24"/>
        </w:rPr>
      </w:pPr>
    </w:p>
    <w:p w14:paraId="38806F9A">
      <w:pPr>
        <w:tabs>
          <w:tab w:val="left" w:pos="6300"/>
        </w:tabs>
        <w:snapToGrid w:val="0"/>
        <w:spacing w:line="500" w:lineRule="exact"/>
        <w:ind w:right="480" w:firstLine="570"/>
        <w:jc w:val="right"/>
        <w:rPr>
          <w:rFonts w:ascii="宋体" w:hAnsi="宋体" w:cs="宋体"/>
          <w:color w:val="auto"/>
          <w:sz w:val="24"/>
        </w:rPr>
      </w:pPr>
      <w:r>
        <w:rPr>
          <w:rFonts w:hint="eastAsia" w:ascii="宋体" w:hAnsi="宋体" w:cs="宋体"/>
          <w:color w:val="auto"/>
          <w:sz w:val="24"/>
        </w:rPr>
        <w:t>（供应商公章）</w:t>
      </w:r>
    </w:p>
    <w:p w14:paraId="6A9335F1">
      <w:pPr>
        <w:tabs>
          <w:tab w:val="left" w:pos="6300"/>
        </w:tabs>
        <w:snapToGrid w:val="0"/>
        <w:spacing w:line="500" w:lineRule="exact"/>
        <w:ind w:right="480" w:firstLine="570"/>
        <w:jc w:val="right"/>
        <w:rPr>
          <w:rFonts w:ascii="宋体" w:hAnsi="宋体" w:cs="宋体"/>
          <w:color w:val="auto"/>
          <w:sz w:val="24"/>
        </w:rPr>
      </w:pPr>
      <w:r>
        <w:rPr>
          <w:rFonts w:hint="eastAsia" w:ascii="宋体" w:hAnsi="宋体" w:cs="宋体"/>
          <w:color w:val="auto"/>
          <w:sz w:val="24"/>
        </w:rPr>
        <w:t>年   月   日</w:t>
      </w:r>
    </w:p>
    <w:p w14:paraId="42FBFFBE">
      <w:pPr>
        <w:tabs>
          <w:tab w:val="left" w:pos="6300"/>
        </w:tabs>
        <w:snapToGrid w:val="0"/>
        <w:spacing w:line="500" w:lineRule="exact"/>
        <w:ind w:right="480" w:firstLine="570"/>
        <w:jc w:val="left"/>
        <w:rPr>
          <w:rFonts w:ascii="宋体" w:hAnsi="宋体" w:cs="宋体"/>
          <w:color w:val="auto"/>
          <w:sz w:val="24"/>
        </w:rPr>
      </w:pPr>
      <w:r>
        <w:rPr>
          <w:rFonts w:hint="eastAsia" w:ascii="宋体" w:hAnsi="宋体" w:cs="宋体"/>
          <w:color w:val="auto"/>
          <w:sz w:val="24"/>
        </w:rPr>
        <w:t>被授权人电话：XXXXXXX     电子邮箱：XXXXXX@XXXXX（若法定代表人办理并签署响应文件的可不填写）</w:t>
      </w:r>
    </w:p>
    <w:p w14:paraId="4A3D6013">
      <w:pPr>
        <w:tabs>
          <w:tab w:val="left" w:pos="6300"/>
        </w:tabs>
        <w:snapToGrid w:val="0"/>
        <w:spacing w:line="500" w:lineRule="exact"/>
        <w:ind w:right="480" w:firstLine="570"/>
        <w:jc w:val="left"/>
        <w:rPr>
          <w:rFonts w:ascii="宋体" w:hAnsi="宋体" w:cs="宋体"/>
          <w:color w:val="auto"/>
          <w:sz w:val="24"/>
        </w:rPr>
      </w:pPr>
      <w:r>
        <w:rPr>
          <w:rFonts w:hint="eastAsia" w:ascii="宋体" w:hAnsi="宋体" w:cs="宋体"/>
          <w:color w:val="auto"/>
          <w:sz w:val="24"/>
        </w:rPr>
        <w:t>注：</w:t>
      </w:r>
    </w:p>
    <w:p w14:paraId="36088DDE">
      <w:pPr>
        <w:tabs>
          <w:tab w:val="left" w:pos="6300"/>
        </w:tabs>
        <w:snapToGrid w:val="0"/>
        <w:spacing w:line="500" w:lineRule="exact"/>
        <w:ind w:right="480" w:firstLine="570"/>
        <w:jc w:val="left"/>
        <w:rPr>
          <w:rFonts w:ascii="宋体" w:hAnsi="宋体" w:cs="宋体"/>
          <w:color w:val="auto"/>
          <w:sz w:val="24"/>
        </w:rPr>
      </w:pPr>
      <w:r>
        <w:rPr>
          <w:rFonts w:hint="eastAsia" w:ascii="宋体" w:hAnsi="宋体" w:cs="宋体"/>
          <w:color w:val="auto"/>
          <w:sz w:val="24"/>
        </w:rPr>
        <w:t>1.若为法定代表人办理并签署响应文件的，不提供此文件。</w:t>
      </w:r>
    </w:p>
    <w:p w14:paraId="3772FA42">
      <w:pPr>
        <w:tabs>
          <w:tab w:val="left" w:pos="6300"/>
        </w:tabs>
        <w:snapToGrid w:val="0"/>
        <w:spacing w:line="400" w:lineRule="exact"/>
        <w:ind w:firstLine="573"/>
        <w:rPr>
          <w:rFonts w:ascii="宋体" w:hAnsi="宋体" w:cs="宋体"/>
          <w:color w:val="auto"/>
          <w:sz w:val="24"/>
        </w:rPr>
      </w:pPr>
      <w:r>
        <w:rPr>
          <w:rFonts w:hint="eastAsia" w:ascii="宋体" w:hAnsi="宋体" w:cs="宋体"/>
          <w:color w:val="auto"/>
          <w:sz w:val="24"/>
        </w:rPr>
        <w:t>2.若为联合体参与的，法定代表人授权委托书由联合体主办方</w:t>
      </w:r>
      <w:r>
        <w:rPr>
          <w:rFonts w:hint="eastAsia" w:ascii="宋体" w:hAnsi="宋体" w:cs="宋体"/>
          <w:color w:val="auto"/>
          <w:kern w:val="0"/>
          <w:sz w:val="24"/>
          <w:szCs w:val="24"/>
        </w:rPr>
        <w:t>（主体）</w:t>
      </w:r>
      <w:r>
        <w:rPr>
          <w:rFonts w:hint="eastAsia" w:ascii="宋体" w:hAnsi="宋体" w:cs="宋体"/>
          <w:color w:val="auto"/>
          <w:sz w:val="24"/>
        </w:rPr>
        <w:t>出具。</w:t>
      </w:r>
    </w:p>
    <w:p w14:paraId="1328829E">
      <w:pPr>
        <w:widowControl/>
        <w:spacing w:line="400" w:lineRule="exact"/>
        <w:ind w:firstLine="420" w:firstLineChars="200"/>
        <w:jc w:val="left"/>
        <w:rPr>
          <w:rFonts w:ascii="宋体" w:hAnsi="宋体" w:cs="宋体"/>
          <w:color w:val="auto"/>
          <w:sz w:val="24"/>
          <w:szCs w:val="24"/>
        </w:rPr>
      </w:pPr>
      <w:r>
        <w:rPr>
          <w:rFonts w:hint="eastAsia" w:ascii="宋体" w:hAnsi="宋体" w:cs="宋体"/>
          <w:color w:val="auto"/>
        </w:rPr>
        <w:br w:type="column"/>
      </w:r>
      <w:r>
        <w:rPr>
          <w:rFonts w:hint="eastAsia" w:ascii="宋体" w:hAnsi="宋体" w:cs="宋体"/>
          <w:color w:val="auto"/>
          <w:sz w:val="24"/>
          <w:szCs w:val="24"/>
        </w:rPr>
        <w:t>（四）基本资格条件承诺函（格式）</w:t>
      </w:r>
    </w:p>
    <w:p w14:paraId="76774F78">
      <w:pPr>
        <w:tabs>
          <w:tab w:val="left" w:pos="6300"/>
        </w:tabs>
        <w:snapToGrid w:val="0"/>
        <w:spacing w:line="500" w:lineRule="exact"/>
        <w:ind w:firstLine="643" w:firstLineChars="200"/>
        <w:jc w:val="center"/>
        <w:rPr>
          <w:rFonts w:ascii="宋体" w:hAnsi="宋体" w:cs="宋体"/>
          <w:b/>
          <w:bCs/>
          <w:color w:val="auto"/>
          <w:sz w:val="32"/>
          <w:szCs w:val="32"/>
        </w:rPr>
      </w:pPr>
      <w:r>
        <w:rPr>
          <w:rFonts w:hint="eastAsia" w:ascii="宋体" w:hAnsi="宋体" w:cs="宋体"/>
          <w:b/>
          <w:bCs/>
          <w:color w:val="auto"/>
          <w:sz w:val="32"/>
          <w:szCs w:val="32"/>
        </w:rPr>
        <w:t>基本资格条件承诺函</w:t>
      </w:r>
    </w:p>
    <w:p w14:paraId="5FA0AEAD">
      <w:pPr>
        <w:tabs>
          <w:tab w:val="left" w:pos="6300"/>
        </w:tabs>
        <w:snapToGrid w:val="0"/>
        <w:spacing w:line="530" w:lineRule="exact"/>
        <w:rPr>
          <w:rFonts w:ascii="宋体" w:hAnsi="宋体" w:cs="宋体"/>
          <w:color w:val="auto"/>
          <w:sz w:val="24"/>
        </w:rPr>
      </w:pPr>
    </w:p>
    <w:p w14:paraId="6641D4E8">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（采购代理机构名称）：</w:t>
      </w:r>
    </w:p>
    <w:p w14:paraId="301CCDE2">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u w:val="single"/>
        </w:rPr>
        <w:t xml:space="preserve">              </w:t>
      </w:r>
      <w:r>
        <w:rPr>
          <w:rFonts w:hint="eastAsia" w:ascii="宋体" w:hAnsi="宋体" w:cs="宋体"/>
          <w:color w:val="auto"/>
          <w:sz w:val="24"/>
        </w:rPr>
        <w:t>（供应商名称）郑重承诺：</w:t>
      </w:r>
    </w:p>
    <w:p w14:paraId="45AE25F0">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1.我方具有良好的商业信誉和健全的财务会计制度，具有履行合同所必需的设备和专业技术能力，具</w:t>
      </w:r>
      <w:r>
        <w:rPr>
          <w:rFonts w:hint="eastAsia" w:ascii="宋体" w:hAnsi="宋体" w:cs="宋体"/>
          <w:color w:val="auto"/>
          <w:sz w:val="24"/>
          <w:lang w:val="zh-CN"/>
        </w:rPr>
        <w:t>有依法缴纳税收和社会保障金的良好记录</w:t>
      </w:r>
      <w:r>
        <w:rPr>
          <w:rFonts w:hint="eastAsia" w:ascii="宋体" w:hAnsi="宋体" w:cs="宋体"/>
          <w:color w:val="auto"/>
          <w:sz w:val="24"/>
        </w:rPr>
        <w:t>，参加本项目采购活动前三年内无重大违法活动记录。</w:t>
      </w:r>
    </w:p>
    <w:p w14:paraId="180CF618">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2.我方未列入在信用中国网站（www.creditchina.gov.cn）“失信被执行人”、“重大税收违法案件当事人名单”中，也未列入中国政府采购网（www.ccgp.gov.cn）“政府采购严重违法失信行为记录名单”中。</w:t>
      </w:r>
    </w:p>
    <w:p w14:paraId="5C3DCCEC">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3.我方在采购项目评审（评标）环节结束后，随时接受采购人、采购代理机构的检查验证，配合提供相关证明材料，证明符合《中华人民共和国政府采购法》规定的供应商基本资格条件。</w:t>
      </w:r>
    </w:p>
    <w:p w14:paraId="5C111322">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我方对以上承诺负全部法律责任。</w:t>
      </w:r>
    </w:p>
    <w:p w14:paraId="0530C888">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特此承诺。</w:t>
      </w:r>
    </w:p>
    <w:p w14:paraId="711C24DD">
      <w:pPr>
        <w:tabs>
          <w:tab w:val="left" w:pos="6300"/>
        </w:tabs>
        <w:snapToGrid w:val="0"/>
        <w:spacing w:line="500" w:lineRule="exact"/>
        <w:ind w:firstLine="480" w:firstLineChars="200"/>
        <w:rPr>
          <w:rFonts w:ascii="宋体" w:hAnsi="宋体" w:cs="宋体"/>
          <w:color w:val="auto"/>
          <w:sz w:val="24"/>
        </w:rPr>
      </w:pPr>
    </w:p>
    <w:p w14:paraId="61B1128D">
      <w:pPr>
        <w:tabs>
          <w:tab w:val="left" w:pos="6300"/>
        </w:tabs>
        <w:snapToGrid w:val="0"/>
        <w:spacing w:line="500" w:lineRule="exact"/>
        <w:ind w:firstLine="480" w:firstLineChars="200"/>
        <w:jc w:val="right"/>
        <w:rPr>
          <w:rFonts w:ascii="宋体" w:hAnsi="宋体" w:cs="宋体"/>
          <w:color w:val="auto"/>
          <w:sz w:val="24"/>
        </w:rPr>
      </w:pPr>
      <w:r>
        <w:rPr>
          <w:rFonts w:hint="eastAsia" w:ascii="宋体" w:hAnsi="宋体" w:cs="宋体"/>
          <w:color w:val="auto"/>
          <w:sz w:val="24"/>
        </w:rPr>
        <w:t>（供应商公章）</w:t>
      </w:r>
    </w:p>
    <w:p w14:paraId="63BD04C9">
      <w:pPr>
        <w:widowControl/>
        <w:spacing w:line="400" w:lineRule="exact"/>
        <w:ind w:firstLine="7920" w:firstLineChars="3300"/>
        <w:jc w:val="left"/>
        <w:rPr>
          <w:rFonts w:ascii="宋体" w:hAnsi="宋体" w:cs="宋体"/>
          <w:color w:val="auto"/>
          <w:sz w:val="24"/>
          <w:szCs w:val="24"/>
        </w:rPr>
      </w:pPr>
      <w:r>
        <w:rPr>
          <w:rFonts w:hint="eastAsia" w:ascii="宋体" w:hAnsi="宋体" w:cs="宋体"/>
          <w:color w:val="auto"/>
          <w:sz w:val="24"/>
        </w:rPr>
        <w:t>年   月   日</w:t>
      </w:r>
    </w:p>
    <w:p w14:paraId="5F6A1399">
      <w:pPr>
        <w:widowControl/>
        <w:spacing w:line="400" w:lineRule="exact"/>
        <w:ind w:firstLine="420" w:firstLineChars="200"/>
        <w:jc w:val="left"/>
        <w:rPr>
          <w:rFonts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3FCA108E">
      <w:pPr>
        <w:widowControl/>
        <w:spacing w:line="400" w:lineRule="exact"/>
        <w:ind w:firstLine="480" w:firstLineChars="200"/>
        <w:jc w:val="left"/>
        <w:rPr>
          <w:rFonts w:ascii="宋体" w:hAnsi="宋体" w:cs="宋体"/>
          <w:color w:val="auto"/>
          <w:sz w:val="24"/>
          <w:szCs w:val="24"/>
        </w:rPr>
      </w:pPr>
    </w:p>
    <w:p w14:paraId="1407ED28">
      <w:pPr>
        <w:pStyle w:val="4"/>
        <w:adjustRightInd w:val="0"/>
        <w:snapToGrid w:val="0"/>
        <w:spacing w:before="0" w:after="0" w:line="400" w:lineRule="exact"/>
        <w:ind w:firstLine="482" w:firstLineChars="200"/>
        <w:rPr>
          <w:rFonts w:ascii="宋体" w:hAnsi="宋体" w:eastAsia="宋体" w:cs="宋体"/>
          <w:color w:val="auto"/>
          <w:sz w:val="24"/>
        </w:rPr>
      </w:pPr>
      <w:r>
        <w:rPr>
          <w:rFonts w:hint="eastAsia" w:ascii="宋体" w:hAnsi="宋体" w:eastAsia="宋体" w:cs="宋体"/>
          <w:color w:val="auto"/>
          <w:sz w:val="24"/>
          <w:szCs w:val="24"/>
        </w:rPr>
        <w:br w:type="page"/>
      </w:r>
      <w:bookmarkStart w:id="199" w:name="_Toc17010"/>
      <w:bookmarkStart w:id="200" w:name="_Toc6405"/>
      <w:bookmarkStart w:id="201" w:name="_Toc2080"/>
      <w:bookmarkStart w:id="202" w:name="_Toc65660383"/>
      <w:r>
        <w:rPr>
          <w:rFonts w:hint="eastAsia" w:ascii="宋体" w:hAnsi="宋体" w:eastAsia="宋体" w:cs="宋体"/>
          <w:color w:val="auto"/>
          <w:sz w:val="24"/>
        </w:rPr>
        <w:t>五、</w:t>
      </w:r>
      <w:bookmarkEnd w:id="196"/>
      <w:bookmarkEnd w:id="197"/>
      <w:bookmarkEnd w:id="198"/>
      <w:r>
        <w:rPr>
          <w:rFonts w:hint="eastAsia" w:ascii="宋体" w:hAnsi="宋体" w:eastAsia="宋体" w:cs="宋体"/>
          <w:color w:val="auto"/>
          <w:sz w:val="24"/>
        </w:rPr>
        <w:t>其他资料</w:t>
      </w:r>
      <w:bookmarkEnd w:id="199"/>
      <w:bookmarkEnd w:id="200"/>
      <w:bookmarkEnd w:id="201"/>
      <w:bookmarkEnd w:id="202"/>
    </w:p>
    <w:p w14:paraId="69A5A63B">
      <w:pPr>
        <w:widowControl/>
        <w:spacing w:line="4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（一）其他与项目有关的资料（自附）</w:t>
      </w:r>
    </w:p>
    <w:p w14:paraId="26613199">
      <w:pPr>
        <w:pStyle w:val="23"/>
        <w:rPr>
          <w:rFonts w:ascii="宋体" w:hAnsi="宋体" w:eastAsia="宋体" w:cs="宋体"/>
          <w:color w:val="auto"/>
          <w:sz w:val="24"/>
          <w:szCs w:val="24"/>
        </w:rPr>
      </w:pPr>
    </w:p>
    <w:p w14:paraId="0E1D1CE8">
      <w:pPr>
        <w:pStyle w:val="24"/>
        <w:rPr>
          <w:rFonts w:ascii="宋体" w:hAnsi="宋体" w:cs="宋体"/>
          <w:color w:val="auto"/>
          <w:sz w:val="24"/>
          <w:szCs w:val="24"/>
        </w:rPr>
      </w:pPr>
    </w:p>
    <w:p w14:paraId="77A0A588">
      <w:pPr>
        <w:pStyle w:val="24"/>
        <w:rPr>
          <w:rFonts w:ascii="宋体" w:hAnsi="宋体" w:cs="宋体"/>
          <w:color w:val="auto"/>
          <w:sz w:val="24"/>
          <w:szCs w:val="24"/>
        </w:rPr>
      </w:pPr>
    </w:p>
    <w:p w14:paraId="5F17E5B1">
      <w:pPr>
        <w:pStyle w:val="24"/>
        <w:rPr>
          <w:rFonts w:ascii="宋体" w:hAnsi="宋体" w:cs="宋体"/>
          <w:color w:val="auto"/>
          <w:sz w:val="24"/>
          <w:szCs w:val="24"/>
        </w:rPr>
      </w:pPr>
    </w:p>
    <w:p w14:paraId="10A5E5A4">
      <w:pPr>
        <w:pStyle w:val="24"/>
        <w:rPr>
          <w:rFonts w:ascii="宋体" w:hAnsi="宋体" w:cs="宋体"/>
          <w:color w:val="auto"/>
          <w:sz w:val="24"/>
          <w:szCs w:val="24"/>
        </w:rPr>
      </w:pPr>
    </w:p>
    <w:p w14:paraId="1FE6DCB4">
      <w:pPr>
        <w:pStyle w:val="24"/>
        <w:rPr>
          <w:rFonts w:ascii="宋体" w:hAnsi="宋体" w:cs="宋体"/>
          <w:color w:val="auto"/>
          <w:sz w:val="24"/>
          <w:szCs w:val="24"/>
        </w:rPr>
      </w:pPr>
    </w:p>
    <w:p w14:paraId="13719F31">
      <w:pPr>
        <w:pStyle w:val="24"/>
        <w:rPr>
          <w:rFonts w:ascii="宋体" w:hAnsi="宋体" w:cs="宋体"/>
          <w:color w:val="auto"/>
          <w:sz w:val="24"/>
          <w:szCs w:val="24"/>
        </w:rPr>
      </w:pPr>
    </w:p>
    <w:p w14:paraId="13D3E8E9">
      <w:pPr>
        <w:pStyle w:val="24"/>
        <w:rPr>
          <w:rFonts w:ascii="宋体" w:hAnsi="宋体" w:cs="宋体"/>
          <w:color w:val="auto"/>
          <w:sz w:val="24"/>
          <w:szCs w:val="24"/>
        </w:rPr>
      </w:pPr>
    </w:p>
    <w:p w14:paraId="3322B155">
      <w:pPr>
        <w:spacing w:line="360" w:lineRule="auto"/>
        <w:rPr>
          <w:rFonts w:ascii="宋体" w:hAnsi="宋体" w:cs="宋体"/>
          <w:color w:val="auto"/>
          <w:sz w:val="24"/>
          <w:szCs w:val="24"/>
        </w:rPr>
      </w:pPr>
    </w:p>
    <w:p w14:paraId="29D941CE">
      <w:pPr>
        <w:tabs>
          <w:tab w:val="left" w:pos="6300"/>
        </w:tabs>
        <w:snapToGrid w:val="0"/>
        <w:spacing w:line="400" w:lineRule="exact"/>
        <w:jc w:val="center"/>
        <w:outlineLvl w:val="0"/>
        <w:rPr>
          <w:rFonts w:ascii="宋体" w:hAnsi="宋体" w:cs="宋体"/>
          <w:color w:val="auto"/>
          <w:sz w:val="24"/>
          <w:szCs w:val="24"/>
        </w:rPr>
      </w:pPr>
      <w:r>
        <w:rPr>
          <w:rFonts w:hint="eastAsia" w:ascii="宋体" w:hAnsi="宋体" w:cs="宋体"/>
          <w:color w:val="auto"/>
          <w:sz w:val="24"/>
          <w:szCs w:val="24"/>
        </w:rPr>
        <w:t>（结束）</w:t>
      </w:r>
    </w:p>
    <w:sectPr>
      <w:pgSz w:w="11907" w:h="16840"/>
      <w:pgMar w:top="1134" w:right="1191" w:bottom="1134" w:left="1304" w:header="680"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_x000B__x000C_">
    <w:altName w:val="Times New Roman"/>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Helvetica Neue">
    <w:altName w:val="Times New Roman"/>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andale mono">
    <w:altName w:val="Segoe Print"/>
    <w:panose1 w:val="00000000000000000000"/>
    <w:charset w:val="00"/>
    <w:family w:val="moder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方正仿宋_GBK">
    <w:panose1 w:val="02000000000000000000"/>
    <w:charset w:val="86"/>
    <w:family w:val="script"/>
    <w:pitch w:val="default"/>
    <w:sig w:usb0="A00002BF" w:usb1="38CF7CFA" w:usb2="00082016" w:usb3="00000000" w:csb0="00040001" w:csb1="00000000"/>
    <w:embedRegular r:id="rId1" w:fontKey="{C4202523-E23E-4146-97D2-96B0346762B8}"/>
  </w:font>
  <w:font w:name="PMingLiU-ExtB">
    <w:panose1 w:val="02020500000000000000"/>
    <w:charset w:val="88"/>
    <w:family w:val="auto"/>
    <w:pitch w:val="default"/>
    <w:sig w:usb0="8000002F" w:usb1="02000008" w:usb2="00000000" w:usb3="00000000" w:csb0="00100001" w:csb1="00000000"/>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A2C4A">
    <w:pPr>
      <w:pStyle w:val="37"/>
      <w:framePr w:wrap="around" w:vAnchor="text" w:hAnchor="margin" w:xAlign="center" w:y="1"/>
      <w:jc w:val="center"/>
      <w:rPr>
        <w:rStyle w:val="65"/>
        <w:rFonts w:ascii="宋体"/>
        <w:sz w:val="21"/>
      </w:rPr>
    </w:pPr>
    <w:r>
      <w:rPr>
        <w:rFonts w:ascii="宋体"/>
        <w:sz w:val="21"/>
      </w:rPr>
      <w:fldChar w:fldCharType="begin"/>
    </w:r>
    <w:r>
      <w:rPr>
        <w:rStyle w:val="65"/>
        <w:rFonts w:ascii="宋体"/>
        <w:sz w:val="21"/>
      </w:rPr>
      <w:instrText xml:space="preserve">PAGE  </w:instrText>
    </w:r>
    <w:r>
      <w:rPr>
        <w:rFonts w:ascii="宋体"/>
        <w:sz w:val="21"/>
      </w:rPr>
      <w:fldChar w:fldCharType="separate"/>
    </w:r>
    <w:r>
      <w:rPr>
        <w:rStyle w:val="65"/>
        <w:rFonts w:ascii="宋体"/>
        <w:sz w:val="21"/>
      </w:rPr>
      <w:t>- 5 -</w:t>
    </w:r>
    <w:r>
      <w:rPr>
        <w:rFonts w:ascii="宋体"/>
        <w:sz w:val="21"/>
      </w:rPr>
      <w:fldChar w:fldCharType="end"/>
    </w:r>
  </w:p>
  <w:p w14:paraId="6A8D27EE">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47CF0">
    <w:pPr>
      <w:pStyle w:val="37"/>
      <w:framePr w:wrap="around" w:vAnchor="text" w:hAnchor="margin" w:xAlign="center" w:y="1"/>
      <w:rPr>
        <w:rStyle w:val="65"/>
      </w:rPr>
    </w:pPr>
    <w:r>
      <w:fldChar w:fldCharType="begin"/>
    </w:r>
    <w:r>
      <w:rPr>
        <w:rStyle w:val="65"/>
      </w:rPr>
      <w:instrText xml:space="preserve">PAGE  </w:instrText>
    </w:r>
    <w:r>
      <w:fldChar w:fldCharType="end"/>
    </w:r>
  </w:p>
  <w:p w14:paraId="017F7645">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405AF">
    <w:pPr>
      <w:pStyle w:val="37"/>
      <w:framePr w:wrap="around" w:vAnchor="text" w:hAnchor="margin" w:xAlign="center" w:y="1"/>
      <w:rPr>
        <w:rStyle w:val="65"/>
      </w:rPr>
    </w:pPr>
  </w:p>
  <w:p w14:paraId="7F1739FC">
    <w:pPr>
      <w:pStyle w:val="37"/>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8D0A8">
    <w:pPr>
      <w:pStyle w:val="37"/>
      <w:jc w:val="center"/>
      <w:rPr>
        <w:rFonts w:ascii="宋体" w:hAnsi="宋体"/>
        <w:sz w:val="21"/>
      </w:rPr>
    </w:pPr>
    <w:r>
      <w:rPr>
        <w:rFonts w:ascii="宋体" w:hAnsi="宋体"/>
        <w:sz w:val="21"/>
      </w:rPr>
      <w:fldChar w:fldCharType="begin"/>
    </w:r>
    <w:r>
      <w:rPr>
        <w:rStyle w:val="65"/>
        <w:rFonts w:ascii="宋体" w:hAnsi="宋体"/>
        <w:sz w:val="21"/>
      </w:rPr>
      <w:instrText xml:space="preserve"> PAGE </w:instrText>
    </w:r>
    <w:r>
      <w:rPr>
        <w:rFonts w:ascii="宋体" w:hAnsi="宋体"/>
        <w:sz w:val="21"/>
      </w:rPr>
      <w:fldChar w:fldCharType="separate"/>
    </w:r>
    <w:r>
      <w:rPr>
        <w:rStyle w:val="65"/>
        <w:rFonts w:ascii="宋体" w:hAnsi="宋体"/>
        <w:sz w:val="21"/>
      </w:rPr>
      <w:t>- 12 -</w:t>
    </w:r>
    <w:r>
      <w:rPr>
        <w:rFonts w:ascii="宋体" w:hAnsi="宋体"/>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CFF07">
    <w:pPr>
      <w:pStyle w:val="37"/>
      <w:jc w:val="center"/>
      <w:rPr>
        <w:rFonts w:ascii="宋体" w:hAnsi="宋体"/>
        <w:sz w:val="21"/>
      </w:rPr>
    </w:pPr>
    <w:r>
      <w:rPr>
        <w:rFonts w:ascii="宋体" w:hAnsi="宋体"/>
        <w:sz w:val="21"/>
      </w:rPr>
      <w:fldChar w:fldCharType="begin"/>
    </w:r>
    <w:r>
      <w:rPr>
        <w:rStyle w:val="65"/>
        <w:rFonts w:ascii="宋体" w:hAnsi="宋体"/>
        <w:sz w:val="21"/>
      </w:rPr>
      <w:instrText xml:space="preserve"> PAGE </w:instrText>
    </w:r>
    <w:r>
      <w:rPr>
        <w:rFonts w:ascii="宋体" w:hAnsi="宋体"/>
        <w:sz w:val="21"/>
      </w:rPr>
      <w:fldChar w:fldCharType="separate"/>
    </w:r>
    <w:r>
      <w:rPr>
        <w:rStyle w:val="65"/>
        <w:rFonts w:ascii="宋体" w:hAnsi="宋体"/>
        <w:sz w:val="21"/>
      </w:rPr>
      <w:t>- 42 -</w:t>
    </w:r>
    <w:r>
      <w:rPr>
        <w:rFonts w:ascii="宋体" w:hAnsi="宋体"/>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C07DE">
    <w:pPr>
      <w:pStyle w:val="39"/>
      <w:jc w:val="both"/>
    </w:pPr>
    <w:r>
      <w:rPr>
        <w:rFonts w:hint="eastAsia" w:ascii="宋体" w:hAnsi="宋体" w:cs="宋体"/>
        <w:sz w:val="21"/>
      </w:rPr>
      <w:drawing>
        <wp:inline distT="0" distB="0" distL="114300" distR="114300">
          <wp:extent cx="1035685" cy="238760"/>
          <wp:effectExtent l="0" t="0" r="12065" b="8890"/>
          <wp:docPr id="2" name="图片 3" descr="41c27853c758a996df789047efa7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41c27853c758a996df789047efa7338"/>
                  <pic:cNvPicPr>
                    <a:picLocks noChangeAspect="1"/>
                  </pic:cNvPicPr>
                </pic:nvPicPr>
                <pic:blipFill>
                  <a:blip r:embed="rId1"/>
                  <a:stretch>
                    <a:fillRect/>
                  </a:stretch>
                </pic:blipFill>
                <pic:spPr>
                  <a:xfrm>
                    <a:off x="0" y="0"/>
                    <a:ext cx="1035685" cy="238760"/>
                  </a:xfrm>
                  <a:prstGeom prst="rect">
                    <a:avLst/>
                  </a:prstGeom>
                  <a:noFill/>
                  <a:ln>
                    <a:noFill/>
                  </a:ln>
                </pic:spPr>
              </pic:pic>
            </a:graphicData>
          </a:graphic>
        </wp:inline>
      </w:drawing>
    </w:r>
    <w:r>
      <w:rPr>
        <w:sz w:val="21"/>
      </w:rPr>
      <w:t xml:space="preserve">                               </w:t>
    </w:r>
    <w:r>
      <w:rPr>
        <w:rFonts w:hint="eastAsia"/>
        <w:sz w:val="21"/>
      </w:rPr>
      <w:t xml:space="preserve">                      </w:t>
    </w:r>
    <w:r>
      <w:rPr>
        <w:sz w:val="21"/>
      </w:rPr>
      <w:t xml:space="preserve"> </w:t>
    </w:r>
    <w:r>
      <w:rPr>
        <w:rFonts w:hint="eastAsia"/>
        <w:sz w:val="21"/>
      </w:rPr>
      <w:t xml:space="preserve"> 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145C6">
    <w:pPr>
      <w:pStyle w:val="3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CA875">
    <w:pPr>
      <w:pStyle w:val="39"/>
      <w:jc w:val="both"/>
    </w:pPr>
    <w:r>
      <w:rPr>
        <w:rFonts w:hint="eastAsia" w:ascii="宋体" w:hAnsi="宋体" w:cs="宋体"/>
        <w:sz w:val="21"/>
      </w:rPr>
      <w:drawing>
        <wp:inline distT="0" distB="0" distL="114300" distR="114300">
          <wp:extent cx="1035685" cy="238760"/>
          <wp:effectExtent l="0" t="0" r="12065" b="8890"/>
          <wp:docPr id="3" name="图片 2" descr="41c27853c758a996df789047efa7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41c27853c758a996df789047efa7338"/>
                  <pic:cNvPicPr>
                    <a:picLocks noChangeAspect="1"/>
                  </pic:cNvPicPr>
                </pic:nvPicPr>
                <pic:blipFill>
                  <a:blip r:embed="rId1"/>
                  <a:stretch>
                    <a:fillRect/>
                  </a:stretch>
                </pic:blipFill>
                <pic:spPr>
                  <a:xfrm>
                    <a:off x="0" y="0"/>
                    <a:ext cx="1035685" cy="238760"/>
                  </a:xfrm>
                  <a:prstGeom prst="rect">
                    <a:avLst/>
                  </a:prstGeom>
                  <a:noFill/>
                  <a:ln>
                    <a:noFill/>
                  </a:ln>
                </pic:spPr>
              </pic:pic>
            </a:graphicData>
          </a:graphic>
        </wp:inline>
      </w:drawing>
    </w:r>
    <w:r>
      <w:rPr>
        <w:sz w:val="21"/>
      </w:rPr>
      <w:t xml:space="preserve">                               </w:t>
    </w:r>
    <w:r>
      <w:rPr>
        <w:rFonts w:hint="eastAsia"/>
        <w:sz w:val="21"/>
      </w:rPr>
      <w:t xml:space="preserve">                        </w:t>
    </w:r>
    <w:r>
      <w:rPr>
        <w:sz w:val="21"/>
      </w:rPr>
      <w:t xml:space="preserve"> </w:t>
    </w:r>
    <w:r>
      <w:rPr>
        <w:rFonts w:hint="eastAsia"/>
        <w:sz w:val="21"/>
      </w:rPr>
      <w:t xml:space="preserve"> 竞争性谈判文件</w:t>
    </w:r>
  </w:p>
  <w:p w14:paraId="1B86ECB0">
    <w:pPr>
      <w:pStyle w:val="3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91"/>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247"/>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222"/>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05"/>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pStyle w:val="159"/>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261"/>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183"/>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225"/>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224"/>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74054F6"/>
    <w:multiLevelType w:val="multilevel"/>
    <w:tmpl w:val="074054F6"/>
    <w:lvl w:ilvl="0" w:tentative="0">
      <w:start w:val="1"/>
      <w:numFmt w:val="decimal"/>
      <w:pStyle w:val="264"/>
      <w:lvlText w:val="第%1章"/>
      <w:lvlJc w:val="left"/>
      <w:pPr>
        <w:tabs>
          <w:tab w:val="left" w:pos="574"/>
        </w:tabs>
        <w:ind w:left="8832" w:hanging="432"/>
      </w:pPr>
      <w:rPr>
        <w:rFonts w:hint="eastAsia"/>
        <w:lang w:val="en-US"/>
      </w:rPr>
    </w:lvl>
    <w:lvl w:ilvl="1" w:tentative="0">
      <w:start w:val="1"/>
      <w:numFmt w:val="decimal"/>
      <w:lvlText w:val="%1.%2"/>
      <w:lvlJc w:val="left"/>
      <w:pPr>
        <w:tabs>
          <w:tab w:val="left" w:pos="718"/>
        </w:tabs>
        <w:ind w:left="7886" w:hanging="576"/>
      </w:pPr>
      <w:rPr>
        <w:rFonts w:hint="eastAsia"/>
      </w:rPr>
    </w:lvl>
    <w:lvl w:ilvl="2" w:tentative="0">
      <w:start w:val="1"/>
      <w:numFmt w:val="decimal"/>
      <w:lvlText w:val="%1.%2.%3"/>
      <w:lvlJc w:val="left"/>
      <w:pPr>
        <w:tabs>
          <w:tab w:val="left" w:pos="862"/>
        </w:tabs>
        <w:ind w:left="8030" w:hanging="720"/>
      </w:pPr>
      <w:rPr>
        <w:rFonts w:hint="eastAsia"/>
      </w:rPr>
    </w:lvl>
    <w:lvl w:ilvl="3" w:tentative="0">
      <w:start w:val="1"/>
      <w:numFmt w:val="decimal"/>
      <w:lvlText w:val="%1.%2.%3.%4"/>
      <w:lvlJc w:val="left"/>
      <w:pPr>
        <w:tabs>
          <w:tab w:val="left" w:pos="1006"/>
        </w:tabs>
        <w:ind w:left="8174" w:hanging="864"/>
      </w:pPr>
      <w:rPr>
        <w:rFonts w:hint="eastAsia"/>
      </w:rPr>
    </w:lvl>
    <w:lvl w:ilvl="4" w:tentative="0">
      <w:start w:val="1"/>
      <w:numFmt w:val="decimal"/>
      <w:lvlText w:val="%1.%2.%3.%4.%5"/>
      <w:lvlJc w:val="left"/>
      <w:pPr>
        <w:tabs>
          <w:tab w:val="left" w:pos="1150"/>
        </w:tabs>
        <w:ind w:left="8318" w:hanging="1008"/>
      </w:pPr>
      <w:rPr>
        <w:rFonts w:hint="eastAsia"/>
      </w:rPr>
    </w:lvl>
    <w:lvl w:ilvl="5" w:tentative="0">
      <w:start w:val="1"/>
      <w:numFmt w:val="decimal"/>
      <w:lvlText w:val="%1.%2.%3.%4.%5.%6"/>
      <w:lvlJc w:val="left"/>
      <w:pPr>
        <w:tabs>
          <w:tab w:val="left" w:pos="1294"/>
        </w:tabs>
        <w:ind w:left="8462" w:hanging="1152"/>
      </w:pPr>
      <w:rPr>
        <w:rFonts w:hint="eastAsia"/>
      </w:rPr>
    </w:lvl>
    <w:lvl w:ilvl="6" w:tentative="0">
      <w:start w:val="1"/>
      <w:numFmt w:val="decimal"/>
      <w:lvlText w:val="%1.%2.%3.%4.%5.%6.%7"/>
      <w:lvlJc w:val="left"/>
      <w:pPr>
        <w:tabs>
          <w:tab w:val="left" w:pos="1438"/>
        </w:tabs>
        <w:ind w:left="8606" w:hanging="1296"/>
      </w:pPr>
      <w:rPr>
        <w:rFonts w:hint="eastAsia"/>
      </w:rPr>
    </w:lvl>
    <w:lvl w:ilvl="7" w:tentative="0">
      <w:start w:val="1"/>
      <w:numFmt w:val="decimal"/>
      <w:lvlText w:val="%1.%2.%3.%4.%5.%6.%7.%8"/>
      <w:lvlJc w:val="left"/>
      <w:pPr>
        <w:tabs>
          <w:tab w:val="left" w:pos="1582"/>
        </w:tabs>
        <w:ind w:left="8750" w:hanging="1440"/>
      </w:pPr>
      <w:rPr>
        <w:rFonts w:hint="eastAsia"/>
      </w:rPr>
    </w:lvl>
    <w:lvl w:ilvl="8" w:tentative="0">
      <w:start w:val="1"/>
      <w:numFmt w:val="decimal"/>
      <w:lvlText w:val="%1.%2.%3.%4.%5.%6.%7.%8.%9"/>
      <w:lvlJc w:val="left"/>
      <w:pPr>
        <w:tabs>
          <w:tab w:val="left" w:pos="1726"/>
        </w:tabs>
        <w:ind w:left="8894" w:hanging="1584"/>
      </w:pPr>
      <w:rPr>
        <w:rFonts w:hint="eastAsia"/>
      </w:rPr>
    </w:lvl>
  </w:abstractNum>
  <w:num w:numId="1">
    <w:abstractNumId w:val="8"/>
  </w:num>
  <w:num w:numId="2">
    <w:abstractNumId w:val="3"/>
  </w:num>
  <w:num w:numId="3">
    <w:abstractNumId w:val="9"/>
  </w:num>
  <w:num w:numId="4">
    <w:abstractNumId w:val="5"/>
  </w:num>
  <w:num w:numId="5">
    <w:abstractNumId w:val="0"/>
  </w:num>
  <w:num w:numId="6">
    <w:abstractNumId w:val="7"/>
  </w:num>
  <w:num w:numId="7">
    <w:abstractNumId w:val="4"/>
  </w:num>
  <w:num w:numId="8">
    <w:abstractNumId w:val="2"/>
  </w:num>
  <w:num w:numId="9">
    <w:abstractNumId w:val="11"/>
  </w:num>
  <w:num w:numId="10">
    <w:abstractNumId w:val="10"/>
  </w:num>
  <w:num w:numId="11">
    <w:abstractNumId w:val="1"/>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kNDQ1NzYyMGMxMGExMmE1YWM2OTJiZTkwNGU4OWQifQ=="/>
    <w:docVar w:name="KSO_WPS_MARK_KEY" w:val="35182126-3d61-49b4-87d1-ed0b68b91e09"/>
  </w:docVars>
  <w:rsids>
    <w:rsidRoot w:val="00172A27"/>
    <w:rsid w:val="00002EAF"/>
    <w:rsid w:val="000040DE"/>
    <w:rsid w:val="00005A02"/>
    <w:rsid w:val="00011E36"/>
    <w:rsid w:val="00015A2E"/>
    <w:rsid w:val="00016B79"/>
    <w:rsid w:val="00026AFF"/>
    <w:rsid w:val="00027AF7"/>
    <w:rsid w:val="00033C8A"/>
    <w:rsid w:val="000358F8"/>
    <w:rsid w:val="000362F7"/>
    <w:rsid w:val="0003632F"/>
    <w:rsid w:val="00036537"/>
    <w:rsid w:val="00043C9B"/>
    <w:rsid w:val="000446C0"/>
    <w:rsid w:val="000513D1"/>
    <w:rsid w:val="0005298B"/>
    <w:rsid w:val="00052A3A"/>
    <w:rsid w:val="00053A69"/>
    <w:rsid w:val="00053CC2"/>
    <w:rsid w:val="00054308"/>
    <w:rsid w:val="0005456D"/>
    <w:rsid w:val="000549FF"/>
    <w:rsid w:val="000576E1"/>
    <w:rsid w:val="00063981"/>
    <w:rsid w:val="00064FA3"/>
    <w:rsid w:val="00082D81"/>
    <w:rsid w:val="00091B1C"/>
    <w:rsid w:val="00092CF5"/>
    <w:rsid w:val="000938CD"/>
    <w:rsid w:val="000946B8"/>
    <w:rsid w:val="000959DA"/>
    <w:rsid w:val="00096E0E"/>
    <w:rsid w:val="000A126B"/>
    <w:rsid w:val="000A164E"/>
    <w:rsid w:val="000A2FE6"/>
    <w:rsid w:val="000A77B9"/>
    <w:rsid w:val="000B42F4"/>
    <w:rsid w:val="000B711E"/>
    <w:rsid w:val="000B7377"/>
    <w:rsid w:val="000B7F54"/>
    <w:rsid w:val="000C04DB"/>
    <w:rsid w:val="000C1EE4"/>
    <w:rsid w:val="000C34DA"/>
    <w:rsid w:val="000C3C93"/>
    <w:rsid w:val="000C5B30"/>
    <w:rsid w:val="000C6AC7"/>
    <w:rsid w:val="000D15C6"/>
    <w:rsid w:val="000D23F5"/>
    <w:rsid w:val="000D40BA"/>
    <w:rsid w:val="000E3259"/>
    <w:rsid w:val="000F3752"/>
    <w:rsid w:val="000F48FD"/>
    <w:rsid w:val="000F511B"/>
    <w:rsid w:val="000F57C3"/>
    <w:rsid w:val="000F5ACE"/>
    <w:rsid w:val="000F7DBF"/>
    <w:rsid w:val="00100639"/>
    <w:rsid w:val="00103DA9"/>
    <w:rsid w:val="00103DDC"/>
    <w:rsid w:val="0010418E"/>
    <w:rsid w:val="00105660"/>
    <w:rsid w:val="001077D3"/>
    <w:rsid w:val="001122C5"/>
    <w:rsid w:val="00113E89"/>
    <w:rsid w:val="00116856"/>
    <w:rsid w:val="00120259"/>
    <w:rsid w:val="00120851"/>
    <w:rsid w:val="00124CD0"/>
    <w:rsid w:val="00124CF0"/>
    <w:rsid w:val="001266BF"/>
    <w:rsid w:val="00131054"/>
    <w:rsid w:val="00133D16"/>
    <w:rsid w:val="0013496A"/>
    <w:rsid w:val="00135B50"/>
    <w:rsid w:val="00135E0D"/>
    <w:rsid w:val="001363B2"/>
    <w:rsid w:val="001365E8"/>
    <w:rsid w:val="001376CB"/>
    <w:rsid w:val="001401FF"/>
    <w:rsid w:val="00140C83"/>
    <w:rsid w:val="00140E25"/>
    <w:rsid w:val="00147FB4"/>
    <w:rsid w:val="0015011C"/>
    <w:rsid w:val="00150429"/>
    <w:rsid w:val="0015108F"/>
    <w:rsid w:val="00153353"/>
    <w:rsid w:val="0015351E"/>
    <w:rsid w:val="001559C6"/>
    <w:rsid w:val="0016035A"/>
    <w:rsid w:val="0016303B"/>
    <w:rsid w:val="00165700"/>
    <w:rsid w:val="00172A27"/>
    <w:rsid w:val="0017421F"/>
    <w:rsid w:val="001748ED"/>
    <w:rsid w:val="00177DD5"/>
    <w:rsid w:val="00180ACB"/>
    <w:rsid w:val="00181A7F"/>
    <w:rsid w:val="0018347E"/>
    <w:rsid w:val="0018465A"/>
    <w:rsid w:val="00184E27"/>
    <w:rsid w:val="00186623"/>
    <w:rsid w:val="0018699A"/>
    <w:rsid w:val="001915CE"/>
    <w:rsid w:val="001A0016"/>
    <w:rsid w:val="001A4270"/>
    <w:rsid w:val="001A6A3F"/>
    <w:rsid w:val="001A6DCC"/>
    <w:rsid w:val="001A7806"/>
    <w:rsid w:val="001B2365"/>
    <w:rsid w:val="001B2B5A"/>
    <w:rsid w:val="001B3DBD"/>
    <w:rsid w:val="001B4377"/>
    <w:rsid w:val="001B6655"/>
    <w:rsid w:val="001D2321"/>
    <w:rsid w:val="001D2DCD"/>
    <w:rsid w:val="001D435E"/>
    <w:rsid w:val="001D5055"/>
    <w:rsid w:val="001E0376"/>
    <w:rsid w:val="001E5CAC"/>
    <w:rsid w:val="001E5EB4"/>
    <w:rsid w:val="001E725F"/>
    <w:rsid w:val="001E75B9"/>
    <w:rsid w:val="001E75F4"/>
    <w:rsid w:val="001F1AF7"/>
    <w:rsid w:val="001F1CA8"/>
    <w:rsid w:val="001F48D9"/>
    <w:rsid w:val="001F4964"/>
    <w:rsid w:val="001F511B"/>
    <w:rsid w:val="001F7063"/>
    <w:rsid w:val="00200186"/>
    <w:rsid w:val="00202B04"/>
    <w:rsid w:val="00204936"/>
    <w:rsid w:val="002100EE"/>
    <w:rsid w:val="002105E1"/>
    <w:rsid w:val="00211874"/>
    <w:rsid w:val="00211A92"/>
    <w:rsid w:val="0022065B"/>
    <w:rsid w:val="00222097"/>
    <w:rsid w:val="0022517B"/>
    <w:rsid w:val="00225B78"/>
    <w:rsid w:val="00227BA9"/>
    <w:rsid w:val="00231797"/>
    <w:rsid w:val="00235F8F"/>
    <w:rsid w:val="00237759"/>
    <w:rsid w:val="0024359D"/>
    <w:rsid w:val="00244E68"/>
    <w:rsid w:val="00244EB1"/>
    <w:rsid w:val="002539DF"/>
    <w:rsid w:val="00263F49"/>
    <w:rsid w:val="002643C1"/>
    <w:rsid w:val="00267DDF"/>
    <w:rsid w:val="00270ED7"/>
    <w:rsid w:val="00271A27"/>
    <w:rsid w:val="00271D47"/>
    <w:rsid w:val="002721EA"/>
    <w:rsid w:val="00275FED"/>
    <w:rsid w:val="00280E8A"/>
    <w:rsid w:val="00282FBA"/>
    <w:rsid w:val="00283A40"/>
    <w:rsid w:val="00283B57"/>
    <w:rsid w:val="0028506C"/>
    <w:rsid w:val="00285164"/>
    <w:rsid w:val="00285D78"/>
    <w:rsid w:val="00293D74"/>
    <w:rsid w:val="00294EB6"/>
    <w:rsid w:val="00295381"/>
    <w:rsid w:val="002A4956"/>
    <w:rsid w:val="002A5652"/>
    <w:rsid w:val="002A6710"/>
    <w:rsid w:val="002A7598"/>
    <w:rsid w:val="002A7622"/>
    <w:rsid w:val="002B1F56"/>
    <w:rsid w:val="002B3C24"/>
    <w:rsid w:val="002B47A4"/>
    <w:rsid w:val="002B7904"/>
    <w:rsid w:val="002C0821"/>
    <w:rsid w:val="002C2507"/>
    <w:rsid w:val="002C2E6E"/>
    <w:rsid w:val="002C69BF"/>
    <w:rsid w:val="002C6DF1"/>
    <w:rsid w:val="002E4C46"/>
    <w:rsid w:val="002E632A"/>
    <w:rsid w:val="002E6413"/>
    <w:rsid w:val="002F159B"/>
    <w:rsid w:val="002F1B06"/>
    <w:rsid w:val="002F26FF"/>
    <w:rsid w:val="002F3DE3"/>
    <w:rsid w:val="002F5060"/>
    <w:rsid w:val="002F632E"/>
    <w:rsid w:val="002F761B"/>
    <w:rsid w:val="00310AF9"/>
    <w:rsid w:val="00312897"/>
    <w:rsid w:val="0031465E"/>
    <w:rsid w:val="00314E6F"/>
    <w:rsid w:val="00315742"/>
    <w:rsid w:val="003163B3"/>
    <w:rsid w:val="00317698"/>
    <w:rsid w:val="00323FD5"/>
    <w:rsid w:val="00325A26"/>
    <w:rsid w:val="00326BBC"/>
    <w:rsid w:val="00335BDB"/>
    <w:rsid w:val="003360A8"/>
    <w:rsid w:val="003405FD"/>
    <w:rsid w:val="00341DEB"/>
    <w:rsid w:val="00343C3E"/>
    <w:rsid w:val="00346A3D"/>
    <w:rsid w:val="00350C20"/>
    <w:rsid w:val="0035143D"/>
    <w:rsid w:val="003548FA"/>
    <w:rsid w:val="00355A74"/>
    <w:rsid w:val="00361427"/>
    <w:rsid w:val="00361441"/>
    <w:rsid w:val="00362402"/>
    <w:rsid w:val="00363A39"/>
    <w:rsid w:val="0036458B"/>
    <w:rsid w:val="00371328"/>
    <w:rsid w:val="00371D2F"/>
    <w:rsid w:val="00372D5B"/>
    <w:rsid w:val="00373343"/>
    <w:rsid w:val="0037335E"/>
    <w:rsid w:val="00375E03"/>
    <w:rsid w:val="003762F7"/>
    <w:rsid w:val="0038344F"/>
    <w:rsid w:val="00384161"/>
    <w:rsid w:val="00387610"/>
    <w:rsid w:val="00396FFE"/>
    <w:rsid w:val="003973D3"/>
    <w:rsid w:val="003A0892"/>
    <w:rsid w:val="003A449E"/>
    <w:rsid w:val="003A501C"/>
    <w:rsid w:val="003A57F1"/>
    <w:rsid w:val="003A71F3"/>
    <w:rsid w:val="003B19F5"/>
    <w:rsid w:val="003B2501"/>
    <w:rsid w:val="003B7B71"/>
    <w:rsid w:val="003C0A38"/>
    <w:rsid w:val="003D0E0A"/>
    <w:rsid w:val="003D1569"/>
    <w:rsid w:val="003E1F8A"/>
    <w:rsid w:val="003E4727"/>
    <w:rsid w:val="003E5324"/>
    <w:rsid w:val="003E5E67"/>
    <w:rsid w:val="00402B32"/>
    <w:rsid w:val="004044EE"/>
    <w:rsid w:val="004052D1"/>
    <w:rsid w:val="00410C93"/>
    <w:rsid w:val="00411B4A"/>
    <w:rsid w:val="00412680"/>
    <w:rsid w:val="004167CD"/>
    <w:rsid w:val="00425367"/>
    <w:rsid w:val="00425EDA"/>
    <w:rsid w:val="0043290D"/>
    <w:rsid w:val="00433ADB"/>
    <w:rsid w:val="004353BF"/>
    <w:rsid w:val="004400CA"/>
    <w:rsid w:val="00446735"/>
    <w:rsid w:val="004474F3"/>
    <w:rsid w:val="004515DA"/>
    <w:rsid w:val="00453A00"/>
    <w:rsid w:val="004543A5"/>
    <w:rsid w:val="00462878"/>
    <w:rsid w:val="0046417B"/>
    <w:rsid w:val="004657EA"/>
    <w:rsid w:val="00467BC0"/>
    <w:rsid w:val="00481A49"/>
    <w:rsid w:val="00484E88"/>
    <w:rsid w:val="004953EC"/>
    <w:rsid w:val="004A015E"/>
    <w:rsid w:val="004A020F"/>
    <w:rsid w:val="004A0DE1"/>
    <w:rsid w:val="004A21A7"/>
    <w:rsid w:val="004A2410"/>
    <w:rsid w:val="004A27AC"/>
    <w:rsid w:val="004A2B68"/>
    <w:rsid w:val="004A4951"/>
    <w:rsid w:val="004A6DDD"/>
    <w:rsid w:val="004A7523"/>
    <w:rsid w:val="004B181C"/>
    <w:rsid w:val="004C1DD0"/>
    <w:rsid w:val="004C2ED2"/>
    <w:rsid w:val="004C60EA"/>
    <w:rsid w:val="004C64E4"/>
    <w:rsid w:val="004D1D5E"/>
    <w:rsid w:val="004E0650"/>
    <w:rsid w:val="004E3234"/>
    <w:rsid w:val="004E3AEE"/>
    <w:rsid w:val="004E4EFB"/>
    <w:rsid w:val="004E55DB"/>
    <w:rsid w:val="004F0533"/>
    <w:rsid w:val="004F2A9F"/>
    <w:rsid w:val="004F6879"/>
    <w:rsid w:val="005000E9"/>
    <w:rsid w:val="00500D8B"/>
    <w:rsid w:val="00502B2F"/>
    <w:rsid w:val="00505F40"/>
    <w:rsid w:val="00512D00"/>
    <w:rsid w:val="00514179"/>
    <w:rsid w:val="00516CDF"/>
    <w:rsid w:val="005170E4"/>
    <w:rsid w:val="005171C9"/>
    <w:rsid w:val="005214D2"/>
    <w:rsid w:val="00522621"/>
    <w:rsid w:val="00524D8A"/>
    <w:rsid w:val="005266F6"/>
    <w:rsid w:val="005320C1"/>
    <w:rsid w:val="00536484"/>
    <w:rsid w:val="00545431"/>
    <w:rsid w:val="005460D5"/>
    <w:rsid w:val="0055517C"/>
    <w:rsid w:val="00556AA7"/>
    <w:rsid w:val="005573AE"/>
    <w:rsid w:val="0056050C"/>
    <w:rsid w:val="0056217D"/>
    <w:rsid w:val="00562860"/>
    <w:rsid w:val="005631C8"/>
    <w:rsid w:val="00565746"/>
    <w:rsid w:val="00566A85"/>
    <w:rsid w:val="00570831"/>
    <w:rsid w:val="00570FCB"/>
    <w:rsid w:val="00571368"/>
    <w:rsid w:val="00573AE3"/>
    <w:rsid w:val="00574240"/>
    <w:rsid w:val="005768CC"/>
    <w:rsid w:val="00581B74"/>
    <w:rsid w:val="00583204"/>
    <w:rsid w:val="005902D9"/>
    <w:rsid w:val="00590B75"/>
    <w:rsid w:val="0059244D"/>
    <w:rsid w:val="005925EE"/>
    <w:rsid w:val="00592A7E"/>
    <w:rsid w:val="005943A4"/>
    <w:rsid w:val="00594567"/>
    <w:rsid w:val="00596AB7"/>
    <w:rsid w:val="00597F87"/>
    <w:rsid w:val="005A0FB6"/>
    <w:rsid w:val="005A1459"/>
    <w:rsid w:val="005A1EA7"/>
    <w:rsid w:val="005A7D38"/>
    <w:rsid w:val="005B0724"/>
    <w:rsid w:val="005B1E46"/>
    <w:rsid w:val="005B295A"/>
    <w:rsid w:val="005B7775"/>
    <w:rsid w:val="005C0014"/>
    <w:rsid w:val="005C2924"/>
    <w:rsid w:val="005C42AC"/>
    <w:rsid w:val="005C4F84"/>
    <w:rsid w:val="005C5383"/>
    <w:rsid w:val="005D12E2"/>
    <w:rsid w:val="005D3382"/>
    <w:rsid w:val="005D703E"/>
    <w:rsid w:val="005E370D"/>
    <w:rsid w:val="005E620C"/>
    <w:rsid w:val="005E7E9D"/>
    <w:rsid w:val="005F05C9"/>
    <w:rsid w:val="005F123E"/>
    <w:rsid w:val="005F1B6C"/>
    <w:rsid w:val="005F4509"/>
    <w:rsid w:val="005F53A2"/>
    <w:rsid w:val="005F7F2B"/>
    <w:rsid w:val="0060543A"/>
    <w:rsid w:val="00610C5F"/>
    <w:rsid w:val="00613410"/>
    <w:rsid w:val="00615434"/>
    <w:rsid w:val="0061717E"/>
    <w:rsid w:val="00617986"/>
    <w:rsid w:val="00625262"/>
    <w:rsid w:val="00627DD2"/>
    <w:rsid w:val="0063570B"/>
    <w:rsid w:val="00635B4B"/>
    <w:rsid w:val="00640026"/>
    <w:rsid w:val="006414B7"/>
    <w:rsid w:val="00654A48"/>
    <w:rsid w:val="006552FD"/>
    <w:rsid w:val="0065651B"/>
    <w:rsid w:val="00664607"/>
    <w:rsid w:val="0066468B"/>
    <w:rsid w:val="00670089"/>
    <w:rsid w:val="00670560"/>
    <w:rsid w:val="006809DA"/>
    <w:rsid w:val="00680AE4"/>
    <w:rsid w:val="00684E51"/>
    <w:rsid w:val="0069086A"/>
    <w:rsid w:val="00695990"/>
    <w:rsid w:val="0069635B"/>
    <w:rsid w:val="006A100B"/>
    <w:rsid w:val="006A143A"/>
    <w:rsid w:val="006A278D"/>
    <w:rsid w:val="006A3285"/>
    <w:rsid w:val="006A4743"/>
    <w:rsid w:val="006A55C3"/>
    <w:rsid w:val="006B0048"/>
    <w:rsid w:val="006B17C8"/>
    <w:rsid w:val="006B243E"/>
    <w:rsid w:val="006B5E7E"/>
    <w:rsid w:val="006B72DE"/>
    <w:rsid w:val="006C4BA5"/>
    <w:rsid w:val="006C5FC1"/>
    <w:rsid w:val="006D44E1"/>
    <w:rsid w:val="006D552C"/>
    <w:rsid w:val="006E21FA"/>
    <w:rsid w:val="006E6952"/>
    <w:rsid w:val="006F03F0"/>
    <w:rsid w:val="006F0DEB"/>
    <w:rsid w:val="006F0FB7"/>
    <w:rsid w:val="006F15D4"/>
    <w:rsid w:val="006F354D"/>
    <w:rsid w:val="006F511B"/>
    <w:rsid w:val="006F6BD7"/>
    <w:rsid w:val="006F70D3"/>
    <w:rsid w:val="006F7C11"/>
    <w:rsid w:val="00701184"/>
    <w:rsid w:val="00704E5D"/>
    <w:rsid w:val="00705739"/>
    <w:rsid w:val="007113A1"/>
    <w:rsid w:val="0071489C"/>
    <w:rsid w:val="007159B2"/>
    <w:rsid w:val="00717148"/>
    <w:rsid w:val="00717835"/>
    <w:rsid w:val="00724F97"/>
    <w:rsid w:val="00726088"/>
    <w:rsid w:val="007267F7"/>
    <w:rsid w:val="007279DB"/>
    <w:rsid w:val="00730B6A"/>
    <w:rsid w:val="00730BFB"/>
    <w:rsid w:val="00731622"/>
    <w:rsid w:val="00732F02"/>
    <w:rsid w:val="00734C8D"/>
    <w:rsid w:val="00736D88"/>
    <w:rsid w:val="00736DD2"/>
    <w:rsid w:val="00736E78"/>
    <w:rsid w:val="00743D93"/>
    <w:rsid w:val="00745FA2"/>
    <w:rsid w:val="0074681C"/>
    <w:rsid w:val="00746B5E"/>
    <w:rsid w:val="00746EC2"/>
    <w:rsid w:val="0075581A"/>
    <w:rsid w:val="0076043E"/>
    <w:rsid w:val="00761449"/>
    <w:rsid w:val="0076486C"/>
    <w:rsid w:val="007656E8"/>
    <w:rsid w:val="00765984"/>
    <w:rsid w:val="00767F36"/>
    <w:rsid w:val="00770494"/>
    <w:rsid w:val="00771617"/>
    <w:rsid w:val="00771A7C"/>
    <w:rsid w:val="007766B3"/>
    <w:rsid w:val="007766E9"/>
    <w:rsid w:val="00776B48"/>
    <w:rsid w:val="00777433"/>
    <w:rsid w:val="007820DC"/>
    <w:rsid w:val="00783861"/>
    <w:rsid w:val="00785E3E"/>
    <w:rsid w:val="00785F86"/>
    <w:rsid w:val="00794CCF"/>
    <w:rsid w:val="00794FE8"/>
    <w:rsid w:val="007955DD"/>
    <w:rsid w:val="007959AC"/>
    <w:rsid w:val="007A20E0"/>
    <w:rsid w:val="007A2D82"/>
    <w:rsid w:val="007A64B7"/>
    <w:rsid w:val="007A67B8"/>
    <w:rsid w:val="007B2204"/>
    <w:rsid w:val="007B3802"/>
    <w:rsid w:val="007B4B60"/>
    <w:rsid w:val="007C075F"/>
    <w:rsid w:val="007C2245"/>
    <w:rsid w:val="007C2331"/>
    <w:rsid w:val="007C2636"/>
    <w:rsid w:val="007C4A0F"/>
    <w:rsid w:val="007C7203"/>
    <w:rsid w:val="007C75E9"/>
    <w:rsid w:val="007D3CA6"/>
    <w:rsid w:val="007E0D9F"/>
    <w:rsid w:val="007E298C"/>
    <w:rsid w:val="007E30A9"/>
    <w:rsid w:val="007E3989"/>
    <w:rsid w:val="007E64BA"/>
    <w:rsid w:val="007F2295"/>
    <w:rsid w:val="007F3CCE"/>
    <w:rsid w:val="007F5589"/>
    <w:rsid w:val="007F5C55"/>
    <w:rsid w:val="007F6A65"/>
    <w:rsid w:val="00801462"/>
    <w:rsid w:val="008026BD"/>
    <w:rsid w:val="00802CE7"/>
    <w:rsid w:val="00803B59"/>
    <w:rsid w:val="008041D4"/>
    <w:rsid w:val="00804AE5"/>
    <w:rsid w:val="00807C01"/>
    <w:rsid w:val="00807EE7"/>
    <w:rsid w:val="008109A2"/>
    <w:rsid w:val="0081156A"/>
    <w:rsid w:val="00815920"/>
    <w:rsid w:val="00823DF6"/>
    <w:rsid w:val="00825DDF"/>
    <w:rsid w:val="00826964"/>
    <w:rsid w:val="00827398"/>
    <w:rsid w:val="00831290"/>
    <w:rsid w:val="00832559"/>
    <w:rsid w:val="00832F7E"/>
    <w:rsid w:val="008409B0"/>
    <w:rsid w:val="00842974"/>
    <w:rsid w:val="0084353E"/>
    <w:rsid w:val="00851805"/>
    <w:rsid w:val="00853FE4"/>
    <w:rsid w:val="00854ACE"/>
    <w:rsid w:val="00854BF8"/>
    <w:rsid w:val="0085550A"/>
    <w:rsid w:val="0086105E"/>
    <w:rsid w:val="008616EF"/>
    <w:rsid w:val="00863C25"/>
    <w:rsid w:val="008668A0"/>
    <w:rsid w:val="008705BC"/>
    <w:rsid w:val="0087422F"/>
    <w:rsid w:val="00874324"/>
    <w:rsid w:val="00875A42"/>
    <w:rsid w:val="00883BD5"/>
    <w:rsid w:val="008904A8"/>
    <w:rsid w:val="00891344"/>
    <w:rsid w:val="008A2EFF"/>
    <w:rsid w:val="008A30C6"/>
    <w:rsid w:val="008A48FC"/>
    <w:rsid w:val="008A7C3B"/>
    <w:rsid w:val="008B12E9"/>
    <w:rsid w:val="008B53D8"/>
    <w:rsid w:val="008B63A1"/>
    <w:rsid w:val="008C28C6"/>
    <w:rsid w:val="008C3708"/>
    <w:rsid w:val="008C510F"/>
    <w:rsid w:val="008D264D"/>
    <w:rsid w:val="008D4BF7"/>
    <w:rsid w:val="008D4DD3"/>
    <w:rsid w:val="008D5EB0"/>
    <w:rsid w:val="008D6EBF"/>
    <w:rsid w:val="008E0E94"/>
    <w:rsid w:val="008E39CA"/>
    <w:rsid w:val="008E50B8"/>
    <w:rsid w:val="008E66B8"/>
    <w:rsid w:val="008F00E5"/>
    <w:rsid w:val="008F1988"/>
    <w:rsid w:val="008F25DB"/>
    <w:rsid w:val="008F2AD5"/>
    <w:rsid w:val="008F2D73"/>
    <w:rsid w:val="008F3F62"/>
    <w:rsid w:val="008F6252"/>
    <w:rsid w:val="008F770B"/>
    <w:rsid w:val="009023F3"/>
    <w:rsid w:val="00902D42"/>
    <w:rsid w:val="0090383C"/>
    <w:rsid w:val="00904E19"/>
    <w:rsid w:val="00905382"/>
    <w:rsid w:val="00905D25"/>
    <w:rsid w:val="00907FFD"/>
    <w:rsid w:val="00911ACF"/>
    <w:rsid w:val="00911AE9"/>
    <w:rsid w:val="00912132"/>
    <w:rsid w:val="00912A05"/>
    <w:rsid w:val="00916001"/>
    <w:rsid w:val="009160E6"/>
    <w:rsid w:val="00922FAD"/>
    <w:rsid w:val="00924F0A"/>
    <w:rsid w:val="0092708B"/>
    <w:rsid w:val="009313BB"/>
    <w:rsid w:val="0093578C"/>
    <w:rsid w:val="00937713"/>
    <w:rsid w:val="00941327"/>
    <w:rsid w:val="00943FB2"/>
    <w:rsid w:val="009519E2"/>
    <w:rsid w:val="00954464"/>
    <w:rsid w:val="00960FDC"/>
    <w:rsid w:val="00963C95"/>
    <w:rsid w:val="00966820"/>
    <w:rsid w:val="00967377"/>
    <w:rsid w:val="00967A56"/>
    <w:rsid w:val="00972633"/>
    <w:rsid w:val="00973679"/>
    <w:rsid w:val="009739E4"/>
    <w:rsid w:val="00973E50"/>
    <w:rsid w:val="00980037"/>
    <w:rsid w:val="009821C6"/>
    <w:rsid w:val="00983B43"/>
    <w:rsid w:val="009935C9"/>
    <w:rsid w:val="00996D2C"/>
    <w:rsid w:val="009A070C"/>
    <w:rsid w:val="009B6D65"/>
    <w:rsid w:val="009C032D"/>
    <w:rsid w:val="009C3034"/>
    <w:rsid w:val="009C40F0"/>
    <w:rsid w:val="009C4958"/>
    <w:rsid w:val="009C7326"/>
    <w:rsid w:val="009D01D6"/>
    <w:rsid w:val="009D2934"/>
    <w:rsid w:val="009D6931"/>
    <w:rsid w:val="009E1F06"/>
    <w:rsid w:val="009E2AF3"/>
    <w:rsid w:val="009E737D"/>
    <w:rsid w:val="009E749B"/>
    <w:rsid w:val="009F3B26"/>
    <w:rsid w:val="009F3FE9"/>
    <w:rsid w:val="009F4390"/>
    <w:rsid w:val="009F5335"/>
    <w:rsid w:val="009F5682"/>
    <w:rsid w:val="00A03977"/>
    <w:rsid w:val="00A04BC7"/>
    <w:rsid w:val="00A050D4"/>
    <w:rsid w:val="00A056BA"/>
    <w:rsid w:val="00A065B8"/>
    <w:rsid w:val="00A16C2A"/>
    <w:rsid w:val="00A24D83"/>
    <w:rsid w:val="00A26FF7"/>
    <w:rsid w:val="00A30B50"/>
    <w:rsid w:val="00A3107D"/>
    <w:rsid w:val="00A330D4"/>
    <w:rsid w:val="00A35338"/>
    <w:rsid w:val="00A417D7"/>
    <w:rsid w:val="00A445DC"/>
    <w:rsid w:val="00A44BEA"/>
    <w:rsid w:val="00A527E2"/>
    <w:rsid w:val="00A553F3"/>
    <w:rsid w:val="00A55816"/>
    <w:rsid w:val="00A575D9"/>
    <w:rsid w:val="00A57A7E"/>
    <w:rsid w:val="00A60C8A"/>
    <w:rsid w:val="00A66DEB"/>
    <w:rsid w:val="00A67DFB"/>
    <w:rsid w:val="00A67FC1"/>
    <w:rsid w:val="00A711C6"/>
    <w:rsid w:val="00A7358D"/>
    <w:rsid w:val="00A75ABC"/>
    <w:rsid w:val="00A7737E"/>
    <w:rsid w:val="00A77D33"/>
    <w:rsid w:val="00A837D7"/>
    <w:rsid w:val="00A84863"/>
    <w:rsid w:val="00A86554"/>
    <w:rsid w:val="00A872A6"/>
    <w:rsid w:val="00A911F8"/>
    <w:rsid w:val="00A930D0"/>
    <w:rsid w:val="00A943CB"/>
    <w:rsid w:val="00A952ED"/>
    <w:rsid w:val="00A95D95"/>
    <w:rsid w:val="00A974FE"/>
    <w:rsid w:val="00A977EC"/>
    <w:rsid w:val="00AA3FD1"/>
    <w:rsid w:val="00AA4AAD"/>
    <w:rsid w:val="00AB0701"/>
    <w:rsid w:val="00AB4509"/>
    <w:rsid w:val="00AB5D3A"/>
    <w:rsid w:val="00AB5ED3"/>
    <w:rsid w:val="00AB6B0C"/>
    <w:rsid w:val="00AB70CD"/>
    <w:rsid w:val="00AB7FE0"/>
    <w:rsid w:val="00AC2047"/>
    <w:rsid w:val="00AC2780"/>
    <w:rsid w:val="00AC28C5"/>
    <w:rsid w:val="00AC485C"/>
    <w:rsid w:val="00AC48B3"/>
    <w:rsid w:val="00AC6BCD"/>
    <w:rsid w:val="00AC7AC9"/>
    <w:rsid w:val="00AD00FC"/>
    <w:rsid w:val="00AD23EF"/>
    <w:rsid w:val="00AD2504"/>
    <w:rsid w:val="00AD361A"/>
    <w:rsid w:val="00AD6A95"/>
    <w:rsid w:val="00AE0E00"/>
    <w:rsid w:val="00AE1920"/>
    <w:rsid w:val="00AE6A83"/>
    <w:rsid w:val="00AF01B3"/>
    <w:rsid w:val="00AF0F13"/>
    <w:rsid w:val="00AF65E5"/>
    <w:rsid w:val="00AF6D89"/>
    <w:rsid w:val="00AF7992"/>
    <w:rsid w:val="00B00AB3"/>
    <w:rsid w:val="00B00B4D"/>
    <w:rsid w:val="00B031C9"/>
    <w:rsid w:val="00B0498C"/>
    <w:rsid w:val="00B04AB7"/>
    <w:rsid w:val="00B0583F"/>
    <w:rsid w:val="00B073C8"/>
    <w:rsid w:val="00B07FE7"/>
    <w:rsid w:val="00B12810"/>
    <w:rsid w:val="00B14C52"/>
    <w:rsid w:val="00B200AA"/>
    <w:rsid w:val="00B20272"/>
    <w:rsid w:val="00B21225"/>
    <w:rsid w:val="00B21731"/>
    <w:rsid w:val="00B225F1"/>
    <w:rsid w:val="00B22A7A"/>
    <w:rsid w:val="00B3056D"/>
    <w:rsid w:val="00B30755"/>
    <w:rsid w:val="00B313C2"/>
    <w:rsid w:val="00B33ED2"/>
    <w:rsid w:val="00B36D6C"/>
    <w:rsid w:val="00B4023A"/>
    <w:rsid w:val="00B44584"/>
    <w:rsid w:val="00B478C3"/>
    <w:rsid w:val="00B50A8F"/>
    <w:rsid w:val="00B51BBE"/>
    <w:rsid w:val="00B51C65"/>
    <w:rsid w:val="00B51D5D"/>
    <w:rsid w:val="00B534C4"/>
    <w:rsid w:val="00B537C3"/>
    <w:rsid w:val="00B61348"/>
    <w:rsid w:val="00B6263F"/>
    <w:rsid w:val="00B64178"/>
    <w:rsid w:val="00B67114"/>
    <w:rsid w:val="00B702D7"/>
    <w:rsid w:val="00B71C3A"/>
    <w:rsid w:val="00B75449"/>
    <w:rsid w:val="00B75F36"/>
    <w:rsid w:val="00B823F6"/>
    <w:rsid w:val="00B83831"/>
    <w:rsid w:val="00B93463"/>
    <w:rsid w:val="00B94CCB"/>
    <w:rsid w:val="00B9681F"/>
    <w:rsid w:val="00BA26B3"/>
    <w:rsid w:val="00BA3FFF"/>
    <w:rsid w:val="00BA4003"/>
    <w:rsid w:val="00BA527C"/>
    <w:rsid w:val="00BA67CA"/>
    <w:rsid w:val="00BA6F7B"/>
    <w:rsid w:val="00BB02CB"/>
    <w:rsid w:val="00BB5D6B"/>
    <w:rsid w:val="00BB7494"/>
    <w:rsid w:val="00BB778C"/>
    <w:rsid w:val="00BC0431"/>
    <w:rsid w:val="00BC19B9"/>
    <w:rsid w:val="00BC1C91"/>
    <w:rsid w:val="00BC3767"/>
    <w:rsid w:val="00BD0FBA"/>
    <w:rsid w:val="00BD7B7F"/>
    <w:rsid w:val="00BE07A9"/>
    <w:rsid w:val="00BE0A4E"/>
    <w:rsid w:val="00BE33D1"/>
    <w:rsid w:val="00BF4FCD"/>
    <w:rsid w:val="00BF5230"/>
    <w:rsid w:val="00BF7EE4"/>
    <w:rsid w:val="00C01161"/>
    <w:rsid w:val="00C1090C"/>
    <w:rsid w:val="00C23C73"/>
    <w:rsid w:val="00C240C8"/>
    <w:rsid w:val="00C26513"/>
    <w:rsid w:val="00C37F72"/>
    <w:rsid w:val="00C420C1"/>
    <w:rsid w:val="00C4525F"/>
    <w:rsid w:val="00C45963"/>
    <w:rsid w:val="00C472B8"/>
    <w:rsid w:val="00C477E6"/>
    <w:rsid w:val="00C53124"/>
    <w:rsid w:val="00C53B2E"/>
    <w:rsid w:val="00C53B49"/>
    <w:rsid w:val="00C53FFD"/>
    <w:rsid w:val="00C55080"/>
    <w:rsid w:val="00C6160A"/>
    <w:rsid w:val="00C62DC8"/>
    <w:rsid w:val="00C64326"/>
    <w:rsid w:val="00C65570"/>
    <w:rsid w:val="00C67CCD"/>
    <w:rsid w:val="00C7484C"/>
    <w:rsid w:val="00C753F3"/>
    <w:rsid w:val="00C76ECD"/>
    <w:rsid w:val="00C83C75"/>
    <w:rsid w:val="00C84763"/>
    <w:rsid w:val="00C848E6"/>
    <w:rsid w:val="00C84E04"/>
    <w:rsid w:val="00C8791A"/>
    <w:rsid w:val="00C909AA"/>
    <w:rsid w:val="00C910BE"/>
    <w:rsid w:val="00C9130D"/>
    <w:rsid w:val="00C922BE"/>
    <w:rsid w:val="00C92F76"/>
    <w:rsid w:val="00C94FD0"/>
    <w:rsid w:val="00C951AE"/>
    <w:rsid w:val="00CA5844"/>
    <w:rsid w:val="00CA7415"/>
    <w:rsid w:val="00CB2177"/>
    <w:rsid w:val="00CB265C"/>
    <w:rsid w:val="00CB4FEB"/>
    <w:rsid w:val="00CB7A07"/>
    <w:rsid w:val="00CC457C"/>
    <w:rsid w:val="00CC59BB"/>
    <w:rsid w:val="00CD5775"/>
    <w:rsid w:val="00CD635D"/>
    <w:rsid w:val="00CD7CED"/>
    <w:rsid w:val="00CE04C7"/>
    <w:rsid w:val="00CF09B7"/>
    <w:rsid w:val="00CF156B"/>
    <w:rsid w:val="00CF1E02"/>
    <w:rsid w:val="00CF2D68"/>
    <w:rsid w:val="00CF2F47"/>
    <w:rsid w:val="00CF329B"/>
    <w:rsid w:val="00CF597A"/>
    <w:rsid w:val="00D0319A"/>
    <w:rsid w:val="00D032D5"/>
    <w:rsid w:val="00D05BAA"/>
    <w:rsid w:val="00D07FB9"/>
    <w:rsid w:val="00D10112"/>
    <w:rsid w:val="00D121B8"/>
    <w:rsid w:val="00D13B7A"/>
    <w:rsid w:val="00D22C4B"/>
    <w:rsid w:val="00D230C7"/>
    <w:rsid w:val="00D235DF"/>
    <w:rsid w:val="00D23D53"/>
    <w:rsid w:val="00D23E7D"/>
    <w:rsid w:val="00D2405F"/>
    <w:rsid w:val="00D24905"/>
    <w:rsid w:val="00D25FE3"/>
    <w:rsid w:val="00D30C7F"/>
    <w:rsid w:val="00D35D2A"/>
    <w:rsid w:val="00D41BA9"/>
    <w:rsid w:val="00D44F07"/>
    <w:rsid w:val="00D456F3"/>
    <w:rsid w:val="00D46250"/>
    <w:rsid w:val="00D52376"/>
    <w:rsid w:val="00D54CA1"/>
    <w:rsid w:val="00D57B9E"/>
    <w:rsid w:val="00D60F92"/>
    <w:rsid w:val="00D612C2"/>
    <w:rsid w:val="00D6180D"/>
    <w:rsid w:val="00D64080"/>
    <w:rsid w:val="00D66A2D"/>
    <w:rsid w:val="00D745E0"/>
    <w:rsid w:val="00D74CF9"/>
    <w:rsid w:val="00D76AA3"/>
    <w:rsid w:val="00D80604"/>
    <w:rsid w:val="00D858F8"/>
    <w:rsid w:val="00D86212"/>
    <w:rsid w:val="00D91FE4"/>
    <w:rsid w:val="00D9460E"/>
    <w:rsid w:val="00D952B8"/>
    <w:rsid w:val="00D95411"/>
    <w:rsid w:val="00DA086B"/>
    <w:rsid w:val="00DA0B92"/>
    <w:rsid w:val="00DA5225"/>
    <w:rsid w:val="00DA565F"/>
    <w:rsid w:val="00DA5E46"/>
    <w:rsid w:val="00DA7E05"/>
    <w:rsid w:val="00DB1007"/>
    <w:rsid w:val="00DB4794"/>
    <w:rsid w:val="00DB4BDE"/>
    <w:rsid w:val="00DB5457"/>
    <w:rsid w:val="00DB5C3E"/>
    <w:rsid w:val="00DB628E"/>
    <w:rsid w:val="00DC3050"/>
    <w:rsid w:val="00DD1761"/>
    <w:rsid w:val="00DD66DC"/>
    <w:rsid w:val="00DE1E3E"/>
    <w:rsid w:val="00DE4929"/>
    <w:rsid w:val="00DE4DC4"/>
    <w:rsid w:val="00DE5BEB"/>
    <w:rsid w:val="00DE7ABF"/>
    <w:rsid w:val="00DF2028"/>
    <w:rsid w:val="00DF3046"/>
    <w:rsid w:val="00DF348B"/>
    <w:rsid w:val="00DF39A9"/>
    <w:rsid w:val="00DF782C"/>
    <w:rsid w:val="00E023D0"/>
    <w:rsid w:val="00E02BE3"/>
    <w:rsid w:val="00E030A0"/>
    <w:rsid w:val="00E04FF7"/>
    <w:rsid w:val="00E124E3"/>
    <w:rsid w:val="00E1356C"/>
    <w:rsid w:val="00E1419D"/>
    <w:rsid w:val="00E14812"/>
    <w:rsid w:val="00E14F74"/>
    <w:rsid w:val="00E15DDE"/>
    <w:rsid w:val="00E2339E"/>
    <w:rsid w:val="00E2709C"/>
    <w:rsid w:val="00E308E8"/>
    <w:rsid w:val="00E3245B"/>
    <w:rsid w:val="00E34DF5"/>
    <w:rsid w:val="00E3707B"/>
    <w:rsid w:val="00E4024B"/>
    <w:rsid w:val="00E40CF1"/>
    <w:rsid w:val="00E4710C"/>
    <w:rsid w:val="00E50685"/>
    <w:rsid w:val="00E570D9"/>
    <w:rsid w:val="00E57F6B"/>
    <w:rsid w:val="00E64B94"/>
    <w:rsid w:val="00E654A2"/>
    <w:rsid w:val="00E71934"/>
    <w:rsid w:val="00E71998"/>
    <w:rsid w:val="00E7342C"/>
    <w:rsid w:val="00E81737"/>
    <w:rsid w:val="00E8198D"/>
    <w:rsid w:val="00E82EE1"/>
    <w:rsid w:val="00E873EA"/>
    <w:rsid w:val="00E91EC1"/>
    <w:rsid w:val="00E930EA"/>
    <w:rsid w:val="00E947AE"/>
    <w:rsid w:val="00E95ABA"/>
    <w:rsid w:val="00EA010E"/>
    <w:rsid w:val="00EA4561"/>
    <w:rsid w:val="00EB0588"/>
    <w:rsid w:val="00EB0E2D"/>
    <w:rsid w:val="00EB1E33"/>
    <w:rsid w:val="00EB215E"/>
    <w:rsid w:val="00EB2F99"/>
    <w:rsid w:val="00EB4AA3"/>
    <w:rsid w:val="00EB706C"/>
    <w:rsid w:val="00EC0215"/>
    <w:rsid w:val="00EC029D"/>
    <w:rsid w:val="00EC0881"/>
    <w:rsid w:val="00EC3AB1"/>
    <w:rsid w:val="00ED05EA"/>
    <w:rsid w:val="00ED0742"/>
    <w:rsid w:val="00ED216E"/>
    <w:rsid w:val="00ED579F"/>
    <w:rsid w:val="00EE061A"/>
    <w:rsid w:val="00EE30AF"/>
    <w:rsid w:val="00EE67BB"/>
    <w:rsid w:val="00EE68E4"/>
    <w:rsid w:val="00EF2477"/>
    <w:rsid w:val="00EF4D02"/>
    <w:rsid w:val="00F009EC"/>
    <w:rsid w:val="00F06551"/>
    <w:rsid w:val="00F06D97"/>
    <w:rsid w:val="00F10932"/>
    <w:rsid w:val="00F11A47"/>
    <w:rsid w:val="00F134B1"/>
    <w:rsid w:val="00F13738"/>
    <w:rsid w:val="00F169C3"/>
    <w:rsid w:val="00F16EFC"/>
    <w:rsid w:val="00F1718E"/>
    <w:rsid w:val="00F20733"/>
    <w:rsid w:val="00F20FF1"/>
    <w:rsid w:val="00F21910"/>
    <w:rsid w:val="00F25205"/>
    <w:rsid w:val="00F2777C"/>
    <w:rsid w:val="00F31987"/>
    <w:rsid w:val="00F35457"/>
    <w:rsid w:val="00F3595B"/>
    <w:rsid w:val="00F36398"/>
    <w:rsid w:val="00F4097C"/>
    <w:rsid w:val="00F426A6"/>
    <w:rsid w:val="00F429FD"/>
    <w:rsid w:val="00F449C4"/>
    <w:rsid w:val="00F538D9"/>
    <w:rsid w:val="00F5531F"/>
    <w:rsid w:val="00F56399"/>
    <w:rsid w:val="00F63953"/>
    <w:rsid w:val="00F6510D"/>
    <w:rsid w:val="00F65545"/>
    <w:rsid w:val="00F6689A"/>
    <w:rsid w:val="00F7213B"/>
    <w:rsid w:val="00F725B2"/>
    <w:rsid w:val="00F7298D"/>
    <w:rsid w:val="00F7750A"/>
    <w:rsid w:val="00F80006"/>
    <w:rsid w:val="00F80084"/>
    <w:rsid w:val="00F81663"/>
    <w:rsid w:val="00F85A30"/>
    <w:rsid w:val="00F92045"/>
    <w:rsid w:val="00F95676"/>
    <w:rsid w:val="00F96A73"/>
    <w:rsid w:val="00FA0979"/>
    <w:rsid w:val="00FA5828"/>
    <w:rsid w:val="00FB3FC5"/>
    <w:rsid w:val="00FB4BA6"/>
    <w:rsid w:val="00FC3EBE"/>
    <w:rsid w:val="00FC66C2"/>
    <w:rsid w:val="00FC6F58"/>
    <w:rsid w:val="00FC6FA8"/>
    <w:rsid w:val="00FD2470"/>
    <w:rsid w:val="00FD26B5"/>
    <w:rsid w:val="00FD5823"/>
    <w:rsid w:val="00FE1B42"/>
    <w:rsid w:val="00FE1C27"/>
    <w:rsid w:val="00FE215B"/>
    <w:rsid w:val="00FE5C31"/>
    <w:rsid w:val="00FE68B1"/>
    <w:rsid w:val="00FF25BA"/>
    <w:rsid w:val="00FF3BC9"/>
    <w:rsid w:val="00FF748B"/>
    <w:rsid w:val="00FF7623"/>
    <w:rsid w:val="016F283F"/>
    <w:rsid w:val="019A042B"/>
    <w:rsid w:val="01AD3795"/>
    <w:rsid w:val="01DF0822"/>
    <w:rsid w:val="02490407"/>
    <w:rsid w:val="02804309"/>
    <w:rsid w:val="028835E8"/>
    <w:rsid w:val="028F4F82"/>
    <w:rsid w:val="03194B7A"/>
    <w:rsid w:val="031D6EFB"/>
    <w:rsid w:val="0322064F"/>
    <w:rsid w:val="032A2F5E"/>
    <w:rsid w:val="033B6E7D"/>
    <w:rsid w:val="035D5690"/>
    <w:rsid w:val="036462F1"/>
    <w:rsid w:val="03787A88"/>
    <w:rsid w:val="037F1AAB"/>
    <w:rsid w:val="03887BE8"/>
    <w:rsid w:val="043E7001"/>
    <w:rsid w:val="04460208"/>
    <w:rsid w:val="044F1974"/>
    <w:rsid w:val="0480254A"/>
    <w:rsid w:val="04B17BB5"/>
    <w:rsid w:val="04B30C95"/>
    <w:rsid w:val="04D46D43"/>
    <w:rsid w:val="050C3420"/>
    <w:rsid w:val="050E08A0"/>
    <w:rsid w:val="05154E53"/>
    <w:rsid w:val="05502988"/>
    <w:rsid w:val="05721B39"/>
    <w:rsid w:val="05A84572"/>
    <w:rsid w:val="05AC2F80"/>
    <w:rsid w:val="05EC0902"/>
    <w:rsid w:val="06233BF8"/>
    <w:rsid w:val="06283AE9"/>
    <w:rsid w:val="064B5B18"/>
    <w:rsid w:val="067177FF"/>
    <w:rsid w:val="067F3525"/>
    <w:rsid w:val="06946481"/>
    <w:rsid w:val="06A93A70"/>
    <w:rsid w:val="06AD62E4"/>
    <w:rsid w:val="06C929F2"/>
    <w:rsid w:val="06D7510F"/>
    <w:rsid w:val="076C7633"/>
    <w:rsid w:val="07816CAD"/>
    <w:rsid w:val="079C3CA9"/>
    <w:rsid w:val="07E0505B"/>
    <w:rsid w:val="084039C2"/>
    <w:rsid w:val="088A4403"/>
    <w:rsid w:val="08C52A1E"/>
    <w:rsid w:val="08C830B1"/>
    <w:rsid w:val="08C91901"/>
    <w:rsid w:val="08D538D0"/>
    <w:rsid w:val="09306D58"/>
    <w:rsid w:val="099C5159"/>
    <w:rsid w:val="09AB2883"/>
    <w:rsid w:val="09C910AE"/>
    <w:rsid w:val="09FF0E83"/>
    <w:rsid w:val="0A0106F5"/>
    <w:rsid w:val="0A3E54A6"/>
    <w:rsid w:val="0A440EAF"/>
    <w:rsid w:val="0A9F4195"/>
    <w:rsid w:val="0AAE6186"/>
    <w:rsid w:val="0AC91212"/>
    <w:rsid w:val="0B1432F3"/>
    <w:rsid w:val="0B294459"/>
    <w:rsid w:val="0B350656"/>
    <w:rsid w:val="0B416FFB"/>
    <w:rsid w:val="0B6D6042"/>
    <w:rsid w:val="0B865355"/>
    <w:rsid w:val="0B9F78B3"/>
    <w:rsid w:val="0BA457DB"/>
    <w:rsid w:val="0BA8707A"/>
    <w:rsid w:val="0BBC1D28"/>
    <w:rsid w:val="0C5B44DB"/>
    <w:rsid w:val="0C970C24"/>
    <w:rsid w:val="0C9824A6"/>
    <w:rsid w:val="0CDE6ACB"/>
    <w:rsid w:val="0CF44791"/>
    <w:rsid w:val="0D191B5A"/>
    <w:rsid w:val="0D1A672D"/>
    <w:rsid w:val="0D1C477E"/>
    <w:rsid w:val="0D2712FE"/>
    <w:rsid w:val="0DEB2570"/>
    <w:rsid w:val="0E044BB9"/>
    <w:rsid w:val="0F1355EC"/>
    <w:rsid w:val="0F625F4A"/>
    <w:rsid w:val="0F67724C"/>
    <w:rsid w:val="0F9E4157"/>
    <w:rsid w:val="0FB73D2F"/>
    <w:rsid w:val="101F3682"/>
    <w:rsid w:val="10234F21"/>
    <w:rsid w:val="103E7FAD"/>
    <w:rsid w:val="107752B0"/>
    <w:rsid w:val="107F4121"/>
    <w:rsid w:val="1090632E"/>
    <w:rsid w:val="10944070"/>
    <w:rsid w:val="10DA4745"/>
    <w:rsid w:val="10DD5824"/>
    <w:rsid w:val="10E40579"/>
    <w:rsid w:val="113B0990"/>
    <w:rsid w:val="11711BB8"/>
    <w:rsid w:val="11A92009"/>
    <w:rsid w:val="11D54941"/>
    <w:rsid w:val="11F7621A"/>
    <w:rsid w:val="121F0693"/>
    <w:rsid w:val="122B630F"/>
    <w:rsid w:val="123E742D"/>
    <w:rsid w:val="12822A2C"/>
    <w:rsid w:val="1296128E"/>
    <w:rsid w:val="12D62551"/>
    <w:rsid w:val="12F40DF6"/>
    <w:rsid w:val="134C626A"/>
    <w:rsid w:val="135E01DD"/>
    <w:rsid w:val="13D66B82"/>
    <w:rsid w:val="13E76BAD"/>
    <w:rsid w:val="13F752ED"/>
    <w:rsid w:val="141F4B1F"/>
    <w:rsid w:val="1437543F"/>
    <w:rsid w:val="143C4803"/>
    <w:rsid w:val="143E1FB4"/>
    <w:rsid w:val="14BE5885"/>
    <w:rsid w:val="14E1232E"/>
    <w:rsid w:val="156009C5"/>
    <w:rsid w:val="156E1FD6"/>
    <w:rsid w:val="159947DB"/>
    <w:rsid w:val="159B11C7"/>
    <w:rsid w:val="15A950E0"/>
    <w:rsid w:val="15A97497"/>
    <w:rsid w:val="15CD410B"/>
    <w:rsid w:val="15F64C6E"/>
    <w:rsid w:val="15FC6940"/>
    <w:rsid w:val="15FD536E"/>
    <w:rsid w:val="16361B1E"/>
    <w:rsid w:val="16691AFB"/>
    <w:rsid w:val="166F74D6"/>
    <w:rsid w:val="168A32A1"/>
    <w:rsid w:val="16A13043"/>
    <w:rsid w:val="17666400"/>
    <w:rsid w:val="17DC19A2"/>
    <w:rsid w:val="1881499B"/>
    <w:rsid w:val="18BF3BB5"/>
    <w:rsid w:val="18CB25F9"/>
    <w:rsid w:val="19287A4C"/>
    <w:rsid w:val="19445F08"/>
    <w:rsid w:val="194D4FB1"/>
    <w:rsid w:val="198E014E"/>
    <w:rsid w:val="199B767C"/>
    <w:rsid w:val="1A18385A"/>
    <w:rsid w:val="1A5C2474"/>
    <w:rsid w:val="1A7408FC"/>
    <w:rsid w:val="1ABD3F8C"/>
    <w:rsid w:val="1ACD08AB"/>
    <w:rsid w:val="1B022E20"/>
    <w:rsid w:val="1B181563"/>
    <w:rsid w:val="1B2013BD"/>
    <w:rsid w:val="1B2D30F7"/>
    <w:rsid w:val="1BA4182E"/>
    <w:rsid w:val="1BA57132"/>
    <w:rsid w:val="1BCA4DEA"/>
    <w:rsid w:val="1BF65BDF"/>
    <w:rsid w:val="1C2F1AA5"/>
    <w:rsid w:val="1C33473D"/>
    <w:rsid w:val="1C746C70"/>
    <w:rsid w:val="1CC64AE7"/>
    <w:rsid w:val="1CCC654A"/>
    <w:rsid w:val="1CF00E2B"/>
    <w:rsid w:val="1D496F9B"/>
    <w:rsid w:val="1D6E43AF"/>
    <w:rsid w:val="1D796AC8"/>
    <w:rsid w:val="1D921C59"/>
    <w:rsid w:val="1DA653E3"/>
    <w:rsid w:val="1DBB0D1F"/>
    <w:rsid w:val="1DDE1066"/>
    <w:rsid w:val="1DF1193F"/>
    <w:rsid w:val="1DFE0D7B"/>
    <w:rsid w:val="1E74728F"/>
    <w:rsid w:val="1E812ED1"/>
    <w:rsid w:val="1EBA4A39"/>
    <w:rsid w:val="1FF6589D"/>
    <w:rsid w:val="1FFE544D"/>
    <w:rsid w:val="20085EE1"/>
    <w:rsid w:val="201E79A2"/>
    <w:rsid w:val="20F052F3"/>
    <w:rsid w:val="20F73191"/>
    <w:rsid w:val="20F9267A"/>
    <w:rsid w:val="20FD530B"/>
    <w:rsid w:val="210839FA"/>
    <w:rsid w:val="212B4280"/>
    <w:rsid w:val="214D1CCF"/>
    <w:rsid w:val="219C5009"/>
    <w:rsid w:val="21D229E4"/>
    <w:rsid w:val="21E738ED"/>
    <w:rsid w:val="22301A79"/>
    <w:rsid w:val="22486A69"/>
    <w:rsid w:val="22682C67"/>
    <w:rsid w:val="22B416F1"/>
    <w:rsid w:val="22B83BEE"/>
    <w:rsid w:val="234D4273"/>
    <w:rsid w:val="235C0A1E"/>
    <w:rsid w:val="239D2DE4"/>
    <w:rsid w:val="23A128D5"/>
    <w:rsid w:val="23D522C2"/>
    <w:rsid w:val="24331F78"/>
    <w:rsid w:val="245B32B8"/>
    <w:rsid w:val="24AA6261"/>
    <w:rsid w:val="24C5066E"/>
    <w:rsid w:val="24D6035C"/>
    <w:rsid w:val="254C2BBF"/>
    <w:rsid w:val="255621C0"/>
    <w:rsid w:val="25DB7ED8"/>
    <w:rsid w:val="25F15DB5"/>
    <w:rsid w:val="26454B2A"/>
    <w:rsid w:val="264E03C6"/>
    <w:rsid w:val="266A7FA7"/>
    <w:rsid w:val="26B41E2F"/>
    <w:rsid w:val="26BB1EFF"/>
    <w:rsid w:val="26BB3CAD"/>
    <w:rsid w:val="26D66D39"/>
    <w:rsid w:val="26D80A63"/>
    <w:rsid w:val="26E33204"/>
    <w:rsid w:val="26F61189"/>
    <w:rsid w:val="272D447F"/>
    <w:rsid w:val="27307722"/>
    <w:rsid w:val="27400656"/>
    <w:rsid w:val="278422F1"/>
    <w:rsid w:val="2844121B"/>
    <w:rsid w:val="28534487"/>
    <w:rsid w:val="288D1679"/>
    <w:rsid w:val="28D7448D"/>
    <w:rsid w:val="28F214DC"/>
    <w:rsid w:val="291F6D0A"/>
    <w:rsid w:val="296E19FE"/>
    <w:rsid w:val="298528DF"/>
    <w:rsid w:val="29B9024C"/>
    <w:rsid w:val="29C32AAE"/>
    <w:rsid w:val="2A2B2EF8"/>
    <w:rsid w:val="2A3F4BF5"/>
    <w:rsid w:val="2A4067D5"/>
    <w:rsid w:val="2A7D127A"/>
    <w:rsid w:val="2A9A1E2C"/>
    <w:rsid w:val="2AD233B8"/>
    <w:rsid w:val="2B041A0A"/>
    <w:rsid w:val="2B286BC5"/>
    <w:rsid w:val="2B2C436B"/>
    <w:rsid w:val="2B6D496A"/>
    <w:rsid w:val="2BA3136F"/>
    <w:rsid w:val="2BA56CDA"/>
    <w:rsid w:val="2C1D0F66"/>
    <w:rsid w:val="2C2D2523"/>
    <w:rsid w:val="2C66290D"/>
    <w:rsid w:val="2C76305F"/>
    <w:rsid w:val="2C7A4CB2"/>
    <w:rsid w:val="2C850980"/>
    <w:rsid w:val="2C88126B"/>
    <w:rsid w:val="2CA115E3"/>
    <w:rsid w:val="2CAD5E46"/>
    <w:rsid w:val="2CE24C7F"/>
    <w:rsid w:val="2D1D7A6F"/>
    <w:rsid w:val="2D4B38B1"/>
    <w:rsid w:val="2D9610EF"/>
    <w:rsid w:val="2DC555F7"/>
    <w:rsid w:val="2DCD42C6"/>
    <w:rsid w:val="2E222864"/>
    <w:rsid w:val="2E6D50A7"/>
    <w:rsid w:val="2EAD4823"/>
    <w:rsid w:val="2EBE6F3E"/>
    <w:rsid w:val="2EF6575C"/>
    <w:rsid w:val="2F234AE5"/>
    <w:rsid w:val="2F3716F1"/>
    <w:rsid w:val="2F560A17"/>
    <w:rsid w:val="2F57706B"/>
    <w:rsid w:val="2F9E38DD"/>
    <w:rsid w:val="2FB83480"/>
    <w:rsid w:val="2FBB2F70"/>
    <w:rsid w:val="2FEBA420"/>
    <w:rsid w:val="30120B20"/>
    <w:rsid w:val="3018450B"/>
    <w:rsid w:val="308851B3"/>
    <w:rsid w:val="30905157"/>
    <w:rsid w:val="30A14C26"/>
    <w:rsid w:val="30C220DC"/>
    <w:rsid w:val="30CC0F48"/>
    <w:rsid w:val="310E761B"/>
    <w:rsid w:val="318A4381"/>
    <w:rsid w:val="31943E4D"/>
    <w:rsid w:val="31993C82"/>
    <w:rsid w:val="31D202DE"/>
    <w:rsid w:val="32056724"/>
    <w:rsid w:val="32944ACC"/>
    <w:rsid w:val="32AA33CB"/>
    <w:rsid w:val="32AE46C6"/>
    <w:rsid w:val="32D12F19"/>
    <w:rsid w:val="332D7CE1"/>
    <w:rsid w:val="333B777A"/>
    <w:rsid w:val="335D2B7A"/>
    <w:rsid w:val="337673FA"/>
    <w:rsid w:val="337C3214"/>
    <w:rsid w:val="33A70351"/>
    <w:rsid w:val="34C44675"/>
    <w:rsid w:val="35E413D5"/>
    <w:rsid w:val="36010FB1"/>
    <w:rsid w:val="36084DBA"/>
    <w:rsid w:val="36135F99"/>
    <w:rsid w:val="361E4B80"/>
    <w:rsid w:val="364F5F49"/>
    <w:rsid w:val="36554228"/>
    <w:rsid w:val="369342FF"/>
    <w:rsid w:val="369D52D1"/>
    <w:rsid w:val="36BD312A"/>
    <w:rsid w:val="36D729D5"/>
    <w:rsid w:val="36EA2EF3"/>
    <w:rsid w:val="37012F77"/>
    <w:rsid w:val="37301FA3"/>
    <w:rsid w:val="373D6A7E"/>
    <w:rsid w:val="379A790F"/>
    <w:rsid w:val="37A4253C"/>
    <w:rsid w:val="37BF2ED1"/>
    <w:rsid w:val="381557C0"/>
    <w:rsid w:val="384F06F9"/>
    <w:rsid w:val="38A6747E"/>
    <w:rsid w:val="38DB3D3B"/>
    <w:rsid w:val="38F426A1"/>
    <w:rsid w:val="38F60B75"/>
    <w:rsid w:val="391405E3"/>
    <w:rsid w:val="393D0552"/>
    <w:rsid w:val="393F251C"/>
    <w:rsid w:val="395D60AE"/>
    <w:rsid w:val="39734C62"/>
    <w:rsid w:val="39B07590"/>
    <w:rsid w:val="39BB61CB"/>
    <w:rsid w:val="39FA28E7"/>
    <w:rsid w:val="3A173531"/>
    <w:rsid w:val="3A3000B7"/>
    <w:rsid w:val="3A3E6C77"/>
    <w:rsid w:val="3A567B95"/>
    <w:rsid w:val="3A60099C"/>
    <w:rsid w:val="3A6F1B5A"/>
    <w:rsid w:val="3A905E3E"/>
    <w:rsid w:val="3B0D2CD2"/>
    <w:rsid w:val="3B5129DA"/>
    <w:rsid w:val="3B5D137F"/>
    <w:rsid w:val="3B64626A"/>
    <w:rsid w:val="3B73723D"/>
    <w:rsid w:val="3B76724E"/>
    <w:rsid w:val="3BA720A2"/>
    <w:rsid w:val="3BAC7DC8"/>
    <w:rsid w:val="3C036354"/>
    <w:rsid w:val="3C224BC6"/>
    <w:rsid w:val="3CAD59EE"/>
    <w:rsid w:val="3CBF1F6F"/>
    <w:rsid w:val="3CF66E12"/>
    <w:rsid w:val="3D396C7C"/>
    <w:rsid w:val="3D830794"/>
    <w:rsid w:val="3D9372DA"/>
    <w:rsid w:val="3DD93E43"/>
    <w:rsid w:val="3DF67C85"/>
    <w:rsid w:val="3E247387"/>
    <w:rsid w:val="3E28621E"/>
    <w:rsid w:val="3E562E91"/>
    <w:rsid w:val="3E661214"/>
    <w:rsid w:val="3E7F4A4B"/>
    <w:rsid w:val="3E8D1015"/>
    <w:rsid w:val="3E964C97"/>
    <w:rsid w:val="3EBFFA36"/>
    <w:rsid w:val="3EDE27D7"/>
    <w:rsid w:val="3EF26282"/>
    <w:rsid w:val="3F4B6B8E"/>
    <w:rsid w:val="3F886568"/>
    <w:rsid w:val="3FA07A8C"/>
    <w:rsid w:val="3FF23327"/>
    <w:rsid w:val="4004001B"/>
    <w:rsid w:val="40283ABC"/>
    <w:rsid w:val="40396A57"/>
    <w:rsid w:val="40581CC9"/>
    <w:rsid w:val="40A117A0"/>
    <w:rsid w:val="40FF07E3"/>
    <w:rsid w:val="41125378"/>
    <w:rsid w:val="41215F3A"/>
    <w:rsid w:val="414537B3"/>
    <w:rsid w:val="414C48A8"/>
    <w:rsid w:val="41841B1C"/>
    <w:rsid w:val="418E2292"/>
    <w:rsid w:val="41AD104D"/>
    <w:rsid w:val="41B917FB"/>
    <w:rsid w:val="41BF768D"/>
    <w:rsid w:val="41C46D1A"/>
    <w:rsid w:val="41C553C7"/>
    <w:rsid w:val="41C9233B"/>
    <w:rsid w:val="41DD6D76"/>
    <w:rsid w:val="41E81277"/>
    <w:rsid w:val="42181855"/>
    <w:rsid w:val="427C2BC6"/>
    <w:rsid w:val="430622FC"/>
    <w:rsid w:val="4311195E"/>
    <w:rsid w:val="432B3B11"/>
    <w:rsid w:val="43510412"/>
    <w:rsid w:val="435117C9"/>
    <w:rsid w:val="43B25F05"/>
    <w:rsid w:val="43B27D8E"/>
    <w:rsid w:val="43CC2BFE"/>
    <w:rsid w:val="43D7786D"/>
    <w:rsid w:val="44013071"/>
    <w:rsid w:val="44020D16"/>
    <w:rsid w:val="4416656F"/>
    <w:rsid w:val="44380293"/>
    <w:rsid w:val="443F7B57"/>
    <w:rsid w:val="4448459F"/>
    <w:rsid w:val="44637395"/>
    <w:rsid w:val="446F5972"/>
    <w:rsid w:val="44C20F8F"/>
    <w:rsid w:val="44C4421D"/>
    <w:rsid w:val="45047319"/>
    <w:rsid w:val="452F5B3A"/>
    <w:rsid w:val="45537E57"/>
    <w:rsid w:val="45796277"/>
    <w:rsid w:val="45B93656"/>
    <w:rsid w:val="45BB5620"/>
    <w:rsid w:val="461F6313"/>
    <w:rsid w:val="464473C4"/>
    <w:rsid w:val="46946834"/>
    <w:rsid w:val="46D11B60"/>
    <w:rsid w:val="470859F9"/>
    <w:rsid w:val="470923BB"/>
    <w:rsid w:val="475E6263"/>
    <w:rsid w:val="476F1FE2"/>
    <w:rsid w:val="47C66525"/>
    <w:rsid w:val="47E137D2"/>
    <w:rsid w:val="48123468"/>
    <w:rsid w:val="481553CE"/>
    <w:rsid w:val="482419BB"/>
    <w:rsid w:val="48573F59"/>
    <w:rsid w:val="489857A5"/>
    <w:rsid w:val="48B00D40"/>
    <w:rsid w:val="48EE3617"/>
    <w:rsid w:val="493C4048"/>
    <w:rsid w:val="498F4DFA"/>
    <w:rsid w:val="49D04FAD"/>
    <w:rsid w:val="49D24CE6"/>
    <w:rsid w:val="49DE7B2F"/>
    <w:rsid w:val="4A0C2326"/>
    <w:rsid w:val="4A4A56C4"/>
    <w:rsid w:val="4A78588E"/>
    <w:rsid w:val="4A86355D"/>
    <w:rsid w:val="4A9F2351"/>
    <w:rsid w:val="4AAD1AB5"/>
    <w:rsid w:val="4AE66C9B"/>
    <w:rsid w:val="4AEF1F9D"/>
    <w:rsid w:val="4AF57D24"/>
    <w:rsid w:val="4B0A5351"/>
    <w:rsid w:val="4B2020BD"/>
    <w:rsid w:val="4B3D0885"/>
    <w:rsid w:val="4B4E2A92"/>
    <w:rsid w:val="4B644064"/>
    <w:rsid w:val="4BC82845"/>
    <w:rsid w:val="4BDC3125"/>
    <w:rsid w:val="4BED3435"/>
    <w:rsid w:val="4BF2341E"/>
    <w:rsid w:val="4C0F2222"/>
    <w:rsid w:val="4C123665"/>
    <w:rsid w:val="4C1B2975"/>
    <w:rsid w:val="4C264895"/>
    <w:rsid w:val="4C4D0063"/>
    <w:rsid w:val="4C657DA0"/>
    <w:rsid w:val="4C6D37FB"/>
    <w:rsid w:val="4C862026"/>
    <w:rsid w:val="4CAD5597"/>
    <w:rsid w:val="4CCE3E8B"/>
    <w:rsid w:val="4CE04340"/>
    <w:rsid w:val="4D083C13"/>
    <w:rsid w:val="4D090A1F"/>
    <w:rsid w:val="4D3336E7"/>
    <w:rsid w:val="4D534390"/>
    <w:rsid w:val="4D862070"/>
    <w:rsid w:val="4DD7542F"/>
    <w:rsid w:val="4E342AAE"/>
    <w:rsid w:val="4E3F2D9E"/>
    <w:rsid w:val="4E535F68"/>
    <w:rsid w:val="4E6879C7"/>
    <w:rsid w:val="4E6C5709"/>
    <w:rsid w:val="4EA831B9"/>
    <w:rsid w:val="4EC05A55"/>
    <w:rsid w:val="4ED908C5"/>
    <w:rsid w:val="4EDB718D"/>
    <w:rsid w:val="4F021BCA"/>
    <w:rsid w:val="4F710D14"/>
    <w:rsid w:val="4F844CD5"/>
    <w:rsid w:val="4F9A62A6"/>
    <w:rsid w:val="4FE12165"/>
    <w:rsid w:val="50153A8C"/>
    <w:rsid w:val="50291294"/>
    <w:rsid w:val="502A2C0E"/>
    <w:rsid w:val="50506965"/>
    <w:rsid w:val="5080248F"/>
    <w:rsid w:val="50893C22"/>
    <w:rsid w:val="509815F0"/>
    <w:rsid w:val="50E5681C"/>
    <w:rsid w:val="50FE4613"/>
    <w:rsid w:val="5119769F"/>
    <w:rsid w:val="512E4EF8"/>
    <w:rsid w:val="519A436F"/>
    <w:rsid w:val="51BB25F2"/>
    <w:rsid w:val="51F83758"/>
    <w:rsid w:val="5244129E"/>
    <w:rsid w:val="525E5A1D"/>
    <w:rsid w:val="526A4687"/>
    <w:rsid w:val="528079D5"/>
    <w:rsid w:val="529350BB"/>
    <w:rsid w:val="5296022B"/>
    <w:rsid w:val="529A4A0E"/>
    <w:rsid w:val="52B7716F"/>
    <w:rsid w:val="53004672"/>
    <w:rsid w:val="53004DAA"/>
    <w:rsid w:val="531E68CD"/>
    <w:rsid w:val="53504603"/>
    <w:rsid w:val="535F50E2"/>
    <w:rsid w:val="5394300C"/>
    <w:rsid w:val="53BC6A3E"/>
    <w:rsid w:val="540B7773"/>
    <w:rsid w:val="54487E01"/>
    <w:rsid w:val="545C6AF1"/>
    <w:rsid w:val="54676FEE"/>
    <w:rsid w:val="549332C4"/>
    <w:rsid w:val="54DF05E3"/>
    <w:rsid w:val="55286102"/>
    <w:rsid w:val="555C2478"/>
    <w:rsid w:val="55822BB4"/>
    <w:rsid w:val="560C6F74"/>
    <w:rsid w:val="56591CC8"/>
    <w:rsid w:val="565C42B5"/>
    <w:rsid w:val="569C2904"/>
    <w:rsid w:val="56D4209E"/>
    <w:rsid w:val="57080318"/>
    <w:rsid w:val="57184667"/>
    <w:rsid w:val="57776ECD"/>
    <w:rsid w:val="577D0987"/>
    <w:rsid w:val="57961A49"/>
    <w:rsid w:val="57DA4A7B"/>
    <w:rsid w:val="58020E8D"/>
    <w:rsid w:val="592D1F39"/>
    <w:rsid w:val="5976568E"/>
    <w:rsid w:val="59CA59DA"/>
    <w:rsid w:val="59D9651C"/>
    <w:rsid w:val="5AA24261"/>
    <w:rsid w:val="5B2A7B83"/>
    <w:rsid w:val="5B4E469E"/>
    <w:rsid w:val="5B7C2D04"/>
    <w:rsid w:val="5BC052E6"/>
    <w:rsid w:val="5BD23956"/>
    <w:rsid w:val="5BD75000"/>
    <w:rsid w:val="5C311D40"/>
    <w:rsid w:val="5C4B6AD9"/>
    <w:rsid w:val="5CAC7619"/>
    <w:rsid w:val="5CCD510D"/>
    <w:rsid w:val="5CE15514"/>
    <w:rsid w:val="5D186A5C"/>
    <w:rsid w:val="5D1B313B"/>
    <w:rsid w:val="5D734EE1"/>
    <w:rsid w:val="5D887F5E"/>
    <w:rsid w:val="5D8F6D1E"/>
    <w:rsid w:val="5D976B2B"/>
    <w:rsid w:val="5DCF35BF"/>
    <w:rsid w:val="5DD92D9E"/>
    <w:rsid w:val="5E176B91"/>
    <w:rsid w:val="5E4775F9"/>
    <w:rsid w:val="5E881FFC"/>
    <w:rsid w:val="5E910B3F"/>
    <w:rsid w:val="5EA54320"/>
    <w:rsid w:val="5ECF015F"/>
    <w:rsid w:val="5F1E649A"/>
    <w:rsid w:val="5F296CFF"/>
    <w:rsid w:val="5F2A1CAF"/>
    <w:rsid w:val="5F335DCF"/>
    <w:rsid w:val="5F5C70D4"/>
    <w:rsid w:val="5FA67B30"/>
    <w:rsid w:val="5FCA669A"/>
    <w:rsid w:val="5FF81B6A"/>
    <w:rsid w:val="600532C8"/>
    <w:rsid w:val="603911C4"/>
    <w:rsid w:val="60651FB9"/>
    <w:rsid w:val="606D7904"/>
    <w:rsid w:val="607909ED"/>
    <w:rsid w:val="607B5C80"/>
    <w:rsid w:val="6083233D"/>
    <w:rsid w:val="60A56859"/>
    <w:rsid w:val="60F90FC7"/>
    <w:rsid w:val="611C6359"/>
    <w:rsid w:val="61494EA1"/>
    <w:rsid w:val="618E3CAF"/>
    <w:rsid w:val="61977F9C"/>
    <w:rsid w:val="61E17D65"/>
    <w:rsid w:val="61E82EA1"/>
    <w:rsid w:val="62467BC8"/>
    <w:rsid w:val="62D8446B"/>
    <w:rsid w:val="63275C4B"/>
    <w:rsid w:val="63380E90"/>
    <w:rsid w:val="637F3391"/>
    <w:rsid w:val="63DF9173"/>
    <w:rsid w:val="6401153F"/>
    <w:rsid w:val="646F5F74"/>
    <w:rsid w:val="647B5A94"/>
    <w:rsid w:val="64A728CD"/>
    <w:rsid w:val="653F67F5"/>
    <w:rsid w:val="65401246"/>
    <w:rsid w:val="65436640"/>
    <w:rsid w:val="65605834"/>
    <w:rsid w:val="65946AF3"/>
    <w:rsid w:val="659D6088"/>
    <w:rsid w:val="65DC0F6F"/>
    <w:rsid w:val="660758C0"/>
    <w:rsid w:val="660E4895"/>
    <w:rsid w:val="664B39FF"/>
    <w:rsid w:val="666A0BEA"/>
    <w:rsid w:val="66CF3783"/>
    <w:rsid w:val="66D87988"/>
    <w:rsid w:val="67074CD5"/>
    <w:rsid w:val="671464E6"/>
    <w:rsid w:val="67291BB1"/>
    <w:rsid w:val="673B55DA"/>
    <w:rsid w:val="675D4531"/>
    <w:rsid w:val="67AA5335"/>
    <w:rsid w:val="67E91721"/>
    <w:rsid w:val="68064081"/>
    <w:rsid w:val="684F6624"/>
    <w:rsid w:val="689E69AF"/>
    <w:rsid w:val="69133DAE"/>
    <w:rsid w:val="696F20FA"/>
    <w:rsid w:val="696FB580"/>
    <w:rsid w:val="69E12F3E"/>
    <w:rsid w:val="6A0945A0"/>
    <w:rsid w:val="6A7F011B"/>
    <w:rsid w:val="6A867AAB"/>
    <w:rsid w:val="6AB04778"/>
    <w:rsid w:val="6AB548C9"/>
    <w:rsid w:val="6B431148"/>
    <w:rsid w:val="6B5C220A"/>
    <w:rsid w:val="6BB73B6C"/>
    <w:rsid w:val="6C3A254B"/>
    <w:rsid w:val="6C5F6456"/>
    <w:rsid w:val="6C972F22"/>
    <w:rsid w:val="6C9875BE"/>
    <w:rsid w:val="6CA4694D"/>
    <w:rsid w:val="6CB96A2B"/>
    <w:rsid w:val="6D194857"/>
    <w:rsid w:val="6D470259"/>
    <w:rsid w:val="6D592EAD"/>
    <w:rsid w:val="6D5F2B34"/>
    <w:rsid w:val="6D7101EF"/>
    <w:rsid w:val="6DD706CC"/>
    <w:rsid w:val="6DE11317"/>
    <w:rsid w:val="6E34121C"/>
    <w:rsid w:val="6E8421A4"/>
    <w:rsid w:val="6EBA5633"/>
    <w:rsid w:val="6F5953DE"/>
    <w:rsid w:val="6F5E29F5"/>
    <w:rsid w:val="6F864E34"/>
    <w:rsid w:val="6F900EF1"/>
    <w:rsid w:val="6FC50CC6"/>
    <w:rsid w:val="701270D8"/>
    <w:rsid w:val="705E5D7E"/>
    <w:rsid w:val="70980188"/>
    <w:rsid w:val="70A12E32"/>
    <w:rsid w:val="70CB5E68"/>
    <w:rsid w:val="7125606D"/>
    <w:rsid w:val="717EB139"/>
    <w:rsid w:val="72026C0C"/>
    <w:rsid w:val="72037883"/>
    <w:rsid w:val="721C3F61"/>
    <w:rsid w:val="72525AB1"/>
    <w:rsid w:val="726C5429"/>
    <w:rsid w:val="7280201C"/>
    <w:rsid w:val="72A80581"/>
    <w:rsid w:val="72CA5671"/>
    <w:rsid w:val="72F21DD2"/>
    <w:rsid w:val="72FD0CB5"/>
    <w:rsid w:val="733C4DFB"/>
    <w:rsid w:val="737936FE"/>
    <w:rsid w:val="737F734B"/>
    <w:rsid w:val="73AD5252"/>
    <w:rsid w:val="74FB1D5E"/>
    <w:rsid w:val="75123F8E"/>
    <w:rsid w:val="754E2AC9"/>
    <w:rsid w:val="757403BC"/>
    <w:rsid w:val="759803C5"/>
    <w:rsid w:val="75A95C2F"/>
    <w:rsid w:val="765376DD"/>
    <w:rsid w:val="76727617"/>
    <w:rsid w:val="7677439C"/>
    <w:rsid w:val="76A128B3"/>
    <w:rsid w:val="76A31B73"/>
    <w:rsid w:val="76AC04E9"/>
    <w:rsid w:val="76BF4DFF"/>
    <w:rsid w:val="76DD4B47"/>
    <w:rsid w:val="76E15F4F"/>
    <w:rsid w:val="76E46CA9"/>
    <w:rsid w:val="771B741D"/>
    <w:rsid w:val="77277B70"/>
    <w:rsid w:val="773E4E25"/>
    <w:rsid w:val="778C7A58"/>
    <w:rsid w:val="77A256B8"/>
    <w:rsid w:val="77F453D2"/>
    <w:rsid w:val="785C2996"/>
    <w:rsid w:val="786646C8"/>
    <w:rsid w:val="78926ECA"/>
    <w:rsid w:val="789E5CA1"/>
    <w:rsid w:val="78B15D78"/>
    <w:rsid w:val="78DA16A1"/>
    <w:rsid w:val="79297BCF"/>
    <w:rsid w:val="793B3DA7"/>
    <w:rsid w:val="79E60F1E"/>
    <w:rsid w:val="79EB7599"/>
    <w:rsid w:val="7A2130CB"/>
    <w:rsid w:val="7A7212EA"/>
    <w:rsid w:val="7A9B2272"/>
    <w:rsid w:val="7ACF3AD1"/>
    <w:rsid w:val="7B2E5971"/>
    <w:rsid w:val="7BB12870"/>
    <w:rsid w:val="7BD2372A"/>
    <w:rsid w:val="7BEF89DB"/>
    <w:rsid w:val="7C653614"/>
    <w:rsid w:val="7CF657B2"/>
    <w:rsid w:val="7D31799A"/>
    <w:rsid w:val="7DAA5057"/>
    <w:rsid w:val="7DEF8E7F"/>
    <w:rsid w:val="7E333AD2"/>
    <w:rsid w:val="7E6F2BC7"/>
    <w:rsid w:val="7EFA64F1"/>
    <w:rsid w:val="7F67BABB"/>
    <w:rsid w:val="7F963E76"/>
    <w:rsid w:val="7FCBCCD2"/>
    <w:rsid w:val="7FE01204"/>
    <w:rsid w:val="7FE24F7C"/>
    <w:rsid w:val="7FE30FEB"/>
    <w:rsid w:val="7FF3EA13"/>
    <w:rsid w:val="C3B662D2"/>
    <w:rsid w:val="F83E5DBA"/>
    <w:rsid w:val="FF7D3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71"/>
    <w:qFormat/>
    <w:uiPriority w:val="0"/>
    <w:pPr>
      <w:keepNext/>
      <w:snapToGrid w:val="0"/>
      <w:spacing w:line="360" w:lineRule="atLeast"/>
      <w:outlineLvl w:val="0"/>
    </w:pPr>
    <w:rPr>
      <w:rFonts w:ascii="宋体"/>
      <w:kern w:val="0"/>
      <w:sz w:val="20"/>
    </w:rPr>
  </w:style>
  <w:style w:type="paragraph" w:styleId="4">
    <w:name w:val="heading 2"/>
    <w:basedOn w:val="1"/>
    <w:next w:val="1"/>
    <w:link w:val="72"/>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73"/>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1"/>
    <w:pPr>
      <w:jc w:val="both"/>
    </w:pPr>
    <w:rPr>
      <w:rFonts w:ascii="Times New Roman" w:hAnsi="Times New Roman" w:eastAsia="Times New Roman" w:cs="Times New Roman"/>
      <w:lang w:val="en-US" w:eastAsia="zh-CN" w:bidi="ar-SA"/>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74"/>
    <w:qFormat/>
    <w:uiPriority w:val="99"/>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numPr>
        <w:ilvl w:val="0"/>
        <w:numId w:val="2"/>
      </w:numPr>
      <w:adjustRightInd w:val="0"/>
      <w:snapToGrid w:val="0"/>
      <w:spacing w:line="360" w:lineRule="auto"/>
    </w:pPr>
    <w:rPr>
      <w:sz w:val="24"/>
    </w:rPr>
  </w:style>
  <w:style w:type="paragraph" w:styleId="23">
    <w:name w:val="Body Text"/>
    <w:basedOn w:val="1"/>
    <w:next w:val="1"/>
    <w:qFormat/>
    <w:uiPriority w:val="0"/>
    <w:rPr>
      <w:rFonts w:ascii="仿宋_GB2312" w:eastAsia="仿宋_GB2312"/>
      <w:sz w:val="32"/>
    </w:rPr>
  </w:style>
  <w:style w:type="paragraph" w:styleId="24">
    <w:name w:val="Body Text Indent"/>
    <w:basedOn w:val="1"/>
    <w:link w:val="75"/>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Block Text"/>
    <w:basedOn w:val="1"/>
    <w:qFormat/>
    <w:uiPriority w:val="99"/>
    <w:pPr>
      <w:ind w:left="1440" w:leftChars="700" w:right="700" w:rightChars="700"/>
    </w:pPr>
  </w:style>
  <w:style w:type="paragraph" w:styleId="29">
    <w:name w:val="List Bullet 2"/>
    <w:basedOn w:val="1"/>
    <w:qFormat/>
    <w:uiPriority w:val="0"/>
    <w:pPr>
      <w:numPr>
        <w:ilvl w:val="0"/>
        <w:numId w:val="3"/>
      </w:numPr>
      <w:adjustRightInd w:val="0"/>
      <w:snapToGrid w:val="0"/>
      <w:spacing w:line="360" w:lineRule="auto"/>
    </w:pPr>
    <w:rPr>
      <w:sz w:val="24"/>
    </w:rPr>
  </w:style>
  <w:style w:type="paragraph" w:styleId="30">
    <w:name w:val="toc 5"/>
    <w:basedOn w:val="1"/>
    <w:next w:val="1"/>
    <w:qFormat/>
    <w:uiPriority w:val="0"/>
    <w:pPr>
      <w:ind w:left="1680" w:leftChars="800"/>
    </w:pPr>
  </w:style>
  <w:style w:type="paragraph" w:styleId="31">
    <w:name w:val="toc 3"/>
    <w:basedOn w:val="1"/>
    <w:next w:val="1"/>
    <w:qFormat/>
    <w:uiPriority w:val="39"/>
    <w:pPr>
      <w:ind w:left="840" w:leftChars="400"/>
    </w:pPr>
  </w:style>
  <w:style w:type="paragraph" w:styleId="32">
    <w:name w:val="Plain Text"/>
    <w:basedOn w:val="1"/>
    <w:link w:val="76"/>
    <w:qFormat/>
    <w:uiPriority w:val="0"/>
    <w:rPr>
      <w:rFonts w:ascii="宋体" w:hAnsi="Courier New"/>
    </w:rPr>
  </w:style>
  <w:style w:type="paragraph" w:styleId="33">
    <w:name w:val="toc 8"/>
    <w:basedOn w:val="1"/>
    <w:next w:val="1"/>
    <w:qFormat/>
    <w:uiPriority w:val="0"/>
    <w:pPr>
      <w:ind w:left="2940" w:leftChars="1400"/>
    </w:pPr>
  </w:style>
  <w:style w:type="paragraph" w:styleId="34">
    <w:name w:val="Date"/>
    <w:basedOn w:val="1"/>
    <w:next w:val="1"/>
    <w:link w:val="77"/>
    <w:qFormat/>
    <w:uiPriority w:val="0"/>
  </w:style>
  <w:style w:type="paragraph" w:styleId="35">
    <w:name w:val="Body Text Indent 2"/>
    <w:basedOn w:val="1"/>
    <w:link w:val="78"/>
    <w:qFormat/>
    <w:uiPriority w:val="0"/>
    <w:pPr>
      <w:snapToGrid w:val="0"/>
      <w:spacing w:line="560" w:lineRule="atLeast"/>
      <w:ind w:firstLine="540"/>
    </w:pPr>
  </w:style>
  <w:style w:type="paragraph" w:styleId="36">
    <w:name w:val="Balloon Text"/>
    <w:basedOn w:val="1"/>
    <w:qFormat/>
    <w:uiPriority w:val="0"/>
    <w:rPr>
      <w:sz w:val="18"/>
    </w:rPr>
  </w:style>
  <w:style w:type="paragraph" w:styleId="37">
    <w:name w:val="footer"/>
    <w:basedOn w:val="1"/>
    <w:link w:val="79"/>
    <w:qFormat/>
    <w:uiPriority w:val="99"/>
    <w:pPr>
      <w:tabs>
        <w:tab w:val="center" w:pos="4153"/>
        <w:tab w:val="right" w:pos="8306"/>
      </w:tabs>
      <w:snapToGrid w:val="0"/>
      <w:jc w:val="left"/>
    </w:pPr>
    <w:rPr>
      <w:sz w:val="18"/>
    </w:rPr>
  </w:style>
  <w:style w:type="paragraph" w:styleId="38">
    <w:name w:val="envelope return"/>
    <w:basedOn w:val="1"/>
    <w:qFormat/>
    <w:uiPriority w:val="0"/>
    <w:pPr>
      <w:snapToGrid w:val="0"/>
    </w:pPr>
    <w:rPr>
      <w:rFonts w:ascii="Arial" w:hAnsi="Arial" w:eastAsia="微软雅黑"/>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39"/>
    <w:pPr>
      <w:spacing w:line="180" w:lineRule="auto"/>
      <w:jc w:val="center"/>
    </w:pPr>
    <w:rPr>
      <w:sz w:val="30"/>
    </w:rPr>
  </w:style>
  <w:style w:type="paragraph" w:styleId="41">
    <w:name w:val="List Continue 4"/>
    <w:basedOn w:val="1"/>
    <w:qFormat/>
    <w:uiPriority w:val="0"/>
    <w:pPr>
      <w:adjustRightInd w:val="0"/>
      <w:snapToGrid w:val="0"/>
      <w:spacing w:after="120" w:line="360" w:lineRule="auto"/>
      <w:ind w:left="1680" w:leftChars="800"/>
    </w:pPr>
    <w:rPr>
      <w:sz w:val="24"/>
    </w:rPr>
  </w:style>
  <w:style w:type="paragraph" w:styleId="42">
    <w:name w:val="toc 4"/>
    <w:basedOn w:val="1"/>
    <w:next w:val="1"/>
    <w:qFormat/>
    <w:uiPriority w:val="0"/>
    <w:pPr>
      <w:ind w:left="1260" w:leftChars="600"/>
    </w:pPr>
  </w:style>
  <w:style w:type="paragraph" w:styleId="43">
    <w:name w:val="List"/>
    <w:basedOn w:val="1"/>
    <w:qFormat/>
    <w:uiPriority w:val="0"/>
    <w:pPr>
      <w:ind w:left="200" w:hanging="200" w:hangingChars="200"/>
      <w:contextualSpacing/>
    </w:pPr>
  </w:style>
  <w:style w:type="paragraph" w:styleId="44">
    <w:name w:val="footnote text"/>
    <w:basedOn w:val="1"/>
    <w:link w:val="80"/>
    <w:qFormat/>
    <w:uiPriority w:val="0"/>
    <w:pPr>
      <w:spacing w:line="360" w:lineRule="auto"/>
    </w:pPr>
    <w:rPr>
      <w:sz w:val="18"/>
    </w:rPr>
  </w:style>
  <w:style w:type="paragraph" w:styleId="45">
    <w:name w:val="toc 6"/>
    <w:basedOn w:val="1"/>
    <w:next w:val="1"/>
    <w:qFormat/>
    <w:uiPriority w:val="0"/>
    <w:pPr>
      <w:ind w:left="2100" w:leftChars="1000"/>
    </w:pPr>
  </w:style>
  <w:style w:type="paragraph" w:styleId="46">
    <w:name w:val="List 5"/>
    <w:basedOn w:val="1"/>
    <w:qFormat/>
    <w:uiPriority w:val="0"/>
    <w:pPr>
      <w:adjustRightInd w:val="0"/>
      <w:snapToGrid w:val="0"/>
      <w:spacing w:line="360" w:lineRule="auto"/>
      <w:ind w:left="100" w:leftChars="800" w:hanging="200" w:hangingChars="200"/>
    </w:pPr>
    <w:rPr>
      <w:sz w:val="24"/>
    </w:rPr>
  </w:style>
  <w:style w:type="paragraph" w:styleId="47">
    <w:name w:val="Body Text Indent 3"/>
    <w:basedOn w:val="1"/>
    <w:qFormat/>
    <w:uiPriority w:val="0"/>
    <w:pPr>
      <w:spacing w:line="360" w:lineRule="auto"/>
      <w:ind w:firstLine="632"/>
    </w:pPr>
    <w:rPr>
      <w:rFonts w:ascii="黑体" w:eastAsia="黑体"/>
    </w:rPr>
  </w:style>
  <w:style w:type="paragraph" w:styleId="48">
    <w:name w:val="table of figures"/>
    <w:basedOn w:val="1"/>
    <w:next w:val="1"/>
    <w:qFormat/>
    <w:uiPriority w:val="0"/>
    <w:pPr>
      <w:tabs>
        <w:tab w:val="right" w:leader="dot" w:pos="8640"/>
      </w:tabs>
      <w:spacing w:line="360" w:lineRule="auto"/>
      <w:ind w:left="400" w:hanging="400"/>
    </w:pPr>
    <w:rPr>
      <w:sz w:val="24"/>
    </w:rPr>
  </w:style>
  <w:style w:type="paragraph" w:styleId="49">
    <w:name w:val="toc 2"/>
    <w:basedOn w:val="1"/>
    <w:next w:val="1"/>
    <w:qFormat/>
    <w:uiPriority w:val="39"/>
    <w:pPr>
      <w:ind w:left="420" w:leftChars="200"/>
    </w:pPr>
    <w:rPr>
      <w:sz w:val="24"/>
    </w:rPr>
  </w:style>
  <w:style w:type="paragraph" w:styleId="50">
    <w:name w:val="toc 9"/>
    <w:basedOn w:val="1"/>
    <w:next w:val="1"/>
    <w:qFormat/>
    <w:uiPriority w:val="0"/>
    <w:pPr>
      <w:ind w:left="3360" w:leftChars="1600"/>
    </w:pPr>
  </w:style>
  <w:style w:type="paragraph" w:styleId="51">
    <w:name w:val="Body Text 2"/>
    <w:basedOn w:val="1"/>
    <w:qFormat/>
    <w:uiPriority w:val="0"/>
    <w:pPr>
      <w:adjustRightInd w:val="0"/>
      <w:snapToGrid w:val="0"/>
      <w:spacing w:after="120" w:line="480" w:lineRule="auto"/>
    </w:pPr>
    <w:rPr>
      <w:sz w:val="24"/>
    </w:rPr>
  </w:style>
  <w:style w:type="paragraph" w:styleId="52">
    <w:name w:val="List 4"/>
    <w:basedOn w:val="1"/>
    <w:qFormat/>
    <w:uiPriority w:val="0"/>
    <w:pPr>
      <w:adjustRightInd w:val="0"/>
      <w:snapToGrid w:val="0"/>
      <w:spacing w:line="360" w:lineRule="auto"/>
      <w:ind w:left="100" w:leftChars="600" w:hanging="200" w:hangingChars="200"/>
    </w:pPr>
    <w:rPr>
      <w:sz w:val="24"/>
    </w:rPr>
  </w:style>
  <w:style w:type="paragraph" w:styleId="53">
    <w:name w:val="List Continue 2"/>
    <w:basedOn w:val="1"/>
    <w:qFormat/>
    <w:uiPriority w:val="0"/>
    <w:pPr>
      <w:adjustRightInd w:val="0"/>
      <w:snapToGrid w:val="0"/>
      <w:spacing w:after="120" w:line="360" w:lineRule="auto"/>
      <w:ind w:left="840" w:leftChars="400"/>
    </w:pPr>
    <w:rPr>
      <w:sz w:val="24"/>
    </w:rPr>
  </w:style>
  <w:style w:type="paragraph" w:styleId="54">
    <w:name w:val="Normal (Web)"/>
    <w:basedOn w:val="1"/>
    <w:qFormat/>
    <w:uiPriority w:val="0"/>
    <w:pPr>
      <w:widowControl/>
      <w:spacing w:before="100" w:beforeAutospacing="1" w:after="100" w:afterAutospacing="1"/>
      <w:jc w:val="left"/>
    </w:pPr>
    <w:rPr>
      <w:rFonts w:ascii="宋体" w:hAnsi="宋体"/>
      <w:kern w:val="0"/>
      <w:sz w:val="24"/>
    </w:rPr>
  </w:style>
  <w:style w:type="paragraph" w:styleId="55">
    <w:name w:val="List Continue 3"/>
    <w:basedOn w:val="1"/>
    <w:qFormat/>
    <w:uiPriority w:val="0"/>
    <w:pPr>
      <w:adjustRightInd w:val="0"/>
      <w:snapToGrid w:val="0"/>
      <w:spacing w:after="120" w:line="360" w:lineRule="auto"/>
      <w:ind w:left="1260" w:leftChars="600"/>
    </w:pPr>
    <w:rPr>
      <w:sz w:val="24"/>
    </w:rPr>
  </w:style>
  <w:style w:type="paragraph" w:styleId="56">
    <w:name w:val="index 1"/>
    <w:basedOn w:val="1"/>
    <w:next w:val="1"/>
    <w:qFormat/>
    <w:uiPriority w:val="0"/>
    <w:pPr>
      <w:adjustRightInd w:val="0"/>
      <w:spacing w:line="240" w:lineRule="atLeast"/>
      <w:textAlignment w:val="baseline"/>
    </w:pPr>
    <w:rPr>
      <w:rFonts w:ascii="宋体"/>
      <w:kern w:val="0"/>
    </w:rPr>
  </w:style>
  <w:style w:type="paragraph" w:styleId="57">
    <w:name w:val="Title"/>
    <w:basedOn w:val="1"/>
    <w:qFormat/>
    <w:uiPriority w:val="0"/>
    <w:pPr>
      <w:widowControl/>
      <w:spacing w:after="240" w:line="360" w:lineRule="auto"/>
      <w:jc w:val="center"/>
    </w:pPr>
    <w:rPr>
      <w:rFonts w:ascii="Arial" w:hAnsi="Arial"/>
      <w:b/>
      <w:smallCaps/>
      <w:kern w:val="28"/>
      <w:sz w:val="36"/>
      <w:lang w:eastAsia="en-US"/>
    </w:rPr>
  </w:style>
  <w:style w:type="paragraph" w:styleId="58">
    <w:name w:val="annotation subject"/>
    <w:basedOn w:val="20"/>
    <w:next w:val="20"/>
    <w:link w:val="81"/>
    <w:qFormat/>
    <w:uiPriority w:val="0"/>
    <w:pPr>
      <w:adjustRightInd/>
      <w:spacing w:line="240" w:lineRule="auto"/>
      <w:textAlignment w:val="auto"/>
    </w:pPr>
  </w:style>
  <w:style w:type="paragraph" w:styleId="59">
    <w:name w:val="Body Text First Indent"/>
    <w:basedOn w:val="1"/>
    <w:qFormat/>
    <w:uiPriority w:val="0"/>
    <w:pPr>
      <w:spacing w:line="360" w:lineRule="auto"/>
      <w:ind w:firstLine="420"/>
    </w:pPr>
    <w:rPr>
      <w:rFonts w:ascii="宋体" w:hAnsi="宋体"/>
      <w:sz w:val="24"/>
    </w:rPr>
  </w:style>
  <w:style w:type="paragraph" w:styleId="60">
    <w:name w:val="Body Text First Indent 2"/>
    <w:basedOn w:val="24"/>
    <w:link w:val="82"/>
    <w:qFormat/>
    <w:uiPriority w:val="0"/>
    <w:pPr>
      <w:spacing w:after="120" w:line="240" w:lineRule="auto"/>
      <w:ind w:left="420" w:leftChars="200" w:firstLine="420" w:firstLineChars="200"/>
    </w:pPr>
  </w:style>
  <w:style w:type="table" w:styleId="62">
    <w:name w:val="Table Grid"/>
    <w:basedOn w:val="6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qFormat/>
    <w:uiPriority w:val="22"/>
    <w:rPr>
      <w:b/>
    </w:rPr>
  </w:style>
  <w:style w:type="character" w:styleId="65">
    <w:name w:val="page number"/>
    <w:basedOn w:val="63"/>
    <w:qFormat/>
    <w:uiPriority w:val="0"/>
  </w:style>
  <w:style w:type="character" w:styleId="66">
    <w:name w:val="FollowedHyperlink"/>
    <w:qFormat/>
    <w:uiPriority w:val="0"/>
    <w:rPr>
      <w:color w:val="800080"/>
      <w:u w:val="single"/>
    </w:rPr>
  </w:style>
  <w:style w:type="character" w:styleId="67">
    <w:name w:val="Emphasis"/>
    <w:qFormat/>
    <w:uiPriority w:val="0"/>
    <w:rPr>
      <w:i/>
    </w:rPr>
  </w:style>
  <w:style w:type="character" w:styleId="68">
    <w:name w:val="Hyperlink"/>
    <w:qFormat/>
    <w:uiPriority w:val="99"/>
    <w:rPr>
      <w:color w:val="0000FF"/>
      <w:u w:val="single"/>
    </w:rPr>
  </w:style>
  <w:style w:type="character" w:styleId="69">
    <w:name w:val="annotation reference"/>
    <w:qFormat/>
    <w:uiPriority w:val="0"/>
    <w:rPr>
      <w:sz w:val="21"/>
      <w:szCs w:val="21"/>
    </w:rPr>
  </w:style>
  <w:style w:type="character" w:styleId="70">
    <w:name w:val="footnote reference"/>
    <w:qFormat/>
    <w:uiPriority w:val="0"/>
    <w:rPr>
      <w:position w:val="6"/>
      <w:sz w:val="14"/>
      <w:vertAlign w:val="superscript"/>
    </w:rPr>
  </w:style>
  <w:style w:type="character" w:customStyle="1" w:styleId="71">
    <w:name w:val="标题 1 Char"/>
    <w:link w:val="3"/>
    <w:qFormat/>
    <w:uiPriority w:val="0"/>
    <w:rPr>
      <w:rFonts w:ascii="宋体"/>
    </w:rPr>
  </w:style>
  <w:style w:type="character" w:customStyle="1" w:styleId="72">
    <w:name w:val="标题 2 Char"/>
    <w:link w:val="4"/>
    <w:qFormat/>
    <w:uiPriority w:val="0"/>
    <w:rPr>
      <w:rFonts w:ascii="Arial" w:hAnsi="Arial" w:eastAsia="黑体"/>
      <w:b/>
      <w:kern w:val="2"/>
      <w:sz w:val="32"/>
    </w:rPr>
  </w:style>
  <w:style w:type="character" w:customStyle="1" w:styleId="73">
    <w:name w:val="标题 3 Char"/>
    <w:link w:val="5"/>
    <w:qFormat/>
    <w:uiPriority w:val="0"/>
    <w:rPr>
      <w:rFonts w:eastAsia="宋体"/>
      <w:b/>
      <w:kern w:val="2"/>
      <w:sz w:val="32"/>
      <w:lang w:val="en-US" w:eastAsia="zh-CN"/>
    </w:rPr>
  </w:style>
  <w:style w:type="character" w:customStyle="1" w:styleId="74">
    <w:name w:val="批注文字 Char"/>
    <w:link w:val="20"/>
    <w:qFormat/>
    <w:uiPriority w:val="99"/>
    <w:rPr>
      <w:sz w:val="24"/>
    </w:rPr>
  </w:style>
  <w:style w:type="character" w:customStyle="1" w:styleId="75">
    <w:name w:val="正文文本缩进 Char"/>
    <w:link w:val="24"/>
    <w:qFormat/>
    <w:uiPriority w:val="0"/>
    <w:rPr>
      <w:kern w:val="2"/>
      <w:sz w:val="44"/>
    </w:rPr>
  </w:style>
  <w:style w:type="character" w:customStyle="1" w:styleId="76">
    <w:name w:val="纯文本 Char"/>
    <w:link w:val="32"/>
    <w:qFormat/>
    <w:uiPriority w:val="0"/>
    <w:rPr>
      <w:rFonts w:ascii="宋体" w:hAnsi="Courier New"/>
      <w:kern w:val="2"/>
      <w:sz w:val="21"/>
    </w:rPr>
  </w:style>
  <w:style w:type="character" w:customStyle="1" w:styleId="77">
    <w:name w:val="日期 Char"/>
    <w:link w:val="34"/>
    <w:qFormat/>
    <w:uiPriority w:val="0"/>
    <w:rPr>
      <w:kern w:val="2"/>
      <w:sz w:val="28"/>
    </w:rPr>
  </w:style>
  <w:style w:type="character" w:customStyle="1" w:styleId="78">
    <w:name w:val="正文文本缩进 2 Char"/>
    <w:link w:val="35"/>
    <w:qFormat/>
    <w:uiPriority w:val="0"/>
    <w:rPr>
      <w:kern w:val="2"/>
      <w:sz w:val="28"/>
    </w:rPr>
  </w:style>
  <w:style w:type="character" w:customStyle="1" w:styleId="79">
    <w:name w:val="页脚 Char"/>
    <w:link w:val="37"/>
    <w:qFormat/>
    <w:uiPriority w:val="99"/>
    <w:rPr>
      <w:kern w:val="2"/>
      <w:sz w:val="18"/>
    </w:rPr>
  </w:style>
  <w:style w:type="character" w:customStyle="1" w:styleId="80">
    <w:name w:val="脚注文本 Char"/>
    <w:link w:val="44"/>
    <w:qFormat/>
    <w:uiPriority w:val="0"/>
    <w:rPr>
      <w:kern w:val="2"/>
      <w:sz w:val="18"/>
    </w:rPr>
  </w:style>
  <w:style w:type="character" w:customStyle="1" w:styleId="81">
    <w:name w:val="批注主题 Char"/>
    <w:link w:val="58"/>
    <w:qFormat/>
    <w:uiPriority w:val="0"/>
  </w:style>
  <w:style w:type="character" w:customStyle="1" w:styleId="82">
    <w:name w:val="正文首行缩进 2 Char"/>
    <w:link w:val="60"/>
    <w:qFormat/>
    <w:uiPriority w:val="0"/>
  </w:style>
  <w:style w:type="character" w:customStyle="1" w:styleId="83">
    <w:name w:val="正文 + 三号 Char"/>
    <w:qFormat/>
    <w:uiPriority w:val="0"/>
    <w:rPr>
      <w:rFonts w:eastAsia="宋体"/>
      <w:kern w:val="2"/>
      <w:sz w:val="21"/>
      <w:lang w:val="en-US" w:eastAsia="zh-CN"/>
    </w:rPr>
  </w:style>
  <w:style w:type="character" w:customStyle="1" w:styleId="84">
    <w:name w:val="Char Char3"/>
    <w:qFormat/>
    <w:uiPriority w:val="0"/>
    <w:rPr>
      <w:rFonts w:eastAsia="宋体"/>
      <w:kern w:val="2"/>
      <w:sz w:val="18"/>
      <w:lang w:val="en-US" w:eastAsia="zh-CN"/>
    </w:rPr>
  </w:style>
  <w:style w:type="character" w:customStyle="1" w:styleId="85">
    <w:name w:val="crowed11"/>
    <w:qFormat/>
    <w:uiPriority w:val="0"/>
    <w:rPr>
      <w:rFonts w:hint="default" w:ascii="_x000B__x000C_" w:hAnsi="_x000B__x000C_"/>
      <w:sz w:val="24"/>
    </w:rPr>
  </w:style>
  <w:style w:type="character" w:customStyle="1" w:styleId="86">
    <w:name w:val="Table Heading Char Char"/>
    <w:qFormat/>
    <w:uiPriority w:val="0"/>
    <w:rPr>
      <w:rFonts w:ascii="Arial" w:hAnsi="Arial" w:eastAsia="黑体"/>
      <w:kern w:val="2"/>
      <w:sz w:val="18"/>
      <w:lang w:val="en-US" w:eastAsia="zh-CN"/>
    </w:rPr>
  </w:style>
  <w:style w:type="character" w:customStyle="1" w:styleId="87">
    <w:name w:val="标书正文:  0.74 厘米 Char1"/>
    <w:qFormat/>
    <w:uiPriority w:val="0"/>
    <w:rPr>
      <w:rFonts w:eastAsia="宋体"/>
      <w:kern w:val="2"/>
      <w:sz w:val="24"/>
      <w:lang w:val="en-US" w:eastAsia="zh-CN"/>
    </w:rPr>
  </w:style>
  <w:style w:type="character" w:customStyle="1" w:styleId="88">
    <w:name w:val="文字 Char"/>
    <w:link w:val="89"/>
    <w:qFormat/>
    <w:uiPriority w:val="0"/>
    <w:rPr>
      <w:rFonts w:ascii="宋体"/>
      <w:kern w:val="2"/>
      <w:sz w:val="28"/>
    </w:rPr>
  </w:style>
  <w:style w:type="paragraph" w:customStyle="1" w:styleId="89">
    <w:name w:val="文字"/>
    <w:basedOn w:val="1"/>
    <w:link w:val="88"/>
    <w:qFormat/>
    <w:uiPriority w:val="0"/>
    <w:pPr>
      <w:tabs>
        <w:tab w:val="left" w:pos="8520"/>
      </w:tabs>
      <w:spacing w:line="312" w:lineRule="auto"/>
      <w:ind w:right="-210" w:firstLine="556"/>
    </w:pPr>
    <w:rPr>
      <w:rFonts w:ascii="宋体"/>
    </w:rPr>
  </w:style>
  <w:style w:type="character" w:customStyle="1" w:styleId="90">
    <w:name w:val="trnone1"/>
    <w:qFormat/>
    <w:uiPriority w:val="0"/>
  </w:style>
  <w:style w:type="character" w:customStyle="1" w:styleId="91">
    <w:name w:val="H2 Char"/>
    <w:qFormat/>
    <w:uiPriority w:val="0"/>
    <w:rPr>
      <w:rFonts w:ascii="Arial" w:hAnsi="Arial" w:eastAsia="宋体"/>
      <w:kern w:val="2"/>
      <w:sz w:val="28"/>
      <w:lang w:val="en-US" w:eastAsia="zh-CN"/>
    </w:rPr>
  </w:style>
  <w:style w:type="character" w:customStyle="1" w:styleId="92">
    <w:name w:val="font112"/>
    <w:qFormat/>
    <w:uiPriority w:val="0"/>
    <w:rPr>
      <w:rFonts w:hint="default" w:ascii="Times New Roman" w:hAnsi="Times New Roman" w:cs="Times New Roman"/>
      <w:color w:val="000000"/>
      <w:sz w:val="20"/>
      <w:szCs w:val="20"/>
      <w:u w:val="none"/>
    </w:rPr>
  </w:style>
  <w:style w:type="character" w:customStyle="1" w:styleId="93">
    <w:name w:val="font31"/>
    <w:qFormat/>
    <w:uiPriority w:val="0"/>
    <w:rPr>
      <w:rFonts w:hint="eastAsia" w:ascii="宋体" w:hAnsi="宋体" w:eastAsia="宋体" w:cs="宋体"/>
      <w:color w:val="000000"/>
      <w:sz w:val="22"/>
      <w:szCs w:val="22"/>
      <w:u w:val="none"/>
    </w:rPr>
  </w:style>
  <w:style w:type="character" w:customStyle="1" w:styleId="94">
    <w:name w:val="未命名11"/>
    <w:qFormat/>
    <w:uiPriority w:val="0"/>
    <w:rPr>
      <w:color w:val="77FFFF"/>
      <w:sz w:val="24"/>
    </w:rPr>
  </w:style>
  <w:style w:type="character" w:customStyle="1" w:styleId="95">
    <w:name w:val="font11"/>
    <w:qFormat/>
    <w:uiPriority w:val="0"/>
    <w:rPr>
      <w:rFonts w:hint="eastAsia" w:ascii="宋体" w:hAnsi="宋体" w:eastAsia="宋体" w:cs="宋体"/>
      <w:color w:val="000000"/>
      <w:sz w:val="20"/>
      <w:szCs w:val="20"/>
      <w:u w:val="none"/>
    </w:rPr>
  </w:style>
  <w:style w:type="character" w:customStyle="1" w:styleId="96">
    <w:name w:val="Char Char7"/>
    <w:qFormat/>
    <w:uiPriority w:val="0"/>
    <w:rPr>
      <w:rFonts w:ascii="宋体" w:hAnsi="宋体" w:eastAsia="宋体"/>
      <w:kern w:val="2"/>
      <w:sz w:val="28"/>
    </w:rPr>
  </w:style>
  <w:style w:type="character" w:customStyle="1" w:styleId="97">
    <w:name w:val="Table Text Char"/>
    <w:link w:val="98"/>
    <w:qFormat/>
    <w:uiPriority w:val="0"/>
    <w:rPr>
      <w:rFonts w:ascii="Arial" w:hAnsi="Arial"/>
      <w:kern w:val="2"/>
      <w:sz w:val="18"/>
      <w:lang w:val="en-US" w:eastAsia="zh-CN" w:bidi="ar-SA"/>
    </w:rPr>
  </w:style>
  <w:style w:type="paragraph" w:customStyle="1" w:styleId="98">
    <w:name w:val="Table Text"/>
    <w:link w:val="97"/>
    <w:qFormat/>
    <w:uiPriority w:val="0"/>
    <w:pPr>
      <w:snapToGrid w:val="0"/>
      <w:spacing w:before="80" w:after="80"/>
    </w:pPr>
    <w:rPr>
      <w:rFonts w:ascii="Arial" w:hAnsi="Arial" w:eastAsia="宋体" w:cs="Times New Roman"/>
      <w:kern w:val="2"/>
      <w:sz w:val="18"/>
      <w:lang w:val="en-US" w:eastAsia="zh-CN" w:bidi="ar-SA"/>
    </w:rPr>
  </w:style>
  <w:style w:type="character" w:customStyle="1" w:styleId="99">
    <w:name w:val="font1"/>
    <w:qFormat/>
    <w:uiPriority w:val="0"/>
    <w:rPr>
      <w:color w:val="000000"/>
      <w:sz w:val="18"/>
    </w:rPr>
  </w:style>
  <w:style w:type="character" w:customStyle="1" w:styleId="100">
    <w:name w:val="title_emph1"/>
    <w:qFormat/>
    <w:uiPriority w:val="0"/>
    <w:rPr>
      <w:rFonts w:hint="default" w:ascii="Arial" w:hAnsi="Arial"/>
      <w:b/>
      <w:sz w:val="20"/>
    </w:rPr>
  </w:style>
  <w:style w:type="character" w:customStyle="1" w:styleId="101">
    <w:name w:val="Char Char4"/>
    <w:qFormat/>
    <w:uiPriority w:val="0"/>
    <w:rPr>
      <w:rFonts w:eastAsia="宋体"/>
      <w:b/>
      <w:kern w:val="2"/>
      <w:sz w:val="21"/>
      <w:lang w:val="en-US" w:eastAsia="zh-CN"/>
    </w:rPr>
  </w:style>
  <w:style w:type="character" w:customStyle="1" w:styleId="102">
    <w:name w:val="font41"/>
    <w:qFormat/>
    <w:uiPriority w:val="0"/>
    <w:rPr>
      <w:rFonts w:hint="eastAsia" w:ascii="宋体" w:hAnsi="宋体" w:eastAsia="宋体" w:cs="宋体"/>
      <w:color w:val="000000"/>
      <w:sz w:val="20"/>
      <w:szCs w:val="20"/>
      <w:u w:val="none"/>
    </w:rPr>
  </w:style>
  <w:style w:type="character" w:customStyle="1" w:styleId="103">
    <w:name w:val="v151"/>
    <w:qFormat/>
    <w:uiPriority w:val="0"/>
    <w:rPr>
      <w:sz w:val="18"/>
    </w:rPr>
  </w:style>
  <w:style w:type="character" w:customStyle="1" w:styleId="104">
    <w:name w:val="Char Char5"/>
    <w:qFormat/>
    <w:uiPriority w:val="0"/>
    <w:rPr>
      <w:rFonts w:ascii="Arial" w:hAnsi="Arial" w:eastAsia="宋体"/>
      <w:b/>
      <w:smallCaps/>
      <w:kern w:val="28"/>
      <w:sz w:val="36"/>
      <w:lang w:val="en-US" w:eastAsia="en-US"/>
    </w:rPr>
  </w:style>
  <w:style w:type="character" w:customStyle="1" w:styleId="105">
    <w:name w:val="top-det1"/>
    <w:qFormat/>
    <w:uiPriority w:val="0"/>
    <w:rPr>
      <w:b/>
      <w:color w:val="000000"/>
    </w:rPr>
  </w:style>
  <w:style w:type="character" w:customStyle="1" w:styleId="106">
    <w:name w:val="Char Char6"/>
    <w:qFormat/>
    <w:uiPriority w:val="0"/>
    <w:rPr>
      <w:rFonts w:ascii="仿宋_GB2312" w:eastAsia="仿宋_GB2312"/>
      <w:kern w:val="2"/>
      <w:sz w:val="32"/>
    </w:rPr>
  </w:style>
  <w:style w:type="character" w:customStyle="1" w:styleId="107">
    <w:name w:val="15"/>
    <w:qFormat/>
    <w:uiPriority w:val="0"/>
    <w:rPr>
      <w:rFonts w:hint="eastAsia" w:ascii="等线" w:hAnsi="等线" w:eastAsia="等线"/>
      <w:color w:val="000000"/>
      <w:sz w:val="22"/>
      <w:szCs w:val="22"/>
    </w:rPr>
  </w:style>
  <w:style w:type="character" w:customStyle="1" w:styleId="108">
    <w:name w:val="Char Char11"/>
    <w:qFormat/>
    <w:uiPriority w:val="0"/>
    <w:rPr>
      <w:rFonts w:ascii="宋体"/>
      <w:kern w:val="2"/>
      <w:sz w:val="28"/>
    </w:rPr>
  </w:style>
  <w:style w:type="character" w:customStyle="1" w:styleId="109">
    <w:name w:val="小 Char"/>
    <w:qFormat/>
    <w:uiPriority w:val="0"/>
    <w:rPr>
      <w:rFonts w:ascii="宋体" w:hAnsi="Courier New" w:eastAsia="宋体"/>
      <w:kern w:val="2"/>
      <w:sz w:val="21"/>
      <w:lang w:val="en-US" w:eastAsia="zh-CN" w:bidi="ar-SA"/>
    </w:rPr>
  </w:style>
  <w:style w:type="character" w:customStyle="1" w:styleId="110">
    <w:name w:val="Char Char"/>
    <w:qFormat/>
    <w:uiPriority w:val="0"/>
    <w:rPr>
      <w:rFonts w:ascii="宋体" w:hAnsi="宋体" w:eastAsia="宋体"/>
      <w:kern w:val="2"/>
      <w:sz w:val="24"/>
      <w:lang w:val="en-US" w:eastAsia="zh-CN" w:bidi="ar-SA"/>
    </w:rPr>
  </w:style>
  <w:style w:type="character" w:customStyle="1" w:styleId="111">
    <w:name w:val="font121"/>
    <w:qFormat/>
    <w:uiPriority w:val="0"/>
    <w:rPr>
      <w:rFonts w:hint="eastAsia" w:ascii="宋体" w:hAnsi="宋体" w:eastAsia="宋体" w:cs="宋体"/>
      <w:color w:val="000000"/>
      <w:sz w:val="20"/>
      <w:szCs w:val="20"/>
      <w:u w:val="none"/>
    </w:rPr>
  </w:style>
  <w:style w:type="character" w:customStyle="1" w:styleId="112">
    <w:name w:val="font81"/>
    <w:qFormat/>
    <w:uiPriority w:val="0"/>
    <w:rPr>
      <w:rFonts w:hint="default" w:ascii="Times New Roman" w:hAnsi="Times New Roman" w:cs="Times New Roman"/>
      <w:color w:val="000000"/>
      <w:sz w:val="20"/>
      <w:szCs w:val="20"/>
      <w:u w:val="none"/>
    </w:rPr>
  </w:style>
  <w:style w:type="character" w:customStyle="1" w:styleId="113">
    <w:name w:val="content-white1"/>
    <w:qFormat/>
    <w:uiPriority w:val="0"/>
    <w:rPr>
      <w:rFonts w:ascii="_x000B__x000C_" w:hAnsi="_x000B__x000C_"/>
      <w:color w:val="auto"/>
      <w:sz w:val="18"/>
      <w:u w:val="none"/>
    </w:rPr>
  </w:style>
  <w:style w:type="character" w:customStyle="1" w:styleId="114">
    <w:name w:val="Table Text Char Char Char Char"/>
    <w:link w:val="115"/>
    <w:qFormat/>
    <w:uiPriority w:val="0"/>
    <w:rPr>
      <w:rFonts w:ascii="Arial" w:hAnsi="Arial"/>
      <w:kern w:val="2"/>
      <w:sz w:val="18"/>
      <w:lang w:val="en-US" w:eastAsia="zh-CN" w:bidi="ar-SA"/>
    </w:rPr>
  </w:style>
  <w:style w:type="paragraph" w:customStyle="1" w:styleId="115">
    <w:name w:val="Table Text Char Char Char"/>
    <w:link w:val="114"/>
    <w:qFormat/>
    <w:uiPriority w:val="0"/>
    <w:pPr>
      <w:snapToGrid w:val="0"/>
      <w:spacing w:before="80" w:after="80"/>
    </w:pPr>
    <w:rPr>
      <w:rFonts w:ascii="Arial" w:hAnsi="Arial" w:eastAsia="宋体" w:cs="Times New Roman"/>
      <w:kern w:val="2"/>
      <w:sz w:val="18"/>
      <w:lang w:val="en-US" w:eastAsia="zh-CN" w:bidi="ar-SA"/>
    </w:rPr>
  </w:style>
  <w:style w:type="character" w:customStyle="1" w:styleId="116">
    <w:name w:val="Table Text Char1 Char"/>
    <w:qFormat/>
    <w:uiPriority w:val="0"/>
    <w:rPr>
      <w:rFonts w:ascii="Arial" w:hAnsi="Arial"/>
      <w:kern w:val="2"/>
      <w:sz w:val="18"/>
      <w:lang w:val="en-US" w:eastAsia="zh-CN" w:bidi="ar-SA"/>
    </w:rPr>
  </w:style>
  <w:style w:type="character" w:customStyle="1" w:styleId="117">
    <w:name w:val="样式 宋体"/>
    <w:qFormat/>
    <w:uiPriority w:val="0"/>
    <w:rPr>
      <w:rFonts w:ascii="宋体" w:hAnsi="宋体" w:eastAsia="宋体"/>
      <w:sz w:val="28"/>
    </w:rPr>
  </w:style>
  <w:style w:type="character" w:customStyle="1" w:styleId="118">
    <w:name w:val="Char Char2"/>
    <w:qFormat/>
    <w:uiPriority w:val="0"/>
    <w:rPr>
      <w:rFonts w:eastAsia="宋体"/>
      <w:kern w:val="2"/>
      <w:sz w:val="18"/>
      <w:lang w:val="en-US" w:eastAsia="zh-CN"/>
    </w:rPr>
  </w:style>
  <w:style w:type="character" w:customStyle="1" w:styleId="119">
    <w:name w:val="10"/>
    <w:qFormat/>
    <w:uiPriority w:val="0"/>
    <w:rPr>
      <w:rFonts w:hint="default" w:ascii="Times New Roman" w:hAnsi="Times New Roman" w:cs="Times New Roman"/>
    </w:rPr>
  </w:style>
  <w:style w:type="character" w:customStyle="1" w:styleId="120">
    <w:name w:val="16"/>
    <w:qFormat/>
    <w:uiPriority w:val="0"/>
    <w:rPr>
      <w:rFonts w:hint="default" w:ascii="Times New Roman" w:hAnsi="Times New Roman" w:cs="Times New Roman"/>
    </w:rPr>
  </w:style>
  <w:style w:type="paragraph" w:customStyle="1" w:styleId="121">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22">
    <w:name w:val="表格内文字"/>
    <w:basedOn w:val="32"/>
    <w:qFormat/>
    <w:uiPriority w:val="0"/>
    <w:pPr>
      <w:adjustRightInd w:val="0"/>
    </w:pPr>
    <w:rPr>
      <w:color w:val="000000"/>
      <w:lang w:val="en-GB"/>
    </w:rPr>
  </w:style>
  <w:style w:type="paragraph" w:customStyle="1" w:styleId="123">
    <w:name w:val="正文文本 21"/>
    <w:basedOn w:val="1"/>
    <w:qFormat/>
    <w:uiPriority w:val="0"/>
    <w:pPr>
      <w:adjustRightInd w:val="0"/>
      <w:spacing w:before="120" w:line="360" w:lineRule="auto"/>
      <w:ind w:firstLine="480"/>
      <w:textAlignment w:val="baseline"/>
    </w:pPr>
    <w:rPr>
      <w:sz w:val="24"/>
    </w:rPr>
  </w:style>
  <w:style w:type="paragraph" w:customStyle="1" w:styleId="124">
    <w:name w:val="图例"/>
    <w:basedOn w:val="1"/>
    <w:qFormat/>
    <w:uiPriority w:val="0"/>
    <w:pPr>
      <w:spacing w:before="120" w:after="120" w:line="360" w:lineRule="auto"/>
      <w:jc w:val="center"/>
    </w:pPr>
    <w:rPr>
      <w:rFonts w:eastAsia="仿宋_GB2312"/>
      <w:b/>
      <w:sz w:val="24"/>
    </w:rPr>
  </w:style>
  <w:style w:type="paragraph" w:customStyle="1" w:styleId="125">
    <w:name w:val="样式 标题 6第五层条 + 三号 段前: 0.5 行"/>
    <w:basedOn w:val="8"/>
    <w:qFormat/>
    <w:uiPriority w:val="0"/>
    <w:pPr>
      <w:widowControl/>
      <w:adjustRightInd/>
      <w:snapToGrid/>
      <w:spacing w:before="156" w:beforeLines="50"/>
      <w:jc w:val="left"/>
    </w:pPr>
    <w:rPr>
      <w:snapToGrid w:val="0"/>
      <w:kern w:val="24"/>
      <w:sz w:val="28"/>
    </w:rPr>
  </w:style>
  <w:style w:type="paragraph" w:customStyle="1" w:styleId="126">
    <w:name w:val="正文字缩2字"/>
    <w:basedOn w:val="1"/>
    <w:qFormat/>
    <w:uiPriority w:val="0"/>
    <w:pPr>
      <w:spacing w:before="60" w:after="60" w:line="360" w:lineRule="auto"/>
      <w:ind w:left="200" w:leftChars="200" w:firstLine="200" w:firstLineChars="200"/>
    </w:pPr>
    <w:rPr>
      <w:sz w:val="24"/>
    </w:rPr>
  </w:style>
  <w:style w:type="paragraph" w:customStyle="1" w:styleId="127">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28">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29">
    <w:name w:val="标准正文"/>
    <w:basedOn w:val="24"/>
    <w:qFormat/>
    <w:uiPriority w:val="0"/>
    <w:pPr>
      <w:spacing w:before="60" w:after="60" w:line="360" w:lineRule="auto"/>
      <w:ind w:left="0" w:firstLine="482"/>
    </w:pPr>
    <w:rPr>
      <w:rFonts w:ascii="Arial" w:hAnsi="Arial"/>
      <w:sz w:val="24"/>
    </w:rPr>
  </w:style>
  <w:style w:type="paragraph" w:customStyle="1" w:styleId="130">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31">
    <w:name w:val="段落正文"/>
    <w:basedOn w:val="1"/>
    <w:qFormat/>
    <w:uiPriority w:val="0"/>
    <w:pPr>
      <w:spacing w:before="156" w:beforeLines="50" w:line="360" w:lineRule="auto"/>
      <w:ind w:firstLine="200" w:firstLineChars="200"/>
    </w:pPr>
    <w:rPr>
      <w:spacing w:val="2"/>
      <w:sz w:val="24"/>
    </w:rPr>
  </w:style>
  <w:style w:type="paragraph" w:customStyle="1" w:styleId="132">
    <w:name w:val="样式 宋体 五号 行距: 单倍行距"/>
    <w:basedOn w:val="1"/>
    <w:qFormat/>
    <w:uiPriority w:val="0"/>
    <w:pPr>
      <w:adjustRightInd w:val="0"/>
      <w:jc w:val="left"/>
    </w:pPr>
    <w:rPr>
      <w:rFonts w:ascii="宋体" w:hAnsi="宋体"/>
      <w:kern w:val="0"/>
    </w:rPr>
  </w:style>
  <w:style w:type="paragraph" w:customStyle="1" w:styleId="133">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34">
    <w:name w:val="样式 行距: 1.5 倍行距1"/>
    <w:basedOn w:val="1"/>
    <w:qFormat/>
    <w:uiPriority w:val="0"/>
    <w:pPr>
      <w:snapToGrid w:val="0"/>
    </w:pPr>
  </w:style>
  <w:style w:type="paragraph" w:customStyle="1" w:styleId="135">
    <w:name w:val="表头"/>
    <w:basedOn w:val="136"/>
    <w:qFormat/>
    <w:uiPriority w:val="0"/>
    <w:pPr>
      <w:jc w:val="center"/>
    </w:pPr>
    <w:rPr>
      <w:b/>
      <w:bCs/>
    </w:rPr>
  </w:style>
  <w:style w:type="paragraph" w:customStyle="1" w:styleId="136">
    <w:name w:val="表格正文"/>
    <w:basedOn w:val="1"/>
    <w:qFormat/>
    <w:uiPriority w:val="0"/>
    <w:rPr>
      <w:rFonts w:ascii="Calibri" w:hAnsi="Calibri" w:eastAsia="仿宋" w:cs="宋体"/>
      <w:sz w:val="24"/>
    </w:rPr>
  </w:style>
  <w:style w:type="paragraph" w:customStyle="1" w:styleId="137">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38">
    <w:name w:val="样式1xz"/>
    <w:basedOn w:val="1"/>
    <w:qFormat/>
    <w:uiPriority w:val="0"/>
    <w:pPr>
      <w:tabs>
        <w:tab w:val="left" w:pos="1050"/>
        <w:tab w:val="right" w:leader="dot" w:pos="8296"/>
      </w:tabs>
    </w:pPr>
    <w:rPr>
      <w:caps/>
      <w:spacing w:val="20"/>
      <w:sz w:val="24"/>
    </w:rPr>
  </w:style>
  <w:style w:type="paragraph" w:customStyle="1" w:styleId="139">
    <w:name w:val="样式 首行缩进:  0.74 厘米"/>
    <w:basedOn w:val="1"/>
    <w:qFormat/>
    <w:uiPriority w:val="0"/>
    <w:pPr>
      <w:spacing w:line="360" w:lineRule="auto"/>
      <w:ind w:firstLine="420"/>
    </w:pPr>
    <w:rPr>
      <w:sz w:val="24"/>
    </w:rPr>
  </w:style>
  <w:style w:type="paragraph" w:customStyle="1" w:styleId="140">
    <w:name w:val="标书正文:  0.74 厘米"/>
    <w:basedOn w:val="1"/>
    <w:qFormat/>
    <w:uiPriority w:val="0"/>
    <w:pPr>
      <w:snapToGrid w:val="0"/>
      <w:spacing w:line="360" w:lineRule="auto"/>
      <w:ind w:firstLine="420"/>
    </w:pPr>
    <w:rPr>
      <w:sz w:val="24"/>
    </w:rPr>
  </w:style>
  <w:style w:type="paragraph" w:customStyle="1" w:styleId="141">
    <w:name w:val="正文4"/>
    <w:basedOn w:val="1"/>
    <w:qFormat/>
    <w:uiPriority w:val="0"/>
    <w:pPr>
      <w:tabs>
        <w:tab w:val="left" w:pos="1275"/>
      </w:tabs>
      <w:spacing w:before="60" w:after="60" w:line="360" w:lineRule="auto"/>
      <w:ind w:left="820" w:leftChars="400" w:hanging="705"/>
    </w:pPr>
    <w:rPr>
      <w:sz w:val="24"/>
    </w:rPr>
  </w:style>
  <w:style w:type="paragraph" w:customStyle="1" w:styleId="142">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rPr>
  </w:style>
  <w:style w:type="paragraph" w:customStyle="1" w:styleId="143">
    <w:name w:val="样式 宋体 五号 两端对齐 行距: 单倍行距"/>
    <w:basedOn w:val="1"/>
    <w:qFormat/>
    <w:uiPriority w:val="0"/>
    <w:pPr>
      <w:adjustRightInd w:val="0"/>
      <w:textAlignment w:val="baseline"/>
    </w:pPr>
    <w:rPr>
      <w:rFonts w:ascii="宋体" w:hAnsi="宋体"/>
      <w:kern w:val="0"/>
    </w:rPr>
  </w:style>
  <w:style w:type="paragraph" w:customStyle="1" w:styleId="14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4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6">
    <w:name w:val="Char Char Char Char1"/>
    <w:basedOn w:val="1"/>
    <w:next w:val="1"/>
    <w:qFormat/>
    <w:uiPriority w:val="0"/>
    <w:pPr>
      <w:tabs>
        <w:tab w:val="left" w:pos="0"/>
      </w:tabs>
      <w:spacing w:after="160" w:line="240" w:lineRule="exact"/>
      <w:textAlignment w:val="baseline"/>
    </w:pPr>
    <w:rPr>
      <w:rFonts w:ascii="Arial" w:hAnsi="Arial" w:eastAsia="Times New Roman" w:cs="Verdana"/>
      <w:b/>
      <w:szCs w:val="20"/>
      <w:lang w:eastAsia="en-US"/>
    </w:rPr>
  </w:style>
  <w:style w:type="paragraph" w:customStyle="1" w:styleId="147">
    <w:name w:val="正文 + 三号"/>
    <w:basedOn w:val="1"/>
    <w:qFormat/>
    <w:uiPriority w:val="0"/>
  </w:style>
  <w:style w:type="paragraph" w:customStyle="1" w:styleId="148">
    <w:name w:val="编号正文"/>
    <w:basedOn w:val="149"/>
    <w:qFormat/>
    <w:uiPriority w:val="0"/>
    <w:pPr>
      <w:snapToGrid/>
      <w:spacing w:line="360" w:lineRule="auto"/>
      <w:ind w:left="1407" w:hanging="1047"/>
      <w:jc w:val="left"/>
    </w:pPr>
    <w:rPr>
      <w:rFonts w:eastAsia="仿宋_GB2312"/>
    </w:rPr>
  </w:style>
  <w:style w:type="paragraph" w:customStyle="1" w:styleId="149">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50">
    <w:name w:val="列表项目"/>
    <w:basedOn w:val="1"/>
    <w:qFormat/>
    <w:uiPriority w:val="0"/>
    <w:pPr>
      <w:tabs>
        <w:tab w:val="left" w:pos="420"/>
      </w:tabs>
      <w:spacing w:line="288" w:lineRule="auto"/>
      <w:ind w:left="840" w:leftChars="200" w:hanging="420" w:hangingChars="200"/>
    </w:pPr>
  </w:style>
  <w:style w:type="paragraph" w:customStyle="1" w:styleId="151">
    <w:name w:val="电建正文"/>
    <w:basedOn w:val="152"/>
    <w:qFormat/>
    <w:uiPriority w:val="0"/>
    <w:pPr>
      <w:tabs>
        <w:tab w:val="left" w:pos="720"/>
      </w:tabs>
      <w:spacing w:line="360" w:lineRule="auto"/>
      <w:ind w:firstLine="200" w:firstLineChars="200"/>
    </w:pPr>
    <w:rPr>
      <w:rFonts w:ascii="Tahoma" w:hAnsi="Tahoma"/>
      <w:sz w:val="24"/>
      <w:szCs w:val="22"/>
    </w:rPr>
  </w:style>
  <w:style w:type="paragraph" w:customStyle="1" w:styleId="152">
    <w:name w:val="List First"/>
    <w:basedOn w:val="43"/>
    <w:next w:val="43"/>
    <w:qFormat/>
    <w:uiPriority w:val="0"/>
    <w:pPr>
      <w:widowControl/>
      <w:tabs>
        <w:tab w:val="left" w:pos="720"/>
      </w:tabs>
      <w:overflowPunct w:val="0"/>
      <w:autoSpaceDE w:val="0"/>
      <w:autoSpaceDN w:val="0"/>
      <w:spacing w:before="80" w:after="80"/>
      <w:ind w:left="0"/>
      <w:jc w:val="left"/>
    </w:pPr>
    <w:rPr>
      <w:kern w:val="0"/>
      <w:sz w:val="20"/>
    </w:rPr>
  </w:style>
  <w:style w:type="paragraph" w:customStyle="1" w:styleId="153">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5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55">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56">
    <w:name w:val="关键词"/>
    <w:basedOn w:val="1"/>
    <w:next w:val="1"/>
    <w:qFormat/>
    <w:uiPriority w:val="0"/>
    <w:pPr>
      <w:spacing w:line="360" w:lineRule="auto"/>
    </w:pPr>
    <w:rPr>
      <w:rFonts w:eastAsia="黑体"/>
      <w:sz w:val="20"/>
    </w:rPr>
  </w:style>
  <w:style w:type="paragraph" w:customStyle="1" w:styleId="157">
    <w:name w:val="Title - Date"/>
    <w:basedOn w:val="57"/>
    <w:next w:val="1"/>
    <w:qFormat/>
    <w:uiPriority w:val="0"/>
    <w:pPr>
      <w:spacing w:before="240" w:after="720"/>
    </w:pPr>
    <w:rPr>
      <w:sz w:val="28"/>
    </w:rPr>
  </w:style>
  <w:style w:type="paragraph" w:customStyle="1" w:styleId="158">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59">
    <w:name w:val="Char Char Char Char Char"/>
    <w:basedOn w:val="1"/>
    <w:qFormat/>
    <w:uiPriority w:val="0"/>
    <w:pPr>
      <w:numPr>
        <w:ilvl w:val="0"/>
        <w:numId w:val="4"/>
      </w:numPr>
      <w:tabs>
        <w:tab w:val="left" w:pos="425"/>
        <w:tab w:val="clear" w:pos="1620"/>
      </w:tabs>
    </w:pPr>
    <w:rPr>
      <w:rFonts w:ascii="Tahoma" w:hAnsi="Tahoma"/>
      <w:sz w:val="24"/>
    </w:rPr>
  </w:style>
  <w:style w:type="paragraph" w:customStyle="1" w:styleId="160">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61">
    <w:name w:val="摘要"/>
    <w:basedOn w:val="1"/>
    <w:next w:val="4"/>
    <w:qFormat/>
    <w:uiPriority w:val="0"/>
    <w:pPr>
      <w:spacing w:line="360" w:lineRule="auto"/>
    </w:pPr>
    <w:rPr>
      <w:rFonts w:eastAsia="黑体"/>
      <w:sz w:val="20"/>
    </w:rPr>
  </w:style>
  <w:style w:type="paragraph" w:customStyle="1" w:styleId="162">
    <w:name w:val="Char1"/>
    <w:basedOn w:val="1"/>
    <w:qFormat/>
    <w:uiPriority w:val="0"/>
  </w:style>
  <w:style w:type="paragraph" w:customStyle="1" w:styleId="163">
    <w:name w:val="Char"/>
    <w:basedOn w:val="1"/>
    <w:qFormat/>
    <w:uiPriority w:val="0"/>
    <w:pPr>
      <w:spacing w:line="240" w:lineRule="atLeast"/>
      <w:ind w:left="420" w:firstLine="420"/>
    </w:pPr>
    <w:rPr>
      <w:kern w:val="0"/>
    </w:rPr>
  </w:style>
  <w:style w:type="paragraph" w:customStyle="1" w:styleId="164">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65">
    <w:name w:val="Title - Revision"/>
    <w:basedOn w:val="57"/>
    <w:qFormat/>
    <w:uiPriority w:val="0"/>
    <w:pPr>
      <w:spacing w:before="720"/>
    </w:pPr>
  </w:style>
  <w:style w:type="paragraph" w:customStyle="1" w:styleId="166">
    <w:name w:val="Char Char1 Char"/>
    <w:basedOn w:val="1"/>
    <w:qFormat/>
    <w:uiPriority w:val="0"/>
    <w:rPr>
      <w:rFonts w:ascii="Tahoma" w:hAnsi="Tahoma"/>
      <w:sz w:val="24"/>
      <w:szCs w:val="24"/>
    </w:rPr>
  </w:style>
  <w:style w:type="paragraph" w:customStyle="1" w:styleId="167">
    <w:name w:val="Style Heading 3h3Heading 3 - oldLevel 3 HeadH3level_3PIM 3se..."/>
    <w:basedOn w:val="5"/>
    <w:qFormat/>
    <w:uiPriority w:val="0"/>
    <w:pPr>
      <w:numPr>
        <w:ilvl w:val="2"/>
        <w:numId w:val="4"/>
      </w:numPr>
      <w:tabs>
        <w:tab w:val="left" w:pos="709"/>
        <w:tab w:val="left" w:pos="1620"/>
      </w:tabs>
    </w:pPr>
  </w:style>
  <w:style w:type="paragraph" w:customStyle="1" w:styleId="168">
    <w:name w:val="样式1"/>
    <w:basedOn w:val="6"/>
    <w:qFormat/>
    <w:uiPriority w:val="0"/>
    <w:pPr>
      <w:tabs>
        <w:tab w:val="left" w:pos="720"/>
      </w:tabs>
      <w:spacing w:before="500" w:after="260" w:line="560" w:lineRule="atLeast"/>
      <w:ind w:left="420" w:hanging="420"/>
    </w:pPr>
  </w:style>
  <w:style w:type="paragraph" w:customStyle="1" w:styleId="169">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170">
    <w:name w:val="00"/>
    <w:basedOn w:val="1"/>
    <w:qFormat/>
    <w:uiPriority w:val="0"/>
    <w:pPr>
      <w:autoSpaceDE w:val="0"/>
      <w:autoSpaceDN w:val="0"/>
      <w:adjustRightInd w:val="0"/>
      <w:jc w:val="left"/>
    </w:pPr>
    <w:rPr>
      <w:rFonts w:ascii="黑体" w:eastAsia="黑体"/>
      <w:b/>
      <w:kern w:val="0"/>
      <w:sz w:val="20"/>
    </w:rPr>
  </w:style>
  <w:style w:type="paragraph" w:customStyle="1" w:styleId="171">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72">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73">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74">
    <w:name w:val="二级条标题"/>
    <w:basedOn w:val="175"/>
    <w:next w:val="145"/>
    <w:qFormat/>
    <w:uiPriority w:val="0"/>
    <w:pPr>
      <w:ind w:left="840"/>
      <w:outlineLvl w:val="3"/>
    </w:pPr>
  </w:style>
  <w:style w:type="paragraph" w:customStyle="1" w:styleId="175">
    <w:name w:val="一级条标题"/>
    <w:basedOn w:val="173"/>
    <w:next w:val="145"/>
    <w:qFormat/>
    <w:uiPriority w:val="0"/>
    <w:pPr>
      <w:numPr>
        <w:numId w:val="0"/>
      </w:numPr>
      <w:spacing w:before="0" w:beforeLines="0" w:after="0" w:afterLines="0"/>
      <w:ind w:left="525"/>
      <w:outlineLvl w:val="2"/>
    </w:pPr>
    <w:rPr>
      <w:sz w:val="21"/>
    </w:rPr>
  </w:style>
  <w:style w:type="paragraph" w:customStyle="1" w:styleId="176">
    <w:name w:val="Char Char Char Char Char Char Char Char Char Char Char Char Char Char Char Char"/>
    <w:basedOn w:val="1"/>
    <w:qFormat/>
    <w:uiPriority w:val="0"/>
    <w:pPr>
      <w:tabs>
        <w:tab w:val="left" w:pos="360"/>
      </w:tabs>
    </w:pPr>
    <w:rPr>
      <w:sz w:val="24"/>
    </w:rPr>
  </w:style>
  <w:style w:type="paragraph" w:customStyle="1" w:styleId="177">
    <w:name w:val="正文（首行不缩进）"/>
    <w:basedOn w:val="1"/>
    <w:qFormat/>
    <w:uiPriority w:val="0"/>
    <w:pPr>
      <w:autoSpaceDE w:val="0"/>
      <w:autoSpaceDN w:val="0"/>
      <w:adjustRightInd w:val="0"/>
      <w:spacing w:line="360" w:lineRule="auto"/>
      <w:jc w:val="left"/>
    </w:pPr>
    <w:rPr>
      <w:kern w:val="0"/>
    </w:rPr>
  </w:style>
  <w:style w:type="paragraph" w:customStyle="1" w:styleId="178">
    <w:name w:val="Char2"/>
    <w:basedOn w:val="1"/>
    <w:qFormat/>
    <w:uiPriority w:val="0"/>
    <w:pPr>
      <w:spacing w:line="240" w:lineRule="atLeast"/>
      <w:ind w:left="420" w:firstLine="420"/>
    </w:pPr>
    <w:rPr>
      <w:kern w:val="0"/>
    </w:rPr>
  </w:style>
  <w:style w:type="paragraph" w:customStyle="1" w:styleId="179">
    <w:name w:val="正文文本缩进 21"/>
    <w:basedOn w:val="1"/>
    <w:qFormat/>
    <w:uiPriority w:val="0"/>
    <w:pPr>
      <w:adjustRightInd w:val="0"/>
      <w:spacing w:before="120"/>
      <w:ind w:firstLine="420"/>
      <w:textAlignment w:val="baseline"/>
    </w:pPr>
    <w:rPr>
      <w:sz w:val="24"/>
    </w:rPr>
  </w:style>
  <w:style w:type="paragraph" w:customStyle="1" w:styleId="180">
    <w:name w:val="1"/>
    <w:basedOn w:val="1"/>
    <w:next w:val="32"/>
    <w:qFormat/>
    <w:uiPriority w:val="0"/>
    <w:rPr>
      <w:rFonts w:ascii="宋体" w:hAnsi="Courier New"/>
    </w:rPr>
  </w:style>
  <w:style w:type="paragraph" w:customStyle="1" w:styleId="181">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82">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83">
    <w:name w:val="Item List"/>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84">
    <w:name w:val="标题5"/>
    <w:basedOn w:val="1"/>
    <w:qFormat/>
    <w:uiPriority w:val="0"/>
    <w:pPr>
      <w:tabs>
        <w:tab w:val="left" w:pos="0"/>
      </w:tabs>
      <w:autoSpaceDE w:val="0"/>
      <w:autoSpaceDN w:val="0"/>
      <w:adjustRightInd w:val="0"/>
      <w:snapToGrid w:val="0"/>
      <w:spacing w:line="320" w:lineRule="atLeast"/>
    </w:pPr>
    <w:rPr>
      <w:rFonts w:ascii="宋体"/>
      <w:kern w:val="0"/>
    </w:rPr>
  </w:style>
  <w:style w:type="paragraph" w:customStyle="1" w:styleId="185">
    <w:name w:val="_Style 183"/>
    <w:qFormat/>
    <w:uiPriority w:val="0"/>
    <w:rPr>
      <w:rFonts w:ascii="Times New Roman" w:hAnsi="Times New Roman" w:eastAsia="宋体" w:cs="Times New Roman"/>
      <w:kern w:val="2"/>
      <w:sz w:val="21"/>
      <w:lang w:val="en-US" w:eastAsia="zh-CN" w:bidi="ar-SA"/>
    </w:rPr>
  </w:style>
  <w:style w:type="paragraph" w:customStyle="1" w:styleId="186">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7">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88">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9">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190">
    <w:name w:val="_"/>
    <w:basedOn w:val="1"/>
    <w:qFormat/>
    <w:uiPriority w:val="0"/>
    <w:pPr>
      <w:adjustRightInd w:val="0"/>
      <w:spacing w:line="360" w:lineRule="auto"/>
      <w:ind w:left="480" w:firstLine="200" w:firstLineChars="200"/>
      <w:textAlignment w:val="baseline"/>
    </w:pPr>
    <w:rPr>
      <w:kern w:val="0"/>
      <w:sz w:val="24"/>
    </w:rPr>
  </w:style>
  <w:style w:type="paragraph" w:customStyle="1" w:styleId="191">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92">
    <w:name w:val="表文字"/>
    <w:qFormat/>
    <w:uiPriority w:val="0"/>
    <w:rPr>
      <w:rFonts w:ascii="宋体" w:hAnsi="Times New Roman" w:eastAsia="宋体" w:cs="Times New Roman"/>
      <w:kern w:val="2"/>
      <w:lang w:val="en-US" w:eastAsia="zh-CN" w:bidi="ar-SA"/>
    </w:rPr>
  </w:style>
  <w:style w:type="paragraph" w:customStyle="1" w:styleId="19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94">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5">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96">
    <w:name w:val="Char1 Char Char Char"/>
    <w:basedOn w:val="1"/>
    <w:qFormat/>
    <w:uiPriority w:val="0"/>
    <w:rPr>
      <w:rFonts w:ascii="Tahoma" w:hAnsi="Tahoma"/>
      <w:sz w:val="24"/>
    </w:rPr>
  </w:style>
  <w:style w:type="paragraph" w:customStyle="1" w:styleId="197">
    <w:name w:val="文本框样式1"/>
    <w:basedOn w:val="1"/>
    <w:qFormat/>
    <w:uiPriority w:val="0"/>
    <w:pPr>
      <w:adjustRightInd w:val="0"/>
      <w:snapToGrid w:val="0"/>
      <w:spacing w:before="60" w:line="180" w:lineRule="exact"/>
      <w:jc w:val="center"/>
    </w:pPr>
  </w:style>
  <w:style w:type="paragraph" w:customStyle="1" w:styleId="198">
    <w:name w:val="标题3——2"/>
    <w:basedOn w:val="5"/>
    <w:next w:val="59"/>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199">
    <w:name w:val="可研正文"/>
    <w:basedOn w:val="23"/>
    <w:qFormat/>
    <w:uiPriority w:val="0"/>
    <w:pPr>
      <w:adjustRightInd w:val="0"/>
      <w:snapToGrid w:val="0"/>
      <w:spacing w:line="440" w:lineRule="exact"/>
      <w:ind w:firstLine="567"/>
    </w:pPr>
    <w:rPr>
      <w:sz w:val="28"/>
    </w:rPr>
  </w:style>
  <w:style w:type="paragraph" w:customStyle="1" w:styleId="200">
    <w:name w:val="正文1"/>
    <w:basedOn w:val="1"/>
    <w:qFormat/>
    <w:uiPriority w:val="0"/>
    <w:pPr>
      <w:spacing w:line="300" w:lineRule="auto"/>
      <w:ind w:firstLine="200" w:firstLineChars="200"/>
    </w:pPr>
    <w:rPr>
      <w:sz w:val="24"/>
    </w:rPr>
  </w:style>
  <w:style w:type="paragraph" w:customStyle="1" w:styleId="201">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02">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03">
    <w:name w:val="Note"/>
    <w:basedOn w:val="1"/>
    <w:qFormat/>
    <w:uiPriority w:val="0"/>
    <w:pPr>
      <w:pBdr>
        <w:top w:val="single" w:color="auto" w:sz="12" w:space="3"/>
        <w:bottom w:val="single" w:color="auto" w:sz="12" w:space="3"/>
      </w:pBdr>
      <w:spacing w:line="360" w:lineRule="auto"/>
    </w:pPr>
    <w:rPr>
      <w:sz w:val="24"/>
    </w:rPr>
  </w:style>
  <w:style w:type="paragraph" w:customStyle="1" w:styleId="204">
    <w:name w:val="表头文本"/>
    <w:qFormat/>
    <w:uiPriority w:val="0"/>
    <w:pPr>
      <w:jc w:val="center"/>
    </w:pPr>
    <w:rPr>
      <w:rFonts w:ascii="Arial" w:hAnsi="Arial" w:eastAsia="宋体" w:cs="Times New Roman"/>
      <w:b/>
      <w:sz w:val="21"/>
      <w:lang w:val="en-US" w:eastAsia="zh-CN" w:bidi="ar-SA"/>
    </w:rPr>
  </w:style>
  <w:style w:type="paragraph" w:customStyle="1" w:styleId="205">
    <w:name w:val="首行缩进"/>
    <w:basedOn w:val="1"/>
    <w:qFormat/>
    <w:uiPriority w:val="0"/>
    <w:pPr>
      <w:numPr>
        <w:ilvl w:val="0"/>
        <w:numId w:val="7"/>
      </w:numPr>
      <w:spacing w:line="360" w:lineRule="auto"/>
    </w:pPr>
    <w:rPr>
      <w:rFonts w:eastAsia="仿宋_GB2312"/>
    </w:rPr>
  </w:style>
  <w:style w:type="paragraph" w:customStyle="1" w:styleId="206">
    <w:name w:val="标题无"/>
    <w:basedOn w:val="1"/>
    <w:qFormat/>
    <w:uiPriority w:val="0"/>
    <w:pPr>
      <w:spacing w:line="360" w:lineRule="auto"/>
    </w:pPr>
    <w:rPr>
      <w:sz w:val="24"/>
    </w:rPr>
  </w:style>
  <w:style w:type="paragraph" w:customStyle="1" w:styleId="207">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08">
    <w:name w:val="表格文本"/>
    <w:qFormat/>
    <w:uiPriority w:val="0"/>
    <w:pPr>
      <w:tabs>
        <w:tab w:val="decimal" w:pos="0"/>
      </w:tabs>
    </w:pPr>
    <w:rPr>
      <w:rFonts w:ascii="Arial" w:hAnsi="Arial" w:eastAsia="宋体" w:cs="Times New Roman"/>
      <w:sz w:val="21"/>
      <w:lang w:val="en-US" w:eastAsia="zh-CN" w:bidi="ar-SA"/>
    </w:rPr>
  </w:style>
  <w:style w:type="paragraph" w:customStyle="1" w:styleId="209">
    <w:name w:val="af"/>
    <w:basedOn w:val="1"/>
    <w:qFormat/>
    <w:uiPriority w:val="0"/>
    <w:pPr>
      <w:widowControl/>
      <w:spacing w:line="300" w:lineRule="atLeast"/>
      <w:jc w:val="left"/>
    </w:pPr>
    <w:rPr>
      <w:rFonts w:ascii="宋体" w:hAnsi="宋体"/>
      <w:kern w:val="0"/>
      <w:sz w:val="18"/>
    </w:rPr>
  </w:style>
  <w:style w:type="paragraph" w:customStyle="1" w:styleId="21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11">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2">
    <w:name w:val="没有缩进（为图形使用）"/>
    <w:basedOn w:val="1"/>
    <w:qFormat/>
    <w:uiPriority w:val="0"/>
    <w:pPr>
      <w:spacing w:before="120" w:after="120" w:line="360" w:lineRule="auto"/>
    </w:pPr>
    <w:rPr>
      <w:sz w:val="24"/>
    </w:rPr>
  </w:style>
  <w:style w:type="paragraph" w:customStyle="1" w:styleId="213">
    <w:name w:val="二级列表"/>
    <w:basedOn w:val="131"/>
    <w:next w:val="131"/>
    <w:qFormat/>
    <w:uiPriority w:val="0"/>
    <w:pPr>
      <w:tabs>
        <w:tab w:val="left" w:pos="2120"/>
      </w:tabs>
      <w:ind w:firstLine="0" w:firstLineChars="0"/>
    </w:pPr>
    <w:rPr>
      <w:b/>
    </w:rPr>
  </w:style>
  <w:style w:type="paragraph" w:customStyle="1" w:styleId="214">
    <w:name w:val="bt"/>
    <w:basedOn w:val="1"/>
    <w:next w:val="23"/>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15">
    <w:name w:val="样式4"/>
    <w:basedOn w:val="6"/>
    <w:qFormat/>
    <w:uiPriority w:val="0"/>
    <w:pPr>
      <w:adjustRightInd w:val="0"/>
      <w:snapToGrid w:val="0"/>
    </w:pPr>
  </w:style>
  <w:style w:type="paragraph" w:customStyle="1" w:styleId="216">
    <w:name w:val="1.正文"/>
    <w:basedOn w:val="1"/>
    <w:qFormat/>
    <w:uiPriority w:val="0"/>
    <w:pPr>
      <w:spacing w:line="360" w:lineRule="auto"/>
      <w:ind w:left="540" w:leftChars="225" w:firstLine="540" w:firstLineChars="225"/>
    </w:pPr>
    <w:rPr>
      <w:sz w:val="24"/>
    </w:rPr>
  </w:style>
  <w:style w:type="paragraph" w:customStyle="1" w:styleId="217">
    <w:name w:val="表头样式"/>
    <w:basedOn w:val="1"/>
    <w:qFormat/>
    <w:uiPriority w:val="0"/>
    <w:pPr>
      <w:autoSpaceDE w:val="0"/>
      <w:autoSpaceDN w:val="0"/>
      <w:adjustRightInd w:val="0"/>
      <w:spacing w:line="360" w:lineRule="auto"/>
      <w:jc w:val="left"/>
    </w:pPr>
    <w:rPr>
      <w:b/>
      <w:kern w:val="0"/>
    </w:rPr>
  </w:style>
  <w:style w:type="paragraph" w:customStyle="1" w:styleId="218">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19">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20">
    <w:name w:val="IN Step"/>
    <w:basedOn w:val="1"/>
    <w:qFormat/>
    <w:uiPriority w:val="0"/>
    <w:pPr>
      <w:keepLines/>
      <w:widowControl/>
      <w:tabs>
        <w:tab w:val="left" w:pos="1134"/>
      </w:tabs>
      <w:spacing w:before="80" w:after="80" w:line="300" w:lineRule="auto"/>
      <w:ind w:left="1134" w:hanging="907"/>
      <w:outlineLvl w:val="8"/>
    </w:pPr>
    <w:rPr>
      <w:rFonts w:ascii="Arial" w:hAnsi="Arial"/>
      <w:kern w:val="0"/>
    </w:rPr>
  </w:style>
  <w:style w:type="paragraph" w:customStyle="1" w:styleId="221">
    <w:name w:val="Char Char Char Char Char Char Char"/>
    <w:basedOn w:val="18"/>
    <w:qFormat/>
    <w:uiPriority w:val="0"/>
    <w:rPr>
      <w:rFonts w:ascii="宋体" w:hAnsi="Tahoma"/>
    </w:rPr>
  </w:style>
  <w:style w:type="paragraph" w:customStyle="1" w:styleId="222">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lang w:eastAsia="en-US"/>
    </w:rPr>
  </w:style>
  <w:style w:type="paragraph" w:customStyle="1" w:styleId="223">
    <w:name w:val="简单回函地址"/>
    <w:basedOn w:val="1"/>
    <w:qFormat/>
    <w:uiPriority w:val="0"/>
    <w:pPr>
      <w:adjustRightInd w:val="0"/>
      <w:snapToGrid w:val="0"/>
      <w:spacing w:line="360" w:lineRule="auto"/>
    </w:pPr>
    <w:rPr>
      <w:sz w:val="24"/>
    </w:rPr>
  </w:style>
  <w:style w:type="paragraph" w:customStyle="1" w:styleId="224">
    <w:name w:val="样式2"/>
    <w:basedOn w:val="6"/>
    <w:qFormat/>
    <w:uiPriority w:val="0"/>
    <w:pPr>
      <w:numPr>
        <w:ilvl w:val="0"/>
        <w:numId w:val="9"/>
      </w:numPr>
      <w:spacing w:before="560" w:line="400" w:lineRule="exact"/>
      <w:jc w:val="center"/>
      <w:outlineLvl w:val="0"/>
    </w:pPr>
    <w:rPr>
      <w:b w:val="0"/>
      <w:sz w:val="44"/>
    </w:rPr>
  </w:style>
  <w:style w:type="paragraph" w:customStyle="1" w:styleId="225">
    <w:name w:val="操作步骤"/>
    <w:basedOn w:val="1"/>
    <w:qFormat/>
    <w:uiPriority w:val="0"/>
    <w:pPr>
      <w:numPr>
        <w:ilvl w:val="0"/>
        <w:numId w:val="10"/>
      </w:numPr>
      <w:autoSpaceDE w:val="0"/>
      <w:autoSpaceDN w:val="0"/>
      <w:adjustRightInd w:val="0"/>
      <w:snapToGrid w:val="0"/>
      <w:spacing w:line="40" w:lineRule="atLeast"/>
      <w:textAlignment w:val="bottom"/>
    </w:pPr>
    <w:rPr>
      <w:rFonts w:ascii="昆仑楷体" w:eastAsia="楷体_GB2312"/>
      <w:kern w:val="0"/>
    </w:rPr>
  </w:style>
  <w:style w:type="paragraph" w:customStyle="1" w:styleId="226">
    <w:name w:val="内容标题"/>
    <w:basedOn w:val="18"/>
    <w:qFormat/>
    <w:uiPriority w:val="0"/>
    <w:rPr>
      <w:rFonts w:ascii="Tahoma" w:hAnsi="Tahoma"/>
      <w:sz w:val="24"/>
    </w:rPr>
  </w:style>
  <w:style w:type="paragraph" w:customStyle="1" w:styleId="227">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28">
    <w:name w:val="默认段落字体 Para Char Char Char Char Char Char Char Char Char1 Char Char Char Char"/>
    <w:basedOn w:val="1"/>
    <w:qFormat/>
    <w:uiPriority w:val="0"/>
    <w:rPr>
      <w:rFonts w:ascii="Tahoma" w:hAnsi="Tahoma"/>
      <w:sz w:val="24"/>
    </w:rPr>
  </w:style>
  <w:style w:type="paragraph" w:customStyle="1" w:styleId="229">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30">
    <w:name w:val="正文表格"/>
    <w:basedOn w:val="1"/>
    <w:qFormat/>
    <w:uiPriority w:val="0"/>
    <w:pPr>
      <w:adjustRightInd w:val="0"/>
      <w:spacing w:before="40" w:after="40"/>
    </w:pPr>
    <w:rPr>
      <w:sz w:val="24"/>
    </w:rPr>
  </w:style>
  <w:style w:type="paragraph" w:customStyle="1" w:styleId="231">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232">
    <w:name w:val="style1"/>
    <w:basedOn w:val="1"/>
    <w:qFormat/>
    <w:uiPriority w:val="0"/>
    <w:pPr>
      <w:widowControl/>
      <w:spacing w:before="100" w:beforeAutospacing="1" w:after="100" w:afterAutospacing="1"/>
      <w:jc w:val="left"/>
    </w:pPr>
    <w:rPr>
      <w:rFonts w:ascii="宋体" w:hAnsi="宋体"/>
      <w:kern w:val="0"/>
    </w:rPr>
  </w:style>
  <w:style w:type="paragraph" w:customStyle="1" w:styleId="233">
    <w:name w:val="Char Char Char"/>
    <w:basedOn w:val="1"/>
    <w:qFormat/>
    <w:uiPriority w:val="0"/>
    <w:rPr>
      <w:rFonts w:ascii="Tahoma" w:hAnsi="Tahoma"/>
      <w:sz w:val="24"/>
    </w:rPr>
  </w:style>
  <w:style w:type="paragraph" w:styleId="234">
    <w:name w:val="List Paragraph"/>
    <w:basedOn w:val="1"/>
    <w:qFormat/>
    <w:uiPriority w:val="99"/>
    <w:pPr>
      <w:ind w:firstLine="420" w:firstLineChars="200"/>
    </w:pPr>
  </w:style>
  <w:style w:type="paragraph" w:customStyle="1" w:styleId="235">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236">
    <w:name w:val="Char Char Char Char Char Char1 Char"/>
    <w:basedOn w:val="1"/>
    <w:qFormat/>
    <w:uiPriority w:val="0"/>
    <w:pPr>
      <w:widowControl/>
      <w:spacing w:after="160" w:line="240" w:lineRule="exact"/>
      <w:jc w:val="left"/>
    </w:pPr>
    <w:rPr>
      <w:rFonts w:ascii="Verdana" w:hAnsi="Verdana"/>
      <w:kern w:val="0"/>
      <w:lang w:eastAsia="en-US"/>
    </w:rPr>
  </w:style>
  <w:style w:type="paragraph" w:customStyle="1" w:styleId="237">
    <w:name w:val="Char Char Char Char Char Char Char1"/>
    <w:basedOn w:val="1"/>
    <w:qFormat/>
    <w:uiPriority w:val="0"/>
    <w:rPr>
      <w:rFonts w:ascii="Tahoma" w:hAnsi="Tahoma"/>
      <w:sz w:val="24"/>
    </w:rPr>
  </w:style>
  <w:style w:type="paragraph" w:customStyle="1" w:styleId="238">
    <w:name w:val="Char Char14 Char Char"/>
    <w:basedOn w:val="1"/>
    <w:qFormat/>
    <w:uiPriority w:val="0"/>
    <w:rPr>
      <w:szCs w:val="24"/>
    </w:rPr>
  </w:style>
  <w:style w:type="paragraph" w:customStyle="1" w:styleId="239">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40">
    <w:name w:val="文章正文"/>
    <w:basedOn w:val="1"/>
    <w:qFormat/>
    <w:uiPriority w:val="0"/>
    <w:pPr>
      <w:ind w:firstLine="560" w:firstLineChars="200"/>
    </w:pPr>
    <w:rPr>
      <w:rFonts w:ascii="仿宋_GB2312" w:hAnsi="宋体" w:eastAsia="仿宋_GB2312"/>
      <w:color w:val="000000"/>
    </w:rPr>
  </w:style>
  <w:style w:type="paragraph" w:customStyle="1" w:styleId="241">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42">
    <w:name w:val="样式 样式 正文首行缩进 2 + 左  0 字符 + 首行缩进:  2.57 字符"/>
    <w:basedOn w:val="1"/>
    <w:next w:val="1"/>
    <w:qFormat/>
    <w:uiPriority w:val="0"/>
    <w:pPr>
      <w:adjustRightInd w:val="0"/>
      <w:snapToGrid w:val="0"/>
      <w:spacing w:after="120"/>
      <w:ind w:firstLine="540" w:firstLineChars="257"/>
    </w:pPr>
  </w:style>
  <w:style w:type="paragraph" w:customStyle="1" w:styleId="243">
    <w:name w:val="Char Char 字元 字元 字元 Char Char Char Char"/>
    <w:basedOn w:val="1"/>
    <w:qFormat/>
    <w:uiPriority w:val="0"/>
    <w:pPr>
      <w:adjustRightInd w:val="0"/>
      <w:spacing w:line="360" w:lineRule="auto"/>
    </w:pPr>
    <w:rPr>
      <w:kern w:val="0"/>
      <w:sz w:val="24"/>
    </w:rPr>
  </w:style>
  <w:style w:type="paragraph" w:customStyle="1" w:styleId="244">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245">
    <w:name w:val="文本1"/>
    <w:basedOn w:val="1"/>
    <w:qFormat/>
    <w:uiPriority w:val="0"/>
    <w:pPr>
      <w:adjustRightInd w:val="0"/>
      <w:spacing w:line="312" w:lineRule="atLeast"/>
      <w:jc w:val="center"/>
      <w:textAlignment w:val="baseline"/>
    </w:pPr>
    <w:rPr>
      <w:kern w:val="0"/>
      <w:sz w:val="18"/>
    </w:rPr>
  </w:style>
  <w:style w:type="paragraph" w:customStyle="1" w:styleId="246">
    <w:name w:val="Char1 Char Char Char1"/>
    <w:basedOn w:val="1"/>
    <w:qFormat/>
    <w:uiPriority w:val="0"/>
    <w:rPr>
      <w:rFonts w:ascii="Tahoma" w:hAnsi="Tahoma"/>
      <w:sz w:val="30"/>
    </w:rPr>
  </w:style>
  <w:style w:type="paragraph" w:customStyle="1" w:styleId="247">
    <w:name w:val="样式 正文首行缩进 2 + 首行缩进:  2 字符"/>
    <w:basedOn w:val="1"/>
    <w:qFormat/>
    <w:uiPriority w:val="0"/>
    <w:pPr>
      <w:numPr>
        <w:ilvl w:val="0"/>
        <w:numId w:val="11"/>
      </w:numPr>
      <w:adjustRightInd w:val="0"/>
      <w:snapToGrid w:val="0"/>
      <w:spacing w:line="360" w:lineRule="auto"/>
    </w:pPr>
    <w:rPr>
      <w:rFonts w:ascii="Arial" w:hAnsi="Arial"/>
      <w:b/>
      <w:sz w:val="24"/>
    </w:rPr>
  </w:style>
  <w:style w:type="paragraph" w:customStyle="1" w:styleId="248">
    <w:name w:val="Char2 Char Char Char Char Char Char"/>
    <w:basedOn w:val="1"/>
    <w:qFormat/>
    <w:uiPriority w:val="0"/>
    <w:rPr>
      <w:rFonts w:ascii="仿宋_GB2312"/>
      <w:b/>
      <w:sz w:val="30"/>
    </w:rPr>
  </w:style>
  <w:style w:type="paragraph" w:customStyle="1" w:styleId="249">
    <w:name w:val="首行缩进 1"/>
    <w:basedOn w:val="1"/>
    <w:qFormat/>
    <w:uiPriority w:val="0"/>
    <w:pPr>
      <w:spacing w:after="120" w:line="360" w:lineRule="auto"/>
      <w:ind w:firstLine="200" w:firstLineChars="200"/>
    </w:pPr>
    <w:rPr>
      <w:sz w:val="24"/>
    </w:rPr>
  </w:style>
  <w:style w:type="paragraph" w:customStyle="1" w:styleId="250">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51">
    <w:name w:val="默认段落字体 Para Char Char Char Char Char Char Char"/>
    <w:basedOn w:val="1"/>
    <w:qFormat/>
    <w:uiPriority w:val="0"/>
    <w:rPr>
      <w:rFonts w:ascii="Tahoma" w:hAnsi="Tahoma"/>
      <w:sz w:val="24"/>
    </w:rPr>
  </w:style>
  <w:style w:type="paragraph" w:customStyle="1" w:styleId="252">
    <w:name w:val="附录3"/>
    <w:basedOn w:val="1"/>
    <w:next w:val="1"/>
    <w:qFormat/>
    <w:uiPriority w:val="0"/>
    <w:pPr>
      <w:tabs>
        <w:tab w:val="left" w:pos="851"/>
      </w:tabs>
      <w:ind w:left="425" w:hanging="425"/>
      <w:outlineLvl w:val="2"/>
    </w:pPr>
    <w:rPr>
      <w:rFonts w:eastAsia="黑体"/>
      <w:b/>
      <w:sz w:val="32"/>
    </w:rPr>
  </w:style>
  <w:style w:type="paragraph" w:customStyle="1" w:styleId="253">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254">
    <w:name w:val="正文-奇安信"/>
    <w:basedOn w:val="1"/>
    <w:qFormat/>
    <w:uiPriority w:val="0"/>
    <w:pPr>
      <w:spacing w:line="360" w:lineRule="auto"/>
      <w:ind w:firstLine="420"/>
    </w:pPr>
    <w:rPr>
      <w:szCs w:val="20"/>
    </w:rPr>
  </w:style>
  <w:style w:type="paragraph" w:customStyle="1" w:styleId="255">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56">
    <w:name w:val="图片文字"/>
    <w:basedOn w:val="1"/>
    <w:qFormat/>
    <w:uiPriority w:val="0"/>
    <w:pPr>
      <w:spacing w:line="240" w:lineRule="atLeast"/>
      <w:jc w:val="center"/>
    </w:pPr>
  </w:style>
  <w:style w:type="paragraph" w:customStyle="1" w:styleId="257">
    <w:name w:val="样式 正文缩进正文（首行缩进两字）表正文正文非缩进特点标题4段1 + 首行缩进:  2 字符"/>
    <w:basedOn w:val="16"/>
    <w:qFormat/>
    <w:uiPriority w:val="0"/>
    <w:pPr>
      <w:ind w:firstLine="480" w:firstLineChars="200"/>
    </w:pPr>
  </w:style>
  <w:style w:type="paragraph" w:customStyle="1" w:styleId="258">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9">
    <w:name w:val="IN Feature"/>
    <w:next w:val="220"/>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60">
    <w:name w:val="Table Contents"/>
    <w:basedOn w:val="23"/>
    <w:qFormat/>
    <w:uiPriority w:val="0"/>
    <w:pPr>
      <w:suppressAutoHyphens/>
      <w:jc w:val="left"/>
    </w:pPr>
    <w:rPr>
      <w:rFonts w:ascii="Times New Roman" w:eastAsia="Times New Roman"/>
      <w:kern w:val="0"/>
      <w:sz w:val="24"/>
    </w:rPr>
  </w:style>
  <w:style w:type="paragraph" w:customStyle="1" w:styleId="261">
    <w:name w:val="样式 样式 首行缩进:  2 字符 + 首行缩进:  2 字符"/>
    <w:basedOn w:val="1"/>
    <w:qFormat/>
    <w:uiPriority w:val="0"/>
    <w:pPr>
      <w:numPr>
        <w:ilvl w:val="0"/>
        <w:numId w:val="12"/>
      </w:numPr>
      <w:tabs>
        <w:tab w:val="clear" w:pos="1230"/>
      </w:tabs>
      <w:spacing w:line="360" w:lineRule="auto"/>
      <w:ind w:firstLine="480" w:firstLineChars="200"/>
    </w:pPr>
    <w:rPr>
      <w:sz w:val="24"/>
    </w:rPr>
  </w:style>
  <w:style w:type="paragraph" w:customStyle="1" w:styleId="262">
    <w:name w:val="列表段落1"/>
    <w:basedOn w:val="1"/>
    <w:qFormat/>
    <w:uiPriority w:val="0"/>
    <w:pPr>
      <w:ind w:firstLine="420" w:firstLineChars="200"/>
    </w:pPr>
    <w:rPr>
      <w:rFonts w:ascii="等线" w:hAnsi="等线" w:eastAsia="等线"/>
    </w:rPr>
  </w:style>
  <w:style w:type="paragraph" w:customStyle="1" w:styleId="263">
    <w:name w:val="默认"/>
    <w:qFormat/>
    <w:uiPriority w:val="0"/>
    <w:rPr>
      <w:rFonts w:ascii="Helvetica Neue" w:hAnsi="Arial Unicode MS" w:eastAsia="Helvetica Neue" w:cs="Times New Roman"/>
      <w:color w:val="000000"/>
      <w:sz w:val="22"/>
      <w:lang w:val="zh-CN" w:eastAsia="zh-CN" w:bidi="ar-SA"/>
    </w:rPr>
  </w:style>
  <w:style w:type="paragraph" w:customStyle="1" w:styleId="264">
    <w:name w:val="Style1"/>
    <w:next w:val="1"/>
    <w:qFormat/>
    <w:uiPriority w:val="0"/>
    <w:pPr>
      <w:numPr>
        <w:ilvl w:val="0"/>
        <w:numId w:val="13"/>
      </w:numPr>
      <w:tabs>
        <w:tab w:val="left" w:pos="432"/>
        <w:tab w:val="left" w:pos="720"/>
        <w:tab w:val="left" w:pos="1616"/>
        <w:tab w:val="left" w:pos="1914"/>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line="360" w:lineRule="auto"/>
      <w:jc w:val="center"/>
    </w:pPr>
    <w:rPr>
      <w:rFonts w:ascii="Times New Roman" w:hAnsi="Times New Roman" w:eastAsia="宋体" w:cs="andale mono"/>
      <w:b/>
      <w:kern w:val="24"/>
      <w:sz w:val="24"/>
      <w:szCs w:val="22"/>
      <w:lang w:val="en-GB"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792a0d07-acb4-4231-9d37-34337bde518d</errorID>
      <errorWord>/）</errorWord>
      <group>L1_Punc</group>
      <groupName>标点问题</groupName>
      <ability>L2_Punc</ability>
      <abilityName>标点符号检查</abilityName>
      <candidateList>
        <item>）</item>
      </candidateList>
      <explain/>
      <paraID>4C3861BF</paraID>
      <start>46</start>
      <end>48</end>
      <status>unmodified</status>
      <modifiedWord/>
      <trackRevisions>false</trackRevisions>
    </reviewItem>
    <reviewItem>
      <errorID>e8129c7a-798a-4d8a-9b90-cf4d09a60910</errorID>
      <errorWord>/）</errorWord>
      <group>L1_Punc</group>
      <groupName>标点问题</groupName>
      <ability>L2_Punc</ability>
      <abilityName>标点符号检查</abilityName>
      <candidateList>
        <item>）</item>
      </candidateList>
      <explain/>
      <paraID>1F0E961F</paraID>
      <start>47</start>
      <end>49</end>
      <status>unmodified</status>
      <modifiedWord/>
      <trackRevisions>false</trackRevisions>
    </reviewItem>
    <reviewItem>
      <errorID>e8590f87-b9ad-431f-a30b-2ece6dd6a60c</errorID>
      <errorWord>均应</errorWord>
      <group>L1_Word</group>
      <groupName>字词问题</groupName>
      <ability>L2_Typo</ability>
      <abilityName>字词错误</abilityName>
      <candidateList>
        <item>均</item>
      </candidateList>
      <explain/>
      <paraID>2EAD0A26</paraID>
      <start>32</start>
      <end>34</end>
      <status>unmodified</status>
      <modifiedWord/>
      <trackRevisions>false</trackRevisions>
    </reviewItem>
    <reviewItem>
      <errorID>7c188eb5-bea9-428a-830c-7a6b390b5096</errorID>
      <errorWord>视频检测</errorWord>
      <group>L1_Word</group>
      <groupName>字词问题</groupName>
      <ability>L2_Typo</ability>
      <abilityName>字词错误</abilityName>
      <candidateList>
        <item>视频监测</item>
      </candidateList>
      <explain/>
      <paraID>4C0B6D05</paraID>
      <start>6</start>
      <end>10</end>
      <status>unmodified</status>
      <modifiedWord/>
      <trackRevisions>false</trackRevisions>
    </reviewItem>
    <reviewItem>
      <errorID>572dc4a8-f0e3-41b1-bf15-7b2356453b24</errorID>
      <errorWord>型</errorWord>
      <group>L1_Word</group>
      <groupName>字词问题</groupName>
      <ability>L2_Typo</ability>
      <abilityName>字词错误</abilityName>
      <candidateList>
        <item>性</item>
      </candidateList>
      <explain/>
      <paraID>7F4250DF</paraID>
      <start>19</start>
      <end>20</end>
      <status>unmodified</status>
      <modifiedWord/>
      <trackRevisions>false</trackRevisions>
    </reviewItem>
    <reviewItem>
      <errorID>f909b395-1362-4df8-b8fc-780a9294fc03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61843325</paraID>
      <start>10</start>
      <end>13</end>
      <status>unmodified</status>
      <modifiedWord/>
      <trackRevisions>false</trackRevisions>
    </reviewItem>
    <reviewItem>
      <errorID>f5a08ff1-3c4c-4ff4-8a4e-e2680207189f</errorID>
      <errorWord>定周控制</errorWord>
      <group>L1_Knowledge</group>
      <groupName>知识性问题</groupName>
      <ability>L2_Term</ability>
      <abilityName>专业术语</abilityName>
      <candidateList>
        <item>定值控制</item>
      </candidateList>
      <explain/>
      <paraID>61843325</paraID>
      <start>37</start>
      <end>41</end>
      <status>unmodified</status>
      <modifiedWord/>
      <trackRevisions>false</trackRevisions>
    </reviewItem>
    <reviewItem>
      <errorID>0381e9e3-5fe8-45b6-b669-fc74493a832a</errorID>
      <errorWord>其它</errorWord>
      <group>L1_Word</group>
      <groupName>字词问题</groupName>
      <ability>L2_Alias</ability>
      <abilityName>也作/曾用词</abilityName>
      <candidateList>
        <item>其他</item>
      </candidateList>
      <explain>词汇[其它]为不规范表述或旧称，其规范书面表述为[其他]。</explain>
      <paraID>15934A6E</paraID>
      <start>37</start>
      <end>39</end>
      <status>unmodified</status>
      <modifiedWord/>
      <trackRevisions>false</trackRevisions>
    </reviewItem>
    <reviewItem>
      <errorID>00f0d1d7-dcc2-4486-accf-d432fa2e403f</errorID>
      <errorWord>&lt;</errorWord>
      <group>L1_Format</group>
      <groupName>格式问题</groupName>
      <ability>L2_HalfPunc</ability>
      <abilityName>全半角检查</abilityName>
      <candidateList>
        <item>〈</item>
      </candidateList>
      <explain>文本全半角错误。</explain>
      <paraID> E5192F4</paraID>
      <start>48</start>
      <end>49</end>
      <status>unmodified</status>
      <modifiedWord/>
      <trackRevisions>false</trackRevisions>
    </reviewItem>
    <reviewItem>
      <errorID>02f92cd7-1078-4fdd-8b28-92319451488b</errorID>
      <errorWord>单独供电</errorWord>
      <group>L1_Knowledge</group>
      <groupName>知识性问题</groupName>
      <ability>L2_Term</ability>
      <abilityName>专业术语</abilityName>
      <candidateList>
        <item>单相供电</item>
      </candidateList>
      <explain/>
      <paraID>56354CE0</paraID>
      <start>5</start>
      <end>9</end>
      <status>unmodified</status>
      <modifiedWord/>
      <trackRevisions>false</trackRevisions>
    </reviewItem>
    <reviewItem>
      <errorID>fe4e2f38-86dd-4c11-92a3-0c3a4ac2d4ad</errorID>
      <errorWord>图纸编码</errorWord>
      <group>L1_Knowledge</group>
      <groupName>知识性问题</groupName>
      <ability>L2_Term</ability>
      <abilityName>专业术语</abilityName>
      <candidateList>
        <item>图像编码</item>
      </candidateList>
      <explain/>
      <paraID>460E7CD1</paraID>
      <start>26</start>
      <end>30</end>
      <status>unmodified</status>
      <modifiedWord/>
      <trackRevisions>false</trackRevisions>
    </reviewItem>
    <reviewItem>
      <errorID>974f0dbb-7b82-4e1b-a746-6a7c4302c5ed</errorID>
      <errorWord>商</errorWord>
      <group>L1_Word</group>
      <groupName>字词问题</groupName>
      <ability>L2_Typo</ability>
      <abilityName>字词错误</abilityName>
      <candidateList>
        <item>商在</item>
      </candidateList>
      <explain/>
      <paraID>1CC0A771</paraID>
      <start>2</start>
      <end>3</end>
      <status>unmodified</status>
      <modifiedWord/>
      <trackRevisions>false</trackRevisions>
    </reviewItem>
    <reviewItem>
      <errorID>a7d21017-cdd3-4c4d-9dfe-609b2f213c02</errorID>
      <errorWord>与其</errorWord>
      <group>L1_Word</group>
      <groupName>字词问题</groupName>
      <ability>L2_Typo</ability>
      <abilityName>字词错误</abilityName>
      <candidateList>
        <item>与</item>
      </candidateList>
      <explain>（舆）yù参与：～会。</explain>
      <paraID>66379207</paraID>
      <start>79</start>
      <end>81</end>
      <status>unmodified</status>
      <modifiedWord/>
      <trackRevisions>false</trackRevisions>
    </reviewItem>
    <reviewItem>
      <errorID>19a76150-b1b8-42d8-b843-67f45095419a</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53229142</paraID>
      <start>151</start>
      <end>154</end>
      <status>unmodified</status>
      <modifiedWord/>
      <trackRevisions>false</trackRevisions>
    </reviewItem>
    <reviewItem>
      <errorID>9713843a-fdeb-4ffa-8c79-92e21311bea4</errorID>
      <errorWord>项目费</errorWord>
      <group>L1_Word</group>
      <groupName>字词问题</groupName>
      <ability>L2_Typo</ability>
      <abilityName>字词错误</abilityName>
      <candidateList>
        <item>项目</item>
      </candidateList>
      <explain>〈名〉事物分成的门类：服务～｜体育～｜建设～。</explain>
      <paraID> AC55AF1</paraID>
      <start>4</start>
      <end>7</end>
      <status>unmodified</status>
      <modifiedWord/>
      <trackRevisions>false</trackRevisions>
    </reviewItem>
    <reviewItem>
      <errorID>19e0cdd7-f808-47d6-9e7a-c45f36fadaa4</errorID>
      <errorWord>是为</errorWord>
      <group>L1_Word</group>
      <groupName>字词问题</groupName>
      <ability>L2_Typo</ability>
      <abilityName>字词错误</abilityName>
      <candidateList>
        <item>视为</item>
      </candidateList>
      <explain/>
      <paraID>6F764FD2</paraID>
      <start>21</start>
      <end>23</end>
      <status>unmodified</status>
      <modifiedWord/>
      <trackRevisions>false</trackRevisions>
    </reviewItem>
    <reviewItem>
      <errorID>d2c6e37a-5cfa-48d9-9f4f-0f7850fe2b6f</errorID>
      <errorWord>其它</errorWord>
      <group>L1_Word</group>
      <groupName>字词问题</groupName>
      <ability>L2_Alias</ability>
      <abilityName>也作/曾用词</abilityName>
      <candidateList>
        <item>其他</item>
      </candidateList>
      <explain>词汇[其它]为不规范表述或旧称，其规范书面表述为[其他]。</explain>
      <paraID>15263306</paraID>
      <start>56</start>
      <end>58</end>
      <status>unmodified</status>
      <modifiedWord/>
      <trackRevisions>false</trackRevisions>
    </reviewItem>
    <reviewItem>
      <errorID>dce6b451-0648-4885-b9d0-97c8a1722672</errorID>
      <errorWord>（</errorWord>
      <group>L1_Punc</group>
      <groupName>标点问题</groupName>
      <ability>L2_Punc</ability>
      <abilityName>标点符号检查</abilityName>
      <candidateList/>
      <explain>同一形式括号套用。</explain>
      <paraID>1746DAE6</paraID>
      <start>70</start>
      <end>71</end>
      <status>unmodified</status>
      <modifiedWord/>
      <trackRevisions>false</trackRevisions>
    </reviewItem>
    <reviewItem>
      <errorID>17334604-c9de-4e92-834f-e11c29ca5735</errorID>
      <errorWord>）</errorWord>
      <group>L1_Punc</group>
      <groupName>标点问题</groupName>
      <ability>L2_Punc</ability>
      <abilityName>标点符号检查</abilityName>
      <candidateList/>
      <explain>同一形式括号套用。</explain>
      <paraID>1746DAE6</paraID>
      <start>83</start>
      <end>84</end>
      <status>unmodified</status>
      <modifiedWord/>
      <trackRevisions>false</trackRevisions>
    </reviewItem>
    <reviewItem>
      <errorID>54a8f3ec-1098-47f1-84f5-3f54cc4c4dac</errorID>
      <errorWord>的其它费用</errorWord>
      <group>L1_Word</group>
      <groupName>字词问题</groupName>
      <ability>L2_Alias</ability>
      <abilityName>也作/曾用词</abilityName>
      <candidateList>
        <item>的其他费用</item>
      </candidateList>
      <explain>词汇[的其它费用]为不规范表述或旧称，其规范书面表述为[的其他费用]。</explain>
      <paraID>338EE53D</paraID>
      <start>69</start>
      <end>74</end>
      <status>unmodified</status>
      <modifiedWord/>
      <trackRevisions>false</trackRevisions>
    </reviewItem>
    <reviewItem>
      <errorID>2a7481ec-6fb5-4ac8-8f2d-c6e98a1418e1</errorID>
      <errorWord>按照以</errorWord>
      <group>L1_Word</group>
      <groupName>字词问题</groupName>
      <ability>L2_Typo</ability>
      <abilityName>字词错误</abilityName>
      <candidateList>
        <item>按照</item>
      </candidateList>
      <explain>〈介〉根据；依照：～法规办理｜～预定的计划执行。</explain>
      <paraID>16113B41</paraID>
      <start>32</start>
      <end>35</end>
      <status>unmodified</status>
      <modifiedWord/>
      <trackRevisions>false</trackRevisions>
    </reviewItem>
    <reviewItem>
      <errorID>24953084-a7bf-431f-839d-536a94e696e4</errorID>
      <errorWord>）的</errorWord>
      <group>L1_Word</group>
      <groupName>字词问题</groupName>
      <ability>L2_Typo</ability>
      <abilityName>字词错误</abilityName>
      <candidateList>
        <item>）</item>
      </candidateList>
      <explain/>
      <paraID>5A6140DE</paraID>
      <start>37</start>
      <end>39</end>
      <status>unmodified</status>
      <modifiedWord/>
      <trackRevisions>false</trackRevisions>
    </reviewItem>
    <reviewItem>
      <errorID>f6ac5144-18b5-4b1f-a43c-e1057d58db17</errorID>
      <errorWord>暂列金额</errorWord>
      <group>L1_Knowledge</group>
      <groupName>知识性问题</groupName>
      <ability>L2_Term</ability>
      <abilityName>专业术语</abilityName>
      <candidateList>
        <item>暂定金额</item>
      </candidateList>
      <explain/>
      <paraID>36023AE6</paraID>
      <start>35</start>
      <end>39</end>
      <status>unmodified</status>
      <modifiedWord/>
      <trackRevisions>false</trackRevisions>
    </reviewItem>
    <reviewItem>
      <errorID>687150bc-872a-49f3-ad68-7ab542c74eaf</errorID>
      <errorWord>不在</errorWord>
      <group>L1_Word</group>
      <groupName>字词问题</groupName>
      <ability>L2_Typo</ability>
      <abilityName>字词错误</abilityName>
      <candidateList>
        <item>不再</item>
      </candidateList>
      <explain>存在发音相同字词的误用。</explain>
      <paraID> B75148B</paraID>
      <start>66</start>
      <end>68</end>
      <status>unmodified</status>
      <modifiedWord/>
      <trackRevisions>false</trackRevisions>
    </reviewItem>
    <reviewItem>
      <errorID>1c0738ec-006f-4fb7-b28c-273f77faf720</errorID>
      <errorWord>时</errorWord>
      <group>L1_Word</group>
      <groupName>字词问题</groupName>
      <ability>L2_Typo</ability>
      <abilityName>字词错误</abilityName>
      <candidateList>
        <item>时内</item>
      </candidateList>
      <explain/>
      <paraID>66E7F2D0</paraID>
      <start>57</start>
      <end>58</end>
      <status>unmodified</status>
      <modifiedWord/>
      <trackRevisions>false</trackRevisions>
    </reviewItem>
    <reviewItem>
      <errorID>f638c5d9-a68f-4654-addd-84f866d13cb6</errorID>
      <errorWord>其它</errorWord>
      <group>L1_Word</group>
      <groupName>字词问题</groupName>
      <ability>L2_Alias</ability>
      <abilityName>也作/曾用词</abilityName>
      <candidateList>
        <item>其他</item>
      </candidateList>
      <explain>词汇[其它]为不规范表述或旧称，其规范书面表述为[其他]。</explain>
      <paraID> 1CB34C3</paraID>
      <start>44</start>
      <end>46</end>
      <status>unmodified</status>
      <modifiedWord/>
      <trackRevisions>false</trackRevisions>
    </reviewItem>
    <reviewItem>
      <errorID>afb65c8a-a6bf-4220-817b-16db39385e2f</errorID>
      <errorWord>资格性</errorWord>
      <group>L1_Word</group>
      <groupName>字词问题</groupName>
      <ability>L2_Typo</ability>
      <abilityName>字词错误</abilityName>
      <candidateList>
        <item>资格</item>
      </candidateList>
      <explain/>
      <paraID> 3F39DA7</paraID>
      <start>49</start>
      <end>52</end>
      <status>unmodified</status>
      <modifiedWord/>
      <trackRevisions>false</trackRevisions>
    </reviewItem>
    <reviewItem>
      <errorID>da0f1a69-8219-4415-93f9-c6f4d86b6496</errorID>
      <errorWord>(</errorWord>
      <group>L1_Format</group>
      <groupName>格式问题</groupName>
      <ability>L2_HalfPunc</ability>
      <abilityName>全半角检查</abilityName>
      <candidateList>
        <item>（</item>
      </candidateList>
      <explain>文本全半角错误。</explain>
      <paraID>1CB366F8</paraID>
      <start>224</start>
      <end>225</end>
      <status>unmodified</status>
      <modifiedWord/>
      <trackRevisions>false</trackRevisions>
    </reviewItem>
    <reviewItem>
      <errorID>5e2dde12-cc1d-4c21-b062-63832aa12b7f</errorID>
      <errorWord>)</errorWord>
      <group>L1_Format</group>
      <groupName>格式问题</groupName>
      <ability>L2_HalfPunc</ability>
      <abilityName>全半角检查</abilityName>
      <candidateList>
        <item>）</item>
      </candidateList>
      <explain>文本全半角错误。</explain>
      <paraID>1CB366F8</paraID>
      <start>247</start>
      <end>248</end>
      <status>unmodified</status>
      <modifiedWord/>
      <trackRevisions>false</trackRevisions>
    </reviewItem>
    <reviewItem>
      <errorID>d64029c3-fef3-41d4-8baf-c0ac310fd920</errorID>
      <errorWord>"</errorWord>
      <group>L1_Format</group>
      <groupName>格式问题</groupName>
      <ability>L2_HalfPunc</ability>
      <abilityName>全半角检查</abilityName>
      <candidateList/>
      <explain>文本全半角错误。</explain>
      <paraID>1CB366F8</paraID>
      <start>249</start>
      <end>250</end>
      <status>unmodified</status>
      <modifiedWord/>
      <trackRevisions>false</trackRevisions>
    </reviewItem>
    <reviewItem>
      <errorID>1ebe9b0f-625f-49dc-bb1d-eae61ac4a8a5</errorID>
      <errorWord>"</errorWord>
      <group>L1_Format</group>
      <groupName>格式问题</groupName>
      <ability>L2_HalfPunc</ability>
      <abilityName>全半角检查</abilityName>
      <candidateList/>
      <explain>文本全半角错误。</explain>
      <paraID>1CB366F8</paraID>
      <start>257</start>
      <end>258</end>
      <status>unmodified</status>
      <modifiedWord/>
      <trackRevisions>false</trackRevisions>
    </reviewItem>
    <reviewItem>
      <errorID>ebc72f27-97b9-4ec2-8c58-d9530100a549</errorID>
      <errorWord>)</errorWord>
      <group>L1_Format</group>
      <groupName>格式问题</groupName>
      <ability>L2_HalfPunc</ability>
      <abilityName>全半角检查</abilityName>
      <candidateList>
        <item>）</item>
      </candidateList>
      <explain>文本全半角错误。</explain>
      <paraID>1CB366F8</paraID>
      <start>274</start>
      <end>275</end>
      <status>unmodified</status>
      <modifiedWord/>
      <trackRevisions>false</trackRevisions>
    </reviewItem>
    <reviewItem>
      <errorID>d51b7663-a143-4055-a125-8911d5e48723</errorID>
      <errorWord>法律、法规</errorWord>
      <group>L1_Word</group>
      <groupName>字词问题</groupName>
      <ability>L2_Typo</ability>
      <abilityName>字词错误</abilityName>
      <candidateList>
        <item>法律法规</item>
      </candidateList>
      <explain/>
      <paraID>3B1E1D59</paraID>
      <start>4</start>
      <end>9</end>
      <status>unmodified</status>
      <modifiedWord/>
      <trackRevisions>false</trackRevisions>
    </reviewItem>
    <reviewItem>
      <errorID>61b3ebc3-c3e8-47b0-844b-4ec78c0b7bf3</errorID>
      <errorWord>的</errorWord>
      <group>L1_Word</group>
      <groupName>字词问题</groupName>
      <ability>L2_Typo</ability>
      <abilityName>字词错误</abilityName>
      <candidateList>
        <item>的一</item>
      </candidateList>
      <explain/>
      <paraID>2E034967</paraID>
      <start>47</start>
      <end>48</end>
      <status>unmodified</status>
      <modifiedWord/>
      <trackRevisions>false</trackRevisions>
    </reviewItem>
    <reviewItem>
      <errorID>602f296a-6b19-4219-a9d2-bc9662033320</errorID>
      <errorWord>（</errorWord>
      <group>L1_Punc</group>
      <groupName>标点问题</groupName>
      <ability>L2_Punc</ability>
      <abilityName>标点符号检查</abilityName>
      <candidateList/>
      <explain>同一形式括号套用。</explain>
      <paraID>3B2606CE</paraID>
      <start>67</start>
      <end>68</end>
      <status>unmodified</status>
      <modifiedWord/>
      <trackRevisions>false</trackRevisions>
    </reviewItem>
    <reviewItem>
      <errorID>0e8a7626-e30a-45ac-8360-56dc639f1982</errorID>
      <errorWord>）</errorWord>
      <group>L1_Punc</group>
      <groupName>标点问题</groupName>
      <ability>L2_Punc</ability>
      <abilityName>标点符号检查</abilityName>
      <candidateList/>
      <explain>同一形式括号套用。</explain>
      <paraID>3B2606CE</paraID>
      <start>70</start>
      <end>71</end>
      <status>unmodified</status>
      <modifiedWord/>
      <trackRevisions>false</trackRevisions>
    </reviewItem>
    <reviewItem>
      <errorID>c5e120c1-a2e6-4aaf-931d-4565b3c2127b</errorID>
      <errorWord>作必要</errorWord>
      <group>L1_Word</group>
      <groupName>字词问题</groupName>
      <ability>L2_Typo</ability>
      <abilityName>字词错误</abilityName>
      <candidateList>
        <item>做必要</item>
      </candidateList>
      <explain/>
      <paraID>2282D0F7</paraID>
      <start>14</start>
      <end>17</end>
      <status>unmodified</status>
      <modifiedWord/>
      <trackRevisions>false</trackRevisions>
    </reviewItem>
    <reviewItem>
      <errorID>3496c884-ba99-4b9d-bb4e-7aa9a5d905f6</errorID>
      <errorWord>/）</errorWord>
      <group>L1_Punc</group>
      <groupName>标点问题</groupName>
      <ability>L2_Punc</ability>
      <abilityName>标点符号检查</abilityName>
      <candidateList>
        <item>）</item>
      </candidateList>
      <explain/>
      <paraID> 5939188</paraID>
      <start>48</start>
      <end>50</end>
      <status>unmodified</status>
      <modifiedWord/>
      <trackRevisions>false</trackRevisions>
    </reviewItem>
    <reviewItem>
      <errorID>abf2db56-712e-4f23-a671-1f48dc8c5e4c</errorID>
      <errorWord>提出质疑</errorWord>
      <group>L1_Word</group>
      <groupName>字词问题</groupName>
      <ability>L2_Typo</ability>
      <abilityName>字词错误</abilityName>
      <candidateList>
        <item>质疑</item>
      </candidateList>
      <explain>〈动〉提出疑问：～问难。</explain>
      <paraID>405C1106</paraID>
      <start>48</start>
      <end>52</end>
      <status>unmodified</status>
      <modifiedWord/>
      <trackRevisions>false</trackRevisions>
    </reviewItem>
    <reviewItem>
      <errorID>57eecb80-c63e-4881-bc52-41e8617db738</errorID>
      <errorWord>台湾地区</errorWord>
      <group>L1_Word</group>
      <groupName>字词问题</groupName>
      <ability>L2_Typo</ability>
      <abilityName>字词错误</abilityName>
      <candidateList>
        <item>中国台湾地区</item>
      </candidateList>
      <explain/>
      <paraID>2C9342DD</paraID>
      <start>186</start>
      <end>190</end>
      <status>unmodified</status>
      <modifiedWord/>
      <trackRevisions>false</trackRevisions>
    </reviewItem>
    <reviewItem>
      <errorID>51c36f7d-d92c-44be-aa95-c7cb2e547f9e</errorID>
      <errorWord>》</errorWord>
      <group>L1_Word</group>
      <groupName>字词问题</groupName>
      <ability>L2_Typo</ability>
      <abilityName>字词错误</abilityName>
      <candidateList>
        <item>》和</item>
      </candidateList>
      <explain/>
      <paraID>6E991554</paraID>
      <start>12</start>
      <end>13</end>
      <status>unmodified</status>
      <modifiedWord/>
      <trackRevisions>false</trackRevisions>
    </reviewItem>
    <reviewItem>
      <errorID>749dcaef-6020-45c4-aa06-9aed08c328a1</errorID>
      <errorWord>的</errorWord>
      <group>L1_Word</group>
      <groupName>字词问题</groupName>
      <ability>L2_Typo</ability>
      <abilityName>字词错误</abilityName>
      <candidateList>
        <item>的一</item>
      </candidateList>
      <explain/>
      <paraID> 94E72FA</paraID>
      <start>28</start>
      <end>29</end>
      <status>unmodified</status>
      <modifiedWord/>
      <trackRevisions>false</trackRevisions>
    </reviewItem>
    <reviewItem>
      <errorID>2b133ef2-518e-4c2c-aeb7-b1805f1b0e79</errorID>
      <errorWord>其它</errorWord>
      <group>L1_Word</group>
      <groupName>字词问题</groupName>
      <ability>L2_Alias</ability>
      <abilityName>也作/曾用词</abilityName>
      <candidateList>
        <item>其他</item>
      </candidateList>
      <explain>词汇[其它]为不规范表述或旧称，其规范书面表述为[其他]。</explain>
      <paraID>10F5443E</paraID>
      <start>3</start>
      <end>5</end>
      <status>unmodified</status>
      <modifiedWord/>
      <trackRevisions>false</trackRevisions>
    </reviewItem>
    <reviewItem>
      <errorID>e3a8faee-9acf-4132-bd8a-3f117ccc9fbd</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2FC4AC19</paraID>
      <start>27</start>
      <end>29</end>
      <status>unmodified</status>
      <modifiedWord/>
      <trackRevisions>false</trackRevisions>
    </reviewItem>
    <reviewItem>
      <errorID>f7ef06a7-02d2-4eea-a139-a643567c9917</errorID>
      <errorWord>其它</errorWord>
      <group>L1_Word</group>
      <groupName>字词问题</groupName>
      <ability>L2_Alias</ability>
      <abilityName>也作/曾用词</abilityName>
      <candidateList>
        <item>其他</item>
      </candidateList>
      <explain>词汇[其它]为不规范表述或旧称，其规范书面表述为[其他]。</explain>
      <paraID>5FA3D442</paraID>
      <start>4</start>
      <end>6</end>
      <status>unmodified</status>
      <modifiedWord/>
      <trackRevisions>false</trackRevisions>
    </reviewItem>
    <reviewItem>
      <errorID>681b0356-f04a-41e2-8a47-2016eacb38bc</errorID>
      <errorWord>）</errorWord>
      <group>L1_Word</group>
      <groupName>字词问题</groupName>
      <ability>L2_Typo</ability>
      <abilityName>字词错误</abilityName>
      <candidateList>
        <item>）担</item>
      </candidateList>
      <explain/>
      <paraID>730C9A5E</paraID>
      <start>47</start>
      <end>48</end>
      <status>unmodified</status>
      <modifiedWord/>
      <trackRevisions>false</trackRevisions>
    </reviewItem>
    <reviewItem>
      <errorID>4c56ba77-8130-4770-b14d-7c2bed8b8248</errorID>
      <errorWord>，</errorWord>
      <group>L1_Word</group>
      <groupName>字词问题</groupName>
      <ability>L2_Typo</ability>
      <abilityName>字词错误</abilityName>
      <candidateList>
        <item>，在</item>
      </candidateList>
      <explain/>
      <paraID>45AE25F0</paraID>
      <start>63</start>
      <end>64</end>
      <status>unmodified</status>
      <modifiedWord/>
      <trackRevisions>false</trackRevisions>
    </reviewItem>
    <reviewItem>
      <errorID>379a18ee-de5c-4256-9dea-0373bdbf1658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180CF618</paraID>
      <start>45</start>
      <end>48</end>
      <status>unmodified</status>
      <modifiedWord/>
      <trackRevisions>false</trackRevisions>
    </reviewItem>
    <reviewItem>
      <errorID>93e57ef8-d0c7-4987-85a7-0444ada038d3</errorID>
      <errorWord>，</errorWord>
      <group>L1_Word</group>
      <groupName>字词问题</groupName>
      <ability>L2_Typo</ability>
      <abilityName>字词错误</abilityName>
      <candidateList>
        <item>，并</item>
      </candidateList>
      <explain/>
      <paraID>5C3DCCEC</paraID>
      <start>40</start>
      <end>41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a4bf6f-7c4a-4f6e-b9c6-126ca6c4763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41</Pages>
  <Words>4280</Words>
  <Characters>4639</Characters>
  <Lines>207</Lines>
  <Paragraphs>58</Paragraphs>
  <TotalTime>5</TotalTime>
  <ScaleCrop>false</ScaleCrop>
  <LinksUpToDate>false</LinksUpToDate>
  <CharactersWithSpaces>4822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2022-06-14T16:38:00Z</dcterms:created>
  <dc:creator>罗成</dc:creator>
  <cp:lastModifiedBy>荒流</cp:lastModifiedBy>
  <cp:lastPrinted>2025-11-10T23:50:00Z</cp:lastPrinted>
  <dcterms:modified xsi:type="dcterms:W3CDTF">2025-12-02T10:43:38Z</dcterms:modified>
  <dc:title>竞争性谈判文件</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5322D812E8494C3EB8430D11F9DE1A69_13</vt:lpwstr>
  </property>
  <property fmtid="{D5CDD505-2E9C-101B-9397-08002B2CF9AE}" pid="4" name="KSOTemplateDocerSaveRecord">
    <vt:lpwstr>eyJoZGlkIjoiYmE2OThmMTM4MjQ0NzNiYWE5ZjllMjlhZjFkOTZjMWUiLCJ1c2VySWQiOiIzODMyOTQwNDgifQ==</vt:lpwstr>
  </property>
</Properties>
</file>