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BA1EF">
      <w:pPr>
        <w:kinsoku w:val="0"/>
        <w:autoSpaceDE w:val="0"/>
        <w:autoSpaceDN w:val="0"/>
        <w:adjustRightInd w:val="0"/>
        <w:snapToGrid w:val="0"/>
        <w:spacing w:line="500" w:lineRule="exact"/>
        <w:jc w:val="center"/>
        <w:rPr>
          <w:rFonts w:hint="eastAsia" w:ascii="宋体" w:hAnsi="宋体" w:cs="宋体"/>
          <w:color w:val="000000" w:themeColor="text1"/>
          <w:sz w:val="32"/>
          <w:szCs w:val="20"/>
          <w:highlight w:val="none"/>
          <w14:textFill>
            <w14:solidFill>
              <w14:schemeClr w14:val="tx1"/>
            </w14:solidFill>
          </w14:textFill>
        </w:rPr>
      </w:pPr>
    </w:p>
    <w:p w14:paraId="4966C6E0">
      <w:pPr>
        <w:pStyle w:val="26"/>
        <w:rPr>
          <w:rFonts w:hint="eastAsia" w:ascii="宋体" w:hAnsi="宋体" w:eastAsia="宋体" w:cs="宋体"/>
          <w:color w:val="000000" w:themeColor="text1"/>
          <w:szCs w:val="28"/>
          <w:highlight w:val="none"/>
          <w14:textFill>
            <w14:solidFill>
              <w14:schemeClr w14:val="tx1"/>
            </w14:solidFill>
          </w14:textFill>
        </w:rPr>
      </w:pPr>
    </w:p>
    <w:p w14:paraId="253D3E48">
      <w:pPr>
        <w:pStyle w:val="27"/>
        <w:rPr>
          <w:rFonts w:hint="eastAsia" w:ascii="宋体" w:hAnsi="宋体" w:cs="宋体"/>
          <w:color w:val="000000" w:themeColor="text1"/>
          <w:sz w:val="32"/>
          <w:szCs w:val="28"/>
          <w:highlight w:val="none"/>
          <w14:textFill>
            <w14:solidFill>
              <w14:schemeClr w14:val="tx1"/>
            </w14:solidFill>
          </w14:textFill>
        </w:rPr>
      </w:pPr>
    </w:p>
    <w:p w14:paraId="1D487699">
      <w:pPr>
        <w:pStyle w:val="27"/>
        <w:rPr>
          <w:rFonts w:hint="eastAsia" w:ascii="宋体" w:hAnsi="宋体" w:cs="宋体"/>
          <w:color w:val="000000" w:themeColor="text1"/>
          <w:sz w:val="32"/>
          <w:szCs w:val="28"/>
          <w:highlight w:val="none"/>
          <w14:textFill>
            <w14:solidFill>
              <w14:schemeClr w14:val="tx1"/>
            </w14:solidFill>
          </w14:textFill>
        </w:rPr>
      </w:pPr>
    </w:p>
    <w:p w14:paraId="52B86531">
      <w:pPr>
        <w:pStyle w:val="27"/>
        <w:jc w:val="center"/>
        <w:rPr>
          <w:rFonts w:hint="eastAsia" w:ascii="宋体" w:hAnsi="宋体" w:cs="宋体"/>
          <w:b/>
          <w:bCs/>
          <w:color w:val="000000" w:themeColor="text1"/>
          <w:sz w:val="72"/>
          <w:szCs w:val="60"/>
          <w:highlight w:val="none"/>
          <w14:textFill>
            <w14:solidFill>
              <w14:schemeClr w14:val="tx1"/>
            </w14:solidFill>
          </w14:textFill>
        </w:rPr>
      </w:pPr>
      <w:r>
        <w:rPr>
          <w:rFonts w:hint="eastAsia" w:ascii="宋体" w:hAnsi="宋体" w:cs="宋体"/>
          <w:b/>
          <w:bCs/>
          <w:color w:val="000000" w:themeColor="text1"/>
          <w:sz w:val="72"/>
          <w:szCs w:val="60"/>
          <w:highlight w:val="none"/>
          <w14:textFill>
            <w14:solidFill>
              <w14:schemeClr w14:val="tx1"/>
            </w14:solidFill>
          </w14:textFill>
        </w:rPr>
        <w:t>竞争性比选文件</w:t>
      </w:r>
    </w:p>
    <w:p w14:paraId="5D60DBEC">
      <w:pPr>
        <w:kinsoku w:val="0"/>
        <w:overflowPunct w:val="0"/>
        <w:autoSpaceDE w:val="0"/>
        <w:autoSpaceDN w:val="0"/>
        <w:adjustRightInd w:val="0"/>
        <w:snapToGrid w:val="0"/>
        <w:spacing w:line="500" w:lineRule="exact"/>
        <w:ind w:firstLine="1817" w:firstLineChars="568"/>
        <w:rPr>
          <w:rFonts w:hint="eastAsia" w:ascii="宋体" w:hAnsi="宋体" w:cs="宋体"/>
          <w:color w:val="000000" w:themeColor="text1"/>
          <w:sz w:val="32"/>
          <w:szCs w:val="32"/>
          <w:highlight w:val="none"/>
          <w14:textFill>
            <w14:solidFill>
              <w14:schemeClr w14:val="tx1"/>
            </w14:solidFill>
          </w14:textFill>
        </w:rPr>
      </w:pPr>
    </w:p>
    <w:p w14:paraId="3B726B88">
      <w:pPr>
        <w:kinsoku w:val="0"/>
        <w:overflowPunct w:val="0"/>
        <w:autoSpaceDE w:val="0"/>
        <w:autoSpaceDN w:val="0"/>
        <w:adjustRightInd w:val="0"/>
        <w:snapToGrid w:val="0"/>
        <w:spacing w:line="500" w:lineRule="exact"/>
        <w:ind w:firstLine="1817" w:firstLineChars="568"/>
        <w:rPr>
          <w:rFonts w:hint="eastAsia" w:ascii="宋体" w:hAnsi="宋体" w:cs="宋体"/>
          <w:color w:val="000000" w:themeColor="text1"/>
          <w:sz w:val="32"/>
          <w:szCs w:val="32"/>
          <w:highlight w:val="none"/>
          <w14:textFill>
            <w14:solidFill>
              <w14:schemeClr w14:val="tx1"/>
            </w14:solidFill>
          </w14:textFill>
        </w:rPr>
      </w:pPr>
    </w:p>
    <w:p w14:paraId="20573A06">
      <w:pPr>
        <w:kinsoku w:val="0"/>
        <w:overflowPunct w:val="0"/>
        <w:autoSpaceDE w:val="0"/>
        <w:autoSpaceDN w:val="0"/>
        <w:adjustRightInd w:val="0"/>
        <w:snapToGrid w:val="0"/>
        <w:spacing w:line="500" w:lineRule="exact"/>
        <w:ind w:firstLine="1817" w:firstLineChars="568"/>
        <w:rPr>
          <w:rFonts w:hint="eastAsia" w:ascii="宋体" w:hAnsi="宋体" w:cs="宋体"/>
          <w:color w:val="000000" w:themeColor="text1"/>
          <w:sz w:val="32"/>
          <w:szCs w:val="32"/>
          <w:highlight w:val="none"/>
          <w14:textFill>
            <w14:solidFill>
              <w14:schemeClr w14:val="tx1"/>
            </w14:solidFill>
          </w14:textFill>
        </w:rPr>
      </w:pPr>
    </w:p>
    <w:p w14:paraId="3BE551E6">
      <w:pPr>
        <w:kinsoku w:val="0"/>
        <w:overflowPunct w:val="0"/>
        <w:autoSpaceDE w:val="0"/>
        <w:autoSpaceDN w:val="0"/>
        <w:adjustRightInd w:val="0"/>
        <w:snapToGrid w:val="0"/>
        <w:spacing w:line="500" w:lineRule="exact"/>
        <w:ind w:firstLine="1817" w:firstLineChars="568"/>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项目名称：办公设施设备维护及信息技术服务</w:t>
      </w:r>
    </w:p>
    <w:p w14:paraId="08F0E2FB">
      <w:pPr>
        <w:kinsoku w:val="0"/>
        <w:autoSpaceDE w:val="0"/>
        <w:autoSpaceDN w:val="0"/>
        <w:adjustRightInd w:val="0"/>
        <w:snapToGrid w:val="0"/>
        <w:spacing w:line="500" w:lineRule="exact"/>
        <w:ind w:firstLine="1817" w:firstLineChars="568"/>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项目编号：YFD2025-071</w:t>
      </w:r>
    </w:p>
    <w:p w14:paraId="56B37E47">
      <w:pPr>
        <w:kinsoku w:val="0"/>
        <w:autoSpaceDE w:val="0"/>
        <w:autoSpaceDN w:val="0"/>
        <w:adjustRightInd w:val="0"/>
        <w:snapToGrid w:val="0"/>
        <w:spacing w:line="500" w:lineRule="exact"/>
        <w:jc w:val="center"/>
        <w:rPr>
          <w:rFonts w:hint="eastAsia" w:ascii="宋体" w:hAnsi="宋体" w:cs="宋体"/>
          <w:b/>
          <w:color w:val="000000" w:themeColor="text1"/>
          <w:sz w:val="32"/>
          <w:szCs w:val="32"/>
          <w:highlight w:val="none"/>
          <w14:textFill>
            <w14:solidFill>
              <w14:schemeClr w14:val="tx1"/>
            </w14:solidFill>
          </w14:textFill>
        </w:rPr>
      </w:pPr>
    </w:p>
    <w:p w14:paraId="3522F622">
      <w:pPr>
        <w:kinsoku w:val="0"/>
        <w:autoSpaceDE w:val="0"/>
        <w:autoSpaceDN w:val="0"/>
        <w:adjustRightInd w:val="0"/>
        <w:snapToGrid w:val="0"/>
        <w:spacing w:line="500" w:lineRule="exact"/>
        <w:jc w:val="center"/>
        <w:rPr>
          <w:rFonts w:hint="eastAsia" w:ascii="宋体" w:hAnsi="宋体" w:cs="宋体"/>
          <w:b/>
          <w:color w:val="000000" w:themeColor="text1"/>
          <w:sz w:val="32"/>
          <w:szCs w:val="32"/>
          <w:highlight w:val="none"/>
          <w14:textFill>
            <w14:solidFill>
              <w14:schemeClr w14:val="tx1"/>
            </w14:solidFill>
          </w14:textFill>
        </w:rPr>
      </w:pPr>
    </w:p>
    <w:p w14:paraId="0491DF3B">
      <w:pPr>
        <w:pStyle w:val="2"/>
        <w:keepNext w:val="0"/>
        <w:kinsoku w:val="0"/>
        <w:autoSpaceDE w:val="0"/>
        <w:autoSpaceDN w:val="0"/>
        <w:adjustRightInd w:val="0"/>
        <w:spacing w:line="500" w:lineRule="exact"/>
        <w:rPr>
          <w:rFonts w:hint="eastAsia" w:hAnsi="宋体" w:cs="宋体"/>
          <w:b/>
          <w:color w:val="000000" w:themeColor="text1"/>
          <w:sz w:val="32"/>
          <w:szCs w:val="32"/>
          <w:highlight w:val="none"/>
          <w14:textFill>
            <w14:solidFill>
              <w14:schemeClr w14:val="tx1"/>
            </w14:solidFill>
          </w14:textFill>
        </w:rPr>
      </w:pPr>
    </w:p>
    <w:p w14:paraId="6AC7B0EB">
      <w:pPr>
        <w:kinsoku w:val="0"/>
        <w:autoSpaceDE w:val="0"/>
        <w:autoSpaceDN w:val="0"/>
        <w:adjustRightInd w:val="0"/>
        <w:snapToGrid w:val="0"/>
        <w:spacing w:line="500" w:lineRule="exact"/>
        <w:rPr>
          <w:rFonts w:hint="eastAsia" w:ascii="宋体" w:hAnsi="宋体" w:cs="宋体"/>
          <w:b/>
          <w:color w:val="000000" w:themeColor="text1"/>
          <w:sz w:val="32"/>
          <w:szCs w:val="32"/>
          <w:highlight w:val="none"/>
          <w14:textFill>
            <w14:solidFill>
              <w14:schemeClr w14:val="tx1"/>
            </w14:solidFill>
          </w14:textFill>
        </w:rPr>
      </w:pPr>
    </w:p>
    <w:p w14:paraId="121AFCC2">
      <w:pPr>
        <w:kinsoku w:val="0"/>
        <w:autoSpaceDE w:val="0"/>
        <w:autoSpaceDN w:val="0"/>
        <w:adjustRightInd w:val="0"/>
        <w:snapToGrid w:val="0"/>
        <w:spacing w:line="500" w:lineRule="exact"/>
        <w:rPr>
          <w:rFonts w:hint="eastAsia" w:ascii="宋体" w:hAnsi="宋体" w:cs="宋体"/>
          <w:b/>
          <w:color w:val="000000" w:themeColor="text1"/>
          <w:sz w:val="32"/>
          <w:szCs w:val="32"/>
          <w:highlight w:val="none"/>
          <w14:textFill>
            <w14:solidFill>
              <w14:schemeClr w14:val="tx1"/>
            </w14:solidFill>
          </w14:textFill>
        </w:rPr>
      </w:pPr>
    </w:p>
    <w:p w14:paraId="254C1923">
      <w:pPr>
        <w:pStyle w:val="2"/>
        <w:keepNext w:val="0"/>
        <w:kinsoku w:val="0"/>
        <w:autoSpaceDE w:val="0"/>
        <w:autoSpaceDN w:val="0"/>
        <w:adjustRightInd w:val="0"/>
        <w:spacing w:line="500" w:lineRule="exact"/>
        <w:rPr>
          <w:rFonts w:hint="eastAsia" w:hAnsi="宋体" w:cs="宋体"/>
          <w:b/>
          <w:color w:val="000000" w:themeColor="text1"/>
          <w:sz w:val="32"/>
          <w:szCs w:val="32"/>
          <w:highlight w:val="none"/>
          <w14:textFill>
            <w14:solidFill>
              <w14:schemeClr w14:val="tx1"/>
            </w14:solidFill>
          </w14:textFill>
        </w:rPr>
      </w:pPr>
    </w:p>
    <w:p w14:paraId="393F1EA8">
      <w:pPr>
        <w:rPr>
          <w:rFonts w:hint="eastAsia" w:ascii="宋体" w:hAnsi="宋体" w:cs="宋体"/>
          <w:b/>
          <w:color w:val="000000" w:themeColor="text1"/>
          <w:sz w:val="32"/>
          <w:szCs w:val="32"/>
          <w:highlight w:val="none"/>
          <w14:textFill>
            <w14:solidFill>
              <w14:schemeClr w14:val="tx1"/>
            </w14:solidFill>
          </w14:textFill>
        </w:rPr>
      </w:pPr>
    </w:p>
    <w:p w14:paraId="63AE145F">
      <w:pPr>
        <w:pStyle w:val="26"/>
        <w:rPr>
          <w:highlight w:val="none"/>
        </w:rPr>
      </w:pPr>
    </w:p>
    <w:p w14:paraId="1AFE4B11">
      <w:pPr>
        <w:kinsoku w:val="0"/>
        <w:autoSpaceDE w:val="0"/>
        <w:autoSpaceDN w:val="0"/>
        <w:adjustRightInd w:val="0"/>
        <w:snapToGrid w:val="0"/>
        <w:spacing w:line="500" w:lineRule="exact"/>
        <w:rPr>
          <w:rFonts w:hint="eastAsia" w:ascii="宋体" w:hAnsi="宋体" w:cs="宋体"/>
          <w:highlight w:val="none"/>
        </w:rPr>
      </w:pPr>
    </w:p>
    <w:p w14:paraId="2E292B08">
      <w:pPr>
        <w:kinsoku w:val="0"/>
        <w:autoSpaceDE w:val="0"/>
        <w:autoSpaceDN w:val="0"/>
        <w:adjustRightInd w:val="0"/>
        <w:snapToGrid w:val="0"/>
        <w:spacing w:line="500" w:lineRule="exact"/>
        <w:rPr>
          <w:rFonts w:hint="eastAsia" w:ascii="宋体" w:hAnsi="宋体" w:cs="宋体"/>
          <w:color w:val="000000" w:themeColor="text1"/>
          <w:sz w:val="32"/>
          <w:szCs w:val="32"/>
          <w:highlight w:val="none"/>
          <w14:textFill>
            <w14:solidFill>
              <w14:schemeClr w14:val="tx1"/>
            </w14:solidFill>
          </w14:textFill>
        </w:rPr>
      </w:pPr>
    </w:p>
    <w:p w14:paraId="110B82A6">
      <w:pPr>
        <w:kinsoku w:val="0"/>
        <w:overflowPunct w:val="0"/>
        <w:autoSpaceDE w:val="0"/>
        <w:autoSpaceDN w:val="0"/>
        <w:adjustRightInd w:val="0"/>
        <w:snapToGrid w:val="0"/>
        <w:spacing w:line="500" w:lineRule="exact"/>
        <w:jc w:val="center"/>
        <w:rPr>
          <w:rFonts w:hint="eastAsia" w:ascii="宋体" w:hAnsi="宋体" w:cs="宋体"/>
          <w:color w:val="000000" w:themeColor="text1"/>
          <w:sz w:val="32"/>
          <w:szCs w:val="32"/>
          <w:highlight w:val="none"/>
          <w14:textFill>
            <w14:solidFill>
              <w14:schemeClr w14:val="tx1"/>
            </w14:solidFill>
          </w14:textFill>
        </w:rPr>
      </w:pPr>
      <w:bookmarkStart w:id="0" w:name="_Toc12013"/>
      <w:bookmarkStart w:id="1" w:name="_Toc20802"/>
      <w:r>
        <w:rPr>
          <w:rFonts w:hint="eastAsia" w:ascii="宋体" w:hAnsi="宋体" w:cs="宋体"/>
          <w:color w:val="000000" w:themeColor="text1"/>
          <w:sz w:val="32"/>
          <w:szCs w:val="32"/>
          <w:highlight w:val="none"/>
          <w14:textFill>
            <w14:solidFill>
              <w14:schemeClr w14:val="tx1"/>
            </w14:solidFill>
          </w14:textFill>
        </w:rPr>
        <w:t>比   选   人：</w:t>
      </w:r>
      <w:bookmarkEnd w:id="0"/>
      <w:bookmarkEnd w:id="1"/>
      <w:r>
        <w:rPr>
          <w:rFonts w:hint="eastAsia" w:ascii="宋体" w:hAnsi="宋体" w:cs="宋体"/>
          <w:color w:val="000000" w:themeColor="text1"/>
          <w:sz w:val="32"/>
          <w:szCs w:val="32"/>
          <w:highlight w:val="none"/>
          <w14:textFill>
            <w14:solidFill>
              <w14:schemeClr w14:val="tx1"/>
            </w14:solidFill>
          </w14:textFill>
        </w:rPr>
        <w:t>重庆市干部医疗保障所</w:t>
      </w:r>
    </w:p>
    <w:p w14:paraId="7CEAEC64">
      <w:pPr>
        <w:kinsoku w:val="0"/>
        <w:overflowPunct w:val="0"/>
        <w:autoSpaceDE w:val="0"/>
        <w:autoSpaceDN w:val="0"/>
        <w:adjustRightInd w:val="0"/>
        <w:snapToGrid w:val="0"/>
        <w:spacing w:line="500" w:lineRule="exact"/>
        <w:ind w:firstLine="976" w:firstLineChars="305"/>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比选代理机构：重庆渝富达项目管理有限公司</w:t>
      </w:r>
    </w:p>
    <w:p w14:paraId="0CDC75D3">
      <w:pPr>
        <w:kinsoku w:val="0"/>
        <w:overflowPunct w:val="0"/>
        <w:autoSpaceDE w:val="0"/>
        <w:autoSpaceDN w:val="0"/>
        <w:adjustRightInd w:val="0"/>
        <w:snapToGrid w:val="0"/>
        <w:spacing w:line="500" w:lineRule="exact"/>
        <w:ind w:firstLine="1456" w:firstLineChars="455"/>
        <w:jc w:val="center"/>
        <w:rPr>
          <w:rFonts w:hint="eastAsia" w:ascii="宋体" w:hAnsi="宋体" w:cs="宋体"/>
          <w:color w:val="000000" w:themeColor="text1"/>
          <w:sz w:val="44"/>
          <w:szCs w:val="28"/>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二〇二五年十</w:t>
      </w:r>
      <w:r>
        <w:rPr>
          <w:rFonts w:hint="eastAsia" w:ascii="宋体" w:hAnsi="宋体" w:cs="宋体"/>
          <w:color w:val="000000" w:themeColor="text1"/>
          <w:sz w:val="32"/>
          <w:szCs w:val="32"/>
          <w:highlight w:val="none"/>
          <w:lang w:val="en-US" w:eastAsia="zh-CN"/>
          <w14:textFill>
            <w14:solidFill>
              <w14:schemeClr w14:val="tx1"/>
            </w14:solidFill>
          </w14:textFill>
        </w:rPr>
        <w:t>二</w:t>
      </w:r>
      <w:r>
        <w:rPr>
          <w:rFonts w:hint="eastAsia" w:ascii="宋体" w:hAnsi="宋体" w:cs="宋体"/>
          <w:color w:val="000000" w:themeColor="text1"/>
          <w:sz w:val="32"/>
          <w:szCs w:val="32"/>
          <w:highlight w:val="none"/>
          <w14:textFill>
            <w14:solidFill>
              <w14:schemeClr w14:val="tx1"/>
            </w14:solidFill>
          </w14:textFill>
        </w:rPr>
        <w:t>月</w:t>
      </w:r>
      <w:r>
        <w:rPr>
          <w:rFonts w:hint="eastAsia" w:ascii="宋体" w:hAnsi="宋体" w:cs="宋体"/>
          <w:color w:val="000000" w:themeColor="text1"/>
          <w:sz w:val="44"/>
          <w:szCs w:val="28"/>
          <w:highlight w:val="none"/>
          <w14:textFill>
            <w14:solidFill>
              <w14:schemeClr w14:val="tx1"/>
            </w14:solidFill>
          </w14:textFill>
        </w:rPr>
        <w:br w:type="page"/>
      </w:r>
    </w:p>
    <w:sdt>
      <w:sdtPr>
        <w:rPr>
          <w:rFonts w:hint="eastAsia" w:ascii="宋体" w:hAnsi="宋体" w:cs="宋体"/>
          <w:color w:val="000000" w:themeColor="text1"/>
          <w:sz w:val="28"/>
          <w:szCs w:val="28"/>
          <w:highlight w:val="none"/>
          <w14:textFill>
            <w14:solidFill>
              <w14:schemeClr w14:val="tx1"/>
            </w14:solidFill>
          </w14:textFill>
        </w:rPr>
        <w:id w:val="147461694"/>
        <w15:color w:val="DBDBDB"/>
        <w:docPartObj>
          <w:docPartGallery w:val="Table of Contents"/>
          <w:docPartUnique/>
        </w:docPartObj>
      </w:sdtPr>
      <w:sdtEndPr>
        <w:rPr>
          <w:rFonts w:hint="eastAsia" w:ascii="宋体" w:hAnsi="宋体" w:cs="宋体"/>
          <w:color w:val="000000" w:themeColor="text1"/>
          <w:sz w:val="24"/>
          <w:szCs w:val="24"/>
          <w:highlight w:val="none"/>
          <w14:textFill>
            <w14:solidFill>
              <w14:schemeClr w14:val="tx1"/>
            </w14:solidFill>
          </w14:textFill>
        </w:rPr>
      </w:sdtEndPr>
      <w:sdtContent>
        <w:p w14:paraId="4BDA1F58">
          <w:pPr>
            <w:kinsoku w:val="0"/>
            <w:autoSpaceDE w:val="0"/>
            <w:autoSpaceDN w:val="0"/>
            <w:adjustRightInd w:val="0"/>
            <w:snapToGrid w:val="0"/>
            <w:spacing w:before="120" w:beforeLines="50" w:after="120" w:afterLines="50" w:line="500" w:lineRule="exact"/>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目 录</w:t>
          </w:r>
        </w:p>
        <w:p w14:paraId="66C7E50F">
          <w:pPr>
            <w:pStyle w:val="15"/>
            <w:tabs>
              <w:tab w:val="right" w:leader="dot" w:pos="9412"/>
            </w:tabs>
            <w:kinsoku w:val="0"/>
            <w:autoSpaceDE w:val="0"/>
            <w:autoSpaceDN w:val="0"/>
            <w:adjustRightInd w:val="0"/>
            <w:snapToGrid w:val="0"/>
            <w:spacing w:line="500" w:lineRule="exact"/>
            <w:rPr>
              <w:rFonts w:hint="eastAsia" w:ascii="宋体" w:hAnsi="宋体" w:cs="宋体"/>
              <w:sz w:val="24"/>
              <w:szCs w:val="24"/>
              <w:highlight w:val="none"/>
            </w:rPr>
          </w:pP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TOC \o "1-1" \h \u </w:instrText>
          </w:r>
          <w:r>
            <w:rPr>
              <w:rFonts w:hint="eastAsia" w:ascii="宋体" w:hAnsi="宋体" w:cs="宋体"/>
              <w:color w:val="000000" w:themeColor="text1"/>
              <w:sz w:val="24"/>
              <w:szCs w:val="24"/>
              <w:highlight w:val="none"/>
              <w14:textFill>
                <w14:solidFill>
                  <w14:schemeClr w14:val="tx1"/>
                </w14:solidFill>
              </w14:textFill>
            </w:rPr>
            <w:fldChar w:fldCharType="separate"/>
          </w:r>
          <w:r>
            <w:rPr>
              <w:highlight w:val="none"/>
            </w:rPr>
            <w:fldChar w:fldCharType="begin"/>
          </w:r>
          <w:r>
            <w:rPr>
              <w:highlight w:val="none"/>
            </w:rPr>
            <w:instrText xml:space="preserve"> HYPERLINK \l "_Toc21576" </w:instrText>
          </w:r>
          <w:r>
            <w:rPr>
              <w:highlight w:val="none"/>
            </w:rPr>
            <w:fldChar w:fldCharType="separate"/>
          </w:r>
          <w:r>
            <w:rPr>
              <w:rFonts w:hint="eastAsia" w:ascii="宋体" w:hAnsi="宋体" w:cs="宋体"/>
              <w:bCs/>
              <w:sz w:val="24"/>
              <w:szCs w:val="24"/>
              <w:highlight w:val="none"/>
            </w:rPr>
            <w:t>第一篇  竞争性比选公告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_Toc21576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5F268C3F">
          <w:pPr>
            <w:pStyle w:val="15"/>
            <w:tabs>
              <w:tab w:val="right" w:leader="dot" w:pos="9412"/>
            </w:tabs>
            <w:kinsoku w:val="0"/>
            <w:autoSpaceDE w:val="0"/>
            <w:autoSpaceDN w:val="0"/>
            <w:adjustRightInd w:val="0"/>
            <w:snapToGrid w:val="0"/>
            <w:spacing w:line="500" w:lineRule="exact"/>
            <w:rPr>
              <w:rFonts w:hint="eastAsia" w:ascii="宋体" w:hAnsi="宋体" w:cs="宋体"/>
              <w:sz w:val="24"/>
              <w:szCs w:val="24"/>
              <w:highlight w:val="none"/>
            </w:rPr>
          </w:pPr>
          <w:r>
            <w:rPr>
              <w:highlight w:val="none"/>
            </w:rPr>
            <w:fldChar w:fldCharType="begin"/>
          </w:r>
          <w:r>
            <w:rPr>
              <w:highlight w:val="none"/>
            </w:rPr>
            <w:instrText xml:space="preserve"> HYPERLINK \l "_Toc20192" </w:instrText>
          </w:r>
          <w:r>
            <w:rPr>
              <w:highlight w:val="none"/>
            </w:rPr>
            <w:fldChar w:fldCharType="separate"/>
          </w:r>
          <w:r>
            <w:rPr>
              <w:rFonts w:hint="eastAsia" w:ascii="宋体" w:hAnsi="宋体" w:cs="宋体"/>
              <w:bCs/>
              <w:sz w:val="24"/>
              <w:szCs w:val="24"/>
              <w:highlight w:val="none"/>
            </w:rPr>
            <w:t>第二篇 项目技术（质量）需求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_Toc20192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5625C4C">
          <w:pPr>
            <w:pStyle w:val="15"/>
            <w:tabs>
              <w:tab w:val="right" w:leader="dot" w:pos="9412"/>
            </w:tabs>
            <w:kinsoku w:val="0"/>
            <w:autoSpaceDE w:val="0"/>
            <w:autoSpaceDN w:val="0"/>
            <w:adjustRightInd w:val="0"/>
            <w:snapToGrid w:val="0"/>
            <w:spacing w:line="500" w:lineRule="exact"/>
            <w:rPr>
              <w:rFonts w:hint="eastAsia" w:ascii="宋体" w:hAnsi="宋体" w:cs="宋体"/>
              <w:sz w:val="24"/>
              <w:szCs w:val="24"/>
              <w:highlight w:val="none"/>
            </w:rPr>
          </w:pPr>
          <w:r>
            <w:rPr>
              <w:highlight w:val="none"/>
            </w:rPr>
            <w:fldChar w:fldCharType="begin"/>
          </w:r>
          <w:r>
            <w:rPr>
              <w:highlight w:val="none"/>
            </w:rPr>
            <w:instrText xml:space="preserve"> HYPERLINK \l "_Toc23374" </w:instrText>
          </w:r>
          <w:r>
            <w:rPr>
              <w:highlight w:val="none"/>
            </w:rPr>
            <w:fldChar w:fldCharType="separate"/>
          </w:r>
          <w:r>
            <w:rPr>
              <w:rFonts w:hint="eastAsia" w:ascii="宋体" w:hAnsi="宋体" w:cs="宋体"/>
              <w:bCs/>
              <w:sz w:val="24"/>
              <w:szCs w:val="24"/>
              <w:highlight w:val="none"/>
            </w:rPr>
            <w:t>第三篇  项目商务需求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_Toc23374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76785DB">
          <w:pPr>
            <w:pStyle w:val="15"/>
            <w:tabs>
              <w:tab w:val="right" w:leader="dot" w:pos="9412"/>
            </w:tabs>
            <w:kinsoku w:val="0"/>
            <w:autoSpaceDE w:val="0"/>
            <w:autoSpaceDN w:val="0"/>
            <w:adjustRightInd w:val="0"/>
            <w:snapToGrid w:val="0"/>
            <w:spacing w:line="500" w:lineRule="exact"/>
            <w:rPr>
              <w:rFonts w:hint="eastAsia" w:ascii="宋体" w:hAnsi="宋体" w:cs="宋体"/>
              <w:sz w:val="24"/>
              <w:szCs w:val="24"/>
              <w:highlight w:val="none"/>
            </w:rPr>
          </w:pPr>
          <w:r>
            <w:rPr>
              <w:highlight w:val="none"/>
            </w:rPr>
            <w:fldChar w:fldCharType="begin"/>
          </w:r>
          <w:r>
            <w:rPr>
              <w:highlight w:val="none"/>
            </w:rPr>
            <w:instrText xml:space="preserve"> HYPERLINK \l "_Toc15186" </w:instrText>
          </w:r>
          <w:r>
            <w:rPr>
              <w:highlight w:val="none"/>
            </w:rPr>
            <w:fldChar w:fldCharType="separate"/>
          </w:r>
          <w:r>
            <w:rPr>
              <w:rFonts w:hint="eastAsia" w:ascii="宋体" w:hAnsi="宋体" w:cs="宋体"/>
              <w:bCs/>
              <w:sz w:val="24"/>
              <w:szCs w:val="24"/>
              <w:highlight w:val="none"/>
            </w:rPr>
            <w:t>第四篇  资格审查及评标办法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_Toc15186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ECDE9DA">
          <w:pPr>
            <w:pStyle w:val="15"/>
            <w:tabs>
              <w:tab w:val="right" w:leader="dot" w:pos="9412"/>
            </w:tabs>
            <w:kinsoku w:val="0"/>
            <w:autoSpaceDE w:val="0"/>
            <w:autoSpaceDN w:val="0"/>
            <w:adjustRightInd w:val="0"/>
            <w:snapToGrid w:val="0"/>
            <w:spacing w:line="500" w:lineRule="exact"/>
            <w:rPr>
              <w:rFonts w:hint="eastAsia" w:ascii="宋体" w:hAnsi="宋体" w:cs="宋体"/>
              <w:sz w:val="24"/>
              <w:szCs w:val="24"/>
              <w:highlight w:val="none"/>
            </w:rPr>
          </w:pPr>
          <w:r>
            <w:rPr>
              <w:highlight w:val="none"/>
            </w:rPr>
            <w:fldChar w:fldCharType="begin"/>
          </w:r>
          <w:r>
            <w:rPr>
              <w:highlight w:val="none"/>
            </w:rPr>
            <w:instrText xml:space="preserve"> HYPERLINK \l "_Toc23948" </w:instrText>
          </w:r>
          <w:r>
            <w:rPr>
              <w:highlight w:val="none"/>
            </w:rPr>
            <w:fldChar w:fldCharType="separate"/>
          </w:r>
          <w:r>
            <w:rPr>
              <w:rFonts w:hint="eastAsia" w:ascii="宋体" w:hAnsi="宋体" w:cs="宋体"/>
              <w:sz w:val="24"/>
              <w:szCs w:val="24"/>
              <w:highlight w:val="none"/>
            </w:rPr>
            <w:t>第五篇  竞选人须知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_Toc23948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53D69E84">
          <w:pPr>
            <w:pStyle w:val="15"/>
            <w:tabs>
              <w:tab w:val="right" w:leader="dot" w:pos="9412"/>
            </w:tabs>
            <w:kinsoku w:val="0"/>
            <w:autoSpaceDE w:val="0"/>
            <w:autoSpaceDN w:val="0"/>
            <w:adjustRightInd w:val="0"/>
            <w:snapToGrid w:val="0"/>
            <w:spacing w:line="500" w:lineRule="exact"/>
            <w:rPr>
              <w:rFonts w:hint="eastAsia" w:ascii="宋体" w:hAnsi="宋体" w:cs="宋体"/>
              <w:sz w:val="24"/>
              <w:szCs w:val="24"/>
              <w:highlight w:val="none"/>
            </w:rPr>
          </w:pPr>
          <w:r>
            <w:rPr>
              <w:highlight w:val="none"/>
            </w:rPr>
            <w:fldChar w:fldCharType="begin"/>
          </w:r>
          <w:r>
            <w:rPr>
              <w:highlight w:val="none"/>
            </w:rPr>
            <w:instrText xml:space="preserve"> HYPERLINK \l "_Toc31106" </w:instrText>
          </w:r>
          <w:r>
            <w:rPr>
              <w:highlight w:val="none"/>
            </w:rPr>
            <w:fldChar w:fldCharType="separate"/>
          </w:r>
          <w:r>
            <w:rPr>
              <w:rFonts w:hint="eastAsia" w:ascii="宋体" w:hAnsi="宋体" w:cs="宋体"/>
              <w:sz w:val="24"/>
              <w:szCs w:val="24"/>
              <w:highlight w:val="none"/>
            </w:rPr>
            <w:t>第六篇  采购合同（格式）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_Toc31106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0DBE53D">
          <w:pPr>
            <w:pStyle w:val="15"/>
            <w:tabs>
              <w:tab w:val="right" w:leader="dot" w:pos="9412"/>
            </w:tabs>
            <w:kinsoku w:val="0"/>
            <w:autoSpaceDE w:val="0"/>
            <w:autoSpaceDN w:val="0"/>
            <w:adjustRightInd w:val="0"/>
            <w:snapToGrid w:val="0"/>
            <w:spacing w:line="500" w:lineRule="exact"/>
            <w:rPr>
              <w:rFonts w:hint="eastAsia" w:ascii="宋体" w:hAnsi="宋体" w:cs="宋体"/>
              <w:sz w:val="24"/>
              <w:szCs w:val="24"/>
              <w:highlight w:val="none"/>
            </w:rPr>
          </w:pPr>
          <w:r>
            <w:rPr>
              <w:highlight w:val="none"/>
            </w:rPr>
            <w:fldChar w:fldCharType="begin"/>
          </w:r>
          <w:r>
            <w:rPr>
              <w:highlight w:val="none"/>
            </w:rPr>
            <w:instrText xml:space="preserve"> HYPERLINK \l "_Toc351" </w:instrText>
          </w:r>
          <w:r>
            <w:rPr>
              <w:highlight w:val="none"/>
            </w:rPr>
            <w:fldChar w:fldCharType="separate"/>
          </w:r>
          <w:r>
            <w:rPr>
              <w:rFonts w:hint="eastAsia" w:ascii="宋体" w:hAnsi="宋体" w:cs="宋体"/>
              <w:sz w:val="24"/>
              <w:szCs w:val="24"/>
              <w:highlight w:val="none"/>
            </w:rPr>
            <w:t>第七篇  竞选文件格式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_Toc351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115517F6">
          <w:pPr>
            <w:pStyle w:val="15"/>
            <w:tabs>
              <w:tab w:val="right" w:leader="dot" w:pos="9412"/>
            </w:tabs>
            <w:kinsoku w:val="0"/>
            <w:autoSpaceDE w:val="0"/>
            <w:autoSpaceDN w:val="0"/>
            <w:adjustRightInd w:val="0"/>
            <w:snapToGrid w:val="0"/>
            <w:spacing w:line="500" w:lineRule="exact"/>
            <w:rPr>
              <w:rFonts w:hint="eastAsia" w:ascii="宋体" w:hAnsi="宋体" w:cs="宋体"/>
              <w:sz w:val="24"/>
              <w:szCs w:val="24"/>
              <w:highlight w:val="none"/>
            </w:rPr>
          </w:pPr>
        </w:p>
        <w:p w14:paraId="65EEA757">
          <w:pPr>
            <w:kinsoku w:val="0"/>
            <w:autoSpaceDE w:val="0"/>
            <w:autoSpaceDN w:val="0"/>
            <w:adjustRightInd w:val="0"/>
            <w:snapToGrid w:val="0"/>
            <w:spacing w:line="5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fldChar w:fldCharType="end"/>
          </w:r>
        </w:p>
      </w:sdtContent>
    </w:sdt>
    <w:p w14:paraId="79B5DADA">
      <w:pPr>
        <w:pStyle w:val="16"/>
        <w:tabs>
          <w:tab w:val="right" w:leader="dot" w:pos="9402"/>
        </w:tabs>
        <w:kinsoku w:val="0"/>
        <w:autoSpaceDE w:val="0"/>
        <w:autoSpaceDN w:val="0"/>
        <w:adjustRightInd w:val="0"/>
        <w:snapToGrid w:val="0"/>
        <w:spacing w:line="500" w:lineRule="exact"/>
        <w:jc w:val="center"/>
        <w:rPr>
          <w:rFonts w:hint="eastAsia" w:ascii="宋体" w:hAnsi="宋体" w:cs="宋体"/>
          <w:color w:val="000000" w:themeColor="text1"/>
          <w:sz w:val="18"/>
          <w:szCs w:val="22"/>
          <w:highlight w:val="none"/>
          <w14:textFill>
            <w14:solidFill>
              <w14:schemeClr w14:val="tx1"/>
            </w14:solidFill>
          </w14:textFill>
        </w:rPr>
        <w:sectPr>
          <w:headerReference r:id="rId3" w:type="first"/>
          <w:footerReference r:id="rId6" w:type="first"/>
          <w:footerReference r:id="rId4" w:type="default"/>
          <w:footerReference r:id="rId5" w:type="even"/>
          <w:pgSz w:w="11907" w:h="16840"/>
          <w:pgMar w:top="1587" w:right="1474" w:bottom="1587" w:left="1474" w:header="851" w:footer="992" w:gutter="0"/>
          <w:pgNumType w:start="1"/>
          <w:cols w:space="720" w:num="1"/>
          <w:docGrid w:linePitch="380" w:charSpace="-5735"/>
        </w:sectPr>
      </w:pPr>
      <w:r>
        <w:rPr>
          <w:rFonts w:hint="eastAsia" w:ascii="宋体" w:hAnsi="宋体" w:cs="宋体"/>
          <w:color w:val="000000" w:themeColor="text1"/>
          <w:sz w:val="44"/>
          <w:szCs w:val="28"/>
          <w:highlight w:val="none"/>
          <w14:textFill>
            <w14:solidFill>
              <w14:schemeClr w14:val="tx1"/>
            </w14:solidFill>
          </w14:textFill>
        </w:rPr>
        <w:t xml:space="preserve"> </w:t>
      </w:r>
    </w:p>
    <w:p w14:paraId="249E1641">
      <w:pPr>
        <w:pStyle w:val="2"/>
        <w:keepNext w:val="0"/>
        <w:kinsoku w:val="0"/>
        <w:autoSpaceDE w:val="0"/>
        <w:autoSpaceDN w:val="0"/>
        <w:adjustRightInd w:val="0"/>
        <w:spacing w:before="120" w:beforeLines="50" w:after="120" w:afterLines="50" w:line="500" w:lineRule="exact"/>
        <w:jc w:val="center"/>
        <w:rPr>
          <w:rFonts w:hint="eastAsia" w:hAnsi="宋体" w:cs="宋体"/>
          <w:b/>
          <w:bCs/>
          <w:color w:val="000000" w:themeColor="text1"/>
          <w:sz w:val="36"/>
          <w:szCs w:val="36"/>
          <w:highlight w:val="none"/>
          <w14:textFill>
            <w14:solidFill>
              <w14:schemeClr w14:val="tx1"/>
            </w14:solidFill>
          </w14:textFill>
        </w:rPr>
      </w:pPr>
      <w:bookmarkStart w:id="2" w:name="_Toc12789052"/>
      <w:bookmarkStart w:id="3" w:name="_Toc28538"/>
      <w:bookmarkStart w:id="4" w:name="_Toc11641050"/>
      <w:bookmarkStart w:id="5" w:name="_Toc21576"/>
      <w:r>
        <w:rPr>
          <w:rFonts w:hint="eastAsia" w:hAnsi="宋体" w:cs="宋体"/>
          <w:b/>
          <w:bCs/>
          <w:color w:val="000000" w:themeColor="text1"/>
          <w:sz w:val="36"/>
          <w:szCs w:val="36"/>
          <w:highlight w:val="none"/>
          <w14:textFill>
            <w14:solidFill>
              <w14:schemeClr w14:val="tx1"/>
            </w14:solidFill>
          </w14:textFill>
        </w:rPr>
        <w:t xml:space="preserve">第一篇  </w:t>
      </w:r>
      <w:bookmarkEnd w:id="2"/>
      <w:bookmarkEnd w:id="3"/>
      <w:bookmarkEnd w:id="4"/>
      <w:r>
        <w:rPr>
          <w:rFonts w:hint="eastAsia" w:hAnsi="宋体" w:cs="宋体"/>
          <w:b/>
          <w:bCs/>
          <w:color w:val="000000" w:themeColor="text1"/>
          <w:sz w:val="36"/>
          <w:szCs w:val="36"/>
          <w:highlight w:val="none"/>
          <w14:textFill>
            <w14:solidFill>
              <w14:schemeClr w14:val="tx1"/>
            </w14:solidFill>
          </w14:textFill>
        </w:rPr>
        <w:t>竞争性比选公告</w:t>
      </w:r>
      <w:bookmarkEnd w:id="5"/>
    </w:p>
    <w:p w14:paraId="779D49D6">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重庆渝富达项目管理有限公司</w:t>
      </w:r>
      <w:r>
        <w:rPr>
          <w:rFonts w:hint="eastAsia" w:ascii="宋体" w:hAnsi="宋体" w:cs="宋体"/>
          <w:color w:val="000000" w:themeColor="text1"/>
          <w:sz w:val="24"/>
          <w:highlight w:val="none"/>
          <w14:textFill>
            <w14:solidFill>
              <w14:schemeClr w14:val="tx1"/>
            </w14:solidFill>
          </w14:textFill>
        </w:rPr>
        <w:t>（以下简称：比选代理机构）接受</w:t>
      </w:r>
      <w:r>
        <w:rPr>
          <w:rFonts w:hint="eastAsia" w:ascii="宋体" w:hAnsi="宋体" w:cs="宋体"/>
          <w:color w:val="000000" w:themeColor="text1"/>
          <w:sz w:val="24"/>
          <w:highlight w:val="none"/>
          <w:u w:val="single"/>
          <w14:textFill>
            <w14:solidFill>
              <w14:schemeClr w14:val="tx1"/>
            </w14:solidFill>
          </w14:textFill>
        </w:rPr>
        <w:t>重庆市干部医疗保障所</w:t>
      </w:r>
      <w:r>
        <w:rPr>
          <w:rFonts w:hint="eastAsia" w:ascii="宋体" w:hAnsi="宋体" w:cs="宋体"/>
          <w:color w:val="000000" w:themeColor="text1"/>
          <w:sz w:val="24"/>
          <w:highlight w:val="none"/>
          <w14:textFill>
            <w14:solidFill>
              <w14:schemeClr w14:val="tx1"/>
            </w14:solidFill>
          </w14:textFill>
        </w:rPr>
        <w:t>（以下简称：比选人）的委托，对</w:t>
      </w:r>
      <w:r>
        <w:rPr>
          <w:rFonts w:hint="eastAsia" w:ascii="宋体" w:hAnsi="宋体" w:cs="宋体"/>
          <w:color w:val="000000" w:themeColor="text1"/>
          <w:sz w:val="24"/>
          <w:highlight w:val="none"/>
          <w:u w:val="single"/>
          <w14:textFill>
            <w14:solidFill>
              <w14:schemeClr w14:val="tx1"/>
            </w14:solidFill>
          </w14:textFill>
        </w:rPr>
        <w:t>办公设施设备维护及信息技术服务</w:t>
      </w:r>
      <w:r>
        <w:rPr>
          <w:rFonts w:hint="eastAsia" w:ascii="宋体" w:hAnsi="宋体" w:cs="宋体"/>
          <w:color w:val="000000" w:themeColor="text1"/>
          <w:sz w:val="24"/>
          <w:highlight w:val="none"/>
          <w14:textFill>
            <w14:solidFill>
              <w14:schemeClr w14:val="tx1"/>
            </w14:solidFill>
          </w14:textFill>
        </w:rPr>
        <w:t>进行竞争性比选。欢迎有资格的竞选人前来参与。</w:t>
      </w:r>
    </w:p>
    <w:p w14:paraId="247FE3FC">
      <w:pPr>
        <w:kinsoku w:val="0"/>
        <w:autoSpaceDE w:val="0"/>
        <w:autoSpaceDN w:val="0"/>
        <w:adjustRightInd w:val="0"/>
        <w:snapToGrid w:val="0"/>
        <w:spacing w:before="120" w:beforeLines="50" w:after="120" w:afterLines="50" w:line="500" w:lineRule="exact"/>
        <w:outlineLvl w:val="1"/>
        <w:rPr>
          <w:rFonts w:hint="eastAsia" w:ascii="宋体" w:hAnsi="宋体" w:cs="宋体"/>
          <w:b/>
          <w:color w:val="000000" w:themeColor="text1"/>
          <w:sz w:val="24"/>
          <w:highlight w:val="none"/>
          <w14:textFill>
            <w14:solidFill>
              <w14:schemeClr w14:val="tx1"/>
            </w14:solidFill>
          </w14:textFill>
        </w:rPr>
      </w:pPr>
      <w:bookmarkStart w:id="6" w:name="_Toc19722"/>
      <w:bookmarkStart w:id="7" w:name="_Toc317775175"/>
      <w:bookmarkStart w:id="8" w:name="_Toc21265"/>
      <w:bookmarkStart w:id="9" w:name="_Toc313893526"/>
      <w:bookmarkStart w:id="10" w:name="_Toc15279"/>
      <w:bookmarkStart w:id="11" w:name="_Toc3292"/>
      <w:bookmarkStart w:id="12" w:name="_Toc2162"/>
      <w:r>
        <w:rPr>
          <w:rFonts w:hint="eastAsia" w:ascii="宋体" w:hAnsi="宋体" w:cs="宋体"/>
          <w:b/>
          <w:color w:val="000000" w:themeColor="text1"/>
          <w:sz w:val="24"/>
          <w:highlight w:val="none"/>
          <w14:textFill>
            <w14:solidFill>
              <w14:schemeClr w14:val="tx1"/>
            </w14:solidFill>
          </w14:textFill>
        </w:rPr>
        <w:t>一、比选内容</w:t>
      </w:r>
      <w:bookmarkEnd w:id="6"/>
      <w:bookmarkEnd w:id="7"/>
      <w:bookmarkEnd w:id="8"/>
      <w:bookmarkEnd w:id="9"/>
      <w:bookmarkEnd w:id="10"/>
      <w:bookmarkEnd w:id="11"/>
      <w:bookmarkEnd w:id="12"/>
    </w:p>
    <w:tbl>
      <w:tblPr>
        <w:tblStyle w:val="19"/>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6"/>
        <w:gridCol w:w="1947"/>
        <w:gridCol w:w="1682"/>
        <w:gridCol w:w="1999"/>
        <w:gridCol w:w="985"/>
      </w:tblGrid>
      <w:tr w14:paraId="0177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01" w:type="pct"/>
            <w:tcBorders>
              <w:top w:val="single" w:color="auto" w:sz="4" w:space="0"/>
              <w:left w:val="single" w:color="auto" w:sz="4" w:space="0"/>
              <w:right w:val="single" w:color="auto" w:sz="4" w:space="0"/>
            </w:tcBorders>
            <w:vAlign w:val="center"/>
          </w:tcPr>
          <w:p w14:paraId="5B24540E">
            <w:pPr>
              <w:kinsoku w:val="0"/>
              <w:autoSpaceDE w:val="0"/>
              <w:autoSpaceDN w:val="0"/>
              <w:adjustRightInd w:val="0"/>
              <w:snapToGrid w:val="0"/>
              <w:spacing w:line="500" w:lineRule="exact"/>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项目名称</w:t>
            </w:r>
          </w:p>
        </w:tc>
        <w:tc>
          <w:tcPr>
            <w:tcW w:w="1059" w:type="pct"/>
            <w:tcBorders>
              <w:top w:val="single" w:color="auto" w:sz="4" w:space="0"/>
              <w:left w:val="single" w:color="auto" w:sz="4" w:space="0"/>
              <w:right w:val="single" w:color="auto" w:sz="4" w:space="0"/>
            </w:tcBorders>
            <w:vAlign w:val="center"/>
          </w:tcPr>
          <w:p w14:paraId="0478B8C1">
            <w:pPr>
              <w:kinsoku w:val="0"/>
              <w:autoSpaceDE w:val="0"/>
              <w:autoSpaceDN w:val="0"/>
              <w:adjustRightInd w:val="0"/>
              <w:snapToGrid w:val="0"/>
              <w:spacing w:line="500" w:lineRule="exact"/>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最高限价（万元）</w:t>
            </w:r>
          </w:p>
        </w:tc>
        <w:tc>
          <w:tcPr>
            <w:tcW w:w="915" w:type="pct"/>
            <w:tcBorders>
              <w:top w:val="single" w:color="auto" w:sz="4" w:space="0"/>
              <w:left w:val="single" w:color="auto" w:sz="4" w:space="0"/>
              <w:right w:val="single" w:color="auto" w:sz="4" w:space="0"/>
            </w:tcBorders>
            <w:vAlign w:val="center"/>
          </w:tcPr>
          <w:p w14:paraId="30B3F6F5">
            <w:pPr>
              <w:kinsoku w:val="0"/>
              <w:autoSpaceDE w:val="0"/>
              <w:autoSpaceDN w:val="0"/>
              <w:adjustRightInd w:val="0"/>
              <w:snapToGrid w:val="0"/>
              <w:spacing w:line="500" w:lineRule="exact"/>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保证金（万元）</w:t>
            </w:r>
          </w:p>
        </w:tc>
        <w:tc>
          <w:tcPr>
            <w:tcW w:w="1087" w:type="pct"/>
            <w:tcBorders>
              <w:top w:val="single" w:color="auto" w:sz="4" w:space="0"/>
              <w:left w:val="single" w:color="auto" w:sz="4" w:space="0"/>
              <w:right w:val="single" w:color="auto" w:sz="4" w:space="0"/>
            </w:tcBorders>
            <w:vAlign w:val="center"/>
          </w:tcPr>
          <w:p w14:paraId="37E60BD0">
            <w:pPr>
              <w:kinsoku w:val="0"/>
              <w:autoSpaceDE w:val="0"/>
              <w:autoSpaceDN w:val="0"/>
              <w:adjustRightInd w:val="0"/>
              <w:snapToGrid w:val="0"/>
              <w:spacing w:line="500" w:lineRule="exact"/>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中选人数量（名）</w:t>
            </w:r>
          </w:p>
        </w:tc>
        <w:tc>
          <w:tcPr>
            <w:tcW w:w="536" w:type="pct"/>
            <w:tcBorders>
              <w:top w:val="single" w:color="auto" w:sz="4" w:space="0"/>
              <w:left w:val="single" w:color="auto" w:sz="4" w:space="0"/>
              <w:right w:val="single" w:color="auto" w:sz="4" w:space="0"/>
            </w:tcBorders>
            <w:vAlign w:val="center"/>
          </w:tcPr>
          <w:p w14:paraId="76482381">
            <w:pPr>
              <w:kinsoku w:val="0"/>
              <w:autoSpaceDE w:val="0"/>
              <w:autoSpaceDN w:val="0"/>
              <w:adjustRightInd w:val="0"/>
              <w:snapToGrid w:val="0"/>
              <w:spacing w:line="500" w:lineRule="exact"/>
              <w:jc w:val="center"/>
              <w:rPr>
                <w:rFonts w:hint="eastAsia"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备注</w:t>
            </w:r>
          </w:p>
        </w:tc>
      </w:tr>
      <w:tr w14:paraId="02C2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1" w:type="pct"/>
            <w:tcBorders>
              <w:top w:val="single" w:color="auto" w:sz="4" w:space="0"/>
              <w:left w:val="single" w:color="auto" w:sz="4" w:space="0"/>
              <w:right w:val="single" w:color="auto" w:sz="4" w:space="0"/>
            </w:tcBorders>
            <w:vAlign w:val="center"/>
          </w:tcPr>
          <w:p w14:paraId="5379D233">
            <w:pPr>
              <w:kinsoku w:val="0"/>
              <w:autoSpaceDE w:val="0"/>
              <w:autoSpaceDN w:val="0"/>
              <w:adjustRightInd w:val="0"/>
              <w:snapToGrid w:val="0"/>
              <w:spacing w:line="500" w:lineRule="exact"/>
              <w:jc w:val="center"/>
              <w:rPr>
                <w:rFonts w:hint="eastAsia" w:ascii="宋体" w:hAnsi="宋体" w:cs="宋体"/>
                <w:color w:val="000000" w:themeColor="text1"/>
                <w:kern w:val="0"/>
                <w:highlight w:val="none"/>
                <w14:textFill>
                  <w14:solidFill>
                    <w14:schemeClr w14:val="tx1"/>
                  </w14:solidFill>
                </w14:textFill>
              </w:rPr>
            </w:pPr>
            <w:bookmarkStart w:id="13" w:name="_Hlk344477914"/>
            <w:r>
              <w:rPr>
                <w:rFonts w:hint="eastAsia" w:ascii="宋体" w:hAnsi="宋体" w:cs="宋体"/>
                <w:color w:val="000000" w:themeColor="text1"/>
                <w:kern w:val="0"/>
                <w:highlight w:val="none"/>
                <w14:textFill>
                  <w14:solidFill>
                    <w14:schemeClr w14:val="tx1"/>
                  </w14:solidFill>
                </w14:textFill>
              </w:rPr>
              <w:t>办公设施设备维护及信息技术服务</w:t>
            </w:r>
          </w:p>
        </w:tc>
        <w:tc>
          <w:tcPr>
            <w:tcW w:w="1059" w:type="pct"/>
            <w:tcBorders>
              <w:top w:val="single" w:color="auto" w:sz="4" w:space="0"/>
              <w:left w:val="single" w:color="auto" w:sz="4" w:space="0"/>
              <w:right w:val="single" w:color="auto" w:sz="4" w:space="0"/>
            </w:tcBorders>
            <w:vAlign w:val="center"/>
          </w:tcPr>
          <w:p w14:paraId="09FF699D">
            <w:pPr>
              <w:kinsoku w:val="0"/>
              <w:autoSpaceDE w:val="0"/>
              <w:autoSpaceDN w:val="0"/>
              <w:adjustRightInd w:val="0"/>
              <w:snapToGrid w:val="0"/>
              <w:spacing w:line="500" w:lineRule="exact"/>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kern w:val="0"/>
                <w:sz w:val="20"/>
                <w:szCs w:val="20"/>
                <w:highlight w:val="none"/>
                <w:lang w:bidi="ar"/>
              </w:rPr>
              <w:t>15.00</w:t>
            </w:r>
          </w:p>
        </w:tc>
        <w:tc>
          <w:tcPr>
            <w:tcW w:w="915" w:type="pct"/>
            <w:tcBorders>
              <w:top w:val="single" w:color="auto" w:sz="4" w:space="0"/>
              <w:left w:val="single" w:color="auto" w:sz="4" w:space="0"/>
              <w:right w:val="single" w:color="auto" w:sz="4" w:space="0"/>
            </w:tcBorders>
            <w:vAlign w:val="center"/>
          </w:tcPr>
          <w:p w14:paraId="07969281">
            <w:pPr>
              <w:kinsoku w:val="0"/>
              <w:autoSpaceDE w:val="0"/>
              <w:autoSpaceDN w:val="0"/>
              <w:adjustRightInd w:val="0"/>
              <w:snapToGrid w:val="0"/>
              <w:spacing w:line="500" w:lineRule="exact"/>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0.2</w:t>
            </w:r>
          </w:p>
        </w:tc>
        <w:tc>
          <w:tcPr>
            <w:tcW w:w="1087" w:type="pct"/>
            <w:tcBorders>
              <w:top w:val="single" w:color="auto" w:sz="4" w:space="0"/>
              <w:left w:val="single" w:color="auto" w:sz="4" w:space="0"/>
              <w:right w:val="single" w:color="auto" w:sz="4" w:space="0"/>
            </w:tcBorders>
            <w:vAlign w:val="center"/>
          </w:tcPr>
          <w:p w14:paraId="126A365D">
            <w:pPr>
              <w:kinsoku w:val="0"/>
              <w:autoSpaceDE w:val="0"/>
              <w:autoSpaceDN w:val="0"/>
              <w:adjustRightInd w:val="0"/>
              <w:snapToGrid w:val="0"/>
              <w:spacing w:line="500" w:lineRule="exact"/>
              <w:jc w:val="center"/>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w:t>
            </w:r>
          </w:p>
        </w:tc>
        <w:tc>
          <w:tcPr>
            <w:tcW w:w="536" w:type="pct"/>
            <w:tcBorders>
              <w:top w:val="single" w:color="auto" w:sz="4" w:space="0"/>
              <w:left w:val="single" w:color="auto" w:sz="4" w:space="0"/>
              <w:right w:val="single" w:color="auto" w:sz="4" w:space="0"/>
            </w:tcBorders>
            <w:vAlign w:val="center"/>
          </w:tcPr>
          <w:p w14:paraId="6D72ED63">
            <w:pPr>
              <w:kinsoku w:val="0"/>
              <w:autoSpaceDE w:val="0"/>
              <w:autoSpaceDN w:val="0"/>
              <w:adjustRightInd w:val="0"/>
              <w:snapToGrid w:val="0"/>
              <w:spacing w:line="500" w:lineRule="exact"/>
              <w:jc w:val="center"/>
              <w:rPr>
                <w:rFonts w:hint="eastAsia" w:ascii="宋体" w:hAnsi="宋体" w:cs="宋体"/>
                <w:color w:val="000000" w:themeColor="text1"/>
                <w:kern w:val="0"/>
                <w:highlight w:val="none"/>
                <w14:textFill>
                  <w14:solidFill>
                    <w14:schemeClr w14:val="tx1"/>
                  </w14:solidFill>
                </w14:textFill>
              </w:rPr>
            </w:pPr>
          </w:p>
        </w:tc>
      </w:tr>
      <w:bookmarkEnd w:id="13"/>
    </w:tbl>
    <w:p w14:paraId="187DA98F">
      <w:pPr>
        <w:kinsoku w:val="0"/>
        <w:autoSpaceDE w:val="0"/>
        <w:autoSpaceDN w:val="0"/>
        <w:adjustRightInd w:val="0"/>
        <w:snapToGrid w:val="0"/>
        <w:spacing w:before="120" w:beforeLines="50" w:after="120" w:afterLines="50" w:line="500" w:lineRule="exact"/>
        <w:outlineLvl w:val="1"/>
        <w:rPr>
          <w:rFonts w:hint="eastAsia" w:ascii="宋体" w:hAnsi="宋体" w:cs="宋体"/>
          <w:b/>
          <w:color w:val="000000" w:themeColor="text1"/>
          <w:sz w:val="24"/>
          <w:highlight w:val="none"/>
          <w14:textFill>
            <w14:solidFill>
              <w14:schemeClr w14:val="tx1"/>
            </w14:solidFill>
          </w14:textFill>
        </w:rPr>
      </w:pPr>
      <w:bookmarkStart w:id="14" w:name="_Toc27420"/>
      <w:bookmarkStart w:id="15" w:name="_Toc11362"/>
      <w:bookmarkStart w:id="16" w:name="_Toc8570"/>
      <w:bookmarkStart w:id="17" w:name="_Toc21145"/>
      <w:bookmarkStart w:id="18" w:name="_Toc15827"/>
      <w:bookmarkStart w:id="19" w:name="_Toc373860293"/>
      <w:bookmarkStart w:id="20" w:name="_Toc317775178"/>
      <w:r>
        <w:rPr>
          <w:rFonts w:hint="eastAsia" w:ascii="宋体" w:hAnsi="宋体" w:cs="宋体"/>
          <w:b/>
          <w:color w:val="000000" w:themeColor="text1"/>
          <w:sz w:val="24"/>
          <w:highlight w:val="none"/>
          <w14:textFill>
            <w14:solidFill>
              <w14:schemeClr w14:val="tx1"/>
            </w14:solidFill>
          </w14:textFill>
        </w:rPr>
        <w:t>二、资金来源</w:t>
      </w:r>
      <w:bookmarkEnd w:id="14"/>
      <w:bookmarkEnd w:id="15"/>
      <w:bookmarkEnd w:id="16"/>
      <w:bookmarkEnd w:id="17"/>
      <w:bookmarkEnd w:id="18"/>
    </w:p>
    <w:p w14:paraId="47294EA6">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bookmarkStart w:id="21" w:name="_Toc27500"/>
      <w:bookmarkStart w:id="22" w:name="_Toc5955"/>
      <w:r>
        <w:rPr>
          <w:rFonts w:hint="eastAsia" w:ascii="宋体" w:hAnsi="宋体" w:cs="宋体"/>
          <w:color w:val="000000" w:themeColor="text1"/>
          <w:sz w:val="24"/>
          <w:highlight w:val="none"/>
          <w14:textFill>
            <w14:solidFill>
              <w14:schemeClr w14:val="tx1"/>
            </w14:solidFill>
          </w14:textFill>
        </w:rPr>
        <w:t>预算内资金。</w:t>
      </w:r>
    </w:p>
    <w:p w14:paraId="1E186C0F">
      <w:pPr>
        <w:kinsoku w:val="0"/>
        <w:autoSpaceDE w:val="0"/>
        <w:autoSpaceDN w:val="0"/>
        <w:adjustRightInd w:val="0"/>
        <w:snapToGrid w:val="0"/>
        <w:spacing w:before="120" w:beforeLines="50" w:after="120" w:afterLines="50" w:line="500" w:lineRule="exact"/>
        <w:outlineLvl w:val="1"/>
        <w:rPr>
          <w:rFonts w:hint="eastAsia" w:ascii="宋体" w:hAnsi="宋体" w:cs="宋体"/>
          <w:b/>
          <w:color w:val="000000" w:themeColor="text1"/>
          <w:sz w:val="24"/>
          <w:highlight w:val="none"/>
          <w14:textFill>
            <w14:solidFill>
              <w14:schemeClr w14:val="tx1"/>
            </w14:solidFill>
          </w14:textFill>
        </w:rPr>
      </w:pPr>
      <w:bookmarkStart w:id="23" w:name="_Toc20962"/>
      <w:bookmarkStart w:id="24" w:name="_Toc14330"/>
      <w:bookmarkStart w:id="25" w:name="_Toc13411"/>
      <w:r>
        <w:rPr>
          <w:rFonts w:hint="eastAsia" w:ascii="宋体" w:hAnsi="宋体" w:cs="宋体"/>
          <w:b/>
          <w:color w:val="000000" w:themeColor="text1"/>
          <w:sz w:val="24"/>
          <w:highlight w:val="none"/>
          <w14:textFill>
            <w14:solidFill>
              <w14:schemeClr w14:val="tx1"/>
            </w14:solidFill>
          </w14:textFill>
        </w:rPr>
        <w:t>三、竞选人资格条件</w:t>
      </w:r>
      <w:bookmarkEnd w:id="21"/>
      <w:bookmarkEnd w:id="22"/>
      <w:bookmarkEnd w:id="23"/>
      <w:bookmarkEnd w:id="24"/>
      <w:bookmarkEnd w:id="25"/>
    </w:p>
    <w:p w14:paraId="172B71B0">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（一）满足《中华人民共和国政府采购法》第二十二条规定；</w:t>
      </w:r>
    </w:p>
    <w:p w14:paraId="69DF53B6">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（二）本项目的特定资格要求：</w:t>
      </w:r>
      <w:bookmarkStart w:id="26" w:name="_Toc23592"/>
      <w:bookmarkStart w:id="27" w:name="_Toc20164"/>
      <w:bookmarkStart w:id="28" w:name="_Toc1067"/>
      <w:bookmarkStart w:id="29" w:name="_Toc28102"/>
      <w:r>
        <w:rPr>
          <w:rFonts w:hint="eastAsia" w:ascii="宋体" w:hAnsi="宋体" w:cs="宋体"/>
          <w:color w:val="000000" w:themeColor="text1"/>
          <w:sz w:val="24"/>
          <w:highlight w:val="none"/>
          <w14:textFill>
            <w14:solidFill>
              <w14:schemeClr w14:val="tx1"/>
            </w14:solidFill>
          </w14:textFill>
        </w:rPr>
        <w:t>无。</w:t>
      </w:r>
    </w:p>
    <w:p w14:paraId="17FC6CC9">
      <w:pPr>
        <w:kinsoku w:val="0"/>
        <w:autoSpaceDE w:val="0"/>
        <w:autoSpaceDN w:val="0"/>
        <w:adjustRightInd w:val="0"/>
        <w:snapToGrid w:val="0"/>
        <w:spacing w:before="120" w:beforeLines="50" w:after="120" w:afterLines="50" w:line="500" w:lineRule="exact"/>
        <w:outlineLvl w:val="1"/>
        <w:rPr>
          <w:rFonts w:hint="eastAsia" w:ascii="宋体" w:hAnsi="宋体" w:cs="宋体"/>
          <w:b/>
          <w:color w:val="000000" w:themeColor="text1"/>
          <w:sz w:val="24"/>
          <w:highlight w:val="none"/>
          <w14:textFill>
            <w14:solidFill>
              <w14:schemeClr w14:val="tx1"/>
            </w14:solidFill>
          </w14:textFill>
        </w:rPr>
      </w:pPr>
      <w:bookmarkStart w:id="30" w:name="_Toc28439"/>
      <w:r>
        <w:rPr>
          <w:rFonts w:hint="eastAsia" w:ascii="宋体" w:hAnsi="宋体" w:cs="宋体"/>
          <w:b/>
          <w:color w:val="000000" w:themeColor="text1"/>
          <w:sz w:val="24"/>
          <w:highlight w:val="none"/>
          <w14:textFill>
            <w14:solidFill>
              <w14:schemeClr w14:val="tx1"/>
            </w14:solidFill>
          </w14:textFill>
        </w:rPr>
        <w:t>四、比选有关说明</w:t>
      </w:r>
      <w:bookmarkEnd w:id="19"/>
      <w:bookmarkEnd w:id="26"/>
      <w:bookmarkEnd w:id="27"/>
      <w:bookmarkEnd w:id="28"/>
      <w:bookmarkEnd w:id="29"/>
      <w:bookmarkEnd w:id="30"/>
      <w:r>
        <w:rPr>
          <w:rFonts w:hint="eastAsia" w:ascii="宋体" w:hAnsi="宋体" w:cs="宋体"/>
          <w:b/>
          <w:color w:val="000000" w:themeColor="text1"/>
          <w:sz w:val="24"/>
          <w:highlight w:val="none"/>
          <w14:textFill>
            <w14:solidFill>
              <w14:schemeClr w14:val="tx1"/>
            </w14:solidFill>
          </w14:textFill>
        </w:rPr>
        <w:t xml:space="preserve"> </w:t>
      </w:r>
    </w:p>
    <w:p w14:paraId="6E2B957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（一）竞选人应通过“行采家”平台（http://www.gec123.com）进行注册，成为正式竞选人方能参与采购活动。</w:t>
      </w:r>
    </w:p>
    <w:p w14:paraId="38DCCB5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（二）凡有意参加比选的竞选人，请在“行采家”上下载本项目竞争性比选文件以及澄清、补充说明等竞标前公布的所有项目资料，无论竞选人下载与否，均视为已知晓所有采购实质性要求内容。</w:t>
      </w:r>
    </w:p>
    <w:p w14:paraId="298A8D9B">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（三）比选文件公告期限：自比选公告发布之日起三个工作日。</w:t>
      </w:r>
    </w:p>
    <w:p w14:paraId="011C7E4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（四）报名及比选文件发售</w:t>
      </w:r>
    </w:p>
    <w:p w14:paraId="5D07D7F1">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1.报名和比选文件发售期限：2025年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日至2025年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日。</w:t>
      </w:r>
    </w:p>
    <w:p w14:paraId="26A90212">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2.比选文件售价：人民币300.00元/份(售后不退)</w:t>
      </w:r>
    </w:p>
    <w:p w14:paraId="7615BF86">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比选文件购买方式</w:t>
      </w:r>
    </w:p>
    <w:p w14:paraId="44A4916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比选文件发售期内，竞选人将比选文件购买费用汇至以下账户，并将比选文件汇款凭证(汇款时须注明项目名称)、《比选文件发售登记表》（加盖竞选人公章）扫描后发送至2446518707@qq.com（邮箱），领取比选文件，方视为报名成功。</w:t>
      </w:r>
    </w:p>
    <w:p w14:paraId="74C968A7">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在报名和比选文件发售期限内购买了比选文件的竞选人，其竞标文件才被接收。</w:t>
      </w:r>
    </w:p>
    <w:p w14:paraId="3AB7A24F">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（五）递交竞标文件地址：重庆市渝北区线外城市花园1栋16层。</w:t>
      </w:r>
    </w:p>
    <w:p w14:paraId="497AAE9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（六）递交竞标文件开始时间和截止时间：2025年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日9时30分-10时00分(北京时间)。</w:t>
      </w:r>
    </w:p>
    <w:p w14:paraId="7532E49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（七）开标时间：2025年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日10时00分(北京时间)。</w:t>
      </w:r>
    </w:p>
    <w:p w14:paraId="19D2EF47">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（八）开标地点：同递交竞标文件地址。</w:t>
      </w:r>
    </w:p>
    <w:p w14:paraId="08B1C086">
      <w:pPr>
        <w:kinsoku w:val="0"/>
        <w:autoSpaceDE w:val="0"/>
        <w:autoSpaceDN w:val="0"/>
        <w:adjustRightInd w:val="0"/>
        <w:snapToGrid w:val="0"/>
        <w:spacing w:before="120" w:beforeLines="50" w:after="120" w:afterLines="50" w:line="500" w:lineRule="exact"/>
        <w:outlineLvl w:val="1"/>
        <w:rPr>
          <w:rFonts w:hint="eastAsia" w:ascii="宋体" w:hAnsi="宋体" w:cs="宋体"/>
          <w:b/>
          <w:color w:val="000000" w:themeColor="text1"/>
          <w:sz w:val="24"/>
          <w:highlight w:val="none"/>
          <w14:textFill>
            <w14:solidFill>
              <w14:schemeClr w14:val="tx1"/>
            </w14:solidFill>
          </w14:textFill>
        </w:rPr>
      </w:pPr>
      <w:bookmarkStart w:id="31" w:name="_Toc9598"/>
      <w:bookmarkStart w:id="32" w:name="_Toc21299"/>
      <w:bookmarkStart w:id="33" w:name="_Toc12919"/>
      <w:bookmarkStart w:id="34" w:name="_Toc535999736"/>
      <w:bookmarkStart w:id="35" w:name="_Toc1034141"/>
      <w:bookmarkStart w:id="36" w:name="_Toc373860294"/>
      <w:bookmarkStart w:id="37" w:name="_Toc54020335"/>
      <w:bookmarkStart w:id="38" w:name="_Toc1116100"/>
      <w:bookmarkStart w:id="39" w:name="_Toc1987"/>
      <w:bookmarkStart w:id="40" w:name="_Toc2632"/>
      <w:r>
        <w:rPr>
          <w:rFonts w:hint="eastAsia" w:ascii="宋体" w:hAnsi="宋体" w:cs="宋体"/>
          <w:b/>
          <w:color w:val="000000" w:themeColor="text1"/>
          <w:sz w:val="24"/>
          <w:highlight w:val="none"/>
          <w14:textFill>
            <w14:solidFill>
              <w14:schemeClr w14:val="tx1"/>
            </w14:solidFill>
          </w14:textFill>
        </w:rPr>
        <w:t>五、比选保证金</w:t>
      </w:r>
      <w:bookmarkEnd w:id="31"/>
      <w:bookmarkEnd w:id="32"/>
      <w:bookmarkEnd w:id="33"/>
    </w:p>
    <w:p w14:paraId="40DEDE50">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1.竞选人须按本项目规定的保证金金额缴纳比选保证金（保证金金额详见本篇“一、比选内容”），由竞选人从其单位账户将保证金汇至以下账户，保证金的到账截止时间为竞选文件</w:t>
      </w:r>
      <w:r>
        <w:rPr>
          <w:rFonts w:hint="eastAsia" w:ascii="宋体" w:hAnsi="宋体" w:cs="宋体"/>
          <w:color w:val="000000" w:themeColor="text1"/>
          <w:sz w:val="24"/>
          <w:highlight w:val="none"/>
          <w:lang w:val="en-US" w:eastAsia="zh-CN"/>
          <w14:textFill>
            <w14:solidFill>
              <w14:schemeClr w14:val="tx1"/>
            </w14:solidFill>
          </w14:textFill>
        </w:rPr>
        <w:t>递交</w:t>
      </w:r>
      <w:r>
        <w:rPr>
          <w:rFonts w:hint="eastAsia" w:ascii="宋体" w:hAnsi="宋体" w:cs="宋体"/>
          <w:color w:val="000000" w:themeColor="text1"/>
          <w:sz w:val="24"/>
          <w:highlight w:val="none"/>
          <w14:textFill>
            <w14:solidFill>
              <w14:schemeClr w14:val="tx1"/>
            </w14:solidFill>
          </w14:textFill>
        </w:rPr>
        <w:t>截止时间前。</w:t>
      </w:r>
    </w:p>
    <w:p w14:paraId="799D3CE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2.保证金递交账户</w:t>
      </w:r>
    </w:p>
    <w:p w14:paraId="104A6A07">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  号：50050110267600001694</w:t>
      </w:r>
    </w:p>
    <w:p w14:paraId="7073917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户  名：重庆渝富达项目管理有限公司</w:t>
      </w:r>
    </w:p>
    <w:p w14:paraId="64AC13B6">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开户行：中国建设银行股份有限公司重庆自由贸易试验区两江汽博支行</w:t>
      </w:r>
    </w:p>
    <w:p w14:paraId="484A127A">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3.各竞选人在银行转账（电汇）时，须充分考虑银行转账（电汇）的时间差风险，如同城转账、异地转账或汇款、跨行转账或电汇的时间要求。</w:t>
      </w:r>
    </w:p>
    <w:p w14:paraId="74875E55">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4.各竞选人在递交保证金时，到款账户为上述指定的保证金账户，来款账户必须为竞选人单位账户。</w:t>
      </w:r>
    </w:p>
    <w:p w14:paraId="3CE05F61">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（二）保证金退还方式</w:t>
      </w:r>
    </w:p>
    <w:p w14:paraId="12085D75">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1.未中选人的保证金，在中选通知书发放后，由比选代理机构在五个工作日内按来款渠道直接无息退还。</w:t>
      </w:r>
    </w:p>
    <w:p w14:paraId="44ACE3DB">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2.中选人的保证金，在中选人与比选人签订合同后，由比选代理机构在五个工作日内按资金来款渠道直接无息退还。</w:t>
      </w:r>
    </w:p>
    <w:p w14:paraId="360B4B9E">
      <w:pPr>
        <w:kinsoku w:val="0"/>
        <w:autoSpaceDE w:val="0"/>
        <w:autoSpaceDN w:val="0"/>
        <w:adjustRightInd w:val="0"/>
        <w:snapToGrid w:val="0"/>
        <w:spacing w:before="120" w:beforeLines="50" w:after="120" w:afterLines="50" w:line="500" w:lineRule="exact"/>
        <w:outlineLvl w:val="1"/>
        <w:rPr>
          <w:rFonts w:hint="eastAsia" w:ascii="宋体" w:hAnsi="宋体" w:cs="宋体"/>
          <w:b/>
          <w:color w:val="000000" w:themeColor="text1"/>
          <w:sz w:val="24"/>
          <w:highlight w:val="none"/>
          <w14:textFill>
            <w14:solidFill>
              <w14:schemeClr w14:val="tx1"/>
            </w14:solidFill>
          </w14:textFill>
        </w:rPr>
      </w:pPr>
      <w:bookmarkStart w:id="41" w:name="_Toc23039"/>
      <w:bookmarkStart w:id="42" w:name="_Toc26904"/>
      <w:bookmarkStart w:id="43" w:name="_Toc31397"/>
      <w:r>
        <w:rPr>
          <w:rFonts w:hint="eastAsia" w:ascii="宋体" w:hAnsi="宋体" w:cs="宋体"/>
          <w:b/>
          <w:color w:val="000000" w:themeColor="text1"/>
          <w:sz w:val="24"/>
          <w:highlight w:val="none"/>
          <w14:textFill>
            <w14:solidFill>
              <w14:schemeClr w14:val="tx1"/>
            </w14:solidFill>
          </w14:textFill>
        </w:rPr>
        <w:t>六、</w:t>
      </w:r>
      <w:bookmarkEnd w:id="20"/>
      <w:bookmarkEnd w:id="34"/>
      <w:bookmarkEnd w:id="35"/>
      <w:bookmarkEnd w:id="36"/>
      <w:bookmarkEnd w:id="37"/>
      <w:bookmarkEnd w:id="38"/>
      <w:bookmarkEnd w:id="39"/>
      <w:bookmarkEnd w:id="40"/>
      <w:bookmarkStart w:id="44" w:name="_Toc32098"/>
      <w:bookmarkStart w:id="45" w:name="_Toc469"/>
      <w:bookmarkStart w:id="46" w:name="_Toc480466699"/>
      <w:r>
        <w:rPr>
          <w:rFonts w:hint="eastAsia" w:ascii="宋体" w:hAnsi="宋体" w:cs="宋体"/>
          <w:b/>
          <w:color w:val="000000" w:themeColor="text1"/>
          <w:sz w:val="24"/>
          <w:highlight w:val="none"/>
          <w14:textFill>
            <w14:solidFill>
              <w14:schemeClr w14:val="tx1"/>
            </w14:solidFill>
          </w14:textFill>
        </w:rPr>
        <w:t>其它有关规定</w:t>
      </w:r>
      <w:bookmarkEnd w:id="41"/>
      <w:bookmarkEnd w:id="42"/>
      <w:bookmarkEnd w:id="43"/>
      <w:bookmarkEnd w:id="44"/>
      <w:bookmarkEnd w:id="45"/>
      <w:bookmarkEnd w:id="46"/>
    </w:p>
    <w:p w14:paraId="26C490B6">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（一）单位负责人为同一人或者存在直接控股、管理关系的不同竞选人，不得参加同一合同项（分包）下的采购活动，否则均为无效响应。</w:t>
      </w:r>
    </w:p>
    <w:p w14:paraId="3F1C344C">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（二）为采购项目提供整体设计、规范编制或者项目管理、监理、检测等服务的竞选人，不得再参加该采购项目的其他采购活动。</w:t>
      </w:r>
    </w:p>
    <w:p w14:paraId="3376BAB0">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（三）本项目的澄清文件（如果有）一律在行采家-电子竞采（www.gec123.com/xe/）上发布，请各竞选人注意下载；无论竞选人下载与否，均视同竞选人已知晓本项目澄清文件（如果有）的内容。</w:t>
      </w:r>
    </w:p>
    <w:p w14:paraId="03071093">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（四）超过竞选文件截止时间递交的竞选文件，恕不接收。</w:t>
      </w:r>
    </w:p>
    <w:p w14:paraId="6CBE4764">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（五）比选费用：无论比选结果如何，竞选人参与本项目比选的所有费用均应由竞选人自行承担。</w:t>
      </w:r>
    </w:p>
    <w:p w14:paraId="77C3F1F9">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w:t>
      </w:r>
      <w:r>
        <w:rPr>
          <w:rFonts w:hint="eastAsia" w:ascii="宋体" w:hAnsi="宋体" w:cs="宋体"/>
          <w:b/>
          <w:color w:val="000000" w:themeColor="text1"/>
          <w:sz w:val="24"/>
          <w:highlight w:val="none"/>
          <w14:textFill>
            <w14:solidFill>
              <w14:schemeClr w14:val="tx1"/>
            </w14:solidFill>
          </w14:textFill>
        </w:rPr>
        <w:t>本项目不接受联合体参与竞选。</w:t>
      </w:r>
    </w:p>
    <w:p w14:paraId="5E977EF3">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w:t>
      </w:r>
      <w:bookmarkStart w:id="47" w:name="_Toc480466700"/>
      <w:r>
        <w:rPr>
          <w:rFonts w:hint="eastAsia" w:ascii="宋体" w:hAnsi="宋体" w:cs="宋体"/>
          <w:color w:val="000000" w:themeColor="text1"/>
          <w:sz w:val="24"/>
          <w:highlight w:val="none"/>
          <w14:textFill>
            <w14:solidFill>
              <w14:schemeClr w14:val="tx1"/>
            </w14:solidFill>
          </w14:textFill>
        </w:rPr>
        <w:t>按照《财政部关于在政府采购活动中查询及使用信用记录有关问题的通知》（财库〔2016〕125号），竞选人列入失信被执行人、重大税收违法案件当事人名单、政府采购严重违法失信行为记录名单及其他不符合《中华人民共和国政府采购法》第二十二条规定条件的竞选人，将拒绝其参与采购活动。</w:t>
      </w:r>
    </w:p>
    <w:p w14:paraId="01AF7C58">
      <w:pPr>
        <w:kinsoku w:val="0"/>
        <w:autoSpaceDE w:val="0"/>
        <w:autoSpaceDN w:val="0"/>
        <w:adjustRightInd w:val="0"/>
        <w:snapToGrid w:val="0"/>
        <w:spacing w:before="120" w:beforeLines="50" w:after="120" w:afterLines="50" w:line="500" w:lineRule="exact"/>
        <w:outlineLvl w:val="1"/>
        <w:rPr>
          <w:rFonts w:hint="eastAsia" w:ascii="宋体" w:hAnsi="宋体" w:cs="宋体"/>
          <w:b/>
          <w:color w:val="000000" w:themeColor="text1"/>
          <w:sz w:val="24"/>
          <w:highlight w:val="none"/>
          <w14:textFill>
            <w14:solidFill>
              <w14:schemeClr w14:val="tx1"/>
            </w14:solidFill>
          </w14:textFill>
        </w:rPr>
      </w:pPr>
      <w:bookmarkStart w:id="48" w:name="_Toc32192"/>
      <w:bookmarkStart w:id="49" w:name="_Toc27748"/>
      <w:bookmarkStart w:id="50" w:name="_Toc27333"/>
      <w:bookmarkStart w:id="51" w:name="_Toc29016"/>
      <w:bookmarkStart w:id="52" w:name="_Toc7586"/>
      <w:r>
        <w:rPr>
          <w:rFonts w:hint="eastAsia" w:ascii="宋体" w:hAnsi="宋体" w:cs="宋体"/>
          <w:b/>
          <w:color w:val="000000" w:themeColor="text1"/>
          <w:sz w:val="24"/>
          <w:highlight w:val="none"/>
          <w14:textFill>
            <w14:solidFill>
              <w14:schemeClr w14:val="tx1"/>
            </w14:solidFill>
          </w14:textFill>
        </w:rPr>
        <w:t>七、联系方式</w:t>
      </w:r>
      <w:bookmarkEnd w:id="47"/>
      <w:bookmarkEnd w:id="48"/>
      <w:bookmarkEnd w:id="49"/>
      <w:bookmarkEnd w:id="50"/>
      <w:bookmarkEnd w:id="51"/>
      <w:bookmarkEnd w:id="52"/>
    </w:p>
    <w:p w14:paraId="27268664">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（一）比选人：重庆市干部医疗保障所</w:t>
      </w:r>
    </w:p>
    <w:p w14:paraId="1AE8C76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联系人：李老师</w:t>
      </w:r>
    </w:p>
    <w:p w14:paraId="1D897B91">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话：023-86072247</w:t>
      </w:r>
    </w:p>
    <w:p w14:paraId="12C58BD3">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  址：重庆市渝北区星光大道76号天王星B座8楼 </w:t>
      </w:r>
    </w:p>
    <w:p w14:paraId="61B68EEA">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（二）比选代理机构：重庆渝富达项目管理有限公司</w:t>
      </w:r>
    </w:p>
    <w:p w14:paraId="7EB753C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联系人：王老师</w:t>
      </w:r>
    </w:p>
    <w:p w14:paraId="15BF1CB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话：023-63360233</w:t>
      </w:r>
    </w:p>
    <w:p w14:paraId="19248976">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sectPr>
          <w:pgSz w:w="11907" w:h="16840"/>
          <w:pgMar w:top="1134" w:right="1418" w:bottom="1134" w:left="1418" w:header="964" w:footer="992" w:gutter="0"/>
          <w:cols w:space="720" w:num="1"/>
          <w:docGrid w:linePitch="312" w:charSpace="0"/>
        </w:sectPr>
      </w:pPr>
      <w:r>
        <w:rPr>
          <w:rFonts w:hint="eastAsia" w:ascii="宋体" w:hAnsi="宋体" w:cs="宋体"/>
          <w:color w:val="000000" w:themeColor="text1"/>
          <w:sz w:val="24"/>
          <w:highlight w:val="none"/>
          <w14:textFill>
            <w14:solidFill>
              <w14:schemeClr w14:val="tx1"/>
            </w14:solidFill>
          </w14:textFill>
        </w:rPr>
        <w:t>地  址：重庆市渝北区线外城市花园1栋16层</w:t>
      </w:r>
    </w:p>
    <w:p w14:paraId="301FB31D">
      <w:pPr>
        <w:pStyle w:val="2"/>
        <w:keepNext w:val="0"/>
        <w:kinsoku w:val="0"/>
        <w:autoSpaceDE w:val="0"/>
        <w:autoSpaceDN w:val="0"/>
        <w:adjustRightInd w:val="0"/>
        <w:spacing w:before="120" w:beforeLines="50" w:after="120" w:afterLines="50" w:line="500" w:lineRule="exact"/>
        <w:jc w:val="center"/>
        <w:rPr>
          <w:rFonts w:hint="eastAsia" w:hAnsi="宋体" w:cs="宋体"/>
          <w:b/>
          <w:bCs/>
          <w:color w:val="000000" w:themeColor="text1"/>
          <w:sz w:val="36"/>
          <w:szCs w:val="36"/>
          <w:highlight w:val="none"/>
          <w14:textFill>
            <w14:solidFill>
              <w14:schemeClr w14:val="tx1"/>
            </w14:solidFill>
          </w14:textFill>
        </w:rPr>
      </w:pPr>
      <w:r>
        <w:rPr>
          <w:rFonts w:hint="eastAsia" w:hAnsi="宋体" w:cs="宋体"/>
          <w:b/>
          <w:bCs/>
          <w:color w:val="000000" w:themeColor="text1"/>
          <w:sz w:val="36"/>
          <w:szCs w:val="36"/>
          <w:highlight w:val="none"/>
          <w14:textFill>
            <w14:solidFill>
              <w14:schemeClr w14:val="tx1"/>
            </w14:solidFill>
          </w14:textFill>
        </w:rPr>
        <w:t xml:space="preserve"> </w:t>
      </w:r>
      <w:bookmarkStart w:id="53" w:name="_Toc20192"/>
      <w:r>
        <w:rPr>
          <w:rFonts w:hint="eastAsia" w:hAnsi="宋体" w:cs="宋体"/>
          <w:b/>
          <w:bCs/>
          <w:color w:val="000000" w:themeColor="text1"/>
          <w:sz w:val="36"/>
          <w:szCs w:val="36"/>
          <w:highlight w:val="none"/>
          <w14:textFill>
            <w14:solidFill>
              <w14:schemeClr w14:val="tx1"/>
            </w14:solidFill>
          </w14:textFill>
        </w:rPr>
        <w:t>第二篇 项目技术（质量）需求</w:t>
      </w:r>
      <w:bookmarkEnd w:id="53"/>
    </w:p>
    <w:p w14:paraId="2E8A5CD0">
      <w:pPr>
        <w:kinsoku w:val="0"/>
        <w:autoSpaceDE w:val="0"/>
        <w:autoSpaceDN w:val="0"/>
        <w:adjustRightInd w:val="0"/>
        <w:snapToGrid w:val="0"/>
        <w:spacing w:line="500" w:lineRule="exac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一、项目内容</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5"/>
        <w:gridCol w:w="1903"/>
        <w:gridCol w:w="2161"/>
      </w:tblGrid>
      <w:tr w14:paraId="4B92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812" w:type="pct"/>
            <w:vAlign w:val="center"/>
          </w:tcPr>
          <w:p w14:paraId="36E02804">
            <w:pPr>
              <w:pStyle w:val="10"/>
              <w:spacing w:line="240" w:lineRule="atLeast"/>
              <w:ind w:left="0"/>
              <w:jc w:val="center"/>
              <w:outlineLvl w:val="0"/>
              <w:rPr>
                <w:rFonts w:hint="eastAsia" w:ascii="宋体" w:hAnsi="宋体" w:cs="宋体"/>
                <w:b/>
                <w:sz w:val="24"/>
                <w:highlight w:val="none"/>
              </w:rPr>
            </w:pPr>
            <w:bookmarkStart w:id="54" w:name="_Toc26275"/>
            <w:bookmarkStart w:id="55" w:name="_Toc19735"/>
            <w:r>
              <w:rPr>
                <w:rFonts w:hint="eastAsia" w:ascii="宋体" w:hAnsi="宋体" w:cs="宋体"/>
                <w:b/>
                <w:sz w:val="24"/>
                <w:highlight w:val="none"/>
              </w:rPr>
              <w:t>项目名称</w:t>
            </w:r>
            <w:bookmarkEnd w:id="54"/>
            <w:bookmarkEnd w:id="55"/>
          </w:p>
        </w:tc>
        <w:tc>
          <w:tcPr>
            <w:tcW w:w="1024" w:type="pct"/>
            <w:tcBorders>
              <w:bottom w:val="single" w:color="auto" w:sz="4" w:space="0"/>
            </w:tcBorders>
            <w:vAlign w:val="center"/>
          </w:tcPr>
          <w:p w14:paraId="2BFF4CEF">
            <w:pPr>
              <w:pStyle w:val="10"/>
              <w:spacing w:line="240" w:lineRule="atLeast"/>
              <w:ind w:left="0"/>
              <w:jc w:val="center"/>
              <w:outlineLvl w:val="0"/>
              <w:rPr>
                <w:rFonts w:hint="eastAsia" w:ascii="宋体" w:hAnsi="宋体" w:cs="宋体"/>
                <w:b/>
                <w:sz w:val="24"/>
                <w:highlight w:val="none"/>
              </w:rPr>
            </w:pPr>
            <w:r>
              <w:rPr>
                <w:rFonts w:hint="eastAsia" w:ascii="宋体" w:hAnsi="宋体" w:cs="宋体"/>
                <w:b/>
                <w:sz w:val="24"/>
                <w:highlight w:val="none"/>
              </w:rPr>
              <w:t>最高限价</w:t>
            </w:r>
          </w:p>
          <w:p w14:paraId="535A5C4D">
            <w:pPr>
              <w:pStyle w:val="10"/>
              <w:spacing w:line="240" w:lineRule="atLeast"/>
              <w:ind w:left="0"/>
              <w:jc w:val="center"/>
              <w:outlineLvl w:val="0"/>
              <w:rPr>
                <w:rFonts w:hint="eastAsia" w:ascii="宋体" w:hAnsi="宋体" w:cs="宋体"/>
                <w:b/>
                <w:sz w:val="24"/>
                <w:highlight w:val="none"/>
              </w:rPr>
            </w:pPr>
            <w:bookmarkStart w:id="56" w:name="_Toc13809"/>
            <w:bookmarkStart w:id="57" w:name="_Toc26061"/>
            <w:r>
              <w:rPr>
                <w:rFonts w:hint="eastAsia" w:ascii="宋体" w:hAnsi="宋体" w:cs="宋体"/>
                <w:b/>
                <w:sz w:val="24"/>
                <w:highlight w:val="none"/>
              </w:rPr>
              <w:t>（万元）</w:t>
            </w:r>
            <w:bookmarkEnd w:id="56"/>
            <w:bookmarkEnd w:id="57"/>
          </w:p>
        </w:tc>
        <w:tc>
          <w:tcPr>
            <w:tcW w:w="1163" w:type="pct"/>
            <w:tcBorders>
              <w:bottom w:val="single" w:color="auto" w:sz="4" w:space="0"/>
            </w:tcBorders>
          </w:tcPr>
          <w:p w14:paraId="01AFB506">
            <w:pPr>
              <w:pStyle w:val="10"/>
              <w:spacing w:line="240" w:lineRule="atLeast"/>
              <w:ind w:left="0"/>
              <w:jc w:val="center"/>
              <w:outlineLvl w:val="0"/>
              <w:rPr>
                <w:rFonts w:hint="eastAsia" w:ascii="宋体" w:hAnsi="宋体" w:cs="宋体"/>
                <w:b/>
                <w:sz w:val="24"/>
                <w:highlight w:val="none"/>
              </w:rPr>
            </w:pPr>
            <w:bookmarkStart w:id="58" w:name="_Toc6617"/>
            <w:bookmarkStart w:id="59" w:name="_Toc14315"/>
            <w:r>
              <w:rPr>
                <w:rFonts w:hint="eastAsia" w:ascii="宋体" w:hAnsi="宋体" w:cs="宋体"/>
                <w:b/>
                <w:sz w:val="24"/>
                <w:highlight w:val="none"/>
              </w:rPr>
              <w:t>备注</w:t>
            </w:r>
            <w:bookmarkEnd w:id="58"/>
            <w:bookmarkEnd w:id="59"/>
          </w:p>
        </w:tc>
      </w:tr>
      <w:tr w14:paraId="5CE4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812" w:type="pct"/>
            <w:vAlign w:val="center"/>
          </w:tcPr>
          <w:p w14:paraId="283C22C4">
            <w:pPr>
              <w:pStyle w:val="10"/>
              <w:spacing w:line="240" w:lineRule="atLeast"/>
              <w:ind w:left="0"/>
              <w:jc w:val="center"/>
              <w:outlineLvl w:val="0"/>
              <w:rPr>
                <w:rFonts w:hint="eastAsia" w:ascii="宋体" w:hAnsi="宋体" w:cs="宋体"/>
                <w:sz w:val="24"/>
                <w:highlight w:val="none"/>
              </w:rPr>
            </w:pPr>
            <w:bookmarkStart w:id="60" w:name="_Toc27192"/>
            <w:bookmarkStart w:id="61" w:name="_Toc2268"/>
            <w:r>
              <w:rPr>
                <w:rFonts w:hint="eastAsia" w:ascii="宋体" w:hAnsi="宋体" w:cs="宋体"/>
                <w:sz w:val="24"/>
                <w:highlight w:val="none"/>
              </w:rPr>
              <w:t>办公设施设备维护及信息技术服务</w:t>
            </w:r>
            <w:bookmarkEnd w:id="60"/>
            <w:bookmarkEnd w:id="61"/>
          </w:p>
        </w:tc>
        <w:tc>
          <w:tcPr>
            <w:tcW w:w="1024" w:type="pct"/>
            <w:tcBorders>
              <w:top w:val="single" w:color="auto" w:sz="4" w:space="0"/>
              <w:bottom w:val="single" w:color="auto" w:sz="4" w:space="0"/>
            </w:tcBorders>
            <w:vAlign w:val="center"/>
          </w:tcPr>
          <w:p w14:paraId="4D10AEB8">
            <w:pPr>
              <w:pStyle w:val="10"/>
              <w:spacing w:line="240" w:lineRule="atLeast"/>
              <w:ind w:left="0"/>
              <w:jc w:val="center"/>
              <w:outlineLvl w:val="0"/>
              <w:rPr>
                <w:rFonts w:hint="eastAsia" w:ascii="宋体" w:hAnsi="宋体" w:cs="宋体"/>
                <w:sz w:val="24"/>
                <w:highlight w:val="none"/>
              </w:rPr>
            </w:pPr>
            <w:r>
              <w:rPr>
                <w:rFonts w:hint="eastAsia" w:ascii="宋体" w:hAnsi="宋体" w:cs="宋体"/>
                <w:sz w:val="24"/>
                <w:highlight w:val="none"/>
              </w:rPr>
              <w:t>15</w:t>
            </w:r>
          </w:p>
        </w:tc>
        <w:tc>
          <w:tcPr>
            <w:tcW w:w="1163" w:type="pct"/>
            <w:tcBorders>
              <w:top w:val="single" w:color="auto" w:sz="4" w:space="0"/>
              <w:bottom w:val="single" w:color="auto" w:sz="4" w:space="0"/>
            </w:tcBorders>
            <w:vAlign w:val="center"/>
          </w:tcPr>
          <w:p w14:paraId="394E436D">
            <w:pPr>
              <w:pStyle w:val="10"/>
              <w:spacing w:line="240" w:lineRule="atLeast"/>
              <w:ind w:left="0"/>
              <w:jc w:val="center"/>
              <w:outlineLvl w:val="0"/>
              <w:rPr>
                <w:rFonts w:hint="eastAsia" w:ascii="宋体" w:hAnsi="宋体" w:cs="宋体"/>
                <w:sz w:val="24"/>
                <w:highlight w:val="none"/>
              </w:rPr>
            </w:pPr>
          </w:p>
        </w:tc>
      </w:tr>
    </w:tbl>
    <w:p w14:paraId="058BCF7F">
      <w:pPr>
        <w:kinsoku w:val="0"/>
        <w:autoSpaceDE w:val="0"/>
        <w:autoSpaceDN w:val="0"/>
        <w:adjustRightInd w:val="0"/>
        <w:snapToGrid w:val="0"/>
        <w:spacing w:line="500" w:lineRule="exac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二、项目需求</w:t>
      </w:r>
    </w:p>
    <w:tbl>
      <w:tblPr>
        <w:tblStyle w:val="19"/>
        <w:tblW w:w="9065" w:type="dxa"/>
        <w:jc w:val="center"/>
        <w:tblLayout w:type="autofit"/>
        <w:tblCellMar>
          <w:top w:w="0" w:type="dxa"/>
          <w:left w:w="108" w:type="dxa"/>
          <w:bottom w:w="0" w:type="dxa"/>
          <w:right w:w="108" w:type="dxa"/>
        </w:tblCellMar>
      </w:tblPr>
      <w:tblGrid>
        <w:gridCol w:w="1305"/>
        <w:gridCol w:w="7760"/>
      </w:tblGrid>
      <w:tr w14:paraId="3EEA5E12">
        <w:tblPrEx>
          <w:tblCellMar>
            <w:top w:w="0" w:type="dxa"/>
            <w:left w:w="108" w:type="dxa"/>
            <w:bottom w:w="0" w:type="dxa"/>
            <w:right w:w="108" w:type="dxa"/>
          </w:tblCellMar>
        </w:tblPrEx>
        <w:trPr>
          <w:tblHeader/>
          <w:jc w:val="center"/>
        </w:trPr>
        <w:tc>
          <w:tcPr>
            <w:tcW w:w="1305" w:type="dxa"/>
            <w:tcBorders>
              <w:top w:val="single" w:color="000000" w:sz="4" w:space="0"/>
              <w:left w:val="single" w:color="000000" w:sz="4" w:space="0"/>
              <w:bottom w:val="single" w:color="000000" w:sz="4" w:space="0"/>
              <w:right w:val="single" w:color="000000" w:sz="4" w:space="0"/>
            </w:tcBorders>
            <w:vAlign w:val="center"/>
          </w:tcPr>
          <w:p w14:paraId="468AAF0D">
            <w:pPr>
              <w:snapToGrid w:val="0"/>
              <w:jc w:val="center"/>
              <w:rPr>
                <w:rFonts w:hint="eastAsia" w:ascii="宋体" w:hAnsi="宋体" w:cs="宋体"/>
                <w:b/>
                <w:bCs/>
                <w:sz w:val="24"/>
                <w:szCs w:val="36"/>
                <w:highlight w:val="none"/>
              </w:rPr>
            </w:pPr>
            <w:bookmarkStart w:id="62" w:name="_Toc12789058"/>
            <w:r>
              <w:rPr>
                <w:rFonts w:hint="eastAsia" w:ascii="宋体" w:hAnsi="宋体" w:cs="宋体"/>
                <w:b/>
                <w:bCs/>
                <w:sz w:val="24"/>
                <w:szCs w:val="36"/>
                <w:highlight w:val="none"/>
              </w:rPr>
              <w:t>序号</w:t>
            </w:r>
          </w:p>
        </w:tc>
        <w:tc>
          <w:tcPr>
            <w:tcW w:w="7760" w:type="dxa"/>
            <w:tcBorders>
              <w:top w:val="single" w:color="000000" w:sz="4" w:space="0"/>
              <w:left w:val="single" w:color="000000" w:sz="4" w:space="0"/>
              <w:bottom w:val="single" w:color="000000" w:sz="4" w:space="0"/>
              <w:right w:val="single" w:color="000000" w:sz="4" w:space="0"/>
            </w:tcBorders>
            <w:vAlign w:val="center"/>
          </w:tcPr>
          <w:p w14:paraId="2751410F">
            <w:pPr>
              <w:snapToGrid w:val="0"/>
              <w:jc w:val="center"/>
              <w:rPr>
                <w:rFonts w:hint="eastAsia" w:ascii="宋体" w:hAnsi="宋体" w:cs="宋体"/>
                <w:b/>
                <w:bCs/>
                <w:sz w:val="24"/>
                <w:szCs w:val="36"/>
                <w:highlight w:val="none"/>
              </w:rPr>
            </w:pPr>
            <w:r>
              <w:rPr>
                <w:rFonts w:hint="eastAsia" w:ascii="宋体" w:hAnsi="宋体" w:cs="宋体"/>
                <w:b/>
                <w:bCs/>
                <w:sz w:val="24"/>
                <w:szCs w:val="36"/>
                <w:highlight w:val="none"/>
              </w:rPr>
              <w:t>维护内容</w:t>
            </w:r>
          </w:p>
        </w:tc>
      </w:tr>
      <w:tr w14:paraId="582AA31E">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25019F38">
            <w:pPr>
              <w:snapToGrid w:val="0"/>
              <w:jc w:val="center"/>
              <w:rPr>
                <w:rFonts w:hint="eastAsia" w:ascii="宋体" w:hAnsi="宋体" w:cs="宋体"/>
                <w:sz w:val="24"/>
                <w:szCs w:val="36"/>
                <w:highlight w:val="none"/>
              </w:rPr>
            </w:pPr>
            <w:r>
              <w:rPr>
                <w:rFonts w:hint="eastAsia" w:ascii="宋体" w:hAnsi="宋体" w:cs="宋体"/>
                <w:sz w:val="24"/>
                <w:szCs w:val="36"/>
                <w:highlight w:val="none"/>
              </w:rPr>
              <w:t>1</w:t>
            </w:r>
          </w:p>
        </w:tc>
        <w:tc>
          <w:tcPr>
            <w:tcW w:w="7760" w:type="dxa"/>
            <w:tcBorders>
              <w:top w:val="single" w:color="000000" w:sz="4" w:space="0"/>
              <w:left w:val="single" w:color="000000" w:sz="4" w:space="0"/>
              <w:bottom w:val="single" w:color="000000" w:sz="4" w:space="0"/>
              <w:right w:val="single" w:color="000000" w:sz="4" w:space="0"/>
            </w:tcBorders>
            <w:vAlign w:val="center"/>
          </w:tcPr>
          <w:p w14:paraId="2891B41B">
            <w:pPr>
              <w:snapToGrid w:val="0"/>
              <w:jc w:val="left"/>
              <w:rPr>
                <w:rFonts w:hint="eastAsia" w:ascii="宋体" w:hAnsi="宋体" w:cs="宋体"/>
                <w:sz w:val="24"/>
                <w:szCs w:val="36"/>
                <w:highlight w:val="none"/>
              </w:rPr>
            </w:pPr>
            <w:r>
              <w:rPr>
                <w:rFonts w:hint="eastAsia" w:ascii="宋体" w:hAnsi="宋体" w:cs="宋体"/>
                <w:sz w:val="24"/>
                <w:szCs w:val="36"/>
                <w:highlight w:val="none"/>
              </w:rPr>
              <w:t>边界防火墙</w:t>
            </w:r>
          </w:p>
        </w:tc>
      </w:tr>
      <w:tr w14:paraId="2A221F20">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361BF125">
            <w:pPr>
              <w:snapToGrid w:val="0"/>
              <w:jc w:val="center"/>
              <w:rPr>
                <w:rFonts w:hint="eastAsia" w:ascii="宋体" w:hAnsi="宋体" w:cs="宋体"/>
                <w:sz w:val="24"/>
                <w:szCs w:val="36"/>
                <w:highlight w:val="none"/>
              </w:rPr>
            </w:pPr>
            <w:r>
              <w:rPr>
                <w:rFonts w:hint="eastAsia" w:ascii="宋体" w:hAnsi="宋体" w:cs="宋体"/>
                <w:sz w:val="24"/>
                <w:szCs w:val="36"/>
                <w:highlight w:val="none"/>
              </w:rPr>
              <w:t>2</w:t>
            </w:r>
          </w:p>
        </w:tc>
        <w:tc>
          <w:tcPr>
            <w:tcW w:w="7760" w:type="dxa"/>
            <w:tcBorders>
              <w:top w:val="single" w:color="000000" w:sz="4" w:space="0"/>
              <w:left w:val="single" w:color="000000" w:sz="4" w:space="0"/>
              <w:bottom w:val="single" w:color="000000" w:sz="4" w:space="0"/>
              <w:right w:val="single" w:color="000000" w:sz="4" w:space="0"/>
            </w:tcBorders>
            <w:vAlign w:val="center"/>
          </w:tcPr>
          <w:p w14:paraId="3362ECC8">
            <w:pPr>
              <w:snapToGrid w:val="0"/>
              <w:jc w:val="left"/>
              <w:rPr>
                <w:rFonts w:hint="eastAsia" w:ascii="宋体" w:hAnsi="宋体" w:cs="宋体"/>
                <w:sz w:val="24"/>
                <w:szCs w:val="36"/>
                <w:highlight w:val="none"/>
              </w:rPr>
            </w:pPr>
            <w:r>
              <w:rPr>
                <w:rFonts w:hint="eastAsia" w:ascii="宋体" w:hAnsi="宋体" w:cs="宋体"/>
                <w:sz w:val="24"/>
                <w:szCs w:val="36"/>
                <w:highlight w:val="none"/>
              </w:rPr>
              <w:t>堡垒机</w:t>
            </w:r>
          </w:p>
        </w:tc>
      </w:tr>
      <w:tr w14:paraId="12B8C3EA">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281359B4">
            <w:pPr>
              <w:snapToGrid w:val="0"/>
              <w:jc w:val="center"/>
              <w:rPr>
                <w:rFonts w:hint="eastAsia" w:ascii="宋体" w:hAnsi="宋体" w:cs="宋体"/>
                <w:sz w:val="24"/>
                <w:szCs w:val="36"/>
                <w:highlight w:val="none"/>
              </w:rPr>
            </w:pPr>
            <w:r>
              <w:rPr>
                <w:rFonts w:hint="eastAsia" w:ascii="宋体" w:hAnsi="宋体" w:cs="宋体"/>
                <w:sz w:val="24"/>
                <w:szCs w:val="36"/>
                <w:highlight w:val="none"/>
              </w:rPr>
              <w:t>3</w:t>
            </w:r>
          </w:p>
        </w:tc>
        <w:tc>
          <w:tcPr>
            <w:tcW w:w="7760" w:type="dxa"/>
            <w:tcBorders>
              <w:top w:val="single" w:color="000000" w:sz="4" w:space="0"/>
              <w:left w:val="single" w:color="000000" w:sz="4" w:space="0"/>
              <w:bottom w:val="single" w:color="000000" w:sz="4" w:space="0"/>
              <w:right w:val="single" w:color="000000" w:sz="4" w:space="0"/>
            </w:tcBorders>
            <w:vAlign w:val="center"/>
          </w:tcPr>
          <w:p w14:paraId="409A9239">
            <w:pPr>
              <w:snapToGrid w:val="0"/>
              <w:jc w:val="left"/>
              <w:rPr>
                <w:rFonts w:hint="eastAsia" w:ascii="宋体" w:hAnsi="宋体" w:cs="宋体"/>
                <w:sz w:val="24"/>
                <w:szCs w:val="36"/>
                <w:highlight w:val="none"/>
              </w:rPr>
            </w:pPr>
            <w:r>
              <w:rPr>
                <w:rFonts w:hint="eastAsia" w:ascii="宋体" w:hAnsi="宋体" w:cs="宋体"/>
                <w:sz w:val="24"/>
                <w:szCs w:val="36"/>
                <w:highlight w:val="none"/>
              </w:rPr>
              <w:t>数据库审计系统</w:t>
            </w:r>
          </w:p>
        </w:tc>
      </w:tr>
      <w:tr w14:paraId="24EEA59B">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77D625A4">
            <w:pPr>
              <w:snapToGrid w:val="0"/>
              <w:jc w:val="center"/>
              <w:rPr>
                <w:rFonts w:hint="eastAsia" w:ascii="宋体" w:hAnsi="宋体" w:cs="宋体"/>
                <w:sz w:val="24"/>
                <w:szCs w:val="36"/>
                <w:highlight w:val="none"/>
              </w:rPr>
            </w:pPr>
            <w:r>
              <w:rPr>
                <w:rFonts w:hint="eastAsia" w:ascii="宋体" w:hAnsi="宋体" w:cs="宋体"/>
                <w:sz w:val="24"/>
                <w:szCs w:val="36"/>
                <w:highlight w:val="none"/>
              </w:rPr>
              <w:t>4</w:t>
            </w:r>
          </w:p>
        </w:tc>
        <w:tc>
          <w:tcPr>
            <w:tcW w:w="7760" w:type="dxa"/>
            <w:tcBorders>
              <w:top w:val="single" w:color="000000" w:sz="4" w:space="0"/>
              <w:left w:val="single" w:color="000000" w:sz="4" w:space="0"/>
              <w:bottom w:val="single" w:color="000000" w:sz="4" w:space="0"/>
              <w:right w:val="single" w:color="000000" w:sz="4" w:space="0"/>
            </w:tcBorders>
            <w:vAlign w:val="center"/>
          </w:tcPr>
          <w:p w14:paraId="28D97A73">
            <w:pPr>
              <w:snapToGrid w:val="0"/>
              <w:jc w:val="left"/>
              <w:rPr>
                <w:rFonts w:hint="eastAsia" w:ascii="宋体" w:hAnsi="宋体" w:cs="宋体"/>
                <w:sz w:val="24"/>
                <w:szCs w:val="36"/>
                <w:highlight w:val="none"/>
              </w:rPr>
            </w:pPr>
            <w:r>
              <w:rPr>
                <w:rFonts w:hint="eastAsia" w:ascii="宋体" w:hAnsi="宋体" w:cs="宋体"/>
                <w:sz w:val="24"/>
                <w:szCs w:val="36"/>
                <w:highlight w:val="none"/>
              </w:rPr>
              <w:t>网页防篡改</w:t>
            </w:r>
          </w:p>
        </w:tc>
      </w:tr>
      <w:tr w14:paraId="52B6379A">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4F75B12B">
            <w:pPr>
              <w:snapToGrid w:val="0"/>
              <w:jc w:val="center"/>
              <w:rPr>
                <w:rFonts w:hint="eastAsia" w:ascii="宋体" w:hAnsi="宋体" w:cs="宋体"/>
                <w:sz w:val="24"/>
                <w:szCs w:val="36"/>
                <w:highlight w:val="none"/>
              </w:rPr>
            </w:pPr>
            <w:r>
              <w:rPr>
                <w:rFonts w:hint="eastAsia" w:ascii="宋体" w:hAnsi="宋体" w:cs="宋体"/>
                <w:sz w:val="24"/>
                <w:szCs w:val="36"/>
                <w:highlight w:val="none"/>
              </w:rPr>
              <w:t>5</w:t>
            </w:r>
          </w:p>
        </w:tc>
        <w:tc>
          <w:tcPr>
            <w:tcW w:w="7760" w:type="dxa"/>
            <w:tcBorders>
              <w:top w:val="single" w:color="000000" w:sz="4" w:space="0"/>
              <w:left w:val="single" w:color="000000" w:sz="4" w:space="0"/>
              <w:bottom w:val="single" w:color="000000" w:sz="4" w:space="0"/>
              <w:right w:val="single" w:color="000000" w:sz="4" w:space="0"/>
            </w:tcBorders>
            <w:vAlign w:val="center"/>
          </w:tcPr>
          <w:p w14:paraId="094FAFEB">
            <w:pPr>
              <w:snapToGrid w:val="0"/>
              <w:jc w:val="left"/>
              <w:rPr>
                <w:rFonts w:hint="eastAsia" w:ascii="宋体" w:hAnsi="宋体" w:cs="宋体"/>
                <w:sz w:val="24"/>
                <w:szCs w:val="36"/>
                <w:highlight w:val="none"/>
              </w:rPr>
            </w:pPr>
            <w:r>
              <w:rPr>
                <w:rFonts w:hint="eastAsia" w:ascii="宋体" w:hAnsi="宋体" w:cs="宋体"/>
                <w:sz w:val="24"/>
                <w:szCs w:val="36"/>
                <w:highlight w:val="none"/>
              </w:rPr>
              <w:t>WEB应用防护系统</w:t>
            </w:r>
          </w:p>
        </w:tc>
      </w:tr>
      <w:tr w14:paraId="183A2C37">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24F33D7B">
            <w:pPr>
              <w:snapToGrid w:val="0"/>
              <w:jc w:val="center"/>
              <w:rPr>
                <w:rFonts w:hint="eastAsia" w:ascii="宋体" w:hAnsi="宋体" w:cs="宋体"/>
                <w:sz w:val="24"/>
                <w:szCs w:val="36"/>
                <w:highlight w:val="none"/>
              </w:rPr>
            </w:pPr>
            <w:r>
              <w:rPr>
                <w:rFonts w:hint="eastAsia" w:ascii="宋体" w:hAnsi="宋体" w:cs="宋体"/>
                <w:sz w:val="24"/>
                <w:szCs w:val="36"/>
                <w:highlight w:val="none"/>
              </w:rPr>
              <w:t>6</w:t>
            </w:r>
          </w:p>
        </w:tc>
        <w:tc>
          <w:tcPr>
            <w:tcW w:w="7760" w:type="dxa"/>
            <w:tcBorders>
              <w:top w:val="single" w:color="000000" w:sz="4" w:space="0"/>
              <w:left w:val="single" w:color="000000" w:sz="4" w:space="0"/>
              <w:bottom w:val="single" w:color="000000" w:sz="4" w:space="0"/>
              <w:right w:val="single" w:color="000000" w:sz="4" w:space="0"/>
            </w:tcBorders>
            <w:vAlign w:val="center"/>
          </w:tcPr>
          <w:p w14:paraId="6A2C5F47">
            <w:pPr>
              <w:snapToGrid w:val="0"/>
              <w:jc w:val="left"/>
              <w:rPr>
                <w:rFonts w:hint="eastAsia" w:ascii="宋体" w:hAnsi="宋体" w:cs="宋体"/>
                <w:sz w:val="24"/>
                <w:szCs w:val="36"/>
                <w:highlight w:val="none"/>
              </w:rPr>
            </w:pPr>
            <w:r>
              <w:rPr>
                <w:rFonts w:hint="eastAsia" w:ascii="宋体" w:hAnsi="宋体" w:cs="宋体"/>
                <w:sz w:val="24"/>
                <w:szCs w:val="36"/>
                <w:highlight w:val="none"/>
              </w:rPr>
              <w:t>服务器（主力服务器）</w:t>
            </w:r>
          </w:p>
        </w:tc>
      </w:tr>
      <w:tr w14:paraId="5ABC3E69">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436B19CD">
            <w:pPr>
              <w:snapToGrid w:val="0"/>
              <w:jc w:val="center"/>
              <w:rPr>
                <w:rFonts w:hint="eastAsia" w:ascii="宋体" w:hAnsi="宋体" w:cs="宋体"/>
                <w:sz w:val="24"/>
                <w:szCs w:val="36"/>
                <w:highlight w:val="none"/>
              </w:rPr>
            </w:pPr>
            <w:r>
              <w:rPr>
                <w:rFonts w:hint="eastAsia" w:ascii="宋体" w:hAnsi="宋体" w:cs="宋体"/>
                <w:sz w:val="24"/>
                <w:szCs w:val="36"/>
                <w:highlight w:val="none"/>
              </w:rPr>
              <w:t>7</w:t>
            </w:r>
          </w:p>
        </w:tc>
        <w:tc>
          <w:tcPr>
            <w:tcW w:w="7760" w:type="dxa"/>
            <w:tcBorders>
              <w:top w:val="single" w:color="000000" w:sz="4" w:space="0"/>
              <w:left w:val="single" w:color="000000" w:sz="4" w:space="0"/>
              <w:bottom w:val="single" w:color="000000" w:sz="4" w:space="0"/>
              <w:right w:val="single" w:color="000000" w:sz="4" w:space="0"/>
            </w:tcBorders>
            <w:vAlign w:val="center"/>
          </w:tcPr>
          <w:p w14:paraId="0F81F10B">
            <w:pPr>
              <w:snapToGrid w:val="0"/>
              <w:jc w:val="left"/>
              <w:rPr>
                <w:rFonts w:hint="eastAsia" w:ascii="宋体" w:hAnsi="宋体" w:cs="宋体"/>
                <w:sz w:val="24"/>
                <w:szCs w:val="36"/>
                <w:highlight w:val="none"/>
              </w:rPr>
            </w:pPr>
            <w:r>
              <w:rPr>
                <w:rFonts w:hint="eastAsia" w:ascii="宋体" w:hAnsi="宋体" w:cs="宋体"/>
                <w:sz w:val="24"/>
                <w:szCs w:val="36"/>
                <w:highlight w:val="none"/>
              </w:rPr>
              <w:t>服务器（备用服务器）</w:t>
            </w:r>
          </w:p>
        </w:tc>
      </w:tr>
      <w:tr w14:paraId="095F11AE">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26B338AE">
            <w:pPr>
              <w:snapToGrid w:val="0"/>
              <w:jc w:val="center"/>
              <w:rPr>
                <w:rFonts w:hint="eastAsia" w:ascii="宋体" w:hAnsi="宋体" w:cs="宋体"/>
                <w:sz w:val="24"/>
                <w:szCs w:val="36"/>
                <w:highlight w:val="none"/>
              </w:rPr>
            </w:pPr>
            <w:r>
              <w:rPr>
                <w:rFonts w:hint="eastAsia" w:ascii="宋体" w:hAnsi="宋体" w:cs="宋体"/>
                <w:sz w:val="24"/>
                <w:szCs w:val="36"/>
                <w:highlight w:val="none"/>
              </w:rPr>
              <w:t>8</w:t>
            </w:r>
          </w:p>
        </w:tc>
        <w:tc>
          <w:tcPr>
            <w:tcW w:w="7760" w:type="dxa"/>
            <w:tcBorders>
              <w:top w:val="single" w:color="000000" w:sz="4" w:space="0"/>
              <w:left w:val="single" w:color="000000" w:sz="4" w:space="0"/>
              <w:bottom w:val="single" w:color="000000" w:sz="4" w:space="0"/>
              <w:right w:val="single" w:color="000000" w:sz="4" w:space="0"/>
            </w:tcBorders>
            <w:vAlign w:val="center"/>
          </w:tcPr>
          <w:p w14:paraId="7D35E44C">
            <w:pPr>
              <w:snapToGrid w:val="0"/>
              <w:jc w:val="left"/>
              <w:rPr>
                <w:rFonts w:hint="eastAsia" w:ascii="宋体" w:hAnsi="宋体" w:cs="宋体"/>
                <w:sz w:val="24"/>
                <w:szCs w:val="36"/>
                <w:highlight w:val="none"/>
              </w:rPr>
            </w:pPr>
            <w:r>
              <w:rPr>
                <w:rFonts w:hint="eastAsia" w:ascii="宋体" w:hAnsi="宋体" w:cs="宋体"/>
                <w:sz w:val="24"/>
                <w:szCs w:val="36"/>
                <w:highlight w:val="none"/>
              </w:rPr>
              <w:t>数据加密系统</w:t>
            </w:r>
          </w:p>
        </w:tc>
      </w:tr>
      <w:tr w14:paraId="10D99096">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23E1C028">
            <w:pPr>
              <w:snapToGrid w:val="0"/>
              <w:jc w:val="center"/>
              <w:rPr>
                <w:rFonts w:hint="eastAsia" w:ascii="宋体" w:hAnsi="宋体" w:cs="宋体"/>
                <w:sz w:val="24"/>
                <w:szCs w:val="36"/>
                <w:highlight w:val="none"/>
              </w:rPr>
            </w:pPr>
            <w:r>
              <w:rPr>
                <w:rFonts w:hint="eastAsia" w:ascii="宋体" w:hAnsi="宋体" w:cs="宋体"/>
                <w:sz w:val="24"/>
                <w:szCs w:val="36"/>
                <w:highlight w:val="none"/>
              </w:rPr>
              <w:t>9</w:t>
            </w:r>
          </w:p>
        </w:tc>
        <w:tc>
          <w:tcPr>
            <w:tcW w:w="7760" w:type="dxa"/>
            <w:tcBorders>
              <w:top w:val="single" w:color="000000" w:sz="4" w:space="0"/>
              <w:left w:val="single" w:color="000000" w:sz="4" w:space="0"/>
              <w:bottom w:val="single" w:color="000000" w:sz="4" w:space="0"/>
              <w:right w:val="single" w:color="000000" w:sz="4" w:space="0"/>
            </w:tcBorders>
            <w:vAlign w:val="center"/>
          </w:tcPr>
          <w:p w14:paraId="135A1DBA">
            <w:pPr>
              <w:snapToGrid w:val="0"/>
              <w:jc w:val="left"/>
              <w:rPr>
                <w:rFonts w:hint="eastAsia" w:ascii="宋体" w:hAnsi="宋体" w:cs="宋体"/>
                <w:sz w:val="24"/>
                <w:szCs w:val="36"/>
                <w:highlight w:val="none"/>
              </w:rPr>
            </w:pPr>
            <w:r>
              <w:rPr>
                <w:rFonts w:hint="eastAsia" w:ascii="宋体" w:hAnsi="宋体" w:cs="宋体"/>
                <w:sz w:val="24"/>
                <w:szCs w:val="36"/>
                <w:highlight w:val="none"/>
              </w:rPr>
              <w:t>业务防火墙</w:t>
            </w:r>
          </w:p>
        </w:tc>
      </w:tr>
      <w:tr w14:paraId="034E913B">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5028C98D">
            <w:pPr>
              <w:snapToGrid w:val="0"/>
              <w:jc w:val="center"/>
              <w:rPr>
                <w:rFonts w:hint="eastAsia" w:ascii="宋体" w:hAnsi="宋体" w:cs="宋体"/>
                <w:sz w:val="24"/>
                <w:szCs w:val="36"/>
                <w:highlight w:val="none"/>
              </w:rPr>
            </w:pPr>
            <w:r>
              <w:rPr>
                <w:rFonts w:hint="eastAsia" w:ascii="宋体" w:hAnsi="宋体" w:cs="宋体"/>
                <w:sz w:val="24"/>
                <w:szCs w:val="36"/>
                <w:highlight w:val="none"/>
              </w:rPr>
              <w:t>10</w:t>
            </w:r>
          </w:p>
        </w:tc>
        <w:tc>
          <w:tcPr>
            <w:tcW w:w="7760" w:type="dxa"/>
            <w:tcBorders>
              <w:top w:val="single" w:color="000000" w:sz="4" w:space="0"/>
              <w:left w:val="single" w:color="000000" w:sz="4" w:space="0"/>
              <w:bottom w:val="single" w:color="000000" w:sz="4" w:space="0"/>
              <w:right w:val="single" w:color="000000" w:sz="4" w:space="0"/>
            </w:tcBorders>
            <w:vAlign w:val="center"/>
          </w:tcPr>
          <w:p w14:paraId="2866E4A6">
            <w:pPr>
              <w:snapToGrid w:val="0"/>
              <w:jc w:val="left"/>
              <w:rPr>
                <w:rFonts w:hint="eastAsia" w:ascii="宋体" w:hAnsi="宋体" w:cs="宋体"/>
                <w:sz w:val="24"/>
                <w:szCs w:val="36"/>
                <w:highlight w:val="none"/>
              </w:rPr>
            </w:pPr>
            <w:r>
              <w:rPr>
                <w:rFonts w:hint="eastAsia" w:ascii="宋体" w:hAnsi="宋体" w:cs="宋体"/>
                <w:sz w:val="24"/>
                <w:szCs w:val="36"/>
                <w:highlight w:val="none"/>
              </w:rPr>
              <w:t>监控及防盗报警系统（含新增设备）</w:t>
            </w:r>
          </w:p>
        </w:tc>
      </w:tr>
      <w:tr w14:paraId="50683027">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5C180D8B">
            <w:pPr>
              <w:snapToGrid w:val="0"/>
              <w:jc w:val="center"/>
              <w:rPr>
                <w:rFonts w:hint="eastAsia" w:ascii="宋体" w:hAnsi="宋体" w:cs="宋体"/>
                <w:sz w:val="24"/>
                <w:szCs w:val="36"/>
                <w:highlight w:val="none"/>
              </w:rPr>
            </w:pPr>
            <w:r>
              <w:rPr>
                <w:rFonts w:hint="eastAsia" w:ascii="宋体" w:hAnsi="宋体" w:cs="宋体"/>
                <w:sz w:val="24"/>
                <w:szCs w:val="36"/>
                <w:highlight w:val="none"/>
              </w:rPr>
              <w:t>11</w:t>
            </w:r>
          </w:p>
        </w:tc>
        <w:tc>
          <w:tcPr>
            <w:tcW w:w="7760" w:type="dxa"/>
            <w:tcBorders>
              <w:top w:val="single" w:color="000000" w:sz="4" w:space="0"/>
              <w:left w:val="single" w:color="000000" w:sz="4" w:space="0"/>
              <w:bottom w:val="single" w:color="000000" w:sz="4" w:space="0"/>
              <w:right w:val="single" w:color="000000" w:sz="4" w:space="0"/>
            </w:tcBorders>
            <w:vAlign w:val="center"/>
          </w:tcPr>
          <w:p w14:paraId="35C022E5">
            <w:pPr>
              <w:snapToGrid w:val="0"/>
              <w:jc w:val="left"/>
              <w:rPr>
                <w:rFonts w:hint="eastAsia" w:ascii="宋体" w:hAnsi="宋体" w:cs="宋体"/>
                <w:sz w:val="24"/>
                <w:szCs w:val="36"/>
                <w:highlight w:val="none"/>
              </w:rPr>
            </w:pPr>
            <w:r>
              <w:rPr>
                <w:rFonts w:hint="eastAsia" w:ascii="宋体" w:hAnsi="宋体" w:cs="宋体"/>
                <w:sz w:val="24"/>
                <w:szCs w:val="36"/>
                <w:highlight w:val="none"/>
              </w:rPr>
              <w:t>投影及大屏幕显示系统</w:t>
            </w:r>
          </w:p>
        </w:tc>
      </w:tr>
      <w:tr w14:paraId="5BD99085">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27AA12FF">
            <w:pPr>
              <w:snapToGrid w:val="0"/>
              <w:jc w:val="center"/>
              <w:rPr>
                <w:rFonts w:hint="eastAsia" w:ascii="宋体" w:hAnsi="宋体" w:cs="宋体"/>
                <w:sz w:val="24"/>
                <w:szCs w:val="36"/>
                <w:highlight w:val="none"/>
              </w:rPr>
            </w:pPr>
            <w:r>
              <w:rPr>
                <w:rFonts w:hint="eastAsia" w:ascii="宋体" w:hAnsi="宋体" w:cs="宋体"/>
                <w:sz w:val="24"/>
                <w:szCs w:val="36"/>
                <w:highlight w:val="none"/>
              </w:rPr>
              <w:t>12</w:t>
            </w:r>
          </w:p>
        </w:tc>
        <w:tc>
          <w:tcPr>
            <w:tcW w:w="7760" w:type="dxa"/>
            <w:tcBorders>
              <w:top w:val="single" w:color="000000" w:sz="4" w:space="0"/>
              <w:left w:val="single" w:color="000000" w:sz="4" w:space="0"/>
              <w:bottom w:val="single" w:color="000000" w:sz="4" w:space="0"/>
              <w:right w:val="single" w:color="000000" w:sz="4" w:space="0"/>
            </w:tcBorders>
            <w:vAlign w:val="center"/>
          </w:tcPr>
          <w:p w14:paraId="6964463D">
            <w:pPr>
              <w:snapToGrid w:val="0"/>
              <w:jc w:val="left"/>
              <w:rPr>
                <w:rFonts w:hint="eastAsia" w:ascii="宋体" w:hAnsi="宋体" w:cs="宋体"/>
                <w:sz w:val="24"/>
                <w:szCs w:val="36"/>
                <w:highlight w:val="none"/>
              </w:rPr>
            </w:pPr>
            <w:r>
              <w:rPr>
                <w:rFonts w:hint="eastAsia" w:ascii="宋体" w:hAnsi="宋体" w:cs="宋体"/>
                <w:sz w:val="24"/>
                <w:szCs w:val="36"/>
                <w:highlight w:val="none"/>
              </w:rPr>
              <w:t>UPS电源系统</w:t>
            </w:r>
          </w:p>
        </w:tc>
      </w:tr>
      <w:tr w14:paraId="5274FEED">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7DA64500">
            <w:pPr>
              <w:snapToGrid w:val="0"/>
              <w:jc w:val="center"/>
              <w:rPr>
                <w:rFonts w:hint="eastAsia" w:ascii="宋体" w:hAnsi="宋体" w:cs="宋体"/>
                <w:sz w:val="24"/>
                <w:szCs w:val="36"/>
                <w:highlight w:val="none"/>
              </w:rPr>
            </w:pPr>
            <w:r>
              <w:rPr>
                <w:rFonts w:hint="eastAsia" w:ascii="宋体" w:hAnsi="宋体" w:cs="宋体"/>
                <w:sz w:val="24"/>
                <w:szCs w:val="36"/>
                <w:highlight w:val="none"/>
              </w:rPr>
              <w:t>13</w:t>
            </w:r>
          </w:p>
        </w:tc>
        <w:tc>
          <w:tcPr>
            <w:tcW w:w="7760" w:type="dxa"/>
            <w:tcBorders>
              <w:top w:val="single" w:color="000000" w:sz="4" w:space="0"/>
              <w:left w:val="single" w:color="000000" w:sz="4" w:space="0"/>
              <w:bottom w:val="single" w:color="000000" w:sz="4" w:space="0"/>
              <w:right w:val="single" w:color="000000" w:sz="4" w:space="0"/>
            </w:tcBorders>
            <w:vAlign w:val="center"/>
          </w:tcPr>
          <w:p w14:paraId="110B7EAC">
            <w:pPr>
              <w:snapToGrid w:val="0"/>
              <w:jc w:val="left"/>
              <w:rPr>
                <w:rFonts w:hint="eastAsia" w:ascii="宋体" w:hAnsi="宋体" w:cs="宋体"/>
                <w:sz w:val="24"/>
                <w:szCs w:val="36"/>
                <w:highlight w:val="none"/>
              </w:rPr>
            </w:pPr>
            <w:r>
              <w:rPr>
                <w:rFonts w:hint="eastAsia" w:ascii="宋体" w:hAnsi="宋体" w:cs="宋体"/>
                <w:sz w:val="24"/>
                <w:szCs w:val="36"/>
                <w:highlight w:val="none"/>
              </w:rPr>
              <w:t>网络系统（含新增设备）</w:t>
            </w:r>
          </w:p>
        </w:tc>
      </w:tr>
      <w:tr w14:paraId="3E2EFD2C">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696ACFF2">
            <w:pPr>
              <w:snapToGrid w:val="0"/>
              <w:jc w:val="center"/>
              <w:rPr>
                <w:rFonts w:hint="eastAsia" w:ascii="宋体" w:hAnsi="宋体" w:cs="宋体"/>
                <w:sz w:val="24"/>
                <w:szCs w:val="36"/>
                <w:highlight w:val="none"/>
              </w:rPr>
            </w:pPr>
            <w:r>
              <w:rPr>
                <w:rFonts w:hint="eastAsia" w:ascii="宋体" w:hAnsi="宋体" w:cs="宋体"/>
                <w:sz w:val="24"/>
                <w:szCs w:val="36"/>
                <w:highlight w:val="none"/>
              </w:rPr>
              <w:t>14</w:t>
            </w:r>
          </w:p>
        </w:tc>
        <w:tc>
          <w:tcPr>
            <w:tcW w:w="7760" w:type="dxa"/>
            <w:tcBorders>
              <w:top w:val="single" w:color="000000" w:sz="4" w:space="0"/>
              <w:left w:val="single" w:color="000000" w:sz="4" w:space="0"/>
              <w:bottom w:val="single" w:color="000000" w:sz="4" w:space="0"/>
              <w:right w:val="single" w:color="000000" w:sz="4" w:space="0"/>
            </w:tcBorders>
            <w:vAlign w:val="center"/>
          </w:tcPr>
          <w:p w14:paraId="2088AFBB">
            <w:pPr>
              <w:snapToGrid w:val="0"/>
              <w:jc w:val="left"/>
              <w:rPr>
                <w:rFonts w:hint="eastAsia" w:ascii="宋体" w:hAnsi="宋体" w:cs="宋体"/>
                <w:sz w:val="24"/>
                <w:szCs w:val="36"/>
                <w:highlight w:val="none"/>
              </w:rPr>
            </w:pPr>
            <w:r>
              <w:rPr>
                <w:rFonts w:hint="eastAsia" w:ascii="宋体" w:hAnsi="宋体" w:cs="宋体"/>
                <w:sz w:val="24"/>
                <w:szCs w:val="36"/>
                <w:highlight w:val="none"/>
              </w:rPr>
              <w:t>网络安全防护系统</w:t>
            </w:r>
          </w:p>
        </w:tc>
      </w:tr>
      <w:tr w14:paraId="74EB260F">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6FFE174E">
            <w:pPr>
              <w:snapToGrid w:val="0"/>
              <w:jc w:val="center"/>
              <w:rPr>
                <w:rFonts w:hint="eastAsia" w:ascii="宋体" w:hAnsi="宋体" w:cs="宋体"/>
                <w:sz w:val="24"/>
                <w:szCs w:val="36"/>
                <w:highlight w:val="none"/>
              </w:rPr>
            </w:pPr>
            <w:r>
              <w:rPr>
                <w:rFonts w:hint="eastAsia" w:ascii="宋体" w:hAnsi="宋体" w:cs="宋体"/>
                <w:sz w:val="24"/>
                <w:szCs w:val="36"/>
                <w:highlight w:val="none"/>
              </w:rPr>
              <w:t>15</w:t>
            </w:r>
          </w:p>
        </w:tc>
        <w:tc>
          <w:tcPr>
            <w:tcW w:w="7760" w:type="dxa"/>
            <w:tcBorders>
              <w:top w:val="single" w:color="000000" w:sz="4" w:space="0"/>
              <w:left w:val="single" w:color="000000" w:sz="4" w:space="0"/>
              <w:bottom w:val="single" w:color="000000" w:sz="4" w:space="0"/>
              <w:right w:val="single" w:color="000000" w:sz="4" w:space="0"/>
            </w:tcBorders>
            <w:vAlign w:val="center"/>
          </w:tcPr>
          <w:p w14:paraId="65514DC9">
            <w:pPr>
              <w:snapToGrid w:val="0"/>
              <w:jc w:val="left"/>
              <w:rPr>
                <w:rFonts w:hint="eastAsia" w:ascii="宋体" w:hAnsi="宋体" w:cs="宋体"/>
                <w:sz w:val="24"/>
                <w:szCs w:val="36"/>
                <w:highlight w:val="none"/>
              </w:rPr>
            </w:pPr>
            <w:r>
              <w:rPr>
                <w:rFonts w:hint="eastAsia" w:ascii="宋体" w:hAnsi="宋体" w:cs="宋体"/>
                <w:sz w:val="24"/>
                <w:szCs w:val="36"/>
                <w:highlight w:val="none"/>
              </w:rPr>
              <w:t>监控报警接口系统（供应商提供）</w:t>
            </w:r>
          </w:p>
        </w:tc>
      </w:tr>
      <w:tr w14:paraId="6C827704">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040A4479">
            <w:pPr>
              <w:snapToGrid w:val="0"/>
              <w:jc w:val="center"/>
              <w:rPr>
                <w:rFonts w:hint="eastAsia" w:ascii="宋体" w:hAnsi="宋体" w:cs="宋体"/>
                <w:sz w:val="24"/>
                <w:szCs w:val="36"/>
                <w:highlight w:val="none"/>
              </w:rPr>
            </w:pPr>
            <w:r>
              <w:rPr>
                <w:rFonts w:hint="eastAsia" w:ascii="宋体" w:hAnsi="宋体" w:cs="宋体"/>
                <w:sz w:val="24"/>
                <w:szCs w:val="36"/>
                <w:highlight w:val="none"/>
              </w:rPr>
              <w:t>16</w:t>
            </w:r>
          </w:p>
        </w:tc>
        <w:tc>
          <w:tcPr>
            <w:tcW w:w="7760" w:type="dxa"/>
            <w:tcBorders>
              <w:top w:val="single" w:color="000000" w:sz="4" w:space="0"/>
              <w:left w:val="single" w:color="000000" w:sz="4" w:space="0"/>
              <w:bottom w:val="single" w:color="000000" w:sz="4" w:space="0"/>
              <w:right w:val="single" w:color="000000" w:sz="4" w:space="0"/>
            </w:tcBorders>
            <w:vAlign w:val="center"/>
          </w:tcPr>
          <w:p w14:paraId="6B3FD4FD">
            <w:pPr>
              <w:snapToGrid w:val="0"/>
              <w:jc w:val="left"/>
              <w:rPr>
                <w:rFonts w:hint="eastAsia" w:ascii="宋体" w:hAnsi="宋体" w:cs="宋体"/>
                <w:sz w:val="24"/>
                <w:szCs w:val="36"/>
                <w:highlight w:val="none"/>
              </w:rPr>
            </w:pPr>
            <w:r>
              <w:rPr>
                <w:rFonts w:hint="eastAsia" w:ascii="宋体" w:hAnsi="宋体" w:cs="宋体"/>
                <w:sz w:val="24"/>
                <w:szCs w:val="36"/>
                <w:highlight w:val="none"/>
              </w:rPr>
              <w:t>网络安全防护接口系统（供应商提供）</w:t>
            </w:r>
          </w:p>
        </w:tc>
      </w:tr>
      <w:tr w14:paraId="07B49D8D">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34C4A02D">
            <w:pPr>
              <w:snapToGrid w:val="0"/>
              <w:jc w:val="center"/>
              <w:rPr>
                <w:rFonts w:hint="eastAsia" w:ascii="宋体" w:hAnsi="宋体" w:cs="宋体"/>
                <w:sz w:val="24"/>
                <w:szCs w:val="36"/>
                <w:highlight w:val="none"/>
              </w:rPr>
            </w:pPr>
            <w:r>
              <w:rPr>
                <w:rFonts w:hint="eastAsia" w:ascii="宋体" w:hAnsi="宋体" w:cs="宋体"/>
                <w:sz w:val="24"/>
                <w:szCs w:val="36"/>
                <w:highlight w:val="none"/>
              </w:rPr>
              <w:t>17</w:t>
            </w:r>
          </w:p>
        </w:tc>
        <w:tc>
          <w:tcPr>
            <w:tcW w:w="7760" w:type="dxa"/>
            <w:tcBorders>
              <w:top w:val="single" w:color="000000" w:sz="4" w:space="0"/>
              <w:left w:val="single" w:color="000000" w:sz="4" w:space="0"/>
              <w:bottom w:val="single" w:color="000000" w:sz="4" w:space="0"/>
              <w:right w:val="single" w:color="000000" w:sz="4" w:space="0"/>
            </w:tcBorders>
            <w:vAlign w:val="center"/>
          </w:tcPr>
          <w:p w14:paraId="222145DF">
            <w:pPr>
              <w:snapToGrid w:val="0"/>
              <w:jc w:val="left"/>
              <w:rPr>
                <w:rFonts w:hint="eastAsia" w:ascii="宋体" w:hAnsi="宋体" w:cs="宋体"/>
                <w:sz w:val="24"/>
                <w:szCs w:val="36"/>
                <w:highlight w:val="none"/>
              </w:rPr>
            </w:pPr>
            <w:r>
              <w:rPr>
                <w:rFonts w:hint="eastAsia" w:ascii="宋体" w:hAnsi="宋体" w:cs="宋体"/>
                <w:sz w:val="24"/>
                <w:szCs w:val="36"/>
                <w:highlight w:val="none"/>
              </w:rPr>
              <w:t>短信平台</w:t>
            </w:r>
          </w:p>
        </w:tc>
      </w:tr>
      <w:tr w14:paraId="654C9E1C">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6D5B23C0">
            <w:pPr>
              <w:snapToGrid w:val="0"/>
              <w:jc w:val="center"/>
              <w:rPr>
                <w:rFonts w:hint="eastAsia" w:ascii="宋体" w:hAnsi="宋体" w:cs="宋体"/>
                <w:sz w:val="24"/>
                <w:szCs w:val="36"/>
                <w:highlight w:val="none"/>
              </w:rPr>
            </w:pPr>
            <w:r>
              <w:rPr>
                <w:rFonts w:hint="eastAsia" w:ascii="宋体" w:hAnsi="宋体" w:cs="宋体"/>
                <w:sz w:val="24"/>
                <w:szCs w:val="36"/>
                <w:highlight w:val="none"/>
              </w:rPr>
              <w:t>18</w:t>
            </w:r>
          </w:p>
        </w:tc>
        <w:tc>
          <w:tcPr>
            <w:tcW w:w="7760" w:type="dxa"/>
            <w:tcBorders>
              <w:top w:val="single" w:color="000000" w:sz="4" w:space="0"/>
              <w:left w:val="single" w:color="000000" w:sz="4" w:space="0"/>
              <w:bottom w:val="single" w:color="000000" w:sz="4" w:space="0"/>
              <w:right w:val="single" w:color="000000" w:sz="4" w:space="0"/>
            </w:tcBorders>
            <w:vAlign w:val="center"/>
          </w:tcPr>
          <w:p w14:paraId="7D0ED221">
            <w:pPr>
              <w:snapToGrid w:val="0"/>
              <w:jc w:val="left"/>
              <w:rPr>
                <w:rFonts w:hint="eastAsia" w:ascii="宋体" w:hAnsi="宋体" w:cs="宋体"/>
                <w:sz w:val="24"/>
                <w:szCs w:val="36"/>
                <w:highlight w:val="none"/>
              </w:rPr>
            </w:pPr>
            <w:r>
              <w:rPr>
                <w:rFonts w:hint="eastAsia" w:ascii="宋体" w:hAnsi="宋体" w:cs="宋体"/>
                <w:sz w:val="24"/>
                <w:szCs w:val="36"/>
                <w:highlight w:val="none"/>
              </w:rPr>
              <w:t>卫健委各级专用网络</w:t>
            </w:r>
          </w:p>
        </w:tc>
      </w:tr>
      <w:tr w14:paraId="1A200A01">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28FE99B0">
            <w:pPr>
              <w:snapToGrid w:val="0"/>
              <w:jc w:val="center"/>
              <w:rPr>
                <w:rFonts w:hint="eastAsia" w:ascii="宋体" w:hAnsi="宋体" w:cs="宋体"/>
                <w:sz w:val="24"/>
                <w:szCs w:val="36"/>
                <w:highlight w:val="none"/>
              </w:rPr>
            </w:pPr>
            <w:r>
              <w:rPr>
                <w:rFonts w:hint="eastAsia" w:ascii="宋体" w:hAnsi="宋体" w:cs="宋体"/>
                <w:sz w:val="24"/>
                <w:szCs w:val="36"/>
                <w:highlight w:val="none"/>
              </w:rPr>
              <w:t>19</w:t>
            </w:r>
          </w:p>
        </w:tc>
        <w:tc>
          <w:tcPr>
            <w:tcW w:w="7760" w:type="dxa"/>
            <w:tcBorders>
              <w:top w:val="single" w:color="000000" w:sz="4" w:space="0"/>
              <w:left w:val="single" w:color="000000" w:sz="4" w:space="0"/>
              <w:bottom w:val="single" w:color="000000" w:sz="4" w:space="0"/>
              <w:right w:val="single" w:color="000000" w:sz="4" w:space="0"/>
            </w:tcBorders>
            <w:vAlign w:val="center"/>
          </w:tcPr>
          <w:p w14:paraId="7676C0A7">
            <w:pPr>
              <w:snapToGrid w:val="0"/>
              <w:jc w:val="left"/>
              <w:rPr>
                <w:rFonts w:hint="eastAsia" w:ascii="宋体" w:hAnsi="宋体" w:cs="宋体"/>
                <w:sz w:val="24"/>
                <w:szCs w:val="36"/>
                <w:highlight w:val="none"/>
              </w:rPr>
            </w:pPr>
            <w:r>
              <w:rPr>
                <w:rFonts w:hint="eastAsia" w:ascii="宋体" w:hAnsi="宋体" w:cs="宋体"/>
                <w:sz w:val="24"/>
                <w:szCs w:val="36"/>
                <w:highlight w:val="none"/>
              </w:rPr>
              <w:t>财政专网</w:t>
            </w:r>
          </w:p>
        </w:tc>
      </w:tr>
      <w:tr w14:paraId="28EC0C44">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69091CAF">
            <w:pPr>
              <w:snapToGrid w:val="0"/>
              <w:jc w:val="center"/>
              <w:rPr>
                <w:rFonts w:hint="eastAsia" w:ascii="宋体" w:hAnsi="宋体" w:cs="宋体"/>
                <w:sz w:val="24"/>
                <w:szCs w:val="36"/>
                <w:highlight w:val="none"/>
              </w:rPr>
            </w:pPr>
            <w:r>
              <w:rPr>
                <w:rFonts w:hint="eastAsia" w:ascii="宋体" w:hAnsi="宋体" w:cs="宋体"/>
                <w:sz w:val="24"/>
                <w:szCs w:val="36"/>
                <w:highlight w:val="none"/>
              </w:rPr>
              <w:t>20</w:t>
            </w:r>
          </w:p>
        </w:tc>
        <w:tc>
          <w:tcPr>
            <w:tcW w:w="7760" w:type="dxa"/>
            <w:tcBorders>
              <w:top w:val="single" w:color="000000" w:sz="4" w:space="0"/>
              <w:left w:val="single" w:color="000000" w:sz="4" w:space="0"/>
              <w:bottom w:val="single" w:color="000000" w:sz="4" w:space="0"/>
              <w:right w:val="single" w:color="000000" w:sz="4" w:space="0"/>
            </w:tcBorders>
            <w:vAlign w:val="center"/>
          </w:tcPr>
          <w:p w14:paraId="37334D22">
            <w:pPr>
              <w:snapToGrid w:val="0"/>
              <w:jc w:val="left"/>
              <w:rPr>
                <w:rFonts w:hint="eastAsia" w:ascii="宋体" w:hAnsi="宋体" w:cs="宋体"/>
                <w:sz w:val="24"/>
                <w:szCs w:val="36"/>
                <w:highlight w:val="none"/>
              </w:rPr>
            </w:pPr>
            <w:r>
              <w:rPr>
                <w:rFonts w:hint="eastAsia" w:ascii="宋体" w:hAnsi="宋体" w:cs="宋体"/>
                <w:sz w:val="24"/>
                <w:szCs w:val="36"/>
                <w:highlight w:val="none"/>
              </w:rPr>
              <w:t>全所办公系统</w:t>
            </w:r>
          </w:p>
        </w:tc>
      </w:tr>
      <w:tr w14:paraId="709BB560">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6EF83C9E">
            <w:pPr>
              <w:snapToGrid w:val="0"/>
              <w:jc w:val="center"/>
              <w:rPr>
                <w:rFonts w:hint="eastAsia" w:ascii="宋体" w:hAnsi="宋体" w:cs="宋体"/>
                <w:sz w:val="24"/>
                <w:szCs w:val="36"/>
                <w:highlight w:val="none"/>
              </w:rPr>
            </w:pPr>
            <w:r>
              <w:rPr>
                <w:rFonts w:hint="eastAsia" w:ascii="宋体" w:hAnsi="宋体" w:cs="宋体"/>
                <w:sz w:val="24"/>
                <w:szCs w:val="36"/>
                <w:highlight w:val="none"/>
              </w:rPr>
              <w:t>21</w:t>
            </w:r>
          </w:p>
        </w:tc>
        <w:tc>
          <w:tcPr>
            <w:tcW w:w="7760" w:type="dxa"/>
            <w:tcBorders>
              <w:top w:val="single" w:color="000000" w:sz="4" w:space="0"/>
              <w:left w:val="single" w:color="000000" w:sz="4" w:space="0"/>
              <w:bottom w:val="single" w:color="000000" w:sz="4" w:space="0"/>
              <w:right w:val="single" w:color="000000" w:sz="4" w:space="0"/>
            </w:tcBorders>
            <w:vAlign w:val="center"/>
          </w:tcPr>
          <w:p w14:paraId="03370E74">
            <w:pPr>
              <w:snapToGrid w:val="0"/>
              <w:jc w:val="left"/>
              <w:rPr>
                <w:rFonts w:hint="eastAsia" w:ascii="宋体" w:hAnsi="宋体" w:cs="宋体"/>
                <w:sz w:val="24"/>
                <w:szCs w:val="36"/>
                <w:highlight w:val="none"/>
              </w:rPr>
            </w:pPr>
            <w:r>
              <w:rPr>
                <w:rFonts w:hint="eastAsia" w:ascii="宋体" w:hAnsi="宋体" w:cs="宋体"/>
                <w:sz w:val="24"/>
                <w:szCs w:val="36"/>
                <w:highlight w:val="none"/>
              </w:rPr>
              <w:t>音响、广播及视频会议系统</w:t>
            </w:r>
          </w:p>
        </w:tc>
      </w:tr>
      <w:tr w14:paraId="630917B4">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2C51BBD5">
            <w:pPr>
              <w:snapToGrid w:val="0"/>
              <w:jc w:val="center"/>
              <w:rPr>
                <w:rFonts w:hint="eastAsia" w:ascii="宋体" w:hAnsi="宋体" w:cs="宋体"/>
                <w:sz w:val="24"/>
                <w:szCs w:val="36"/>
                <w:highlight w:val="none"/>
              </w:rPr>
            </w:pPr>
            <w:r>
              <w:rPr>
                <w:rFonts w:hint="eastAsia" w:ascii="宋体" w:hAnsi="宋体" w:cs="宋体"/>
                <w:sz w:val="24"/>
                <w:szCs w:val="36"/>
                <w:highlight w:val="none"/>
              </w:rPr>
              <w:t>22</w:t>
            </w:r>
          </w:p>
        </w:tc>
        <w:tc>
          <w:tcPr>
            <w:tcW w:w="7760" w:type="dxa"/>
            <w:tcBorders>
              <w:top w:val="single" w:color="000000" w:sz="4" w:space="0"/>
              <w:left w:val="single" w:color="000000" w:sz="4" w:space="0"/>
              <w:bottom w:val="single" w:color="000000" w:sz="4" w:space="0"/>
              <w:right w:val="single" w:color="000000" w:sz="4" w:space="0"/>
            </w:tcBorders>
            <w:noWrap/>
            <w:vAlign w:val="center"/>
          </w:tcPr>
          <w:p w14:paraId="2DFBAD6A">
            <w:pPr>
              <w:snapToGrid w:val="0"/>
              <w:jc w:val="left"/>
              <w:rPr>
                <w:rFonts w:hint="eastAsia" w:ascii="宋体" w:hAnsi="宋体" w:cs="宋体"/>
                <w:sz w:val="24"/>
                <w:szCs w:val="36"/>
                <w:highlight w:val="none"/>
              </w:rPr>
            </w:pPr>
            <w:r>
              <w:rPr>
                <w:rFonts w:hint="eastAsia" w:ascii="宋体" w:hAnsi="宋体" w:cs="宋体"/>
                <w:sz w:val="24"/>
                <w:szCs w:val="36"/>
                <w:highlight w:val="none"/>
              </w:rPr>
              <w:t>综合布线系统（含运维材料）</w:t>
            </w:r>
          </w:p>
        </w:tc>
      </w:tr>
      <w:tr w14:paraId="04135E2E">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07D5D366">
            <w:pPr>
              <w:snapToGrid w:val="0"/>
              <w:jc w:val="center"/>
              <w:rPr>
                <w:rFonts w:hint="eastAsia" w:ascii="宋体" w:hAnsi="宋体" w:cs="宋体"/>
                <w:sz w:val="24"/>
                <w:szCs w:val="36"/>
                <w:highlight w:val="none"/>
              </w:rPr>
            </w:pPr>
            <w:r>
              <w:rPr>
                <w:rFonts w:hint="eastAsia" w:ascii="宋体" w:hAnsi="宋体" w:cs="宋体"/>
                <w:sz w:val="24"/>
                <w:szCs w:val="36"/>
                <w:highlight w:val="none"/>
              </w:rPr>
              <w:t>23</w:t>
            </w:r>
          </w:p>
        </w:tc>
        <w:tc>
          <w:tcPr>
            <w:tcW w:w="7760" w:type="dxa"/>
            <w:tcBorders>
              <w:top w:val="single" w:color="000000" w:sz="4" w:space="0"/>
              <w:left w:val="single" w:color="000000" w:sz="4" w:space="0"/>
              <w:bottom w:val="single" w:color="000000" w:sz="4" w:space="0"/>
              <w:right w:val="single" w:color="000000" w:sz="4" w:space="0"/>
            </w:tcBorders>
            <w:noWrap/>
            <w:vAlign w:val="center"/>
          </w:tcPr>
          <w:p w14:paraId="399A389C">
            <w:pPr>
              <w:snapToGrid w:val="0"/>
              <w:jc w:val="left"/>
              <w:rPr>
                <w:rFonts w:hint="eastAsia" w:ascii="宋体" w:hAnsi="宋体" w:cs="宋体"/>
                <w:sz w:val="24"/>
                <w:szCs w:val="36"/>
                <w:highlight w:val="none"/>
              </w:rPr>
            </w:pPr>
            <w:r>
              <w:rPr>
                <w:rFonts w:hint="eastAsia" w:ascii="宋体" w:hAnsi="宋体" w:cs="宋体"/>
                <w:sz w:val="24"/>
                <w:szCs w:val="36"/>
                <w:highlight w:val="none"/>
              </w:rPr>
              <w:t>入侵防御系统</w:t>
            </w:r>
          </w:p>
        </w:tc>
      </w:tr>
      <w:tr w14:paraId="232849FF">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52311C1E">
            <w:pPr>
              <w:snapToGrid w:val="0"/>
              <w:jc w:val="center"/>
              <w:rPr>
                <w:rFonts w:hint="eastAsia" w:ascii="宋体" w:hAnsi="宋体" w:cs="宋体"/>
                <w:sz w:val="24"/>
                <w:szCs w:val="36"/>
                <w:highlight w:val="none"/>
              </w:rPr>
            </w:pPr>
            <w:r>
              <w:rPr>
                <w:rFonts w:hint="eastAsia" w:ascii="宋体" w:hAnsi="宋体" w:cs="宋体"/>
                <w:sz w:val="24"/>
                <w:szCs w:val="36"/>
                <w:highlight w:val="none"/>
              </w:rPr>
              <w:t>24</w:t>
            </w:r>
          </w:p>
        </w:tc>
        <w:tc>
          <w:tcPr>
            <w:tcW w:w="7760" w:type="dxa"/>
            <w:tcBorders>
              <w:top w:val="single" w:color="000000" w:sz="4" w:space="0"/>
              <w:left w:val="single" w:color="000000" w:sz="4" w:space="0"/>
              <w:bottom w:val="single" w:color="000000" w:sz="4" w:space="0"/>
              <w:right w:val="single" w:color="000000" w:sz="4" w:space="0"/>
            </w:tcBorders>
            <w:noWrap/>
            <w:vAlign w:val="center"/>
          </w:tcPr>
          <w:p w14:paraId="62AEDE11">
            <w:pPr>
              <w:snapToGrid w:val="0"/>
              <w:jc w:val="left"/>
              <w:rPr>
                <w:rFonts w:hint="eastAsia" w:ascii="宋体" w:hAnsi="宋体" w:cs="宋体"/>
                <w:sz w:val="24"/>
                <w:szCs w:val="36"/>
                <w:highlight w:val="none"/>
              </w:rPr>
            </w:pPr>
            <w:r>
              <w:rPr>
                <w:rFonts w:hint="eastAsia" w:ascii="宋体" w:hAnsi="宋体" w:cs="宋体"/>
                <w:sz w:val="24"/>
                <w:szCs w:val="36"/>
                <w:highlight w:val="none"/>
              </w:rPr>
              <w:t>全所电话语音系统</w:t>
            </w:r>
          </w:p>
        </w:tc>
      </w:tr>
      <w:tr w14:paraId="6E733F7C">
        <w:tblPrEx>
          <w:tblCellMar>
            <w:top w:w="0" w:type="dxa"/>
            <w:left w:w="108" w:type="dxa"/>
            <w:bottom w:w="0" w:type="dxa"/>
            <w:right w:w="108" w:type="dxa"/>
          </w:tblCellMar>
        </w:tblPrEx>
        <w:trPr>
          <w:jc w:val="center"/>
        </w:trPr>
        <w:tc>
          <w:tcPr>
            <w:tcW w:w="1305" w:type="dxa"/>
            <w:tcBorders>
              <w:top w:val="single" w:color="000000" w:sz="4" w:space="0"/>
              <w:left w:val="single" w:color="000000" w:sz="4" w:space="0"/>
              <w:bottom w:val="single" w:color="000000" w:sz="4" w:space="0"/>
              <w:right w:val="single" w:color="000000" w:sz="4" w:space="0"/>
            </w:tcBorders>
            <w:noWrap/>
            <w:vAlign w:val="center"/>
          </w:tcPr>
          <w:p w14:paraId="0CB0C7BC">
            <w:pPr>
              <w:snapToGrid w:val="0"/>
              <w:jc w:val="center"/>
              <w:rPr>
                <w:rFonts w:hint="eastAsia" w:ascii="宋体" w:hAnsi="宋体" w:cs="宋体"/>
                <w:sz w:val="24"/>
                <w:szCs w:val="36"/>
                <w:highlight w:val="none"/>
              </w:rPr>
            </w:pPr>
            <w:r>
              <w:rPr>
                <w:rFonts w:hint="eastAsia" w:ascii="宋体" w:hAnsi="宋体" w:cs="宋体"/>
                <w:sz w:val="24"/>
                <w:szCs w:val="36"/>
                <w:highlight w:val="none"/>
              </w:rPr>
              <w:t>25</w:t>
            </w:r>
          </w:p>
        </w:tc>
        <w:tc>
          <w:tcPr>
            <w:tcW w:w="7760" w:type="dxa"/>
            <w:tcBorders>
              <w:top w:val="single" w:color="000000" w:sz="4" w:space="0"/>
              <w:left w:val="single" w:color="000000" w:sz="4" w:space="0"/>
              <w:bottom w:val="single" w:color="000000" w:sz="4" w:space="0"/>
              <w:right w:val="single" w:color="000000" w:sz="4" w:space="0"/>
            </w:tcBorders>
            <w:noWrap/>
            <w:vAlign w:val="center"/>
          </w:tcPr>
          <w:p w14:paraId="0E09C67C">
            <w:pPr>
              <w:snapToGrid w:val="0"/>
              <w:jc w:val="left"/>
              <w:rPr>
                <w:rFonts w:hint="eastAsia" w:ascii="宋体" w:hAnsi="宋体" w:cs="宋体"/>
                <w:sz w:val="24"/>
                <w:szCs w:val="36"/>
                <w:highlight w:val="none"/>
              </w:rPr>
            </w:pPr>
            <w:r>
              <w:rPr>
                <w:rFonts w:hint="eastAsia" w:ascii="宋体" w:hAnsi="宋体" w:cs="宋体"/>
                <w:sz w:val="24"/>
                <w:szCs w:val="36"/>
                <w:highlight w:val="none"/>
              </w:rPr>
              <w:t>日志审计系统</w:t>
            </w:r>
          </w:p>
        </w:tc>
      </w:tr>
    </w:tbl>
    <w:p w14:paraId="442648FB">
      <w:pPr>
        <w:pStyle w:val="4"/>
        <w:spacing w:line="440" w:lineRule="exact"/>
        <w:rPr>
          <w:rFonts w:hint="eastAsia" w:ascii="宋体" w:hAnsi="宋体" w:cs="宋体"/>
          <w:sz w:val="24"/>
          <w:highlight w:val="none"/>
        </w:rPr>
      </w:pPr>
      <w:r>
        <w:rPr>
          <w:rFonts w:hint="eastAsia" w:ascii="宋体" w:hAnsi="宋体" w:cs="宋体"/>
          <w:sz w:val="24"/>
          <w:highlight w:val="none"/>
        </w:rPr>
        <w:t>三、运维服务内容</w:t>
      </w:r>
    </w:p>
    <w:p w14:paraId="51AC7BA5">
      <w:pPr>
        <w:pStyle w:val="4"/>
        <w:snapToGrid w:val="0"/>
        <w:spacing w:before="0" w:after="0" w:line="312" w:lineRule="auto"/>
        <w:rPr>
          <w:rFonts w:hint="eastAsia" w:ascii="宋体" w:hAnsi="宋体" w:cs="宋体"/>
          <w:sz w:val="24"/>
          <w:highlight w:val="none"/>
        </w:rPr>
      </w:pPr>
      <w:bookmarkStart w:id="63" w:name="_Toc515306391"/>
      <w:r>
        <w:rPr>
          <w:rFonts w:hint="eastAsia" w:ascii="宋体" w:hAnsi="宋体" w:cs="宋体"/>
          <w:sz w:val="24"/>
          <w:highlight w:val="none"/>
        </w:rPr>
        <w:t>1.1服务</w:t>
      </w:r>
      <w:bookmarkEnd w:id="63"/>
      <w:r>
        <w:rPr>
          <w:rFonts w:hint="eastAsia" w:ascii="宋体" w:hAnsi="宋体" w:cs="宋体"/>
          <w:sz w:val="24"/>
          <w:highlight w:val="none"/>
        </w:rPr>
        <w:t>时间及条件</w:t>
      </w:r>
    </w:p>
    <w:p w14:paraId="2DDCBE1B">
      <w:pPr>
        <w:snapToGrid w:val="0"/>
        <w:spacing w:line="312" w:lineRule="auto"/>
        <w:ind w:firstLine="480" w:firstLineChars="200"/>
        <w:rPr>
          <w:rFonts w:hint="eastAsia" w:ascii="宋体" w:hAnsi="宋体" w:cs="宋体"/>
          <w:sz w:val="24"/>
          <w:highlight w:val="none"/>
        </w:rPr>
      </w:pPr>
      <w:r>
        <w:rPr>
          <w:rFonts w:hint="eastAsia" w:ascii="宋体" w:hAnsi="宋体" w:cs="宋体"/>
          <w:sz w:val="24"/>
          <w:highlight w:val="none"/>
        </w:rPr>
        <w:t>服务时间:</w:t>
      </w:r>
      <w:r>
        <w:rPr>
          <w:rFonts w:hint="eastAsia" w:ascii="宋体" w:hAnsi="宋体" w:cs="宋体"/>
          <w:sz w:val="24"/>
          <w:highlight w:val="none"/>
          <w:u w:val="single"/>
        </w:rPr>
        <w:t>签订合同之日起一年</w:t>
      </w:r>
    </w:p>
    <w:p w14:paraId="3C9EAB46">
      <w:pPr>
        <w:snapToGrid w:val="0"/>
        <w:spacing w:line="312" w:lineRule="auto"/>
        <w:ind w:firstLine="480" w:firstLineChars="200"/>
        <w:rPr>
          <w:rFonts w:hint="eastAsia" w:ascii="宋体" w:hAnsi="宋体" w:cs="宋体"/>
          <w:sz w:val="24"/>
          <w:highlight w:val="none"/>
          <w:u w:val="single"/>
        </w:rPr>
      </w:pPr>
      <w:r>
        <w:rPr>
          <w:rFonts w:hint="eastAsia" w:ascii="宋体" w:hAnsi="宋体" w:cs="宋体"/>
          <w:sz w:val="24"/>
          <w:highlight w:val="none"/>
        </w:rPr>
        <w:t>办公设施设备维护及信息技术服务内容包括办公信息化设备日常运维服务、专业网络安全服务、安全设备软件更新服务、系统安全支撑设备维护服务、信息化建设咨询服务等,</w:t>
      </w:r>
      <w:r>
        <w:rPr>
          <w:rFonts w:hint="eastAsia" w:ascii="宋体" w:hAnsi="宋体" w:cs="宋体"/>
          <w:sz w:val="24"/>
          <w:highlight w:val="none"/>
          <w:u w:val="single"/>
        </w:rPr>
        <w:t>单次服务费用在2000元以下的项目（含材料，人工）由中标人承担。</w:t>
      </w:r>
    </w:p>
    <w:p w14:paraId="61CFCA77">
      <w:pPr>
        <w:pStyle w:val="4"/>
        <w:snapToGrid w:val="0"/>
        <w:spacing w:before="0" w:after="0" w:line="312" w:lineRule="auto"/>
        <w:rPr>
          <w:rFonts w:hint="eastAsia" w:ascii="宋体" w:hAnsi="宋体" w:cs="宋体"/>
          <w:sz w:val="24"/>
          <w:highlight w:val="none"/>
        </w:rPr>
      </w:pPr>
      <w:bookmarkStart w:id="64" w:name="_Toc515306392"/>
      <w:bookmarkStart w:id="65" w:name="_Toc266272072"/>
      <w:r>
        <w:rPr>
          <w:rFonts w:hint="eastAsia" w:ascii="宋体" w:hAnsi="宋体" w:cs="宋体"/>
          <w:sz w:val="24"/>
          <w:highlight w:val="none"/>
        </w:rPr>
        <w:t>1.2运维服务需求内容</w:t>
      </w:r>
      <w:bookmarkEnd w:id="64"/>
      <w:bookmarkEnd w:id="65"/>
    </w:p>
    <w:p w14:paraId="1829D10C">
      <w:pPr>
        <w:pStyle w:val="55"/>
        <w:snapToGrid w:val="0"/>
        <w:spacing w:line="240" w:lineRule="auto"/>
        <w:ind w:firstLine="480"/>
        <w:rPr>
          <w:rFonts w:hint="eastAsia" w:ascii="宋体" w:hAnsi="宋体" w:cs="宋体"/>
          <w:highlight w:val="none"/>
        </w:rPr>
      </w:pPr>
      <w:r>
        <w:rPr>
          <w:rFonts w:hint="eastAsia" w:ascii="宋体" w:hAnsi="宋体" w:cs="宋体"/>
          <w:highlight w:val="none"/>
        </w:rPr>
        <w:t>运维服务主要分为硬件维护、现场服务、网络安全设备软件更新服务和用户培训四个方面，每个部分的需求和具体要求如下：</w:t>
      </w:r>
    </w:p>
    <w:p w14:paraId="211B0C0B">
      <w:pPr>
        <w:pStyle w:val="5"/>
        <w:widowControl/>
        <w:snapToGrid w:val="0"/>
        <w:spacing w:before="0" w:after="0" w:line="312" w:lineRule="auto"/>
        <w:rPr>
          <w:rFonts w:hint="eastAsia" w:ascii="宋体" w:hAnsi="宋体" w:eastAsia="宋体" w:cs="宋体"/>
          <w:sz w:val="24"/>
          <w:highlight w:val="none"/>
        </w:rPr>
      </w:pPr>
      <w:bookmarkStart w:id="66" w:name="_Toc266272073"/>
      <w:r>
        <w:rPr>
          <w:rFonts w:hint="eastAsia" w:ascii="宋体" w:hAnsi="宋体" w:eastAsia="宋体" w:cs="宋体"/>
          <w:sz w:val="24"/>
          <w:highlight w:val="none"/>
        </w:rPr>
        <w:t>1.2.1维护需求</w:t>
      </w:r>
      <w:bookmarkEnd w:id="66"/>
    </w:p>
    <w:p w14:paraId="7C7E84EA">
      <w:pPr>
        <w:pStyle w:val="55"/>
        <w:ind w:firstLine="480"/>
        <w:rPr>
          <w:rFonts w:hint="eastAsia" w:ascii="宋体" w:hAnsi="宋体" w:cs="宋体"/>
          <w:highlight w:val="none"/>
        </w:rPr>
      </w:pPr>
      <w:r>
        <w:rPr>
          <w:rFonts w:hint="eastAsia" w:ascii="宋体" w:hAnsi="宋体" w:cs="宋体"/>
          <w:highlight w:val="none"/>
        </w:rPr>
        <w:t>维护需求主要包括以下内容：</w:t>
      </w:r>
    </w:p>
    <w:p w14:paraId="44CFE5D5">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1.</w:t>
      </w:r>
      <w:r>
        <w:rPr>
          <w:rFonts w:hint="eastAsia" w:hAnsi="宋体" w:cs="宋体"/>
          <w:color w:val="000000"/>
          <w:sz w:val="24"/>
          <w:szCs w:val="24"/>
          <w:highlight w:val="none"/>
          <w:u w:val="single"/>
        </w:rPr>
        <w:t>检查办公信息化系统运行情况，及时处理办公信息化系统故障，保证系统正常运行；</w:t>
      </w:r>
    </w:p>
    <w:p w14:paraId="3EF0E02D">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2.</w:t>
      </w:r>
      <w:r>
        <w:rPr>
          <w:rFonts w:hint="eastAsia" w:hAnsi="宋体" w:cs="宋体"/>
          <w:color w:val="000000"/>
          <w:sz w:val="24"/>
          <w:szCs w:val="24"/>
          <w:highlight w:val="none"/>
          <w:u w:val="single"/>
        </w:rPr>
        <w:t>定期对办公信息化系统进行优化，提高办公系统运行效率；</w:t>
      </w:r>
    </w:p>
    <w:p w14:paraId="02363632">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3.</w:t>
      </w:r>
      <w:r>
        <w:rPr>
          <w:rFonts w:hint="eastAsia" w:hAnsi="宋体" w:cs="宋体"/>
          <w:color w:val="000000"/>
          <w:sz w:val="24"/>
          <w:szCs w:val="24"/>
          <w:highlight w:val="none"/>
          <w:u w:val="single"/>
        </w:rPr>
        <w:t>检查系统网络安全设备运行情况，及时处理安全设备故障；</w:t>
      </w:r>
    </w:p>
    <w:p w14:paraId="51745559">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4.</w:t>
      </w:r>
      <w:r>
        <w:rPr>
          <w:rFonts w:hint="eastAsia" w:hAnsi="宋体" w:cs="宋体"/>
          <w:color w:val="000000"/>
          <w:sz w:val="24"/>
          <w:szCs w:val="24"/>
          <w:highlight w:val="none"/>
          <w:u w:val="single"/>
        </w:rPr>
        <w:t>检查监控和防盗报警系统运行情况，及时处理设备故障，保证系统正常运行；</w:t>
      </w:r>
    </w:p>
    <w:p w14:paraId="3128C094">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5.</w:t>
      </w:r>
      <w:r>
        <w:rPr>
          <w:rFonts w:hint="eastAsia" w:hAnsi="宋体" w:cs="宋体"/>
          <w:color w:val="000000"/>
          <w:sz w:val="24"/>
          <w:szCs w:val="24"/>
          <w:highlight w:val="none"/>
          <w:u w:val="single"/>
        </w:rPr>
        <w:t>检查会议室会议系统运行情况，及时处理设备故障，保证会议系统正常使用；</w:t>
      </w:r>
    </w:p>
    <w:p w14:paraId="529A89B8">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6.</w:t>
      </w:r>
      <w:r>
        <w:rPr>
          <w:rFonts w:hint="eastAsia" w:hAnsi="宋体" w:cs="宋体"/>
          <w:color w:val="000000"/>
          <w:sz w:val="24"/>
          <w:szCs w:val="24"/>
          <w:highlight w:val="none"/>
          <w:u w:val="single"/>
        </w:rPr>
        <w:t>检查不间断电源（UPS）运行情况，及时排除设备故障，保证正常使用；</w:t>
      </w:r>
    </w:p>
    <w:p w14:paraId="6112D825">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7.</w:t>
      </w:r>
      <w:r>
        <w:rPr>
          <w:rFonts w:hint="eastAsia" w:hAnsi="宋体" w:cs="宋体"/>
          <w:color w:val="000000"/>
          <w:sz w:val="24"/>
          <w:szCs w:val="24"/>
          <w:highlight w:val="none"/>
          <w:u w:val="single"/>
        </w:rPr>
        <w:t>检查办公网络系统运行情况，及时排除网络故障，保证办公网络正常使用；</w:t>
      </w:r>
    </w:p>
    <w:p w14:paraId="6B1084F1">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8.</w:t>
      </w:r>
      <w:r>
        <w:rPr>
          <w:rFonts w:hint="eastAsia" w:hAnsi="宋体" w:cs="宋体"/>
          <w:color w:val="000000"/>
          <w:sz w:val="24"/>
          <w:szCs w:val="24"/>
          <w:highlight w:val="none"/>
          <w:u w:val="single"/>
        </w:rPr>
        <w:t>检查系统（主、备）服务器运行情况，及时排除设备故障，为系统提供良好运行硬件平台；</w:t>
      </w:r>
    </w:p>
    <w:p w14:paraId="56A81595">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9.</w:t>
      </w:r>
      <w:r>
        <w:rPr>
          <w:rFonts w:hint="eastAsia" w:hAnsi="宋体" w:cs="宋体"/>
          <w:color w:val="000000"/>
          <w:sz w:val="24"/>
          <w:szCs w:val="24"/>
          <w:highlight w:val="none"/>
          <w:u w:val="single"/>
        </w:rPr>
        <w:t>检查维护办公室综合布线系统；</w:t>
      </w:r>
    </w:p>
    <w:p w14:paraId="032E26D5">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10.</w:t>
      </w:r>
      <w:r>
        <w:rPr>
          <w:rFonts w:hint="eastAsia" w:hAnsi="宋体" w:cs="宋体"/>
          <w:color w:val="000000"/>
          <w:sz w:val="24"/>
          <w:szCs w:val="24"/>
          <w:highlight w:val="none"/>
          <w:u w:val="single"/>
        </w:rPr>
        <w:t>本所作为灾备站包含需保障的2套业务系统的运行、备份、清理、修复等工作进行有力保障；</w:t>
      </w:r>
    </w:p>
    <w:p w14:paraId="093C3A16">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11</w:t>
      </w:r>
      <w:r>
        <w:rPr>
          <w:rFonts w:hint="eastAsia" w:hAnsi="宋体" w:cs="宋体"/>
          <w:color w:val="000000"/>
          <w:sz w:val="24"/>
          <w:szCs w:val="24"/>
          <w:highlight w:val="none"/>
          <w:u w:val="single"/>
        </w:rPr>
        <w:t>．中标单位能自研接口系统与我所现有网络安全管理系统进行对接，或是中标单位能够自建网络安全管理系统，对我所监控报警及网络安全防护系统的基础信息和日志调阅、存储等情况进行统一管理，保障数据畅通；</w:t>
      </w:r>
    </w:p>
    <w:p w14:paraId="2035C0A3">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12.</w:t>
      </w:r>
      <w:r>
        <w:rPr>
          <w:rFonts w:hint="eastAsia" w:hAnsi="宋体" w:cs="宋体"/>
          <w:color w:val="000000"/>
          <w:sz w:val="24"/>
          <w:szCs w:val="24"/>
          <w:highlight w:val="none"/>
          <w:u w:val="single"/>
        </w:rPr>
        <w:t>完成办公室要求的其他工作（监控和数据信息点位新增移机等）；</w:t>
      </w:r>
    </w:p>
    <w:p w14:paraId="109D9AAF">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13.</w:t>
      </w:r>
      <w:r>
        <w:rPr>
          <w:rFonts w:hint="eastAsia" w:hAnsi="宋体" w:cs="宋体"/>
          <w:color w:val="000000"/>
          <w:sz w:val="24"/>
          <w:szCs w:val="24"/>
          <w:highlight w:val="none"/>
          <w:u w:val="single"/>
        </w:rPr>
        <w:t>重大会议活动保障（提前检查、部署和新增功能）；</w:t>
      </w:r>
    </w:p>
    <w:p w14:paraId="5FC5983B">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14.</w:t>
      </w:r>
      <w:r>
        <w:rPr>
          <w:rFonts w:hint="eastAsia" w:hAnsi="宋体" w:cs="宋体"/>
          <w:color w:val="000000"/>
          <w:sz w:val="24"/>
          <w:szCs w:val="24"/>
          <w:highlight w:val="none"/>
          <w:u w:val="single"/>
        </w:rPr>
        <w:t>各个办公室OA系统和电脑、打印机设置等；</w:t>
      </w:r>
    </w:p>
    <w:p w14:paraId="09F54D8C">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15.</w:t>
      </w:r>
      <w:r>
        <w:rPr>
          <w:rFonts w:hint="eastAsia" w:hAnsi="宋体" w:cs="宋体"/>
          <w:color w:val="000000"/>
          <w:sz w:val="24"/>
          <w:szCs w:val="24"/>
          <w:highlight w:val="none"/>
          <w:u w:val="single"/>
        </w:rPr>
        <w:t>协助我所对第三方接口提供单位（市级各医院）进行日常管理（端口授权，数据调用，业务互访等）和安全风险判定；</w:t>
      </w:r>
    </w:p>
    <w:p w14:paraId="5A90D49A">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16.</w:t>
      </w:r>
      <w:r>
        <w:rPr>
          <w:rFonts w:hint="eastAsia" w:hAnsi="宋体" w:cs="宋体"/>
          <w:color w:val="000000"/>
          <w:sz w:val="24"/>
          <w:szCs w:val="24"/>
          <w:highlight w:val="none"/>
          <w:u w:val="single"/>
        </w:rPr>
        <w:t>协助我单位对系统进行三级等保测评，并且针对后续开展测评进行配合，在测评前期进行自评估，尽可能减少测评期间的问题，测评完成后对各个问题进行逐一分析，且提供技术支持加以整改（包括技术层面、管理制度层面），最终辅助测评通过；</w:t>
      </w:r>
    </w:p>
    <w:p w14:paraId="59E0431C">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17.</w:t>
      </w:r>
      <w:r>
        <w:rPr>
          <w:rFonts w:hint="eastAsia" w:hAnsi="宋体" w:cs="宋体"/>
          <w:color w:val="000000"/>
          <w:sz w:val="24"/>
          <w:szCs w:val="24"/>
          <w:highlight w:val="none"/>
          <w:u w:val="single"/>
        </w:rPr>
        <w:t>由中标单位负责出资建设易损易耗设备的备品备件库以实现故障快修，运维周期结束后剩下的闲置备品备件归中标人所有。需配备的备品备件包含：三层交换机48口1台，快球400万像素1台，枪机400万像素2台，半球400万像素2台，POE8口交换机2个，8口交换机2个，企业级路由器200台管理能力1台，LED屏幕模块4块，LED屏幕电源4个，大屏幕视频处理器1台，LED屏幕配件1套，电脑调试终端1台，服务器电源550瓦2个，机柜PDU8位2套，各类配件线材若干（网线、摄像机电源、HDMI线、电源适配器、电源线、VGA线、水晶头等）。</w:t>
      </w:r>
    </w:p>
    <w:p w14:paraId="36545272">
      <w:pPr>
        <w:pStyle w:val="5"/>
        <w:widowControl/>
        <w:snapToGrid w:val="0"/>
        <w:spacing w:before="0" w:after="0" w:line="312" w:lineRule="auto"/>
        <w:rPr>
          <w:rFonts w:hint="eastAsia" w:ascii="宋体" w:hAnsi="宋体" w:eastAsia="宋体" w:cs="宋体"/>
          <w:sz w:val="24"/>
          <w:highlight w:val="none"/>
        </w:rPr>
      </w:pPr>
      <w:bookmarkStart w:id="67" w:name="_Toc266272076"/>
      <w:r>
        <w:rPr>
          <w:rFonts w:hint="eastAsia" w:ascii="宋体" w:hAnsi="宋体" w:eastAsia="宋体" w:cs="宋体"/>
          <w:sz w:val="24"/>
          <w:highlight w:val="none"/>
        </w:rPr>
        <w:t>1.2.2现场服务需求</w:t>
      </w:r>
      <w:bookmarkEnd w:id="67"/>
    </w:p>
    <w:p w14:paraId="0326B23F">
      <w:pPr>
        <w:pStyle w:val="55"/>
        <w:ind w:firstLine="480"/>
        <w:rPr>
          <w:rFonts w:hint="eastAsia" w:ascii="宋体" w:hAnsi="宋体" w:cs="宋体"/>
          <w:highlight w:val="none"/>
        </w:rPr>
      </w:pPr>
      <w:r>
        <w:rPr>
          <w:rFonts w:hint="eastAsia" w:ascii="宋体" w:hAnsi="宋体" w:cs="宋体"/>
          <w:highlight w:val="none"/>
        </w:rPr>
        <w:t>现场服务提出如下要求和需求，主要包括以下5项内容：</w:t>
      </w:r>
    </w:p>
    <w:p w14:paraId="329CB502">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1.</w:t>
      </w:r>
      <w:r>
        <w:rPr>
          <w:rFonts w:hint="eastAsia" w:hAnsi="宋体" w:cs="宋体"/>
          <w:color w:val="000000"/>
          <w:sz w:val="24"/>
          <w:szCs w:val="24"/>
          <w:highlight w:val="none"/>
          <w:u w:val="single"/>
        </w:rPr>
        <w:t>合同期内，需要常驻至少1名具有独立工作能力和经验的工程师保障现场；</w:t>
      </w:r>
    </w:p>
    <w:p w14:paraId="6E41BE23">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2.</w:t>
      </w:r>
      <w:r>
        <w:rPr>
          <w:rFonts w:hint="eastAsia" w:hAnsi="宋体" w:cs="宋体"/>
          <w:color w:val="000000"/>
          <w:sz w:val="24"/>
          <w:szCs w:val="24"/>
          <w:highlight w:val="none"/>
          <w:u w:val="single"/>
        </w:rPr>
        <w:t>指定一名熟悉系统和现场经验丰富的项目经理作为本项目的服务运维总负责人，根据系统运维服务需要进行远程支持和不定期的现场支持，确保整个系统高效、安全、稳定的运行，同时负责协调与业主单位的技术、人员安排、项目管理及进度控制等事宜；</w:t>
      </w:r>
    </w:p>
    <w:p w14:paraId="1E780714">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3.</w:t>
      </w:r>
      <w:r>
        <w:rPr>
          <w:rFonts w:hint="eastAsia" w:hAnsi="宋体" w:cs="宋体"/>
          <w:color w:val="000000"/>
          <w:sz w:val="24"/>
          <w:szCs w:val="24"/>
          <w:highlight w:val="none"/>
          <w:u w:val="single"/>
        </w:rPr>
        <w:t>现场服务人员的变动，需经单位同意，业主单位有权要求对不合格人员的进行调整；</w:t>
      </w:r>
    </w:p>
    <w:p w14:paraId="4412A19E">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4.</w:t>
      </w:r>
      <w:r>
        <w:rPr>
          <w:rFonts w:hint="eastAsia" w:hAnsi="宋体" w:cs="宋体"/>
          <w:color w:val="000000"/>
          <w:sz w:val="24"/>
          <w:szCs w:val="24"/>
          <w:highlight w:val="none"/>
          <w:u w:val="single"/>
        </w:rPr>
        <w:t>现场人员必须遵守业主单位的管理要求，在关键时点，如假日或软件升级后提前一天上班等，需要严格遵守作息时间,避免出现问题得不到及时解决；</w:t>
      </w:r>
    </w:p>
    <w:p w14:paraId="25B43C3F">
      <w:pPr>
        <w:pStyle w:val="56"/>
        <w:snapToGrid w:val="0"/>
        <w:spacing w:line="312" w:lineRule="auto"/>
        <w:ind w:firstLine="480"/>
        <w:rPr>
          <w:rFonts w:hint="eastAsia" w:hAnsi="宋体" w:cs="宋体"/>
          <w:color w:val="000000"/>
          <w:sz w:val="24"/>
          <w:szCs w:val="24"/>
          <w:highlight w:val="none"/>
          <w:u w:val="single"/>
        </w:rPr>
      </w:pPr>
      <w:r>
        <w:rPr>
          <w:rFonts w:hAnsi="宋体" w:cs="宋体"/>
          <w:color w:val="000000"/>
          <w:sz w:val="24"/>
          <w:szCs w:val="24"/>
          <w:highlight w:val="none"/>
          <w:u w:val="single"/>
        </w:rPr>
        <w:t>5.</w:t>
      </w:r>
      <w:r>
        <w:rPr>
          <w:rFonts w:hint="eastAsia" w:hAnsi="宋体" w:cs="宋体"/>
          <w:color w:val="000000"/>
          <w:sz w:val="24"/>
          <w:szCs w:val="24"/>
          <w:highlight w:val="none"/>
          <w:u w:val="single"/>
        </w:rPr>
        <w:t>重大节假日必须提供值班人员名单及联系方式。</w:t>
      </w:r>
    </w:p>
    <w:p w14:paraId="2DAFA9C7">
      <w:pPr>
        <w:pStyle w:val="5"/>
        <w:widowControl/>
        <w:snapToGrid w:val="0"/>
        <w:spacing w:before="0" w:after="0" w:line="312" w:lineRule="auto"/>
        <w:rPr>
          <w:rFonts w:hint="eastAsia" w:ascii="宋体" w:hAnsi="宋体" w:eastAsia="宋体" w:cs="宋体"/>
          <w:sz w:val="24"/>
          <w:highlight w:val="none"/>
        </w:rPr>
      </w:pPr>
      <w:bookmarkStart w:id="68" w:name="_Toc266272077"/>
      <w:r>
        <w:rPr>
          <w:rFonts w:hint="eastAsia" w:ascii="宋体" w:hAnsi="宋体" w:eastAsia="宋体" w:cs="宋体"/>
          <w:sz w:val="24"/>
          <w:highlight w:val="none"/>
        </w:rPr>
        <w:t>1.2.3用户培训需求</w:t>
      </w:r>
      <w:bookmarkEnd w:id="68"/>
    </w:p>
    <w:p w14:paraId="22D09EAF">
      <w:pPr>
        <w:pStyle w:val="55"/>
        <w:snapToGrid w:val="0"/>
        <w:spacing w:line="240" w:lineRule="auto"/>
        <w:ind w:firstLine="480"/>
        <w:rPr>
          <w:rFonts w:hint="eastAsia" w:ascii="宋体" w:hAnsi="宋体" w:cs="宋体"/>
          <w:color w:val="000000"/>
          <w:highlight w:val="none"/>
        </w:rPr>
      </w:pPr>
      <w:r>
        <w:rPr>
          <w:rFonts w:hint="eastAsia" w:ascii="宋体" w:hAnsi="宋体" w:cs="宋体"/>
          <w:color w:val="000000"/>
          <w:highlight w:val="none"/>
        </w:rPr>
        <w:t>用户培训提出如下要求和需求，主要包括以下4项内容：</w:t>
      </w:r>
    </w:p>
    <w:p w14:paraId="1AF396A5">
      <w:pPr>
        <w:pStyle w:val="56"/>
        <w:snapToGrid w:val="0"/>
        <w:spacing w:line="312" w:lineRule="auto"/>
        <w:ind w:firstLine="480"/>
        <w:rPr>
          <w:rFonts w:hint="eastAsia" w:hAnsi="宋体" w:cs="宋体"/>
          <w:color w:val="000000"/>
          <w:sz w:val="24"/>
          <w:szCs w:val="24"/>
          <w:highlight w:val="none"/>
        </w:rPr>
      </w:pPr>
      <w:r>
        <w:rPr>
          <w:rFonts w:hAnsi="宋体" w:cs="宋体"/>
          <w:color w:val="000000"/>
          <w:kern w:val="2"/>
          <w:sz w:val="24"/>
          <w:szCs w:val="24"/>
          <w:highlight w:val="none"/>
        </w:rPr>
        <w:t>1.</w:t>
      </w:r>
      <w:r>
        <w:rPr>
          <w:rFonts w:hint="eastAsia" w:hAnsi="宋体" w:cs="宋体"/>
          <w:color w:val="000000"/>
          <w:sz w:val="24"/>
          <w:szCs w:val="24"/>
          <w:highlight w:val="none"/>
        </w:rPr>
        <w:t>应按需对业主单位人员集中进行免费培训，并提交掌握系统操作所需要的培训资料；</w:t>
      </w:r>
    </w:p>
    <w:p w14:paraId="40780474">
      <w:pPr>
        <w:pStyle w:val="56"/>
        <w:snapToGrid w:val="0"/>
        <w:spacing w:line="312" w:lineRule="auto"/>
        <w:ind w:firstLine="480"/>
        <w:rPr>
          <w:rFonts w:hint="eastAsia" w:hAnsi="宋体" w:cs="宋体"/>
          <w:color w:val="000000"/>
          <w:sz w:val="24"/>
          <w:szCs w:val="24"/>
          <w:highlight w:val="none"/>
        </w:rPr>
      </w:pPr>
      <w:r>
        <w:rPr>
          <w:rFonts w:hAnsi="宋体" w:cs="宋体"/>
          <w:color w:val="000000"/>
          <w:sz w:val="24"/>
          <w:szCs w:val="24"/>
          <w:highlight w:val="none"/>
        </w:rPr>
        <w:t>2.</w:t>
      </w:r>
      <w:r>
        <w:rPr>
          <w:rFonts w:hint="eastAsia" w:hAnsi="宋体" w:cs="宋体"/>
          <w:color w:val="000000"/>
          <w:sz w:val="24"/>
          <w:szCs w:val="24"/>
          <w:highlight w:val="none"/>
        </w:rPr>
        <w:t>提供支持7×24小时技术咨询服务，及时解答问题。对不能及时解答的疑问，商椎后及时回复，做到有问必答、有疑必解；</w:t>
      </w:r>
    </w:p>
    <w:p w14:paraId="5D90C4BC">
      <w:pPr>
        <w:pStyle w:val="56"/>
        <w:snapToGrid w:val="0"/>
        <w:spacing w:line="312" w:lineRule="auto"/>
        <w:ind w:firstLine="480"/>
        <w:rPr>
          <w:rFonts w:hint="eastAsia" w:hAnsi="宋体" w:cs="宋体"/>
          <w:color w:val="000000"/>
          <w:sz w:val="24"/>
          <w:szCs w:val="24"/>
          <w:highlight w:val="none"/>
        </w:rPr>
      </w:pPr>
      <w:r>
        <w:rPr>
          <w:rFonts w:hAnsi="宋体" w:cs="宋体"/>
          <w:color w:val="000000"/>
          <w:sz w:val="24"/>
          <w:szCs w:val="24"/>
          <w:highlight w:val="none"/>
        </w:rPr>
        <w:t>3.</w:t>
      </w:r>
      <w:r>
        <w:rPr>
          <w:rFonts w:hint="eastAsia" w:hAnsi="宋体" w:cs="宋体"/>
          <w:color w:val="000000"/>
          <w:sz w:val="24"/>
          <w:szCs w:val="24"/>
          <w:highlight w:val="none"/>
        </w:rPr>
        <w:t>负责每年对单位技术人员进行不少于两次的系统软硬件相关技术培训，使单位技术人员具备系统日常业务所需的技能；</w:t>
      </w:r>
    </w:p>
    <w:p w14:paraId="4D3E1B70">
      <w:pPr>
        <w:pStyle w:val="55"/>
        <w:snapToGrid w:val="0"/>
        <w:spacing w:line="240" w:lineRule="auto"/>
        <w:ind w:left="960" w:hanging="480" w:firstLineChars="0"/>
        <w:rPr>
          <w:rFonts w:hint="eastAsia" w:ascii="宋体" w:hAnsi="宋体" w:cs="宋体"/>
          <w:color w:val="000000"/>
          <w:highlight w:val="none"/>
        </w:rPr>
      </w:pPr>
      <w:r>
        <w:rPr>
          <w:rFonts w:ascii="宋体" w:hAnsi="宋体" w:cs="宋体"/>
          <w:color w:val="000000"/>
          <w:highlight w:val="none"/>
        </w:rPr>
        <w:t>4.</w:t>
      </w:r>
      <w:r>
        <w:rPr>
          <w:rFonts w:hint="eastAsia" w:ascii="宋体" w:hAnsi="宋体" w:cs="宋体"/>
          <w:color w:val="000000"/>
          <w:highlight w:val="none"/>
        </w:rPr>
        <w:t>定期组织业主用户与运维人员之间的技术交流活动，及时优化运维服务。</w:t>
      </w:r>
    </w:p>
    <w:p w14:paraId="687880C0">
      <w:pPr>
        <w:pStyle w:val="3"/>
        <w:spacing w:line="312" w:lineRule="auto"/>
        <w:rPr>
          <w:rFonts w:hint="eastAsia" w:cs="宋体"/>
          <w:sz w:val="24"/>
          <w:highlight w:val="none"/>
        </w:rPr>
      </w:pPr>
      <w:bookmarkStart w:id="69" w:name="_Toc260834763"/>
      <w:bookmarkStart w:id="70" w:name="_Toc515306393"/>
      <w:bookmarkStart w:id="71" w:name="_Toc36801273"/>
      <w:r>
        <w:rPr>
          <w:rFonts w:hint="eastAsia" w:cs="宋体"/>
          <w:b/>
          <w:bCs/>
          <w:sz w:val="24"/>
          <w:highlight w:val="none"/>
        </w:rPr>
        <w:t>2.服务</w:t>
      </w:r>
      <w:bookmarkEnd w:id="69"/>
      <w:r>
        <w:rPr>
          <w:rFonts w:hint="eastAsia" w:cs="宋体"/>
          <w:b/>
          <w:bCs/>
          <w:sz w:val="24"/>
          <w:highlight w:val="none"/>
        </w:rPr>
        <w:t>目标</w:t>
      </w:r>
      <w:bookmarkEnd w:id="70"/>
      <w:bookmarkEnd w:id="71"/>
    </w:p>
    <w:p w14:paraId="4491FF28">
      <w:pPr>
        <w:snapToGrid w:val="0"/>
        <w:spacing w:line="312" w:lineRule="auto"/>
        <w:ind w:left="980" w:hanging="420"/>
        <w:jc w:val="left"/>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保障系统的稳定性和可靠性；</w:t>
      </w:r>
    </w:p>
    <w:p w14:paraId="5E01390E">
      <w:pPr>
        <w:snapToGrid w:val="0"/>
        <w:spacing w:line="312" w:lineRule="auto"/>
        <w:ind w:left="980" w:hanging="420"/>
        <w:jc w:val="left"/>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保障系统的安全性和可恢复性；</w:t>
      </w:r>
    </w:p>
    <w:p w14:paraId="29F3ADC2">
      <w:pPr>
        <w:snapToGrid w:val="0"/>
        <w:spacing w:line="312" w:lineRule="auto"/>
        <w:ind w:left="980" w:hanging="420"/>
        <w:jc w:val="left"/>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故障的及时响应与修复；</w:t>
      </w:r>
    </w:p>
    <w:p w14:paraId="029C9CF8">
      <w:pPr>
        <w:snapToGrid w:val="0"/>
        <w:spacing w:line="312" w:lineRule="auto"/>
        <w:ind w:left="980" w:hanging="420"/>
        <w:jc w:val="left"/>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人员的技术培训服务；</w:t>
      </w:r>
    </w:p>
    <w:p w14:paraId="0C49AE52">
      <w:pPr>
        <w:snapToGrid w:val="0"/>
        <w:spacing w:line="312" w:lineRule="auto"/>
        <w:ind w:left="980" w:hanging="420"/>
        <w:jc w:val="left"/>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信息化建设规划、方案制定等咨询服务。</w:t>
      </w:r>
    </w:p>
    <w:p w14:paraId="6CF0E262">
      <w:pPr>
        <w:pStyle w:val="3"/>
        <w:spacing w:line="312" w:lineRule="auto"/>
        <w:rPr>
          <w:rFonts w:hint="eastAsia" w:cs="宋体"/>
          <w:sz w:val="24"/>
          <w:highlight w:val="none"/>
        </w:rPr>
      </w:pPr>
      <w:bookmarkStart w:id="72" w:name="_Toc515306394"/>
      <w:bookmarkStart w:id="73" w:name="_Toc36801274"/>
      <w:bookmarkStart w:id="74" w:name="_Toc260834766"/>
      <w:r>
        <w:rPr>
          <w:rFonts w:hint="eastAsia" w:cs="宋体"/>
          <w:b/>
          <w:bCs/>
          <w:sz w:val="24"/>
          <w:highlight w:val="none"/>
        </w:rPr>
        <w:t>3.服务方案</w:t>
      </w:r>
      <w:bookmarkEnd w:id="72"/>
      <w:bookmarkEnd w:id="73"/>
    </w:p>
    <w:p w14:paraId="4201F523">
      <w:pPr>
        <w:pStyle w:val="4"/>
        <w:snapToGrid w:val="0"/>
        <w:spacing w:before="0" w:after="0" w:line="312" w:lineRule="auto"/>
        <w:rPr>
          <w:rFonts w:hint="eastAsia" w:ascii="宋体" w:hAnsi="宋体" w:cs="宋体"/>
          <w:sz w:val="24"/>
          <w:highlight w:val="none"/>
        </w:rPr>
      </w:pPr>
      <w:bookmarkStart w:id="75" w:name="_Toc515306395"/>
      <w:r>
        <w:rPr>
          <w:rFonts w:hint="eastAsia" w:ascii="宋体" w:hAnsi="宋体" w:cs="宋体"/>
          <w:sz w:val="24"/>
          <w:highlight w:val="none"/>
        </w:rPr>
        <w:t>3.1</w:t>
      </w:r>
      <w:bookmarkStart w:id="76" w:name="_Toc260834772"/>
      <w:r>
        <w:rPr>
          <w:rFonts w:hint="eastAsia" w:ascii="宋体" w:hAnsi="宋体" w:cs="宋体"/>
          <w:sz w:val="24"/>
          <w:highlight w:val="none"/>
        </w:rPr>
        <w:t>系统日常维护</w:t>
      </w:r>
      <w:bookmarkEnd w:id="75"/>
    </w:p>
    <w:p w14:paraId="1AACD221">
      <w:pPr>
        <w:snapToGrid w:val="0"/>
        <w:spacing w:line="31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系统首要维护工作是信息化系统的日常维护，主要包括以下3个方面：</w:t>
      </w:r>
    </w:p>
    <w:p w14:paraId="747E2715">
      <w:pPr>
        <w:pStyle w:val="5"/>
        <w:widowControl/>
        <w:snapToGrid w:val="0"/>
        <w:spacing w:before="0" w:after="0" w:line="312" w:lineRule="auto"/>
        <w:rPr>
          <w:rFonts w:hint="eastAsia" w:ascii="宋体" w:hAnsi="宋体" w:eastAsia="宋体" w:cs="宋体"/>
          <w:sz w:val="24"/>
          <w:highlight w:val="none"/>
        </w:rPr>
      </w:pPr>
      <w:r>
        <w:rPr>
          <w:rFonts w:hint="eastAsia" w:ascii="宋体" w:hAnsi="宋体" w:eastAsia="宋体" w:cs="宋体"/>
          <w:sz w:val="24"/>
          <w:highlight w:val="none"/>
        </w:rPr>
        <w:t>3.1.1系统支撑软硬件的监测</w:t>
      </w:r>
    </w:p>
    <w:p w14:paraId="0936803F">
      <w:pPr>
        <w:snapToGrid w:val="0"/>
        <w:spacing w:line="312"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系统支撑软硬件主要包括服务器环境、网络、安全设备等基础软硬件设施。</w:t>
      </w:r>
    </w:p>
    <w:p w14:paraId="26356991">
      <w:pPr>
        <w:pStyle w:val="5"/>
        <w:widowControl/>
        <w:snapToGrid w:val="0"/>
        <w:spacing w:before="0" w:after="0" w:line="312" w:lineRule="auto"/>
        <w:rPr>
          <w:rFonts w:hint="eastAsia" w:ascii="宋体" w:hAnsi="宋体" w:eastAsia="宋体" w:cs="宋体"/>
          <w:sz w:val="24"/>
          <w:highlight w:val="none"/>
        </w:rPr>
      </w:pPr>
      <w:r>
        <w:rPr>
          <w:rFonts w:hint="eastAsia" w:ascii="宋体" w:hAnsi="宋体" w:eastAsia="宋体" w:cs="宋体"/>
          <w:sz w:val="24"/>
          <w:highlight w:val="none"/>
        </w:rPr>
        <w:t>3.1.2维护制度建设</w:t>
      </w:r>
    </w:p>
    <w:p w14:paraId="46E6376E">
      <w:pPr>
        <w:snapToGrid w:val="0"/>
        <w:spacing w:line="312" w:lineRule="auto"/>
        <w:ind w:firstLine="480" w:firstLineChars="200"/>
        <w:rPr>
          <w:rFonts w:hint="eastAsia" w:ascii="宋体" w:hAnsi="宋体" w:cs="宋体"/>
          <w:color w:val="000000"/>
          <w:sz w:val="24"/>
          <w:highlight w:val="none"/>
        </w:rPr>
      </w:pPr>
      <w:r>
        <w:rPr>
          <w:rFonts w:hint="eastAsia" w:ascii="宋体" w:hAnsi="宋体" w:cs="宋体"/>
          <w:sz w:val="24"/>
          <w:highlight w:val="none"/>
        </w:rPr>
        <w:t>运维团队</w:t>
      </w:r>
      <w:r>
        <w:rPr>
          <w:rFonts w:hint="eastAsia" w:ascii="宋体" w:hAnsi="宋体" w:cs="宋体"/>
          <w:color w:val="000000"/>
          <w:sz w:val="24"/>
          <w:highlight w:val="none"/>
        </w:rPr>
        <w:t>需协助干部医疗保障所建立规范、科学、实用的维护制度。</w:t>
      </w:r>
    </w:p>
    <w:bookmarkEnd w:id="74"/>
    <w:bookmarkEnd w:id="76"/>
    <w:p w14:paraId="4F3704DC">
      <w:pPr>
        <w:pStyle w:val="4"/>
        <w:snapToGrid w:val="0"/>
        <w:spacing w:before="0" w:after="0" w:line="312" w:lineRule="auto"/>
        <w:rPr>
          <w:rFonts w:hint="eastAsia" w:ascii="宋体" w:hAnsi="宋体" w:cs="宋体"/>
          <w:sz w:val="24"/>
          <w:highlight w:val="none"/>
        </w:rPr>
      </w:pPr>
      <w:bookmarkStart w:id="77" w:name="_Toc260834768"/>
      <w:bookmarkStart w:id="78" w:name="_Toc515306396"/>
      <w:r>
        <w:rPr>
          <w:rFonts w:hint="eastAsia" w:ascii="宋体" w:hAnsi="宋体" w:cs="宋体"/>
          <w:sz w:val="24"/>
          <w:highlight w:val="none"/>
        </w:rPr>
        <w:t>3.1.3</w:t>
      </w:r>
      <w:r>
        <w:rPr>
          <w:rFonts w:hint="eastAsia" w:ascii="宋体" w:hAnsi="宋体" w:cs="宋体"/>
          <w:color w:val="000000"/>
          <w:sz w:val="24"/>
          <w:highlight w:val="none"/>
        </w:rPr>
        <w:t>系统</w:t>
      </w:r>
      <w:r>
        <w:rPr>
          <w:rFonts w:hint="eastAsia" w:ascii="宋体" w:hAnsi="宋体" w:cs="宋体"/>
          <w:sz w:val="24"/>
          <w:highlight w:val="none"/>
        </w:rPr>
        <w:t>安全</w:t>
      </w:r>
      <w:bookmarkEnd w:id="77"/>
      <w:r>
        <w:rPr>
          <w:rFonts w:hint="eastAsia" w:ascii="宋体" w:hAnsi="宋体" w:cs="宋体"/>
          <w:sz w:val="24"/>
          <w:highlight w:val="none"/>
        </w:rPr>
        <w:t>服务</w:t>
      </w:r>
      <w:bookmarkEnd w:id="78"/>
    </w:p>
    <w:p w14:paraId="1EDE38CF">
      <w:pPr>
        <w:pStyle w:val="56"/>
        <w:snapToGrid w:val="0"/>
        <w:spacing w:line="312" w:lineRule="auto"/>
        <w:ind w:firstLine="480"/>
        <w:rPr>
          <w:rFonts w:hint="eastAsia" w:hAnsi="宋体" w:cs="宋体"/>
          <w:color w:val="000000"/>
          <w:sz w:val="24"/>
          <w:szCs w:val="24"/>
          <w:highlight w:val="none"/>
        </w:rPr>
      </w:pPr>
      <w:r>
        <w:rPr>
          <w:rFonts w:hint="eastAsia" w:hAnsi="宋体" w:cs="宋体"/>
          <w:color w:val="000000"/>
          <w:sz w:val="24"/>
          <w:szCs w:val="24"/>
          <w:highlight w:val="none"/>
        </w:rPr>
        <w:t>风险评估和安全加固工作贯穿于系统的整个生命周期的各阶段中。在运行维护阶段，要不断地实施风险评估以识别系统面临的不断变化的风险和脆弱性，并通过安全加固进行有效的安全措施干预，确保安全目标得以实现。</w:t>
      </w:r>
    </w:p>
    <w:p w14:paraId="54A3DA1C">
      <w:pPr>
        <w:pStyle w:val="3"/>
        <w:tabs>
          <w:tab w:val="left" w:pos="576"/>
        </w:tabs>
        <w:spacing w:line="312" w:lineRule="auto"/>
        <w:rPr>
          <w:rFonts w:hint="eastAsia" w:cs="宋体"/>
          <w:b/>
          <w:bCs/>
          <w:sz w:val="24"/>
          <w:highlight w:val="none"/>
        </w:rPr>
      </w:pPr>
      <w:bookmarkStart w:id="79" w:name="_Toc36801275"/>
      <w:bookmarkStart w:id="80" w:name="_Toc515306398"/>
      <w:bookmarkStart w:id="81" w:name="_Toc239471693"/>
      <w:bookmarkStart w:id="82" w:name="_Toc222755461"/>
      <w:bookmarkStart w:id="83" w:name="_Toc231812891"/>
      <w:bookmarkStart w:id="84" w:name="_Toc222755164"/>
      <w:bookmarkStart w:id="85" w:name="_Toc260834774"/>
      <w:r>
        <w:rPr>
          <w:rFonts w:hint="eastAsia" w:cs="宋体"/>
          <w:b/>
          <w:bCs/>
          <w:sz w:val="24"/>
          <w:highlight w:val="none"/>
        </w:rPr>
        <w:t>4.服务要求</w:t>
      </w:r>
      <w:bookmarkEnd w:id="79"/>
      <w:bookmarkEnd w:id="80"/>
      <w:bookmarkEnd w:id="81"/>
    </w:p>
    <w:p w14:paraId="5E041832">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在本服务项目中，运维团队应明确自己的责任和义务，在充分了解项目所述各个系统现有环境的基础上，提供规范化、高质量的服务，并对服务质量做出可量化的承诺。</w:t>
      </w:r>
      <w:bookmarkStart w:id="86" w:name="_Toc22716329"/>
    </w:p>
    <w:bookmarkEnd w:id="86"/>
    <w:p w14:paraId="561E60F8">
      <w:pPr>
        <w:pStyle w:val="4"/>
        <w:snapToGrid w:val="0"/>
        <w:spacing w:before="0" w:after="0" w:line="312" w:lineRule="auto"/>
        <w:rPr>
          <w:rFonts w:hint="eastAsia" w:ascii="宋体" w:hAnsi="宋体" w:cs="宋体"/>
          <w:sz w:val="24"/>
          <w:highlight w:val="none"/>
        </w:rPr>
      </w:pPr>
      <w:bookmarkStart w:id="87" w:name="_Toc515306399"/>
      <w:bookmarkStart w:id="88" w:name="_Toc222755165"/>
      <w:bookmarkStart w:id="89" w:name="_Toc260834775"/>
      <w:bookmarkStart w:id="90" w:name="_Toc231812892"/>
      <w:bookmarkStart w:id="91" w:name="_Toc222755462"/>
      <w:r>
        <w:rPr>
          <w:rFonts w:hint="eastAsia" w:ascii="宋体" w:hAnsi="宋体" w:cs="宋体"/>
          <w:sz w:val="24"/>
          <w:highlight w:val="none"/>
        </w:rPr>
        <w:t>4.1基本要求</w:t>
      </w:r>
      <w:bookmarkEnd w:id="87"/>
    </w:p>
    <w:p w14:paraId="7FE47F13">
      <w:pPr>
        <w:pStyle w:val="5"/>
        <w:widowControl/>
        <w:snapToGrid w:val="0"/>
        <w:spacing w:before="0" w:after="0" w:line="312" w:lineRule="auto"/>
        <w:rPr>
          <w:rFonts w:hint="eastAsia" w:ascii="宋体" w:hAnsi="宋体" w:eastAsia="宋体" w:cs="宋体"/>
          <w:sz w:val="24"/>
          <w:highlight w:val="none"/>
        </w:rPr>
      </w:pPr>
      <w:r>
        <w:rPr>
          <w:rFonts w:hint="eastAsia" w:ascii="宋体" w:hAnsi="宋体" w:eastAsia="宋体" w:cs="宋体"/>
          <w:sz w:val="24"/>
          <w:highlight w:val="none"/>
        </w:rPr>
        <w:t>4.1.1日常运维服务</w:t>
      </w:r>
      <w:bookmarkEnd w:id="88"/>
      <w:bookmarkEnd w:id="89"/>
      <w:bookmarkEnd w:id="90"/>
      <w:bookmarkEnd w:id="91"/>
    </w:p>
    <w:p w14:paraId="54FA7BF3">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针对干部医疗保障所的工作日制度，为客户提供系统级的日常维护、定期巡检、性能测试、故障排查等服务。具体内容包括：</w:t>
      </w:r>
    </w:p>
    <w:p w14:paraId="21A982DB">
      <w:pPr>
        <w:pStyle w:val="6"/>
        <w:snapToGrid w:val="0"/>
        <w:spacing w:before="0" w:after="0" w:line="312" w:lineRule="auto"/>
        <w:ind w:left="0" w:firstLine="0"/>
        <w:rPr>
          <w:rFonts w:hint="eastAsia" w:ascii="宋体" w:hAnsi="宋体" w:cs="宋体"/>
          <w:sz w:val="24"/>
          <w:highlight w:val="none"/>
        </w:rPr>
      </w:pPr>
      <w:bookmarkStart w:id="92" w:name="_Toc231812913"/>
      <w:bookmarkStart w:id="93" w:name="_Toc222755483"/>
      <w:bookmarkStart w:id="94" w:name="_Toc260834781"/>
      <w:bookmarkStart w:id="95" w:name="_Toc222755186"/>
      <w:bookmarkStart w:id="96" w:name="_Toc222755167"/>
      <w:bookmarkStart w:id="97" w:name="_Toc231812894"/>
      <w:bookmarkStart w:id="98" w:name="_Toc222755464"/>
      <w:r>
        <w:rPr>
          <w:rFonts w:hint="eastAsia" w:ascii="宋体" w:hAnsi="宋体" w:cs="宋体"/>
          <w:sz w:val="24"/>
          <w:highlight w:val="none"/>
        </w:rPr>
        <w:t>4.1.1.1工作日服务</w:t>
      </w:r>
      <w:bookmarkEnd w:id="92"/>
      <w:bookmarkEnd w:id="93"/>
      <w:bookmarkEnd w:id="94"/>
      <w:bookmarkEnd w:id="95"/>
    </w:p>
    <w:p w14:paraId="183954A2">
      <w:pPr>
        <w:snapToGrid w:val="0"/>
        <w:spacing w:line="312" w:lineRule="auto"/>
        <w:ind w:firstLine="480" w:firstLineChars="200"/>
        <w:rPr>
          <w:rFonts w:hint="eastAsia" w:ascii="宋体" w:hAnsi="宋体" w:cs="宋体"/>
          <w:sz w:val="24"/>
          <w:highlight w:val="none"/>
        </w:rPr>
      </w:pPr>
      <w:bookmarkStart w:id="99" w:name="_Toc212361491"/>
      <w:r>
        <w:rPr>
          <w:rFonts w:hint="eastAsia" w:ascii="宋体" w:hAnsi="宋体" w:cs="宋体"/>
          <w:sz w:val="24"/>
          <w:highlight w:val="none"/>
          <w:u w:val="single"/>
        </w:rPr>
        <w:t>指驻场服务工程师值守在干部医疗保障所现场</w:t>
      </w:r>
      <w:r>
        <w:rPr>
          <w:rFonts w:hint="eastAsia" w:ascii="宋体" w:hAnsi="宋体" w:cs="宋体"/>
          <w:sz w:val="24"/>
          <w:highlight w:val="none"/>
        </w:rPr>
        <w:t>，负责对现场设备运行状态进行监视、管理和维护以及工作终端的管理和维护，通过对系统运行日志的分析提前发现并排除可能发生的潜在故障，</w:t>
      </w:r>
      <w:r>
        <w:rPr>
          <w:rFonts w:hint="eastAsia" w:ascii="宋体" w:hAnsi="宋体" w:cs="宋体"/>
          <w:sz w:val="24"/>
          <w:highlight w:val="none"/>
          <w:u w:val="single"/>
        </w:rPr>
        <w:t>并在全部维护服务团队支持下，在1小时内排除普通故障，2小时内排除较大故障，4小时内排除重大故障，12小时内排除特大故障</w:t>
      </w:r>
      <w:r>
        <w:rPr>
          <w:rFonts w:hint="eastAsia" w:ascii="宋体" w:hAnsi="宋体" w:cs="宋体"/>
          <w:sz w:val="24"/>
          <w:highlight w:val="none"/>
        </w:rPr>
        <w:t>。</w:t>
      </w:r>
    </w:p>
    <w:p w14:paraId="1A4449FD">
      <w:pPr>
        <w:pStyle w:val="6"/>
        <w:snapToGrid w:val="0"/>
        <w:spacing w:before="0" w:after="0" w:line="312" w:lineRule="auto"/>
        <w:ind w:left="0" w:firstLine="0"/>
        <w:rPr>
          <w:rFonts w:hint="eastAsia" w:ascii="宋体" w:hAnsi="宋体" w:cs="宋体"/>
          <w:sz w:val="24"/>
          <w:highlight w:val="none"/>
        </w:rPr>
      </w:pPr>
      <w:bookmarkStart w:id="100" w:name="_Toc212361490"/>
      <w:r>
        <w:rPr>
          <w:rFonts w:hint="eastAsia" w:ascii="宋体" w:hAnsi="宋体" w:cs="宋体"/>
          <w:sz w:val="24"/>
          <w:highlight w:val="none"/>
        </w:rPr>
        <w:t xml:space="preserve">4.1.1.2 </w:t>
      </w:r>
      <w:bookmarkStart w:id="101" w:name="_Toc231812915"/>
      <w:bookmarkStart w:id="102" w:name="_Toc222755485"/>
      <w:bookmarkStart w:id="103" w:name="_Toc222755188"/>
      <w:r>
        <w:rPr>
          <w:rFonts w:hint="eastAsia" w:ascii="宋体" w:hAnsi="宋体" w:cs="宋体"/>
          <w:sz w:val="24"/>
          <w:highlight w:val="none"/>
        </w:rPr>
        <w:t>故障响应</w:t>
      </w:r>
      <w:bookmarkEnd w:id="100"/>
      <w:bookmarkEnd w:id="101"/>
      <w:bookmarkEnd w:id="102"/>
      <w:bookmarkEnd w:id="103"/>
      <w:r>
        <w:rPr>
          <w:rFonts w:hint="eastAsia" w:ascii="宋体" w:hAnsi="宋体" w:cs="宋体"/>
          <w:sz w:val="24"/>
          <w:highlight w:val="none"/>
        </w:rPr>
        <w:t>服务</w:t>
      </w:r>
    </w:p>
    <w:p w14:paraId="573B5961">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除了现场值守服务方式外，同时，提供7×24小时故障响应服务具体包括：</w:t>
      </w:r>
    </w:p>
    <w:p w14:paraId="2D046EB9">
      <w:pPr>
        <w:snapToGrid w:val="0"/>
        <w:spacing w:line="312" w:lineRule="auto"/>
        <w:ind w:firstLine="48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维护期内提供电话、传真、电子邮件等方式的咨询和支持服务。</w:t>
      </w:r>
    </w:p>
    <w:p w14:paraId="7C224065">
      <w:pPr>
        <w:snapToGrid w:val="0"/>
        <w:spacing w:line="312" w:lineRule="auto"/>
        <w:ind w:firstLine="48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主要系统设备出现故障时，15分钟内响应，当现场维护工程师或节假日值班维护工程师无法排除故障时，20分钟内现场进行故障诊断及处理，并在1小时内排除普通故障，2小时内排除较大故障，4小时内排除重大故障，12小时内排除特大故障。</w:t>
      </w:r>
    </w:p>
    <w:p w14:paraId="0D18EA8C">
      <w:pPr>
        <w:snapToGrid w:val="0"/>
        <w:spacing w:line="312" w:lineRule="auto"/>
        <w:ind w:left="982" w:hanging="42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一般故障，正常工作日内响应。</w:t>
      </w:r>
    </w:p>
    <w:bookmarkEnd w:id="99"/>
    <w:p w14:paraId="4A6E0055">
      <w:pPr>
        <w:pStyle w:val="5"/>
        <w:widowControl/>
        <w:snapToGrid w:val="0"/>
        <w:spacing w:before="0" w:after="0" w:line="312" w:lineRule="auto"/>
        <w:rPr>
          <w:rFonts w:hint="eastAsia" w:ascii="宋体" w:hAnsi="宋体" w:eastAsia="宋体" w:cs="宋体"/>
          <w:sz w:val="24"/>
          <w:highlight w:val="none"/>
        </w:rPr>
      </w:pPr>
      <w:bookmarkStart w:id="104" w:name="_Toc222755192"/>
      <w:bookmarkStart w:id="105" w:name="_Toc231812919"/>
      <w:bookmarkStart w:id="106" w:name="_Toc260834782"/>
      <w:bookmarkStart w:id="107" w:name="_Toc222755489"/>
      <w:r>
        <w:rPr>
          <w:rFonts w:hint="eastAsia" w:ascii="宋体" w:hAnsi="宋体" w:eastAsia="宋体" w:cs="宋体"/>
          <w:sz w:val="24"/>
          <w:highlight w:val="none"/>
        </w:rPr>
        <w:t>4.1.2其他时间及夜间服务</w:t>
      </w:r>
      <w:bookmarkEnd w:id="104"/>
      <w:bookmarkEnd w:id="105"/>
      <w:bookmarkEnd w:id="106"/>
      <w:bookmarkEnd w:id="107"/>
    </w:p>
    <w:p w14:paraId="6F4C55B1">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当系统在非工作日出现异常时，维护团队现场人员将在60分钟内赶赴现场并排除系统普通故障，特大故障将在24小时内处理完毕。</w:t>
      </w:r>
    </w:p>
    <w:p w14:paraId="733C5674">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具体联系方式包括：通过维护团队提供的7×24小时响应服务热线；现场维护人员通过移动通信网络（当运维管理系统具备短信故障报警通知功能时）接收到系统报警信息；或维护人员接到服务请求电话时。</w:t>
      </w:r>
    </w:p>
    <w:p w14:paraId="7F23AA1C">
      <w:pPr>
        <w:pStyle w:val="5"/>
        <w:widowControl/>
        <w:snapToGrid w:val="0"/>
        <w:spacing w:before="0" w:after="0" w:line="312" w:lineRule="auto"/>
        <w:rPr>
          <w:rFonts w:hint="eastAsia" w:ascii="宋体" w:hAnsi="宋体" w:eastAsia="宋体" w:cs="宋体"/>
          <w:sz w:val="24"/>
          <w:highlight w:val="none"/>
        </w:rPr>
      </w:pPr>
      <w:bookmarkStart w:id="108" w:name="_Toc260834783"/>
      <w:r>
        <w:rPr>
          <w:rFonts w:hint="eastAsia" w:ascii="宋体" w:hAnsi="宋体" w:eastAsia="宋体" w:cs="宋体"/>
          <w:sz w:val="24"/>
          <w:highlight w:val="none"/>
        </w:rPr>
        <w:t>4.1.3临时保障服务</w:t>
      </w:r>
      <w:bookmarkEnd w:id="108"/>
    </w:p>
    <w:p w14:paraId="5DFD1059">
      <w:pPr>
        <w:snapToGrid w:val="0"/>
        <w:spacing w:line="312" w:lineRule="auto"/>
        <w:ind w:firstLine="480" w:firstLineChars="200"/>
        <w:rPr>
          <w:rFonts w:hint="eastAsia" w:ascii="宋体" w:hAnsi="宋体" w:cs="宋体"/>
          <w:sz w:val="24"/>
          <w:highlight w:val="none"/>
        </w:rPr>
      </w:pPr>
      <w:r>
        <w:rPr>
          <w:rFonts w:hint="eastAsia" w:ascii="宋体" w:hAnsi="宋体" w:cs="宋体"/>
          <w:sz w:val="24"/>
          <w:highlight w:val="none"/>
        </w:rPr>
        <w:t>当遇到重大活动需要提供临时保障服务时，维护团队须在需要保障服务的所有设备进行临时性安全检查，排除安全隐患，以做到万无一失。</w:t>
      </w:r>
    </w:p>
    <w:bookmarkEnd w:id="96"/>
    <w:bookmarkEnd w:id="97"/>
    <w:bookmarkEnd w:id="98"/>
    <w:p w14:paraId="563977F1">
      <w:pPr>
        <w:pStyle w:val="5"/>
        <w:widowControl/>
        <w:snapToGrid w:val="0"/>
        <w:spacing w:before="0" w:after="0" w:line="312" w:lineRule="auto"/>
        <w:rPr>
          <w:rFonts w:hint="eastAsia" w:ascii="宋体" w:hAnsi="宋体" w:eastAsia="宋体" w:cs="宋体"/>
          <w:sz w:val="24"/>
          <w:highlight w:val="none"/>
        </w:rPr>
      </w:pPr>
      <w:bookmarkStart w:id="109" w:name="_Toc231812895"/>
      <w:bookmarkStart w:id="110" w:name="_Toc222755465"/>
      <w:bookmarkStart w:id="111" w:name="_Toc222755168"/>
      <w:r>
        <w:rPr>
          <w:rFonts w:hint="eastAsia" w:ascii="宋体" w:hAnsi="宋体" w:eastAsia="宋体" w:cs="宋体"/>
          <w:sz w:val="24"/>
          <w:highlight w:val="none"/>
        </w:rPr>
        <w:t>4.1.4月度检查</w:t>
      </w:r>
      <w:bookmarkEnd w:id="109"/>
      <w:bookmarkEnd w:id="110"/>
      <w:bookmarkEnd w:id="111"/>
    </w:p>
    <w:p w14:paraId="180210E0">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每月提供不低于4次的巡检报告，进行安全系统、防病毒系统检查，进行漏洞扫描，并对检查中存在的故障及安全隐患进行处理。每月第一周向用户单位提交上月的《月度巡检报告》，报请用户单位审批签署。</w:t>
      </w:r>
    </w:p>
    <w:p w14:paraId="5D8922A6">
      <w:pPr>
        <w:pStyle w:val="5"/>
        <w:widowControl/>
        <w:snapToGrid w:val="0"/>
        <w:spacing w:before="0" w:after="0" w:line="312" w:lineRule="auto"/>
        <w:rPr>
          <w:rFonts w:hint="eastAsia" w:ascii="宋体" w:hAnsi="宋体" w:eastAsia="宋体" w:cs="宋体"/>
          <w:sz w:val="24"/>
          <w:highlight w:val="none"/>
        </w:rPr>
      </w:pPr>
      <w:bookmarkStart w:id="112" w:name="_Toc231812896"/>
      <w:bookmarkStart w:id="113" w:name="_Toc222755169"/>
      <w:bookmarkStart w:id="114" w:name="_Toc222755466"/>
      <w:r>
        <w:rPr>
          <w:rFonts w:hint="eastAsia" w:ascii="宋体" w:hAnsi="宋体" w:eastAsia="宋体" w:cs="宋体"/>
          <w:sz w:val="24"/>
          <w:highlight w:val="none"/>
        </w:rPr>
        <w:t>4.1.5季度检查</w:t>
      </w:r>
      <w:bookmarkEnd w:id="112"/>
      <w:bookmarkEnd w:id="113"/>
      <w:bookmarkEnd w:id="114"/>
    </w:p>
    <w:p w14:paraId="48D94D69">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每季度对由维护团队的专业维护队伍对所有设备进行安全评估和风险分析，提交完整的安全状况评估报告，分析存在的安全漏洞情况，提出《整改方案和建议》。</w:t>
      </w:r>
    </w:p>
    <w:p w14:paraId="4A9CCA2C">
      <w:pPr>
        <w:pStyle w:val="5"/>
        <w:widowControl/>
        <w:snapToGrid w:val="0"/>
        <w:spacing w:before="0" w:after="0" w:line="312" w:lineRule="auto"/>
        <w:rPr>
          <w:rFonts w:hint="eastAsia" w:ascii="宋体" w:hAnsi="宋体" w:eastAsia="宋体" w:cs="宋体"/>
          <w:sz w:val="24"/>
          <w:highlight w:val="none"/>
        </w:rPr>
      </w:pPr>
      <w:r>
        <w:rPr>
          <w:rFonts w:hint="eastAsia" w:ascii="宋体" w:hAnsi="宋体" w:eastAsia="宋体" w:cs="宋体"/>
          <w:sz w:val="24"/>
          <w:highlight w:val="none"/>
        </w:rPr>
        <w:t>4.1.6年度检查</w:t>
      </w:r>
    </w:p>
    <w:p w14:paraId="1DB0D768">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每年由维护团队组织相关的专家（含硬件和软件）对整个系统进行安全检查，对每个硬件设备使用状态进行风险评估，并对下一年可能存在的问题进行风险预测，对每个设备的状态出具使用报告。</w:t>
      </w:r>
    </w:p>
    <w:p w14:paraId="4E33A5AA">
      <w:pPr>
        <w:pStyle w:val="5"/>
        <w:widowControl/>
        <w:snapToGrid w:val="0"/>
        <w:spacing w:before="0" w:after="0" w:line="312" w:lineRule="auto"/>
        <w:rPr>
          <w:rFonts w:hint="eastAsia" w:ascii="宋体" w:hAnsi="宋体" w:eastAsia="宋体" w:cs="宋体"/>
          <w:sz w:val="24"/>
          <w:highlight w:val="none"/>
        </w:rPr>
      </w:pPr>
      <w:r>
        <w:rPr>
          <w:rFonts w:hint="eastAsia" w:ascii="宋体" w:hAnsi="宋体" w:eastAsia="宋体" w:cs="宋体"/>
          <w:sz w:val="24"/>
          <w:highlight w:val="none"/>
        </w:rPr>
        <w:t>4.1.7年度网络安全应急演练</w:t>
      </w:r>
    </w:p>
    <w:p w14:paraId="1ADBC891">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制作网络安全演练预案；设定相关岗位人员配置；演练前要召开汇报会，整个演练过程要有照片运维公司需提交相关资料；完成演练后相关文档要提交单位。</w:t>
      </w:r>
    </w:p>
    <w:p w14:paraId="483C5A7A">
      <w:pPr>
        <w:pStyle w:val="5"/>
        <w:widowControl/>
        <w:snapToGrid w:val="0"/>
        <w:spacing w:before="0" w:after="0" w:line="312" w:lineRule="auto"/>
        <w:rPr>
          <w:rFonts w:hint="eastAsia" w:ascii="宋体" w:hAnsi="宋体" w:eastAsia="宋体" w:cs="宋体"/>
          <w:sz w:val="24"/>
          <w:highlight w:val="none"/>
        </w:rPr>
      </w:pPr>
      <w:bookmarkStart w:id="115" w:name="_Toc515306400"/>
      <w:r>
        <w:rPr>
          <w:rFonts w:hint="eastAsia" w:ascii="宋体" w:hAnsi="宋体" w:eastAsia="宋体" w:cs="宋体"/>
          <w:sz w:val="24"/>
          <w:highlight w:val="none"/>
        </w:rPr>
        <w:t>4.2服务队伍要求</w:t>
      </w:r>
      <w:bookmarkEnd w:id="115"/>
    </w:p>
    <w:p w14:paraId="32D9924D">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要求维护团队拥有强大的技术支持力量，拥有稳定的专业化的技术支持服务队伍，完善的技术支持服务体系。</w:t>
      </w:r>
    </w:p>
    <w:p w14:paraId="33A6C139">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现场服务人员负责网络的监控、简单故障的解决，接听技术热线。</w:t>
      </w:r>
    </w:p>
    <w:p w14:paraId="346470E6">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现场服务人员按照计划对现场终端、楼层设备、机房及机房设备等进行例行巡检。技术专家负责重大故障的处理，定期对运行情况进行分析，并提出整改或优化方案和建议。</w:t>
      </w:r>
    </w:p>
    <w:p w14:paraId="143A9552">
      <w:pPr>
        <w:pStyle w:val="4"/>
        <w:snapToGrid w:val="0"/>
        <w:spacing w:before="0" w:after="0" w:line="312" w:lineRule="auto"/>
        <w:rPr>
          <w:rFonts w:hint="eastAsia" w:ascii="宋体" w:hAnsi="宋体" w:cs="宋体"/>
          <w:sz w:val="24"/>
          <w:highlight w:val="none"/>
        </w:rPr>
      </w:pPr>
      <w:bookmarkStart w:id="116" w:name="_Toc515306401"/>
      <w:r>
        <w:rPr>
          <w:rFonts w:hint="eastAsia" w:ascii="宋体" w:hAnsi="宋体" w:cs="宋体"/>
          <w:sz w:val="24"/>
          <w:highlight w:val="none"/>
        </w:rPr>
        <w:t>4.3服务流程要求</w:t>
      </w:r>
      <w:bookmarkEnd w:id="116"/>
    </w:p>
    <w:p w14:paraId="3E87CF3E">
      <w:pPr>
        <w:pStyle w:val="5"/>
        <w:widowControl/>
        <w:snapToGrid w:val="0"/>
        <w:spacing w:before="0" w:after="0" w:line="312" w:lineRule="auto"/>
        <w:rPr>
          <w:rFonts w:hint="eastAsia" w:ascii="宋体" w:hAnsi="宋体" w:eastAsia="宋体" w:cs="宋体"/>
          <w:sz w:val="24"/>
          <w:highlight w:val="none"/>
        </w:rPr>
      </w:pPr>
      <w:bookmarkStart w:id="117" w:name="_Toc392023969"/>
      <w:bookmarkStart w:id="118" w:name="_Toc381495037"/>
      <w:bookmarkStart w:id="119" w:name="_Toc381168036"/>
      <w:bookmarkStart w:id="120" w:name="_Toc396531639"/>
      <w:bookmarkStart w:id="121" w:name="_Toc487627407"/>
      <w:r>
        <w:rPr>
          <w:rFonts w:hint="eastAsia" w:ascii="宋体" w:hAnsi="宋体" w:eastAsia="宋体" w:cs="宋体"/>
          <w:sz w:val="24"/>
          <w:highlight w:val="none"/>
        </w:rPr>
        <w:t>4.3.1主动式服务</w:t>
      </w:r>
    </w:p>
    <w:p w14:paraId="008086D6">
      <w:pPr>
        <w:pStyle w:val="57"/>
        <w:snapToGrid w:val="0"/>
        <w:spacing w:line="312" w:lineRule="auto"/>
        <w:ind w:firstLineChars="0"/>
        <w:rPr>
          <w:rFonts w:hint="eastAsia" w:ascii="宋体" w:hAnsi="宋体" w:cs="宋体"/>
          <w:highlight w:val="none"/>
        </w:rPr>
      </w:pPr>
      <w:r>
        <w:rPr>
          <w:rFonts w:hint="eastAsia" w:ascii="宋体" w:hAnsi="宋体" w:cs="宋体"/>
          <w:highlight w:val="none"/>
        </w:rPr>
        <w:t>（1）定期预防性维护服务</w:t>
      </w:r>
    </w:p>
    <w:p w14:paraId="608055E1">
      <w:pPr>
        <w:pStyle w:val="57"/>
        <w:snapToGrid w:val="0"/>
        <w:spacing w:line="312" w:lineRule="auto"/>
        <w:ind w:firstLineChars="0"/>
        <w:rPr>
          <w:rFonts w:hint="eastAsia" w:ascii="宋体" w:hAnsi="宋体" w:cs="宋体"/>
          <w:highlight w:val="none"/>
        </w:rPr>
      </w:pPr>
      <w:r>
        <w:rPr>
          <w:rFonts w:hint="eastAsia" w:ascii="宋体" w:hAnsi="宋体" w:cs="宋体"/>
          <w:highlight w:val="none"/>
        </w:rPr>
        <w:t>维护团队根据系统维护服务计划或用户要求为用户提供定期预防性维护服务。此类服务是有计划有步骤进行的，目的是为了提高系统的可使用率和高可靠性，把系统故障的可能性降低到最低。在硬件维护方面，要求维护团队工程师每两周进行一次现场例行检查，为用户维护硬件设备，并为用户替换那些虽然能够工作但不是很正常的部件，以避免系统崩溃的情况发生，防患于未然。在系统服务方面，应指定预防性服务级别，安装预防性PTF软件(补丁软件)检测系统运行状况，解决系统软件问题，使用户的系统保持良好的运行状况。</w:t>
      </w:r>
    </w:p>
    <w:p w14:paraId="675FE14E">
      <w:pPr>
        <w:pStyle w:val="57"/>
        <w:snapToGrid w:val="0"/>
        <w:spacing w:line="312" w:lineRule="auto"/>
        <w:ind w:firstLineChars="0"/>
        <w:rPr>
          <w:rFonts w:hint="eastAsia" w:ascii="宋体" w:hAnsi="宋体" w:cs="宋体"/>
          <w:highlight w:val="none"/>
        </w:rPr>
      </w:pPr>
      <w:r>
        <w:rPr>
          <w:rFonts w:hint="eastAsia" w:ascii="宋体" w:hAnsi="宋体" w:cs="宋体"/>
          <w:highlight w:val="none"/>
        </w:rPr>
        <w:t>（2）系统运行健康检查</w:t>
      </w:r>
    </w:p>
    <w:p w14:paraId="7B52392F">
      <w:pPr>
        <w:pStyle w:val="57"/>
        <w:snapToGrid w:val="0"/>
        <w:spacing w:line="312" w:lineRule="auto"/>
        <w:ind w:firstLineChars="0"/>
        <w:rPr>
          <w:rFonts w:hint="eastAsia" w:ascii="宋体" w:hAnsi="宋体" w:cs="宋体"/>
          <w:highlight w:val="none"/>
        </w:rPr>
      </w:pPr>
      <w:r>
        <w:rPr>
          <w:rFonts w:hint="eastAsia" w:ascii="宋体" w:hAnsi="宋体" w:cs="宋体"/>
          <w:highlight w:val="none"/>
        </w:rPr>
        <w:t>维护团队应提供一月一次的系统运行健康检查，按计划由专家定期对主机系统性能进行诊断，根据结果出具性能诊断报告，并征得用户同意后调整系统参数，使系统始终在最佳状态下运行。对可能出现的问题提供科学预测，并采取必要的预防和补救措施，防患于未然。</w:t>
      </w:r>
    </w:p>
    <w:p w14:paraId="7D6AD8E4">
      <w:pPr>
        <w:pStyle w:val="57"/>
        <w:snapToGrid w:val="0"/>
        <w:spacing w:line="312" w:lineRule="auto"/>
        <w:ind w:firstLineChars="0"/>
        <w:rPr>
          <w:rFonts w:hint="eastAsia" w:ascii="宋体" w:hAnsi="宋体" w:cs="宋体"/>
          <w:highlight w:val="none"/>
        </w:rPr>
      </w:pPr>
      <w:r>
        <w:rPr>
          <w:rFonts w:hint="eastAsia" w:ascii="宋体" w:hAnsi="宋体" w:cs="宋体"/>
          <w:highlight w:val="none"/>
        </w:rPr>
        <w:t>（3）系统运行状况分析</w:t>
      </w:r>
    </w:p>
    <w:p w14:paraId="528270B2">
      <w:pPr>
        <w:pStyle w:val="57"/>
        <w:snapToGrid w:val="0"/>
        <w:spacing w:line="312" w:lineRule="auto"/>
        <w:ind w:firstLineChars="0"/>
        <w:rPr>
          <w:rFonts w:hint="eastAsia" w:ascii="宋体" w:hAnsi="宋体" w:cs="宋体"/>
          <w:highlight w:val="none"/>
        </w:rPr>
      </w:pPr>
      <w:r>
        <w:rPr>
          <w:rFonts w:hint="eastAsia" w:ascii="宋体" w:hAnsi="宋体" w:cs="宋体"/>
          <w:highlight w:val="none"/>
        </w:rPr>
        <w:t>每季一次对系统的运行状况分析。提供本项目系统设备和服务器设备运行状态和性能的分析、评估服务，以提高系统的可靠性、可用性和整体性能。每年一次向用户提交详细的系统可用性、安全性、运行状况分析等预防性维护策略、报告和总结。</w:t>
      </w:r>
    </w:p>
    <w:p w14:paraId="75372849">
      <w:pPr>
        <w:pStyle w:val="5"/>
        <w:widowControl/>
        <w:snapToGrid w:val="0"/>
        <w:spacing w:before="0" w:after="0" w:line="312" w:lineRule="auto"/>
        <w:rPr>
          <w:rFonts w:hint="eastAsia" w:ascii="宋体" w:hAnsi="宋体" w:eastAsia="宋体" w:cs="宋体"/>
          <w:sz w:val="24"/>
          <w:highlight w:val="none"/>
        </w:rPr>
      </w:pPr>
      <w:r>
        <w:rPr>
          <w:rFonts w:hint="eastAsia" w:ascii="宋体" w:hAnsi="宋体" w:eastAsia="宋体" w:cs="宋体"/>
          <w:sz w:val="24"/>
          <w:highlight w:val="none"/>
        </w:rPr>
        <w:t>4.3.2纠错性维护/维修服务</w:t>
      </w:r>
    </w:p>
    <w:p w14:paraId="1EEFA789">
      <w:pPr>
        <w:snapToGrid w:val="0"/>
        <w:spacing w:line="312" w:lineRule="auto"/>
        <w:ind w:firstLine="480" w:firstLineChars="200"/>
        <w:rPr>
          <w:rFonts w:hint="eastAsia" w:ascii="宋体" w:hAnsi="宋体" w:cs="宋体"/>
          <w:sz w:val="24"/>
          <w:highlight w:val="none"/>
        </w:rPr>
      </w:pPr>
      <w:r>
        <w:rPr>
          <w:rFonts w:hint="eastAsia" w:ascii="宋体" w:hAnsi="宋体" w:cs="宋体"/>
          <w:sz w:val="24"/>
          <w:highlight w:val="none"/>
        </w:rPr>
        <w:t>维护团队应提供电话技术支持服务或到场维修服务。在部件服务方面，维护团队应及时确认故障原因，并更换故障部件，恢复系统正常运行。解决系统软件问题，恢复系统软件正常运行，作系统备份，递交系统检查报告等。</w:t>
      </w:r>
    </w:p>
    <w:bookmarkEnd w:id="117"/>
    <w:bookmarkEnd w:id="118"/>
    <w:bookmarkEnd w:id="119"/>
    <w:bookmarkEnd w:id="120"/>
    <w:bookmarkEnd w:id="121"/>
    <w:p w14:paraId="63CB4041">
      <w:pPr>
        <w:pStyle w:val="4"/>
        <w:snapToGrid w:val="0"/>
        <w:spacing w:before="0" w:after="0" w:line="312" w:lineRule="auto"/>
        <w:rPr>
          <w:rFonts w:hint="eastAsia" w:ascii="宋体" w:hAnsi="宋体" w:cs="宋体"/>
          <w:sz w:val="24"/>
          <w:highlight w:val="none"/>
        </w:rPr>
      </w:pPr>
      <w:bookmarkStart w:id="122" w:name="_Toc515306402"/>
      <w:r>
        <w:rPr>
          <w:rFonts w:hint="eastAsia" w:ascii="宋体" w:hAnsi="宋体" w:cs="宋体"/>
          <w:sz w:val="24"/>
          <w:highlight w:val="none"/>
        </w:rPr>
        <w:t>4.4服务响应要求</w:t>
      </w:r>
      <w:bookmarkEnd w:id="122"/>
    </w:p>
    <w:p w14:paraId="6F617589">
      <w:pPr>
        <w:pStyle w:val="5"/>
        <w:widowControl/>
        <w:snapToGrid w:val="0"/>
        <w:spacing w:before="0" w:after="0" w:line="312" w:lineRule="auto"/>
        <w:rPr>
          <w:rFonts w:hint="eastAsia" w:ascii="宋体" w:hAnsi="宋体" w:eastAsia="宋体" w:cs="宋体"/>
          <w:sz w:val="24"/>
          <w:highlight w:val="none"/>
        </w:rPr>
      </w:pPr>
      <w:bookmarkStart w:id="123" w:name="_Toc212361494"/>
      <w:bookmarkStart w:id="124" w:name="_Toc260834785"/>
      <w:bookmarkStart w:id="125" w:name="_Toc222755491"/>
      <w:bookmarkStart w:id="126" w:name="_Toc231812921"/>
      <w:bookmarkStart w:id="127" w:name="_Toc222755194"/>
      <w:r>
        <w:rPr>
          <w:rFonts w:hint="eastAsia" w:ascii="宋体" w:hAnsi="宋体" w:eastAsia="宋体" w:cs="宋体"/>
          <w:sz w:val="24"/>
          <w:highlight w:val="none"/>
        </w:rPr>
        <w:t>4.4.1日常服务响应时间</w:t>
      </w:r>
      <w:bookmarkEnd w:id="123"/>
      <w:bookmarkEnd w:id="124"/>
      <w:bookmarkEnd w:id="125"/>
      <w:bookmarkEnd w:id="126"/>
      <w:bookmarkEnd w:id="127"/>
    </w:p>
    <w:p w14:paraId="1DDC1B2B">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针对本项目采用现场服务方式，响应时间为及时响应。</w:t>
      </w:r>
    </w:p>
    <w:p w14:paraId="0EDDC549">
      <w:pPr>
        <w:pStyle w:val="5"/>
        <w:widowControl/>
        <w:snapToGrid w:val="0"/>
        <w:spacing w:before="0" w:after="0" w:line="312" w:lineRule="auto"/>
        <w:rPr>
          <w:rFonts w:hint="eastAsia" w:ascii="宋体" w:hAnsi="宋体" w:eastAsia="宋体" w:cs="宋体"/>
          <w:sz w:val="24"/>
          <w:highlight w:val="none"/>
        </w:rPr>
      </w:pPr>
      <w:bookmarkStart w:id="128" w:name="_Toc212361495"/>
      <w:bookmarkStart w:id="129" w:name="_Toc231812922"/>
      <w:bookmarkStart w:id="130" w:name="_Toc222755492"/>
      <w:bookmarkStart w:id="131" w:name="_Toc222755195"/>
      <w:bookmarkStart w:id="132" w:name="_Toc260834786"/>
      <w:r>
        <w:rPr>
          <w:rFonts w:hint="eastAsia" w:ascii="宋体" w:hAnsi="宋体" w:eastAsia="宋体" w:cs="宋体"/>
          <w:sz w:val="24"/>
          <w:highlight w:val="none"/>
        </w:rPr>
        <w:t>4.4.2事故分级响应</w:t>
      </w:r>
      <w:bookmarkEnd w:id="128"/>
      <w:bookmarkEnd w:id="129"/>
      <w:bookmarkEnd w:id="130"/>
      <w:bookmarkEnd w:id="131"/>
      <w:r>
        <w:rPr>
          <w:rFonts w:hint="eastAsia" w:ascii="宋体" w:hAnsi="宋体" w:eastAsia="宋体" w:cs="宋体"/>
          <w:sz w:val="24"/>
          <w:highlight w:val="none"/>
        </w:rPr>
        <w:t>服务时间</w:t>
      </w:r>
      <w:bookmarkEnd w:id="132"/>
    </w:p>
    <w:p w14:paraId="73D72B48">
      <w:pPr>
        <w:snapToGrid w:val="0"/>
        <w:spacing w:line="312" w:lineRule="auto"/>
        <w:ind w:firstLine="560"/>
        <w:rPr>
          <w:rFonts w:hint="eastAsia" w:ascii="宋体" w:hAnsi="宋体" w:cs="宋体"/>
          <w:color w:val="000000"/>
          <w:sz w:val="24"/>
          <w:highlight w:val="none"/>
        </w:rPr>
      </w:pPr>
      <w:r>
        <w:rPr>
          <w:rFonts w:hint="eastAsia" w:ascii="宋体" w:hAnsi="宋体" w:cs="宋体"/>
          <w:color w:val="000000"/>
          <w:sz w:val="24"/>
          <w:highlight w:val="none"/>
        </w:rPr>
        <w:t>各级故障事件的最晚响应时间为：</w:t>
      </w:r>
    </w:p>
    <w:tbl>
      <w:tblPr>
        <w:tblStyle w:val="19"/>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989"/>
        <w:gridCol w:w="1808"/>
        <w:gridCol w:w="1808"/>
        <w:gridCol w:w="1808"/>
      </w:tblGrid>
      <w:tr w14:paraId="7A0D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74" w:type="dxa"/>
            <w:vAlign w:val="center"/>
          </w:tcPr>
          <w:p w14:paraId="142225C2">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确认时间</w:t>
            </w:r>
          </w:p>
        </w:tc>
        <w:tc>
          <w:tcPr>
            <w:tcW w:w="1989" w:type="dxa"/>
            <w:vAlign w:val="center"/>
          </w:tcPr>
          <w:p w14:paraId="45213B7E">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一级故障事件</w:t>
            </w:r>
          </w:p>
        </w:tc>
        <w:tc>
          <w:tcPr>
            <w:tcW w:w="1808" w:type="dxa"/>
            <w:vAlign w:val="center"/>
          </w:tcPr>
          <w:p w14:paraId="72EDAC98">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二级故障事件</w:t>
            </w:r>
          </w:p>
        </w:tc>
        <w:tc>
          <w:tcPr>
            <w:tcW w:w="1808" w:type="dxa"/>
            <w:vAlign w:val="center"/>
          </w:tcPr>
          <w:p w14:paraId="38C53BB9">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三级故障事件</w:t>
            </w:r>
          </w:p>
        </w:tc>
        <w:tc>
          <w:tcPr>
            <w:tcW w:w="1808" w:type="dxa"/>
            <w:vAlign w:val="center"/>
          </w:tcPr>
          <w:p w14:paraId="0E12FEE2">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四级故障事件</w:t>
            </w:r>
          </w:p>
        </w:tc>
      </w:tr>
      <w:tr w14:paraId="71F7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74" w:type="dxa"/>
          </w:tcPr>
          <w:p w14:paraId="6C4A3EFA">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1小时</w:t>
            </w:r>
          </w:p>
        </w:tc>
        <w:tc>
          <w:tcPr>
            <w:tcW w:w="1989" w:type="dxa"/>
          </w:tcPr>
          <w:p w14:paraId="20CC27B7">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技术服务人员</w:t>
            </w:r>
          </w:p>
        </w:tc>
        <w:tc>
          <w:tcPr>
            <w:tcW w:w="1808" w:type="dxa"/>
          </w:tcPr>
          <w:p w14:paraId="3E36CD88">
            <w:pPr>
              <w:snapToGrid w:val="0"/>
              <w:jc w:val="center"/>
              <w:rPr>
                <w:rFonts w:hint="eastAsia" w:ascii="宋体" w:hAnsi="宋体" w:cs="宋体"/>
                <w:color w:val="000000"/>
                <w:sz w:val="24"/>
                <w:highlight w:val="none"/>
              </w:rPr>
            </w:pPr>
          </w:p>
        </w:tc>
        <w:tc>
          <w:tcPr>
            <w:tcW w:w="1808" w:type="dxa"/>
          </w:tcPr>
          <w:p w14:paraId="4C1BEA23">
            <w:pPr>
              <w:snapToGrid w:val="0"/>
              <w:jc w:val="center"/>
              <w:rPr>
                <w:rFonts w:hint="eastAsia" w:ascii="宋体" w:hAnsi="宋体" w:cs="宋体"/>
                <w:color w:val="000000"/>
                <w:sz w:val="24"/>
                <w:highlight w:val="none"/>
              </w:rPr>
            </w:pPr>
          </w:p>
        </w:tc>
        <w:tc>
          <w:tcPr>
            <w:tcW w:w="1808" w:type="dxa"/>
          </w:tcPr>
          <w:p w14:paraId="7CAD247C">
            <w:pPr>
              <w:snapToGrid w:val="0"/>
              <w:jc w:val="center"/>
              <w:rPr>
                <w:rFonts w:hint="eastAsia" w:ascii="宋体" w:hAnsi="宋体" w:cs="宋体"/>
                <w:color w:val="000000"/>
                <w:sz w:val="24"/>
                <w:highlight w:val="none"/>
              </w:rPr>
            </w:pPr>
          </w:p>
        </w:tc>
      </w:tr>
      <w:tr w14:paraId="3634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74" w:type="dxa"/>
          </w:tcPr>
          <w:p w14:paraId="222AF278">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4小时</w:t>
            </w:r>
          </w:p>
        </w:tc>
        <w:tc>
          <w:tcPr>
            <w:tcW w:w="1989" w:type="dxa"/>
          </w:tcPr>
          <w:p w14:paraId="4B9828FC">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专业工程师</w:t>
            </w:r>
          </w:p>
        </w:tc>
        <w:tc>
          <w:tcPr>
            <w:tcW w:w="1808" w:type="dxa"/>
          </w:tcPr>
          <w:p w14:paraId="713C9798">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技术服务人员</w:t>
            </w:r>
          </w:p>
        </w:tc>
        <w:tc>
          <w:tcPr>
            <w:tcW w:w="1808" w:type="dxa"/>
          </w:tcPr>
          <w:p w14:paraId="65C986F9">
            <w:pPr>
              <w:snapToGrid w:val="0"/>
              <w:jc w:val="center"/>
              <w:rPr>
                <w:rFonts w:hint="eastAsia" w:ascii="宋体" w:hAnsi="宋体" w:cs="宋体"/>
                <w:color w:val="000000"/>
                <w:sz w:val="24"/>
                <w:highlight w:val="none"/>
              </w:rPr>
            </w:pPr>
          </w:p>
        </w:tc>
        <w:tc>
          <w:tcPr>
            <w:tcW w:w="1808" w:type="dxa"/>
          </w:tcPr>
          <w:p w14:paraId="27CC65BE">
            <w:pPr>
              <w:snapToGrid w:val="0"/>
              <w:jc w:val="center"/>
              <w:rPr>
                <w:rFonts w:hint="eastAsia" w:ascii="宋体" w:hAnsi="宋体" w:cs="宋体"/>
                <w:color w:val="000000"/>
                <w:sz w:val="24"/>
                <w:highlight w:val="none"/>
              </w:rPr>
            </w:pPr>
          </w:p>
        </w:tc>
      </w:tr>
      <w:tr w14:paraId="1208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74" w:type="dxa"/>
          </w:tcPr>
          <w:p w14:paraId="1281E607">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12小时</w:t>
            </w:r>
          </w:p>
        </w:tc>
        <w:tc>
          <w:tcPr>
            <w:tcW w:w="1989" w:type="dxa"/>
          </w:tcPr>
          <w:p w14:paraId="52F31AD6">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技术支持专家</w:t>
            </w:r>
          </w:p>
        </w:tc>
        <w:tc>
          <w:tcPr>
            <w:tcW w:w="1808" w:type="dxa"/>
          </w:tcPr>
          <w:p w14:paraId="16ADBC2F">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专业工程师</w:t>
            </w:r>
          </w:p>
        </w:tc>
        <w:tc>
          <w:tcPr>
            <w:tcW w:w="1808" w:type="dxa"/>
          </w:tcPr>
          <w:p w14:paraId="71F6734C">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技术服务人员</w:t>
            </w:r>
          </w:p>
        </w:tc>
        <w:tc>
          <w:tcPr>
            <w:tcW w:w="1808" w:type="dxa"/>
          </w:tcPr>
          <w:p w14:paraId="03A16316">
            <w:pPr>
              <w:snapToGrid w:val="0"/>
              <w:jc w:val="center"/>
              <w:rPr>
                <w:rFonts w:hint="eastAsia" w:ascii="宋体" w:hAnsi="宋体" w:cs="宋体"/>
                <w:color w:val="000000"/>
                <w:sz w:val="24"/>
                <w:highlight w:val="none"/>
              </w:rPr>
            </w:pPr>
          </w:p>
        </w:tc>
      </w:tr>
      <w:tr w14:paraId="081E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74" w:type="dxa"/>
          </w:tcPr>
          <w:p w14:paraId="3CC29A3D">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24小时</w:t>
            </w:r>
          </w:p>
        </w:tc>
        <w:tc>
          <w:tcPr>
            <w:tcW w:w="1989" w:type="dxa"/>
          </w:tcPr>
          <w:p w14:paraId="148A2B19">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服务项目经理</w:t>
            </w:r>
          </w:p>
        </w:tc>
        <w:tc>
          <w:tcPr>
            <w:tcW w:w="1808" w:type="dxa"/>
          </w:tcPr>
          <w:p w14:paraId="1DB8D74C">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服务项目经理</w:t>
            </w:r>
          </w:p>
        </w:tc>
        <w:tc>
          <w:tcPr>
            <w:tcW w:w="1808" w:type="dxa"/>
          </w:tcPr>
          <w:p w14:paraId="56014829">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专业工程师</w:t>
            </w:r>
          </w:p>
        </w:tc>
        <w:tc>
          <w:tcPr>
            <w:tcW w:w="1808" w:type="dxa"/>
          </w:tcPr>
          <w:p w14:paraId="0133E79E">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技术服务人员</w:t>
            </w:r>
          </w:p>
        </w:tc>
      </w:tr>
    </w:tbl>
    <w:p w14:paraId="6ED40922">
      <w:pPr>
        <w:snapToGrid w:val="0"/>
        <w:spacing w:line="312" w:lineRule="auto"/>
        <w:ind w:firstLine="560"/>
        <w:rPr>
          <w:rFonts w:hint="eastAsia" w:ascii="宋体" w:hAnsi="宋体" w:cs="宋体"/>
          <w:color w:val="000000"/>
          <w:sz w:val="24"/>
          <w:highlight w:val="none"/>
        </w:rPr>
      </w:pPr>
      <w:r>
        <w:rPr>
          <w:rFonts w:hint="eastAsia" w:ascii="宋体" w:hAnsi="宋体" w:cs="宋体"/>
          <w:color w:val="000000"/>
          <w:sz w:val="24"/>
          <w:highlight w:val="none"/>
        </w:rPr>
        <w:t>故障事件等级划分如下：</w:t>
      </w:r>
    </w:p>
    <w:p w14:paraId="0C7E96A1">
      <w:pPr>
        <w:snapToGrid w:val="0"/>
        <w:spacing w:line="312" w:lineRule="auto"/>
        <w:ind w:firstLine="480" w:firstLineChars="200"/>
        <w:rPr>
          <w:rFonts w:hint="eastAsia" w:ascii="宋体" w:hAnsi="宋体" w:cs="宋体"/>
          <w:sz w:val="24"/>
          <w:highlight w:val="none"/>
        </w:rPr>
      </w:pPr>
      <w:r>
        <w:rPr>
          <w:rFonts w:ascii="Wingdings" w:hAnsi="Wingdings" w:cs="宋体"/>
          <w:color w:val="000000"/>
          <w:sz w:val="24"/>
          <w:highlight w:val="none"/>
        </w:rPr>
        <w:t></w:t>
      </w:r>
      <w:r>
        <w:rPr>
          <w:rFonts w:hint="eastAsia" w:ascii="宋体" w:hAnsi="宋体" w:cs="宋体"/>
          <w:sz w:val="24"/>
          <w:highlight w:val="none"/>
        </w:rPr>
        <w:t>一级故障事件：现有的网络或系统停机，或遭到严重攻击行为或安全事件，对系统的业务运作有重大影响；</w:t>
      </w:r>
    </w:p>
    <w:p w14:paraId="45E3B653">
      <w:pPr>
        <w:snapToGrid w:val="0"/>
        <w:spacing w:line="312" w:lineRule="auto"/>
        <w:ind w:firstLine="480" w:firstLineChars="200"/>
        <w:rPr>
          <w:rFonts w:hint="eastAsia" w:ascii="宋体" w:hAnsi="宋体" w:cs="宋体"/>
          <w:sz w:val="24"/>
          <w:highlight w:val="none"/>
        </w:rPr>
      </w:pPr>
      <w:r>
        <w:rPr>
          <w:rFonts w:ascii="Wingdings" w:hAnsi="Wingdings" w:cs="宋体"/>
          <w:color w:val="000000"/>
          <w:sz w:val="24"/>
          <w:highlight w:val="none"/>
        </w:rPr>
        <w:t></w:t>
      </w:r>
      <w:r>
        <w:rPr>
          <w:rFonts w:hint="eastAsia" w:ascii="宋体" w:hAnsi="宋体" w:cs="宋体"/>
          <w:sz w:val="24"/>
          <w:highlight w:val="none"/>
        </w:rPr>
        <w:t>二级故障事件：现有网络或系统的操作性能严重降级，或由于网络性能失常或安全事件严重影响系统用户业务运作；</w:t>
      </w:r>
    </w:p>
    <w:p w14:paraId="62F1722F">
      <w:pPr>
        <w:snapToGrid w:val="0"/>
        <w:spacing w:line="312" w:lineRule="auto"/>
        <w:ind w:firstLine="480" w:firstLineChars="200"/>
        <w:rPr>
          <w:rFonts w:hint="eastAsia" w:ascii="宋体" w:hAnsi="宋体" w:cs="宋体"/>
          <w:sz w:val="24"/>
          <w:highlight w:val="none"/>
        </w:rPr>
      </w:pPr>
      <w:r>
        <w:rPr>
          <w:rFonts w:ascii="Wingdings" w:hAnsi="Wingdings" w:cs="宋体"/>
          <w:color w:val="000000"/>
          <w:sz w:val="24"/>
          <w:highlight w:val="none"/>
        </w:rPr>
        <w:t></w:t>
      </w:r>
      <w:r>
        <w:rPr>
          <w:rFonts w:hint="eastAsia" w:ascii="宋体" w:hAnsi="宋体" w:cs="宋体"/>
          <w:sz w:val="24"/>
          <w:highlight w:val="none"/>
        </w:rPr>
        <w:t>三级故障事件：网络或系统的操作性能受损，安全事件（例如病毒在小范围内发作），但大部分业务运作仍可正常工作；</w:t>
      </w:r>
    </w:p>
    <w:p w14:paraId="100E61E9">
      <w:pPr>
        <w:snapToGrid w:val="0"/>
        <w:spacing w:line="312" w:lineRule="auto"/>
        <w:ind w:firstLine="480" w:firstLineChars="200"/>
        <w:rPr>
          <w:rFonts w:hint="eastAsia" w:ascii="宋体" w:hAnsi="宋体" w:cs="宋体"/>
          <w:sz w:val="24"/>
          <w:highlight w:val="none"/>
        </w:rPr>
      </w:pPr>
      <w:r>
        <w:rPr>
          <w:rFonts w:ascii="Wingdings" w:hAnsi="Wingdings" w:cs="宋体"/>
          <w:color w:val="000000"/>
          <w:sz w:val="24"/>
          <w:highlight w:val="none"/>
        </w:rPr>
        <w:t></w:t>
      </w:r>
      <w:r>
        <w:rPr>
          <w:rFonts w:hint="eastAsia" w:ascii="宋体" w:hAnsi="宋体" w:cs="宋体"/>
          <w:sz w:val="24"/>
          <w:highlight w:val="none"/>
        </w:rPr>
        <w:t>四级故障事件：在网络、服务器、存储、安全设备功能、安装或配置方面需要调整或优化。本级故障事件对系统的业务运作几乎无影响，或影响很小。</w:t>
      </w:r>
    </w:p>
    <w:p w14:paraId="52958121">
      <w:pPr>
        <w:snapToGrid w:val="0"/>
        <w:spacing w:line="312" w:lineRule="auto"/>
        <w:ind w:firstLine="560"/>
        <w:rPr>
          <w:rFonts w:hint="eastAsia" w:ascii="宋体" w:hAnsi="宋体" w:cs="宋体"/>
          <w:sz w:val="24"/>
          <w:highlight w:val="none"/>
        </w:rPr>
      </w:pPr>
      <w:r>
        <w:rPr>
          <w:rFonts w:hint="eastAsia" w:ascii="宋体" w:hAnsi="宋体" w:cs="宋体"/>
          <w:color w:val="000000"/>
          <w:sz w:val="24"/>
          <w:highlight w:val="none"/>
        </w:rPr>
        <w:t>依据事故重要性和紧急性的原则</w:t>
      </w:r>
      <w:r>
        <w:rPr>
          <w:rFonts w:hint="eastAsia" w:ascii="宋体" w:hAnsi="宋体" w:cs="宋体"/>
          <w:sz w:val="24"/>
          <w:highlight w:val="none"/>
        </w:rPr>
        <w:t>，每一级事故严格定义升级时间，其中在二级事故和一级事故应急处理过程中，要及时考虑替代恢复方案，尽可能在最短的时间内恢复业务系统。其中三级事故的处理，驻场服务人员在事故响应，如果不能快速判断问题所在，可以寻求整个服务团队的支持。在一、二级事故判断中，服务人员在监控中发现问题，一方面应迅速将问题向部门领导进行反应，一方面须快速判断问题和收集事故信息，涉及到具体产品提供商或服务商内，及时告知客户协调相关厂商现场支持。为保障业务平台的正常运行，除对突发故障的应急支持外，要充分保障日常对业务系统软硬件的应急灾备恢复预案，并通过定期的演练加强应对突发事故的意识和流程。</w:t>
      </w:r>
    </w:p>
    <w:p w14:paraId="2C77FBB1">
      <w:pPr>
        <w:pStyle w:val="4"/>
        <w:snapToGrid w:val="0"/>
        <w:spacing w:before="0" w:after="0" w:line="312" w:lineRule="auto"/>
        <w:rPr>
          <w:rFonts w:hint="eastAsia" w:ascii="宋体" w:hAnsi="宋体" w:cs="宋体"/>
          <w:sz w:val="24"/>
          <w:highlight w:val="none"/>
        </w:rPr>
      </w:pPr>
      <w:bookmarkStart w:id="133" w:name="_Toc515306403"/>
      <w:r>
        <w:rPr>
          <w:rFonts w:hint="eastAsia" w:ascii="宋体" w:hAnsi="宋体" w:cs="宋体"/>
          <w:sz w:val="24"/>
          <w:highlight w:val="none"/>
        </w:rPr>
        <w:t>4.5服务报告要求</w:t>
      </w:r>
      <w:bookmarkEnd w:id="133"/>
    </w:p>
    <w:p w14:paraId="07005C42">
      <w:pPr>
        <w:snapToGrid w:val="0"/>
        <w:spacing w:line="312" w:lineRule="auto"/>
        <w:ind w:firstLine="480"/>
        <w:rPr>
          <w:rFonts w:hint="eastAsia" w:ascii="宋体" w:hAnsi="宋体" w:cs="宋体"/>
          <w:sz w:val="24"/>
          <w:highlight w:val="none"/>
        </w:rPr>
      </w:pPr>
      <w:r>
        <w:rPr>
          <w:rFonts w:hint="eastAsia" w:ascii="宋体" w:hAnsi="宋体" w:cs="宋体"/>
          <w:sz w:val="24"/>
          <w:highlight w:val="none"/>
        </w:rPr>
        <w:t>维护团队定期提供服务报告，服务期结束前应提供服务年报，并对每一次重大故障和问题的原因、解决方法、完成情况等形成专门报告，及时报送用户部门和服务管理部门。在运维服务过程中将产生不限于以下的记录和报告：</w:t>
      </w:r>
    </w:p>
    <w:p w14:paraId="54142A95">
      <w:pPr>
        <w:snapToGrid w:val="0"/>
        <w:spacing w:line="312" w:lineRule="auto"/>
        <w:ind w:left="982" w:hanging="42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日常维护报告</w:t>
      </w:r>
    </w:p>
    <w:p w14:paraId="3DFE30D6">
      <w:pPr>
        <w:snapToGrid w:val="0"/>
        <w:spacing w:line="312" w:lineRule="auto"/>
        <w:ind w:left="982" w:hanging="42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系统巡检日志</w:t>
      </w:r>
    </w:p>
    <w:p w14:paraId="1151B79A">
      <w:pPr>
        <w:snapToGrid w:val="0"/>
        <w:spacing w:line="312" w:lineRule="auto"/>
        <w:ind w:left="982" w:hanging="42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系统维护记录</w:t>
      </w:r>
    </w:p>
    <w:p w14:paraId="2C0C111D">
      <w:pPr>
        <w:snapToGrid w:val="0"/>
        <w:spacing w:line="312" w:lineRule="auto"/>
        <w:ind w:left="982" w:hanging="42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系统优化记录</w:t>
      </w:r>
    </w:p>
    <w:p w14:paraId="549DF70F">
      <w:pPr>
        <w:snapToGrid w:val="0"/>
        <w:spacing w:line="312" w:lineRule="auto"/>
        <w:ind w:left="982" w:hanging="42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各类优化的管理制度</w:t>
      </w:r>
    </w:p>
    <w:p w14:paraId="7D85FA4B">
      <w:pPr>
        <w:snapToGrid w:val="0"/>
        <w:spacing w:line="312" w:lineRule="auto"/>
        <w:ind w:left="982" w:hanging="42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故障分析处理记录</w:t>
      </w:r>
    </w:p>
    <w:p w14:paraId="2A600347">
      <w:pPr>
        <w:snapToGrid w:val="0"/>
        <w:spacing w:line="312" w:lineRule="auto"/>
        <w:ind w:left="982" w:hanging="42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故障整改方案和建议</w:t>
      </w:r>
    </w:p>
    <w:p w14:paraId="2E0BFA62">
      <w:pPr>
        <w:snapToGrid w:val="0"/>
        <w:spacing w:line="312" w:lineRule="auto"/>
        <w:ind w:left="982" w:hanging="42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交接班登记表</w:t>
      </w:r>
    </w:p>
    <w:p w14:paraId="61AA6849">
      <w:pPr>
        <w:snapToGrid w:val="0"/>
        <w:spacing w:line="312" w:lineRule="auto"/>
        <w:ind w:left="982" w:hanging="420"/>
        <w:rPr>
          <w:rFonts w:hint="eastAsia" w:ascii="宋体" w:hAnsi="宋体" w:cs="宋体"/>
          <w:sz w:val="24"/>
          <w:highlight w:val="none"/>
        </w:rPr>
      </w:pPr>
      <w:r>
        <w:rPr>
          <w:rFonts w:ascii="Wingdings" w:hAnsi="Wingdings" w:cs="宋体"/>
          <w:sz w:val="24"/>
          <w:highlight w:val="none"/>
        </w:rPr>
        <w:t></w:t>
      </w:r>
      <w:r>
        <w:rPr>
          <w:rFonts w:hint="eastAsia" w:ascii="宋体" w:hAnsi="宋体" w:cs="宋体"/>
          <w:sz w:val="24"/>
          <w:highlight w:val="none"/>
        </w:rPr>
        <w:t>重大故障记录报告</w:t>
      </w:r>
    </w:p>
    <w:p w14:paraId="247F6CB6">
      <w:pPr>
        <w:pStyle w:val="4"/>
        <w:snapToGrid w:val="0"/>
        <w:spacing w:before="0" w:after="0" w:line="312" w:lineRule="auto"/>
        <w:rPr>
          <w:rFonts w:hint="eastAsia" w:ascii="宋体" w:hAnsi="宋体" w:cs="宋体"/>
          <w:sz w:val="24"/>
          <w:highlight w:val="none"/>
        </w:rPr>
      </w:pPr>
      <w:bookmarkStart w:id="134" w:name="_Toc515306404"/>
      <w:r>
        <w:rPr>
          <w:rFonts w:hint="eastAsia" w:ascii="宋体" w:hAnsi="宋体" w:cs="宋体"/>
          <w:sz w:val="24"/>
          <w:highlight w:val="none"/>
        </w:rPr>
        <w:t>4.6项目管理要求</w:t>
      </w:r>
      <w:bookmarkEnd w:id="134"/>
    </w:p>
    <w:p w14:paraId="068A8A8C">
      <w:pPr>
        <w:snapToGrid w:val="0"/>
        <w:spacing w:line="312" w:lineRule="auto"/>
        <w:ind w:firstLine="480" w:firstLineChars="200"/>
        <w:rPr>
          <w:rFonts w:hint="eastAsia" w:ascii="宋体" w:hAnsi="宋体" w:cs="宋体"/>
          <w:sz w:val="24"/>
          <w:highlight w:val="none"/>
        </w:rPr>
      </w:pPr>
      <w:r>
        <w:rPr>
          <w:rFonts w:hint="eastAsia" w:ascii="宋体" w:hAnsi="宋体" w:cs="宋体"/>
          <w:sz w:val="24"/>
          <w:highlight w:val="none"/>
          <w:u w:val="single"/>
        </w:rPr>
        <w:t>维护团队应指定（除驻场工程师外）具有专业知识的资深管理人员负责本项目的项目管理以及驻场工程师缺勤轮换</w:t>
      </w:r>
      <w:r>
        <w:rPr>
          <w:rFonts w:hint="eastAsia" w:ascii="宋体" w:hAnsi="宋体" w:cs="宋体"/>
          <w:sz w:val="24"/>
          <w:highlight w:val="none"/>
        </w:rPr>
        <w:t>，统筹相关工作，项目监督与情况汇报，控制工作质量和预算，执行变更和应急情况管理，并根据实际状况调整服务方人员安排，以保证此项目的正常高效运作。</w:t>
      </w:r>
    </w:p>
    <w:p w14:paraId="24E7833A">
      <w:pPr>
        <w:pStyle w:val="4"/>
        <w:snapToGrid w:val="0"/>
        <w:spacing w:before="0" w:after="0" w:line="312" w:lineRule="auto"/>
        <w:rPr>
          <w:rFonts w:hint="eastAsia" w:ascii="宋体" w:hAnsi="宋体" w:cs="宋体"/>
          <w:sz w:val="24"/>
          <w:highlight w:val="none"/>
        </w:rPr>
      </w:pPr>
      <w:bookmarkStart w:id="135" w:name="_Toc515306405"/>
      <w:r>
        <w:rPr>
          <w:rFonts w:hint="eastAsia" w:ascii="宋体" w:hAnsi="宋体" w:cs="宋体"/>
          <w:sz w:val="24"/>
          <w:highlight w:val="none"/>
        </w:rPr>
        <w:t>4.7质量管理要求</w:t>
      </w:r>
      <w:bookmarkEnd w:id="135"/>
    </w:p>
    <w:p w14:paraId="60B316BD">
      <w:pPr>
        <w:snapToGrid w:val="0"/>
        <w:spacing w:line="312" w:lineRule="auto"/>
        <w:ind w:firstLine="480" w:firstLineChars="200"/>
        <w:rPr>
          <w:rFonts w:hint="eastAsia" w:ascii="宋体" w:hAnsi="宋体" w:cs="宋体"/>
          <w:sz w:val="24"/>
          <w:highlight w:val="none"/>
        </w:rPr>
      </w:pPr>
      <w:r>
        <w:rPr>
          <w:rFonts w:hint="eastAsia" w:ascii="宋体" w:hAnsi="宋体" w:cs="宋体"/>
          <w:sz w:val="24"/>
          <w:highlight w:val="none"/>
        </w:rPr>
        <w:t>维护团队应根据本项目要求提出服务质量管理及监控具体措施，并对所提供的服务质量和标准做出明确可量化的承诺。</w:t>
      </w:r>
    </w:p>
    <w:p w14:paraId="4BDDB207">
      <w:pPr>
        <w:pStyle w:val="4"/>
        <w:snapToGrid w:val="0"/>
        <w:spacing w:before="0" w:after="0" w:line="312" w:lineRule="auto"/>
        <w:rPr>
          <w:rFonts w:hint="eastAsia" w:ascii="宋体" w:hAnsi="宋体" w:cs="宋体"/>
          <w:sz w:val="24"/>
          <w:highlight w:val="none"/>
        </w:rPr>
      </w:pPr>
      <w:bookmarkStart w:id="136" w:name="_Toc515306406"/>
      <w:r>
        <w:rPr>
          <w:rFonts w:hint="eastAsia" w:ascii="宋体" w:hAnsi="宋体" w:cs="宋体"/>
          <w:sz w:val="24"/>
          <w:highlight w:val="none"/>
        </w:rPr>
        <w:t>4.8技术交流及培训</w:t>
      </w:r>
      <w:bookmarkEnd w:id="136"/>
    </w:p>
    <w:p w14:paraId="74701514">
      <w:pPr>
        <w:snapToGrid w:val="0"/>
        <w:spacing w:line="312" w:lineRule="auto"/>
        <w:ind w:firstLine="480" w:firstLineChars="200"/>
        <w:rPr>
          <w:rFonts w:hint="eastAsia" w:ascii="宋体" w:hAnsi="宋体" w:cs="宋体"/>
          <w:sz w:val="24"/>
          <w:highlight w:val="none"/>
        </w:rPr>
      </w:pPr>
      <w:r>
        <w:rPr>
          <w:rFonts w:hint="eastAsia" w:ascii="宋体" w:hAnsi="宋体" w:cs="宋体"/>
          <w:sz w:val="24"/>
          <w:highlight w:val="none"/>
        </w:rPr>
        <w:t>维护团队应提供必须的服务技能培训，并对相关技术问题进行充分交流，以提高用户技术水平，使用户能熟练使用现有系统。培训包括不定期或面对面培训，并提供对部分用户简单故障排除方法培训</w:t>
      </w:r>
      <w:bookmarkEnd w:id="82"/>
      <w:bookmarkEnd w:id="83"/>
      <w:bookmarkEnd w:id="84"/>
      <w:bookmarkEnd w:id="85"/>
      <w:r>
        <w:rPr>
          <w:rFonts w:hint="eastAsia" w:ascii="宋体" w:hAnsi="宋体" w:cs="宋体"/>
          <w:sz w:val="24"/>
          <w:highlight w:val="none"/>
        </w:rPr>
        <w:t>。</w:t>
      </w:r>
    </w:p>
    <w:p w14:paraId="5FAF29A5">
      <w:pPr>
        <w:snapToGrid w:val="0"/>
        <w:spacing w:line="312" w:lineRule="auto"/>
        <w:rPr>
          <w:rFonts w:hint="eastAsia" w:ascii="宋体" w:hAnsi="宋体" w:cs="宋体"/>
          <w:b/>
          <w:sz w:val="24"/>
          <w:highlight w:val="none"/>
        </w:rPr>
      </w:pPr>
      <w:r>
        <w:rPr>
          <w:rFonts w:hint="eastAsia" w:ascii="宋体" w:hAnsi="宋体" w:cs="宋体"/>
          <w:b/>
          <w:sz w:val="24"/>
          <w:highlight w:val="none"/>
        </w:rPr>
        <w:t>5.操作流程</w:t>
      </w:r>
    </w:p>
    <w:p w14:paraId="7FDE2822">
      <w:pPr>
        <w:kinsoku w:val="0"/>
        <w:autoSpaceDE w:val="0"/>
        <w:autoSpaceDN w:val="0"/>
        <w:adjustRightInd w:val="0"/>
        <w:snapToGrid w:val="0"/>
        <w:spacing w:line="500" w:lineRule="exact"/>
        <w:ind w:firstLine="480" w:firstLineChars="200"/>
        <w:jc w:val="left"/>
        <w:outlineLvl w:val="1"/>
        <w:rPr>
          <w:rFonts w:hint="eastAsia" w:ascii="宋体" w:hAnsi="宋体" w:cs="宋体"/>
          <w:color w:val="000000" w:themeColor="text1"/>
          <w:highlight w:val="none"/>
          <w14:textFill>
            <w14:solidFill>
              <w14:schemeClr w14:val="tx1"/>
            </w14:solidFill>
          </w14:textFill>
        </w:rPr>
        <w:sectPr>
          <w:footerReference r:id="rId7" w:type="default"/>
          <w:pgSz w:w="11907" w:h="16840"/>
          <w:pgMar w:top="1417" w:right="1417" w:bottom="1417" w:left="1417" w:header="964" w:footer="992" w:gutter="0"/>
          <w:cols w:space="720" w:num="1"/>
          <w:docGrid w:linePitch="312" w:charSpace="0"/>
        </w:sectPr>
      </w:pPr>
      <w:r>
        <w:rPr>
          <w:rFonts w:hint="eastAsia" w:ascii="宋体" w:hAnsi="宋体" w:cs="宋体"/>
          <w:sz w:val="24"/>
          <w:highlight w:val="none"/>
          <w:u w:val="single"/>
        </w:rPr>
        <w:t>供应商需提供本所内的各个系统的操作流程及规范并形成操作手册，经业主单位研究确定后严格按照此手册进行运行维护，超出手册内约定的维护手段需征求业主单位同意后方可实施。</w:t>
      </w:r>
    </w:p>
    <w:p w14:paraId="106B563C">
      <w:pPr>
        <w:pStyle w:val="2"/>
        <w:keepNext w:val="0"/>
        <w:kinsoku w:val="0"/>
        <w:autoSpaceDE w:val="0"/>
        <w:autoSpaceDN w:val="0"/>
        <w:adjustRightInd w:val="0"/>
        <w:spacing w:before="120" w:beforeLines="50" w:after="120" w:afterLines="50" w:line="500" w:lineRule="exact"/>
        <w:jc w:val="center"/>
        <w:rPr>
          <w:rFonts w:hint="eastAsia" w:hAnsi="宋体" w:cs="宋体"/>
          <w:b/>
          <w:bCs/>
          <w:color w:val="000000" w:themeColor="text1"/>
          <w:sz w:val="36"/>
          <w:szCs w:val="36"/>
          <w:highlight w:val="none"/>
          <w14:textFill>
            <w14:solidFill>
              <w14:schemeClr w14:val="tx1"/>
            </w14:solidFill>
          </w14:textFill>
        </w:rPr>
      </w:pPr>
      <w:bookmarkStart w:id="137" w:name="_Toc25662"/>
      <w:bookmarkStart w:id="138" w:name="_Toc23374"/>
      <w:r>
        <w:rPr>
          <w:rFonts w:hint="eastAsia" w:hAnsi="宋体" w:cs="宋体"/>
          <w:b/>
          <w:bCs/>
          <w:color w:val="000000" w:themeColor="text1"/>
          <w:sz w:val="36"/>
          <w:szCs w:val="36"/>
          <w:highlight w:val="none"/>
          <w14:textFill>
            <w14:solidFill>
              <w14:schemeClr w14:val="tx1"/>
            </w14:solidFill>
          </w14:textFill>
        </w:rPr>
        <w:t xml:space="preserve">第三篇  </w:t>
      </w:r>
      <w:bookmarkEnd w:id="62"/>
      <w:r>
        <w:rPr>
          <w:rFonts w:hint="eastAsia" w:hAnsi="宋体" w:cs="宋体"/>
          <w:b/>
          <w:bCs/>
          <w:color w:val="000000" w:themeColor="text1"/>
          <w:sz w:val="36"/>
          <w:szCs w:val="36"/>
          <w:highlight w:val="none"/>
          <w14:textFill>
            <w14:solidFill>
              <w14:schemeClr w14:val="tx1"/>
            </w14:solidFill>
          </w14:textFill>
        </w:rPr>
        <w:t>项目商务需求</w:t>
      </w:r>
      <w:bookmarkEnd w:id="137"/>
      <w:bookmarkEnd w:id="138"/>
    </w:p>
    <w:p w14:paraId="27C7E8CF">
      <w:pPr>
        <w:kinsoku w:val="0"/>
        <w:autoSpaceDE w:val="0"/>
        <w:autoSpaceDN w:val="0"/>
        <w:adjustRightInd w:val="0"/>
        <w:snapToGrid w:val="0"/>
        <w:spacing w:line="500" w:lineRule="exact"/>
        <w:ind w:firstLine="480" w:firstLineChars="200"/>
        <w:outlineLvl w:val="1"/>
        <w:rPr>
          <w:rFonts w:hint="eastAsia" w:ascii="宋体" w:hAnsi="宋体" w:cs="宋体"/>
          <w:color w:val="000000" w:themeColor="text1"/>
          <w:sz w:val="24"/>
          <w:highlight w:val="none"/>
          <w14:textFill>
            <w14:solidFill>
              <w14:schemeClr w14:val="tx1"/>
            </w14:solidFill>
          </w14:textFill>
        </w:rPr>
      </w:pPr>
      <w:bookmarkStart w:id="139" w:name="_Toc14755"/>
      <w:bookmarkStart w:id="140" w:name="_Toc1935"/>
      <w:r>
        <w:rPr>
          <w:rFonts w:hint="eastAsia" w:ascii="宋体" w:hAnsi="宋体" w:cs="宋体"/>
          <w:color w:val="000000" w:themeColor="text1"/>
          <w:sz w:val="24"/>
          <w:highlight w:val="none"/>
          <w14:textFill>
            <w14:solidFill>
              <w14:schemeClr w14:val="tx1"/>
            </w14:solidFill>
          </w14:textFill>
        </w:rPr>
        <w:t>一、实施时间、地点及验收方式</w:t>
      </w:r>
      <w:bookmarkEnd w:id="139"/>
      <w:bookmarkEnd w:id="140"/>
    </w:p>
    <w:p w14:paraId="0F85EABB">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（一）实施时间：2026年1月1日至2026年12月31日。</w:t>
      </w:r>
    </w:p>
    <w:p w14:paraId="6CBFA73D">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（二）实施地点：采购人指定地点。</w:t>
      </w:r>
    </w:p>
    <w:p w14:paraId="65691E63">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（三）验收方式：</w:t>
      </w:r>
    </w:p>
    <w:p w14:paraId="33188761">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1.合同、竞争采购文件和响应文件作为项目验收的主要内容和依据。</w:t>
      </w:r>
    </w:p>
    <w:p w14:paraId="2802E159">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2.由采购人组织，根据合同内容对成果进行验收，审核成交供应商出具的验收报告，验收结论为合格或不合格。</w:t>
      </w:r>
    </w:p>
    <w:p w14:paraId="39A53962">
      <w:pPr>
        <w:kinsoku w:val="0"/>
        <w:autoSpaceDE w:val="0"/>
        <w:autoSpaceDN w:val="0"/>
        <w:adjustRightInd w:val="0"/>
        <w:snapToGrid w:val="0"/>
        <w:spacing w:line="500" w:lineRule="exact"/>
        <w:ind w:firstLine="480" w:firstLineChars="200"/>
        <w:outlineLvl w:val="1"/>
        <w:rPr>
          <w:rFonts w:hint="eastAsia" w:ascii="宋体" w:hAnsi="宋体" w:cs="宋体"/>
          <w:color w:val="000000" w:themeColor="text1"/>
          <w:sz w:val="24"/>
          <w:highlight w:val="none"/>
          <w14:textFill>
            <w14:solidFill>
              <w14:schemeClr w14:val="tx1"/>
            </w14:solidFill>
          </w14:textFill>
        </w:rPr>
      </w:pPr>
      <w:bookmarkStart w:id="141" w:name="_Toc11637"/>
      <w:bookmarkStart w:id="142" w:name="_Toc5973"/>
      <w:r>
        <w:rPr>
          <w:rFonts w:hint="eastAsia" w:ascii="宋体" w:hAnsi="宋体" w:cs="宋体"/>
          <w:color w:val="000000" w:themeColor="text1"/>
          <w:sz w:val="24"/>
          <w:highlight w:val="none"/>
          <w14:textFill>
            <w14:solidFill>
              <w14:schemeClr w14:val="tx1"/>
            </w14:solidFill>
          </w14:textFill>
        </w:rPr>
        <w:t>二、报价要求</w:t>
      </w:r>
      <w:bookmarkEnd w:id="141"/>
      <w:bookmarkEnd w:id="142"/>
    </w:p>
    <w:p w14:paraId="3C3BF91B">
      <w:pPr>
        <w:kinsoku w:val="0"/>
        <w:autoSpaceDE w:val="0"/>
        <w:autoSpaceDN w:val="0"/>
        <w:adjustRightInd w:val="0"/>
        <w:snapToGrid w:val="0"/>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本次报价须为人民币报价，包括完成项目实施和服务的完整报价，包括人工费、资料费、通讯费、税金等所有价格。因成交供应商自身原因造成漏报、少报皆由其自行承担责任，采购人不再补偿。</w:t>
      </w:r>
    </w:p>
    <w:p w14:paraId="5CEA6C8E">
      <w:pPr>
        <w:kinsoku w:val="0"/>
        <w:autoSpaceDE w:val="0"/>
        <w:autoSpaceDN w:val="0"/>
        <w:adjustRightInd w:val="0"/>
        <w:snapToGrid w:val="0"/>
        <w:spacing w:line="500" w:lineRule="exact"/>
        <w:ind w:firstLine="480" w:firstLineChars="200"/>
        <w:outlineLvl w:val="1"/>
        <w:rPr>
          <w:rFonts w:hint="eastAsia" w:ascii="宋体" w:hAnsi="宋体" w:cs="宋体"/>
          <w:color w:val="000000" w:themeColor="text1"/>
          <w:sz w:val="24"/>
          <w:highlight w:val="none"/>
          <w14:textFill>
            <w14:solidFill>
              <w14:schemeClr w14:val="tx1"/>
            </w14:solidFill>
          </w14:textFill>
        </w:rPr>
      </w:pPr>
      <w:bookmarkStart w:id="143" w:name="_Toc27282"/>
      <w:bookmarkStart w:id="144" w:name="_Toc4016"/>
      <w:r>
        <w:rPr>
          <w:rFonts w:hint="eastAsia" w:ascii="宋体" w:hAnsi="宋体" w:cs="宋体"/>
          <w:color w:val="000000" w:themeColor="text1"/>
          <w:sz w:val="24"/>
          <w:highlight w:val="none"/>
          <w14:textFill>
            <w14:solidFill>
              <w14:schemeClr w14:val="tx1"/>
            </w14:solidFill>
          </w14:textFill>
        </w:rPr>
        <w:t>三、履约担保</w:t>
      </w:r>
      <w:bookmarkEnd w:id="143"/>
      <w:bookmarkEnd w:id="144"/>
    </w:p>
    <w:p w14:paraId="5983271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（一）中选人是否提供履约担保：提供。</w:t>
      </w:r>
    </w:p>
    <w:p w14:paraId="5E27EE92">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（二）中选人提供履约担保的形式、金额及期限：</w:t>
      </w:r>
    </w:p>
    <w:p w14:paraId="1391BE94">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（三）履约担保的形式：现金或银行保函或现金+银行保函的组合；采用银行保函形式的，保函必须为不可撤销且见索即付。</w:t>
      </w:r>
    </w:p>
    <w:p w14:paraId="38B9A73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（四）履约担保的金额：中标合同金额的5%。</w:t>
      </w:r>
    </w:p>
    <w:p w14:paraId="04A96F82">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（五）履约担保的提交时间：签订合同前。</w:t>
      </w:r>
    </w:p>
    <w:p w14:paraId="23BCB32C">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（六）履约担保期限及退还时间：履约保证金以现金方式缴纳的，供货安装完成并经中选人申请后一个月内无息退还。履约保证金以银行保函方式缴纳的，供货安装完成并经中选人申请后一个月内解保。</w:t>
      </w:r>
    </w:p>
    <w:p w14:paraId="6738CCAD">
      <w:pPr>
        <w:kinsoku w:val="0"/>
        <w:autoSpaceDE w:val="0"/>
        <w:autoSpaceDN w:val="0"/>
        <w:adjustRightInd w:val="0"/>
        <w:snapToGrid w:val="0"/>
        <w:spacing w:line="500" w:lineRule="exact"/>
        <w:ind w:firstLine="480" w:firstLineChars="200"/>
        <w:outlineLvl w:val="1"/>
        <w:rPr>
          <w:rFonts w:hint="eastAsia" w:ascii="宋体" w:hAnsi="宋体" w:cs="宋体"/>
          <w:color w:val="000000" w:themeColor="text1"/>
          <w:sz w:val="24"/>
          <w:highlight w:val="none"/>
          <w14:textFill>
            <w14:solidFill>
              <w14:schemeClr w14:val="tx1"/>
            </w14:solidFill>
          </w14:textFill>
        </w:rPr>
      </w:pPr>
      <w:bookmarkStart w:id="145" w:name="_Toc28905"/>
      <w:bookmarkStart w:id="146" w:name="_Toc27287"/>
      <w:r>
        <w:rPr>
          <w:rFonts w:hint="eastAsia" w:ascii="宋体" w:hAnsi="宋体" w:cs="宋体"/>
          <w:color w:val="000000" w:themeColor="text1"/>
          <w:sz w:val="24"/>
          <w:highlight w:val="none"/>
          <w14:textFill>
            <w14:solidFill>
              <w14:schemeClr w14:val="tx1"/>
            </w14:solidFill>
          </w14:textFill>
        </w:rPr>
        <w:t>四、付款方式</w:t>
      </w:r>
      <w:bookmarkEnd w:id="145"/>
      <w:bookmarkEnd w:id="146"/>
    </w:p>
    <w:p w14:paraId="2B25A173">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w:t>
      </w:r>
      <w:r>
        <w:rPr>
          <w:rFonts w:hint="eastAsia" w:ascii="宋体" w:hAnsi="宋体" w:cs="宋体"/>
          <w:color w:val="000000" w:themeColor="text1"/>
          <w:sz w:val="24"/>
          <w:highlight w:val="none"/>
          <w:lang w:bidi="ar"/>
          <w14:textFill>
            <w14:solidFill>
              <w14:schemeClr w14:val="tx1"/>
            </w14:solidFill>
          </w14:textFill>
        </w:rPr>
        <w:t>合同签订之日，成交供应商应向采购人开具发票，采购人收到发票并查验单据合格后10个工作日之内向成交供应商支付合同金额的90%；</w:t>
      </w:r>
    </w:p>
    <w:p w14:paraId="18EE4192">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w:t>
      </w:r>
      <w:r>
        <w:rPr>
          <w:rFonts w:hint="eastAsia" w:ascii="宋体" w:hAnsi="宋体" w:cs="宋体"/>
          <w:color w:val="000000" w:themeColor="text1"/>
          <w:sz w:val="24"/>
          <w:highlight w:val="none"/>
          <w:lang w:bidi="ar"/>
          <w14:textFill>
            <w14:solidFill>
              <w14:schemeClr w14:val="tx1"/>
            </w14:solidFill>
          </w14:textFill>
        </w:rPr>
        <w:t xml:space="preserve">采购人于2026年12月20日前对成交供应商的系统运维服务总体质量进行评估，并出具系统运维服务质量报告。验收合格后，成交供应商向采购人开具发票，采购人收到发票并查验单据合格后10个工作日之内向成交供应商支付运维合同金额的10%。 </w:t>
      </w:r>
    </w:p>
    <w:p w14:paraId="5DB9EC6E">
      <w:pPr>
        <w:kinsoku w:val="0"/>
        <w:autoSpaceDE w:val="0"/>
        <w:autoSpaceDN w:val="0"/>
        <w:adjustRightInd w:val="0"/>
        <w:snapToGrid w:val="0"/>
        <w:spacing w:line="500" w:lineRule="exact"/>
        <w:ind w:firstLine="480" w:firstLineChars="200"/>
        <w:outlineLvl w:val="1"/>
        <w:rPr>
          <w:rFonts w:hint="eastAsia" w:ascii="宋体" w:hAnsi="宋体" w:cs="宋体"/>
          <w:color w:val="000000" w:themeColor="text1"/>
          <w:sz w:val="24"/>
          <w:highlight w:val="none"/>
          <w14:textFill>
            <w14:solidFill>
              <w14:schemeClr w14:val="tx1"/>
            </w14:solidFill>
          </w14:textFill>
        </w:rPr>
      </w:pPr>
      <w:bookmarkStart w:id="147" w:name="_Toc1471"/>
      <w:bookmarkStart w:id="148" w:name="_Toc18794"/>
      <w:r>
        <w:rPr>
          <w:rFonts w:hint="eastAsia" w:ascii="宋体" w:hAnsi="宋体" w:cs="宋体"/>
          <w:color w:val="000000" w:themeColor="text1"/>
          <w:sz w:val="24"/>
          <w:highlight w:val="none"/>
          <w14:textFill>
            <w14:solidFill>
              <w14:schemeClr w14:val="tx1"/>
            </w14:solidFill>
          </w14:textFill>
        </w:rPr>
        <w:t>五、知识产权</w:t>
      </w:r>
      <w:bookmarkEnd w:id="147"/>
      <w:bookmarkEnd w:id="148"/>
    </w:p>
    <w:p w14:paraId="52583C3F">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选人在中华人民共和国境内使用中选人提供的货物及服务时免受第三方提出的侵犯其专利权或其它知识产权的起诉。如果第三方提出侵权指控，中选人应承担由此而引起的一切法律责任和费用。给比选人造成损失的，比选人有权向竞选人全额追偿。</w:t>
      </w:r>
    </w:p>
    <w:p w14:paraId="686F8F89">
      <w:pPr>
        <w:kinsoku w:val="0"/>
        <w:autoSpaceDE w:val="0"/>
        <w:autoSpaceDN w:val="0"/>
        <w:adjustRightInd w:val="0"/>
        <w:snapToGrid w:val="0"/>
        <w:spacing w:line="500" w:lineRule="exact"/>
        <w:ind w:firstLine="480" w:firstLineChars="200"/>
        <w:outlineLvl w:val="1"/>
        <w:rPr>
          <w:rFonts w:hint="eastAsia" w:ascii="宋体" w:hAnsi="宋体" w:cs="宋体"/>
          <w:color w:val="000000" w:themeColor="text1"/>
          <w:sz w:val="24"/>
          <w:highlight w:val="none"/>
          <w14:textFill>
            <w14:solidFill>
              <w14:schemeClr w14:val="tx1"/>
            </w14:solidFill>
          </w14:textFill>
        </w:rPr>
      </w:pPr>
      <w:bookmarkStart w:id="149" w:name="_Toc27659"/>
      <w:bookmarkStart w:id="150" w:name="_Toc6970"/>
      <w:bookmarkStart w:id="151" w:name="_Toc3205"/>
      <w:bookmarkStart w:id="152" w:name="_Toc106034789"/>
      <w:bookmarkStart w:id="153" w:name="_Toc102227320"/>
      <w:bookmarkStart w:id="154" w:name="_Toc1497"/>
      <w:bookmarkStart w:id="155" w:name="_Toc26309"/>
      <w:bookmarkStart w:id="156" w:name="_Toc24195"/>
      <w:bookmarkStart w:id="157" w:name="_Toc16123"/>
      <w:bookmarkStart w:id="158" w:name="_Toc4071"/>
      <w:bookmarkStart w:id="159" w:name="_Toc27081"/>
      <w:bookmarkStart w:id="160" w:name="_Toc28360"/>
      <w:bookmarkStart w:id="161" w:name="_Toc65660349"/>
      <w:bookmarkStart w:id="162" w:name="_Toc342913394"/>
      <w:bookmarkStart w:id="163" w:name="_Toc12641"/>
      <w:bookmarkStart w:id="164" w:name="_Toc25971"/>
      <w:bookmarkStart w:id="165" w:name="_Toc21859"/>
      <w:bookmarkStart w:id="166" w:name="_Toc29755"/>
      <w:bookmarkStart w:id="167" w:name="_Toc31282"/>
      <w:bookmarkStart w:id="168" w:name="_Toc5277"/>
      <w:bookmarkStart w:id="169" w:name="_Toc20541"/>
      <w:bookmarkStart w:id="170" w:name="_Toc28903"/>
      <w:bookmarkStart w:id="171" w:name="_Toc23973"/>
      <w:bookmarkStart w:id="172" w:name="_Toc75793518"/>
      <w:bookmarkStart w:id="173" w:name="_Toc14564"/>
      <w:bookmarkStart w:id="174" w:name="_Toc5266"/>
      <w:bookmarkStart w:id="175" w:name="_Toc8983"/>
      <w:bookmarkStart w:id="176" w:name="_Toc14239"/>
      <w:r>
        <w:rPr>
          <w:rFonts w:hint="eastAsia" w:ascii="宋体" w:hAnsi="宋体" w:cs="宋体"/>
          <w:color w:val="000000" w:themeColor="text1"/>
          <w:sz w:val="24"/>
          <w:highlight w:val="none"/>
          <w14:textFill>
            <w14:solidFill>
              <w14:schemeClr w14:val="tx1"/>
            </w14:solidFill>
          </w14:textFill>
        </w:rPr>
        <w:t>六、其他</w:t>
      </w:r>
      <w:bookmarkEnd w:id="149"/>
      <w:bookmarkEnd w:id="150"/>
      <w:bookmarkEnd w:id="151"/>
    </w:p>
    <w:p w14:paraId="2FF0AEE0">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（一）竞选人必须在竞选文件中对以上条款和服务承诺明确列出，承诺内容必须达到本篇及竞争性比选文件其他条款的要求。</w:t>
      </w:r>
    </w:p>
    <w:p w14:paraId="0BDF11CF">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（二）其他未尽事宜由双方在合同中详细约定。</w:t>
      </w:r>
    </w:p>
    <w:p w14:paraId="6695F94A">
      <w:pPr>
        <w:pStyle w:val="2"/>
        <w:keepNext w:val="0"/>
        <w:kinsoku w:val="0"/>
        <w:autoSpaceDE w:val="0"/>
        <w:autoSpaceDN w:val="0"/>
        <w:adjustRightInd w:val="0"/>
        <w:spacing w:before="120" w:beforeLines="50" w:after="120" w:afterLines="50" w:line="500" w:lineRule="exact"/>
        <w:jc w:val="center"/>
        <w:rPr>
          <w:rFonts w:hint="eastAsia" w:hAnsi="宋体" w:cs="宋体"/>
          <w:b/>
          <w:color w:val="000000" w:themeColor="text1"/>
          <w:sz w:val="24"/>
          <w:highlight w:val="none"/>
          <w14:textFill>
            <w14:solidFill>
              <w14:schemeClr w14:val="tx1"/>
            </w14:solidFill>
          </w14:textFill>
        </w:rPr>
      </w:pPr>
      <w:r>
        <w:rPr>
          <w:rFonts w:hint="eastAsia" w:hAnsi="宋体" w:cs="宋体"/>
          <w:highlight w:val="none"/>
        </w:rPr>
        <w:br w:type="page"/>
      </w:r>
      <w:bookmarkStart w:id="177" w:name="_Toc2487"/>
      <w:bookmarkStart w:id="178" w:name="_Toc30067"/>
      <w:bookmarkStart w:id="179" w:name="_Toc8133"/>
      <w:bookmarkStart w:id="180" w:name="_Toc106030393"/>
      <w:bookmarkStart w:id="181" w:name="_Toc2406"/>
      <w:bookmarkStart w:id="182" w:name="_Toc23377"/>
      <w:bookmarkStart w:id="183" w:name="_Toc15186"/>
      <w:bookmarkStart w:id="184" w:name="_Toc25165"/>
      <w:bookmarkStart w:id="185" w:name="_Toc15693"/>
      <w:bookmarkStart w:id="186" w:name="_Toc25911"/>
      <w:bookmarkStart w:id="187" w:name="_Toc25903"/>
      <w:bookmarkStart w:id="188" w:name="_Toc75793517"/>
      <w:bookmarkStart w:id="189" w:name="_Toc3339"/>
      <w:bookmarkStart w:id="190" w:name="_Toc22763"/>
      <w:bookmarkStart w:id="191" w:name="_Toc11875"/>
      <w:bookmarkStart w:id="192" w:name="_Toc24966"/>
      <w:bookmarkStart w:id="193" w:name="_Toc26986"/>
      <w:r>
        <w:rPr>
          <w:rFonts w:hint="eastAsia" w:hAnsi="宋体" w:cs="宋体"/>
          <w:b/>
          <w:bCs/>
          <w:color w:val="000000" w:themeColor="text1"/>
          <w:sz w:val="36"/>
          <w:szCs w:val="36"/>
          <w:highlight w:val="none"/>
          <w14:textFill>
            <w14:solidFill>
              <w14:schemeClr w14:val="tx1"/>
            </w14:solidFill>
          </w14:textFill>
        </w:rPr>
        <w:t>第四篇  资格审查及评标办法</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Start w:id="194" w:name="_Toc106030394"/>
      <w:bookmarkStart w:id="195" w:name="_Toc24988"/>
    </w:p>
    <w:p w14:paraId="42EC9E95">
      <w:pPr>
        <w:kinsoku w:val="0"/>
        <w:autoSpaceDE w:val="0"/>
        <w:autoSpaceDN w:val="0"/>
        <w:adjustRightInd w:val="0"/>
        <w:snapToGrid w:val="0"/>
        <w:spacing w:line="500" w:lineRule="exact"/>
        <w:ind w:firstLine="482" w:firstLineChars="200"/>
        <w:outlineLvl w:val="1"/>
        <w:rPr>
          <w:rFonts w:hint="eastAsia" w:ascii="宋体" w:hAnsi="宋体" w:cs="宋体"/>
          <w:b/>
          <w:color w:val="000000" w:themeColor="text1"/>
          <w:sz w:val="24"/>
          <w:highlight w:val="none"/>
          <w14:textFill>
            <w14:solidFill>
              <w14:schemeClr w14:val="tx1"/>
            </w14:solidFill>
          </w14:textFill>
        </w:rPr>
      </w:pPr>
      <w:bookmarkStart w:id="196" w:name="_Toc15615"/>
      <w:bookmarkStart w:id="197" w:name="_Toc30409"/>
      <w:r>
        <w:rPr>
          <w:rFonts w:hint="eastAsia" w:ascii="宋体" w:hAnsi="宋体" w:cs="宋体"/>
          <w:b/>
          <w:color w:val="000000" w:themeColor="text1"/>
          <w:sz w:val="24"/>
          <w:highlight w:val="none"/>
          <w14:textFill>
            <w14:solidFill>
              <w14:schemeClr w14:val="tx1"/>
            </w14:solidFill>
          </w14:textFill>
        </w:rPr>
        <w:t>一、资格审查及符合性审查</w:t>
      </w:r>
      <w:bookmarkEnd w:id="194"/>
      <w:bookmarkEnd w:id="195"/>
      <w:bookmarkEnd w:id="196"/>
      <w:bookmarkEnd w:id="197"/>
    </w:p>
    <w:p w14:paraId="3456A491">
      <w:pPr>
        <w:kinsoku w:val="0"/>
        <w:autoSpaceDE w:val="0"/>
        <w:autoSpaceDN w:val="0"/>
        <w:adjustRightInd w:val="0"/>
        <w:snapToGrid w:val="0"/>
        <w:spacing w:before="120" w:beforeLines="50" w:after="120" w:afterLines="50" w:line="50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bidi="ar"/>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本项目的</w:t>
      </w:r>
      <w:r>
        <w:rPr>
          <w:rFonts w:hint="eastAsia" w:ascii="宋体" w:hAnsi="宋体" w:cs="宋体"/>
          <w:b/>
          <w:color w:val="000000" w:themeColor="text1"/>
          <w:sz w:val="24"/>
          <w:highlight w:val="none"/>
          <w:lang w:bidi="ar"/>
          <w14:textFill>
            <w14:solidFill>
              <w14:schemeClr w14:val="tx1"/>
            </w14:solidFill>
          </w14:textFill>
        </w:rPr>
        <w:t>比选小组由比选人按规定组建。</w:t>
      </w:r>
    </w:p>
    <w:p w14:paraId="198EABB6">
      <w:pPr>
        <w:kinsoku w:val="0"/>
        <w:autoSpaceDE w:val="0"/>
        <w:autoSpaceDN w:val="0"/>
        <w:adjustRightInd w:val="0"/>
        <w:snapToGrid w:val="0"/>
        <w:spacing w:line="50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2.若未通过资格审查及符合性审查的竞选文件，不进入评审环节。</w:t>
      </w:r>
    </w:p>
    <w:p w14:paraId="6A0102A4">
      <w:pPr>
        <w:kinsoku w:val="0"/>
        <w:autoSpaceDE w:val="0"/>
        <w:autoSpaceDN w:val="0"/>
        <w:adjustRightInd w:val="0"/>
        <w:snapToGrid w:val="0"/>
        <w:spacing w:before="120" w:beforeLines="50" w:after="120" w:afterLines="50" w:line="500" w:lineRule="exact"/>
        <w:ind w:firstLine="482"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（一）资格审查</w:t>
      </w:r>
    </w:p>
    <w:p w14:paraId="29C68839">
      <w:pPr>
        <w:kinsoku w:val="0"/>
        <w:autoSpaceDE w:val="0"/>
        <w:autoSpaceDN w:val="0"/>
        <w:adjustRightInd w:val="0"/>
        <w:snapToGrid w:val="0"/>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依据采购相关法律法规规定，由比选小组对竞选文件中的资格证明文件进行审查。资格审查资料表如下：</w:t>
      </w:r>
    </w:p>
    <w:tbl>
      <w:tblPr>
        <w:tblStyle w:val="19"/>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63"/>
        <w:gridCol w:w="3045"/>
        <w:gridCol w:w="5025"/>
      </w:tblGrid>
      <w:tr w14:paraId="6ADF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vAlign w:val="center"/>
          </w:tcPr>
          <w:p w14:paraId="365C4855">
            <w:pPr>
              <w:kinsoku w:val="0"/>
              <w:autoSpaceDE w:val="0"/>
              <w:autoSpaceDN w:val="0"/>
              <w:adjustRightInd w:val="0"/>
              <w:snapToGrid w:val="0"/>
              <w:spacing w:line="500" w:lineRule="exact"/>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序号</w:t>
            </w:r>
          </w:p>
        </w:tc>
        <w:tc>
          <w:tcPr>
            <w:tcW w:w="3908" w:type="dxa"/>
            <w:gridSpan w:val="2"/>
            <w:vAlign w:val="center"/>
          </w:tcPr>
          <w:p w14:paraId="0E713175">
            <w:pPr>
              <w:kinsoku w:val="0"/>
              <w:autoSpaceDE w:val="0"/>
              <w:autoSpaceDN w:val="0"/>
              <w:adjustRightInd w:val="0"/>
              <w:snapToGrid w:val="0"/>
              <w:spacing w:line="500" w:lineRule="exact"/>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检查因素</w:t>
            </w:r>
          </w:p>
        </w:tc>
        <w:tc>
          <w:tcPr>
            <w:tcW w:w="5025" w:type="dxa"/>
            <w:vAlign w:val="center"/>
          </w:tcPr>
          <w:p w14:paraId="01F349DA">
            <w:pPr>
              <w:kinsoku w:val="0"/>
              <w:autoSpaceDE w:val="0"/>
              <w:autoSpaceDN w:val="0"/>
              <w:adjustRightInd w:val="0"/>
              <w:snapToGrid w:val="0"/>
              <w:spacing w:line="500" w:lineRule="exact"/>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检查内容</w:t>
            </w:r>
          </w:p>
        </w:tc>
      </w:tr>
      <w:tr w14:paraId="14ED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159478A">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w:t>
            </w:r>
          </w:p>
        </w:tc>
        <w:tc>
          <w:tcPr>
            <w:tcW w:w="863" w:type="dxa"/>
            <w:vMerge w:val="restart"/>
            <w:vAlign w:val="center"/>
          </w:tcPr>
          <w:p w14:paraId="6BBD411F">
            <w:pPr>
              <w:kinsoku w:val="0"/>
              <w:autoSpaceDE w:val="0"/>
              <w:autoSpaceDN w:val="0"/>
              <w:adjustRightInd w:val="0"/>
              <w:snapToGrid w:val="0"/>
              <w:spacing w:line="500" w:lineRule="exact"/>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《中华人民共和国政府采购法》第二十二条规定</w:t>
            </w:r>
          </w:p>
        </w:tc>
        <w:tc>
          <w:tcPr>
            <w:tcW w:w="3045" w:type="dxa"/>
            <w:vAlign w:val="center"/>
          </w:tcPr>
          <w:p w14:paraId="4F704DAE">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tc>
        <w:tc>
          <w:tcPr>
            <w:tcW w:w="5025" w:type="dxa"/>
            <w:vAlign w:val="center"/>
          </w:tcPr>
          <w:p w14:paraId="56DF3DEC">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1.竞选人法人营业执照（副本）或事业单位法人证书（副本）或个体工商户营业执照或有效的自然人身份证明或社会团体法人登记证书（提供复印件）。</w:t>
            </w:r>
          </w:p>
          <w:p w14:paraId="2A65888D">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2.竞选人法定代表人身份证明和法定代表人授权代表委托书。</w:t>
            </w:r>
          </w:p>
        </w:tc>
      </w:tr>
      <w:tr w14:paraId="5F80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602741F">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p>
        </w:tc>
        <w:tc>
          <w:tcPr>
            <w:tcW w:w="863" w:type="dxa"/>
            <w:vMerge w:val="continue"/>
            <w:vAlign w:val="center"/>
          </w:tcPr>
          <w:p w14:paraId="2FB003B9">
            <w:pPr>
              <w:kinsoku w:val="0"/>
              <w:autoSpaceDE w:val="0"/>
              <w:autoSpaceDN w:val="0"/>
              <w:adjustRightInd w:val="0"/>
              <w:snapToGrid w:val="0"/>
              <w:spacing w:line="500" w:lineRule="exact"/>
              <w:jc w:val="center"/>
              <w:rPr>
                <w:rFonts w:hint="eastAsia" w:ascii="宋体" w:hAnsi="宋体" w:cs="宋体"/>
                <w:color w:val="000000" w:themeColor="text1"/>
                <w:sz w:val="24"/>
                <w:highlight w:val="none"/>
                <w:lang w:val="zh-CN"/>
                <w14:textFill>
                  <w14:solidFill>
                    <w14:schemeClr w14:val="tx1"/>
                  </w14:solidFill>
                </w14:textFill>
              </w:rPr>
            </w:pPr>
          </w:p>
        </w:tc>
        <w:tc>
          <w:tcPr>
            <w:tcW w:w="3045" w:type="dxa"/>
            <w:vAlign w:val="center"/>
          </w:tcPr>
          <w:p w14:paraId="24BA5A9D">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具有良好的商业信誉和健全的财务会计制度</w:t>
            </w:r>
          </w:p>
        </w:tc>
        <w:tc>
          <w:tcPr>
            <w:tcW w:w="5025" w:type="dxa"/>
            <w:vMerge w:val="restart"/>
            <w:vAlign w:val="center"/>
          </w:tcPr>
          <w:p w14:paraId="5B595B44">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竞选人提供“基本资格条件承诺函”（格式详见第七篇）</w:t>
            </w:r>
          </w:p>
          <w:p w14:paraId="35E0073F">
            <w:pPr>
              <w:kinsoku w:val="0"/>
              <w:autoSpaceDE w:val="0"/>
              <w:autoSpaceDN w:val="0"/>
              <w:adjustRightInd w:val="0"/>
              <w:snapToGrid w:val="0"/>
              <w:spacing w:line="500" w:lineRule="exact"/>
              <w:jc w:val="left"/>
              <w:rPr>
                <w:rFonts w:hint="eastAsia" w:ascii="宋体" w:hAnsi="宋体" w:cs="宋体"/>
                <w:b/>
                <w:color w:val="000000" w:themeColor="text1"/>
                <w:sz w:val="24"/>
                <w:highlight w:val="none"/>
                <w14:textFill>
                  <w14:solidFill>
                    <w14:schemeClr w14:val="tx1"/>
                  </w14:solidFill>
                </w14:textFill>
              </w:rPr>
            </w:pPr>
          </w:p>
        </w:tc>
      </w:tr>
      <w:tr w14:paraId="1CF0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8B90B8E">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p>
        </w:tc>
        <w:tc>
          <w:tcPr>
            <w:tcW w:w="863" w:type="dxa"/>
            <w:vMerge w:val="continue"/>
            <w:vAlign w:val="center"/>
          </w:tcPr>
          <w:p w14:paraId="46BD375D">
            <w:pPr>
              <w:kinsoku w:val="0"/>
              <w:autoSpaceDE w:val="0"/>
              <w:autoSpaceDN w:val="0"/>
              <w:adjustRightInd w:val="0"/>
              <w:snapToGrid w:val="0"/>
              <w:spacing w:line="500" w:lineRule="exact"/>
              <w:jc w:val="center"/>
              <w:rPr>
                <w:rFonts w:hint="eastAsia" w:ascii="宋体" w:hAnsi="宋体" w:cs="宋体"/>
                <w:color w:val="000000" w:themeColor="text1"/>
                <w:sz w:val="24"/>
                <w:highlight w:val="none"/>
                <w:lang w:val="zh-CN"/>
                <w14:textFill>
                  <w14:solidFill>
                    <w14:schemeClr w14:val="tx1"/>
                  </w14:solidFill>
                </w14:textFill>
              </w:rPr>
            </w:pPr>
          </w:p>
        </w:tc>
        <w:tc>
          <w:tcPr>
            <w:tcW w:w="3045" w:type="dxa"/>
            <w:vAlign w:val="center"/>
          </w:tcPr>
          <w:p w14:paraId="4E662F15">
            <w:pPr>
              <w:kinsoku w:val="0"/>
              <w:autoSpaceDE w:val="0"/>
              <w:autoSpaceDN w:val="0"/>
              <w:adjustRightInd w:val="0"/>
              <w:snapToGrid w:val="0"/>
              <w:spacing w:line="500" w:lineRule="exact"/>
              <w:jc w:val="left"/>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3.具有履行合同所必需的设备和专业技术能力</w:t>
            </w:r>
          </w:p>
        </w:tc>
        <w:tc>
          <w:tcPr>
            <w:tcW w:w="5025" w:type="dxa"/>
            <w:vMerge w:val="continue"/>
            <w:vAlign w:val="center"/>
          </w:tcPr>
          <w:p w14:paraId="32267352">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p>
        </w:tc>
      </w:tr>
      <w:tr w14:paraId="2B75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D35AA30">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p>
        </w:tc>
        <w:tc>
          <w:tcPr>
            <w:tcW w:w="863" w:type="dxa"/>
            <w:vMerge w:val="continue"/>
            <w:vAlign w:val="center"/>
          </w:tcPr>
          <w:p w14:paraId="35F99D25">
            <w:pPr>
              <w:kinsoku w:val="0"/>
              <w:autoSpaceDE w:val="0"/>
              <w:autoSpaceDN w:val="0"/>
              <w:adjustRightInd w:val="0"/>
              <w:snapToGrid w:val="0"/>
              <w:spacing w:line="500" w:lineRule="exact"/>
              <w:jc w:val="center"/>
              <w:rPr>
                <w:rFonts w:hint="eastAsia" w:ascii="宋体" w:hAnsi="宋体" w:cs="宋体"/>
                <w:color w:val="000000" w:themeColor="text1"/>
                <w:sz w:val="24"/>
                <w:highlight w:val="none"/>
                <w:lang w:val="zh-CN"/>
                <w14:textFill>
                  <w14:solidFill>
                    <w14:schemeClr w14:val="tx1"/>
                  </w14:solidFill>
                </w14:textFill>
              </w:rPr>
            </w:pPr>
          </w:p>
        </w:tc>
        <w:tc>
          <w:tcPr>
            <w:tcW w:w="3045" w:type="dxa"/>
            <w:vAlign w:val="center"/>
          </w:tcPr>
          <w:p w14:paraId="71AAA572">
            <w:pPr>
              <w:kinsoku w:val="0"/>
              <w:autoSpaceDE w:val="0"/>
              <w:autoSpaceDN w:val="0"/>
              <w:adjustRightInd w:val="0"/>
              <w:snapToGrid w:val="0"/>
              <w:spacing w:line="500" w:lineRule="exact"/>
              <w:jc w:val="left"/>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4.有依法缴纳税收和社会保障金的良好记录</w:t>
            </w:r>
          </w:p>
        </w:tc>
        <w:tc>
          <w:tcPr>
            <w:tcW w:w="5025" w:type="dxa"/>
            <w:vMerge w:val="continue"/>
            <w:vAlign w:val="center"/>
          </w:tcPr>
          <w:p w14:paraId="6492FD77">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p>
        </w:tc>
      </w:tr>
      <w:tr w14:paraId="547B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773F53E">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p>
        </w:tc>
        <w:tc>
          <w:tcPr>
            <w:tcW w:w="863" w:type="dxa"/>
            <w:vMerge w:val="continue"/>
            <w:vAlign w:val="center"/>
          </w:tcPr>
          <w:p w14:paraId="0EFC44F2">
            <w:pPr>
              <w:kinsoku w:val="0"/>
              <w:autoSpaceDE w:val="0"/>
              <w:autoSpaceDN w:val="0"/>
              <w:adjustRightInd w:val="0"/>
              <w:snapToGrid w:val="0"/>
              <w:spacing w:line="500" w:lineRule="exact"/>
              <w:jc w:val="center"/>
              <w:rPr>
                <w:rFonts w:hint="eastAsia" w:ascii="宋体" w:hAnsi="宋体" w:cs="宋体"/>
                <w:color w:val="000000" w:themeColor="text1"/>
                <w:sz w:val="24"/>
                <w:highlight w:val="none"/>
                <w:lang w:val="zh-CN"/>
                <w14:textFill>
                  <w14:solidFill>
                    <w14:schemeClr w14:val="tx1"/>
                  </w14:solidFill>
                </w14:textFill>
              </w:rPr>
            </w:pPr>
          </w:p>
        </w:tc>
        <w:tc>
          <w:tcPr>
            <w:tcW w:w="3045" w:type="dxa"/>
            <w:vAlign w:val="center"/>
          </w:tcPr>
          <w:p w14:paraId="035CB59A">
            <w:pPr>
              <w:kinsoku w:val="0"/>
              <w:autoSpaceDE w:val="0"/>
              <w:autoSpaceDN w:val="0"/>
              <w:adjustRightInd w:val="0"/>
              <w:snapToGrid w:val="0"/>
              <w:spacing w:line="500" w:lineRule="exact"/>
              <w:jc w:val="left"/>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5.参加政府采购活动前三年内，在经营活动中没有重大违法记录（注</w:t>
            </w: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EQ \o\ac(○,</w:instrText>
            </w:r>
            <w:r>
              <w:rPr>
                <w:rFonts w:hint="eastAsia" w:ascii="宋体" w:hAnsi="宋体" w:cs="宋体"/>
                <w:color w:val="000000" w:themeColor="text1"/>
                <w:position w:val="2"/>
                <w:sz w:val="24"/>
                <w:highlight w:val="none"/>
                <w14:textFill>
                  <w14:solidFill>
                    <w14:schemeClr w14:val="tx1"/>
                  </w14:solidFill>
                </w14:textFill>
              </w:rPr>
              <w:instrText xml:space="preserve">1</w:instrText>
            </w:r>
            <w:r>
              <w:rPr>
                <w:rFonts w:hint="eastAsia" w:ascii="宋体" w:hAnsi="宋体" w:cs="宋体"/>
                <w:color w:val="000000" w:themeColor="text1"/>
                <w:sz w:val="24"/>
                <w:highlight w:val="none"/>
                <w14:textFill>
                  <w14:solidFill>
                    <w14:schemeClr w14:val="tx1"/>
                  </w14:solidFill>
                </w14:textFill>
              </w:rPr>
              <w:instrText xml:space="preserve">)</w:instrTex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w:t>
            </w:r>
          </w:p>
        </w:tc>
        <w:tc>
          <w:tcPr>
            <w:tcW w:w="5025" w:type="dxa"/>
            <w:vMerge w:val="continue"/>
            <w:vAlign w:val="center"/>
          </w:tcPr>
          <w:p w14:paraId="201EEC04">
            <w:pPr>
              <w:kinsoku w:val="0"/>
              <w:autoSpaceDE w:val="0"/>
              <w:autoSpaceDN w:val="0"/>
              <w:adjustRightInd w:val="0"/>
              <w:snapToGrid w:val="0"/>
              <w:spacing w:line="500" w:lineRule="exact"/>
              <w:jc w:val="left"/>
              <w:rPr>
                <w:rFonts w:hint="eastAsia" w:ascii="宋体" w:hAnsi="宋体" w:cs="宋体"/>
                <w:b/>
                <w:color w:val="000000" w:themeColor="text1"/>
                <w:sz w:val="24"/>
                <w:highlight w:val="none"/>
                <w14:textFill>
                  <w14:solidFill>
                    <w14:schemeClr w14:val="tx1"/>
                  </w14:solidFill>
                </w14:textFill>
              </w:rPr>
            </w:pPr>
          </w:p>
        </w:tc>
      </w:tr>
      <w:tr w14:paraId="69E5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3398213">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p>
        </w:tc>
        <w:tc>
          <w:tcPr>
            <w:tcW w:w="863" w:type="dxa"/>
            <w:vMerge w:val="continue"/>
            <w:vAlign w:val="center"/>
          </w:tcPr>
          <w:p w14:paraId="6DE6237D">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p>
        </w:tc>
        <w:tc>
          <w:tcPr>
            <w:tcW w:w="3045" w:type="dxa"/>
            <w:vAlign w:val="center"/>
          </w:tcPr>
          <w:p w14:paraId="3E945BC9">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6.法律、行政法规规定的其他条件以及第一篇“六、其它有关规定”</w:t>
            </w:r>
          </w:p>
        </w:tc>
        <w:tc>
          <w:tcPr>
            <w:tcW w:w="5025" w:type="dxa"/>
            <w:vMerge w:val="continue"/>
            <w:vAlign w:val="center"/>
          </w:tcPr>
          <w:p w14:paraId="4CF51F8E">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p>
        </w:tc>
      </w:tr>
      <w:tr w14:paraId="0AEE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6B60A7C">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p>
        </w:tc>
        <w:tc>
          <w:tcPr>
            <w:tcW w:w="863" w:type="dxa"/>
            <w:vMerge w:val="continue"/>
            <w:vAlign w:val="center"/>
          </w:tcPr>
          <w:p w14:paraId="12503C4C">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p>
        </w:tc>
        <w:tc>
          <w:tcPr>
            <w:tcW w:w="3045" w:type="dxa"/>
            <w:vAlign w:val="center"/>
          </w:tcPr>
          <w:p w14:paraId="01C26BB5">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7.本项目的特定资格要求</w:t>
            </w:r>
          </w:p>
        </w:tc>
        <w:tc>
          <w:tcPr>
            <w:tcW w:w="5025" w:type="dxa"/>
            <w:vAlign w:val="center"/>
          </w:tcPr>
          <w:p w14:paraId="21A9675D">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按第一篇“三、竞选人资格要求（二）本项目的特定资格要求”的要求提交（如果有）。</w:t>
            </w:r>
          </w:p>
        </w:tc>
      </w:tr>
      <w:tr w14:paraId="334A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1436ACA2">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w:t>
            </w:r>
          </w:p>
        </w:tc>
        <w:tc>
          <w:tcPr>
            <w:tcW w:w="3908" w:type="dxa"/>
            <w:gridSpan w:val="2"/>
            <w:vAlign w:val="center"/>
          </w:tcPr>
          <w:p w14:paraId="5737284D">
            <w:pPr>
              <w:kinsoku w:val="0"/>
              <w:autoSpaceDE w:val="0"/>
              <w:autoSpaceDN w:val="0"/>
              <w:adjustRightInd w:val="0"/>
              <w:snapToGrid w:val="0"/>
              <w:spacing w:line="5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比选保证金</w:t>
            </w:r>
          </w:p>
        </w:tc>
        <w:tc>
          <w:tcPr>
            <w:tcW w:w="5025" w:type="dxa"/>
            <w:vAlign w:val="center"/>
          </w:tcPr>
          <w:p w14:paraId="18BDAF9C">
            <w:pPr>
              <w:kinsoku w:val="0"/>
              <w:autoSpaceDE w:val="0"/>
              <w:autoSpaceDN w:val="0"/>
              <w:adjustRightInd w:val="0"/>
              <w:snapToGrid w:val="0"/>
              <w:spacing w:line="5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按照比选文件要求足额交纳所投包的比选保证金。</w:t>
            </w:r>
          </w:p>
        </w:tc>
      </w:tr>
    </w:tbl>
    <w:p w14:paraId="1FA46554">
      <w:pPr>
        <w:kinsoku w:val="0"/>
        <w:autoSpaceDE w:val="0"/>
        <w:autoSpaceDN w:val="0"/>
        <w:adjustRightInd w:val="0"/>
        <w:snapToGrid w:val="0"/>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2AB1971A">
      <w:pPr>
        <w:kinsoku w:val="0"/>
        <w:autoSpaceDE w:val="0"/>
        <w:autoSpaceDN w:val="0"/>
        <w:adjustRightInd w:val="0"/>
        <w:snapToGrid w:val="0"/>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fldChar w:fldCharType="begin"/>
      </w:r>
      <w:r>
        <w:rPr>
          <w:rFonts w:hint="eastAsia" w:ascii="宋体" w:hAnsi="宋体" w:cs="宋体"/>
          <w:color w:val="000000" w:themeColor="text1"/>
          <w:kern w:val="0"/>
          <w:sz w:val="24"/>
          <w:highlight w:val="none"/>
          <w14:textFill>
            <w14:solidFill>
              <w14:schemeClr w14:val="tx1"/>
            </w14:solidFill>
          </w14:textFill>
        </w:rPr>
        <w:instrText xml:space="preserve"> eq \o\ac(○,</w:instrText>
      </w:r>
      <w:r>
        <w:rPr>
          <w:rFonts w:hint="eastAsia" w:ascii="宋体" w:hAnsi="宋体" w:cs="宋体"/>
          <w:color w:val="000000" w:themeColor="text1"/>
          <w:kern w:val="0"/>
          <w:position w:val="3"/>
          <w:sz w:val="16"/>
          <w:highlight w:val="none"/>
          <w14:textFill>
            <w14:solidFill>
              <w14:schemeClr w14:val="tx1"/>
            </w14:solidFill>
          </w14:textFill>
        </w:rPr>
        <w:instrText xml:space="preserve">1</w:instrText>
      </w:r>
      <w:r>
        <w:rPr>
          <w:rFonts w:hint="eastAsia" w:ascii="宋体" w:hAnsi="宋体" w:cs="宋体"/>
          <w:color w:val="000000" w:themeColor="text1"/>
          <w:kern w:val="0"/>
          <w:sz w:val="24"/>
          <w:highlight w:val="none"/>
          <w14:textFill>
            <w14:solidFill>
              <w14:schemeClr w14:val="tx1"/>
            </w14:solidFill>
          </w14:textFill>
        </w:rPr>
        <w:instrText xml:space="preserve">)</w:instrText>
      </w:r>
      <w:r>
        <w:rPr>
          <w:rFonts w:hint="eastAsia" w:ascii="宋体" w:hAnsi="宋体" w:cs="宋体"/>
          <w:color w:val="000000" w:themeColor="text1"/>
          <w:kern w:val="0"/>
          <w:sz w:val="24"/>
          <w:highlight w:val="none"/>
          <w14:textFill>
            <w14:solidFill>
              <w14:schemeClr w14:val="tx1"/>
            </w14:solidFill>
          </w14:textFill>
        </w:rPr>
        <w:fldChar w:fldCharType="end"/>
      </w:r>
      <w:r>
        <w:rPr>
          <w:rFonts w:hint="eastAsia" w:ascii="宋体" w:hAnsi="宋体" w:cs="宋体"/>
          <w:color w:val="000000" w:themeColor="text1"/>
          <w:kern w:val="0"/>
          <w:sz w:val="24"/>
          <w:highlight w:val="none"/>
          <w14:textFill>
            <w14:solidFill>
              <w14:schemeClr w14:val="tx1"/>
            </w14:solidFill>
          </w14:textFill>
        </w:rPr>
        <w:t>根据《中华人民共和国政府采购法实施条例》第十九条“参加政府采购活动前三年内，在经营活动中没有重大违法记录”中“重大违法记录”，是指竞选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竞选人可于投标截止日期前通过 “信用中国”网站(www.creditchina.gov.cn)、"中国政府采购网"(www.ccgp.gov.cn)等渠道查询信用记录。</w:t>
      </w:r>
    </w:p>
    <w:p w14:paraId="79DDF99A">
      <w:pPr>
        <w:kinsoku w:val="0"/>
        <w:autoSpaceDE w:val="0"/>
        <w:autoSpaceDN w:val="0"/>
        <w:adjustRightInd w:val="0"/>
        <w:snapToGrid w:val="0"/>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二</w:t>
      </w:r>
      <w:r>
        <w:rPr>
          <w:rFonts w:hint="eastAsia" w:ascii="宋体" w:hAnsi="宋体" w:cs="宋体"/>
          <w:color w:val="000000" w:themeColor="text1"/>
          <w:kern w:val="0"/>
          <w:sz w:val="24"/>
          <w:highlight w:val="none"/>
          <w14:textFill>
            <w14:solidFill>
              <w14:schemeClr w14:val="tx1"/>
            </w14:solidFill>
          </w14:textFill>
        </w:rPr>
        <w:t>）符合性审查</w:t>
      </w:r>
    </w:p>
    <w:p w14:paraId="733BFA30">
      <w:pPr>
        <w:kinsoku w:val="0"/>
        <w:autoSpaceDE w:val="0"/>
        <w:autoSpaceDN w:val="0"/>
        <w:adjustRightInd w:val="0"/>
        <w:snapToGrid w:val="0"/>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比选小组应当对符合资格的竞选人的竞选文件进行符合性审查，以确定其是否满足比选文件的实质性要求。符合性审查资料表如下：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509"/>
        <w:gridCol w:w="1866"/>
        <w:gridCol w:w="4950"/>
      </w:tblGrid>
      <w:tr w14:paraId="1CFE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005" w:type="dxa"/>
            <w:vAlign w:val="center"/>
          </w:tcPr>
          <w:p w14:paraId="7C80E247">
            <w:pPr>
              <w:kinsoku w:val="0"/>
              <w:autoSpaceDE w:val="0"/>
              <w:autoSpaceDN w:val="0"/>
              <w:adjustRightInd w:val="0"/>
              <w:snapToGrid w:val="0"/>
              <w:spacing w:line="500" w:lineRule="exact"/>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r>
              <w:rPr>
                <w:rFonts w:hint="eastAsia" w:ascii="宋体" w:hAnsi="宋体" w:cs="宋体"/>
                <w:b/>
                <w:color w:val="000000" w:themeColor="text1"/>
                <w:kern w:val="0"/>
                <w:sz w:val="24"/>
                <w:highlight w:val="none"/>
                <w14:textFill>
                  <w14:solidFill>
                    <w14:schemeClr w14:val="tx1"/>
                  </w14:solidFill>
                </w14:textFill>
              </w:rPr>
              <w:t>序号</w:t>
            </w:r>
          </w:p>
        </w:tc>
        <w:tc>
          <w:tcPr>
            <w:tcW w:w="3555" w:type="dxa"/>
            <w:gridSpan w:val="2"/>
            <w:vAlign w:val="center"/>
          </w:tcPr>
          <w:p w14:paraId="4252DABD">
            <w:pPr>
              <w:kinsoku w:val="0"/>
              <w:autoSpaceDE w:val="0"/>
              <w:autoSpaceDN w:val="0"/>
              <w:adjustRightInd w:val="0"/>
              <w:snapToGrid w:val="0"/>
              <w:spacing w:line="500" w:lineRule="exact"/>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评审因素</w:t>
            </w:r>
          </w:p>
        </w:tc>
        <w:tc>
          <w:tcPr>
            <w:tcW w:w="5295" w:type="dxa"/>
            <w:vAlign w:val="center"/>
          </w:tcPr>
          <w:p w14:paraId="2B183B51">
            <w:pPr>
              <w:kinsoku w:val="0"/>
              <w:autoSpaceDE w:val="0"/>
              <w:autoSpaceDN w:val="0"/>
              <w:adjustRightInd w:val="0"/>
              <w:snapToGrid w:val="0"/>
              <w:spacing w:line="500" w:lineRule="exact"/>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评审标准</w:t>
            </w:r>
          </w:p>
        </w:tc>
      </w:tr>
      <w:tr w14:paraId="56D5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05" w:type="dxa"/>
            <w:vMerge w:val="restart"/>
            <w:vAlign w:val="center"/>
          </w:tcPr>
          <w:p w14:paraId="12405D1E">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575" w:type="dxa"/>
            <w:vMerge w:val="restart"/>
            <w:vAlign w:val="center"/>
          </w:tcPr>
          <w:p w14:paraId="093C32E9">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有效性审查</w:t>
            </w:r>
          </w:p>
        </w:tc>
        <w:tc>
          <w:tcPr>
            <w:tcW w:w="1980" w:type="dxa"/>
            <w:vAlign w:val="center"/>
          </w:tcPr>
          <w:p w14:paraId="495B15EE">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竞选文件签署或盖章</w:t>
            </w:r>
          </w:p>
        </w:tc>
        <w:tc>
          <w:tcPr>
            <w:tcW w:w="5295" w:type="dxa"/>
            <w:vAlign w:val="center"/>
          </w:tcPr>
          <w:p w14:paraId="4CF28B49">
            <w:pPr>
              <w:kinsoku w:val="0"/>
              <w:autoSpaceDE w:val="0"/>
              <w:autoSpaceDN w:val="0"/>
              <w:adjustRightInd w:val="0"/>
              <w:snapToGrid w:val="0"/>
              <w:spacing w:line="500" w:lineRule="exact"/>
              <w:ind w:firstLine="249" w:firstLineChars="10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竞选文件上法定代表人（或其授权代表）或自然人（竞选人为自然人）的签署或盖章齐全。</w:t>
            </w:r>
          </w:p>
        </w:tc>
      </w:tr>
      <w:tr w14:paraId="1ECC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005" w:type="dxa"/>
            <w:vMerge w:val="continue"/>
            <w:vAlign w:val="center"/>
          </w:tcPr>
          <w:p w14:paraId="159184D0">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1575" w:type="dxa"/>
            <w:vMerge w:val="continue"/>
            <w:vAlign w:val="center"/>
          </w:tcPr>
          <w:p w14:paraId="611965DC">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1980" w:type="dxa"/>
            <w:vAlign w:val="center"/>
          </w:tcPr>
          <w:p w14:paraId="3343F0A1">
            <w:pPr>
              <w:kinsoku w:val="0"/>
              <w:autoSpaceDE w:val="0"/>
              <w:autoSpaceDN w:val="0"/>
              <w:adjustRightInd w:val="0"/>
              <w:snapToGrid w:val="0"/>
              <w:spacing w:line="500" w:lineRule="exact"/>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投标方案</w:t>
            </w:r>
          </w:p>
        </w:tc>
        <w:tc>
          <w:tcPr>
            <w:tcW w:w="5295" w:type="dxa"/>
            <w:vAlign w:val="center"/>
          </w:tcPr>
          <w:p w14:paraId="40CC0008">
            <w:pPr>
              <w:kinsoku w:val="0"/>
              <w:autoSpaceDE w:val="0"/>
              <w:autoSpaceDN w:val="0"/>
              <w:adjustRightInd w:val="0"/>
              <w:snapToGrid w:val="0"/>
              <w:spacing w:line="500" w:lineRule="exact"/>
              <w:ind w:firstLine="249" w:firstLineChars="10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每个包只能有一个投标方案。</w:t>
            </w:r>
          </w:p>
        </w:tc>
      </w:tr>
      <w:tr w14:paraId="7596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5" w:type="dxa"/>
            <w:vMerge w:val="continue"/>
            <w:vAlign w:val="center"/>
          </w:tcPr>
          <w:p w14:paraId="1B0B26A3">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1575" w:type="dxa"/>
            <w:vMerge w:val="continue"/>
            <w:vAlign w:val="center"/>
          </w:tcPr>
          <w:p w14:paraId="1EFD6B86">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p>
        </w:tc>
        <w:tc>
          <w:tcPr>
            <w:tcW w:w="1980" w:type="dxa"/>
            <w:vAlign w:val="center"/>
          </w:tcPr>
          <w:p w14:paraId="4AD52C14">
            <w:pPr>
              <w:kinsoku w:val="0"/>
              <w:autoSpaceDE w:val="0"/>
              <w:autoSpaceDN w:val="0"/>
              <w:adjustRightInd w:val="0"/>
              <w:snapToGrid w:val="0"/>
              <w:spacing w:line="500" w:lineRule="exact"/>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报价唯一</w:t>
            </w:r>
          </w:p>
        </w:tc>
        <w:tc>
          <w:tcPr>
            <w:tcW w:w="5295" w:type="dxa"/>
            <w:vAlign w:val="center"/>
          </w:tcPr>
          <w:p w14:paraId="74B26474">
            <w:pPr>
              <w:kinsoku w:val="0"/>
              <w:autoSpaceDE w:val="0"/>
              <w:autoSpaceDN w:val="0"/>
              <w:adjustRightInd w:val="0"/>
              <w:snapToGrid w:val="0"/>
              <w:spacing w:line="500" w:lineRule="exact"/>
              <w:ind w:firstLine="249" w:firstLineChars="10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只能在预算金额和最高限价内报价，</w:t>
            </w:r>
            <w:r>
              <w:rPr>
                <w:rFonts w:hint="eastAsia" w:ascii="宋体" w:hAnsi="宋体" w:cs="宋体"/>
                <w:color w:val="000000" w:themeColor="text1"/>
                <w:sz w:val="24"/>
                <w:highlight w:val="none"/>
                <w14:textFill>
                  <w14:solidFill>
                    <w14:schemeClr w14:val="tx1"/>
                  </w14:solidFill>
                </w14:textFill>
              </w:rPr>
              <w:t>只能有一个有效报价，不得提交选择性报价。</w:t>
            </w:r>
          </w:p>
        </w:tc>
      </w:tr>
      <w:tr w14:paraId="0BE4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05" w:type="dxa"/>
            <w:vAlign w:val="center"/>
          </w:tcPr>
          <w:p w14:paraId="5AB75657">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1575" w:type="dxa"/>
            <w:vAlign w:val="center"/>
          </w:tcPr>
          <w:p w14:paraId="79059F6D">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完整性审查</w:t>
            </w:r>
          </w:p>
        </w:tc>
        <w:tc>
          <w:tcPr>
            <w:tcW w:w="1980" w:type="dxa"/>
            <w:vAlign w:val="center"/>
          </w:tcPr>
          <w:p w14:paraId="219B7704">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竞选文件份数</w:t>
            </w:r>
          </w:p>
        </w:tc>
        <w:tc>
          <w:tcPr>
            <w:tcW w:w="5295" w:type="dxa"/>
            <w:vAlign w:val="center"/>
          </w:tcPr>
          <w:p w14:paraId="33B56984">
            <w:pPr>
              <w:kinsoku w:val="0"/>
              <w:autoSpaceDE w:val="0"/>
              <w:autoSpaceDN w:val="0"/>
              <w:adjustRightInd w:val="0"/>
              <w:snapToGrid w:val="0"/>
              <w:spacing w:line="500" w:lineRule="exact"/>
              <w:ind w:firstLine="249" w:firstLineChars="10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竞选文件正、副本数量（含电子文档）符合比选文件要求。</w:t>
            </w:r>
          </w:p>
        </w:tc>
      </w:tr>
      <w:tr w14:paraId="0A9E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5" w:type="dxa"/>
            <w:vAlign w:val="center"/>
          </w:tcPr>
          <w:p w14:paraId="16EA1D2B">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1575" w:type="dxa"/>
            <w:vAlign w:val="center"/>
          </w:tcPr>
          <w:p w14:paraId="354C40EC">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技术部分</w:t>
            </w:r>
          </w:p>
        </w:tc>
        <w:tc>
          <w:tcPr>
            <w:tcW w:w="1980" w:type="dxa"/>
            <w:vAlign w:val="center"/>
          </w:tcPr>
          <w:p w14:paraId="254F938D">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竞选文件内容</w:t>
            </w:r>
          </w:p>
        </w:tc>
        <w:tc>
          <w:tcPr>
            <w:tcW w:w="5295" w:type="dxa"/>
            <w:vAlign w:val="center"/>
          </w:tcPr>
          <w:p w14:paraId="5E97E7CE">
            <w:pPr>
              <w:kinsoku w:val="0"/>
              <w:autoSpaceDE w:val="0"/>
              <w:autoSpaceDN w:val="0"/>
              <w:adjustRightInd w:val="0"/>
              <w:snapToGrid w:val="0"/>
              <w:spacing w:line="500" w:lineRule="exact"/>
              <w:ind w:firstLine="249" w:firstLineChars="10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本比选文件第二篇的部分。</w:t>
            </w:r>
          </w:p>
        </w:tc>
      </w:tr>
      <w:tr w14:paraId="48C6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005" w:type="dxa"/>
            <w:vAlign w:val="center"/>
          </w:tcPr>
          <w:p w14:paraId="4E40CCA7">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1575" w:type="dxa"/>
            <w:vAlign w:val="center"/>
          </w:tcPr>
          <w:p w14:paraId="518B5895">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商务部分</w:t>
            </w:r>
          </w:p>
        </w:tc>
        <w:tc>
          <w:tcPr>
            <w:tcW w:w="1980" w:type="dxa"/>
            <w:vAlign w:val="center"/>
          </w:tcPr>
          <w:p w14:paraId="6DFF6631">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竞选文件内容</w:t>
            </w:r>
          </w:p>
        </w:tc>
        <w:tc>
          <w:tcPr>
            <w:tcW w:w="5295" w:type="dxa"/>
            <w:vAlign w:val="center"/>
          </w:tcPr>
          <w:p w14:paraId="13163BD9">
            <w:pPr>
              <w:kinsoku w:val="0"/>
              <w:autoSpaceDE w:val="0"/>
              <w:autoSpaceDN w:val="0"/>
              <w:adjustRightInd w:val="0"/>
              <w:snapToGrid w:val="0"/>
              <w:spacing w:line="500" w:lineRule="exact"/>
              <w:ind w:firstLine="249" w:firstLineChars="10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本比选文件第三篇的部分。</w:t>
            </w:r>
          </w:p>
        </w:tc>
      </w:tr>
      <w:tr w14:paraId="31C5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05" w:type="dxa"/>
            <w:vAlign w:val="center"/>
          </w:tcPr>
          <w:p w14:paraId="11E21282">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1575" w:type="dxa"/>
            <w:vAlign w:val="center"/>
          </w:tcPr>
          <w:p w14:paraId="1F07327E">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投标有效期</w:t>
            </w:r>
          </w:p>
        </w:tc>
        <w:tc>
          <w:tcPr>
            <w:tcW w:w="1980" w:type="dxa"/>
            <w:vAlign w:val="center"/>
          </w:tcPr>
          <w:p w14:paraId="4589496A">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竞选文件内容</w:t>
            </w:r>
          </w:p>
        </w:tc>
        <w:tc>
          <w:tcPr>
            <w:tcW w:w="5295" w:type="dxa"/>
            <w:vAlign w:val="center"/>
          </w:tcPr>
          <w:p w14:paraId="07851CDC">
            <w:pPr>
              <w:kinsoku w:val="0"/>
              <w:autoSpaceDE w:val="0"/>
              <w:autoSpaceDN w:val="0"/>
              <w:adjustRightInd w:val="0"/>
              <w:snapToGrid w:val="0"/>
              <w:spacing w:line="500" w:lineRule="exact"/>
              <w:ind w:firstLine="249" w:firstLineChars="10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投标有效期为投标截止时间起90天。</w:t>
            </w:r>
          </w:p>
        </w:tc>
      </w:tr>
      <w:tr w14:paraId="422A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05" w:type="dxa"/>
            <w:vAlign w:val="center"/>
          </w:tcPr>
          <w:p w14:paraId="3AE9D90B">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bookmarkStart w:id="198" w:name="_Toc106030395"/>
            <w:bookmarkStart w:id="199" w:name="_Toc18192"/>
            <w:bookmarkStart w:id="200" w:name="_Toc18"/>
            <w:r>
              <w:rPr>
                <w:rFonts w:hint="eastAsia" w:ascii="宋体" w:hAnsi="宋体" w:cs="宋体"/>
                <w:color w:val="000000" w:themeColor="text1"/>
                <w:kern w:val="0"/>
                <w:sz w:val="24"/>
                <w:highlight w:val="none"/>
                <w14:textFill>
                  <w14:solidFill>
                    <w14:schemeClr w14:val="tx1"/>
                  </w14:solidFill>
                </w14:textFill>
              </w:rPr>
              <w:t>6</w:t>
            </w:r>
          </w:p>
        </w:tc>
        <w:tc>
          <w:tcPr>
            <w:tcW w:w="1575" w:type="dxa"/>
            <w:vAlign w:val="center"/>
          </w:tcPr>
          <w:p w14:paraId="2D5F91ED">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委托代理人（若有）</w:t>
            </w:r>
          </w:p>
        </w:tc>
        <w:tc>
          <w:tcPr>
            <w:tcW w:w="1980" w:type="dxa"/>
            <w:vAlign w:val="center"/>
          </w:tcPr>
          <w:p w14:paraId="70586089">
            <w:pPr>
              <w:kinsoku w:val="0"/>
              <w:autoSpaceDE w:val="0"/>
              <w:autoSpaceDN w:val="0"/>
              <w:adjustRightInd w:val="0"/>
              <w:snapToGrid w:val="0"/>
              <w:spacing w:line="5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竞选文件内容</w:t>
            </w:r>
          </w:p>
        </w:tc>
        <w:tc>
          <w:tcPr>
            <w:tcW w:w="5295" w:type="dxa"/>
            <w:vAlign w:val="center"/>
          </w:tcPr>
          <w:p w14:paraId="4C22617F">
            <w:pPr>
              <w:kinsoku w:val="0"/>
              <w:autoSpaceDE w:val="0"/>
              <w:autoSpaceDN w:val="0"/>
              <w:adjustRightInd w:val="0"/>
              <w:snapToGrid w:val="0"/>
              <w:spacing w:line="500" w:lineRule="exact"/>
              <w:ind w:firstLine="249" w:firstLineChars="104"/>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委托代理人必须为竞选人本单位人员，须提供竞选人为其缴纳的养老保险证明材料。</w:t>
            </w:r>
          </w:p>
        </w:tc>
      </w:tr>
    </w:tbl>
    <w:p w14:paraId="01160B87">
      <w:pPr>
        <w:kinsoku w:val="0"/>
        <w:autoSpaceDE w:val="0"/>
        <w:autoSpaceDN w:val="0"/>
        <w:adjustRightInd w:val="0"/>
        <w:snapToGrid w:val="0"/>
        <w:spacing w:before="120" w:beforeLines="50" w:after="120" w:afterLines="50" w:line="500" w:lineRule="exact"/>
        <w:ind w:firstLine="482" w:firstLineChars="200"/>
        <w:outlineLvl w:val="1"/>
        <w:rPr>
          <w:rFonts w:hint="eastAsia" w:ascii="宋体" w:hAnsi="宋体" w:cs="宋体"/>
          <w:b/>
          <w:color w:val="000000" w:themeColor="text1"/>
          <w:sz w:val="24"/>
          <w:highlight w:val="none"/>
          <w14:textFill>
            <w14:solidFill>
              <w14:schemeClr w14:val="tx1"/>
            </w14:solidFill>
          </w14:textFill>
        </w:rPr>
      </w:pPr>
      <w:bookmarkStart w:id="201" w:name="_Toc12161"/>
      <w:r>
        <w:rPr>
          <w:rFonts w:hint="eastAsia" w:ascii="宋体" w:hAnsi="宋体" w:cs="宋体"/>
          <w:b/>
          <w:color w:val="000000" w:themeColor="text1"/>
          <w:sz w:val="24"/>
          <w:highlight w:val="none"/>
          <w14:textFill>
            <w14:solidFill>
              <w14:schemeClr w14:val="tx1"/>
            </w14:solidFill>
          </w14:textFill>
        </w:rPr>
        <w:t>二、评标方法</w:t>
      </w:r>
      <w:bookmarkEnd w:id="198"/>
      <w:bookmarkEnd w:id="199"/>
      <w:bookmarkEnd w:id="200"/>
      <w:bookmarkEnd w:id="201"/>
    </w:p>
    <w:p w14:paraId="6D4EEB74">
      <w:pPr>
        <w:kinsoku w:val="0"/>
        <w:autoSpaceDE w:val="0"/>
        <w:autoSpaceDN w:val="0"/>
        <w:adjustRightInd w:val="0"/>
        <w:snapToGrid w:val="0"/>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本项目采用综合评分法进行评标。</w:t>
      </w:r>
    </w:p>
    <w:p w14:paraId="2E7D372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综合评分法，是指竞选文件满足比选文件全部实质性要求且按照评审因素的量化指标评审得分最高的竞选人为中选候选人的评标方法。竞选人总得分为价格、商务、技术（质量）等评定因素分别按照相应权重值计算分项得分后相加，满分为100分。</w:t>
      </w:r>
    </w:p>
    <w:p w14:paraId="23C7FDD6">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澄清有关问题。对竞选文件中含义不明确、同类问题表述不一致或者有明显文字和计算错误的内容，比选小组可以（应当由比选小组成员签字）要求竞选人作出必要澄清、说明或者纠正。竞选人的澄清、说明或者补正应当由其法定代表人（或其授权代表）或自然人（竞选人为自然人）签字，其澄清的内容不得超出竞选文件的范围或者改变竞选文件的实质性内容。</w:t>
      </w:r>
    </w:p>
    <w:p w14:paraId="4EBDF94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（一）比较与评价。按比选文件中规定的评标方法和标准，对资格审查和符合性审查合格的竞选文件进行商务和技术评估。</w:t>
      </w:r>
    </w:p>
    <w:p w14:paraId="345AC60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选小组各成员独立对每个有效竞选人（通过资格审查、符合性审查的竞选人）的竞选文件进行评价、打分，然后由比选小组对各成员打分情况进行核查及复核，个别成员对同一竞选人同一评分项的打分偏离较大的，应对竞选人的竞选文件进行再次核对，确属打分有误的，应及时进行修正。</w:t>
      </w:r>
    </w:p>
    <w:p w14:paraId="2CA2D302">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复核后，比选小组汇总每个竞选人每项评分因素的得分。</w:t>
      </w:r>
    </w:p>
    <w:p w14:paraId="27CB44D1">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（二）推荐中选候选人名单。</w:t>
      </w:r>
    </w:p>
    <w:p w14:paraId="0EA1D07F">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按评审后得分由高到低的排列顺序推荐综合得分排名前三的竞选人为本包（项目）中选候选人，排名第一的为第一中选候选人。得分相同的，按竞选报价由低到高顺序排列。得分且竞选报价相同的并列。</w:t>
      </w:r>
    </w:p>
    <w:p w14:paraId="24070A28">
      <w:pPr>
        <w:pStyle w:val="3"/>
        <w:keepNext w:val="0"/>
        <w:keepLines w:val="0"/>
        <w:kinsoku w:val="0"/>
        <w:autoSpaceDE w:val="0"/>
        <w:autoSpaceDN w:val="0"/>
        <w:spacing w:line="500" w:lineRule="exact"/>
        <w:ind w:firstLine="482" w:firstLineChars="200"/>
        <w:rPr>
          <w:rFonts w:hint="eastAsia" w:cs="宋体"/>
          <w:b/>
          <w:sz w:val="24"/>
          <w:highlight w:val="none"/>
        </w:rPr>
      </w:pPr>
      <w:bookmarkStart w:id="202" w:name="_Toc19924"/>
      <w:bookmarkStart w:id="203" w:name="_Toc15716"/>
      <w:bookmarkStart w:id="204" w:name="_Toc5799"/>
      <w:bookmarkStart w:id="205" w:name="_Toc20699"/>
      <w:bookmarkStart w:id="206" w:name="_Toc17311"/>
      <w:bookmarkStart w:id="207" w:name="_Toc6342"/>
      <w:bookmarkStart w:id="208" w:name="_Toc22772"/>
      <w:bookmarkStart w:id="209" w:name="_Toc4511"/>
      <w:bookmarkStart w:id="210" w:name="_Toc20354"/>
      <w:bookmarkStart w:id="211" w:name="_Toc75793520"/>
      <w:bookmarkStart w:id="212" w:name="_Toc25814"/>
      <w:bookmarkStart w:id="213" w:name="_Toc267320057"/>
      <w:bookmarkStart w:id="214" w:name="_Toc20800"/>
      <w:bookmarkStart w:id="215" w:name="_Toc5694"/>
      <w:bookmarkStart w:id="216" w:name="_Toc17116"/>
      <w:bookmarkStart w:id="217" w:name="_Toc1055"/>
      <w:bookmarkStart w:id="218" w:name="_Toc20875"/>
      <w:r>
        <w:rPr>
          <w:rFonts w:hint="eastAsia" w:cs="宋体"/>
          <w:b/>
          <w:sz w:val="24"/>
          <w:highlight w:val="none"/>
        </w:rPr>
        <w:t>三、评标标准</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138D523">
      <w:pPr>
        <w:kinsoku w:val="0"/>
        <w:autoSpaceDE w:val="0"/>
        <w:autoSpaceDN w:val="0"/>
        <w:adjustRightInd w:val="0"/>
        <w:snapToGrid w:val="0"/>
        <w:spacing w:after="120" w:afterLines="50"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（一）评审因素</w:t>
      </w:r>
    </w:p>
    <w:tbl>
      <w:tblPr>
        <w:tblStyle w:val="19"/>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88"/>
        <w:gridCol w:w="850"/>
        <w:gridCol w:w="4618"/>
        <w:gridCol w:w="1887"/>
      </w:tblGrid>
      <w:tr w14:paraId="23D0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94" w:type="dxa"/>
            <w:vAlign w:val="center"/>
          </w:tcPr>
          <w:p w14:paraId="02C0B01A">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488" w:type="dxa"/>
            <w:vAlign w:val="center"/>
          </w:tcPr>
          <w:p w14:paraId="03C0A820">
            <w:pPr>
              <w:jc w:val="center"/>
              <w:rPr>
                <w:rFonts w:hint="eastAsia" w:ascii="宋体" w:hAnsi="宋体" w:cs="宋体"/>
                <w:b/>
                <w:bCs/>
                <w:color w:val="auto"/>
                <w:sz w:val="24"/>
                <w:highlight w:val="none"/>
              </w:rPr>
            </w:pPr>
            <w:r>
              <w:rPr>
                <w:rFonts w:hint="eastAsia" w:ascii="宋体" w:hAnsi="宋体" w:cs="宋体"/>
                <w:b/>
                <w:bCs/>
                <w:color w:val="auto"/>
                <w:sz w:val="24"/>
                <w:highlight w:val="none"/>
              </w:rPr>
              <w:t>评分因素</w:t>
            </w:r>
          </w:p>
          <w:p w14:paraId="77606ED9">
            <w:pPr>
              <w:jc w:val="center"/>
              <w:rPr>
                <w:rFonts w:hint="eastAsia" w:ascii="宋体" w:hAnsi="宋体" w:cs="宋体"/>
                <w:b/>
                <w:bCs/>
                <w:color w:val="auto"/>
                <w:sz w:val="24"/>
                <w:highlight w:val="none"/>
              </w:rPr>
            </w:pPr>
            <w:r>
              <w:rPr>
                <w:rFonts w:hint="eastAsia" w:ascii="宋体" w:hAnsi="宋体" w:cs="宋体"/>
                <w:b/>
                <w:bCs/>
                <w:color w:val="auto"/>
                <w:sz w:val="24"/>
                <w:highlight w:val="none"/>
              </w:rPr>
              <w:t>及权重</w:t>
            </w:r>
          </w:p>
        </w:tc>
        <w:tc>
          <w:tcPr>
            <w:tcW w:w="850" w:type="dxa"/>
            <w:vAlign w:val="center"/>
          </w:tcPr>
          <w:p w14:paraId="4A4D360A">
            <w:pPr>
              <w:jc w:val="center"/>
              <w:rPr>
                <w:rFonts w:hint="eastAsia" w:ascii="宋体" w:hAnsi="宋体" w:cs="宋体"/>
                <w:b/>
                <w:bCs/>
                <w:color w:val="auto"/>
                <w:sz w:val="24"/>
                <w:highlight w:val="none"/>
              </w:rPr>
            </w:pPr>
            <w:r>
              <w:rPr>
                <w:rFonts w:hint="eastAsia" w:ascii="宋体" w:hAnsi="宋体" w:cs="宋体"/>
                <w:b/>
                <w:bCs/>
                <w:color w:val="auto"/>
                <w:sz w:val="24"/>
                <w:highlight w:val="none"/>
              </w:rPr>
              <w:t>分值</w:t>
            </w:r>
          </w:p>
        </w:tc>
        <w:tc>
          <w:tcPr>
            <w:tcW w:w="4618" w:type="dxa"/>
            <w:vAlign w:val="center"/>
          </w:tcPr>
          <w:p w14:paraId="4753A7A8">
            <w:pPr>
              <w:jc w:val="center"/>
              <w:rPr>
                <w:rFonts w:hint="eastAsia" w:ascii="宋体" w:hAnsi="宋体" w:cs="宋体"/>
                <w:b/>
                <w:bCs/>
                <w:color w:val="auto"/>
                <w:sz w:val="24"/>
                <w:highlight w:val="none"/>
              </w:rPr>
            </w:pPr>
            <w:r>
              <w:rPr>
                <w:rFonts w:hint="eastAsia" w:ascii="宋体" w:hAnsi="宋体" w:cs="宋体"/>
                <w:b/>
                <w:bCs/>
                <w:color w:val="auto"/>
                <w:sz w:val="24"/>
                <w:highlight w:val="none"/>
              </w:rPr>
              <w:t>评分标准</w:t>
            </w:r>
          </w:p>
        </w:tc>
        <w:tc>
          <w:tcPr>
            <w:tcW w:w="1887" w:type="dxa"/>
            <w:vAlign w:val="center"/>
          </w:tcPr>
          <w:p w14:paraId="23DF2B3E">
            <w:pPr>
              <w:jc w:val="center"/>
              <w:rPr>
                <w:rFonts w:hint="eastAsia" w:ascii="宋体" w:hAnsi="宋体" w:cs="宋体"/>
                <w:b/>
                <w:bCs/>
                <w:color w:val="auto"/>
                <w:sz w:val="24"/>
                <w:highlight w:val="none"/>
              </w:rPr>
            </w:pPr>
            <w:r>
              <w:rPr>
                <w:rFonts w:hint="eastAsia" w:ascii="宋体" w:hAnsi="宋体" w:cs="宋体"/>
                <w:b/>
                <w:bCs/>
                <w:color w:val="auto"/>
                <w:sz w:val="24"/>
                <w:highlight w:val="none"/>
              </w:rPr>
              <w:t>说明</w:t>
            </w:r>
          </w:p>
        </w:tc>
      </w:tr>
      <w:tr w14:paraId="279A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494" w:type="dxa"/>
            <w:vAlign w:val="center"/>
          </w:tcPr>
          <w:p w14:paraId="6F07991B">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88" w:type="dxa"/>
            <w:vAlign w:val="center"/>
          </w:tcPr>
          <w:p w14:paraId="4AA06F53">
            <w:pPr>
              <w:ind w:left="178" w:leftChars="85"/>
              <w:jc w:val="left"/>
              <w:rPr>
                <w:rFonts w:hint="eastAsia" w:ascii="宋体" w:hAnsi="宋体" w:cs="宋体"/>
                <w:color w:val="auto"/>
                <w:sz w:val="24"/>
                <w:highlight w:val="none"/>
              </w:rPr>
            </w:pPr>
            <w:r>
              <w:rPr>
                <w:rFonts w:hint="eastAsia" w:ascii="宋体" w:hAnsi="宋体" w:cs="宋体"/>
                <w:color w:val="auto"/>
                <w:sz w:val="24"/>
                <w:highlight w:val="none"/>
              </w:rPr>
              <w:t>投标报价（30%）</w:t>
            </w:r>
          </w:p>
        </w:tc>
        <w:tc>
          <w:tcPr>
            <w:tcW w:w="850" w:type="dxa"/>
            <w:vAlign w:val="center"/>
          </w:tcPr>
          <w:p w14:paraId="0A1D1FEB">
            <w:pPr>
              <w:jc w:val="left"/>
              <w:rPr>
                <w:rFonts w:hint="eastAsia" w:ascii="宋体" w:hAnsi="宋体" w:cs="宋体"/>
                <w:color w:val="auto"/>
                <w:sz w:val="24"/>
                <w:highlight w:val="none"/>
              </w:rPr>
            </w:pPr>
            <w:r>
              <w:rPr>
                <w:rFonts w:hint="eastAsia" w:ascii="宋体" w:hAnsi="宋体" w:cs="宋体"/>
                <w:color w:val="auto"/>
                <w:sz w:val="24"/>
                <w:highlight w:val="none"/>
              </w:rPr>
              <w:t>30分</w:t>
            </w:r>
          </w:p>
        </w:tc>
        <w:tc>
          <w:tcPr>
            <w:tcW w:w="4618" w:type="dxa"/>
            <w:vAlign w:val="center"/>
          </w:tcPr>
          <w:p w14:paraId="555BF6A6">
            <w:pPr>
              <w:jc w:val="left"/>
              <w:rPr>
                <w:rFonts w:hint="eastAsia" w:ascii="宋体" w:hAnsi="宋体" w:cs="宋体"/>
                <w:color w:val="auto"/>
                <w:sz w:val="24"/>
                <w:highlight w:val="none"/>
              </w:rPr>
            </w:pPr>
            <w:r>
              <w:rPr>
                <w:rFonts w:hint="eastAsia" w:ascii="宋体" w:hAnsi="宋体" w:cs="宋体"/>
                <w:color w:val="auto"/>
                <w:sz w:val="24"/>
                <w:highlight w:val="none"/>
              </w:rPr>
              <w:t>有效的投标报价中的最低价为评标基准价，按照下列公式计算每个投标人的投标价格得分。</w:t>
            </w:r>
          </w:p>
          <w:p w14:paraId="188DDC8E">
            <w:pPr>
              <w:jc w:val="left"/>
              <w:rPr>
                <w:rFonts w:hint="eastAsia" w:ascii="宋体" w:hAnsi="宋体" w:cs="宋体"/>
                <w:color w:val="auto"/>
                <w:sz w:val="24"/>
                <w:highlight w:val="none"/>
              </w:rPr>
            </w:pPr>
            <w:r>
              <w:rPr>
                <w:rFonts w:hint="eastAsia" w:ascii="宋体" w:hAnsi="宋体" w:cs="宋体"/>
                <w:color w:val="auto"/>
                <w:sz w:val="24"/>
                <w:highlight w:val="none"/>
              </w:rPr>
              <w:t>投标报价得分=（评标基准价/投标报价）×价格权重×100。</w:t>
            </w:r>
          </w:p>
        </w:tc>
        <w:tc>
          <w:tcPr>
            <w:tcW w:w="1887" w:type="dxa"/>
            <w:vAlign w:val="center"/>
          </w:tcPr>
          <w:p w14:paraId="7C98B060">
            <w:pPr>
              <w:jc w:val="left"/>
              <w:rPr>
                <w:rFonts w:hint="eastAsia" w:ascii="宋体" w:hAnsi="宋体" w:cs="宋体"/>
                <w:color w:val="auto"/>
                <w:sz w:val="24"/>
                <w:highlight w:val="none"/>
              </w:rPr>
            </w:pPr>
            <w:r>
              <w:rPr>
                <w:rFonts w:hint="eastAsia" w:ascii="宋体" w:hAnsi="宋体" w:cs="宋体"/>
                <w:color w:val="auto"/>
                <w:sz w:val="24"/>
                <w:highlight w:val="none"/>
              </w:rPr>
              <w:t>1.高于限价价为无效报价；2.计算保留两位小数，第三位四舍五入</w:t>
            </w:r>
          </w:p>
        </w:tc>
      </w:tr>
      <w:tr w14:paraId="49A6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94" w:type="dxa"/>
            <w:vMerge w:val="restart"/>
            <w:vAlign w:val="center"/>
          </w:tcPr>
          <w:p w14:paraId="11AC64CB">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488" w:type="dxa"/>
            <w:vMerge w:val="restart"/>
            <w:vAlign w:val="center"/>
          </w:tcPr>
          <w:p w14:paraId="0E6F564C">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服务部分</w:t>
            </w:r>
          </w:p>
          <w:p w14:paraId="00E706DE">
            <w:pPr>
              <w:jc w:val="center"/>
              <w:rPr>
                <w:rFonts w:hint="eastAsia" w:ascii="宋体" w:hAnsi="宋体" w:cs="宋体"/>
                <w:color w:val="auto"/>
                <w:sz w:val="24"/>
                <w:highlight w:val="none"/>
              </w:rPr>
            </w:pPr>
            <w:r>
              <w:rPr>
                <w:rFonts w:hint="eastAsia" w:ascii="宋体" w:hAnsi="宋体" w:cs="宋体"/>
                <w:color w:val="auto"/>
                <w:sz w:val="24"/>
                <w:highlight w:val="none"/>
              </w:rPr>
              <w:t>（60%）</w:t>
            </w:r>
          </w:p>
        </w:tc>
        <w:tc>
          <w:tcPr>
            <w:tcW w:w="850" w:type="dxa"/>
            <w:vMerge w:val="restart"/>
            <w:vAlign w:val="center"/>
          </w:tcPr>
          <w:p w14:paraId="078EB712">
            <w:pPr>
              <w:rPr>
                <w:rFonts w:hint="eastAsia" w:ascii="宋体" w:hAnsi="宋体" w:cs="宋体"/>
                <w:color w:val="auto"/>
                <w:sz w:val="24"/>
                <w:highlight w:val="none"/>
              </w:rPr>
            </w:pPr>
            <w:r>
              <w:rPr>
                <w:rFonts w:hint="eastAsia" w:ascii="宋体" w:hAnsi="宋体" w:cs="宋体"/>
                <w:color w:val="auto"/>
                <w:sz w:val="24"/>
                <w:highlight w:val="none"/>
              </w:rPr>
              <w:t>服务能力60分</w:t>
            </w:r>
          </w:p>
        </w:tc>
        <w:tc>
          <w:tcPr>
            <w:tcW w:w="4618" w:type="dxa"/>
            <w:vAlign w:val="center"/>
          </w:tcPr>
          <w:p w14:paraId="614668BD">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1.运维服务方案（1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p w14:paraId="5D9D5856">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供应商结合本项目实际情况提供项目完善的运维服务方案，评标小组根据方案的详尽程度及可行性等进行评。</w:t>
            </w:r>
          </w:p>
          <w:p w14:paraId="0C756832">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方案全面、合理、详细、清晰、完整为优，得</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p w14:paraId="378E2F28">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方案较全面、较合理、较详细、较清晰、较完整为良，得</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p>
          <w:p w14:paraId="289F6801">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方案一般全面、一般合理、一般详细、一般清晰、一般完整为一般，得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14:paraId="4401322D">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方案不全面、不合理、不详细、不清晰、不完整或未提供方案为差，得0分。</w:t>
            </w:r>
          </w:p>
        </w:tc>
        <w:tc>
          <w:tcPr>
            <w:tcW w:w="1887" w:type="dxa"/>
            <w:vMerge w:val="restart"/>
            <w:vAlign w:val="center"/>
          </w:tcPr>
          <w:p w14:paraId="19841BCE">
            <w:pPr>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1.供应商自行提供服务方案，格式自定。</w:t>
            </w:r>
          </w:p>
          <w:p w14:paraId="4B69AB05">
            <w:pPr>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2.比选小组所有成员独立评审，供应商得分取比选小组所有成员打分算术平均值</w:t>
            </w:r>
          </w:p>
        </w:tc>
      </w:tr>
      <w:tr w14:paraId="0CB7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94" w:type="dxa"/>
            <w:vMerge w:val="continue"/>
            <w:vAlign w:val="center"/>
          </w:tcPr>
          <w:p w14:paraId="27D450A2">
            <w:pPr>
              <w:jc w:val="center"/>
              <w:rPr>
                <w:rFonts w:hint="eastAsia" w:ascii="宋体" w:hAnsi="宋体" w:cs="宋体"/>
                <w:color w:val="auto"/>
                <w:sz w:val="24"/>
                <w:highlight w:val="none"/>
              </w:rPr>
            </w:pPr>
          </w:p>
        </w:tc>
        <w:tc>
          <w:tcPr>
            <w:tcW w:w="1488" w:type="dxa"/>
            <w:vMerge w:val="continue"/>
            <w:vAlign w:val="center"/>
          </w:tcPr>
          <w:p w14:paraId="40C4205B">
            <w:pPr>
              <w:jc w:val="center"/>
              <w:rPr>
                <w:rFonts w:hint="eastAsia" w:ascii="宋体" w:hAnsi="宋体" w:cs="宋体"/>
                <w:color w:val="auto"/>
                <w:sz w:val="24"/>
                <w:highlight w:val="none"/>
              </w:rPr>
            </w:pPr>
          </w:p>
        </w:tc>
        <w:tc>
          <w:tcPr>
            <w:tcW w:w="850" w:type="dxa"/>
            <w:vMerge w:val="continue"/>
            <w:vAlign w:val="center"/>
          </w:tcPr>
          <w:p w14:paraId="000802EB">
            <w:pPr>
              <w:rPr>
                <w:rFonts w:hint="eastAsia" w:ascii="宋体" w:hAnsi="宋体" w:cs="宋体"/>
                <w:color w:val="auto"/>
                <w:sz w:val="24"/>
                <w:highlight w:val="none"/>
              </w:rPr>
            </w:pPr>
          </w:p>
        </w:tc>
        <w:tc>
          <w:tcPr>
            <w:tcW w:w="4618" w:type="dxa"/>
            <w:vAlign w:val="center"/>
          </w:tcPr>
          <w:p w14:paraId="6A79CA87">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2.质量保障、服务承诺（</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p w14:paraId="0A34D51D">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供应商结合本项目的实际需求，提供本项目质量保障、服务承诺。</w:t>
            </w:r>
          </w:p>
          <w:p w14:paraId="4EDEA0A2">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材料全面、合理、详细、清晰、完整为优，得</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p w14:paraId="70F81F25">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材料较全面、较合理、较详细、较清晰、较完整为良，得</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p>
          <w:p w14:paraId="6D17140B">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材料一般全面、一般合理、一般详细、一般清晰、一般完整为一般，得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14:paraId="3D23BD7B">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材料不全面、不合理、不详细、不清晰、不完整或未提供为差，得0分</w:t>
            </w:r>
          </w:p>
        </w:tc>
        <w:tc>
          <w:tcPr>
            <w:tcW w:w="1887" w:type="dxa"/>
            <w:vMerge w:val="continue"/>
            <w:tcBorders/>
            <w:vAlign w:val="center"/>
          </w:tcPr>
          <w:p w14:paraId="3EC5BD12">
            <w:pPr>
              <w:jc w:val="left"/>
              <w:rPr>
                <w:rFonts w:hint="eastAsia" w:ascii="宋体" w:hAnsi="宋体" w:cs="宋体"/>
                <w:color w:val="auto"/>
                <w:sz w:val="24"/>
                <w:highlight w:val="none"/>
              </w:rPr>
            </w:pPr>
          </w:p>
        </w:tc>
      </w:tr>
      <w:tr w14:paraId="5F07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94" w:type="dxa"/>
            <w:vMerge w:val="continue"/>
            <w:vAlign w:val="center"/>
          </w:tcPr>
          <w:p w14:paraId="5C969271">
            <w:pPr>
              <w:jc w:val="center"/>
              <w:rPr>
                <w:rFonts w:hint="eastAsia" w:ascii="宋体" w:hAnsi="宋体" w:cs="宋体"/>
                <w:color w:val="auto"/>
                <w:sz w:val="24"/>
                <w:highlight w:val="none"/>
              </w:rPr>
            </w:pPr>
          </w:p>
        </w:tc>
        <w:tc>
          <w:tcPr>
            <w:tcW w:w="1488" w:type="dxa"/>
            <w:vMerge w:val="continue"/>
            <w:vAlign w:val="center"/>
          </w:tcPr>
          <w:p w14:paraId="0F78B76E">
            <w:pPr>
              <w:jc w:val="center"/>
              <w:rPr>
                <w:rFonts w:hint="eastAsia" w:ascii="宋体" w:hAnsi="宋体" w:cs="宋体"/>
                <w:color w:val="auto"/>
                <w:sz w:val="24"/>
                <w:highlight w:val="none"/>
              </w:rPr>
            </w:pPr>
          </w:p>
        </w:tc>
        <w:tc>
          <w:tcPr>
            <w:tcW w:w="850" w:type="dxa"/>
            <w:vMerge w:val="continue"/>
            <w:vAlign w:val="center"/>
          </w:tcPr>
          <w:p w14:paraId="0AB35AE2">
            <w:pPr>
              <w:rPr>
                <w:rFonts w:hint="eastAsia" w:ascii="宋体" w:hAnsi="宋体" w:cs="宋体"/>
                <w:color w:val="auto"/>
                <w:sz w:val="24"/>
                <w:highlight w:val="none"/>
              </w:rPr>
            </w:pPr>
          </w:p>
        </w:tc>
        <w:tc>
          <w:tcPr>
            <w:tcW w:w="4618" w:type="dxa"/>
            <w:vAlign w:val="center"/>
          </w:tcPr>
          <w:p w14:paraId="7F6911C7">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3.应急预案（10分）</w:t>
            </w:r>
          </w:p>
          <w:p w14:paraId="3C8668BA">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供应商提供本项目的应急预案处置方案。</w:t>
            </w:r>
          </w:p>
          <w:p w14:paraId="1FE2CB89">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方案全面、合理、详细、清晰、完整为优，得10分；</w:t>
            </w:r>
          </w:p>
          <w:p w14:paraId="015EDA6A">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方案较全面、较合理、较详细、较清晰、较完整为良，得7分；</w:t>
            </w:r>
          </w:p>
          <w:p w14:paraId="27621388">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方案一般全面、一般合理、一般详细、一般清晰、一般完整为一般，得4分；</w:t>
            </w:r>
          </w:p>
          <w:p w14:paraId="4D0723DC">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方案不全面、不合理、不详细、不清晰、不完整或未提供方案为差，得0分。</w:t>
            </w:r>
          </w:p>
        </w:tc>
        <w:tc>
          <w:tcPr>
            <w:tcW w:w="1887" w:type="dxa"/>
            <w:vMerge w:val="continue"/>
            <w:tcBorders/>
            <w:vAlign w:val="center"/>
          </w:tcPr>
          <w:p w14:paraId="1DF2C470">
            <w:pPr>
              <w:jc w:val="left"/>
              <w:rPr>
                <w:rFonts w:hint="eastAsia" w:ascii="宋体" w:hAnsi="宋体" w:cs="宋体"/>
                <w:color w:val="auto"/>
                <w:sz w:val="24"/>
                <w:highlight w:val="none"/>
              </w:rPr>
            </w:pPr>
          </w:p>
        </w:tc>
      </w:tr>
      <w:tr w14:paraId="260C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5" w:hRule="atLeast"/>
          <w:jc w:val="center"/>
        </w:trPr>
        <w:tc>
          <w:tcPr>
            <w:tcW w:w="494" w:type="dxa"/>
            <w:vMerge w:val="continue"/>
            <w:vAlign w:val="center"/>
          </w:tcPr>
          <w:p w14:paraId="277108A2">
            <w:pPr>
              <w:ind w:firstLine="480" w:firstLineChars="200"/>
              <w:jc w:val="left"/>
              <w:rPr>
                <w:color w:val="auto"/>
                <w:sz w:val="24"/>
                <w:highlight w:val="none"/>
              </w:rPr>
            </w:pPr>
          </w:p>
        </w:tc>
        <w:tc>
          <w:tcPr>
            <w:tcW w:w="1488" w:type="dxa"/>
            <w:vMerge w:val="continue"/>
            <w:vAlign w:val="center"/>
          </w:tcPr>
          <w:p w14:paraId="2E043711">
            <w:pPr>
              <w:ind w:firstLine="480" w:firstLineChars="200"/>
              <w:jc w:val="left"/>
              <w:rPr>
                <w:color w:val="auto"/>
                <w:sz w:val="24"/>
                <w:highlight w:val="none"/>
              </w:rPr>
            </w:pPr>
          </w:p>
        </w:tc>
        <w:tc>
          <w:tcPr>
            <w:tcW w:w="850" w:type="dxa"/>
            <w:vMerge w:val="continue"/>
            <w:vAlign w:val="center"/>
          </w:tcPr>
          <w:p w14:paraId="6F958887">
            <w:pPr>
              <w:ind w:firstLine="480" w:firstLineChars="200"/>
              <w:jc w:val="left"/>
              <w:rPr>
                <w:color w:val="auto"/>
                <w:sz w:val="24"/>
                <w:highlight w:val="none"/>
              </w:rPr>
            </w:pPr>
          </w:p>
        </w:tc>
        <w:tc>
          <w:tcPr>
            <w:tcW w:w="4618" w:type="dxa"/>
            <w:vAlign w:val="center"/>
          </w:tcPr>
          <w:p w14:paraId="7DADF07D">
            <w:pPr>
              <w:numPr>
                <w:ilvl w:val="0"/>
                <w:numId w:val="0"/>
              </w:numPr>
              <w:ind w:firstLine="480" w:firstLineChars="200"/>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sz w:val="24"/>
                <w:highlight w:val="none"/>
                <w:lang w:val="en-US" w:eastAsia="zh-CN"/>
              </w:rPr>
              <w:t>现场演示网络安全设备管理运维能力（20分）</w:t>
            </w:r>
          </w:p>
          <w:p w14:paraId="00577AFA">
            <w:pPr>
              <w:ind w:firstLine="480" w:firstLineChars="200"/>
              <w:jc w:val="left"/>
              <w:rPr>
                <w:rFonts w:hint="default" w:ascii="宋体" w:hAnsi="宋体" w:cs="宋体"/>
                <w:color w:val="auto"/>
                <w:sz w:val="24"/>
                <w:highlight w:val="none"/>
                <w:lang w:val="en-US" w:eastAsia="zh-CN"/>
              </w:rPr>
            </w:pPr>
            <w:bookmarkStart w:id="219" w:name="OLE_LINK2"/>
            <w:r>
              <w:rPr>
                <w:rFonts w:hint="eastAsia" w:ascii="宋体" w:hAnsi="宋体" w:cs="宋体"/>
                <w:color w:val="auto"/>
                <w:sz w:val="24"/>
                <w:highlight w:val="none"/>
                <w:lang w:val="en-US" w:eastAsia="zh-CN"/>
              </w:rPr>
              <w:t>供应商需要具有研发接口模块接入我所现有网络安全设备管理运维平台或自主搭建网络安全设备管理运维平台的能力。</w:t>
            </w:r>
          </w:p>
          <w:p w14:paraId="483F01F5">
            <w:pPr>
              <w:ind w:firstLine="480" w:firstLineChars="200"/>
              <w:jc w:val="left"/>
              <w:rPr>
                <w:rFonts w:hint="default" w:ascii="宋体" w:hAnsi="宋体" w:cs="宋体"/>
                <w:color w:val="auto"/>
                <w:sz w:val="24"/>
                <w:highlight w:val="none"/>
                <w:lang w:val="en-US" w:eastAsia="zh-CN"/>
              </w:rPr>
            </w:pPr>
            <w:bookmarkStart w:id="220" w:name="OLE_LINK1"/>
            <w:r>
              <w:rPr>
                <w:rFonts w:hint="eastAsia" w:ascii="宋体" w:hAnsi="宋体" w:cs="宋体"/>
                <w:color w:val="auto"/>
                <w:sz w:val="24"/>
                <w:highlight w:val="none"/>
                <w:lang w:val="en-US" w:eastAsia="zh-CN"/>
              </w:rPr>
              <w:t>供应商需对相关网络安全设备集中管理系统进行演示。</w:t>
            </w:r>
            <w:bookmarkEnd w:id="220"/>
          </w:p>
          <w:p w14:paraId="5C269C12">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管理系统演示功能</w:t>
            </w:r>
            <w:r>
              <w:rPr>
                <w:rFonts w:hint="eastAsia" w:ascii="宋体" w:hAnsi="宋体" w:cs="宋体"/>
                <w:color w:val="auto"/>
                <w:sz w:val="24"/>
                <w:highlight w:val="none"/>
              </w:rPr>
              <w:t>全面、合理、详细、清晰、完整为优，得</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p w14:paraId="3E8FB082">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管理系统演示功能</w:t>
            </w:r>
            <w:r>
              <w:rPr>
                <w:rFonts w:hint="eastAsia" w:ascii="宋体" w:hAnsi="宋体" w:cs="宋体"/>
                <w:color w:val="auto"/>
                <w:sz w:val="24"/>
                <w:highlight w:val="none"/>
              </w:rPr>
              <w:t>较全面、较合理、较详细、较清晰、较完整为良，得</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分；</w:t>
            </w:r>
          </w:p>
          <w:p w14:paraId="6AC0FE84">
            <w:pPr>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管理系统演示功能</w:t>
            </w:r>
            <w:r>
              <w:rPr>
                <w:rFonts w:hint="eastAsia" w:ascii="宋体" w:hAnsi="宋体" w:cs="宋体"/>
                <w:color w:val="auto"/>
                <w:sz w:val="24"/>
                <w:highlight w:val="none"/>
              </w:rPr>
              <w:t>一般全面、一般合理、一般详细、一般清晰、一般完整为一般，得</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分；</w:t>
            </w:r>
          </w:p>
          <w:p w14:paraId="3D42671B">
            <w:pPr>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管理系统演示功能</w:t>
            </w:r>
            <w:r>
              <w:rPr>
                <w:rFonts w:hint="eastAsia" w:ascii="宋体" w:hAnsi="宋体" w:cs="宋体"/>
                <w:color w:val="auto"/>
                <w:sz w:val="24"/>
                <w:highlight w:val="none"/>
              </w:rPr>
              <w:t>不全面、不合理、不详细、不清晰、不完整或未提供方案为差，得0分。</w:t>
            </w:r>
          </w:p>
          <w:bookmarkEnd w:id="219"/>
          <w:p w14:paraId="1BEB3E4A">
            <w:pPr>
              <w:ind w:firstLine="240" w:firstLineChars="100"/>
              <w:jc w:val="left"/>
              <w:rPr>
                <w:rFonts w:hint="default" w:ascii="宋体" w:hAnsi="宋体" w:eastAsia="宋体" w:cs="宋体"/>
                <w:color w:val="auto"/>
                <w:sz w:val="24"/>
                <w:highlight w:val="none"/>
                <w:lang w:val="en-US" w:eastAsia="zh-CN"/>
              </w:rPr>
            </w:pPr>
          </w:p>
        </w:tc>
        <w:tc>
          <w:tcPr>
            <w:tcW w:w="1887" w:type="dxa"/>
            <w:vAlign w:val="center"/>
          </w:tcPr>
          <w:p w14:paraId="20FF2E29">
            <w:pPr>
              <w:jc w:val="left"/>
              <w:rPr>
                <w:rFonts w:hint="eastAsia" w:ascii="宋体" w:hAnsi="宋体" w:cs="宋体"/>
                <w:color w:val="auto"/>
                <w:sz w:val="24"/>
                <w:highlight w:val="none"/>
              </w:rPr>
            </w:pPr>
            <w:r>
              <w:rPr>
                <w:rFonts w:hint="eastAsia" w:ascii="宋体" w:hAnsi="宋体" w:cs="宋体"/>
                <w:color w:val="auto"/>
                <w:sz w:val="24"/>
                <w:highlight w:val="none"/>
              </w:rPr>
              <w:t>1、演示方式为真实系统演示，不接受其他方式（如产品原型、WORD、PPT、视频等）进行演示，演示时间不超过25分钟。</w:t>
            </w:r>
          </w:p>
          <w:p w14:paraId="4C9FCB72">
            <w:pPr>
              <w:jc w:val="left"/>
              <w:rPr>
                <w:rFonts w:hint="eastAsia" w:ascii="宋体" w:hAnsi="宋体" w:cs="宋体"/>
                <w:color w:val="auto"/>
                <w:sz w:val="24"/>
                <w:highlight w:val="none"/>
              </w:rPr>
            </w:pPr>
            <w:r>
              <w:rPr>
                <w:rFonts w:hint="eastAsia" w:ascii="宋体" w:hAnsi="宋体" w:cs="宋体"/>
                <w:color w:val="auto"/>
                <w:sz w:val="24"/>
                <w:highlight w:val="none"/>
              </w:rPr>
              <w:t>2、供应商按递交投标文件的签到顺序进行演示，演示的人数不超过2人；依序收到演示通知5分钟后还未出现在演示现场的供应商，视为放弃演示。</w:t>
            </w:r>
          </w:p>
          <w:p w14:paraId="42D1394F">
            <w:pPr>
              <w:jc w:val="left"/>
              <w:rPr>
                <w:rFonts w:hint="eastAsia" w:ascii="宋体" w:hAnsi="宋体" w:cs="宋体"/>
                <w:color w:val="auto"/>
                <w:sz w:val="24"/>
                <w:highlight w:val="none"/>
              </w:rPr>
            </w:pPr>
            <w:r>
              <w:rPr>
                <w:rFonts w:hint="eastAsia" w:ascii="宋体" w:hAnsi="宋体" w:cs="宋体"/>
                <w:color w:val="auto"/>
                <w:sz w:val="24"/>
                <w:highlight w:val="none"/>
              </w:rPr>
              <w:t>3、供应商需自备现</w:t>
            </w:r>
            <w:bookmarkStart w:id="412" w:name="_GoBack"/>
            <w:bookmarkEnd w:id="412"/>
            <w:r>
              <w:rPr>
                <w:rFonts w:hint="eastAsia" w:ascii="宋体" w:hAnsi="宋体" w:cs="宋体"/>
                <w:color w:val="auto"/>
                <w:sz w:val="24"/>
                <w:highlight w:val="none"/>
              </w:rPr>
              <w:t>场述标所需设备及网络，提前进行软硬件运行环境配置。</w:t>
            </w:r>
          </w:p>
          <w:p w14:paraId="30B28E56">
            <w:pPr>
              <w:jc w:val="left"/>
              <w:rPr>
                <w:rFonts w:hint="eastAsia" w:ascii="宋体" w:hAnsi="宋体" w:cs="宋体"/>
                <w:color w:val="auto"/>
                <w:sz w:val="24"/>
                <w:highlight w:val="none"/>
              </w:rPr>
            </w:pPr>
            <w:r>
              <w:rPr>
                <w:rFonts w:hint="eastAsia" w:ascii="宋体" w:hAnsi="宋体" w:cs="宋体"/>
                <w:color w:val="auto"/>
                <w:sz w:val="24"/>
                <w:highlight w:val="none"/>
              </w:rPr>
              <w:t>4、根据供应商提供的演示内容按左侧评分标准进行打分。若因供应商原因造成无法演示的，该项得0分。</w:t>
            </w:r>
          </w:p>
        </w:tc>
      </w:tr>
      <w:tr w14:paraId="1F76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494" w:type="dxa"/>
            <w:vAlign w:val="center"/>
          </w:tcPr>
          <w:p w14:paraId="19E6B077">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488" w:type="dxa"/>
            <w:vAlign w:val="center"/>
          </w:tcPr>
          <w:p w14:paraId="6EF8FB48">
            <w:pPr>
              <w:snapToGrid w:val="0"/>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商务部分（10%）</w:t>
            </w:r>
          </w:p>
        </w:tc>
        <w:tc>
          <w:tcPr>
            <w:tcW w:w="850" w:type="dxa"/>
            <w:vAlign w:val="center"/>
          </w:tcPr>
          <w:p w14:paraId="306A18F1">
            <w:pPr>
              <w:jc w:val="center"/>
              <w:rPr>
                <w:rFonts w:hint="eastAsia" w:ascii="宋体" w:hAnsi="宋体" w:cs="宋体"/>
                <w:color w:val="auto"/>
                <w:sz w:val="24"/>
                <w:highlight w:val="none"/>
              </w:rPr>
            </w:pPr>
            <w:r>
              <w:rPr>
                <w:rFonts w:hint="eastAsia" w:ascii="宋体" w:hAnsi="宋体" w:cs="宋体"/>
                <w:color w:val="auto"/>
                <w:sz w:val="24"/>
                <w:highlight w:val="none"/>
              </w:rPr>
              <w:t>承诺10分</w:t>
            </w:r>
          </w:p>
        </w:tc>
        <w:tc>
          <w:tcPr>
            <w:tcW w:w="4618" w:type="dxa"/>
            <w:vAlign w:val="center"/>
          </w:tcPr>
          <w:p w14:paraId="67552287">
            <w:pPr>
              <w:pStyle w:val="18"/>
              <w:ind w:left="0" w:leftChars="0" w:firstLine="480"/>
              <w:rPr>
                <w:rFonts w:hint="eastAsia" w:ascii="宋体" w:hAnsi="宋体" w:cs="宋体"/>
                <w:color w:val="auto"/>
                <w:sz w:val="24"/>
                <w:highlight w:val="none"/>
              </w:rPr>
            </w:pPr>
            <w:r>
              <w:rPr>
                <w:rFonts w:hint="eastAsia" w:ascii="宋体" w:hAnsi="宋体" w:cs="宋体"/>
                <w:color w:val="auto"/>
                <w:sz w:val="24"/>
                <w:highlight w:val="none"/>
              </w:rPr>
              <w:t>由供应商负责出资建设易损易耗设备的备品备件库以实现故障快修，具体响应内容见本文件“二、运维服务内容”中关于备品备件库的要求，按内容要求提供承诺函得10分，不按要求提供或不提供得0分。</w:t>
            </w:r>
          </w:p>
        </w:tc>
        <w:tc>
          <w:tcPr>
            <w:tcW w:w="1887" w:type="dxa"/>
            <w:vAlign w:val="center"/>
          </w:tcPr>
          <w:p w14:paraId="46B21CCE">
            <w:pPr>
              <w:pStyle w:val="18"/>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实现故障快修</w:t>
            </w:r>
          </w:p>
        </w:tc>
      </w:tr>
    </w:tbl>
    <w:p w14:paraId="274606DF">
      <w:pPr>
        <w:kinsoku w:val="0"/>
        <w:autoSpaceDE w:val="0"/>
        <w:autoSpaceDN w:val="0"/>
        <w:adjustRightInd w:val="0"/>
        <w:snapToGrid w:val="0"/>
        <w:spacing w:line="500" w:lineRule="exact"/>
        <w:ind w:firstLine="465"/>
        <w:rPr>
          <w:rFonts w:hint="eastAsia" w:ascii="宋体" w:hAnsi="宋体" w:cs="宋体"/>
          <w:highlight w:val="none"/>
        </w:rPr>
      </w:pPr>
      <w:r>
        <w:rPr>
          <w:rFonts w:hint="eastAsia" w:ascii="宋体" w:hAnsi="宋体" w:cs="宋体"/>
          <w:sz w:val="24"/>
          <w:highlight w:val="none"/>
        </w:rPr>
        <w:t>说明：比选小组认为竞选人的报价明显低于其他通过符合性审查竞选人的报价，有可能影响产品质量或者不能诚信履约的，应当要求其在评标现场合理的时间内提供书面说明，必要时提交相关证明材料；竞选人不能证明其报价合理性的，比选小组应当将其作为无效投标处理。</w:t>
      </w:r>
    </w:p>
    <w:p w14:paraId="1E7E97DE">
      <w:pPr>
        <w:kinsoku w:val="0"/>
        <w:autoSpaceDE w:val="0"/>
        <w:autoSpaceDN w:val="0"/>
        <w:adjustRightInd w:val="0"/>
        <w:snapToGrid w:val="0"/>
        <w:spacing w:before="120" w:beforeLines="50" w:after="120" w:afterLines="50" w:line="500" w:lineRule="exact"/>
        <w:ind w:firstLine="482" w:firstLineChars="200"/>
        <w:outlineLvl w:val="1"/>
        <w:rPr>
          <w:rFonts w:hint="eastAsia" w:ascii="宋体" w:hAnsi="宋体" w:cs="宋体"/>
          <w:b/>
          <w:color w:val="000000" w:themeColor="text1"/>
          <w:sz w:val="24"/>
          <w:highlight w:val="none"/>
          <w14:textFill>
            <w14:solidFill>
              <w14:schemeClr w14:val="tx1"/>
            </w14:solidFill>
          </w14:textFill>
        </w:rPr>
      </w:pPr>
      <w:bookmarkStart w:id="221" w:name="_Toc75793521"/>
      <w:bookmarkStart w:id="222" w:name="_Toc5010"/>
      <w:bookmarkStart w:id="223" w:name="_Toc4045"/>
      <w:bookmarkStart w:id="224" w:name="_Toc15200"/>
      <w:bookmarkStart w:id="225" w:name="_Toc20423"/>
      <w:bookmarkStart w:id="226" w:name="_Toc27926"/>
      <w:bookmarkStart w:id="227" w:name="_Toc26747"/>
      <w:bookmarkStart w:id="228" w:name="_Toc2597"/>
      <w:bookmarkStart w:id="229" w:name="_Toc18716"/>
      <w:bookmarkStart w:id="230" w:name="_Toc22167"/>
      <w:bookmarkStart w:id="231" w:name="_Toc20224"/>
      <w:bookmarkStart w:id="232" w:name="_Toc13232"/>
      <w:bookmarkStart w:id="233" w:name="_Toc29586"/>
      <w:bookmarkStart w:id="234" w:name="_Toc13045"/>
      <w:bookmarkStart w:id="235" w:name="_Toc30659"/>
      <w:bookmarkStart w:id="236" w:name="_Toc106030397"/>
      <w:bookmarkStart w:id="237" w:name="_Toc10923"/>
      <w:bookmarkStart w:id="238" w:name="_Toc15625"/>
      <w:bookmarkStart w:id="239" w:name="_Toc17065"/>
      <w:r>
        <w:rPr>
          <w:rFonts w:hint="eastAsia" w:ascii="宋体" w:hAnsi="宋体" w:cs="宋体"/>
          <w:b/>
          <w:color w:val="000000" w:themeColor="text1"/>
          <w:sz w:val="24"/>
          <w:highlight w:val="none"/>
          <w14:textFill>
            <w14:solidFill>
              <w14:schemeClr w14:val="tx1"/>
            </w14:solidFill>
          </w14:textFill>
        </w:rPr>
        <w:t>四、无效投标条款</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884031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竞选人或其竞选文件出现下列情况之一者，应为无效投标：</w:t>
      </w:r>
    </w:p>
    <w:p w14:paraId="46676412">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（一）未按照比选文件的规定提交比选保证金的；</w:t>
      </w:r>
    </w:p>
    <w:p w14:paraId="304F37B0">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（二）竞选文件未按比选文件要求签署、盖章的；</w:t>
      </w:r>
    </w:p>
    <w:p w14:paraId="4747501C">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（三）不具备比选文件中规定的资格要求的；</w:t>
      </w:r>
    </w:p>
    <w:p w14:paraId="4302C240">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（四）报价超过比选文件中规定的预算金额或者最高限价的；</w:t>
      </w:r>
    </w:p>
    <w:p w14:paraId="627E50DD">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（五）竞选文件含有比选人不能接受的附加条件的；</w:t>
      </w:r>
    </w:p>
    <w:p w14:paraId="45C9EF5A">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（六）竞选人串通投标的；</w:t>
      </w:r>
    </w:p>
    <w:p w14:paraId="3CBEA84A">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（七）法律、法规和比选文件规定的其他无效情形。</w:t>
      </w:r>
    </w:p>
    <w:p w14:paraId="5AB4D7F3">
      <w:pPr>
        <w:kinsoku w:val="0"/>
        <w:autoSpaceDE w:val="0"/>
        <w:autoSpaceDN w:val="0"/>
        <w:adjustRightInd w:val="0"/>
        <w:snapToGrid w:val="0"/>
        <w:spacing w:before="120" w:beforeLines="50" w:after="120" w:afterLines="50" w:line="500" w:lineRule="exact"/>
        <w:ind w:firstLine="482" w:firstLineChars="200"/>
        <w:outlineLvl w:val="1"/>
        <w:rPr>
          <w:rFonts w:hint="eastAsia" w:ascii="宋体" w:hAnsi="宋体" w:cs="宋体"/>
          <w:b/>
          <w:color w:val="000000" w:themeColor="text1"/>
          <w:sz w:val="24"/>
          <w:highlight w:val="none"/>
          <w14:textFill>
            <w14:solidFill>
              <w14:schemeClr w14:val="tx1"/>
            </w14:solidFill>
          </w14:textFill>
        </w:rPr>
      </w:pPr>
      <w:bookmarkStart w:id="240" w:name="_Toc75793522"/>
      <w:bookmarkStart w:id="241" w:name="_Toc6719"/>
      <w:bookmarkStart w:id="242" w:name="_Toc23533"/>
      <w:bookmarkStart w:id="243" w:name="_Toc6204"/>
      <w:bookmarkStart w:id="244" w:name="_Toc14355"/>
      <w:bookmarkStart w:id="245" w:name="_Toc25549"/>
      <w:bookmarkStart w:id="246" w:name="_Toc11293"/>
      <w:bookmarkStart w:id="247" w:name="_Toc20005"/>
      <w:bookmarkStart w:id="248" w:name="_Toc21946"/>
      <w:bookmarkStart w:id="249" w:name="_Toc27133"/>
      <w:bookmarkStart w:id="250" w:name="_Toc6956"/>
      <w:bookmarkStart w:id="251" w:name="_Toc106030398"/>
      <w:bookmarkStart w:id="252" w:name="_Toc21885"/>
      <w:bookmarkStart w:id="253" w:name="_Toc30605"/>
      <w:bookmarkStart w:id="254" w:name="_Toc4422"/>
      <w:bookmarkStart w:id="255" w:name="_Toc30419"/>
      <w:bookmarkStart w:id="256" w:name="_Toc25960"/>
      <w:bookmarkStart w:id="257" w:name="_Toc7802"/>
      <w:bookmarkStart w:id="258" w:name="_Toc6710"/>
      <w:r>
        <w:rPr>
          <w:rFonts w:hint="eastAsia" w:ascii="宋体" w:hAnsi="宋体" w:cs="宋体"/>
          <w:b/>
          <w:color w:val="000000" w:themeColor="text1"/>
          <w:sz w:val="24"/>
          <w:highlight w:val="none"/>
          <w14:textFill>
            <w14:solidFill>
              <w14:schemeClr w14:val="tx1"/>
            </w14:solidFill>
          </w14:textFill>
        </w:rPr>
        <w:t>五、废标条款</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CB0D1B4">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在招标采购中，出现下列情形之一的，应予废标：</w:t>
      </w:r>
    </w:p>
    <w:p w14:paraId="02C985ED">
      <w:pPr>
        <w:numPr>
          <w:ilvl w:val="0"/>
          <w:numId w:val="1"/>
        </w:num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竞选文件递交截止时间止，竞选人少于3个的;</w:t>
      </w:r>
    </w:p>
    <w:p w14:paraId="6649627A">
      <w:pPr>
        <w:numPr>
          <w:ilvl w:val="0"/>
          <w:numId w:val="1"/>
        </w:num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经比选小组评审后否决所有响应的；</w:t>
      </w:r>
    </w:p>
    <w:p w14:paraId="7E17E87B">
      <w:pPr>
        <w:numPr>
          <w:ilvl w:val="0"/>
          <w:numId w:val="1"/>
        </w:num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比选小组评审后部分竞选文件被否决，导致有效响应商不足三个的，比选小组应当否决所有竞选文件。但是有效竞选人的经济、技术等指标仍然具有市场竞争力，能够满足竞争性比选文件要求的，比选小组可以继续评标并确定中选候选人；</w:t>
      </w:r>
    </w:p>
    <w:p w14:paraId="116DCE5C">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（四）竞选人的报价均超过了采购预算，比选人不能支付的；</w:t>
      </w:r>
    </w:p>
    <w:p w14:paraId="0968EE7A">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（五）出现影响采购公正的违法、违规行为的；</w:t>
      </w:r>
    </w:p>
    <w:p w14:paraId="7D625EDA">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（六）因重大变故，采购任务取消的。</w:t>
      </w:r>
    </w:p>
    <w:p w14:paraId="0B7F6C80">
      <w:pPr>
        <w:kinsoku w:val="0"/>
        <w:autoSpaceDE w:val="0"/>
        <w:autoSpaceDN w:val="0"/>
        <w:adjustRightInd w:val="0"/>
        <w:snapToGrid w:val="0"/>
        <w:spacing w:line="500" w:lineRule="exact"/>
        <w:ind w:firstLine="480" w:firstLineChars="200"/>
        <w:jc w:val="left"/>
        <w:rPr>
          <w:rFonts w:hint="eastAsia" w:ascii="宋体" w:hAnsi="宋体" w:cs="宋体"/>
          <w:color w:val="000000" w:themeColor="text1"/>
          <w:sz w:val="36"/>
          <w:szCs w:val="30"/>
          <w:highlight w:val="none"/>
          <w14:textFill>
            <w14:solidFill>
              <w14:schemeClr w14:val="tx1"/>
            </w14:solidFill>
          </w14:textFill>
        </w:rPr>
        <w:sectPr>
          <w:pgSz w:w="11907" w:h="16840"/>
          <w:pgMar w:top="1417" w:right="1417" w:bottom="1417" w:left="1417" w:header="964" w:footer="992" w:gutter="0"/>
          <w:cols w:space="720" w:num="1"/>
          <w:docGrid w:linePitch="312" w:charSpace="0"/>
        </w:sectPr>
      </w:pPr>
      <w:r>
        <w:rPr>
          <w:rFonts w:hint="eastAsia" w:ascii="宋体" w:hAnsi="宋体" w:cs="宋体"/>
          <w:color w:val="000000" w:themeColor="text1"/>
          <w:sz w:val="24"/>
          <w:highlight w:val="none"/>
          <w14:textFill>
            <w14:solidFill>
              <w14:schemeClr w14:val="tx1"/>
            </w14:solidFill>
          </w14:textFill>
        </w:rPr>
        <w:t>废标后，除采购任务取消情形外，应当重新组织比选。重新比选的竞选人仍然少于三个的，按照招标投标法律法规规定的程序开标和评标。重新比选经评审有有效竞选人的，应当依法确定中选候选人。</w:t>
      </w:r>
    </w:p>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692764F7">
      <w:pPr>
        <w:tabs>
          <w:tab w:val="left" w:pos="3360"/>
        </w:tabs>
        <w:kinsoku w:val="0"/>
        <w:autoSpaceDE w:val="0"/>
        <w:autoSpaceDN w:val="0"/>
        <w:adjustRightInd w:val="0"/>
        <w:snapToGrid w:val="0"/>
        <w:spacing w:line="500" w:lineRule="exact"/>
        <w:jc w:val="center"/>
        <w:outlineLvl w:val="0"/>
        <w:rPr>
          <w:rFonts w:hint="eastAsia" w:ascii="宋体" w:hAnsi="宋体" w:cs="宋体"/>
          <w:color w:val="000000" w:themeColor="text1"/>
          <w:sz w:val="44"/>
          <w:szCs w:val="44"/>
          <w:highlight w:val="none"/>
          <w14:textFill>
            <w14:solidFill>
              <w14:schemeClr w14:val="tx1"/>
            </w14:solidFill>
          </w14:textFill>
        </w:rPr>
      </w:pPr>
      <w:bookmarkStart w:id="259" w:name="_Toc23948"/>
      <w:bookmarkStart w:id="260" w:name="_Toc2631"/>
      <w:bookmarkStart w:id="261" w:name="_Toc102227313"/>
      <w:r>
        <w:rPr>
          <w:rFonts w:hint="eastAsia" w:ascii="宋体" w:hAnsi="宋体" w:cs="宋体"/>
          <w:color w:val="000000" w:themeColor="text1"/>
          <w:sz w:val="44"/>
          <w:szCs w:val="44"/>
          <w:highlight w:val="none"/>
          <w14:textFill>
            <w14:solidFill>
              <w14:schemeClr w14:val="tx1"/>
            </w14:solidFill>
          </w14:textFill>
        </w:rPr>
        <w:t>第五篇  竞选人须知</w:t>
      </w:r>
      <w:bookmarkEnd w:id="259"/>
      <w:bookmarkEnd w:id="260"/>
      <w:bookmarkEnd w:id="261"/>
    </w:p>
    <w:p w14:paraId="373F2676">
      <w:pPr>
        <w:pStyle w:val="3"/>
        <w:keepNext w:val="0"/>
        <w:keepLines w:val="0"/>
        <w:kinsoku w:val="0"/>
        <w:autoSpaceDE w:val="0"/>
        <w:autoSpaceDN w:val="0"/>
        <w:spacing w:line="500" w:lineRule="exact"/>
        <w:ind w:firstLine="482" w:firstLineChars="200"/>
        <w:jc w:val="left"/>
        <w:rPr>
          <w:rFonts w:hint="eastAsia" w:cs="宋体"/>
          <w:b/>
          <w:bCs/>
          <w:sz w:val="24"/>
          <w:highlight w:val="none"/>
        </w:rPr>
      </w:pPr>
      <w:r>
        <w:rPr>
          <w:rFonts w:hint="eastAsia" w:cs="宋体"/>
          <w:b/>
          <w:bCs/>
          <w:sz w:val="24"/>
          <w:highlight w:val="none"/>
        </w:rPr>
        <w:t>一、竞选人</w:t>
      </w:r>
    </w:p>
    <w:p w14:paraId="04FF8E2A">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(一)竞选人</w:t>
      </w:r>
    </w:p>
    <w:p w14:paraId="6AB52256">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竞选人是指响应比选文件、参加公开竞争的法人、其他组织或者自然人。</w:t>
      </w:r>
    </w:p>
    <w:p w14:paraId="55996B54">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(二)合格竞选人条件</w:t>
      </w:r>
    </w:p>
    <w:p w14:paraId="0A80C238">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合格竞选人应完全符合比选文件第一篇中规定的竞选人资格条件，并对比选文件作出</w:t>
      </w:r>
    </w:p>
    <w:p w14:paraId="618CCD57">
      <w:pPr>
        <w:kinsoku w:val="0"/>
        <w:autoSpaceDE w:val="0"/>
        <w:autoSpaceDN w:val="0"/>
        <w:adjustRightInd w:val="0"/>
        <w:snapToGrid w:val="0"/>
        <w:spacing w:line="500" w:lineRule="exact"/>
        <w:jc w:val="left"/>
        <w:rPr>
          <w:rFonts w:hint="eastAsia" w:ascii="宋体" w:hAnsi="宋体" w:cs="宋体"/>
          <w:sz w:val="24"/>
          <w:highlight w:val="none"/>
        </w:rPr>
      </w:pPr>
      <w:r>
        <w:rPr>
          <w:rFonts w:hint="eastAsia" w:ascii="宋体" w:hAnsi="宋体" w:cs="宋体"/>
          <w:sz w:val="24"/>
          <w:highlight w:val="none"/>
        </w:rPr>
        <w:t>实质性响应。</w:t>
      </w:r>
    </w:p>
    <w:p w14:paraId="44B65D90">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(三)竞选人的风险</w:t>
      </w:r>
    </w:p>
    <w:p w14:paraId="64BB9291">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竞选人没有按照比选文件要求提供全部资料，或者竞选人没有对比选文件在各方面作出实质性响应，可能导致竞标被拒绝或评定为无效竞标。</w:t>
      </w:r>
    </w:p>
    <w:p w14:paraId="1C0B5CA4">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(四)法律责任</w:t>
      </w:r>
    </w:p>
    <w:p w14:paraId="72646B56">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竞选人违反《中华人民共和国政府采购法》、《中华人民共和国政府采购实施条例》等相关规定，将按规定追究竞选人法律责任。</w:t>
      </w:r>
    </w:p>
    <w:p w14:paraId="20C74C0C">
      <w:pPr>
        <w:pStyle w:val="3"/>
        <w:keepNext w:val="0"/>
        <w:keepLines w:val="0"/>
        <w:numPr>
          <w:ilvl w:val="255"/>
          <w:numId w:val="0"/>
        </w:numPr>
        <w:kinsoku w:val="0"/>
        <w:autoSpaceDE w:val="0"/>
        <w:autoSpaceDN w:val="0"/>
        <w:spacing w:line="500" w:lineRule="exact"/>
        <w:ind w:firstLine="482" w:firstLineChars="200"/>
        <w:jc w:val="left"/>
        <w:rPr>
          <w:rFonts w:hint="eastAsia" w:cs="宋体"/>
          <w:b/>
          <w:bCs/>
          <w:sz w:val="24"/>
          <w:highlight w:val="none"/>
        </w:rPr>
      </w:pPr>
      <w:r>
        <w:rPr>
          <w:rFonts w:hint="eastAsia" w:cs="宋体"/>
          <w:b/>
          <w:bCs/>
          <w:sz w:val="24"/>
          <w:highlight w:val="none"/>
        </w:rPr>
        <w:t>二、比选文件</w:t>
      </w:r>
    </w:p>
    <w:p w14:paraId="78EC7EAB">
      <w:pPr>
        <w:kinsoku w:val="0"/>
        <w:autoSpaceDE w:val="0"/>
        <w:autoSpaceDN w:val="0"/>
        <w:adjustRightInd w:val="0"/>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比选文件是竞选人编制竞标文件的依据，是评标委员会评判的依据和标准。比选文件也是比选人与竞选人签订合同的基础。</w:t>
      </w:r>
    </w:p>
    <w:p w14:paraId="49A962BF">
      <w:pPr>
        <w:kinsoku w:val="0"/>
        <w:autoSpaceDE w:val="0"/>
        <w:autoSpaceDN w:val="0"/>
        <w:adjustRightInd w:val="0"/>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（一）比选文件由竞争性比选公告、项目服务需求、项目商务需求、资格审查及评标办法、竞选人须知、合同条款及格式、竞标文件格式等七部分组成。</w:t>
      </w:r>
    </w:p>
    <w:p w14:paraId="64FC05FB">
      <w:pPr>
        <w:kinsoku w:val="0"/>
        <w:autoSpaceDE w:val="0"/>
        <w:autoSpaceDN w:val="0"/>
        <w:adjustRightInd w:val="0"/>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（二）比选代理机构对比选文件所作的一切有效的书面通知、修改及补充，都是比选文件不可分割的部分。</w:t>
      </w:r>
    </w:p>
    <w:p w14:paraId="15901006">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（三）本项目的比选文件、澄清文件(如果有)一律在“行采家”平台（http://www.gec</w:t>
      </w:r>
    </w:p>
    <w:p w14:paraId="29E29C5D">
      <w:pPr>
        <w:kinsoku w:val="0"/>
        <w:autoSpaceDE w:val="0"/>
        <w:autoSpaceDN w:val="0"/>
        <w:adjustRightInd w:val="0"/>
        <w:snapToGrid w:val="0"/>
        <w:spacing w:line="500" w:lineRule="exact"/>
        <w:jc w:val="left"/>
        <w:rPr>
          <w:rFonts w:hint="eastAsia" w:ascii="宋体" w:hAnsi="宋体" w:cs="宋体"/>
          <w:sz w:val="24"/>
          <w:highlight w:val="none"/>
        </w:rPr>
      </w:pPr>
      <w:r>
        <w:rPr>
          <w:rFonts w:hint="eastAsia" w:ascii="宋体" w:hAnsi="宋体" w:cs="宋体"/>
          <w:sz w:val="24"/>
          <w:highlight w:val="none"/>
        </w:rPr>
        <w:t>123.com）网上发布，请各供应商注意下载或到比选代理机构处领取，无论供应商下载或领取与否，均视同供应商已知晓本项目比选文件、澄清文件的内容。</w:t>
      </w:r>
    </w:p>
    <w:p w14:paraId="3DA64C61">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（四）比选代理机构对已发出的比选文件需要进行澄清或修改的，应以书面形式或公告形式通知所有比选文件收受人。该澄清或者修改的内容为比选文件的组成部分。</w:t>
      </w:r>
    </w:p>
    <w:p w14:paraId="47A28EB7">
      <w:pPr>
        <w:pStyle w:val="3"/>
        <w:keepNext w:val="0"/>
        <w:keepLines w:val="0"/>
        <w:kinsoku w:val="0"/>
        <w:autoSpaceDE w:val="0"/>
        <w:autoSpaceDN w:val="0"/>
        <w:spacing w:line="500" w:lineRule="exact"/>
        <w:ind w:firstLine="482" w:firstLineChars="200"/>
        <w:jc w:val="left"/>
        <w:rPr>
          <w:rFonts w:hint="eastAsia" w:cs="宋体"/>
          <w:b/>
          <w:bCs/>
          <w:sz w:val="24"/>
          <w:highlight w:val="none"/>
        </w:rPr>
      </w:pPr>
      <w:r>
        <w:rPr>
          <w:rFonts w:hint="eastAsia" w:cs="宋体"/>
          <w:b/>
          <w:bCs/>
          <w:sz w:val="24"/>
          <w:highlight w:val="none"/>
        </w:rPr>
        <w:t>三、竞标文件</w:t>
      </w:r>
    </w:p>
    <w:p w14:paraId="1315F979">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竞选人应当按照比选文件的要求编制竞标文件，并对比选文件提出的要求和条件作出实质性响应，竞标文件原则上采用软面订本，同时应编制完整的页码、目录。</w:t>
      </w:r>
    </w:p>
    <w:p w14:paraId="60FB652C">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(一)竞标文件组成</w:t>
      </w:r>
    </w:p>
    <w:p w14:paraId="0E8B3AF2">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竞标文件由第七篇“竞标文件格式”规定的部分和竞选人所作的一切有效补充、修改和承诺等文件组成，竞选人应按照第七篇“竞标文件格式”规定的目录顺序组织编写和装订，否则有可能影响评委对竞标文件的评审。</w:t>
      </w:r>
    </w:p>
    <w:p w14:paraId="0059C351">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(二)联合竞标</w:t>
      </w:r>
    </w:p>
    <w:p w14:paraId="2B9D261A">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本项目不接受联合体参与竞标。</w:t>
      </w:r>
    </w:p>
    <w:p w14:paraId="413071B4">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(三)竞标有效期</w:t>
      </w:r>
    </w:p>
    <w:p w14:paraId="6D0FE173">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竞标有效期为竞标截止时间起90天内。</w:t>
      </w:r>
    </w:p>
    <w:p w14:paraId="1B0C8835">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(四)比选保证金</w:t>
      </w:r>
    </w:p>
    <w:p w14:paraId="7870A5C9">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1.竞选人应在竞标截止时间前，按比选文件第一篇规定交纳比选保证金；</w:t>
      </w:r>
    </w:p>
    <w:p w14:paraId="6545C1B6">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2.比选保证金为竞标的有效约束条件；</w:t>
      </w:r>
    </w:p>
    <w:p w14:paraId="6955B58F">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3.比选保证金的有效期限在竞标有效期过后三十天继续有效；</w:t>
      </w:r>
    </w:p>
    <w:p w14:paraId="0F18DF81">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4.比选保证金币种应与竞标报价币种相同；</w:t>
      </w:r>
    </w:p>
    <w:p w14:paraId="71A1E456">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5.《中选通知书》发出后，由代理机构在五个工作日内退还未中选人的比选保证金，在采购合同签订后，由比选代理机构五个工作日退还中选人的比选保证金；</w:t>
      </w:r>
    </w:p>
    <w:p w14:paraId="062C19F0">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6.竞选人有下列情形之一的，比选人或者比选代理机构可以不退还比选保证金:</w:t>
      </w:r>
    </w:p>
    <w:p w14:paraId="566869D3">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6.1 竞选人在竞标有效期内撤回竞标文件的；</w:t>
      </w:r>
    </w:p>
    <w:p w14:paraId="5E8C8B70">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6.2 竞选人在竞标过程中弄虚作假，提供虚假材料的；</w:t>
      </w:r>
    </w:p>
    <w:p w14:paraId="122E1E63">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6.3 中选人无正当理由不与比选人签订合同的；</w:t>
      </w:r>
    </w:p>
    <w:p w14:paraId="75864D88">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6.4 中选人将中标项目转让给他人或者在竞标文件中未说明且未经比选人同意，将中标项目分包给他人的；</w:t>
      </w:r>
    </w:p>
    <w:p w14:paraId="1FB4B29E">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6.5中选人拒绝履行合同义务的；</w:t>
      </w:r>
    </w:p>
    <w:p w14:paraId="280F6A61">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6.6其他严重扰乱招竞标程序的。</w:t>
      </w:r>
    </w:p>
    <w:p w14:paraId="61874411">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（五）竞标文件的份数和签字</w:t>
      </w:r>
    </w:p>
    <w:p w14:paraId="713623EE">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1.竞标文件一式四份，其中正本一份，副本两份，电子文档一份(电子文档内容应与竞标文件正本一致，推荐采用光盘或U盘为文件载体)。每套纸质竞标文件须在封面清楚地标明“正本”、“副本”或“电子文档”，副本应为正本的完整复印件，副本与正本不一致时以正本为准。竞标文件电子文档与纸质竞标文件正本不一致时，以纸质竞标文件正本为准；</w:t>
      </w:r>
    </w:p>
    <w:p w14:paraId="17FB31BA">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2.在竞标文件正本中，比选文件第七篇竞标文件格式中规定签字、盖章的地方必须按规定签字盖章；</w:t>
      </w:r>
    </w:p>
    <w:p w14:paraId="685178E0">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3.若竞选人对竞标文件的错处作必要修改，则应在修改处加盖竞选人公章或由法定代其规定签字、盖章；</w:t>
      </w:r>
    </w:p>
    <w:p w14:paraId="4F8226D0">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4.电报、电话、传真形式的竞标文件概不接受。</w:t>
      </w:r>
    </w:p>
    <w:p w14:paraId="189EA5A6">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(六)竞标报价</w:t>
      </w:r>
    </w:p>
    <w:p w14:paraId="08C5A9E3">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1.竞选人应严格按照“竞标文件格式”中“竞标报价函”和“分项报价明细表”的格式填写报价；</w:t>
      </w:r>
    </w:p>
    <w:p w14:paraId="3B56B7A8">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2.竞选人的报价为一次性报价，即在竞标有效期内竞标价格固定不变；</w:t>
      </w:r>
    </w:p>
    <w:p w14:paraId="5FE288E7">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3.本项目只接受一个竞标报价，有选择的或有条件的报价将不予接受。</w:t>
      </w:r>
    </w:p>
    <w:p w14:paraId="08B6A928">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(七)修正错误</w:t>
      </w:r>
    </w:p>
    <w:p w14:paraId="790B2CF1">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若竞标文件出现计算或表达上的错误，修正错误的原则如下:</w:t>
      </w:r>
    </w:p>
    <w:p w14:paraId="4DDA9A8B">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1.竞标文件中竞标报价函(报价表)内容与竞标文件中相应内容不一致的，以竞标报价函(报价表)为准；</w:t>
      </w:r>
    </w:p>
    <w:p w14:paraId="374EADF2">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2.大写金额和小写金额不一致的，以大写金额为准；</w:t>
      </w:r>
    </w:p>
    <w:p w14:paraId="37F63E3F">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3.单价金额小数点或者百分比有明显错位的，以竞标报价函的总价为准，并修改单价；</w:t>
      </w:r>
    </w:p>
    <w:p w14:paraId="71E40E63">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4.总价金额与按单价汇总金额不一致的，以单价金额计算结果为准。</w:t>
      </w:r>
    </w:p>
    <w:p w14:paraId="5CE10DD9">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评标委员会按上述修正错误的原则及方法调整或修正竞选人竞标报价，若同时出现两种以上不一致的，按照前款规定的顺序修正，竞选人同意并签字确认后，调整后的竞标报价对竞选人具有约束作用。如果竞选人不接受修正后的报价，则其竞标将作为无效竞标处理。</w:t>
      </w:r>
    </w:p>
    <w:p w14:paraId="741A33E6">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(八)竞标文件的递交</w:t>
      </w:r>
    </w:p>
    <w:p w14:paraId="1E10DAEA">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竞标文件的正本、副本以及电子文档均应密封送达竞标地点，应在封套上注明项目名称、竞选人名称。若正本、副本以及电子文档分别进行密封的，还应在封套上注明“正本”“副本”、“电子文档”字样。</w:t>
      </w:r>
    </w:p>
    <w:p w14:paraId="04770457">
      <w:pPr>
        <w:pStyle w:val="3"/>
        <w:keepNext w:val="0"/>
        <w:keepLines w:val="0"/>
        <w:kinsoku w:val="0"/>
        <w:autoSpaceDE w:val="0"/>
        <w:autoSpaceDN w:val="0"/>
        <w:spacing w:line="500" w:lineRule="exact"/>
        <w:ind w:firstLine="482" w:firstLineChars="200"/>
        <w:jc w:val="left"/>
        <w:rPr>
          <w:rFonts w:hint="eastAsia" w:cs="宋体"/>
          <w:b/>
          <w:bCs/>
          <w:sz w:val="24"/>
          <w:highlight w:val="none"/>
        </w:rPr>
      </w:pPr>
      <w:r>
        <w:rPr>
          <w:rFonts w:hint="eastAsia" w:cs="宋体"/>
          <w:b/>
          <w:bCs/>
          <w:sz w:val="24"/>
          <w:highlight w:val="none"/>
        </w:rPr>
        <w:t>四、开标</w:t>
      </w:r>
    </w:p>
    <w:p w14:paraId="1B3D3F53">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（一）开标应当在比选文件中“比选公告”确定的时间和地点公开进行。</w:t>
      </w:r>
    </w:p>
    <w:p w14:paraId="669A9B95">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（二）比选代理机构可视采购具体情况，延长竞标截止时间和开标时间，并将变更时间书面通知所有比选文件收受人。</w:t>
      </w:r>
    </w:p>
    <w:p w14:paraId="04E0D48E">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（三）开标由比选人或比选代理机构主持，邀请竞选人和有关监督部门代表参加,有关监督部门可视情况派员现场监督。</w:t>
      </w:r>
    </w:p>
    <w:p w14:paraId="73199556">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四）开标时，由竞选人或者其推选的代表检查竞标文件的密封情况；经确认无误后，由比选人或者比选代理机构工作人员当众拆封，宣布竞选人名称、竞标价格和《竞争性比选报价函》规定的需要宣布的其他内容。竞选人不足三家的，不得开标。</w:t>
      </w:r>
    </w:p>
    <w:p w14:paraId="76321F5A">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（五）未宣读的竞标价格、价格折扣和比选文件允许提供的备选竞标方案等实质性内容等，评标时不予承认。</w:t>
      </w:r>
    </w:p>
    <w:p w14:paraId="41F71BE8">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（六）开标过程应由比选人或比选代理机构指定专人负责记录，并存档备查。</w:t>
      </w:r>
    </w:p>
    <w:p w14:paraId="71330932">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（七）竞选人未参加开标的，视同认可开标结果。</w:t>
      </w:r>
    </w:p>
    <w:p w14:paraId="4DE9B859">
      <w:pPr>
        <w:pStyle w:val="3"/>
        <w:keepNext w:val="0"/>
        <w:keepLines w:val="0"/>
        <w:kinsoku w:val="0"/>
        <w:autoSpaceDE w:val="0"/>
        <w:autoSpaceDN w:val="0"/>
        <w:spacing w:line="500" w:lineRule="exact"/>
        <w:ind w:firstLine="482" w:firstLineChars="200"/>
        <w:jc w:val="left"/>
        <w:rPr>
          <w:rFonts w:hint="eastAsia" w:cs="宋体"/>
          <w:b/>
          <w:bCs/>
          <w:sz w:val="24"/>
          <w:highlight w:val="none"/>
        </w:rPr>
      </w:pPr>
      <w:r>
        <w:rPr>
          <w:rFonts w:hint="eastAsia" w:cs="宋体"/>
          <w:b/>
          <w:bCs/>
          <w:sz w:val="24"/>
          <w:highlight w:val="none"/>
        </w:rPr>
        <w:t>五、评标</w:t>
      </w:r>
    </w:p>
    <w:p w14:paraId="40ABEADC">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（一）见第四篇“评标标准”内容。</w:t>
      </w:r>
    </w:p>
    <w:p w14:paraId="3CF28533">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（二）评标委员会的组成:将由比选人依法组建。</w:t>
      </w:r>
    </w:p>
    <w:p w14:paraId="3810607B">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（三）比选人或其授权的评标委员会应按照评标报告中推荐的中选候选人排名顺序确定中选人。</w:t>
      </w:r>
    </w:p>
    <w:p w14:paraId="056849C1">
      <w:pPr>
        <w:pStyle w:val="3"/>
        <w:keepNext w:val="0"/>
        <w:keepLines w:val="0"/>
        <w:kinsoku w:val="0"/>
        <w:autoSpaceDE w:val="0"/>
        <w:autoSpaceDN w:val="0"/>
        <w:spacing w:line="500" w:lineRule="exact"/>
        <w:ind w:firstLine="482" w:firstLineChars="200"/>
        <w:jc w:val="left"/>
        <w:rPr>
          <w:rFonts w:hint="eastAsia" w:cs="宋体"/>
          <w:b/>
          <w:bCs/>
          <w:sz w:val="24"/>
          <w:highlight w:val="none"/>
        </w:rPr>
      </w:pPr>
      <w:r>
        <w:rPr>
          <w:rFonts w:hint="eastAsia" w:cs="宋体"/>
          <w:b/>
          <w:bCs/>
          <w:sz w:val="24"/>
          <w:highlight w:val="none"/>
        </w:rPr>
        <w:t>六、定标</w:t>
      </w:r>
    </w:p>
    <w:p w14:paraId="69B5BD2C">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（一）定标程序：中选候选人并列的，由比选人或者比选人委托评标委员会按照技术需求的优劣顺序排列，技术需求优劣顺序相同的，按商务条款的优劣顺序排列确定中选人。</w:t>
      </w:r>
    </w:p>
    <w:p w14:paraId="443E812C">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（二）定标原则</w:t>
      </w:r>
    </w:p>
    <w:p w14:paraId="0FA82D2C">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1.比选代理机构应当在评标结束后2个工作日内将评标报告送比选人；</w:t>
      </w:r>
    </w:p>
    <w:p w14:paraId="5838A865">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2.比选人应当自收到评标报告之日起5个工作日内按评标报告推荐的中选候选人顺序确定中选人；</w:t>
      </w:r>
    </w:p>
    <w:p w14:paraId="1EC0A9DA">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3.比选人或者比选代理机构应当自中选人确定之日起2个工作日内，在行采家（https://www.gec123.com）网上发布。中标公告期限为1个工作日；</w:t>
      </w:r>
    </w:p>
    <w:p w14:paraId="23BCDF49">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4.中选人变更</w:t>
      </w:r>
    </w:p>
    <w:p w14:paraId="785E71B0">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中选人拒绝与比选人签订合同的，比选人可以按照评标报告推荐的中选候选人顺序确定排名下一位的候选人为中选人，也可以重新开展采购比选活动。</w:t>
      </w:r>
    </w:p>
    <w:p w14:paraId="4C259596">
      <w:pPr>
        <w:pStyle w:val="3"/>
        <w:keepNext w:val="0"/>
        <w:keepLines w:val="0"/>
        <w:numPr>
          <w:ilvl w:val="255"/>
          <w:numId w:val="0"/>
        </w:numPr>
        <w:kinsoku w:val="0"/>
        <w:autoSpaceDE w:val="0"/>
        <w:autoSpaceDN w:val="0"/>
        <w:spacing w:line="500" w:lineRule="exact"/>
        <w:ind w:firstLine="482" w:firstLineChars="200"/>
        <w:jc w:val="left"/>
        <w:rPr>
          <w:rFonts w:hint="eastAsia" w:cs="宋体"/>
          <w:b/>
          <w:bCs/>
          <w:sz w:val="24"/>
          <w:highlight w:val="none"/>
        </w:rPr>
      </w:pPr>
      <w:r>
        <w:rPr>
          <w:rFonts w:hint="eastAsia" w:cs="宋体"/>
          <w:b/>
          <w:bCs/>
          <w:sz w:val="24"/>
          <w:highlight w:val="none"/>
        </w:rPr>
        <w:t>七、中标</w:t>
      </w:r>
    </w:p>
    <w:p w14:paraId="3B0DC274">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（一）比选人依法确定中选人后，比选代理机构以书面形式发出中选通知书。</w:t>
      </w:r>
    </w:p>
    <w:p w14:paraId="3D295C3F">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（二）中选通知书发出后，比选人改变中标结果，或者中选人放弃中标，应当承担相应的法律责任。</w:t>
      </w:r>
    </w:p>
    <w:p w14:paraId="5546651A">
      <w:pPr>
        <w:pStyle w:val="3"/>
        <w:keepNext w:val="0"/>
        <w:keepLines w:val="0"/>
        <w:numPr>
          <w:ilvl w:val="255"/>
          <w:numId w:val="0"/>
        </w:numPr>
        <w:kinsoku w:val="0"/>
        <w:autoSpaceDE w:val="0"/>
        <w:autoSpaceDN w:val="0"/>
        <w:spacing w:line="500" w:lineRule="exact"/>
        <w:ind w:firstLine="482" w:firstLineChars="200"/>
        <w:jc w:val="left"/>
        <w:rPr>
          <w:rFonts w:hint="eastAsia" w:cs="宋体"/>
          <w:b/>
          <w:bCs/>
          <w:sz w:val="24"/>
          <w:highlight w:val="none"/>
        </w:rPr>
      </w:pPr>
      <w:r>
        <w:rPr>
          <w:rFonts w:hint="eastAsia" w:cs="宋体"/>
          <w:b/>
          <w:bCs/>
          <w:sz w:val="24"/>
          <w:highlight w:val="none"/>
        </w:rPr>
        <w:t>八、询问、质疑和投诉</w:t>
      </w:r>
    </w:p>
    <w:p w14:paraId="6D88E9E9">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（一）询问</w:t>
      </w:r>
    </w:p>
    <w:p w14:paraId="35169C7B">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比选人或者比选代理机构应当在3个工作日内对竞选人依法提出的询问作出答复。投资询问可以是口头或书面形式。</w:t>
      </w:r>
    </w:p>
    <w:p w14:paraId="6D18CF22">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（二）质疑</w:t>
      </w:r>
    </w:p>
    <w:p w14:paraId="24C4D120">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竞选人认为比选文件、采购过程和中标结果使自己的权益受到伤害的，可向比选人或比选代理机构以书面形式提出质疑。</w:t>
      </w:r>
    </w:p>
    <w:p w14:paraId="3A7C1055">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提出质疑的应当是参与所质疑项目采购活动的竞选人。</w:t>
      </w:r>
    </w:p>
    <w:p w14:paraId="0F0E1638">
      <w:pPr>
        <w:kinsoku w:val="0"/>
        <w:autoSpaceDE w:val="0"/>
        <w:autoSpaceDN w:val="0"/>
        <w:adjustRightInd w:val="0"/>
        <w:snapToGrid w:val="0"/>
        <w:spacing w:before="120" w:beforeLines="50" w:after="120" w:afterLines="50" w:line="500" w:lineRule="exact"/>
        <w:outlineLvl w:val="1"/>
        <w:rPr>
          <w:rFonts w:hint="eastAsia" w:ascii="宋体" w:hAnsi="宋体" w:cs="宋体"/>
          <w:b/>
          <w:color w:val="000000" w:themeColor="text1"/>
          <w:sz w:val="24"/>
          <w:highlight w:val="none"/>
          <w14:textFill>
            <w14:solidFill>
              <w14:schemeClr w14:val="tx1"/>
            </w14:solidFill>
          </w14:textFill>
        </w:rPr>
      </w:pPr>
      <w:bookmarkStart w:id="262" w:name="_Toc1181"/>
      <w:bookmarkStart w:id="263" w:name="_Toc25728"/>
      <w:bookmarkStart w:id="264" w:name="_Toc17821"/>
      <w:bookmarkStart w:id="265" w:name="_Toc9056"/>
      <w:bookmarkStart w:id="266" w:name="_Toc5895"/>
      <w:bookmarkStart w:id="267" w:name="_Toc11641055"/>
      <w:bookmarkStart w:id="268" w:name="_Toc12789059"/>
      <w:r>
        <w:rPr>
          <w:rFonts w:hint="eastAsia" w:ascii="宋体" w:hAnsi="宋体" w:cs="宋体"/>
          <w:b/>
          <w:color w:val="000000" w:themeColor="text1"/>
          <w:sz w:val="24"/>
          <w:highlight w:val="none"/>
          <w14:textFill>
            <w14:solidFill>
              <w14:schemeClr w14:val="tx1"/>
            </w14:solidFill>
          </w14:textFill>
        </w:rPr>
        <w:t>九、代理服务费</w:t>
      </w:r>
      <w:bookmarkEnd w:id="262"/>
      <w:bookmarkEnd w:id="263"/>
      <w:bookmarkEnd w:id="264"/>
    </w:p>
    <w:p w14:paraId="1A10565A">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（一）本次竞争性比选代理服务费以中标金额为计费基数，参照渝招投协〔2015〕11号收费标准计取（若计取的代理服务费不足3000.00元时，按3000.00元计取），由中选人在领取中标通知书时一次性向代理机构缴纳。</w:t>
      </w:r>
    </w:p>
    <w:p w14:paraId="48F38B58">
      <w:pPr>
        <w:kinsoku w:val="0"/>
        <w:autoSpaceDE w:val="0"/>
        <w:autoSpaceDN w:val="0"/>
        <w:adjustRightInd w:val="0"/>
        <w:snapToGrid w:val="0"/>
        <w:spacing w:line="500" w:lineRule="exact"/>
        <w:ind w:firstLine="361" w:firstLineChars="15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代理费缴费账户信息如下：</w:t>
      </w:r>
    </w:p>
    <w:p w14:paraId="7C7413C2">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  号：50050110267600001694</w:t>
      </w:r>
    </w:p>
    <w:p w14:paraId="79A069E2">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户  名：重庆渝富达项目管理有限公司</w:t>
      </w:r>
    </w:p>
    <w:p w14:paraId="6FA253A1">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开户行：中国建设银行股份有限公司重庆自由贸易试验区两江汽博支行 </w:t>
      </w:r>
    </w:p>
    <w:bookmarkEnd w:id="265"/>
    <w:bookmarkEnd w:id="266"/>
    <w:p w14:paraId="5CB9C20A">
      <w:pPr>
        <w:kinsoku w:val="0"/>
        <w:autoSpaceDE w:val="0"/>
        <w:autoSpaceDN w:val="0"/>
        <w:adjustRightInd w:val="0"/>
        <w:snapToGrid w:val="0"/>
        <w:spacing w:before="120" w:beforeLines="50" w:after="120" w:afterLines="50" w:line="500" w:lineRule="exac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十、成交通知</w:t>
      </w:r>
    </w:p>
    <w:p w14:paraId="3EE80021">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（一）中选人确定后，比选代理机构将在行采家（https://www.gec123.com）上发布成交结果公告。</w:t>
      </w:r>
    </w:p>
    <w:p w14:paraId="2EE6A924">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（二）结果公告发出同时，比选代理机构将以书面形式发出《中选通知书》，《中选通知书》一经发出即发生法律效力。</w:t>
      </w:r>
    </w:p>
    <w:p w14:paraId="787640BF">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（三）《中选通知书》将作为签订合同的依据。</w:t>
      </w:r>
    </w:p>
    <w:p w14:paraId="23258C04">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比选人应当自中选通知书发出之日起三十日内，按照比选文件和中选人竞标文件的约定，与中选人签订书面合同。所签订的合同不得对比选文件和中选人竞标文件作实质性修改。</w:t>
      </w:r>
    </w:p>
    <w:p w14:paraId="3672FFD9">
      <w:pPr>
        <w:kinsoku w:val="0"/>
        <w:autoSpaceDE w:val="0"/>
        <w:autoSpaceDN w:val="0"/>
        <w:adjustRightInd w:val="0"/>
        <w:snapToGrid w:val="0"/>
        <w:spacing w:before="120" w:beforeLines="50" w:after="120" w:afterLines="50" w:line="500" w:lineRule="exac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十一、签订合同</w:t>
      </w:r>
    </w:p>
    <w:p w14:paraId="1F7C3068">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一）比选人应当自中选通知书发出之日起三十日内，按照比选文件和中选人竞标文件的约定，与中选人签订书面合同。所签订的合同不得对比选文件和中选人竞标文件作实质性修改，其他未尽事宜由比选人和中选人在采购合同中详细约定。</w:t>
      </w:r>
    </w:p>
    <w:p w14:paraId="58ED371E">
      <w:pPr>
        <w:kinsoku w:val="0"/>
        <w:autoSpaceDE w:val="0"/>
        <w:autoSpaceDN w:val="0"/>
        <w:adjustRightInd w:val="0"/>
        <w:snapToGrid w:val="0"/>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（二）比选文件、中选人的竞标文件及澄清文件等，均为签订采购合同的依据。</w:t>
      </w:r>
    </w:p>
    <w:p w14:paraId="4771AE1B">
      <w:pPr>
        <w:kinsoku w:val="0"/>
        <w:autoSpaceDE w:val="0"/>
        <w:autoSpaceDN w:val="0"/>
        <w:adjustRightInd w:val="0"/>
        <w:snapToGrid w:val="0"/>
        <w:spacing w:line="500" w:lineRule="exact"/>
        <w:ind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（三）合同生效条款由供需双方约定，法律、行政法规规定应当办理批准、登记等手续后生效的合同，依照其规定</w:t>
      </w:r>
      <w:r>
        <w:rPr>
          <w:rFonts w:hint="eastAsia" w:ascii="宋体" w:hAnsi="宋体" w:cs="宋体"/>
          <w:color w:val="000000" w:themeColor="text1"/>
          <w:sz w:val="24"/>
          <w:highlight w:val="none"/>
          <w14:textFill>
            <w14:solidFill>
              <w14:schemeClr w14:val="tx1"/>
            </w14:solidFill>
          </w14:textFill>
        </w:rPr>
        <w:t>。</w:t>
      </w:r>
    </w:p>
    <w:p w14:paraId="53D71A6C">
      <w:pPr>
        <w:kinsoku w:val="0"/>
        <w:autoSpaceDE w:val="0"/>
        <w:autoSpaceDN w:val="0"/>
        <w:adjustRightInd w:val="0"/>
        <w:snapToGrid w:val="0"/>
        <w:spacing w:before="120" w:beforeLines="50" w:after="120" w:afterLines="50" w:line="500" w:lineRule="exact"/>
        <w:jc w:val="center"/>
        <w:outlineLvl w:val="0"/>
        <w:rPr>
          <w:rFonts w:hint="eastAsia" w:ascii="宋体" w:hAnsi="宋体" w:cs="宋体"/>
          <w:color w:val="000000" w:themeColor="text1"/>
          <w:sz w:val="36"/>
          <w:szCs w:val="3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36"/>
          <w:szCs w:val="30"/>
          <w:highlight w:val="none"/>
          <w14:textFill>
            <w14:solidFill>
              <w14:schemeClr w14:val="tx1"/>
            </w14:solidFill>
          </w14:textFill>
        </w:rPr>
        <w:br w:type="page"/>
      </w:r>
      <w:bookmarkStart w:id="269" w:name="_Toc31106"/>
      <w:bookmarkStart w:id="270" w:name="_Toc10603"/>
      <w:r>
        <w:rPr>
          <w:rStyle w:val="34"/>
          <w:rFonts w:hint="eastAsia" w:hAnsi="宋体" w:cs="宋体"/>
          <w:color w:val="000000" w:themeColor="text1"/>
          <w:sz w:val="44"/>
          <w:szCs w:val="44"/>
          <w:highlight w:val="none"/>
          <w14:textFill>
            <w14:solidFill>
              <w14:schemeClr w14:val="tx1"/>
            </w14:solidFill>
          </w14:textFill>
        </w:rPr>
        <w:t xml:space="preserve">第六篇  </w:t>
      </w:r>
      <w:bookmarkEnd w:id="267"/>
      <w:bookmarkEnd w:id="268"/>
      <w:r>
        <w:rPr>
          <w:rStyle w:val="34"/>
          <w:rFonts w:hint="eastAsia" w:hAnsi="宋体" w:cs="宋体"/>
          <w:color w:val="000000" w:themeColor="text1"/>
          <w:sz w:val="44"/>
          <w:szCs w:val="44"/>
          <w:highlight w:val="none"/>
          <w14:textFill>
            <w14:solidFill>
              <w14:schemeClr w14:val="tx1"/>
            </w14:solidFill>
          </w14:textFill>
        </w:rPr>
        <w:t>采购合同（格式）</w:t>
      </w:r>
      <w:bookmarkEnd w:id="269"/>
      <w:bookmarkEnd w:id="270"/>
    </w:p>
    <w:p w14:paraId="2DA91E29">
      <w:pPr>
        <w:pStyle w:val="17"/>
        <w:kinsoku w:val="0"/>
        <w:autoSpaceDE w:val="0"/>
        <w:autoSpaceDN w:val="0"/>
        <w:adjustRightInd w:val="0"/>
        <w:snapToGrid w:val="0"/>
        <w:spacing w:before="315" w:after="315" w:line="500" w:lineRule="exact"/>
        <w:rPr>
          <w:rFonts w:hint="eastAsia" w:ascii="宋体" w:hAnsi="宋体" w:cs="宋体"/>
          <w:b/>
          <w:color w:val="000000" w:themeColor="text1"/>
          <w:sz w:val="32"/>
          <w:szCs w:val="32"/>
          <w:highlight w:val="none"/>
          <w14:textFill>
            <w14:solidFill>
              <w14:schemeClr w14:val="tx1"/>
            </w14:solidFill>
          </w14:textFill>
        </w:rPr>
        <w:sectPr>
          <w:footerReference r:id="rId10" w:type="first"/>
          <w:headerReference r:id="rId8" w:type="default"/>
          <w:footerReference r:id="rId9" w:type="default"/>
          <w:pgSz w:w="11906" w:h="16838"/>
          <w:pgMar w:top="1417" w:right="1417" w:bottom="1417" w:left="1417" w:header="720" w:footer="720" w:gutter="0"/>
          <w:cols w:space="720" w:num="1"/>
          <w:titlePg/>
          <w:docGrid w:linePitch="286" w:charSpace="0"/>
        </w:sectPr>
      </w:pPr>
      <w:bookmarkStart w:id="271" w:name="_Toc75793537"/>
      <w:bookmarkStart w:id="272" w:name="_Toc1860"/>
      <w:bookmarkStart w:id="273" w:name="_Toc29502"/>
      <w:bookmarkStart w:id="274" w:name="_Toc277084870"/>
      <w:bookmarkStart w:id="275" w:name="_Toc285722712"/>
    </w:p>
    <w:p w14:paraId="2B4CA8F3">
      <w:pPr>
        <w:kinsoku w:val="0"/>
        <w:autoSpaceDE w:val="0"/>
        <w:autoSpaceDN w:val="0"/>
        <w:spacing w:line="360" w:lineRule="auto"/>
        <w:ind w:firstLine="498" w:firstLineChars="155"/>
        <w:jc w:val="center"/>
        <w:rPr>
          <w:rFonts w:hint="eastAsia" w:ascii="宋体" w:hAnsi="宋体" w:cs="宋体"/>
          <w:b/>
          <w:sz w:val="44"/>
          <w:highlight w:val="none"/>
        </w:rPr>
      </w:pPr>
      <w:r>
        <w:rPr>
          <w:rFonts w:hint="eastAsia" w:ascii="宋体" w:hAnsi="宋体" w:cs="宋体"/>
          <w:b/>
          <w:sz w:val="32"/>
          <w:szCs w:val="32"/>
          <w:highlight w:val="none"/>
        </w:rPr>
        <w:t>重庆市政府采购合同</w:t>
      </w:r>
    </w:p>
    <w:p w14:paraId="3C8FAB19">
      <w:pPr>
        <w:kinsoku w:val="0"/>
        <w:autoSpaceDE w:val="0"/>
        <w:autoSpaceDN w:val="0"/>
        <w:spacing w:line="360" w:lineRule="auto"/>
        <w:jc w:val="center"/>
        <w:rPr>
          <w:rFonts w:hint="eastAsia" w:ascii="宋体" w:hAnsi="宋体" w:cs="宋体"/>
          <w:highlight w:val="none"/>
        </w:rPr>
      </w:pPr>
      <w:r>
        <w:rPr>
          <w:rFonts w:hint="eastAsia" w:ascii="宋体" w:hAnsi="宋体" w:cs="宋体"/>
          <w:highlight w:val="none"/>
        </w:rPr>
        <w:t>（项目号：     ）</w:t>
      </w:r>
    </w:p>
    <w:p w14:paraId="75DC7BE5">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甲方（需方）：___________________________      计价单位：____________</w:t>
      </w:r>
    </w:p>
    <w:p w14:paraId="7CD651D8">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乙方（供方）：___________________________      计量单位：_____________</w:t>
      </w:r>
    </w:p>
    <w:p w14:paraId="0B7AAD36">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经双方协商一致，达成以下购销合同：</w:t>
      </w:r>
    </w:p>
    <w:tbl>
      <w:tblPr>
        <w:tblStyle w:val="19"/>
        <w:tblW w:w="907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984"/>
        <w:gridCol w:w="589"/>
        <w:gridCol w:w="709"/>
        <w:gridCol w:w="1134"/>
        <w:gridCol w:w="1559"/>
        <w:gridCol w:w="1131"/>
      </w:tblGrid>
      <w:tr w14:paraId="621E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9" w:type="dxa"/>
            <w:vAlign w:val="center"/>
          </w:tcPr>
          <w:p w14:paraId="58CDE923">
            <w:pPr>
              <w:autoSpaceDE w:val="0"/>
              <w:autoSpaceDN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磋商项目名称</w:t>
            </w:r>
          </w:p>
        </w:tc>
        <w:tc>
          <w:tcPr>
            <w:tcW w:w="984" w:type="dxa"/>
            <w:vAlign w:val="center"/>
          </w:tcPr>
          <w:p w14:paraId="1653C625">
            <w:pPr>
              <w:autoSpaceDE w:val="0"/>
              <w:autoSpaceDN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1298" w:type="dxa"/>
            <w:gridSpan w:val="2"/>
            <w:vAlign w:val="center"/>
          </w:tcPr>
          <w:p w14:paraId="3ADF55A9">
            <w:pPr>
              <w:autoSpaceDE w:val="0"/>
              <w:autoSpaceDN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综合单价</w:t>
            </w:r>
          </w:p>
        </w:tc>
        <w:tc>
          <w:tcPr>
            <w:tcW w:w="1134" w:type="dxa"/>
            <w:vAlign w:val="center"/>
          </w:tcPr>
          <w:p w14:paraId="1540C7EE">
            <w:pPr>
              <w:autoSpaceDE w:val="0"/>
              <w:autoSpaceDN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总价</w:t>
            </w:r>
          </w:p>
        </w:tc>
        <w:tc>
          <w:tcPr>
            <w:tcW w:w="1559" w:type="dxa"/>
            <w:vAlign w:val="center"/>
          </w:tcPr>
          <w:p w14:paraId="67862B5E">
            <w:pPr>
              <w:autoSpaceDE w:val="0"/>
              <w:autoSpaceDN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服务时间</w:t>
            </w:r>
          </w:p>
        </w:tc>
        <w:tc>
          <w:tcPr>
            <w:tcW w:w="1131" w:type="dxa"/>
            <w:vAlign w:val="center"/>
          </w:tcPr>
          <w:p w14:paraId="533CA193">
            <w:pPr>
              <w:autoSpaceDE w:val="0"/>
              <w:autoSpaceDN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服务地点</w:t>
            </w:r>
          </w:p>
        </w:tc>
      </w:tr>
      <w:tr w14:paraId="1B66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9" w:type="dxa"/>
            <w:vAlign w:val="center"/>
          </w:tcPr>
          <w:p w14:paraId="6E5DA74B">
            <w:pPr>
              <w:autoSpaceDE w:val="0"/>
              <w:autoSpaceDN w:val="0"/>
              <w:adjustRightInd w:val="0"/>
              <w:snapToGrid w:val="0"/>
              <w:spacing w:line="400" w:lineRule="exact"/>
              <w:jc w:val="center"/>
              <w:rPr>
                <w:rFonts w:hint="eastAsia" w:ascii="宋体" w:hAnsi="宋体" w:cs="宋体"/>
                <w:szCs w:val="21"/>
                <w:highlight w:val="none"/>
              </w:rPr>
            </w:pPr>
          </w:p>
        </w:tc>
        <w:tc>
          <w:tcPr>
            <w:tcW w:w="984" w:type="dxa"/>
            <w:vAlign w:val="center"/>
          </w:tcPr>
          <w:p w14:paraId="7C337218">
            <w:pPr>
              <w:autoSpaceDE w:val="0"/>
              <w:autoSpaceDN w:val="0"/>
              <w:adjustRightInd w:val="0"/>
              <w:snapToGrid w:val="0"/>
              <w:spacing w:line="400" w:lineRule="exact"/>
              <w:jc w:val="center"/>
              <w:rPr>
                <w:rFonts w:hint="eastAsia" w:ascii="宋体" w:hAnsi="宋体" w:cs="宋体"/>
                <w:szCs w:val="21"/>
                <w:highlight w:val="none"/>
              </w:rPr>
            </w:pPr>
          </w:p>
        </w:tc>
        <w:tc>
          <w:tcPr>
            <w:tcW w:w="1298" w:type="dxa"/>
            <w:gridSpan w:val="2"/>
            <w:vAlign w:val="center"/>
          </w:tcPr>
          <w:p w14:paraId="0A62B976">
            <w:pPr>
              <w:autoSpaceDE w:val="0"/>
              <w:autoSpaceDN w:val="0"/>
              <w:adjustRightInd w:val="0"/>
              <w:snapToGrid w:val="0"/>
              <w:spacing w:line="400" w:lineRule="exact"/>
              <w:jc w:val="center"/>
              <w:rPr>
                <w:rFonts w:hint="eastAsia" w:ascii="宋体" w:hAnsi="宋体" w:cs="宋体"/>
                <w:szCs w:val="21"/>
                <w:highlight w:val="none"/>
              </w:rPr>
            </w:pPr>
          </w:p>
        </w:tc>
        <w:tc>
          <w:tcPr>
            <w:tcW w:w="1134" w:type="dxa"/>
            <w:vAlign w:val="center"/>
          </w:tcPr>
          <w:p w14:paraId="5F775B80">
            <w:pPr>
              <w:autoSpaceDE w:val="0"/>
              <w:autoSpaceDN w:val="0"/>
              <w:adjustRightInd w:val="0"/>
              <w:snapToGrid w:val="0"/>
              <w:spacing w:line="400" w:lineRule="exact"/>
              <w:jc w:val="center"/>
              <w:rPr>
                <w:rFonts w:hint="eastAsia" w:ascii="宋体" w:hAnsi="宋体" w:cs="宋体"/>
                <w:szCs w:val="21"/>
                <w:highlight w:val="none"/>
              </w:rPr>
            </w:pPr>
          </w:p>
        </w:tc>
        <w:tc>
          <w:tcPr>
            <w:tcW w:w="1559" w:type="dxa"/>
            <w:vAlign w:val="center"/>
          </w:tcPr>
          <w:p w14:paraId="6D496CDE">
            <w:pPr>
              <w:autoSpaceDE w:val="0"/>
              <w:autoSpaceDN w:val="0"/>
              <w:adjustRightInd w:val="0"/>
              <w:snapToGrid w:val="0"/>
              <w:spacing w:line="400" w:lineRule="exact"/>
              <w:jc w:val="center"/>
              <w:rPr>
                <w:rFonts w:hint="eastAsia" w:ascii="宋体" w:hAnsi="宋体" w:cs="宋体"/>
                <w:szCs w:val="21"/>
                <w:highlight w:val="none"/>
              </w:rPr>
            </w:pPr>
          </w:p>
        </w:tc>
        <w:tc>
          <w:tcPr>
            <w:tcW w:w="1131" w:type="dxa"/>
            <w:vAlign w:val="center"/>
          </w:tcPr>
          <w:p w14:paraId="401C801A">
            <w:pPr>
              <w:autoSpaceDE w:val="0"/>
              <w:autoSpaceDN w:val="0"/>
              <w:adjustRightInd w:val="0"/>
              <w:snapToGrid w:val="0"/>
              <w:spacing w:line="400" w:lineRule="exact"/>
              <w:jc w:val="center"/>
              <w:rPr>
                <w:rFonts w:hint="eastAsia" w:ascii="宋体" w:hAnsi="宋体" w:cs="宋体"/>
                <w:szCs w:val="21"/>
                <w:highlight w:val="none"/>
              </w:rPr>
            </w:pPr>
          </w:p>
        </w:tc>
      </w:tr>
      <w:tr w14:paraId="223D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969" w:type="dxa"/>
            <w:vAlign w:val="center"/>
          </w:tcPr>
          <w:p w14:paraId="7B70D7F9">
            <w:pPr>
              <w:autoSpaceDE w:val="0"/>
              <w:autoSpaceDN w:val="0"/>
              <w:adjustRightInd w:val="0"/>
              <w:snapToGrid w:val="0"/>
              <w:spacing w:line="400" w:lineRule="exact"/>
              <w:jc w:val="center"/>
              <w:rPr>
                <w:rFonts w:hint="eastAsia" w:ascii="宋体" w:hAnsi="宋体" w:cs="宋体"/>
                <w:szCs w:val="21"/>
                <w:highlight w:val="none"/>
              </w:rPr>
            </w:pPr>
          </w:p>
        </w:tc>
        <w:tc>
          <w:tcPr>
            <w:tcW w:w="984" w:type="dxa"/>
            <w:vAlign w:val="center"/>
          </w:tcPr>
          <w:p w14:paraId="4CD58E47">
            <w:pPr>
              <w:autoSpaceDE w:val="0"/>
              <w:autoSpaceDN w:val="0"/>
              <w:adjustRightInd w:val="0"/>
              <w:snapToGrid w:val="0"/>
              <w:spacing w:line="400" w:lineRule="exact"/>
              <w:jc w:val="center"/>
              <w:rPr>
                <w:rFonts w:hint="eastAsia" w:ascii="宋体" w:hAnsi="宋体" w:cs="宋体"/>
                <w:szCs w:val="21"/>
                <w:highlight w:val="none"/>
              </w:rPr>
            </w:pPr>
          </w:p>
        </w:tc>
        <w:tc>
          <w:tcPr>
            <w:tcW w:w="1298" w:type="dxa"/>
            <w:gridSpan w:val="2"/>
            <w:vAlign w:val="center"/>
          </w:tcPr>
          <w:p w14:paraId="5A5E9A4C">
            <w:pPr>
              <w:autoSpaceDE w:val="0"/>
              <w:autoSpaceDN w:val="0"/>
              <w:adjustRightInd w:val="0"/>
              <w:snapToGrid w:val="0"/>
              <w:spacing w:line="400" w:lineRule="exact"/>
              <w:jc w:val="center"/>
              <w:rPr>
                <w:rFonts w:hint="eastAsia" w:ascii="宋体" w:hAnsi="宋体" w:cs="宋体"/>
                <w:szCs w:val="21"/>
                <w:highlight w:val="none"/>
              </w:rPr>
            </w:pPr>
          </w:p>
        </w:tc>
        <w:tc>
          <w:tcPr>
            <w:tcW w:w="1134" w:type="dxa"/>
            <w:vAlign w:val="center"/>
          </w:tcPr>
          <w:p w14:paraId="55E5FB7B">
            <w:pPr>
              <w:autoSpaceDE w:val="0"/>
              <w:autoSpaceDN w:val="0"/>
              <w:adjustRightInd w:val="0"/>
              <w:snapToGrid w:val="0"/>
              <w:spacing w:line="400" w:lineRule="exact"/>
              <w:jc w:val="center"/>
              <w:rPr>
                <w:rFonts w:hint="eastAsia" w:ascii="宋体" w:hAnsi="宋体" w:cs="宋体"/>
                <w:szCs w:val="21"/>
                <w:highlight w:val="none"/>
              </w:rPr>
            </w:pPr>
          </w:p>
        </w:tc>
        <w:tc>
          <w:tcPr>
            <w:tcW w:w="1559" w:type="dxa"/>
            <w:vAlign w:val="center"/>
          </w:tcPr>
          <w:p w14:paraId="5405C172">
            <w:pPr>
              <w:autoSpaceDE w:val="0"/>
              <w:autoSpaceDN w:val="0"/>
              <w:adjustRightInd w:val="0"/>
              <w:snapToGrid w:val="0"/>
              <w:spacing w:line="400" w:lineRule="exact"/>
              <w:jc w:val="center"/>
              <w:rPr>
                <w:rFonts w:hint="eastAsia" w:ascii="宋体" w:hAnsi="宋体" w:cs="宋体"/>
                <w:szCs w:val="21"/>
                <w:highlight w:val="none"/>
              </w:rPr>
            </w:pPr>
          </w:p>
        </w:tc>
        <w:tc>
          <w:tcPr>
            <w:tcW w:w="1131" w:type="dxa"/>
            <w:vAlign w:val="center"/>
          </w:tcPr>
          <w:p w14:paraId="494CF6FD">
            <w:pPr>
              <w:autoSpaceDE w:val="0"/>
              <w:autoSpaceDN w:val="0"/>
              <w:adjustRightInd w:val="0"/>
              <w:snapToGrid w:val="0"/>
              <w:spacing w:line="400" w:lineRule="exact"/>
              <w:jc w:val="center"/>
              <w:rPr>
                <w:rFonts w:hint="eastAsia" w:ascii="宋体" w:hAnsi="宋体" w:cs="宋体"/>
                <w:szCs w:val="21"/>
                <w:highlight w:val="none"/>
              </w:rPr>
            </w:pPr>
          </w:p>
        </w:tc>
      </w:tr>
      <w:tr w14:paraId="6E40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5" w:type="dxa"/>
            <w:gridSpan w:val="7"/>
            <w:vAlign w:val="center"/>
          </w:tcPr>
          <w:p w14:paraId="5C6FC81B">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合计人民币（小写）：</w:t>
            </w:r>
          </w:p>
        </w:tc>
      </w:tr>
      <w:tr w14:paraId="0B66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5" w:type="dxa"/>
            <w:gridSpan w:val="7"/>
            <w:vAlign w:val="center"/>
          </w:tcPr>
          <w:p w14:paraId="34E22AA9">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合计人民币（大写）：</w:t>
            </w:r>
          </w:p>
        </w:tc>
      </w:tr>
      <w:tr w14:paraId="198F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075" w:type="dxa"/>
            <w:gridSpan w:val="7"/>
          </w:tcPr>
          <w:p w14:paraId="705C0F29">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一、服务要求</w:t>
            </w:r>
          </w:p>
        </w:tc>
      </w:tr>
      <w:tr w14:paraId="6040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075" w:type="dxa"/>
            <w:gridSpan w:val="7"/>
          </w:tcPr>
          <w:p w14:paraId="36C64EDE">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二、考核方式</w:t>
            </w:r>
          </w:p>
        </w:tc>
      </w:tr>
      <w:tr w14:paraId="3665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075" w:type="dxa"/>
            <w:gridSpan w:val="7"/>
          </w:tcPr>
          <w:p w14:paraId="409AEBD2">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三、付款方式：</w:t>
            </w:r>
          </w:p>
        </w:tc>
      </w:tr>
      <w:tr w14:paraId="4085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075" w:type="dxa"/>
            <w:gridSpan w:val="7"/>
          </w:tcPr>
          <w:p w14:paraId="43B995E0">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X、履约保证金：</w:t>
            </w:r>
          </w:p>
        </w:tc>
      </w:tr>
      <w:tr w14:paraId="20E0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075" w:type="dxa"/>
            <w:gridSpan w:val="7"/>
          </w:tcPr>
          <w:p w14:paraId="339B707F">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四、违约责任：</w:t>
            </w:r>
          </w:p>
          <w:p w14:paraId="02DF0620">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按《中华人民共和国民法典》、《中华人民共和国政府采购法》执行，或按双方约定。</w:t>
            </w:r>
          </w:p>
        </w:tc>
      </w:tr>
      <w:tr w14:paraId="5703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9075" w:type="dxa"/>
            <w:gridSpan w:val="7"/>
          </w:tcPr>
          <w:p w14:paraId="2B56E555">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五、其他约定事项：</w:t>
            </w:r>
          </w:p>
          <w:p w14:paraId="242DC333">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1.采购文件及其澄清文件、响应文件和承诺是本合同不可分割的部分。</w:t>
            </w:r>
          </w:p>
          <w:p w14:paraId="55AFF88C">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2.本合同如发生争议由双方协商解决，协商不成向需方所在人民法院提请诉讼。</w:t>
            </w:r>
          </w:p>
          <w:p w14:paraId="3AC4D85F">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3.本合同一式__份， 需方__份，供方__份，具同等法律效力。</w:t>
            </w:r>
          </w:p>
          <w:p w14:paraId="0EBA4A3E">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4.其他：</w:t>
            </w:r>
          </w:p>
        </w:tc>
      </w:tr>
      <w:tr w14:paraId="7E61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2" w:type="dxa"/>
            <w:gridSpan w:val="3"/>
          </w:tcPr>
          <w:p w14:paraId="64D3E5FD">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需方：</w:t>
            </w:r>
          </w:p>
          <w:p w14:paraId="7E2B9690">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地址：</w:t>
            </w:r>
          </w:p>
          <w:p w14:paraId="26D36834">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联系电话：</w:t>
            </w:r>
          </w:p>
          <w:p w14:paraId="2835940C">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授权代表：</w:t>
            </w:r>
          </w:p>
        </w:tc>
        <w:tc>
          <w:tcPr>
            <w:tcW w:w="4533" w:type="dxa"/>
            <w:gridSpan w:val="4"/>
          </w:tcPr>
          <w:p w14:paraId="23ADFB27">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供方：</w:t>
            </w:r>
          </w:p>
          <w:p w14:paraId="21368E62">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地址：</w:t>
            </w:r>
          </w:p>
          <w:p w14:paraId="3E64DD65">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电话：</w:t>
            </w:r>
          </w:p>
          <w:p w14:paraId="50BF92B3">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传真：</w:t>
            </w:r>
          </w:p>
          <w:p w14:paraId="6EDC89A5">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开户银行：</w:t>
            </w:r>
          </w:p>
          <w:p w14:paraId="5BD2A22B">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账号：</w:t>
            </w:r>
          </w:p>
          <w:p w14:paraId="52C9B744">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授权代表：</w:t>
            </w:r>
          </w:p>
          <w:p w14:paraId="10E48D60">
            <w:pPr>
              <w:autoSpaceDE w:val="0"/>
              <w:autoSpaceDN w:val="0"/>
              <w:adjustRightInd w:val="0"/>
              <w:snapToGrid w:val="0"/>
              <w:spacing w:line="400" w:lineRule="exact"/>
              <w:jc w:val="left"/>
              <w:rPr>
                <w:rFonts w:hint="eastAsia" w:ascii="宋体" w:hAnsi="宋体" w:cs="宋体"/>
                <w:szCs w:val="21"/>
                <w:highlight w:val="none"/>
              </w:rPr>
            </w:pPr>
            <w:r>
              <w:rPr>
                <w:rFonts w:hint="eastAsia" w:ascii="宋体" w:hAnsi="宋体" w:cs="宋体"/>
                <w:szCs w:val="21"/>
                <w:highlight w:val="none"/>
              </w:rPr>
              <w:t>（本栏请用计算机打印以便于准确付款）</w:t>
            </w:r>
          </w:p>
        </w:tc>
      </w:tr>
      <w:tr w14:paraId="3EB1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075" w:type="dxa"/>
            <w:gridSpan w:val="7"/>
          </w:tcPr>
          <w:p w14:paraId="1D1B4998">
            <w:pPr>
              <w:autoSpaceDE w:val="0"/>
              <w:autoSpaceDN w:val="0"/>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备注：</w:t>
            </w:r>
          </w:p>
        </w:tc>
      </w:tr>
    </w:tbl>
    <w:p w14:paraId="1C8884E8">
      <w:pPr>
        <w:autoSpaceDE w:val="0"/>
        <w:autoSpaceDN w:val="0"/>
        <w:adjustRightInd w:val="0"/>
        <w:snapToGrid w:val="0"/>
        <w:spacing w:line="400" w:lineRule="exact"/>
        <w:jc w:val="left"/>
        <w:rPr>
          <w:rFonts w:hint="eastAsia" w:ascii="宋体" w:hAnsi="宋体" w:cs="宋体"/>
          <w:szCs w:val="21"/>
          <w:highlight w:val="none"/>
        </w:rPr>
      </w:pPr>
      <w:r>
        <w:rPr>
          <w:rFonts w:hint="eastAsia" w:ascii="宋体" w:hAnsi="宋体" w:cs="宋体"/>
          <w:szCs w:val="21"/>
          <w:highlight w:val="none"/>
        </w:rPr>
        <w:t>签约时间：    年   月   日                       签约地点：</w:t>
      </w:r>
    </w:p>
    <w:p w14:paraId="4E258697">
      <w:pPr>
        <w:tabs>
          <w:tab w:val="left" w:pos="9000"/>
        </w:tabs>
        <w:autoSpaceDE w:val="0"/>
        <w:autoSpaceDN w:val="0"/>
        <w:adjustRightInd w:val="0"/>
        <w:snapToGrid w:val="0"/>
        <w:spacing w:line="400" w:lineRule="exact"/>
        <w:jc w:val="center"/>
        <w:rPr>
          <w:rFonts w:hint="eastAsia" w:ascii="宋体" w:hAnsi="宋体" w:cs="宋体"/>
          <w:szCs w:val="21"/>
          <w:highlight w:val="none"/>
        </w:rPr>
        <w:sectPr>
          <w:footerReference r:id="rId11" w:type="default"/>
          <w:footerReference r:id="rId12" w:type="even"/>
          <w:pgSz w:w="11907" w:h="16840"/>
          <w:pgMar w:top="1417" w:right="1417" w:bottom="1417" w:left="1417" w:header="1134" w:footer="850" w:gutter="0"/>
          <w:pgNumType w:fmt="numberInDash"/>
          <w:cols w:space="720" w:num="1"/>
          <w:docGrid w:linePitch="312" w:charSpace="0"/>
        </w:sectPr>
      </w:pPr>
    </w:p>
    <w:bookmarkEnd w:id="271"/>
    <w:bookmarkEnd w:id="272"/>
    <w:bookmarkEnd w:id="273"/>
    <w:bookmarkEnd w:id="274"/>
    <w:bookmarkEnd w:id="275"/>
    <w:p w14:paraId="61F84B51">
      <w:pPr>
        <w:kinsoku w:val="0"/>
        <w:autoSpaceDE w:val="0"/>
        <w:autoSpaceDN w:val="0"/>
        <w:adjustRightInd w:val="0"/>
        <w:snapToGrid w:val="0"/>
        <w:spacing w:before="217" w:beforeLines="50" w:after="217" w:afterLines="50" w:line="500" w:lineRule="exact"/>
        <w:jc w:val="center"/>
        <w:outlineLvl w:val="0"/>
        <w:rPr>
          <w:rFonts w:hint="eastAsia" w:ascii="宋体" w:hAnsi="宋体" w:cs="宋体"/>
          <w:color w:val="000000" w:themeColor="text1"/>
          <w:sz w:val="36"/>
          <w:szCs w:val="30"/>
          <w:highlight w:val="none"/>
          <w14:textFill>
            <w14:solidFill>
              <w14:schemeClr w14:val="tx1"/>
            </w14:solidFill>
          </w14:textFill>
        </w:rPr>
      </w:pPr>
      <w:bookmarkStart w:id="276" w:name="_Toc534185829"/>
      <w:bookmarkStart w:id="277" w:name="_Toc25506"/>
      <w:bookmarkStart w:id="278" w:name="_Toc509218852"/>
      <w:bookmarkStart w:id="279" w:name="_Toc57820646"/>
      <w:bookmarkStart w:id="280" w:name="_Toc11482"/>
      <w:bookmarkStart w:id="281" w:name="_Toc430530528"/>
      <w:bookmarkStart w:id="282" w:name="_Toc351"/>
      <w:r>
        <w:rPr>
          <w:rFonts w:hint="eastAsia" w:ascii="宋体" w:hAnsi="宋体" w:cs="宋体"/>
          <w:color w:val="000000" w:themeColor="text1"/>
          <w:sz w:val="44"/>
          <w:szCs w:val="44"/>
          <w:highlight w:val="none"/>
          <w14:textFill>
            <w14:solidFill>
              <w14:schemeClr w14:val="tx1"/>
            </w14:solidFill>
          </w14:textFill>
        </w:rPr>
        <w:t>第七篇  竞选文件格式</w:t>
      </w:r>
      <w:bookmarkEnd w:id="276"/>
      <w:bookmarkEnd w:id="277"/>
      <w:bookmarkEnd w:id="278"/>
      <w:bookmarkEnd w:id="279"/>
      <w:bookmarkEnd w:id="280"/>
      <w:bookmarkEnd w:id="281"/>
      <w:bookmarkEnd w:id="282"/>
    </w:p>
    <w:p w14:paraId="74D715E6">
      <w:pPr>
        <w:kinsoku w:val="0"/>
        <w:autoSpaceDE w:val="0"/>
        <w:autoSpaceDN w:val="0"/>
        <w:adjustRightInd w:val="0"/>
        <w:snapToGrid w:val="0"/>
        <w:spacing w:before="217" w:beforeLines="50" w:after="217" w:afterLines="50" w:line="500" w:lineRule="exact"/>
        <w:ind w:firstLine="482" w:firstLineChars="200"/>
        <w:outlineLvl w:val="1"/>
        <w:rPr>
          <w:rFonts w:hint="eastAsia" w:ascii="宋体" w:hAnsi="宋体" w:cs="宋体"/>
          <w:b/>
          <w:color w:val="000000" w:themeColor="text1"/>
          <w:sz w:val="24"/>
          <w:highlight w:val="none"/>
          <w14:textFill>
            <w14:solidFill>
              <w14:schemeClr w14:val="tx1"/>
            </w14:solidFill>
          </w14:textFill>
        </w:rPr>
      </w:pPr>
      <w:bookmarkStart w:id="283" w:name="_Toc25582"/>
      <w:bookmarkStart w:id="284" w:name="_Toc11173"/>
      <w:bookmarkStart w:id="285" w:name="_Toc224103493"/>
      <w:r>
        <w:rPr>
          <w:rFonts w:hint="eastAsia" w:ascii="宋体" w:hAnsi="宋体" w:cs="宋体"/>
          <w:b/>
          <w:color w:val="000000" w:themeColor="text1"/>
          <w:sz w:val="24"/>
          <w:highlight w:val="none"/>
          <w14:textFill>
            <w14:solidFill>
              <w14:schemeClr w14:val="tx1"/>
            </w14:solidFill>
          </w14:textFill>
        </w:rPr>
        <w:t>一、经济文件</w:t>
      </w:r>
      <w:bookmarkEnd w:id="283"/>
      <w:bookmarkEnd w:id="284"/>
    </w:p>
    <w:p w14:paraId="6D6C99C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（一）开标一览表</w:t>
      </w:r>
    </w:p>
    <w:p w14:paraId="37945A6B">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（二）分项报价明细表</w:t>
      </w:r>
    </w:p>
    <w:p w14:paraId="0AC43121">
      <w:pPr>
        <w:kinsoku w:val="0"/>
        <w:autoSpaceDE w:val="0"/>
        <w:autoSpaceDN w:val="0"/>
        <w:adjustRightInd w:val="0"/>
        <w:snapToGrid w:val="0"/>
        <w:spacing w:before="217" w:beforeLines="50" w:after="217" w:afterLines="50" w:line="500" w:lineRule="exact"/>
        <w:ind w:firstLine="482" w:firstLineChars="200"/>
        <w:outlineLvl w:val="1"/>
        <w:rPr>
          <w:rFonts w:hint="eastAsia" w:ascii="宋体" w:hAnsi="宋体" w:cs="宋体"/>
          <w:b/>
          <w:color w:val="000000" w:themeColor="text1"/>
          <w:sz w:val="24"/>
          <w:highlight w:val="none"/>
          <w14:textFill>
            <w14:solidFill>
              <w14:schemeClr w14:val="tx1"/>
            </w14:solidFill>
          </w14:textFill>
        </w:rPr>
      </w:pPr>
      <w:bookmarkStart w:id="286" w:name="_Toc30460"/>
      <w:bookmarkStart w:id="287" w:name="_Toc27975"/>
      <w:r>
        <w:rPr>
          <w:rFonts w:hint="eastAsia" w:ascii="宋体" w:hAnsi="宋体" w:cs="宋体"/>
          <w:b/>
          <w:color w:val="000000" w:themeColor="text1"/>
          <w:sz w:val="24"/>
          <w:highlight w:val="none"/>
          <w14:textFill>
            <w14:solidFill>
              <w14:schemeClr w14:val="tx1"/>
            </w14:solidFill>
          </w14:textFill>
        </w:rPr>
        <w:t>二、技术（质量）文件</w:t>
      </w:r>
      <w:bookmarkEnd w:id="286"/>
      <w:bookmarkEnd w:id="287"/>
    </w:p>
    <w:p w14:paraId="03C6A9A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w:t>
      </w:r>
      <w:r>
        <w:rPr>
          <w:rFonts w:hint="eastAsia" w:ascii="宋体" w:hAnsi="宋体" w:cs="宋体"/>
          <w:color w:val="000000" w:themeColor="text1"/>
          <w:sz w:val="24"/>
          <w:szCs w:val="28"/>
          <w:highlight w:val="none"/>
          <w14:textFill>
            <w14:solidFill>
              <w14:schemeClr w14:val="tx1"/>
            </w14:solidFill>
          </w14:textFill>
        </w:rPr>
        <w:t>技术（质量）条款差异表</w:t>
      </w:r>
    </w:p>
    <w:p w14:paraId="015026F4">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w:t>
      </w:r>
      <w:r>
        <w:rPr>
          <w:rFonts w:hint="eastAsia" w:ascii="宋体" w:hAnsi="宋体" w:cs="宋体"/>
          <w:color w:val="000000" w:themeColor="text1"/>
          <w:sz w:val="24"/>
          <w:szCs w:val="28"/>
          <w:highlight w:val="none"/>
          <w14:textFill>
            <w14:solidFill>
              <w14:schemeClr w14:val="tx1"/>
            </w14:solidFill>
          </w14:textFill>
        </w:rPr>
        <w:t>其他技术（质量）资料</w:t>
      </w:r>
    </w:p>
    <w:p w14:paraId="30F749F8">
      <w:pPr>
        <w:kinsoku w:val="0"/>
        <w:autoSpaceDE w:val="0"/>
        <w:autoSpaceDN w:val="0"/>
        <w:adjustRightInd w:val="0"/>
        <w:snapToGrid w:val="0"/>
        <w:spacing w:before="217" w:beforeLines="50" w:after="217" w:afterLines="50" w:line="500" w:lineRule="exact"/>
        <w:ind w:firstLine="482" w:firstLineChars="200"/>
        <w:outlineLvl w:val="1"/>
        <w:rPr>
          <w:rFonts w:hint="eastAsia" w:ascii="宋体" w:hAnsi="宋体" w:cs="宋体"/>
          <w:b/>
          <w:color w:val="000000" w:themeColor="text1"/>
          <w:sz w:val="24"/>
          <w:highlight w:val="none"/>
          <w14:textFill>
            <w14:solidFill>
              <w14:schemeClr w14:val="tx1"/>
            </w14:solidFill>
          </w14:textFill>
        </w:rPr>
      </w:pPr>
      <w:bookmarkStart w:id="288" w:name="_Toc28369"/>
      <w:bookmarkStart w:id="289" w:name="_Toc6658"/>
      <w:r>
        <w:rPr>
          <w:rFonts w:hint="eastAsia" w:ascii="宋体" w:hAnsi="宋体" w:cs="宋体"/>
          <w:b/>
          <w:color w:val="000000" w:themeColor="text1"/>
          <w:sz w:val="24"/>
          <w:highlight w:val="none"/>
          <w14:textFill>
            <w14:solidFill>
              <w14:schemeClr w14:val="tx1"/>
            </w14:solidFill>
          </w14:textFill>
        </w:rPr>
        <w:t>三、商务文件</w:t>
      </w:r>
      <w:bookmarkEnd w:id="288"/>
      <w:bookmarkEnd w:id="289"/>
    </w:p>
    <w:p w14:paraId="6ECC8440">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（一）竞选函（格式）</w:t>
      </w:r>
    </w:p>
    <w:p w14:paraId="4B707D2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（二）商务条款差异表</w:t>
      </w:r>
    </w:p>
    <w:p w14:paraId="7B77AB5C">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（三）其他商务资料</w:t>
      </w:r>
    </w:p>
    <w:p w14:paraId="0D0C0ED4">
      <w:pPr>
        <w:tabs>
          <w:tab w:val="left" w:pos="1764"/>
        </w:tabs>
        <w:kinsoku w:val="0"/>
        <w:autoSpaceDE w:val="0"/>
        <w:autoSpaceDN w:val="0"/>
        <w:adjustRightInd w:val="0"/>
        <w:snapToGrid w:val="0"/>
        <w:spacing w:before="217" w:beforeLines="50" w:after="217" w:afterLines="50" w:line="500" w:lineRule="exact"/>
        <w:ind w:firstLine="482" w:firstLineChars="200"/>
        <w:outlineLvl w:val="1"/>
        <w:rPr>
          <w:rFonts w:hint="eastAsia" w:ascii="宋体" w:hAnsi="宋体" w:cs="宋体"/>
          <w:b/>
          <w:color w:val="000000" w:themeColor="text1"/>
          <w:sz w:val="24"/>
          <w:highlight w:val="none"/>
          <w14:textFill>
            <w14:solidFill>
              <w14:schemeClr w14:val="tx1"/>
            </w14:solidFill>
          </w14:textFill>
        </w:rPr>
      </w:pPr>
      <w:bookmarkStart w:id="290" w:name="_Toc23028"/>
      <w:bookmarkStart w:id="291" w:name="_Toc27563"/>
      <w:r>
        <w:rPr>
          <w:rFonts w:hint="eastAsia" w:ascii="宋体" w:hAnsi="宋体" w:cs="宋体"/>
          <w:b/>
          <w:color w:val="000000" w:themeColor="text1"/>
          <w:sz w:val="24"/>
          <w:highlight w:val="none"/>
          <w14:textFill>
            <w14:solidFill>
              <w14:schemeClr w14:val="tx1"/>
            </w14:solidFill>
          </w14:textFill>
        </w:rPr>
        <w:t>四、其他</w:t>
      </w:r>
      <w:bookmarkEnd w:id="290"/>
      <w:bookmarkEnd w:id="291"/>
    </w:p>
    <w:p w14:paraId="271663D4">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（一）其他与项目有关的资料（自附）</w:t>
      </w:r>
    </w:p>
    <w:p w14:paraId="46821541">
      <w:pPr>
        <w:kinsoku w:val="0"/>
        <w:autoSpaceDE w:val="0"/>
        <w:autoSpaceDN w:val="0"/>
        <w:adjustRightInd w:val="0"/>
        <w:snapToGrid w:val="0"/>
        <w:spacing w:before="217" w:beforeLines="50" w:after="217" w:afterLines="50" w:line="500" w:lineRule="exact"/>
        <w:ind w:firstLine="482" w:firstLineChars="200"/>
        <w:outlineLvl w:val="1"/>
        <w:rPr>
          <w:rFonts w:hint="eastAsia" w:ascii="宋体" w:hAnsi="宋体" w:cs="宋体"/>
          <w:b/>
          <w:color w:val="000000" w:themeColor="text1"/>
          <w:sz w:val="24"/>
          <w:highlight w:val="none"/>
          <w14:textFill>
            <w14:solidFill>
              <w14:schemeClr w14:val="tx1"/>
            </w14:solidFill>
          </w14:textFill>
        </w:rPr>
      </w:pPr>
      <w:bookmarkStart w:id="292" w:name="_Toc6286"/>
      <w:bookmarkStart w:id="293" w:name="_Toc16407"/>
      <w:r>
        <w:rPr>
          <w:rFonts w:hint="eastAsia" w:ascii="宋体" w:hAnsi="宋体" w:cs="宋体"/>
          <w:b/>
          <w:color w:val="000000" w:themeColor="text1"/>
          <w:sz w:val="24"/>
          <w:highlight w:val="none"/>
          <w14:textFill>
            <w14:solidFill>
              <w14:schemeClr w14:val="tx1"/>
            </w14:solidFill>
          </w14:textFill>
        </w:rPr>
        <w:t>五、资格文件</w:t>
      </w:r>
      <w:bookmarkEnd w:id="292"/>
      <w:bookmarkEnd w:id="293"/>
    </w:p>
    <w:p w14:paraId="440B1FD7">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4A89CDFB">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（二）法定代表人身份证明书（格式）</w:t>
      </w:r>
    </w:p>
    <w:p w14:paraId="7DE99CFA">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（三）法定代表人授权委托书（格式）</w:t>
      </w:r>
    </w:p>
    <w:p w14:paraId="0A6E49FD">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（四）基本资格条件承诺函（格式）</w:t>
      </w:r>
    </w:p>
    <w:p w14:paraId="6A121930">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（五）特定资格条件证书或证明文件（如有）</w:t>
      </w:r>
    </w:p>
    <w:p w14:paraId="261D94C6">
      <w:pPr>
        <w:kinsoku w:val="0"/>
        <w:autoSpaceDE w:val="0"/>
        <w:autoSpaceDN w:val="0"/>
        <w:adjustRightInd w:val="0"/>
        <w:snapToGrid w:val="0"/>
        <w:spacing w:before="260" w:after="260" w:line="500" w:lineRule="exact"/>
        <w:ind w:firstLine="643" w:firstLineChars="200"/>
        <w:rPr>
          <w:rFonts w:hint="eastAsia" w:ascii="宋体" w:hAnsi="宋体" w:cs="宋体"/>
          <w:b/>
          <w:color w:val="000000" w:themeColor="text1"/>
          <w:sz w:val="32"/>
          <w:szCs w:val="28"/>
          <w:highlight w:val="none"/>
          <w14:textFill>
            <w14:solidFill>
              <w14:schemeClr w14:val="tx1"/>
            </w14:solidFill>
          </w14:textFill>
        </w:rPr>
      </w:pPr>
      <w:bookmarkStart w:id="294" w:name="_Toc106030417"/>
      <w:bookmarkStart w:id="295" w:name="_Toc31828"/>
      <w:bookmarkStart w:id="296" w:name="_Toc28669"/>
      <w:bookmarkStart w:id="297" w:name="_Toc14552"/>
      <w:bookmarkStart w:id="298" w:name="_Toc75793540"/>
      <w:bookmarkStart w:id="299" w:name="_Toc429584884"/>
      <w:bookmarkStart w:id="300" w:name="_Toc27943"/>
      <w:bookmarkStart w:id="301" w:name="_Toc14568"/>
      <w:bookmarkStart w:id="302" w:name="_Toc30904"/>
      <w:bookmarkStart w:id="303" w:name="_Toc25659"/>
      <w:bookmarkStart w:id="304" w:name="_Toc27612"/>
      <w:bookmarkStart w:id="305" w:name="_Toc23361"/>
      <w:bookmarkStart w:id="306" w:name="_Toc13547"/>
      <w:bookmarkStart w:id="307" w:name="_Toc31914"/>
      <w:bookmarkStart w:id="308" w:name="_Toc21561"/>
      <w:bookmarkStart w:id="309" w:name="_Toc29821"/>
      <w:bookmarkStart w:id="310" w:name="_Toc10124"/>
      <w:bookmarkStart w:id="311" w:name="_Toc15893"/>
      <w:bookmarkStart w:id="312" w:name="_Toc18349"/>
      <w:r>
        <w:rPr>
          <w:rFonts w:hint="eastAsia" w:ascii="宋体" w:hAnsi="宋体" w:cs="宋体"/>
          <w:b/>
          <w:color w:val="000000" w:themeColor="text1"/>
          <w:sz w:val="32"/>
          <w:szCs w:val="28"/>
          <w:highlight w:val="none"/>
          <w14:textFill>
            <w14:solidFill>
              <w14:schemeClr w14:val="tx1"/>
            </w14:solidFill>
          </w14:textFill>
        </w:rPr>
        <w:t>一、经济文件</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26201DF">
      <w:pPr>
        <w:kinsoku w:val="0"/>
        <w:autoSpaceDE w:val="0"/>
        <w:autoSpaceDN w:val="0"/>
        <w:adjustRightInd w:val="0"/>
        <w:snapToGrid w:val="0"/>
        <w:spacing w:line="500" w:lineRule="exact"/>
        <w:jc w:val="center"/>
        <w:rPr>
          <w:rFonts w:hint="eastAsia" w:ascii="宋体" w:hAnsi="宋体" w:cs="宋体"/>
          <w:color w:val="000000" w:themeColor="text1"/>
          <w:sz w:val="28"/>
          <w:szCs w:val="36"/>
          <w:highlight w:val="none"/>
          <w14:textFill>
            <w14:solidFill>
              <w14:schemeClr w14:val="tx1"/>
            </w14:solidFill>
          </w14:textFill>
        </w:rPr>
      </w:pPr>
      <w:r>
        <w:rPr>
          <w:rFonts w:hint="eastAsia" w:ascii="宋体" w:hAnsi="宋体" w:cs="宋体"/>
          <w:color w:val="000000" w:themeColor="text1"/>
          <w:sz w:val="28"/>
          <w:szCs w:val="36"/>
          <w:highlight w:val="none"/>
          <w14:textFill>
            <w14:solidFill>
              <w14:schemeClr w14:val="tx1"/>
            </w14:solidFill>
          </w14:textFill>
        </w:rPr>
        <w:t>（一）开标一览表</w:t>
      </w:r>
    </w:p>
    <w:p w14:paraId="677406E2">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比选项目名称：</w:t>
      </w:r>
    </w:p>
    <w:tbl>
      <w:tblPr>
        <w:tblStyle w:val="19"/>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588"/>
      </w:tblGrid>
      <w:tr w14:paraId="4940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34E28160">
            <w:pPr>
              <w:kinsoku w:val="0"/>
              <w:autoSpaceDE w:val="0"/>
              <w:autoSpaceDN w:val="0"/>
              <w:adjustRightInd w:val="0"/>
              <w:snapToGrid w:val="0"/>
              <w:spacing w:line="500" w:lineRule="exact"/>
              <w:jc w:val="center"/>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竞选人名称</w:t>
            </w:r>
          </w:p>
        </w:tc>
        <w:tc>
          <w:tcPr>
            <w:tcW w:w="7668" w:type="dxa"/>
            <w:gridSpan w:val="3"/>
            <w:vAlign w:val="center"/>
          </w:tcPr>
          <w:p w14:paraId="4861FABD">
            <w:pPr>
              <w:kinsoku w:val="0"/>
              <w:autoSpaceDE w:val="0"/>
              <w:autoSpaceDN w:val="0"/>
              <w:adjustRightInd w:val="0"/>
              <w:snapToGrid w:val="0"/>
              <w:spacing w:line="500" w:lineRule="exact"/>
              <w:jc w:val="center"/>
              <w:rPr>
                <w:rFonts w:hint="eastAsia" w:ascii="宋体" w:hAnsi="宋体" w:cs="宋体"/>
                <w:color w:val="000000" w:themeColor="text1"/>
                <w:szCs w:val="28"/>
                <w:highlight w:val="none"/>
                <w14:textFill>
                  <w14:solidFill>
                    <w14:schemeClr w14:val="tx1"/>
                  </w14:solidFill>
                </w14:textFill>
              </w:rPr>
            </w:pPr>
          </w:p>
        </w:tc>
      </w:tr>
      <w:tr w14:paraId="1B0B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10FFFCC8">
            <w:pPr>
              <w:kinsoku w:val="0"/>
              <w:autoSpaceDE w:val="0"/>
              <w:autoSpaceDN w:val="0"/>
              <w:adjustRightInd w:val="0"/>
              <w:snapToGrid w:val="0"/>
              <w:spacing w:line="500" w:lineRule="exact"/>
              <w:jc w:val="center"/>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包号及名称</w:t>
            </w:r>
          </w:p>
        </w:tc>
        <w:tc>
          <w:tcPr>
            <w:tcW w:w="932" w:type="dxa"/>
            <w:vAlign w:val="center"/>
          </w:tcPr>
          <w:p w14:paraId="04940DA7">
            <w:pPr>
              <w:kinsoku w:val="0"/>
              <w:autoSpaceDE w:val="0"/>
              <w:autoSpaceDN w:val="0"/>
              <w:adjustRightInd w:val="0"/>
              <w:snapToGrid w:val="0"/>
              <w:spacing w:line="500" w:lineRule="exact"/>
              <w:jc w:val="center"/>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数量</w:t>
            </w:r>
          </w:p>
        </w:tc>
        <w:tc>
          <w:tcPr>
            <w:tcW w:w="4588" w:type="dxa"/>
            <w:vAlign w:val="center"/>
          </w:tcPr>
          <w:p w14:paraId="1870574A">
            <w:pPr>
              <w:kinsoku w:val="0"/>
              <w:autoSpaceDE w:val="0"/>
              <w:autoSpaceDN w:val="0"/>
              <w:adjustRightInd w:val="0"/>
              <w:snapToGrid w:val="0"/>
              <w:spacing w:line="500" w:lineRule="exact"/>
              <w:jc w:val="center"/>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竞选含税总价报价（小写）</w:t>
            </w:r>
          </w:p>
        </w:tc>
      </w:tr>
      <w:tr w14:paraId="6706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46D64C1A">
            <w:pPr>
              <w:kinsoku w:val="0"/>
              <w:autoSpaceDE w:val="0"/>
              <w:autoSpaceDN w:val="0"/>
              <w:adjustRightInd w:val="0"/>
              <w:snapToGrid w:val="0"/>
              <w:spacing w:line="500" w:lineRule="exact"/>
              <w:rPr>
                <w:rFonts w:hint="eastAsia" w:ascii="宋体" w:hAnsi="宋体" w:cs="宋体"/>
                <w:color w:val="000000" w:themeColor="text1"/>
                <w:szCs w:val="28"/>
                <w:highlight w:val="none"/>
                <w14:textFill>
                  <w14:solidFill>
                    <w14:schemeClr w14:val="tx1"/>
                  </w14:solidFill>
                </w14:textFill>
              </w:rPr>
            </w:pPr>
          </w:p>
        </w:tc>
        <w:tc>
          <w:tcPr>
            <w:tcW w:w="932" w:type="dxa"/>
            <w:tcBorders>
              <w:bottom w:val="single" w:color="auto" w:sz="4" w:space="0"/>
            </w:tcBorders>
          </w:tcPr>
          <w:p w14:paraId="21570A4C">
            <w:pPr>
              <w:kinsoku w:val="0"/>
              <w:autoSpaceDE w:val="0"/>
              <w:autoSpaceDN w:val="0"/>
              <w:adjustRightInd w:val="0"/>
              <w:snapToGrid w:val="0"/>
              <w:spacing w:line="500" w:lineRule="exact"/>
              <w:rPr>
                <w:rFonts w:hint="eastAsia" w:ascii="宋体" w:hAnsi="宋体" w:cs="宋体"/>
                <w:color w:val="000000" w:themeColor="text1"/>
                <w:szCs w:val="28"/>
                <w:highlight w:val="none"/>
                <w14:textFill>
                  <w14:solidFill>
                    <w14:schemeClr w14:val="tx1"/>
                  </w14:solidFill>
                </w14:textFill>
              </w:rPr>
            </w:pPr>
          </w:p>
        </w:tc>
        <w:tc>
          <w:tcPr>
            <w:tcW w:w="4588" w:type="dxa"/>
            <w:tcBorders>
              <w:bottom w:val="single" w:color="auto" w:sz="4" w:space="0"/>
            </w:tcBorders>
          </w:tcPr>
          <w:p w14:paraId="5EDBB1C6">
            <w:pPr>
              <w:kinsoku w:val="0"/>
              <w:autoSpaceDE w:val="0"/>
              <w:autoSpaceDN w:val="0"/>
              <w:adjustRightInd w:val="0"/>
              <w:snapToGrid w:val="0"/>
              <w:spacing w:line="500" w:lineRule="exact"/>
              <w:rPr>
                <w:rFonts w:hint="eastAsia" w:ascii="宋体" w:hAnsi="宋体" w:cs="宋体"/>
                <w:color w:val="000000" w:themeColor="text1"/>
                <w:szCs w:val="28"/>
                <w:highlight w:val="none"/>
                <w14:textFill>
                  <w14:solidFill>
                    <w14:schemeClr w14:val="tx1"/>
                  </w14:solidFill>
                </w14:textFill>
              </w:rPr>
            </w:pPr>
          </w:p>
        </w:tc>
      </w:tr>
      <w:tr w14:paraId="1331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456" w:type="dxa"/>
            <w:gridSpan w:val="4"/>
            <w:tcBorders>
              <w:bottom w:val="single" w:color="auto" w:sz="4" w:space="0"/>
            </w:tcBorders>
            <w:vAlign w:val="center"/>
          </w:tcPr>
          <w:p w14:paraId="0C48D2D3">
            <w:pPr>
              <w:kinsoku w:val="0"/>
              <w:autoSpaceDE w:val="0"/>
              <w:autoSpaceDN w:val="0"/>
              <w:adjustRightInd w:val="0"/>
              <w:snapToGrid w:val="0"/>
              <w:spacing w:line="500" w:lineRule="exact"/>
              <w:rPr>
                <w:rFonts w:hint="eastAsia"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 xml:space="preserve">竞选含税总价报价（大写）：                           </w:t>
            </w:r>
          </w:p>
        </w:tc>
      </w:tr>
      <w:tr w14:paraId="14D1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456" w:type="dxa"/>
            <w:gridSpan w:val="4"/>
            <w:vAlign w:val="center"/>
          </w:tcPr>
          <w:p w14:paraId="6712D355">
            <w:pPr>
              <w:pStyle w:val="12"/>
              <w:kinsoku w:val="0"/>
              <w:autoSpaceDE w:val="0"/>
              <w:autoSpaceDN w:val="0"/>
              <w:adjustRightInd w:val="0"/>
              <w:snapToGrid w:val="0"/>
              <w:spacing w:line="500" w:lineRule="exact"/>
              <w:rPr>
                <w:rFonts w:hint="eastAsia" w:ascii="宋体" w:hAnsi="宋体" w:cs="宋体"/>
                <w:color w:val="000000" w:themeColor="text1"/>
                <w:sz w:val="21"/>
                <w:szCs w:val="28"/>
                <w:highlight w:val="none"/>
                <w14:textFill>
                  <w14:solidFill>
                    <w14:schemeClr w14:val="tx1"/>
                  </w14:solidFill>
                </w14:textFill>
              </w:rPr>
            </w:pPr>
            <w:r>
              <w:rPr>
                <w:rFonts w:hint="eastAsia" w:ascii="宋体" w:hAnsi="宋体" w:cs="宋体"/>
                <w:color w:val="000000" w:themeColor="text1"/>
                <w:sz w:val="21"/>
                <w:szCs w:val="28"/>
                <w:highlight w:val="none"/>
                <w14:textFill>
                  <w14:solidFill>
                    <w14:schemeClr w14:val="tx1"/>
                  </w14:solidFill>
                </w14:textFill>
              </w:rPr>
              <w:t>备注：</w:t>
            </w:r>
          </w:p>
        </w:tc>
      </w:tr>
    </w:tbl>
    <w:p w14:paraId="3BC58281">
      <w:pPr>
        <w:pStyle w:val="12"/>
        <w:kinsoku w:val="0"/>
        <w:autoSpaceDE w:val="0"/>
        <w:autoSpaceDN w:val="0"/>
        <w:adjustRightInd w:val="0"/>
        <w:snapToGrid w:val="0"/>
        <w:spacing w:line="500" w:lineRule="exact"/>
        <w:rPr>
          <w:rFonts w:hint="eastAsia" w:ascii="宋体" w:hAnsi="宋体" w:cs="宋体"/>
          <w:color w:val="000000" w:themeColor="text1"/>
          <w:sz w:val="24"/>
          <w:szCs w:val="28"/>
          <w:highlight w:val="none"/>
          <w14:textFill>
            <w14:solidFill>
              <w14:schemeClr w14:val="tx1"/>
            </w14:solidFill>
          </w14:textFill>
        </w:rPr>
      </w:pPr>
    </w:p>
    <w:p w14:paraId="746D43FB">
      <w:pPr>
        <w:kinsoku w:val="0"/>
        <w:autoSpaceDE w:val="0"/>
        <w:autoSpaceDN w:val="0"/>
        <w:adjustRightInd w:val="0"/>
        <w:snapToGrid w:val="0"/>
        <w:spacing w:line="500" w:lineRule="exact"/>
        <w:rPr>
          <w:rFonts w:hint="eastAsia" w:ascii="宋体" w:hAnsi="宋体" w:cs="宋体"/>
          <w:color w:val="000000" w:themeColor="text1"/>
          <w:sz w:val="28"/>
          <w:szCs w:val="20"/>
          <w:highlight w:val="none"/>
          <w14:textFill>
            <w14:solidFill>
              <w14:schemeClr w14:val="tx1"/>
            </w14:solidFill>
          </w14:textFill>
        </w:rPr>
      </w:pPr>
    </w:p>
    <w:p w14:paraId="2DF37636">
      <w:pPr>
        <w:kinsoku w:val="0"/>
        <w:autoSpaceDE w:val="0"/>
        <w:autoSpaceDN w:val="0"/>
        <w:adjustRightInd w:val="0"/>
        <w:snapToGrid w:val="0"/>
        <w:spacing w:line="500" w:lineRule="exact"/>
        <w:rPr>
          <w:rFonts w:hint="eastAsia" w:ascii="宋体" w:hAnsi="宋体" w:cs="宋体"/>
          <w:color w:val="000000" w:themeColor="text1"/>
          <w:sz w:val="24"/>
          <w:szCs w:val="28"/>
          <w:highlight w:val="none"/>
          <w14:textFill>
            <w14:solidFill>
              <w14:schemeClr w14:val="tx1"/>
            </w14:solidFill>
          </w14:textFill>
        </w:rPr>
      </w:pPr>
    </w:p>
    <w:p w14:paraId="4706CEC3">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竞选人：                    法定代表人（或法定代表人授权代表）或自然人：</w:t>
      </w:r>
    </w:p>
    <w:p w14:paraId="5193A292">
      <w:pPr>
        <w:kinsoku w:val="0"/>
        <w:autoSpaceDE w:val="0"/>
        <w:autoSpaceDN w:val="0"/>
        <w:adjustRightInd w:val="0"/>
        <w:snapToGrid w:val="0"/>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（竞选人公章）                               （签署或盖章）</w:t>
      </w:r>
    </w:p>
    <w:p w14:paraId="3516EDFA">
      <w:pPr>
        <w:kinsoku w:val="0"/>
        <w:autoSpaceDE w:val="0"/>
        <w:autoSpaceDN w:val="0"/>
        <w:adjustRightInd w:val="0"/>
        <w:snapToGrid w:val="0"/>
        <w:spacing w:line="500" w:lineRule="exact"/>
        <w:rPr>
          <w:rFonts w:hint="eastAsia" w:ascii="宋体" w:hAnsi="宋体" w:cs="宋体"/>
          <w:color w:val="000000" w:themeColor="text1"/>
          <w:sz w:val="24"/>
          <w:szCs w:val="28"/>
          <w:highlight w:val="none"/>
          <w14:textFill>
            <w14:solidFill>
              <w14:schemeClr w14:val="tx1"/>
            </w14:solidFill>
          </w14:textFill>
        </w:rPr>
      </w:pPr>
    </w:p>
    <w:p w14:paraId="5103F026">
      <w:pPr>
        <w:kinsoku w:val="0"/>
        <w:autoSpaceDE w:val="0"/>
        <w:autoSpaceDN w:val="0"/>
        <w:adjustRightInd w:val="0"/>
        <w:snapToGrid w:val="0"/>
        <w:spacing w:line="500" w:lineRule="exact"/>
        <w:rPr>
          <w:rFonts w:hint="eastAsia" w:ascii="宋体" w:hAnsi="宋体" w:cs="宋体"/>
          <w:color w:val="000000" w:themeColor="text1"/>
          <w:sz w:val="24"/>
          <w:szCs w:val="28"/>
          <w:highlight w:val="none"/>
          <w14:textFill>
            <w14:solidFill>
              <w14:schemeClr w14:val="tx1"/>
            </w14:solidFill>
          </w14:textFill>
        </w:rPr>
      </w:pPr>
    </w:p>
    <w:p w14:paraId="0918A826">
      <w:pPr>
        <w:kinsoku w:val="0"/>
        <w:autoSpaceDE w:val="0"/>
        <w:autoSpaceDN w:val="0"/>
        <w:adjustRightInd w:val="0"/>
        <w:snapToGrid w:val="0"/>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年     月     日</w:t>
      </w:r>
    </w:p>
    <w:p w14:paraId="558BD40D">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p>
    <w:p w14:paraId="575FAABC">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说明：</w:t>
      </w:r>
    </w:p>
    <w:p w14:paraId="19AA37B7">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1.开标一览表按格式填列；</w:t>
      </w:r>
    </w:p>
    <w:p w14:paraId="19A5E9CA">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sectPr>
          <w:headerReference r:id="rId13" w:type="default"/>
          <w:footerReference r:id="rId14" w:type="default"/>
          <w:pgSz w:w="11906" w:h="16838"/>
          <w:pgMar w:top="2098" w:right="1474" w:bottom="1984" w:left="1587" w:header="850" w:footer="1587" w:gutter="0"/>
          <w:cols w:space="720" w:num="1"/>
          <w:docGrid w:type="lines" w:linePitch="435" w:charSpace="0"/>
        </w:sectPr>
      </w:pPr>
      <w:r>
        <w:rPr>
          <w:rFonts w:hint="eastAsia" w:ascii="宋体" w:hAnsi="宋体" w:cs="宋体"/>
          <w:color w:val="000000" w:themeColor="text1"/>
          <w:sz w:val="24"/>
          <w:szCs w:val="28"/>
          <w:highlight w:val="none"/>
          <w14:textFill>
            <w14:solidFill>
              <w14:schemeClr w14:val="tx1"/>
            </w14:solidFill>
          </w14:textFill>
        </w:rPr>
        <w:t>2.开标一览表在开标大会上当众宣读，务必填写清楚，准确无误；</w:t>
      </w:r>
    </w:p>
    <w:p w14:paraId="7335064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（二）分项报价明细表</w:t>
      </w:r>
    </w:p>
    <w:p w14:paraId="189B6720">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比选项目名称：                                           单位：元</w:t>
      </w:r>
    </w:p>
    <w:tbl>
      <w:tblPr>
        <w:tblStyle w:val="1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4023"/>
        <w:gridCol w:w="1397"/>
        <w:gridCol w:w="1396"/>
        <w:gridCol w:w="1399"/>
      </w:tblGrid>
      <w:tr w14:paraId="4066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572" w:type="pct"/>
            <w:vAlign w:val="center"/>
          </w:tcPr>
          <w:p w14:paraId="190CB43F">
            <w:pPr>
              <w:autoSpaceDE w:val="0"/>
              <w:autoSpaceDN w:val="0"/>
              <w:adjustRightInd w:val="0"/>
              <w:snapToGrid w:val="0"/>
              <w:spacing w:line="500" w:lineRule="exact"/>
              <w:jc w:val="center"/>
              <w:rPr>
                <w:rFonts w:hint="eastAsia" w:ascii="宋体" w:hAnsi="宋体" w:cs="宋体"/>
                <w:b/>
                <w:snapToGrid w:val="0"/>
                <w:kern w:val="0"/>
                <w:szCs w:val="21"/>
                <w:highlight w:val="none"/>
              </w:rPr>
            </w:pPr>
            <w:r>
              <w:rPr>
                <w:rFonts w:hint="eastAsia" w:ascii="宋体" w:hAnsi="宋体" w:cs="宋体"/>
                <w:b/>
                <w:snapToGrid w:val="0"/>
                <w:kern w:val="0"/>
                <w:szCs w:val="21"/>
                <w:highlight w:val="none"/>
              </w:rPr>
              <w:t>序号</w:t>
            </w:r>
          </w:p>
        </w:tc>
        <w:tc>
          <w:tcPr>
            <w:tcW w:w="2168" w:type="pct"/>
            <w:vAlign w:val="center"/>
          </w:tcPr>
          <w:p w14:paraId="4B3BD5EA">
            <w:pPr>
              <w:autoSpaceDE w:val="0"/>
              <w:autoSpaceDN w:val="0"/>
              <w:adjustRightInd w:val="0"/>
              <w:snapToGrid w:val="0"/>
              <w:spacing w:line="500" w:lineRule="exact"/>
              <w:jc w:val="center"/>
              <w:rPr>
                <w:rFonts w:hint="eastAsia" w:ascii="宋体" w:hAnsi="宋体" w:cs="宋体"/>
                <w:b/>
                <w:snapToGrid w:val="0"/>
                <w:kern w:val="0"/>
                <w:szCs w:val="21"/>
                <w:highlight w:val="none"/>
              </w:rPr>
            </w:pPr>
            <w:r>
              <w:rPr>
                <w:rFonts w:hint="eastAsia" w:ascii="宋体" w:hAnsi="宋体" w:cs="宋体"/>
                <w:b/>
                <w:snapToGrid w:val="0"/>
                <w:kern w:val="0"/>
                <w:szCs w:val="21"/>
                <w:highlight w:val="none"/>
              </w:rPr>
              <w:t>名称</w:t>
            </w:r>
          </w:p>
        </w:tc>
        <w:tc>
          <w:tcPr>
            <w:tcW w:w="753" w:type="pct"/>
            <w:vAlign w:val="center"/>
          </w:tcPr>
          <w:p w14:paraId="3D1CF516">
            <w:pPr>
              <w:autoSpaceDE w:val="0"/>
              <w:autoSpaceDN w:val="0"/>
              <w:adjustRightInd w:val="0"/>
              <w:snapToGrid w:val="0"/>
              <w:spacing w:line="500" w:lineRule="exact"/>
              <w:jc w:val="center"/>
              <w:rPr>
                <w:rFonts w:hint="eastAsia" w:ascii="宋体" w:hAnsi="宋体" w:cs="宋体"/>
                <w:b/>
                <w:snapToGrid w:val="0"/>
                <w:kern w:val="0"/>
                <w:szCs w:val="21"/>
                <w:highlight w:val="none"/>
              </w:rPr>
            </w:pPr>
            <w:r>
              <w:rPr>
                <w:rFonts w:hint="eastAsia" w:ascii="宋体" w:hAnsi="宋体" w:cs="宋体"/>
                <w:b/>
                <w:snapToGrid w:val="0"/>
                <w:kern w:val="0"/>
                <w:szCs w:val="21"/>
                <w:highlight w:val="none"/>
              </w:rPr>
              <w:t>数量</w:t>
            </w:r>
          </w:p>
        </w:tc>
        <w:tc>
          <w:tcPr>
            <w:tcW w:w="752" w:type="pct"/>
            <w:vAlign w:val="center"/>
          </w:tcPr>
          <w:p w14:paraId="1BD04E51">
            <w:pPr>
              <w:autoSpaceDE w:val="0"/>
              <w:autoSpaceDN w:val="0"/>
              <w:adjustRightInd w:val="0"/>
              <w:snapToGrid w:val="0"/>
              <w:spacing w:line="500" w:lineRule="exact"/>
              <w:jc w:val="center"/>
              <w:rPr>
                <w:rFonts w:hint="eastAsia" w:ascii="宋体" w:hAnsi="宋体" w:cs="宋体"/>
                <w:b/>
                <w:snapToGrid w:val="0"/>
                <w:kern w:val="0"/>
                <w:szCs w:val="21"/>
                <w:highlight w:val="none"/>
              </w:rPr>
            </w:pPr>
            <w:r>
              <w:rPr>
                <w:rFonts w:hint="eastAsia" w:ascii="宋体" w:hAnsi="宋体" w:cs="宋体"/>
                <w:b/>
                <w:snapToGrid w:val="0"/>
                <w:kern w:val="0"/>
                <w:szCs w:val="21"/>
                <w:highlight w:val="none"/>
              </w:rPr>
              <w:t>单价</w:t>
            </w:r>
          </w:p>
        </w:tc>
        <w:tc>
          <w:tcPr>
            <w:tcW w:w="753" w:type="pct"/>
            <w:vAlign w:val="center"/>
          </w:tcPr>
          <w:p w14:paraId="53735D56">
            <w:pPr>
              <w:autoSpaceDE w:val="0"/>
              <w:autoSpaceDN w:val="0"/>
              <w:adjustRightInd w:val="0"/>
              <w:snapToGrid w:val="0"/>
              <w:spacing w:line="500" w:lineRule="exact"/>
              <w:jc w:val="center"/>
              <w:rPr>
                <w:rFonts w:hint="eastAsia" w:ascii="宋体" w:hAnsi="宋体" w:cs="宋体"/>
                <w:b/>
                <w:snapToGrid w:val="0"/>
                <w:kern w:val="0"/>
                <w:szCs w:val="21"/>
                <w:highlight w:val="none"/>
              </w:rPr>
            </w:pPr>
            <w:r>
              <w:rPr>
                <w:rFonts w:hint="eastAsia" w:ascii="宋体" w:hAnsi="宋体" w:cs="宋体"/>
                <w:b/>
                <w:snapToGrid w:val="0"/>
                <w:kern w:val="0"/>
                <w:szCs w:val="21"/>
                <w:highlight w:val="none"/>
              </w:rPr>
              <w:t>合计</w:t>
            </w:r>
          </w:p>
        </w:tc>
      </w:tr>
      <w:tr w14:paraId="3482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572" w:type="pct"/>
            <w:vAlign w:val="center"/>
          </w:tcPr>
          <w:p w14:paraId="648AFA10">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1</w:t>
            </w:r>
          </w:p>
        </w:tc>
        <w:tc>
          <w:tcPr>
            <w:tcW w:w="2168" w:type="pct"/>
            <w:vAlign w:val="center"/>
          </w:tcPr>
          <w:p w14:paraId="77666AAE">
            <w:pPr>
              <w:autoSpaceDE w:val="0"/>
              <w:autoSpaceDN w:val="0"/>
              <w:adjustRightInd w:val="0"/>
              <w:snapToGrid w:val="0"/>
              <w:spacing w:line="500" w:lineRule="exact"/>
              <w:jc w:val="center"/>
              <w:rPr>
                <w:rFonts w:hint="eastAsia" w:ascii="宋体" w:hAnsi="宋体" w:cs="宋体"/>
                <w:color w:val="000000"/>
                <w:kern w:val="0"/>
                <w:szCs w:val="21"/>
                <w:highlight w:val="none"/>
              </w:rPr>
            </w:pPr>
          </w:p>
        </w:tc>
        <w:tc>
          <w:tcPr>
            <w:tcW w:w="753" w:type="pct"/>
            <w:vAlign w:val="center"/>
          </w:tcPr>
          <w:p w14:paraId="5C08F14C">
            <w:pPr>
              <w:autoSpaceDE w:val="0"/>
              <w:autoSpaceDN w:val="0"/>
              <w:adjustRightInd w:val="0"/>
              <w:snapToGrid w:val="0"/>
              <w:spacing w:line="500" w:lineRule="exact"/>
              <w:jc w:val="center"/>
              <w:rPr>
                <w:rFonts w:hint="eastAsia" w:ascii="宋体" w:hAnsi="宋体" w:cs="宋体"/>
                <w:szCs w:val="21"/>
                <w:highlight w:val="none"/>
              </w:rPr>
            </w:pPr>
          </w:p>
        </w:tc>
        <w:tc>
          <w:tcPr>
            <w:tcW w:w="752" w:type="pct"/>
            <w:vAlign w:val="center"/>
          </w:tcPr>
          <w:p w14:paraId="0A65C600">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4DC9E79F">
            <w:pPr>
              <w:autoSpaceDE w:val="0"/>
              <w:autoSpaceDN w:val="0"/>
              <w:adjustRightInd w:val="0"/>
              <w:snapToGrid w:val="0"/>
              <w:spacing w:line="500" w:lineRule="exact"/>
              <w:jc w:val="center"/>
              <w:rPr>
                <w:rFonts w:hint="eastAsia" w:ascii="宋体" w:hAnsi="宋体" w:cs="宋体"/>
                <w:szCs w:val="21"/>
                <w:highlight w:val="none"/>
              </w:rPr>
            </w:pPr>
          </w:p>
        </w:tc>
      </w:tr>
      <w:tr w14:paraId="0DFC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572" w:type="pct"/>
            <w:vAlign w:val="center"/>
          </w:tcPr>
          <w:p w14:paraId="1C333D9F">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2</w:t>
            </w:r>
          </w:p>
        </w:tc>
        <w:tc>
          <w:tcPr>
            <w:tcW w:w="2168" w:type="pct"/>
            <w:vAlign w:val="center"/>
          </w:tcPr>
          <w:p w14:paraId="3F01A593">
            <w:pPr>
              <w:autoSpaceDE w:val="0"/>
              <w:autoSpaceDN w:val="0"/>
              <w:adjustRightInd w:val="0"/>
              <w:snapToGrid w:val="0"/>
              <w:spacing w:line="500" w:lineRule="exact"/>
              <w:jc w:val="center"/>
              <w:rPr>
                <w:rFonts w:hint="eastAsia" w:ascii="宋体" w:hAnsi="宋体" w:cs="宋体"/>
                <w:color w:val="000000"/>
                <w:kern w:val="0"/>
                <w:szCs w:val="21"/>
                <w:highlight w:val="none"/>
              </w:rPr>
            </w:pPr>
          </w:p>
        </w:tc>
        <w:tc>
          <w:tcPr>
            <w:tcW w:w="753" w:type="pct"/>
            <w:vAlign w:val="center"/>
          </w:tcPr>
          <w:p w14:paraId="61431C32">
            <w:pPr>
              <w:autoSpaceDE w:val="0"/>
              <w:autoSpaceDN w:val="0"/>
              <w:adjustRightInd w:val="0"/>
              <w:snapToGrid w:val="0"/>
              <w:spacing w:line="500" w:lineRule="exact"/>
              <w:jc w:val="center"/>
              <w:rPr>
                <w:rFonts w:hint="eastAsia" w:ascii="宋体" w:hAnsi="宋体" w:cs="宋体"/>
                <w:szCs w:val="21"/>
                <w:highlight w:val="none"/>
              </w:rPr>
            </w:pPr>
          </w:p>
        </w:tc>
        <w:tc>
          <w:tcPr>
            <w:tcW w:w="752" w:type="pct"/>
            <w:vAlign w:val="center"/>
          </w:tcPr>
          <w:p w14:paraId="6420D2DD">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11D808AB">
            <w:pPr>
              <w:autoSpaceDE w:val="0"/>
              <w:autoSpaceDN w:val="0"/>
              <w:adjustRightInd w:val="0"/>
              <w:snapToGrid w:val="0"/>
              <w:spacing w:line="500" w:lineRule="exact"/>
              <w:jc w:val="center"/>
              <w:rPr>
                <w:rFonts w:hint="eastAsia" w:ascii="宋体" w:hAnsi="宋体" w:cs="宋体"/>
                <w:szCs w:val="21"/>
                <w:highlight w:val="none"/>
              </w:rPr>
            </w:pPr>
          </w:p>
        </w:tc>
      </w:tr>
      <w:tr w14:paraId="4C20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7" w:hRule="exact"/>
          <w:jc w:val="center"/>
        </w:trPr>
        <w:tc>
          <w:tcPr>
            <w:tcW w:w="572" w:type="pct"/>
            <w:vAlign w:val="center"/>
          </w:tcPr>
          <w:p w14:paraId="3C3E0AB3">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3</w:t>
            </w:r>
          </w:p>
        </w:tc>
        <w:tc>
          <w:tcPr>
            <w:tcW w:w="2168" w:type="pct"/>
            <w:vAlign w:val="center"/>
          </w:tcPr>
          <w:p w14:paraId="1E3454F4">
            <w:pPr>
              <w:autoSpaceDE w:val="0"/>
              <w:autoSpaceDN w:val="0"/>
              <w:adjustRightInd w:val="0"/>
              <w:snapToGrid w:val="0"/>
              <w:spacing w:line="500" w:lineRule="exact"/>
              <w:jc w:val="center"/>
              <w:rPr>
                <w:rFonts w:hint="eastAsia" w:ascii="宋体" w:hAnsi="宋体" w:cs="宋体"/>
                <w:color w:val="000000"/>
                <w:kern w:val="0"/>
                <w:szCs w:val="21"/>
                <w:highlight w:val="none"/>
              </w:rPr>
            </w:pPr>
          </w:p>
        </w:tc>
        <w:tc>
          <w:tcPr>
            <w:tcW w:w="753" w:type="pct"/>
            <w:vAlign w:val="center"/>
          </w:tcPr>
          <w:p w14:paraId="7EDE1FFB">
            <w:pPr>
              <w:autoSpaceDE w:val="0"/>
              <w:autoSpaceDN w:val="0"/>
              <w:adjustRightInd w:val="0"/>
              <w:snapToGrid w:val="0"/>
              <w:spacing w:line="500" w:lineRule="exact"/>
              <w:jc w:val="center"/>
              <w:rPr>
                <w:rFonts w:hint="eastAsia" w:ascii="宋体" w:hAnsi="宋体" w:cs="宋体"/>
                <w:szCs w:val="21"/>
                <w:highlight w:val="none"/>
              </w:rPr>
            </w:pPr>
          </w:p>
        </w:tc>
        <w:tc>
          <w:tcPr>
            <w:tcW w:w="752" w:type="pct"/>
            <w:vAlign w:val="center"/>
          </w:tcPr>
          <w:p w14:paraId="05E16B1C">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73D2D637">
            <w:pPr>
              <w:autoSpaceDE w:val="0"/>
              <w:autoSpaceDN w:val="0"/>
              <w:adjustRightInd w:val="0"/>
              <w:snapToGrid w:val="0"/>
              <w:spacing w:line="500" w:lineRule="exact"/>
              <w:jc w:val="center"/>
              <w:rPr>
                <w:rFonts w:hint="eastAsia" w:ascii="宋体" w:hAnsi="宋体" w:cs="宋体"/>
                <w:szCs w:val="21"/>
                <w:highlight w:val="none"/>
              </w:rPr>
            </w:pPr>
          </w:p>
        </w:tc>
      </w:tr>
      <w:tr w14:paraId="63EC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72" w:type="pct"/>
            <w:vAlign w:val="center"/>
          </w:tcPr>
          <w:p w14:paraId="0FF1AD74">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4</w:t>
            </w:r>
          </w:p>
        </w:tc>
        <w:tc>
          <w:tcPr>
            <w:tcW w:w="2168" w:type="pct"/>
            <w:vAlign w:val="center"/>
          </w:tcPr>
          <w:p w14:paraId="5CA8EA98">
            <w:pPr>
              <w:autoSpaceDE w:val="0"/>
              <w:autoSpaceDN w:val="0"/>
              <w:adjustRightInd w:val="0"/>
              <w:snapToGrid w:val="0"/>
              <w:spacing w:line="500" w:lineRule="exact"/>
              <w:jc w:val="center"/>
              <w:rPr>
                <w:rFonts w:hint="eastAsia" w:ascii="宋体" w:hAnsi="宋体" w:cs="宋体"/>
                <w:color w:val="000000"/>
                <w:kern w:val="0"/>
                <w:szCs w:val="21"/>
                <w:highlight w:val="none"/>
              </w:rPr>
            </w:pPr>
          </w:p>
        </w:tc>
        <w:tc>
          <w:tcPr>
            <w:tcW w:w="753" w:type="pct"/>
            <w:vAlign w:val="center"/>
          </w:tcPr>
          <w:p w14:paraId="1BFDE877">
            <w:pPr>
              <w:autoSpaceDE w:val="0"/>
              <w:autoSpaceDN w:val="0"/>
              <w:adjustRightInd w:val="0"/>
              <w:snapToGrid w:val="0"/>
              <w:spacing w:line="500" w:lineRule="exact"/>
              <w:jc w:val="center"/>
              <w:rPr>
                <w:rFonts w:hint="eastAsia" w:ascii="宋体" w:hAnsi="宋体" w:cs="宋体"/>
                <w:szCs w:val="21"/>
                <w:highlight w:val="none"/>
              </w:rPr>
            </w:pPr>
          </w:p>
        </w:tc>
        <w:tc>
          <w:tcPr>
            <w:tcW w:w="752" w:type="pct"/>
            <w:vAlign w:val="center"/>
          </w:tcPr>
          <w:p w14:paraId="586D48A0">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4D3A0A02">
            <w:pPr>
              <w:autoSpaceDE w:val="0"/>
              <w:autoSpaceDN w:val="0"/>
              <w:adjustRightInd w:val="0"/>
              <w:snapToGrid w:val="0"/>
              <w:spacing w:line="500" w:lineRule="exact"/>
              <w:jc w:val="center"/>
              <w:rPr>
                <w:rFonts w:hint="eastAsia" w:ascii="宋体" w:hAnsi="宋体" w:cs="宋体"/>
                <w:szCs w:val="21"/>
                <w:highlight w:val="none"/>
              </w:rPr>
            </w:pPr>
          </w:p>
        </w:tc>
      </w:tr>
      <w:tr w14:paraId="496E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vAlign w:val="center"/>
          </w:tcPr>
          <w:p w14:paraId="7D978D6F">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5</w:t>
            </w:r>
          </w:p>
        </w:tc>
        <w:tc>
          <w:tcPr>
            <w:tcW w:w="2168" w:type="pct"/>
            <w:vAlign w:val="center"/>
          </w:tcPr>
          <w:p w14:paraId="3758E97D">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609E9DE9">
            <w:pPr>
              <w:autoSpaceDE w:val="0"/>
              <w:autoSpaceDN w:val="0"/>
              <w:adjustRightInd w:val="0"/>
              <w:snapToGrid w:val="0"/>
              <w:spacing w:line="500" w:lineRule="exact"/>
              <w:jc w:val="center"/>
              <w:rPr>
                <w:rFonts w:hint="eastAsia" w:ascii="宋体" w:hAnsi="宋体" w:cs="宋体"/>
                <w:szCs w:val="21"/>
                <w:highlight w:val="none"/>
              </w:rPr>
            </w:pPr>
          </w:p>
        </w:tc>
        <w:tc>
          <w:tcPr>
            <w:tcW w:w="752" w:type="pct"/>
            <w:vAlign w:val="center"/>
          </w:tcPr>
          <w:p w14:paraId="36666E5C">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3DFEC84C">
            <w:pPr>
              <w:autoSpaceDE w:val="0"/>
              <w:autoSpaceDN w:val="0"/>
              <w:adjustRightInd w:val="0"/>
              <w:snapToGrid w:val="0"/>
              <w:spacing w:line="500" w:lineRule="exact"/>
              <w:jc w:val="center"/>
              <w:rPr>
                <w:rFonts w:hint="eastAsia" w:ascii="宋体" w:hAnsi="宋体" w:cs="宋体"/>
                <w:szCs w:val="21"/>
                <w:highlight w:val="none"/>
              </w:rPr>
            </w:pPr>
          </w:p>
        </w:tc>
      </w:tr>
      <w:tr w14:paraId="0116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exact"/>
          <w:jc w:val="center"/>
        </w:trPr>
        <w:tc>
          <w:tcPr>
            <w:tcW w:w="572" w:type="pct"/>
            <w:vAlign w:val="center"/>
          </w:tcPr>
          <w:p w14:paraId="7A850FEC">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6</w:t>
            </w:r>
          </w:p>
        </w:tc>
        <w:tc>
          <w:tcPr>
            <w:tcW w:w="2168" w:type="pct"/>
            <w:vAlign w:val="center"/>
          </w:tcPr>
          <w:p w14:paraId="13F86117">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38F91612">
            <w:pPr>
              <w:autoSpaceDE w:val="0"/>
              <w:autoSpaceDN w:val="0"/>
              <w:adjustRightInd w:val="0"/>
              <w:snapToGrid w:val="0"/>
              <w:spacing w:line="500" w:lineRule="exact"/>
              <w:jc w:val="center"/>
              <w:rPr>
                <w:rFonts w:hint="eastAsia" w:ascii="宋体" w:hAnsi="宋体" w:cs="宋体"/>
                <w:szCs w:val="21"/>
                <w:highlight w:val="none"/>
              </w:rPr>
            </w:pPr>
          </w:p>
        </w:tc>
        <w:tc>
          <w:tcPr>
            <w:tcW w:w="752" w:type="pct"/>
            <w:vAlign w:val="center"/>
          </w:tcPr>
          <w:p w14:paraId="1AA7B2FE">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309F0EDE">
            <w:pPr>
              <w:autoSpaceDE w:val="0"/>
              <w:autoSpaceDN w:val="0"/>
              <w:adjustRightInd w:val="0"/>
              <w:snapToGrid w:val="0"/>
              <w:spacing w:line="500" w:lineRule="exact"/>
              <w:jc w:val="center"/>
              <w:rPr>
                <w:rFonts w:hint="eastAsia" w:ascii="宋体" w:hAnsi="宋体" w:cs="宋体"/>
                <w:szCs w:val="21"/>
                <w:highlight w:val="none"/>
              </w:rPr>
            </w:pPr>
          </w:p>
        </w:tc>
      </w:tr>
      <w:tr w14:paraId="13C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vAlign w:val="center"/>
          </w:tcPr>
          <w:p w14:paraId="61274FE6">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7</w:t>
            </w:r>
          </w:p>
        </w:tc>
        <w:tc>
          <w:tcPr>
            <w:tcW w:w="2168" w:type="pct"/>
            <w:vAlign w:val="center"/>
          </w:tcPr>
          <w:p w14:paraId="124A6C71">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760BBF80">
            <w:pPr>
              <w:autoSpaceDE w:val="0"/>
              <w:autoSpaceDN w:val="0"/>
              <w:adjustRightInd w:val="0"/>
              <w:snapToGrid w:val="0"/>
              <w:spacing w:line="500" w:lineRule="exact"/>
              <w:jc w:val="center"/>
              <w:rPr>
                <w:rFonts w:hint="eastAsia" w:ascii="宋体" w:hAnsi="宋体" w:cs="宋体"/>
                <w:szCs w:val="21"/>
                <w:highlight w:val="none"/>
              </w:rPr>
            </w:pPr>
          </w:p>
        </w:tc>
        <w:tc>
          <w:tcPr>
            <w:tcW w:w="752" w:type="pct"/>
            <w:vAlign w:val="center"/>
          </w:tcPr>
          <w:p w14:paraId="4BB45F64">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5AE52B8B">
            <w:pPr>
              <w:autoSpaceDE w:val="0"/>
              <w:autoSpaceDN w:val="0"/>
              <w:adjustRightInd w:val="0"/>
              <w:snapToGrid w:val="0"/>
              <w:spacing w:line="500" w:lineRule="exact"/>
              <w:jc w:val="center"/>
              <w:rPr>
                <w:rFonts w:hint="eastAsia" w:ascii="宋体" w:hAnsi="宋体" w:cs="宋体"/>
                <w:szCs w:val="21"/>
                <w:highlight w:val="none"/>
              </w:rPr>
            </w:pPr>
          </w:p>
        </w:tc>
      </w:tr>
      <w:tr w14:paraId="2FFA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vAlign w:val="center"/>
          </w:tcPr>
          <w:p w14:paraId="554455F9">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8</w:t>
            </w:r>
          </w:p>
        </w:tc>
        <w:tc>
          <w:tcPr>
            <w:tcW w:w="2168" w:type="pct"/>
            <w:vAlign w:val="center"/>
          </w:tcPr>
          <w:p w14:paraId="1BD34746">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0F3E8739">
            <w:pPr>
              <w:autoSpaceDE w:val="0"/>
              <w:autoSpaceDN w:val="0"/>
              <w:adjustRightInd w:val="0"/>
              <w:snapToGrid w:val="0"/>
              <w:spacing w:line="500" w:lineRule="exact"/>
              <w:jc w:val="center"/>
              <w:rPr>
                <w:rFonts w:hint="eastAsia" w:ascii="宋体" w:hAnsi="宋体" w:cs="宋体"/>
                <w:szCs w:val="21"/>
                <w:highlight w:val="none"/>
              </w:rPr>
            </w:pPr>
            <w:r>
              <w:rPr>
                <w:rFonts w:hint="eastAsia" w:ascii="宋体" w:hAnsi="宋体" w:cs="宋体"/>
                <w:szCs w:val="21"/>
                <w:highlight w:val="none"/>
              </w:rPr>
              <w:t>/</w:t>
            </w:r>
          </w:p>
        </w:tc>
        <w:tc>
          <w:tcPr>
            <w:tcW w:w="752" w:type="pct"/>
            <w:vAlign w:val="center"/>
          </w:tcPr>
          <w:p w14:paraId="2CDC183E">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5790FAAC">
            <w:pPr>
              <w:autoSpaceDE w:val="0"/>
              <w:autoSpaceDN w:val="0"/>
              <w:adjustRightInd w:val="0"/>
              <w:snapToGrid w:val="0"/>
              <w:spacing w:line="500" w:lineRule="exact"/>
              <w:jc w:val="center"/>
              <w:rPr>
                <w:rFonts w:hint="eastAsia" w:ascii="宋体" w:hAnsi="宋体" w:cs="宋体"/>
                <w:szCs w:val="21"/>
                <w:highlight w:val="none"/>
              </w:rPr>
            </w:pPr>
          </w:p>
        </w:tc>
      </w:tr>
      <w:tr w14:paraId="0B34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exact"/>
          <w:jc w:val="center"/>
        </w:trPr>
        <w:tc>
          <w:tcPr>
            <w:tcW w:w="572" w:type="pct"/>
            <w:vAlign w:val="center"/>
          </w:tcPr>
          <w:p w14:paraId="79212BB0">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9</w:t>
            </w:r>
          </w:p>
        </w:tc>
        <w:tc>
          <w:tcPr>
            <w:tcW w:w="2168" w:type="pct"/>
            <w:vAlign w:val="center"/>
          </w:tcPr>
          <w:p w14:paraId="4559EA78">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13328232">
            <w:pPr>
              <w:autoSpaceDE w:val="0"/>
              <w:autoSpaceDN w:val="0"/>
              <w:adjustRightInd w:val="0"/>
              <w:snapToGrid w:val="0"/>
              <w:spacing w:line="500" w:lineRule="exact"/>
              <w:jc w:val="center"/>
              <w:rPr>
                <w:rFonts w:hint="eastAsia" w:ascii="宋体" w:hAnsi="宋体" w:cs="宋体"/>
                <w:szCs w:val="21"/>
                <w:highlight w:val="none"/>
              </w:rPr>
            </w:pPr>
            <w:r>
              <w:rPr>
                <w:rFonts w:hint="eastAsia" w:ascii="宋体" w:hAnsi="宋体" w:cs="宋体"/>
                <w:szCs w:val="21"/>
                <w:highlight w:val="none"/>
              </w:rPr>
              <w:t>/</w:t>
            </w:r>
          </w:p>
        </w:tc>
        <w:tc>
          <w:tcPr>
            <w:tcW w:w="752" w:type="pct"/>
            <w:vAlign w:val="center"/>
          </w:tcPr>
          <w:p w14:paraId="032A6038">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66F88C6F">
            <w:pPr>
              <w:autoSpaceDE w:val="0"/>
              <w:autoSpaceDN w:val="0"/>
              <w:adjustRightInd w:val="0"/>
              <w:snapToGrid w:val="0"/>
              <w:spacing w:line="500" w:lineRule="exact"/>
              <w:jc w:val="center"/>
              <w:rPr>
                <w:rFonts w:hint="eastAsia" w:ascii="宋体" w:hAnsi="宋体" w:cs="宋体"/>
                <w:szCs w:val="21"/>
                <w:highlight w:val="none"/>
              </w:rPr>
            </w:pPr>
          </w:p>
        </w:tc>
      </w:tr>
      <w:tr w14:paraId="14D9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vAlign w:val="center"/>
          </w:tcPr>
          <w:p w14:paraId="6DAD7ABC">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10</w:t>
            </w:r>
          </w:p>
        </w:tc>
        <w:tc>
          <w:tcPr>
            <w:tcW w:w="2168" w:type="pct"/>
            <w:vAlign w:val="center"/>
          </w:tcPr>
          <w:p w14:paraId="62409025">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7BFA2771">
            <w:pPr>
              <w:autoSpaceDE w:val="0"/>
              <w:autoSpaceDN w:val="0"/>
              <w:adjustRightInd w:val="0"/>
              <w:snapToGrid w:val="0"/>
              <w:spacing w:line="500" w:lineRule="exact"/>
              <w:jc w:val="center"/>
              <w:rPr>
                <w:rFonts w:hint="eastAsia" w:ascii="宋体" w:hAnsi="宋体" w:cs="宋体"/>
                <w:szCs w:val="21"/>
                <w:highlight w:val="none"/>
              </w:rPr>
            </w:pPr>
            <w:r>
              <w:rPr>
                <w:rFonts w:hint="eastAsia" w:ascii="宋体" w:hAnsi="宋体" w:cs="宋体"/>
                <w:szCs w:val="21"/>
                <w:highlight w:val="none"/>
              </w:rPr>
              <w:t>/</w:t>
            </w:r>
          </w:p>
        </w:tc>
        <w:tc>
          <w:tcPr>
            <w:tcW w:w="752" w:type="pct"/>
            <w:vAlign w:val="center"/>
          </w:tcPr>
          <w:p w14:paraId="19D7BD78">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51015C45">
            <w:pPr>
              <w:autoSpaceDE w:val="0"/>
              <w:autoSpaceDN w:val="0"/>
              <w:adjustRightInd w:val="0"/>
              <w:snapToGrid w:val="0"/>
              <w:spacing w:line="500" w:lineRule="exact"/>
              <w:jc w:val="center"/>
              <w:rPr>
                <w:rFonts w:hint="eastAsia" w:ascii="宋体" w:hAnsi="宋体" w:cs="宋体"/>
                <w:szCs w:val="21"/>
                <w:highlight w:val="none"/>
              </w:rPr>
            </w:pPr>
          </w:p>
        </w:tc>
      </w:tr>
      <w:tr w14:paraId="39DF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vAlign w:val="center"/>
          </w:tcPr>
          <w:p w14:paraId="1D123585">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11</w:t>
            </w:r>
          </w:p>
        </w:tc>
        <w:tc>
          <w:tcPr>
            <w:tcW w:w="2168" w:type="pct"/>
            <w:vAlign w:val="center"/>
          </w:tcPr>
          <w:p w14:paraId="15485B04">
            <w:pPr>
              <w:autoSpaceDE w:val="0"/>
              <w:autoSpaceDN w:val="0"/>
              <w:adjustRightInd w:val="0"/>
              <w:snapToGrid w:val="0"/>
              <w:spacing w:line="500" w:lineRule="exact"/>
              <w:jc w:val="center"/>
              <w:rPr>
                <w:rFonts w:hint="eastAsia" w:ascii="宋体" w:hAnsi="宋体" w:cs="宋体"/>
                <w:szCs w:val="21"/>
                <w:highlight w:val="none"/>
              </w:rPr>
            </w:pPr>
            <w:r>
              <w:rPr>
                <w:rFonts w:hint="eastAsia" w:ascii="宋体" w:hAnsi="宋体" w:cs="宋体"/>
                <w:szCs w:val="21"/>
                <w:highlight w:val="none"/>
              </w:rPr>
              <w:t>……</w:t>
            </w:r>
          </w:p>
        </w:tc>
        <w:tc>
          <w:tcPr>
            <w:tcW w:w="753" w:type="pct"/>
            <w:vAlign w:val="center"/>
          </w:tcPr>
          <w:p w14:paraId="17A7F4DC">
            <w:pPr>
              <w:autoSpaceDE w:val="0"/>
              <w:autoSpaceDN w:val="0"/>
              <w:adjustRightInd w:val="0"/>
              <w:snapToGrid w:val="0"/>
              <w:spacing w:line="500" w:lineRule="exact"/>
              <w:jc w:val="center"/>
              <w:rPr>
                <w:rFonts w:hint="eastAsia" w:ascii="宋体" w:hAnsi="宋体" w:cs="宋体"/>
                <w:szCs w:val="21"/>
                <w:highlight w:val="none"/>
              </w:rPr>
            </w:pPr>
            <w:r>
              <w:rPr>
                <w:rFonts w:hint="eastAsia" w:ascii="宋体" w:hAnsi="宋体" w:cs="宋体"/>
                <w:szCs w:val="21"/>
                <w:highlight w:val="none"/>
              </w:rPr>
              <w:t>/</w:t>
            </w:r>
          </w:p>
        </w:tc>
        <w:tc>
          <w:tcPr>
            <w:tcW w:w="752" w:type="pct"/>
            <w:vAlign w:val="center"/>
          </w:tcPr>
          <w:p w14:paraId="7378B2C8">
            <w:pPr>
              <w:autoSpaceDE w:val="0"/>
              <w:autoSpaceDN w:val="0"/>
              <w:adjustRightInd w:val="0"/>
              <w:snapToGrid w:val="0"/>
              <w:spacing w:line="500" w:lineRule="exact"/>
              <w:jc w:val="center"/>
              <w:rPr>
                <w:rFonts w:hint="eastAsia" w:ascii="宋体" w:hAnsi="宋体" w:cs="宋体"/>
                <w:szCs w:val="21"/>
                <w:highlight w:val="none"/>
              </w:rPr>
            </w:pPr>
          </w:p>
        </w:tc>
        <w:tc>
          <w:tcPr>
            <w:tcW w:w="753" w:type="pct"/>
            <w:vAlign w:val="center"/>
          </w:tcPr>
          <w:p w14:paraId="0C6EB385">
            <w:pPr>
              <w:autoSpaceDE w:val="0"/>
              <w:autoSpaceDN w:val="0"/>
              <w:adjustRightInd w:val="0"/>
              <w:snapToGrid w:val="0"/>
              <w:spacing w:line="500" w:lineRule="exact"/>
              <w:jc w:val="center"/>
              <w:rPr>
                <w:rFonts w:hint="eastAsia" w:ascii="宋体" w:hAnsi="宋体" w:cs="宋体"/>
                <w:szCs w:val="21"/>
                <w:highlight w:val="none"/>
              </w:rPr>
            </w:pPr>
          </w:p>
        </w:tc>
      </w:tr>
      <w:tr w14:paraId="40B3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72" w:type="pct"/>
            <w:vAlign w:val="center"/>
          </w:tcPr>
          <w:p w14:paraId="1FB9F879">
            <w:pPr>
              <w:pStyle w:val="10"/>
              <w:autoSpaceDE w:val="0"/>
              <w:autoSpaceDN w:val="0"/>
              <w:adjustRightInd w:val="0"/>
              <w:snapToGrid w:val="0"/>
              <w:spacing w:line="500" w:lineRule="exact"/>
              <w:ind w:left="0"/>
              <w:jc w:val="center"/>
              <w:outlineLvl w:val="0"/>
              <w:rPr>
                <w:rFonts w:hint="eastAsia" w:ascii="宋体" w:hAnsi="宋体" w:cs="宋体"/>
                <w:sz w:val="21"/>
                <w:szCs w:val="21"/>
                <w:highlight w:val="none"/>
              </w:rPr>
            </w:pPr>
            <w:r>
              <w:rPr>
                <w:rFonts w:hint="eastAsia" w:ascii="宋体" w:hAnsi="宋体" w:cs="宋体"/>
                <w:sz w:val="21"/>
                <w:szCs w:val="21"/>
                <w:highlight w:val="none"/>
              </w:rPr>
              <w:t>12</w:t>
            </w:r>
          </w:p>
        </w:tc>
        <w:tc>
          <w:tcPr>
            <w:tcW w:w="2168" w:type="pct"/>
            <w:vAlign w:val="center"/>
          </w:tcPr>
          <w:p w14:paraId="01E3B7EB">
            <w:pPr>
              <w:autoSpaceDE w:val="0"/>
              <w:autoSpaceDN w:val="0"/>
              <w:adjustRightInd w:val="0"/>
              <w:snapToGrid w:val="0"/>
              <w:spacing w:line="500" w:lineRule="exact"/>
              <w:jc w:val="center"/>
              <w:rPr>
                <w:rFonts w:hint="eastAsia" w:ascii="宋体" w:hAnsi="宋体" w:cs="宋体"/>
                <w:szCs w:val="21"/>
                <w:highlight w:val="none"/>
              </w:rPr>
            </w:pPr>
            <w:r>
              <w:rPr>
                <w:rFonts w:hint="eastAsia" w:ascii="宋体" w:hAnsi="宋体" w:cs="宋体"/>
                <w:szCs w:val="21"/>
                <w:highlight w:val="none"/>
              </w:rPr>
              <w:t>总计</w:t>
            </w:r>
          </w:p>
        </w:tc>
        <w:tc>
          <w:tcPr>
            <w:tcW w:w="2259" w:type="pct"/>
            <w:gridSpan w:val="3"/>
            <w:vAlign w:val="center"/>
          </w:tcPr>
          <w:p w14:paraId="1FF12501">
            <w:pPr>
              <w:autoSpaceDE w:val="0"/>
              <w:autoSpaceDN w:val="0"/>
              <w:adjustRightInd w:val="0"/>
              <w:snapToGrid w:val="0"/>
              <w:spacing w:line="500" w:lineRule="exact"/>
              <w:rPr>
                <w:rFonts w:hint="eastAsia" w:ascii="宋体" w:hAnsi="宋体" w:cs="宋体"/>
                <w:szCs w:val="21"/>
                <w:highlight w:val="none"/>
              </w:rPr>
            </w:pPr>
          </w:p>
        </w:tc>
      </w:tr>
    </w:tbl>
    <w:p w14:paraId="23482D3E">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p>
    <w:p w14:paraId="1FDD3D3C">
      <w:pPr>
        <w:kinsoku w:val="0"/>
        <w:autoSpaceDE w:val="0"/>
        <w:autoSpaceDN w:val="0"/>
        <w:adjustRightInd w:val="0"/>
        <w:snapToGrid w:val="0"/>
        <w:spacing w:line="500" w:lineRule="exact"/>
        <w:ind w:firstLine="600" w:firstLineChars="25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竞选人：                                        法定代表人（或法定代表人授权代表）或自然人：</w:t>
      </w:r>
    </w:p>
    <w:p w14:paraId="5036A52B">
      <w:pPr>
        <w:kinsoku w:val="0"/>
        <w:autoSpaceDE w:val="0"/>
        <w:autoSpaceDN w:val="0"/>
        <w:adjustRightInd w:val="0"/>
        <w:snapToGrid w:val="0"/>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（竞选人公章）                                               （签署或盖章）</w:t>
      </w:r>
    </w:p>
    <w:p w14:paraId="2FB5D08D">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年     月     日</w:t>
      </w:r>
    </w:p>
    <w:p w14:paraId="0B9B6245">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注：</w:t>
      </w:r>
    </w:p>
    <w:p w14:paraId="03C78C62">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1.请竞选人完整填写本表；</w:t>
      </w:r>
    </w:p>
    <w:p w14:paraId="5046AA91">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sectPr>
          <w:pgSz w:w="11906" w:h="16838"/>
          <w:pgMar w:top="1417" w:right="1417" w:bottom="1417" w:left="1417" w:header="720" w:footer="720" w:gutter="0"/>
          <w:cols w:space="0" w:num="1"/>
          <w:titlePg/>
          <w:docGrid w:linePitch="435" w:charSpace="0"/>
        </w:sectPr>
      </w:pPr>
      <w:r>
        <w:rPr>
          <w:rFonts w:hint="eastAsia" w:ascii="宋体" w:hAnsi="宋体" w:cs="宋体"/>
          <w:color w:val="000000" w:themeColor="text1"/>
          <w:sz w:val="24"/>
          <w:szCs w:val="28"/>
          <w:highlight w:val="none"/>
          <w14:textFill>
            <w14:solidFill>
              <w14:schemeClr w14:val="tx1"/>
            </w14:solidFill>
          </w14:textFill>
        </w:rPr>
        <w:t>2.该表可扩展。</w:t>
      </w:r>
    </w:p>
    <w:p w14:paraId="7006F512">
      <w:pPr>
        <w:kinsoku w:val="0"/>
        <w:autoSpaceDE w:val="0"/>
        <w:autoSpaceDN w:val="0"/>
        <w:adjustRightInd w:val="0"/>
        <w:snapToGrid w:val="0"/>
        <w:spacing w:before="260" w:after="260" w:line="500" w:lineRule="exact"/>
        <w:ind w:firstLine="643" w:firstLineChars="200"/>
        <w:jc w:val="center"/>
        <w:rPr>
          <w:rFonts w:hint="eastAsia" w:ascii="宋体" w:hAnsi="宋体" w:cs="宋体"/>
          <w:b/>
          <w:color w:val="000000" w:themeColor="text1"/>
          <w:sz w:val="32"/>
          <w:szCs w:val="28"/>
          <w:highlight w:val="none"/>
          <w14:textFill>
            <w14:solidFill>
              <w14:schemeClr w14:val="tx1"/>
            </w14:solidFill>
          </w14:textFill>
        </w:rPr>
      </w:pPr>
      <w:bookmarkStart w:id="313" w:name="_Toc17496"/>
      <w:bookmarkStart w:id="314" w:name="_Toc31382"/>
      <w:r>
        <w:rPr>
          <w:rFonts w:hint="eastAsia" w:ascii="宋体" w:hAnsi="宋体" w:cs="宋体"/>
          <w:b/>
          <w:color w:val="000000" w:themeColor="text1"/>
          <w:sz w:val="32"/>
          <w:szCs w:val="28"/>
          <w:highlight w:val="none"/>
          <w14:textFill>
            <w14:solidFill>
              <w14:schemeClr w14:val="tx1"/>
            </w14:solidFill>
          </w14:textFill>
        </w:rPr>
        <w:t>二、技术（质量）文件</w:t>
      </w:r>
      <w:bookmarkEnd w:id="313"/>
      <w:bookmarkEnd w:id="314"/>
    </w:p>
    <w:p w14:paraId="2BB16840">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（一）技术（质量）条款差异表</w:t>
      </w:r>
    </w:p>
    <w:p w14:paraId="6AE342A2">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比选项目名称：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7"/>
        <w:gridCol w:w="2726"/>
        <w:gridCol w:w="2044"/>
      </w:tblGrid>
      <w:tr w14:paraId="4B69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4E911CAA">
            <w:pPr>
              <w:tabs>
                <w:tab w:val="left" w:pos="6300"/>
              </w:tabs>
              <w:kinsoku w:val="0"/>
              <w:autoSpaceDE w:val="0"/>
              <w:autoSpaceDN w:val="0"/>
              <w:adjustRightInd w:val="0"/>
              <w:snapToGrid w:val="0"/>
              <w:spacing w:line="5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315" w:name="_Toc27512"/>
            <w:bookmarkStart w:id="316" w:name="_Toc21001"/>
            <w:bookmarkStart w:id="317" w:name="_Toc6275"/>
            <w:r>
              <w:rPr>
                <w:rFonts w:hint="eastAsia" w:ascii="宋体" w:hAnsi="宋体" w:cs="宋体"/>
                <w:color w:val="000000" w:themeColor="text1"/>
                <w:szCs w:val="21"/>
                <w:highlight w:val="none"/>
                <w14:textFill>
                  <w14:solidFill>
                    <w14:schemeClr w14:val="tx1"/>
                  </w14:solidFill>
                </w14:textFill>
              </w:rPr>
              <w:t>序号</w:t>
            </w:r>
            <w:bookmarkEnd w:id="315"/>
            <w:bookmarkEnd w:id="316"/>
            <w:bookmarkEnd w:id="317"/>
          </w:p>
        </w:tc>
        <w:tc>
          <w:tcPr>
            <w:tcW w:w="1541" w:type="pct"/>
            <w:vAlign w:val="center"/>
          </w:tcPr>
          <w:p w14:paraId="1E934D91">
            <w:pPr>
              <w:tabs>
                <w:tab w:val="left" w:pos="6300"/>
              </w:tabs>
              <w:kinsoku w:val="0"/>
              <w:autoSpaceDE w:val="0"/>
              <w:autoSpaceDN w:val="0"/>
              <w:adjustRightInd w:val="0"/>
              <w:snapToGrid w:val="0"/>
              <w:spacing w:line="5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318" w:name="_Toc17596"/>
            <w:bookmarkStart w:id="319" w:name="_Toc10578"/>
            <w:bookmarkStart w:id="320" w:name="_Toc19608"/>
            <w:r>
              <w:rPr>
                <w:rFonts w:hint="eastAsia" w:ascii="宋体" w:hAnsi="宋体" w:cs="宋体"/>
                <w:color w:val="000000" w:themeColor="text1"/>
                <w:szCs w:val="21"/>
                <w:highlight w:val="none"/>
                <w14:textFill>
                  <w14:solidFill>
                    <w14:schemeClr w14:val="tx1"/>
                  </w14:solidFill>
                </w14:textFill>
              </w:rPr>
              <w:t>比选要求</w:t>
            </w:r>
            <w:bookmarkEnd w:id="318"/>
            <w:bookmarkEnd w:id="319"/>
            <w:bookmarkEnd w:id="320"/>
          </w:p>
        </w:tc>
        <w:tc>
          <w:tcPr>
            <w:tcW w:w="1599" w:type="pct"/>
            <w:vAlign w:val="center"/>
          </w:tcPr>
          <w:p w14:paraId="6BE86D51">
            <w:pPr>
              <w:tabs>
                <w:tab w:val="left" w:pos="6300"/>
              </w:tabs>
              <w:kinsoku w:val="0"/>
              <w:autoSpaceDE w:val="0"/>
              <w:autoSpaceDN w:val="0"/>
              <w:adjustRightInd w:val="0"/>
              <w:snapToGrid w:val="0"/>
              <w:spacing w:line="5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321" w:name="_Toc24609"/>
            <w:bookmarkStart w:id="322" w:name="_Toc12432"/>
            <w:bookmarkStart w:id="323" w:name="_Toc14278"/>
            <w:r>
              <w:rPr>
                <w:rFonts w:hint="eastAsia" w:ascii="宋体" w:hAnsi="宋体" w:cs="宋体"/>
                <w:color w:val="000000" w:themeColor="text1"/>
                <w:szCs w:val="21"/>
                <w:highlight w:val="none"/>
                <w14:textFill>
                  <w14:solidFill>
                    <w14:schemeClr w14:val="tx1"/>
                  </w14:solidFill>
                </w14:textFill>
              </w:rPr>
              <w:t>竞选应答</w:t>
            </w:r>
            <w:bookmarkEnd w:id="321"/>
            <w:bookmarkEnd w:id="322"/>
            <w:bookmarkEnd w:id="323"/>
          </w:p>
        </w:tc>
        <w:tc>
          <w:tcPr>
            <w:tcW w:w="1198" w:type="pct"/>
            <w:vAlign w:val="center"/>
          </w:tcPr>
          <w:p w14:paraId="11D22AEF">
            <w:pPr>
              <w:tabs>
                <w:tab w:val="left" w:pos="6300"/>
              </w:tabs>
              <w:kinsoku w:val="0"/>
              <w:autoSpaceDE w:val="0"/>
              <w:autoSpaceDN w:val="0"/>
              <w:adjustRightInd w:val="0"/>
              <w:snapToGrid w:val="0"/>
              <w:spacing w:line="5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324" w:name="_Toc7048"/>
            <w:bookmarkStart w:id="325" w:name="_Toc16146"/>
            <w:bookmarkStart w:id="326" w:name="_Toc18964"/>
            <w:r>
              <w:rPr>
                <w:rFonts w:hint="eastAsia" w:ascii="宋体" w:hAnsi="宋体" w:cs="宋体"/>
                <w:color w:val="000000" w:themeColor="text1"/>
                <w:szCs w:val="21"/>
                <w:highlight w:val="none"/>
                <w14:textFill>
                  <w14:solidFill>
                    <w14:schemeClr w14:val="tx1"/>
                  </w14:solidFill>
                </w14:textFill>
              </w:rPr>
              <w:t>差异说明</w:t>
            </w:r>
            <w:bookmarkEnd w:id="324"/>
            <w:bookmarkEnd w:id="325"/>
            <w:bookmarkEnd w:id="326"/>
          </w:p>
        </w:tc>
      </w:tr>
      <w:tr w14:paraId="7917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E317892">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41" w:type="pct"/>
            <w:vAlign w:val="center"/>
          </w:tcPr>
          <w:p w14:paraId="605F61D9">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99" w:type="pct"/>
            <w:vAlign w:val="center"/>
          </w:tcPr>
          <w:p w14:paraId="061DF6B0">
            <w:pPr>
              <w:tabs>
                <w:tab w:val="left" w:pos="6300"/>
              </w:tabs>
              <w:kinsoku w:val="0"/>
              <w:autoSpaceDE w:val="0"/>
              <w:autoSpaceDN w:val="0"/>
              <w:adjustRightInd w:val="0"/>
              <w:snapToGrid w:val="0"/>
              <w:spacing w:line="500" w:lineRule="exact"/>
              <w:outlineLvl w:val="0"/>
              <w:rPr>
                <w:rFonts w:hint="eastAsia" w:ascii="宋体" w:hAnsi="宋体" w:cs="宋体"/>
                <w:color w:val="000000" w:themeColor="text1"/>
                <w:szCs w:val="21"/>
                <w:highlight w:val="none"/>
                <w14:textFill>
                  <w14:solidFill>
                    <w14:schemeClr w14:val="tx1"/>
                  </w14:solidFill>
                </w14:textFill>
              </w:rPr>
            </w:pPr>
            <w:bookmarkStart w:id="327" w:name="_Toc12584"/>
            <w:bookmarkStart w:id="328" w:name="_Toc21504"/>
            <w:bookmarkStart w:id="329" w:name="_Toc3961"/>
            <w:r>
              <w:rPr>
                <w:rFonts w:hint="eastAsia" w:ascii="宋体" w:hAnsi="宋体" w:cs="宋体"/>
                <w:color w:val="000000" w:themeColor="text1"/>
                <w:szCs w:val="21"/>
                <w:highlight w:val="none"/>
                <w14:textFill>
                  <w14:solidFill>
                    <w14:schemeClr w14:val="tx1"/>
                  </w14:solidFill>
                </w14:textFill>
              </w:rPr>
              <w:t>提醒：请注明技术参数或具体内容以及竞选文件中技术参数或具体内容的位置（页码）</w:t>
            </w:r>
            <w:bookmarkEnd w:id="327"/>
            <w:bookmarkEnd w:id="328"/>
            <w:bookmarkEnd w:id="329"/>
          </w:p>
        </w:tc>
        <w:tc>
          <w:tcPr>
            <w:tcW w:w="1198" w:type="pct"/>
            <w:vAlign w:val="center"/>
          </w:tcPr>
          <w:p w14:paraId="0A8B843F">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r>
      <w:tr w14:paraId="2FEB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F73B766">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41" w:type="pct"/>
            <w:vAlign w:val="center"/>
          </w:tcPr>
          <w:p w14:paraId="48D0C457">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99" w:type="pct"/>
            <w:vAlign w:val="center"/>
          </w:tcPr>
          <w:p w14:paraId="46329846">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198" w:type="pct"/>
            <w:vAlign w:val="center"/>
          </w:tcPr>
          <w:p w14:paraId="75E7A4B3">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r>
      <w:tr w14:paraId="4187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0DDB04A">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41" w:type="pct"/>
            <w:vAlign w:val="center"/>
          </w:tcPr>
          <w:p w14:paraId="14E6F172">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99" w:type="pct"/>
            <w:vAlign w:val="center"/>
          </w:tcPr>
          <w:p w14:paraId="1776D44D">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198" w:type="pct"/>
            <w:vAlign w:val="center"/>
          </w:tcPr>
          <w:p w14:paraId="4B5BD166">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r>
      <w:tr w14:paraId="09CB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391B26F">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41" w:type="pct"/>
            <w:vAlign w:val="center"/>
          </w:tcPr>
          <w:p w14:paraId="5A5AB3BC">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99" w:type="pct"/>
            <w:vAlign w:val="center"/>
          </w:tcPr>
          <w:p w14:paraId="69974410">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198" w:type="pct"/>
            <w:vAlign w:val="center"/>
          </w:tcPr>
          <w:p w14:paraId="36CA4169">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r>
      <w:tr w14:paraId="093E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89ED973">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41" w:type="pct"/>
            <w:vAlign w:val="center"/>
          </w:tcPr>
          <w:p w14:paraId="19C6C131">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99" w:type="pct"/>
            <w:vAlign w:val="center"/>
          </w:tcPr>
          <w:p w14:paraId="6550ED7B">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198" w:type="pct"/>
            <w:vAlign w:val="center"/>
          </w:tcPr>
          <w:p w14:paraId="29119B2F">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r>
      <w:tr w14:paraId="39AE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4AA784A">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41" w:type="pct"/>
            <w:vAlign w:val="center"/>
          </w:tcPr>
          <w:p w14:paraId="1D59262D">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99" w:type="pct"/>
            <w:vAlign w:val="center"/>
          </w:tcPr>
          <w:p w14:paraId="7B661D1B">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198" w:type="pct"/>
            <w:vAlign w:val="center"/>
          </w:tcPr>
          <w:p w14:paraId="28610648">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r>
      <w:tr w14:paraId="1749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60" w:type="pct"/>
            <w:vAlign w:val="center"/>
          </w:tcPr>
          <w:p w14:paraId="43063CA5">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41" w:type="pct"/>
            <w:vAlign w:val="center"/>
          </w:tcPr>
          <w:p w14:paraId="0D7F46E8">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99" w:type="pct"/>
            <w:vAlign w:val="center"/>
          </w:tcPr>
          <w:p w14:paraId="59806156">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198" w:type="pct"/>
            <w:vAlign w:val="center"/>
          </w:tcPr>
          <w:p w14:paraId="70FED086">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r>
      <w:tr w14:paraId="6B18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60" w:type="pct"/>
            <w:vAlign w:val="center"/>
          </w:tcPr>
          <w:p w14:paraId="703FB18A">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41" w:type="pct"/>
            <w:vAlign w:val="center"/>
          </w:tcPr>
          <w:p w14:paraId="7437892C">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599" w:type="pct"/>
            <w:vAlign w:val="center"/>
          </w:tcPr>
          <w:p w14:paraId="4858541E">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c>
          <w:tcPr>
            <w:tcW w:w="1198" w:type="pct"/>
            <w:vAlign w:val="center"/>
          </w:tcPr>
          <w:p w14:paraId="122FB4EB">
            <w:pPr>
              <w:tabs>
                <w:tab w:val="left" w:pos="6300"/>
              </w:tabs>
              <w:kinsoku w:val="0"/>
              <w:autoSpaceDE w:val="0"/>
              <w:autoSpaceDN w:val="0"/>
              <w:adjustRightInd w:val="0"/>
              <w:snapToGrid w:val="0"/>
              <w:spacing w:line="500" w:lineRule="exact"/>
              <w:jc w:val="center"/>
              <w:rPr>
                <w:rFonts w:hint="eastAsia" w:ascii="宋体" w:hAnsi="宋体" w:cs="宋体"/>
                <w:color w:val="000000" w:themeColor="text1"/>
                <w:szCs w:val="21"/>
                <w:highlight w:val="none"/>
                <w14:textFill>
                  <w14:solidFill>
                    <w14:schemeClr w14:val="tx1"/>
                  </w14:solidFill>
                </w14:textFill>
              </w:rPr>
            </w:pPr>
          </w:p>
        </w:tc>
      </w:tr>
    </w:tbl>
    <w:p w14:paraId="54CEE1D3">
      <w:pPr>
        <w:kinsoku w:val="0"/>
        <w:autoSpaceDE w:val="0"/>
        <w:autoSpaceDN w:val="0"/>
        <w:adjustRightInd w:val="0"/>
        <w:snapToGrid w:val="0"/>
        <w:spacing w:line="500" w:lineRule="exact"/>
        <w:ind w:firstLine="600" w:firstLineChars="25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竞选人：                      法定代表人（或法定代表人授权代表）或自然人：</w:t>
      </w:r>
    </w:p>
    <w:p w14:paraId="058D772A">
      <w:pPr>
        <w:kinsoku w:val="0"/>
        <w:autoSpaceDE w:val="0"/>
        <w:autoSpaceDN w:val="0"/>
        <w:adjustRightInd w:val="0"/>
        <w:snapToGrid w:val="0"/>
        <w:spacing w:line="5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（竞选人公章）                               （签署或盖章）</w:t>
      </w:r>
    </w:p>
    <w:p w14:paraId="7FB39E94">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年     月     日</w:t>
      </w:r>
    </w:p>
    <w:p w14:paraId="77FDDE76">
      <w:pPr>
        <w:tabs>
          <w:tab w:val="left" w:pos="6300"/>
        </w:tabs>
        <w:kinsoku w:val="0"/>
        <w:autoSpaceDE w:val="0"/>
        <w:autoSpaceDN w:val="0"/>
        <w:adjustRightInd w:val="0"/>
        <w:snapToGrid w:val="0"/>
        <w:spacing w:line="460" w:lineRule="exact"/>
        <w:ind w:firstLine="573"/>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w:t>
      </w:r>
    </w:p>
    <w:p w14:paraId="1B90F188">
      <w:pPr>
        <w:tabs>
          <w:tab w:val="left" w:pos="6300"/>
        </w:tabs>
        <w:kinsoku w:val="0"/>
        <w:autoSpaceDE w:val="0"/>
        <w:autoSpaceDN w:val="0"/>
        <w:adjustRightInd w:val="0"/>
        <w:snapToGrid w:val="0"/>
        <w:spacing w:line="460" w:lineRule="exact"/>
        <w:ind w:firstLine="57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1.本表即为对本项目“第二篇  项目技术（质量）需求”中所列全部条款进行比较和响应；</w:t>
      </w:r>
    </w:p>
    <w:p w14:paraId="74936DBD">
      <w:pPr>
        <w:tabs>
          <w:tab w:val="left" w:pos="6300"/>
        </w:tabs>
        <w:kinsoku w:val="0"/>
        <w:autoSpaceDE w:val="0"/>
        <w:autoSpaceDN w:val="0"/>
        <w:adjustRightInd w:val="0"/>
        <w:snapToGrid w:val="0"/>
        <w:spacing w:line="460" w:lineRule="exact"/>
        <w:ind w:firstLine="57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2.本表可扩展；</w:t>
      </w:r>
    </w:p>
    <w:p w14:paraId="1979874D">
      <w:pPr>
        <w:tabs>
          <w:tab w:val="left" w:pos="6300"/>
        </w:tabs>
        <w:kinsoku w:val="0"/>
        <w:autoSpaceDE w:val="0"/>
        <w:autoSpaceDN w:val="0"/>
        <w:adjustRightInd w:val="0"/>
        <w:snapToGrid w:val="0"/>
        <w:spacing w:line="460" w:lineRule="exact"/>
        <w:ind w:firstLine="573"/>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3.可附相关技术（质量）支撑材料。（格式自定）</w:t>
      </w:r>
    </w:p>
    <w:p w14:paraId="58297BB5">
      <w:pPr>
        <w:tabs>
          <w:tab w:val="left" w:pos="6300"/>
        </w:tabs>
        <w:kinsoku w:val="0"/>
        <w:autoSpaceDE w:val="0"/>
        <w:autoSpaceDN w:val="0"/>
        <w:adjustRightInd w:val="0"/>
        <w:snapToGrid w:val="0"/>
        <w:spacing w:line="460" w:lineRule="exact"/>
        <w:ind w:firstLine="573"/>
        <w:rPr>
          <w:rFonts w:hint="eastAsia"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4.竞选应答栏中应当注明技术参数或具体内容，且必须标注技术参数或具体内容在竞选文件中的位置（页码）。</w:t>
      </w:r>
    </w:p>
    <w:p w14:paraId="5BFA4BC8">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br w:type="page"/>
      </w:r>
      <w:r>
        <w:rPr>
          <w:rFonts w:hint="eastAsia" w:ascii="宋体" w:hAnsi="宋体" w:cs="宋体"/>
          <w:color w:val="000000" w:themeColor="text1"/>
          <w:sz w:val="24"/>
          <w:szCs w:val="28"/>
          <w:highlight w:val="none"/>
          <w14:textFill>
            <w14:solidFill>
              <w14:schemeClr w14:val="tx1"/>
            </w14:solidFill>
          </w14:textFill>
        </w:rPr>
        <w:t>（二）其他技术（质量）资料</w:t>
      </w:r>
    </w:p>
    <w:p w14:paraId="60888F94">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8"/>
          <w:highlight w:val="none"/>
          <w14:textFill>
            <w14:solidFill>
              <w14:schemeClr w14:val="tx1"/>
            </w14:solidFill>
          </w14:textFill>
        </w:rPr>
      </w:pPr>
    </w:p>
    <w:p w14:paraId="568837E3">
      <w:pPr>
        <w:kinsoku w:val="0"/>
        <w:autoSpaceDE w:val="0"/>
        <w:autoSpaceDN w:val="0"/>
        <w:adjustRightInd w:val="0"/>
        <w:snapToGrid w:val="0"/>
        <w:spacing w:line="5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6286C9F4">
      <w:pPr>
        <w:kinsoku w:val="0"/>
        <w:autoSpaceDE w:val="0"/>
        <w:autoSpaceDN w:val="0"/>
        <w:adjustRightInd w:val="0"/>
        <w:snapToGrid w:val="0"/>
        <w:spacing w:before="260" w:after="260" w:line="500" w:lineRule="exact"/>
        <w:ind w:firstLine="643" w:firstLineChars="200"/>
        <w:rPr>
          <w:rFonts w:hint="eastAsia" w:ascii="宋体" w:hAnsi="宋体" w:cs="宋体"/>
          <w:b/>
          <w:color w:val="000000" w:themeColor="text1"/>
          <w:sz w:val="32"/>
          <w:szCs w:val="28"/>
          <w:highlight w:val="none"/>
          <w14:textFill>
            <w14:solidFill>
              <w14:schemeClr w14:val="tx1"/>
            </w14:solidFill>
          </w14:textFill>
        </w:rPr>
      </w:pPr>
      <w:bookmarkStart w:id="330" w:name="_Toc23523"/>
      <w:bookmarkStart w:id="331" w:name="_Toc6786"/>
      <w:bookmarkStart w:id="332" w:name="_Toc492721039"/>
      <w:bookmarkStart w:id="333" w:name="_Toc32670"/>
      <w:bookmarkStart w:id="334" w:name="_Toc10372"/>
      <w:bookmarkStart w:id="335" w:name="_Toc30496"/>
      <w:bookmarkStart w:id="336" w:name="_Toc106030419"/>
      <w:bookmarkStart w:id="337" w:name="_Toc8958"/>
      <w:bookmarkStart w:id="338" w:name="_Toc32417"/>
      <w:bookmarkStart w:id="339" w:name="_Toc26494"/>
      <w:bookmarkStart w:id="340" w:name="_Toc22113"/>
      <w:bookmarkStart w:id="341" w:name="_Toc17290"/>
      <w:bookmarkStart w:id="342" w:name="_Toc493178791"/>
      <w:bookmarkStart w:id="343" w:name="_Toc14954"/>
      <w:bookmarkStart w:id="344" w:name="_Toc5573"/>
      <w:bookmarkStart w:id="345" w:name="_Toc75793542"/>
      <w:bookmarkStart w:id="346" w:name="_Toc7069"/>
      <w:bookmarkStart w:id="347" w:name="_Toc5257"/>
      <w:bookmarkStart w:id="348" w:name="_Toc4362"/>
      <w:bookmarkStart w:id="349" w:name="_Toc28242"/>
      <w:r>
        <w:rPr>
          <w:rFonts w:hint="eastAsia" w:ascii="宋体" w:hAnsi="宋体" w:cs="宋体"/>
          <w:b/>
          <w:color w:val="000000" w:themeColor="text1"/>
          <w:sz w:val="32"/>
          <w:szCs w:val="28"/>
          <w:highlight w:val="none"/>
          <w14:textFill>
            <w14:solidFill>
              <w14:schemeClr w14:val="tx1"/>
            </w14:solidFill>
          </w14:textFill>
        </w:rPr>
        <w:t>三、商务文件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79F6FF3">
      <w:pPr>
        <w:kinsoku w:val="0"/>
        <w:autoSpaceDE w:val="0"/>
        <w:autoSpaceDN w:val="0"/>
        <w:adjustRightInd w:val="0"/>
        <w:snapToGrid w:val="0"/>
        <w:spacing w:before="156" w:beforeLines="50" w:line="500" w:lineRule="exact"/>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（一）竞选函（格式）</w:t>
      </w:r>
    </w:p>
    <w:p w14:paraId="20E343C8">
      <w:pPr>
        <w:kinsoku w:val="0"/>
        <w:autoSpaceDE w:val="0"/>
        <w:autoSpaceDN w:val="0"/>
        <w:adjustRightInd w:val="0"/>
        <w:snapToGrid w:val="0"/>
        <w:spacing w:line="500" w:lineRule="exact"/>
        <w:rPr>
          <w:rFonts w:hint="eastAsia" w:ascii="宋体" w:hAnsi="宋体" w:cs="宋体"/>
          <w:color w:val="000000" w:themeColor="text1"/>
          <w:sz w:val="24"/>
          <w:szCs w:val="28"/>
          <w:highlight w:val="none"/>
          <w14:textFill>
            <w14:solidFill>
              <w14:schemeClr w14:val="tx1"/>
            </w14:solidFill>
          </w14:textFill>
        </w:rPr>
      </w:pPr>
    </w:p>
    <w:p w14:paraId="0017B468">
      <w:pPr>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u w:val="singl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比选项目名称：</w:t>
      </w:r>
      <w:r>
        <w:rPr>
          <w:rFonts w:hint="eastAsia" w:ascii="宋体" w:hAnsi="宋体" w:cs="宋体"/>
          <w:color w:val="000000" w:themeColor="text1"/>
          <w:sz w:val="24"/>
          <w:szCs w:val="28"/>
          <w:highlight w:val="none"/>
          <w:u w:val="single"/>
          <w14:textFill>
            <w14:solidFill>
              <w14:schemeClr w14:val="tx1"/>
            </w14:solidFill>
          </w14:textFill>
        </w:rPr>
        <w:t xml:space="preserve">                                             </w:t>
      </w:r>
    </w:p>
    <w:p w14:paraId="5E00CE01">
      <w:pPr>
        <w:kinsoku w:val="0"/>
        <w:autoSpaceDE w:val="0"/>
        <w:autoSpaceDN w:val="0"/>
        <w:adjustRightInd w:val="0"/>
        <w:snapToGrid w:val="0"/>
        <w:spacing w:line="440" w:lineRule="exact"/>
        <w:rPr>
          <w:rFonts w:hint="eastAsia" w:ascii="宋体" w:hAnsi="宋体" w:cs="宋体"/>
          <w:color w:val="000000" w:themeColor="text1"/>
          <w:sz w:val="24"/>
          <w:szCs w:val="28"/>
          <w:highlight w:val="none"/>
          <w14:textFill>
            <w14:solidFill>
              <w14:schemeClr w14:val="tx1"/>
            </w14:solidFill>
          </w14:textFill>
        </w:rPr>
      </w:pPr>
    </w:p>
    <w:p w14:paraId="314B5613">
      <w:pPr>
        <w:tabs>
          <w:tab w:val="left" w:pos="6300"/>
        </w:tabs>
        <w:kinsoku w:val="0"/>
        <w:autoSpaceDE w:val="0"/>
        <w:autoSpaceDN w:val="0"/>
        <w:adjustRightInd w:val="0"/>
        <w:snapToGrid w:val="0"/>
        <w:spacing w:line="44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致：</w:t>
      </w: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（比选代理机构名称）：</w:t>
      </w:r>
    </w:p>
    <w:p w14:paraId="0104933E">
      <w:pPr>
        <w:kinsoku w:val="0"/>
        <w:autoSpaceDE w:val="0"/>
        <w:autoSpaceDN w:val="0"/>
        <w:adjustRightInd w:val="0"/>
        <w:snapToGrid w:val="0"/>
        <w:spacing w:before="156" w:beforeLines="50"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（竞选人名称）系中华人民共和国合法企业，注册地址：</w:t>
      </w: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。我方就参加本次竞选有关事项郑重声明如下：</w:t>
      </w:r>
    </w:p>
    <w:p w14:paraId="488FE7F3">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bookmarkStart w:id="350" w:name="_Toc9308"/>
      <w:bookmarkStart w:id="351" w:name="_Toc1667"/>
      <w:r>
        <w:rPr>
          <w:rFonts w:hint="eastAsia" w:ascii="宋体" w:hAnsi="宋体" w:cs="宋体"/>
          <w:color w:val="000000" w:themeColor="text1"/>
          <w:sz w:val="24"/>
          <w:szCs w:val="28"/>
          <w:highlight w:val="none"/>
          <w14:textFill>
            <w14:solidFill>
              <w14:schemeClr w14:val="tx1"/>
            </w14:solidFill>
          </w14:textFill>
        </w:rPr>
        <w:t>一、我方完全理解并接受该项目比选文件所有要求。</w:t>
      </w:r>
      <w:bookmarkEnd w:id="350"/>
      <w:bookmarkEnd w:id="351"/>
    </w:p>
    <w:p w14:paraId="78A6D91C">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二、我方提交的所有竞选文件、资料都是准确和真实的，如有虚假或隐瞒，我方愿意承担一切法律责任。</w:t>
      </w:r>
    </w:p>
    <w:p w14:paraId="7A17CD70">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三、我方承诺按照比选文件要求，提供比选项目的技术（质量）服务。</w:t>
      </w:r>
    </w:p>
    <w:p w14:paraId="0315FED7">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四、我方按比选文件要求提交的纸质版竞选文件为：竞选文件正本</w:t>
      </w: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份，副本</w:t>
      </w: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份，电子文档</w:t>
      </w: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14:textFill>
            <w14:solidFill>
              <w14:schemeClr w14:val="tx1"/>
            </w14:solidFill>
          </w14:textFill>
        </w:rPr>
        <w:t>份。</w:t>
      </w:r>
    </w:p>
    <w:p w14:paraId="7F1107E5">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bookmarkStart w:id="352" w:name="_Toc4812"/>
      <w:bookmarkStart w:id="353" w:name="_Toc29885"/>
      <w:r>
        <w:rPr>
          <w:rFonts w:hint="eastAsia" w:ascii="宋体" w:hAnsi="宋体" w:cs="宋体"/>
          <w:color w:val="000000" w:themeColor="text1"/>
          <w:sz w:val="24"/>
          <w:szCs w:val="28"/>
          <w:highlight w:val="none"/>
          <w14:textFill>
            <w14:solidFill>
              <w14:schemeClr w14:val="tx1"/>
            </w14:solidFill>
          </w14:textFill>
        </w:rPr>
        <w:t>五、我方承诺：本次竞选的投标有效期为竞选截止时间起90天。</w:t>
      </w:r>
      <w:bookmarkEnd w:id="352"/>
      <w:bookmarkEnd w:id="353"/>
    </w:p>
    <w:p w14:paraId="2AC14566">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六、我方竞选报价为闭口价。即在投标有效期和合同有效期内，该报价固定不变。</w:t>
      </w:r>
    </w:p>
    <w:p w14:paraId="1CE8E3C1">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七、如果我方中标，我方将履行比选文件中规定的各项要求以及我方竞选文件的各项承诺，按《中华人民共和国政府采购法》、《中华人民共和国民法典》及合同约定条款承担我方责任。</w:t>
      </w:r>
    </w:p>
    <w:p w14:paraId="6B8C2154">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八、我方未</w:t>
      </w:r>
      <w:r>
        <w:rPr>
          <w:rFonts w:hint="eastAsia" w:ascii="宋体" w:hAnsi="宋体" w:cs="宋体"/>
          <w:color w:val="000000" w:themeColor="text1"/>
          <w:sz w:val="24"/>
          <w:highlight w:val="none"/>
          <w14:textFill>
            <w14:solidFill>
              <w14:schemeClr w14:val="tx1"/>
            </w14:solidFill>
          </w14:textFill>
        </w:rPr>
        <w:t>为采购项目提供整体设计、规范编制或者项目管理、监理、检测等服务。</w:t>
      </w:r>
    </w:p>
    <w:p w14:paraId="25DC6C80">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九、我方理解，最低报价不是中标的唯一条件。</w:t>
      </w:r>
    </w:p>
    <w:p w14:paraId="43C1D914">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十、我方同意按有关规定及比选文件要求，交纳足额比选保证金。</w:t>
      </w:r>
    </w:p>
    <w:p w14:paraId="624FC28B">
      <w:pPr>
        <w:tabs>
          <w:tab w:val="left" w:pos="6300"/>
        </w:tabs>
        <w:kinsoku w:val="0"/>
        <w:autoSpaceDE w:val="0"/>
        <w:autoSpaceDN w:val="0"/>
        <w:adjustRightInd w:val="0"/>
        <w:snapToGrid w:val="0"/>
        <w:spacing w:line="44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十一、若我方中标，愿意按有关规定及比选文件要求缴纳比选代理服务费。</w:t>
      </w:r>
    </w:p>
    <w:p w14:paraId="7D59D35C">
      <w:pPr>
        <w:tabs>
          <w:tab w:val="left" w:pos="6300"/>
        </w:tabs>
        <w:kinsoku w:val="0"/>
        <w:autoSpaceDE w:val="0"/>
        <w:autoSpaceDN w:val="0"/>
        <w:adjustRightInd w:val="0"/>
        <w:snapToGrid w:val="0"/>
        <w:spacing w:line="440" w:lineRule="exact"/>
        <w:ind w:firstLine="570"/>
        <w:rPr>
          <w:rFonts w:hint="eastAsia" w:ascii="宋体" w:hAnsi="宋体" w:cs="宋体"/>
          <w:color w:val="000000" w:themeColor="text1"/>
          <w:sz w:val="24"/>
          <w:szCs w:val="28"/>
          <w:highlight w:val="none"/>
          <w14:textFill>
            <w14:solidFill>
              <w14:schemeClr w14:val="tx1"/>
            </w14:solidFill>
          </w14:textFill>
        </w:rPr>
      </w:pPr>
    </w:p>
    <w:p w14:paraId="13FA023C">
      <w:pPr>
        <w:tabs>
          <w:tab w:val="left" w:pos="6300"/>
        </w:tabs>
        <w:kinsoku w:val="0"/>
        <w:autoSpaceDE w:val="0"/>
        <w:autoSpaceDN w:val="0"/>
        <w:adjustRightInd w:val="0"/>
        <w:snapToGrid w:val="0"/>
        <w:spacing w:line="440" w:lineRule="exact"/>
        <w:jc w:val="righ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（竞选人公章或自然人签署）</w:t>
      </w:r>
    </w:p>
    <w:p w14:paraId="5632F1B8">
      <w:pPr>
        <w:tabs>
          <w:tab w:val="left" w:pos="6300"/>
        </w:tabs>
        <w:kinsoku w:val="0"/>
        <w:autoSpaceDE w:val="0"/>
        <w:autoSpaceDN w:val="0"/>
        <w:adjustRightInd w:val="0"/>
        <w:snapToGrid w:val="0"/>
        <w:spacing w:line="440" w:lineRule="exact"/>
        <w:ind w:firstLine="5760" w:firstLineChars="24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年    月   日</w:t>
      </w:r>
    </w:p>
    <w:p w14:paraId="3F5CBF6A">
      <w:pPr>
        <w:kinsoku w:val="0"/>
        <w:autoSpaceDE w:val="0"/>
        <w:autoSpaceDN w:val="0"/>
        <w:adjustRightInd w:val="0"/>
        <w:snapToGrid w:val="0"/>
        <w:spacing w:line="400" w:lineRule="exact"/>
        <w:ind w:firstLine="56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8"/>
          <w:szCs w:val="44"/>
          <w:highlight w:val="none"/>
          <w14:textFill>
            <w14:solidFill>
              <w14:schemeClr w14:val="tx1"/>
            </w14:solidFill>
          </w14:textFill>
        </w:rPr>
        <w:br w:type="page"/>
      </w:r>
      <w:r>
        <w:rPr>
          <w:rFonts w:hint="eastAsia" w:ascii="宋体" w:hAnsi="宋体" w:cs="宋体"/>
          <w:color w:val="000000" w:themeColor="text1"/>
          <w:sz w:val="24"/>
          <w:szCs w:val="28"/>
          <w:highlight w:val="none"/>
          <w14:textFill>
            <w14:solidFill>
              <w14:schemeClr w14:val="tx1"/>
            </w14:solidFill>
          </w14:textFill>
        </w:rPr>
        <w:t>（二）商务条款差异表</w:t>
      </w:r>
    </w:p>
    <w:p w14:paraId="70784946">
      <w:pPr>
        <w:kinsoku w:val="0"/>
        <w:autoSpaceDE w:val="0"/>
        <w:autoSpaceDN w:val="0"/>
        <w:adjustRightInd w:val="0"/>
        <w:snapToGrid w:val="0"/>
        <w:spacing w:line="4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比选项目名称：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8"/>
        <w:gridCol w:w="2727"/>
        <w:gridCol w:w="2042"/>
      </w:tblGrid>
      <w:tr w14:paraId="5995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2303C307">
            <w:pPr>
              <w:tabs>
                <w:tab w:val="left" w:pos="6300"/>
              </w:tabs>
              <w:kinsoku w:val="0"/>
              <w:autoSpaceDE w:val="0"/>
              <w:autoSpaceDN w:val="0"/>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354" w:name="_Toc9000"/>
            <w:bookmarkStart w:id="355" w:name="_Toc15599"/>
            <w:bookmarkStart w:id="356" w:name="_Toc225"/>
            <w:r>
              <w:rPr>
                <w:rFonts w:hint="eastAsia" w:ascii="宋体" w:hAnsi="宋体" w:cs="宋体"/>
                <w:color w:val="000000" w:themeColor="text1"/>
                <w:szCs w:val="21"/>
                <w:highlight w:val="none"/>
                <w14:textFill>
                  <w14:solidFill>
                    <w14:schemeClr w14:val="tx1"/>
                  </w14:solidFill>
                </w14:textFill>
              </w:rPr>
              <w:t>序号</w:t>
            </w:r>
            <w:bookmarkEnd w:id="354"/>
            <w:bookmarkEnd w:id="355"/>
            <w:bookmarkEnd w:id="356"/>
          </w:p>
        </w:tc>
        <w:tc>
          <w:tcPr>
            <w:tcW w:w="1542" w:type="pct"/>
            <w:vAlign w:val="center"/>
          </w:tcPr>
          <w:p w14:paraId="60897449">
            <w:pPr>
              <w:tabs>
                <w:tab w:val="left" w:pos="6300"/>
              </w:tabs>
              <w:kinsoku w:val="0"/>
              <w:autoSpaceDE w:val="0"/>
              <w:autoSpaceDN w:val="0"/>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357" w:name="_Toc12448"/>
            <w:bookmarkStart w:id="358" w:name="_Toc24238"/>
            <w:bookmarkStart w:id="359" w:name="_Toc5075"/>
            <w:r>
              <w:rPr>
                <w:rFonts w:hint="eastAsia" w:ascii="宋体" w:hAnsi="宋体" w:cs="宋体"/>
                <w:color w:val="000000" w:themeColor="text1"/>
                <w:szCs w:val="21"/>
                <w:highlight w:val="none"/>
                <w14:textFill>
                  <w14:solidFill>
                    <w14:schemeClr w14:val="tx1"/>
                  </w14:solidFill>
                </w14:textFill>
              </w:rPr>
              <w:t>比选商务要求</w:t>
            </w:r>
            <w:bookmarkEnd w:id="357"/>
            <w:bookmarkEnd w:id="358"/>
            <w:bookmarkEnd w:id="359"/>
          </w:p>
        </w:tc>
        <w:tc>
          <w:tcPr>
            <w:tcW w:w="1600" w:type="pct"/>
            <w:vAlign w:val="center"/>
          </w:tcPr>
          <w:p w14:paraId="31E0F21F">
            <w:pPr>
              <w:tabs>
                <w:tab w:val="left" w:pos="6300"/>
              </w:tabs>
              <w:kinsoku w:val="0"/>
              <w:autoSpaceDE w:val="0"/>
              <w:autoSpaceDN w:val="0"/>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360" w:name="_Toc27273"/>
            <w:bookmarkStart w:id="361" w:name="_Toc18413"/>
            <w:bookmarkStart w:id="362" w:name="_Toc20348"/>
            <w:r>
              <w:rPr>
                <w:rFonts w:hint="eastAsia" w:ascii="宋体" w:hAnsi="宋体" w:cs="宋体"/>
                <w:color w:val="000000" w:themeColor="text1"/>
                <w:szCs w:val="21"/>
                <w:highlight w:val="none"/>
                <w14:textFill>
                  <w14:solidFill>
                    <w14:schemeClr w14:val="tx1"/>
                  </w14:solidFill>
                </w14:textFill>
              </w:rPr>
              <w:t>竞选商务应答</w:t>
            </w:r>
            <w:bookmarkEnd w:id="360"/>
            <w:bookmarkEnd w:id="361"/>
            <w:bookmarkEnd w:id="362"/>
          </w:p>
        </w:tc>
        <w:tc>
          <w:tcPr>
            <w:tcW w:w="1199" w:type="pct"/>
            <w:vAlign w:val="center"/>
          </w:tcPr>
          <w:p w14:paraId="40599CAD">
            <w:pPr>
              <w:tabs>
                <w:tab w:val="left" w:pos="6300"/>
              </w:tabs>
              <w:kinsoku w:val="0"/>
              <w:autoSpaceDE w:val="0"/>
              <w:autoSpaceDN w:val="0"/>
              <w:adjustRightInd w:val="0"/>
              <w:snapToGrid w:val="0"/>
              <w:spacing w:line="400" w:lineRule="exact"/>
              <w:jc w:val="center"/>
              <w:outlineLvl w:val="0"/>
              <w:rPr>
                <w:rFonts w:hint="eastAsia" w:ascii="宋体" w:hAnsi="宋体" w:cs="宋体"/>
                <w:color w:val="000000" w:themeColor="text1"/>
                <w:szCs w:val="21"/>
                <w:highlight w:val="none"/>
                <w14:textFill>
                  <w14:solidFill>
                    <w14:schemeClr w14:val="tx1"/>
                  </w14:solidFill>
                </w14:textFill>
              </w:rPr>
            </w:pPr>
            <w:bookmarkStart w:id="363" w:name="_Toc4308"/>
            <w:bookmarkStart w:id="364" w:name="_Toc3699"/>
            <w:bookmarkStart w:id="365" w:name="_Toc4965"/>
            <w:r>
              <w:rPr>
                <w:rFonts w:hint="eastAsia" w:ascii="宋体" w:hAnsi="宋体" w:cs="宋体"/>
                <w:color w:val="000000" w:themeColor="text1"/>
                <w:szCs w:val="21"/>
                <w:highlight w:val="none"/>
                <w14:textFill>
                  <w14:solidFill>
                    <w14:schemeClr w14:val="tx1"/>
                  </w14:solidFill>
                </w14:textFill>
              </w:rPr>
              <w:t>差异说明</w:t>
            </w:r>
            <w:bookmarkEnd w:id="363"/>
            <w:bookmarkEnd w:id="364"/>
            <w:bookmarkEnd w:id="365"/>
          </w:p>
        </w:tc>
      </w:tr>
      <w:tr w14:paraId="6A30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CB95E1E">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6FFC4E1A">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65FD674C">
            <w:pPr>
              <w:tabs>
                <w:tab w:val="left" w:pos="6300"/>
              </w:tabs>
              <w:kinsoku w:val="0"/>
              <w:autoSpaceDE w:val="0"/>
              <w:autoSpaceDN w:val="0"/>
              <w:adjustRightInd w:val="0"/>
              <w:snapToGrid w:val="0"/>
              <w:spacing w:line="400" w:lineRule="exact"/>
              <w:outlineLvl w:val="0"/>
              <w:rPr>
                <w:rFonts w:hint="eastAsia" w:ascii="宋体" w:hAnsi="宋体" w:cs="宋体"/>
                <w:color w:val="000000" w:themeColor="text1"/>
                <w:szCs w:val="21"/>
                <w:highlight w:val="none"/>
                <w14:textFill>
                  <w14:solidFill>
                    <w14:schemeClr w14:val="tx1"/>
                  </w14:solidFill>
                </w14:textFill>
              </w:rPr>
            </w:pPr>
            <w:bookmarkStart w:id="366" w:name="_Toc16124"/>
            <w:bookmarkStart w:id="367" w:name="_Toc27367"/>
            <w:bookmarkStart w:id="368" w:name="_Toc6118"/>
            <w:r>
              <w:rPr>
                <w:rFonts w:hint="eastAsia" w:ascii="宋体" w:hAnsi="宋体" w:cs="宋体"/>
                <w:color w:val="000000" w:themeColor="text1"/>
                <w:szCs w:val="21"/>
                <w:highlight w:val="none"/>
                <w14:textFill>
                  <w14:solidFill>
                    <w14:schemeClr w14:val="tx1"/>
                  </w14:solidFill>
                </w14:textFill>
              </w:rPr>
              <w:t>提醒：请注明具体内容以及竞选文件中具体内容的位置（页码）</w:t>
            </w:r>
            <w:bookmarkEnd w:id="366"/>
            <w:bookmarkEnd w:id="367"/>
            <w:bookmarkEnd w:id="368"/>
          </w:p>
        </w:tc>
        <w:tc>
          <w:tcPr>
            <w:tcW w:w="1199" w:type="pct"/>
            <w:vAlign w:val="center"/>
          </w:tcPr>
          <w:p w14:paraId="73D06AF5">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03A5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7F8B2E4">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2AFA76CB">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1DF995AC">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68EE3E9F">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1DD6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8429B72">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44DCCA51">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23744AAB">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1885B625">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05A7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C8C564B">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324746D6">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06508C68">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6E42A41E">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1B55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49E0F88">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6D61E16D">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0F14DFDE">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7507A8B8">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53EC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700A181">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20BD8FFC">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6829274E">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6A3AA752">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5810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F246DB1">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7CE4D907">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0EEEE81B">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03220E37">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4EC6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F4F896C">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3BE21E07">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6FDA595E">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2EB18B21">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0A7D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5FD69C7">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56C8319E">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1B8344E5">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7A56586B">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762C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6EBE1AF9">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19E303CD">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60E00953">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31A287D6">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146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3DF59D9">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08A0A01A">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23703569">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14C445E9">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3B5B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2B5221C">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63710AD6">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116B2055">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040D5483">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r w14:paraId="1D9B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5FCC2990">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542" w:type="pct"/>
            <w:vAlign w:val="center"/>
          </w:tcPr>
          <w:p w14:paraId="3827F8A9">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600" w:type="pct"/>
            <w:vAlign w:val="center"/>
          </w:tcPr>
          <w:p w14:paraId="512CA080">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199" w:type="pct"/>
            <w:vAlign w:val="center"/>
          </w:tcPr>
          <w:p w14:paraId="62B22767">
            <w:pPr>
              <w:tabs>
                <w:tab w:val="left" w:pos="6300"/>
              </w:tabs>
              <w:kinsoku w:val="0"/>
              <w:autoSpaceDE w:val="0"/>
              <w:autoSpaceDN w:val="0"/>
              <w:adjustRightInd w:val="0"/>
              <w:snapToGrid w:val="0"/>
              <w:spacing w:line="400" w:lineRule="exact"/>
              <w:jc w:val="center"/>
              <w:rPr>
                <w:rFonts w:hint="eastAsia" w:ascii="宋体" w:hAnsi="宋体" w:cs="宋体"/>
                <w:color w:val="000000" w:themeColor="text1"/>
                <w:szCs w:val="21"/>
                <w:highlight w:val="none"/>
                <w14:textFill>
                  <w14:solidFill>
                    <w14:schemeClr w14:val="tx1"/>
                  </w14:solidFill>
                </w14:textFill>
              </w:rPr>
            </w:pPr>
          </w:p>
        </w:tc>
      </w:tr>
    </w:tbl>
    <w:p w14:paraId="783BAAE1">
      <w:pPr>
        <w:kinsoku w:val="0"/>
        <w:autoSpaceDE w:val="0"/>
        <w:autoSpaceDN w:val="0"/>
        <w:adjustRightInd w:val="0"/>
        <w:snapToGrid w:val="0"/>
        <w:spacing w:line="400" w:lineRule="exact"/>
        <w:ind w:firstLine="600" w:firstLineChars="250"/>
        <w:rPr>
          <w:rFonts w:hint="eastAsia" w:ascii="宋体" w:hAnsi="宋体" w:cs="宋体"/>
          <w:color w:val="000000" w:themeColor="text1"/>
          <w:sz w:val="24"/>
          <w:szCs w:val="28"/>
          <w:highlight w:val="none"/>
          <w14:textFill>
            <w14:solidFill>
              <w14:schemeClr w14:val="tx1"/>
            </w14:solidFill>
          </w14:textFill>
        </w:rPr>
      </w:pPr>
    </w:p>
    <w:p w14:paraId="1AC5F29D">
      <w:pPr>
        <w:kinsoku w:val="0"/>
        <w:autoSpaceDE w:val="0"/>
        <w:autoSpaceDN w:val="0"/>
        <w:adjustRightInd w:val="0"/>
        <w:snapToGrid w:val="0"/>
        <w:spacing w:line="400" w:lineRule="exact"/>
        <w:ind w:firstLine="600" w:firstLineChars="25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竞选人：                     法定代表人（或法定代表人授权代表）或自然人：</w:t>
      </w:r>
    </w:p>
    <w:p w14:paraId="0AD6D635">
      <w:pPr>
        <w:kinsoku w:val="0"/>
        <w:autoSpaceDE w:val="0"/>
        <w:autoSpaceDN w:val="0"/>
        <w:adjustRightInd w:val="0"/>
        <w:snapToGrid w:val="0"/>
        <w:spacing w:line="400" w:lineRule="exact"/>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（竞选人公章）                               （签署或盖章）</w:t>
      </w:r>
    </w:p>
    <w:p w14:paraId="0AB887C2">
      <w:pPr>
        <w:tabs>
          <w:tab w:val="left" w:pos="6300"/>
        </w:tabs>
        <w:kinsoku w:val="0"/>
        <w:autoSpaceDE w:val="0"/>
        <w:autoSpaceDN w:val="0"/>
        <w:adjustRightInd w:val="0"/>
        <w:snapToGrid w:val="0"/>
        <w:spacing w:line="4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 xml:space="preserve">                                            年     月     日</w:t>
      </w:r>
    </w:p>
    <w:p w14:paraId="12BD681B">
      <w:pPr>
        <w:tabs>
          <w:tab w:val="left" w:pos="6300"/>
        </w:tabs>
        <w:kinsoku w:val="0"/>
        <w:autoSpaceDE w:val="0"/>
        <w:autoSpaceDN w:val="0"/>
        <w:adjustRightInd w:val="0"/>
        <w:snapToGrid w:val="0"/>
        <w:spacing w:line="4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w:t>
      </w:r>
    </w:p>
    <w:p w14:paraId="2E24DA69">
      <w:pPr>
        <w:tabs>
          <w:tab w:val="left" w:pos="6300"/>
        </w:tabs>
        <w:kinsoku w:val="0"/>
        <w:autoSpaceDE w:val="0"/>
        <w:autoSpaceDN w:val="0"/>
        <w:adjustRightInd w:val="0"/>
        <w:snapToGrid w:val="0"/>
        <w:spacing w:line="400" w:lineRule="exact"/>
        <w:ind w:firstLine="5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1.本表即为对本项目“第三篇 项目商务需求”中所列条款进行比较和响应；</w:t>
      </w:r>
    </w:p>
    <w:p w14:paraId="584341E9">
      <w:pPr>
        <w:tabs>
          <w:tab w:val="left" w:pos="6300"/>
        </w:tabs>
        <w:kinsoku w:val="0"/>
        <w:autoSpaceDE w:val="0"/>
        <w:autoSpaceDN w:val="0"/>
        <w:adjustRightInd w:val="0"/>
        <w:snapToGrid w:val="0"/>
        <w:spacing w:line="400" w:lineRule="exact"/>
        <w:ind w:firstLine="5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2.本表可扩展。</w:t>
      </w:r>
    </w:p>
    <w:p w14:paraId="7DB91025">
      <w:pPr>
        <w:tabs>
          <w:tab w:val="left" w:pos="6300"/>
        </w:tabs>
        <w:kinsoku w:val="0"/>
        <w:autoSpaceDE w:val="0"/>
        <w:autoSpaceDN w:val="0"/>
        <w:adjustRightInd w:val="0"/>
        <w:snapToGrid w:val="0"/>
        <w:spacing w:line="400" w:lineRule="exact"/>
        <w:ind w:firstLine="5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3.竞选应答栏中应当注明具体内容，且必须标注具体内容在竞选文件中的位置（页码）。</w:t>
      </w:r>
    </w:p>
    <w:p w14:paraId="27BD4940">
      <w:pPr>
        <w:kinsoku w:val="0"/>
        <w:autoSpaceDE w:val="0"/>
        <w:autoSpaceDN w:val="0"/>
        <w:adjustRightInd w:val="0"/>
        <w:snapToGrid w:val="0"/>
        <w:spacing w:line="500" w:lineRule="exact"/>
        <w:ind w:firstLine="56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s="宋体"/>
          <w:color w:val="000000" w:themeColor="text1"/>
          <w:sz w:val="24"/>
          <w:szCs w:val="28"/>
          <w:highlight w:val="none"/>
          <w14:textFill>
            <w14:solidFill>
              <w14:schemeClr w14:val="tx1"/>
            </w14:solidFill>
          </w14:textFill>
        </w:rPr>
        <w:t>（三）其他商务资料</w:t>
      </w:r>
    </w:p>
    <w:p w14:paraId="78F946A0">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p>
    <w:p w14:paraId="4ABE27F1">
      <w:pPr>
        <w:tabs>
          <w:tab w:val="left" w:pos="6300"/>
        </w:tabs>
        <w:kinsoku w:val="0"/>
        <w:autoSpaceDE w:val="0"/>
        <w:autoSpaceDN w:val="0"/>
        <w:adjustRightInd w:val="0"/>
        <w:snapToGrid w:val="0"/>
        <w:spacing w:line="500" w:lineRule="exact"/>
        <w:ind w:firstLine="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p>
    <w:p w14:paraId="4617467D">
      <w:pPr>
        <w:rPr>
          <w:rFonts w:hint="eastAsia" w:ascii="宋体" w:hAnsi="宋体" w:cs="宋体"/>
          <w:b/>
          <w:color w:val="000000" w:themeColor="text1"/>
          <w:sz w:val="32"/>
          <w:szCs w:val="28"/>
          <w:highlight w:val="none"/>
          <w14:textFill>
            <w14:solidFill>
              <w14:schemeClr w14:val="tx1"/>
            </w14:solidFill>
          </w14:textFill>
        </w:rPr>
      </w:pPr>
      <w:bookmarkStart w:id="369" w:name="_Toc29390"/>
      <w:bookmarkStart w:id="370" w:name="_Toc4624"/>
      <w:bookmarkStart w:id="371" w:name="_Toc493178792"/>
      <w:bookmarkStart w:id="372" w:name="_Toc5854"/>
      <w:bookmarkStart w:id="373" w:name="_Toc2395"/>
      <w:bookmarkStart w:id="374" w:name="_Toc11165"/>
      <w:bookmarkStart w:id="375" w:name="_Toc29932"/>
      <w:bookmarkStart w:id="376" w:name="_Toc24540"/>
      <w:bookmarkStart w:id="377" w:name="_Toc75793543"/>
      <w:bookmarkStart w:id="378" w:name="_Toc6978"/>
      <w:bookmarkStart w:id="379" w:name="_Toc7042"/>
      <w:bookmarkStart w:id="380" w:name="_Toc106030420"/>
      <w:bookmarkStart w:id="381" w:name="_Toc27849"/>
      <w:bookmarkStart w:id="382" w:name="_Toc23915"/>
      <w:bookmarkStart w:id="383" w:name="_Toc492721041"/>
      <w:bookmarkStart w:id="384" w:name="_Toc29543"/>
      <w:bookmarkStart w:id="385" w:name="_Toc19687"/>
      <w:bookmarkStart w:id="386" w:name="_Toc30376"/>
      <w:bookmarkStart w:id="387" w:name="_Toc3199"/>
      <w:bookmarkStart w:id="388" w:name="_Toc26469"/>
      <w:r>
        <w:rPr>
          <w:rFonts w:hint="eastAsia" w:ascii="宋体" w:hAnsi="宋体" w:cs="宋体"/>
          <w:b/>
          <w:color w:val="000000" w:themeColor="text1"/>
          <w:sz w:val="32"/>
          <w:szCs w:val="28"/>
          <w:highlight w:val="none"/>
          <w14:textFill>
            <w14:solidFill>
              <w14:schemeClr w14:val="tx1"/>
            </w14:solidFill>
          </w14:textFill>
        </w:rPr>
        <w:br w:type="page"/>
      </w:r>
    </w:p>
    <w:p w14:paraId="27159024">
      <w:pPr>
        <w:kinsoku w:val="0"/>
        <w:autoSpaceDE w:val="0"/>
        <w:autoSpaceDN w:val="0"/>
        <w:adjustRightInd w:val="0"/>
        <w:snapToGrid w:val="0"/>
        <w:spacing w:before="260" w:after="260" w:line="500" w:lineRule="exact"/>
        <w:ind w:firstLine="643" w:firstLineChars="200"/>
        <w:rPr>
          <w:rFonts w:hint="eastAsia" w:ascii="宋体" w:hAnsi="宋体" w:cs="宋体"/>
          <w:b/>
          <w:color w:val="000000" w:themeColor="text1"/>
          <w:sz w:val="32"/>
          <w:szCs w:val="28"/>
          <w:highlight w:val="none"/>
          <w14:textFill>
            <w14:solidFill>
              <w14:schemeClr w14:val="tx1"/>
            </w14:solidFill>
          </w14:textFill>
        </w:rPr>
      </w:pPr>
      <w:r>
        <w:rPr>
          <w:rFonts w:hint="eastAsia" w:ascii="宋体" w:hAnsi="宋体" w:cs="宋体"/>
          <w:b/>
          <w:color w:val="000000" w:themeColor="text1"/>
          <w:sz w:val="32"/>
          <w:szCs w:val="28"/>
          <w:highlight w:val="none"/>
          <w14:textFill>
            <w14:solidFill>
              <w14:schemeClr w14:val="tx1"/>
            </w14:solidFill>
          </w14:textFill>
        </w:rPr>
        <w:t>四、其他</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7FAAA895">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（一）其他与项目有关的资料（自附）</w:t>
      </w:r>
    </w:p>
    <w:p w14:paraId="2BA92AD8">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p>
    <w:p w14:paraId="13562424">
      <w:pPr>
        <w:rPr>
          <w:rFonts w:hint="eastAsia" w:ascii="宋体" w:hAnsi="宋体" w:cs="宋体"/>
          <w:b/>
          <w:color w:val="000000" w:themeColor="text1"/>
          <w:sz w:val="24"/>
          <w:szCs w:val="28"/>
          <w:highlight w:val="none"/>
          <w14:textFill>
            <w14:solidFill>
              <w14:schemeClr w14:val="tx1"/>
            </w14:solidFill>
          </w14:textFill>
        </w:rPr>
      </w:pPr>
      <w:bookmarkStart w:id="389" w:name="_Toc11324"/>
      <w:bookmarkStart w:id="390" w:name="_Toc28432"/>
      <w:bookmarkStart w:id="391" w:name="_Toc12509"/>
      <w:bookmarkStart w:id="392" w:name="_Toc13249"/>
      <w:bookmarkStart w:id="393" w:name="_Toc4000"/>
      <w:bookmarkStart w:id="394" w:name="_Toc16577"/>
      <w:bookmarkStart w:id="395" w:name="_Toc493178793"/>
      <w:bookmarkStart w:id="396" w:name="_Toc492721038"/>
      <w:bookmarkStart w:id="397" w:name="_Toc30818"/>
      <w:bookmarkStart w:id="398" w:name="_Toc75793544"/>
      <w:bookmarkStart w:id="399" w:name="_Toc17848"/>
      <w:bookmarkStart w:id="400" w:name="_Toc17829"/>
      <w:bookmarkStart w:id="401" w:name="_Toc23187"/>
      <w:bookmarkStart w:id="402" w:name="_Toc6108"/>
      <w:bookmarkStart w:id="403" w:name="_Toc30988"/>
      <w:bookmarkStart w:id="404" w:name="_Toc26381"/>
      <w:bookmarkStart w:id="405" w:name="_Toc106030421"/>
      <w:bookmarkStart w:id="406" w:name="_Toc21121"/>
      <w:r>
        <w:rPr>
          <w:rFonts w:hint="eastAsia" w:ascii="宋体" w:hAnsi="宋体" w:cs="宋体"/>
          <w:b/>
          <w:color w:val="000000" w:themeColor="text1"/>
          <w:sz w:val="24"/>
          <w:szCs w:val="28"/>
          <w:highlight w:val="none"/>
          <w14:textFill>
            <w14:solidFill>
              <w14:schemeClr w14:val="tx1"/>
            </w14:solidFill>
          </w14:textFill>
        </w:rPr>
        <w:br w:type="page"/>
      </w:r>
    </w:p>
    <w:p w14:paraId="106A8321">
      <w:pPr>
        <w:kinsoku w:val="0"/>
        <w:autoSpaceDE w:val="0"/>
        <w:autoSpaceDN w:val="0"/>
        <w:adjustRightInd w:val="0"/>
        <w:snapToGrid w:val="0"/>
        <w:spacing w:before="260" w:after="260" w:line="500" w:lineRule="exact"/>
        <w:ind w:firstLine="482" w:firstLineChars="200"/>
        <w:rPr>
          <w:rFonts w:hint="eastAsia" w:ascii="宋体" w:hAnsi="宋体" w:cs="宋体"/>
          <w:b/>
          <w:color w:val="000000" w:themeColor="text1"/>
          <w:sz w:val="32"/>
          <w:szCs w:val="28"/>
          <w:highlight w:val="none"/>
          <w14:textFill>
            <w14:solidFill>
              <w14:schemeClr w14:val="tx1"/>
            </w14:solidFill>
          </w14:textFill>
        </w:rPr>
      </w:pPr>
      <w:r>
        <w:rPr>
          <w:rFonts w:hint="eastAsia" w:ascii="宋体" w:hAnsi="宋体" w:cs="宋体"/>
          <w:b/>
          <w:color w:val="000000" w:themeColor="text1"/>
          <w:sz w:val="24"/>
          <w:szCs w:val="28"/>
          <w:highlight w:val="none"/>
          <w14:textFill>
            <w14:solidFill>
              <w14:schemeClr w14:val="tx1"/>
            </w14:solidFill>
          </w14:textFill>
        </w:rPr>
        <w:t xml:space="preserve"> </w:t>
      </w:r>
      <w:bookmarkStart w:id="407" w:name="_Toc4463"/>
      <w:bookmarkStart w:id="408" w:name="_Toc21394"/>
      <w:r>
        <w:rPr>
          <w:rFonts w:hint="eastAsia" w:ascii="宋体" w:hAnsi="宋体" w:cs="宋体"/>
          <w:b/>
          <w:color w:val="000000" w:themeColor="text1"/>
          <w:sz w:val="32"/>
          <w:szCs w:val="28"/>
          <w:highlight w:val="none"/>
          <w14:textFill>
            <w14:solidFill>
              <w14:schemeClr w14:val="tx1"/>
            </w14:solidFill>
          </w14:textFill>
        </w:rPr>
        <w:t>五、资格文件</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65AF2DDD">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6FF7DAD8">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8"/>
          <w:szCs w:val="20"/>
          <w:highlight w:val="none"/>
          <w14:textFill>
            <w14:solidFill>
              <w14:schemeClr w14:val="tx1"/>
            </w14:solidFill>
          </w14:textFill>
        </w:rPr>
      </w:pPr>
    </w:p>
    <w:p w14:paraId="3C910268">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8"/>
          <w:szCs w:val="20"/>
          <w:highlight w:val="none"/>
          <w14:textFill>
            <w14:solidFill>
              <w14:schemeClr w14:val="tx1"/>
            </w14:solidFill>
          </w14:textFill>
        </w:rPr>
      </w:pPr>
    </w:p>
    <w:p w14:paraId="13FF7209">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8"/>
          <w:szCs w:val="20"/>
          <w:highlight w:val="none"/>
          <w14:textFill>
            <w14:solidFill>
              <w14:schemeClr w14:val="tx1"/>
            </w14:solidFill>
          </w14:textFill>
        </w:rPr>
      </w:pPr>
    </w:p>
    <w:p w14:paraId="7E52AB8D">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8"/>
          <w:szCs w:val="20"/>
          <w:highlight w:val="none"/>
          <w14:textFill>
            <w14:solidFill>
              <w14:schemeClr w14:val="tx1"/>
            </w14:solidFill>
          </w14:textFill>
        </w:rPr>
      </w:pPr>
    </w:p>
    <w:p w14:paraId="327881B4">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8"/>
          <w:szCs w:val="20"/>
          <w:highlight w:val="none"/>
          <w14:textFill>
            <w14:solidFill>
              <w14:schemeClr w14:val="tx1"/>
            </w14:solidFill>
          </w14:textFill>
        </w:rPr>
      </w:pPr>
    </w:p>
    <w:p w14:paraId="60F8D744">
      <w:pPr>
        <w:kinsoku w:val="0"/>
        <w:autoSpaceDE w:val="0"/>
        <w:autoSpaceDN w:val="0"/>
        <w:adjustRightInd w:val="0"/>
        <w:snapToGrid w:val="0"/>
        <w:spacing w:line="500" w:lineRule="exact"/>
        <w:ind w:firstLine="56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8"/>
          <w:szCs w:val="20"/>
          <w:highlight w:val="none"/>
          <w14:textFill>
            <w14:solidFill>
              <w14:schemeClr w14:val="tx1"/>
            </w14:solidFill>
          </w14:textFill>
        </w:rPr>
        <w:br w:type="page"/>
      </w:r>
      <w:r>
        <w:rPr>
          <w:rFonts w:hint="eastAsia" w:ascii="宋体" w:hAnsi="宋体" w:cs="宋体"/>
          <w:color w:val="000000" w:themeColor="text1"/>
          <w:sz w:val="24"/>
          <w:szCs w:val="28"/>
          <w:highlight w:val="none"/>
          <w14:textFill>
            <w14:solidFill>
              <w14:schemeClr w14:val="tx1"/>
            </w14:solidFill>
          </w14:textFill>
        </w:rPr>
        <w:t>（二）法定代表人身份证明书（格式）</w:t>
      </w:r>
    </w:p>
    <w:p w14:paraId="7C761D2A">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222BDEB8">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比选项目名称：</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49206941">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78A5AA10">
      <w:pPr>
        <w:tabs>
          <w:tab w:val="left" w:pos="6300"/>
        </w:tabs>
        <w:kinsoku w:val="0"/>
        <w:autoSpaceDE w:val="0"/>
        <w:autoSpaceDN w:val="0"/>
        <w:adjustRightInd w:val="0"/>
        <w:snapToGrid w:val="0"/>
        <w:spacing w:line="500" w:lineRule="exac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致：</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（比选代理机构名称）：</w:t>
      </w:r>
    </w:p>
    <w:p w14:paraId="2B3FA7AA">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（法定代表人姓名）在</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（竞选人名称）任</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（职务名称）职务，是（竞选人名称）</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的法定代表人。</w:t>
      </w:r>
    </w:p>
    <w:p w14:paraId="1F9F564F">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07B3E1D3">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特此证明。</w:t>
      </w:r>
    </w:p>
    <w:p w14:paraId="23D33A80">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57DEBE30">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146CEBE0">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竞选人：</w:t>
      </w:r>
    </w:p>
    <w:p w14:paraId="291C1A21">
      <w:pPr>
        <w:tabs>
          <w:tab w:val="left" w:pos="6300"/>
        </w:tabs>
        <w:kinsoku w:val="0"/>
        <w:autoSpaceDE w:val="0"/>
        <w:autoSpaceDN w:val="0"/>
        <w:adjustRightInd w:val="0"/>
        <w:snapToGrid w:val="0"/>
        <w:spacing w:line="500" w:lineRule="exact"/>
        <w:ind w:firstLine="5848" w:firstLineChars="2437"/>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（竞选人公章）</w:t>
      </w:r>
    </w:p>
    <w:p w14:paraId="2D7DC407">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578D291E">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年   月   日</w:t>
      </w:r>
    </w:p>
    <w:p w14:paraId="412BF366">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法定代表人电话：XXXXXXX      电子邮箱：XXXXXX@XXXXX（若授权他人办理并签署竞选文件的可不填写）</w:t>
      </w:r>
    </w:p>
    <w:p w14:paraId="1650AE53">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（附：法定代表人身份证正反面复印件）</w:t>
      </w:r>
    </w:p>
    <w:p w14:paraId="05B50B75">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097E091F">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2A39D10C">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33A6DFCC">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2652BBF4">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4CABE42F">
      <w:pPr>
        <w:kinsoku w:val="0"/>
        <w:autoSpaceDE w:val="0"/>
        <w:autoSpaceDN w:val="0"/>
        <w:adjustRightInd w:val="0"/>
        <w:snapToGrid w:val="0"/>
        <w:spacing w:line="500" w:lineRule="exact"/>
        <w:ind w:firstLine="56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8"/>
          <w:szCs w:val="20"/>
          <w:highlight w:val="none"/>
          <w14:textFill>
            <w14:solidFill>
              <w14:schemeClr w14:val="tx1"/>
            </w14:solidFill>
          </w14:textFill>
        </w:rPr>
        <w:br w:type="column"/>
      </w:r>
      <w:r>
        <w:rPr>
          <w:rFonts w:hint="eastAsia" w:ascii="宋体" w:hAnsi="宋体" w:cs="宋体"/>
          <w:color w:val="000000" w:themeColor="text1"/>
          <w:sz w:val="24"/>
          <w:szCs w:val="28"/>
          <w:highlight w:val="none"/>
          <w14:textFill>
            <w14:solidFill>
              <w14:schemeClr w14:val="tx1"/>
            </w14:solidFill>
          </w14:textFill>
        </w:rPr>
        <w:t>（三）法定代表人授权委托书（格式）</w:t>
      </w:r>
    </w:p>
    <w:p w14:paraId="57788400">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比选项目名称</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7A696524">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14F1503E">
      <w:pPr>
        <w:tabs>
          <w:tab w:val="left" w:pos="6300"/>
        </w:tabs>
        <w:kinsoku w:val="0"/>
        <w:autoSpaceDE w:val="0"/>
        <w:autoSpaceDN w:val="0"/>
        <w:adjustRightInd w:val="0"/>
        <w:snapToGrid w:val="0"/>
        <w:spacing w:line="500" w:lineRule="exac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致：</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（比选代理机构名称）：</w:t>
      </w:r>
    </w:p>
    <w:p w14:paraId="703DD4F3">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（竞选人法定代表人名称）是</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（竞选人名称）的法定代表人，特授权</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（被授权人姓名及身份证代码）代表我单位全权办理上述项目的竞选、谈判、签约等具体工作，并签署全部有关文件、协议及合同。</w:t>
      </w:r>
    </w:p>
    <w:p w14:paraId="3D91F7D7">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我单位对被授权人的签署负全部责任。</w:t>
      </w:r>
    </w:p>
    <w:p w14:paraId="7D5645E9">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在撤消授权的书面通知以前，本授权书一直有效。被授权人在授权书有效期内签署的所有文件不因授权的撤消而失效。</w:t>
      </w:r>
    </w:p>
    <w:p w14:paraId="34C1C75F">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71418708">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1D90340C">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被授权人：                                 竞选人法定代表人：</w:t>
      </w:r>
    </w:p>
    <w:p w14:paraId="0CB7E691">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（签署或盖章）                                （签署或盖章）</w:t>
      </w:r>
    </w:p>
    <w:p w14:paraId="6857CEEB">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8"/>
          <w:highlight w:val="none"/>
          <w14:textFill>
            <w14:solidFill>
              <w14:schemeClr w14:val="tx1"/>
            </w14:solidFill>
          </w14:textFill>
        </w:rPr>
      </w:pPr>
    </w:p>
    <w:p w14:paraId="29D48982">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00E3D447">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（附：被授权人身份证正反面复印件）</w:t>
      </w:r>
    </w:p>
    <w:p w14:paraId="5EC259BD">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w:t>
      </w:r>
    </w:p>
    <w:p w14:paraId="0830743F">
      <w:pPr>
        <w:tabs>
          <w:tab w:val="left" w:pos="6300"/>
        </w:tabs>
        <w:kinsoku w:val="0"/>
        <w:autoSpaceDE w:val="0"/>
        <w:autoSpaceDN w:val="0"/>
        <w:adjustRightInd w:val="0"/>
        <w:snapToGrid w:val="0"/>
        <w:spacing w:line="500" w:lineRule="exact"/>
        <w:ind w:firstLine="570"/>
        <w:rPr>
          <w:rFonts w:hint="eastAsia" w:ascii="宋体" w:hAnsi="宋体" w:cs="宋体"/>
          <w:color w:val="000000" w:themeColor="text1"/>
          <w:sz w:val="24"/>
          <w:szCs w:val="20"/>
          <w:highlight w:val="none"/>
          <w14:textFill>
            <w14:solidFill>
              <w14:schemeClr w14:val="tx1"/>
            </w14:solidFill>
          </w14:textFill>
        </w:rPr>
      </w:pPr>
    </w:p>
    <w:p w14:paraId="2842CFB1">
      <w:pPr>
        <w:tabs>
          <w:tab w:val="left" w:pos="6300"/>
        </w:tabs>
        <w:kinsoku w:val="0"/>
        <w:autoSpaceDE w:val="0"/>
        <w:autoSpaceDN w:val="0"/>
        <w:adjustRightInd w:val="0"/>
        <w:snapToGrid w:val="0"/>
        <w:spacing w:line="500" w:lineRule="exact"/>
        <w:ind w:right="480" w:firstLine="570"/>
        <w:jc w:val="righ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（竞选人公章）</w:t>
      </w:r>
    </w:p>
    <w:p w14:paraId="56A566B6">
      <w:pPr>
        <w:tabs>
          <w:tab w:val="left" w:pos="6300"/>
        </w:tabs>
        <w:kinsoku w:val="0"/>
        <w:autoSpaceDE w:val="0"/>
        <w:autoSpaceDN w:val="0"/>
        <w:adjustRightInd w:val="0"/>
        <w:snapToGrid w:val="0"/>
        <w:spacing w:line="500" w:lineRule="exact"/>
        <w:ind w:right="480" w:firstLine="570"/>
        <w:jc w:val="righ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年   月   日</w:t>
      </w:r>
    </w:p>
    <w:p w14:paraId="19637009">
      <w:pPr>
        <w:tabs>
          <w:tab w:val="left" w:pos="6300"/>
        </w:tabs>
        <w:kinsoku w:val="0"/>
        <w:autoSpaceDE w:val="0"/>
        <w:autoSpaceDN w:val="0"/>
        <w:adjustRightInd w:val="0"/>
        <w:snapToGrid w:val="0"/>
        <w:spacing w:line="500" w:lineRule="exact"/>
        <w:ind w:right="720" w:firstLine="570"/>
        <w:jc w:val="right"/>
        <w:rPr>
          <w:rFonts w:hint="eastAsia" w:ascii="宋体" w:hAnsi="宋体" w:cs="宋体"/>
          <w:color w:val="000000" w:themeColor="text1"/>
          <w:sz w:val="24"/>
          <w:szCs w:val="20"/>
          <w:highlight w:val="none"/>
          <w14:textFill>
            <w14:solidFill>
              <w14:schemeClr w14:val="tx1"/>
            </w14:solidFill>
          </w14:textFill>
        </w:rPr>
      </w:pPr>
    </w:p>
    <w:p w14:paraId="001BB826">
      <w:pPr>
        <w:tabs>
          <w:tab w:val="left" w:pos="6300"/>
        </w:tabs>
        <w:kinsoku w:val="0"/>
        <w:autoSpaceDE w:val="0"/>
        <w:autoSpaceDN w:val="0"/>
        <w:adjustRightInd w:val="0"/>
        <w:snapToGrid w:val="0"/>
        <w:spacing w:line="500" w:lineRule="exact"/>
        <w:ind w:right="480" w:firstLine="570"/>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被授权人电话：XXXXXXX     电子邮箱：XXXXXX@XXXXX（若法定代表人办理并签署竞选文件的可不填写）</w:t>
      </w:r>
    </w:p>
    <w:p w14:paraId="0404A44D">
      <w:pPr>
        <w:tabs>
          <w:tab w:val="left" w:pos="6300"/>
        </w:tabs>
        <w:kinsoku w:val="0"/>
        <w:autoSpaceDE w:val="0"/>
        <w:autoSpaceDN w:val="0"/>
        <w:adjustRightInd w:val="0"/>
        <w:snapToGrid w:val="0"/>
        <w:spacing w:line="500" w:lineRule="exact"/>
        <w:ind w:right="480" w:firstLine="570"/>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w:t>
      </w:r>
    </w:p>
    <w:p w14:paraId="5941330B">
      <w:pPr>
        <w:tabs>
          <w:tab w:val="left" w:pos="6300"/>
        </w:tabs>
        <w:kinsoku w:val="0"/>
        <w:autoSpaceDE w:val="0"/>
        <w:autoSpaceDN w:val="0"/>
        <w:adjustRightInd w:val="0"/>
        <w:snapToGrid w:val="0"/>
        <w:spacing w:line="500" w:lineRule="exact"/>
        <w:ind w:right="480" w:firstLine="570"/>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1.若为法定代表人办理并签署竞选文件的，不提供此文件。</w:t>
      </w:r>
    </w:p>
    <w:p w14:paraId="06037BBF">
      <w:pPr>
        <w:kinsoku w:val="0"/>
        <w:autoSpaceDE w:val="0"/>
        <w:autoSpaceDN w:val="0"/>
        <w:adjustRightInd w:val="0"/>
        <w:snapToGrid w:val="0"/>
        <w:spacing w:before="156" w:beforeLines="50" w:after="156" w:afterLines="50"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（四）基本资格条件承诺函</w:t>
      </w:r>
    </w:p>
    <w:p w14:paraId="559A2F30">
      <w:pPr>
        <w:kinsoku w:val="0"/>
        <w:autoSpaceDE w:val="0"/>
        <w:autoSpaceDN w:val="0"/>
        <w:adjustRightInd w:val="0"/>
        <w:snapToGrid w:val="0"/>
        <w:spacing w:line="500" w:lineRule="exact"/>
        <w:jc w:val="center"/>
        <w:rPr>
          <w:rFonts w:hint="eastAsia" w:ascii="宋体" w:hAnsi="宋体" w:cs="宋体"/>
          <w:sz w:val="28"/>
          <w:szCs w:val="28"/>
          <w:highlight w:val="none"/>
        </w:rPr>
      </w:pPr>
      <w:bookmarkStart w:id="409" w:name="_Toc27135"/>
      <w:r>
        <w:rPr>
          <w:rFonts w:hint="eastAsia" w:ascii="宋体" w:hAnsi="宋体" w:cs="宋体"/>
          <w:sz w:val="28"/>
          <w:szCs w:val="28"/>
          <w:highlight w:val="none"/>
        </w:rPr>
        <w:t>基本资格条件承诺函</w:t>
      </w:r>
      <w:bookmarkEnd w:id="409"/>
    </w:p>
    <w:p w14:paraId="70AE86A3">
      <w:pPr>
        <w:tabs>
          <w:tab w:val="left" w:pos="6300"/>
        </w:tabs>
        <w:kinsoku w:val="0"/>
        <w:autoSpaceDE w:val="0"/>
        <w:autoSpaceDN w:val="0"/>
        <w:adjustRightInd w:val="0"/>
        <w:snapToGrid w:val="0"/>
        <w:spacing w:line="500" w:lineRule="exact"/>
        <w:rPr>
          <w:rFonts w:hint="eastAsia" w:ascii="宋体" w:hAnsi="宋体" w:cs="宋体"/>
          <w:color w:val="000000" w:themeColor="text1"/>
          <w:sz w:val="24"/>
          <w:szCs w:val="20"/>
          <w:highlight w:val="none"/>
          <w14:textFill>
            <w14:solidFill>
              <w14:schemeClr w14:val="tx1"/>
            </w14:solidFill>
          </w14:textFill>
        </w:rPr>
      </w:pPr>
    </w:p>
    <w:p w14:paraId="00C6DEED">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致</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（比选代理机构名称）：</w:t>
      </w:r>
    </w:p>
    <w:p w14:paraId="3B8F4209">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（竞选人名称）郑重承诺：</w:t>
      </w:r>
    </w:p>
    <w:p w14:paraId="3C760DF9">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cs="宋体"/>
          <w:color w:val="000000" w:themeColor="text1"/>
          <w:sz w:val="24"/>
          <w:szCs w:val="20"/>
          <w:highlight w:val="none"/>
          <w:lang w:val="zh-CN"/>
          <w14:textFill>
            <w14:solidFill>
              <w14:schemeClr w14:val="tx1"/>
            </w14:solidFill>
          </w14:textFill>
        </w:rPr>
        <w:t>有依法缴纳税收和社会保障金的良好记录</w:t>
      </w:r>
      <w:r>
        <w:rPr>
          <w:rFonts w:hint="eastAsia" w:ascii="宋体" w:hAnsi="宋体" w:cs="宋体"/>
          <w:color w:val="000000" w:themeColor="text1"/>
          <w:sz w:val="24"/>
          <w:szCs w:val="20"/>
          <w:highlight w:val="none"/>
          <w14:textFill>
            <w14:solidFill>
              <w14:schemeClr w14:val="tx1"/>
            </w14:solidFill>
          </w14:textFill>
        </w:rPr>
        <w:t>，参加本项目采购活动前三年内无重大违法活动记录。</w:t>
      </w:r>
    </w:p>
    <w:p w14:paraId="4833A960">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4EFBE683">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3.我方在采购项目评审（评标）环节结束后，随时接受比选人、比选代理机构的检查验证，配合提供相关证明材料，证明符合《中华人民共和国政府采购法》规定的竞选人基本资格条件。</w:t>
      </w:r>
    </w:p>
    <w:p w14:paraId="12A9C926">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我方对以上承诺负全部法律责任。</w:t>
      </w:r>
    </w:p>
    <w:p w14:paraId="4E4BF868">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特此承诺。</w:t>
      </w:r>
    </w:p>
    <w:p w14:paraId="4C04AFCA">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p>
    <w:p w14:paraId="38234CE7">
      <w:pPr>
        <w:tabs>
          <w:tab w:val="left" w:pos="6300"/>
        </w:tabs>
        <w:kinsoku w:val="0"/>
        <w:autoSpaceDE w:val="0"/>
        <w:autoSpaceDN w:val="0"/>
        <w:adjustRightInd w:val="0"/>
        <w:snapToGrid w:val="0"/>
        <w:spacing w:line="500" w:lineRule="exact"/>
        <w:ind w:firstLine="480" w:firstLineChars="200"/>
        <w:jc w:val="righ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（竞选人公章）</w:t>
      </w:r>
    </w:p>
    <w:p w14:paraId="433B41E0">
      <w:pPr>
        <w:tabs>
          <w:tab w:val="left" w:pos="6300"/>
        </w:tabs>
        <w:kinsoku w:val="0"/>
        <w:autoSpaceDE w:val="0"/>
        <w:autoSpaceDN w:val="0"/>
        <w:adjustRightInd w:val="0"/>
        <w:snapToGrid w:val="0"/>
        <w:spacing w:line="500" w:lineRule="exact"/>
        <w:ind w:firstLine="480" w:firstLineChars="200"/>
        <w:jc w:val="righ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年   月   日</w:t>
      </w:r>
    </w:p>
    <w:p w14:paraId="569BC651">
      <w:pPr>
        <w:kinsoku w:val="0"/>
        <w:autoSpaceDE w:val="0"/>
        <w:autoSpaceDN w:val="0"/>
        <w:adjustRightInd w:val="0"/>
        <w:snapToGrid w:val="0"/>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p>
    <w:p w14:paraId="1C35808A">
      <w:pPr>
        <w:kinsoku w:val="0"/>
        <w:autoSpaceDE w:val="0"/>
        <w:autoSpaceDN w:val="0"/>
        <w:adjustRightInd w:val="0"/>
        <w:snapToGrid w:val="0"/>
        <w:spacing w:line="500" w:lineRule="exact"/>
        <w:rPr>
          <w:rFonts w:hint="eastAsia" w:ascii="宋体" w:hAnsi="宋体" w:cs="宋体"/>
          <w:color w:val="000000" w:themeColor="text1"/>
          <w:sz w:val="28"/>
          <w:szCs w:val="20"/>
          <w:highlight w:val="none"/>
          <w14:textFill>
            <w14:solidFill>
              <w14:schemeClr w14:val="tx1"/>
            </w14:solidFill>
          </w14:textFill>
        </w:rPr>
      </w:pPr>
    </w:p>
    <w:p w14:paraId="631CC03C">
      <w:pPr>
        <w:kinsoku w:val="0"/>
        <w:autoSpaceDE w:val="0"/>
        <w:autoSpaceDN w:val="0"/>
        <w:adjustRightInd w:val="0"/>
        <w:snapToGrid w:val="0"/>
        <w:spacing w:line="500" w:lineRule="exact"/>
        <w:rPr>
          <w:rFonts w:hint="eastAsia" w:ascii="宋体" w:hAnsi="宋体" w:cs="宋体"/>
          <w:color w:val="000000" w:themeColor="text1"/>
          <w:sz w:val="28"/>
          <w:szCs w:val="20"/>
          <w:highlight w:val="none"/>
          <w14:textFill>
            <w14:solidFill>
              <w14:schemeClr w14:val="tx1"/>
            </w14:solidFill>
          </w14:textFill>
        </w:rPr>
      </w:pPr>
    </w:p>
    <w:p w14:paraId="79400066">
      <w:pPr>
        <w:kinsoku w:val="0"/>
        <w:autoSpaceDE w:val="0"/>
        <w:autoSpaceDN w:val="0"/>
        <w:adjustRightInd w:val="0"/>
        <w:snapToGrid w:val="0"/>
        <w:spacing w:line="500" w:lineRule="exact"/>
        <w:rPr>
          <w:rFonts w:hint="eastAsia" w:ascii="宋体" w:hAnsi="宋体" w:cs="宋体"/>
          <w:color w:val="000000" w:themeColor="text1"/>
          <w:sz w:val="28"/>
          <w:szCs w:val="20"/>
          <w:highlight w:val="none"/>
          <w14:textFill>
            <w14:solidFill>
              <w14:schemeClr w14:val="tx1"/>
            </w14:solidFill>
          </w14:textFill>
        </w:rPr>
      </w:pPr>
    </w:p>
    <w:p w14:paraId="6A03257C">
      <w:pPr>
        <w:kinsoku w:val="0"/>
        <w:autoSpaceDE w:val="0"/>
        <w:autoSpaceDN w:val="0"/>
        <w:adjustRightInd w:val="0"/>
        <w:snapToGrid w:val="0"/>
        <w:spacing w:line="500" w:lineRule="exact"/>
        <w:rPr>
          <w:rFonts w:hint="eastAsia" w:ascii="宋体" w:hAnsi="宋体" w:cs="宋体"/>
          <w:color w:val="000000" w:themeColor="text1"/>
          <w:sz w:val="28"/>
          <w:szCs w:val="20"/>
          <w:highlight w:val="none"/>
          <w14:textFill>
            <w14:solidFill>
              <w14:schemeClr w14:val="tx1"/>
            </w14:solidFill>
          </w14:textFill>
        </w:rPr>
      </w:pPr>
    </w:p>
    <w:p w14:paraId="274ADDDC">
      <w:pPr>
        <w:kinsoku w:val="0"/>
        <w:autoSpaceDE w:val="0"/>
        <w:autoSpaceDN w:val="0"/>
        <w:adjustRightInd w:val="0"/>
        <w:snapToGrid w:val="0"/>
        <w:spacing w:line="500" w:lineRule="exact"/>
        <w:rPr>
          <w:rFonts w:hint="eastAsia" w:ascii="宋体" w:hAnsi="宋体" w:cs="宋体"/>
          <w:color w:val="000000" w:themeColor="text1"/>
          <w:sz w:val="28"/>
          <w:szCs w:val="20"/>
          <w:highlight w:val="none"/>
          <w14:textFill>
            <w14:solidFill>
              <w14:schemeClr w14:val="tx1"/>
            </w14:solidFill>
          </w14:textFill>
        </w:rPr>
      </w:pPr>
    </w:p>
    <w:p w14:paraId="6400A225">
      <w:pPr>
        <w:kinsoku w:val="0"/>
        <w:autoSpaceDE w:val="0"/>
        <w:autoSpaceDN w:val="0"/>
        <w:adjustRightInd w:val="0"/>
        <w:snapToGrid w:val="0"/>
        <w:spacing w:line="500" w:lineRule="exact"/>
        <w:rPr>
          <w:rFonts w:hint="eastAsia" w:ascii="宋体" w:hAnsi="宋体" w:cs="宋体"/>
          <w:color w:val="000000" w:themeColor="text1"/>
          <w:sz w:val="28"/>
          <w:szCs w:val="20"/>
          <w:highlight w:val="none"/>
          <w14:textFill>
            <w14:solidFill>
              <w14:schemeClr w14:val="tx1"/>
            </w14:solidFill>
          </w14:textFill>
        </w:rPr>
      </w:pPr>
    </w:p>
    <w:p w14:paraId="2656888F">
      <w:pPr>
        <w:kinsoku w:val="0"/>
        <w:autoSpaceDE w:val="0"/>
        <w:autoSpaceDN w:val="0"/>
        <w:adjustRightInd w:val="0"/>
        <w:snapToGrid w:val="0"/>
        <w:spacing w:line="500" w:lineRule="exact"/>
        <w:rPr>
          <w:rFonts w:hint="eastAsia" w:ascii="宋体" w:hAnsi="宋体" w:cs="宋体"/>
          <w:color w:val="000000" w:themeColor="text1"/>
          <w:sz w:val="28"/>
          <w:szCs w:val="20"/>
          <w:highlight w:val="none"/>
          <w14:textFill>
            <w14:solidFill>
              <w14:schemeClr w14:val="tx1"/>
            </w14:solidFill>
          </w14:textFill>
        </w:rPr>
      </w:pPr>
    </w:p>
    <w:p w14:paraId="03D3014F">
      <w:pPr>
        <w:tabs>
          <w:tab w:val="left" w:pos="6300"/>
        </w:tabs>
        <w:kinsoku w:val="0"/>
        <w:autoSpaceDE w:val="0"/>
        <w:autoSpaceDN w:val="0"/>
        <w:adjustRightInd w:val="0"/>
        <w:snapToGrid w:val="0"/>
        <w:spacing w:line="500" w:lineRule="exact"/>
        <w:ind w:firstLine="480" w:firstLineChars="20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（五）特定资格条件证书或证明文件</w:t>
      </w:r>
    </w:p>
    <w:p w14:paraId="0926C627">
      <w:pPr>
        <w:tabs>
          <w:tab w:val="left" w:pos="6300"/>
        </w:tabs>
        <w:kinsoku w:val="0"/>
        <w:autoSpaceDE w:val="0"/>
        <w:autoSpaceDN w:val="0"/>
        <w:adjustRightInd w:val="0"/>
        <w:snapToGrid w:val="0"/>
        <w:spacing w:line="500" w:lineRule="exact"/>
        <w:ind w:firstLine="570"/>
        <w:jc w:val="left"/>
        <w:rPr>
          <w:rFonts w:hint="eastAsia" w:ascii="宋体" w:hAnsi="宋体" w:cs="宋体"/>
          <w:color w:val="000000" w:themeColor="text1"/>
          <w:sz w:val="24"/>
          <w:szCs w:val="20"/>
          <w:highlight w:val="none"/>
          <w14:textFill>
            <w14:solidFill>
              <w14:schemeClr w14:val="tx1"/>
            </w14:solidFill>
          </w14:textFill>
        </w:rPr>
      </w:pPr>
    </w:p>
    <w:p w14:paraId="3435064C">
      <w:pPr>
        <w:tabs>
          <w:tab w:val="left" w:pos="6300"/>
        </w:tabs>
        <w:kinsoku w:val="0"/>
        <w:autoSpaceDE w:val="0"/>
        <w:autoSpaceDN w:val="0"/>
        <w:adjustRightInd w:val="0"/>
        <w:snapToGrid w:val="0"/>
        <w:spacing w:line="500" w:lineRule="exact"/>
        <w:ind w:firstLine="570"/>
        <w:jc w:val="left"/>
        <w:rPr>
          <w:rFonts w:hint="eastAsia" w:ascii="宋体" w:hAnsi="宋体" w:cs="宋体"/>
          <w:color w:val="000000" w:themeColor="text1"/>
          <w:sz w:val="24"/>
          <w:szCs w:val="20"/>
          <w:highlight w:val="none"/>
          <w14:textFill>
            <w14:solidFill>
              <w14:schemeClr w14:val="tx1"/>
            </w14:solidFill>
          </w14:textFill>
        </w:rPr>
      </w:pPr>
    </w:p>
    <w:p w14:paraId="62CE35B8">
      <w:pPr>
        <w:tabs>
          <w:tab w:val="left" w:pos="6300"/>
        </w:tabs>
        <w:kinsoku w:val="0"/>
        <w:autoSpaceDE w:val="0"/>
        <w:autoSpaceDN w:val="0"/>
        <w:adjustRightInd w:val="0"/>
        <w:snapToGrid w:val="0"/>
        <w:spacing w:line="500" w:lineRule="exact"/>
        <w:ind w:firstLine="570"/>
        <w:jc w:val="left"/>
        <w:rPr>
          <w:rFonts w:hint="eastAsia" w:ascii="宋体" w:hAnsi="宋体" w:cs="宋体"/>
          <w:color w:val="000000" w:themeColor="text1"/>
          <w:sz w:val="24"/>
          <w:szCs w:val="20"/>
          <w:highlight w:val="none"/>
          <w14:textFill>
            <w14:solidFill>
              <w14:schemeClr w14:val="tx1"/>
            </w14:solidFill>
          </w14:textFill>
        </w:rPr>
      </w:pPr>
    </w:p>
    <w:p w14:paraId="0E53B063">
      <w:pPr>
        <w:tabs>
          <w:tab w:val="left" w:pos="6300"/>
        </w:tabs>
        <w:kinsoku w:val="0"/>
        <w:autoSpaceDE w:val="0"/>
        <w:autoSpaceDN w:val="0"/>
        <w:adjustRightInd w:val="0"/>
        <w:snapToGrid w:val="0"/>
        <w:spacing w:line="500" w:lineRule="exact"/>
        <w:ind w:firstLine="570"/>
        <w:jc w:val="left"/>
        <w:rPr>
          <w:rFonts w:hint="eastAsia" w:ascii="宋体" w:hAnsi="宋体" w:cs="宋体"/>
          <w:color w:val="000000" w:themeColor="text1"/>
          <w:sz w:val="24"/>
          <w:szCs w:val="20"/>
          <w:highlight w:val="none"/>
          <w14:textFill>
            <w14:solidFill>
              <w14:schemeClr w14:val="tx1"/>
            </w14:solidFill>
          </w14:textFill>
        </w:rPr>
      </w:pPr>
    </w:p>
    <w:p w14:paraId="6B50B883">
      <w:pPr>
        <w:tabs>
          <w:tab w:val="left" w:pos="6300"/>
        </w:tabs>
        <w:kinsoku w:val="0"/>
        <w:autoSpaceDE w:val="0"/>
        <w:autoSpaceDN w:val="0"/>
        <w:adjustRightInd w:val="0"/>
        <w:snapToGrid w:val="0"/>
        <w:spacing w:line="500" w:lineRule="exact"/>
        <w:ind w:firstLine="570"/>
        <w:jc w:val="left"/>
        <w:rPr>
          <w:rFonts w:hint="eastAsia" w:ascii="宋体" w:hAnsi="宋体" w:cs="宋体"/>
          <w:color w:val="000000" w:themeColor="text1"/>
          <w:sz w:val="24"/>
          <w:szCs w:val="20"/>
          <w:highlight w:val="none"/>
          <w14:textFill>
            <w14:solidFill>
              <w14:schemeClr w14:val="tx1"/>
            </w14:solidFill>
          </w14:textFill>
        </w:rPr>
      </w:pPr>
    </w:p>
    <w:p w14:paraId="59BB4173">
      <w:pPr>
        <w:tabs>
          <w:tab w:val="left" w:pos="6300"/>
        </w:tabs>
        <w:kinsoku w:val="0"/>
        <w:autoSpaceDE w:val="0"/>
        <w:autoSpaceDN w:val="0"/>
        <w:adjustRightInd w:val="0"/>
        <w:snapToGrid w:val="0"/>
        <w:spacing w:line="500" w:lineRule="exact"/>
        <w:ind w:firstLine="570"/>
        <w:jc w:val="left"/>
        <w:rPr>
          <w:rFonts w:hint="eastAsia" w:ascii="宋体" w:hAnsi="宋体" w:cs="宋体"/>
          <w:color w:val="000000" w:themeColor="text1"/>
          <w:sz w:val="24"/>
          <w:szCs w:val="20"/>
          <w:highlight w:val="none"/>
          <w14:textFill>
            <w14:solidFill>
              <w14:schemeClr w14:val="tx1"/>
            </w14:solidFill>
          </w14:textFill>
        </w:rPr>
      </w:pPr>
    </w:p>
    <w:p w14:paraId="0340D016">
      <w:pPr>
        <w:tabs>
          <w:tab w:val="left" w:pos="6300"/>
        </w:tabs>
        <w:kinsoku w:val="0"/>
        <w:autoSpaceDE w:val="0"/>
        <w:autoSpaceDN w:val="0"/>
        <w:adjustRightInd w:val="0"/>
        <w:snapToGrid w:val="0"/>
        <w:spacing w:line="500" w:lineRule="exact"/>
        <w:ind w:firstLine="570"/>
        <w:jc w:val="left"/>
        <w:rPr>
          <w:rFonts w:hint="eastAsia" w:ascii="宋体" w:hAnsi="宋体" w:cs="宋体"/>
          <w:color w:val="000000" w:themeColor="text1"/>
          <w:sz w:val="24"/>
          <w:szCs w:val="20"/>
          <w:highlight w:val="none"/>
          <w14:textFill>
            <w14:solidFill>
              <w14:schemeClr w14:val="tx1"/>
            </w14:solidFill>
          </w14:textFill>
        </w:rPr>
      </w:pPr>
    </w:p>
    <w:p w14:paraId="569E6F12">
      <w:pPr>
        <w:tabs>
          <w:tab w:val="left" w:pos="6300"/>
        </w:tabs>
        <w:kinsoku w:val="0"/>
        <w:autoSpaceDE w:val="0"/>
        <w:autoSpaceDN w:val="0"/>
        <w:adjustRightInd w:val="0"/>
        <w:snapToGrid w:val="0"/>
        <w:spacing w:line="500" w:lineRule="exact"/>
        <w:jc w:val="left"/>
        <w:rPr>
          <w:rFonts w:hint="eastAsia" w:ascii="宋体" w:hAnsi="宋体" w:cs="宋体"/>
          <w:color w:val="000000" w:themeColor="text1"/>
          <w:sz w:val="24"/>
          <w:szCs w:val="20"/>
          <w:highlight w:val="none"/>
          <w14:textFill>
            <w14:solidFill>
              <w14:schemeClr w14:val="tx1"/>
            </w14:solidFill>
          </w14:textFill>
        </w:rPr>
      </w:pPr>
    </w:p>
    <w:p w14:paraId="4228216C">
      <w:pPr>
        <w:kinsoku w:val="0"/>
        <w:autoSpaceDE w:val="0"/>
        <w:autoSpaceDN w:val="0"/>
        <w:adjustRightInd w:val="0"/>
        <w:snapToGrid w:val="0"/>
        <w:spacing w:line="500" w:lineRule="exact"/>
        <w:jc w:val="center"/>
        <w:rPr>
          <w:rFonts w:hint="eastAsia" w:ascii="宋体" w:hAnsi="宋体" w:cs="宋体"/>
          <w:sz w:val="24"/>
          <w:highlight w:val="none"/>
        </w:rPr>
      </w:pPr>
      <w:bookmarkStart w:id="410" w:name="_Toc26730"/>
      <w:bookmarkStart w:id="411" w:name="_Toc13384"/>
      <w:r>
        <w:rPr>
          <w:rFonts w:hint="eastAsia" w:ascii="宋体" w:hAnsi="宋体" w:cs="宋体"/>
          <w:sz w:val="24"/>
          <w:highlight w:val="none"/>
        </w:rPr>
        <w:t>（结束）</w:t>
      </w:r>
      <w:bookmarkEnd w:id="285"/>
      <w:bookmarkEnd w:id="410"/>
      <w:bookmarkEnd w:id="411"/>
    </w:p>
    <w:p w14:paraId="1577756A">
      <w:pPr>
        <w:kinsoku w:val="0"/>
        <w:autoSpaceDE w:val="0"/>
        <w:autoSpaceDN w:val="0"/>
        <w:adjustRightInd w:val="0"/>
        <w:snapToGrid w:val="0"/>
        <w:spacing w:line="500" w:lineRule="exact"/>
        <w:rPr>
          <w:rFonts w:hint="eastAsia" w:ascii="宋体" w:hAnsi="宋体" w:cs="宋体"/>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68C76B3-0B2F-4422-8D65-DD053B7D7E6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64869C4B-8CC2-4123-B7BE-4E7CC9458BE1}"/>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DC78">
    <w:pPr>
      <w:snapToGrid w:val="0"/>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4EFCC">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LA34t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k+oUQzhZKfv387&#10;//h1/vmVxENI1Fo/Q+TWIjZ0b02HxhnOPQ4j865yKn7BicAPgU9XgUUXCI+XppPpNIeLwzdsgJ89&#10;XrfOh3fCKBKNgjpUMAnLjhsf+tAhJGbTZt1ImaooNWkLevP6TZ4uXD0Alxo5Ion+sdEK3a67MNuZ&#10;8gRizvTd4S1fN0i+YT48MId2wIMxMOEeSyUNkpiLRUlt3Jd/ncd4VAleSlq0V0E1pokS+V6jegAM&#10;g+EGYzcY+qDuDPp1jEG0PJm44IIczMoZ9RlTtIw54GKaI1NBw2Dehb7FMYVcLJcpCP1mWdjoreUR&#10;Oorn7fIQIGDSNYrSK3HRCh2XKnOZ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GLA34tAgAAWQQAAA4AAAAAAAAAAQAgAAAAHwEAAGRycy9lMm9Eb2MueG1sUEsFBgAAAAAG&#10;AAYAWQEAAL4FAAAAAA==&#10;">
              <v:fill on="f" focussize="0,0"/>
              <v:stroke on="f" weight="0.5pt"/>
              <v:imagedata o:title=""/>
              <o:lock v:ext="edit" aspectratio="f"/>
              <v:textbox inset="0mm,0mm,0mm,0mm" style="mso-fit-shape-to-text:t;">
                <w:txbxContent>
                  <w:p w14:paraId="2044EFCC">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5273">
    <w:pPr>
      <w:framePr w:wrap="around" w:vAnchor="text" w:hAnchor="margin" w:xAlign="center" w:y="1"/>
      <w:snapToGrid w:val="0"/>
      <w:jc w:val="left"/>
      <w:rPr>
        <w:rStyle w:val="23"/>
        <w:sz w:val="18"/>
      </w:rPr>
    </w:pPr>
    <w:r>
      <w:rPr>
        <w:sz w:val="18"/>
      </w:rPr>
      <w:fldChar w:fldCharType="begin"/>
    </w:r>
    <w:r>
      <w:rPr>
        <w:rStyle w:val="23"/>
        <w:sz w:val="28"/>
      </w:rPr>
      <w:instrText xml:space="preserve">PAGE  </w:instrText>
    </w:r>
    <w:r>
      <w:rPr>
        <w:sz w:val="18"/>
      </w:rPr>
      <w:fldChar w:fldCharType="separate"/>
    </w:r>
    <w:r>
      <w:rPr>
        <w:sz w:val="18"/>
      </w:rPr>
      <w:fldChar w:fldCharType="end"/>
    </w:r>
  </w:p>
  <w:p w14:paraId="165B84A2">
    <w:pPr>
      <w:snapToGrid w:val="0"/>
      <w:jc w:val="lef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1631F">
    <w:pPr>
      <w:framePr w:wrap="around" w:vAnchor="text" w:hAnchor="margin" w:xAlign="center" w:y="1"/>
      <w:snapToGrid w:val="0"/>
      <w:jc w:val="left"/>
      <w:rPr>
        <w:rStyle w:val="23"/>
        <w:sz w:val="18"/>
      </w:rPr>
    </w:pPr>
  </w:p>
  <w:p w14:paraId="314639C3">
    <w:pPr>
      <w:snapToGrid w:val="0"/>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8E60">
    <w:pPr>
      <w:snapToGrid w:val="0"/>
      <w:rPr>
        <w:rFonts w:hint="eastAsia" w:ascii="宋体" w:hAnsi="宋体"/>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179EC">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LyMuAgAAWQQAAA4AAABkcnMvZTJvRG9jLnhtbK1UzY7TMBC+I/EO&#10;lu80aVes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p99TZPFy4egEuNHJFE/9hohW7bnZlt&#10;TXkEMWf67vCWrxsk3zAf7plDO+DBGJhwh6WSBknM2aKkNu7rv85jPKoELyUt2qugGtNEifygUT0A&#10;hsFwg7EdDL1Xtwb9OsYgWp5MXHBBDmbljPqCKVrGHHAxzZGpoGEwb0Pf4phCLpbLFIR+syxs9IPl&#10;ETqK5+1yHyBg0jWK0itx1godlypzno7Y0n/uU9TTH2Hx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1C8jLgIAAFkEAAAOAAAAAAAAAAEAIAAAAB8BAABkcnMvZTJvRG9jLnhtbFBLBQYAAAAA&#10;BgAGAFkBAAC/BQAAAAA=&#10;">
              <v:fill on="f" focussize="0,0"/>
              <v:stroke on="f" weight="0.5pt"/>
              <v:imagedata o:title=""/>
              <o:lock v:ext="edit" aspectratio="f"/>
              <v:textbox inset="0mm,0mm,0mm,0mm" style="mso-fit-shape-to-text:t;">
                <w:txbxContent>
                  <w:p w14:paraId="35E179EC">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6C65">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2F23C">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0282F23C">
                    <w:pPr>
                      <w:pStyle w:val="13"/>
                    </w:pPr>
                    <w:r>
                      <w:fldChar w:fldCharType="begin"/>
                    </w:r>
                    <w:r>
                      <w:instrText xml:space="preserve"> PAGE  \* MERGEFORMAT </w:instrText>
                    </w:r>
                    <w:r>
                      <w:fldChar w:fldCharType="separate"/>
                    </w:r>
                    <w:r>
                      <w:t>33</w:t>
                    </w:r>
                    <w:r>
                      <w:fldChar w:fldCharType="end"/>
                    </w:r>
                  </w:p>
                </w:txbxContent>
              </v:textbox>
            </v:shape>
          </w:pict>
        </mc:Fallback>
      </mc:AlternateContent>
    </w:r>
  </w:p>
  <w:p w14:paraId="081DDBA1">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FDC91">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FC975">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StzYu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IR+syxs9IPl&#10;ETqK5+1yHyBg0jWK0itx1godlypzno7Y0n/uU9TTH2Hx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aErc2LgIAAFkEAAAOAAAAAAAAAAEAIAAAAB8BAABkcnMvZTJvRG9jLnhtbFBLBQYAAAAA&#10;BgAGAFkBAAC/BQAAAAA=&#10;">
              <v:fill on="f" focussize="0,0"/>
              <v:stroke on="f" weight="0.5pt"/>
              <v:imagedata o:title=""/>
              <o:lock v:ext="edit" aspectratio="f"/>
              <v:textbox inset="0mm,0mm,0mm,0mm" style="mso-fit-shape-to-text:t;">
                <w:txbxContent>
                  <w:p w14:paraId="1C5FC975">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58EA">
    <w:pPr>
      <w:pStyle w:val="13"/>
      <w:jc w:val="center"/>
      <w:rPr>
        <w:rFonts w:hint="eastAsia" w:ascii="宋体" w:hAnsi="宋体"/>
        <w:sz w:val="21"/>
        <w:szCs w:val="21"/>
      </w:rPr>
    </w:pPr>
    <w:r>
      <w:rPr>
        <w:rFonts w:ascii="宋体" w:hAnsi="宋体"/>
        <w:sz w:val="21"/>
        <w:szCs w:val="21"/>
      </w:rPr>
      <w:fldChar w:fldCharType="begin"/>
    </w:r>
    <w:r>
      <w:rPr>
        <w:rStyle w:val="23"/>
        <w:rFonts w:ascii="宋体" w:hAnsi="宋体"/>
        <w:sz w:val="21"/>
        <w:szCs w:val="21"/>
      </w:rPr>
      <w:instrText xml:space="preserve"> PAGE </w:instrText>
    </w:r>
    <w:r>
      <w:rPr>
        <w:rFonts w:ascii="宋体" w:hAnsi="宋体"/>
        <w:sz w:val="21"/>
        <w:szCs w:val="21"/>
      </w:rPr>
      <w:fldChar w:fldCharType="separate"/>
    </w:r>
    <w:r>
      <w:rPr>
        <w:rStyle w:val="23"/>
        <w:rFonts w:ascii="宋体" w:hAnsi="宋体"/>
        <w:sz w:val="21"/>
        <w:szCs w:val="21"/>
      </w:rPr>
      <w:t>- 14 -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17F3C">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- 1 -</w:t>
    </w:r>
    <w:r>
      <w:fldChar w:fldCharType="end"/>
    </w:r>
  </w:p>
  <w:p w14:paraId="69906C45">
    <w:pPr>
      <w:pStyle w:val="1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9E7C">
    <w:pPr>
      <w:pStyle w:val="13"/>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F8B3B">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yw9EtAgAAWQQAAA4AAABkcnMvZTJvRG9jLnhtbK1UzY7TMBC+I/EO&#10;lu80aRFVVTVdla2KkCp2pQVxdh2nieQ/2W6T8gDwBpy4cOe5+hx8dpouWjjsgYsz9oy/8ffNTBY3&#10;nZLkKJxvjC7oeJRTIjQ3ZaP3Bf30cfNqRokPTJdMGi0KehKe3ixfvli0di4mpjayFI4ARPt5awta&#10;h2DnWeZ5LRTzI2OFhrMyTrGArdtnpWMt0JXMJnk+zVrjSusMF97jdN076QXRPQfQVFXDxdrwgxI6&#10;9KhOSBZAydeN9XSZXltVgoe7qvIiEFlQMA1pRRLYu7hmywWb7x2zdcMvT2DPecITToo1GkmvUGsW&#10;GDm45i8o1XBnvKnCiBuV9USSImAxzp9o81AzKxIXSO3tVXT//2D5h+O9I01Z0Ek+pUQzhZKfv387&#10;//h1/vmVxENI1Fo/R+SDRWzo3poOjTOcexxG5l3lVPyCE4EfAp+uAosuEB4vzSazWQ4Xh2/YAD97&#10;vG6dD++EUSQaBXWoYBKWHbc+9KFDSMymzaaRMlVRatIWdPr6TZ4uXD0Alxo5Ion+sdEK3a67MNuZ&#10;8gRizvTd4S3fNEi+ZT7cM4d2wIMxMOEOSyUNkpiLRUlt3Jd/ncd4VAleSlq0V0E1pokS+V6jegAM&#10;g+EGYzcY+qBuDfp1jEG0PJm44IIczMoZ9RlTtIo54GKaI1NBw2Dehr7FMYVcrFYpCP1mWdjqB8sj&#10;dBTP29UhQMCkaxSlV+KiFTouVeYyHbGl/9ynqMc/w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jyw9EtAgAAWQQAAA4AAAAAAAAAAQAgAAAAHwEAAGRycy9lMm9Eb2MueG1sUEsFBgAAAAAG&#10;AAYAWQEAAL4FAAAAAA==&#10;">
              <v:fill on="f" focussize="0,0"/>
              <v:stroke on="f" weight="0.5pt"/>
              <v:imagedata o:title=""/>
              <o:lock v:ext="edit" aspectratio="f"/>
              <v:textbox inset="0mm,0mm,0mm,0mm" style="mso-fit-shape-to-text:t;">
                <w:txbxContent>
                  <w:p w14:paraId="594F8B3B">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6E902">
    <w:pPr>
      <w:snapToGrid w:val="0"/>
      <w:jc w:val="cent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F1A59">
    <w:pPr>
      <w:pStyle w:val="14"/>
      <w:pBdr>
        <w:bottom w:val="none" w:color="auto" w:sz="0" w:space="1"/>
      </w:pBdr>
      <w:rPr>
        <w:rFonts w:ascii="方正仿宋_GBK" w:eastAsia="方正仿宋_GBK"/>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FA22F">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32B53"/>
    <w:multiLevelType w:val="singleLevel"/>
    <w:tmpl w:val="EA532B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YmQ0NTU2OWQ0MWM2MzkyZTUyNGRhMzkwNjVjNzQifQ=="/>
  </w:docVars>
  <w:rsids>
    <w:rsidRoot w:val="25E3530B"/>
    <w:rsid w:val="00285085"/>
    <w:rsid w:val="00425A1B"/>
    <w:rsid w:val="00597DCA"/>
    <w:rsid w:val="00702588"/>
    <w:rsid w:val="00773916"/>
    <w:rsid w:val="007F6B72"/>
    <w:rsid w:val="00817748"/>
    <w:rsid w:val="0083346C"/>
    <w:rsid w:val="008D4A14"/>
    <w:rsid w:val="00E36705"/>
    <w:rsid w:val="00F11770"/>
    <w:rsid w:val="00F75E14"/>
    <w:rsid w:val="01422176"/>
    <w:rsid w:val="016B2FE8"/>
    <w:rsid w:val="016D6AC7"/>
    <w:rsid w:val="019C5941"/>
    <w:rsid w:val="01A27F64"/>
    <w:rsid w:val="01E94791"/>
    <w:rsid w:val="02535D78"/>
    <w:rsid w:val="0262251B"/>
    <w:rsid w:val="02847D4F"/>
    <w:rsid w:val="02920F12"/>
    <w:rsid w:val="0332754E"/>
    <w:rsid w:val="035306C0"/>
    <w:rsid w:val="03600692"/>
    <w:rsid w:val="038F71C9"/>
    <w:rsid w:val="03A26EFC"/>
    <w:rsid w:val="04025BED"/>
    <w:rsid w:val="046139A0"/>
    <w:rsid w:val="048F385E"/>
    <w:rsid w:val="04932CE9"/>
    <w:rsid w:val="04E8759B"/>
    <w:rsid w:val="051C7EDF"/>
    <w:rsid w:val="0523406D"/>
    <w:rsid w:val="05277267"/>
    <w:rsid w:val="05643E6E"/>
    <w:rsid w:val="057E5747"/>
    <w:rsid w:val="058F1702"/>
    <w:rsid w:val="05B178CA"/>
    <w:rsid w:val="05D67331"/>
    <w:rsid w:val="05EA7BE8"/>
    <w:rsid w:val="06345BBB"/>
    <w:rsid w:val="064222D0"/>
    <w:rsid w:val="06F07F7E"/>
    <w:rsid w:val="070B35AF"/>
    <w:rsid w:val="071A7A34"/>
    <w:rsid w:val="0739256A"/>
    <w:rsid w:val="07411DE3"/>
    <w:rsid w:val="075C73C2"/>
    <w:rsid w:val="077A72FE"/>
    <w:rsid w:val="07F77E76"/>
    <w:rsid w:val="08713341"/>
    <w:rsid w:val="088A7F5F"/>
    <w:rsid w:val="08A63DCB"/>
    <w:rsid w:val="08BE0C1E"/>
    <w:rsid w:val="09465016"/>
    <w:rsid w:val="095A36C5"/>
    <w:rsid w:val="09A63865"/>
    <w:rsid w:val="09DE7E5F"/>
    <w:rsid w:val="0A5F5791"/>
    <w:rsid w:val="0AC05877"/>
    <w:rsid w:val="0ADF4ED4"/>
    <w:rsid w:val="0B464611"/>
    <w:rsid w:val="0B70168E"/>
    <w:rsid w:val="0B91219C"/>
    <w:rsid w:val="0C3235A9"/>
    <w:rsid w:val="0C5164CB"/>
    <w:rsid w:val="0C9475FE"/>
    <w:rsid w:val="0CEB3524"/>
    <w:rsid w:val="0D3C46F6"/>
    <w:rsid w:val="0D7D62E4"/>
    <w:rsid w:val="0DBC6173"/>
    <w:rsid w:val="0E1609EF"/>
    <w:rsid w:val="0E595022"/>
    <w:rsid w:val="0F521683"/>
    <w:rsid w:val="0F96085B"/>
    <w:rsid w:val="0FEE68F8"/>
    <w:rsid w:val="100D6C71"/>
    <w:rsid w:val="100E247B"/>
    <w:rsid w:val="1053332C"/>
    <w:rsid w:val="107176DE"/>
    <w:rsid w:val="108F3E01"/>
    <w:rsid w:val="1111309E"/>
    <w:rsid w:val="11146F5F"/>
    <w:rsid w:val="11242B2F"/>
    <w:rsid w:val="11731929"/>
    <w:rsid w:val="117C0DA8"/>
    <w:rsid w:val="11BF511D"/>
    <w:rsid w:val="11D0732A"/>
    <w:rsid w:val="11D22345"/>
    <w:rsid w:val="11F56B6F"/>
    <w:rsid w:val="12132192"/>
    <w:rsid w:val="121F1C23"/>
    <w:rsid w:val="123F625E"/>
    <w:rsid w:val="12503FC7"/>
    <w:rsid w:val="1255782F"/>
    <w:rsid w:val="12DE7825"/>
    <w:rsid w:val="1319085D"/>
    <w:rsid w:val="13596EAB"/>
    <w:rsid w:val="13D604FC"/>
    <w:rsid w:val="14180B15"/>
    <w:rsid w:val="148F7029"/>
    <w:rsid w:val="14D64C58"/>
    <w:rsid w:val="152739BF"/>
    <w:rsid w:val="161C7AD3"/>
    <w:rsid w:val="162C66C8"/>
    <w:rsid w:val="164334F1"/>
    <w:rsid w:val="164B51D1"/>
    <w:rsid w:val="164D0F49"/>
    <w:rsid w:val="16593EDF"/>
    <w:rsid w:val="168129A1"/>
    <w:rsid w:val="169326D4"/>
    <w:rsid w:val="16ED5BDF"/>
    <w:rsid w:val="170020D5"/>
    <w:rsid w:val="1743234C"/>
    <w:rsid w:val="178C102A"/>
    <w:rsid w:val="17996410"/>
    <w:rsid w:val="17A73D95"/>
    <w:rsid w:val="17D336D0"/>
    <w:rsid w:val="17F07A08"/>
    <w:rsid w:val="18117947"/>
    <w:rsid w:val="1864257A"/>
    <w:rsid w:val="18C27DA6"/>
    <w:rsid w:val="18FD025F"/>
    <w:rsid w:val="18FF4051"/>
    <w:rsid w:val="190A2D39"/>
    <w:rsid w:val="19756792"/>
    <w:rsid w:val="197F082A"/>
    <w:rsid w:val="19E534B8"/>
    <w:rsid w:val="1A5E2F6F"/>
    <w:rsid w:val="1A8213DE"/>
    <w:rsid w:val="1A8A011D"/>
    <w:rsid w:val="1AB62AB7"/>
    <w:rsid w:val="1ADD6E70"/>
    <w:rsid w:val="1B1177A6"/>
    <w:rsid w:val="1B944081"/>
    <w:rsid w:val="1BB702B2"/>
    <w:rsid w:val="1BBF031A"/>
    <w:rsid w:val="1C1849F6"/>
    <w:rsid w:val="1C5B7760"/>
    <w:rsid w:val="1CDC3027"/>
    <w:rsid w:val="1D3C79E6"/>
    <w:rsid w:val="1D7C697F"/>
    <w:rsid w:val="1D835251"/>
    <w:rsid w:val="1D885B1E"/>
    <w:rsid w:val="1DCA10D2"/>
    <w:rsid w:val="1E0F2F88"/>
    <w:rsid w:val="1E3A57F5"/>
    <w:rsid w:val="1E4A2212"/>
    <w:rsid w:val="1E5E181A"/>
    <w:rsid w:val="1E7352C5"/>
    <w:rsid w:val="1E8C45D9"/>
    <w:rsid w:val="1FA71066"/>
    <w:rsid w:val="1FA76A3E"/>
    <w:rsid w:val="202C471D"/>
    <w:rsid w:val="20931C4F"/>
    <w:rsid w:val="21BA4A77"/>
    <w:rsid w:val="221C6A3A"/>
    <w:rsid w:val="22240E83"/>
    <w:rsid w:val="2230171F"/>
    <w:rsid w:val="229413DE"/>
    <w:rsid w:val="22AF75A2"/>
    <w:rsid w:val="22E06CA1"/>
    <w:rsid w:val="22E569AE"/>
    <w:rsid w:val="23D507D0"/>
    <w:rsid w:val="241C0365"/>
    <w:rsid w:val="249F2F71"/>
    <w:rsid w:val="24D40A88"/>
    <w:rsid w:val="24F17F41"/>
    <w:rsid w:val="25207829"/>
    <w:rsid w:val="25290CC9"/>
    <w:rsid w:val="25371FEE"/>
    <w:rsid w:val="256E2C8A"/>
    <w:rsid w:val="256F255E"/>
    <w:rsid w:val="25AC080E"/>
    <w:rsid w:val="25B52667"/>
    <w:rsid w:val="25E3530B"/>
    <w:rsid w:val="261F21D6"/>
    <w:rsid w:val="26B446CD"/>
    <w:rsid w:val="26BE72FA"/>
    <w:rsid w:val="26C2328E"/>
    <w:rsid w:val="26D60AE7"/>
    <w:rsid w:val="27003DB6"/>
    <w:rsid w:val="275E73AA"/>
    <w:rsid w:val="27797885"/>
    <w:rsid w:val="2799164B"/>
    <w:rsid w:val="27CA1788"/>
    <w:rsid w:val="280F5547"/>
    <w:rsid w:val="28697739"/>
    <w:rsid w:val="28E41726"/>
    <w:rsid w:val="28E84B02"/>
    <w:rsid w:val="29061627"/>
    <w:rsid w:val="291F73DA"/>
    <w:rsid w:val="293607E6"/>
    <w:rsid w:val="2A992557"/>
    <w:rsid w:val="2ABC6147"/>
    <w:rsid w:val="2ABC76BA"/>
    <w:rsid w:val="2AD64354"/>
    <w:rsid w:val="2B2C33CC"/>
    <w:rsid w:val="2B453F3B"/>
    <w:rsid w:val="2B632B65"/>
    <w:rsid w:val="2C420A8F"/>
    <w:rsid w:val="2CA46F92"/>
    <w:rsid w:val="2CA86A82"/>
    <w:rsid w:val="2CD41183"/>
    <w:rsid w:val="2CFD5684"/>
    <w:rsid w:val="2D0B38A9"/>
    <w:rsid w:val="2D406CBA"/>
    <w:rsid w:val="2DAC07F4"/>
    <w:rsid w:val="2DF002CB"/>
    <w:rsid w:val="2E132621"/>
    <w:rsid w:val="2E21674A"/>
    <w:rsid w:val="2E717347"/>
    <w:rsid w:val="2E8A7074"/>
    <w:rsid w:val="2E8F7DEB"/>
    <w:rsid w:val="2ED41BBC"/>
    <w:rsid w:val="2F1C3A7B"/>
    <w:rsid w:val="2F1F0B51"/>
    <w:rsid w:val="2F7470EF"/>
    <w:rsid w:val="2F7E463C"/>
    <w:rsid w:val="2F8F5CD7"/>
    <w:rsid w:val="2FB90FA6"/>
    <w:rsid w:val="2FE35D5C"/>
    <w:rsid w:val="2FF16E05"/>
    <w:rsid w:val="2FF81ACE"/>
    <w:rsid w:val="30467009"/>
    <w:rsid w:val="307777B8"/>
    <w:rsid w:val="30A1225B"/>
    <w:rsid w:val="30AB7AF3"/>
    <w:rsid w:val="30F63FC7"/>
    <w:rsid w:val="31C64B0C"/>
    <w:rsid w:val="32096215"/>
    <w:rsid w:val="32987598"/>
    <w:rsid w:val="33072028"/>
    <w:rsid w:val="33265342"/>
    <w:rsid w:val="33E64EB5"/>
    <w:rsid w:val="33E67E90"/>
    <w:rsid w:val="3442156A"/>
    <w:rsid w:val="34E84978"/>
    <w:rsid w:val="3541380F"/>
    <w:rsid w:val="35E14DB3"/>
    <w:rsid w:val="35EB7D37"/>
    <w:rsid w:val="36624145"/>
    <w:rsid w:val="367B0D63"/>
    <w:rsid w:val="36DF6E83"/>
    <w:rsid w:val="37155888"/>
    <w:rsid w:val="37982FEA"/>
    <w:rsid w:val="37C8447C"/>
    <w:rsid w:val="382D63D2"/>
    <w:rsid w:val="384660AB"/>
    <w:rsid w:val="38466EBB"/>
    <w:rsid w:val="38726196"/>
    <w:rsid w:val="387939C8"/>
    <w:rsid w:val="38903AF0"/>
    <w:rsid w:val="38A51D7C"/>
    <w:rsid w:val="38E946AA"/>
    <w:rsid w:val="39406294"/>
    <w:rsid w:val="399F745E"/>
    <w:rsid w:val="39BB4388"/>
    <w:rsid w:val="39C12F31"/>
    <w:rsid w:val="39D2513E"/>
    <w:rsid w:val="39EE5DD1"/>
    <w:rsid w:val="39F57C46"/>
    <w:rsid w:val="3A304917"/>
    <w:rsid w:val="3A7B3AC4"/>
    <w:rsid w:val="3A9A2E11"/>
    <w:rsid w:val="3AB24744"/>
    <w:rsid w:val="3AE50EA1"/>
    <w:rsid w:val="3B087EF9"/>
    <w:rsid w:val="3B263F55"/>
    <w:rsid w:val="3BCB62E9"/>
    <w:rsid w:val="3C0271FA"/>
    <w:rsid w:val="3C1B7B8B"/>
    <w:rsid w:val="3C3C7EA1"/>
    <w:rsid w:val="3C5E1B18"/>
    <w:rsid w:val="3C720E5A"/>
    <w:rsid w:val="3C991F43"/>
    <w:rsid w:val="3D1E66D3"/>
    <w:rsid w:val="3DF8538F"/>
    <w:rsid w:val="3E063608"/>
    <w:rsid w:val="3E133F77"/>
    <w:rsid w:val="3E3444BC"/>
    <w:rsid w:val="3E7E5396"/>
    <w:rsid w:val="3EA82B9D"/>
    <w:rsid w:val="3EAB1076"/>
    <w:rsid w:val="3ED55B24"/>
    <w:rsid w:val="3EFE4C27"/>
    <w:rsid w:val="3F144C44"/>
    <w:rsid w:val="3F404CB8"/>
    <w:rsid w:val="3F6A5E19"/>
    <w:rsid w:val="3F826DC5"/>
    <w:rsid w:val="40005048"/>
    <w:rsid w:val="400C19E0"/>
    <w:rsid w:val="40322B7F"/>
    <w:rsid w:val="40956EC5"/>
    <w:rsid w:val="40EC2740"/>
    <w:rsid w:val="411E5309"/>
    <w:rsid w:val="418C02C8"/>
    <w:rsid w:val="419D4283"/>
    <w:rsid w:val="428453C2"/>
    <w:rsid w:val="42F44406"/>
    <w:rsid w:val="43050073"/>
    <w:rsid w:val="435412BA"/>
    <w:rsid w:val="43730350"/>
    <w:rsid w:val="441F5424"/>
    <w:rsid w:val="44223166"/>
    <w:rsid w:val="443D58AA"/>
    <w:rsid w:val="448E25A9"/>
    <w:rsid w:val="44A818BD"/>
    <w:rsid w:val="44AE7F1B"/>
    <w:rsid w:val="44B3756A"/>
    <w:rsid w:val="4508235C"/>
    <w:rsid w:val="451C7BB5"/>
    <w:rsid w:val="455F7AA2"/>
    <w:rsid w:val="45B16791"/>
    <w:rsid w:val="45C30031"/>
    <w:rsid w:val="45D00CD9"/>
    <w:rsid w:val="45F53A9F"/>
    <w:rsid w:val="46222FA9"/>
    <w:rsid w:val="46305C1E"/>
    <w:rsid w:val="468B5140"/>
    <w:rsid w:val="46F06995"/>
    <w:rsid w:val="471E3E51"/>
    <w:rsid w:val="474D674C"/>
    <w:rsid w:val="47821C71"/>
    <w:rsid w:val="47B33AF8"/>
    <w:rsid w:val="47FA1CE2"/>
    <w:rsid w:val="48577B97"/>
    <w:rsid w:val="486C49B0"/>
    <w:rsid w:val="48CD26E3"/>
    <w:rsid w:val="48D5408E"/>
    <w:rsid w:val="491312CF"/>
    <w:rsid w:val="49452F66"/>
    <w:rsid w:val="49821892"/>
    <w:rsid w:val="499671D0"/>
    <w:rsid w:val="49973CAE"/>
    <w:rsid w:val="499845B9"/>
    <w:rsid w:val="49CF51F6"/>
    <w:rsid w:val="4A2A2D74"/>
    <w:rsid w:val="4A45370A"/>
    <w:rsid w:val="4A7D4BD5"/>
    <w:rsid w:val="4A9E2E1A"/>
    <w:rsid w:val="4B187071"/>
    <w:rsid w:val="4B4D1E16"/>
    <w:rsid w:val="4B9304A5"/>
    <w:rsid w:val="4BD034A7"/>
    <w:rsid w:val="4BDC009E"/>
    <w:rsid w:val="4CB608EF"/>
    <w:rsid w:val="4CB80271"/>
    <w:rsid w:val="4CC42316"/>
    <w:rsid w:val="4D2C295F"/>
    <w:rsid w:val="4D9549A9"/>
    <w:rsid w:val="4E1765AA"/>
    <w:rsid w:val="4E8100F5"/>
    <w:rsid w:val="4EBD41B7"/>
    <w:rsid w:val="4EC05A55"/>
    <w:rsid w:val="4EC14021"/>
    <w:rsid w:val="4F0516BA"/>
    <w:rsid w:val="4F1638C7"/>
    <w:rsid w:val="4F3A75B6"/>
    <w:rsid w:val="4F7A3D96"/>
    <w:rsid w:val="4F8F4266"/>
    <w:rsid w:val="4FAC754F"/>
    <w:rsid w:val="4FC7696F"/>
    <w:rsid w:val="4FC85E6F"/>
    <w:rsid w:val="4FDF1F0B"/>
    <w:rsid w:val="502F2E92"/>
    <w:rsid w:val="505A15A9"/>
    <w:rsid w:val="505E1082"/>
    <w:rsid w:val="50A3118B"/>
    <w:rsid w:val="50D457E8"/>
    <w:rsid w:val="50E630E2"/>
    <w:rsid w:val="51522380"/>
    <w:rsid w:val="51541A75"/>
    <w:rsid w:val="52270757"/>
    <w:rsid w:val="522E0B7E"/>
    <w:rsid w:val="527728CF"/>
    <w:rsid w:val="52796647"/>
    <w:rsid w:val="534704F3"/>
    <w:rsid w:val="536A2433"/>
    <w:rsid w:val="538928BA"/>
    <w:rsid w:val="53936D2A"/>
    <w:rsid w:val="539A4AC7"/>
    <w:rsid w:val="53B6792D"/>
    <w:rsid w:val="53CF453C"/>
    <w:rsid w:val="53E82F40"/>
    <w:rsid w:val="54881618"/>
    <w:rsid w:val="54964C34"/>
    <w:rsid w:val="54A44DCE"/>
    <w:rsid w:val="54D04518"/>
    <w:rsid w:val="55050666"/>
    <w:rsid w:val="55153C78"/>
    <w:rsid w:val="55191A1B"/>
    <w:rsid w:val="552D3719"/>
    <w:rsid w:val="554271C4"/>
    <w:rsid w:val="554F0D02"/>
    <w:rsid w:val="558A46C7"/>
    <w:rsid w:val="56076140"/>
    <w:rsid w:val="561111FA"/>
    <w:rsid w:val="568078EC"/>
    <w:rsid w:val="569B78D9"/>
    <w:rsid w:val="56B5263B"/>
    <w:rsid w:val="56F33D82"/>
    <w:rsid w:val="56F849F3"/>
    <w:rsid w:val="57393AC2"/>
    <w:rsid w:val="57D85BBE"/>
    <w:rsid w:val="58117322"/>
    <w:rsid w:val="58C376C6"/>
    <w:rsid w:val="58DB6657"/>
    <w:rsid w:val="59613991"/>
    <w:rsid w:val="59683F4D"/>
    <w:rsid w:val="598514D2"/>
    <w:rsid w:val="59E00D5A"/>
    <w:rsid w:val="59E22D24"/>
    <w:rsid w:val="5A1810D2"/>
    <w:rsid w:val="5A24333C"/>
    <w:rsid w:val="5A50268E"/>
    <w:rsid w:val="5A7476F4"/>
    <w:rsid w:val="5A89319F"/>
    <w:rsid w:val="5AA77AC9"/>
    <w:rsid w:val="5AB32912"/>
    <w:rsid w:val="5ABE35D2"/>
    <w:rsid w:val="5B092532"/>
    <w:rsid w:val="5B2053A1"/>
    <w:rsid w:val="5B21454D"/>
    <w:rsid w:val="5B490AD6"/>
    <w:rsid w:val="5B73752C"/>
    <w:rsid w:val="5B7D7BBE"/>
    <w:rsid w:val="5B8F47E5"/>
    <w:rsid w:val="5B9B0A55"/>
    <w:rsid w:val="5BC87CF7"/>
    <w:rsid w:val="5C0351D3"/>
    <w:rsid w:val="5C294C3A"/>
    <w:rsid w:val="5C4E46A0"/>
    <w:rsid w:val="5C5E7615"/>
    <w:rsid w:val="5C663D12"/>
    <w:rsid w:val="5C8F6A67"/>
    <w:rsid w:val="5CA1023B"/>
    <w:rsid w:val="5D352289"/>
    <w:rsid w:val="5D46181B"/>
    <w:rsid w:val="5D595E3D"/>
    <w:rsid w:val="5D8B5480"/>
    <w:rsid w:val="5D9E71D7"/>
    <w:rsid w:val="5DB03139"/>
    <w:rsid w:val="5DB33667"/>
    <w:rsid w:val="5DE84681"/>
    <w:rsid w:val="5E1B6804"/>
    <w:rsid w:val="5EBE23F6"/>
    <w:rsid w:val="5ECF14A9"/>
    <w:rsid w:val="5F1147E1"/>
    <w:rsid w:val="5F182D5D"/>
    <w:rsid w:val="5F1B2917"/>
    <w:rsid w:val="5F30008D"/>
    <w:rsid w:val="5F4749AA"/>
    <w:rsid w:val="5F491D1C"/>
    <w:rsid w:val="5F6B3399"/>
    <w:rsid w:val="5F6E0BB6"/>
    <w:rsid w:val="5F7F6829"/>
    <w:rsid w:val="5F8D3732"/>
    <w:rsid w:val="5F9E4F15"/>
    <w:rsid w:val="600A32A1"/>
    <w:rsid w:val="604C50E0"/>
    <w:rsid w:val="60940AF0"/>
    <w:rsid w:val="60E16353"/>
    <w:rsid w:val="60FB1624"/>
    <w:rsid w:val="61146763"/>
    <w:rsid w:val="613876CD"/>
    <w:rsid w:val="613F6CAD"/>
    <w:rsid w:val="6143785C"/>
    <w:rsid w:val="615910C0"/>
    <w:rsid w:val="616A31C3"/>
    <w:rsid w:val="61D4389A"/>
    <w:rsid w:val="635C27BC"/>
    <w:rsid w:val="639211F3"/>
    <w:rsid w:val="63A66A11"/>
    <w:rsid w:val="63AB23D8"/>
    <w:rsid w:val="640D6BEF"/>
    <w:rsid w:val="644B1A3D"/>
    <w:rsid w:val="64A476A1"/>
    <w:rsid w:val="64C10B3F"/>
    <w:rsid w:val="64FF45C5"/>
    <w:rsid w:val="652561BA"/>
    <w:rsid w:val="654279F1"/>
    <w:rsid w:val="65535564"/>
    <w:rsid w:val="65546448"/>
    <w:rsid w:val="655D5279"/>
    <w:rsid w:val="65796CD3"/>
    <w:rsid w:val="65856C59"/>
    <w:rsid w:val="66044022"/>
    <w:rsid w:val="662A7F2C"/>
    <w:rsid w:val="665C4A74"/>
    <w:rsid w:val="66F45E44"/>
    <w:rsid w:val="674943E2"/>
    <w:rsid w:val="68016A6B"/>
    <w:rsid w:val="680E73DA"/>
    <w:rsid w:val="68217416"/>
    <w:rsid w:val="684E7372"/>
    <w:rsid w:val="685229A2"/>
    <w:rsid w:val="685B18AF"/>
    <w:rsid w:val="685C642B"/>
    <w:rsid w:val="68646FFA"/>
    <w:rsid w:val="689451EF"/>
    <w:rsid w:val="68BB2609"/>
    <w:rsid w:val="690E034D"/>
    <w:rsid w:val="690F51B7"/>
    <w:rsid w:val="696943B3"/>
    <w:rsid w:val="69740B70"/>
    <w:rsid w:val="69B12712"/>
    <w:rsid w:val="6A8D4C80"/>
    <w:rsid w:val="6A9D1F1B"/>
    <w:rsid w:val="6AA61B4B"/>
    <w:rsid w:val="6ACB7804"/>
    <w:rsid w:val="6B2A62D8"/>
    <w:rsid w:val="6B7A1A9B"/>
    <w:rsid w:val="6BD12C1C"/>
    <w:rsid w:val="6C352D75"/>
    <w:rsid w:val="6CD72490"/>
    <w:rsid w:val="6CE76E14"/>
    <w:rsid w:val="6D0B205B"/>
    <w:rsid w:val="6D342975"/>
    <w:rsid w:val="6D371181"/>
    <w:rsid w:val="6D396CA7"/>
    <w:rsid w:val="6E0E5A3E"/>
    <w:rsid w:val="6E3901AC"/>
    <w:rsid w:val="6E4459F8"/>
    <w:rsid w:val="6E6B7334"/>
    <w:rsid w:val="6F465DAD"/>
    <w:rsid w:val="6F900AEC"/>
    <w:rsid w:val="6FD26F3F"/>
    <w:rsid w:val="6FEA24DA"/>
    <w:rsid w:val="6FFA6CB2"/>
    <w:rsid w:val="70637B3F"/>
    <w:rsid w:val="707B75D6"/>
    <w:rsid w:val="70A628A5"/>
    <w:rsid w:val="71303888"/>
    <w:rsid w:val="714A4014"/>
    <w:rsid w:val="715A543E"/>
    <w:rsid w:val="718C1A9B"/>
    <w:rsid w:val="71974A1A"/>
    <w:rsid w:val="71E05943"/>
    <w:rsid w:val="72492CB0"/>
    <w:rsid w:val="725051D1"/>
    <w:rsid w:val="727F17AF"/>
    <w:rsid w:val="72BA6194"/>
    <w:rsid w:val="73655A9C"/>
    <w:rsid w:val="737C5738"/>
    <w:rsid w:val="73912CB3"/>
    <w:rsid w:val="73B40A19"/>
    <w:rsid w:val="73E13BF4"/>
    <w:rsid w:val="73F120BE"/>
    <w:rsid w:val="7431488C"/>
    <w:rsid w:val="74471CA9"/>
    <w:rsid w:val="74474F84"/>
    <w:rsid w:val="7461479B"/>
    <w:rsid w:val="749D3FBF"/>
    <w:rsid w:val="74AB66DC"/>
    <w:rsid w:val="74E75DD8"/>
    <w:rsid w:val="75C86E1A"/>
    <w:rsid w:val="75D51012"/>
    <w:rsid w:val="75EB48B6"/>
    <w:rsid w:val="75FC4D15"/>
    <w:rsid w:val="76636B42"/>
    <w:rsid w:val="76C87F40"/>
    <w:rsid w:val="7715532E"/>
    <w:rsid w:val="77286A06"/>
    <w:rsid w:val="77555A7D"/>
    <w:rsid w:val="775C1F10"/>
    <w:rsid w:val="779C4208"/>
    <w:rsid w:val="77AB07A1"/>
    <w:rsid w:val="77BA055F"/>
    <w:rsid w:val="77D45166"/>
    <w:rsid w:val="77D5581E"/>
    <w:rsid w:val="77EC54CF"/>
    <w:rsid w:val="77FC2DAB"/>
    <w:rsid w:val="78664144"/>
    <w:rsid w:val="78C55750"/>
    <w:rsid w:val="791F45C7"/>
    <w:rsid w:val="79234497"/>
    <w:rsid w:val="792C5912"/>
    <w:rsid w:val="795135CA"/>
    <w:rsid w:val="79775B0D"/>
    <w:rsid w:val="797A5375"/>
    <w:rsid w:val="79A91AD3"/>
    <w:rsid w:val="7A293C27"/>
    <w:rsid w:val="7A77211A"/>
    <w:rsid w:val="7A836AC9"/>
    <w:rsid w:val="7A953ACC"/>
    <w:rsid w:val="7AAF05A8"/>
    <w:rsid w:val="7ACE0956"/>
    <w:rsid w:val="7AD05E2C"/>
    <w:rsid w:val="7B0408F4"/>
    <w:rsid w:val="7B8A5D04"/>
    <w:rsid w:val="7B9A1258"/>
    <w:rsid w:val="7BFD3595"/>
    <w:rsid w:val="7C2C3B71"/>
    <w:rsid w:val="7C6F4204"/>
    <w:rsid w:val="7C924A10"/>
    <w:rsid w:val="7CDB3D1C"/>
    <w:rsid w:val="7D034BDB"/>
    <w:rsid w:val="7D5D4D15"/>
    <w:rsid w:val="7D7635FF"/>
    <w:rsid w:val="7E0D7738"/>
    <w:rsid w:val="7E1F77F3"/>
    <w:rsid w:val="7E2020FB"/>
    <w:rsid w:val="7E2F036E"/>
    <w:rsid w:val="7E467CE8"/>
    <w:rsid w:val="7E6D67B0"/>
    <w:rsid w:val="7E780F97"/>
    <w:rsid w:val="7E7C2463"/>
    <w:rsid w:val="7EFD5F2E"/>
    <w:rsid w:val="7F345520"/>
    <w:rsid w:val="7F443C80"/>
    <w:rsid w:val="7F7F4D9E"/>
    <w:rsid w:val="7F8065C4"/>
    <w:rsid w:val="7FC066BC"/>
    <w:rsid w:val="7FC54668"/>
    <w:rsid w:val="9F3F6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snapToGrid w:val="0"/>
      <w:spacing w:line="360" w:lineRule="atLeast"/>
      <w:outlineLvl w:val="0"/>
    </w:pPr>
    <w:rPr>
      <w:rFonts w:ascii="宋体"/>
      <w:sz w:val="28"/>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val="0"/>
      <w:snapToGrid w:val="0"/>
      <w:spacing w:line="360" w:lineRule="auto"/>
      <w:ind w:firstLine="420"/>
    </w:pPr>
    <w:rPr>
      <w:sz w:val="24"/>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700" w:lineRule="exact"/>
      <w:ind w:left="960"/>
    </w:pPr>
    <w:rPr>
      <w:sz w:val="44"/>
    </w:rPr>
  </w:style>
  <w:style w:type="paragraph" w:styleId="11">
    <w:name w:val="toc 3"/>
    <w:next w:val="1"/>
    <w:qFormat/>
    <w:uiPriority w:val="39"/>
    <w:pPr>
      <w:widowControl w:val="0"/>
      <w:ind w:left="840" w:leftChars="400"/>
      <w:jc w:val="both"/>
    </w:pPr>
    <w:rPr>
      <w:rFonts w:ascii="Times New Roman" w:hAnsi="Times New Roman" w:eastAsia="宋体" w:cs="Times New Roman"/>
      <w:kern w:val="2"/>
      <w:sz w:val="28"/>
      <w:lang w:val="en-US" w:eastAsia="zh-CN" w:bidi="ar-SA"/>
    </w:rPr>
  </w:style>
  <w:style w:type="paragraph" w:styleId="12">
    <w:name w:val="Date"/>
    <w:next w:val="1"/>
    <w:qFormat/>
    <w:uiPriority w:val="0"/>
    <w:pPr>
      <w:widowControl w:val="0"/>
      <w:jc w:val="both"/>
    </w:pPr>
    <w:rPr>
      <w:rFonts w:ascii="Times New Roman" w:hAnsi="Times New Roman" w:eastAsia="宋体" w:cs="Times New Roman"/>
      <w:kern w:val="2"/>
      <w:sz w:val="28"/>
      <w:lang w:val="en-US" w:eastAsia="zh-CN" w:bidi="ar-SA"/>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qFormat/>
    <w:uiPriority w:val="0"/>
    <w:pPr>
      <w:widowControl w:val="0"/>
      <w:spacing w:line="180" w:lineRule="auto"/>
      <w:jc w:val="center"/>
    </w:pPr>
    <w:rPr>
      <w:rFonts w:ascii="Times New Roman" w:hAnsi="Times New Roman" w:eastAsia="宋体" w:cs="Times New Roman"/>
      <w:kern w:val="2"/>
      <w:sz w:val="30"/>
      <w:lang w:val="en-US" w:eastAsia="zh-CN" w:bidi="ar-SA"/>
    </w:rPr>
  </w:style>
  <w:style w:type="paragraph" w:styleId="16">
    <w:name w:val="toc 2"/>
    <w:next w:val="1"/>
    <w:qFormat/>
    <w:uiPriority w:val="39"/>
    <w:pPr>
      <w:widowControl w:val="0"/>
      <w:ind w:left="420" w:leftChars="200"/>
      <w:jc w:val="both"/>
    </w:pPr>
    <w:rPr>
      <w:rFonts w:ascii="Times New Roman" w:hAnsi="Times New Roman" w:eastAsia="宋体" w:cs="Times New Roman"/>
      <w:kern w:val="2"/>
      <w:sz w:val="28"/>
      <w:lang w:val="en-US" w:eastAsia="zh-CN" w:bidi="ar-SA"/>
    </w:rPr>
  </w:style>
  <w:style w:type="paragraph" w:styleId="17">
    <w:name w:val="Normal (Web)"/>
    <w:basedOn w:val="1"/>
    <w:unhideWhenUsed/>
    <w:qFormat/>
    <w:uiPriority w:val="0"/>
    <w:pPr>
      <w:spacing w:before="100" w:beforeAutospacing="1" w:after="100" w:afterAutospacing="1"/>
      <w:jc w:val="left"/>
    </w:pPr>
    <w:rPr>
      <w:kern w:val="0"/>
      <w:sz w:val="24"/>
      <w:szCs w:val="20"/>
    </w:rPr>
  </w:style>
  <w:style w:type="paragraph" w:styleId="18">
    <w:name w:val="Body Text First Indent 2"/>
    <w:basedOn w:val="10"/>
    <w:next w:val="1"/>
    <w:qFormat/>
    <w:uiPriority w:val="0"/>
    <w:pPr>
      <w:spacing w:after="120" w:line="240" w:lineRule="auto"/>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qFormat/>
    <w:uiPriority w:val="0"/>
  </w:style>
  <w:style w:type="character" w:styleId="24">
    <w:name w:val="Emphasis"/>
    <w:basedOn w:val="21"/>
    <w:qFormat/>
    <w:uiPriority w:val="0"/>
    <w:rPr>
      <w:i/>
    </w:rPr>
  </w:style>
  <w:style w:type="character" w:styleId="25">
    <w:name w:val="annotation reference"/>
    <w:basedOn w:val="21"/>
    <w:qFormat/>
    <w:uiPriority w:val="0"/>
    <w:rPr>
      <w:sz w:val="21"/>
      <w:szCs w:val="21"/>
    </w:rPr>
  </w:style>
  <w:style w:type="paragraph" w:customStyle="1" w:styleId="26">
    <w:name w:val="BodyText"/>
    <w:basedOn w:val="1"/>
    <w:next w:val="27"/>
    <w:qFormat/>
    <w:uiPriority w:val="0"/>
    <w:pPr>
      <w:textAlignment w:val="baseline"/>
    </w:pPr>
    <w:rPr>
      <w:rFonts w:ascii="仿宋_GB2312" w:eastAsia="仿宋_GB2312"/>
      <w:sz w:val="32"/>
    </w:rPr>
  </w:style>
  <w:style w:type="paragraph" w:customStyle="1" w:styleId="27">
    <w:name w:val="BodyTextIndent"/>
    <w:basedOn w:val="1"/>
    <w:qFormat/>
    <w:uiPriority w:val="0"/>
    <w:pPr>
      <w:spacing w:line="700" w:lineRule="exact"/>
      <w:ind w:left="960"/>
      <w:textAlignment w:val="baseline"/>
    </w:pPr>
    <w:rPr>
      <w:sz w:val="44"/>
    </w:rPr>
  </w:style>
  <w:style w:type="paragraph" w:customStyle="1" w:styleId="28">
    <w:name w:val="图片"/>
    <w:basedOn w:val="1"/>
    <w:qFormat/>
    <w:uiPriority w:val="0"/>
    <w:pPr>
      <w:jc w:val="center"/>
    </w:pPr>
    <w:rPr>
      <w:rFonts w:hint="eastAsia" w:ascii="宋体" w:hAnsi="宋体" w:cs="宋体"/>
      <w:sz w:val="24"/>
    </w:rPr>
  </w:style>
  <w:style w:type="paragraph" w:customStyle="1" w:styleId="29">
    <w:name w:val="Default Text"/>
    <w:qFormat/>
    <w:uiPriority w:val="0"/>
    <w:pPr>
      <w:overflowPunct w:val="0"/>
      <w:autoSpaceDE w:val="0"/>
      <w:autoSpaceDN w:val="0"/>
      <w:adjustRightInd w:val="0"/>
      <w:textAlignment w:val="baseline"/>
    </w:pPr>
    <w:rPr>
      <w:rFonts w:ascii="Times New Roman" w:hAnsi="Times New Roman" w:eastAsia="宋体" w:cs="Times New Roman"/>
      <w:sz w:val="24"/>
      <w:lang w:val="en-US" w:eastAsia="zh-CN" w:bidi="ar-SA"/>
    </w:rPr>
  </w:style>
  <w:style w:type="character" w:customStyle="1" w:styleId="30">
    <w:name w:val="font41"/>
    <w:basedOn w:val="21"/>
    <w:qFormat/>
    <w:uiPriority w:val="0"/>
    <w:rPr>
      <w:rFonts w:hint="eastAsia" w:ascii="方正仿宋_GBK" w:hAnsi="方正仿宋_GBK" w:eastAsia="方正仿宋_GBK" w:cs="方正仿宋_GBK"/>
      <w:color w:val="000000"/>
      <w:sz w:val="20"/>
      <w:szCs w:val="20"/>
      <w:u w:val="none"/>
    </w:rPr>
  </w:style>
  <w:style w:type="paragraph" w:styleId="31">
    <w:name w:val="No Spacing"/>
    <w:qFormat/>
    <w:uiPriority w:val="1"/>
    <w:pPr>
      <w:widowControl w:val="0"/>
      <w:snapToGrid w:val="0"/>
      <w:spacing w:line="500" w:lineRule="exact"/>
      <w:ind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2">
    <w:name w:val="msonospacing"/>
    <w:qFormat/>
    <w:uiPriority w:val="0"/>
    <w:pPr>
      <w:widowControl w:val="0"/>
      <w:snapToGrid w:val="0"/>
      <w:spacing w:line="500" w:lineRule="exact"/>
      <w:ind w:firstLine="200" w:firstLineChars="200"/>
      <w:jc w:val="both"/>
    </w:pPr>
    <w:rPr>
      <w:rFonts w:hint="eastAsia" w:ascii="仿宋_GB2312" w:hAnsi="Times New Roman" w:eastAsia="仿宋_GB2312" w:cs="Times New Roman"/>
      <w:kern w:val="2"/>
      <w:sz w:val="24"/>
      <w:szCs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标题 1 字符"/>
    <w:link w:val="2"/>
    <w:qFormat/>
    <w:uiPriority w:val="0"/>
    <w:rPr>
      <w:rFonts w:ascii="宋体"/>
      <w:kern w:val="2"/>
      <w:sz w:val="28"/>
      <w:lang w:val="en-US" w:eastAsia="zh-CN" w:bidi="ar-SA"/>
    </w:rPr>
  </w:style>
  <w:style w:type="character" w:customStyle="1" w:styleId="35">
    <w:name w:val="font01"/>
    <w:basedOn w:val="21"/>
    <w:qFormat/>
    <w:uiPriority w:val="0"/>
    <w:rPr>
      <w:rFonts w:hint="eastAsia" w:ascii="宋体" w:hAnsi="宋体" w:eastAsia="宋体" w:cs="宋体"/>
      <w:color w:val="000000"/>
      <w:sz w:val="24"/>
      <w:szCs w:val="24"/>
      <w:u w:val="none"/>
    </w:rPr>
  </w:style>
  <w:style w:type="character" w:customStyle="1" w:styleId="36">
    <w:name w:val="font31"/>
    <w:basedOn w:val="21"/>
    <w:qFormat/>
    <w:uiPriority w:val="0"/>
    <w:rPr>
      <w:rFonts w:hint="eastAsia" w:ascii="宋体" w:hAnsi="宋体" w:eastAsia="宋体" w:cs="宋体"/>
      <w:color w:val="000000"/>
      <w:sz w:val="24"/>
      <w:szCs w:val="24"/>
      <w:u w:val="none"/>
    </w:rPr>
  </w:style>
  <w:style w:type="character" w:customStyle="1" w:styleId="37">
    <w:name w:val="font81"/>
    <w:basedOn w:val="21"/>
    <w:qFormat/>
    <w:uiPriority w:val="0"/>
    <w:rPr>
      <w:rFonts w:hint="eastAsia" w:ascii="宋体" w:hAnsi="宋体" w:eastAsia="宋体" w:cs="宋体"/>
      <w:color w:val="252525"/>
      <w:sz w:val="24"/>
      <w:szCs w:val="24"/>
      <w:u w:val="none"/>
    </w:rPr>
  </w:style>
  <w:style w:type="character" w:customStyle="1" w:styleId="38">
    <w:name w:val="font2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eastAsia" w:ascii="宋体" w:hAnsi="宋体" w:eastAsia="宋体" w:cs="宋体"/>
      <w:color w:val="252525"/>
      <w:sz w:val="24"/>
      <w:szCs w:val="24"/>
      <w:u w:val="none"/>
    </w:rPr>
  </w:style>
  <w:style w:type="character" w:customStyle="1" w:styleId="40">
    <w:name w:val="font51"/>
    <w:basedOn w:val="21"/>
    <w:qFormat/>
    <w:uiPriority w:val="0"/>
    <w:rPr>
      <w:rFonts w:hint="default" w:ascii="Verdana" w:hAnsi="Verdana" w:cs="Verdana"/>
      <w:color w:val="000000"/>
      <w:sz w:val="20"/>
      <w:szCs w:val="20"/>
      <w:u w:val="none"/>
    </w:rPr>
  </w:style>
  <w:style w:type="character" w:customStyle="1" w:styleId="41">
    <w:name w:val="font71"/>
    <w:basedOn w:val="21"/>
    <w:qFormat/>
    <w:uiPriority w:val="0"/>
    <w:rPr>
      <w:rFonts w:hint="eastAsia" w:ascii="宋体" w:hAnsi="宋体" w:eastAsia="宋体" w:cs="宋体"/>
      <w:color w:val="000000"/>
      <w:sz w:val="20"/>
      <w:szCs w:val="20"/>
      <w:u w:val="none"/>
    </w:rPr>
  </w:style>
  <w:style w:type="character" w:customStyle="1" w:styleId="42">
    <w:name w:val="font111"/>
    <w:basedOn w:val="21"/>
    <w:qFormat/>
    <w:uiPriority w:val="0"/>
    <w:rPr>
      <w:rFonts w:ascii="Arial" w:hAnsi="Arial" w:cs="Arial"/>
      <w:color w:val="000000"/>
      <w:sz w:val="20"/>
      <w:szCs w:val="20"/>
      <w:u w:val="none"/>
    </w:rPr>
  </w:style>
  <w:style w:type="character" w:customStyle="1" w:styleId="43">
    <w:name w:val="font121"/>
    <w:basedOn w:val="21"/>
    <w:qFormat/>
    <w:uiPriority w:val="0"/>
    <w:rPr>
      <w:rFonts w:ascii="宋体" w:hAnsi="宋体" w:eastAsia="宋体" w:cs="宋体"/>
      <w:color w:val="000000"/>
      <w:sz w:val="20"/>
      <w:szCs w:val="20"/>
      <w:u w:val="none"/>
    </w:rPr>
  </w:style>
  <w:style w:type="character" w:customStyle="1" w:styleId="44">
    <w:name w:val="font132"/>
    <w:basedOn w:val="21"/>
    <w:qFormat/>
    <w:uiPriority w:val="0"/>
    <w:rPr>
      <w:rFonts w:ascii="宋体" w:hAnsi="宋体" w:eastAsia="宋体" w:cs="宋体"/>
      <w:color w:val="000000"/>
      <w:sz w:val="20"/>
      <w:szCs w:val="20"/>
      <w:u w:val="none"/>
    </w:rPr>
  </w:style>
  <w:style w:type="character" w:customStyle="1" w:styleId="45">
    <w:name w:val="font141"/>
    <w:basedOn w:val="21"/>
    <w:qFormat/>
    <w:uiPriority w:val="0"/>
    <w:rPr>
      <w:rFonts w:hint="default" w:ascii="Arial" w:hAnsi="Arial" w:cs="Arial"/>
      <w:color w:val="000000"/>
      <w:sz w:val="20"/>
      <w:szCs w:val="20"/>
      <w:u w:val="none"/>
    </w:rPr>
  </w:style>
  <w:style w:type="character" w:customStyle="1" w:styleId="46">
    <w:name w:val="font11"/>
    <w:basedOn w:val="21"/>
    <w:qFormat/>
    <w:uiPriority w:val="0"/>
    <w:rPr>
      <w:rFonts w:hint="eastAsia" w:ascii="宋体" w:hAnsi="宋体" w:eastAsia="宋体" w:cs="宋体"/>
      <w:color w:val="000000"/>
      <w:sz w:val="20"/>
      <w:szCs w:val="20"/>
      <w:u w:val="none"/>
    </w:rPr>
  </w:style>
  <w:style w:type="character" w:customStyle="1" w:styleId="47">
    <w:name w:val="font151"/>
    <w:basedOn w:val="21"/>
    <w:qFormat/>
    <w:uiPriority w:val="0"/>
    <w:rPr>
      <w:rFonts w:ascii="Calibri" w:hAnsi="Calibri" w:cs="Calibri"/>
      <w:color w:val="000000"/>
      <w:sz w:val="20"/>
      <w:szCs w:val="20"/>
      <w:u w:val="none"/>
    </w:rPr>
  </w:style>
  <w:style w:type="character" w:customStyle="1" w:styleId="48">
    <w:name w:val="font91"/>
    <w:basedOn w:val="21"/>
    <w:qFormat/>
    <w:uiPriority w:val="0"/>
    <w:rPr>
      <w:rFonts w:ascii="Calibri" w:hAnsi="Calibri" w:cs="Calibri"/>
      <w:color w:val="000000"/>
      <w:sz w:val="20"/>
      <w:szCs w:val="20"/>
      <w:u w:val="none"/>
    </w:rPr>
  </w:style>
  <w:style w:type="character" w:customStyle="1" w:styleId="49">
    <w:name w:val="font12"/>
    <w:basedOn w:val="21"/>
    <w:qFormat/>
    <w:uiPriority w:val="0"/>
    <w:rPr>
      <w:rFonts w:hint="eastAsia" w:ascii="宋体" w:hAnsi="宋体" w:eastAsia="宋体" w:cs="宋体"/>
      <w:color w:val="000000"/>
      <w:sz w:val="20"/>
      <w:szCs w:val="20"/>
      <w:u w:val="none"/>
    </w:rPr>
  </w:style>
  <w:style w:type="character" w:customStyle="1" w:styleId="50">
    <w:name w:val="font131"/>
    <w:basedOn w:val="21"/>
    <w:qFormat/>
    <w:uiPriority w:val="0"/>
    <w:rPr>
      <w:rFonts w:hint="eastAsia" w:ascii="宋体" w:hAnsi="宋体" w:eastAsia="宋体" w:cs="宋体"/>
      <w:color w:val="000000"/>
      <w:sz w:val="18"/>
      <w:szCs w:val="18"/>
      <w:u w:val="none"/>
    </w:rPr>
  </w:style>
  <w:style w:type="character" w:customStyle="1" w:styleId="51">
    <w:name w:val="font201"/>
    <w:basedOn w:val="21"/>
    <w:qFormat/>
    <w:uiPriority w:val="0"/>
    <w:rPr>
      <w:rFonts w:hint="eastAsia" w:ascii="宋体" w:hAnsi="宋体" w:eastAsia="宋体" w:cs="宋体"/>
      <w:color w:val="000000"/>
      <w:sz w:val="20"/>
      <w:szCs w:val="20"/>
      <w:u w:val="none"/>
    </w:rPr>
  </w:style>
  <w:style w:type="paragraph" w:customStyle="1" w:styleId="52">
    <w:name w:val="Table Paragraph"/>
    <w:basedOn w:val="1"/>
    <w:qFormat/>
    <w:uiPriority w:val="1"/>
  </w:style>
  <w:style w:type="paragraph" w:customStyle="1" w:styleId="53">
    <w:name w:val="图例"/>
    <w:basedOn w:val="1"/>
    <w:qFormat/>
    <w:uiPriority w:val="0"/>
    <w:pPr>
      <w:spacing w:before="120" w:after="120" w:line="360" w:lineRule="auto"/>
      <w:jc w:val="center"/>
    </w:pPr>
    <w:rPr>
      <w:rFonts w:eastAsia="仿宋_GB2312"/>
      <w:b/>
      <w:sz w:val="24"/>
    </w:rPr>
  </w:style>
  <w:style w:type="table" w:customStyle="1" w:styleId="54">
    <w:name w:val="Table Normal"/>
    <w:semiHidden/>
    <w:unhideWhenUsed/>
    <w:qFormat/>
    <w:uiPriority w:val="2"/>
    <w:tblPr>
      <w:tblCellMar>
        <w:top w:w="0" w:type="dxa"/>
        <w:left w:w="0" w:type="dxa"/>
        <w:bottom w:w="0" w:type="dxa"/>
        <w:right w:w="0" w:type="dxa"/>
      </w:tblCellMar>
    </w:tblPr>
  </w:style>
  <w:style w:type="paragraph" w:customStyle="1" w:styleId="55">
    <w:name w:val="样式 正文缩进 + 首行缩进:  2 字符"/>
    <w:basedOn w:val="7"/>
    <w:qFormat/>
    <w:uiPriority w:val="0"/>
    <w:pPr>
      <w:adjustRightInd/>
      <w:snapToGrid/>
      <w:ind w:firstLine="200" w:firstLineChars="200"/>
    </w:pPr>
  </w:style>
  <w:style w:type="paragraph" w:customStyle="1" w:styleId="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样式 首行缩进:  2 字符"/>
    <w:basedOn w:val="1"/>
    <w:qFormat/>
    <w:uiPriority w:val="0"/>
    <w:pPr>
      <w:spacing w:line="360" w:lineRule="auto"/>
      <w:ind w:firstLine="480" w:firstLineChars="200"/>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15442</Words>
  <Characters>16137</Characters>
  <Lines>824</Lines>
  <Paragraphs>840</Paragraphs>
  <TotalTime>39</TotalTime>
  <ScaleCrop>false</ScaleCrop>
  <LinksUpToDate>false</LinksUpToDate>
  <CharactersWithSpaces>16449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2025-12-09T10:22:00Z</dcterms:created>
  <dc:creator>admin</dc:creator>
  <cp:lastModifiedBy>WPS_1735188972</cp:lastModifiedBy>
  <dcterms:modified xsi:type="dcterms:W3CDTF">2025-12-10T05:03:54Z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E1E4A334701B4C34AAE3C3788B59E683_13</vt:lpwstr>
  </property>
  <property fmtid="{D5CDD505-2E9C-101B-9397-08002B2CF9AE}" pid="4" name="KSOTemplateDocerSaveRecord">
    <vt:lpwstr>eyJoZGlkIjoiZWNlZWQxNmRmNDg2OWM4ZTk4YzhmMmU1MGMwNDFhNWEiLCJ1c2VySWQiOiIxNjY5NjY0MjUxIn0=</vt:lpwstr>
  </property>
</Properties>
</file>