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DFE7E2">
      <w:pPr>
        <w:jc w:val="center"/>
        <w:rPr>
          <w:rFonts w:hint="eastAsia" w:ascii="微软雅黑" w:hAnsi="微软雅黑" w:eastAsia="微软雅黑" w:cs="微软雅黑"/>
          <w:color w:val="auto"/>
          <w:sz w:val="56"/>
          <w:szCs w:val="56"/>
          <w:highlight w:val="none"/>
        </w:rPr>
      </w:pPr>
      <w:r>
        <w:rPr>
          <w:rFonts w:hint="eastAsia" w:ascii="微软雅黑" w:hAnsi="微软雅黑" w:eastAsia="微软雅黑" w:cs="微软雅黑"/>
          <w:color w:val="auto"/>
          <w:sz w:val="56"/>
          <w:szCs w:val="56"/>
          <w:highlight w:val="none"/>
        </w:rPr>
        <w:t xml:space="preserve"> </w:t>
      </w:r>
    </w:p>
    <w:p w14:paraId="5081200A">
      <w:pPr>
        <w:spacing w:line="360" w:lineRule="auto"/>
        <w:jc w:val="center"/>
        <w:rPr>
          <w:rFonts w:hint="eastAsia" w:ascii="微软雅黑" w:hAnsi="微软雅黑" w:eastAsia="微软雅黑" w:cs="微软雅黑"/>
          <w:color w:val="auto"/>
          <w:sz w:val="56"/>
          <w:szCs w:val="56"/>
          <w:highlight w:val="none"/>
          <w:lang w:val="en-US" w:eastAsia="zh-CN"/>
        </w:rPr>
      </w:pPr>
      <w:r>
        <w:rPr>
          <w:rFonts w:hint="eastAsia" w:ascii="微软雅黑" w:hAnsi="微软雅黑" w:eastAsia="微软雅黑" w:cs="微软雅黑"/>
          <w:color w:val="auto"/>
          <w:sz w:val="56"/>
          <w:szCs w:val="56"/>
          <w:highlight w:val="none"/>
          <w:lang w:val="en-US" w:eastAsia="zh-CN"/>
        </w:rPr>
        <w:t>行采家网上询价</w:t>
      </w:r>
    </w:p>
    <w:p w14:paraId="6C37475A">
      <w:pPr>
        <w:tabs>
          <w:tab w:val="center" w:pos="4766"/>
          <w:tab w:val="left" w:pos="8327"/>
        </w:tabs>
        <w:spacing w:line="360" w:lineRule="auto"/>
        <w:jc w:val="left"/>
        <w:rPr>
          <w:rFonts w:hint="eastAsia" w:ascii="微软雅黑" w:hAnsi="微软雅黑" w:eastAsia="微软雅黑" w:cs="微软雅黑"/>
          <w:color w:val="auto"/>
          <w:sz w:val="56"/>
          <w:szCs w:val="56"/>
          <w:highlight w:val="none"/>
          <w:lang w:eastAsia="zh-CN"/>
        </w:rPr>
      </w:pPr>
      <w:r>
        <w:rPr>
          <w:rFonts w:hint="eastAsia" w:ascii="微软雅黑" w:hAnsi="微软雅黑" w:eastAsia="微软雅黑" w:cs="微软雅黑"/>
          <w:color w:val="auto"/>
          <w:sz w:val="56"/>
          <w:szCs w:val="56"/>
          <w:highlight w:val="none"/>
          <w:lang w:eastAsia="zh-CN"/>
        </w:rPr>
        <w:tab/>
      </w:r>
      <w:r>
        <w:rPr>
          <w:rFonts w:hint="eastAsia" w:ascii="微软雅黑" w:hAnsi="微软雅黑" w:eastAsia="微软雅黑" w:cs="微软雅黑"/>
          <w:color w:val="auto"/>
          <w:sz w:val="56"/>
          <w:szCs w:val="56"/>
          <w:highlight w:val="none"/>
        </w:rPr>
        <w:t>(</w:t>
      </w:r>
      <w:r>
        <w:rPr>
          <w:rFonts w:hint="eastAsia" w:ascii="微软雅黑" w:hAnsi="微软雅黑" w:eastAsia="微软雅黑" w:cs="微软雅黑"/>
          <w:color w:val="auto"/>
          <w:sz w:val="56"/>
          <w:szCs w:val="56"/>
          <w:highlight w:val="none"/>
          <w:lang w:val="en-US" w:eastAsia="zh-CN"/>
        </w:rPr>
        <w:t>低价</w:t>
      </w:r>
      <w:r>
        <w:rPr>
          <w:rFonts w:hint="eastAsia" w:ascii="微软雅黑" w:hAnsi="微软雅黑" w:eastAsia="微软雅黑" w:cs="微软雅黑"/>
          <w:color w:val="auto"/>
          <w:sz w:val="56"/>
          <w:szCs w:val="56"/>
          <w:highlight w:val="none"/>
        </w:rPr>
        <w:t>法)</w:t>
      </w:r>
      <w:r>
        <w:rPr>
          <w:rFonts w:hint="eastAsia" w:ascii="微软雅黑" w:hAnsi="微软雅黑" w:eastAsia="微软雅黑" w:cs="微软雅黑"/>
          <w:color w:val="auto"/>
          <w:sz w:val="56"/>
          <w:szCs w:val="56"/>
          <w:highlight w:val="none"/>
          <w:lang w:eastAsia="zh-CN"/>
        </w:rPr>
        <w:tab/>
      </w:r>
    </w:p>
    <w:p w14:paraId="5472484C">
      <w:pPr>
        <w:keepNext w:val="0"/>
        <w:keepLines w:val="0"/>
        <w:jc w:val="center"/>
        <w:outlineLvl w:val="9"/>
        <w:rPr>
          <w:rFonts w:hint="eastAsia" w:ascii="微软雅黑" w:hAnsi="微软雅黑" w:eastAsia="微软雅黑" w:cs="微软雅黑"/>
          <w:b/>
          <w:bCs/>
          <w:color w:val="auto"/>
          <w:spacing w:val="80"/>
          <w:sz w:val="44"/>
          <w:szCs w:val="44"/>
          <w:highlight w:val="none"/>
        </w:rPr>
      </w:pPr>
    </w:p>
    <w:p w14:paraId="7D80444D">
      <w:pPr>
        <w:rPr>
          <w:rFonts w:hint="eastAsia" w:ascii="微软雅黑" w:hAnsi="微软雅黑" w:eastAsia="微软雅黑" w:cs="微软雅黑"/>
          <w:color w:val="auto"/>
          <w:sz w:val="36"/>
          <w:szCs w:val="30"/>
          <w:highlight w:val="none"/>
        </w:rPr>
      </w:pPr>
    </w:p>
    <w:p w14:paraId="78C52925">
      <w:pPr>
        <w:pStyle w:val="9"/>
        <w:spacing w:line="360" w:lineRule="auto"/>
        <w:ind w:firstLine="1080" w:firstLineChars="300"/>
        <w:jc w:val="left"/>
        <w:rPr>
          <w:rFonts w:hint="default" w:ascii="微软雅黑" w:hAnsi="微软雅黑" w:eastAsia="方正小标宋_GBK"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项目编号：</w:t>
      </w:r>
      <w:bookmarkStart w:id="0" w:name="_Hlk111636989"/>
      <w:r>
        <w:rPr>
          <w:rFonts w:hint="eastAsia" w:ascii="微软雅黑" w:hAnsi="微软雅黑" w:eastAsia="微软雅黑" w:cs="微软雅黑"/>
          <w:color w:val="auto"/>
          <w:sz w:val="36"/>
          <w:szCs w:val="30"/>
          <w:highlight w:val="none"/>
          <w:lang w:val="en-US" w:eastAsia="zh-CN"/>
        </w:rPr>
        <w:t>2026MDX036</w:t>
      </w:r>
    </w:p>
    <w:p w14:paraId="13C793C5">
      <w:pPr>
        <w:pStyle w:val="9"/>
        <w:spacing w:line="360" w:lineRule="auto"/>
        <w:ind w:left="2875" w:leftChars="384" w:hanging="1800" w:hangingChars="500"/>
        <w:jc w:val="left"/>
        <w:rPr>
          <w:rFonts w:hint="default" w:ascii="微软雅黑" w:hAnsi="微软雅黑" w:eastAsia="微软雅黑" w:cs="微软雅黑"/>
          <w:color w:val="auto"/>
          <w:sz w:val="36"/>
          <w:szCs w:val="30"/>
          <w:highlight w:val="none"/>
          <w:lang w:val="en-US" w:eastAsia="zh-CN"/>
        </w:rPr>
      </w:pPr>
      <w:r>
        <w:rPr>
          <w:rFonts w:hint="eastAsia" w:ascii="微软雅黑" w:hAnsi="微软雅黑" w:eastAsia="微软雅黑" w:cs="微软雅黑"/>
          <w:color w:val="auto"/>
          <w:sz w:val="36"/>
          <w:szCs w:val="30"/>
          <w:highlight w:val="none"/>
        </w:rPr>
        <w:t>项目名称：</w:t>
      </w:r>
      <w:r>
        <w:rPr>
          <w:rFonts w:hint="eastAsia" w:ascii="微软雅黑" w:hAnsi="微软雅黑" w:eastAsia="微软雅黑" w:cs="微软雅黑"/>
          <w:color w:val="auto"/>
          <w:sz w:val="36"/>
          <w:szCs w:val="30"/>
          <w:highlight w:val="none"/>
          <w:lang w:val="en-US" w:eastAsia="zh-CN"/>
        </w:rPr>
        <w:t>学校</w:t>
      </w:r>
      <w:r>
        <w:rPr>
          <w:rFonts w:hint="eastAsia" w:ascii="微软雅黑" w:hAnsi="微软雅黑" w:eastAsia="微软雅黑" w:cs="微软雅黑"/>
          <w:color w:val="auto"/>
          <w:sz w:val="36"/>
          <w:szCs w:val="30"/>
          <w:highlight w:val="none"/>
        </w:rPr>
        <w:t>智能门禁和车行道闸</w:t>
      </w:r>
      <w:r>
        <w:rPr>
          <w:rFonts w:hint="eastAsia" w:ascii="微软雅黑" w:hAnsi="微软雅黑" w:eastAsia="微软雅黑" w:cs="微软雅黑"/>
          <w:color w:val="auto"/>
          <w:sz w:val="36"/>
          <w:szCs w:val="30"/>
          <w:highlight w:val="none"/>
          <w:lang w:val="en-US" w:eastAsia="zh-CN"/>
        </w:rPr>
        <w:t xml:space="preserve"> </w:t>
      </w:r>
    </w:p>
    <w:bookmarkEnd w:id="0"/>
    <w:p w14:paraId="593F681F">
      <w:pPr>
        <w:spacing w:line="700" w:lineRule="exact"/>
        <w:rPr>
          <w:rFonts w:hint="eastAsia" w:ascii="微软雅黑" w:hAnsi="微软雅黑" w:eastAsia="微软雅黑" w:cs="微软雅黑"/>
          <w:color w:val="auto"/>
          <w:sz w:val="36"/>
          <w:szCs w:val="30"/>
          <w:highlight w:val="none"/>
        </w:rPr>
      </w:pPr>
    </w:p>
    <w:p w14:paraId="5751DCB7">
      <w:pPr>
        <w:pStyle w:val="9"/>
        <w:rPr>
          <w:rFonts w:hint="eastAsia" w:ascii="微软雅黑" w:hAnsi="微软雅黑" w:eastAsia="微软雅黑" w:cs="微软雅黑"/>
          <w:color w:val="auto"/>
          <w:highlight w:val="none"/>
        </w:rPr>
      </w:pPr>
    </w:p>
    <w:p w14:paraId="7941A73D">
      <w:pPr>
        <w:rPr>
          <w:rFonts w:hint="eastAsia" w:ascii="微软雅黑" w:hAnsi="微软雅黑" w:eastAsia="微软雅黑" w:cs="微软雅黑"/>
          <w:color w:val="auto"/>
          <w:highlight w:val="none"/>
        </w:rPr>
      </w:pPr>
    </w:p>
    <w:p w14:paraId="1847A154">
      <w:pPr>
        <w:rPr>
          <w:rFonts w:hint="eastAsia" w:ascii="微软雅黑" w:hAnsi="微软雅黑" w:eastAsia="微软雅黑" w:cs="微软雅黑"/>
          <w:color w:val="auto"/>
          <w:highlight w:val="none"/>
        </w:rPr>
      </w:pPr>
    </w:p>
    <w:p w14:paraId="435CB47B">
      <w:pPr>
        <w:spacing w:line="700" w:lineRule="exact"/>
        <w:ind w:firstLine="2160" w:firstLineChars="600"/>
        <w:jc w:val="both"/>
        <w:rPr>
          <w:rFonts w:hint="eastAsia" w:ascii="微软雅黑" w:hAnsi="微软雅黑" w:eastAsia="微软雅黑" w:cs="微软雅黑"/>
          <w:color w:val="auto"/>
          <w:sz w:val="36"/>
          <w:szCs w:val="30"/>
          <w:highlight w:val="none"/>
          <w:lang w:eastAsia="zh-CN"/>
        </w:rPr>
      </w:pPr>
      <w:r>
        <w:rPr>
          <w:rFonts w:hint="eastAsia" w:ascii="微软雅黑" w:hAnsi="微软雅黑" w:eastAsia="微软雅黑" w:cs="微软雅黑"/>
          <w:color w:val="auto"/>
          <w:sz w:val="36"/>
          <w:szCs w:val="30"/>
          <w:highlight w:val="none"/>
        </w:rPr>
        <w:t>采购人：</w:t>
      </w:r>
      <w:r>
        <w:rPr>
          <w:rFonts w:hint="eastAsia" w:ascii="微软雅黑" w:hAnsi="微软雅黑" w:eastAsia="微软雅黑" w:cs="微软雅黑"/>
          <w:color w:val="auto"/>
          <w:sz w:val="36"/>
          <w:szCs w:val="30"/>
          <w:highlight w:val="none"/>
          <w:lang w:eastAsia="zh-CN"/>
        </w:rPr>
        <w:t>重庆市九龙坡职业教育中心</w:t>
      </w:r>
    </w:p>
    <w:p w14:paraId="3C1CF37B">
      <w:pPr>
        <w:spacing w:line="700" w:lineRule="exact"/>
        <w:ind w:firstLine="1080" w:firstLineChars="300"/>
        <w:jc w:val="both"/>
        <w:rPr>
          <w:rFonts w:hint="eastAsia" w:ascii="微软雅黑" w:hAnsi="微软雅黑" w:eastAsia="微软雅黑" w:cs="微软雅黑"/>
          <w:color w:val="auto"/>
          <w:sz w:val="36"/>
          <w:szCs w:val="30"/>
          <w:highlight w:val="none"/>
        </w:rPr>
      </w:pPr>
      <w:r>
        <w:rPr>
          <w:rFonts w:hint="eastAsia" w:ascii="微软雅黑" w:hAnsi="微软雅黑" w:eastAsia="微软雅黑" w:cs="微软雅黑"/>
          <w:color w:val="auto"/>
          <w:sz w:val="36"/>
          <w:szCs w:val="30"/>
          <w:highlight w:val="none"/>
        </w:rPr>
        <w:t>采购代理机构：重庆麦迪逊招投标代理有限公司</w:t>
      </w:r>
    </w:p>
    <w:p w14:paraId="3BCC8D71">
      <w:pPr>
        <w:spacing w:after="0"/>
        <w:ind w:firstLine="3240" w:firstLineChars="900"/>
        <w:rPr>
          <w:color w:val="auto"/>
          <w:highlight w:val="none"/>
        </w:rPr>
      </w:pPr>
      <w:r>
        <w:rPr>
          <w:rFonts w:hint="eastAsia" w:ascii="微软雅黑" w:hAnsi="微软雅黑" w:eastAsia="微软雅黑" w:cs="微软雅黑"/>
          <w:color w:val="auto"/>
          <w:sz w:val="36"/>
          <w:szCs w:val="30"/>
          <w:highlight w:val="none"/>
        </w:rPr>
        <w:t>二〇二</w:t>
      </w:r>
      <w:r>
        <w:rPr>
          <w:rFonts w:hint="eastAsia" w:ascii="微软雅黑" w:hAnsi="微软雅黑" w:eastAsia="微软雅黑" w:cs="微软雅黑"/>
          <w:color w:val="auto"/>
          <w:sz w:val="36"/>
          <w:szCs w:val="30"/>
          <w:highlight w:val="none"/>
          <w:lang w:val="en-US" w:eastAsia="zh-CN"/>
        </w:rPr>
        <w:t>六</w:t>
      </w:r>
      <w:r>
        <w:rPr>
          <w:rFonts w:hint="eastAsia" w:ascii="微软雅黑" w:hAnsi="微软雅黑" w:eastAsia="微软雅黑" w:cs="微软雅黑"/>
          <w:color w:val="auto"/>
          <w:sz w:val="36"/>
          <w:szCs w:val="30"/>
          <w:highlight w:val="none"/>
        </w:rPr>
        <w:t>年</w:t>
      </w:r>
      <w:r>
        <w:rPr>
          <w:rFonts w:hint="eastAsia" w:ascii="微软雅黑" w:hAnsi="微软雅黑" w:eastAsia="微软雅黑" w:cs="微软雅黑"/>
          <w:color w:val="auto"/>
          <w:sz w:val="36"/>
          <w:szCs w:val="30"/>
          <w:highlight w:val="none"/>
          <w:lang w:val="en-US" w:eastAsia="zh-CN"/>
        </w:rPr>
        <w:t>七</w:t>
      </w:r>
      <w:r>
        <w:rPr>
          <w:rFonts w:hint="eastAsia" w:ascii="微软雅黑" w:hAnsi="微软雅黑" w:eastAsia="微软雅黑" w:cs="微软雅黑"/>
          <w:color w:val="auto"/>
          <w:sz w:val="36"/>
          <w:szCs w:val="30"/>
          <w:highlight w:val="none"/>
        </w:rPr>
        <w:t>月</w:t>
      </w:r>
      <w:r>
        <w:rPr>
          <w:rFonts w:hint="eastAsia" w:ascii="微软雅黑" w:hAnsi="微软雅黑" w:eastAsia="微软雅黑" w:cs="微软雅黑"/>
          <w:color w:val="auto"/>
          <w:sz w:val="44"/>
          <w:szCs w:val="28"/>
          <w:highlight w:val="none"/>
        </w:rPr>
        <w:br w:type="page"/>
      </w:r>
    </w:p>
    <w:p w14:paraId="2E15D21D">
      <w:pPr>
        <w:spacing w:before="0" w:beforeLines="0" w:after="0" w:afterLines="0" w:line="240" w:lineRule="auto"/>
        <w:ind w:left="0" w:leftChars="0" w:right="0" w:rightChars="0" w:firstLine="0" w:firstLineChars="0"/>
        <w:jc w:val="center"/>
        <w:rPr>
          <w:rFonts w:hint="eastAsia" w:ascii="黑体" w:hAnsi="黑体" w:eastAsia="黑体" w:cs="黑体"/>
          <w:color w:val="auto"/>
          <w:sz w:val="44"/>
          <w:szCs w:val="28"/>
          <w:highlight w:val="none"/>
        </w:rPr>
      </w:pPr>
      <w:r>
        <w:rPr>
          <w:rFonts w:hint="eastAsia" w:ascii="黑体" w:hAnsi="黑体" w:eastAsia="黑体" w:cs="黑体"/>
          <w:color w:val="auto"/>
          <w:sz w:val="32"/>
          <w:szCs w:val="28"/>
          <w:highlight w:val="none"/>
        </w:rPr>
        <w:t>目录</w:t>
      </w:r>
    </w:p>
    <w:p w14:paraId="7EAA1496">
      <w:pPr>
        <w:pStyle w:val="19"/>
        <w:tabs>
          <w:tab w:val="right" w:leader="dot" w:pos="9412"/>
        </w:tabs>
      </w:pPr>
      <w:r>
        <w:rPr>
          <w:rFonts w:ascii="仿宋_GB2312" w:hAnsi="Times New Roman" w:eastAsia="仿宋_GB2312" w:cs="仿宋_GB2312"/>
          <w:color w:val="auto"/>
          <w:sz w:val="24"/>
          <w:szCs w:val="24"/>
          <w:highlight w:val="none"/>
          <w:lang w:val="en-US" w:eastAsia="zh-CN" w:bidi="ar-SA"/>
        </w:rPr>
        <w:fldChar w:fldCharType="begin"/>
      </w:r>
      <w:r>
        <w:rPr>
          <w:rFonts w:ascii="仿宋_GB2312" w:hAnsi="Times New Roman" w:eastAsia="仿宋_GB2312" w:cs="仿宋_GB2312"/>
          <w:color w:val="auto"/>
          <w:sz w:val="24"/>
          <w:szCs w:val="24"/>
          <w:highlight w:val="none"/>
          <w:lang w:val="en-US" w:eastAsia="zh-CN" w:bidi="ar-SA"/>
        </w:rPr>
        <w:instrText xml:space="preserve">TOC \o "1-1" \h \u </w:instrText>
      </w:r>
      <w:r>
        <w:rPr>
          <w:rFonts w:ascii="仿宋_GB2312" w:hAnsi="Times New Roman" w:eastAsia="仿宋_GB2312" w:cs="仿宋_GB2312"/>
          <w:color w:val="auto"/>
          <w:sz w:val="24"/>
          <w:szCs w:val="24"/>
          <w:highlight w:val="none"/>
          <w:lang w:val="en-US" w:eastAsia="zh-CN" w:bidi="ar-SA"/>
        </w:rPr>
        <w:fldChar w:fldCharType="separate"/>
      </w: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_Toc22058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30"/>
          <w:highlight w:val="none"/>
        </w:rPr>
        <w:t xml:space="preserve">第一篇  </w:t>
      </w:r>
      <w:r>
        <w:rPr>
          <w:rFonts w:hint="eastAsia" w:ascii="微软雅黑" w:hAnsi="微软雅黑" w:eastAsia="微软雅黑" w:cs="微软雅黑"/>
          <w:szCs w:val="30"/>
          <w:highlight w:val="none"/>
          <w:lang w:val="en-US" w:eastAsia="zh-CN"/>
        </w:rPr>
        <w:t>询价</w:t>
      </w:r>
      <w:r>
        <w:rPr>
          <w:rFonts w:hint="eastAsia" w:ascii="微软雅黑" w:hAnsi="微软雅黑" w:eastAsia="微软雅黑" w:cs="微软雅黑"/>
          <w:szCs w:val="30"/>
          <w:highlight w:val="none"/>
        </w:rPr>
        <w:t>邀请书</w:t>
      </w:r>
      <w:r>
        <w:tab/>
      </w:r>
      <w:r>
        <w:fldChar w:fldCharType="begin"/>
      </w:r>
      <w:r>
        <w:instrText xml:space="preserve"> PAGEREF _Toc22058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619B9E23">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_Toc15811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highlight w:val="none"/>
          <w:lang w:val="en-US" w:eastAsia="zh-CN"/>
        </w:rPr>
        <w:t>询价</w:t>
      </w:r>
      <w:r>
        <w:rPr>
          <w:rFonts w:hint="eastAsia" w:ascii="微软雅黑" w:hAnsi="微软雅黑" w:eastAsia="微软雅黑" w:cs="微软雅黑"/>
          <w:szCs w:val="24"/>
          <w:highlight w:val="none"/>
        </w:rPr>
        <w:t>项目内容</w:t>
      </w:r>
      <w:r>
        <w:tab/>
      </w:r>
      <w:r>
        <w:fldChar w:fldCharType="begin"/>
      </w:r>
      <w:r>
        <w:instrText xml:space="preserve"> PAGEREF _Toc15811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43FB2A21">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_Toc30124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二、资金来源</w:t>
      </w:r>
      <w:r>
        <w:tab/>
      </w:r>
      <w:r>
        <w:fldChar w:fldCharType="begin"/>
      </w:r>
      <w:r>
        <w:instrText xml:space="preserve"> PAGEREF _Toc30124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22BC29B2">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_Toc26950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三、</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资格条件</w:t>
      </w:r>
      <w:r>
        <w:tab/>
      </w:r>
      <w:r>
        <w:fldChar w:fldCharType="begin"/>
      </w:r>
      <w:r>
        <w:instrText xml:space="preserve"> PAGEREF _Toc26950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184A0834">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_Toc17957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四、</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有关说明</w:t>
      </w:r>
      <w:r>
        <w:tab/>
      </w:r>
      <w:r>
        <w:fldChar w:fldCharType="begin"/>
      </w:r>
      <w:r>
        <w:instrText xml:space="preserve"> PAGEREF _Toc17957 \h </w:instrText>
      </w:r>
      <w:r>
        <w:fldChar w:fldCharType="separate"/>
      </w:r>
      <w:r>
        <w:t>3</w:t>
      </w:r>
      <w:r>
        <w:fldChar w:fldCharType="end"/>
      </w:r>
      <w:r>
        <w:rPr>
          <w:rFonts w:ascii="仿宋_GB2312" w:hAnsi="Times New Roman" w:eastAsia="仿宋_GB2312" w:cs="仿宋_GB2312"/>
          <w:color w:val="auto"/>
          <w:szCs w:val="24"/>
          <w:highlight w:val="none"/>
          <w:lang w:val="en-US" w:eastAsia="zh-CN" w:bidi="ar-SA"/>
        </w:rPr>
        <w:fldChar w:fldCharType="end"/>
      </w:r>
    </w:p>
    <w:p w14:paraId="4CE686AB">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_Toc11124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五、联系方式</w:t>
      </w:r>
      <w:r>
        <w:tab/>
      </w:r>
      <w:r>
        <w:fldChar w:fldCharType="begin"/>
      </w:r>
      <w:r>
        <w:instrText xml:space="preserve"> PAGEREF _Toc11124 \h </w:instrText>
      </w:r>
      <w:r>
        <w:fldChar w:fldCharType="separate"/>
      </w:r>
      <w:r>
        <w:t>4</w:t>
      </w:r>
      <w:r>
        <w:fldChar w:fldCharType="end"/>
      </w:r>
      <w:r>
        <w:rPr>
          <w:rFonts w:ascii="仿宋_GB2312" w:hAnsi="Times New Roman" w:eastAsia="仿宋_GB2312" w:cs="仿宋_GB2312"/>
          <w:color w:val="auto"/>
          <w:szCs w:val="24"/>
          <w:highlight w:val="none"/>
          <w:lang w:val="en-US" w:eastAsia="zh-CN" w:bidi="ar-SA"/>
        </w:rPr>
        <w:fldChar w:fldCharType="end"/>
      </w:r>
    </w:p>
    <w:p w14:paraId="63EE21E8">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_Toc24307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六、其它有关规定</w:t>
      </w:r>
      <w:r>
        <w:tab/>
      </w:r>
      <w:r>
        <w:fldChar w:fldCharType="begin"/>
      </w:r>
      <w:r>
        <w:instrText xml:space="preserve"> PAGEREF _Toc24307 \h </w:instrText>
      </w:r>
      <w:r>
        <w:fldChar w:fldCharType="separate"/>
      </w:r>
      <w:r>
        <w:t>4</w:t>
      </w:r>
      <w:r>
        <w:fldChar w:fldCharType="end"/>
      </w:r>
      <w:r>
        <w:rPr>
          <w:rFonts w:ascii="仿宋_GB2312" w:hAnsi="Times New Roman" w:eastAsia="仿宋_GB2312" w:cs="仿宋_GB2312"/>
          <w:color w:val="auto"/>
          <w:szCs w:val="24"/>
          <w:highlight w:val="none"/>
          <w:lang w:val="en-US" w:eastAsia="zh-CN" w:bidi="ar-SA"/>
        </w:rPr>
        <w:fldChar w:fldCharType="end"/>
      </w:r>
    </w:p>
    <w:p w14:paraId="1EE9CD66">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_Toc21665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30"/>
          <w:highlight w:val="none"/>
        </w:rPr>
        <w:t>第二篇  项目</w:t>
      </w:r>
      <w:r>
        <w:rPr>
          <w:rFonts w:hint="eastAsia" w:ascii="微软雅黑" w:hAnsi="微软雅黑" w:eastAsia="微软雅黑" w:cs="微软雅黑"/>
          <w:szCs w:val="30"/>
          <w:highlight w:val="none"/>
          <w:lang w:val="en-US" w:eastAsia="zh-CN"/>
        </w:rPr>
        <w:t>技术</w:t>
      </w:r>
      <w:r>
        <w:rPr>
          <w:rFonts w:hint="eastAsia" w:ascii="微软雅黑" w:hAnsi="微软雅黑" w:eastAsia="微软雅黑" w:cs="微软雅黑"/>
          <w:szCs w:val="30"/>
          <w:highlight w:val="none"/>
        </w:rPr>
        <w:t>需求</w:t>
      </w:r>
      <w:r>
        <w:tab/>
      </w:r>
      <w:r>
        <w:fldChar w:fldCharType="begin"/>
      </w:r>
      <w:r>
        <w:instrText xml:space="preserve"> PAGEREF _Toc21665 \h </w:instrText>
      </w:r>
      <w:r>
        <w:fldChar w:fldCharType="separate"/>
      </w:r>
      <w:r>
        <w:t>5</w:t>
      </w:r>
      <w:r>
        <w:fldChar w:fldCharType="end"/>
      </w:r>
      <w:r>
        <w:rPr>
          <w:rFonts w:ascii="仿宋_GB2312" w:hAnsi="Times New Roman" w:eastAsia="仿宋_GB2312" w:cs="仿宋_GB2312"/>
          <w:color w:val="auto"/>
          <w:szCs w:val="24"/>
          <w:highlight w:val="none"/>
          <w:lang w:val="en-US" w:eastAsia="zh-CN" w:bidi="ar-SA"/>
        </w:rPr>
        <w:fldChar w:fldCharType="end"/>
      </w:r>
    </w:p>
    <w:p w14:paraId="59A160F1">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_Toc21442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一、</w:t>
      </w:r>
      <w:r>
        <w:rPr>
          <w:rFonts w:hint="eastAsia" w:ascii="微软雅黑" w:hAnsi="微软雅黑" w:eastAsia="微软雅黑" w:cs="微软雅黑"/>
          <w:szCs w:val="24"/>
          <w:highlight w:val="none"/>
        </w:rPr>
        <w:t>采购项目内容</w:t>
      </w:r>
      <w:r>
        <w:tab/>
      </w:r>
      <w:r>
        <w:fldChar w:fldCharType="begin"/>
      </w:r>
      <w:r>
        <w:instrText xml:space="preserve"> PAGEREF _Toc21442 \h </w:instrText>
      </w:r>
      <w:r>
        <w:fldChar w:fldCharType="separate"/>
      </w:r>
      <w:r>
        <w:t>5</w:t>
      </w:r>
      <w:r>
        <w:fldChar w:fldCharType="end"/>
      </w:r>
      <w:r>
        <w:rPr>
          <w:rFonts w:ascii="仿宋_GB2312" w:hAnsi="Times New Roman" w:eastAsia="仿宋_GB2312" w:cs="仿宋_GB2312"/>
          <w:color w:val="auto"/>
          <w:szCs w:val="24"/>
          <w:highlight w:val="none"/>
          <w:lang w:val="en-US" w:eastAsia="zh-CN" w:bidi="ar-SA"/>
        </w:rPr>
        <w:fldChar w:fldCharType="end"/>
      </w:r>
    </w:p>
    <w:p w14:paraId="1239DA99">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_Toc17361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二、</w:t>
      </w:r>
      <w:r>
        <w:rPr>
          <w:rFonts w:hint="eastAsia" w:ascii="微软雅黑" w:hAnsi="微软雅黑" w:eastAsia="微软雅黑" w:cs="微软雅黑"/>
          <w:szCs w:val="24"/>
          <w:highlight w:val="none"/>
          <w:lang w:val="zh-TW" w:eastAsia="zh-TW"/>
        </w:rPr>
        <w:t>具体内容及相关需求</w:t>
      </w:r>
      <w:r>
        <w:tab/>
      </w:r>
      <w:r>
        <w:fldChar w:fldCharType="begin"/>
      </w:r>
      <w:r>
        <w:instrText xml:space="preserve"> PAGEREF _Toc17361 \h </w:instrText>
      </w:r>
      <w:r>
        <w:fldChar w:fldCharType="separate"/>
      </w:r>
      <w:r>
        <w:t>5</w:t>
      </w:r>
      <w:r>
        <w:fldChar w:fldCharType="end"/>
      </w:r>
      <w:r>
        <w:rPr>
          <w:rFonts w:ascii="仿宋_GB2312" w:hAnsi="Times New Roman" w:eastAsia="仿宋_GB2312" w:cs="仿宋_GB2312"/>
          <w:color w:val="auto"/>
          <w:szCs w:val="24"/>
          <w:highlight w:val="none"/>
          <w:lang w:val="en-US" w:eastAsia="zh-CN" w:bidi="ar-SA"/>
        </w:rPr>
        <w:fldChar w:fldCharType="end"/>
      </w:r>
    </w:p>
    <w:p w14:paraId="76FBB9D0">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_Toc16771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30"/>
          <w:highlight w:val="none"/>
        </w:rPr>
        <w:t>第三篇 项目商务需求</w:t>
      </w:r>
      <w:r>
        <w:tab/>
      </w:r>
      <w:r>
        <w:fldChar w:fldCharType="begin"/>
      </w:r>
      <w:r>
        <w:instrText xml:space="preserve"> PAGEREF _Toc16771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79CA4677">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_Toc23610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highlight w:val="none"/>
          <w:lang w:val="en-US" w:eastAsia="zh-CN"/>
        </w:rPr>
        <w:t>交货</w:t>
      </w:r>
      <w:r>
        <w:rPr>
          <w:rFonts w:hint="eastAsia" w:ascii="微软雅黑" w:hAnsi="微软雅黑" w:eastAsia="微软雅黑" w:cs="微软雅黑"/>
          <w:szCs w:val="24"/>
          <w:highlight w:val="none"/>
          <w:lang w:val="zh-TW" w:eastAsia="zh-TW"/>
        </w:rPr>
        <w:t>期、地点及验收方式</w:t>
      </w:r>
      <w:r>
        <w:tab/>
      </w:r>
      <w:r>
        <w:fldChar w:fldCharType="begin"/>
      </w:r>
      <w:r>
        <w:instrText xml:space="preserve"> PAGEREF _Toc23610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0B76EABF">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_Toc6235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zh-TW" w:eastAsia="zh-TW"/>
        </w:rPr>
        <w:t>二、报价要求</w:t>
      </w:r>
      <w:r>
        <w:tab/>
      </w:r>
      <w:r>
        <w:fldChar w:fldCharType="begin"/>
      </w:r>
      <w:r>
        <w:instrText xml:space="preserve"> PAGEREF _Toc6235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31775DE8">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_Toc10265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zh-TW" w:eastAsia="zh-TW"/>
        </w:rPr>
        <w:t>三、质量保证及售后服务</w:t>
      </w:r>
      <w:r>
        <w:tab/>
      </w:r>
      <w:r>
        <w:fldChar w:fldCharType="begin"/>
      </w:r>
      <w:r>
        <w:instrText xml:space="preserve"> PAGEREF _Toc10265 \h </w:instrText>
      </w:r>
      <w:r>
        <w:fldChar w:fldCharType="separate"/>
      </w:r>
      <w:r>
        <w:t>13</w:t>
      </w:r>
      <w:r>
        <w:fldChar w:fldCharType="end"/>
      </w:r>
      <w:r>
        <w:rPr>
          <w:rFonts w:ascii="仿宋_GB2312" w:hAnsi="Times New Roman" w:eastAsia="仿宋_GB2312" w:cs="仿宋_GB2312"/>
          <w:color w:val="auto"/>
          <w:szCs w:val="24"/>
          <w:highlight w:val="none"/>
          <w:lang w:val="en-US" w:eastAsia="zh-CN" w:bidi="ar-SA"/>
        </w:rPr>
        <w:fldChar w:fldCharType="end"/>
      </w:r>
    </w:p>
    <w:p w14:paraId="651A0F40">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_Toc12720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四、</w:t>
      </w:r>
      <w:r>
        <w:rPr>
          <w:rFonts w:hint="eastAsia" w:ascii="微软雅黑" w:hAnsi="微软雅黑" w:eastAsia="微软雅黑" w:cs="微软雅黑"/>
          <w:szCs w:val="24"/>
          <w:highlight w:val="none"/>
          <w:lang w:val="zh-TW" w:eastAsia="zh-TW"/>
        </w:rPr>
        <w:t>付款方式</w:t>
      </w:r>
      <w:r>
        <w:tab/>
      </w:r>
      <w:r>
        <w:fldChar w:fldCharType="begin"/>
      </w:r>
      <w:r>
        <w:instrText xml:space="preserve"> PAGEREF _Toc12720 \h </w:instrText>
      </w:r>
      <w:r>
        <w:fldChar w:fldCharType="separate"/>
      </w:r>
      <w:r>
        <w:t>14</w:t>
      </w:r>
      <w:r>
        <w:fldChar w:fldCharType="end"/>
      </w:r>
      <w:r>
        <w:rPr>
          <w:rFonts w:ascii="仿宋_GB2312" w:hAnsi="Times New Roman" w:eastAsia="仿宋_GB2312" w:cs="仿宋_GB2312"/>
          <w:color w:val="auto"/>
          <w:szCs w:val="24"/>
          <w:highlight w:val="none"/>
          <w:lang w:val="en-US" w:eastAsia="zh-CN" w:bidi="ar-SA"/>
        </w:rPr>
        <w:fldChar w:fldCharType="end"/>
      </w:r>
    </w:p>
    <w:p w14:paraId="38889A50">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_Toc6886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五</w:t>
      </w:r>
      <w:r>
        <w:rPr>
          <w:rFonts w:hint="eastAsia" w:ascii="微软雅黑" w:hAnsi="微软雅黑" w:eastAsia="微软雅黑" w:cs="微软雅黑"/>
          <w:szCs w:val="24"/>
          <w:highlight w:val="none"/>
          <w:lang w:val="zh-TW" w:eastAsia="zh-TW"/>
        </w:rPr>
        <w:t>、知识产权</w:t>
      </w:r>
      <w:r>
        <w:tab/>
      </w:r>
      <w:r>
        <w:fldChar w:fldCharType="begin"/>
      </w:r>
      <w:r>
        <w:instrText xml:space="preserve"> PAGEREF _Toc6886 \h </w:instrText>
      </w:r>
      <w:r>
        <w:fldChar w:fldCharType="separate"/>
      </w:r>
      <w:r>
        <w:t>14</w:t>
      </w:r>
      <w:r>
        <w:fldChar w:fldCharType="end"/>
      </w:r>
      <w:r>
        <w:rPr>
          <w:rFonts w:ascii="仿宋_GB2312" w:hAnsi="Times New Roman" w:eastAsia="仿宋_GB2312" w:cs="仿宋_GB2312"/>
          <w:color w:val="auto"/>
          <w:szCs w:val="24"/>
          <w:highlight w:val="none"/>
          <w:lang w:val="en-US" w:eastAsia="zh-CN" w:bidi="ar-SA"/>
        </w:rPr>
        <w:fldChar w:fldCharType="end"/>
      </w:r>
    </w:p>
    <w:p w14:paraId="3E5F9BF1">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_Toc31746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六</w:t>
      </w:r>
      <w:r>
        <w:rPr>
          <w:rFonts w:hint="eastAsia" w:ascii="微软雅黑" w:hAnsi="微软雅黑" w:eastAsia="微软雅黑" w:cs="微软雅黑"/>
          <w:szCs w:val="24"/>
          <w:highlight w:val="none"/>
          <w:lang w:val="zh-TW" w:eastAsia="zh-TW"/>
        </w:rPr>
        <w:t>、其他</w:t>
      </w:r>
      <w:r>
        <w:tab/>
      </w:r>
      <w:r>
        <w:fldChar w:fldCharType="begin"/>
      </w:r>
      <w:r>
        <w:instrText xml:space="preserve"> PAGEREF _Toc31746 \h </w:instrText>
      </w:r>
      <w:r>
        <w:fldChar w:fldCharType="separate"/>
      </w:r>
      <w:r>
        <w:t>14</w:t>
      </w:r>
      <w:r>
        <w:fldChar w:fldCharType="end"/>
      </w:r>
      <w:r>
        <w:rPr>
          <w:rFonts w:ascii="仿宋_GB2312" w:hAnsi="Times New Roman" w:eastAsia="仿宋_GB2312" w:cs="仿宋_GB2312"/>
          <w:color w:val="auto"/>
          <w:szCs w:val="24"/>
          <w:highlight w:val="none"/>
          <w:lang w:val="en-US" w:eastAsia="zh-CN" w:bidi="ar-SA"/>
        </w:rPr>
        <w:fldChar w:fldCharType="end"/>
      </w:r>
    </w:p>
    <w:p w14:paraId="5D93FDB1">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_Toc13927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kern w:val="2"/>
          <w:szCs w:val="30"/>
          <w:highlight w:val="none"/>
        </w:rPr>
        <w:t>第</w:t>
      </w:r>
      <w:r>
        <w:rPr>
          <w:rFonts w:hint="eastAsia" w:ascii="微软雅黑" w:hAnsi="微软雅黑" w:eastAsia="微软雅黑" w:cs="微软雅黑"/>
          <w:kern w:val="2"/>
          <w:szCs w:val="30"/>
          <w:highlight w:val="none"/>
          <w:lang w:val="en-US" w:eastAsia="zh-CN"/>
        </w:rPr>
        <w:t>四</w:t>
      </w:r>
      <w:r>
        <w:rPr>
          <w:rFonts w:hint="eastAsia" w:ascii="微软雅黑" w:hAnsi="微软雅黑" w:eastAsia="微软雅黑" w:cs="微软雅黑"/>
          <w:kern w:val="2"/>
          <w:szCs w:val="30"/>
          <w:highlight w:val="none"/>
        </w:rPr>
        <w:t>篇  供应商须知</w:t>
      </w:r>
      <w:r>
        <w:tab/>
      </w:r>
      <w:r>
        <w:fldChar w:fldCharType="begin"/>
      </w:r>
      <w:r>
        <w:instrText xml:space="preserve"> PAGEREF _Toc13927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1731747C">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_Toc4662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一、</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费用</w:t>
      </w:r>
      <w:r>
        <w:tab/>
      </w:r>
      <w:r>
        <w:fldChar w:fldCharType="begin"/>
      </w:r>
      <w:r>
        <w:instrText xml:space="preserve"> PAGEREF _Toc4662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06BD18CC">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_Toc12607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二、</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文件</w:t>
      </w:r>
      <w:r>
        <w:tab/>
      </w:r>
      <w:r>
        <w:fldChar w:fldCharType="begin"/>
      </w:r>
      <w:r>
        <w:instrText xml:space="preserve"> PAGEREF _Toc12607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1307E888">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_Toc627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rPr>
        <w:t>三、</w:t>
      </w:r>
      <w:r>
        <w:rPr>
          <w:rFonts w:hint="eastAsia" w:ascii="微软雅黑" w:hAnsi="微软雅黑" w:eastAsia="微软雅黑" w:cs="微软雅黑"/>
          <w:szCs w:val="24"/>
          <w:highlight w:val="none"/>
          <w:lang w:eastAsia="zh-CN"/>
        </w:rPr>
        <w:t>询价</w:t>
      </w:r>
      <w:r>
        <w:rPr>
          <w:rFonts w:hint="eastAsia" w:ascii="微软雅黑" w:hAnsi="微软雅黑" w:eastAsia="微软雅黑" w:cs="微软雅黑"/>
          <w:szCs w:val="24"/>
          <w:highlight w:val="none"/>
        </w:rPr>
        <w:t>要求</w:t>
      </w:r>
      <w:r>
        <w:tab/>
      </w:r>
      <w:r>
        <w:fldChar w:fldCharType="begin"/>
      </w:r>
      <w:r>
        <w:instrText xml:space="preserve"> PAGEREF _Toc627 \h </w:instrText>
      </w:r>
      <w:r>
        <w:fldChar w:fldCharType="separate"/>
      </w:r>
      <w:r>
        <w:t>15</w:t>
      </w:r>
      <w:r>
        <w:fldChar w:fldCharType="end"/>
      </w:r>
      <w:r>
        <w:rPr>
          <w:rFonts w:ascii="仿宋_GB2312" w:hAnsi="Times New Roman" w:eastAsia="仿宋_GB2312" w:cs="仿宋_GB2312"/>
          <w:color w:val="auto"/>
          <w:szCs w:val="24"/>
          <w:highlight w:val="none"/>
          <w:lang w:val="en-US" w:eastAsia="zh-CN" w:bidi="ar-SA"/>
        </w:rPr>
        <w:fldChar w:fldCharType="end"/>
      </w:r>
    </w:p>
    <w:p w14:paraId="475A66B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_Toc29402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四、询价程序</w:t>
      </w:r>
      <w:r>
        <w:tab/>
      </w:r>
      <w:r>
        <w:fldChar w:fldCharType="begin"/>
      </w:r>
      <w:r>
        <w:instrText xml:space="preserve"> PAGEREF _Toc29402 \h </w:instrText>
      </w:r>
      <w:r>
        <w:fldChar w:fldCharType="separate"/>
      </w:r>
      <w:r>
        <w:t>16</w:t>
      </w:r>
      <w:r>
        <w:fldChar w:fldCharType="end"/>
      </w:r>
      <w:r>
        <w:rPr>
          <w:rFonts w:ascii="仿宋_GB2312" w:hAnsi="Times New Roman" w:eastAsia="仿宋_GB2312" w:cs="仿宋_GB2312"/>
          <w:color w:val="auto"/>
          <w:szCs w:val="24"/>
          <w:highlight w:val="none"/>
          <w:lang w:val="en-US" w:eastAsia="zh-CN" w:bidi="ar-SA"/>
        </w:rPr>
        <w:fldChar w:fldCharType="end"/>
      </w:r>
    </w:p>
    <w:p w14:paraId="79D45611">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_Toc26829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五、评审依据</w:t>
      </w:r>
      <w:r>
        <w:tab/>
      </w:r>
      <w:r>
        <w:fldChar w:fldCharType="begin"/>
      </w:r>
      <w:r>
        <w:instrText xml:space="preserve"> PAGEREF _Toc26829 \h </w:instrText>
      </w:r>
      <w:r>
        <w:fldChar w:fldCharType="separate"/>
      </w:r>
      <w:r>
        <w:t>18</w:t>
      </w:r>
      <w:r>
        <w:fldChar w:fldCharType="end"/>
      </w:r>
      <w:r>
        <w:rPr>
          <w:rFonts w:ascii="仿宋_GB2312" w:hAnsi="Times New Roman" w:eastAsia="仿宋_GB2312" w:cs="仿宋_GB2312"/>
          <w:color w:val="auto"/>
          <w:szCs w:val="24"/>
          <w:highlight w:val="none"/>
          <w:lang w:val="en-US" w:eastAsia="zh-CN" w:bidi="ar-SA"/>
        </w:rPr>
        <w:fldChar w:fldCharType="end"/>
      </w:r>
    </w:p>
    <w:p w14:paraId="04746F11">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_Toc6127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六、成交原则</w:t>
      </w:r>
      <w:r>
        <w:tab/>
      </w:r>
      <w:r>
        <w:fldChar w:fldCharType="begin"/>
      </w:r>
      <w:r>
        <w:instrText xml:space="preserve"> PAGEREF _Toc6127 \h </w:instrText>
      </w:r>
      <w:r>
        <w:fldChar w:fldCharType="separate"/>
      </w:r>
      <w:r>
        <w:t>18</w:t>
      </w:r>
      <w:r>
        <w:fldChar w:fldCharType="end"/>
      </w:r>
      <w:r>
        <w:rPr>
          <w:rFonts w:ascii="仿宋_GB2312" w:hAnsi="Times New Roman" w:eastAsia="仿宋_GB2312" w:cs="仿宋_GB2312"/>
          <w:color w:val="auto"/>
          <w:szCs w:val="24"/>
          <w:highlight w:val="none"/>
          <w:lang w:val="en-US" w:eastAsia="zh-CN" w:bidi="ar-SA"/>
        </w:rPr>
        <w:fldChar w:fldCharType="end"/>
      </w:r>
    </w:p>
    <w:p w14:paraId="5A871BE9">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_Toc25672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七</w:t>
      </w:r>
      <w:r>
        <w:rPr>
          <w:rFonts w:hint="eastAsia" w:ascii="微软雅黑" w:hAnsi="微软雅黑" w:eastAsia="微软雅黑" w:cs="微软雅黑"/>
          <w:szCs w:val="24"/>
          <w:highlight w:val="none"/>
        </w:rPr>
        <w:t>、成交通知</w:t>
      </w:r>
      <w:r>
        <w:tab/>
      </w:r>
      <w:r>
        <w:fldChar w:fldCharType="begin"/>
      </w:r>
      <w:r>
        <w:instrText xml:space="preserve"> PAGEREF _Toc25672 \h </w:instrText>
      </w:r>
      <w:r>
        <w:fldChar w:fldCharType="separate"/>
      </w:r>
      <w:r>
        <w:t>20</w:t>
      </w:r>
      <w:r>
        <w:fldChar w:fldCharType="end"/>
      </w:r>
      <w:r>
        <w:rPr>
          <w:rFonts w:ascii="仿宋_GB2312" w:hAnsi="Times New Roman" w:eastAsia="仿宋_GB2312" w:cs="仿宋_GB2312"/>
          <w:color w:val="auto"/>
          <w:szCs w:val="24"/>
          <w:highlight w:val="none"/>
          <w:lang w:val="en-US" w:eastAsia="zh-CN" w:bidi="ar-SA"/>
        </w:rPr>
        <w:fldChar w:fldCharType="end"/>
      </w:r>
    </w:p>
    <w:p w14:paraId="4AD3F1C3">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_Toc3059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八</w:t>
      </w:r>
      <w:r>
        <w:rPr>
          <w:rFonts w:hint="eastAsia" w:ascii="微软雅黑" w:hAnsi="微软雅黑" w:eastAsia="微软雅黑" w:cs="微软雅黑"/>
          <w:szCs w:val="24"/>
          <w:highlight w:val="none"/>
        </w:rPr>
        <w:t>、关于质疑和投诉</w:t>
      </w:r>
      <w:r>
        <w:tab/>
      </w:r>
      <w:r>
        <w:fldChar w:fldCharType="begin"/>
      </w:r>
      <w:r>
        <w:instrText xml:space="preserve"> PAGEREF _Toc3059 \h </w:instrText>
      </w:r>
      <w:r>
        <w:fldChar w:fldCharType="separate"/>
      </w:r>
      <w:r>
        <w:t>20</w:t>
      </w:r>
      <w:r>
        <w:fldChar w:fldCharType="end"/>
      </w:r>
      <w:r>
        <w:rPr>
          <w:rFonts w:ascii="仿宋_GB2312" w:hAnsi="Times New Roman" w:eastAsia="仿宋_GB2312" w:cs="仿宋_GB2312"/>
          <w:color w:val="auto"/>
          <w:szCs w:val="24"/>
          <w:highlight w:val="none"/>
          <w:lang w:val="en-US" w:eastAsia="zh-CN" w:bidi="ar-SA"/>
        </w:rPr>
        <w:fldChar w:fldCharType="end"/>
      </w:r>
    </w:p>
    <w:p w14:paraId="18740FCD">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_Toc24830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九</w:t>
      </w:r>
      <w:r>
        <w:rPr>
          <w:rFonts w:hint="eastAsia" w:ascii="微软雅黑" w:hAnsi="微软雅黑" w:eastAsia="微软雅黑" w:cs="微软雅黑"/>
          <w:szCs w:val="24"/>
          <w:highlight w:val="none"/>
        </w:rPr>
        <w:t>、采购代理服务费</w:t>
      </w:r>
      <w:r>
        <w:tab/>
      </w:r>
      <w:r>
        <w:fldChar w:fldCharType="begin"/>
      </w:r>
      <w:r>
        <w:instrText xml:space="preserve"> PAGEREF _Toc24830 \h </w:instrText>
      </w:r>
      <w:r>
        <w:fldChar w:fldCharType="separate"/>
      </w:r>
      <w:r>
        <w:t>21</w:t>
      </w:r>
      <w:r>
        <w:fldChar w:fldCharType="end"/>
      </w:r>
      <w:r>
        <w:rPr>
          <w:rFonts w:ascii="仿宋_GB2312" w:hAnsi="Times New Roman" w:eastAsia="仿宋_GB2312" w:cs="仿宋_GB2312"/>
          <w:color w:val="auto"/>
          <w:szCs w:val="24"/>
          <w:highlight w:val="none"/>
          <w:lang w:val="en-US" w:eastAsia="zh-CN" w:bidi="ar-SA"/>
        </w:rPr>
        <w:fldChar w:fldCharType="end"/>
      </w:r>
    </w:p>
    <w:p w14:paraId="43191EC2">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_Toc26411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十</w:t>
      </w:r>
      <w:r>
        <w:rPr>
          <w:rFonts w:hint="eastAsia" w:ascii="微软雅黑" w:hAnsi="微软雅黑" w:eastAsia="微软雅黑" w:cs="微软雅黑"/>
          <w:szCs w:val="24"/>
          <w:highlight w:val="none"/>
        </w:rPr>
        <w:t>、签订合同</w:t>
      </w:r>
      <w:r>
        <w:tab/>
      </w:r>
      <w:r>
        <w:fldChar w:fldCharType="begin"/>
      </w:r>
      <w:r>
        <w:instrText xml:space="preserve"> PAGEREF _Toc26411 \h </w:instrText>
      </w:r>
      <w:r>
        <w:fldChar w:fldCharType="separate"/>
      </w:r>
      <w:r>
        <w:t>22</w:t>
      </w:r>
      <w:r>
        <w:fldChar w:fldCharType="end"/>
      </w:r>
      <w:r>
        <w:rPr>
          <w:rFonts w:ascii="仿宋_GB2312" w:hAnsi="Times New Roman" w:eastAsia="仿宋_GB2312" w:cs="仿宋_GB2312"/>
          <w:color w:val="auto"/>
          <w:szCs w:val="24"/>
          <w:highlight w:val="none"/>
          <w:lang w:val="en-US" w:eastAsia="zh-CN" w:bidi="ar-SA"/>
        </w:rPr>
        <w:fldChar w:fldCharType="end"/>
      </w:r>
    </w:p>
    <w:p w14:paraId="1B2DB9A9">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_Toc18540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szCs w:val="24"/>
          <w:highlight w:val="none"/>
          <w:lang w:val="en-US" w:eastAsia="zh-CN"/>
        </w:rPr>
        <w:t>十一</w:t>
      </w:r>
      <w:r>
        <w:rPr>
          <w:rFonts w:hint="eastAsia" w:ascii="微软雅黑" w:hAnsi="微软雅黑" w:eastAsia="微软雅黑" w:cs="微软雅黑"/>
          <w:szCs w:val="24"/>
          <w:highlight w:val="none"/>
        </w:rPr>
        <w:t>、项目验收</w:t>
      </w:r>
      <w:r>
        <w:tab/>
      </w:r>
      <w:r>
        <w:fldChar w:fldCharType="begin"/>
      </w:r>
      <w:r>
        <w:instrText xml:space="preserve"> PAGEREF _Toc18540 \h </w:instrText>
      </w:r>
      <w:r>
        <w:fldChar w:fldCharType="separate"/>
      </w:r>
      <w:r>
        <w:t>22</w:t>
      </w:r>
      <w:r>
        <w:fldChar w:fldCharType="end"/>
      </w:r>
      <w:r>
        <w:rPr>
          <w:rFonts w:ascii="仿宋_GB2312" w:hAnsi="Times New Roman" w:eastAsia="仿宋_GB2312" w:cs="仿宋_GB2312"/>
          <w:color w:val="auto"/>
          <w:szCs w:val="24"/>
          <w:highlight w:val="none"/>
          <w:lang w:val="en-US" w:eastAsia="zh-CN" w:bidi="ar-SA"/>
        </w:rPr>
        <w:fldChar w:fldCharType="end"/>
      </w:r>
    </w:p>
    <w:p w14:paraId="7BEADD96">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_Toc32318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kern w:val="2"/>
          <w:szCs w:val="30"/>
          <w:highlight w:val="none"/>
        </w:rPr>
        <w:t>第</w:t>
      </w:r>
      <w:r>
        <w:rPr>
          <w:rFonts w:hint="eastAsia" w:ascii="微软雅黑" w:hAnsi="微软雅黑" w:eastAsia="微软雅黑" w:cs="微软雅黑"/>
          <w:kern w:val="2"/>
          <w:szCs w:val="30"/>
          <w:highlight w:val="none"/>
          <w:lang w:val="en-US" w:eastAsia="zh-CN"/>
        </w:rPr>
        <w:t>五</w:t>
      </w:r>
      <w:r>
        <w:rPr>
          <w:rFonts w:hint="eastAsia" w:ascii="微软雅黑" w:hAnsi="微软雅黑" w:eastAsia="微软雅黑" w:cs="微软雅黑"/>
          <w:kern w:val="2"/>
          <w:szCs w:val="30"/>
          <w:highlight w:val="none"/>
        </w:rPr>
        <w:t>篇  网上</w:t>
      </w:r>
      <w:r>
        <w:rPr>
          <w:rFonts w:hint="eastAsia" w:ascii="微软雅黑" w:hAnsi="微软雅黑" w:eastAsia="微软雅黑" w:cs="微软雅黑"/>
          <w:kern w:val="2"/>
          <w:szCs w:val="30"/>
          <w:highlight w:val="none"/>
          <w:lang w:eastAsia="zh-CN"/>
        </w:rPr>
        <w:t>询价</w:t>
      </w:r>
      <w:r>
        <w:rPr>
          <w:rFonts w:hint="eastAsia" w:ascii="微软雅黑" w:hAnsi="微软雅黑" w:eastAsia="微软雅黑" w:cs="微软雅黑"/>
          <w:kern w:val="2"/>
          <w:szCs w:val="30"/>
          <w:highlight w:val="none"/>
        </w:rPr>
        <w:t>合同</w:t>
      </w:r>
      <w:r>
        <w:tab/>
      </w:r>
      <w:r>
        <w:fldChar w:fldCharType="begin"/>
      </w:r>
      <w:r>
        <w:instrText xml:space="preserve"> PAGEREF _Toc32318 \h </w:instrText>
      </w:r>
      <w:r>
        <w:fldChar w:fldCharType="separate"/>
      </w:r>
      <w:r>
        <w:t>23</w:t>
      </w:r>
      <w:r>
        <w:fldChar w:fldCharType="end"/>
      </w:r>
      <w:r>
        <w:rPr>
          <w:rFonts w:ascii="仿宋_GB2312" w:hAnsi="Times New Roman" w:eastAsia="仿宋_GB2312" w:cs="仿宋_GB2312"/>
          <w:color w:val="auto"/>
          <w:szCs w:val="24"/>
          <w:highlight w:val="none"/>
          <w:lang w:val="en-US" w:eastAsia="zh-CN" w:bidi="ar-SA"/>
        </w:rPr>
        <w:fldChar w:fldCharType="end"/>
      </w:r>
    </w:p>
    <w:p w14:paraId="45FBD21C">
      <w:pPr>
        <w:pStyle w:val="19"/>
        <w:tabs>
          <w:tab w:val="right" w:leader="dot" w:pos="9412"/>
        </w:tabs>
      </w:pPr>
      <w:r>
        <w:rPr>
          <w:rFonts w:ascii="仿宋_GB2312" w:hAnsi="Times New Roman" w:eastAsia="仿宋_GB2312" w:cs="仿宋_GB2312"/>
          <w:color w:val="auto"/>
          <w:szCs w:val="24"/>
          <w:highlight w:val="none"/>
          <w:lang w:val="en-US" w:eastAsia="zh-CN" w:bidi="ar-SA"/>
        </w:rPr>
        <w:fldChar w:fldCharType="begin"/>
      </w:r>
      <w:r>
        <w:rPr>
          <w:rFonts w:ascii="仿宋_GB2312" w:hAnsi="Times New Roman" w:eastAsia="仿宋_GB2312" w:cs="仿宋_GB2312"/>
          <w:szCs w:val="24"/>
          <w:highlight w:val="none"/>
          <w:lang w:val="en-US" w:eastAsia="zh-CN" w:bidi="ar-SA"/>
        </w:rPr>
        <w:instrText xml:space="preserve"> HYPERLINK \l _Toc28980 </w:instrText>
      </w:r>
      <w:r>
        <w:rPr>
          <w:rFonts w:ascii="仿宋_GB2312" w:hAnsi="Times New Roman" w:eastAsia="仿宋_GB2312" w:cs="仿宋_GB2312"/>
          <w:szCs w:val="24"/>
          <w:highlight w:val="none"/>
          <w:lang w:val="en-US" w:eastAsia="zh-CN" w:bidi="ar-SA"/>
        </w:rPr>
        <w:fldChar w:fldCharType="separate"/>
      </w:r>
      <w:r>
        <w:rPr>
          <w:rFonts w:hint="eastAsia" w:ascii="微软雅黑" w:hAnsi="微软雅黑" w:eastAsia="微软雅黑" w:cs="微软雅黑"/>
          <w:kern w:val="2"/>
          <w:szCs w:val="30"/>
          <w:highlight w:val="none"/>
        </w:rPr>
        <w:t>第</w:t>
      </w:r>
      <w:r>
        <w:rPr>
          <w:rFonts w:hint="eastAsia" w:ascii="微软雅黑" w:hAnsi="微软雅黑" w:eastAsia="微软雅黑" w:cs="微软雅黑"/>
          <w:kern w:val="2"/>
          <w:szCs w:val="30"/>
          <w:highlight w:val="none"/>
          <w:lang w:val="en-US" w:eastAsia="zh-CN"/>
        </w:rPr>
        <w:t>六</w:t>
      </w:r>
      <w:r>
        <w:rPr>
          <w:rFonts w:hint="eastAsia" w:ascii="微软雅黑" w:hAnsi="微软雅黑" w:eastAsia="微软雅黑" w:cs="微软雅黑"/>
          <w:kern w:val="2"/>
          <w:szCs w:val="30"/>
          <w:highlight w:val="none"/>
        </w:rPr>
        <w:t>篇  响应文件编制要求</w:t>
      </w:r>
      <w:r>
        <w:tab/>
      </w:r>
      <w:r>
        <w:fldChar w:fldCharType="begin"/>
      </w:r>
      <w:r>
        <w:instrText xml:space="preserve"> PAGEREF _Toc28980 \h </w:instrText>
      </w:r>
      <w:r>
        <w:fldChar w:fldCharType="separate"/>
      </w:r>
      <w:r>
        <w:t>- 24 -</w:t>
      </w:r>
      <w:r>
        <w:fldChar w:fldCharType="end"/>
      </w:r>
      <w:r>
        <w:rPr>
          <w:rFonts w:ascii="仿宋_GB2312" w:hAnsi="Times New Roman" w:eastAsia="仿宋_GB2312" w:cs="仿宋_GB2312"/>
          <w:color w:val="auto"/>
          <w:szCs w:val="24"/>
          <w:highlight w:val="none"/>
          <w:lang w:val="en-US" w:eastAsia="zh-CN" w:bidi="ar-SA"/>
        </w:rPr>
        <w:fldChar w:fldCharType="end"/>
      </w:r>
    </w:p>
    <w:p w14:paraId="40C7A5D4">
      <w:pPr>
        <w:pStyle w:val="7"/>
        <w:rPr>
          <w:rFonts w:ascii="仿宋_GB2312" w:hAnsi="Times New Roman" w:eastAsia="仿宋_GB2312" w:cs="仿宋_GB2312"/>
          <w:color w:val="auto"/>
          <w:sz w:val="24"/>
          <w:szCs w:val="24"/>
          <w:highlight w:val="none"/>
          <w:lang w:val="en-US" w:eastAsia="zh-CN" w:bidi="ar-SA"/>
        </w:rPr>
      </w:pPr>
      <w:r>
        <w:rPr>
          <w:rFonts w:ascii="仿宋_GB2312" w:hAnsi="Times New Roman" w:eastAsia="仿宋_GB2312" w:cs="仿宋_GB2312"/>
          <w:color w:val="auto"/>
          <w:szCs w:val="24"/>
          <w:highlight w:val="none"/>
          <w:lang w:val="en-US" w:eastAsia="zh-CN" w:bidi="ar-SA"/>
        </w:rPr>
        <w:fldChar w:fldCharType="end"/>
      </w:r>
    </w:p>
    <w:p w14:paraId="075B7E1E">
      <w:pPr>
        <w:pStyle w:val="7"/>
        <w:rPr>
          <w:rFonts w:ascii="仿宋_GB2312" w:hAnsi="Times New Roman" w:eastAsia="仿宋_GB2312" w:cs="仿宋_GB2312"/>
          <w:color w:val="auto"/>
          <w:sz w:val="24"/>
          <w:szCs w:val="24"/>
          <w:highlight w:val="none"/>
          <w:lang w:val="en-US" w:eastAsia="zh-CN" w:bidi="ar-SA"/>
        </w:rPr>
      </w:pPr>
    </w:p>
    <w:p w14:paraId="30BB2EFE">
      <w:pPr>
        <w:keepNext w:val="0"/>
        <w:keepLines w:val="0"/>
        <w:outlineLvl w:val="9"/>
        <w:rPr>
          <w:rFonts w:hint="eastAsia" w:ascii="微软雅黑" w:hAnsi="微软雅黑" w:eastAsia="微软雅黑" w:cs="微软雅黑"/>
          <w:b/>
          <w:color w:val="auto"/>
          <w:sz w:val="36"/>
          <w:szCs w:val="30"/>
          <w:highlight w:val="none"/>
        </w:rPr>
      </w:pPr>
    </w:p>
    <w:p w14:paraId="6C7753B3">
      <w:pPr>
        <w:keepNext w:val="0"/>
        <w:keepLines w:val="0"/>
        <w:jc w:val="center"/>
        <w:outlineLvl w:val="9"/>
        <w:rPr>
          <w:rFonts w:hint="eastAsia" w:ascii="微软雅黑" w:hAnsi="微软雅黑" w:eastAsia="微软雅黑" w:cs="微软雅黑"/>
          <w:b/>
          <w:color w:val="auto"/>
          <w:sz w:val="36"/>
          <w:szCs w:val="30"/>
          <w:highlight w:val="none"/>
        </w:rPr>
        <w:sectPr>
          <w:headerReference r:id="rId3" w:type="default"/>
          <w:pgSz w:w="11907" w:h="16840"/>
          <w:pgMar w:top="1134" w:right="1191" w:bottom="1134" w:left="1304" w:header="964" w:footer="992" w:gutter="0"/>
          <w:cols w:space="720" w:num="1"/>
          <w:docGrid w:linePitch="312" w:charSpace="0"/>
        </w:sectPr>
      </w:pPr>
    </w:p>
    <w:p w14:paraId="35CFDE81">
      <w:pPr>
        <w:pStyle w:val="2"/>
        <w:keepNext w:val="0"/>
        <w:keepLines w:val="0"/>
        <w:spacing w:line="240" w:lineRule="auto"/>
        <w:jc w:val="center"/>
        <w:outlineLvl w:val="0"/>
        <w:rPr>
          <w:rFonts w:hint="eastAsia" w:ascii="微软雅黑" w:hAnsi="微软雅黑" w:eastAsia="微软雅黑" w:cs="微软雅黑"/>
          <w:color w:val="auto"/>
          <w:sz w:val="36"/>
          <w:szCs w:val="30"/>
          <w:highlight w:val="none"/>
        </w:rPr>
      </w:pPr>
      <w:bookmarkStart w:id="1" w:name="_Toc22058"/>
      <w:r>
        <w:rPr>
          <w:rFonts w:hint="eastAsia" w:ascii="微软雅黑" w:hAnsi="微软雅黑" w:eastAsia="微软雅黑" w:cs="微软雅黑"/>
          <w:color w:val="auto"/>
          <w:sz w:val="36"/>
          <w:szCs w:val="30"/>
          <w:highlight w:val="none"/>
        </w:rPr>
        <w:t xml:space="preserve">第一篇  </w:t>
      </w:r>
      <w:r>
        <w:rPr>
          <w:rFonts w:hint="eastAsia" w:ascii="微软雅黑" w:hAnsi="微软雅黑" w:eastAsia="微软雅黑" w:cs="微软雅黑"/>
          <w:color w:val="auto"/>
          <w:sz w:val="36"/>
          <w:szCs w:val="30"/>
          <w:highlight w:val="none"/>
          <w:lang w:val="en-US" w:eastAsia="zh-CN"/>
        </w:rPr>
        <w:t>询价</w:t>
      </w:r>
      <w:r>
        <w:rPr>
          <w:rFonts w:hint="eastAsia" w:ascii="微软雅黑" w:hAnsi="微软雅黑" w:eastAsia="微软雅黑" w:cs="微软雅黑"/>
          <w:color w:val="auto"/>
          <w:sz w:val="36"/>
          <w:szCs w:val="30"/>
          <w:highlight w:val="none"/>
        </w:rPr>
        <w:t>邀请书</w:t>
      </w:r>
      <w:bookmarkEnd w:id="1"/>
    </w:p>
    <w:p w14:paraId="3714A466">
      <w:pPr>
        <w:snapToGrid w:val="0"/>
        <w:spacing w:line="400" w:lineRule="exact"/>
        <w:ind w:firstLine="480" w:firstLineChars="200"/>
        <w:rPr>
          <w:rFonts w:hint="eastAsia" w:ascii="微软雅黑" w:hAnsi="微软雅黑" w:eastAsia="微软雅黑" w:cs="微软雅黑"/>
          <w:b/>
          <w:bCs/>
          <w:color w:val="auto"/>
          <w:spacing w:val="80"/>
          <w:sz w:val="44"/>
          <w:szCs w:val="44"/>
          <w:highlight w:val="none"/>
        </w:rPr>
      </w:pPr>
      <w:r>
        <w:rPr>
          <w:rFonts w:hint="eastAsia" w:ascii="微软雅黑" w:hAnsi="微软雅黑" w:eastAsia="微软雅黑" w:cs="微软雅黑"/>
          <w:color w:val="auto"/>
          <w:sz w:val="24"/>
          <w:szCs w:val="24"/>
          <w:highlight w:val="none"/>
        </w:rPr>
        <w:t>重庆麦迪逊招投标代理有限公司（以下简称：采购代理机构）受</w:t>
      </w:r>
      <w:r>
        <w:rPr>
          <w:rFonts w:hint="eastAsia" w:ascii="微软雅黑" w:hAnsi="微软雅黑" w:eastAsia="微软雅黑" w:cs="微软雅黑"/>
          <w:color w:val="auto"/>
          <w:sz w:val="24"/>
          <w:szCs w:val="24"/>
          <w:highlight w:val="none"/>
          <w:lang w:eastAsia="zh-CN"/>
        </w:rPr>
        <w:t>重庆市九龙坡职业教育中心</w:t>
      </w:r>
      <w:r>
        <w:rPr>
          <w:rFonts w:hint="eastAsia" w:ascii="微软雅黑" w:hAnsi="微软雅黑" w:eastAsia="微软雅黑" w:cs="微软雅黑"/>
          <w:color w:val="auto"/>
          <w:sz w:val="24"/>
          <w:szCs w:val="24"/>
          <w:highlight w:val="none"/>
        </w:rPr>
        <w:t>（以下简称：采购人）的委托，对</w:t>
      </w:r>
      <w:r>
        <w:rPr>
          <w:rFonts w:hint="eastAsia" w:ascii="微软雅黑" w:hAnsi="微软雅黑" w:eastAsia="微软雅黑" w:cs="微软雅黑"/>
          <w:color w:val="auto"/>
          <w:sz w:val="24"/>
          <w:szCs w:val="24"/>
          <w:highlight w:val="none"/>
          <w:lang w:val="en-US" w:eastAsia="zh-CN"/>
        </w:rPr>
        <w:t>学校</w:t>
      </w:r>
      <w:r>
        <w:rPr>
          <w:rFonts w:hint="eastAsia" w:ascii="微软雅黑" w:hAnsi="微软雅黑" w:eastAsia="微软雅黑" w:cs="微软雅黑"/>
          <w:color w:val="auto"/>
          <w:sz w:val="24"/>
          <w:szCs w:val="24"/>
          <w:highlight w:val="none"/>
        </w:rPr>
        <w:t>智能门禁和车行道闸进行网上</w:t>
      </w:r>
      <w:r>
        <w:rPr>
          <w:rFonts w:hint="eastAsia" w:ascii="微软雅黑" w:hAnsi="微软雅黑" w:eastAsia="微软雅黑" w:cs="微软雅黑"/>
          <w:color w:val="auto"/>
          <w:sz w:val="24"/>
          <w:szCs w:val="24"/>
          <w:highlight w:val="none"/>
          <w:lang w:val="en-US" w:eastAsia="zh-CN"/>
        </w:rPr>
        <w:t>询价</w:t>
      </w:r>
      <w:r>
        <w:rPr>
          <w:rFonts w:hint="eastAsia" w:ascii="微软雅黑" w:hAnsi="微软雅黑" w:eastAsia="微软雅黑" w:cs="微软雅黑"/>
          <w:color w:val="auto"/>
          <w:sz w:val="24"/>
          <w:szCs w:val="24"/>
          <w:highlight w:val="none"/>
        </w:rPr>
        <w:t>采购。欢迎有资格的供应商前来参与网上</w:t>
      </w:r>
      <w:r>
        <w:rPr>
          <w:rFonts w:hint="eastAsia" w:ascii="微软雅黑" w:hAnsi="微软雅黑" w:eastAsia="微软雅黑" w:cs="微软雅黑"/>
          <w:color w:val="auto"/>
          <w:sz w:val="24"/>
          <w:szCs w:val="24"/>
          <w:highlight w:val="none"/>
          <w:lang w:val="en-US" w:eastAsia="zh-CN"/>
        </w:rPr>
        <w:t>询价</w:t>
      </w:r>
      <w:r>
        <w:rPr>
          <w:rFonts w:hint="eastAsia" w:ascii="微软雅黑" w:hAnsi="微软雅黑" w:eastAsia="微软雅黑" w:cs="微软雅黑"/>
          <w:color w:val="auto"/>
          <w:sz w:val="24"/>
          <w:szCs w:val="24"/>
          <w:highlight w:val="none"/>
        </w:rPr>
        <w:t>。</w:t>
      </w:r>
    </w:p>
    <w:p w14:paraId="2C1B1346">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 w:name="_Toc3463"/>
      <w:bookmarkStart w:id="3" w:name="_Toc18159"/>
      <w:bookmarkStart w:id="4" w:name="_Toc12808"/>
      <w:bookmarkStart w:id="5" w:name="_Toc313893526"/>
      <w:bookmarkStart w:id="6" w:name="_Toc18881"/>
      <w:bookmarkStart w:id="7" w:name="_Toc25458"/>
      <w:bookmarkStart w:id="8" w:name="_Toc26820"/>
      <w:bookmarkStart w:id="9" w:name="_Toc15811"/>
      <w:bookmarkStart w:id="10" w:name="_Toc317775175"/>
      <w:bookmarkStart w:id="11" w:name="_Toc7625"/>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val="en-US" w:eastAsia="zh-CN"/>
        </w:rPr>
        <w:t>询价</w:t>
      </w:r>
      <w:r>
        <w:rPr>
          <w:rFonts w:hint="eastAsia" w:ascii="微软雅黑" w:hAnsi="微软雅黑" w:eastAsia="微软雅黑" w:cs="微软雅黑"/>
          <w:color w:val="auto"/>
          <w:sz w:val="24"/>
          <w:szCs w:val="24"/>
          <w:highlight w:val="none"/>
        </w:rPr>
        <w:t>项目内容</w:t>
      </w:r>
      <w:bookmarkEnd w:id="2"/>
      <w:bookmarkEnd w:id="3"/>
      <w:bookmarkEnd w:id="4"/>
      <w:bookmarkEnd w:id="5"/>
      <w:bookmarkEnd w:id="6"/>
      <w:bookmarkEnd w:id="7"/>
      <w:bookmarkEnd w:id="8"/>
      <w:bookmarkEnd w:id="9"/>
      <w:bookmarkEnd w:id="10"/>
      <w:bookmarkEnd w:id="11"/>
    </w:p>
    <w:tbl>
      <w:tblPr>
        <w:tblStyle w:val="26"/>
        <w:tblpPr w:leftFromText="180" w:rightFromText="180" w:vertAnchor="text" w:horzAnchor="page" w:tblpX="1490" w:tblpY="39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7"/>
        <w:gridCol w:w="2064"/>
        <w:gridCol w:w="1338"/>
        <w:gridCol w:w="2658"/>
      </w:tblGrid>
      <w:tr w14:paraId="2AEBBA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27" w:type="dxa"/>
            <w:vAlign w:val="center"/>
          </w:tcPr>
          <w:p w14:paraId="4FCB2F54">
            <w:pPr>
              <w:snapToGrid w:val="0"/>
              <w:spacing w:line="400" w:lineRule="exact"/>
              <w:jc w:val="center"/>
              <w:rPr>
                <w:rFonts w:hint="eastAsia" w:ascii="微软雅黑" w:hAnsi="微软雅黑" w:eastAsia="微软雅黑" w:cs="微软雅黑"/>
                <w:color w:val="auto"/>
                <w:sz w:val="24"/>
                <w:szCs w:val="24"/>
                <w:highlight w:val="none"/>
              </w:rPr>
            </w:pPr>
            <w:bookmarkStart w:id="12" w:name="_Toc22399"/>
            <w:bookmarkStart w:id="13" w:name="_Toc1790"/>
            <w:bookmarkStart w:id="14" w:name="_Toc15727"/>
            <w:bookmarkStart w:id="15" w:name="_Toc19437"/>
            <w:bookmarkStart w:id="16" w:name="_Toc25190"/>
            <w:bookmarkStart w:id="17" w:name="_Toc15576"/>
            <w:bookmarkStart w:id="18" w:name="_Toc6462"/>
            <w:bookmarkStart w:id="19" w:name="_Toc317775178"/>
            <w:bookmarkStart w:id="20" w:name="_Toc373860293"/>
            <w:r>
              <w:rPr>
                <w:rFonts w:hint="eastAsia" w:ascii="微软雅黑" w:hAnsi="微软雅黑" w:eastAsia="微软雅黑" w:cs="微软雅黑"/>
                <w:color w:val="auto"/>
                <w:sz w:val="24"/>
                <w:szCs w:val="24"/>
                <w:highlight w:val="none"/>
              </w:rPr>
              <w:t>项目名称</w:t>
            </w:r>
          </w:p>
        </w:tc>
        <w:tc>
          <w:tcPr>
            <w:tcW w:w="2064" w:type="dxa"/>
            <w:vAlign w:val="center"/>
          </w:tcPr>
          <w:p w14:paraId="11A13EA6">
            <w:pPr>
              <w:snapToGrid w:val="0"/>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最高限价（</w:t>
            </w:r>
            <w:r>
              <w:rPr>
                <w:rFonts w:hint="eastAsia" w:ascii="微软雅黑" w:hAnsi="微软雅黑" w:eastAsia="微软雅黑" w:cs="微软雅黑"/>
                <w:color w:val="auto"/>
                <w:sz w:val="24"/>
                <w:szCs w:val="24"/>
                <w:highlight w:val="none"/>
                <w:lang w:val="en-US" w:eastAsia="zh-CN"/>
              </w:rPr>
              <w:t>万</w:t>
            </w:r>
            <w:r>
              <w:rPr>
                <w:rFonts w:hint="eastAsia" w:ascii="微软雅黑" w:hAnsi="微软雅黑" w:eastAsia="微软雅黑" w:cs="微软雅黑"/>
                <w:color w:val="auto"/>
                <w:sz w:val="24"/>
                <w:szCs w:val="24"/>
                <w:highlight w:val="none"/>
              </w:rPr>
              <w:t>元）</w:t>
            </w:r>
          </w:p>
        </w:tc>
        <w:tc>
          <w:tcPr>
            <w:tcW w:w="1338" w:type="dxa"/>
            <w:vAlign w:val="center"/>
          </w:tcPr>
          <w:p w14:paraId="2E59A4C6">
            <w:pPr>
              <w:snapToGrid w:val="0"/>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成交供应商数量</w:t>
            </w:r>
          </w:p>
        </w:tc>
        <w:tc>
          <w:tcPr>
            <w:tcW w:w="2658" w:type="dxa"/>
            <w:vAlign w:val="center"/>
          </w:tcPr>
          <w:p w14:paraId="2DFF5943">
            <w:pPr>
              <w:pStyle w:val="10"/>
              <w:spacing w:line="240" w:lineRule="auto"/>
              <w:ind w:left="0" w:leftChars="0"/>
              <w:jc w:val="center"/>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备注</w:t>
            </w:r>
          </w:p>
        </w:tc>
      </w:tr>
      <w:tr w14:paraId="165F9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trPr>
        <w:tc>
          <w:tcPr>
            <w:tcW w:w="3127" w:type="dxa"/>
            <w:vAlign w:val="center"/>
          </w:tcPr>
          <w:p w14:paraId="12E9A3D7">
            <w:pPr>
              <w:spacing w:line="400" w:lineRule="exact"/>
              <w:jc w:val="center"/>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 w:val="24"/>
                <w:szCs w:val="24"/>
                <w:highlight w:val="none"/>
                <w:lang w:val="en-US" w:eastAsia="zh-CN"/>
              </w:rPr>
              <w:t>学校</w:t>
            </w:r>
            <w:r>
              <w:rPr>
                <w:rFonts w:hint="eastAsia" w:ascii="微软雅黑" w:hAnsi="微软雅黑" w:eastAsia="微软雅黑" w:cs="微软雅黑"/>
                <w:color w:val="auto"/>
                <w:sz w:val="24"/>
                <w:szCs w:val="24"/>
                <w:highlight w:val="none"/>
                <w:lang w:eastAsia="zh-CN"/>
              </w:rPr>
              <w:t>智能门禁和车行道闸</w:t>
            </w:r>
          </w:p>
        </w:tc>
        <w:tc>
          <w:tcPr>
            <w:tcW w:w="2064" w:type="dxa"/>
            <w:vAlign w:val="center"/>
          </w:tcPr>
          <w:p w14:paraId="03D4BE77">
            <w:pPr>
              <w:spacing w:line="400" w:lineRule="exact"/>
              <w:jc w:val="center"/>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49.8135</w:t>
            </w:r>
          </w:p>
        </w:tc>
        <w:tc>
          <w:tcPr>
            <w:tcW w:w="1338" w:type="dxa"/>
            <w:vAlign w:val="center"/>
          </w:tcPr>
          <w:p w14:paraId="0DC9FBF5">
            <w:pPr>
              <w:snapToGrid w:val="0"/>
              <w:spacing w:line="400" w:lineRule="exact"/>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1名</w:t>
            </w:r>
          </w:p>
        </w:tc>
        <w:tc>
          <w:tcPr>
            <w:tcW w:w="2658" w:type="dxa"/>
            <w:vAlign w:val="center"/>
          </w:tcPr>
          <w:p w14:paraId="280495CA">
            <w:pPr>
              <w:pStyle w:val="6"/>
              <w:spacing w:line="240" w:lineRule="auto"/>
              <w:ind w:firstLine="0" w:firstLineChars="0"/>
              <w:jc w:val="center"/>
              <w:outlineLvl w:val="9"/>
              <w:rPr>
                <w:rFonts w:hint="eastAsia" w:ascii="微软雅黑" w:hAnsi="微软雅黑" w:eastAsia="微软雅黑" w:cs="微软雅黑"/>
                <w:color w:val="auto"/>
                <w:sz w:val="24"/>
                <w:szCs w:val="24"/>
                <w:highlight w:val="none"/>
                <w:lang w:eastAsia="zh-CN"/>
              </w:rPr>
            </w:pPr>
            <w:r>
              <w:rPr>
                <w:rFonts w:hint="eastAsia" w:ascii="微软雅黑" w:hAnsi="微软雅黑" w:eastAsia="微软雅黑" w:cs="微软雅黑"/>
                <w:color w:val="auto"/>
                <w:szCs w:val="24"/>
                <w:highlight w:val="none"/>
                <w:lang w:val="en-US" w:eastAsia="zh-CN"/>
              </w:rPr>
              <w:t>/</w:t>
            </w:r>
          </w:p>
        </w:tc>
      </w:tr>
    </w:tbl>
    <w:p w14:paraId="7ABA8A51">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1" w:name="_Toc30124"/>
      <w:r>
        <w:rPr>
          <w:rFonts w:hint="eastAsia" w:ascii="微软雅黑" w:hAnsi="微软雅黑" w:eastAsia="微软雅黑" w:cs="微软雅黑"/>
          <w:color w:val="auto"/>
          <w:sz w:val="24"/>
          <w:szCs w:val="24"/>
          <w:highlight w:val="none"/>
        </w:rPr>
        <w:t>二、资金来源</w:t>
      </w:r>
      <w:bookmarkEnd w:id="21"/>
    </w:p>
    <w:p w14:paraId="67D3F1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财政资金，预算金额为</w:t>
      </w:r>
      <w:r>
        <w:rPr>
          <w:rFonts w:hint="eastAsia" w:ascii="微软雅黑" w:hAnsi="微软雅黑" w:eastAsia="微软雅黑" w:cs="微软雅黑"/>
          <w:color w:val="auto"/>
          <w:sz w:val="24"/>
          <w:szCs w:val="24"/>
          <w:highlight w:val="none"/>
          <w:lang w:val="en-US" w:eastAsia="zh-CN"/>
        </w:rPr>
        <w:t>49.8135</w:t>
      </w:r>
      <w:r>
        <w:rPr>
          <w:rFonts w:hint="eastAsia" w:ascii="微软雅黑" w:hAnsi="微软雅黑" w:eastAsia="微软雅黑" w:cs="微软雅黑"/>
          <w:color w:val="auto"/>
          <w:sz w:val="24"/>
          <w:szCs w:val="24"/>
          <w:highlight w:val="none"/>
          <w:rtl w:val="0"/>
          <w:lang w:val="en-US" w:eastAsia="zh-CN"/>
        </w:rPr>
        <w:t>万</w:t>
      </w:r>
      <w:r>
        <w:rPr>
          <w:rFonts w:hint="eastAsia" w:ascii="微软雅黑" w:hAnsi="微软雅黑" w:eastAsia="微软雅黑" w:cs="微软雅黑"/>
          <w:color w:val="auto"/>
          <w:sz w:val="24"/>
          <w:szCs w:val="24"/>
          <w:highlight w:val="none"/>
        </w:rPr>
        <w:t>元。</w:t>
      </w:r>
    </w:p>
    <w:p w14:paraId="43BFEA05">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2" w:name="_Toc26950"/>
      <w:r>
        <w:rPr>
          <w:rFonts w:hint="eastAsia" w:ascii="微软雅黑" w:hAnsi="微软雅黑" w:eastAsia="微软雅黑" w:cs="微软雅黑"/>
          <w:color w:val="auto"/>
          <w:sz w:val="24"/>
          <w:szCs w:val="24"/>
          <w:highlight w:val="none"/>
        </w:rPr>
        <w:t>三、</w:t>
      </w:r>
      <w:bookmarkEnd w:id="12"/>
      <w:bookmarkEnd w:id="13"/>
      <w:bookmarkEnd w:id="14"/>
      <w:bookmarkEnd w:id="15"/>
      <w:bookmarkEnd w:id="16"/>
      <w:bookmarkEnd w:id="17"/>
      <w:bookmarkEnd w:id="18"/>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资格条件</w:t>
      </w:r>
      <w:bookmarkEnd w:id="22"/>
    </w:p>
    <w:bookmarkEnd w:id="19"/>
    <w:bookmarkEnd w:id="20"/>
    <w:p w14:paraId="245A671C">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bookmarkStart w:id="23" w:name="_Toc2849"/>
      <w:r>
        <w:rPr>
          <w:rFonts w:hint="eastAsia" w:ascii="微软雅黑" w:hAnsi="微软雅黑" w:eastAsia="微软雅黑" w:cs="微软雅黑"/>
          <w:color w:val="auto"/>
          <w:sz w:val="24"/>
          <w:szCs w:val="24"/>
          <w:highlight w:val="none"/>
        </w:rPr>
        <w:t>（一）满足《中华人民共和国政府采购法》第二十二条规定；</w:t>
      </w:r>
      <w:bookmarkEnd w:id="23"/>
    </w:p>
    <w:p w14:paraId="3C685DC4">
      <w:pPr>
        <w:snapToGrid w:val="0"/>
        <w:spacing w:line="400" w:lineRule="exact"/>
        <w:ind w:firstLine="480" w:firstLineChars="200"/>
        <w:rPr>
          <w:rFonts w:hint="eastAsia" w:ascii="微软雅黑" w:hAnsi="微软雅黑" w:eastAsia="微软雅黑" w:cs="微软雅黑"/>
          <w:color w:val="auto"/>
          <w:sz w:val="24"/>
          <w:szCs w:val="24"/>
          <w:highlight w:val="none"/>
        </w:rPr>
      </w:pPr>
      <w:bookmarkStart w:id="24" w:name="_Toc10890"/>
      <w:r>
        <w:rPr>
          <w:rFonts w:hint="eastAsia" w:ascii="微软雅黑" w:hAnsi="微软雅黑" w:eastAsia="微软雅黑" w:cs="微软雅黑"/>
          <w:color w:val="auto"/>
          <w:sz w:val="24"/>
          <w:szCs w:val="24"/>
          <w:highlight w:val="none"/>
        </w:rPr>
        <w:t>（二）落实政府采购政策需满足的资格要求：</w:t>
      </w:r>
      <w:bookmarkEnd w:id="24"/>
      <w:r>
        <w:rPr>
          <w:rFonts w:hint="eastAsia" w:ascii="微软雅黑" w:hAnsi="微软雅黑" w:eastAsia="微软雅黑" w:cs="微软雅黑"/>
          <w:color w:val="auto"/>
          <w:sz w:val="24"/>
          <w:szCs w:val="24"/>
          <w:highlight w:val="none"/>
          <w:lang w:val="en-US" w:eastAsia="zh-CN"/>
        </w:rPr>
        <w:t>无</w:t>
      </w:r>
      <w:r>
        <w:rPr>
          <w:rFonts w:hint="eastAsia" w:ascii="微软雅黑" w:hAnsi="微软雅黑" w:eastAsia="微软雅黑" w:cs="微软雅黑"/>
          <w:color w:val="auto"/>
          <w:sz w:val="24"/>
          <w:szCs w:val="24"/>
          <w:highlight w:val="none"/>
        </w:rPr>
        <w:t>。</w:t>
      </w:r>
    </w:p>
    <w:p w14:paraId="57CBD0E9">
      <w:pPr>
        <w:snapToGrid w:val="0"/>
        <w:spacing w:line="400" w:lineRule="exact"/>
        <w:ind w:firstLine="480" w:firstLineChars="200"/>
        <w:outlineLvl w:val="1"/>
        <w:rPr>
          <w:rFonts w:hint="eastAsia" w:ascii="微软雅黑" w:hAnsi="微软雅黑" w:eastAsia="宋体" w:cs="微软雅黑"/>
          <w:color w:val="auto"/>
          <w:sz w:val="24"/>
          <w:szCs w:val="24"/>
          <w:highlight w:val="none"/>
          <w:lang w:val="en-US" w:eastAsia="zh-CN"/>
        </w:rPr>
      </w:pPr>
      <w:bookmarkStart w:id="25" w:name="_Toc15443"/>
      <w:r>
        <w:rPr>
          <w:rFonts w:hint="eastAsia" w:ascii="微软雅黑" w:hAnsi="微软雅黑" w:eastAsia="微软雅黑" w:cs="微软雅黑"/>
          <w:color w:val="auto"/>
          <w:sz w:val="24"/>
          <w:szCs w:val="24"/>
          <w:highlight w:val="none"/>
        </w:rPr>
        <w:t>（三）本项目的特定资格要求：</w:t>
      </w:r>
      <w:bookmarkEnd w:id="25"/>
      <w:r>
        <w:rPr>
          <w:rFonts w:hint="eastAsia" w:ascii="微软雅黑" w:hAnsi="微软雅黑" w:eastAsia="微软雅黑" w:cs="微软雅黑"/>
          <w:color w:val="auto"/>
          <w:sz w:val="24"/>
          <w:szCs w:val="24"/>
          <w:highlight w:val="none"/>
          <w:lang w:val="en-US" w:eastAsia="zh-CN"/>
        </w:rPr>
        <w:t>无。</w:t>
      </w:r>
    </w:p>
    <w:p w14:paraId="03B04560">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6" w:name="_Toc17957"/>
      <w:r>
        <w:rPr>
          <w:rFonts w:hint="eastAsia" w:ascii="微软雅黑" w:hAnsi="微软雅黑" w:eastAsia="微软雅黑" w:cs="微软雅黑"/>
          <w:color w:val="auto"/>
          <w:sz w:val="24"/>
          <w:szCs w:val="24"/>
          <w:highlight w:val="none"/>
        </w:rPr>
        <w:t>四、</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有关说明</w:t>
      </w:r>
      <w:bookmarkEnd w:id="26"/>
    </w:p>
    <w:p w14:paraId="608BEAC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（一）凡有意参加采购活动的供应商请在“行采家网.电子竞采”（https://www.gec123.com/xe/）（以下简称：电子竞采平台）下载网上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文件。本项目采购公告、网上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文件以及图纸、澄清等响应文件提交开始前公布的所有项目资料均在电子竞采平台发布，请各供应商注意下载，无论下载与否，均视为已知晓本项目所有采购内容和实质性要求。</w:t>
      </w:r>
    </w:p>
    <w:p w14:paraId="37C710B4">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（三）线上报价</w:t>
      </w:r>
      <w:r>
        <w:rPr>
          <w:rFonts w:hint="eastAsia" w:ascii="微软雅黑" w:hAnsi="微软雅黑" w:eastAsia="微软雅黑" w:cs="微软雅黑"/>
          <w:color w:val="auto"/>
          <w:sz w:val="24"/>
          <w:szCs w:val="24"/>
          <w:highlight w:val="none"/>
          <w:lang w:val="en-US" w:eastAsia="zh-CN"/>
        </w:rPr>
        <w:t>及文件提交</w:t>
      </w:r>
    </w:p>
    <w:p w14:paraId="6807D32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1.线上报价时间：按本项目网上公告规定的报价截止时间为准。</w:t>
      </w:r>
    </w:p>
    <w:p w14:paraId="33D6ADE9">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rPr>
        <w:t>2.线上报价要求：按本项目规</w:t>
      </w:r>
      <w:r>
        <w:rPr>
          <w:rFonts w:hint="eastAsia" w:ascii="微软雅黑" w:hAnsi="微软雅黑" w:eastAsia="微软雅黑" w:cs="微软雅黑"/>
          <w:color w:val="auto"/>
          <w:sz w:val="24"/>
          <w:szCs w:val="24"/>
          <w:highlight w:val="none"/>
          <w:lang w:val="en-US" w:eastAsia="zh-CN"/>
        </w:rPr>
        <w:t>定的时间在</w:t>
      </w:r>
      <w:r>
        <w:rPr>
          <w:rFonts w:hint="eastAsia" w:ascii="微软雅黑" w:hAnsi="微软雅黑" w:eastAsia="微软雅黑" w:cs="微软雅黑"/>
          <w:color w:val="auto"/>
          <w:sz w:val="24"/>
          <w:szCs w:val="24"/>
          <w:highlight w:val="none"/>
        </w:rPr>
        <w:t>电子竞采平台</w:t>
      </w:r>
      <w:r>
        <w:rPr>
          <w:rFonts w:hint="eastAsia" w:ascii="微软雅黑" w:hAnsi="微软雅黑" w:eastAsia="微软雅黑" w:cs="微软雅黑"/>
          <w:color w:val="auto"/>
          <w:sz w:val="24"/>
          <w:szCs w:val="24"/>
          <w:highlight w:val="none"/>
          <w:lang w:val="en-US" w:eastAsia="zh-CN"/>
        </w:rPr>
        <w:t>进行网上报价。</w:t>
      </w:r>
    </w:p>
    <w:p w14:paraId="0623FDF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w:t>
      </w:r>
      <w:r>
        <w:rPr>
          <w:rFonts w:hint="eastAsia" w:ascii="微软雅黑" w:hAnsi="微软雅黑" w:eastAsia="微软雅黑" w:cs="微软雅黑"/>
          <w:color w:val="auto"/>
          <w:sz w:val="24"/>
          <w:szCs w:val="24"/>
          <w:highlight w:val="none"/>
        </w:rPr>
        <w:t>提交时间：采购公告发布之日起至2026年</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月</w:t>
      </w:r>
      <w:r>
        <w:rPr>
          <w:rFonts w:hint="eastAsia" w:ascii="微软雅黑" w:hAnsi="微软雅黑" w:eastAsia="微软雅黑" w:cs="微软雅黑"/>
          <w:color w:val="auto"/>
          <w:sz w:val="24"/>
          <w:szCs w:val="24"/>
          <w:highlight w:val="none"/>
          <w:lang w:val="en-US" w:eastAsia="zh-CN"/>
        </w:rPr>
        <w:t xml:space="preserve"> </w:t>
      </w:r>
      <w:r>
        <w:rPr>
          <w:rFonts w:hint="eastAsia" w:ascii="微软雅黑" w:hAnsi="微软雅黑" w:eastAsia="微软雅黑" w:cs="微软雅黑"/>
          <w:color w:val="auto"/>
          <w:sz w:val="24"/>
          <w:szCs w:val="24"/>
          <w:highlight w:val="none"/>
        </w:rPr>
        <w:t>日11:00（北京时间）截止。</w:t>
      </w:r>
    </w:p>
    <w:p w14:paraId="686D42A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3.1</w:t>
      </w:r>
      <w:r>
        <w:rPr>
          <w:rFonts w:hint="eastAsia" w:ascii="微软雅黑" w:hAnsi="微软雅黑" w:eastAsia="微软雅黑" w:cs="微软雅黑"/>
          <w:color w:val="auto"/>
          <w:sz w:val="24"/>
          <w:szCs w:val="24"/>
          <w:highlight w:val="none"/>
        </w:rPr>
        <w:t>提交数量：正本一份，副本一份。</w:t>
      </w:r>
    </w:p>
    <w:p w14:paraId="0529414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3.2</w:t>
      </w:r>
      <w:r>
        <w:rPr>
          <w:rFonts w:hint="eastAsia" w:ascii="微软雅黑" w:hAnsi="微软雅黑" w:eastAsia="微软雅黑" w:cs="微软雅黑"/>
          <w:color w:val="auto"/>
          <w:sz w:val="24"/>
          <w:szCs w:val="24"/>
          <w:highlight w:val="none"/>
        </w:rPr>
        <w:t>提交要求：按网上</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文件规定密封完好。</w:t>
      </w:r>
    </w:p>
    <w:p w14:paraId="6904FC2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3.4</w:t>
      </w:r>
      <w:r>
        <w:rPr>
          <w:rFonts w:hint="eastAsia" w:ascii="微软雅黑" w:hAnsi="微软雅黑" w:eastAsia="微软雅黑" w:cs="微软雅黑"/>
          <w:color w:val="auto"/>
          <w:sz w:val="24"/>
          <w:szCs w:val="24"/>
          <w:highlight w:val="none"/>
        </w:rPr>
        <w:t>提交地点：重庆麦迪逊招投标代理有限公司（地址：重庆市</w:t>
      </w:r>
      <w:r>
        <w:rPr>
          <w:rFonts w:hint="eastAsia" w:ascii="微软雅黑" w:hAnsi="微软雅黑" w:eastAsia="微软雅黑" w:cs="微软雅黑"/>
          <w:color w:val="auto"/>
          <w:sz w:val="24"/>
          <w:szCs w:val="24"/>
          <w:highlight w:val="none"/>
          <w:lang w:val="en-US" w:eastAsia="zh-CN"/>
        </w:rPr>
        <w:t>两江新区</w:t>
      </w:r>
      <w:r>
        <w:rPr>
          <w:rFonts w:hint="eastAsia" w:ascii="微软雅黑" w:hAnsi="微软雅黑" w:eastAsia="微软雅黑" w:cs="微软雅黑"/>
          <w:color w:val="auto"/>
          <w:sz w:val="24"/>
          <w:szCs w:val="24"/>
          <w:highlight w:val="none"/>
        </w:rPr>
        <w:t>海尔路金科廊桥水岸4号附46号），</w:t>
      </w:r>
      <w:r>
        <w:rPr>
          <w:rFonts w:hint="eastAsia" w:ascii="微软雅黑" w:hAnsi="微软雅黑" w:eastAsia="微软雅黑" w:cs="微软雅黑"/>
          <w:color w:val="auto"/>
          <w:sz w:val="24"/>
          <w:szCs w:val="24"/>
          <w:highlight w:val="none"/>
          <w:lang w:val="en-US" w:eastAsia="zh-CN"/>
        </w:rPr>
        <w:t>张老师</w:t>
      </w:r>
      <w:r>
        <w:rPr>
          <w:rFonts w:hint="eastAsia" w:ascii="微软雅黑" w:hAnsi="微软雅黑" w:eastAsia="微软雅黑" w:cs="微软雅黑"/>
          <w:color w:val="auto"/>
          <w:sz w:val="24"/>
          <w:szCs w:val="24"/>
          <w:highlight w:val="none"/>
        </w:rPr>
        <w:t>老师收（</w:t>
      </w:r>
      <w:r>
        <w:rPr>
          <w:rFonts w:hint="eastAsia" w:ascii="微软雅黑" w:hAnsi="微软雅黑" w:eastAsia="微软雅黑" w:cs="微软雅黑"/>
          <w:color w:val="auto"/>
          <w:sz w:val="24"/>
          <w:szCs w:val="24"/>
          <w:highlight w:val="none"/>
          <w:lang w:val="en-US" w:eastAsia="zh-CN"/>
        </w:rPr>
        <w:t>17830565948</w:t>
      </w:r>
      <w:r>
        <w:rPr>
          <w:rFonts w:hint="eastAsia" w:ascii="微软雅黑" w:hAnsi="微软雅黑" w:eastAsia="微软雅黑" w:cs="微软雅黑"/>
          <w:color w:val="auto"/>
          <w:sz w:val="24"/>
          <w:szCs w:val="24"/>
          <w:highlight w:val="none"/>
        </w:rPr>
        <w:t>）。</w:t>
      </w:r>
    </w:p>
    <w:p w14:paraId="33898AD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3.5</w:t>
      </w:r>
      <w:r>
        <w:rPr>
          <w:rFonts w:hint="eastAsia" w:ascii="微软雅黑" w:hAnsi="微软雅黑" w:eastAsia="微软雅黑" w:cs="微软雅黑"/>
          <w:color w:val="auto"/>
          <w:sz w:val="24"/>
          <w:szCs w:val="24"/>
          <w:highlight w:val="none"/>
        </w:rPr>
        <w:t>提交方式：邮寄或现场提交。以邮寄方式提交纸质响应文件的，注意邮寄时效和密封，需在提交纸质响应文件截止时间前到达，拒收到付件。</w:t>
      </w:r>
    </w:p>
    <w:p w14:paraId="221AD28D">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27" w:name="_Toc11124"/>
      <w:r>
        <w:rPr>
          <w:rFonts w:hint="eastAsia" w:ascii="微软雅黑" w:hAnsi="微软雅黑" w:eastAsia="微软雅黑" w:cs="微软雅黑"/>
          <w:color w:val="auto"/>
          <w:sz w:val="24"/>
          <w:szCs w:val="24"/>
          <w:highlight w:val="none"/>
        </w:rPr>
        <w:t>五、</w:t>
      </w:r>
      <w:bookmarkStart w:id="28" w:name="_Toc9654"/>
      <w:bookmarkStart w:id="29" w:name="_Toc5085"/>
      <w:bookmarkStart w:id="30" w:name="_Toc27955"/>
      <w:bookmarkStart w:id="31" w:name="_Toc11828"/>
      <w:bookmarkStart w:id="32" w:name="_Toc25886"/>
      <w:bookmarkStart w:id="33" w:name="_Toc3475"/>
      <w:bookmarkStart w:id="34" w:name="_Toc20778"/>
      <w:bookmarkStart w:id="35" w:name="_Toc25516"/>
      <w:bookmarkStart w:id="36" w:name="_Toc14778"/>
      <w:bookmarkStart w:id="37" w:name="_Toc9027"/>
      <w:bookmarkStart w:id="38" w:name="_Toc19730"/>
      <w:bookmarkStart w:id="39" w:name="_Toc15478"/>
      <w:bookmarkStart w:id="40" w:name="_Toc13969"/>
      <w:bookmarkStart w:id="41" w:name="_Toc31315"/>
      <w:r>
        <w:rPr>
          <w:rFonts w:hint="eastAsia" w:ascii="微软雅黑" w:hAnsi="微软雅黑" w:eastAsia="微软雅黑" w:cs="微软雅黑"/>
          <w:color w:val="auto"/>
          <w:sz w:val="24"/>
          <w:szCs w:val="24"/>
          <w:highlight w:val="none"/>
        </w:rPr>
        <w:t>联系方式</w:t>
      </w:r>
      <w:bookmarkEnd w:id="27"/>
      <w:bookmarkEnd w:id="28"/>
      <w:bookmarkEnd w:id="29"/>
      <w:bookmarkEnd w:id="30"/>
      <w:bookmarkEnd w:id="31"/>
      <w:bookmarkEnd w:id="32"/>
      <w:bookmarkEnd w:id="33"/>
      <w:bookmarkEnd w:id="34"/>
    </w:p>
    <w:p w14:paraId="50AC7F81">
      <w:pPr>
        <w:widowControl/>
        <w:ind w:firstLine="480"/>
        <w:jc w:val="left"/>
        <w:rPr>
          <w:rFonts w:hint="eastAsia" w:ascii="微软雅黑" w:hAnsi="微软雅黑" w:eastAsia="微软雅黑" w:cs="微软雅黑"/>
          <w:color w:val="auto"/>
          <w:kern w:val="0"/>
          <w:sz w:val="24"/>
          <w:szCs w:val="24"/>
          <w:highlight w:val="none"/>
          <w:lang w:eastAsia="zh-CN"/>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kern w:val="0"/>
          <w:sz w:val="24"/>
          <w:szCs w:val="24"/>
          <w:highlight w:val="none"/>
        </w:rPr>
        <w:t>采购人：</w:t>
      </w:r>
      <w:r>
        <w:rPr>
          <w:rFonts w:hint="eastAsia" w:ascii="微软雅黑" w:hAnsi="微软雅黑" w:eastAsia="微软雅黑" w:cs="微软雅黑"/>
          <w:color w:val="auto"/>
          <w:kern w:val="0"/>
          <w:sz w:val="24"/>
          <w:szCs w:val="24"/>
          <w:highlight w:val="none"/>
          <w:lang w:eastAsia="zh-CN"/>
        </w:rPr>
        <w:t>重庆市九龙坡职业教育中心</w:t>
      </w:r>
    </w:p>
    <w:p w14:paraId="1C83C4D6">
      <w:pPr>
        <w:widowControl/>
        <w:ind w:firstLine="480"/>
        <w:jc w:val="left"/>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联系人：</w:t>
      </w:r>
      <w:r>
        <w:rPr>
          <w:rFonts w:hint="eastAsia" w:ascii="微软雅黑" w:hAnsi="微软雅黑" w:eastAsia="微软雅黑" w:cs="微软雅黑"/>
          <w:color w:val="auto"/>
          <w:kern w:val="0"/>
          <w:sz w:val="24"/>
          <w:szCs w:val="24"/>
          <w:highlight w:val="none"/>
          <w:lang w:val="en-US" w:eastAsia="zh-CN"/>
        </w:rPr>
        <w:t>张老师</w:t>
      </w:r>
    </w:p>
    <w:p w14:paraId="2BAB0F67">
      <w:pPr>
        <w:widowControl/>
        <w:ind w:firstLine="480"/>
        <w:jc w:val="left"/>
        <w:rPr>
          <w:rFonts w:hint="default" w:ascii="微软雅黑" w:hAnsi="微软雅黑" w:eastAsia="微软雅黑" w:cs="微软雅黑"/>
          <w:color w:val="auto"/>
          <w:kern w:val="0"/>
          <w:sz w:val="24"/>
          <w:szCs w:val="24"/>
          <w:highlight w:val="none"/>
          <w:lang w:val="en-US" w:eastAsia="zh-CN"/>
        </w:rPr>
      </w:pPr>
      <w:r>
        <w:rPr>
          <w:rFonts w:hint="eastAsia" w:ascii="微软雅黑" w:hAnsi="微软雅黑" w:eastAsia="微软雅黑" w:cs="微软雅黑"/>
          <w:color w:val="auto"/>
          <w:kern w:val="0"/>
          <w:sz w:val="24"/>
          <w:szCs w:val="24"/>
          <w:highlight w:val="none"/>
        </w:rPr>
        <w:t>电  话：</w:t>
      </w:r>
      <w:r>
        <w:rPr>
          <w:rFonts w:hint="eastAsia" w:ascii="微软雅黑" w:hAnsi="微软雅黑" w:eastAsia="微软雅黑" w:cs="微软雅黑"/>
          <w:color w:val="auto"/>
          <w:kern w:val="0"/>
          <w:sz w:val="24"/>
          <w:szCs w:val="24"/>
          <w:highlight w:val="none"/>
          <w:lang w:val="en-US" w:eastAsia="zh-CN"/>
        </w:rPr>
        <w:t>13883864997</w:t>
      </w:r>
    </w:p>
    <w:p w14:paraId="50454D92">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kern w:val="0"/>
          <w:sz w:val="24"/>
          <w:szCs w:val="24"/>
          <w:highlight w:val="none"/>
        </w:rPr>
        <w:t>地  址：</w:t>
      </w:r>
      <w:r>
        <w:rPr>
          <w:rFonts w:hint="eastAsia" w:ascii="微软雅黑" w:hAnsi="微软雅黑" w:eastAsia="微软雅黑" w:cs="微软雅黑"/>
          <w:color w:val="auto"/>
          <w:kern w:val="0"/>
          <w:sz w:val="24"/>
          <w:szCs w:val="24"/>
          <w:highlight w:val="none"/>
          <w:lang w:val="en-US" w:eastAsia="zh-CN"/>
        </w:rPr>
        <w:t>重庆市九龙坡区含谷镇含盛路89号</w:t>
      </w:r>
    </w:p>
    <w:p w14:paraId="5F78C66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（二）采购代理机构：重庆麦迪逊招投标代理有限公司</w:t>
      </w:r>
    </w:p>
    <w:p w14:paraId="7840425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联系人：张申</w:t>
      </w:r>
    </w:p>
    <w:p w14:paraId="22A8CE3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电  话：（023）67631626  17830565948</w:t>
      </w:r>
    </w:p>
    <w:p w14:paraId="0837240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地  址：重庆市</w:t>
      </w:r>
      <w:r>
        <w:rPr>
          <w:rFonts w:hint="eastAsia" w:ascii="微软雅黑" w:hAnsi="微软雅黑" w:eastAsia="微软雅黑" w:cs="微软雅黑"/>
          <w:color w:val="auto"/>
          <w:sz w:val="24"/>
          <w:szCs w:val="24"/>
          <w:highlight w:val="none"/>
          <w:lang w:val="en-US" w:eastAsia="zh-CN"/>
        </w:rPr>
        <w:t>两江新区</w:t>
      </w:r>
      <w:r>
        <w:rPr>
          <w:rFonts w:hint="eastAsia" w:ascii="微软雅黑" w:hAnsi="微软雅黑" w:eastAsia="微软雅黑" w:cs="微软雅黑"/>
          <w:color w:val="auto"/>
          <w:sz w:val="24"/>
          <w:szCs w:val="24"/>
          <w:highlight w:val="none"/>
        </w:rPr>
        <w:t>海尔路金科廊桥水岸4号附46号</w:t>
      </w:r>
    </w:p>
    <w:p w14:paraId="3D0BE58C">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42" w:name="_Toc24307"/>
      <w:r>
        <w:rPr>
          <w:rFonts w:hint="eastAsia" w:ascii="微软雅黑" w:hAnsi="微软雅黑" w:eastAsia="微软雅黑" w:cs="微软雅黑"/>
          <w:color w:val="auto"/>
          <w:sz w:val="24"/>
          <w:szCs w:val="24"/>
          <w:highlight w:val="none"/>
        </w:rPr>
        <w:t>六、</w:t>
      </w:r>
      <w:bookmarkEnd w:id="35"/>
      <w:bookmarkEnd w:id="36"/>
      <w:bookmarkEnd w:id="37"/>
      <w:bookmarkEnd w:id="38"/>
      <w:bookmarkEnd w:id="39"/>
      <w:bookmarkEnd w:id="40"/>
      <w:bookmarkEnd w:id="41"/>
      <w:r>
        <w:rPr>
          <w:rFonts w:hint="eastAsia" w:ascii="微软雅黑" w:hAnsi="微软雅黑" w:eastAsia="微软雅黑" w:cs="微软雅黑"/>
          <w:color w:val="auto"/>
          <w:sz w:val="24"/>
          <w:szCs w:val="24"/>
          <w:highlight w:val="none"/>
        </w:rPr>
        <w:t>其它有关规定</w:t>
      </w:r>
      <w:bookmarkEnd w:id="42"/>
    </w:p>
    <w:p w14:paraId="412509E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（一）单位负责人为同一人或者存在直接控股、管理关系的不同供应商，不得参加同一合同项（分包）下的政府采购活动，否则均为响应无效。</w:t>
      </w:r>
    </w:p>
    <w:p w14:paraId="28EA741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（二）为采购项目提供整体设计、规范编制或者项目管理、监理、检测等服务的供应商，不得再参加该采购项目的其他采购活动。</w:t>
      </w:r>
    </w:p>
    <w:p w14:paraId="5DD93CF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（三）同一合同项（分包）下为单一品目或非单一品目核心产品品牌的货物采购招标中，同一品牌有多家供应商参加网上询价，只能按照一家供应商计算，最终</w:t>
      </w:r>
      <w:r>
        <w:rPr>
          <w:rFonts w:hint="eastAsia" w:ascii="微软雅黑" w:hAnsi="微软雅黑" w:eastAsia="微软雅黑" w:cs="微软雅黑"/>
          <w:color w:val="auto"/>
          <w:sz w:val="24"/>
          <w:szCs w:val="24"/>
          <w:highlight w:val="none"/>
          <w:lang w:eastAsia="zh-CN"/>
        </w:rPr>
        <w:t>报价低</w:t>
      </w:r>
      <w:r>
        <w:rPr>
          <w:rFonts w:hint="eastAsia" w:ascii="微软雅黑" w:hAnsi="微软雅黑" w:eastAsia="微软雅黑" w:cs="微软雅黑"/>
          <w:color w:val="auto"/>
          <w:sz w:val="24"/>
          <w:szCs w:val="24"/>
          <w:highlight w:val="none"/>
        </w:rPr>
        <w:t>的供应商获得成交供应商推荐资格。</w:t>
      </w:r>
    </w:p>
    <w:p w14:paraId="5D352BF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（四）本项目的补遗文件（如果有）一律在行采家-电子竞采（https://www.gec123.com/xe/）上发布，请各供应商注意下载；无论供应商下载与否，均视同供应商已知晓本项目补遗文件（如果有）的内容。</w:t>
      </w:r>
    </w:p>
    <w:p w14:paraId="0642136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（五）超过响应文件截止时间递交的响应文件，恕不接收。</w:t>
      </w:r>
    </w:p>
    <w:p w14:paraId="1A19952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（六）网上询价费用：无论网上询价结果如何，供应商参与本项目网上询价的所有费用均应由供应商自行承担。</w:t>
      </w:r>
    </w:p>
    <w:p w14:paraId="396FDCF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（七）本项目不接受联合体参与网上询价。</w:t>
      </w:r>
    </w:p>
    <w:p w14:paraId="7C362B8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（八）本项目不接受合同分包。</w:t>
      </w:r>
    </w:p>
    <w:p w14:paraId="6141A1A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（九）按照《财政部关于在政府采购活动中查询及使用信用记录有关问题的通知》财库〔2016〕125号，供应商列入失信被执行人、重大税收 案件当事人名单、政府采购严重 失信行为记录名单及其他不符合《中华人民共和国政府采购法》第二十二条规定条件的供应商，将拒绝其参与政府采购活动。</w:t>
      </w:r>
    </w:p>
    <w:p w14:paraId="49E47602">
      <w:pPr>
        <w:pStyle w:val="3"/>
        <w:keepNext w:val="0"/>
        <w:keepLines w:val="0"/>
        <w:spacing w:line="240" w:lineRule="auto"/>
        <w:jc w:val="center"/>
        <w:outlineLvl w:val="0"/>
        <w:rPr>
          <w:rFonts w:hint="eastAsia" w:ascii="微软雅黑" w:hAnsi="微软雅黑" w:eastAsia="微软雅黑" w:cs="微软雅黑"/>
          <w:color w:val="auto"/>
          <w:sz w:val="36"/>
          <w:szCs w:val="30"/>
          <w:highlight w:val="none"/>
        </w:rPr>
        <w:sectPr>
          <w:headerReference r:id="rId4" w:type="default"/>
          <w:footerReference r:id="rId5" w:type="default"/>
          <w:pgSz w:w="11907" w:h="16840"/>
          <w:pgMar w:top="1134" w:right="1191" w:bottom="1134" w:left="1304" w:header="851" w:footer="992" w:gutter="0"/>
          <w:cols w:space="720" w:num="1"/>
          <w:docGrid w:linePitch="380" w:charSpace="-5735"/>
        </w:sectPr>
      </w:pPr>
      <w:bookmarkStart w:id="43" w:name="_Toc106030878"/>
      <w:bookmarkStart w:id="44" w:name="_Toc76462324"/>
    </w:p>
    <w:p w14:paraId="31665073">
      <w:pPr>
        <w:pStyle w:val="3"/>
        <w:keepNext w:val="0"/>
        <w:keepLines w:val="0"/>
        <w:spacing w:line="240" w:lineRule="auto"/>
        <w:jc w:val="center"/>
        <w:outlineLvl w:val="0"/>
        <w:rPr>
          <w:rFonts w:hint="eastAsia" w:ascii="微软雅黑" w:hAnsi="微软雅黑" w:eastAsia="微软雅黑" w:cs="微软雅黑"/>
          <w:bCs/>
          <w:color w:val="auto"/>
          <w:sz w:val="24"/>
          <w:szCs w:val="24"/>
          <w:highlight w:val="none"/>
          <w:u w:val="single"/>
        </w:rPr>
      </w:pPr>
      <w:bookmarkStart w:id="45" w:name="_Toc21665"/>
      <w:r>
        <w:rPr>
          <w:rFonts w:hint="eastAsia" w:ascii="微软雅黑" w:hAnsi="微软雅黑" w:eastAsia="微软雅黑" w:cs="微软雅黑"/>
          <w:color w:val="auto"/>
          <w:sz w:val="36"/>
          <w:szCs w:val="30"/>
          <w:highlight w:val="none"/>
        </w:rPr>
        <w:t>第二篇  项目</w:t>
      </w:r>
      <w:r>
        <w:rPr>
          <w:rFonts w:hint="eastAsia" w:ascii="微软雅黑" w:hAnsi="微软雅黑" w:eastAsia="微软雅黑" w:cs="微软雅黑"/>
          <w:color w:val="auto"/>
          <w:sz w:val="36"/>
          <w:szCs w:val="30"/>
          <w:highlight w:val="none"/>
          <w:lang w:val="en-US" w:eastAsia="zh-CN"/>
        </w:rPr>
        <w:t>技术</w:t>
      </w:r>
      <w:r>
        <w:rPr>
          <w:rFonts w:hint="eastAsia" w:ascii="微软雅黑" w:hAnsi="微软雅黑" w:eastAsia="微软雅黑" w:cs="微软雅黑"/>
          <w:color w:val="auto"/>
          <w:sz w:val="36"/>
          <w:szCs w:val="30"/>
          <w:highlight w:val="none"/>
        </w:rPr>
        <w:t>需求</w:t>
      </w:r>
      <w:bookmarkEnd w:id="43"/>
      <w:bookmarkEnd w:id="44"/>
      <w:bookmarkEnd w:id="45"/>
      <w:bookmarkStart w:id="46" w:name="_Toc76462325"/>
      <w:bookmarkStart w:id="47" w:name="_Toc12789058"/>
    </w:p>
    <w:p w14:paraId="0B76D3E0">
      <w:pPr>
        <w:snapToGrid w:val="0"/>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b/>
          <w:bCs/>
          <w:color w:val="auto"/>
          <w:sz w:val="24"/>
          <w:szCs w:val="24"/>
          <w:highlight w:val="none"/>
        </w:rPr>
        <w:t>本篇服务需求为符合性审查中的实质性要求，响应文件若不满足按无效处理。</w:t>
      </w:r>
    </w:p>
    <w:bookmarkEnd w:id="46"/>
    <w:p w14:paraId="50231070">
      <w:pPr>
        <w:pStyle w:val="4"/>
        <w:numPr>
          <w:ilvl w:val="0"/>
          <w:numId w:val="0"/>
        </w:numPr>
        <w:spacing w:before="0" w:after="0" w:line="480" w:lineRule="exact"/>
        <w:outlineLvl w:val="0"/>
        <w:rPr>
          <w:rFonts w:hint="eastAsia" w:ascii="微软雅黑" w:hAnsi="微软雅黑" w:eastAsia="微软雅黑" w:cs="微软雅黑"/>
          <w:color w:val="auto"/>
          <w:sz w:val="24"/>
          <w:szCs w:val="24"/>
          <w:highlight w:val="none"/>
        </w:rPr>
      </w:pPr>
      <w:bookmarkStart w:id="48" w:name="_Toc21442"/>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采购项目内容</w:t>
      </w:r>
      <w:bookmarkEnd w:id="48"/>
    </w:p>
    <w:tbl>
      <w:tblPr>
        <w:tblStyle w:val="26"/>
        <w:tblpPr w:leftFromText="180" w:rightFromText="180" w:vertAnchor="text" w:horzAnchor="page" w:tblpX="1358" w:tblpY="39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75"/>
        <w:gridCol w:w="3184"/>
        <w:gridCol w:w="2130"/>
      </w:tblGrid>
      <w:tr w14:paraId="6D13CE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4075" w:type="dxa"/>
            <w:tcBorders>
              <w:top w:val="single" w:color="auto" w:sz="4" w:space="0"/>
              <w:left w:val="single" w:color="auto" w:sz="4" w:space="0"/>
              <w:right w:val="single" w:color="auto" w:sz="4" w:space="0"/>
            </w:tcBorders>
            <w:vAlign w:val="center"/>
          </w:tcPr>
          <w:p w14:paraId="43036367">
            <w:pPr>
              <w:widowControl/>
              <w:jc w:val="center"/>
              <w:rPr>
                <w:rFonts w:hint="eastAsia" w:ascii="微软雅黑" w:hAnsi="微软雅黑" w:eastAsia="微软雅黑" w:cs="微软雅黑"/>
                <w:color w:val="auto"/>
                <w:sz w:val="24"/>
                <w:szCs w:val="24"/>
                <w:highlight w:val="none"/>
              </w:rPr>
            </w:pPr>
            <w:bookmarkStart w:id="49" w:name="_Toc16823"/>
            <w:bookmarkStart w:id="50" w:name="_Toc3243"/>
            <w:r>
              <w:rPr>
                <w:rFonts w:hint="eastAsia" w:ascii="微软雅黑" w:hAnsi="微软雅黑" w:eastAsia="微软雅黑" w:cs="微软雅黑"/>
                <w:color w:val="auto"/>
                <w:sz w:val="24"/>
                <w:szCs w:val="24"/>
                <w:highlight w:val="none"/>
              </w:rPr>
              <w:t>项目名称</w:t>
            </w:r>
          </w:p>
        </w:tc>
        <w:tc>
          <w:tcPr>
            <w:tcW w:w="3184" w:type="dxa"/>
            <w:tcBorders>
              <w:top w:val="single" w:color="auto" w:sz="4" w:space="0"/>
              <w:left w:val="single" w:color="auto" w:sz="4" w:space="0"/>
              <w:right w:val="single" w:color="auto" w:sz="4" w:space="0"/>
            </w:tcBorders>
            <w:vAlign w:val="center"/>
          </w:tcPr>
          <w:p w14:paraId="4C1301DD">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数量/单位</w:t>
            </w:r>
          </w:p>
        </w:tc>
        <w:tc>
          <w:tcPr>
            <w:tcW w:w="2130" w:type="dxa"/>
            <w:tcBorders>
              <w:top w:val="single" w:color="auto" w:sz="4" w:space="0"/>
              <w:left w:val="single" w:color="auto" w:sz="4" w:space="0"/>
              <w:right w:val="single" w:color="auto" w:sz="4" w:space="0"/>
            </w:tcBorders>
            <w:vAlign w:val="center"/>
          </w:tcPr>
          <w:p w14:paraId="4DA40E77">
            <w:pPr>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备注</w:t>
            </w:r>
          </w:p>
        </w:tc>
      </w:tr>
      <w:tr w14:paraId="5663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4075" w:type="dxa"/>
            <w:tcBorders>
              <w:top w:val="single" w:color="auto" w:sz="4" w:space="0"/>
              <w:left w:val="single" w:color="auto" w:sz="4" w:space="0"/>
              <w:right w:val="single" w:color="auto" w:sz="4" w:space="0"/>
            </w:tcBorders>
            <w:vAlign w:val="center"/>
          </w:tcPr>
          <w:p w14:paraId="21A5586E">
            <w:pPr>
              <w:widowControl/>
              <w:jc w:val="center"/>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学校智能门禁和车行道闸</w:t>
            </w:r>
          </w:p>
        </w:tc>
        <w:tc>
          <w:tcPr>
            <w:tcW w:w="3184" w:type="dxa"/>
            <w:tcBorders>
              <w:top w:val="single" w:color="auto" w:sz="4" w:space="0"/>
              <w:left w:val="single" w:color="auto" w:sz="4" w:space="0"/>
              <w:right w:val="single" w:color="auto" w:sz="4" w:space="0"/>
            </w:tcBorders>
            <w:vAlign w:val="center"/>
          </w:tcPr>
          <w:p w14:paraId="3A1B852D">
            <w:pPr>
              <w:widowControl/>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1项</w:t>
            </w:r>
          </w:p>
        </w:tc>
        <w:tc>
          <w:tcPr>
            <w:tcW w:w="2130" w:type="dxa"/>
            <w:tcBorders>
              <w:top w:val="single" w:color="auto" w:sz="4" w:space="0"/>
              <w:left w:val="single" w:color="auto" w:sz="4" w:space="0"/>
              <w:right w:val="single" w:color="auto" w:sz="4" w:space="0"/>
            </w:tcBorders>
          </w:tcPr>
          <w:p w14:paraId="05E220F7">
            <w:pPr>
              <w:jc w:val="center"/>
              <w:rPr>
                <w:rFonts w:hint="default" w:ascii="微软雅黑" w:hAnsi="微软雅黑" w:eastAsia="微软雅黑" w:cs="微软雅黑"/>
                <w:color w:val="auto"/>
                <w:sz w:val="24"/>
                <w:szCs w:val="24"/>
                <w:highlight w:val="none"/>
                <w:lang w:val="en-US" w:eastAsia="zh-CN"/>
              </w:rPr>
            </w:pPr>
          </w:p>
        </w:tc>
      </w:tr>
    </w:tbl>
    <w:p w14:paraId="24466A41">
      <w:pPr>
        <w:pStyle w:val="4"/>
        <w:spacing w:before="0" w:after="0" w:line="480" w:lineRule="exact"/>
        <w:outlineLvl w:val="0"/>
        <w:rPr>
          <w:rFonts w:hint="eastAsia" w:ascii="微软雅黑" w:hAnsi="微软雅黑" w:eastAsia="微软雅黑" w:cs="微软雅黑"/>
          <w:color w:val="auto"/>
          <w:sz w:val="24"/>
          <w:szCs w:val="24"/>
          <w:highlight w:val="none"/>
        </w:rPr>
      </w:pPr>
      <w:bookmarkStart w:id="51" w:name="_Toc17361"/>
      <w:r>
        <w:rPr>
          <w:rFonts w:hint="eastAsia" w:ascii="微软雅黑" w:hAnsi="微软雅黑" w:eastAsia="微软雅黑" w:cs="微软雅黑"/>
          <w:color w:val="auto"/>
          <w:sz w:val="24"/>
          <w:szCs w:val="24"/>
          <w:highlight w:val="none"/>
        </w:rPr>
        <w:t>二、</w:t>
      </w:r>
      <w:bookmarkEnd w:id="49"/>
      <w:bookmarkEnd w:id="50"/>
      <w:bookmarkStart w:id="52" w:name="_Toc9911"/>
      <w:r>
        <w:rPr>
          <w:rFonts w:hint="eastAsia" w:ascii="微软雅黑" w:hAnsi="微软雅黑" w:eastAsia="微软雅黑" w:cs="微软雅黑"/>
          <w:color w:val="auto"/>
          <w:sz w:val="24"/>
          <w:szCs w:val="24"/>
          <w:highlight w:val="none"/>
          <w:lang w:val="zh-TW" w:eastAsia="zh-TW"/>
        </w:rPr>
        <w:t>具体内容及相关需求</w:t>
      </w:r>
      <w:bookmarkEnd w:id="51"/>
      <w:r>
        <w:rPr>
          <w:rFonts w:hint="eastAsia" w:ascii="微软雅黑" w:hAnsi="微软雅黑" w:eastAsia="微软雅黑" w:cs="微软雅黑"/>
          <w:color w:val="auto"/>
          <w:sz w:val="24"/>
          <w:szCs w:val="24"/>
          <w:highlight w:val="none"/>
        </w:rPr>
        <w:t xml:space="preserve"> </w:t>
      </w:r>
    </w:p>
    <w:bookmarkEnd w:id="52"/>
    <w:tbl>
      <w:tblPr>
        <w:tblStyle w:val="26"/>
        <w:tblpPr w:leftFromText="180" w:rightFromText="180" w:vertAnchor="text" w:horzAnchor="page" w:tblpXSpec="center" w:tblpY="560"/>
        <w:tblOverlap w:val="never"/>
        <w:tblW w:w="99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39"/>
        <w:gridCol w:w="1546"/>
        <w:gridCol w:w="5852"/>
        <w:gridCol w:w="924"/>
        <w:gridCol w:w="888"/>
      </w:tblGrid>
      <w:tr w14:paraId="359309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0"/>
            <w:vAlign w:val="center"/>
          </w:tcPr>
          <w:p w14:paraId="57CC13E2">
            <w:pPr>
              <w:keepNext w:val="0"/>
              <w:keepLines w:val="0"/>
              <w:pageBreakBefore w:val="0"/>
              <w:widowControl/>
              <w:suppressLineNumbers w:val="0"/>
              <w:tabs>
                <w:tab w:val="left" w:pos="4331"/>
              </w:tabs>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bookmarkStart w:id="53" w:name="_Toc76462327"/>
            <w:bookmarkStart w:id="54" w:name="_Toc106030882"/>
            <w:r>
              <w:rPr>
                <w:rFonts w:hint="eastAsia" w:ascii="微软雅黑" w:hAnsi="微软雅黑" w:eastAsia="微软雅黑" w:cs="微软雅黑"/>
                <w:b/>
                <w:bCs/>
                <w:i w:val="0"/>
                <w:iCs w:val="0"/>
                <w:color w:val="auto"/>
                <w:kern w:val="0"/>
                <w:sz w:val="21"/>
                <w:szCs w:val="21"/>
                <w:highlight w:val="none"/>
                <w:u w:val="none"/>
                <w:lang w:val="en-US" w:eastAsia="zh-CN" w:bidi="ar"/>
              </w:rPr>
              <w:t>1.校园门禁翼闸门禁系统</w:t>
            </w:r>
          </w:p>
        </w:tc>
      </w:tr>
      <w:tr w14:paraId="16F19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0"/>
            <w:vAlign w:val="center"/>
          </w:tcPr>
          <w:p w14:paraId="3BCDF39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5F58F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3DD49D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C312C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818EE1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1EC307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76"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8DA531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4A72C7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左翼闸单机芯</w:t>
            </w:r>
          </w:p>
        </w:tc>
        <w:tc>
          <w:tcPr>
            <w:tcW w:w="5852" w:type="dxa"/>
            <w:vMerge w:val="restart"/>
            <w:tcBorders>
              <w:top w:val="single" w:color="000000" w:sz="4" w:space="0"/>
              <w:left w:val="single" w:color="000000" w:sz="4" w:space="0"/>
              <w:bottom w:val="single" w:color="000000" w:sz="4" w:space="0"/>
              <w:right w:val="single" w:color="000000" w:sz="4" w:space="0"/>
            </w:tcBorders>
            <w:noWrap w:val="0"/>
            <w:vAlign w:val="top"/>
          </w:tcPr>
          <w:p w14:paraId="66C29A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1.机箱材料：国产标准(304号)不锈钢</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2.机箱尺寸：≧1200*300*980（mm)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3.伸缩臂长：≧ 260mm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4.最大通道宽度：580mm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5.电源电压：AC220±10% V,50HZ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6.驱动电机：直流有刷电机（24V/48V）也可用无刷电机</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7.输入接口：继电器开关信号或12V电平信号或脉宽＞100ms的12V脉冲信号，驱动电流＞10mA</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8.通信接口： RS485标准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9.通行速度：30-40人/分钟</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10.闸门开.关时间：0.5-0.8秒</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11.上电后进入通行状态所需时间：≦ 3秒</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12.出现故障后的自动复位时间：≦10秒</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697163E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3FBDABD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12C7D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E10B16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9D988C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中翼闸双机芯</w:t>
            </w:r>
          </w:p>
        </w:tc>
        <w:tc>
          <w:tcPr>
            <w:tcW w:w="5852" w:type="dxa"/>
            <w:vMerge w:val="continue"/>
            <w:tcBorders>
              <w:top w:val="single" w:color="000000" w:sz="4" w:space="0"/>
              <w:left w:val="single" w:color="000000" w:sz="4" w:space="0"/>
              <w:bottom w:val="single" w:color="000000" w:sz="4" w:space="0"/>
              <w:right w:val="single" w:color="000000" w:sz="4" w:space="0"/>
            </w:tcBorders>
            <w:noWrap w:val="0"/>
            <w:vAlign w:val="top"/>
          </w:tcPr>
          <w:p w14:paraId="7DEF43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056AED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48D9B6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1FF7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4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A04F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3133D6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右翼闸单机芯</w:t>
            </w:r>
          </w:p>
        </w:tc>
        <w:tc>
          <w:tcPr>
            <w:tcW w:w="5852" w:type="dxa"/>
            <w:vMerge w:val="continue"/>
            <w:tcBorders>
              <w:top w:val="single" w:color="000000" w:sz="4" w:space="0"/>
              <w:left w:val="single" w:color="000000" w:sz="4" w:space="0"/>
              <w:bottom w:val="single" w:color="000000" w:sz="4" w:space="0"/>
              <w:right w:val="single" w:color="000000" w:sz="4" w:space="0"/>
            </w:tcBorders>
            <w:noWrap w:val="0"/>
            <w:vAlign w:val="top"/>
          </w:tcPr>
          <w:p w14:paraId="4BA9674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574C4DE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753B85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37E24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2192CB6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2B62BFF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遮阳罩</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D9608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采用塑料材质，外观时尚大方，可配套智能门禁一体机使用</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7C1F20A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49DFA91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1FF0E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40FFC1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FF409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闸机支架</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10D48E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采用铝合金/锌合金材质，时尚美观，支持简易支架安装方式的智能门禁一体机产品</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5546B4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7D8DD4B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37EAD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C9054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7273B10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电源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47CF55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1.交流输入：标准220VAC，50Hz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 xml:space="preserve">2.直流输出：标准≧12VDC，3A/5A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3.设NC/NO输出，可控制各种类型的电锁，内置防止电锁电感反向电流电路，减少门禁控制器的负荷,内置开锁时间调节旋钮，调节范围0～15秒；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4.设开门按钮输入，可直接开启电锁；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5.设自动保护功能；(无充电电路）</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0104D8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2DC5FF8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w:t>
            </w:r>
          </w:p>
        </w:tc>
      </w:tr>
      <w:tr w14:paraId="03AB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2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401D6E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7</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7B3427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人脸识别-8寸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094682D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 xml:space="preserve">1.处理器：双ARM处理器；内存≥1G；ROM：≧8G；NPU 1.2 TOPS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2.屏幕参数：≧8英寸IPS触摸屏，户外防紫外线，分辨率：≧800*1280</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3.摄像头：双摄，≧200W像素，支持星光宽动态</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4.网络参数：有线网络：10/100Mbps 自适应；WiFi：802.11b/g/n (2.4GHz)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蓝牙：Bluetooth4.2</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5.音频：扬声器*≧1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6.物理接口：RJ45*1 .RS485*1.门禁继电器接口 * 1.出门按钮*1.门磁*1.报警*1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7.工作环境：工作温度：-20~60°C</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整机功耗：≤12W.供电：≧DC  12V/2A</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8.底库容量：人脸≧20000张.卡片≧20000张；识别距离：0.3~1.5米最远可调2米</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9.离线记录：带图≧3万条.不带图≧50万条。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10.门禁：产品具有刷脸.远程开门.门铃等功能；并支持门常开.临时出门权限申请.设备上展示图片用于企业文化宣传。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11.访客：产品具备在线预约访客功能，由被访人发起预约，访客录入人脸，访客刷脸开门。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12.★考勤：支持与学校现有考勤系统进行数据对接，实现刷脸开门时自动记录考勤数据。供应商应承诺免费提供对接开发技术支持。</w:t>
            </w:r>
          </w:p>
          <w:p w14:paraId="45D8BC8D">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13.★对于门禁人脸识别系统要进行专项压力测试，要求上下学高峰时段1000人/15分钟连续运行3天设备无故障。</w:t>
            </w:r>
          </w:p>
          <w:p w14:paraId="76FEFE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default"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14.★供应商应提供质量承诺和正品承诺，保障质保期结束后能连续3年提供相对应的配件以便更换。（上述要求的内容可在成交后签订合同前提供）</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EFF21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B3758A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2732B5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78E501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8</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41608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人脸识别-5寸</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81FB35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 xml:space="preserve">1.处理器：ARM处理器；内存≥256MB；ROM：≧8G；NPU 1.0 TOPS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2.屏幕参数：≧5英寸IPS触摸屏，分辨率：≧480*854</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2.摄像头：双摄，≧200W像素。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3.网络参数：有线网络：10/100Mbps 自适应；WiFi：802.11b/g/n (2.4GHz)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蓝牙：Bluetooth4.2</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4.音频：扬声器*1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5.物理接口：RJ45*1 .RS485*1.门禁继电器接口 * 1.出门按钮*1.门磁*1.报警*1</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6.读卡：内置IC卡读卡器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7.底库容量：人脸≧5000张.卡容量：≧5000张；识别距离：0.3~1.5米最远可调2米</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8.识别记录：离线记录带图≧2万条.不带图≧20万条。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9.门禁： 产品具有刷脸、刷卡、远程开门、门铃等功能；并支持门常开.临时出门权限申请.设备上展示图片用于企业文化宣传。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10.访客：产品具备在线预约访客功能，由被访人发起预约，访客录入人脸，访客刷脸开门。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11.★考勤：支持与学校现有考勤系统（当前为钉钉）进行数据对接，实现刷脸开门时自动记录考勤数据。供应商应承诺免费提供对接开发技术支持。</w:t>
            </w:r>
          </w:p>
          <w:p w14:paraId="7B0BFBDA">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★校园进出20台、中心机房1台、实训室25台、智慧教室1台（根据实际调整）；两校区人员进出进行统一管理，需要实现现有含谷校区门禁系统数据无缝对接使用。链路由学校（使用方）提供。</w:t>
            </w:r>
          </w:p>
          <w:p w14:paraId="517371BB">
            <w:pPr>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default"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★对于门禁人脸识别系统要进行专项压力测试，要求上下学高峰时段1000人/15分钟连续运行3天设备无故障。</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0BF213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5D28C00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0BA3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7498B2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9</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367F0B6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电磁锁</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90EFD0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1.通电上锁，无残磁.无机械磨损.双门。适用于90度开的任何有框门，无框门或内推门可选择配件。</w:t>
            </w:r>
          </w:p>
          <w:p w14:paraId="75BF905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2.电压：≧DC12V输入，工作电流：≧450MA，DC24V输入，工作电流：≧240MA。</w:t>
            </w:r>
          </w:p>
          <w:p w14:paraId="30BB676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3.抗拉力：≧270kg</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294BA74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0D3BCA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7E0D7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E1E1D6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6615DD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86型门禁出口开关</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3706F4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1.塑料出门按钮，防火PC料</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2.尺寸：86×86mm，86底盒安装，常开输出</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34745E3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012884B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台</w:t>
            </w:r>
          </w:p>
        </w:tc>
      </w:tr>
      <w:tr w14:paraId="081A5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22A957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11</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57D8587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门禁管理平台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89A3BCA">
            <w:pPr>
              <w:keepNext w:val="0"/>
              <w:keepLines w:val="0"/>
              <w:pageBreakBefore w:val="0"/>
              <w:widowControl/>
              <w:numPr>
                <w:ilvl w:val="0"/>
                <w:numId w:val="2"/>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平台</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1.系统部署在云平台中，使用用户现有的人脸库数据；支持创建一个学校组织，针对组织建立家校通讯录；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a.创建基础教育通讯录：面向K12学校，自动生成学段与年级结构（支持自动升班.毕业）；</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b.创建自定义家校通讯录：支持个性化设置学段.院系.年级。</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2.通讯录可细分到班级，建立班主任、老师、学生、家长的人员名单：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a.支持用excel导入班主任.任课老师；</w:t>
            </w:r>
          </w:p>
          <w:p w14:paraId="42FF273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b.支持用excel导入学生.家长信息。</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3.具备稳定的IOT架构和持续稳定的IOT通讯能力；</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4.平台提供稳定的人脸识别能力：</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a.支持高中生高一到高三年级人脸识别；</w:t>
            </w:r>
          </w:p>
          <w:p w14:paraId="20638B2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b.本地部署，“系统年可用率≥99%”；云端，“由采购人提供云服务环境”。。</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5.基于用户现有平台完成功能设置与管理；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6.微应用支持管理员.教师.家长角色登录和使用；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7.基于平台发送通知和告警信息；</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8.数据可在微应用端查询和导出；</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9.门禁管理平台应具备标准API/ADK接口，能够兼容主流人脸识别终端设备。投标人需提供平台与不同品牌人脸识别设备对接的成功案例或兼容性承诺函，确保系统集成无阻碍。</w:t>
            </w:r>
          </w:p>
          <w:p w14:paraId="598A8D7B">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与用户现有系统实现人员.组织架构，通讯录，消息通知.人脸库底层互联互通，并通过客户现有的管理系统，达到管理平台集中统一，实现统一的登统一用户鉴权.统一身份认证。（提供功能承诺函并加盖供应商公章）</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二.门禁管理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1.针对具体人员设置开门权限组，不同的人员拥有不同的权限：</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a.权限组支持自定义名称；</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b.权限范围支持全员使用，也可以指定人员范围，支持按部门.指定人员选择范围；在选择部门时，学生换班、转学等，将自动加入或者离开当前权限组；在选择学生时，可以根据学生类型选择；</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c.权限开放时间支持全天开放，具有一键全天开放的功能，支持设置时间段开放权限；</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d.权限开放支持按周期开放，例如周一，周二，周三，周四，周五，周六，周日，可以增加周期的有效期限制；</w:t>
            </w:r>
          </w:p>
          <w:p w14:paraId="660A6F2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e.权限开放支持班主任给某一学生单独批假，经上级部门（学生处、安稳办）批准后，单独为学生开放临时出门权限。</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2.权限组可关联具体的门禁设备，指定这些门禁设备才能刷脸开门，即支持权限批量同步至设备。</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3.权限组支持编辑和删除。</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4.统一管理门禁设备：</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a.支持通过用户现有系统扫描二维码添加门禁设备；</w:t>
            </w:r>
          </w:p>
          <w:p w14:paraId="24489D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b.可以修改设备名称，查看设备版本，序列号和设备通用参数；</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c.可以对设备进行远程升级，支持批量升级；</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d.支持解绑和重置设备；</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e.支持根据条件查询设备，例如设备名称等；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f.支持通过微应用对设备重新配置网络。</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5.通过微应用进行远程开门；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6.设备具有多档音量设置，标准.低音.静音等模式；</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7.标准.极速模式切换，开启极速模式后不再进行红外检测，快速识别人脸；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8.基于现有系统统一管理人脸，支持多种人脸录入方式；</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a.管理员可以查看所有人员的录脸情况，家长授权后支持录入.删除学生人脸；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b.班主任可以查看自己班级的学生录脸情况，家长授权后支持录入.删除学生人脸；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c.家长可以给自己的孩子或家庭成员录人脸；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d.老师可以给自己录入人脸；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9.支持一键通知员工。学生.家长录入人脸。</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10.记录管理功能，可以查看开门记录，远程开门记录，报警记录；支持根据条件对记录进行搜索或筛选，例如时间范围；</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11.支持导出开门记录报表。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12.通知配置，具有全局开关通知功能，支持按系统（权限组过期.非法移动）。控制板联动（火警.门超时未关。非法闯入）等细分通知进行开关；</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13.支持配置设备管理员，设备管理员拥有设备的所有操作权限，可管理负责的权限组。</w:t>
            </w:r>
          </w:p>
        </w:tc>
        <w:tc>
          <w:tcPr>
            <w:tcW w:w="924" w:type="dxa"/>
            <w:tcBorders>
              <w:top w:val="single" w:color="000000" w:sz="4" w:space="0"/>
              <w:left w:val="single" w:color="000000" w:sz="4" w:space="0"/>
              <w:bottom w:val="single" w:color="000000" w:sz="4" w:space="0"/>
              <w:right w:val="single" w:color="000000" w:sz="4" w:space="0"/>
            </w:tcBorders>
            <w:noWrap/>
            <w:vAlign w:val="center"/>
          </w:tcPr>
          <w:p w14:paraId="42935A8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ign w:val="center"/>
          </w:tcPr>
          <w:p w14:paraId="61048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3D76CD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1FBFB1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12</w:t>
            </w:r>
          </w:p>
        </w:tc>
        <w:tc>
          <w:tcPr>
            <w:tcW w:w="1546" w:type="dxa"/>
            <w:tcBorders>
              <w:top w:val="single" w:color="000000" w:sz="4" w:space="0"/>
              <w:left w:val="single" w:color="000000" w:sz="4" w:space="0"/>
              <w:bottom w:val="single" w:color="000000" w:sz="4" w:space="0"/>
              <w:right w:val="single" w:color="000000" w:sz="4" w:space="0"/>
            </w:tcBorders>
            <w:noWrap w:val="0"/>
            <w:vAlign w:val="center"/>
          </w:tcPr>
          <w:p w14:paraId="09065CF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线材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961701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★包含工程所需电源线、控制线、网线、光纤线等，采用国优品牌。</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7A10894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7154E9E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4A12D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6"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E82B0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469DB5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BEAB8F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60" w:lineRule="exact"/>
              <w:ind w:left="0" w:right="0"/>
              <w:jc w:val="left"/>
              <w:textAlignment w:val="center"/>
              <w:rPr>
                <w:rFonts w:hint="default"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★含必要的辅材.人工。税费等。除软件实施与对接外，还应包含本工程本次招标所有产品、线路的安装与调试及相关服务费用和运费。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DCD0DB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D01545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r w14:paraId="7799E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2"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ign w:val="center"/>
          </w:tcPr>
          <w:p w14:paraId="16E3FA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2.车行道防撞电动升降柱</w:t>
            </w:r>
          </w:p>
        </w:tc>
      </w:tr>
      <w:tr w14:paraId="5AB396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7AC158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2BBBF9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186D79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4532A6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BC64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3B092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A297C0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66D07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电动升降柱</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40D011A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设备整体包括柱身盖板.地面面板。限位尼龙圈.LED灯带。不锈钢柱身.柱身行进法兰。调节套筒孔.轨道。液压升降装置.电机法兰。预埋桶法兰.预埋桶和排水法兰。升降柱柱体采用304#不锈钢无缝管，是耐空气。蒸汽.水等弱腐蚀介质和酸。碱.盐等化学浸蚀性介质腐蚀的钢管，升降柱内部紧固件应牢固可靠。无松动，升降应灵敏.可靠。装置机壳外形尺寸应符合图纸。非金属外壳表面应无裂纹，不褪色及无污渍，亦无明显变形和划痕；应不能露出底层金属，并无气泡.腐蚀划痕，涂层脱落和砂孔等。装置的运行平稳，无明显卡阻。窜动。摇晃。</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2.柱体直径： ≥219mm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3.柱体厚度：≥6mm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4.柱体升起后高度：≥600mm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5.顶盖和法兰盘厚度≥8mm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6.柱体采用整体SUS304#不锈钢无缝管制作；</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7.法兰盘和顶盖采用SUS304#不锈钢制作；</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8.升降柱结构设计应便于日常维护及液压机芯检修；</w:t>
            </w:r>
          </w:p>
          <w:p w14:paraId="766142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9.液压动力装置设有多个下限位块，上限位板与下限位块之间安装有导向杆；安装块侧壁上安装有水位检测装置，外筒体底部设有排水口。</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10.预埋桶采用Q235钢管，防腐蚀处理为酸洗磷化+环氧富锌底漆施工工艺，厚度为80~120μm之间；</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11.液压一体机芯，包括电机.油泵。液压阀块.油箱筒和液压油缸；液压机芯以液压阀块为底座，油箱筒和液压油缸垂直向上地连接在液压阀块的上平面上;</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12.电机为浸油式电机，浸油式电机和油泵安装在油箱筒内；</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13.驱动电机应采用高可靠性工业级电机，满足浸油或同等防护要求；</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14.驱动单元与升降柱主体之间采用柔性悬浮连接，上升下降状态拦截柱体晃动量不大于10mm；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15.电机底板采用不锈钢材质，该底板拥有柱体纠偏功能，紧固螺钉采用A2-70不锈钢螺钉；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16.运动柱体与地面盖板之间应有防护隔离措施，防止金属直接接触摩擦；</w:t>
            </w:r>
          </w:p>
          <w:p w14:paraId="2C30C669">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17.地面法兰部分及运动柱体顶部设置防滑纹，防滑纹的深度不得低于2mm.宽度不低于5mm，且防滑纹之间每个区域的内切圆直径不得大于60mm；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18.举重力度≥300Kg,升降柱升起到位后，最大抗压力应不小于300Kg；</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19.在阻拦柱体内加装防撞防顶车装置，运行阻拦设备时开启红外感应，升降到位时自动关闭。当阻拦设备在上升过程中前后方1米内出现行驶车辆时，设备立即停止上升动作马上降下阻拦设备至地面。</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20.升降柱上升到最高点后，无操作24h保持升起状态，柱体下降不超过10mm</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21.设备带有自动加热功能，在外界温度低于设定温度，可自动启动加热功能，给动力（液压)系统加热。</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22.运动柱体表面有3M钻石级反光警示条，宽度≤50mm，颜色为柠檬黄(可定制）。柱体顶部采用超高亮LED警示灯珠，360度内嵌于PC灯盘内，可通过拆卸顶盖对警示灯进行更换或检修。灯头采用灌封一体式工艺，灯带直接灌封在灯头中，接线处采用防水航空接头。升降柱在上升下降运行过程中及处于立柱升起状态时，顶灯有闪烁发光信号提示功能；也可设置常亮，柱体完全下降后，灯被隐藏保护，车辆碾压不到，夜晚在远处仍可明显观察到地面有警示灯光。可根据时间及升降状态来设定，支持夜间自动亮起，白天自动关闭，支持上升亮起，下降关闭。灯带与控制系统之间所连接线缆电压不得大于24V且为直流电，功率≤6W</w:t>
            </w:r>
          </w:p>
          <w:p w14:paraId="7844F5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23.★电动升降柱要进行压力测试，要求连续1000次升降无异常。</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31931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8</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F80E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根</w:t>
            </w:r>
          </w:p>
        </w:tc>
      </w:tr>
      <w:tr w14:paraId="47A31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8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4A84E3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076F2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控制箱A系列</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663D70DE">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等线" w:hAnsi="等线" w:eastAsia="等线" w:cs="等线"/>
                <w:i w:val="0"/>
                <w:iCs w:val="0"/>
                <w:color w:val="auto"/>
                <w:sz w:val="21"/>
                <w:szCs w:val="21"/>
                <w:highlight w:val="none"/>
                <w:u w:val="none"/>
              </w:rPr>
            </w:pPr>
            <w:r>
              <w:rPr>
                <w:rFonts w:hint="eastAsia" w:ascii="等线" w:hAnsi="等线" w:eastAsia="等线" w:cs="等线"/>
                <w:i w:val="0"/>
                <w:iCs w:val="0"/>
                <w:color w:val="auto"/>
                <w:kern w:val="0"/>
                <w:sz w:val="21"/>
                <w:szCs w:val="21"/>
                <w:highlight w:val="none"/>
                <w:u w:val="none"/>
                <w:lang w:val="en-US" w:eastAsia="zh-CN" w:bidi="ar"/>
              </w:rPr>
              <w:t>1.可通过主板上预留的输入输出接口：具备警示灯、门禁系统、车牌识别、地感线圈、交通信号灯、报警系统、红外安全光线感应、蓝牙、射频（RFID）、远程控制（TCP/IP）、消防等联动接口；</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2.电脑客户端，全自动升降柱可接入互联网,提供配套的电脑客户端软件，可通过电脑客户端操作所有联网运行。</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3.客户端软件应支持的基本功能有: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（1）支持多账号登录；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（2）支持操作记录查询功能(操作账号。操作方式.操作时间）信息存储记录不少于50000条;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（3）阻拦设备运行时，客户端应有模拟动画；</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（4）可分组操作阻拦设备，也可“一键”操作所有阻拦设备升降;</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（5）使用手控按钮盒或者遍控器操作阻拦设备上升或下降后，客户端也应及时切换显示阻拦设备升降运行状态;</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（6）监控与报警系统日志；</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（7）系统权限管理(不同人员提供不同的用户界面、展现方式、数据信息）;</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（8）报表管理(系统自动按照报表的功能及需求，按照时、日、月、季、年等方式提供不同时间节点的报表）;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（9）视频监控联动。</w:t>
            </w:r>
          </w:p>
          <w:p w14:paraId="1F79732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（10）公安报警系统联动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（11）手机APP端 全自动升降柱可接入互联网，提供配套的手机APP客户端软件,可通过手机APP客户端操作所有联网运行。</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4.手机APP端，客户端软件应支持的基本功能有：</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（1）支持多账号登录;</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（2）支持操作记录查询功能（操作账号.操作方式。操作时间)信息存储记录不少于50000条；</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（3）阻拦设备运行时，客户端应有模拟动画；</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（4）可分组操作阻拦设备，也可“一键”操作所有阻拦设备升降；</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（5）使用手控按钮盒或者遥控器操作阻拦设备上升或下降后，客户端也应及时切换显示阻拦设备升降运行状态。</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（6）抗电强度，应符合GB16796-2009中的5.4.3的规定。</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（7）绝缘电阻，应符合GB16796-2009中的5.4.4的规定</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（8）泄漏电流，应符合GB16796-2009中的5.4.6的规定</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3667F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3EDC7B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2CAB0F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B1255C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92872C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遥控器</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17F119B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100米以内可遥控控制</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51DEDC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75B47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个</w:t>
            </w:r>
          </w:p>
        </w:tc>
      </w:tr>
      <w:tr w14:paraId="6C3533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2"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36B055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1FAE379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专用线缆</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FE24F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芯护套线；规格：RVV2×1.0+2×1.5；</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93AACD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450</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30B465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米</w:t>
            </w:r>
          </w:p>
        </w:tc>
      </w:tr>
      <w:tr w14:paraId="72FCF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1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5BE4DF3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6EE676F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DA3869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r>
              <w:rPr>
                <w:rFonts w:hint="eastAsia" w:ascii="等线" w:hAnsi="等线" w:eastAsia="等线" w:cs="等线"/>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含必要的辅材。人工。税费等。</w:t>
            </w:r>
          </w:p>
          <w:p w14:paraId="58249B3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firstLine="0" w:firstLine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r>
              <w:rPr>
                <w:rFonts w:hint="eastAsia" w:ascii="等线" w:hAnsi="等线" w:eastAsia="等线" w:cs="等线"/>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除软件实施与对接外，除软件实施与对接外，还应包含本工程本次</w:t>
            </w:r>
            <w:r>
              <w:rPr>
                <w:rFonts w:hint="eastAsia" w:ascii="宋体" w:hAnsi="宋体" w:cs="宋体"/>
                <w:i w:val="0"/>
                <w:iCs w:val="0"/>
                <w:color w:val="auto"/>
                <w:kern w:val="0"/>
                <w:sz w:val="21"/>
                <w:szCs w:val="21"/>
                <w:highlight w:val="none"/>
                <w:u w:val="none"/>
                <w:lang w:val="en-US" w:eastAsia="zh-CN" w:bidi="ar"/>
              </w:rPr>
              <w:t>采购</w:t>
            </w:r>
            <w:r>
              <w:rPr>
                <w:rFonts w:hint="eastAsia" w:ascii="宋体" w:hAnsi="宋体" w:eastAsia="宋体" w:cs="宋体"/>
                <w:i w:val="0"/>
                <w:iCs w:val="0"/>
                <w:color w:val="auto"/>
                <w:kern w:val="0"/>
                <w:sz w:val="21"/>
                <w:szCs w:val="21"/>
                <w:highlight w:val="none"/>
                <w:u w:val="none"/>
                <w:lang w:val="en-US" w:eastAsia="zh-CN" w:bidi="ar"/>
              </w:rPr>
              <w:t>所有产品、线路的安装与调试及相关服务费用和运费。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2012FA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EB6F41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根</w:t>
            </w:r>
          </w:p>
        </w:tc>
      </w:tr>
      <w:tr w14:paraId="32644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C26861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2B8FE6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安全要求</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911DFF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00" w:lineRule="exact"/>
              <w:ind w:left="0" w:leftChars="0" w:right="0" w:rightChars="0"/>
              <w:jc w:val="left"/>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在投标文书中增加施工前进行实地勘察并提交施工实施方案给学校审核，并签订安全责任书的内容。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ACE154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E10403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项</w:t>
            </w:r>
          </w:p>
        </w:tc>
      </w:tr>
      <w:tr w14:paraId="6FE79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9949" w:type="dxa"/>
            <w:gridSpan w:val="5"/>
            <w:tcBorders>
              <w:top w:val="single" w:color="000000" w:sz="4" w:space="0"/>
              <w:left w:val="single" w:color="000000" w:sz="4" w:space="0"/>
              <w:bottom w:val="single" w:color="000000" w:sz="4" w:space="0"/>
              <w:right w:val="single" w:color="000000" w:sz="4" w:space="0"/>
            </w:tcBorders>
            <w:noWrap/>
            <w:vAlign w:val="center"/>
          </w:tcPr>
          <w:p w14:paraId="15265CB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微软雅黑" w:hAnsi="微软雅黑" w:eastAsia="微软雅黑" w:cs="微软雅黑"/>
                <w:b/>
                <w:bCs/>
                <w:i w:val="0"/>
                <w:iCs w:val="0"/>
                <w:color w:val="auto"/>
                <w:kern w:val="0"/>
                <w:sz w:val="21"/>
                <w:szCs w:val="21"/>
                <w:highlight w:val="none"/>
                <w:u w:val="none"/>
                <w:lang w:val="en-US" w:eastAsia="zh-CN" w:bidi="ar"/>
              </w:rPr>
              <w:t>3.正门伸缩门一套和车行道伸缩门一套</w:t>
            </w:r>
          </w:p>
        </w:tc>
      </w:tr>
      <w:tr w14:paraId="3DCA05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08F268A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4974E68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063AC2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技术参数</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30BFB1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0F6A1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单位</w:t>
            </w:r>
          </w:p>
        </w:tc>
      </w:tr>
      <w:tr w14:paraId="20B74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9FC916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3EDA31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驱动系统（机头）</w:t>
            </w:r>
          </w:p>
        </w:tc>
        <w:tc>
          <w:tcPr>
            <w:tcW w:w="5852" w:type="dxa"/>
            <w:tcBorders>
              <w:top w:val="single" w:color="000000" w:sz="4" w:space="0"/>
              <w:left w:val="single" w:color="000000" w:sz="4" w:space="0"/>
              <w:bottom w:val="single" w:color="000000" w:sz="4" w:space="0"/>
              <w:right w:val="single" w:color="000000" w:sz="4" w:space="0"/>
            </w:tcBorders>
            <w:noWrap w:val="0"/>
            <w:vAlign w:val="top"/>
          </w:tcPr>
          <w:p w14:paraId="5CE5B26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1.结构紧凑.性能稳定；起动力矩大；适应频繁正反转；</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2.热保护装置，确保使用寿命；在停电状态下，可转手动；</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 xml:space="preserve">3.－40℃低温环境下正常工作；有刹车装置，能准确停机。 </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4.电机功率：370w，额定电压/频率：220V/50Hz</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5.工作温度：-40℃～+110℃</w:t>
            </w:r>
          </w:p>
          <w:p w14:paraId="4223180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6.电流：2.3A，电机额定转速：1400转/分</w:t>
            </w:r>
            <w:r>
              <w:rPr>
                <w:rFonts w:hint="eastAsia" w:ascii="等线" w:hAnsi="等线" w:eastAsia="等线" w:cs="等线"/>
                <w:i w:val="0"/>
                <w:iCs w:val="0"/>
                <w:color w:val="auto"/>
                <w:kern w:val="0"/>
                <w:sz w:val="21"/>
                <w:szCs w:val="21"/>
                <w:highlight w:val="none"/>
                <w:u w:val="none"/>
                <w:lang w:val="en-US" w:eastAsia="zh-CN" w:bidi="ar"/>
              </w:rPr>
              <w:br w:type="textWrapping"/>
            </w:r>
            <w:r>
              <w:rPr>
                <w:rFonts w:hint="eastAsia" w:ascii="等线" w:hAnsi="等线" w:eastAsia="等线" w:cs="等线"/>
                <w:i w:val="0"/>
                <w:iCs w:val="0"/>
                <w:color w:val="auto"/>
                <w:kern w:val="0"/>
                <w:sz w:val="21"/>
                <w:szCs w:val="21"/>
                <w:highlight w:val="none"/>
                <w:u w:val="none"/>
                <w:lang w:val="en-US" w:eastAsia="zh-CN" w:bidi="ar"/>
              </w:rPr>
              <w:t>7.减速器输出转速：17-19转/</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9FDE39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E88C75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台</w:t>
            </w:r>
          </w:p>
        </w:tc>
      </w:tr>
      <w:tr w14:paraId="41E313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1780D44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5597C13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伸缩门主体</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5E85D77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1.伸缩长度满足现场实际需求（渝西校区正大门和渝西校区车行道大门）</w:t>
            </w:r>
          </w:p>
          <w:p w14:paraId="243907D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主材采用优质高强度铝合金型材，一次成型，耐高温，耐腐蚀，无塑料承力部件。主料、交叉杆、底梁的截面尺寸及壁厚应符合国家相关标准，并满足抗风、耐腐蚀及长期频繁使用的要求。门体总高1.8米、伸缩长度约22米（以现场实测为准）</w:t>
            </w:r>
          </w:p>
          <w:p w14:paraId="6CDE67E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firstLine="0" w:firstLine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3. 使用寿命应不少于6年，满足国家标准。</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C87AB2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807A600">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1FA1D1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6F5455F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59A518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遥控器</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372C45F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≧100米以内可遥控控制</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428B50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6607C20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6BC38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26A00F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06F72AF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伸缩门滑动路面找平</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25D695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包含路面所需材料</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0D3D04F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4F6C05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处</w:t>
            </w:r>
          </w:p>
        </w:tc>
      </w:tr>
      <w:tr w14:paraId="50416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38C5E4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2FB54FD1">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线材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08AB43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包含工程所需电源线、控制线、网线、光纤线等，采用国优品牌。</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10F282B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5BF0C5D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套</w:t>
            </w:r>
          </w:p>
        </w:tc>
      </w:tr>
      <w:tr w14:paraId="4DD5D8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739" w:type="dxa"/>
            <w:tcBorders>
              <w:top w:val="single" w:color="000000" w:sz="4" w:space="0"/>
              <w:left w:val="single" w:color="000000" w:sz="4" w:space="0"/>
              <w:bottom w:val="single" w:color="000000" w:sz="4" w:space="0"/>
              <w:right w:val="single" w:color="000000" w:sz="4" w:space="0"/>
            </w:tcBorders>
            <w:noWrap/>
            <w:vAlign w:val="center"/>
          </w:tcPr>
          <w:p w14:paraId="707C52DB">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1546" w:type="dxa"/>
            <w:tcBorders>
              <w:top w:val="single" w:color="000000" w:sz="4" w:space="0"/>
              <w:left w:val="single" w:color="000000" w:sz="4" w:space="0"/>
              <w:bottom w:val="single" w:color="000000" w:sz="4" w:space="0"/>
              <w:right w:val="single" w:color="000000" w:sz="4" w:space="0"/>
            </w:tcBorders>
            <w:noWrap/>
            <w:vAlign w:val="center"/>
          </w:tcPr>
          <w:p w14:paraId="5BAF613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both"/>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系统集成</w:t>
            </w:r>
          </w:p>
        </w:tc>
        <w:tc>
          <w:tcPr>
            <w:tcW w:w="5852" w:type="dxa"/>
            <w:tcBorders>
              <w:top w:val="single" w:color="000000" w:sz="4" w:space="0"/>
              <w:left w:val="single" w:color="000000" w:sz="4" w:space="0"/>
              <w:bottom w:val="single" w:color="000000" w:sz="4" w:space="0"/>
              <w:right w:val="single" w:color="000000" w:sz="4" w:space="0"/>
            </w:tcBorders>
            <w:noWrap w:val="0"/>
            <w:vAlign w:val="center"/>
          </w:tcPr>
          <w:p w14:paraId="7ECC12F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top"/>
              <w:rPr>
                <w:rFonts w:hint="eastAsia" w:ascii="等线" w:hAnsi="等线" w:eastAsia="等线" w:cs="等线"/>
                <w:i w:val="0"/>
                <w:iCs w:val="0"/>
                <w:color w:val="auto"/>
                <w:kern w:val="0"/>
                <w:sz w:val="21"/>
                <w:szCs w:val="21"/>
                <w:highlight w:val="none"/>
                <w:u w:val="none"/>
                <w:lang w:val="en-US" w:eastAsia="zh-CN" w:bidi="ar"/>
              </w:rPr>
            </w:pPr>
            <w:r>
              <w:rPr>
                <w:rFonts w:hint="eastAsia" w:ascii="等线" w:hAnsi="等线" w:eastAsia="等线" w:cs="等线"/>
                <w:i w:val="0"/>
                <w:iCs w:val="0"/>
                <w:color w:val="auto"/>
                <w:kern w:val="0"/>
                <w:sz w:val="21"/>
                <w:szCs w:val="21"/>
                <w:highlight w:val="none"/>
                <w:u w:val="none"/>
                <w:lang w:val="en-US" w:eastAsia="zh-CN" w:bidi="ar"/>
              </w:rPr>
              <w:t>★含必要的辅材。人工。税费等。实施标准需达到国家标准，除软件实施与对接外，还应包含本工程本次招标所有产品、线路的安装与调试及相关服务费用和运费。</w:t>
            </w:r>
          </w:p>
        </w:tc>
        <w:tc>
          <w:tcPr>
            <w:tcW w:w="924" w:type="dxa"/>
            <w:tcBorders>
              <w:top w:val="single" w:color="000000" w:sz="4" w:space="0"/>
              <w:left w:val="single" w:color="000000" w:sz="4" w:space="0"/>
              <w:bottom w:val="single" w:color="000000" w:sz="4" w:space="0"/>
              <w:right w:val="single" w:color="000000" w:sz="4" w:space="0"/>
            </w:tcBorders>
            <w:noWrap w:val="0"/>
            <w:vAlign w:val="center"/>
          </w:tcPr>
          <w:p w14:paraId="229155B4">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w:t>
            </w:r>
          </w:p>
        </w:tc>
        <w:tc>
          <w:tcPr>
            <w:tcW w:w="888" w:type="dxa"/>
            <w:tcBorders>
              <w:top w:val="single" w:color="000000" w:sz="4" w:space="0"/>
              <w:left w:val="single" w:color="000000" w:sz="4" w:space="0"/>
              <w:bottom w:val="single" w:color="000000" w:sz="4" w:space="0"/>
              <w:right w:val="single" w:color="000000" w:sz="4" w:space="0"/>
            </w:tcBorders>
            <w:noWrap w:val="0"/>
            <w:vAlign w:val="center"/>
          </w:tcPr>
          <w:p w14:paraId="216BD91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center"/>
              <w:rPr>
                <w:rFonts w:hint="eastAsia" w:ascii="等线" w:hAnsi="等线" w:eastAsia="等线" w:cs="等线"/>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套</w:t>
            </w:r>
          </w:p>
        </w:tc>
      </w:tr>
    </w:tbl>
    <w:p w14:paraId="086684BC">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注:</w:t>
      </w:r>
    </w:p>
    <w:p w14:paraId="057661A9">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所有技术参数均须满足或优于询价文件要求，任何负偏离均视为未实质性响应，不能通过符合性审查。</w:t>
      </w:r>
    </w:p>
    <w:p w14:paraId="1EED160F">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1.校园门禁翼闸门禁系统在渝西新校区主校门建设无障碍通道5个，更换扩容科学城校区无障碍通道5个，实现两校区人员门禁数据联动，系统需具备防尾随、防夹安全、人脸识别、短信发送功能，配置集成高精度体温检测模块，在通行时同步完成体温筛查，满足校园公共卫生常态化管理需求。配备的门禁管理平台要与科学城校区智慧校园平台和数据中台对接，实现数据同步。</w:t>
      </w:r>
    </w:p>
    <w:p w14:paraId="0704F4EE">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2、校园考勤：支持与学校现有考勤系统(当前为钉钉)进行数据对接，实现刷脸开门时自动记录考勤数据。投标人应承诺免费提供对接开发技术支持。</w:t>
      </w:r>
    </w:p>
    <w:p w14:paraId="2992A71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（三）技术参数印证材料核验</w:t>
      </w:r>
    </w:p>
    <w:p w14:paraId="2C6DBA3A">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人指定项-《人脸识别-8寸、5寸》“技术参数配置清单”中的技术参数，成交供应商须提供对应的印证材料（成交后5个工作日内）。所需印证材料包含但不限于：第三方权威检测机构出具的产品检测报告、资质认证证书等能够佐证技术参数真实性、符合性的有效资料。签订合同时需提供软件承诺函、售后服务承诺、硬件质检报告并制造商加盖公章的证明文件。</w:t>
      </w:r>
    </w:p>
    <w:p w14:paraId="32FEB366">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（四）样机现场演示核验</w:t>
      </w:r>
    </w:p>
    <w:p w14:paraId="2E3EE257">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采购人组织开展样机现场演示核验工作，成交供应须提供符合竞采响应配置的样机及配套设备、工具、软件，安排专业技术人员到场完成全流程现场演示操作（成交后5个工作日内）。</w:t>
      </w:r>
    </w:p>
    <w:p w14:paraId="35BB996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sectPr>
          <w:headerReference r:id="rId6" w:type="default"/>
          <w:footerReference r:id="rId7" w:type="default"/>
          <w:pgSz w:w="11907" w:h="16840"/>
          <w:pgMar w:top="1134" w:right="1191" w:bottom="1134" w:left="1304" w:header="851" w:footer="992" w:gutter="0"/>
          <w:cols w:space="720" w:num="1"/>
          <w:docGrid w:linePitch="380" w:charSpace="-5735"/>
        </w:sectPr>
      </w:pPr>
      <w:r>
        <w:rPr>
          <w:rFonts w:hint="eastAsia" w:ascii="微软雅黑" w:hAnsi="微软雅黑" w:eastAsia="微软雅黑" w:cs="微软雅黑"/>
          <w:color w:val="auto"/>
          <w:sz w:val="24"/>
          <w:szCs w:val="24"/>
          <w:highlight w:val="none"/>
          <w:lang w:val="en-US" w:eastAsia="zh-CN"/>
        </w:rPr>
        <w:t>现场演示须完整覆盖询价文件明确的核心功能、技术指标、运行性能、适配兼容、操作流程等全部要求，全程由采购人及相关核查人员现场核验、记录、评审。若样机现场演示出现功能缺失、性能不达标、参数不符、无法实现竞采文件要求功能、运行异常等问题，按照虚假响应处理。</w:t>
      </w:r>
    </w:p>
    <w:p w14:paraId="50991803">
      <w:pPr>
        <w:pStyle w:val="3"/>
        <w:keepNext w:val="0"/>
        <w:keepLines w:val="0"/>
        <w:spacing w:line="240" w:lineRule="auto"/>
        <w:jc w:val="center"/>
        <w:outlineLvl w:val="0"/>
        <w:rPr>
          <w:rFonts w:hint="eastAsia" w:ascii="微软雅黑" w:hAnsi="微软雅黑" w:eastAsia="微软雅黑" w:cs="微软雅黑"/>
          <w:bCs/>
          <w:color w:val="auto"/>
          <w:sz w:val="24"/>
          <w:szCs w:val="24"/>
          <w:highlight w:val="none"/>
          <w:u w:val="single"/>
        </w:rPr>
      </w:pPr>
      <w:bookmarkStart w:id="55" w:name="_Toc16771"/>
      <w:r>
        <w:rPr>
          <w:rFonts w:hint="eastAsia" w:ascii="微软雅黑" w:hAnsi="微软雅黑" w:eastAsia="微软雅黑" w:cs="微软雅黑"/>
          <w:color w:val="auto"/>
          <w:sz w:val="36"/>
          <w:szCs w:val="30"/>
          <w:highlight w:val="none"/>
        </w:rPr>
        <w:t xml:space="preserve">第三篇 </w:t>
      </w:r>
      <w:bookmarkEnd w:id="47"/>
      <w:r>
        <w:rPr>
          <w:rFonts w:hint="eastAsia" w:ascii="微软雅黑" w:hAnsi="微软雅黑" w:eastAsia="微软雅黑" w:cs="微软雅黑"/>
          <w:color w:val="auto"/>
          <w:sz w:val="36"/>
          <w:szCs w:val="30"/>
          <w:highlight w:val="none"/>
        </w:rPr>
        <w:t>项目商务需求</w:t>
      </w:r>
      <w:bookmarkEnd w:id="53"/>
      <w:bookmarkEnd w:id="54"/>
      <w:bookmarkEnd w:id="55"/>
    </w:p>
    <w:p w14:paraId="7A2CF52E">
      <w:pPr>
        <w:snapToGrid w:val="0"/>
        <w:spacing w:line="400" w:lineRule="exact"/>
        <w:ind w:firstLine="480" w:firstLineChars="200"/>
        <w:rPr>
          <w:rFonts w:hint="eastAsia" w:ascii="微软雅黑" w:hAnsi="微软雅黑" w:eastAsia="微软雅黑" w:cs="微软雅黑"/>
          <w:b/>
          <w:bCs/>
          <w:color w:val="auto"/>
          <w:sz w:val="24"/>
          <w:szCs w:val="24"/>
          <w:highlight w:val="none"/>
        </w:rPr>
      </w:pPr>
      <w:r>
        <w:rPr>
          <w:rFonts w:hint="eastAsia" w:ascii="微软雅黑" w:hAnsi="微软雅黑" w:eastAsia="微软雅黑" w:cs="微软雅黑"/>
          <w:b/>
          <w:bCs/>
          <w:color w:val="auto"/>
          <w:sz w:val="24"/>
          <w:szCs w:val="24"/>
          <w:highlight w:val="none"/>
        </w:rPr>
        <w:t>本篇商务需求为符合性审查中的实质性要求，响应文件若不满足按无效处理。</w:t>
      </w:r>
    </w:p>
    <w:p w14:paraId="3873C89D">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56" w:name="_Toc344475120"/>
      <w:bookmarkStart w:id="57" w:name="_Toc106030883"/>
      <w:bookmarkStart w:id="58" w:name="_Toc76462328"/>
      <w:bookmarkStart w:id="59" w:name="_Toc23610"/>
      <w:r>
        <w:rPr>
          <w:rFonts w:hint="eastAsia" w:ascii="微软雅黑" w:hAnsi="微软雅黑" w:eastAsia="微软雅黑" w:cs="微软雅黑"/>
          <w:color w:val="auto"/>
          <w:sz w:val="24"/>
          <w:szCs w:val="24"/>
          <w:highlight w:val="none"/>
        </w:rPr>
        <w:t>一、</w:t>
      </w:r>
      <w:bookmarkEnd w:id="56"/>
      <w:bookmarkEnd w:id="57"/>
      <w:bookmarkEnd w:id="58"/>
      <w:r>
        <w:rPr>
          <w:rFonts w:hint="eastAsia" w:ascii="微软雅黑" w:hAnsi="微软雅黑" w:eastAsia="微软雅黑" w:cs="微软雅黑"/>
          <w:color w:val="auto"/>
          <w:sz w:val="24"/>
          <w:szCs w:val="24"/>
          <w:highlight w:val="none"/>
          <w:lang w:val="en-US" w:eastAsia="zh-CN"/>
        </w:rPr>
        <w:t>交货</w:t>
      </w:r>
      <w:r>
        <w:rPr>
          <w:rFonts w:hint="eastAsia" w:ascii="微软雅黑" w:hAnsi="微软雅黑" w:eastAsia="微软雅黑" w:cs="微软雅黑"/>
          <w:color w:val="auto"/>
          <w:sz w:val="24"/>
          <w:szCs w:val="24"/>
          <w:highlight w:val="none"/>
          <w:lang w:val="zh-TW" w:eastAsia="zh-TW"/>
        </w:rPr>
        <w:t>期、地点及验收方式</w:t>
      </w:r>
      <w:bookmarkEnd w:id="59"/>
    </w:p>
    <w:p w14:paraId="55A6EC9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sz w:val="24"/>
          <w:szCs w:val="24"/>
          <w:highlight w:val="none"/>
        </w:rPr>
        <w:t>1</w:t>
      </w:r>
      <w:r>
        <w:rPr>
          <w:rFonts w:hint="eastAsia" w:ascii="微软雅黑" w:hAnsi="微软雅黑" w:eastAsia="微软雅黑" w:cs="微软雅黑"/>
          <w:color w:val="auto"/>
          <w:sz w:val="24"/>
          <w:szCs w:val="24"/>
          <w:highlight w:val="none"/>
          <w:lang w:val="en-US" w:eastAsia="zh-CN"/>
        </w:rPr>
        <w:t>）交货期：30天。</w:t>
      </w:r>
    </w:p>
    <w:p w14:paraId="2BCC11F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highlight w:val="none"/>
        </w:rPr>
        <w:t>2</w:t>
      </w:r>
      <w:r>
        <w:rPr>
          <w:rFonts w:hint="eastAsia" w:ascii="微软雅黑" w:hAnsi="微软雅黑" w:eastAsia="微软雅黑" w:cs="微软雅黑"/>
          <w:color w:val="auto"/>
          <w:sz w:val="24"/>
          <w:szCs w:val="24"/>
          <w:highlight w:val="none"/>
          <w:lang w:val="en-US" w:eastAsia="zh-CN"/>
        </w:rPr>
        <w:t>）交货地点：采购人指定地点（重庆市）。</w:t>
      </w:r>
    </w:p>
    <w:p w14:paraId="05C985B1">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w:t>
      </w:r>
      <w:r>
        <w:rPr>
          <w:rFonts w:hint="eastAsia" w:ascii="微软雅黑" w:hAnsi="微软雅黑" w:eastAsia="微软雅黑" w:cs="微软雅黑"/>
          <w:color w:val="auto"/>
          <w:highlight w:val="none"/>
        </w:rPr>
        <w:t>3</w:t>
      </w:r>
      <w:r>
        <w:rPr>
          <w:rFonts w:hint="eastAsia" w:ascii="微软雅黑" w:hAnsi="微软雅黑" w:eastAsia="微软雅黑" w:cs="微软雅黑"/>
          <w:color w:val="auto"/>
          <w:sz w:val="24"/>
          <w:szCs w:val="24"/>
          <w:highlight w:val="none"/>
          <w:lang w:val="en-US" w:eastAsia="zh-CN"/>
        </w:rPr>
        <w:t>）验收方式：1.采购人组织验收。</w:t>
      </w:r>
    </w:p>
    <w:p w14:paraId="23FC3990">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2.验收标准：</w:t>
      </w:r>
    </w:p>
    <w:p w14:paraId="20BC2B5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2.1.货物到达现场后，供应商应经采购人或其指定验收单位清点品名、规格、数量；检查外观，作出验收记录，双方签字确认。</w:t>
      </w:r>
    </w:p>
    <w:p w14:paraId="51E873C7">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2.2.供应商应保证货物到达采购人所在地完好无损，如有缺漏、损坏，由供应商负责调换、补齐或赔偿。</w:t>
      </w:r>
    </w:p>
    <w:p w14:paraId="38C5254A">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2.3.供应商应提供完备的技术资料、装箱单和合格证等，并派遣专业技术人员进行现场安装调试。验收合格条件如下：</w:t>
      </w:r>
    </w:p>
    <w:p w14:paraId="74C1A71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2.3.1设备品种、规格、数量、技术参数以及商品品牌、制造商等与采购合同一致，性能指标达到规定的标准。</w:t>
      </w:r>
    </w:p>
    <w:p w14:paraId="481E8971">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2.3.2货物技术资料、装箱单、合格证等资料齐全。</w:t>
      </w:r>
    </w:p>
    <w:p w14:paraId="0E398EE0">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2.3.3在规定时间内完成交货并验收，并经采购人确认。</w:t>
      </w:r>
    </w:p>
    <w:p w14:paraId="2E7E0AC5">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2.4.供应商提供的货物未达到询价规定要求，且对采购人造成损失的，由供应商承担一切责任，并赔偿所造成的损失。</w:t>
      </w:r>
    </w:p>
    <w:p w14:paraId="0DEA2C5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val="en-US" w:eastAsia="zh-CN"/>
        </w:rPr>
        <w:t>3.产品包装材料归采购人所有。本项目的商品包装和快递包装，须满足《关于印发&lt;商品包装政府采购需求标准（试行）&gt;、&lt;快递包装政府采购需求标准（试行）&gt;的通知》（财办库〔2020〕123号）文件规定。</w:t>
      </w:r>
    </w:p>
    <w:p w14:paraId="2AF973BF">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0" w:name="_Toc6235"/>
      <w:r>
        <w:rPr>
          <w:rFonts w:hint="eastAsia" w:ascii="微软雅黑" w:hAnsi="微软雅黑" w:eastAsia="微软雅黑" w:cs="微软雅黑"/>
          <w:color w:val="auto"/>
          <w:sz w:val="24"/>
          <w:szCs w:val="24"/>
          <w:highlight w:val="none"/>
          <w:lang w:val="zh-TW" w:eastAsia="zh-TW"/>
        </w:rPr>
        <w:t>二、报价要求</w:t>
      </w:r>
      <w:bookmarkEnd w:id="60"/>
    </w:p>
    <w:p w14:paraId="1E3805D9">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default" w:ascii="微软雅黑" w:hAnsi="微软雅黑" w:eastAsia="微软雅黑" w:cs="微软雅黑"/>
          <w:color w:val="auto"/>
          <w:sz w:val="24"/>
          <w:szCs w:val="24"/>
          <w:highlight w:val="none"/>
          <w:lang w:val="en-US" w:eastAsia="zh-CN"/>
        </w:rPr>
        <w:t>本次报价为人民币报价，包括完成本项目所需的服务费、人工费及提供服务所需的设备或货物购买（制造）费、辅材费、运输费、装卸费、安装调试费、培训费等一切费用及各种应纳的税费等。因成交供应商自身原因造成漏报、少报皆由其自行承担责任，采购人不再补偿。</w:t>
      </w:r>
    </w:p>
    <w:p w14:paraId="13F74354">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1" w:name="_Toc10265"/>
      <w:r>
        <w:rPr>
          <w:rFonts w:hint="eastAsia" w:ascii="微软雅黑" w:hAnsi="微软雅黑" w:eastAsia="微软雅黑" w:cs="微软雅黑"/>
          <w:color w:val="auto"/>
          <w:sz w:val="24"/>
          <w:szCs w:val="24"/>
          <w:highlight w:val="none"/>
          <w:lang w:val="zh-TW" w:eastAsia="zh-TW"/>
        </w:rPr>
        <w:t>三、质量保证及售后服务</w:t>
      </w:r>
      <w:bookmarkEnd w:id="61"/>
    </w:p>
    <w:p w14:paraId="096BE6F6">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（一）产品质量保证期：自验收合格之日起1年。</w:t>
      </w:r>
    </w:p>
    <w:p w14:paraId="7F9961F3">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（二）供应商服务中涉及到的货物和产品属于国家规定“三包”范围的，其产品质量保证期不得低于“三包”规定。</w:t>
      </w:r>
    </w:p>
    <w:p w14:paraId="57514D0B">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（三）供应商的质量保证期承诺优于国家“三包”规定和强制标准的，按投标人实际承诺执行。</w:t>
      </w:r>
    </w:p>
    <w:p w14:paraId="40953432">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（四）售后服务内容</w:t>
      </w:r>
    </w:p>
    <w:p w14:paraId="7D37F39F">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1.质量保证期内服务要求</w:t>
      </w:r>
    </w:p>
    <w:p w14:paraId="7CF2020C">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（1）电话咨询</w:t>
      </w:r>
    </w:p>
    <w:p w14:paraId="0C596397">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成交供应商应当为采购人提供技术援助电话，解答采购人在使用中遇到的问题，及时为采购人提出解决问题的建议。</w:t>
      </w:r>
    </w:p>
    <w:p w14:paraId="19EAD125">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（2）现场响应</w:t>
      </w:r>
    </w:p>
    <w:p w14:paraId="2C62DB20">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采购人遇到使用及技术问题，电话咨询不能解决的，成交供应商应在4小时内采取相应响应措施；无法在4小时内解决的，应在8小时内派出专业人员进行技术支持。</w:t>
      </w:r>
    </w:p>
    <w:p w14:paraId="03A4C0D8">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（3）技术升级</w:t>
      </w:r>
    </w:p>
    <w:p w14:paraId="55929EA9">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在质保期内，如果成交供应商的产品技术升级，成交供应商应及时通知采购人；如采购人有相应要求，成交供应商应对采购人进行升级服务。</w:t>
      </w:r>
    </w:p>
    <w:p w14:paraId="5726F938">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2.质保期外服务要求</w:t>
      </w:r>
    </w:p>
    <w:p w14:paraId="34A9943F">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（1）质量保证期过后，成交供应商应同样提供免费电话咨询服务，并应承诺提供产品上门维护服务。</w:t>
      </w:r>
    </w:p>
    <w:p w14:paraId="193767E6">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（2）质量保证期过后，采购人需要继续由原成交供应商提供售后服务的，成交供应商应以优惠价格提供售后服务。</w:t>
      </w:r>
    </w:p>
    <w:p w14:paraId="069F99B1">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（五）维修配件</w:t>
      </w:r>
    </w:p>
    <w:p w14:paraId="6456DCB8">
      <w:pPr>
        <w:snapToGrid w:val="0"/>
        <w:spacing w:line="400" w:lineRule="exact"/>
        <w:ind w:firstLine="540"/>
        <w:rPr>
          <w:rFonts w:hint="eastAsia" w:ascii="微软雅黑" w:hAnsi="微软雅黑" w:eastAsia="微软雅黑" w:cs="微软雅黑"/>
          <w:color w:val="auto"/>
          <w:sz w:val="24"/>
          <w:szCs w:val="24"/>
          <w:highlight w:val="none"/>
          <w:lang w:val="zh-TW" w:eastAsia="zh-TW"/>
        </w:rPr>
      </w:pPr>
      <w:r>
        <w:rPr>
          <w:rFonts w:hint="eastAsia" w:ascii="微软雅黑" w:hAnsi="微软雅黑" w:eastAsia="微软雅黑" w:cs="微软雅黑"/>
          <w:color w:val="auto"/>
          <w:sz w:val="24"/>
          <w:szCs w:val="24"/>
          <w:highlight w:val="none"/>
        </w:rPr>
        <w:t>成交供应商或厂家应提供备品备件，保证采购人应急所需。使用的维修零配件应为原厂配件，未经采购人同意不得使用非原厂配件。</w:t>
      </w:r>
    </w:p>
    <w:p w14:paraId="08675801">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2" w:name="_Toc12720"/>
      <w:r>
        <w:rPr>
          <w:rFonts w:hint="eastAsia" w:ascii="微软雅黑" w:hAnsi="微软雅黑" w:eastAsia="微软雅黑" w:cs="微软雅黑"/>
          <w:color w:val="auto"/>
          <w:sz w:val="24"/>
          <w:szCs w:val="24"/>
          <w:highlight w:val="none"/>
          <w:lang w:val="en-US" w:eastAsia="zh-CN"/>
        </w:rPr>
        <w:t>四、</w:t>
      </w:r>
      <w:r>
        <w:rPr>
          <w:rFonts w:hint="eastAsia" w:ascii="微软雅黑" w:hAnsi="微软雅黑" w:eastAsia="微软雅黑" w:cs="微软雅黑"/>
          <w:color w:val="auto"/>
          <w:sz w:val="24"/>
          <w:szCs w:val="24"/>
          <w:highlight w:val="none"/>
          <w:lang w:val="zh-TW" w:eastAsia="zh-TW"/>
        </w:rPr>
        <w:t>付款方式</w:t>
      </w:r>
      <w:bookmarkEnd w:id="62"/>
    </w:p>
    <w:p w14:paraId="0EE90EF8">
      <w:pPr>
        <w:snapToGrid w:val="0"/>
        <w:spacing w:line="400" w:lineRule="exact"/>
        <w:ind w:firstLine="480" w:firstLineChars="200"/>
        <w:rPr>
          <w:rFonts w:hint="default"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成交供应商送货完成并验收合格后支付合同金额的97% ，剩余3%待质保期满后无息支付。</w:t>
      </w:r>
    </w:p>
    <w:p w14:paraId="0F82EEFA">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3" w:name="_Toc6886"/>
      <w:r>
        <w:rPr>
          <w:rFonts w:hint="eastAsia" w:ascii="微软雅黑" w:hAnsi="微软雅黑" w:eastAsia="微软雅黑" w:cs="微软雅黑"/>
          <w:color w:val="auto"/>
          <w:sz w:val="24"/>
          <w:szCs w:val="24"/>
          <w:highlight w:val="none"/>
          <w:lang w:val="en-US" w:eastAsia="zh-CN"/>
        </w:rPr>
        <w:t>五</w:t>
      </w:r>
      <w:r>
        <w:rPr>
          <w:rFonts w:hint="eastAsia" w:ascii="微软雅黑" w:hAnsi="微软雅黑" w:eastAsia="微软雅黑" w:cs="微软雅黑"/>
          <w:color w:val="auto"/>
          <w:sz w:val="24"/>
          <w:szCs w:val="24"/>
          <w:highlight w:val="none"/>
          <w:lang w:val="zh-TW" w:eastAsia="zh-TW"/>
        </w:rPr>
        <w:t>、知识产权</w:t>
      </w:r>
      <w:bookmarkEnd w:id="63"/>
    </w:p>
    <w:p w14:paraId="2D16A5D8">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14:paraId="58E50BB6">
      <w:pPr>
        <w:pStyle w:val="4"/>
        <w:keepNext w:val="0"/>
        <w:keepLines w:val="0"/>
        <w:spacing w:before="0" w:after="0" w:line="480" w:lineRule="exact"/>
        <w:outlineLvl w:val="0"/>
        <w:rPr>
          <w:rFonts w:hint="eastAsia" w:ascii="微软雅黑" w:hAnsi="微软雅黑" w:eastAsia="微软雅黑" w:cs="微软雅黑"/>
          <w:color w:val="auto"/>
          <w:sz w:val="24"/>
          <w:szCs w:val="24"/>
          <w:highlight w:val="none"/>
          <w:lang w:val="zh-TW" w:eastAsia="zh-TW"/>
        </w:rPr>
      </w:pPr>
      <w:bookmarkStart w:id="64" w:name="_Toc344475124"/>
      <w:bookmarkStart w:id="65" w:name="_Toc31870"/>
      <w:bookmarkStart w:id="66" w:name="_Toc31746"/>
      <w:bookmarkStart w:id="67" w:name="_Toc12447"/>
      <w:bookmarkStart w:id="68" w:name="_Toc22801"/>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lang w:val="zh-TW" w:eastAsia="zh-TW"/>
        </w:rPr>
        <w:t>、</w:t>
      </w:r>
      <w:bookmarkEnd w:id="64"/>
      <w:bookmarkStart w:id="69" w:name="_Toc344475125"/>
      <w:r>
        <w:rPr>
          <w:rFonts w:hint="eastAsia" w:ascii="微软雅黑" w:hAnsi="微软雅黑" w:eastAsia="微软雅黑" w:cs="微软雅黑"/>
          <w:color w:val="auto"/>
          <w:sz w:val="24"/>
          <w:szCs w:val="24"/>
          <w:highlight w:val="none"/>
          <w:lang w:val="zh-TW" w:eastAsia="zh-TW"/>
        </w:rPr>
        <w:t>其他</w:t>
      </w:r>
      <w:bookmarkEnd w:id="65"/>
      <w:bookmarkEnd w:id="66"/>
      <w:bookmarkEnd w:id="67"/>
      <w:bookmarkEnd w:id="68"/>
    </w:p>
    <w:bookmarkEnd w:id="69"/>
    <w:p w14:paraId="65FF2074">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（一）供应商必须在响应文件中对以上条款和服务承诺明确列出，承诺内容必须达到本篇及竞争性磋商文件其他条款的要求。</w:t>
      </w:r>
    </w:p>
    <w:p w14:paraId="6055C1AC">
      <w:pPr>
        <w:snapToGrid w:val="0"/>
        <w:spacing w:line="400" w:lineRule="exact"/>
        <w:ind w:firstLine="54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（二）其他未尽事宜由供需双方在采购合同中详细约定。</w:t>
      </w:r>
    </w:p>
    <w:p w14:paraId="218DD13E">
      <w:pPr>
        <w:pStyle w:val="30"/>
        <w:widowControl w:val="0"/>
        <w:ind w:firstLine="780"/>
        <w:jc w:val="center"/>
        <w:outlineLvl w:val="0"/>
        <w:rPr>
          <w:rFonts w:hint="eastAsia" w:ascii="微软雅黑" w:hAnsi="微软雅黑" w:eastAsia="微软雅黑" w:cs="微软雅黑"/>
          <w:b/>
          <w:color w:val="auto"/>
          <w:kern w:val="2"/>
          <w:sz w:val="36"/>
          <w:szCs w:val="30"/>
          <w:highlight w:val="none"/>
        </w:rPr>
      </w:pPr>
      <w:r>
        <w:rPr>
          <w:rFonts w:hint="eastAsia" w:ascii="微软雅黑" w:hAnsi="微软雅黑" w:eastAsia="微软雅黑" w:cs="微软雅黑"/>
          <w:color w:val="auto"/>
          <w:sz w:val="24"/>
          <w:szCs w:val="24"/>
          <w:highlight w:val="none"/>
        </w:rPr>
        <w:br w:type="page"/>
      </w:r>
      <w:bookmarkStart w:id="70" w:name="_Toc13927"/>
      <w:bookmarkStart w:id="71" w:name="_Toc76462337"/>
      <w:bookmarkStart w:id="72" w:name="_Toc106030892"/>
      <w:bookmarkStart w:id="73" w:name="_Toc102227313"/>
      <w:r>
        <w:rPr>
          <w:rFonts w:hint="eastAsia" w:ascii="微软雅黑" w:hAnsi="微软雅黑" w:eastAsia="微软雅黑" w:cs="微软雅黑"/>
          <w:b/>
          <w:color w:val="auto"/>
          <w:kern w:val="2"/>
          <w:sz w:val="36"/>
          <w:szCs w:val="30"/>
          <w:highlight w:val="none"/>
        </w:rPr>
        <w:t>第</w:t>
      </w:r>
      <w:r>
        <w:rPr>
          <w:rFonts w:hint="eastAsia" w:ascii="微软雅黑" w:hAnsi="微软雅黑" w:eastAsia="微软雅黑" w:cs="微软雅黑"/>
          <w:b/>
          <w:color w:val="auto"/>
          <w:kern w:val="2"/>
          <w:sz w:val="36"/>
          <w:szCs w:val="30"/>
          <w:highlight w:val="none"/>
          <w:lang w:val="en-US" w:eastAsia="zh-CN"/>
        </w:rPr>
        <w:t>四</w:t>
      </w:r>
      <w:r>
        <w:rPr>
          <w:rFonts w:hint="eastAsia" w:ascii="微软雅黑" w:hAnsi="微软雅黑" w:eastAsia="微软雅黑" w:cs="微软雅黑"/>
          <w:b/>
          <w:color w:val="auto"/>
          <w:kern w:val="2"/>
          <w:sz w:val="36"/>
          <w:szCs w:val="30"/>
          <w:highlight w:val="none"/>
        </w:rPr>
        <w:t>篇  供应商须知</w:t>
      </w:r>
      <w:bookmarkEnd w:id="70"/>
      <w:bookmarkEnd w:id="71"/>
      <w:bookmarkEnd w:id="72"/>
      <w:bookmarkEnd w:id="73"/>
    </w:p>
    <w:p w14:paraId="1E5B1C9D">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74" w:name="_Toc106030893"/>
      <w:bookmarkStart w:id="75" w:name="_Toc76462338"/>
      <w:bookmarkStart w:id="76" w:name="_Toc342913389"/>
      <w:bookmarkStart w:id="77" w:name="_Toc4662"/>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费用</w:t>
      </w:r>
      <w:bookmarkEnd w:id="74"/>
      <w:bookmarkEnd w:id="75"/>
      <w:bookmarkEnd w:id="76"/>
      <w:bookmarkEnd w:id="77"/>
    </w:p>
    <w:p w14:paraId="5E621A4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参与</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的供应商应承担其编制响应文件与递交响应文件所涉及的一切费用，不论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结果如何，采购人和采购代理机构在任何情况下无义务也无责任承担这些费用。</w:t>
      </w:r>
    </w:p>
    <w:p w14:paraId="7EA3D3DB">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78" w:name="_Toc106030894"/>
      <w:bookmarkStart w:id="79" w:name="_Toc12607"/>
      <w:bookmarkStart w:id="80" w:name="_Toc76462339"/>
      <w:bookmarkStart w:id="81" w:name="_Toc342913391"/>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w:t>
      </w:r>
      <w:bookmarkEnd w:id="78"/>
      <w:bookmarkEnd w:id="79"/>
      <w:bookmarkEnd w:id="80"/>
      <w:bookmarkEnd w:id="81"/>
    </w:p>
    <w:p w14:paraId="65FF91A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文件由采购邀请书、项目服务需求、供应商须知、项目商务需求、</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程序及评审标准、政府采购合同、响应文件编制要求七部分组成。</w:t>
      </w:r>
    </w:p>
    <w:p w14:paraId="18768C3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（二）采购人（或采购代理机构）所作的一切有效的书面通知、修改及补充，都是</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文件不可分割的部分。</w:t>
      </w:r>
    </w:p>
    <w:p w14:paraId="3BB188E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文件的解释</w:t>
      </w:r>
    </w:p>
    <w:p w14:paraId="757A6A8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供应商如对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有疑问，必须以书面形式在提交响应文件截止时间2个工作日前向采购人（或采购代理机构）要求澄清，采购人（或采购代理机构）可视具体情况做出处理或答复。如供应商未提出疑问，视为完全理解并同意本</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文件。一经进入评审程序，即视为供应商已详细阅读全部文件资料，完全理解</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文件所有条款内容并同意放弃对这方面有不明白及误解的权利。</w:t>
      </w:r>
      <w:bookmarkStart w:id="82" w:name="_Toc318166429"/>
      <w:bookmarkStart w:id="83" w:name="_Toc318159780"/>
      <w:bookmarkStart w:id="84" w:name="_Toc318159349"/>
      <w:bookmarkStart w:id="85" w:name="_Toc318159160"/>
    </w:p>
    <w:p w14:paraId="3FC47E2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（四）评审的依据为</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文件和响应文件（含有效的书面承诺）。评审小组判断响应文件对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文件的响应，仅基于响应文件本身而不靠外部证据。</w:t>
      </w:r>
    </w:p>
    <w:bookmarkEnd w:id="82"/>
    <w:bookmarkEnd w:id="83"/>
    <w:bookmarkEnd w:id="84"/>
    <w:bookmarkEnd w:id="85"/>
    <w:p w14:paraId="2429FE55">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86" w:name="_Toc627"/>
      <w:bookmarkStart w:id="87" w:name="_Toc76462340"/>
      <w:bookmarkStart w:id="88" w:name="_Toc179714297"/>
      <w:bookmarkStart w:id="89" w:name="_Toc102227318"/>
      <w:bookmarkStart w:id="90" w:name="_Toc342913392"/>
      <w:bookmarkStart w:id="91" w:name="_Toc106030895"/>
      <w:r>
        <w:rPr>
          <w:rFonts w:hint="eastAsia" w:ascii="微软雅黑" w:hAnsi="微软雅黑" w:eastAsia="微软雅黑" w:cs="微软雅黑"/>
          <w:color w:val="auto"/>
          <w:sz w:val="24"/>
          <w:szCs w:val="24"/>
          <w:highlight w:val="none"/>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要求</w:t>
      </w:r>
      <w:bookmarkEnd w:id="86"/>
      <w:bookmarkEnd w:id="87"/>
      <w:bookmarkEnd w:id="88"/>
      <w:bookmarkEnd w:id="89"/>
      <w:bookmarkEnd w:id="90"/>
      <w:bookmarkEnd w:id="91"/>
    </w:p>
    <w:p w14:paraId="36D89C8B">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（一）响应文件</w:t>
      </w:r>
    </w:p>
    <w:p w14:paraId="0772DDDF">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1.供应商应当按照</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文件的要求编制响应文件，并对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文件提出的要求和条件作出实质性响应。</w:t>
      </w:r>
    </w:p>
    <w:p w14:paraId="103C2B0C">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2.响应文件组成</w:t>
      </w:r>
    </w:p>
    <w:p w14:paraId="3F16776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响应文件由“第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篇响应文件编制要求”规定的部分和供应商所作的一切有效补充、修改和承诺等文件组成，供应商应按照“第</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篇响应文件编制要求”规定的目录顺序组织编写</w:t>
      </w:r>
      <w:r>
        <w:rPr>
          <w:rFonts w:hint="eastAsia" w:ascii="微软雅黑" w:hAnsi="微软雅黑" w:eastAsia="微软雅黑" w:cs="微软雅黑"/>
          <w:color w:val="auto"/>
          <w:sz w:val="24"/>
          <w:szCs w:val="24"/>
          <w:highlight w:val="none"/>
          <w:lang w:val="en-US" w:eastAsia="zh-CN"/>
        </w:rPr>
        <w:t>和</w:t>
      </w:r>
      <w:r>
        <w:rPr>
          <w:rFonts w:hint="eastAsia" w:ascii="微软雅黑" w:hAnsi="微软雅黑" w:eastAsia="微软雅黑" w:cs="微软雅黑"/>
          <w:color w:val="auto"/>
          <w:sz w:val="24"/>
          <w:szCs w:val="24"/>
          <w:highlight w:val="none"/>
        </w:rPr>
        <w:t>装订，也可在基本格式基础上对表格进行扩展，未规定格式的由供应商自定格式。</w:t>
      </w:r>
    </w:p>
    <w:p w14:paraId="6295D44C">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（二）联合体</w:t>
      </w:r>
    </w:p>
    <w:p w14:paraId="6B653CE2">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本项目不接受联合体。</w:t>
      </w:r>
    </w:p>
    <w:p w14:paraId="54E10A70">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lang w:eastAsia="zh-CN"/>
        </w:rPr>
        <w:t>（</w:t>
      </w:r>
      <w:r>
        <w:rPr>
          <w:rFonts w:hint="eastAsia" w:ascii="微软雅黑" w:hAnsi="微软雅黑" w:eastAsia="微软雅黑" w:cs="微软雅黑"/>
          <w:color w:val="auto"/>
          <w:sz w:val="24"/>
          <w:szCs w:val="24"/>
          <w:highlight w:val="none"/>
          <w:lang w:val="en-US" w:eastAsia="zh-CN"/>
        </w:rPr>
        <w:t>三</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有效期：响应文件及有关承诺文件有效期为提交响应文件截止时间起90天。</w:t>
      </w:r>
    </w:p>
    <w:p w14:paraId="52FDB1D3">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四</w:t>
      </w:r>
      <w:r>
        <w:rPr>
          <w:rFonts w:hint="eastAsia" w:ascii="微软雅黑" w:hAnsi="微软雅黑" w:eastAsia="微软雅黑" w:cs="微软雅黑"/>
          <w:color w:val="auto"/>
          <w:sz w:val="24"/>
          <w:szCs w:val="24"/>
          <w:highlight w:val="none"/>
        </w:rPr>
        <w:t>）修正错误</w:t>
      </w:r>
    </w:p>
    <w:p w14:paraId="7E5731E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1.若供应商所递交的响应文件或最后报价中的价格出现大写金额和小写金额不一致的错误，以大写金额修正为准。</w:t>
      </w:r>
    </w:p>
    <w:p w14:paraId="767BED5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小组按上述修正错误的原则及方法修正供应商的报价，供应商同意并签字确认后，修正后的报价对供应商具有约束作用。如果供应商不接受修正后的价格，将失去成为成交供应商的资格。</w:t>
      </w:r>
    </w:p>
    <w:p w14:paraId="715ABEC3">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五</w:t>
      </w:r>
      <w:r>
        <w:rPr>
          <w:rFonts w:hint="eastAsia" w:ascii="微软雅黑" w:hAnsi="微软雅黑" w:eastAsia="微软雅黑" w:cs="微软雅黑"/>
          <w:color w:val="auto"/>
          <w:sz w:val="24"/>
          <w:szCs w:val="24"/>
          <w:highlight w:val="none"/>
        </w:rPr>
        <w:t>）提交响应文件的份数和签署</w:t>
      </w:r>
    </w:p>
    <w:p w14:paraId="0C020B4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1.供应商须在平台报价并上传盖章后的响应文件电子文档一份，线下竞采时提供响应文件一式</w:t>
      </w:r>
      <w:r>
        <w:rPr>
          <w:rFonts w:hint="eastAsia" w:ascii="微软雅黑" w:hAnsi="微软雅黑" w:eastAsia="微软雅黑" w:cs="微软雅黑"/>
          <w:color w:val="auto"/>
          <w:sz w:val="24"/>
          <w:szCs w:val="24"/>
          <w:highlight w:val="none"/>
          <w:lang w:val="en-US" w:eastAsia="zh-CN"/>
        </w:rPr>
        <w:t>二</w:t>
      </w:r>
      <w:r>
        <w:rPr>
          <w:rFonts w:hint="eastAsia" w:ascii="微软雅黑" w:hAnsi="微软雅黑" w:eastAsia="微软雅黑" w:cs="微软雅黑"/>
          <w:color w:val="auto"/>
          <w:sz w:val="24"/>
          <w:szCs w:val="24"/>
          <w:highlight w:val="none"/>
        </w:rPr>
        <w:t>份，其中正本一份，副本</w:t>
      </w:r>
      <w:r>
        <w:rPr>
          <w:rFonts w:hint="eastAsia" w:ascii="微软雅黑" w:hAnsi="微软雅黑" w:eastAsia="微软雅黑" w:cs="微软雅黑"/>
          <w:color w:val="auto"/>
          <w:sz w:val="24"/>
          <w:szCs w:val="24"/>
          <w:highlight w:val="none"/>
          <w:lang w:val="en-US" w:eastAsia="zh-CN"/>
        </w:rPr>
        <w:t>一</w:t>
      </w:r>
      <w:r>
        <w:rPr>
          <w:rFonts w:hint="eastAsia" w:ascii="微软雅黑" w:hAnsi="微软雅黑" w:eastAsia="微软雅黑" w:cs="微软雅黑"/>
          <w:color w:val="auto"/>
          <w:sz w:val="24"/>
          <w:szCs w:val="24"/>
          <w:highlight w:val="none"/>
        </w:rPr>
        <w:t>份（网上电子文档内容应与纸质文件正本、副本一致，如不一致以纸质文件正本为准，副本可为正本的复印件。）</w:t>
      </w:r>
    </w:p>
    <w:p w14:paraId="7448E63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2.在网上电子文档及响应文件正本中，网上竞采文件第七篇响应文件编制要求中规定签字、盖章的地方必须按其规定签字、盖章。</w:t>
      </w:r>
    </w:p>
    <w:p w14:paraId="2236F312">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w:t>
      </w:r>
      <w:r>
        <w:rPr>
          <w:rFonts w:hint="eastAsia" w:ascii="微软雅黑" w:hAnsi="微软雅黑" w:eastAsia="微软雅黑" w:cs="微软雅黑"/>
          <w:color w:val="auto"/>
          <w:sz w:val="24"/>
          <w:szCs w:val="24"/>
          <w:highlight w:val="none"/>
          <w:lang w:val="en-US" w:eastAsia="zh-CN"/>
        </w:rPr>
        <w:t>六</w:t>
      </w:r>
      <w:r>
        <w:rPr>
          <w:rFonts w:hint="eastAsia" w:ascii="微软雅黑" w:hAnsi="微软雅黑" w:eastAsia="微软雅黑" w:cs="微软雅黑"/>
          <w:color w:val="auto"/>
          <w:sz w:val="24"/>
          <w:szCs w:val="24"/>
          <w:highlight w:val="none"/>
        </w:rPr>
        <w:t>）响应文件的递交</w:t>
      </w:r>
    </w:p>
    <w:p w14:paraId="1504643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1.响应文件的密封与标记</w:t>
      </w:r>
    </w:p>
    <w:p w14:paraId="5F95532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1.1响应文件的正本、副本均应密封送达线下</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地点，应在封套上注明项目名称、供应商名称。若正本、副本分别进行密封的，还应在封套上注明“正本”、“副本”字样。</w:t>
      </w:r>
    </w:p>
    <w:p w14:paraId="2601458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1.2封套的封口处应加盖供应商公章或由法定代表人授权代表签字。</w:t>
      </w:r>
    </w:p>
    <w:p w14:paraId="3B3F492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2.如果未按上述规定进行密封和标记，代理机构对响应文件误投、丢失或提前拆封不负责任。</w:t>
      </w:r>
    </w:p>
    <w:p w14:paraId="02BA00A9">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92" w:name="_Toc29402"/>
      <w:bookmarkStart w:id="93" w:name="_Toc76462341"/>
      <w:bookmarkStart w:id="94" w:name="_Toc106030896"/>
      <w:r>
        <w:rPr>
          <w:rFonts w:hint="eastAsia" w:ascii="微软雅黑" w:hAnsi="微软雅黑" w:eastAsia="微软雅黑" w:cs="微软雅黑"/>
          <w:color w:val="auto"/>
          <w:sz w:val="24"/>
          <w:szCs w:val="24"/>
          <w:highlight w:val="none"/>
          <w:lang w:val="en-US" w:eastAsia="zh-CN"/>
        </w:rPr>
        <w:t>四、询价程序</w:t>
      </w:r>
      <w:bookmarkEnd w:id="92"/>
    </w:p>
    <w:p w14:paraId="4909266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（一）询价按询价采购文件规定的时间和地点进行。供应商须有法定代表人或其授权代表参加并签到。</w:t>
      </w:r>
    </w:p>
    <w:p w14:paraId="7D710F3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（二）由本项目询价小组对各供应商的资格条件、响应文件的有效性、完整性和响应程度进行审查，各供应商只有在完全符合询价要求的前提下，才能参与正式询价，审查的内容如下： </w:t>
      </w:r>
    </w:p>
    <w:p w14:paraId="556F6A1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1.资格性检查。依据法律法规和询价采购文件的规定，对响应文件中的资格证明等进行审查，以确定供应商是否具备询价资格。资格性检查资料表如下：</w:t>
      </w:r>
    </w:p>
    <w:tbl>
      <w:tblPr>
        <w:tblStyle w:val="26"/>
        <w:tblW w:w="96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709"/>
        <w:gridCol w:w="3685"/>
        <w:gridCol w:w="4558"/>
      </w:tblGrid>
      <w:tr w14:paraId="1AA6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noWrap/>
            <w:vAlign w:val="center"/>
          </w:tcPr>
          <w:p w14:paraId="14939E66">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4394" w:type="dxa"/>
            <w:gridSpan w:val="2"/>
            <w:noWrap/>
            <w:vAlign w:val="center"/>
          </w:tcPr>
          <w:p w14:paraId="6BADC769">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检查因素</w:t>
            </w:r>
          </w:p>
        </w:tc>
        <w:tc>
          <w:tcPr>
            <w:tcW w:w="4558" w:type="dxa"/>
            <w:noWrap/>
            <w:vAlign w:val="center"/>
          </w:tcPr>
          <w:p w14:paraId="1238BCE8">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检查内容</w:t>
            </w:r>
          </w:p>
        </w:tc>
      </w:tr>
      <w:tr w14:paraId="4B073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restart"/>
            <w:noWrap/>
            <w:vAlign w:val="center"/>
          </w:tcPr>
          <w:p w14:paraId="12FA7310">
            <w:pPr>
              <w:spacing w:line="400" w:lineRule="exact"/>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709" w:type="dxa"/>
            <w:vMerge w:val="restart"/>
            <w:noWrap/>
            <w:vAlign w:val="center"/>
          </w:tcPr>
          <w:p w14:paraId="559E17FD">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《中华人民共和国政府采购法》第二十二条规定</w:t>
            </w:r>
          </w:p>
        </w:tc>
        <w:tc>
          <w:tcPr>
            <w:tcW w:w="3685" w:type="dxa"/>
            <w:noWrap/>
            <w:vAlign w:val="center"/>
          </w:tcPr>
          <w:p w14:paraId="67EC9B6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（1）具有独立承担民事责任的能力</w:t>
            </w:r>
          </w:p>
        </w:tc>
        <w:tc>
          <w:tcPr>
            <w:tcW w:w="4558" w:type="dxa"/>
            <w:noWrap/>
            <w:vAlign w:val="center"/>
          </w:tcPr>
          <w:p w14:paraId="79484E41">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 xml:space="preserve">1.供应商法人营业执照（副本）或事业单位法人证书（副本）或个体工商户营业执照或有效的自然人身份证明或社会团体法人登记证书（提供复印件）。 </w:t>
            </w:r>
          </w:p>
          <w:p w14:paraId="167E9DF6">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2.供应商法定代表人身份证明和法定代表人授权代表委托书。</w:t>
            </w:r>
          </w:p>
        </w:tc>
      </w:tr>
      <w:tr w14:paraId="0E44C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74EAB4FA">
            <w:pPr>
              <w:spacing w:line="400" w:lineRule="exact"/>
              <w:jc w:val="center"/>
              <w:rPr>
                <w:rFonts w:ascii="宋体" w:hAnsi="宋体" w:cs="宋体"/>
                <w:color w:val="auto"/>
                <w:sz w:val="24"/>
                <w:szCs w:val="24"/>
                <w:highlight w:val="none"/>
              </w:rPr>
            </w:pPr>
          </w:p>
        </w:tc>
        <w:tc>
          <w:tcPr>
            <w:tcW w:w="709" w:type="dxa"/>
            <w:vMerge w:val="continue"/>
            <w:noWrap/>
            <w:vAlign w:val="center"/>
          </w:tcPr>
          <w:p w14:paraId="24CFEDB3">
            <w:pPr>
              <w:spacing w:line="400" w:lineRule="exact"/>
              <w:rPr>
                <w:rFonts w:ascii="宋体" w:hAnsi="宋体" w:cs="宋体"/>
                <w:color w:val="auto"/>
                <w:sz w:val="24"/>
                <w:szCs w:val="24"/>
                <w:highlight w:val="none"/>
                <w:lang w:val="zh-CN"/>
              </w:rPr>
            </w:pPr>
          </w:p>
        </w:tc>
        <w:tc>
          <w:tcPr>
            <w:tcW w:w="3685" w:type="dxa"/>
            <w:noWrap/>
            <w:vAlign w:val="center"/>
          </w:tcPr>
          <w:p w14:paraId="44115C0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lang w:val="zh-CN"/>
              </w:rPr>
              <w:t>（2）</w:t>
            </w:r>
            <w:r>
              <w:rPr>
                <w:rFonts w:hint="eastAsia" w:ascii="宋体" w:hAnsi="宋体" w:cs="宋体"/>
                <w:color w:val="auto"/>
                <w:sz w:val="24"/>
                <w:szCs w:val="24"/>
                <w:highlight w:val="none"/>
              </w:rPr>
              <w:t>具有良好的商业信誉和健全的财务会计制度</w:t>
            </w:r>
          </w:p>
        </w:tc>
        <w:tc>
          <w:tcPr>
            <w:tcW w:w="4558" w:type="dxa"/>
            <w:vMerge w:val="restart"/>
            <w:noWrap/>
            <w:vAlign w:val="center"/>
          </w:tcPr>
          <w:p w14:paraId="713EB873">
            <w:pPr>
              <w:tabs>
                <w:tab w:val="left" w:pos="6300"/>
              </w:tabs>
              <w:snapToGrid w:val="0"/>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供应商提供“基本资格条件承诺函”（详见第七篇）。</w:t>
            </w:r>
          </w:p>
        </w:tc>
      </w:tr>
      <w:tr w14:paraId="16DB9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6" w:type="dxa"/>
            <w:vMerge w:val="continue"/>
            <w:noWrap/>
            <w:vAlign w:val="center"/>
          </w:tcPr>
          <w:p w14:paraId="1378B612">
            <w:pPr>
              <w:spacing w:line="400" w:lineRule="exact"/>
              <w:jc w:val="center"/>
              <w:rPr>
                <w:rFonts w:ascii="宋体" w:hAnsi="宋体" w:cs="宋体"/>
                <w:color w:val="auto"/>
                <w:sz w:val="24"/>
                <w:szCs w:val="24"/>
                <w:highlight w:val="none"/>
              </w:rPr>
            </w:pPr>
          </w:p>
        </w:tc>
        <w:tc>
          <w:tcPr>
            <w:tcW w:w="709" w:type="dxa"/>
            <w:vMerge w:val="continue"/>
            <w:noWrap/>
            <w:vAlign w:val="center"/>
          </w:tcPr>
          <w:p w14:paraId="20BD829B">
            <w:pPr>
              <w:spacing w:line="400" w:lineRule="exact"/>
              <w:rPr>
                <w:rFonts w:ascii="宋体" w:hAnsi="宋体" w:cs="宋体"/>
                <w:color w:val="auto"/>
                <w:sz w:val="24"/>
                <w:szCs w:val="24"/>
                <w:highlight w:val="none"/>
                <w:lang w:val="zh-CN"/>
              </w:rPr>
            </w:pPr>
          </w:p>
        </w:tc>
        <w:tc>
          <w:tcPr>
            <w:tcW w:w="3685" w:type="dxa"/>
            <w:noWrap/>
            <w:vAlign w:val="center"/>
          </w:tcPr>
          <w:p w14:paraId="1D232EB3">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（3）具有履行合同所必需的设备和专业技术能力</w:t>
            </w:r>
          </w:p>
        </w:tc>
        <w:tc>
          <w:tcPr>
            <w:tcW w:w="4558" w:type="dxa"/>
            <w:vMerge w:val="continue"/>
            <w:noWrap/>
            <w:vAlign w:val="center"/>
          </w:tcPr>
          <w:p w14:paraId="2AE88292">
            <w:pPr>
              <w:spacing w:line="400" w:lineRule="exact"/>
              <w:rPr>
                <w:rFonts w:ascii="宋体" w:hAnsi="宋体" w:cs="宋体"/>
                <w:color w:val="auto"/>
                <w:sz w:val="24"/>
                <w:szCs w:val="24"/>
                <w:highlight w:val="none"/>
              </w:rPr>
            </w:pPr>
          </w:p>
        </w:tc>
      </w:tr>
      <w:tr w14:paraId="37EAD7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jc w:val="center"/>
        </w:trPr>
        <w:tc>
          <w:tcPr>
            <w:tcW w:w="676" w:type="dxa"/>
            <w:vMerge w:val="continue"/>
            <w:noWrap/>
            <w:vAlign w:val="center"/>
          </w:tcPr>
          <w:p w14:paraId="7728C91A">
            <w:pPr>
              <w:spacing w:line="400" w:lineRule="exact"/>
              <w:jc w:val="center"/>
              <w:rPr>
                <w:rFonts w:ascii="宋体" w:hAnsi="宋体" w:cs="宋体"/>
                <w:color w:val="auto"/>
                <w:sz w:val="24"/>
                <w:szCs w:val="24"/>
                <w:highlight w:val="none"/>
              </w:rPr>
            </w:pPr>
          </w:p>
        </w:tc>
        <w:tc>
          <w:tcPr>
            <w:tcW w:w="709" w:type="dxa"/>
            <w:vMerge w:val="continue"/>
            <w:noWrap/>
            <w:vAlign w:val="center"/>
          </w:tcPr>
          <w:p w14:paraId="72328A9C">
            <w:pPr>
              <w:spacing w:line="400" w:lineRule="exact"/>
              <w:rPr>
                <w:rFonts w:ascii="宋体" w:hAnsi="宋体" w:cs="宋体"/>
                <w:color w:val="auto"/>
                <w:sz w:val="24"/>
                <w:szCs w:val="24"/>
                <w:highlight w:val="none"/>
                <w:lang w:val="zh-CN"/>
              </w:rPr>
            </w:pPr>
          </w:p>
        </w:tc>
        <w:tc>
          <w:tcPr>
            <w:tcW w:w="3685" w:type="dxa"/>
            <w:noWrap/>
            <w:vAlign w:val="center"/>
          </w:tcPr>
          <w:p w14:paraId="4324EB37">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lang w:val="zh-CN"/>
              </w:rPr>
              <w:t>（4）有依法缴纳税收和社会保障金的良好记录</w:t>
            </w:r>
          </w:p>
        </w:tc>
        <w:tc>
          <w:tcPr>
            <w:tcW w:w="4558" w:type="dxa"/>
            <w:vMerge w:val="continue"/>
            <w:noWrap/>
            <w:vAlign w:val="center"/>
          </w:tcPr>
          <w:p w14:paraId="15F6DE06">
            <w:pPr>
              <w:spacing w:line="400" w:lineRule="exact"/>
              <w:rPr>
                <w:rFonts w:ascii="宋体" w:hAnsi="宋体" w:cs="宋体"/>
                <w:color w:val="auto"/>
                <w:sz w:val="24"/>
                <w:szCs w:val="24"/>
                <w:highlight w:val="none"/>
              </w:rPr>
            </w:pPr>
          </w:p>
        </w:tc>
      </w:tr>
      <w:tr w14:paraId="1E4E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6" w:type="dxa"/>
            <w:vMerge w:val="continue"/>
            <w:noWrap/>
            <w:vAlign w:val="center"/>
          </w:tcPr>
          <w:p w14:paraId="7108ACC3">
            <w:pPr>
              <w:spacing w:line="400" w:lineRule="exact"/>
              <w:jc w:val="center"/>
              <w:rPr>
                <w:rFonts w:ascii="宋体" w:hAnsi="宋体" w:cs="宋体"/>
                <w:color w:val="auto"/>
                <w:sz w:val="24"/>
                <w:szCs w:val="24"/>
                <w:highlight w:val="none"/>
              </w:rPr>
            </w:pPr>
          </w:p>
        </w:tc>
        <w:tc>
          <w:tcPr>
            <w:tcW w:w="709" w:type="dxa"/>
            <w:vMerge w:val="continue"/>
            <w:noWrap/>
            <w:vAlign w:val="center"/>
          </w:tcPr>
          <w:p w14:paraId="501879BB">
            <w:pPr>
              <w:spacing w:line="400" w:lineRule="exact"/>
              <w:rPr>
                <w:rFonts w:ascii="宋体" w:hAnsi="宋体" w:cs="宋体"/>
                <w:color w:val="auto"/>
                <w:sz w:val="24"/>
                <w:szCs w:val="24"/>
                <w:highlight w:val="none"/>
                <w:lang w:val="zh-CN"/>
              </w:rPr>
            </w:pPr>
          </w:p>
        </w:tc>
        <w:tc>
          <w:tcPr>
            <w:tcW w:w="3685" w:type="dxa"/>
            <w:noWrap/>
            <w:vAlign w:val="center"/>
          </w:tcPr>
          <w:p w14:paraId="62C1073B">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（5）参加政府采购活动前三年内，在经营活动中没有重大违法记录（注①）</w:t>
            </w:r>
          </w:p>
        </w:tc>
        <w:tc>
          <w:tcPr>
            <w:tcW w:w="4558" w:type="dxa"/>
            <w:vMerge w:val="continue"/>
            <w:noWrap/>
            <w:vAlign w:val="center"/>
          </w:tcPr>
          <w:p w14:paraId="7BFB0F57">
            <w:pPr>
              <w:spacing w:line="400" w:lineRule="exact"/>
              <w:rPr>
                <w:rFonts w:ascii="宋体" w:hAnsi="宋体" w:cs="宋体"/>
                <w:color w:val="auto"/>
                <w:sz w:val="24"/>
                <w:szCs w:val="24"/>
                <w:highlight w:val="none"/>
              </w:rPr>
            </w:pPr>
          </w:p>
        </w:tc>
      </w:tr>
      <w:tr w14:paraId="57BBC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357EED5B">
            <w:pPr>
              <w:spacing w:line="400" w:lineRule="exact"/>
              <w:jc w:val="center"/>
              <w:rPr>
                <w:rFonts w:ascii="宋体" w:hAnsi="宋体" w:cs="宋体"/>
                <w:color w:val="auto"/>
                <w:sz w:val="24"/>
                <w:szCs w:val="24"/>
                <w:highlight w:val="none"/>
              </w:rPr>
            </w:pPr>
          </w:p>
        </w:tc>
        <w:tc>
          <w:tcPr>
            <w:tcW w:w="709" w:type="dxa"/>
            <w:vMerge w:val="continue"/>
            <w:noWrap/>
            <w:vAlign w:val="center"/>
          </w:tcPr>
          <w:p w14:paraId="519CAFE0">
            <w:pPr>
              <w:spacing w:line="400" w:lineRule="exact"/>
              <w:rPr>
                <w:rFonts w:ascii="宋体" w:hAnsi="宋体" w:cs="宋体"/>
                <w:color w:val="auto"/>
                <w:sz w:val="24"/>
                <w:szCs w:val="24"/>
                <w:highlight w:val="none"/>
                <w:lang w:val="zh-CN"/>
              </w:rPr>
            </w:pPr>
          </w:p>
        </w:tc>
        <w:tc>
          <w:tcPr>
            <w:tcW w:w="3685" w:type="dxa"/>
            <w:noWrap/>
            <w:vAlign w:val="center"/>
          </w:tcPr>
          <w:p w14:paraId="38FD21AC">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（6）法律、行政法规规定的其他条件</w:t>
            </w:r>
          </w:p>
        </w:tc>
        <w:tc>
          <w:tcPr>
            <w:tcW w:w="4558" w:type="dxa"/>
            <w:noWrap/>
            <w:vAlign w:val="center"/>
          </w:tcPr>
          <w:p w14:paraId="43124B47">
            <w:pPr>
              <w:spacing w:line="400" w:lineRule="exact"/>
              <w:jc w:val="left"/>
              <w:rPr>
                <w:rFonts w:ascii="宋体" w:hAnsi="宋体" w:cs="宋体"/>
                <w:color w:val="auto"/>
                <w:sz w:val="24"/>
                <w:szCs w:val="24"/>
                <w:highlight w:val="none"/>
              </w:rPr>
            </w:pPr>
            <w:r>
              <w:rPr>
                <w:rFonts w:hint="eastAsia" w:ascii="宋体" w:hAnsi="宋体" w:cs="宋体"/>
                <w:color w:val="auto"/>
                <w:sz w:val="24"/>
                <w:szCs w:val="24"/>
                <w:highlight w:val="none"/>
              </w:rPr>
              <w:t>/</w:t>
            </w:r>
          </w:p>
        </w:tc>
      </w:tr>
      <w:tr w14:paraId="1103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 w:hRule="atLeast"/>
          <w:jc w:val="center"/>
        </w:trPr>
        <w:tc>
          <w:tcPr>
            <w:tcW w:w="676" w:type="dxa"/>
            <w:vMerge w:val="continue"/>
            <w:noWrap/>
            <w:vAlign w:val="center"/>
          </w:tcPr>
          <w:p w14:paraId="17E826F4">
            <w:pPr>
              <w:spacing w:line="400" w:lineRule="exact"/>
              <w:jc w:val="center"/>
              <w:rPr>
                <w:rFonts w:ascii="宋体" w:hAnsi="宋体" w:cs="宋体"/>
                <w:color w:val="auto"/>
                <w:sz w:val="24"/>
                <w:szCs w:val="24"/>
                <w:highlight w:val="none"/>
              </w:rPr>
            </w:pPr>
          </w:p>
        </w:tc>
        <w:tc>
          <w:tcPr>
            <w:tcW w:w="709" w:type="dxa"/>
            <w:vMerge w:val="continue"/>
            <w:noWrap/>
            <w:vAlign w:val="center"/>
          </w:tcPr>
          <w:p w14:paraId="250EC3D7">
            <w:pPr>
              <w:spacing w:line="400" w:lineRule="exact"/>
              <w:rPr>
                <w:rFonts w:ascii="宋体" w:hAnsi="宋体" w:cs="宋体"/>
                <w:color w:val="auto"/>
                <w:sz w:val="24"/>
                <w:szCs w:val="24"/>
                <w:highlight w:val="none"/>
                <w:lang w:val="zh-CN"/>
              </w:rPr>
            </w:pPr>
          </w:p>
        </w:tc>
        <w:tc>
          <w:tcPr>
            <w:tcW w:w="3685" w:type="dxa"/>
            <w:noWrap/>
            <w:vAlign w:val="center"/>
          </w:tcPr>
          <w:p w14:paraId="1A0AA715">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（7）本项目的特定资格要求</w:t>
            </w:r>
          </w:p>
        </w:tc>
        <w:tc>
          <w:tcPr>
            <w:tcW w:w="4558" w:type="dxa"/>
            <w:noWrap/>
            <w:vAlign w:val="center"/>
          </w:tcPr>
          <w:p w14:paraId="70B924BE">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按询价采购文件要求提供证明材料（如果有）。</w:t>
            </w:r>
          </w:p>
        </w:tc>
      </w:tr>
    </w:tbl>
    <w:p w14:paraId="2CA3803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①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按照“财政部关于《中华人民共和国政府采购法实施条例》第十九条第一款“较大数额罚款”具体适用问题的意见（财库〔2022〕3号）”执行。</w:t>
      </w:r>
    </w:p>
    <w:p w14:paraId="6F6B336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2.符合性检查。依据询价采购文件的规定，询价小组从响应文件的有效性、完整性和对询价采购文件的响应程度进行审查，以确定是否对询价采购文件的实质性要求作出响应。符合性检查资料表如下：</w:t>
      </w:r>
    </w:p>
    <w:tbl>
      <w:tblPr>
        <w:tblStyle w:val="26"/>
        <w:tblW w:w="96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276"/>
        <w:gridCol w:w="2268"/>
        <w:gridCol w:w="5409"/>
      </w:tblGrid>
      <w:tr w14:paraId="6E73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675" w:type="dxa"/>
            <w:noWrap/>
            <w:vAlign w:val="center"/>
          </w:tcPr>
          <w:p w14:paraId="26A55D81">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序号</w:t>
            </w:r>
          </w:p>
        </w:tc>
        <w:tc>
          <w:tcPr>
            <w:tcW w:w="3544" w:type="dxa"/>
            <w:gridSpan w:val="2"/>
            <w:noWrap/>
            <w:vAlign w:val="center"/>
          </w:tcPr>
          <w:p w14:paraId="7EF9164B">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评审因素</w:t>
            </w:r>
          </w:p>
        </w:tc>
        <w:tc>
          <w:tcPr>
            <w:tcW w:w="5409" w:type="dxa"/>
            <w:noWrap/>
            <w:vAlign w:val="center"/>
          </w:tcPr>
          <w:p w14:paraId="1053D77B">
            <w:pPr>
              <w:spacing w:line="400" w:lineRule="exact"/>
              <w:jc w:val="center"/>
              <w:rPr>
                <w:rFonts w:ascii="宋体" w:hAnsi="宋体" w:cs="宋体"/>
                <w:b/>
                <w:color w:val="auto"/>
                <w:kern w:val="0"/>
                <w:sz w:val="24"/>
                <w:szCs w:val="24"/>
                <w:highlight w:val="none"/>
              </w:rPr>
            </w:pPr>
            <w:r>
              <w:rPr>
                <w:rFonts w:hint="eastAsia" w:ascii="宋体" w:hAnsi="宋体" w:cs="宋体"/>
                <w:b/>
                <w:color w:val="auto"/>
                <w:kern w:val="0"/>
                <w:sz w:val="24"/>
                <w:szCs w:val="24"/>
                <w:highlight w:val="none"/>
              </w:rPr>
              <w:t>评审标准</w:t>
            </w:r>
          </w:p>
        </w:tc>
      </w:tr>
      <w:tr w14:paraId="02CE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675" w:type="dxa"/>
            <w:vMerge w:val="restart"/>
            <w:noWrap/>
            <w:vAlign w:val="center"/>
          </w:tcPr>
          <w:p w14:paraId="0334FEAF">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1</w:t>
            </w:r>
          </w:p>
        </w:tc>
        <w:tc>
          <w:tcPr>
            <w:tcW w:w="1276" w:type="dxa"/>
            <w:vMerge w:val="restart"/>
            <w:noWrap/>
            <w:vAlign w:val="center"/>
          </w:tcPr>
          <w:p w14:paraId="0B446DC8">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有效性审查</w:t>
            </w:r>
          </w:p>
        </w:tc>
        <w:tc>
          <w:tcPr>
            <w:tcW w:w="2268" w:type="dxa"/>
            <w:noWrap/>
            <w:vAlign w:val="center"/>
          </w:tcPr>
          <w:p w14:paraId="7D722EC0">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响应文件签署</w:t>
            </w:r>
          </w:p>
        </w:tc>
        <w:tc>
          <w:tcPr>
            <w:tcW w:w="5409" w:type="dxa"/>
            <w:noWrap/>
            <w:vAlign w:val="center"/>
          </w:tcPr>
          <w:p w14:paraId="4536716C">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响应文件上法定代表人或其授权代表人的签字齐全。</w:t>
            </w:r>
          </w:p>
        </w:tc>
      </w:tr>
      <w:tr w14:paraId="47F16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675" w:type="dxa"/>
            <w:vMerge w:val="continue"/>
            <w:noWrap/>
            <w:vAlign w:val="center"/>
          </w:tcPr>
          <w:p w14:paraId="5139BD9D">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468026EC">
            <w:pPr>
              <w:spacing w:line="400" w:lineRule="exact"/>
              <w:rPr>
                <w:rFonts w:ascii="宋体" w:hAnsi="宋体" w:cs="宋体"/>
                <w:color w:val="auto"/>
                <w:kern w:val="0"/>
                <w:sz w:val="24"/>
                <w:szCs w:val="24"/>
                <w:highlight w:val="none"/>
              </w:rPr>
            </w:pPr>
          </w:p>
        </w:tc>
        <w:tc>
          <w:tcPr>
            <w:tcW w:w="2268" w:type="dxa"/>
            <w:noWrap/>
            <w:vAlign w:val="center"/>
          </w:tcPr>
          <w:p w14:paraId="4CFEEDE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w:t>
            </w:r>
          </w:p>
        </w:tc>
        <w:tc>
          <w:tcPr>
            <w:tcW w:w="5409" w:type="dxa"/>
            <w:noWrap/>
            <w:vAlign w:val="center"/>
          </w:tcPr>
          <w:p w14:paraId="38DE76CD">
            <w:pPr>
              <w:spacing w:line="400" w:lineRule="exact"/>
              <w:rPr>
                <w:rFonts w:ascii="宋体" w:hAnsi="宋体" w:cs="宋体"/>
                <w:color w:val="auto"/>
                <w:sz w:val="24"/>
                <w:szCs w:val="24"/>
                <w:highlight w:val="none"/>
              </w:rPr>
            </w:pPr>
            <w:r>
              <w:rPr>
                <w:rFonts w:hint="eastAsia" w:ascii="宋体" w:hAnsi="宋体" w:cs="宋体"/>
                <w:color w:val="auto"/>
                <w:sz w:val="24"/>
                <w:szCs w:val="24"/>
                <w:highlight w:val="none"/>
              </w:rPr>
              <w:t>法定代表人身份证明及授权委托书有效，符合询价采购文件规定的格式，签字或盖章齐全。</w:t>
            </w:r>
          </w:p>
        </w:tc>
      </w:tr>
      <w:tr w14:paraId="40326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trPr>
        <w:tc>
          <w:tcPr>
            <w:tcW w:w="675" w:type="dxa"/>
            <w:vMerge w:val="continue"/>
            <w:noWrap/>
            <w:vAlign w:val="center"/>
          </w:tcPr>
          <w:p w14:paraId="0B13801A">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1FD0863F">
            <w:pPr>
              <w:spacing w:line="400" w:lineRule="exact"/>
              <w:rPr>
                <w:rFonts w:ascii="宋体" w:hAnsi="宋体" w:cs="宋体"/>
                <w:color w:val="auto"/>
                <w:kern w:val="0"/>
                <w:sz w:val="24"/>
                <w:szCs w:val="24"/>
                <w:highlight w:val="none"/>
              </w:rPr>
            </w:pPr>
          </w:p>
        </w:tc>
        <w:tc>
          <w:tcPr>
            <w:tcW w:w="2268" w:type="dxa"/>
            <w:noWrap/>
            <w:vAlign w:val="center"/>
          </w:tcPr>
          <w:p w14:paraId="1591C14E">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c>
          <w:tcPr>
            <w:tcW w:w="5409" w:type="dxa"/>
            <w:noWrap/>
            <w:vAlign w:val="center"/>
          </w:tcPr>
          <w:p w14:paraId="3FF459A5">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lang w:val="zh-CN"/>
              </w:rPr>
              <w:t>只能有一个</w:t>
            </w: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方案。</w:t>
            </w:r>
          </w:p>
        </w:tc>
      </w:tr>
      <w:tr w14:paraId="7C970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675" w:type="dxa"/>
            <w:vMerge w:val="continue"/>
            <w:noWrap/>
            <w:vAlign w:val="center"/>
          </w:tcPr>
          <w:p w14:paraId="60B0B0EE">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2EEBD96E">
            <w:pPr>
              <w:spacing w:line="400" w:lineRule="exact"/>
              <w:rPr>
                <w:rFonts w:ascii="宋体" w:hAnsi="宋体" w:cs="宋体"/>
                <w:color w:val="auto"/>
                <w:kern w:val="0"/>
                <w:sz w:val="24"/>
                <w:szCs w:val="24"/>
                <w:highlight w:val="none"/>
              </w:rPr>
            </w:pPr>
          </w:p>
        </w:tc>
        <w:tc>
          <w:tcPr>
            <w:tcW w:w="2268" w:type="dxa"/>
            <w:noWrap/>
            <w:vAlign w:val="center"/>
          </w:tcPr>
          <w:p w14:paraId="325C4C0A">
            <w:pPr>
              <w:spacing w:line="400" w:lineRule="exact"/>
              <w:rPr>
                <w:rFonts w:ascii="宋体" w:hAnsi="宋体" w:cs="宋体"/>
                <w:color w:val="auto"/>
                <w:sz w:val="24"/>
                <w:szCs w:val="24"/>
                <w:highlight w:val="none"/>
                <w:lang w:val="zh-CN"/>
              </w:rPr>
            </w:pPr>
            <w:r>
              <w:rPr>
                <w:rFonts w:hint="eastAsia" w:ascii="宋体" w:hAnsi="宋体" w:cs="宋体"/>
                <w:color w:val="auto"/>
                <w:sz w:val="24"/>
                <w:szCs w:val="24"/>
                <w:highlight w:val="none"/>
              </w:rPr>
              <w:t>报价唯一</w:t>
            </w:r>
          </w:p>
        </w:tc>
        <w:tc>
          <w:tcPr>
            <w:tcW w:w="5409" w:type="dxa"/>
            <w:noWrap/>
            <w:vAlign w:val="center"/>
          </w:tcPr>
          <w:p w14:paraId="24D36189">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只能有一个有效报价，不得提交选择性报价。</w:t>
            </w:r>
          </w:p>
        </w:tc>
      </w:tr>
      <w:tr w14:paraId="04C1F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675" w:type="dxa"/>
            <w:noWrap/>
            <w:vAlign w:val="center"/>
          </w:tcPr>
          <w:p w14:paraId="792F9A6C">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2</w:t>
            </w:r>
          </w:p>
        </w:tc>
        <w:tc>
          <w:tcPr>
            <w:tcW w:w="1276" w:type="dxa"/>
            <w:noWrap/>
            <w:vAlign w:val="center"/>
          </w:tcPr>
          <w:p w14:paraId="73BA846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完整性审查</w:t>
            </w:r>
          </w:p>
        </w:tc>
        <w:tc>
          <w:tcPr>
            <w:tcW w:w="2268" w:type="dxa"/>
            <w:noWrap/>
            <w:vAlign w:val="center"/>
          </w:tcPr>
          <w:p w14:paraId="3F74240F">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文件份数</w:t>
            </w:r>
          </w:p>
        </w:tc>
        <w:tc>
          <w:tcPr>
            <w:tcW w:w="5409" w:type="dxa"/>
            <w:noWrap/>
            <w:vAlign w:val="center"/>
          </w:tcPr>
          <w:p w14:paraId="304295FB">
            <w:pPr>
              <w:spacing w:line="400" w:lineRule="exact"/>
              <w:rPr>
                <w:rFonts w:ascii="宋体" w:hAnsi="宋体" w:cs="宋体"/>
                <w:color w:val="auto"/>
                <w:kern w:val="0"/>
                <w:sz w:val="24"/>
                <w:szCs w:val="24"/>
                <w:highlight w:val="none"/>
              </w:rPr>
            </w:pPr>
            <w:r>
              <w:rPr>
                <w:rFonts w:hint="eastAsia" w:ascii="宋体" w:hAnsi="宋体" w:cs="宋体"/>
                <w:color w:val="auto"/>
                <w:sz w:val="24"/>
                <w:szCs w:val="24"/>
                <w:highlight w:val="none"/>
              </w:rPr>
              <w:t>响应</w:t>
            </w:r>
            <w:r>
              <w:rPr>
                <w:rFonts w:hint="eastAsia" w:ascii="宋体" w:hAnsi="宋体" w:cs="宋体"/>
                <w:color w:val="auto"/>
                <w:sz w:val="24"/>
                <w:szCs w:val="24"/>
                <w:highlight w:val="none"/>
                <w:lang w:val="zh-CN"/>
              </w:rPr>
              <w:t>文件数量符合</w:t>
            </w:r>
            <w:r>
              <w:rPr>
                <w:rFonts w:hint="eastAsia" w:ascii="宋体" w:hAnsi="宋体" w:cs="宋体"/>
                <w:color w:val="auto"/>
                <w:sz w:val="24"/>
                <w:szCs w:val="24"/>
                <w:highlight w:val="none"/>
              </w:rPr>
              <w:t>询价采购文件</w:t>
            </w:r>
            <w:r>
              <w:rPr>
                <w:rFonts w:hint="eastAsia" w:ascii="宋体" w:hAnsi="宋体" w:cs="宋体"/>
                <w:color w:val="auto"/>
                <w:sz w:val="24"/>
                <w:szCs w:val="24"/>
                <w:highlight w:val="none"/>
                <w:lang w:val="zh-CN"/>
              </w:rPr>
              <w:t>要求。</w:t>
            </w:r>
          </w:p>
        </w:tc>
      </w:tr>
      <w:tr w14:paraId="4D93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675" w:type="dxa"/>
            <w:vMerge w:val="restart"/>
            <w:noWrap/>
            <w:vAlign w:val="center"/>
          </w:tcPr>
          <w:p w14:paraId="2D638433">
            <w:pPr>
              <w:spacing w:line="400" w:lineRule="exact"/>
              <w:jc w:val="center"/>
              <w:rPr>
                <w:rFonts w:ascii="宋体" w:hAnsi="宋体" w:cs="宋体"/>
                <w:color w:val="auto"/>
                <w:kern w:val="0"/>
                <w:sz w:val="24"/>
                <w:szCs w:val="24"/>
                <w:highlight w:val="none"/>
              </w:rPr>
            </w:pPr>
            <w:r>
              <w:rPr>
                <w:rFonts w:hint="eastAsia" w:ascii="宋体" w:hAnsi="宋体" w:cs="宋体"/>
                <w:color w:val="auto"/>
                <w:kern w:val="0"/>
                <w:sz w:val="24"/>
                <w:szCs w:val="24"/>
                <w:highlight w:val="none"/>
              </w:rPr>
              <w:t>3</w:t>
            </w:r>
          </w:p>
        </w:tc>
        <w:tc>
          <w:tcPr>
            <w:tcW w:w="1276" w:type="dxa"/>
            <w:vMerge w:val="restart"/>
            <w:noWrap/>
            <w:vAlign w:val="center"/>
          </w:tcPr>
          <w:p w14:paraId="1DBEDF50">
            <w:pPr>
              <w:spacing w:line="400" w:lineRule="exact"/>
              <w:rPr>
                <w:rFonts w:ascii="宋体" w:hAnsi="宋体" w:cs="宋体"/>
                <w:color w:val="auto"/>
                <w:sz w:val="24"/>
                <w:szCs w:val="24"/>
                <w:highlight w:val="none"/>
                <w:lang w:val="zh-CN"/>
              </w:rPr>
            </w:pPr>
            <w:r>
              <w:rPr>
                <w:rFonts w:hint="eastAsia" w:ascii="宋体" w:hAnsi="宋体" w:cs="宋体"/>
                <w:color w:val="auto"/>
                <w:kern w:val="0"/>
                <w:sz w:val="24"/>
                <w:szCs w:val="24"/>
                <w:highlight w:val="none"/>
              </w:rPr>
              <w:t>询价采购文件的响应程度审查</w:t>
            </w:r>
          </w:p>
        </w:tc>
        <w:tc>
          <w:tcPr>
            <w:tcW w:w="2268" w:type="dxa"/>
            <w:noWrap/>
            <w:vAlign w:val="center"/>
          </w:tcPr>
          <w:p w14:paraId="738A3ECD">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响应文件内容</w:t>
            </w:r>
          </w:p>
        </w:tc>
        <w:tc>
          <w:tcPr>
            <w:tcW w:w="5409" w:type="dxa"/>
            <w:noWrap/>
            <w:vAlign w:val="center"/>
          </w:tcPr>
          <w:p w14:paraId="1D0B8E97">
            <w:pPr>
              <w:pStyle w:val="14"/>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对询价采购文件第二篇、第三篇规定的询价内容作出响应。</w:t>
            </w:r>
          </w:p>
        </w:tc>
      </w:tr>
      <w:tr w14:paraId="498BD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675" w:type="dxa"/>
            <w:vMerge w:val="continue"/>
            <w:noWrap/>
            <w:vAlign w:val="center"/>
          </w:tcPr>
          <w:p w14:paraId="4F5132A1">
            <w:pPr>
              <w:spacing w:line="400" w:lineRule="exact"/>
              <w:jc w:val="center"/>
              <w:rPr>
                <w:rFonts w:ascii="宋体" w:hAnsi="宋体" w:cs="宋体"/>
                <w:color w:val="auto"/>
                <w:kern w:val="0"/>
                <w:sz w:val="24"/>
                <w:szCs w:val="24"/>
                <w:highlight w:val="none"/>
              </w:rPr>
            </w:pPr>
          </w:p>
        </w:tc>
        <w:tc>
          <w:tcPr>
            <w:tcW w:w="1276" w:type="dxa"/>
            <w:vMerge w:val="continue"/>
            <w:noWrap/>
            <w:vAlign w:val="center"/>
          </w:tcPr>
          <w:p w14:paraId="2481D2F8">
            <w:pPr>
              <w:spacing w:line="400" w:lineRule="exact"/>
              <w:rPr>
                <w:rFonts w:ascii="宋体" w:hAnsi="宋体" w:cs="宋体"/>
                <w:color w:val="auto"/>
                <w:sz w:val="24"/>
                <w:szCs w:val="24"/>
                <w:highlight w:val="none"/>
                <w:lang w:val="zh-CN"/>
              </w:rPr>
            </w:pPr>
          </w:p>
        </w:tc>
        <w:tc>
          <w:tcPr>
            <w:tcW w:w="2268" w:type="dxa"/>
            <w:noWrap/>
            <w:vAlign w:val="center"/>
          </w:tcPr>
          <w:p w14:paraId="67819E8F">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询价有效期</w:t>
            </w:r>
          </w:p>
        </w:tc>
        <w:tc>
          <w:tcPr>
            <w:tcW w:w="5409" w:type="dxa"/>
            <w:noWrap/>
            <w:vAlign w:val="center"/>
          </w:tcPr>
          <w:p w14:paraId="55597909">
            <w:pPr>
              <w:spacing w:line="400" w:lineRule="exact"/>
              <w:rPr>
                <w:rFonts w:ascii="宋体" w:hAnsi="宋体" w:cs="宋体"/>
                <w:color w:val="auto"/>
                <w:kern w:val="0"/>
                <w:sz w:val="24"/>
                <w:szCs w:val="24"/>
                <w:highlight w:val="none"/>
              </w:rPr>
            </w:pPr>
            <w:r>
              <w:rPr>
                <w:rFonts w:hint="eastAsia" w:ascii="宋体" w:hAnsi="宋体" w:cs="宋体"/>
                <w:color w:val="auto"/>
                <w:kern w:val="0"/>
                <w:sz w:val="24"/>
                <w:szCs w:val="24"/>
                <w:highlight w:val="none"/>
              </w:rPr>
              <w:t>满足询价文件</w:t>
            </w:r>
            <w:r>
              <w:rPr>
                <w:rFonts w:hint="eastAsia" w:ascii="宋体" w:hAnsi="宋体" w:cs="宋体"/>
                <w:color w:val="auto"/>
                <w:sz w:val="24"/>
                <w:szCs w:val="24"/>
                <w:highlight w:val="none"/>
                <w:lang w:val="zh-CN"/>
              </w:rPr>
              <w:t>规定。</w:t>
            </w:r>
          </w:p>
        </w:tc>
      </w:tr>
    </w:tbl>
    <w:p w14:paraId="3FA5F2A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询价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AA082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询价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14:paraId="203A593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（五）在询价过程中询价的任何一方不得向他人透露与询价有关的技术资料、价格或其他信息。</w:t>
      </w:r>
    </w:p>
    <w:p w14:paraId="682C61C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六）在符合本次采购要求、质量和服务的前提下，按报价最低的原则确定成交供应商。如出现两个以上相同最低报价的，则以服务响应时间短的供应商为成交供应商；如果最低报价和服务响应时间都相同，则以随机抽取的方式确定成交供应商。</w:t>
      </w:r>
    </w:p>
    <w:p w14:paraId="32750115">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lang w:val="en-US" w:eastAsia="zh-CN"/>
        </w:rPr>
      </w:pPr>
      <w:bookmarkStart w:id="95" w:name="_Toc26829"/>
      <w:r>
        <w:rPr>
          <w:rFonts w:hint="eastAsia" w:ascii="微软雅黑" w:hAnsi="微软雅黑" w:eastAsia="微软雅黑" w:cs="微软雅黑"/>
          <w:color w:val="auto"/>
          <w:sz w:val="24"/>
          <w:szCs w:val="24"/>
          <w:highlight w:val="none"/>
          <w:lang w:val="en-US" w:eastAsia="zh-CN"/>
        </w:rPr>
        <w:t>五、</w:t>
      </w:r>
      <w:bookmarkEnd w:id="93"/>
      <w:bookmarkEnd w:id="94"/>
      <w:r>
        <w:rPr>
          <w:rFonts w:hint="eastAsia" w:ascii="微软雅黑" w:hAnsi="微软雅黑" w:eastAsia="微软雅黑" w:cs="微软雅黑"/>
          <w:color w:val="auto"/>
          <w:sz w:val="24"/>
          <w:szCs w:val="24"/>
          <w:highlight w:val="none"/>
          <w:lang w:val="en-US" w:eastAsia="zh-CN"/>
        </w:rPr>
        <w:t>评审依据</w:t>
      </w:r>
      <w:bookmarkEnd w:id="95"/>
    </w:p>
    <w:p w14:paraId="5CEC7A54">
      <w:pPr>
        <w:snapToGrid w:val="0"/>
        <w:spacing w:line="400" w:lineRule="exact"/>
        <w:ind w:firstLine="480" w:firstLineChars="200"/>
        <w:rPr>
          <w:rFonts w:hint="eastAsia" w:ascii="微软雅黑" w:hAnsi="微软雅黑" w:eastAsia="微软雅黑" w:cs="微软雅黑"/>
          <w:color w:val="auto"/>
          <w:sz w:val="24"/>
          <w:szCs w:val="24"/>
          <w:highlight w:val="none"/>
          <w:lang w:val="en-US" w:eastAsia="zh-CN"/>
        </w:rPr>
      </w:pPr>
      <w:r>
        <w:rPr>
          <w:rFonts w:hint="eastAsia" w:ascii="微软雅黑" w:hAnsi="微软雅黑" w:eastAsia="微软雅黑" w:cs="微软雅黑"/>
          <w:color w:val="auto"/>
          <w:sz w:val="24"/>
          <w:szCs w:val="24"/>
          <w:highlight w:val="none"/>
          <w:lang w:val="en-US" w:eastAsia="zh-CN"/>
        </w:rPr>
        <w:t>评审的依据为询价采购文件和响应文件（含有效的补充文件）。询价小组判断响应文件对询价采购文件的响应，仅基于响应文件本身而不靠外部证据。</w:t>
      </w:r>
    </w:p>
    <w:p w14:paraId="6A8A6231">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lang w:val="en-US" w:eastAsia="zh-CN"/>
        </w:rPr>
      </w:pPr>
      <w:bookmarkStart w:id="96" w:name="_Toc28711"/>
      <w:bookmarkStart w:id="97" w:name="_Toc30188"/>
      <w:bookmarkStart w:id="98" w:name="_Toc3277"/>
      <w:bookmarkStart w:id="99" w:name="_Toc5805"/>
      <w:bookmarkStart w:id="100" w:name="_Toc699"/>
      <w:bookmarkStart w:id="101" w:name="_Toc4612"/>
      <w:bookmarkStart w:id="102" w:name="_Toc6127"/>
      <w:r>
        <w:rPr>
          <w:rFonts w:hint="eastAsia" w:ascii="微软雅黑" w:hAnsi="微软雅黑" w:eastAsia="微软雅黑" w:cs="微软雅黑"/>
          <w:color w:val="auto"/>
          <w:sz w:val="24"/>
          <w:szCs w:val="24"/>
          <w:highlight w:val="none"/>
          <w:lang w:val="en-US" w:eastAsia="zh-CN"/>
        </w:rPr>
        <w:t>六、成交原则</w:t>
      </w:r>
      <w:bookmarkEnd w:id="96"/>
      <w:bookmarkEnd w:id="97"/>
      <w:bookmarkEnd w:id="98"/>
      <w:bookmarkEnd w:id="99"/>
      <w:bookmarkEnd w:id="100"/>
      <w:bookmarkEnd w:id="101"/>
      <w:bookmarkEnd w:id="102"/>
    </w:p>
    <w:p w14:paraId="409B291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（一）评审办法</w:t>
      </w:r>
    </w:p>
    <w:p w14:paraId="42F1F18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1.询价小组将依照本询价采购文件相关规定对质量和服务均能满足询价实质性响应要求的供应商所提交的报价按照由低到高的顺序提出</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名以上成交候选人，并编写评审报告。</w:t>
      </w:r>
    </w:p>
    <w:p w14:paraId="0EDACFB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符合本次采购要求、质量和服务的前提下，按总价报价最低的原则确定成交供应商。如出现两个以上相同最低报价的，则按技术条款的优劣顺序排列；以上都相同的，按商务条款的优劣顺序排列。如果总价最低报价和技术条款以及商务条款都相同，则以供应商报价时间先后顺序确定成交供应商。</w:t>
      </w:r>
    </w:p>
    <w:p w14:paraId="7E7C7D7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3.成交价格=成交供应商的报价。</w:t>
      </w:r>
    </w:p>
    <w:p w14:paraId="2E627B3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（二）评审细则</w:t>
      </w:r>
    </w:p>
    <w:p w14:paraId="79F4532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1.资格符合性检查</w:t>
      </w:r>
    </w:p>
    <w:p w14:paraId="5FA908C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依据法律法规和询价采购文件的规定，对供应商的资格证明等进行审查，以确定供应商是否具备询价资格。</w:t>
      </w:r>
    </w:p>
    <w:p w14:paraId="53E23F8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2.对响应文件的有效性、完整性和响应程度检查</w:t>
      </w:r>
    </w:p>
    <w:p w14:paraId="04FF5D7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依据询价采购文件的规定，对供应商的响应文件从质量、服务等方面进行审查，以确定供应商是否实质性响应询价采购文件的要求。</w:t>
      </w:r>
    </w:p>
    <w:p w14:paraId="305322B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3.成交供应商的确定：</w:t>
      </w:r>
    </w:p>
    <w:p w14:paraId="321C765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3.1“第二篇 询价项目技术服务需求”有一条及以上不能满足询价采购文件要求的供应商将失去成为成交供应商的资格。</w:t>
      </w:r>
    </w:p>
    <w:p w14:paraId="6CF33FE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3.2“第三篇 询价项目商务需求”有一条及以上不能满足询价采购文件要求的供应商将失去成为成交供应商的资格。</w:t>
      </w:r>
    </w:p>
    <w:p w14:paraId="10E7ADC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3.3询价小组认为，</w:t>
      </w:r>
      <w:r>
        <w:rPr>
          <w:rFonts w:hint="eastAsia" w:ascii="微软雅黑" w:hAnsi="微软雅黑" w:eastAsia="微软雅黑" w:cs="微软雅黑"/>
          <w:color w:val="auto"/>
          <w:sz w:val="24"/>
          <w:szCs w:val="24"/>
          <w:highlight w:val="none"/>
          <w:lang w:val="en-US" w:eastAsia="zh-CN"/>
        </w:rPr>
        <w:t>供应商有以下情况</w:t>
      </w:r>
      <w:r>
        <w:rPr>
          <w:rFonts w:hint="eastAsia" w:ascii="微软雅黑" w:hAnsi="微软雅黑" w:eastAsia="微软雅黑" w:cs="微软雅黑"/>
          <w:color w:val="auto"/>
          <w:sz w:val="24"/>
          <w:szCs w:val="24"/>
          <w:highlight w:val="none"/>
        </w:rPr>
        <w:t>，有可能影响商品质量和不能诚信履约的，将要求其在规定的期限内提供书面文件予以解释说明，并提交相关证明材料；否则，询价小组可以取消该供应商的资格。</w:t>
      </w:r>
    </w:p>
    <w:p w14:paraId="2E6AD25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注：政府采购异常低价问题有关事项的说明</w:t>
      </w:r>
    </w:p>
    <w:p w14:paraId="07B1ACD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1.根据《关于推动解决政府采购异常低价问题的通知》财库〔2026〕2号文件规定，政府采购评审中出现下列情形之一的，评标委员会应当启动异常低价投标审查程序：</w:t>
      </w:r>
    </w:p>
    <w:p w14:paraId="69C899B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1.1投标报价低于全部通过符合性审查投标人投标报价平均值50%的，即投标报价＜全部通过符合性审查投标人投标报价平均值×50%；</w:t>
      </w:r>
    </w:p>
    <w:p w14:paraId="0F680AE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1.2投标报价低于通过符合性审查的次低报价投标人投标报价50%的，即投标报价＜通过符合性审查的次低报价投标人投标报价×50%；</w:t>
      </w:r>
    </w:p>
    <w:p w14:paraId="35D58F45">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1.3投标报价低于采购项目最高限价45%的，即投标报价＜采购项目最高限价×45%；</w:t>
      </w:r>
    </w:p>
    <w:p w14:paraId="1B8ED3F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1.4评标委员会基于专业判断，认为投标人报价过低，有可能影响产品质量或者不能诚信履约的其他情形。</w:t>
      </w:r>
    </w:p>
    <w:p w14:paraId="7059211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评标委员会启动异常低价投标审查后，属于前述第1.1项至第1.4项情形的，应当要求相关投标人在评审现场合理的时间内对投标价格作出解释，提供项目具体成本测算等与报价合理性相关的书面说明及必要的证明材料，包括但不限于原材料成本、人工成本、制造费用等，给予相关投标人的合理时间一般不少于30分钟。其中，属于第1.3项情形，投标人已随投标文件一并提交相关书面说明及必要的证明材料的，在评审现场可不再重复提交。</w:t>
      </w:r>
    </w:p>
    <w:p w14:paraId="20EDD5B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评标委员会依据专业经验，参考同类项目中标价格、类似产品市场价格水平、行业人工费用标准、国家有关部门指导行业协会发布的行业平均成本等情况，对报价合理性进行判断。投标人不能提供书面说明、证明材料，或者提供的书面说明、证明材料不能证明其报价合理性的，评标委员会应当将其作为无效投标处理。</w:t>
      </w:r>
    </w:p>
    <w:p w14:paraId="072175D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3.4询价小组将依照评审办法提出成交候选人。</w:t>
      </w:r>
    </w:p>
    <w:p w14:paraId="4BD41353">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3.5采购代理机构应当在评审结束后2个工作日内将评审报告送采购人确认。采购人应当在收到评审报告后5个工作日内，从评审报告提出的成交候选人中，根据质量和服务均能满足采购文件实质性响应要求且报价最低的原则确定成交供应商，也可以书面授权询价小组直接确定成交供应商。采购人逾期未确定成交供应商且不提出异议的，视为确定评审报告提出的报价最低的供应商为成交供应商。</w:t>
      </w:r>
    </w:p>
    <w:p w14:paraId="52A77186">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3.6成交供应商的变更</w:t>
      </w:r>
    </w:p>
    <w:p w14:paraId="5047FD0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3.6.1成交供应商拒绝签订采购合同的，采购人可以按照评审报告推荐的成交候选人顺序，确定排名下一位的候选人为成交供应商，也可以重新开展政府采购活动。拒绝签订政府采购合同的成交供应商不得参加对该项目重新开展的采购活动。</w:t>
      </w:r>
    </w:p>
    <w:p w14:paraId="0CA3CA4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4.出现下列情形之一的，采购人或者采购代理机构应当终止询价采购活动，发布项目终止公告并说明原因，重新开展采购活动：</w:t>
      </w:r>
    </w:p>
    <w:p w14:paraId="10D7D86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4.1因情况变化，不再符合规定的询价采购采购方式适用情形的；</w:t>
      </w:r>
    </w:p>
    <w:p w14:paraId="66AF4A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4.2出现影响采购公正的违法、违规行为的；</w:t>
      </w:r>
    </w:p>
    <w:p w14:paraId="6EC7FE0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4.3在采购过程中符合竞争要求的供应商或者报价未超过采购预算的供应商不足</w:t>
      </w:r>
      <w:r>
        <w:rPr>
          <w:rFonts w:hint="eastAsia" w:ascii="微软雅黑" w:hAnsi="微软雅黑" w:eastAsia="微软雅黑" w:cs="微软雅黑"/>
          <w:color w:val="auto"/>
          <w:sz w:val="24"/>
          <w:szCs w:val="24"/>
          <w:highlight w:val="none"/>
          <w:lang w:val="en-US" w:eastAsia="zh-CN"/>
        </w:rPr>
        <w:t>2</w:t>
      </w:r>
      <w:r>
        <w:rPr>
          <w:rFonts w:hint="eastAsia" w:ascii="微软雅黑" w:hAnsi="微软雅黑" w:eastAsia="微软雅黑" w:cs="微软雅黑"/>
          <w:color w:val="auto"/>
          <w:sz w:val="24"/>
          <w:szCs w:val="24"/>
          <w:highlight w:val="none"/>
        </w:rPr>
        <w:t>家的。</w:t>
      </w:r>
    </w:p>
    <w:p w14:paraId="6C713892">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03" w:name="_Toc106030897"/>
      <w:bookmarkStart w:id="104" w:name="_Toc102227321"/>
      <w:bookmarkStart w:id="105" w:name="_Toc342913395"/>
      <w:bookmarkStart w:id="106" w:name="_Toc76462342"/>
      <w:bookmarkStart w:id="107" w:name="_Toc25672"/>
      <w:r>
        <w:rPr>
          <w:rFonts w:hint="eastAsia" w:ascii="微软雅黑" w:hAnsi="微软雅黑" w:eastAsia="微软雅黑" w:cs="微软雅黑"/>
          <w:color w:val="auto"/>
          <w:sz w:val="24"/>
          <w:szCs w:val="24"/>
          <w:highlight w:val="none"/>
          <w:lang w:val="en-US" w:eastAsia="zh-CN"/>
        </w:rPr>
        <w:t>七</w:t>
      </w:r>
      <w:r>
        <w:rPr>
          <w:rFonts w:hint="eastAsia" w:ascii="微软雅黑" w:hAnsi="微软雅黑" w:eastAsia="微软雅黑" w:cs="微软雅黑"/>
          <w:color w:val="auto"/>
          <w:sz w:val="24"/>
          <w:szCs w:val="24"/>
          <w:highlight w:val="none"/>
        </w:rPr>
        <w:t>、成交通知</w:t>
      </w:r>
      <w:bookmarkEnd w:id="103"/>
      <w:bookmarkEnd w:id="104"/>
      <w:bookmarkEnd w:id="105"/>
      <w:bookmarkEnd w:id="106"/>
      <w:bookmarkEnd w:id="107"/>
    </w:p>
    <w:p w14:paraId="3635F16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（一）成交供应商确定后，采购人/代理机构将在“行采家”平台（https://www.gec123.com）上发布成交结果公告。</w:t>
      </w:r>
    </w:p>
    <w:p w14:paraId="3139D7F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（二）结果公告发出同时，代理机构将以书面形式发出《成交通知书》。《成交通知书》一经发出即发生法律效力。</w:t>
      </w:r>
    </w:p>
    <w:p w14:paraId="6B532587">
      <w:pPr>
        <w:snapToGrid w:val="0"/>
        <w:spacing w:line="400" w:lineRule="exact"/>
        <w:ind w:firstLine="480" w:firstLineChars="200"/>
        <w:rPr>
          <w:rFonts w:hint="eastAsia" w:ascii="微软雅黑" w:hAnsi="微软雅黑" w:eastAsia="微软雅黑" w:cs="微软雅黑"/>
          <w:color w:val="auto"/>
          <w:highlight w:val="none"/>
        </w:rPr>
      </w:pPr>
      <w:r>
        <w:rPr>
          <w:rFonts w:hint="eastAsia" w:ascii="微软雅黑" w:hAnsi="微软雅黑" w:eastAsia="微软雅黑" w:cs="微软雅黑"/>
          <w:color w:val="auto"/>
          <w:sz w:val="24"/>
          <w:szCs w:val="24"/>
          <w:highlight w:val="none"/>
        </w:rPr>
        <w:t>（三）《成交通知书》作为签订合同的依据。</w:t>
      </w:r>
    </w:p>
    <w:p w14:paraId="009EF35C">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08" w:name="_Toc106030898"/>
      <w:bookmarkStart w:id="109" w:name="_Toc3059"/>
      <w:bookmarkStart w:id="110" w:name="_Toc76462343"/>
      <w:r>
        <w:rPr>
          <w:rFonts w:hint="eastAsia" w:ascii="微软雅黑" w:hAnsi="微软雅黑" w:eastAsia="微软雅黑" w:cs="微软雅黑"/>
          <w:color w:val="auto"/>
          <w:sz w:val="24"/>
          <w:szCs w:val="24"/>
          <w:highlight w:val="none"/>
          <w:lang w:val="en-US" w:eastAsia="zh-CN"/>
        </w:rPr>
        <w:t>八</w:t>
      </w:r>
      <w:r>
        <w:rPr>
          <w:rFonts w:hint="eastAsia" w:ascii="微软雅黑" w:hAnsi="微软雅黑" w:eastAsia="微软雅黑" w:cs="微软雅黑"/>
          <w:color w:val="auto"/>
          <w:sz w:val="24"/>
          <w:szCs w:val="24"/>
          <w:highlight w:val="none"/>
        </w:rPr>
        <w:t>、关于质疑和投诉</w:t>
      </w:r>
      <w:bookmarkEnd w:id="108"/>
      <w:bookmarkEnd w:id="109"/>
      <w:bookmarkEnd w:id="110"/>
    </w:p>
    <w:p w14:paraId="6F708917">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（一）质疑</w:t>
      </w:r>
    </w:p>
    <w:p w14:paraId="0E57BD0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供应商认为采购文件、采购过程和成交结果使自己的权益</w:t>
      </w:r>
      <w:r>
        <w:rPr>
          <w:rFonts w:hint="eastAsia" w:ascii="微软雅黑" w:hAnsi="微软雅黑" w:eastAsia="微软雅黑" w:cs="微软雅黑"/>
          <w:color w:val="auto"/>
          <w:sz w:val="24"/>
          <w:szCs w:val="24"/>
          <w:highlight w:val="none"/>
          <w:lang w:val="en-US" w:eastAsia="zh-CN"/>
        </w:rPr>
        <w:t>受到</w:t>
      </w:r>
      <w:bookmarkStart w:id="163" w:name="_GoBack"/>
      <w:bookmarkEnd w:id="163"/>
      <w:r>
        <w:rPr>
          <w:rFonts w:hint="eastAsia" w:ascii="微软雅黑" w:hAnsi="微软雅黑" w:eastAsia="微软雅黑" w:cs="微软雅黑"/>
          <w:color w:val="auto"/>
          <w:sz w:val="24"/>
          <w:szCs w:val="24"/>
          <w:highlight w:val="none"/>
        </w:rPr>
        <w:t>伤害的，可向采购人或采购代理机构以书面形式提出质疑。</w:t>
      </w:r>
    </w:p>
    <w:p w14:paraId="4937183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 xml:space="preserve">提出质疑的应当是参与所质疑项目采购活动的供应商。 </w:t>
      </w:r>
    </w:p>
    <w:p w14:paraId="0122BCAB">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1.质疑时限、内容</w:t>
      </w:r>
    </w:p>
    <w:p w14:paraId="5B591B9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供应商认为采购文件、采购过程、成交结果使自己的权益受到损害的，可以在知道或者应知其权益受到损害之日起2个工作日内，以书面形式向采购人、采购代理机构提出质疑。</w:t>
      </w:r>
    </w:p>
    <w:p w14:paraId="062E4C2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1.2供应商提出质疑应当提交质疑函和必要的证明材料，质疑函应当包括下列内容：</w:t>
      </w:r>
    </w:p>
    <w:p w14:paraId="68CC4E1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1.2.1供应商的名称、地址、联系人及联系电话；</w:t>
      </w:r>
    </w:p>
    <w:p w14:paraId="1874FFA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1.2.2质疑项目的名称、采购编号；</w:t>
      </w:r>
    </w:p>
    <w:p w14:paraId="454F201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1.2.3具体、明确的质疑事项和与质疑事项相关的请求；</w:t>
      </w:r>
    </w:p>
    <w:p w14:paraId="2107596E">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1.2.4事实依据；</w:t>
      </w:r>
    </w:p>
    <w:p w14:paraId="72330CB9">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1.2.5必要的法律依据；</w:t>
      </w:r>
    </w:p>
    <w:p w14:paraId="6F907868">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1.2.6提出质疑的日期；</w:t>
      </w:r>
    </w:p>
    <w:p w14:paraId="011CDD9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1.2.7营业执照（或事业单位法人证书，或个体工商户营业执照或有效的自然人身份证明）复印件；</w:t>
      </w:r>
    </w:p>
    <w:p w14:paraId="27C1680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1.2.8法定代表人授权委托书原件、法定代表人身份证复印件和其授权代表的身份证复印件（供应商为自然人的提供自然人身份证复印件）；</w:t>
      </w:r>
    </w:p>
    <w:p w14:paraId="584DE43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1.3供应商为自然人的，质疑函应当由本人签字；供应商为法人或者其他组织的，质疑函应当由法定代表人、主要负责人，或者其授权代表签字或者盖章，并加盖公章。</w:t>
      </w:r>
    </w:p>
    <w:p w14:paraId="0542218F">
      <w:pPr>
        <w:snapToGrid w:val="0"/>
        <w:spacing w:line="400" w:lineRule="exact"/>
        <w:ind w:firstLine="480" w:firstLineChars="200"/>
        <w:outlineLvl w:val="2"/>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2.质疑答复</w:t>
      </w:r>
    </w:p>
    <w:p w14:paraId="62E50FE7">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采购人、采购代理机构应当在收到供应商的书面质疑后2个工作日内作出答复，并以书面形式通知质疑供应商和其他有关供应商。</w:t>
      </w:r>
    </w:p>
    <w:p w14:paraId="0DFDD647">
      <w:pPr>
        <w:snapToGrid w:val="0"/>
        <w:spacing w:line="400" w:lineRule="exact"/>
        <w:ind w:firstLine="480" w:firstLineChars="200"/>
        <w:outlineLvl w:val="1"/>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（二）投诉</w:t>
      </w:r>
    </w:p>
    <w:p w14:paraId="4430375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1.供应商对采购人、采购代理机构的答复不满意，或者采购人、采购代理机构未在规定时间内作出答复的，可以在答复期满后2个工作日内按照平台相关规则规定向平台运营方提起投诉。</w:t>
      </w:r>
    </w:p>
    <w:p w14:paraId="4AAC186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2.在确定受理投诉后，平台运营方自受理投诉之日起7个工作日内（需要检验、检测、鉴定、专家评审以及需要投诉人补正材料的，所需时间不计算在投诉处理期限内）对投诉事项做出处理决定。</w:t>
      </w:r>
    </w:p>
    <w:p w14:paraId="1BEB02E8">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11" w:name="_Toc24830"/>
      <w:bookmarkStart w:id="112" w:name="_Toc106030899"/>
      <w:bookmarkStart w:id="113" w:name="_Toc76462344"/>
      <w:r>
        <w:rPr>
          <w:rFonts w:hint="eastAsia" w:ascii="微软雅黑" w:hAnsi="微软雅黑" w:eastAsia="微软雅黑" w:cs="微软雅黑"/>
          <w:color w:val="auto"/>
          <w:sz w:val="24"/>
          <w:szCs w:val="24"/>
          <w:highlight w:val="none"/>
          <w:lang w:val="en-US" w:eastAsia="zh-CN"/>
        </w:rPr>
        <w:t>九</w:t>
      </w:r>
      <w:r>
        <w:rPr>
          <w:rFonts w:hint="eastAsia" w:ascii="微软雅黑" w:hAnsi="微软雅黑" w:eastAsia="微软雅黑" w:cs="微软雅黑"/>
          <w:color w:val="auto"/>
          <w:sz w:val="24"/>
          <w:szCs w:val="24"/>
          <w:highlight w:val="none"/>
        </w:rPr>
        <w:t>、采购代理服务费</w:t>
      </w:r>
      <w:bookmarkEnd w:id="111"/>
      <w:bookmarkEnd w:id="112"/>
      <w:bookmarkEnd w:id="113"/>
    </w:p>
    <w:p w14:paraId="270EE8C5">
      <w:pPr>
        <w:pStyle w:val="42"/>
        <w:spacing w:line="400" w:lineRule="exact"/>
        <w:ind w:firstLine="480" w:firstLineChars="200"/>
        <w:rPr>
          <w:rFonts w:ascii="微软雅黑" w:hAnsi="微软雅黑" w:eastAsia="微软雅黑" w:cs="微软雅黑"/>
          <w:color w:val="auto"/>
          <w:sz w:val="24"/>
          <w:szCs w:val="22"/>
          <w:highlight w:val="none"/>
        </w:rPr>
      </w:pPr>
      <w:bookmarkStart w:id="114" w:name="OLE_LINK7"/>
      <w:bookmarkStart w:id="115" w:name="OLE_LINK8"/>
      <w:r>
        <w:rPr>
          <w:rFonts w:hint="eastAsia" w:ascii="微软雅黑" w:hAnsi="微软雅黑" w:eastAsia="微软雅黑" w:cs="微软雅黑"/>
          <w:color w:val="auto"/>
          <w:sz w:val="24"/>
          <w:szCs w:val="24"/>
          <w:highlight w:val="none"/>
        </w:rPr>
        <w:t>1、</w:t>
      </w:r>
      <w:bookmarkEnd w:id="114"/>
      <w:bookmarkEnd w:id="115"/>
      <w:r>
        <w:rPr>
          <w:rFonts w:hint="eastAsia" w:ascii="微软雅黑" w:hAnsi="微软雅黑" w:eastAsia="微软雅黑" w:cs="微软雅黑"/>
          <w:color w:val="auto"/>
          <w:sz w:val="24"/>
          <w:szCs w:val="22"/>
          <w:highlight w:val="none"/>
        </w:rPr>
        <w:t>供应商成交后向采购代理机构缴纳采购代理服务费，采购代理服务费的收取标准按照以下标准执行（不足肆仟圆，按照肆仟圆收取）。</w:t>
      </w:r>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10"/>
        <w:gridCol w:w="2273"/>
        <w:gridCol w:w="2273"/>
        <w:gridCol w:w="2272"/>
      </w:tblGrid>
      <w:tr w14:paraId="0625C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2810" w:type="dxa"/>
            <w:tcBorders>
              <w:tl2br w:val="single" w:color="auto" w:sz="4" w:space="0"/>
            </w:tcBorders>
            <w:noWrap w:val="0"/>
            <w:vAlign w:val="top"/>
          </w:tcPr>
          <w:p w14:paraId="229208C8">
            <w:pPr>
              <w:ind w:firstLine="1680" w:firstLineChars="800"/>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mc:AlternateContent>
                <mc:Choice Requires="wps">
                  <w:drawing>
                    <wp:anchor distT="0" distB="0" distL="114300" distR="114300" simplePos="0" relativeHeight="251659264" behindDoc="0" locked="0" layoutInCell="0" allowOverlap="1">
                      <wp:simplePos x="0" y="0"/>
                      <wp:positionH relativeFrom="column">
                        <wp:posOffset>-114300</wp:posOffset>
                      </wp:positionH>
                      <wp:positionV relativeFrom="paragraph">
                        <wp:posOffset>-6350</wp:posOffset>
                      </wp:positionV>
                      <wp:extent cx="635" cy="635"/>
                      <wp:effectExtent l="0" t="0" r="0" b="0"/>
                      <wp:wrapNone/>
                      <wp:docPr id="6" name="直接连接符 6"/>
                      <wp:cNvGraphicFramePr/>
                      <a:graphic xmlns:a="http://schemas.openxmlformats.org/drawingml/2006/main">
                        <a:graphicData uri="http://schemas.microsoft.com/office/word/2010/wordprocessingShape">
                          <wps:wsp>
                            <wps:cNvCnPr/>
                            <wps:spPr>
                              <a:xfrm>
                                <a:off x="0" y="0"/>
                                <a:ext cx="635"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9pt;margin-top:-0.5pt;height:0.05pt;width:0.05pt;z-index:251659264;mso-width-relative:page;mso-height-relative:page;" filled="f" stroked="t" coordsize="21600,21600" o:allowincell="f" o:gfxdata="UEsDBAoAAAAAAIdO4kAAAAAAAAAAAAAAAAAEAAAAZHJzL1BLAwQUAAAACACHTuJAXz75g9YAAAAI&#10;AQAADwAAAGRycy9kb3ducmV2LnhtbE2PT0/DMAzF70h8h8hIXKYu6ZBgK013AHrjwgBx9RrTVjRO&#10;12R/4NPjneDkZ/np+ffK9ckP6kBT7ANbyOcGFHETXM+thbfXOluCignZ4RCYLHxThHV1eVFi4cKR&#10;X+iwSa2SEI4FWuhSGgutY9ORxzgPI7HcPsPkMck6tdpNeJRwP+iFMbfaY8/yocORHjpqvjZ7byHW&#10;77Srf2bNzHzctIEWu8fnJ7T2+io396ASndKfGc74gg6VMG3Dnl1Ug4UsX0qXdBYyxZDldytQWxEr&#10;0FWp/xeofgFQSwMEFAAAAAgAh07iQEA+t/bsAQAA5AMAAA4AAABkcnMvZTJvRG9jLnhtbK1TzY7T&#10;MBC+I/EOlu803aKtIGq6hy3LBUEl4AGmtpNY8p883qZ9CV4AiRucOHLnbVgeg7ETyrJceiAHZ2Y8&#10;83m+z+PV1cEatlcRtXcNv5jNOVNOeKld1/D3726ePOMMEzgJxjvV8KNCfrV+/Gg1hFotfO+NVJER&#10;iMN6CA3vUwp1VaHolQWc+aAcbbY+Wkjkxq6SEQZCt6ZazOfLavBRhuiFQqToZtzkE2I8B9C3rRZq&#10;48WtVS6NqFEZSEQJex2Qr0u3batEetO2qBIzDSemqax0CNm7vFbrFdRdhNBrMbUA57TwgJMF7ejQ&#10;E9QGErDbqP+BslpEj75NM+FtNRIpihCLi/kDbd72EFThQlJjOImO/w9WvN5vI9Oy4UvOHFi68LuP&#10;3358+Pzz+yda775+Ycss0hCwptxrt42Th2EbM+NDG23+Exd2KMIeT8KqQ2KCgsunl5wJimeD6qs/&#10;ZSFieqm8ZdlouNEuM4Ya9q8wjam/U3LYODY0/PnlIgMCjV9L106mDUQBXVdq0Rstb7QxuQJjt7s2&#10;ke0hj0D5phb+SsuHbAD7Ma9s5TSoewXyhZMsHQOJ4+hN8NyCVZIzo+gJZatkJtDmnExib1yGVmVA&#10;J55Z4VHTbO28PBapq+zR5RfRpkHN03XfJ/v+41z/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AAAAABkcnMvUEsBAhQAFAAAAAgAh07iQF8+&#10;+YPWAAAACAEAAA8AAAAAAAAAAQAgAAAAIgAAAGRycy9kb3ducmV2LnhtbFBLAQIUABQAAAAIAIdO&#10;4kBAPrf27AEAAOQDAAAOAAAAAAAAAAEAIAAAACUBAABkcnMvZTJvRG9jLnhtbFBLBQYAAAAABgAG&#10;AFkBAACDBQAAAAA=&#10;">
                      <v:fill on="f" focussize="0,0"/>
                      <v:stroke color="#000000" joinstyle="round"/>
                      <v:imagedata o:title=""/>
                      <o:lock v:ext="edit" aspectratio="f"/>
                    </v:line>
                  </w:pict>
                </mc:Fallback>
              </mc:AlternateContent>
            </w:r>
            <w:r>
              <w:rPr>
                <w:rFonts w:hint="eastAsia" w:ascii="微软雅黑" w:hAnsi="微软雅黑" w:eastAsia="微软雅黑" w:cs="微软雅黑"/>
                <w:color w:val="auto"/>
                <w:sz w:val="21"/>
                <w:szCs w:val="21"/>
                <w:highlight w:val="none"/>
              </w:rPr>
              <w:t>采购类型</w:t>
            </w:r>
          </w:p>
          <w:p w14:paraId="585A7538">
            <w:pP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成交金额（万元）</w:t>
            </w:r>
          </w:p>
        </w:tc>
        <w:tc>
          <w:tcPr>
            <w:tcW w:w="2273" w:type="dxa"/>
            <w:noWrap w:val="0"/>
            <w:vAlign w:val="center"/>
          </w:tcPr>
          <w:p w14:paraId="13ECBC6E">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货物采购</w:t>
            </w:r>
          </w:p>
        </w:tc>
        <w:tc>
          <w:tcPr>
            <w:tcW w:w="2273" w:type="dxa"/>
            <w:noWrap w:val="0"/>
            <w:vAlign w:val="center"/>
          </w:tcPr>
          <w:p w14:paraId="54173CE9">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服务采购</w:t>
            </w:r>
          </w:p>
        </w:tc>
        <w:tc>
          <w:tcPr>
            <w:tcW w:w="2272" w:type="dxa"/>
            <w:noWrap w:val="0"/>
            <w:vAlign w:val="center"/>
          </w:tcPr>
          <w:p w14:paraId="1DEE346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工程采购</w:t>
            </w:r>
          </w:p>
        </w:tc>
      </w:tr>
      <w:tr w14:paraId="652C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 w:hRule="atLeast"/>
        </w:trPr>
        <w:tc>
          <w:tcPr>
            <w:tcW w:w="2810" w:type="dxa"/>
            <w:noWrap w:val="0"/>
            <w:vAlign w:val="center"/>
          </w:tcPr>
          <w:p w14:paraId="442912E8">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100以下</w:t>
            </w:r>
          </w:p>
        </w:tc>
        <w:tc>
          <w:tcPr>
            <w:tcW w:w="2273" w:type="dxa"/>
            <w:noWrap w:val="0"/>
            <w:vAlign w:val="center"/>
          </w:tcPr>
          <w:p w14:paraId="10267094">
            <w:pPr>
              <w:ind w:right="420"/>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 xml:space="preserve">   1.5%</w:t>
            </w:r>
          </w:p>
        </w:tc>
        <w:tc>
          <w:tcPr>
            <w:tcW w:w="2273" w:type="dxa"/>
            <w:noWrap w:val="0"/>
            <w:vAlign w:val="center"/>
          </w:tcPr>
          <w:p w14:paraId="10A96E2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1.5%</w:t>
            </w:r>
          </w:p>
        </w:tc>
        <w:tc>
          <w:tcPr>
            <w:tcW w:w="2272" w:type="dxa"/>
            <w:noWrap w:val="0"/>
            <w:vAlign w:val="center"/>
          </w:tcPr>
          <w:p w14:paraId="7695B2E4">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w:t>
            </w:r>
          </w:p>
        </w:tc>
      </w:tr>
      <w:tr w14:paraId="6C287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2810" w:type="dxa"/>
            <w:noWrap w:val="0"/>
            <w:vAlign w:val="center"/>
          </w:tcPr>
          <w:p w14:paraId="7009E4A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100-500</w:t>
            </w:r>
          </w:p>
        </w:tc>
        <w:tc>
          <w:tcPr>
            <w:tcW w:w="2273" w:type="dxa"/>
            <w:noWrap w:val="0"/>
            <w:vAlign w:val="center"/>
          </w:tcPr>
          <w:p w14:paraId="3E692888">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1.1%</w:t>
            </w:r>
          </w:p>
        </w:tc>
        <w:tc>
          <w:tcPr>
            <w:tcW w:w="2273" w:type="dxa"/>
            <w:noWrap w:val="0"/>
            <w:vAlign w:val="center"/>
          </w:tcPr>
          <w:p w14:paraId="55C6B526">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2" w:type="dxa"/>
            <w:noWrap w:val="0"/>
            <w:vAlign w:val="center"/>
          </w:tcPr>
          <w:p w14:paraId="2581F26E">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0.7%</w:t>
            </w:r>
          </w:p>
        </w:tc>
      </w:tr>
      <w:tr w14:paraId="17AB5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noWrap w:val="0"/>
            <w:vAlign w:val="center"/>
          </w:tcPr>
          <w:p w14:paraId="28AD0D4C">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500-1000</w:t>
            </w:r>
          </w:p>
        </w:tc>
        <w:tc>
          <w:tcPr>
            <w:tcW w:w="2273" w:type="dxa"/>
            <w:noWrap w:val="0"/>
            <w:vAlign w:val="center"/>
          </w:tcPr>
          <w:p w14:paraId="45552494">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0.8%</w:t>
            </w:r>
          </w:p>
        </w:tc>
        <w:tc>
          <w:tcPr>
            <w:tcW w:w="2273" w:type="dxa"/>
            <w:noWrap w:val="0"/>
            <w:vAlign w:val="center"/>
          </w:tcPr>
          <w:p w14:paraId="528B1ED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0.45%</w:t>
            </w:r>
          </w:p>
        </w:tc>
        <w:tc>
          <w:tcPr>
            <w:tcW w:w="2272" w:type="dxa"/>
            <w:noWrap w:val="0"/>
            <w:vAlign w:val="center"/>
          </w:tcPr>
          <w:p w14:paraId="12BC428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0.55%</w:t>
            </w:r>
          </w:p>
        </w:tc>
      </w:tr>
      <w:tr w14:paraId="41B59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810" w:type="dxa"/>
            <w:noWrap w:val="0"/>
            <w:vAlign w:val="center"/>
          </w:tcPr>
          <w:p w14:paraId="05979EDD">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1000-5000</w:t>
            </w:r>
          </w:p>
        </w:tc>
        <w:tc>
          <w:tcPr>
            <w:tcW w:w="2273" w:type="dxa"/>
            <w:noWrap w:val="0"/>
            <w:vAlign w:val="center"/>
          </w:tcPr>
          <w:p w14:paraId="18A525D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0.5%</w:t>
            </w:r>
          </w:p>
        </w:tc>
        <w:tc>
          <w:tcPr>
            <w:tcW w:w="2273" w:type="dxa"/>
            <w:noWrap w:val="0"/>
            <w:vAlign w:val="center"/>
          </w:tcPr>
          <w:p w14:paraId="768B25CC">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2" w:type="dxa"/>
            <w:noWrap w:val="0"/>
            <w:vAlign w:val="center"/>
          </w:tcPr>
          <w:p w14:paraId="4271A177">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0.35%</w:t>
            </w:r>
          </w:p>
        </w:tc>
      </w:tr>
      <w:tr w14:paraId="0D2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2810" w:type="dxa"/>
            <w:noWrap w:val="0"/>
            <w:vAlign w:val="center"/>
          </w:tcPr>
          <w:p w14:paraId="2BBB9E4D">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5000-10000</w:t>
            </w:r>
          </w:p>
        </w:tc>
        <w:tc>
          <w:tcPr>
            <w:tcW w:w="2273" w:type="dxa"/>
            <w:noWrap w:val="0"/>
            <w:vAlign w:val="center"/>
          </w:tcPr>
          <w:p w14:paraId="31307B5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0.25%</w:t>
            </w:r>
          </w:p>
        </w:tc>
        <w:tc>
          <w:tcPr>
            <w:tcW w:w="2273" w:type="dxa"/>
            <w:noWrap w:val="0"/>
            <w:vAlign w:val="center"/>
          </w:tcPr>
          <w:p w14:paraId="73AC5872">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0.1%</w:t>
            </w:r>
          </w:p>
        </w:tc>
        <w:tc>
          <w:tcPr>
            <w:tcW w:w="2272" w:type="dxa"/>
            <w:noWrap w:val="0"/>
            <w:vAlign w:val="center"/>
          </w:tcPr>
          <w:p w14:paraId="65F07F1E">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0.2%</w:t>
            </w:r>
          </w:p>
        </w:tc>
      </w:tr>
      <w:tr w14:paraId="6AF790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810" w:type="dxa"/>
            <w:noWrap w:val="0"/>
            <w:vAlign w:val="center"/>
          </w:tcPr>
          <w:p w14:paraId="45C8A289">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10000-100000</w:t>
            </w:r>
          </w:p>
        </w:tc>
        <w:tc>
          <w:tcPr>
            <w:tcW w:w="2273" w:type="dxa"/>
            <w:noWrap w:val="0"/>
            <w:vAlign w:val="center"/>
          </w:tcPr>
          <w:p w14:paraId="5095F26A">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3" w:type="dxa"/>
            <w:noWrap w:val="0"/>
            <w:vAlign w:val="center"/>
          </w:tcPr>
          <w:p w14:paraId="7AF9D04F">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c>
          <w:tcPr>
            <w:tcW w:w="2272" w:type="dxa"/>
            <w:noWrap w:val="0"/>
            <w:vAlign w:val="center"/>
          </w:tcPr>
          <w:p w14:paraId="7FF9515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0.05%</w:t>
            </w:r>
          </w:p>
        </w:tc>
      </w:tr>
      <w:tr w14:paraId="0F1D8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2810" w:type="dxa"/>
            <w:noWrap w:val="0"/>
            <w:vAlign w:val="center"/>
          </w:tcPr>
          <w:p w14:paraId="2D25BB5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100000以上</w:t>
            </w:r>
          </w:p>
        </w:tc>
        <w:tc>
          <w:tcPr>
            <w:tcW w:w="2273" w:type="dxa"/>
            <w:noWrap w:val="0"/>
            <w:vAlign w:val="center"/>
          </w:tcPr>
          <w:p w14:paraId="72680F4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3" w:type="dxa"/>
            <w:noWrap w:val="0"/>
            <w:vAlign w:val="center"/>
          </w:tcPr>
          <w:p w14:paraId="43C15940">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c>
          <w:tcPr>
            <w:tcW w:w="2272" w:type="dxa"/>
            <w:noWrap w:val="0"/>
            <w:vAlign w:val="center"/>
          </w:tcPr>
          <w:p w14:paraId="4174CF81">
            <w:pPr>
              <w:jc w:val="center"/>
              <w:rPr>
                <w:rFonts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0.01%</w:t>
            </w:r>
          </w:p>
        </w:tc>
      </w:tr>
    </w:tbl>
    <w:p w14:paraId="6A97D79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2、服务费以现金、支票或电汇等形式支付。</w:t>
      </w:r>
    </w:p>
    <w:p w14:paraId="7E23C5EF">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3、采购代理服务费缴纳账户信息：</w:t>
      </w:r>
    </w:p>
    <w:p w14:paraId="37E8084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户  名：重庆麦迪逊招投标代理有限公司</w:t>
      </w:r>
    </w:p>
    <w:p w14:paraId="04D91DAC">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开户行：中信银行上清寺支行</w:t>
      </w:r>
    </w:p>
    <w:p w14:paraId="74AD27D4">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账  号：7421910182600037951</w:t>
      </w:r>
    </w:p>
    <w:p w14:paraId="5C3583D9">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16" w:name="_Toc102227322"/>
      <w:bookmarkStart w:id="117" w:name="_Toc342913396"/>
      <w:bookmarkStart w:id="118" w:name="_Toc76462346"/>
      <w:bookmarkStart w:id="119" w:name="_Toc106030901"/>
      <w:bookmarkStart w:id="120" w:name="_Toc26411"/>
      <w:r>
        <w:rPr>
          <w:rFonts w:hint="eastAsia" w:ascii="微软雅黑" w:hAnsi="微软雅黑" w:eastAsia="微软雅黑" w:cs="微软雅黑"/>
          <w:color w:val="auto"/>
          <w:sz w:val="24"/>
          <w:szCs w:val="24"/>
          <w:highlight w:val="none"/>
          <w:lang w:val="en-US" w:eastAsia="zh-CN"/>
        </w:rPr>
        <w:t>十</w:t>
      </w:r>
      <w:r>
        <w:rPr>
          <w:rFonts w:hint="eastAsia" w:ascii="微软雅黑" w:hAnsi="微软雅黑" w:eastAsia="微软雅黑" w:cs="微软雅黑"/>
          <w:color w:val="auto"/>
          <w:sz w:val="24"/>
          <w:szCs w:val="24"/>
          <w:highlight w:val="none"/>
        </w:rPr>
        <w:t>、签订</w:t>
      </w:r>
      <w:bookmarkEnd w:id="116"/>
      <w:r>
        <w:rPr>
          <w:rFonts w:hint="eastAsia" w:ascii="微软雅黑" w:hAnsi="微软雅黑" w:eastAsia="微软雅黑" w:cs="微软雅黑"/>
          <w:color w:val="auto"/>
          <w:sz w:val="24"/>
          <w:szCs w:val="24"/>
          <w:highlight w:val="none"/>
        </w:rPr>
        <w:t>合同</w:t>
      </w:r>
      <w:bookmarkEnd w:id="117"/>
      <w:bookmarkEnd w:id="118"/>
      <w:bookmarkEnd w:id="119"/>
      <w:bookmarkEnd w:id="120"/>
    </w:p>
    <w:p w14:paraId="49F8B781">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（一）采购人原则上应在结果公告发出之日起二十日内和成交供应商签订政府采购合同，无正当理由不得拒绝或拖延合同签订。所签订的合同不得对</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文件和供应商的响应文件作实质性修改。其他未尽事宜由采购人和成交供应商在采购合同中详细约定。</w:t>
      </w:r>
    </w:p>
    <w:p w14:paraId="5D27A5E2">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（二）</w:t>
      </w:r>
      <w:r>
        <w:rPr>
          <w:rFonts w:hint="eastAsia" w:ascii="微软雅黑" w:hAnsi="微软雅黑" w:eastAsia="微软雅黑" w:cs="微软雅黑"/>
          <w:color w:val="auto"/>
          <w:sz w:val="24"/>
          <w:szCs w:val="24"/>
          <w:highlight w:val="none"/>
          <w:lang w:eastAsia="zh-CN"/>
        </w:rPr>
        <w:t>询价</w:t>
      </w:r>
      <w:r>
        <w:rPr>
          <w:rFonts w:hint="eastAsia" w:ascii="微软雅黑" w:hAnsi="微软雅黑" w:eastAsia="微软雅黑" w:cs="微软雅黑"/>
          <w:color w:val="auto"/>
          <w:sz w:val="24"/>
          <w:szCs w:val="24"/>
          <w:highlight w:val="none"/>
        </w:rPr>
        <w:t>文件、供应商的响应文件及澄清文件等，均为签订政府采购合同的依据。</w:t>
      </w:r>
    </w:p>
    <w:p w14:paraId="31FE2FD0">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（三）合同生效条款由供需双方约定，法律、行政法规规定应当办理批准、登记等手续后生效的合同，依照其规定。</w:t>
      </w:r>
    </w:p>
    <w:p w14:paraId="382A9DC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（四）合同原则上应按照《重庆市政府采购合同》签订，相关单位要求适用合同通用格式版本的，应按其要求另行签订其他合同。</w:t>
      </w:r>
    </w:p>
    <w:p w14:paraId="0AD60A2A">
      <w:pPr>
        <w:pStyle w:val="4"/>
        <w:keepNext w:val="0"/>
        <w:keepLines w:val="0"/>
        <w:overflowPunct w:val="0"/>
        <w:spacing w:before="0" w:after="0" w:line="480" w:lineRule="exact"/>
        <w:outlineLvl w:val="0"/>
        <w:rPr>
          <w:rFonts w:hint="eastAsia" w:ascii="微软雅黑" w:hAnsi="微软雅黑" w:eastAsia="微软雅黑" w:cs="微软雅黑"/>
          <w:color w:val="auto"/>
          <w:sz w:val="24"/>
          <w:szCs w:val="24"/>
          <w:highlight w:val="none"/>
        </w:rPr>
      </w:pPr>
      <w:bookmarkStart w:id="121" w:name="_Toc18540"/>
      <w:bookmarkStart w:id="122" w:name="_Toc106030902"/>
      <w:r>
        <w:rPr>
          <w:rFonts w:hint="eastAsia" w:ascii="微软雅黑" w:hAnsi="微软雅黑" w:eastAsia="微软雅黑" w:cs="微软雅黑"/>
          <w:color w:val="auto"/>
          <w:sz w:val="24"/>
          <w:szCs w:val="24"/>
          <w:highlight w:val="none"/>
          <w:lang w:val="en-US" w:eastAsia="zh-CN"/>
        </w:rPr>
        <w:t>十一</w:t>
      </w:r>
      <w:r>
        <w:rPr>
          <w:rFonts w:hint="eastAsia" w:ascii="微软雅黑" w:hAnsi="微软雅黑" w:eastAsia="微软雅黑" w:cs="微软雅黑"/>
          <w:color w:val="auto"/>
          <w:sz w:val="24"/>
          <w:szCs w:val="24"/>
          <w:highlight w:val="none"/>
        </w:rPr>
        <w:t>、项目验收</w:t>
      </w:r>
      <w:bookmarkEnd w:id="121"/>
      <w:bookmarkEnd w:id="122"/>
    </w:p>
    <w:p w14:paraId="788BDC76">
      <w:pPr>
        <w:snapToGrid w:val="0"/>
        <w:spacing w:line="400" w:lineRule="exact"/>
        <w:ind w:firstLine="480" w:firstLineChars="200"/>
        <w:rPr>
          <w:rFonts w:hint="eastAsia" w:ascii="微软雅黑" w:hAnsi="微软雅黑" w:eastAsia="微软雅黑" w:cs="微软雅黑"/>
          <w:b/>
          <w:color w:val="auto"/>
          <w:kern w:val="2"/>
          <w:sz w:val="36"/>
          <w:szCs w:val="30"/>
          <w:highlight w:val="none"/>
        </w:rPr>
      </w:pPr>
      <w:r>
        <w:rPr>
          <w:rFonts w:hint="eastAsia" w:ascii="微软雅黑" w:hAnsi="微软雅黑" w:eastAsia="微软雅黑" w:cs="微软雅黑"/>
          <w:color w:val="auto"/>
          <w:sz w:val="24"/>
          <w:szCs w:val="24"/>
          <w:highlight w:val="none"/>
        </w:rPr>
        <w:t>合同执行完毕，采购人或采购代理机构原则上应在5个工作日内组织履约情况验收，不得无故拖延或附加额外条件。</w:t>
      </w:r>
      <w:bookmarkStart w:id="123" w:name="_Toc109836391"/>
    </w:p>
    <w:p w14:paraId="79DD75DD">
      <w:pPr>
        <w:pStyle w:val="30"/>
        <w:widowControl w:val="0"/>
        <w:ind w:firstLine="0" w:firstLineChars="0"/>
        <w:jc w:val="center"/>
        <w:outlineLvl w:val="9"/>
        <w:rPr>
          <w:rFonts w:hint="eastAsia" w:ascii="微软雅黑" w:hAnsi="微软雅黑" w:eastAsia="微软雅黑" w:cs="微软雅黑"/>
          <w:b/>
          <w:color w:val="auto"/>
          <w:kern w:val="2"/>
          <w:sz w:val="36"/>
          <w:szCs w:val="30"/>
          <w:highlight w:val="none"/>
        </w:rPr>
        <w:sectPr>
          <w:pgSz w:w="11907" w:h="16840"/>
          <w:pgMar w:top="1134" w:right="1191" w:bottom="1134" w:left="1304" w:header="851" w:footer="992" w:gutter="0"/>
          <w:cols w:space="720" w:num="1"/>
          <w:docGrid w:linePitch="380" w:charSpace="-5735"/>
        </w:sectPr>
      </w:pPr>
    </w:p>
    <w:p w14:paraId="535CCBB3">
      <w:pPr>
        <w:pStyle w:val="30"/>
        <w:widowControl w:val="0"/>
        <w:ind w:firstLine="0" w:firstLineChars="0"/>
        <w:jc w:val="center"/>
        <w:outlineLvl w:val="0"/>
        <w:rPr>
          <w:rFonts w:hint="eastAsia" w:ascii="微软雅黑" w:hAnsi="微软雅黑" w:eastAsia="微软雅黑" w:cs="微软雅黑"/>
          <w:b/>
          <w:color w:val="auto"/>
          <w:kern w:val="2"/>
          <w:sz w:val="36"/>
          <w:szCs w:val="30"/>
          <w:highlight w:val="none"/>
        </w:rPr>
      </w:pPr>
      <w:bookmarkStart w:id="124" w:name="_Toc32318"/>
      <w:r>
        <w:rPr>
          <w:rFonts w:hint="eastAsia" w:ascii="微软雅黑" w:hAnsi="微软雅黑" w:eastAsia="微软雅黑" w:cs="微软雅黑"/>
          <w:b/>
          <w:color w:val="auto"/>
          <w:kern w:val="2"/>
          <w:sz w:val="36"/>
          <w:szCs w:val="30"/>
          <w:highlight w:val="none"/>
        </w:rPr>
        <w:t>第</w:t>
      </w:r>
      <w:r>
        <w:rPr>
          <w:rFonts w:hint="eastAsia" w:ascii="微软雅黑" w:hAnsi="微软雅黑" w:eastAsia="微软雅黑" w:cs="微软雅黑"/>
          <w:b/>
          <w:color w:val="auto"/>
          <w:kern w:val="2"/>
          <w:sz w:val="36"/>
          <w:szCs w:val="30"/>
          <w:highlight w:val="none"/>
          <w:lang w:val="en-US" w:eastAsia="zh-CN"/>
        </w:rPr>
        <w:t>五</w:t>
      </w:r>
      <w:r>
        <w:rPr>
          <w:rFonts w:hint="eastAsia" w:ascii="微软雅黑" w:hAnsi="微软雅黑" w:eastAsia="微软雅黑" w:cs="微软雅黑"/>
          <w:b/>
          <w:color w:val="auto"/>
          <w:kern w:val="2"/>
          <w:sz w:val="36"/>
          <w:szCs w:val="30"/>
          <w:highlight w:val="none"/>
        </w:rPr>
        <w:t>篇  网上</w:t>
      </w:r>
      <w:r>
        <w:rPr>
          <w:rFonts w:hint="eastAsia" w:ascii="微软雅黑" w:hAnsi="微软雅黑" w:eastAsia="微软雅黑" w:cs="微软雅黑"/>
          <w:b/>
          <w:color w:val="auto"/>
          <w:kern w:val="2"/>
          <w:sz w:val="36"/>
          <w:szCs w:val="30"/>
          <w:highlight w:val="none"/>
          <w:lang w:eastAsia="zh-CN"/>
        </w:rPr>
        <w:t>询价</w:t>
      </w:r>
      <w:r>
        <w:rPr>
          <w:rFonts w:hint="eastAsia" w:ascii="微软雅黑" w:hAnsi="微软雅黑" w:eastAsia="微软雅黑" w:cs="微软雅黑"/>
          <w:b/>
          <w:color w:val="auto"/>
          <w:kern w:val="2"/>
          <w:sz w:val="36"/>
          <w:szCs w:val="30"/>
          <w:highlight w:val="none"/>
        </w:rPr>
        <w:t>合同</w:t>
      </w:r>
      <w:bookmarkEnd w:id="123"/>
      <w:bookmarkEnd w:id="124"/>
    </w:p>
    <w:p w14:paraId="6FAB5534">
      <w:pPr>
        <w:snapToGrid w:val="0"/>
        <w:spacing w:line="400" w:lineRule="exact"/>
        <w:ind w:firstLine="480" w:firstLineChars="200"/>
        <w:jc w:val="center"/>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（项目采购编号：     ）</w:t>
      </w:r>
    </w:p>
    <w:p w14:paraId="7A1FB30D">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甲方（需方）：___________________________</w:t>
      </w:r>
    </w:p>
    <w:p w14:paraId="134A121B">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乙方（供方）：___________________________</w:t>
      </w:r>
    </w:p>
    <w:p w14:paraId="281808DA">
      <w:pPr>
        <w:snapToGrid w:val="0"/>
        <w:spacing w:line="400" w:lineRule="exact"/>
        <w:ind w:firstLine="480" w:firstLineChars="200"/>
        <w:rPr>
          <w:rFonts w:hint="eastAsia" w:ascii="微软雅黑" w:hAnsi="微软雅黑" w:eastAsia="微软雅黑" w:cs="微软雅黑"/>
          <w:color w:val="auto"/>
          <w:sz w:val="24"/>
          <w:szCs w:val="24"/>
          <w:highlight w:val="none"/>
        </w:rPr>
      </w:pPr>
      <w:r>
        <w:rPr>
          <w:rFonts w:hint="eastAsia" w:ascii="微软雅黑" w:hAnsi="微软雅黑" w:eastAsia="微软雅黑" w:cs="微软雅黑"/>
          <w:color w:val="auto"/>
          <w:sz w:val="24"/>
          <w:szCs w:val="24"/>
          <w:highlight w:val="none"/>
        </w:rPr>
        <w:t>经双方协商一致，达成以下购销合同：</w:t>
      </w:r>
    </w:p>
    <w:tbl>
      <w:tblPr>
        <w:tblStyle w:val="26"/>
        <w:tblW w:w="9628"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71"/>
        <w:gridCol w:w="1432"/>
        <w:gridCol w:w="567"/>
        <w:gridCol w:w="2268"/>
        <w:gridCol w:w="2275"/>
        <w:gridCol w:w="15"/>
      </w:tblGrid>
      <w:tr w14:paraId="0A41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1293DFA8">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项目内容</w:t>
            </w:r>
          </w:p>
        </w:tc>
        <w:tc>
          <w:tcPr>
            <w:tcW w:w="1999" w:type="dxa"/>
            <w:gridSpan w:val="2"/>
            <w:noWrap/>
            <w:vAlign w:val="center"/>
          </w:tcPr>
          <w:p w14:paraId="1D3DCDD2">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总价</w:t>
            </w:r>
          </w:p>
        </w:tc>
        <w:tc>
          <w:tcPr>
            <w:tcW w:w="2268" w:type="dxa"/>
            <w:noWrap/>
            <w:vAlign w:val="center"/>
          </w:tcPr>
          <w:p w14:paraId="49D426FA">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服务时间</w:t>
            </w:r>
          </w:p>
        </w:tc>
        <w:tc>
          <w:tcPr>
            <w:tcW w:w="2275" w:type="dxa"/>
            <w:noWrap/>
            <w:vAlign w:val="center"/>
          </w:tcPr>
          <w:p w14:paraId="259D6FB0">
            <w:pPr>
              <w:snapToGrid w:val="0"/>
              <w:jc w:val="center"/>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服务地点</w:t>
            </w:r>
          </w:p>
        </w:tc>
      </w:tr>
      <w:tr w14:paraId="555E0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trHeight w:val="358" w:hRule="atLeast"/>
        </w:trPr>
        <w:tc>
          <w:tcPr>
            <w:tcW w:w="3071" w:type="dxa"/>
            <w:noWrap/>
            <w:vAlign w:val="center"/>
          </w:tcPr>
          <w:p w14:paraId="08C33A87">
            <w:pPr>
              <w:snapToGrid w:val="0"/>
              <w:jc w:val="center"/>
              <w:rPr>
                <w:rFonts w:hint="eastAsia" w:ascii="微软雅黑" w:hAnsi="微软雅黑" w:eastAsia="微软雅黑" w:cs="微软雅黑"/>
                <w:color w:val="auto"/>
                <w:sz w:val="21"/>
                <w:szCs w:val="21"/>
                <w:highlight w:val="none"/>
              </w:rPr>
            </w:pPr>
          </w:p>
        </w:tc>
        <w:tc>
          <w:tcPr>
            <w:tcW w:w="1999" w:type="dxa"/>
            <w:gridSpan w:val="2"/>
            <w:noWrap/>
            <w:vAlign w:val="center"/>
          </w:tcPr>
          <w:p w14:paraId="674A15C6">
            <w:pPr>
              <w:snapToGrid w:val="0"/>
              <w:jc w:val="center"/>
              <w:rPr>
                <w:rFonts w:hint="eastAsia" w:ascii="微软雅黑" w:hAnsi="微软雅黑" w:eastAsia="微软雅黑" w:cs="微软雅黑"/>
                <w:color w:val="auto"/>
                <w:sz w:val="21"/>
                <w:szCs w:val="21"/>
                <w:highlight w:val="none"/>
              </w:rPr>
            </w:pPr>
          </w:p>
        </w:tc>
        <w:tc>
          <w:tcPr>
            <w:tcW w:w="2268" w:type="dxa"/>
            <w:noWrap/>
            <w:vAlign w:val="center"/>
          </w:tcPr>
          <w:p w14:paraId="3FE25AF5">
            <w:pPr>
              <w:snapToGrid w:val="0"/>
              <w:jc w:val="center"/>
              <w:rPr>
                <w:rFonts w:hint="eastAsia" w:ascii="微软雅黑" w:hAnsi="微软雅黑" w:eastAsia="微软雅黑" w:cs="微软雅黑"/>
                <w:color w:val="auto"/>
                <w:sz w:val="21"/>
                <w:szCs w:val="21"/>
                <w:highlight w:val="none"/>
              </w:rPr>
            </w:pPr>
          </w:p>
        </w:tc>
        <w:tc>
          <w:tcPr>
            <w:tcW w:w="2275" w:type="dxa"/>
            <w:noWrap/>
            <w:vAlign w:val="center"/>
          </w:tcPr>
          <w:p w14:paraId="7E344342">
            <w:pPr>
              <w:snapToGrid w:val="0"/>
              <w:jc w:val="center"/>
              <w:rPr>
                <w:rFonts w:hint="eastAsia" w:ascii="微软雅黑" w:hAnsi="微软雅黑" w:eastAsia="微软雅黑" w:cs="微软雅黑"/>
                <w:color w:val="auto"/>
                <w:sz w:val="21"/>
                <w:szCs w:val="21"/>
                <w:highlight w:val="none"/>
              </w:rPr>
            </w:pPr>
          </w:p>
        </w:tc>
      </w:tr>
      <w:tr w14:paraId="63ADD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3C8DC28A">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合计人民币（小写）：</w:t>
            </w:r>
          </w:p>
        </w:tc>
      </w:tr>
      <w:tr w14:paraId="3CFB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58" w:hRule="atLeast"/>
        </w:trPr>
        <w:tc>
          <w:tcPr>
            <w:tcW w:w="9613" w:type="dxa"/>
            <w:gridSpan w:val="5"/>
            <w:noWrap/>
            <w:vAlign w:val="center"/>
          </w:tcPr>
          <w:p w14:paraId="7F79DAC4">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合计人民币（大写）：</w:t>
            </w:r>
          </w:p>
        </w:tc>
      </w:tr>
      <w:tr w14:paraId="62423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745" w:hRule="atLeast"/>
        </w:trPr>
        <w:tc>
          <w:tcPr>
            <w:tcW w:w="9613" w:type="dxa"/>
            <w:gridSpan w:val="5"/>
            <w:noWrap/>
          </w:tcPr>
          <w:p w14:paraId="42F93573">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一、质量要求和技术标准：</w:t>
            </w:r>
          </w:p>
          <w:p w14:paraId="11557872">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1、服务措施：</w:t>
            </w:r>
          </w:p>
          <w:p w14:paraId="7423DA95">
            <w:pPr>
              <w:snapToGrid w:val="0"/>
              <w:rPr>
                <w:rFonts w:hint="eastAsia" w:ascii="微软雅黑" w:hAnsi="微软雅黑" w:eastAsia="微软雅黑" w:cs="微软雅黑"/>
                <w:color w:val="auto"/>
                <w:sz w:val="21"/>
                <w:szCs w:val="21"/>
                <w:highlight w:val="none"/>
              </w:rPr>
            </w:pPr>
          </w:p>
        </w:tc>
      </w:tr>
      <w:tr w14:paraId="343DA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628" w:type="dxa"/>
            <w:gridSpan w:val="6"/>
            <w:noWrap/>
          </w:tcPr>
          <w:p w14:paraId="08033E56">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二、验收标准、方法：</w:t>
            </w:r>
          </w:p>
          <w:p w14:paraId="0ED5B45B">
            <w:pPr>
              <w:snapToGrid w:val="0"/>
              <w:rPr>
                <w:rFonts w:hint="eastAsia" w:ascii="微软雅黑" w:hAnsi="微软雅黑" w:eastAsia="微软雅黑" w:cs="微软雅黑"/>
                <w:color w:val="auto"/>
                <w:sz w:val="21"/>
                <w:szCs w:val="21"/>
                <w:highlight w:val="none"/>
              </w:rPr>
            </w:pPr>
          </w:p>
        </w:tc>
      </w:tr>
      <w:tr w14:paraId="0A46D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9628" w:type="dxa"/>
            <w:gridSpan w:val="6"/>
            <w:noWrap/>
          </w:tcPr>
          <w:p w14:paraId="41321BB1">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三、付款方式：</w:t>
            </w:r>
          </w:p>
          <w:p w14:paraId="4F69225B">
            <w:pPr>
              <w:pStyle w:val="14"/>
              <w:snapToGrid w:val="0"/>
              <w:ind w:left="1540" w:hanging="420"/>
              <w:rPr>
                <w:rFonts w:hint="eastAsia" w:ascii="微软雅黑" w:hAnsi="微软雅黑" w:eastAsia="微软雅黑" w:cs="微软雅黑"/>
                <w:color w:val="auto"/>
                <w:sz w:val="21"/>
                <w:szCs w:val="21"/>
                <w:highlight w:val="none"/>
              </w:rPr>
            </w:pPr>
          </w:p>
        </w:tc>
      </w:tr>
      <w:tr w14:paraId="238F0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7" w:hRule="atLeast"/>
        </w:trPr>
        <w:tc>
          <w:tcPr>
            <w:tcW w:w="9628" w:type="dxa"/>
            <w:gridSpan w:val="6"/>
            <w:noWrap/>
          </w:tcPr>
          <w:p w14:paraId="1EB4FECE">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四、违约责任：</w:t>
            </w:r>
          </w:p>
          <w:p w14:paraId="42003AD5">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按《中华人民共和国民法典》、《政府采购法》执行，或按双方约定。</w:t>
            </w:r>
          </w:p>
        </w:tc>
      </w:tr>
      <w:tr w14:paraId="73B00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9628" w:type="dxa"/>
            <w:gridSpan w:val="6"/>
            <w:noWrap/>
          </w:tcPr>
          <w:p w14:paraId="119FAD76">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五、其他约定事项：</w:t>
            </w:r>
          </w:p>
          <w:p w14:paraId="3913BDC6">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1、采购文件及其补遗文件、投标文件和承诺是本合同不可分割的部分。</w:t>
            </w:r>
          </w:p>
          <w:p w14:paraId="7E27F2F9">
            <w:pPr>
              <w:snapToGrid w:val="0"/>
              <w:ind w:left="36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本合同如发生争议由双方协商解决，协商不成向需方所在人民法院提请诉讼。</w:t>
            </w:r>
          </w:p>
          <w:p w14:paraId="61C90FAE">
            <w:pPr>
              <w:snapToGrid w:val="0"/>
              <w:ind w:left="36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本合同一式__份， 需方__份，供方__份，具同等法律效力。</w:t>
            </w:r>
          </w:p>
          <w:p w14:paraId="1837A3CB">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2、其他：</w:t>
            </w:r>
          </w:p>
        </w:tc>
      </w:tr>
      <w:tr w14:paraId="1F7C9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7" w:hRule="atLeast"/>
        </w:trPr>
        <w:tc>
          <w:tcPr>
            <w:tcW w:w="4503" w:type="dxa"/>
            <w:gridSpan w:val="2"/>
            <w:noWrap/>
          </w:tcPr>
          <w:p w14:paraId="328C80CB">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需方：</w:t>
            </w:r>
          </w:p>
          <w:p w14:paraId="30B38FC0">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6C532B6E">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联系电话：</w:t>
            </w:r>
          </w:p>
          <w:p w14:paraId="2AAC014B">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tc>
        <w:tc>
          <w:tcPr>
            <w:tcW w:w="5125" w:type="dxa"/>
            <w:gridSpan w:val="4"/>
            <w:noWrap/>
          </w:tcPr>
          <w:p w14:paraId="2BACDAA0">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供方：</w:t>
            </w:r>
          </w:p>
          <w:p w14:paraId="6B1E2423">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地址：</w:t>
            </w:r>
          </w:p>
          <w:p w14:paraId="586D5B75">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电话：</w:t>
            </w:r>
          </w:p>
          <w:p w14:paraId="0DDA6A2F">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传真：</w:t>
            </w:r>
          </w:p>
          <w:p w14:paraId="1F78BDF2">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开户银行：</w:t>
            </w:r>
          </w:p>
          <w:p w14:paraId="6083F107">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账号：</w:t>
            </w:r>
          </w:p>
          <w:p w14:paraId="496D4E48">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授权代表：</w:t>
            </w:r>
          </w:p>
          <w:p w14:paraId="5170023D">
            <w:pPr>
              <w:snapToGrid w:val="0"/>
              <w:jc w:val="left"/>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（本栏请用计算机打印以便于准确付款）</w:t>
            </w:r>
          </w:p>
        </w:tc>
      </w:tr>
      <w:tr w14:paraId="44337A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9628" w:type="dxa"/>
            <w:gridSpan w:val="6"/>
            <w:noWrap/>
          </w:tcPr>
          <w:p w14:paraId="5847ECC7">
            <w:pPr>
              <w:snapToGrid w:val="0"/>
              <w:rPr>
                <w:rFonts w:hint="eastAsia" w:ascii="微软雅黑" w:hAnsi="微软雅黑" w:eastAsia="微软雅黑" w:cs="微软雅黑"/>
                <w:color w:val="auto"/>
                <w:sz w:val="21"/>
                <w:szCs w:val="21"/>
                <w:highlight w:val="none"/>
              </w:rPr>
            </w:pPr>
            <w:r>
              <w:rPr>
                <w:rFonts w:hint="eastAsia" w:ascii="微软雅黑" w:hAnsi="微软雅黑" w:eastAsia="微软雅黑" w:cs="微软雅黑"/>
                <w:color w:val="auto"/>
                <w:sz w:val="21"/>
                <w:szCs w:val="21"/>
                <w:highlight w:val="none"/>
              </w:rPr>
              <w:t>备注：</w:t>
            </w:r>
          </w:p>
        </w:tc>
      </w:tr>
    </w:tbl>
    <w:p w14:paraId="0C2A3765">
      <w:pPr>
        <w:pStyle w:val="30"/>
        <w:widowControl w:val="0"/>
        <w:ind w:firstLine="480"/>
        <w:rPr>
          <w:rFonts w:hint="eastAsia" w:ascii="微软雅黑" w:hAnsi="微软雅黑" w:eastAsia="微软雅黑" w:cs="微软雅黑"/>
          <w:b/>
          <w:color w:val="auto"/>
          <w:kern w:val="2"/>
          <w:sz w:val="36"/>
          <w:szCs w:val="30"/>
          <w:highlight w:val="none"/>
        </w:rPr>
      </w:pPr>
      <w:r>
        <w:rPr>
          <w:rFonts w:hint="eastAsia" w:ascii="微软雅黑" w:hAnsi="微软雅黑" w:eastAsia="微软雅黑" w:cs="微软雅黑"/>
          <w:color w:val="auto"/>
          <w:highlight w:val="none"/>
        </w:rPr>
        <w:t>签约时间：           年   月   日         签约地点：</w:t>
      </w:r>
      <w:bookmarkStart w:id="125" w:name="_Toc10837"/>
    </w:p>
    <w:p w14:paraId="799BFB16">
      <w:pPr>
        <w:pStyle w:val="30"/>
        <w:widowControl w:val="0"/>
        <w:ind w:firstLine="0" w:firstLineChars="0"/>
        <w:jc w:val="center"/>
        <w:outlineLvl w:val="9"/>
        <w:rPr>
          <w:rFonts w:hint="eastAsia" w:ascii="微软雅黑" w:hAnsi="微软雅黑" w:eastAsia="微软雅黑" w:cs="微软雅黑"/>
          <w:b/>
          <w:color w:val="auto"/>
          <w:kern w:val="2"/>
          <w:sz w:val="36"/>
          <w:szCs w:val="30"/>
          <w:highlight w:val="none"/>
        </w:rPr>
        <w:sectPr>
          <w:pgSz w:w="11907" w:h="16840"/>
          <w:pgMar w:top="1134" w:right="1191" w:bottom="1134" w:left="1304" w:header="851" w:footer="992" w:gutter="0"/>
          <w:cols w:space="720" w:num="1"/>
          <w:docGrid w:linePitch="380" w:charSpace="-5735"/>
        </w:sectPr>
      </w:pPr>
    </w:p>
    <w:p w14:paraId="2CE498B8">
      <w:pPr>
        <w:pStyle w:val="30"/>
        <w:widowControl w:val="0"/>
        <w:ind w:firstLine="0" w:firstLineChars="0"/>
        <w:jc w:val="center"/>
        <w:outlineLvl w:val="0"/>
        <w:rPr>
          <w:rFonts w:hint="eastAsia" w:ascii="微软雅黑" w:hAnsi="微软雅黑" w:eastAsia="微软雅黑" w:cs="微软雅黑"/>
          <w:b/>
          <w:color w:val="auto"/>
          <w:kern w:val="2"/>
          <w:sz w:val="36"/>
          <w:szCs w:val="30"/>
          <w:highlight w:val="none"/>
        </w:rPr>
      </w:pPr>
      <w:bookmarkStart w:id="126" w:name="_Toc28980"/>
      <w:r>
        <w:rPr>
          <w:rFonts w:hint="eastAsia" w:ascii="微软雅黑" w:hAnsi="微软雅黑" w:eastAsia="微软雅黑" w:cs="微软雅黑"/>
          <w:b/>
          <w:color w:val="auto"/>
          <w:kern w:val="2"/>
          <w:sz w:val="36"/>
          <w:szCs w:val="30"/>
          <w:highlight w:val="none"/>
        </w:rPr>
        <w:t>第</w:t>
      </w:r>
      <w:r>
        <w:rPr>
          <w:rFonts w:hint="eastAsia" w:ascii="微软雅黑" w:hAnsi="微软雅黑" w:eastAsia="微软雅黑" w:cs="微软雅黑"/>
          <w:b/>
          <w:color w:val="auto"/>
          <w:kern w:val="2"/>
          <w:sz w:val="36"/>
          <w:szCs w:val="30"/>
          <w:highlight w:val="none"/>
          <w:lang w:val="en-US" w:eastAsia="zh-CN"/>
        </w:rPr>
        <w:t>六</w:t>
      </w:r>
      <w:r>
        <w:rPr>
          <w:rFonts w:hint="eastAsia" w:ascii="微软雅黑" w:hAnsi="微软雅黑" w:eastAsia="微软雅黑" w:cs="微软雅黑"/>
          <w:b/>
          <w:color w:val="auto"/>
          <w:kern w:val="2"/>
          <w:sz w:val="36"/>
          <w:szCs w:val="30"/>
          <w:highlight w:val="none"/>
        </w:rPr>
        <w:t>篇  响应文件编制要求</w:t>
      </w:r>
      <w:bookmarkEnd w:id="125"/>
      <w:bookmarkEnd w:id="126"/>
    </w:p>
    <w:p w14:paraId="2AADA421">
      <w:pPr>
        <w:spacing w:line="440" w:lineRule="exact"/>
        <w:ind w:firstLine="480" w:firstLineChars="200"/>
        <w:rPr>
          <w:rFonts w:ascii="宋体" w:hAnsi="宋体" w:cs="宋体"/>
          <w:color w:val="auto"/>
          <w:sz w:val="24"/>
          <w:szCs w:val="24"/>
          <w:highlight w:val="none"/>
        </w:rPr>
      </w:pPr>
      <w:r>
        <w:rPr>
          <w:rFonts w:hint="eastAsia" w:ascii="微软雅黑" w:hAnsi="微软雅黑" w:eastAsia="微软雅黑" w:cs="微软雅黑"/>
          <w:color w:val="auto"/>
          <w:sz w:val="24"/>
          <w:szCs w:val="24"/>
          <w:highlight w:val="none"/>
        </w:rPr>
        <w:t>一、</w:t>
      </w:r>
      <w:bookmarkStart w:id="127" w:name="_Hlk27399531"/>
      <w:r>
        <w:rPr>
          <w:rFonts w:hint="eastAsia" w:ascii="宋体" w:hAnsi="宋体" w:cs="宋体"/>
          <w:color w:val="auto"/>
          <w:sz w:val="24"/>
          <w:szCs w:val="24"/>
          <w:highlight w:val="none"/>
        </w:rPr>
        <w:t>经济部分</w:t>
      </w:r>
    </w:p>
    <w:p w14:paraId="27555959">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（一）网上询价报价函</w:t>
      </w:r>
    </w:p>
    <w:p w14:paraId="2623BB6A">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（二）分项报价明细表</w:t>
      </w:r>
    </w:p>
    <w:p w14:paraId="1216AC3B">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二、技术部分</w:t>
      </w:r>
    </w:p>
    <w:p w14:paraId="215E17A4">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（一）技术响应偏离表</w:t>
      </w:r>
    </w:p>
    <w:p w14:paraId="627B7F57">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（二）其他技术资料（格式自定）</w:t>
      </w:r>
    </w:p>
    <w:p w14:paraId="71E07328">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三、商务部分</w:t>
      </w:r>
    </w:p>
    <w:p w14:paraId="29C730AE">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（一）商务响应偏离表</w:t>
      </w:r>
    </w:p>
    <w:p w14:paraId="59C3DC33">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（二）其它优惠服务承诺</w:t>
      </w:r>
    </w:p>
    <w:p w14:paraId="52433420">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四、资格条件及其他</w:t>
      </w:r>
    </w:p>
    <w:p w14:paraId="61D316FB">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7236E9C1">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（二）法定代表人身份证明书（格式）</w:t>
      </w:r>
    </w:p>
    <w:p w14:paraId="0D25E046">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（三）法定代表人授权委托书（格式）</w:t>
      </w:r>
    </w:p>
    <w:p w14:paraId="67EDB5C3">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（四）基本资格条件承诺函（格式）</w:t>
      </w:r>
    </w:p>
    <w:p w14:paraId="21A0D57C">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（五）特定资格条件证明文件（如果有）</w:t>
      </w:r>
    </w:p>
    <w:p w14:paraId="453AEB1F">
      <w:pPr>
        <w:spacing w:line="44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五、其他应提供的资料</w:t>
      </w:r>
    </w:p>
    <w:p w14:paraId="4095B336">
      <w:pPr>
        <w:snapToGrid w:val="0"/>
        <w:spacing w:line="400" w:lineRule="exact"/>
        <w:ind w:firstLine="480" w:firstLineChars="200"/>
        <w:rPr>
          <w:rFonts w:ascii="宋体" w:hAnsi="宋体" w:cs="宋体"/>
          <w:color w:val="auto"/>
          <w:sz w:val="24"/>
          <w:szCs w:val="24"/>
          <w:highlight w:val="none"/>
        </w:rPr>
      </w:pPr>
      <w:bookmarkStart w:id="128" w:name="_Toc313888360"/>
      <w:bookmarkStart w:id="129" w:name="_Toc313008356"/>
      <w:bookmarkStart w:id="130" w:name="_Toc342913419"/>
      <w:bookmarkStart w:id="131" w:name="_Toc283382454"/>
      <w:bookmarkStart w:id="132" w:name="_Toc12789073"/>
      <w:r>
        <w:rPr>
          <w:rFonts w:hint="eastAsia" w:ascii="宋体" w:hAnsi="宋体" w:cs="宋体"/>
          <w:color w:val="auto"/>
          <w:sz w:val="24"/>
          <w:szCs w:val="24"/>
          <w:highlight w:val="none"/>
        </w:rPr>
        <w:t>（一）其他与项目有关的资料（自附）</w:t>
      </w:r>
    </w:p>
    <w:p w14:paraId="74A99BE7">
      <w:pPr>
        <w:snapToGrid w:val="0"/>
        <w:spacing w:line="360" w:lineRule="auto"/>
        <w:rPr>
          <w:rFonts w:ascii="宋体" w:hAnsi="宋体" w:cs="宋体"/>
          <w:color w:val="auto"/>
          <w:sz w:val="24"/>
          <w:szCs w:val="24"/>
          <w:highlight w:val="none"/>
          <w:bdr w:val="single" w:color="auto" w:sz="4" w:space="0"/>
        </w:rPr>
        <w:sectPr>
          <w:headerReference r:id="rId8" w:type="default"/>
          <w:footerReference r:id="rId9" w:type="default"/>
          <w:pgSz w:w="11907" w:h="16840"/>
          <w:pgMar w:top="1134" w:right="1191" w:bottom="1134" w:left="1304" w:header="680" w:footer="992" w:gutter="0"/>
          <w:pgNumType w:fmt="numberInDash"/>
          <w:cols w:space="720" w:num="1"/>
          <w:rtlGutter w:val="0"/>
          <w:docGrid w:type="lines" w:linePitch="383" w:charSpace="0"/>
        </w:sectPr>
      </w:pPr>
    </w:p>
    <w:p w14:paraId="489A9B35">
      <w:pPr>
        <w:pStyle w:val="4"/>
        <w:spacing w:before="0" w:after="0" w:line="360" w:lineRule="auto"/>
        <w:rPr>
          <w:rFonts w:ascii="宋体" w:hAnsi="宋体" w:cs="宋体"/>
          <w:color w:val="auto"/>
          <w:sz w:val="24"/>
          <w:szCs w:val="24"/>
          <w:highlight w:val="none"/>
        </w:rPr>
      </w:pPr>
      <w:bookmarkStart w:id="133" w:name="_Toc9719"/>
      <w:bookmarkStart w:id="134" w:name="_Toc11962"/>
      <w:bookmarkStart w:id="135" w:name="_Toc659"/>
      <w:bookmarkStart w:id="136" w:name="_Toc25359"/>
      <w:r>
        <w:rPr>
          <w:rFonts w:hint="eastAsia" w:ascii="宋体" w:hAnsi="宋体" w:cs="宋体"/>
          <w:color w:val="auto"/>
          <w:sz w:val="24"/>
          <w:szCs w:val="24"/>
          <w:highlight w:val="none"/>
        </w:rPr>
        <w:t>一、经济部分</w:t>
      </w:r>
      <w:bookmarkEnd w:id="128"/>
      <w:bookmarkEnd w:id="129"/>
      <w:bookmarkEnd w:id="130"/>
      <w:bookmarkEnd w:id="133"/>
      <w:bookmarkEnd w:id="134"/>
      <w:bookmarkEnd w:id="135"/>
      <w:bookmarkEnd w:id="136"/>
    </w:p>
    <w:bookmarkEnd w:id="131"/>
    <w:bookmarkEnd w:id="132"/>
    <w:p w14:paraId="29333BF3">
      <w:pPr>
        <w:bidi w:val="0"/>
        <w:rPr>
          <w:color w:val="auto"/>
          <w:highlight w:val="none"/>
        </w:rPr>
      </w:pPr>
      <w:r>
        <w:rPr>
          <w:rFonts w:hint="eastAsia"/>
          <w:color w:val="auto"/>
          <w:highlight w:val="none"/>
        </w:rPr>
        <w:t>（一）网上询价报价函</w:t>
      </w:r>
    </w:p>
    <w:p w14:paraId="6D183115">
      <w:pPr>
        <w:bidi w:val="0"/>
        <w:rPr>
          <w:color w:val="auto"/>
          <w:highlight w:val="none"/>
        </w:rPr>
      </w:pPr>
      <w:r>
        <w:rPr>
          <w:rFonts w:hint="eastAsia"/>
          <w:color w:val="auto"/>
          <w:highlight w:val="none"/>
        </w:rPr>
        <w:t>网上询价报价函</w:t>
      </w:r>
    </w:p>
    <w:p w14:paraId="21BBC46F">
      <w:pPr>
        <w:bidi w:val="0"/>
        <w:rPr>
          <w:color w:val="auto"/>
          <w:highlight w:val="none"/>
        </w:rPr>
      </w:pPr>
      <w:r>
        <w:rPr>
          <w:rFonts w:hint="eastAsia"/>
          <w:color w:val="auto"/>
          <w:highlight w:val="none"/>
        </w:rPr>
        <w:t>（采购代理机构名称）：</w:t>
      </w:r>
    </w:p>
    <w:p w14:paraId="13E39E0D">
      <w:pPr>
        <w:bidi w:val="0"/>
        <w:rPr>
          <w:color w:val="auto"/>
          <w:highlight w:val="none"/>
        </w:rPr>
      </w:pPr>
      <w:r>
        <w:rPr>
          <w:rFonts w:hint="eastAsia"/>
          <w:color w:val="auto"/>
          <w:highlight w:val="none"/>
        </w:rPr>
        <w:t>我方收到____________________________（项目名称）的网上询价文件，经详细研究，决定参加该项目的网上询价。</w:t>
      </w:r>
    </w:p>
    <w:p w14:paraId="0BC315BA">
      <w:pPr>
        <w:bidi w:val="0"/>
        <w:rPr>
          <w:color w:val="auto"/>
          <w:highlight w:val="none"/>
        </w:rPr>
      </w:pPr>
      <w:r>
        <w:rPr>
          <w:rFonts w:hint="eastAsia"/>
          <w:color w:val="auto"/>
          <w:highlight w:val="none"/>
        </w:rPr>
        <w:t>1.愿意按照网上询价文件中的一切要求，提供本项目采购内容及相关服务，询价报价为人民币大写：</w:t>
      </w:r>
      <w:r>
        <w:rPr>
          <w:rFonts w:hint="eastAsia"/>
          <w:color w:val="auto"/>
          <w:highlight w:val="none"/>
          <w:u w:val="single"/>
        </w:rPr>
        <w:t xml:space="preserve">     </w:t>
      </w:r>
      <w:r>
        <w:rPr>
          <w:rFonts w:hint="eastAsia"/>
          <w:color w:val="auto"/>
          <w:highlight w:val="none"/>
        </w:rPr>
        <w:t>，人民币小写：</w:t>
      </w:r>
      <w:r>
        <w:rPr>
          <w:rFonts w:hint="eastAsia"/>
          <w:color w:val="auto"/>
          <w:highlight w:val="none"/>
          <w:u w:val="single"/>
        </w:rPr>
        <w:t xml:space="preserve">    </w:t>
      </w:r>
      <w:r>
        <w:rPr>
          <w:rFonts w:hint="eastAsia"/>
          <w:color w:val="auto"/>
          <w:highlight w:val="none"/>
        </w:rPr>
        <w:t>。</w:t>
      </w:r>
    </w:p>
    <w:p w14:paraId="15076D33">
      <w:pPr>
        <w:bidi w:val="0"/>
        <w:rPr>
          <w:color w:val="auto"/>
          <w:highlight w:val="none"/>
        </w:rPr>
      </w:pPr>
      <w:r>
        <w:rPr>
          <w:rFonts w:hint="eastAsia"/>
          <w:color w:val="auto"/>
          <w:highlight w:val="none"/>
        </w:rPr>
        <w:t>2.我方现提交的响应文件为：响应文件正本</w:t>
      </w:r>
      <w:r>
        <w:rPr>
          <w:rFonts w:hint="eastAsia"/>
          <w:color w:val="auto"/>
          <w:highlight w:val="none"/>
          <w:u w:val="single"/>
        </w:rPr>
        <w:t xml:space="preserve">    </w:t>
      </w:r>
      <w:r>
        <w:rPr>
          <w:rFonts w:hint="eastAsia"/>
          <w:color w:val="auto"/>
          <w:highlight w:val="none"/>
        </w:rPr>
        <w:t>份，副本</w:t>
      </w:r>
      <w:r>
        <w:rPr>
          <w:rFonts w:hint="eastAsia"/>
          <w:color w:val="auto"/>
          <w:highlight w:val="none"/>
          <w:u w:val="single"/>
        </w:rPr>
        <w:t xml:space="preserve">    </w:t>
      </w:r>
      <w:r>
        <w:rPr>
          <w:rFonts w:hint="eastAsia"/>
          <w:color w:val="auto"/>
          <w:highlight w:val="none"/>
        </w:rPr>
        <w:t>份。</w:t>
      </w:r>
    </w:p>
    <w:p w14:paraId="0590D31C">
      <w:pPr>
        <w:bidi w:val="0"/>
        <w:rPr>
          <w:color w:val="auto"/>
          <w:highlight w:val="none"/>
        </w:rPr>
      </w:pPr>
      <w:r>
        <w:rPr>
          <w:rFonts w:hint="eastAsia"/>
          <w:color w:val="auto"/>
          <w:highlight w:val="none"/>
        </w:rPr>
        <w:t>3.我方承诺：本次网上询价的有效期为90天。</w:t>
      </w:r>
    </w:p>
    <w:p w14:paraId="52AAE3ED">
      <w:pPr>
        <w:bidi w:val="0"/>
        <w:rPr>
          <w:color w:val="auto"/>
          <w:highlight w:val="none"/>
        </w:rPr>
      </w:pPr>
      <w:r>
        <w:rPr>
          <w:rFonts w:hint="eastAsia"/>
          <w:color w:val="auto"/>
          <w:highlight w:val="none"/>
        </w:rPr>
        <w:t>4.我方完全理解和接受贵方网上询价文件的一切规定和要求及评审办法。</w:t>
      </w:r>
    </w:p>
    <w:p w14:paraId="6CC555D4">
      <w:pPr>
        <w:bidi w:val="0"/>
        <w:rPr>
          <w:color w:val="auto"/>
          <w:highlight w:val="none"/>
        </w:rPr>
      </w:pPr>
      <w:r>
        <w:rPr>
          <w:rFonts w:hint="eastAsia"/>
          <w:color w:val="auto"/>
          <w:highlight w:val="none"/>
        </w:rPr>
        <w:t>5.在整个网上询价过程中，我方若有违规行为，接受按照《中华人民共和国政府采购法》和《网上询价文件》之规定给予惩罚。</w:t>
      </w:r>
    </w:p>
    <w:p w14:paraId="42B1E7F4">
      <w:pPr>
        <w:bidi w:val="0"/>
        <w:rPr>
          <w:color w:val="auto"/>
          <w:highlight w:val="none"/>
        </w:rPr>
      </w:pPr>
      <w:r>
        <w:rPr>
          <w:rFonts w:hint="eastAsia"/>
          <w:color w:val="auto"/>
          <w:highlight w:val="none"/>
        </w:rPr>
        <w:t>6.我方若成为成交供应商，将按照最终网上询价结果签订合同，并且严格履行合同义务。本承诺函将成为合同不可分割的一部分，与合同具有同等的法律效力。</w:t>
      </w:r>
    </w:p>
    <w:p w14:paraId="3360889A">
      <w:pPr>
        <w:bidi w:val="0"/>
        <w:rPr>
          <w:color w:val="auto"/>
          <w:highlight w:val="none"/>
        </w:rPr>
      </w:pPr>
      <w:r>
        <w:rPr>
          <w:rFonts w:hint="eastAsia"/>
          <w:color w:val="auto"/>
          <w:highlight w:val="none"/>
        </w:rPr>
        <w:t>7.我方同意按网上询价文件规定。如果我方成为成交供应商，保证在接到成交通知书前，向采购代理机构缴纳网上询价文件规定的采购代理服务费。</w:t>
      </w:r>
    </w:p>
    <w:p w14:paraId="444A0E36">
      <w:pPr>
        <w:bidi w:val="0"/>
        <w:rPr>
          <w:color w:val="auto"/>
          <w:highlight w:val="none"/>
        </w:rPr>
      </w:pPr>
      <w:r>
        <w:rPr>
          <w:rFonts w:hint="eastAsia"/>
          <w:color w:val="auto"/>
          <w:highlight w:val="none"/>
        </w:rPr>
        <w:t>8.我方未为采购项目提供整体设计、规范编制或者项目管理、监理、检测等服务。</w:t>
      </w:r>
    </w:p>
    <w:p w14:paraId="66AAA977">
      <w:pPr>
        <w:bidi w:val="0"/>
        <w:rPr>
          <w:color w:val="auto"/>
          <w:highlight w:val="none"/>
        </w:rPr>
      </w:pPr>
      <w:r>
        <w:rPr>
          <w:rFonts w:hint="eastAsia"/>
          <w:color w:val="auto"/>
          <w:highlight w:val="none"/>
        </w:rPr>
        <w:t>供应商（公章）：</w:t>
      </w:r>
    </w:p>
    <w:p w14:paraId="4A26CDEB">
      <w:pPr>
        <w:bidi w:val="0"/>
        <w:rPr>
          <w:color w:val="auto"/>
          <w:highlight w:val="none"/>
        </w:rPr>
      </w:pPr>
      <w:r>
        <w:rPr>
          <w:rFonts w:hint="eastAsia"/>
          <w:color w:val="auto"/>
          <w:highlight w:val="none"/>
        </w:rPr>
        <w:t>地址：</w:t>
      </w:r>
    </w:p>
    <w:p w14:paraId="725E8872">
      <w:pPr>
        <w:bidi w:val="0"/>
        <w:rPr>
          <w:color w:val="auto"/>
          <w:highlight w:val="none"/>
        </w:rPr>
      </w:pPr>
      <w:r>
        <w:rPr>
          <w:rFonts w:hint="eastAsia"/>
          <w:color w:val="auto"/>
          <w:highlight w:val="none"/>
        </w:rPr>
        <w:t>电话：                                        传真：</w:t>
      </w:r>
    </w:p>
    <w:p w14:paraId="08024094">
      <w:pPr>
        <w:bidi w:val="0"/>
        <w:rPr>
          <w:color w:val="auto"/>
          <w:highlight w:val="none"/>
        </w:rPr>
      </w:pPr>
      <w:r>
        <w:rPr>
          <w:rFonts w:hint="eastAsia"/>
          <w:color w:val="auto"/>
          <w:highlight w:val="none"/>
        </w:rPr>
        <w:t>网址：                                        邮编：</w:t>
      </w:r>
    </w:p>
    <w:p w14:paraId="612C6371">
      <w:pPr>
        <w:bidi w:val="0"/>
        <w:rPr>
          <w:color w:val="auto"/>
          <w:highlight w:val="none"/>
        </w:rPr>
      </w:pPr>
      <w:r>
        <w:rPr>
          <w:rFonts w:hint="eastAsia"/>
          <w:color w:val="auto"/>
          <w:highlight w:val="none"/>
        </w:rPr>
        <w:t>联系人：</w:t>
      </w:r>
    </w:p>
    <w:p w14:paraId="1A5056DE">
      <w:pPr>
        <w:bidi w:val="0"/>
        <w:rPr>
          <w:rFonts w:ascii="宋体" w:hAnsi="宋体" w:cs="宋体"/>
          <w:color w:val="auto"/>
          <w:szCs w:val="24"/>
          <w:highlight w:val="none"/>
        </w:rPr>
      </w:pPr>
      <w:r>
        <w:rPr>
          <w:rFonts w:hint="eastAsia"/>
          <w:color w:val="auto"/>
          <w:highlight w:val="none"/>
        </w:rPr>
        <w:t>年  月  日</w:t>
      </w:r>
    </w:p>
    <w:p w14:paraId="57090EE9">
      <w:pPr>
        <w:pStyle w:val="53"/>
        <w:rPr>
          <w:rFonts w:ascii="宋体" w:hAnsi="宋体" w:eastAsia="宋体" w:cs="宋体"/>
          <w:color w:val="auto"/>
          <w:highlight w:val="none"/>
        </w:rPr>
      </w:pPr>
    </w:p>
    <w:p w14:paraId="10917394">
      <w:pPr>
        <w:pStyle w:val="53"/>
        <w:rPr>
          <w:rFonts w:ascii="宋体" w:hAnsi="宋体" w:eastAsia="宋体" w:cs="宋体"/>
          <w:color w:val="auto"/>
          <w:highlight w:val="none"/>
        </w:rPr>
      </w:pPr>
    </w:p>
    <w:p w14:paraId="146CBEE5">
      <w:pPr>
        <w:pStyle w:val="53"/>
        <w:rPr>
          <w:rFonts w:ascii="宋体" w:hAnsi="宋体" w:eastAsia="宋体" w:cs="宋体"/>
          <w:color w:val="auto"/>
          <w:highlight w:val="none"/>
        </w:rPr>
      </w:pPr>
    </w:p>
    <w:p w14:paraId="60F33AAC">
      <w:pPr>
        <w:pStyle w:val="53"/>
        <w:rPr>
          <w:rFonts w:ascii="宋体" w:hAnsi="宋体" w:eastAsia="宋体" w:cs="宋体"/>
          <w:color w:val="auto"/>
          <w:highlight w:val="none"/>
        </w:rPr>
      </w:pPr>
    </w:p>
    <w:p w14:paraId="74290404">
      <w:pPr>
        <w:pStyle w:val="53"/>
        <w:rPr>
          <w:rFonts w:ascii="宋体" w:hAnsi="宋体" w:eastAsia="宋体" w:cs="宋体"/>
          <w:color w:val="auto"/>
          <w:highlight w:val="none"/>
        </w:rPr>
      </w:pPr>
    </w:p>
    <w:p w14:paraId="079AD1C7">
      <w:pPr>
        <w:pStyle w:val="53"/>
        <w:rPr>
          <w:rFonts w:ascii="宋体" w:hAnsi="宋体" w:eastAsia="宋体" w:cs="宋体"/>
          <w:color w:val="auto"/>
          <w:highlight w:val="none"/>
        </w:rPr>
      </w:pPr>
    </w:p>
    <w:p w14:paraId="26DB57E8">
      <w:pPr>
        <w:pStyle w:val="53"/>
        <w:rPr>
          <w:rFonts w:ascii="宋体" w:hAnsi="宋体" w:eastAsia="宋体" w:cs="宋体"/>
          <w:color w:val="auto"/>
          <w:highlight w:val="none"/>
        </w:rPr>
      </w:pPr>
    </w:p>
    <w:p w14:paraId="31BE84BE">
      <w:pPr>
        <w:tabs>
          <w:tab w:val="left" w:pos="6300"/>
        </w:tabs>
        <w:snapToGrid w:val="0"/>
        <w:spacing w:line="500" w:lineRule="exact"/>
        <w:ind w:firstLine="570"/>
        <w:rPr>
          <w:rFonts w:ascii="宋体" w:hAnsi="宋体" w:eastAsia="宋体"/>
          <w:color w:val="auto"/>
          <w:sz w:val="24"/>
          <w:szCs w:val="24"/>
          <w:highlight w:val="none"/>
        </w:rPr>
      </w:pPr>
    </w:p>
    <w:p w14:paraId="4000DACF">
      <w:pPr>
        <w:tabs>
          <w:tab w:val="left" w:pos="6300"/>
        </w:tabs>
        <w:snapToGrid w:val="0"/>
        <w:spacing w:line="500" w:lineRule="exact"/>
        <w:ind w:firstLine="570"/>
        <w:rPr>
          <w:rFonts w:ascii="宋体" w:hAnsi="宋体" w:eastAsia="宋体"/>
          <w:color w:val="auto"/>
          <w:sz w:val="24"/>
          <w:szCs w:val="24"/>
          <w:highlight w:val="none"/>
        </w:rPr>
      </w:pPr>
    </w:p>
    <w:p w14:paraId="490C5FBA">
      <w:pPr>
        <w:tabs>
          <w:tab w:val="left" w:pos="6300"/>
        </w:tabs>
        <w:snapToGrid w:val="0"/>
        <w:spacing w:line="500" w:lineRule="exact"/>
        <w:ind w:firstLine="570"/>
        <w:rPr>
          <w:rFonts w:ascii="宋体" w:hAnsi="宋体" w:eastAsia="宋体"/>
          <w:color w:val="auto"/>
          <w:sz w:val="24"/>
          <w:szCs w:val="24"/>
          <w:highlight w:val="none"/>
        </w:rPr>
      </w:pPr>
    </w:p>
    <w:p w14:paraId="4DA07AE2">
      <w:pPr>
        <w:tabs>
          <w:tab w:val="left" w:pos="6300"/>
        </w:tabs>
        <w:snapToGrid w:val="0"/>
        <w:spacing w:line="500" w:lineRule="exact"/>
        <w:ind w:firstLine="570"/>
        <w:rPr>
          <w:rFonts w:ascii="宋体" w:hAnsi="宋体" w:eastAsia="宋体"/>
          <w:color w:val="auto"/>
          <w:sz w:val="24"/>
          <w:szCs w:val="24"/>
          <w:highlight w:val="none"/>
        </w:rPr>
      </w:pPr>
      <w:r>
        <w:rPr>
          <w:rFonts w:hint="eastAsia" w:ascii="宋体" w:hAnsi="宋体" w:eastAsia="宋体"/>
          <w:color w:val="auto"/>
          <w:sz w:val="24"/>
          <w:szCs w:val="24"/>
          <w:highlight w:val="none"/>
        </w:rPr>
        <w:t>（二）分项报价明细表</w:t>
      </w:r>
    </w:p>
    <w:p w14:paraId="0314A5F8">
      <w:pPr>
        <w:snapToGrid w:val="0"/>
        <w:spacing w:line="500" w:lineRule="exact"/>
        <w:jc w:val="center"/>
        <w:rPr>
          <w:rFonts w:ascii="宋体" w:hAnsi="宋体" w:eastAsia="宋体"/>
          <w:color w:val="auto"/>
          <w:sz w:val="24"/>
          <w:highlight w:val="none"/>
        </w:rPr>
      </w:pPr>
      <w:r>
        <w:rPr>
          <w:rFonts w:hint="eastAsia" w:ascii="宋体" w:hAnsi="宋体" w:eastAsia="宋体"/>
          <w:color w:val="auto"/>
          <w:sz w:val="24"/>
          <w:highlight w:val="none"/>
        </w:rPr>
        <w:t>分项报价明细表</w:t>
      </w:r>
    </w:p>
    <w:p w14:paraId="1D7816B7">
      <w:pPr>
        <w:snapToGrid w:val="0"/>
        <w:spacing w:line="500" w:lineRule="exact"/>
        <w:rPr>
          <w:rFonts w:ascii="宋体" w:hAnsi="宋体" w:eastAsia="宋体"/>
          <w:color w:val="auto"/>
          <w:sz w:val="24"/>
          <w:highlight w:val="none"/>
        </w:rPr>
      </w:pPr>
      <w:r>
        <w:rPr>
          <w:rFonts w:hint="eastAsia" w:ascii="宋体" w:hAnsi="宋体" w:eastAsia="宋体"/>
          <w:color w:val="auto"/>
          <w:sz w:val="24"/>
          <w:highlight w:val="none"/>
        </w:rPr>
        <w:t>采购项目名称：</w:t>
      </w:r>
    </w:p>
    <w:tbl>
      <w:tblPr>
        <w:tblStyle w:val="26"/>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6"/>
        <w:gridCol w:w="1684"/>
        <w:gridCol w:w="1636"/>
        <w:gridCol w:w="1250"/>
        <w:gridCol w:w="747"/>
        <w:gridCol w:w="1292"/>
        <w:gridCol w:w="1247"/>
      </w:tblGrid>
      <w:tr w14:paraId="25F1A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1466" w:type="dxa"/>
            <w:noWrap w:val="0"/>
            <w:vAlign w:val="center"/>
          </w:tcPr>
          <w:p w14:paraId="13DFB3C9">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产品名称</w:t>
            </w:r>
          </w:p>
        </w:tc>
        <w:tc>
          <w:tcPr>
            <w:tcW w:w="1684" w:type="dxa"/>
            <w:noWrap w:val="0"/>
            <w:vAlign w:val="center"/>
          </w:tcPr>
          <w:p w14:paraId="56A43344">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品牌及产地</w:t>
            </w:r>
          </w:p>
        </w:tc>
        <w:tc>
          <w:tcPr>
            <w:tcW w:w="1636" w:type="dxa"/>
            <w:noWrap w:val="0"/>
            <w:vAlign w:val="center"/>
          </w:tcPr>
          <w:p w14:paraId="703A91FD">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制造商名称</w:t>
            </w:r>
          </w:p>
        </w:tc>
        <w:tc>
          <w:tcPr>
            <w:tcW w:w="1250" w:type="dxa"/>
            <w:noWrap w:val="0"/>
            <w:vAlign w:val="center"/>
          </w:tcPr>
          <w:p w14:paraId="64A67903">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规格型号</w:t>
            </w:r>
          </w:p>
        </w:tc>
        <w:tc>
          <w:tcPr>
            <w:tcW w:w="747" w:type="dxa"/>
            <w:noWrap w:val="0"/>
            <w:vAlign w:val="center"/>
          </w:tcPr>
          <w:p w14:paraId="6D0D9B07">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数量</w:t>
            </w:r>
          </w:p>
        </w:tc>
        <w:tc>
          <w:tcPr>
            <w:tcW w:w="1292" w:type="dxa"/>
            <w:noWrap w:val="0"/>
            <w:vAlign w:val="center"/>
          </w:tcPr>
          <w:p w14:paraId="029D1615">
            <w:pPr>
              <w:pStyle w:val="14"/>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单价</w:t>
            </w:r>
          </w:p>
          <w:p w14:paraId="30084028">
            <w:pPr>
              <w:pStyle w:val="14"/>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 元 ）</w:t>
            </w:r>
          </w:p>
        </w:tc>
        <w:tc>
          <w:tcPr>
            <w:tcW w:w="1247" w:type="dxa"/>
            <w:noWrap w:val="0"/>
            <w:vAlign w:val="center"/>
          </w:tcPr>
          <w:p w14:paraId="5685A23D">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合计</w:t>
            </w:r>
          </w:p>
          <w:p w14:paraId="18006C22">
            <w:pPr>
              <w:jc w:val="center"/>
              <w:rPr>
                <w:rFonts w:ascii="宋体" w:hAnsi="宋体" w:cs="宋体"/>
                <w:b/>
                <w:bCs/>
                <w:color w:val="auto"/>
                <w:sz w:val="24"/>
                <w:szCs w:val="28"/>
                <w:highlight w:val="none"/>
              </w:rPr>
            </w:pPr>
            <w:r>
              <w:rPr>
                <w:rFonts w:hint="eastAsia" w:ascii="宋体" w:hAnsi="宋体" w:cs="宋体"/>
                <w:b/>
                <w:bCs/>
                <w:color w:val="auto"/>
                <w:sz w:val="24"/>
                <w:szCs w:val="28"/>
                <w:highlight w:val="none"/>
              </w:rPr>
              <w:t>（ 元 ）</w:t>
            </w:r>
          </w:p>
        </w:tc>
      </w:tr>
      <w:tr w14:paraId="648EE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466" w:type="dxa"/>
            <w:tcBorders>
              <w:bottom w:val="single" w:color="auto" w:sz="4" w:space="0"/>
            </w:tcBorders>
            <w:noWrap w:val="0"/>
            <w:vAlign w:val="center"/>
          </w:tcPr>
          <w:p w14:paraId="04230F94">
            <w:pPr>
              <w:jc w:val="center"/>
              <w:rPr>
                <w:rFonts w:ascii="宋体" w:hAnsi="宋体" w:cs="宋体"/>
                <w:color w:val="auto"/>
                <w:sz w:val="24"/>
                <w:szCs w:val="28"/>
                <w:highlight w:val="none"/>
              </w:rPr>
            </w:pPr>
          </w:p>
        </w:tc>
        <w:tc>
          <w:tcPr>
            <w:tcW w:w="1684" w:type="dxa"/>
            <w:tcBorders>
              <w:bottom w:val="single" w:color="auto" w:sz="4" w:space="0"/>
            </w:tcBorders>
            <w:noWrap w:val="0"/>
            <w:vAlign w:val="center"/>
          </w:tcPr>
          <w:p w14:paraId="491C630D">
            <w:pPr>
              <w:jc w:val="center"/>
              <w:rPr>
                <w:rFonts w:ascii="宋体" w:hAnsi="宋体" w:cs="宋体"/>
                <w:color w:val="auto"/>
                <w:sz w:val="24"/>
                <w:szCs w:val="28"/>
                <w:highlight w:val="none"/>
              </w:rPr>
            </w:pPr>
          </w:p>
        </w:tc>
        <w:tc>
          <w:tcPr>
            <w:tcW w:w="1636" w:type="dxa"/>
            <w:tcBorders>
              <w:bottom w:val="single" w:color="auto" w:sz="4" w:space="0"/>
            </w:tcBorders>
            <w:noWrap w:val="0"/>
            <w:vAlign w:val="center"/>
          </w:tcPr>
          <w:p w14:paraId="5B9B2E41">
            <w:pPr>
              <w:jc w:val="center"/>
              <w:rPr>
                <w:rFonts w:ascii="宋体" w:hAnsi="宋体" w:cs="宋体"/>
                <w:color w:val="auto"/>
                <w:sz w:val="24"/>
                <w:szCs w:val="28"/>
                <w:highlight w:val="none"/>
              </w:rPr>
            </w:pPr>
          </w:p>
        </w:tc>
        <w:tc>
          <w:tcPr>
            <w:tcW w:w="1250" w:type="dxa"/>
            <w:tcBorders>
              <w:bottom w:val="single" w:color="auto" w:sz="4" w:space="0"/>
            </w:tcBorders>
            <w:noWrap w:val="0"/>
            <w:vAlign w:val="center"/>
          </w:tcPr>
          <w:p w14:paraId="698BE055">
            <w:pPr>
              <w:jc w:val="center"/>
              <w:rPr>
                <w:rFonts w:ascii="宋体" w:hAnsi="宋体" w:cs="宋体"/>
                <w:color w:val="auto"/>
                <w:sz w:val="24"/>
                <w:szCs w:val="28"/>
                <w:highlight w:val="none"/>
              </w:rPr>
            </w:pPr>
          </w:p>
        </w:tc>
        <w:tc>
          <w:tcPr>
            <w:tcW w:w="747" w:type="dxa"/>
            <w:tcBorders>
              <w:bottom w:val="single" w:color="auto" w:sz="4" w:space="0"/>
            </w:tcBorders>
            <w:noWrap w:val="0"/>
            <w:vAlign w:val="center"/>
          </w:tcPr>
          <w:p w14:paraId="7C6C3AAE">
            <w:pPr>
              <w:jc w:val="center"/>
              <w:rPr>
                <w:rFonts w:ascii="宋体" w:hAnsi="宋体" w:cs="宋体"/>
                <w:color w:val="auto"/>
                <w:sz w:val="24"/>
                <w:szCs w:val="28"/>
                <w:highlight w:val="none"/>
              </w:rPr>
            </w:pPr>
          </w:p>
        </w:tc>
        <w:tc>
          <w:tcPr>
            <w:tcW w:w="1292" w:type="dxa"/>
            <w:tcBorders>
              <w:bottom w:val="single" w:color="auto" w:sz="4" w:space="0"/>
            </w:tcBorders>
            <w:noWrap w:val="0"/>
            <w:vAlign w:val="center"/>
          </w:tcPr>
          <w:p w14:paraId="0CDE5D56">
            <w:pPr>
              <w:jc w:val="center"/>
              <w:rPr>
                <w:rFonts w:ascii="宋体" w:hAnsi="宋体" w:cs="宋体"/>
                <w:color w:val="auto"/>
                <w:sz w:val="24"/>
                <w:szCs w:val="28"/>
                <w:highlight w:val="none"/>
              </w:rPr>
            </w:pPr>
          </w:p>
        </w:tc>
        <w:tc>
          <w:tcPr>
            <w:tcW w:w="1247" w:type="dxa"/>
            <w:tcBorders>
              <w:bottom w:val="single" w:color="auto" w:sz="4" w:space="0"/>
            </w:tcBorders>
            <w:noWrap w:val="0"/>
            <w:vAlign w:val="center"/>
          </w:tcPr>
          <w:p w14:paraId="15F95058">
            <w:pPr>
              <w:jc w:val="center"/>
              <w:rPr>
                <w:rFonts w:ascii="宋体" w:hAnsi="宋体" w:cs="宋体"/>
                <w:color w:val="auto"/>
                <w:sz w:val="24"/>
                <w:szCs w:val="28"/>
                <w:highlight w:val="none"/>
              </w:rPr>
            </w:pPr>
          </w:p>
        </w:tc>
      </w:tr>
      <w:tr w14:paraId="75262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1466" w:type="dxa"/>
            <w:noWrap w:val="0"/>
            <w:vAlign w:val="center"/>
          </w:tcPr>
          <w:p w14:paraId="5FB8A559">
            <w:pPr>
              <w:jc w:val="center"/>
              <w:rPr>
                <w:rFonts w:ascii="宋体" w:hAnsi="宋体" w:cs="宋体"/>
                <w:color w:val="auto"/>
                <w:sz w:val="24"/>
                <w:szCs w:val="28"/>
                <w:highlight w:val="none"/>
              </w:rPr>
            </w:pPr>
          </w:p>
        </w:tc>
        <w:tc>
          <w:tcPr>
            <w:tcW w:w="1684" w:type="dxa"/>
            <w:noWrap w:val="0"/>
            <w:vAlign w:val="center"/>
          </w:tcPr>
          <w:p w14:paraId="6C525A52">
            <w:pPr>
              <w:jc w:val="center"/>
              <w:rPr>
                <w:rFonts w:ascii="宋体" w:hAnsi="宋体" w:cs="宋体"/>
                <w:color w:val="auto"/>
                <w:sz w:val="24"/>
                <w:szCs w:val="28"/>
                <w:highlight w:val="none"/>
              </w:rPr>
            </w:pPr>
          </w:p>
        </w:tc>
        <w:tc>
          <w:tcPr>
            <w:tcW w:w="1636" w:type="dxa"/>
            <w:noWrap w:val="0"/>
            <w:vAlign w:val="center"/>
          </w:tcPr>
          <w:p w14:paraId="766E43CB">
            <w:pPr>
              <w:jc w:val="center"/>
              <w:rPr>
                <w:rFonts w:ascii="宋体" w:hAnsi="宋体" w:cs="宋体"/>
                <w:color w:val="auto"/>
                <w:sz w:val="24"/>
                <w:szCs w:val="28"/>
                <w:highlight w:val="none"/>
              </w:rPr>
            </w:pPr>
          </w:p>
        </w:tc>
        <w:tc>
          <w:tcPr>
            <w:tcW w:w="1250" w:type="dxa"/>
            <w:noWrap w:val="0"/>
            <w:vAlign w:val="center"/>
          </w:tcPr>
          <w:p w14:paraId="4956FC5A">
            <w:pPr>
              <w:jc w:val="center"/>
              <w:rPr>
                <w:rFonts w:ascii="宋体" w:hAnsi="宋体" w:cs="宋体"/>
                <w:color w:val="auto"/>
                <w:sz w:val="24"/>
                <w:szCs w:val="28"/>
                <w:highlight w:val="none"/>
              </w:rPr>
            </w:pPr>
          </w:p>
        </w:tc>
        <w:tc>
          <w:tcPr>
            <w:tcW w:w="747" w:type="dxa"/>
            <w:noWrap w:val="0"/>
            <w:vAlign w:val="center"/>
          </w:tcPr>
          <w:p w14:paraId="12E71F03">
            <w:pPr>
              <w:jc w:val="center"/>
              <w:rPr>
                <w:rFonts w:ascii="宋体" w:hAnsi="宋体" w:cs="宋体"/>
                <w:color w:val="auto"/>
                <w:sz w:val="24"/>
                <w:szCs w:val="28"/>
                <w:highlight w:val="none"/>
              </w:rPr>
            </w:pPr>
          </w:p>
        </w:tc>
        <w:tc>
          <w:tcPr>
            <w:tcW w:w="1292" w:type="dxa"/>
            <w:noWrap w:val="0"/>
            <w:vAlign w:val="center"/>
          </w:tcPr>
          <w:p w14:paraId="3C6AAAA1">
            <w:pPr>
              <w:jc w:val="center"/>
              <w:rPr>
                <w:rFonts w:ascii="宋体" w:hAnsi="宋体" w:cs="宋体"/>
                <w:color w:val="auto"/>
                <w:sz w:val="24"/>
                <w:szCs w:val="28"/>
                <w:highlight w:val="none"/>
              </w:rPr>
            </w:pPr>
          </w:p>
        </w:tc>
        <w:tc>
          <w:tcPr>
            <w:tcW w:w="1247" w:type="dxa"/>
            <w:noWrap w:val="0"/>
            <w:vAlign w:val="center"/>
          </w:tcPr>
          <w:p w14:paraId="4B0DD233">
            <w:pPr>
              <w:jc w:val="center"/>
              <w:rPr>
                <w:rFonts w:ascii="宋体" w:hAnsi="宋体" w:cs="宋体"/>
                <w:color w:val="auto"/>
                <w:sz w:val="24"/>
                <w:szCs w:val="28"/>
                <w:highlight w:val="none"/>
              </w:rPr>
            </w:pPr>
          </w:p>
        </w:tc>
      </w:tr>
      <w:tr w14:paraId="2EA47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1466" w:type="dxa"/>
            <w:noWrap w:val="0"/>
            <w:vAlign w:val="center"/>
          </w:tcPr>
          <w:p w14:paraId="66905596">
            <w:pPr>
              <w:jc w:val="center"/>
              <w:rPr>
                <w:rFonts w:ascii="宋体" w:hAnsi="宋体" w:cs="宋体"/>
                <w:color w:val="auto"/>
                <w:sz w:val="24"/>
                <w:szCs w:val="28"/>
                <w:highlight w:val="none"/>
              </w:rPr>
            </w:pPr>
          </w:p>
        </w:tc>
        <w:tc>
          <w:tcPr>
            <w:tcW w:w="1684" w:type="dxa"/>
            <w:noWrap w:val="0"/>
            <w:vAlign w:val="center"/>
          </w:tcPr>
          <w:p w14:paraId="74E7599A">
            <w:pPr>
              <w:jc w:val="center"/>
              <w:rPr>
                <w:rFonts w:ascii="宋体" w:hAnsi="宋体" w:cs="宋体"/>
                <w:color w:val="auto"/>
                <w:sz w:val="24"/>
                <w:szCs w:val="28"/>
                <w:highlight w:val="none"/>
              </w:rPr>
            </w:pPr>
          </w:p>
        </w:tc>
        <w:tc>
          <w:tcPr>
            <w:tcW w:w="1636" w:type="dxa"/>
            <w:noWrap w:val="0"/>
            <w:vAlign w:val="center"/>
          </w:tcPr>
          <w:p w14:paraId="5884F41E">
            <w:pPr>
              <w:jc w:val="center"/>
              <w:rPr>
                <w:rFonts w:ascii="宋体" w:hAnsi="宋体" w:cs="宋体"/>
                <w:color w:val="auto"/>
                <w:sz w:val="24"/>
                <w:szCs w:val="28"/>
                <w:highlight w:val="none"/>
              </w:rPr>
            </w:pPr>
          </w:p>
        </w:tc>
        <w:tc>
          <w:tcPr>
            <w:tcW w:w="1250" w:type="dxa"/>
            <w:noWrap w:val="0"/>
            <w:vAlign w:val="center"/>
          </w:tcPr>
          <w:p w14:paraId="697B8434">
            <w:pPr>
              <w:jc w:val="center"/>
              <w:rPr>
                <w:rFonts w:ascii="宋体" w:hAnsi="宋体" w:cs="宋体"/>
                <w:color w:val="auto"/>
                <w:sz w:val="24"/>
                <w:szCs w:val="28"/>
                <w:highlight w:val="none"/>
              </w:rPr>
            </w:pPr>
          </w:p>
        </w:tc>
        <w:tc>
          <w:tcPr>
            <w:tcW w:w="747" w:type="dxa"/>
            <w:noWrap w:val="0"/>
            <w:vAlign w:val="center"/>
          </w:tcPr>
          <w:p w14:paraId="4255AB57">
            <w:pPr>
              <w:jc w:val="center"/>
              <w:rPr>
                <w:rFonts w:ascii="宋体" w:hAnsi="宋体" w:cs="宋体"/>
                <w:color w:val="auto"/>
                <w:sz w:val="24"/>
                <w:szCs w:val="28"/>
                <w:highlight w:val="none"/>
              </w:rPr>
            </w:pPr>
          </w:p>
        </w:tc>
        <w:tc>
          <w:tcPr>
            <w:tcW w:w="1292" w:type="dxa"/>
            <w:noWrap w:val="0"/>
            <w:vAlign w:val="center"/>
          </w:tcPr>
          <w:p w14:paraId="5AE89407">
            <w:pPr>
              <w:jc w:val="center"/>
              <w:rPr>
                <w:rFonts w:ascii="宋体" w:hAnsi="宋体" w:cs="宋体"/>
                <w:color w:val="auto"/>
                <w:sz w:val="24"/>
                <w:szCs w:val="28"/>
                <w:highlight w:val="none"/>
              </w:rPr>
            </w:pPr>
          </w:p>
        </w:tc>
        <w:tc>
          <w:tcPr>
            <w:tcW w:w="1247" w:type="dxa"/>
            <w:noWrap w:val="0"/>
            <w:vAlign w:val="center"/>
          </w:tcPr>
          <w:p w14:paraId="68EEBCB0">
            <w:pPr>
              <w:jc w:val="center"/>
              <w:rPr>
                <w:rFonts w:ascii="宋体" w:hAnsi="宋体" w:cs="宋体"/>
                <w:color w:val="auto"/>
                <w:sz w:val="24"/>
                <w:szCs w:val="28"/>
                <w:highlight w:val="none"/>
              </w:rPr>
            </w:pPr>
          </w:p>
        </w:tc>
      </w:tr>
      <w:tr w14:paraId="08348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jc w:val="center"/>
        </w:trPr>
        <w:tc>
          <w:tcPr>
            <w:tcW w:w="1466" w:type="dxa"/>
            <w:tcBorders>
              <w:bottom w:val="single" w:color="auto" w:sz="4" w:space="0"/>
            </w:tcBorders>
            <w:noWrap w:val="0"/>
            <w:vAlign w:val="center"/>
          </w:tcPr>
          <w:p w14:paraId="3408C6E2">
            <w:pPr>
              <w:jc w:val="center"/>
              <w:rPr>
                <w:rFonts w:ascii="宋体" w:hAnsi="宋体" w:cs="宋体"/>
                <w:color w:val="auto"/>
                <w:sz w:val="24"/>
                <w:szCs w:val="28"/>
                <w:highlight w:val="none"/>
              </w:rPr>
            </w:pPr>
          </w:p>
        </w:tc>
        <w:tc>
          <w:tcPr>
            <w:tcW w:w="1684" w:type="dxa"/>
            <w:tcBorders>
              <w:bottom w:val="single" w:color="auto" w:sz="4" w:space="0"/>
            </w:tcBorders>
            <w:noWrap w:val="0"/>
            <w:vAlign w:val="center"/>
          </w:tcPr>
          <w:p w14:paraId="5EA7024A">
            <w:pPr>
              <w:jc w:val="center"/>
              <w:rPr>
                <w:rFonts w:ascii="宋体" w:hAnsi="宋体" w:cs="宋体"/>
                <w:color w:val="auto"/>
                <w:sz w:val="24"/>
                <w:szCs w:val="28"/>
                <w:highlight w:val="none"/>
              </w:rPr>
            </w:pPr>
          </w:p>
        </w:tc>
        <w:tc>
          <w:tcPr>
            <w:tcW w:w="1636" w:type="dxa"/>
            <w:tcBorders>
              <w:bottom w:val="single" w:color="auto" w:sz="4" w:space="0"/>
            </w:tcBorders>
            <w:noWrap w:val="0"/>
            <w:vAlign w:val="center"/>
          </w:tcPr>
          <w:p w14:paraId="2B6040C0">
            <w:pPr>
              <w:jc w:val="center"/>
              <w:rPr>
                <w:rFonts w:ascii="宋体" w:hAnsi="宋体" w:cs="宋体"/>
                <w:color w:val="auto"/>
                <w:sz w:val="24"/>
                <w:szCs w:val="28"/>
                <w:highlight w:val="none"/>
              </w:rPr>
            </w:pPr>
          </w:p>
        </w:tc>
        <w:tc>
          <w:tcPr>
            <w:tcW w:w="1250" w:type="dxa"/>
            <w:tcBorders>
              <w:bottom w:val="single" w:color="auto" w:sz="4" w:space="0"/>
            </w:tcBorders>
            <w:noWrap w:val="0"/>
            <w:vAlign w:val="center"/>
          </w:tcPr>
          <w:p w14:paraId="6749E2F3">
            <w:pPr>
              <w:jc w:val="center"/>
              <w:rPr>
                <w:rFonts w:ascii="宋体" w:hAnsi="宋体" w:cs="宋体"/>
                <w:color w:val="auto"/>
                <w:sz w:val="24"/>
                <w:szCs w:val="28"/>
                <w:highlight w:val="none"/>
              </w:rPr>
            </w:pPr>
          </w:p>
        </w:tc>
        <w:tc>
          <w:tcPr>
            <w:tcW w:w="747" w:type="dxa"/>
            <w:tcBorders>
              <w:bottom w:val="single" w:color="auto" w:sz="4" w:space="0"/>
            </w:tcBorders>
            <w:noWrap w:val="0"/>
            <w:vAlign w:val="center"/>
          </w:tcPr>
          <w:p w14:paraId="19D9D606">
            <w:pPr>
              <w:jc w:val="center"/>
              <w:rPr>
                <w:rFonts w:ascii="宋体" w:hAnsi="宋体" w:cs="宋体"/>
                <w:color w:val="auto"/>
                <w:sz w:val="24"/>
                <w:szCs w:val="28"/>
                <w:highlight w:val="none"/>
              </w:rPr>
            </w:pPr>
          </w:p>
        </w:tc>
        <w:tc>
          <w:tcPr>
            <w:tcW w:w="1292" w:type="dxa"/>
            <w:tcBorders>
              <w:bottom w:val="single" w:color="auto" w:sz="4" w:space="0"/>
            </w:tcBorders>
            <w:noWrap w:val="0"/>
            <w:vAlign w:val="center"/>
          </w:tcPr>
          <w:p w14:paraId="745F0C06">
            <w:pPr>
              <w:jc w:val="center"/>
              <w:rPr>
                <w:rFonts w:ascii="宋体" w:hAnsi="宋体" w:cs="宋体"/>
                <w:color w:val="auto"/>
                <w:sz w:val="24"/>
                <w:szCs w:val="28"/>
                <w:highlight w:val="none"/>
              </w:rPr>
            </w:pPr>
          </w:p>
        </w:tc>
        <w:tc>
          <w:tcPr>
            <w:tcW w:w="1247" w:type="dxa"/>
            <w:tcBorders>
              <w:bottom w:val="single" w:color="auto" w:sz="4" w:space="0"/>
            </w:tcBorders>
            <w:noWrap w:val="0"/>
            <w:vAlign w:val="center"/>
          </w:tcPr>
          <w:p w14:paraId="7F4377FE">
            <w:pPr>
              <w:jc w:val="center"/>
              <w:rPr>
                <w:rFonts w:ascii="宋体" w:hAnsi="宋体" w:cs="宋体"/>
                <w:color w:val="auto"/>
                <w:sz w:val="24"/>
                <w:szCs w:val="28"/>
                <w:highlight w:val="none"/>
              </w:rPr>
            </w:pPr>
          </w:p>
        </w:tc>
      </w:tr>
      <w:tr w14:paraId="13D81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1466" w:type="dxa"/>
            <w:noWrap w:val="0"/>
            <w:vAlign w:val="center"/>
          </w:tcPr>
          <w:p w14:paraId="6A84A1A3">
            <w:pPr>
              <w:jc w:val="center"/>
              <w:rPr>
                <w:rFonts w:ascii="宋体" w:hAnsi="宋体" w:cs="宋体"/>
                <w:color w:val="auto"/>
                <w:sz w:val="24"/>
                <w:szCs w:val="28"/>
                <w:highlight w:val="none"/>
              </w:rPr>
            </w:pPr>
          </w:p>
          <w:p w14:paraId="5468E9C0">
            <w:pPr>
              <w:jc w:val="center"/>
              <w:rPr>
                <w:rFonts w:ascii="宋体" w:hAnsi="宋体" w:cs="宋体"/>
                <w:color w:val="auto"/>
                <w:sz w:val="24"/>
                <w:szCs w:val="28"/>
                <w:highlight w:val="none"/>
              </w:rPr>
            </w:pPr>
          </w:p>
        </w:tc>
        <w:tc>
          <w:tcPr>
            <w:tcW w:w="1684" w:type="dxa"/>
            <w:noWrap w:val="0"/>
            <w:vAlign w:val="center"/>
          </w:tcPr>
          <w:p w14:paraId="230A29F4">
            <w:pPr>
              <w:jc w:val="center"/>
              <w:rPr>
                <w:rFonts w:ascii="宋体" w:hAnsi="宋体" w:cs="宋体"/>
                <w:color w:val="auto"/>
                <w:sz w:val="24"/>
                <w:szCs w:val="28"/>
                <w:highlight w:val="none"/>
              </w:rPr>
            </w:pPr>
          </w:p>
        </w:tc>
        <w:tc>
          <w:tcPr>
            <w:tcW w:w="1636" w:type="dxa"/>
            <w:noWrap w:val="0"/>
            <w:vAlign w:val="center"/>
          </w:tcPr>
          <w:p w14:paraId="18316493">
            <w:pPr>
              <w:jc w:val="center"/>
              <w:rPr>
                <w:rFonts w:ascii="宋体" w:hAnsi="宋体" w:cs="宋体"/>
                <w:color w:val="auto"/>
                <w:sz w:val="24"/>
                <w:szCs w:val="28"/>
                <w:highlight w:val="none"/>
              </w:rPr>
            </w:pPr>
          </w:p>
        </w:tc>
        <w:tc>
          <w:tcPr>
            <w:tcW w:w="1250" w:type="dxa"/>
            <w:noWrap w:val="0"/>
            <w:vAlign w:val="center"/>
          </w:tcPr>
          <w:p w14:paraId="7CEF65DB">
            <w:pPr>
              <w:jc w:val="center"/>
              <w:rPr>
                <w:rFonts w:ascii="宋体" w:hAnsi="宋体" w:cs="宋体"/>
                <w:color w:val="auto"/>
                <w:sz w:val="24"/>
                <w:szCs w:val="28"/>
                <w:highlight w:val="none"/>
              </w:rPr>
            </w:pPr>
          </w:p>
        </w:tc>
        <w:tc>
          <w:tcPr>
            <w:tcW w:w="747" w:type="dxa"/>
            <w:noWrap w:val="0"/>
            <w:vAlign w:val="center"/>
          </w:tcPr>
          <w:p w14:paraId="35B03B5A">
            <w:pPr>
              <w:jc w:val="center"/>
              <w:rPr>
                <w:rFonts w:ascii="宋体" w:hAnsi="宋体" w:cs="宋体"/>
                <w:color w:val="auto"/>
                <w:sz w:val="24"/>
                <w:szCs w:val="28"/>
                <w:highlight w:val="none"/>
              </w:rPr>
            </w:pPr>
          </w:p>
        </w:tc>
        <w:tc>
          <w:tcPr>
            <w:tcW w:w="1292" w:type="dxa"/>
            <w:noWrap w:val="0"/>
            <w:vAlign w:val="center"/>
          </w:tcPr>
          <w:p w14:paraId="23FC1B33">
            <w:pPr>
              <w:jc w:val="center"/>
              <w:rPr>
                <w:rFonts w:ascii="宋体" w:hAnsi="宋体" w:cs="宋体"/>
                <w:color w:val="auto"/>
                <w:sz w:val="24"/>
                <w:szCs w:val="28"/>
                <w:highlight w:val="none"/>
              </w:rPr>
            </w:pPr>
          </w:p>
        </w:tc>
        <w:tc>
          <w:tcPr>
            <w:tcW w:w="1247" w:type="dxa"/>
            <w:noWrap w:val="0"/>
            <w:vAlign w:val="center"/>
          </w:tcPr>
          <w:p w14:paraId="573CF339">
            <w:pPr>
              <w:jc w:val="center"/>
              <w:rPr>
                <w:rFonts w:ascii="宋体" w:hAnsi="宋体" w:cs="宋体"/>
                <w:color w:val="auto"/>
                <w:sz w:val="24"/>
                <w:szCs w:val="28"/>
                <w:highlight w:val="none"/>
              </w:rPr>
            </w:pPr>
          </w:p>
        </w:tc>
      </w:tr>
      <w:tr w14:paraId="10FD8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1466" w:type="dxa"/>
            <w:noWrap w:val="0"/>
            <w:vAlign w:val="center"/>
          </w:tcPr>
          <w:p w14:paraId="182C9685">
            <w:pPr>
              <w:jc w:val="center"/>
              <w:rPr>
                <w:rFonts w:ascii="宋体" w:hAnsi="宋体" w:cs="宋体"/>
                <w:color w:val="auto"/>
                <w:sz w:val="24"/>
                <w:szCs w:val="28"/>
                <w:highlight w:val="none"/>
              </w:rPr>
            </w:pPr>
          </w:p>
        </w:tc>
        <w:tc>
          <w:tcPr>
            <w:tcW w:w="1684" w:type="dxa"/>
            <w:noWrap w:val="0"/>
            <w:vAlign w:val="center"/>
          </w:tcPr>
          <w:p w14:paraId="1729D2A2">
            <w:pPr>
              <w:jc w:val="center"/>
              <w:rPr>
                <w:rFonts w:ascii="宋体" w:hAnsi="宋体" w:cs="宋体"/>
                <w:color w:val="auto"/>
                <w:sz w:val="24"/>
                <w:szCs w:val="28"/>
                <w:highlight w:val="none"/>
              </w:rPr>
            </w:pPr>
          </w:p>
        </w:tc>
        <w:tc>
          <w:tcPr>
            <w:tcW w:w="1636" w:type="dxa"/>
            <w:noWrap w:val="0"/>
            <w:vAlign w:val="center"/>
          </w:tcPr>
          <w:p w14:paraId="3ABC38D6">
            <w:pPr>
              <w:jc w:val="center"/>
              <w:rPr>
                <w:rFonts w:ascii="宋体" w:hAnsi="宋体" w:cs="宋体"/>
                <w:color w:val="auto"/>
                <w:sz w:val="24"/>
                <w:szCs w:val="28"/>
                <w:highlight w:val="none"/>
              </w:rPr>
            </w:pPr>
          </w:p>
        </w:tc>
        <w:tc>
          <w:tcPr>
            <w:tcW w:w="1250" w:type="dxa"/>
            <w:noWrap w:val="0"/>
            <w:vAlign w:val="center"/>
          </w:tcPr>
          <w:p w14:paraId="34866C72">
            <w:pPr>
              <w:jc w:val="center"/>
              <w:rPr>
                <w:rFonts w:ascii="宋体" w:hAnsi="宋体" w:cs="宋体"/>
                <w:color w:val="auto"/>
                <w:sz w:val="24"/>
                <w:szCs w:val="28"/>
                <w:highlight w:val="none"/>
              </w:rPr>
            </w:pPr>
          </w:p>
        </w:tc>
        <w:tc>
          <w:tcPr>
            <w:tcW w:w="747" w:type="dxa"/>
            <w:noWrap w:val="0"/>
            <w:vAlign w:val="center"/>
          </w:tcPr>
          <w:p w14:paraId="266C122E">
            <w:pPr>
              <w:jc w:val="center"/>
              <w:rPr>
                <w:rFonts w:ascii="宋体" w:hAnsi="宋体" w:cs="宋体"/>
                <w:color w:val="auto"/>
                <w:sz w:val="24"/>
                <w:szCs w:val="28"/>
                <w:highlight w:val="none"/>
              </w:rPr>
            </w:pPr>
          </w:p>
        </w:tc>
        <w:tc>
          <w:tcPr>
            <w:tcW w:w="1292" w:type="dxa"/>
            <w:noWrap w:val="0"/>
            <w:vAlign w:val="center"/>
          </w:tcPr>
          <w:p w14:paraId="6C43E416">
            <w:pPr>
              <w:jc w:val="center"/>
              <w:rPr>
                <w:rFonts w:ascii="宋体" w:hAnsi="宋体" w:cs="宋体"/>
                <w:color w:val="auto"/>
                <w:sz w:val="24"/>
                <w:szCs w:val="28"/>
                <w:highlight w:val="none"/>
              </w:rPr>
            </w:pPr>
          </w:p>
        </w:tc>
        <w:tc>
          <w:tcPr>
            <w:tcW w:w="1247" w:type="dxa"/>
            <w:noWrap w:val="0"/>
            <w:vAlign w:val="center"/>
          </w:tcPr>
          <w:p w14:paraId="56BC503A">
            <w:pPr>
              <w:jc w:val="center"/>
              <w:rPr>
                <w:rFonts w:ascii="宋体" w:hAnsi="宋体" w:cs="宋体"/>
                <w:color w:val="auto"/>
                <w:sz w:val="24"/>
                <w:szCs w:val="28"/>
                <w:highlight w:val="none"/>
              </w:rPr>
            </w:pPr>
          </w:p>
        </w:tc>
      </w:tr>
      <w:tr w14:paraId="488F3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6" w:hRule="atLeast"/>
          <w:jc w:val="center"/>
        </w:trPr>
        <w:tc>
          <w:tcPr>
            <w:tcW w:w="1466" w:type="dxa"/>
            <w:noWrap w:val="0"/>
            <w:vAlign w:val="center"/>
          </w:tcPr>
          <w:p w14:paraId="196F30D5">
            <w:pPr>
              <w:jc w:val="center"/>
              <w:rPr>
                <w:rFonts w:ascii="宋体" w:hAnsi="宋体" w:cs="宋体"/>
                <w:color w:val="auto"/>
                <w:sz w:val="24"/>
                <w:szCs w:val="28"/>
                <w:highlight w:val="none"/>
              </w:rPr>
            </w:pPr>
          </w:p>
        </w:tc>
        <w:tc>
          <w:tcPr>
            <w:tcW w:w="1684" w:type="dxa"/>
            <w:noWrap w:val="0"/>
            <w:vAlign w:val="center"/>
          </w:tcPr>
          <w:p w14:paraId="5A74507D">
            <w:pPr>
              <w:jc w:val="center"/>
              <w:rPr>
                <w:rFonts w:ascii="宋体" w:hAnsi="宋体" w:cs="宋体"/>
                <w:color w:val="auto"/>
                <w:sz w:val="24"/>
                <w:szCs w:val="28"/>
                <w:highlight w:val="none"/>
              </w:rPr>
            </w:pPr>
          </w:p>
        </w:tc>
        <w:tc>
          <w:tcPr>
            <w:tcW w:w="1636" w:type="dxa"/>
            <w:noWrap w:val="0"/>
            <w:vAlign w:val="center"/>
          </w:tcPr>
          <w:p w14:paraId="6627D51C">
            <w:pPr>
              <w:jc w:val="center"/>
              <w:rPr>
                <w:rFonts w:ascii="宋体" w:hAnsi="宋体" w:cs="宋体"/>
                <w:color w:val="auto"/>
                <w:sz w:val="24"/>
                <w:szCs w:val="28"/>
                <w:highlight w:val="none"/>
              </w:rPr>
            </w:pPr>
          </w:p>
        </w:tc>
        <w:tc>
          <w:tcPr>
            <w:tcW w:w="1250" w:type="dxa"/>
            <w:noWrap w:val="0"/>
            <w:vAlign w:val="center"/>
          </w:tcPr>
          <w:p w14:paraId="7812D230">
            <w:pPr>
              <w:jc w:val="center"/>
              <w:rPr>
                <w:rFonts w:ascii="宋体" w:hAnsi="宋体" w:cs="宋体"/>
                <w:color w:val="auto"/>
                <w:sz w:val="24"/>
                <w:szCs w:val="28"/>
                <w:highlight w:val="none"/>
              </w:rPr>
            </w:pPr>
          </w:p>
        </w:tc>
        <w:tc>
          <w:tcPr>
            <w:tcW w:w="747" w:type="dxa"/>
            <w:noWrap w:val="0"/>
            <w:vAlign w:val="center"/>
          </w:tcPr>
          <w:p w14:paraId="58B421E3">
            <w:pPr>
              <w:jc w:val="center"/>
              <w:rPr>
                <w:rFonts w:ascii="宋体" w:hAnsi="宋体" w:cs="宋体"/>
                <w:color w:val="auto"/>
                <w:sz w:val="24"/>
                <w:szCs w:val="28"/>
                <w:highlight w:val="none"/>
              </w:rPr>
            </w:pPr>
          </w:p>
        </w:tc>
        <w:tc>
          <w:tcPr>
            <w:tcW w:w="1292" w:type="dxa"/>
            <w:noWrap w:val="0"/>
            <w:vAlign w:val="center"/>
          </w:tcPr>
          <w:p w14:paraId="7F7A50A1">
            <w:pPr>
              <w:jc w:val="center"/>
              <w:rPr>
                <w:rFonts w:ascii="宋体" w:hAnsi="宋体" w:cs="宋体"/>
                <w:color w:val="auto"/>
                <w:sz w:val="24"/>
                <w:szCs w:val="28"/>
                <w:highlight w:val="none"/>
              </w:rPr>
            </w:pPr>
          </w:p>
        </w:tc>
        <w:tc>
          <w:tcPr>
            <w:tcW w:w="1247" w:type="dxa"/>
            <w:noWrap w:val="0"/>
            <w:vAlign w:val="center"/>
          </w:tcPr>
          <w:p w14:paraId="692301E4">
            <w:pPr>
              <w:jc w:val="center"/>
              <w:rPr>
                <w:rFonts w:ascii="宋体" w:hAnsi="宋体" w:cs="宋体"/>
                <w:color w:val="auto"/>
                <w:sz w:val="24"/>
                <w:szCs w:val="28"/>
                <w:highlight w:val="none"/>
              </w:rPr>
            </w:pPr>
          </w:p>
        </w:tc>
      </w:tr>
    </w:tbl>
    <w:p w14:paraId="7901F7CC">
      <w:pPr>
        <w:snapToGrid w:val="0"/>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单位：元</w:t>
      </w:r>
    </w:p>
    <w:p w14:paraId="7E55787E">
      <w:pPr>
        <w:snapToGrid w:val="0"/>
        <w:spacing w:line="500" w:lineRule="exact"/>
        <w:ind w:firstLine="480"/>
        <w:rPr>
          <w:rFonts w:ascii="宋体" w:hAnsi="宋体" w:eastAsia="宋体"/>
          <w:color w:val="auto"/>
          <w:sz w:val="24"/>
          <w:highlight w:val="none"/>
        </w:rPr>
      </w:pPr>
    </w:p>
    <w:p w14:paraId="7C4B6F49">
      <w:pPr>
        <w:snapToGrid w:val="0"/>
        <w:spacing w:line="500" w:lineRule="exact"/>
        <w:ind w:firstLine="600"/>
        <w:rPr>
          <w:rFonts w:ascii="宋体" w:hAnsi="宋体" w:eastAsia="宋体"/>
          <w:color w:val="auto"/>
          <w:sz w:val="24"/>
          <w:highlight w:val="none"/>
        </w:rPr>
      </w:pPr>
      <w:r>
        <w:rPr>
          <w:rFonts w:hint="eastAsia" w:ascii="宋体" w:hAnsi="宋体" w:eastAsia="宋体"/>
          <w:color w:val="auto"/>
          <w:sz w:val="24"/>
          <w:highlight w:val="none"/>
        </w:rPr>
        <w:t>供应商：                           法定代表人或法定代表人授权代表：</w:t>
      </w:r>
    </w:p>
    <w:p w14:paraId="59549EBF">
      <w:pPr>
        <w:snapToGrid w:val="0"/>
        <w:spacing w:line="500" w:lineRule="exact"/>
        <w:rPr>
          <w:rFonts w:ascii="宋体" w:hAnsi="宋体" w:eastAsia="宋体"/>
          <w:color w:val="auto"/>
          <w:sz w:val="24"/>
          <w:highlight w:val="none"/>
        </w:rPr>
      </w:pPr>
      <w:r>
        <w:rPr>
          <w:rFonts w:hint="eastAsia" w:ascii="宋体" w:hAnsi="宋体" w:eastAsia="宋体"/>
          <w:color w:val="auto"/>
          <w:sz w:val="24"/>
          <w:highlight w:val="none"/>
        </w:rPr>
        <w:t xml:space="preserve">  （供应商公章）                               （签字或盖章）</w:t>
      </w:r>
    </w:p>
    <w:p w14:paraId="7606C409">
      <w:pPr>
        <w:snapToGrid w:val="0"/>
        <w:spacing w:line="500" w:lineRule="exact"/>
        <w:rPr>
          <w:rFonts w:ascii="宋体" w:hAnsi="宋体" w:eastAsia="宋体"/>
          <w:color w:val="auto"/>
          <w:sz w:val="24"/>
          <w:highlight w:val="none"/>
        </w:rPr>
      </w:pPr>
    </w:p>
    <w:p w14:paraId="3D762443">
      <w:pPr>
        <w:snapToGrid w:val="0"/>
        <w:spacing w:line="500" w:lineRule="exact"/>
        <w:rPr>
          <w:rFonts w:ascii="宋体" w:hAnsi="宋体" w:eastAsia="宋体"/>
          <w:color w:val="auto"/>
          <w:sz w:val="24"/>
          <w:highlight w:val="none"/>
        </w:rPr>
      </w:pPr>
    </w:p>
    <w:p w14:paraId="4735532F">
      <w:pPr>
        <w:snapToGrid w:val="0"/>
        <w:spacing w:line="500" w:lineRule="exact"/>
        <w:ind w:firstLine="480"/>
        <w:rPr>
          <w:rFonts w:ascii="宋体" w:hAnsi="宋体" w:eastAsia="宋体"/>
          <w:color w:val="auto"/>
          <w:sz w:val="24"/>
          <w:highlight w:val="none"/>
        </w:rPr>
      </w:pPr>
      <w:r>
        <w:rPr>
          <w:rFonts w:hint="eastAsia" w:ascii="宋体" w:hAnsi="宋体" w:eastAsia="宋体"/>
          <w:color w:val="auto"/>
          <w:sz w:val="24"/>
          <w:highlight w:val="none"/>
        </w:rPr>
        <w:t xml:space="preserve">                                            年     月     日</w:t>
      </w:r>
    </w:p>
    <w:p w14:paraId="41FBC417">
      <w:pPr>
        <w:snapToGrid w:val="0"/>
        <w:spacing w:line="500" w:lineRule="exact"/>
        <w:ind w:firstLine="480"/>
        <w:rPr>
          <w:rFonts w:ascii="宋体" w:hAnsi="宋体" w:eastAsia="宋体"/>
          <w:color w:val="auto"/>
          <w:sz w:val="24"/>
          <w:highlight w:val="none"/>
        </w:rPr>
      </w:pPr>
    </w:p>
    <w:p w14:paraId="622D3E00">
      <w:pPr>
        <w:snapToGrid w:val="0"/>
        <w:spacing w:line="360" w:lineRule="auto"/>
        <w:ind w:firstLine="480"/>
        <w:rPr>
          <w:rFonts w:ascii="宋体" w:hAnsi="宋体" w:eastAsia="宋体"/>
          <w:color w:val="auto"/>
          <w:sz w:val="24"/>
          <w:highlight w:val="none"/>
        </w:rPr>
      </w:pPr>
      <w:r>
        <w:rPr>
          <w:rFonts w:hint="eastAsia" w:ascii="宋体" w:hAnsi="宋体" w:eastAsia="宋体"/>
          <w:color w:val="auto"/>
          <w:sz w:val="24"/>
          <w:highlight w:val="none"/>
        </w:rPr>
        <w:t>注：</w:t>
      </w:r>
    </w:p>
    <w:p w14:paraId="7774D393">
      <w:pPr>
        <w:snapToGrid w:val="0"/>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rPr>
        <w:t>1.请供应商完整填写本表；</w:t>
      </w:r>
    </w:p>
    <w:p w14:paraId="227C5858">
      <w:pPr>
        <w:pStyle w:val="53"/>
        <w:ind w:firstLine="480" w:firstLineChars="200"/>
        <w:rPr>
          <w:rFonts w:ascii="宋体" w:hAnsi="宋体" w:eastAsia="宋体" w:cs="宋体"/>
          <w:color w:val="auto"/>
          <w:highlight w:val="none"/>
        </w:rPr>
      </w:pPr>
      <w:r>
        <w:rPr>
          <w:rFonts w:hint="eastAsia" w:ascii="宋体" w:hAnsi="宋体" w:eastAsia="宋体"/>
          <w:color w:val="auto"/>
          <w:sz w:val="24"/>
          <w:highlight w:val="none"/>
        </w:rPr>
        <w:t>2.该表可扩展。</w:t>
      </w:r>
    </w:p>
    <w:p w14:paraId="24455078">
      <w:pPr>
        <w:pStyle w:val="53"/>
        <w:rPr>
          <w:rFonts w:ascii="宋体" w:hAnsi="宋体" w:eastAsia="宋体" w:cs="宋体"/>
          <w:color w:val="auto"/>
          <w:highlight w:val="none"/>
        </w:rPr>
      </w:pPr>
    </w:p>
    <w:p w14:paraId="6CD8A207">
      <w:pPr>
        <w:rPr>
          <w:rFonts w:hint="eastAsia" w:ascii="宋体" w:hAnsi="宋体" w:cs="宋体"/>
          <w:color w:val="auto"/>
          <w:sz w:val="24"/>
          <w:szCs w:val="24"/>
          <w:highlight w:val="none"/>
        </w:rPr>
      </w:pPr>
      <w:bookmarkStart w:id="137" w:name="_Toc313008357"/>
      <w:bookmarkStart w:id="138" w:name="_Toc342913420"/>
      <w:bookmarkStart w:id="139" w:name="_Toc14930"/>
      <w:bookmarkStart w:id="140" w:name="_Toc313888361"/>
      <w:bookmarkStart w:id="141" w:name="_Toc19460"/>
      <w:bookmarkStart w:id="142" w:name="_Toc21280"/>
      <w:r>
        <w:rPr>
          <w:rFonts w:hint="eastAsia" w:ascii="宋体" w:hAnsi="宋体" w:cs="宋体"/>
          <w:color w:val="auto"/>
          <w:sz w:val="24"/>
          <w:szCs w:val="24"/>
          <w:highlight w:val="none"/>
        </w:rPr>
        <w:br w:type="page"/>
      </w:r>
    </w:p>
    <w:p w14:paraId="44E8DB51">
      <w:pPr>
        <w:pStyle w:val="4"/>
        <w:spacing w:before="0" w:after="0" w:line="360" w:lineRule="auto"/>
        <w:rPr>
          <w:rFonts w:ascii="宋体" w:hAnsi="宋体" w:cs="宋体"/>
          <w:color w:val="auto"/>
          <w:sz w:val="24"/>
          <w:szCs w:val="24"/>
          <w:highlight w:val="none"/>
        </w:rPr>
      </w:pPr>
      <w:bookmarkStart w:id="143" w:name="_Toc8230"/>
      <w:r>
        <w:rPr>
          <w:rFonts w:hint="eastAsia" w:ascii="宋体" w:hAnsi="宋体" w:cs="宋体"/>
          <w:color w:val="auto"/>
          <w:sz w:val="24"/>
          <w:szCs w:val="24"/>
          <w:highlight w:val="none"/>
        </w:rPr>
        <w:t>二、技术部分</w:t>
      </w:r>
      <w:bookmarkEnd w:id="137"/>
      <w:bookmarkEnd w:id="138"/>
      <w:bookmarkEnd w:id="139"/>
      <w:bookmarkEnd w:id="140"/>
      <w:bookmarkEnd w:id="141"/>
      <w:bookmarkEnd w:id="142"/>
      <w:bookmarkEnd w:id="143"/>
    </w:p>
    <w:p w14:paraId="672FB790">
      <w:pPr>
        <w:pStyle w:val="53"/>
        <w:rPr>
          <w:rFonts w:ascii="宋体" w:hAnsi="宋体" w:eastAsia="宋体" w:cs="宋体"/>
          <w:b/>
          <w:bCs/>
          <w:color w:val="auto"/>
          <w:szCs w:val="28"/>
          <w:highlight w:val="none"/>
        </w:rPr>
      </w:pPr>
    </w:p>
    <w:p w14:paraId="7D5B11BC">
      <w:pPr>
        <w:snapToGrid w:val="0"/>
        <w:spacing w:line="360" w:lineRule="auto"/>
        <w:jc w:val="left"/>
        <w:rPr>
          <w:rFonts w:ascii="宋体" w:hAnsi="宋体" w:cs="宋体"/>
          <w:b/>
          <w:bCs/>
          <w:color w:val="auto"/>
          <w:sz w:val="24"/>
          <w:szCs w:val="24"/>
          <w:highlight w:val="none"/>
        </w:rPr>
      </w:pPr>
      <w:r>
        <w:rPr>
          <w:rFonts w:hint="eastAsia" w:ascii="宋体" w:hAnsi="宋体" w:cs="宋体"/>
          <w:b/>
          <w:bCs/>
          <w:color w:val="auto"/>
          <w:sz w:val="24"/>
          <w:szCs w:val="24"/>
          <w:highlight w:val="none"/>
        </w:rPr>
        <w:t>（一）技术响应偏离表</w:t>
      </w:r>
    </w:p>
    <w:p w14:paraId="0A51DFFD">
      <w:pPr>
        <w:snapToGrid w:val="0"/>
        <w:spacing w:line="360" w:lineRule="auto"/>
        <w:jc w:val="center"/>
        <w:rPr>
          <w:rFonts w:ascii="宋体" w:hAnsi="宋体" w:cs="宋体"/>
          <w:bCs/>
          <w:color w:val="auto"/>
          <w:sz w:val="24"/>
          <w:szCs w:val="24"/>
          <w:highlight w:val="none"/>
        </w:rPr>
      </w:pPr>
      <w:r>
        <w:rPr>
          <w:rFonts w:hint="eastAsia" w:ascii="宋体" w:hAnsi="宋体" w:cs="宋体"/>
          <w:bCs/>
          <w:color w:val="auto"/>
          <w:sz w:val="24"/>
          <w:szCs w:val="24"/>
          <w:highlight w:val="none"/>
        </w:rPr>
        <w:t>技术响应偏离表</w:t>
      </w:r>
    </w:p>
    <w:p w14:paraId="305CBA58">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对于网上询价文件的技术要求，如有任何偏离请如实填写下表：</w:t>
      </w:r>
    </w:p>
    <w:tbl>
      <w:tblPr>
        <w:tblStyle w:val="2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208A6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0358ABDE">
            <w:pPr>
              <w:bidi w:val="0"/>
              <w:jc w:val="center"/>
              <w:rPr>
                <w:color w:val="auto"/>
                <w:highlight w:val="none"/>
              </w:rPr>
            </w:pPr>
            <w:r>
              <w:rPr>
                <w:rFonts w:hint="eastAsia"/>
                <w:color w:val="auto"/>
                <w:highlight w:val="none"/>
              </w:rPr>
              <w:t>序号</w:t>
            </w:r>
          </w:p>
        </w:tc>
        <w:tc>
          <w:tcPr>
            <w:tcW w:w="3179" w:type="dxa"/>
            <w:noWrap w:val="0"/>
            <w:vAlign w:val="center"/>
          </w:tcPr>
          <w:p w14:paraId="5CB176CF">
            <w:pPr>
              <w:bidi w:val="0"/>
              <w:jc w:val="center"/>
              <w:rPr>
                <w:color w:val="auto"/>
                <w:highlight w:val="none"/>
              </w:rPr>
            </w:pPr>
            <w:r>
              <w:rPr>
                <w:rFonts w:hint="eastAsia"/>
                <w:color w:val="auto"/>
                <w:highlight w:val="none"/>
              </w:rPr>
              <w:t>采购项目需求</w:t>
            </w:r>
          </w:p>
        </w:tc>
        <w:tc>
          <w:tcPr>
            <w:tcW w:w="2434" w:type="dxa"/>
            <w:noWrap w:val="0"/>
            <w:vAlign w:val="center"/>
          </w:tcPr>
          <w:p w14:paraId="727A1AEA">
            <w:pPr>
              <w:bidi w:val="0"/>
              <w:jc w:val="center"/>
              <w:rPr>
                <w:color w:val="auto"/>
                <w:highlight w:val="none"/>
              </w:rPr>
            </w:pPr>
            <w:r>
              <w:rPr>
                <w:rFonts w:hint="eastAsia"/>
                <w:color w:val="auto"/>
                <w:highlight w:val="none"/>
              </w:rPr>
              <w:t>响应情况</w:t>
            </w:r>
          </w:p>
        </w:tc>
        <w:tc>
          <w:tcPr>
            <w:tcW w:w="2355" w:type="dxa"/>
            <w:noWrap w:val="0"/>
            <w:vAlign w:val="center"/>
          </w:tcPr>
          <w:p w14:paraId="0C286016">
            <w:pPr>
              <w:bidi w:val="0"/>
              <w:jc w:val="center"/>
              <w:rPr>
                <w:color w:val="auto"/>
                <w:highlight w:val="none"/>
              </w:rPr>
            </w:pPr>
            <w:r>
              <w:rPr>
                <w:rFonts w:hint="eastAsia"/>
                <w:color w:val="auto"/>
                <w:highlight w:val="none"/>
              </w:rPr>
              <w:t>差异说明</w:t>
            </w:r>
          </w:p>
        </w:tc>
      </w:tr>
      <w:tr w14:paraId="743137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BA675D1">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27644BE8">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0E1D861D">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1CDDA5C9">
            <w:pPr>
              <w:tabs>
                <w:tab w:val="left" w:pos="6300"/>
              </w:tabs>
              <w:snapToGrid w:val="0"/>
              <w:spacing w:line="360" w:lineRule="auto"/>
              <w:jc w:val="center"/>
              <w:outlineLvl w:val="0"/>
              <w:rPr>
                <w:rFonts w:ascii="宋体" w:hAnsi="宋体" w:cs="宋体"/>
                <w:color w:val="auto"/>
                <w:sz w:val="21"/>
                <w:szCs w:val="24"/>
                <w:highlight w:val="none"/>
              </w:rPr>
            </w:pPr>
          </w:p>
        </w:tc>
      </w:tr>
      <w:tr w14:paraId="63D5C7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500F1ED">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23825771">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B62F68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515C4C61">
            <w:pPr>
              <w:tabs>
                <w:tab w:val="left" w:pos="6300"/>
              </w:tabs>
              <w:snapToGrid w:val="0"/>
              <w:spacing w:line="360" w:lineRule="auto"/>
              <w:jc w:val="center"/>
              <w:outlineLvl w:val="0"/>
              <w:rPr>
                <w:rFonts w:ascii="宋体" w:hAnsi="宋体" w:cs="宋体"/>
                <w:color w:val="auto"/>
                <w:sz w:val="21"/>
                <w:szCs w:val="24"/>
                <w:highlight w:val="none"/>
              </w:rPr>
            </w:pPr>
          </w:p>
        </w:tc>
      </w:tr>
      <w:tr w14:paraId="3ABD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5E5CA66">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5FBE6256">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67A47D6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27CE035D">
            <w:pPr>
              <w:tabs>
                <w:tab w:val="left" w:pos="6300"/>
              </w:tabs>
              <w:snapToGrid w:val="0"/>
              <w:spacing w:line="360" w:lineRule="auto"/>
              <w:jc w:val="center"/>
              <w:outlineLvl w:val="0"/>
              <w:rPr>
                <w:rFonts w:ascii="宋体" w:hAnsi="宋体" w:cs="宋体"/>
                <w:color w:val="auto"/>
                <w:sz w:val="21"/>
                <w:szCs w:val="24"/>
                <w:highlight w:val="none"/>
              </w:rPr>
            </w:pPr>
          </w:p>
        </w:tc>
      </w:tr>
      <w:tr w14:paraId="109FF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5059DF85">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443F8ED8">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B0C048A">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2F716EC9">
            <w:pPr>
              <w:tabs>
                <w:tab w:val="left" w:pos="6300"/>
              </w:tabs>
              <w:snapToGrid w:val="0"/>
              <w:spacing w:line="360" w:lineRule="auto"/>
              <w:jc w:val="center"/>
              <w:outlineLvl w:val="0"/>
              <w:rPr>
                <w:rFonts w:ascii="宋体" w:hAnsi="宋体" w:cs="宋体"/>
                <w:color w:val="auto"/>
                <w:sz w:val="21"/>
                <w:szCs w:val="24"/>
                <w:highlight w:val="none"/>
              </w:rPr>
            </w:pPr>
          </w:p>
        </w:tc>
      </w:tr>
      <w:tr w14:paraId="24BB7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1E031CA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1F4F723F">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5226D6A">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3865A4C7">
            <w:pPr>
              <w:tabs>
                <w:tab w:val="left" w:pos="6300"/>
              </w:tabs>
              <w:snapToGrid w:val="0"/>
              <w:spacing w:line="360" w:lineRule="auto"/>
              <w:jc w:val="center"/>
              <w:outlineLvl w:val="0"/>
              <w:rPr>
                <w:rFonts w:ascii="宋体" w:hAnsi="宋体" w:cs="宋体"/>
                <w:color w:val="auto"/>
                <w:sz w:val="21"/>
                <w:szCs w:val="24"/>
                <w:highlight w:val="none"/>
              </w:rPr>
            </w:pPr>
          </w:p>
        </w:tc>
      </w:tr>
      <w:tr w14:paraId="45837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7ACA244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69BEB34F">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51689D19">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7D2430F5">
            <w:pPr>
              <w:tabs>
                <w:tab w:val="left" w:pos="6300"/>
              </w:tabs>
              <w:snapToGrid w:val="0"/>
              <w:spacing w:line="360" w:lineRule="auto"/>
              <w:jc w:val="center"/>
              <w:outlineLvl w:val="0"/>
              <w:rPr>
                <w:rFonts w:ascii="宋体" w:hAnsi="宋体" w:cs="宋体"/>
                <w:color w:val="auto"/>
                <w:sz w:val="21"/>
                <w:szCs w:val="24"/>
                <w:highlight w:val="none"/>
              </w:rPr>
            </w:pPr>
          </w:p>
        </w:tc>
      </w:tr>
    </w:tbl>
    <w:p w14:paraId="40A12749">
      <w:pPr>
        <w:snapToGrid w:val="0"/>
        <w:spacing w:line="360" w:lineRule="auto"/>
        <w:ind w:firstLine="465"/>
        <w:rPr>
          <w:rFonts w:ascii="宋体" w:hAnsi="宋体" w:cs="宋体"/>
          <w:color w:val="auto"/>
          <w:sz w:val="24"/>
          <w:szCs w:val="24"/>
          <w:highlight w:val="none"/>
        </w:rPr>
      </w:pPr>
    </w:p>
    <w:p w14:paraId="7B957592">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59D970DD">
      <w:pPr>
        <w:spacing w:line="500" w:lineRule="exact"/>
        <w:rPr>
          <w:rFonts w:ascii="宋体" w:hAnsi="宋体" w:cs="宋体"/>
          <w:color w:val="auto"/>
          <w:sz w:val="24"/>
          <w:szCs w:val="28"/>
          <w:highlight w:val="none"/>
        </w:rPr>
      </w:pPr>
    </w:p>
    <w:p w14:paraId="3CD9C2D9">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36E141D1">
      <w:pPr>
        <w:tabs>
          <w:tab w:val="left" w:pos="6300"/>
        </w:tabs>
        <w:snapToGrid w:val="0"/>
        <w:spacing w:line="500" w:lineRule="exact"/>
        <w:ind w:firstLine="6962" w:firstLineChars="2901"/>
        <w:rPr>
          <w:rFonts w:ascii="宋体" w:hAnsi="宋体" w:cs="宋体"/>
          <w:color w:val="auto"/>
          <w:sz w:val="24"/>
          <w:highlight w:val="none"/>
        </w:rPr>
      </w:pPr>
      <w:r>
        <w:rPr>
          <w:rFonts w:hint="eastAsia" w:ascii="宋体" w:hAnsi="宋体" w:cs="宋体"/>
          <w:color w:val="auto"/>
          <w:sz w:val="24"/>
          <w:szCs w:val="28"/>
          <w:highlight w:val="none"/>
        </w:rPr>
        <w:t>年月日</w:t>
      </w:r>
    </w:p>
    <w:p w14:paraId="1F9C8A8A">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77B0D5E4">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.本表即为对本项目“第二篇采购项目技术需求”中所列技术要求进行比较和响应；</w:t>
      </w:r>
    </w:p>
    <w:p w14:paraId="705ED9A8">
      <w:pPr>
        <w:tabs>
          <w:tab w:val="left" w:pos="6300"/>
        </w:tabs>
        <w:snapToGrid w:val="0"/>
        <w:spacing w:line="500" w:lineRule="exact"/>
        <w:ind w:firstLine="480" w:firstLineChars="200"/>
        <w:rPr>
          <w:rFonts w:ascii="宋体" w:hAnsi="宋体" w:cs="宋体"/>
          <w:color w:val="auto"/>
          <w:highlight w:val="none"/>
        </w:rPr>
        <w:sectPr>
          <w:headerReference r:id="rId10" w:type="default"/>
          <w:footerReference r:id="rId11" w:type="default"/>
          <w:pgSz w:w="11907" w:h="16840"/>
          <w:pgMar w:top="1134" w:right="1191" w:bottom="1134" w:left="1304" w:header="680" w:footer="992" w:gutter="0"/>
          <w:pgNumType w:fmt="numberInDash"/>
          <w:cols w:space="720" w:num="1"/>
          <w:rtlGutter w:val="0"/>
          <w:docGrid w:type="lines" w:linePitch="383" w:charSpace="0"/>
        </w:sectPr>
      </w:pPr>
      <w:r>
        <w:rPr>
          <w:rFonts w:hint="eastAsia" w:ascii="宋体" w:hAnsi="宋体" w:cs="宋体"/>
          <w:color w:val="auto"/>
          <w:sz w:val="24"/>
          <w:szCs w:val="22"/>
          <w:highlight w:val="none"/>
        </w:rPr>
        <w:t>2.该表可扩展。</w:t>
      </w:r>
    </w:p>
    <w:p w14:paraId="5AB4A5D8">
      <w:pPr>
        <w:spacing w:line="360" w:lineRule="auto"/>
        <w:ind w:firstLine="480" w:firstLineChars="200"/>
        <w:rPr>
          <w:rFonts w:ascii="宋体" w:hAnsi="宋体" w:eastAsia="宋体"/>
          <w:color w:val="auto"/>
          <w:sz w:val="24"/>
          <w:szCs w:val="24"/>
          <w:highlight w:val="none"/>
        </w:rPr>
      </w:pPr>
      <w:bookmarkStart w:id="144" w:name="_Toc313888362"/>
      <w:bookmarkStart w:id="145" w:name="_Toc313008358"/>
      <w:bookmarkStart w:id="146" w:name="_Toc342913421"/>
      <w:bookmarkStart w:id="147" w:name="_Toc26718"/>
      <w:r>
        <w:rPr>
          <w:rFonts w:hint="eastAsia" w:ascii="宋体" w:hAnsi="宋体" w:eastAsia="宋体"/>
          <w:color w:val="auto"/>
          <w:sz w:val="24"/>
          <w:szCs w:val="24"/>
          <w:highlight w:val="none"/>
        </w:rPr>
        <w:t>（二）其他技术资料（格式自定）</w:t>
      </w:r>
    </w:p>
    <w:p w14:paraId="6DACC673">
      <w:pPr>
        <w:rPr>
          <w:color w:val="auto"/>
          <w:highlight w:val="none"/>
        </w:rPr>
      </w:pPr>
    </w:p>
    <w:p w14:paraId="2B7DD781">
      <w:pPr>
        <w:pStyle w:val="4"/>
        <w:rPr>
          <w:rFonts w:ascii="宋体" w:hAnsi="宋体" w:cs="宋体"/>
          <w:color w:val="auto"/>
          <w:sz w:val="24"/>
          <w:szCs w:val="24"/>
          <w:highlight w:val="none"/>
        </w:rPr>
      </w:pPr>
    </w:p>
    <w:p w14:paraId="09974848">
      <w:pPr>
        <w:rPr>
          <w:rFonts w:ascii="宋体" w:hAnsi="宋体" w:cs="宋体"/>
          <w:color w:val="auto"/>
          <w:sz w:val="24"/>
          <w:szCs w:val="24"/>
          <w:highlight w:val="none"/>
        </w:rPr>
      </w:pPr>
      <w:r>
        <w:rPr>
          <w:rFonts w:hint="eastAsia" w:ascii="宋体" w:hAnsi="宋体" w:cs="宋体"/>
          <w:color w:val="auto"/>
          <w:sz w:val="24"/>
          <w:szCs w:val="24"/>
          <w:highlight w:val="none"/>
        </w:rPr>
        <w:br w:type="page"/>
      </w:r>
    </w:p>
    <w:p w14:paraId="2AF6E7C8">
      <w:pPr>
        <w:pStyle w:val="4"/>
        <w:rPr>
          <w:rFonts w:ascii="宋体" w:hAnsi="宋体" w:cs="宋体"/>
          <w:color w:val="auto"/>
          <w:sz w:val="24"/>
          <w:szCs w:val="24"/>
          <w:highlight w:val="none"/>
        </w:rPr>
      </w:pPr>
      <w:bookmarkStart w:id="148" w:name="_Toc28224"/>
      <w:bookmarkStart w:id="149" w:name="_Toc14521"/>
      <w:bookmarkStart w:id="150" w:name="_Toc4375"/>
      <w:r>
        <w:rPr>
          <w:rFonts w:hint="eastAsia" w:ascii="宋体" w:hAnsi="宋体" w:cs="宋体"/>
          <w:color w:val="auto"/>
          <w:sz w:val="24"/>
          <w:szCs w:val="24"/>
          <w:highlight w:val="none"/>
        </w:rPr>
        <w:t>三、商务部分</w:t>
      </w:r>
      <w:bookmarkEnd w:id="144"/>
      <w:bookmarkEnd w:id="145"/>
      <w:bookmarkEnd w:id="146"/>
      <w:bookmarkEnd w:id="147"/>
      <w:bookmarkEnd w:id="148"/>
      <w:bookmarkEnd w:id="149"/>
      <w:bookmarkEnd w:id="150"/>
    </w:p>
    <w:p w14:paraId="7776D1E5">
      <w:pPr>
        <w:spacing w:line="360" w:lineRule="auto"/>
        <w:ind w:firstLine="482" w:firstLineChars="200"/>
        <w:rPr>
          <w:rFonts w:ascii="宋体" w:hAnsi="宋体" w:cs="宋体"/>
          <w:b/>
          <w:bCs/>
          <w:color w:val="auto"/>
          <w:sz w:val="24"/>
          <w:szCs w:val="24"/>
          <w:highlight w:val="none"/>
        </w:rPr>
      </w:pPr>
      <w:bookmarkStart w:id="151" w:name="_Toc283382459"/>
      <w:r>
        <w:rPr>
          <w:rFonts w:hint="eastAsia" w:ascii="宋体" w:hAnsi="宋体" w:cs="宋体"/>
          <w:b/>
          <w:bCs/>
          <w:color w:val="auto"/>
          <w:sz w:val="24"/>
          <w:szCs w:val="24"/>
          <w:highlight w:val="none"/>
        </w:rPr>
        <w:t>（一）商务响应偏离表</w:t>
      </w:r>
    </w:p>
    <w:p w14:paraId="15BDE877">
      <w:pPr>
        <w:snapToGrid w:val="0"/>
        <w:spacing w:line="360" w:lineRule="auto"/>
        <w:jc w:val="center"/>
        <w:rPr>
          <w:rFonts w:ascii="宋体" w:hAnsi="宋体" w:cs="宋体"/>
          <w:bCs/>
          <w:color w:val="auto"/>
          <w:szCs w:val="28"/>
          <w:highlight w:val="none"/>
        </w:rPr>
      </w:pPr>
      <w:r>
        <w:rPr>
          <w:rFonts w:hint="eastAsia" w:ascii="宋体" w:hAnsi="宋体" w:cs="宋体"/>
          <w:bCs/>
          <w:color w:val="auto"/>
          <w:szCs w:val="28"/>
          <w:highlight w:val="none"/>
        </w:rPr>
        <w:t>商务响应偏离表</w:t>
      </w:r>
    </w:p>
    <w:p w14:paraId="5AF55287">
      <w:pPr>
        <w:snapToGrid w:val="0"/>
        <w:spacing w:line="360" w:lineRule="auto"/>
        <w:ind w:firstLine="465"/>
        <w:rPr>
          <w:rFonts w:ascii="宋体" w:hAnsi="宋体" w:cs="宋体"/>
          <w:color w:val="auto"/>
          <w:sz w:val="24"/>
          <w:szCs w:val="24"/>
          <w:highlight w:val="none"/>
        </w:rPr>
      </w:pPr>
      <w:r>
        <w:rPr>
          <w:rFonts w:hint="eastAsia" w:ascii="宋体" w:hAnsi="宋体" w:cs="宋体"/>
          <w:color w:val="auto"/>
          <w:sz w:val="24"/>
          <w:szCs w:val="24"/>
          <w:highlight w:val="none"/>
        </w:rPr>
        <w:t>对于网上询价文件的商务要求，如有任何偏离请如实填写下表：</w:t>
      </w:r>
    </w:p>
    <w:tbl>
      <w:tblPr>
        <w:tblStyle w:val="26"/>
        <w:tblW w:w="947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0"/>
        <w:gridCol w:w="3179"/>
        <w:gridCol w:w="2434"/>
        <w:gridCol w:w="2355"/>
      </w:tblGrid>
      <w:tr w14:paraId="16F80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 w:hRule="atLeast"/>
        </w:trPr>
        <w:tc>
          <w:tcPr>
            <w:tcW w:w="1510" w:type="dxa"/>
            <w:noWrap w:val="0"/>
            <w:vAlign w:val="center"/>
          </w:tcPr>
          <w:p w14:paraId="6BA1B286">
            <w:pPr>
              <w:bidi w:val="0"/>
              <w:jc w:val="center"/>
              <w:rPr>
                <w:color w:val="auto"/>
                <w:highlight w:val="none"/>
              </w:rPr>
            </w:pPr>
            <w:r>
              <w:rPr>
                <w:rFonts w:hint="eastAsia"/>
                <w:color w:val="auto"/>
                <w:highlight w:val="none"/>
              </w:rPr>
              <w:t>序号</w:t>
            </w:r>
          </w:p>
        </w:tc>
        <w:tc>
          <w:tcPr>
            <w:tcW w:w="3179" w:type="dxa"/>
            <w:noWrap w:val="0"/>
            <w:vAlign w:val="center"/>
          </w:tcPr>
          <w:p w14:paraId="38AA1861">
            <w:pPr>
              <w:bidi w:val="0"/>
              <w:jc w:val="center"/>
              <w:rPr>
                <w:color w:val="auto"/>
                <w:highlight w:val="none"/>
              </w:rPr>
            </w:pPr>
            <w:r>
              <w:rPr>
                <w:rFonts w:hint="eastAsia"/>
                <w:color w:val="auto"/>
                <w:highlight w:val="none"/>
              </w:rPr>
              <w:t>采购项目需求</w:t>
            </w:r>
          </w:p>
        </w:tc>
        <w:tc>
          <w:tcPr>
            <w:tcW w:w="2434" w:type="dxa"/>
            <w:noWrap w:val="0"/>
            <w:vAlign w:val="center"/>
          </w:tcPr>
          <w:p w14:paraId="0A1BC376">
            <w:pPr>
              <w:bidi w:val="0"/>
              <w:jc w:val="center"/>
              <w:rPr>
                <w:color w:val="auto"/>
                <w:highlight w:val="none"/>
              </w:rPr>
            </w:pPr>
            <w:r>
              <w:rPr>
                <w:rFonts w:hint="eastAsia"/>
                <w:color w:val="auto"/>
                <w:highlight w:val="none"/>
              </w:rPr>
              <w:t>响应情况</w:t>
            </w:r>
          </w:p>
        </w:tc>
        <w:tc>
          <w:tcPr>
            <w:tcW w:w="2355" w:type="dxa"/>
            <w:noWrap w:val="0"/>
            <w:vAlign w:val="center"/>
          </w:tcPr>
          <w:p w14:paraId="5DEAFED2">
            <w:pPr>
              <w:bidi w:val="0"/>
              <w:jc w:val="center"/>
              <w:rPr>
                <w:color w:val="auto"/>
                <w:highlight w:val="none"/>
              </w:rPr>
            </w:pPr>
            <w:r>
              <w:rPr>
                <w:rFonts w:hint="eastAsia"/>
                <w:color w:val="auto"/>
                <w:highlight w:val="none"/>
              </w:rPr>
              <w:t>差异说明</w:t>
            </w:r>
          </w:p>
        </w:tc>
      </w:tr>
      <w:tr w14:paraId="596064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DAE5A18">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3419ADF0">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C838CB4">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799413C5">
            <w:pPr>
              <w:tabs>
                <w:tab w:val="left" w:pos="6300"/>
              </w:tabs>
              <w:snapToGrid w:val="0"/>
              <w:spacing w:line="360" w:lineRule="auto"/>
              <w:jc w:val="center"/>
              <w:outlineLvl w:val="0"/>
              <w:rPr>
                <w:rFonts w:ascii="宋体" w:hAnsi="宋体" w:cs="宋体"/>
                <w:color w:val="auto"/>
                <w:sz w:val="21"/>
                <w:szCs w:val="24"/>
                <w:highlight w:val="none"/>
              </w:rPr>
            </w:pPr>
          </w:p>
        </w:tc>
      </w:tr>
      <w:tr w14:paraId="7AEC2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08FB3C9">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65969C00">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71497B08">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71F4F346">
            <w:pPr>
              <w:tabs>
                <w:tab w:val="left" w:pos="6300"/>
              </w:tabs>
              <w:snapToGrid w:val="0"/>
              <w:spacing w:line="360" w:lineRule="auto"/>
              <w:jc w:val="center"/>
              <w:outlineLvl w:val="0"/>
              <w:rPr>
                <w:rFonts w:ascii="宋体" w:hAnsi="宋体" w:cs="宋体"/>
                <w:color w:val="auto"/>
                <w:sz w:val="21"/>
                <w:szCs w:val="24"/>
                <w:highlight w:val="none"/>
              </w:rPr>
            </w:pPr>
          </w:p>
        </w:tc>
      </w:tr>
      <w:tr w14:paraId="2ED93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263413A6">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063803E9">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16F7666B">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57682B42">
            <w:pPr>
              <w:tabs>
                <w:tab w:val="left" w:pos="6300"/>
              </w:tabs>
              <w:snapToGrid w:val="0"/>
              <w:spacing w:line="360" w:lineRule="auto"/>
              <w:jc w:val="center"/>
              <w:outlineLvl w:val="0"/>
              <w:rPr>
                <w:rFonts w:ascii="宋体" w:hAnsi="宋体" w:cs="宋体"/>
                <w:color w:val="auto"/>
                <w:sz w:val="21"/>
                <w:szCs w:val="24"/>
                <w:highlight w:val="none"/>
              </w:rPr>
            </w:pPr>
          </w:p>
        </w:tc>
      </w:tr>
      <w:tr w14:paraId="370C1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62B797AC">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40553BB5">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3F0AC086">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241FE5B8">
            <w:pPr>
              <w:tabs>
                <w:tab w:val="left" w:pos="6300"/>
              </w:tabs>
              <w:snapToGrid w:val="0"/>
              <w:spacing w:line="360" w:lineRule="auto"/>
              <w:jc w:val="center"/>
              <w:outlineLvl w:val="0"/>
              <w:rPr>
                <w:rFonts w:ascii="宋体" w:hAnsi="宋体" w:cs="宋体"/>
                <w:color w:val="auto"/>
                <w:sz w:val="21"/>
                <w:szCs w:val="24"/>
                <w:highlight w:val="none"/>
              </w:rPr>
            </w:pPr>
          </w:p>
        </w:tc>
      </w:tr>
      <w:tr w14:paraId="08347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39059A68">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43781A3E">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5886B38F">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5D9A862D">
            <w:pPr>
              <w:tabs>
                <w:tab w:val="left" w:pos="6300"/>
              </w:tabs>
              <w:snapToGrid w:val="0"/>
              <w:spacing w:line="360" w:lineRule="auto"/>
              <w:jc w:val="center"/>
              <w:outlineLvl w:val="0"/>
              <w:rPr>
                <w:rFonts w:ascii="宋体" w:hAnsi="宋体" w:cs="宋体"/>
                <w:color w:val="auto"/>
                <w:sz w:val="21"/>
                <w:szCs w:val="24"/>
                <w:highlight w:val="none"/>
              </w:rPr>
            </w:pPr>
          </w:p>
        </w:tc>
      </w:tr>
      <w:tr w14:paraId="4531C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1510" w:type="dxa"/>
            <w:noWrap w:val="0"/>
            <w:vAlign w:val="center"/>
          </w:tcPr>
          <w:p w14:paraId="4F6622EF">
            <w:pPr>
              <w:tabs>
                <w:tab w:val="left" w:pos="6300"/>
              </w:tabs>
              <w:snapToGrid w:val="0"/>
              <w:spacing w:line="360" w:lineRule="auto"/>
              <w:jc w:val="center"/>
              <w:outlineLvl w:val="0"/>
              <w:rPr>
                <w:rFonts w:ascii="宋体" w:hAnsi="宋体" w:cs="宋体"/>
                <w:color w:val="auto"/>
                <w:sz w:val="21"/>
                <w:szCs w:val="24"/>
                <w:highlight w:val="none"/>
              </w:rPr>
            </w:pPr>
          </w:p>
        </w:tc>
        <w:tc>
          <w:tcPr>
            <w:tcW w:w="3179" w:type="dxa"/>
            <w:noWrap w:val="0"/>
            <w:vAlign w:val="center"/>
          </w:tcPr>
          <w:p w14:paraId="54B13B3E">
            <w:pPr>
              <w:tabs>
                <w:tab w:val="left" w:pos="6300"/>
              </w:tabs>
              <w:snapToGrid w:val="0"/>
              <w:spacing w:line="360" w:lineRule="auto"/>
              <w:jc w:val="center"/>
              <w:outlineLvl w:val="0"/>
              <w:rPr>
                <w:rFonts w:ascii="宋体" w:hAnsi="宋体" w:cs="宋体"/>
                <w:color w:val="auto"/>
                <w:sz w:val="21"/>
                <w:szCs w:val="24"/>
                <w:highlight w:val="none"/>
              </w:rPr>
            </w:pPr>
          </w:p>
        </w:tc>
        <w:tc>
          <w:tcPr>
            <w:tcW w:w="2434" w:type="dxa"/>
            <w:noWrap w:val="0"/>
            <w:vAlign w:val="center"/>
          </w:tcPr>
          <w:p w14:paraId="48BA519F">
            <w:pPr>
              <w:tabs>
                <w:tab w:val="left" w:pos="6300"/>
              </w:tabs>
              <w:snapToGrid w:val="0"/>
              <w:spacing w:line="360" w:lineRule="auto"/>
              <w:jc w:val="center"/>
              <w:outlineLvl w:val="0"/>
              <w:rPr>
                <w:rFonts w:ascii="宋体" w:hAnsi="宋体" w:cs="宋体"/>
                <w:color w:val="auto"/>
                <w:sz w:val="21"/>
                <w:szCs w:val="24"/>
                <w:highlight w:val="none"/>
              </w:rPr>
            </w:pPr>
          </w:p>
        </w:tc>
        <w:tc>
          <w:tcPr>
            <w:tcW w:w="2355" w:type="dxa"/>
            <w:noWrap w:val="0"/>
            <w:vAlign w:val="center"/>
          </w:tcPr>
          <w:p w14:paraId="65A1C2A4">
            <w:pPr>
              <w:tabs>
                <w:tab w:val="left" w:pos="6300"/>
              </w:tabs>
              <w:snapToGrid w:val="0"/>
              <w:spacing w:line="360" w:lineRule="auto"/>
              <w:jc w:val="center"/>
              <w:outlineLvl w:val="0"/>
              <w:rPr>
                <w:rFonts w:ascii="宋体" w:hAnsi="宋体" w:cs="宋体"/>
                <w:color w:val="auto"/>
                <w:sz w:val="21"/>
                <w:szCs w:val="24"/>
                <w:highlight w:val="none"/>
              </w:rPr>
            </w:pPr>
          </w:p>
        </w:tc>
      </w:tr>
    </w:tbl>
    <w:p w14:paraId="36D7F5C7">
      <w:pPr>
        <w:snapToGrid w:val="0"/>
        <w:spacing w:line="360" w:lineRule="auto"/>
        <w:ind w:firstLine="465"/>
        <w:rPr>
          <w:rFonts w:ascii="宋体" w:hAnsi="宋体" w:cs="宋体"/>
          <w:color w:val="auto"/>
          <w:sz w:val="24"/>
          <w:szCs w:val="24"/>
          <w:highlight w:val="none"/>
        </w:rPr>
      </w:pPr>
    </w:p>
    <w:p w14:paraId="71DCD77B">
      <w:pPr>
        <w:spacing w:line="500" w:lineRule="exact"/>
        <w:ind w:firstLine="600" w:firstLineChars="250"/>
        <w:rPr>
          <w:rFonts w:ascii="宋体" w:hAnsi="宋体" w:cs="宋体"/>
          <w:color w:val="auto"/>
          <w:sz w:val="24"/>
          <w:szCs w:val="28"/>
          <w:highlight w:val="none"/>
        </w:rPr>
      </w:pPr>
      <w:r>
        <w:rPr>
          <w:rFonts w:hint="eastAsia" w:ascii="宋体" w:hAnsi="宋体" w:cs="宋体"/>
          <w:color w:val="auto"/>
          <w:sz w:val="24"/>
          <w:szCs w:val="28"/>
          <w:highlight w:val="none"/>
        </w:rPr>
        <w:t>供应商：                                          法定代表人授权代表：</w:t>
      </w:r>
    </w:p>
    <w:p w14:paraId="0BEFCBD2">
      <w:pPr>
        <w:spacing w:line="500" w:lineRule="exact"/>
        <w:rPr>
          <w:rFonts w:ascii="宋体" w:hAnsi="宋体" w:cs="宋体"/>
          <w:color w:val="auto"/>
          <w:sz w:val="24"/>
          <w:szCs w:val="28"/>
          <w:highlight w:val="none"/>
        </w:rPr>
      </w:pPr>
    </w:p>
    <w:p w14:paraId="6BF3072F">
      <w:pPr>
        <w:spacing w:line="500" w:lineRule="exact"/>
        <w:ind w:firstLine="360" w:firstLineChars="150"/>
        <w:rPr>
          <w:rFonts w:ascii="宋体" w:hAnsi="宋体" w:cs="宋体"/>
          <w:color w:val="auto"/>
          <w:sz w:val="24"/>
          <w:szCs w:val="28"/>
          <w:highlight w:val="none"/>
        </w:rPr>
      </w:pPr>
      <w:r>
        <w:rPr>
          <w:rFonts w:hint="eastAsia" w:ascii="宋体" w:hAnsi="宋体" w:cs="宋体"/>
          <w:color w:val="auto"/>
          <w:sz w:val="24"/>
          <w:szCs w:val="28"/>
          <w:highlight w:val="none"/>
        </w:rPr>
        <w:t>（供应商公章）                                       （签字或盖章）</w:t>
      </w:r>
    </w:p>
    <w:p w14:paraId="50BBDDC2">
      <w:pPr>
        <w:tabs>
          <w:tab w:val="left" w:pos="6300"/>
        </w:tabs>
        <w:snapToGrid w:val="0"/>
        <w:spacing w:line="500" w:lineRule="exact"/>
        <w:ind w:firstLine="7442" w:firstLineChars="3101"/>
        <w:rPr>
          <w:rFonts w:ascii="宋体" w:hAnsi="宋体" w:cs="宋体"/>
          <w:color w:val="auto"/>
          <w:sz w:val="24"/>
          <w:highlight w:val="none"/>
        </w:rPr>
      </w:pPr>
      <w:r>
        <w:rPr>
          <w:rFonts w:hint="eastAsia" w:ascii="宋体" w:hAnsi="宋体" w:cs="宋体"/>
          <w:color w:val="auto"/>
          <w:sz w:val="24"/>
          <w:szCs w:val="28"/>
          <w:highlight w:val="none"/>
        </w:rPr>
        <w:t>年月日</w:t>
      </w:r>
    </w:p>
    <w:p w14:paraId="41E1085E">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注：</w:t>
      </w:r>
    </w:p>
    <w:p w14:paraId="695F8CD3">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4"/>
          <w:highlight w:val="none"/>
        </w:rPr>
        <w:t>1</w:t>
      </w:r>
      <w:r>
        <w:rPr>
          <w:rFonts w:hint="eastAsia" w:ascii="宋体" w:hAnsi="宋体" w:cs="宋体"/>
          <w:color w:val="auto"/>
          <w:sz w:val="24"/>
          <w:highlight w:val="none"/>
        </w:rPr>
        <w:t>.本表即为对本项目“第三篇采购项目商务需求”中所列商务要求进行比较和响应；</w:t>
      </w:r>
    </w:p>
    <w:p w14:paraId="22CE86D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2.该表可扩展。</w:t>
      </w:r>
    </w:p>
    <w:p w14:paraId="003FA907">
      <w:pPr>
        <w:spacing w:line="360" w:lineRule="auto"/>
        <w:ind w:firstLine="560" w:firstLineChars="200"/>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（二）其它优惠服务承诺（格式自定）</w:t>
      </w:r>
    </w:p>
    <w:p w14:paraId="49B2184B">
      <w:pPr>
        <w:pStyle w:val="4"/>
        <w:spacing w:before="0" w:after="0" w:line="360" w:lineRule="auto"/>
        <w:rPr>
          <w:rFonts w:ascii="宋体" w:hAnsi="宋体" w:cs="宋体"/>
          <w:color w:val="auto"/>
          <w:sz w:val="24"/>
          <w:szCs w:val="24"/>
          <w:highlight w:val="none"/>
        </w:rPr>
      </w:pPr>
      <w:r>
        <w:rPr>
          <w:rFonts w:hint="eastAsia" w:ascii="宋体" w:hAnsi="宋体" w:cs="宋体"/>
          <w:color w:val="auto"/>
          <w:sz w:val="24"/>
          <w:szCs w:val="24"/>
          <w:highlight w:val="none"/>
        </w:rPr>
        <w:br w:type="page"/>
      </w:r>
      <w:bookmarkEnd w:id="151"/>
      <w:bookmarkStart w:id="152" w:name="_Toc313008359"/>
      <w:bookmarkStart w:id="153" w:name="_Toc31446"/>
      <w:bookmarkStart w:id="154" w:name="_Toc313888363"/>
      <w:bookmarkStart w:id="155" w:name="_Toc11"/>
      <w:bookmarkStart w:id="156" w:name="_Toc15378"/>
      <w:bookmarkStart w:id="157" w:name="_Toc1030"/>
      <w:bookmarkStart w:id="158" w:name="_Toc342913422"/>
      <w:r>
        <w:rPr>
          <w:rFonts w:hint="eastAsia" w:ascii="宋体" w:hAnsi="宋体" w:cs="宋体"/>
          <w:color w:val="auto"/>
          <w:sz w:val="24"/>
          <w:szCs w:val="24"/>
          <w:highlight w:val="none"/>
        </w:rPr>
        <w:t>四、资格条件及其他</w:t>
      </w:r>
      <w:bookmarkEnd w:id="152"/>
      <w:bookmarkEnd w:id="153"/>
      <w:bookmarkEnd w:id="154"/>
      <w:bookmarkEnd w:id="155"/>
      <w:bookmarkEnd w:id="156"/>
      <w:bookmarkEnd w:id="157"/>
      <w:bookmarkEnd w:id="158"/>
    </w:p>
    <w:p w14:paraId="15341F3A">
      <w:pPr>
        <w:tabs>
          <w:tab w:val="left" w:pos="6300"/>
        </w:tabs>
        <w:snapToGrid w:val="0"/>
        <w:spacing w:line="500" w:lineRule="exact"/>
        <w:ind w:firstLine="570"/>
        <w:rPr>
          <w:rFonts w:ascii="宋体" w:hAnsi="宋体" w:cs="宋体"/>
          <w:color w:val="auto"/>
          <w:sz w:val="24"/>
          <w:szCs w:val="24"/>
          <w:highlight w:val="none"/>
        </w:rPr>
      </w:pPr>
      <w:r>
        <w:rPr>
          <w:rFonts w:hint="eastAsia" w:ascii="宋体" w:hAnsi="宋体" w:cs="宋体"/>
          <w:color w:val="auto"/>
          <w:sz w:val="24"/>
          <w:szCs w:val="24"/>
          <w:highlight w:val="none"/>
        </w:rPr>
        <w:t>（一）法人营业执照（副本）或事业单位法人证书（副本）或个体工商户营业执照或有效的自然人身份证明或社会团体法人登记证书复印件</w:t>
      </w:r>
    </w:p>
    <w:p w14:paraId="5A56058F">
      <w:pPr>
        <w:tabs>
          <w:tab w:val="left" w:pos="6300"/>
        </w:tabs>
        <w:snapToGrid w:val="0"/>
        <w:spacing w:line="500" w:lineRule="exact"/>
        <w:ind w:firstLine="570"/>
        <w:rPr>
          <w:rFonts w:ascii="宋体" w:hAnsi="宋体" w:cs="宋体"/>
          <w:color w:val="auto"/>
          <w:sz w:val="24"/>
          <w:szCs w:val="24"/>
          <w:highlight w:val="none"/>
        </w:rPr>
      </w:pPr>
    </w:p>
    <w:p w14:paraId="153658CF">
      <w:pPr>
        <w:tabs>
          <w:tab w:val="left" w:pos="6300"/>
        </w:tabs>
        <w:snapToGrid w:val="0"/>
        <w:spacing w:line="500" w:lineRule="exact"/>
        <w:ind w:firstLine="570"/>
        <w:rPr>
          <w:rFonts w:ascii="宋体" w:hAnsi="宋体" w:cs="宋体"/>
          <w:color w:val="auto"/>
          <w:highlight w:val="none"/>
        </w:rPr>
      </w:pPr>
    </w:p>
    <w:p w14:paraId="5574ADD2">
      <w:pPr>
        <w:tabs>
          <w:tab w:val="left" w:pos="6300"/>
        </w:tabs>
        <w:snapToGrid w:val="0"/>
        <w:spacing w:line="500" w:lineRule="exact"/>
        <w:ind w:firstLine="570"/>
        <w:rPr>
          <w:rFonts w:ascii="宋体" w:hAnsi="宋体" w:cs="宋体"/>
          <w:color w:val="auto"/>
          <w:highlight w:val="none"/>
        </w:rPr>
      </w:pPr>
    </w:p>
    <w:p w14:paraId="76F3C541">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page"/>
      </w:r>
      <w:r>
        <w:rPr>
          <w:rFonts w:hint="eastAsia" w:ascii="宋体" w:hAnsi="宋体" w:cs="宋体"/>
          <w:color w:val="auto"/>
          <w:sz w:val="24"/>
          <w:szCs w:val="24"/>
          <w:highlight w:val="none"/>
        </w:rPr>
        <w:t>（二）法定代表人身份证明书（格式）</w:t>
      </w:r>
    </w:p>
    <w:p w14:paraId="1DBC9ACF">
      <w:pPr>
        <w:tabs>
          <w:tab w:val="left" w:pos="6300"/>
        </w:tabs>
        <w:snapToGrid w:val="0"/>
        <w:spacing w:line="500" w:lineRule="exact"/>
        <w:ind w:firstLine="570"/>
        <w:rPr>
          <w:rFonts w:ascii="宋体" w:hAnsi="宋体" w:cs="宋体"/>
          <w:color w:val="auto"/>
          <w:sz w:val="24"/>
          <w:highlight w:val="none"/>
        </w:rPr>
      </w:pPr>
    </w:p>
    <w:p w14:paraId="5E8C41D0">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采购项目名称：</w:t>
      </w:r>
      <w:r>
        <w:rPr>
          <w:rFonts w:hint="eastAsia" w:ascii="宋体" w:hAnsi="宋体" w:cs="宋体"/>
          <w:color w:val="auto"/>
          <w:sz w:val="24"/>
          <w:highlight w:val="none"/>
          <w:u w:val="single"/>
        </w:rPr>
        <w:t xml:space="preserve">                                                </w:t>
      </w:r>
    </w:p>
    <w:p w14:paraId="31463BAB">
      <w:pPr>
        <w:tabs>
          <w:tab w:val="left" w:pos="6300"/>
        </w:tabs>
        <w:snapToGrid w:val="0"/>
        <w:spacing w:line="500" w:lineRule="exact"/>
        <w:ind w:firstLine="570"/>
        <w:rPr>
          <w:rFonts w:ascii="宋体" w:hAnsi="宋体" w:cs="宋体"/>
          <w:color w:val="auto"/>
          <w:sz w:val="24"/>
          <w:highlight w:val="none"/>
        </w:rPr>
      </w:pPr>
    </w:p>
    <w:p w14:paraId="2594D8CD">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3AC82AF2">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（法定代表人姓名）在</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（供应商名称）任</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（职务名称）职务，是（供应商名称）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的法定代表人。</w:t>
      </w:r>
    </w:p>
    <w:p w14:paraId="3B700214">
      <w:pPr>
        <w:tabs>
          <w:tab w:val="left" w:pos="6300"/>
        </w:tabs>
        <w:snapToGrid w:val="0"/>
        <w:spacing w:line="500" w:lineRule="exact"/>
        <w:ind w:firstLine="570"/>
        <w:rPr>
          <w:rFonts w:ascii="宋体" w:hAnsi="宋体" w:cs="宋体"/>
          <w:color w:val="auto"/>
          <w:sz w:val="24"/>
          <w:highlight w:val="none"/>
        </w:rPr>
      </w:pPr>
    </w:p>
    <w:p w14:paraId="605F9244">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特此证明。</w:t>
      </w:r>
    </w:p>
    <w:p w14:paraId="684C36D6">
      <w:pPr>
        <w:tabs>
          <w:tab w:val="left" w:pos="6300"/>
        </w:tabs>
        <w:snapToGrid w:val="0"/>
        <w:spacing w:line="500" w:lineRule="exact"/>
        <w:ind w:firstLine="570"/>
        <w:rPr>
          <w:rFonts w:ascii="宋体" w:hAnsi="宋体" w:cs="宋体"/>
          <w:color w:val="auto"/>
          <w:sz w:val="24"/>
          <w:highlight w:val="none"/>
        </w:rPr>
      </w:pPr>
    </w:p>
    <w:p w14:paraId="3E75B0A3">
      <w:pPr>
        <w:tabs>
          <w:tab w:val="left" w:pos="6300"/>
        </w:tabs>
        <w:snapToGrid w:val="0"/>
        <w:spacing w:line="500" w:lineRule="exact"/>
        <w:ind w:firstLine="570"/>
        <w:rPr>
          <w:rFonts w:ascii="宋体" w:hAnsi="宋体" w:cs="宋体"/>
          <w:color w:val="auto"/>
          <w:sz w:val="24"/>
          <w:highlight w:val="none"/>
        </w:rPr>
      </w:pPr>
    </w:p>
    <w:p w14:paraId="2F2C3CF7">
      <w:pPr>
        <w:tabs>
          <w:tab w:val="left" w:pos="6300"/>
        </w:tabs>
        <w:snapToGrid w:val="0"/>
        <w:spacing w:line="500" w:lineRule="exact"/>
        <w:ind w:firstLine="570"/>
        <w:rPr>
          <w:rFonts w:ascii="宋体" w:hAnsi="宋体" w:cs="宋体"/>
          <w:color w:val="auto"/>
          <w:sz w:val="24"/>
          <w:highlight w:val="none"/>
        </w:rPr>
      </w:pPr>
    </w:p>
    <w:p w14:paraId="54D6338E">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（供应商公章）</w:t>
      </w:r>
    </w:p>
    <w:p w14:paraId="261C6CDF">
      <w:pPr>
        <w:tabs>
          <w:tab w:val="left" w:pos="6300"/>
        </w:tabs>
        <w:snapToGrid w:val="0"/>
        <w:spacing w:line="500" w:lineRule="exact"/>
        <w:ind w:firstLine="570"/>
        <w:rPr>
          <w:rFonts w:ascii="宋体" w:hAnsi="宋体" w:cs="宋体"/>
          <w:color w:val="auto"/>
          <w:sz w:val="24"/>
          <w:highlight w:val="none"/>
        </w:rPr>
      </w:pPr>
    </w:p>
    <w:p w14:paraId="340E56BB">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年   月   日</w:t>
      </w:r>
    </w:p>
    <w:p w14:paraId="0A492357">
      <w:pPr>
        <w:tabs>
          <w:tab w:val="left" w:pos="6300"/>
        </w:tabs>
        <w:snapToGrid w:val="0"/>
        <w:spacing w:line="500" w:lineRule="exact"/>
        <w:ind w:firstLine="570"/>
        <w:rPr>
          <w:rFonts w:ascii="宋体" w:hAnsi="宋体" w:cs="宋体"/>
          <w:color w:val="auto"/>
          <w:sz w:val="24"/>
          <w:highlight w:val="none"/>
        </w:rPr>
      </w:pPr>
    </w:p>
    <w:p w14:paraId="389BEBB8">
      <w:pPr>
        <w:tabs>
          <w:tab w:val="left" w:pos="6300"/>
        </w:tabs>
        <w:snapToGrid w:val="0"/>
        <w:spacing w:line="500" w:lineRule="exact"/>
        <w:ind w:firstLine="570"/>
        <w:rPr>
          <w:rFonts w:ascii="宋体" w:hAnsi="宋体" w:cs="宋体"/>
          <w:color w:val="auto"/>
          <w:sz w:val="24"/>
          <w:highlight w:val="none"/>
        </w:rPr>
      </w:pPr>
    </w:p>
    <w:p w14:paraId="6EF30CB6">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法定代表人电话：XXXXXXX      电子邮箱：XXXXXX@XXXXX（若授权他人办理并签署响应文件的可不填写）</w:t>
      </w:r>
    </w:p>
    <w:p w14:paraId="2EEA15CA">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（附：法定代表人身份证正反面复印件）</w:t>
      </w:r>
    </w:p>
    <w:p w14:paraId="6CAF7531">
      <w:pPr>
        <w:tabs>
          <w:tab w:val="left" w:pos="6300"/>
        </w:tabs>
        <w:snapToGrid w:val="0"/>
        <w:spacing w:line="500" w:lineRule="exact"/>
        <w:ind w:firstLine="570"/>
        <w:rPr>
          <w:rFonts w:ascii="宋体" w:hAnsi="宋体" w:cs="宋体"/>
          <w:color w:val="auto"/>
          <w:sz w:val="24"/>
          <w:highlight w:val="none"/>
        </w:rPr>
      </w:pPr>
    </w:p>
    <w:p w14:paraId="45D32374">
      <w:pPr>
        <w:tabs>
          <w:tab w:val="left" w:pos="6300"/>
        </w:tabs>
        <w:snapToGrid w:val="0"/>
        <w:spacing w:line="500" w:lineRule="exact"/>
        <w:ind w:firstLine="570"/>
        <w:rPr>
          <w:rFonts w:ascii="宋体" w:hAnsi="宋体" w:cs="宋体"/>
          <w:color w:val="auto"/>
          <w:sz w:val="24"/>
          <w:highlight w:val="none"/>
        </w:rPr>
      </w:pPr>
    </w:p>
    <w:p w14:paraId="590E4026">
      <w:pPr>
        <w:tabs>
          <w:tab w:val="left" w:pos="6300"/>
        </w:tabs>
        <w:snapToGrid w:val="0"/>
        <w:spacing w:line="500" w:lineRule="exact"/>
        <w:ind w:firstLine="570"/>
        <w:rPr>
          <w:rFonts w:ascii="宋体" w:hAnsi="宋体" w:cs="宋体"/>
          <w:color w:val="auto"/>
          <w:sz w:val="24"/>
          <w:highlight w:val="none"/>
        </w:rPr>
      </w:pPr>
    </w:p>
    <w:p w14:paraId="1DC11720">
      <w:pPr>
        <w:tabs>
          <w:tab w:val="left" w:pos="6300"/>
        </w:tabs>
        <w:snapToGrid w:val="0"/>
        <w:spacing w:line="500" w:lineRule="exact"/>
        <w:ind w:firstLine="570"/>
        <w:rPr>
          <w:rFonts w:ascii="宋体" w:hAnsi="宋体" w:cs="宋体"/>
          <w:color w:val="auto"/>
          <w:sz w:val="24"/>
          <w:highlight w:val="none"/>
        </w:rPr>
      </w:pPr>
    </w:p>
    <w:p w14:paraId="6FB1B52A">
      <w:pPr>
        <w:tabs>
          <w:tab w:val="left" w:pos="6300"/>
        </w:tabs>
        <w:snapToGrid w:val="0"/>
        <w:spacing w:line="500" w:lineRule="exact"/>
        <w:ind w:firstLine="570"/>
        <w:rPr>
          <w:rFonts w:ascii="宋体" w:hAnsi="宋体" w:cs="宋体"/>
          <w:color w:val="auto"/>
          <w:sz w:val="24"/>
          <w:highlight w:val="none"/>
        </w:rPr>
      </w:pPr>
    </w:p>
    <w:p w14:paraId="55BDBE29">
      <w:pPr>
        <w:tabs>
          <w:tab w:val="left" w:pos="6300"/>
        </w:tabs>
        <w:snapToGrid w:val="0"/>
        <w:spacing w:line="500" w:lineRule="exact"/>
        <w:ind w:firstLine="570"/>
        <w:rPr>
          <w:rFonts w:ascii="宋体" w:hAnsi="宋体" w:cs="宋体"/>
          <w:color w:val="auto"/>
          <w:sz w:val="24"/>
          <w:highlight w:val="none"/>
        </w:rPr>
      </w:pPr>
    </w:p>
    <w:p w14:paraId="32C018CE">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（三）法定代表人授权委托书（格式）</w:t>
      </w:r>
    </w:p>
    <w:p w14:paraId="3A44B025">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1817F40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szCs w:val="28"/>
          <w:highlight w:val="none"/>
        </w:rPr>
        <w:t>采购项目名称</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p>
    <w:p w14:paraId="4ED7CEE5">
      <w:pPr>
        <w:tabs>
          <w:tab w:val="left" w:pos="6300"/>
        </w:tabs>
        <w:snapToGrid w:val="0"/>
        <w:spacing w:line="500" w:lineRule="exact"/>
        <w:ind w:firstLine="570"/>
        <w:rPr>
          <w:rFonts w:ascii="宋体" w:hAnsi="宋体" w:cs="宋体"/>
          <w:color w:val="auto"/>
          <w:sz w:val="24"/>
          <w:highlight w:val="none"/>
        </w:rPr>
      </w:pPr>
    </w:p>
    <w:p w14:paraId="06A6ED55">
      <w:pPr>
        <w:tabs>
          <w:tab w:val="left" w:pos="6300"/>
        </w:tabs>
        <w:snapToGrid w:val="0"/>
        <w:spacing w:line="500" w:lineRule="exact"/>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0D958EC0">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（供应商法定代表人名称）是</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（供应商名称）的法定代表人，特授权</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（被授权人姓名及身份证代码）代表我单位全权办理上述项目的谈判、签约等具体工作，并签署全部有关文件、协议及合同。</w:t>
      </w:r>
    </w:p>
    <w:p w14:paraId="7888866D">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我单位对被授权人的</w:t>
      </w:r>
      <w:r>
        <w:rPr>
          <w:rFonts w:hint="eastAsia" w:ascii="宋体" w:hAnsi="宋体" w:cs="宋体"/>
          <w:color w:val="auto"/>
          <w:sz w:val="24"/>
          <w:szCs w:val="28"/>
          <w:highlight w:val="none"/>
        </w:rPr>
        <w:t>签署</w:t>
      </w:r>
      <w:r>
        <w:rPr>
          <w:rFonts w:hint="eastAsia" w:ascii="宋体" w:hAnsi="宋体" w:cs="宋体"/>
          <w:color w:val="auto"/>
          <w:sz w:val="24"/>
          <w:highlight w:val="none"/>
        </w:rPr>
        <w:t>负全部责任。</w:t>
      </w:r>
    </w:p>
    <w:p w14:paraId="7BDA1F9B">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在撤销授权的书面通知以前，本授权书一直有效。被授权人在授权书有效期内签署的所有文件不因授权的撤销而失效。</w:t>
      </w:r>
    </w:p>
    <w:p w14:paraId="42D50C6D">
      <w:pPr>
        <w:tabs>
          <w:tab w:val="left" w:pos="6300"/>
        </w:tabs>
        <w:snapToGrid w:val="0"/>
        <w:spacing w:line="500" w:lineRule="exact"/>
        <w:ind w:firstLine="570"/>
        <w:rPr>
          <w:rFonts w:ascii="宋体" w:hAnsi="宋体" w:cs="宋体"/>
          <w:color w:val="auto"/>
          <w:sz w:val="24"/>
          <w:highlight w:val="none"/>
        </w:rPr>
      </w:pPr>
    </w:p>
    <w:p w14:paraId="4DD91B38">
      <w:pPr>
        <w:tabs>
          <w:tab w:val="left" w:pos="6300"/>
        </w:tabs>
        <w:snapToGrid w:val="0"/>
        <w:spacing w:line="500" w:lineRule="exact"/>
        <w:ind w:firstLine="570"/>
        <w:rPr>
          <w:rFonts w:ascii="宋体" w:hAnsi="宋体" w:cs="宋体"/>
          <w:color w:val="auto"/>
          <w:sz w:val="24"/>
          <w:highlight w:val="none"/>
        </w:rPr>
      </w:pPr>
    </w:p>
    <w:p w14:paraId="6A40613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被授权人：                                 供应商法定代表人：</w:t>
      </w:r>
    </w:p>
    <w:p w14:paraId="66EC057D">
      <w:pPr>
        <w:tabs>
          <w:tab w:val="left" w:pos="6300"/>
        </w:tabs>
        <w:snapToGrid w:val="0"/>
        <w:spacing w:line="500" w:lineRule="exact"/>
        <w:ind w:firstLine="570"/>
        <w:rPr>
          <w:rFonts w:ascii="宋体" w:hAnsi="宋体" w:cs="宋体"/>
          <w:color w:val="auto"/>
          <w:sz w:val="24"/>
          <w:szCs w:val="28"/>
          <w:highlight w:val="none"/>
        </w:rPr>
      </w:pPr>
      <w:r>
        <w:rPr>
          <w:rFonts w:hint="eastAsia" w:ascii="宋体" w:hAnsi="宋体" w:cs="宋体"/>
          <w:color w:val="auto"/>
          <w:sz w:val="24"/>
          <w:szCs w:val="28"/>
          <w:highlight w:val="none"/>
        </w:rPr>
        <w:t>（签署或盖章）                                （签署或盖章）</w:t>
      </w:r>
    </w:p>
    <w:p w14:paraId="5F6427BD">
      <w:pPr>
        <w:tabs>
          <w:tab w:val="left" w:pos="6300"/>
        </w:tabs>
        <w:snapToGrid w:val="0"/>
        <w:spacing w:line="500" w:lineRule="exact"/>
        <w:ind w:firstLine="570"/>
        <w:rPr>
          <w:rFonts w:ascii="宋体" w:hAnsi="宋体" w:cs="宋体"/>
          <w:color w:val="auto"/>
          <w:sz w:val="24"/>
          <w:szCs w:val="28"/>
          <w:highlight w:val="none"/>
        </w:rPr>
      </w:pPr>
    </w:p>
    <w:p w14:paraId="51562C68">
      <w:pPr>
        <w:tabs>
          <w:tab w:val="left" w:pos="6300"/>
        </w:tabs>
        <w:snapToGrid w:val="0"/>
        <w:spacing w:line="500" w:lineRule="exact"/>
        <w:ind w:firstLine="570"/>
        <w:rPr>
          <w:rFonts w:ascii="宋体" w:hAnsi="宋体" w:cs="宋体"/>
          <w:color w:val="auto"/>
          <w:sz w:val="24"/>
          <w:highlight w:val="none"/>
        </w:rPr>
      </w:pPr>
    </w:p>
    <w:p w14:paraId="302A7AC9">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（附：被授权人身份证正反面复印件）</w:t>
      </w:r>
    </w:p>
    <w:p w14:paraId="165CAAE3">
      <w:pPr>
        <w:tabs>
          <w:tab w:val="left" w:pos="6300"/>
        </w:tabs>
        <w:snapToGrid w:val="0"/>
        <w:spacing w:line="500" w:lineRule="exact"/>
        <w:ind w:firstLine="570"/>
        <w:rPr>
          <w:rFonts w:ascii="宋体" w:hAnsi="宋体" w:cs="宋体"/>
          <w:color w:val="auto"/>
          <w:sz w:val="24"/>
          <w:highlight w:val="none"/>
        </w:rPr>
      </w:pPr>
      <w:r>
        <w:rPr>
          <w:rFonts w:hint="eastAsia" w:ascii="宋体" w:hAnsi="宋体" w:cs="宋体"/>
          <w:color w:val="auto"/>
          <w:sz w:val="24"/>
          <w:highlight w:val="none"/>
        </w:rPr>
        <w:t xml:space="preserve">                                          </w:t>
      </w:r>
    </w:p>
    <w:p w14:paraId="22D45536">
      <w:pPr>
        <w:tabs>
          <w:tab w:val="left" w:pos="6300"/>
        </w:tabs>
        <w:snapToGrid w:val="0"/>
        <w:spacing w:line="500" w:lineRule="exact"/>
        <w:ind w:firstLine="570"/>
        <w:rPr>
          <w:rFonts w:ascii="宋体" w:hAnsi="宋体" w:cs="宋体"/>
          <w:color w:val="auto"/>
          <w:sz w:val="24"/>
          <w:highlight w:val="none"/>
        </w:rPr>
      </w:pPr>
    </w:p>
    <w:p w14:paraId="537B180C">
      <w:pPr>
        <w:tabs>
          <w:tab w:val="left" w:pos="6300"/>
        </w:tabs>
        <w:snapToGrid w:val="0"/>
        <w:spacing w:line="500" w:lineRule="exact"/>
        <w:ind w:firstLine="570"/>
        <w:rPr>
          <w:rFonts w:ascii="宋体" w:hAnsi="宋体" w:cs="宋体"/>
          <w:color w:val="auto"/>
          <w:sz w:val="24"/>
          <w:highlight w:val="none"/>
        </w:rPr>
      </w:pPr>
    </w:p>
    <w:p w14:paraId="1306BDA2">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（供应商公章）</w:t>
      </w:r>
    </w:p>
    <w:p w14:paraId="4155D121">
      <w:pPr>
        <w:tabs>
          <w:tab w:val="left" w:pos="6300"/>
        </w:tabs>
        <w:snapToGrid w:val="0"/>
        <w:spacing w:line="500" w:lineRule="exact"/>
        <w:ind w:right="480" w:firstLine="570"/>
        <w:jc w:val="right"/>
        <w:rPr>
          <w:rFonts w:ascii="宋体" w:hAnsi="宋体" w:cs="宋体"/>
          <w:color w:val="auto"/>
          <w:sz w:val="24"/>
          <w:highlight w:val="none"/>
        </w:rPr>
      </w:pPr>
      <w:r>
        <w:rPr>
          <w:rFonts w:hint="eastAsia" w:ascii="宋体" w:hAnsi="宋体" w:cs="宋体"/>
          <w:color w:val="auto"/>
          <w:sz w:val="24"/>
          <w:highlight w:val="none"/>
        </w:rPr>
        <w:t>年   月   日</w:t>
      </w:r>
    </w:p>
    <w:p w14:paraId="4E087226">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被授权人电话：XXXXXXX     电子邮箱：XXXXXX@XXXXX（若法定代表人办理并签署响应文件的可不填写）</w:t>
      </w:r>
    </w:p>
    <w:p w14:paraId="4469B475">
      <w:pPr>
        <w:tabs>
          <w:tab w:val="left" w:pos="6300"/>
        </w:tabs>
        <w:snapToGrid w:val="0"/>
        <w:spacing w:line="500" w:lineRule="exact"/>
        <w:ind w:right="480" w:firstLine="570"/>
        <w:jc w:val="left"/>
        <w:rPr>
          <w:rFonts w:ascii="宋体" w:hAnsi="宋体" w:cs="宋体"/>
          <w:color w:val="auto"/>
          <w:sz w:val="24"/>
          <w:highlight w:val="none"/>
        </w:rPr>
      </w:pPr>
      <w:r>
        <w:rPr>
          <w:rFonts w:hint="eastAsia" w:ascii="宋体" w:hAnsi="宋体" w:cs="宋体"/>
          <w:color w:val="auto"/>
          <w:sz w:val="24"/>
          <w:highlight w:val="none"/>
        </w:rPr>
        <w:t>注：若为法定代表人办理并签署响应文件的，可不提供此文件。</w:t>
      </w:r>
    </w:p>
    <w:p w14:paraId="3317EB29">
      <w:pPr>
        <w:widowControl/>
        <w:spacing w:line="400" w:lineRule="exact"/>
        <w:ind w:firstLine="560" w:firstLineChars="200"/>
        <w:jc w:val="left"/>
        <w:rPr>
          <w:rFonts w:ascii="宋体" w:hAnsi="宋体" w:cs="宋体"/>
          <w:color w:val="auto"/>
          <w:sz w:val="24"/>
          <w:szCs w:val="24"/>
          <w:highlight w:val="none"/>
        </w:rPr>
      </w:pPr>
      <w:r>
        <w:rPr>
          <w:rFonts w:hint="eastAsia" w:ascii="宋体" w:hAnsi="宋体" w:cs="宋体"/>
          <w:color w:val="auto"/>
          <w:highlight w:val="none"/>
        </w:rPr>
        <w:br w:type="column"/>
      </w:r>
      <w:r>
        <w:rPr>
          <w:rFonts w:hint="eastAsia" w:ascii="宋体" w:hAnsi="宋体" w:cs="宋体"/>
          <w:color w:val="auto"/>
          <w:sz w:val="24"/>
          <w:szCs w:val="24"/>
          <w:highlight w:val="none"/>
        </w:rPr>
        <w:t>（四）基本资格条件承诺函（格式）</w:t>
      </w:r>
    </w:p>
    <w:p w14:paraId="46576EEC">
      <w:pPr>
        <w:tabs>
          <w:tab w:val="left" w:pos="6300"/>
        </w:tabs>
        <w:snapToGrid w:val="0"/>
        <w:spacing w:line="500" w:lineRule="exact"/>
        <w:ind w:firstLine="643" w:firstLineChars="20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基本资格条件承诺函</w:t>
      </w:r>
    </w:p>
    <w:p w14:paraId="13A8CA0E">
      <w:pPr>
        <w:tabs>
          <w:tab w:val="left" w:pos="6300"/>
        </w:tabs>
        <w:snapToGrid w:val="0"/>
        <w:spacing w:line="530" w:lineRule="exact"/>
        <w:rPr>
          <w:rFonts w:ascii="宋体" w:hAnsi="宋体" w:cs="宋体"/>
          <w:color w:val="auto"/>
          <w:sz w:val="24"/>
          <w:highlight w:val="none"/>
        </w:rPr>
      </w:pPr>
    </w:p>
    <w:p w14:paraId="154B529C">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（采购代理机构名称）：</w:t>
      </w:r>
    </w:p>
    <w:p w14:paraId="1705B3F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（供应商名称）郑重承诺：</w:t>
      </w:r>
    </w:p>
    <w:p w14:paraId="6C5B0FD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1.我方具有良好的商业信誉和健全的财务会计制度，具有履行合同所必需的设备和专业技术能力，具</w:t>
      </w:r>
      <w:r>
        <w:rPr>
          <w:rFonts w:hint="eastAsia" w:ascii="宋体" w:hAnsi="宋体" w:cs="宋体"/>
          <w:color w:val="auto"/>
          <w:sz w:val="24"/>
          <w:highlight w:val="none"/>
          <w:lang w:val="zh-CN"/>
        </w:rPr>
        <w:t>有依法缴纳税收和社会保障金的良好记录</w:t>
      </w:r>
      <w:r>
        <w:rPr>
          <w:rFonts w:hint="eastAsia" w:ascii="宋体" w:hAnsi="宋体" w:cs="宋体"/>
          <w:color w:val="auto"/>
          <w:sz w:val="24"/>
          <w:highlight w:val="none"/>
        </w:rPr>
        <w:t>，参加本项目采购活动前三年内无重大 活动记录。</w:t>
      </w:r>
    </w:p>
    <w:p w14:paraId="4249A76F">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2.我方未列入在信用中国网站（www.creditchina.gov.cn）“失信被执行人”、“重大税收 案件当事人名单”中，也未列入中国政府采购网（www.ccgp.gov.cn）“政府采购严重 失信行为记录名单”中。</w:t>
      </w:r>
    </w:p>
    <w:p w14:paraId="66FB5DF8">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3.我方在采购项目评审（评标）环节结束后，随时接受采购人、采购代理机构的检查验证，配合提供相关证明材料，证明符合《中华人民共和国政府采购法》规定的供应商基本资格条件。</w:t>
      </w:r>
    </w:p>
    <w:p w14:paraId="442950C5">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我方对以上承诺负全部法律责任。</w:t>
      </w:r>
    </w:p>
    <w:p w14:paraId="25A86456">
      <w:pPr>
        <w:tabs>
          <w:tab w:val="left" w:pos="6300"/>
        </w:tabs>
        <w:snapToGrid w:val="0"/>
        <w:spacing w:line="50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特此承诺。</w:t>
      </w:r>
    </w:p>
    <w:p w14:paraId="21441281">
      <w:pPr>
        <w:tabs>
          <w:tab w:val="left" w:pos="6300"/>
        </w:tabs>
        <w:snapToGrid w:val="0"/>
        <w:spacing w:line="500" w:lineRule="exact"/>
        <w:ind w:firstLine="480" w:firstLineChars="200"/>
        <w:rPr>
          <w:rFonts w:ascii="宋体" w:hAnsi="宋体" w:cs="宋体"/>
          <w:color w:val="auto"/>
          <w:sz w:val="24"/>
          <w:highlight w:val="none"/>
        </w:rPr>
      </w:pPr>
    </w:p>
    <w:p w14:paraId="4F5D050C">
      <w:pPr>
        <w:tabs>
          <w:tab w:val="left" w:pos="6300"/>
        </w:tabs>
        <w:snapToGrid w:val="0"/>
        <w:spacing w:line="500" w:lineRule="exact"/>
        <w:ind w:firstLine="480" w:firstLineChars="200"/>
        <w:jc w:val="right"/>
        <w:rPr>
          <w:rFonts w:ascii="宋体" w:hAnsi="宋体" w:cs="宋体"/>
          <w:color w:val="auto"/>
          <w:sz w:val="24"/>
          <w:highlight w:val="none"/>
        </w:rPr>
      </w:pPr>
      <w:r>
        <w:rPr>
          <w:rFonts w:hint="eastAsia" w:ascii="宋体" w:hAnsi="宋体" w:cs="宋体"/>
          <w:color w:val="auto"/>
          <w:sz w:val="24"/>
          <w:highlight w:val="none"/>
        </w:rPr>
        <w:t>（供应商公章）</w:t>
      </w:r>
    </w:p>
    <w:p w14:paraId="6B7C093A">
      <w:pPr>
        <w:widowControl/>
        <w:ind w:firstLine="480" w:firstLineChars="200"/>
        <w:jc w:val="right"/>
        <w:rPr>
          <w:rFonts w:ascii="宋体" w:hAnsi="宋体" w:cs="宋体"/>
          <w:color w:val="auto"/>
          <w:sz w:val="24"/>
          <w:highlight w:val="none"/>
        </w:rPr>
      </w:pPr>
      <w:r>
        <w:rPr>
          <w:rFonts w:hint="eastAsia" w:ascii="宋体" w:hAnsi="宋体" w:cs="宋体"/>
          <w:color w:val="auto"/>
          <w:sz w:val="24"/>
          <w:highlight w:val="none"/>
        </w:rPr>
        <w:t>年   月   日</w:t>
      </w:r>
    </w:p>
    <w:p w14:paraId="48E2457E">
      <w:pPr>
        <w:widowControl/>
        <w:ind w:firstLine="480" w:firstLineChars="200"/>
        <w:jc w:val="left"/>
        <w:rPr>
          <w:rFonts w:ascii="宋体" w:hAnsi="宋体" w:cs="宋体"/>
          <w:color w:val="auto"/>
          <w:sz w:val="24"/>
          <w:highlight w:val="none"/>
        </w:rPr>
      </w:pPr>
    </w:p>
    <w:p w14:paraId="235F0A7E">
      <w:pPr>
        <w:widowControl/>
        <w:ind w:firstLine="480" w:firstLineChars="200"/>
        <w:jc w:val="left"/>
        <w:rPr>
          <w:rFonts w:ascii="宋体" w:hAnsi="宋体" w:cs="宋体"/>
          <w:color w:val="auto"/>
          <w:sz w:val="24"/>
          <w:highlight w:val="none"/>
        </w:rPr>
      </w:pPr>
    </w:p>
    <w:p w14:paraId="67E7CE43">
      <w:pPr>
        <w:widowControl/>
        <w:ind w:firstLine="480" w:firstLineChars="200"/>
        <w:jc w:val="left"/>
        <w:rPr>
          <w:rFonts w:ascii="宋体" w:hAnsi="宋体" w:cs="宋体"/>
          <w:color w:val="auto"/>
          <w:sz w:val="24"/>
          <w:highlight w:val="none"/>
        </w:rPr>
      </w:pPr>
    </w:p>
    <w:p w14:paraId="6310CA7E">
      <w:pPr>
        <w:widowControl/>
        <w:ind w:firstLine="480" w:firstLineChars="200"/>
        <w:jc w:val="left"/>
        <w:rPr>
          <w:rFonts w:ascii="宋体" w:hAnsi="宋体" w:cs="宋体"/>
          <w:color w:val="auto"/>
          <w:sz w:val="24"/>
          <w:highlight w:val="none"/>
        </w:rPr>
      </w:pPr>
    </w:p>
    <w:p w14:paraId="064D6C03">
      <w:pPr>
        <w:widowControl/>
        <w:ind w:firstLine="480" w:firstLineChars="200"/>
        <w:jc w:val="left"/>
        <w:rPr>
          <w:rFonts w:ascii="宋体" w:hAnsi="宋体" w:cs="宋体"/>
          <w:color w:val="auto"/>
          <w:sz w:val="24"/>
          <w:highlight w:val="none"/>
        </w:rPr>
      </w:pPr>
    </w:p>
    <w:p w14:paraId="4D8284D7">
      <w:pPr>
        <w:widowControl/>
        <w:ind w:firstLine="480" w:firstLineChars="200"/>
        <w:jc w:val="left"/>
        <w:rPr>
          <w:rFonts w:ascii="宋体" w:hAnsi="宋体" w:cs="宋体"/>
          <w:color w:val="auto"/>
          <w:sz w:val="24"/>
          <w:highlight w:val="none"/>
        </w:rPr>
      </w:pPr>
    </w:p>
    <w:p w14:paraId="141C8847">
      <w:pPr>
        <w:widowControl/>
        <w:ind w:firstLine="480" w:firstLineChars="200"/>
        <w:jc w:val="left"/>
        <w:rPr>
          <w:rFonts w:ascii="宋体" w:hAnsi="宋体" w:cs="宋体"/>
          <w:color w:val="auto"/>
          <w:sz w:val="24"/>
          <w:highlight w:val="none"/>
        </w:rPr>
      </w:pPr>
    </w:p>
    <w:p w14:paraId="61DE074B">
      <w:pPr>
        <w:widowControl/>
        <w:ind w:firstLine="480" w:firstLineChars="200"/>
        <w:jc w:val="left"/>
        <w:rPr>
          <w:rFonts w:ascii="宋体" w:hAnsi="宋体" w:cs="宋体"/>
          <w:color w:val="auto"/>
          <w:sz w:val="24"/>
          <w:highlight w:val="none"/>
        </w:rPr>
      </w:pPr>
    </w:p>
    <w:p w14:paraId="28F4B9B5">
      <w:pPr>
        <w:widowControl/>
        <w:ind w:firstLine="480" w:firstLineChars="200"/>
        <w:jc w:val="left"/>
        <w:rPr>
          <w:rFonts w:ascii="宋体" w:hAnsi="宋体" w:cs="宋体"/>
          <w:color w:val="auto"/>
          <w:sz w:val="24"/>
          <w:highlight w:val="none"/>
        </w:rPr>
      </w:pPr>
    </w:p>
    <w:p w14:paraId="243113D8">
      <w:pPr>
        <w:widowControl/>
        <w:ind w:firstLine="480" w:firstLineChars="200"/>
        <w:jc w:val="left"/>
        <w:rPr>
          <w:rFonts w:ascii="宋体" w:hAnsi="宋体" w:cs="宋体"/>
          <w:color w:val="auto"/>
          <w:sz w:val="24"/>
          <w:highlight w:val="none"/>
        </w:rPr>
      </w:pPr>
    </w:p>
    <w:p w14:paraId="62294AF2">
      <w:pPr>
        <w:widowControl/>
        <w:ind w:firstLine="480" w:firstLineChars="200"/>
        <w:jc w:val="left"/>
        <w:rPr>
          <w:rFonts w:ascii="宋体" w:hAnsi="宋体" w:cs="宋体"/>
          <w:color w:val="auto"/>
          <w:sz w:val="24"/>
          <w:highlight w:val="none"/>
        </w:rPr>
      </w:pPr>
    </w:p>
    <w:p w14:paraId="0BCB282E">
      <w:pPr>
        <w:widowControl/>
        <w:jc w:val="left"/>
        <w:rPr>
          <w:rFonts w:ascii="宋体" w:hAnsi="宋体" w:cs="宋体"/>
          <w:color w:val="auto"/>
          <w:sz w:val="24"/>
          <w:szCs w:val="24"/>
          <w:highlight w:val="none"/>
        </w:rPr>
      </w:pPr>
    </w:p>
    <w:p w14:paraId="3D0FE04F">
      <w:pPr>
        <w:widowControl/>
        <w:jc w:val="left"/>
        <w:rPr>
          <w:rFonts w:ascii="宋体" w:hAnsi="宋体" w:cs="宋体"/>
          <w:color w:val="auto"/>
          <w:sz w:val="24"/>
          <w:szCs w:val="24"/>
          <w:highlight w:val="none"/>
        </w:rPr>
      </w:pPr>
    </w:p>
    <w:p w14:paraId="2A41114F">
      <w:pPr>
        <w:rPr>
          <w:rFonts w:ascii="宋体" w:hAnsi="宋体" w:cs="宋体"/>
          <w:color w:val="auto"/>
          <w:sz w:val="24"/>
          <w:szCs w:val="24"/>
          <w:highlight w:val="none"/>
        </w:rPr>
      </w:pPr>
      <w:bookmarkStart w:id="159" w:name="_Toc14422"/>
      <w:r>
        <w:rPr>
          <w:rFonts w:hint="eastAsia" w:ascii="宋体" w:hAnsi="宋体" w:cs="宋体"/>
          <w:color w:val="auto"/>
          <w:sz w:val="24"/>
          <w:szCs w:val="24"/>
          <w:highlight w:val="none"/>
        </w:rPr>
        <w:t>（五）特定资格条件证明文件</w:t>
      </w:r>
    </w:p>
    <w:p w14:paraId="5A95A6DC">
      <w:pPr>
        <w:rPr>
          <w:rFonts w:ascii="宋体" w:hAnsi="宋体" w:cs="宋体"/>
          <w:color w:val="auto"/>
          <w:sz w:val="24"/>
          <w:szCs w:val="24"/>
          <w:highlight w:val="none"/>
        </w:rPr>
      </w:pPr>
      <w:r>
        <w:rPr>
          <w:rFonts w:hint="eastAsia" w:ascii="宋体" w:hAnsi="宋体" w:cs="宋体"/>
          <w:color w:val="auto"/>
          <w:sz w:val="24"/>
          <w:szCs w:val="28"/>
          <w:highlight w:val="none"/>
        </w:rPr>
        <w:br w:type="page"/>
      </w:r>
      <w:bookmarkStart w:id="160" w:name="_Toc15318"/>
      <w:bookmarkStart w:id="161" w:name="_Toc25725"/>
      <w:bookmarkStart w:id="162" w:name="_Toc17330"/>
      <w:r>
        <w:rPr>
          <w:rFonts w:hint="eastAsia" w:ascii="宋体" w:hAnsi="宋体" w:cs="宋体"/>
          <w:color w:val="auto"/>
          <w:sz w:val="24"/>
          <w:szCs w:val="24"/>
          <w:highlight w:val="none"/>
        </w:rPr>
        <w:t>五、其他应提供的资料</w:t>
      </w:r>
      <w:bookmarkEnd w:id="159"/>
      <w:bookmarkEnd w:id="160"/>
      <w:bookmarkEnd w:id="161"/>
      <w:bookmarkEnd w:id="162"/>
    </w:p>
    <w:p w14:paraId="535E62A0">
      <w:pPr>
        <w:snapToGrid w:val="0"/>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（一）其他与项目有关的资料（自附）</w:t>
      </w:r>
    </w:p>
    <w:p w14:paraId="25A9D3E2">
      <w:pPr>
        <w:pStyle w:val="53"/>
        <w:rPr>
          <w:rFonts w:ascii="宋体" w:hAnsi="宋体" w:eastAsia="宋体" w:cs="宋体"/>
          <w:color w:val="auto"/>
          <w:sz w:val="24"/>
          <w:szCs w:val="24"/>
          <w:highlight w:val="none"/>
        </w:rPr>
      </w:pPr>
    </w:p>
    <w:p w14:paraId="32C71844">
      <w:pPr>
        <w:pStyle w:val="53"/>
        <w:rPr>
          <w:rFonts w:ascii="宋体" w:hAnsi="宋体" w:eastAsia="宋体" w:cs="宋体"/>
          <w:color w:val="auto"/>
          <w:sz w:val="24"/>
          <w:szCs w:val="24"/>
          <w:highlight w:val="none"/>
        </w:rPr>
      </w:pPr>
    </w:p>
    <w:p w14:paraId="16B99FC4">
      <w:pPr>
        <w:pStyle w:val="53"/>
        <w:rPr>
          <w:rFonts w:ascii="宋体" w:hAnsi="宋体" w:eastAsia="宋体" w:cs="宋体"/>
          <w:color w:val="auto"/>
          <w:sz w:val="24"/>
          <w:szCs w:val="24"/>
          <w:highlight w:val="none"/>
        </w:rPr>
      </w:pPr>
    </w:p>
    <w:p w14:paraId="683765DF">
      <w:pPr>
        <w:pStyle w:val="53"/>
        <w:rPr>
          <w:rFonts w:ascii="宋体" w:hAnsi="宋体" w:eastAsia="宋体" w:cs="宋体"/>
          <w:color w:val="auto"/>
          <w:sz w:val="24"/>
          <w:szCs w:val="24"/>
          <w:highlight w:val="none"/>
        </w:rPr>
      </w:pPr>
    </w:p>
    <w:p w14:paraId="4D0A8157">
      <w:pPr>
        <w:pStyle w:val="53"/>
        <w:rPr>
          <w:rFonts w:ascii="宋体" w:hAnsi="宋体" w:eastAsia="宋体" w:cs="宋体"/>
          <w:color w:val="auto"/>
          <w:sz w:val="24"/>
          <w:szCs w:val="24"/>
          <w:highlight w:val="none"/>
        </w:rPr>
      </w:pPr>
    </w:p>
    <w:p w14:paraId="3D8C8DA6">
      <w:pPr>
        <w:pStyle w:val="53"/>
        <w:rPr>
          <w:rFonts w:ascii="宋体" w:hAnsi="宋体" w:eastAsia="宋体" w:cs="宋体"/>
          <w:color w:val="auto"/>
          <w:sz w:val="24"/>
          <w:szCs w:val="24"/>
          <w:highlight w:val="none"/>
        </w:rPr>
      </w:pPr>
    </w:p>
    <w:p w14:paraId="486E1C41">
      <w:pPr>
        <w:pStyle w:val="53"/>
        <w:rPr>
          <w:rFonts w:ascii="宋体" w:hAnsi="宋体" w:eastAsia="宋体" w:cs="宋体"/>
          <w:color w:val="auto"/>
          <w:sz w:val="24"/>
          <w:szCs w:val="24"/>
          <w:highlight w:val="none"/>
        </w:rPr>
      </w:pPr>
    </w:p>
    <w:p w14:paraId="686F8CC9">
      <w:pPr>
        <w:pStyle w:val="53"/>
        <w:rPr>
          <w:rFonts w:ascii="宋体" w:hAnsi="宋体" w:eastAsia="宋体" w:cs="宋体"/>
          <w:color w:val="auto"/>
          <w:sz w:val="24"/>
          <w:szCs w:val="24"/>
          <w:highlight w:val="none"/>
        </w:rPr>
      </w:pPr>
    </w:p>
    <w:p w14:paraId="6285E19A">
      <w:pPr>
        <w:pStyle w:val="53"/>
        <w:rPr>
          <w:rFonts w:ascii="宋体" w:hAnsi="宋体" w:eastAsia="宋体" w:cs="宋体"/>
          <w:color w:val="auto"/>
          <w:sz w:val="24"/>
          <w:szCs w:val="24"/>
          <w:highlight w:val="none"/>
        </w:rPr>
      </w:pPr>
    </w:p>
    <w:p w14:paraId="2BA88514">
      <w:pPr>
        <w:pStyle w:val="53"/>
        <w:rPr>
          <w:rFonts w:ascii="宋体" w:hAnsi="宋体" w:eastAsia="宋体" w:cs="宋体"/>
          <w:color w:val="auto"/>
          <w:sz w:val="24"/>
          <w:szCs w:val="24"/>
          <w:highlight w:val="none"/>
        </w:rPr>
      </w:pPr>
    </w:p>
    <w:p w14:paraId="4FC64689">
      <w:pPr>
        <w:pStyle w:val="53"/>
        <w:rPr>
          <w:rFonts w:ascii="宋体" w:hAnsi="宋体" w:eastAsia="宋体" w:cs="宋体"/>
          <w:color w:val="auto"/>
          <w:sz w:val="24"/>
          <w:szCs w:val="24"/>
          <w:highlight w:val="none"/>
        </w:rPr>
      </w:pPr>
    </w:p>
    <w:p w14:paraId="3ECDD48D">
      <w:pPr>
        <w:pStyle w:val="53"/>
        <w:rPr>
          <w:rFonts w:ascii="宋体" w:hAnsi="宋体" w:eastAsia="宋体" w:cs="宋体"/>
          <w:color w:val="auto"/>
          <w:sz w:val="24"/>
          <w:szCs w:val="24"/>
          <w:highlight w:val="none"/>
        </w:rPr>
      </w:pPr>
    </w:p>
    <w:p w14:paraId="61C86441">
      <w:pPr>
        <w:pStyle w:val="53"/>
        <w:rPr>
          <w:rFonts w:ascii="宋体" w:hAnsi="宋体" w:eastAsia="宋体" w:cs="宋体"/>
          <w:color w:val="auto"/>
          <w:sz w:val="24"/>
          <w:szCs w:val="24"/>
          <w:highlight w:val="none"/>
        </w:rPr>
      </w:pPr>
    </w:p>
    <w:p w14:paraId="462277AE">
      <w:pPr>
        <w:pStyle w:val="53"/>
        <w:rPr>
          <w:rFonts w:ascii="宋体" w:hAnsi="宋体" w:eastAsia="宋体" w:cs="宋体"/>
          <w:color w:val="auto"/>
          <w:sz w:val="24"/>
          <w:szCs w:val="24"/>
          <w:highlight w:val="none"/>
        </w:rPr>
      </w:pPr>
    </w:p>
    <w:p w14:paraId="3D14B077">
      <w:pPr>
        <w:pStyle w:val="53"/>
        <w:rPr>
          <w:rFonts w:ascii="宋体" w:hAnsi="宋体" w:eastAsia="宋体" w:cs="宋体"/>
          <w:color w:val="auto"/>
          <w:sz w:val="24"/>
          <w:szCs w:val="24"/>
          <w:highlight w:val="none"/>
        </w:rPr>
      </w:pPr>
    </w:p>
    <w:p w14:paraId="1AE73E0C">
      <w:pPr>
        <w:pStyle w:val="53"/>
        <w:rPr>
          <w:rFonts w:ascii="宋体" w:hAnsi="宋体" w:eastAsia="宋体" w:cs="宋体"/>
          <w:color w:val="auto"/>
          <w:sz w:val="24"/>
          <w:szCs w:val="24"/>
          <w:highlight w:val="none"/>
        </w:rPr>
      </w:pPr>
    </w:p>
    <w:p w14:paraId="3AAD9C01">
      <w:pPr>
        <w:pStyle w:val="53"/>
        <w:rPr>
          <w:rFonts w:ascii="宋体" w:hAnsi="宋体" w:eastAsia="宋体" w:cs="宋体"/>
          <w:color w:val="auto"/>
          <w:sz w:val="24"/>
          <w:szCs w:val="24"/>
          <w:highlight w:val="none"/>
        </w:rPr>
      </w:pPr>
    </w:p>
    <w:p w14:paraId="6D421593">
      <w:pPr>
        <w:pStyle w:val="53"/>
        <w:spacing w:line="20" w:lineRule="atLeast"/>
        <w:jc w:val="center"/>
        <w:rPr>
          <w:rFonts w:ascii="宋体" w:hAnsi="宋体" w:eastAsia="宋体" w:cs="宋体"/>
          <w:color w:val="auto"/>
          <w:highlight w:val="none"/>
        </w:rPr>
      </w:pPr>
      <w:r>
        <w:rPr>
          <w:rFonts w:hint="eastAsia" w:ascii="宋体" w:hAnsi="宋体" w:eastAsia="宋体" w:cs="宋体"/>
          <w:color w:val="auto"/>
          <w:sz w:val="24"/>
          <w:szCs w:val="24"/>
          <w:highlight w:val="none"/>
        </w:rPr>
        <w:t>（结束）</w:t>
      </w:r>
    </w:p>
    <w:p w14:paraId="09201034">
      <w:pPr>
        <w:bidi w:val="0"/>
        <w:jc w:val="center"/>
        <w:rPr>
          <w:rFonts w:hint="eastAsia"/>
          <w:color w:val="auto"/>
          <w:highlight w:val="none"/>
        </w:rPr>
      </w:pPr>
    </w:p>
    <w:bookmarkEnd w:id="127"/>
    <w:p w14:paraId="46BE763F">
      <w:pPr>
        <w:jc w:val="both"/>
        <w:rPr>
          <w:rFonts w:hint="eastAsia" w:ascii="微软雅黑" w:hAnsi="微软雅黑" w:eastAsia="微软雅黑" w:cs="微软雅黑"/>
          <w:color w:val="auto"/>
          <w:kern w:val="0"/>
          <w:szCs w:val="24"/>
          <w:highlight w:val="none"/>
          <w:shd w:val="clear" w:color="auto" w:fill="FFFFFF"/>
        </w:rPr>
      </w:pPr>
    </w:p>
    <w:sectPr>
      <w:headerReference r:id="rId12" w:type="default"/>
      <w:footerReference r:id="rId13" w:type="default"/>
      <w:pgSz w:w="11907" w:h="16840"/>
      <w:pgMar w:top="1134" w:right="1191" w:bottom="1134" w:left="1304" w:header="851" w:footer="992" w:gutter="0"/>
      <w:cols w:space="720" w:num="1"/>
      <w:docGrid w:type="lines"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B5CFC70-A588-4B89-B5E1-750A01FB2F4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embedRegular r:id="rId2" w:fontKey="{BF97E0F5-1C1B-4420-95DD-C927F3507B50}"/>
  </w:font>
  <w:font w:name="Tahoma">
    <w:panose1 w:val="020B0604030504040204"/>
    <w:charset w:val="00"/>
    <w:family w:val="auto"/>
    <w:pitch w:val="default"/>
    <w:sig w:usb0="E1002EFF" w:usb1="C000605B" w:usb2="00000029" w:usb3="00000000" w:csb0="200101FF" w:csb1="20280000"/>
  </w:font>
  <w:font w:name="方正仿宋_GBK">
    <w:altName w:val="微软雅黑"/>
    <w:panose1 w:val="02000000000000000000"/>
    <w:charset w:val="86"/>
    <w:family w:val="script"/>
    <w:pitch w:val="default"/>
    <w:sig w:usb0="00000000" w:usb1="00000000" w:usb2="00082016" w:usb3="00000000" w:csb0="00040001" w:csb1="00000000"/>
    <w:embedRegular r:id="rId3" w:fontKey="{D947DEA3-E152-4FDF-92A4-F318954802B8}"/>
  </w:font>
  <w:font w:name="方正黑体_GBK">
    <w:altName w:val="微软雅黑"/>
    <w:panose1 w:val="03000509000000000000"/>
    <w:charset w:val="86"/>
    <w:family w:val="script"/>
    <w:pitch w:val="default"/>
    <w:sig w:usb0="00000000" w:usb1="00000000" w:usb2="00000000" w:usb3="00000000" w:csb0="00040000" w:csb1="00000000"/>
  </w:font>
  <w:font w:name="微软雅黑">
    <w:panose1 w:val="020B0503020204020204"/>
    <w:charset w:val="50"/>
    <w:family w:val="auto"/>
    <w:pitch w:val="default"/>
    <w:sig w:usb0="80000287" w:usb1="2ACF3C50" w:usb2="00000016" w:usb3="00000000" w:csb0="0004001F" w:csb1="00000000"/>
    <w:embedRegular r:id="rId4" w:fontKey="{16BB2413-0EFF-47AB-A58A-BCB510262D3E}"/>
  </w:font>
  <w:font w:name="仿宋">
    <w:panose1 w:val="02010609060101010101"/>
    <w:charset w:val="86"/>
    <w:family w:val="modern"/>
    <w:pitch w:val="default"/>
    <w:sig w:usb0="800002BF" w:usb1="38CF7CFA" w:usb2="00000016" w:usb3="00000000" w:csb0="00040001" w:csb1="00000000"/>
    <w:embedRegular r:id="rId5" w:fontKey="{5F847CF9-8DF4-4212-86C9-5536DF5CC3C8}"/>
  </w:font>
  <w:font w:name="方正小标宋_GBK">
    <w:altName w:val="微软雅黑"/>
    <w:panose1 w:val="02000000000000000000"/>
    <w:charset w:val="86"/>
    <w:family w:val="script"/>
    <w:pitch w:val="default"/>
    <w:sig w:usb0="00000000" w:usb1="00000000" w:usb2="00082016" w:usb3="00000000" w:csb0="00040001" w:csb1="00000000"/>
    <w:embedRegular r:id="rId6" w:fontKey="{4331F426-06B4-4067-BC0C-32BB72204982}"/>
  </w:font>
  <w:font w:name="等线">
    <w:panose1 w:val="02010600030101010101"/>
    <w:charset w:val="86"/>
    <w:family w:val="auto"/>
    <w:pitch w:val="default"/>
    <w:sig w:usb0="A00002BF" w:usb1="38CF7CFA" w:usb2="00000016" w:usb3="00000000" w:csb0="0004000F" w:csb1="00000000"/>
    <w:embedRegular r:id="rId7" w:fontKey="{422529F0-1F28-4D77-B6A3-FA3397B85A59}"/>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A9ECA7">
    <w:pPr>
      <w:pStyle w:val="17"/>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4135" cy="137795"/>
              <wp:effectExtent l="0" t="0" r="0" b="0"/>
              <wp:wrapNone/>
              <wp:docPr id="1" name="文本框 1"/>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txbx>
                      <w:txbxContent>
                        <w:p w14:paraId="7BC914E8">
                          <w:pPr>
                            <w:pStyle w:val="17"/>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60288;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CwHUCUNQIAAGAEAAAOAAAAZHJzL2Uyb0RvYy54bWytVM1uEzEQviPx&#10;DpbvZJOGtLDKpgqNgpAqWikgzo7Xm13Jf7Kd7IYHgDfg1At3nivPwef9SVHh0AMXZzwz+81834wz&#10;v26UJAfhfGV0RiejMSVCc5NXepfRz5/Wr95Q4gPTOZNGi4wehafXi5cv5rVNxYUpjcyFIwDRPq1t&#10;RssQbJoknpdCMT8yVmgEC+MUC7i6XZI7VgNdyeRiPL5MauNy6wwX3sO76oK0R3TPATRFUXGxMnyv&#10;hA4dqhOSBVDyZWU9XbTdFoXg4a4ovAhEZhRMQ3uiCOxtPJPFnKU7x2xZ8b4F9pwWnnBSrNIoeoZa&#10;scDI3lV/QamKO+NNEUbcqKQj0ioCFpPxE202JbOi5QKpvT2L7v8fLP94uHekyrEJlGimMPDTj++n&#10;h1+nn9/IJMpTW58ia2ORF5p3pompvd/DGVk3hVPxF3wI4hD3eBZXNIFwOC9fT6YzSjgik+nV1dtZ&#10;BEkev7XOh/fCKBKNjDqMrlWUHW596FKHlFhKm3UlJfwslZrUwJ/Oxu0H5wjApY4Jol2EHiby6fqO&#10;Vmi2TU9ma/IjODrTLYm3fF2hlVvmwz1z2ArQwrsJdzgKaVDS9BYlpXFf/+WP+RgWopTU2LKMajwq&#10;SuQHjSHGhRwMNxjbwdB7dWOwthgMemlNfOCCHMzCGfUFj2kZayDENEeljIbBvAndpuMxcrFctklY&#10;O8vCrd5YHqGjPN4u9wFytipHUTolMJ14weK1c+ofSdzsP+9t1uMfw+I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Cw+pHdEAAAADAQAADwAAAAAAAAABACAAAAAiAAAAZHJzL2Rvd25yZXYueG1sUEsB&#10;AhQAFAAAAAgAh07iQLAdQJQ1AgAAYAQAAA4AAAAAAAAAAQAgAAAAIAEAAGRycy9lMm9Eb2MueG1s&#10;UEsFBgAAAAAGAAYAWQEAAMcFAAAAAA==&#10;">
              <v:fill on="f" focussize="0,0"/>
              <v:stroke on="f" weight="0.5pt"/>
              <v:imagedata o:title=""/>
              <o:lock v:ext="edit" aspectratio="f"/>
              <v:textbox inset="0mm,0mm,0mm,0mm" style="mso-fit-shape-to-text:t;">
                <w:txbxContent>
                  <w:p w14:paraId="7BC914E8">
                    <w:pPr>
                      <w:pStyle w:val="17"/>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87BFE">
    <w:pPr>
      <w:pStyle w:val="17"/>
      <w:jc w:val="center"/>
      <w:rPr>
        <w:rFonts w:ascii="宋体"/>
        <w:sz w:val="21"/>
        <w:szCs w:val="21"/>
      </w:rP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64135" cy="137795"/>
              <wp:effectExtent l="0" t="0" r="0" b="0"/>
              <wp:wrapNone/>
              <wp:docPr id="2" name="文本框 2"/>
              <wp:cNvGraphicFramePr/>
              <a:graphic xmlns:a="http://schemas.openxmlformats.org/drawingml/2006/main">
                <a:graphicData uri="http://schemas.microsoft.com/office/word/2010/wordprocessingShape">
                  <wps:wsp>
                    <wps:cNvSpPr txBox="1"/>
                    <wps:spPr>
                      <a:xfrm>
                        <a:off x="0" y="0"/>
                        <a:ext cx="64135" cy="137795"/>
                      </a:xfrm>
                      <a:prstGeom prst="rect">
                        <a:avLst/>
                      </a:prstGeom>
                      <a:noFill/>
                      <a:ln w="6350">
                        <a:noFill/>
                      </a:ln>
                      <a:effectLst/>
                    </wps:spPr>
                    <wps:txbx>
                      <w:txbxContent>
                        <w:p w14:paraId="6D1130F8">
                          <w:pPr>
                            <w:pStyle w:val="17"/>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5.05pt;mso-position-horizontal:center;mso-position-horizontal-relative:margin;mso-wrap-style:none;z-index:251661312;mso-width-relative:page;mso-height-relative:page;" filled="f" stroked="f" coordsize="21600,21600" o:gfxdata="UEsDBAoAAAAAAIdO4kAAAAAAAAAAAAAAAAAEAAAAZHJzL1BLAwQUAAAACACHTuJACw+pHdEAAAAD&#10;AQAADwAAAGRycy9kb3ducmV2LnhtbE2PwU7DMBBE70j8g7VI3KidggCFOJWoCEckGg4ct/GSBOx1&#10;ZLtp+HtcLnBZaTSjmbfVZnFWzBTi6FlDsVIgiDtvRu41vLXN1T2ImJANWs+k4ZsibOrzswpL44/8&#10;SvMu9SKXcCxRw5DSVEoZu4EcxpWfiLP34YPDlGXopQl4zOXOyrVSt9LhyHlhwIm2A3Vfu4PTsG3a&#10;NswUg32n5+b68+Xxhp4WrS8vCvUAItGS/sJwws/oUGemvT+wicJqyI+k33vyVAFir2Fd3IGsK/mf&#10;vf4BUEsDBBQAAAAIAIdO4kATALX0NgIAAGAEAAAOAAAAZHJzL2Uyb0RvYy54bWytVEtu2zAQ3Rfo&#10;HQjua/lTJ61hOXATpCgQNAHcomuaoiwB/IGkLaUHaG/QVTbd91w+Rx8pySnSLrLohhpyhm/43sxo&#10;edEqSQ7C+dronE5GY0qE5qao9S6nnz9dv3pDiQ9MF0waLXJ6Lzy9WL18sWzsQkxNZWQhHAGI9ovG&#10;5rQKwS6yzPNKKOZHxgoNZ2mcYgFbt8sKxxqgK5lNx+OzrDGusM5w4T1Orzon7RHdcwBNWdZcXBm+&#10;V0KHDtUJyQIo+aq2nq7Sa8tS8HBbll4EInMKpiGtSAJ7G9dstWSLnWO2qnn/BPacJzzhpFitkfQE&#10;dcUCI3tX/wWlau6MN2UYcaOyjkhSBCwm4yfabCpmReICqb09ie7/Hyz/eLhzpC5yOqVEM4WCH398&#10;Pz78Ov78RqZRnsb6BaI2FnGhfWdaNM1w7nEYWbelU/ELPgR+iHt/Ele0gXAcnr2ezOaUcHgms/Pz&#10;t/MIkj3etc6H98IoEo2cOpQuKcoONz50oUNITKXNdS1lKp/UpAH+bD5OF04egEsdY0VqhB4m8une&#10;Ha3Qbtue5NYU9+DoTNck3vLrGk+5YT7cMYeuAC3MTbjFUkqDlKa3KKmM+/qv8xiPYsFLSYMuy6nG&#10;UFEiP2gUMTbkYLjB2A6G3qtLg7adYB4tTyYuuCAHs3RGfcEwrWMOuJjmyJTTMJiXoet0DCMX63UK&#10;QttZFm70xvIIHeXxdr0PkDOpHEXplEB14gaNl+rUD0ns7D/3Kerxx7D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AsPqR3RAAAAAwEAAA8AAAAAAAAAAQAgAAAAIgAAAGRycy9kb3ducmV2LnhtbFBL&#10;AQIUABQAAAAIAIdO4kATALX0NgIAAGAEAAAOAAAAAAAAAAEAIAAAACABAABkcnMvZTJvRG9jLnht&#10;bFBLBQYAAAAABgAGAFkBAADIBQAAAAA=&#10;">
              <v:fill on="f" focussize="0,0"/>
              <v:stroke on="f" weight="0.5pt"/>
              <v:imagedata o:title=""/>
              <o:lock v:ext="edit" aspectratio="f"/>
              <v:textbox inset="0mm,0mm,0mm,0mm" style="mso-fit-shape-to-text:t;">
                <w:txbxContent>
                  <w:p w14:paraId="6D1130F8">
                    <w:pPr>
                      <w:pStyle w:val="17"/>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D6669">
    <w:pPr>
      <w:pStyle w:val="17"/>
      <w:ind w:right="360"/>
      <w:jc w:val="center"/>
    </w:pPr>
    <w:r>
      <w:fldChar w:fldCharType="begin"/>
    </w:r>
    <w:r>
      <w:rPr>
        <w:rStyle w:val="28"/>
      </w:rPr>
      <w:instrText xml:space="preserve"> PAGE </w:instrText>
    </w:r>
    <w:r>
      <w:fldChar w:fldCharType="separate"/>
    </w:r>
    <w:r>
      <w:rPr>
        <w:rStyle w:val="28"/>
      </w:rPr>
      <w:t>- 30 -</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7FDB7">
    <w:pPr>
      <w:pStyle w:val="17"/>
      <w:jc w:val="center"/>
      <w:rPr>
        <w:rFonts w:ascii="宋体" w:hAnsi="宋体"/>
        <w:sz w:val="21"/>
        <w:szCs w:val="21"/>
      </w:rPr>
    </w:pPr>
    <w:r>
      <w:rPr>
        <w:rFonts w:ascii="宋体" w:hAnsi="宋体"/>
        <w:sz w:val="21"/>
        <w:szCs w:val="21"/>
      </w:rPr>
      <w:fldChar w:fldCharType="begin"/>
    </w:r>
    <w:r>
      <w:rPr>
        <w:rStyle w:val="28"/>
        <w:rFonts w:ascii="宋体" w:hAnsi="宋体"/>
        <w:sz w:val="21"/>
        <w:szCs w:val="21"/>
      </w:rPr>
      <w:instrText xml:space="preserve"> PAGE </w:instrText>
    </w:r>
    <w:r>
      <w:rPr>
        <w:rFonts w:ascii="宋体" w:hAnsi="宋体"/>
        <w:sz w:val="21"/>
        <w:szCs w:val="21"/>
      </w:rPr>
      <w:fldChar w:fldCharType="separate"/>
    </w:r>
    <w:r>
      <w:rPr>
        <w:rStyle w:val="28"/>
        <w:rFonts w:ascii="宋体" w:hAnsi="宋体"/>
        <w:sz w:val="21"/>
        <w:szCs w:val="21"/>
      </w:rPr>
      <w:t>- 42 -</w:t>
    </w:r>
    <w:r>
      <w:rPr>
        <w:rFonts w:ascii="宋体" w:hAnsi="宋体"/>
        <w:sz w:val="21"/>
        <w:szCs w:val="21"/>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D33369">
    <w:pPr>
      <w:pStyle w:val="17"/>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21285" cy="137795"/>
              <wp:effectExtent l="0" t="0" r="0" b="0"/>
              <wp:wrapNone/>
              <wp:docPr id="5" name="文本框 5"/>
              <wp:cNvGraphicFramePr/>
              <a:graphic xmlns:a="http://schemas.openxmlformats.org/drawingml/2006/main">
                <a:graphicData uri="http://schemas.microsoft.com/office/word/2010/wordprocessingShape">
                  <wps:wsp>
                    <wps:cNvSpPr txBox="1"/>
                    <wps:spPr>
                      <a:xfrm>
                        <a:off x="0" y="0"/>
                        <a:ext cx="121285" cy="137795"/>
                      </a:xfrm>
                      <a:prstGeom prst="rect">
                        <a:avLst/>
                      </a:prstGeom>
                      <a:noFill/>
                      <a:ln w="6350">
                        <a:noFill/>
                      </a:ln>
                      <a:effectLst/>
                    </wps:spPr>
                    <wps:txbx>
                      <w:txbxContent>
                        <w:p w14:paraId="4A35A668">
                          <w:pPr>
                            <w:pStyle w:val="17"/>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0.85pt;width:9.55pt;mso-position-horizontal:center;mso-position-horizontal-relative:margin;mso-wrap-style:none;z-index:251662336;mso-width-relative:page;mso-height-relative:page;" filled="f" stroked="f" coordsize="21600,21600" o:gfxdata="UEsDBAoAAAAAAIdO4kAAAAAAAAAAAAAAAAAEAAAAZHJzL1BLAwQUAAAACACHTuJA/hqzEdIAAAAD&#10;AQAADwAAAGRycy9kb3ducmV2LnhtbE2PwU7DMBBE70j8g7VI3KiTgoCGOJWoCEckGg4ct/E2Cdjr&#10;yHbT8Pe4XOhlpdGMZt6W69kaMZEPg2MF+SIDQdw6PXCn4KOpbx5BhIis0TgmBT8UYF1dXpRYaHfk&#10;d5q2sROphEOBCvoYx0LK0PZkMSzcSJy8vfMWY5K+k9rjMZVbI5dZdi8tDpwWehxp01P7vT1YBZu6&#10;afxEwZtPeq1vv96e7+hlVur6Ks+eQESa438YTvgJHarEtHMH1kEYBemR+HdP3ioHsVOwzB9AVqU8&#10;Z69+AVBLAwQUAAAACACHTuJAxvFerTcCAABhBAAADgAAAGRycy9lMm9Eb2MueG1srVRLbtswEN0X&#10;6B0I7mvZDpykhuXAjeGiQNAEcIuuaYqyBPAHkrbkHqC9QVfdZN9z+Rx9pCynSLvIohtqyBnOzHt8&#10;o9lNqyTZC+dro3M6GgwpEZqbotbbnH7+tHpzTYkPTBdMGi1yehCe3sxfv5o1dirGpjKyEI4gifbT&#10;xua0CsFOs8zzSijmB8YKDWdpnGIBW7fNCscaZFcyGw+Hl1ljXGGd4cJ7nC47Jz1ldC9JaMqy5mJp&#10;+E4JHbqsTkgWAMlXtfV0nrotS8HDfVl6EYjMKZCGtKII7E1cs/mMTbeO2armpxbYS1p4hkmxWqPo&#10;OdWSBUZ2rv4rlaq5M96UYcCNyjogiRGgGA2fcbOumBUJC6j29ky6/39p+cf9gyN1kdMJJZopPPjx&#10;x/fjz1/Hx29kEulprJ8iam0RF9p3poVo+nOPw4i6LZ2KX+Ah8IPcw5lc0QbC46XxaHyNIhyu0cXV&#10;1duUPXu6bJ0P74VRJBo5dXi7RCnb3/mARhDah8Ra2qxqKdP7SU2anF5eTIbpwtmDG1LHWJGUcEoT&#10;AXWNRyu0m/aEcmOKA0A606nEW76q0cod8+GBOcgCuDA44R5LKQ1KmpNFSWXc13+dx3i8FryUNJBZ&#10;TjWmihL5QeMVoyJ7w/XGpjf0Tt0a6HaEgbQ8mbjgguzN0hn1BdO0iDXgYpqjUk5Db96GTuqYRi4W&#10;ixQE3VkW7vTa8pg60uPtYhdAZ2I5ktIxAcrjBspL5J+mJEr7z32KevozzH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hqzEdIAAAADAQAADwAAAAAAAAABACAAAAAiAAAAZHJzL2Rvd25yZXYueG1s&#10;UEsBAhQAFAAAAAgAh07iQMbxXq03AgAAYQQAAA4AAAAAAAAAAQAgAAAAIQEAAGRycy9lMm9Eb2Mu&#10;eG1sUEsFBgAAAAAGAAYAWQEAAMoFAAAAAA==&#10;">
              <v:fill on="f" focussize="0,0"/>
              <v:stroke on="f" weight="0.5pt"/>
              <v:imagedata o:title=""/>
              <o:lock v:ext="edit" aspectratio="f"/>
              <v:textbox inset="0mm,0mm,0mm,0mm" style="mso-fit-shape-to-text:t;">
                <w:txbxContent>
                  <w:p w14:paraId="4A35A668">
                    <w:pPr>
                      <w:pStyle w:val="17"/>
                    </w:pPr>
                    <w:r>
                      <w:fldChar w:fldCharType="begin"/>
                    </w:r>
                    <w:r>
                      <w:instrText xml:space="preserve"> PAGE  \* MERGEFORMAT </w:instrText>
                    </w:r>
                    <w:r>
                      <w:fldChar w:fldCharType="separate"/>
                    </w:r>
                    <w:r>
                      <w:t>26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C62979">
    <w:pPr>
      <w:pStyle w:val="18"/>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121935">
    <w:pPr>
      <w:pStyle w:val="18"/>
      <w:jc w:val="both"/>
    </w:pPr>
    <w:r>
      <w:rPr>
        <w:rFonts w:hint="eastAsia" w:ascii="方正仿宋_GBK" w:eastAsia="方正仿宋_GBK"/>
        <w:sz w:val="21"/>
        <w:szCs w:val="21"/>
      </w:rPr>
      <w:t>重庆麦迪逊招投标代理有限公司                                                网上</w:t>
    </w:r>
    <w:r>
      <w:rPr>
        <w:rFonts w:hint="eastAsia" w:ascii="方正仿宋_GBK" w:eastAsia="方正仿宋_GBK"/>
        <w:sz w:val="21"/>
        <w:szCs w:val="21"/>
        <w:lang w:val="en-US" w:eastAsia="zh-CN"/>
      </w:rPr>
      <w:t>询价</w:t>
    </w:r>
    <w:r>
      <w:rPr>
        <w:rFonts w:hint="eastAsia" w:ascii="方正仿宋_GBK" w:eastAsia="方正仿宋_GBK"/>
        <w:sz w:val="21"/>
        <w:szCs w:val="21"/>
      </w:rPr>
      <w:t>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BB3992">
    <w:pPr>
      <w:pStyle w:val="18"/>
      <w:jc w:val="both"/>
    </w:pPr>
    <w:r>
      <w:rPr>
        <w:rFonts w:hint="eastAsia" w:ascii="方正仿宋_GBK" w:eastAsia="方正仿宋_GBK"/>
        <w:sz w:val="21"/>
        <w:szCs w:val="21"/>
      </w:rPr>
      <w:t>重庆麦迪逊招投标代理有限公司                                               网上</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5C0E">
    <w:pPr>
      <w:pStyle w:val="18"/>
      <w:jc w:val="both"/>
      <w:rPr>
        <w:rFonts w:ascii="仿宋" w:hAnsi="仿宋" w:eastAsia="仿宋" w:cs="仿宋"/>
        <w:sz w:val="24"/>
        <w:szCs w:val="24"/>
      </w:rPr>
    </w:pPr>
    <w:r>
      <w:rPr>
        <w:rFonts w:hint="eastAsia" w:ascii="方正仿宋_GBK" w:eastAsia="方正仿宋_GBK"/>
        <w:sz w:val="21"/>
        <w:szCs w:val="21"/>
      </w:rPr>
      <w:t xml:space="preserve">重庆麦迪逊招投标代理有限公司                                               </w:t>
    </w:r>
    <w:r>
      <w:rPr>
        <w:rFonts w:hint="eastAsia" w:ascii="仿宋" w:hAnsi="仿宋" w:eastAsia="仿宋" w:cs="仿宋"/>
        <w:sz w:val="24"/>
        <w:szCs w:val="24"/>
      </w:rPr>
      <w:t>网上询价文件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1D7EE1">
    <w:pPr>
      <w:pStyle w:val="18"/>
      <w:jc w:val="both"/>
      <w:rPr>
        <w:rFonts w:ascii="仿宋" w:hAnsi="仿宋" w:eastAsia="仿宋" w:cs="仿宋"/>
        <w:sz w:val="24"/>
        <w:szCs w:val="24"/>
      </w:rPr>
    </w:pPr>
    <w:r>
      <w:rPr>
        <w:rFonts w:hint="eastAsia" w:ascii="方正仿宋_GBK" w:eastAsia="方正仿宋_GBK"/>
        <w:sz w:val="21"/>
        <w:szCs w:val="21"/>
      </w:rPr>
      <w:t xml:space="preserve">重庆麦迪逊招投标代理有限公司                                         </w:t>
    </w:r>
    <w:r>
      <w:rPr>
        <w:rFonts w:hint="eastAsia" w:ascii="方正仿宋_GBK" w:eastAsia="方正仿宋_GBK"/>
        <w:sz w:val="21"/>
        <w:szCs w:val="21"/>
        <w:lang w:val="en-US" w:eastAsia="zh-CN"/>
      </w:rPr>
      <w:t xml:space="preserve">      </w:t>
    </w:r>
    <w:r>
      <w:rPr>
        <w:rFonts w:hint="eastAsia" w:ascii="仿宋" w:hAnsi="仿宋" w:eastAsia="仿宋" w:cs="仿宋"/>
        <w:sz w:val="24"/>
        <w:szCs w:val="24"/>
      </w:rPr>
      <w:t>网上询价文件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79504">
    <w:pPr>
      <w:pStyle w:val="18"/>
      <w:jc w:val="both"/>
      <w:rPr>
        <w:rFonts w:ascii="方正仿宋_GBK" w:eastAsia="方正仿宋_GBK"/>
        <w:sz w:val="21"/>
        <w:szCs w:val="21"/>
      </w:rPr>
    </w:pPr>
    <w:r>
      <w:rPr>
        <w:rFonts w:hint="eastAsia" w:ascii="方正仿宋_GBK" w:eastAsia="方正仿宋_GBK"/>
        <w:sz w:val="21"/>
        <w:szCs w:val="21"/>
      </w:rPr>
      <w:t>重庆麦迪逊招投标代理有限公司                                               网上</w:t>
    </w:r>
    <w:r>
      <w:rPr>
        <w:rFonts w:hint="eastAsia" w:ascii="方正仿宋_GBK" w:eastAsia="方正仿宋_GBK"/>
        <w:sz w:val="21"/>
        <w:szCs w:val="21"/>
        <w:lang w:eastAsia="zh-CN"/>
      </w:rPr>
      <w:t>询价</w:t>
    </w:r>
    <w:r>
      <w:rPr>
        <w:rFonts w:hint="eastAsia" w:ascii="方正仿宋_GBK" w:eastAsia="方正仿宋_GBK"/>
        <w:sz w:val="21"/>
        <w:szCs w:val="21"/>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826F3B"/>
    <w:multiLevelType w:val="singleLevel"/>
    <w:tmpl w:val="94826F3B"/>
    <w:lvl w:ilvl="0" w:tentative="0">
      <w:start w:val="1"/>
      <w:numFmt w:val="chineseCounting"/>
      <w:lvlText w:val="%1."/>
      <w:lvlJc w:val="left"/>
      <w:pPr>
        <w:tabs>
          <w:tab w:val="left" w:pos="312"/>
        </w:tabs>
      </w:pPr>
      <w:rPr>
        <w:rFonts w:hint="eastAsia"/>
      </w:rPr>
    </w:lvl>
  </w:abstractNum>
  <w:abstractNum w:abstractNumId="1">
    <w:nsid w:val="2B9BA000"/>
    <w:multiLevelType w:val="singleLevel"/>
    <w:tmpl w:val="2B9BA000"/>
    <w:lvl w:ilvl="0" w:tentative="0">
      <w:start w:val="12"/>
      <w:numFmt w:val="decimal"/>
      <w:lvlText w:val="%1."/>
      <w:lvlJc w:val="left"/>
      <w:pPr>
        <w:tabs>
          <w:tab w:val="left" w:pos="312"/>
        </w:tabs>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QxMzVmM2IzODAxOWRlZDdiNTIxM2FiYTczMGM0OTkifQ=="/>
  </w:docVars>
  <w:rsids>
    <w:rsidRoot w:val="4DEF5E83"/>
    <w:rsid w:val="00106C8F"/>
    <w:rsid w:val="00117156"/>
    <w:rsid w:val="00131CDD"/>
    <w:rsid w:val="00172BDF"/>
    <w:rsid w:val="0032571E"/>
    <w:rsid w:val="00340800"/>
    <w:rsid w:val="00342FB4"/>
    <w:rsid w:val="003E15F5"/>
    <w:rsid w:val="003E21B0"/>
    <w:rsid w:val="004364A8"/>
    <w:rsid w:val="00496D9E"/>
    <w:rsid w:val="005C2439"/>
    <w:rsid w:val="006711D4"/>
    <w:rsid w:val="00673394"/>
    <w:rsid w:val="00736AC1"/>
    <w:rsid w:val="00767F24"/>
    <w:rsid w:val="00776AB6"/>
    <w:rsid w:val="008705A1"/>
    <w:rsid w:val="008A1852"/>
    <w:rsid w:val="009C5AF9"/>
    <w:rsid w:val="00A721DF"/>
    <w:rsid w:val="00A73491"/>
    <w:rsid w:val="00B37C56"/>
    <w:rsid w:val="00C008FC"/>
    <w:rsid w:val="00C63011"/>
    <w:rsid w:val="00CB5E6A"/>
    <w:rsid w:val="00D829D3"/>
    <w:rsid w:val="00E109AF"/>
    <w:rsid w:val="00E34521"/>
    <w:rsid w:val="00E5697D"/>
    <w:rsid w:val="00ED7001"/>
    <w:rsid w:val="00F40AA1"/>
    <w:rsid w:val="00F6726B"/>
    <w:rsid w:val="00FA590C"/>
    <w:rsid w:val="01011432"/>
    <w:rsid w:val="02704AC1"/>
    <w:rsid w:val="037C7496"/>
    <w:rsid w:val="05145FEF"/>
    <w:rsid w:val="05E15F09"/>
    <w:rsid w:val="067B194C"/>
    <w:rsid w:val="06FF6413"/>
    <w:rsid w:val="070B6646"/>
    <w:rsid w:val="072A4CFD"/>
    <w:rsid w:val="079B438E"/>
    <w:rsid w:val="083717AB"/>
    <w:rsid w:val="08403200"/>
    <w:rsid w:val="09D30340"/>
    <w:rsid w:val="09EB25A7"/>
    <w:rsid w:val="09F34390"/>
    <w:rsid w:val="0A8B71B7"/>
    <w:rsid w:val="0B0264D2"/>
    <w:rsid w:val="0BAB6B6A"/>
    <w:rsid w:val="0C1D4891"/>
    <w:rsid w:val="0C223BDB"/>
    <w:rsid w:val="0C31349F"/>
    <w:rsid w:val="0C34683D"/>
    <w:rsid w:val="0C66524E"/>
    <w:rsid w:val="0D342F10"/>
    <w:rsid w:val="0DF62191"/>
    <w:rsid w:val="0E1E3AF5"/>
    <w:rsid w:val="0EED7114"/>
    <w:rsid w:val="0FD11283"/>
    <w:rsid w:val="118E5B68"/>
    <w:rsid w:val="12046F80"/>
    <w:rsid w:val="120965E6"/>
    <w:rsid w:val="12A644BF"/>
    <w:rsid w:val="12EF558E"/>
    <w:rsid w:val="12F4756B"/>
    <w:rsid w:val="13B67D59"/>
    <w:rsid w:val="13C90583"/>
    <w:rsid w:val="13D43C77"/>
    <w:rsid w:val="1543775C"/>
    <w:rsid w:val="154C3C64"/>
    <w:rsid w:val="162C7F7D"/>
    <w:rsid w:val="171C5C7C"/>
    <w:rsid w:val="172D2B29"/>
    <w:rsid w:val="18462086"/>
    <w:rsid w:val="1958006D"/>
    <w:rsid w:val="19BF059D"/>
    <w:rsid w:val="19E55CA9"/>
    <w:rsid w:val="1A6E5932"/>
    <w:rsid w:val="1AA66E7A"/>
    <w:rsid w:val="1AAD6127"/>
    <w:rsid w:val="1AB23A71"/>
    <w:rsid w:val="1BA54617"/>
    <w:rsid w:val="1BCA168D"/>
    <w:rsid w:val="1BDB138D"/>
    <w:rsid w:val="1C0F1EB3"/>
    <w:rsid w:val="1C8F3324"/>
    <w:rsid w:val="1CA61876"/>
    <w:rsid w:val="1D0E4E15"/>
    <w:rsid w:val="1D275B2C"/>
    <w:rsid w:val="1D562516"/>
    <w:rsid w:val="1DB85EA5"/>
    <w:rsid w:val="1E931D7E"/>
    <w:rsid w:val="1F361C71"/>
    <w:rsid w:val="1F991B2B"/>
    <w:rsid w:val="207B2B57"/>
    <w:rsid w:val="211E0E7D"/>
    <w:rsid w:val="21283E2A"/>
    <w:rsid w:val="228956CA"/>
    <w:rsid w:val="235C560E"/>
    <w:rsid w:val="25512E6A"/>
    <w:rsid w:val="255B73D8"/>
    <w:rsid w:val="26E256DE"/>
    <w:rsid w:val="27194E78"/>
    <w:rsid w:val="2742617D"/>
    <w:rsid w:val="288C0D1A"/>
    <w:rsid w:val="289302C6"/>
    <w:rsid w:val="28CE0407"/>
    <w:rsid w:val="2A1A3EFD"/>
    <w:rsid w:val="2A275667"/>
    <w:rsid w:val="2AB23A94"/>
    <w:rsid w:val="2B2555C4"/>
    <w:rsid w:val="2B263559"/>
    <w:rsid w:val="2B4572D7"/>
    <w:rsid w:val="2C07779D"/>
    <w:rsid w:val="2C0D200D"/>
    <w:rsid w:val="2CE51A84"/>
    <w:rsid w:val="2DBC6432"/>
    <w:rsid w:val="2DC7737A"/>
    <w:rsid w:val="2DF40FAF"/>
    <w:rsid w:val="2E0B7814"/>
    <w:rsid w:val="2F633134"/>
    <w:rsid w:val="2F7A2E90"/>
    <w:rsid w:val="2FB818C1"/>
    <w:rsid w:val="305048B3"/>
    <w:rsid w:val="30B4388A"/>
    <w:rsid w:val="314365F3"/>
    <w:rsid w:val="31B513F3"/>
    <w:rsid w:val="32693B89"/>
    <w:rsid w:val="32A8036C"/>
    <w:rsid w:val="333077D1"/>
    <w:rsid w:val="333C54CC"/>
    <w:rsid w:val="334B63B9"/>
    <w:rsid w:val="35906746"/>
    <w:rsid w:val="36061CDB"/>
    <w:rsid w:val="36597FC7"/>
    <w:rsid w:val="384F24A7"/>
    <w:rsid w:val="39192815"/>
    <w:rsid w:val="39A50B47"/>
    <w:rsid w:val="3A052644"/>
    <w:rsid w:val="3A8C25B3"/>
    <w:rsid w:val="3C945361"/>
    <w:rsid w:val="3CE67717"/>
    <w:rsid w:val="3D0555C0"/>
    <w:rsid w:val="3D6B10C2"/>
    <w:rsid w:val="3DD5344F"/>
    <w:rsid w:val="3E8E5657"/>
    <w:rsid w:val="3E9A0C6C"/>
    <w:rsid w:val="3EBE06C5"/>
    <w:rsid w:val="3F3E5DD6"/>
    <w:rsid w:val="40161C34"/>
    <w:rsid w:val="418238EE"/>
    <w:rsid w:val="41C65984"/>
    <w:rsid w:val="41CA615C"/>
    <w:rsid w:val="423A6D83"/>
    <w:rsid w:val="42CA507C"/>
    <w:rsid w:val="43E3619A"/>
    <w:rsid w:val="445F1CC4"/>
    <w:rsid w:val="454F6497"/>
    <w:rsid w:val="45CE5353"/>
    <w:rsid w:val="48111527"/>
    <w:rsid w:val="48201907"/>
    <w:rsid w:val="483D052C"/>
    <w:rsid w:val="487C725E"/>
    <w:rsid w:val="49DE7B2F"/>
    <w:rsid w:val="4A741DF2"/>
    <w:rsid w:val="4AE724C0"/>
    <w:rsid w:val="4B1D4687"/>
    <w:rsid w:val="4B683D80"/>
    <w:rsid w:val="4BD21A4D"/>
    <w:rsid w:val="4C1D377B"/>
    <w:rsid w:val="4CC528E0"/>
    <w:rsid w:val="4D2E492A"/>
    <w:rsid w:val="4D544522"/>
    <w:rsid w:val="4DD95621"/>
    <w:rsid w:val="4DDE5A5E"/>
    <w:rsid w:val="4DEF5E83"/>
    <w:rsid w:val="4FC10815"/>
    <w:rsid w:val="4FC62B27"/>
    <w:rsid w:val="50A23F00"/>
    <w:rsid w:val="51A76EC2"/>
    <w:rsid w:val="51BA1FCE"/>
    <w:rsid w:val="51EB3EF3"/>
    <w:rsid w:val="522A0458"/>
    <w:rsid w:val="52F83A10"/>
    <w:rsid w:val="52FB705C"/>
    <w:rsid w:val="53610DA9"/>
    <w:rsid w:val="538E587F"/>
    <w:rsid w:val="538F4628"/>
    <w:rsid w:val="53AC4FA4"/>
    <w:rsid w:val="53CB5518"/>
    <w:rsid w:val="554B7041"/>
    <w:rsid w:val="559F7D8E"/>
    <w:rsid w:val="55D00AF9"/>
    <w:rsid w:val="56026953"/>
    <w:rsid w:val="561B31D6"/>
    <w:rsid w:val="5701739D"/>
    <w:rsid w:val="57435475"/>
    <w:rsid w:val="578A0BFA"/>
    <w:rsid w:val="5818245E"/>
    <w:rsid w:val="58560FFA"/>
    <w:rsid w:val="592F1802"/>
    <w:rsid w:val="598805B2"/>
    <w:rsid w:val="5A3D43FE"/>
    <w:rsid w:val="5B092D34"/>
    <w:rsid w:val="5B3B21F9"/>
    <w:rsid w:val="5CC65C88"/>
    <w:rsid w:val="5DF345A9"/>
    <w:rsid w:val="5E895E64"/>
    <w:rsid w:val="5ED11205"/>
    <w:rsid w:val="5EF744FF"/>
    <w:rsid w:val="5F560062"/>
    <w:rsid w:val="5F9E593F"/>
    <w:rsid w:val="5FA62A45"/>
    <w:rsid w:val="5FB567E4"/>
    <w:rsid w:val="60DB054E"/>
    <w:rsid w:val="60F55025"/>
    <w:rsid w:val="62D656CA"/>
    <w:rsid w:val="63414F5F"/>
    <w:rsid w:val="63D33B4D"/>
    <w:rsid w:val="63DC73DE"/>
    <w:rsid w:val="644840CB"/>
    <w:rsid w:val="64F031BB"/>
    <w:rsid w:val="65703AC2"/>
    <w:rsid w:val="65E8504C"/>
    <w:rsid w:val="663F04FE"/>
    <w:rsid w:val="670550C8"/>
    <w:rsid w:val="67645B78"/>
    <w:rsid w:val="68316046"/>
    <w:rsid w:val="68C71263"/>
    <w:rsid w:val="68F638A0"/>
    <w:rsid w:val="690F0791"/>
    <w:rsid w:val="69A936F3"/>
    <w:rsid w:val="69B875FD"/>
    <w:rsid w:val="69E00128"/>
    <w:rsid w:val="6A113CA7"/>
    <w:rsid w:val="6A835344"/>
    <w:rsid w:val="6AB62845"/>
    <w:rsid w:val="6B2C2051"/>
    <w:rsid w:val="6BCE5A0C"/>
    <w:rsid w:val="6C4D70C0"/>
    <w:rsid w:val="6E662DE6"/>
    <w:rsid w:val="6EB13906"/>
    <w:rsid w:val="6F54601A"/>
    <w:rsid w:val="6FEB4C04"/>
    <w:rsid w:val="70023961"/>
    <w:rsid w:val="703404E3"/>
    <w:rsid w:val="708B74B1"/>
    <w:rsid w:val="71667C6A"/>
    <w:rsid w:val="71FE226D"/>
    <w:rsid w:val="723F4D5F"/>
    <w:rsid w:val="728E6111"/>
    <w:rsid w:val="72F93CFF"/>
    <w:rsid w:val="73D129BE"/>
    <w:rsid w:val="742A559B"/>
    <w:rsid w:val="746E1E00"/>
    <w:rsid w:val="74977480"/>
    <w:rsid w:val="755A69DC"/>
    <w:rsid w:val="755A76D1"/>
    <w:rsid w:val="757F1917"/>
    <w:rsid w:val="75B90132"/>
    <w:rsid w:val="77406430"/>
    <w:rsid w:val="77A06659"/>
    <w:rsid w:val="77C27899"/>
    <w:rsid w:val="77F34477"/>
    <w:rsid w:val="78EA0669"/>
    <w:rsid w:val="7980034C"/>
    <w:rsid w:val="7A8835C0"/>
    <w:rsid w:val="7AFF35E7"/>
    <w:rsid w:val="7B7D104A"/>
    <w:rsid w:val="7BB94B36"/>
    <w:rsid w:val="7C11382C"/>
    <w:rsid w:val="7C2708E3"/>
    <w:rsid w:val="7CE4225C"/>
    <w:rsid w:val="7CE50DC0"/>
    <w:rsid w:val="7DC9243C"/>
    <w:rsid w:val="7F13411C"/>
    <w:rsid w:val="7F1B4387"/>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qFormat="1" w:unhideWhenUsed="0" w:uiPriority="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0"/>
    <w:pPr>
      <w:keepNext/>
      <w:keepLines/>
      <w:spacing w:before="260" w:after="260" w:line="413" w:lineRule="auto"/>
      <w:outlineLvl w:val="1"/>
    </w:pPr>
    <w:rPr>
      <w:rFonts w:ascii="Arial" w:hAnsi="Arial" w:eastAsia="黑体"/>
      <w:b/>
      <w:sz w:val="32"/>
    </w:rPr>
  </w:style>
  <w:style w:type="paragraph" w:styleId="4">
    <w:name w:val="heading 3"/>
    <w:basedOn w:val="1"/>
    <w:next w:val="1"/>
    <w:autoRedefine/>
    <w:qFormat/>
    <w:uiPriority w:val="0"/>
    <w:pPr>
      <w:keepNext/>
      <w:keepLines/>
      <w:spacing w:before="260" w:after="260" w:line="413" w:lineRule="auto"/>
      <w:outlineLvl w:val="2"/>
    </w:pPr>
    <w:rPr>
      <w:b/>
      <w:sz w:val="32"/>
    </w:rPr>
  </w:style>
  <w:style w:type="character" w:default="1" w:styleId="27">
    <w:name w:val="Default Paragraph Font"/>
    <w:semiHidden/>
    <w:unhideWhenUsed/>
    <w:qFormat/>
    <w:uiPriority w:val="1"/>
  </w:style>
  <w:style w:type="table" w:default="1" w:styleId="26">
    <w:name w:val="Normal Table"/>
    <w:semiHidden/>
    <w:unhideWhenUsed/>
    <w:qFormat/>
    <w:uiPriority w:val="99"/>
    <w:tblPr>
      <w:tblCellMar>
        <w:top w:w="0" w:type="dxa"/>
        <w:left w:w="108" w:type="dxa"/>
        <w:bottom w:w="0" w:type="dxa"/>
        <w:right w:w="108" w:type="dxa"/>
      </w:tblCellMar>
    </w:tblPr>
  </w:style>
  <w:style w:type="paragraph" w:styleId="5">
    <w:name w:val="table of authorities"/>
    <w:basedOn w:val="1"/>
    <w:next w:val="1"/>
    <w:autoRedefine/>
    <w:qFormat/>
    <w:uiPriority w:val="0"/>
    <w:pPr>
      <w:ind w:left="420" w:leftChars="200"/>
    </w:pPr>
  </w:style>
  <w:style w:type="paragraph" w:styleId="6">
    <w:name w:val="Normal Indent"/>
    <w:basedOn w:val="1"/>
    <w:next w:val="7"/>
    <w:autoRedefine/>
    <w:qFormat/>
    <w:uiPriority w:val="99"/>
    <w:pPr>
      <w:adjustRightInd w:val="0"/>
      <w:snapToGrid w:val="0"/>
      <w:spacing w:line="360" w:lineRule="auto"/>
      <w:ind w:firstLine="420"/>
    </w:pPr>
    <w:rPr>
      <w:sz w:val="24"/>
    </w:rPr>
  </w:style>
  <w:style w:type="paragraph" w:customStyle="1" w:styleId="7">
    <w:name w:val="Default"/>
    <w:qFormat/>
    <w:uiPriority w:val="0"/>
    <w:pPr>
      <w:widowControl w:val="0"/>
      <w:autoSpaceDE w:val="0"/>
      <w:autoSpaceDN w:val="0"/>
      <w:adjustRightInd w:val="0"/>
      <w:spacing w:line="360" w:lineRule="auto"/>
      <w:ind w:firstLine="200" w:firstLineChars="200"/>
      <w:jc w:val="both"/>
    </w:pPr>
    <w:rPr>
      <w:rFonts w:ascii="仿宋_GB2312" w:hAnsi="Times New Roman" w:eastAsia="仿宋_GB2312" w:cs="仿宋_GB2312"/>
      <w:color w:val="000000"/>
      <w:sz w:val="24"/>
      <w:szCs w:val="24"/>
      <w:lang w:val="en-US" w:eastAsia="zh-CN" w:bidi="ar-SA"/>
    </w:rPr>
  </w:style>
  <w:style w:type="paragraph" w:styleId="8">
    <w:name w:val="annotation text"/>
    <w:basedOn w:val="1"/>
    <w:autoRedefine/>
    <w:qFormat/>
    <w:uiPriority w:val="0"/>
    <w:pPr>
      <w:jc w:val="left"/>
    </w:pPr>
  </w:style>
  <w:style w:type="paragraph" w:styleId="9">
    <w:name w:val="Body Text"/>
    <w:basedOn w:val="1"/>
    <w:next w:val="1"/>
    <w:autoRedefine/>
    <w:qFormat/>
    <w:uiPriority w:val="0"/>
    <w:rPr>
      <w:rFonts w:ascii="仿宋_GB2312" w:eastAsia="仿宋_GB2312"/>
      <w:sz w:val="32"/>
    </w:rPr>
  </w:style>
  <w:style w:type="paragraph" w:styleId="10">
    <w:name w:val="Body Text Indent"/>
    <w:basedOn w:val="1"/>
    <w:autoRedefine/>
    <w:qFormat/>
    <w:uiPriority w:val="0"/>
    <w:pPr>
      <w:spacing w:line="700" w:lineRule="exact"/>
      <w:ind w:left="960"/>
    </w:pPr>
    <w:rPr>
      <w:sz w:val="44"/>
    </w:rPr>
  </w:style>
  <w:style w:type="paragraph" w:styleId="11">
    <w:name w:val="Block Text"/>
    <w:basedOn w:val="1"/>
    <w:autoRedefine/>
    <w:qFormat/>
    <w:uiPriority w:val="0"/>
    <w:pPr>
      <w:autoSpaceDE w:val="0"/>
      <w:autoSpaceDN w:val="0"/>
      <w:adjustRightInd w:val="0"/>
      <w:spacing w:line="1270" w:lineRule="exact"/>
      <w:ind w:left="2160" w:right="-20" w:hanging="2160" w:hangingChars="300"/>
      <w:jc w:val="left"/>
    </w:pPr>
    <w:rPr>
      <w:rFonts w:eastAsia="仿宋_GB2312"/>
      <w:sz w:val="72"/>
      <w:szCs w:val="24"/>
    </w:rPr>
  </w:style>
  <w:style w:type="paragraph" w:styleId="12">
    <w:name w:val="toc 3"/>
    <w:basedOn w:val="1"/>
    <w:next w:val="1"/>
    <w:autoRedefine/>
    <w:qFormat/>
    <w:uiPriority w:val="0"/>
    <w:pPr>
      <w:ind w:left="840" w:leftChars="400"/>
    </w:pPr>
  </w:style>
  <w:style w:type="paragraph" w:styleId="13">
    <w:name w:val="Plain Text"/>
    <w:basedOn w:val="1"/>
    <w:qFormat/>
    <w:uiPriority w:val="0"/>
    <w:rPr>
      <w:rFonts w:ascii="宋体" w:hAnsi="Courier New" w:eastAsia="宋体" w:cs="Times New Roman"/>
      <w:sz w:val="21"/>
    </w:rPr>
  </w:style>
  <w:style w:type="paragraph" w:styleId="14">
    <w:name w:val="Date"/>
    <w:basedOn w:val="1"/>
    <w:next w:val="1"/>
    <w:autoRedefine/>
    <w:qFormat/>
    <w:uiPriority w:val="0"/>
  </w:style>
  <w:style w:type="paragraph" w:styleId="15">
    <w:name w:val="Body Text Indent 2"/>
    <w:basedOn w:val="1"/>
    <w:autoRedefine/>
    <w:qFormat/>
    <w:uiPriority w:val="0"/>
    <w:pPr>
      <w:snapToGrid w:val="0"/>
      <w:spacing w:line="560" w:lineRule="atLeast"/>
      <w:ind w:firstLine="540"/>
    </w:pPr>
  </w:style>
  <w:style w:type="paragraph" w:styleId="16">
    <w:name w:val="Balloon Text"/>
    <w:basedOn w:val="1"/>
    <w:link w:val="37"/>
    <w:autoRedefine/>
    <w:qFormat/>
    <w:uiPriority w:val="0"/>
    <w:rPr>
      <w:sz w:val="18"/>
      <w:szCs w:val="18"/>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0"/>
    <w:pPr>
      <w:spacing w:line="180" w:lineRule="auto"/>
      <w:jc w:val="center"/>
    </w:pPr>
    <w:rPr>
      <w:sz w:val="30"/>
    </w:rPr>
  </w:style>
  <w:style w:type="paragraph" w:styleId="20">
    <w:name w:val="List"/>
    <w:basedOn w:val="1"/>
    <w:autoRedefine/>
    <w:semiHidden/>
    <w:qFormat/>
    <w:uiPriority w:val="0"/>
    <w:pPr>
      <w:ind w:left="200" w:hanging="200" w:hangingChars="200"/>
    </w:pPr>
  </w:style>
  <w:style w:type="paragraph" w:styleId="21">
    <w:name w:val="index 7"/>
    <w:basedOn w:val="1"/>
    <w:next w:val="1"/>
    <w:autoRedefine/>
    <w:qFormat/>
    <w:uiPriority w:val="0"/>
    <w:pPr>
      <w:ind w:left="2520"/>
    </w:pPr>
  </w:style>
  <w:style w:type="paragraph" w:styleId="22">
    <w:name w:val="toc 2"/>
    <w:basedOn w:val="1"/>
    <w:next w:val="1"/>
    <w:autoRedefine/>
    <w:qFormat/>
    <w:uiPriority w:val="0"/>
    <w:pPr>
      <w:ind w:left="420" w:leftChars="200"/>
    </w:pPr>
  </w:style>
  <w:style w:type="paragraph" w:styleId="23">
    <w:name w:val="Body Text 2"/>
    <w:basedOn w:val="1"/>
    <w:autoRedefine/>
    <w:qFormat/>
    <w:uiPriority w:val="0"/>
    <w:pPr>
      <w:adjustRightInd w:val="0"/>
      <w:snapToGrid w:val="0"/>
      <w:spacing w:line="480" w:lineRule="auto"/>
    </w:pPr>
    <w:rPr>
      <w:sz w:val="24"/>
    </w:rPr>
  </w:style>
  <w:style w:type="paragraph" w:styleId="24">
    <w:name w:val="Body Text First Indent"/>
    <w:basedOn w:val="9"/>
    <w:next w:val="1"/>
    <w:autoRedefine/>
    <w:qFormat/>
    <w:uiPriority w:val="0"/>
    <w:pPr>
      <w:ind w:firstLine="420"/>
    </w:pPr>
  </w:style>
  <w:style w:type="paragraph" w:styleId="25">
    <w:name w:val="Body Text First Indent 2"/>
    <w:basedOn w:val="10"/>
    <w:qFormat/>
    <w:uiPriority w:val="0"/>
    <w:pPr>
      <w:ind w:firstLine="420" w:firstLineChars="200"/>
    </w:pPr>
  </w:style>
  <w:style w:type="character" w:styleId="28">
    <w:name w:val="page number"/>
    <w:basedOn w:val="27"/>
    <w:autoRedefine/>
    <w:qFormat/>
    <w:uiPriority w:val="0"/>
  </w:style>
  <w:style w:type="paragraph" w:customStyle="1" w:styleId="29">
    <w:name w:val="图例"/>
    <w:basedOn w:val="1"/>
    <w:autoRedefine/>
    <w:qFormat/>
    <w:uiPriority w:val="0"/>
    <w:pPr>
      <w:spacing w:before="120" w:after="120" w:line="360" w:lineRule="auto"/>
      <w:jc w:val="center"/>
    </w:pPr>
    <w:rPr>
      <w:rFonts w:eastAsia="仿宋_GB2312"/>
      <w:b/>
      <w:sz w:val="24"/>
    </w:rPr>
  </w:style>
  <w:style w:type="paragraph" w:customStyle="1" w:styleId="30">
    <w:name w:val="电建正文"/>
    <w:basedOn w:val="31"/>
    <w:autoRedefine/>
    <w:qFormat/>
    <w:uiPriority w:val="0"/>
    <w:pPr>
      <w:tabs>
        <w:tab w:val="left" w:pos="720"/>
      </w:tabs>
      <w:spacing w:line="360" w:lineRule="auto"/>
      <w:ind w:firstLine="200" w:firstLineChars="200"/>
    </w:pPr>
    <w:rPr>
      <w:rFonts w:ascii="Tahoma" w:hAnsi="Tahoma"/>
      <w:sz w:val="24"/>
    </w:rPr>
  </w:style>
  <w:style w:type="paragraph" w:customStyle="1" w:styleId="31">
    <w:name w:val="List First"/>
    <w:basedOn w:val="20"/>
    <w:next w:val="20"/>
    <w:autoRedefine/>
    <w:qFormat/>
    <w:uiPriority w:val="0"/>
    <w:pPr>
      <w:widowControl/>
      <w:tabs>
        <w:tab w:val="left" w:pos="720"/>
      </w:tabs>
      <w:overflowPunct w:val="0"/>
      <w:autoSpaceDE w:val="0"/>
      <w:autoSpaceDN w:val="0"/>
      <w:spacing w:before="80" w:after="80"/>
      <w:ind w:left="0"/>
      <w:jc w:val="left"/>
    </w:pPr>
    <w:rPr>
      <w:kern w:val="0"/>
      <w:sz w:val="20"/>
    </w:rPr>
  </w:style>
  <w:style w:type="character" w:customStyle="1" w:styleId="32">
    <w:name w:val="font11"/>
    <w:autoRedefine/>
    <w:qFormat/>
    <w:uiPriority w:val="0"/>
    <w:rPr>
      <w:rFonts w:hint="eastAsia" w:ascii="宋体" w:hAnsi="宋体" w:eastAsia="宋体" w:cs="宋体"/>
      <w:color w:val="000000"/>
      <w:sz w:val="22"/>
      <w:szCs w:val="22"/>
      <w:u w:val="none"/>
      <w:lang w:val="en-US" w:eastAsia="en-US" w:bidi="ar-SA"/>
    </w:rPr>
  </w:style>
  <w:style w:type="paragraph" w:customStyle="1" w:styleId="33">
    <w:name w:val="WPSOffice手动目录 1"/>
    <w:autoRedefine/>
    <w:qFormat/>
    <w:uiPriority w:val="0"/>
    <w:rPr>
      <w:rFonts w:asciiTheme="minorHAnsi" w:hAnsiTheme="minorHAnsi" w:eastAsiaTheme="minorEastAsia" w:cstheme="minorBidi"/>
      <w:lang w:val="en-US" w:eastAsia="zh-CN" w:bidi="ar-SA"/>
    </w:rPr>
  </w:style>
  <w:style w:type="paragraph" w:customStyle="1" w:styleId="34">
    <w:name w:val="WPSOffice手动目录 2"/>
    <w:autoRedefine/>
    <w:qFormat/>
    <w:uiPriority w:val="0"/>
    <w:pPr>
      <w:ind w:left="200" w:leftChars="200"/>
    </w:pPr>
    <w:rPr>
      <w:rFonts w:asciiTheme="minorHAnsi" w:hAnsiTheme="minorHAnsi" w:eastAsiaTheme="minorEastAsia" w:cstheme="minorBidi"/>
      <w:lang w:val="en-US" w:eastAsia="zh-CN" w:bidi="ar-SA"/>
    </w:rPr>
  </w:style>
  <w:style w:type="paragraph" w:customStyle="1" w:styleId="35">
    <w:name w:val="WPSOffice手动目录 3"/>
    <w:autoRedefine/>
    <w:qFormat/>
    <w:uiPriority w:val="0"/>
    <w:pPr>
      <w:ind w:left="400" w:leftChars="400"/>
    </w:pPr>
    <w:rPr>
      <w:rFonts w:asciiTheme="minorHAnsi" w:hAnsiTheme="minorHAnsi" w:eastAsiaTheme="minorEastAsia" w:cstheme="minorBidi"/>
      <w:lang w:val="en-US" w:eastAsia="zh-CN" w:bidi="ar-SA"/>
    </w:rPr>
  </w:style>
  <w:style w:type="paragraph" w:styleId="36">
    <w:name w:val="List Paragraph"/>
    <w:basedOn w:val="1"/>
    <w:autoRedefine/>
    <w:unhideWhenUsed/>
    <w:qFormat/>
    <w:uiPriority w:val="34"/>
    <w:pPr>
      <w:ind w:firstLine="420" w:firstLineChars="200"/>
    </w:pPr>
  </w:style>
  <w:style w:type="character" w:customStyle="1" w:styleId="37">
    <w:name w:val="批注框文本字符"/>
    <w:basedOn w:val="27"/>
    <w:link w:val="16"/>
    <w:autoRedefine/>
    <w:qFormat/>
    <w:uiPriority w:val="0"/>
    <w:rPr>
      <w:rFonts w:ascii="Times New Roman" w:hAnsi="Times New Roman" w:eastAsia="宋体" w:cs="Times New Roman"/>
      <w:kern w:val="2"/>
      <w:sz w:val="18"/>
      <w:szCs w:val="18"/>
    </w:rPr>
  </w:style>
  <w:style w:type="character" w:customStyle="1" w:styleId="38">
    <w:name w:val="None"/>
    <w:qFormat/>
    <w:uiPriority w:val="0"/>
  </w:style>
  <w:style w:type="character" w:customStyle="1" w:styleId="39">
    <w:name w:val="Hyperlink.0"/>
    <w:basedOn w:val="38"/>
    <w:qFormat/>
    <w:uiPriority w:val="0"/>
    <w:rPr>
      <w:rFonts w:ascii="方正仿宋_GBK" w:hAnsi="方正仿宋_GBK" w:eastAsia="方正仿宋_GBK" w:cs="方正仿宋_GBK"/>
      <w:sz w:val="24"/>
      <w:szCs w:val="24"/>
      <w:lang w:val="en-US"/>
    </w:rPr>
  </w:style>
  <w:style w:type="paragraph" w:customStyle="1" w:styleId="40">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41">
    <w:name w:val="九龙坡-标题1"/>
    <w:basedOn w:val="1"/>
    <w:qFormat/>
    <w:uiPriority w:val="0"/>
    <w:pPr>
      <w:spacing w:before="0" w:after="0"/>
      <w:jc w:val="left"/>
    </w:pPr>
    <w:rPr>
      <w:rFonts w:ascii="方正黑体_GBK" w:hAnsi="仿宋" w:eastAsia="方正黑体_GBK" w:cs="仿宋"/>
      <w:bCs/>
      <w:color w:val="000000"/>
      <w:sz w:val="32"/>
      <w:szCs w:val="32"/>
    </w:rPr>
  </w:style>
  <w:style w:type="paragraph" w:customStyle="1" w:styleId="42">
    <w:name w:val="1"/>
    <w:basedOn w:val="1"/>
    <w:next w:val="13"/>
    <w:qFormat/>
    <w:uiPriority w:val="0"/>
    <w:rPr>
      <w:rFonts w:ascii="宋体" w:hAnsi="Courier New" w:eastAsia="宋体" w:cs="Times New Roman"/>
      <w:sz w:val="21"/>
    </w:rPr>
  </w:style>
  <w:style w:type="character" w:customStyle="1" w:styleId="43">
    <w:name w:val="font101"/>
    <w:basedOn w:val="27"/>
    <w:qFormat/>
    <w:uiPriority w:val="0"/>
    <w:rPr>
      <w:rFonts w:ascii="黑体" w:hAnsi="宋体" w:eastAsia="黑体" w:cs="黑体"/>
      <w:color w:val="000000"/>
      <w:sz w:val="32"/>
      <w:szCs w:val="32"/>
      <w:u w:val="none"/>
    </w:rPr>
  </w:style>
  <w:style w:type="character" w:customStyle="1" w:styleId="44">
    <w:name w:val="font112"/>
    <w:basedOn w:val="27"/>
    <w:qFormat/>
    <w:uiPriority w:val="0"/>
    <w:rPr>
      <w:rFonts w:ascii="宋体" w:hAnsi="宋体" w:eastAsia="宋体" w:cs="宋体"/>
      <w:b/>
      <w:bCs/>
      <w:color w:val="000000"/>
      <w:sz w:val="28"/>
      <w:szCs w:val="28"/>
      <w:u w:val="none"/>
    </w:rPr>
  </w:style>
  <w:style w:type="character" w:customStyle="1" w:styleId="45">
    <w:name w:val="font121"/>
    <w:basedOn w:val="27"/>
    <w:qFormat/>
    <w:uiPriority w:val="0"/>
    <w:rPr>
      <w:rFonts w:ascii="宋体" w:hAnsi="宋体" w:eastAsia="宋体" w:cs="宋体"/>
      <w:color w:val="000000"/>
      <w:sz w:val="20"/>
      <w:szCs w:val="20"/>
      <w:u w:val="none"/>
    </w:rPr>
  </w:style>
  <w:style w:type="character" w:customStyle="1" w:styleId="46">
    <w:name w:val="font131"/>
    <w:basedOn w:val="27"/>
    <w:qFormat/>
    <w:uiPriority w:val="0"/>
    <w:rPr>
      <w:rFonts w:ascii="宋体" w:hAnsi="宋体" w:eastAsia="宋体" w:cs="宋体"/>
      <w:b/>
      <w:bCs/>
      <w:color w:val="000000"/>
      <w:sz w:val="20"/>
      <w:szCs w:val="20"/>
      <w:u w:val="none"/>
    </w:rPr>
  </w:style>
  <w:style w:type="character" w:customStyle="1" w:styleId="47">
    <w:name w:val="font141"/>
    <w:basedOn w:val="27"/>
    <w:qFormat/>
    <w:uiPriority w:val="0"/>
    <w:rPr>
      <w:rFonts w:hint="default" w:ascii="Arial" w:hAnsi="Arial" w:cs="Arial"/>
      <w:color w:val="000000"/>
      <w:sz w:val="22"/>
      <w:szCs w:val="22"/>
      <w:u w:val="none"/>
    </w:rPr>
  </w:style>
  <w:style w:type="character" w:customStyle="1" w:styleId="48">
    <w:name w:val="font151"/>
    <w:basedOn w:val="27"/>
    <w:qFormat/>
    <w:uiPriority w:val="0"/>
    <w:rPr>
      <w:rFonts w:ascii="宋体" w:hAnsi="宋体" w:eastAsia="宋体" w:cs="宋体"/>
      <w:b/>
      <w:bCs/>
      <w:color w:val="000000"/>
      <w:sz w:val="32"/>
      <w:szCs w:val="32"/>
      <w:u w:val="none"/>
    </w:rPr>
  </w:style>
  <w:style w:type="character" w:customStyle="1" w:styleId="49">
    <w:name w:val="font161"/>
    <w:basedOn w:val="27"/>
    <w:qFormat/>
    <w:uiPriority w:val="0"/>
    <w:rPr>
      <w:rFonts w:ascii="宋体" w:hAnsi="宋体" w:eastAsia="宋体" w:cs="宋体"/>
      <w:b/>
      <w:bCs/>
      <w:color w:val="000000"/>
      <w:sz w:val="22"/>
      <w:szCs w:val="22"/>
      <w:u w:val="none"/>
    </w:rPr>
  </w:style>
  <w:style w:type="character" w:customStyle="1" w:styleId="50">
    <w:name w:val="font171"/>
    <w:basedOn w:val="27"/>
    <w:qFormat/>
    <w:uiPriority w:val="0"/>
    <w:rPr>
      <w:rFonts w:ascii="宋体" w:hAnsi="宋体" w:eastAsia="宋体" w:cs="宋体"/>
      <w:color w:val="000000"/>
      <w:sz w:val="22"/>
      <w:szCs w:val="22"/>
      <w:u w:val="none"/>
    </w:rPr>
  </w:style>
  <w:style w:type="character" w:customStyle="1" w:styleId="51">
    <w:name w:val="font181"/>
    <w:basedOn w:val="27"/>
    <w:qFormat/>
    <w:uiPriority w:val="0"/>
    <w:rPr>
      <w:rFonts w:ascii="宋体" w:hAnsi="宋体" w:eastAsia="宋体" w:cs="宋体"/>
      <w:b/>
      <w:bCs/>
      <w:color w:val="000000"/>
      <w:sz w:val="30"/>
      <w:szCs w:val="30"/>
      <w:u w:val="none"/>
    </w:rPr>
  </w:style>
  <w:style w:type="character" w:customStyle="1" w:styleId="52">
    <w:name w:val="font191"/>
    <w:basedOn w:val="27"/>
    <w:qFormat/>
    <w:uiPriority w:val="0"/>
    <w:rPr>
      <w:rFonts w:ascii="宋体" w:hAnsi="宋体" w:eastAsia="宋体" w:cs="宋体"/>
      <w:color w:val="000000"/>
      <w:sz w:val="26"/>
      <w:szCs w:val="26"/>
      <w:u w:val="none"/>
    </w:rPr>
  </w:style>
  <w:style w:type="paragraph" w:customStyle="1" w:styleId="53">
    <w:name w:val="无间隔1"/>
    <w:qFormat/>
    <w:uiPriority w:val="1"/>
    <w:pPr>
      <w:jc w:val="both"/>
    </w:pPr>
    <w:rPr>
      <w:rFonts w:ascii="Calibri" w:hAnsi="Calibri" w:eastAsia="Times New Roman" w:cs="Times New Roman"/>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footer" Target="footer4.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35</Pages>
  <Words>7390</Words>
  <Characters>8287</Characters>
  <Lines>101</Lines>
  <Paragraphs>28</Paragraphs>
  <TotalTime>3</TotalTime>
  <ScaleCrop>false</ScaleCrop>
  <LinksUpToDate>false</LinksUpToDate>
  <CharactersWithSpaces>8677</CharactersWithSpaces>
  <Application>WPS Office_12.1.0.23542_F1E327BC-269C-435d-A152-05C5408002CA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2025-04-17T03:46:00Z</dcterms:created>
  <dc:creator>Administrator</dc:creator>
  <cp:lastModifiedBy>麦迪逊张申</cp:lastModifiedBy>
  <cp:lastPrinted>2026-06-26T01:49:00Z</cp:lastPrinted>
  <dcterms:modified xsi:type="dcterms:W3CDTF">2026-07-10T08:45:25Z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44A8D4C4206642FEA9219070CDBF2459_13</vt:lpwstr>
  </property>
  <property fmtid="{D5CDD505-2E9C-101B-9397-08002B2CF9AE}" pid="4" name="KSOTemplateDocerSaveRecord">
    <vt:lpwstr>eyJoZGlkIjoiN2M0ZWQxYTRmNGFmY2RmZjc5OGU4YWRiMTQyNGYyODQiLCJ1c2VySWQiOiIxMzI1NDUyNjQxIn0=</vt:lpwstr>
  </property>
</Properties>
</file>