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FEB48">
      <w:pPr>
        <w:jc w:val="center"/>
        <w:rPr>
          <w:rFonts w:ascii="宋体" w:hAnsi="宋体"/>
          <w:b/>
          <w:color w:val="auto"/>
          <w:sz w:val="44"/>
          <w:szCs w:val="44"/>
          <w:highlight w:val="none"/>
        </w:rPr>
      </w:pPr>
      <w:bookmarkStart w:id="0" w:name="_Toc287620665"/>
    </w:p>
    <w:p w14:paraId="0737A994">
      <w:pPr>
        <w:spacing w:line="360" w:lineRule="auto"/>
        <w:jc w:val="center"/>
        <w:rPr>
          <w:rFonts w:ascii="宋体" w:hAnsi="宋体"/>
          <w:b/>
          <w:bCs/>
          <w:color w:val="auto"/>
          <w:kern w:val="0"/>
          <w:sz w:val="44"/>
          <w:szCs w:val="44"/>
          <w:highlight w:val="none"/>
        </w:rPr>
      </w:pPr>
      <w:r>
        <w:rPr>
          <w:rFonts w:hint="eastAsia" w:ascii="宋体" w:hAnsi="宋体"/>
          <w:b/>
          <w:bCs/>
          <w:color w:val="auto"/>
          <w:kern w:val="0"/>
          <w:sz w:val="44"/>
          <w:szCs w:val="44"/>
          <w:highlight w:val="none"/>
        </w:rPr>
        <w:t>2023年燃气市政管道老化更新改造工程弹广路（娄家庄段）燃气管道通道恢复项目</w:t>
      </w:r>
    </w:p>
    <w:p w14:paraId="0D9626B4">
      <w:pPr>
        <w:autoSpaceDE w:val="0"/>
        <w:autoSpaceDN w:val="0"/>
        <w:adjustRightInd w:val="0"/>
        <w:snapToGrid w:val="0"/>
        <w:spacing w:line="360" w:lineRule="auto"/>
        <w:jc w:val="left"/>
        <w:rPr>
          <w:rFonts w:ascii="宋体" w:hAnsi="宋体"/>
          <w:color w:val="auto"/>
          <w:kern w:val="0"/>
          <w:sz w:val="20"/>
          <w:szCs w:val="20"/>
          <w:highlight w:val="none"/>
        </w:rPr>
      </w:pPr>
    </w:p>
    <w:p w14:paraId="54ED0284">
      <w:pPr>
        <w:autoSpaceDE w:val="0"/>
        <w:autoSpaceDN w:val="0"/>
        <w:adjustRightInd w:val="0"/>
        <w:snapToGrid w:val="0"/>
        <w:spacing w:line="360" w:lineRule="auto"/>
        <w:jc w:val="left"/>
        <w:rPr>
          <w:rFonts w:ascii="宋体" w:hAnsi="宋体"/>
          <w:color w:val="auto"/>
          <w:kern w:val="0"/>
          <w:sz w:val="20"/>
          <w:szCs w:val="20"/>
          <w:highlight w:val="none"/>
        </w:rPr>
      </w:pPr>
    </w:p>
    <w:p w14:paraId="61E10790">
      <w:pPr>
        <w:autoSpaceDE w:val="0"/>
        <w:autoSpaceDN w:val="0"/>
        <w:adjustRightInd w:val="0"/>
        <w:snapToGrid w:val="0"/>
        <w:spacing w:line="360" w:lineRule="auto"/>
        <w:jc w:val="left"/>
        <w:rPr>
          <w:rFonts w:ascii="宋体" w:hAnsi="宋体"/>
          <w:color w:val="auto"/>
          <w:kern w:val="0"/>
          <w:sz w:val="20"/>
          <w:szCs w:val="20"/>
          <w:highlight w:val="none"/>
        </w:rPr>
      </w:pPr>
    </w:p>
    <w:p w14:paraId="5BE48B52">
      <w:pPr>
        <w:autoSpaceDE w:val="0"/>
        <w:autoSpaceDN w:val="0"/>
        <w:adjustRightInd w:val="0"/>
        <w:snapToGrid w:val="0"/>
        <w:spacing w:line="360" w:lineRule="auto"/>
        <w:jc w:val="left"/>
        <w:rPr>
          <w:rFonts w:ascii="宋体" w:hAnsi="宋体"/>
          <w:color w:val="auto"/>
          <w:kern w:val="0"/>
          <w:sz w:val="20"/>
          <w:szCs w:val="20"/>
          <w:highlight w:val="none"/>
        </w:rPr>
      </w:pPr>
    </w:p>
    <w:p w14:paraId="164FF5C5">
      <w:pPr>
        <w:autoSpaceDE w:val="0"/>
        <w:autoSpaceDN w:val="0"/>
        <w:adjustRightInd w:val="0"/>
        <w:snapToGrid w:val="0"/>
        <w:spacing w:line="360" w:lineRule="auto"/>
        <w:jc w:val="left"/>
        <w:rPr>
          <w:rFonts w:ascii="宋体" w:hAnsi="宋体"/>
          <w:color w:val="auto"/>
          <w:kern w:val="0"/>
          <w:sz w:val="20"/>
          <w:szCs w:val="20"/>
          <w:highlight w:val="none"/>
        </w:rPr>
      </w:pPr>
    </w:p>
    <w:p w14:paraId="4D2F2313">
      <w:pPr>
        <w:autoSpaceDE w:val="0"/>
        <w:autoSpaceDN w:val="0"/>
        <w:adjustRightInd w:val="0"/>
        <w:snapToGrid w:val="0"/>
        <w:spacing w:line="360" w:lineRule="auto"/>
        <w:jc w:val="left"/>
        <w:rPr>
          <w:rFonts w:ascii="宋体" w:hAnsi="宋体"/>
          <w:color w:val="auto"/>
          <w:kern w:val="0"/>
          <w:sz w:val="20"/>
          <w:szCs w:val="20"/>
          <w:highlight w:val="none"/>
        </w:rPr>
      </w:pPr>
    </w:p>
    <w:p w14:paraId="466756D1">
      <w:pPr>
        <w:autoSpaceDE w:val="0"/>
        <w:autoSpaceDN w:val="0"/>
        <w:adjustRightInd w:val="0"/>
        <w:snapToGrid w:val="0"/>
        <w:spacing w:line="360" w:lineRule="auto"/>
        <w:jc w:val="left"/>
        <w:rPr>
          <w:rFonts w:ascii="宋体" w:hAnsi="宋体"/>
          <w:color w:val="auto"/>
          <w:kern w:val="0"/>
          <w:sz w:val="20"/>
          <w:szCs w:val="20"/>
          <w:highlight w:val="none"/>
        </w:rPr>
      </w:pPr>
    </w:p>
    <w:p w14:paraId="3A0620FA">
      <w:pPr>
        <w:autoSpaceDE w:val="0"/>
        <w:autoSpaceDN w:val="0"/>
        <w:adjustRightInd w:val="0"/>
        <w:snapToGrid w:val="0"/>
        <w:spacing w:line="360" w:lineRule="auto"/>
        <w:jc w:val="left"/>
        <w:rPr>
          <w:rFonts w:ascii="宋体" w:hAnsi="宋体"/>
          <w:color w:val="auto"/>
          <w:kern w:val="0"/>
          <w:sz w:val="20"/>
          <w:szCs w:val="20"/>
          <w:highlight w:val="none"/>
        </w:rPr>
      </w:pPr>
    </w:p>
    <w:p w14:paraId="2E8BF7F0">
      <w:pPr>
        <w:autoSpaceDE w:val="0"/>
        <w:autoSpaceDN w:val="0"/>
        <w:adjustRightInd w:val="0"/>
        <w:snapToGrid w:val="0"/>
        <w:spacing w:line="360" w:lineRule="auto"/>
        <w:jc w:val="left"/>
        <w:rPr>
          <w:rFonts w:ascii="宋体" w:hAnsi="宋体"/>
          <w:color w:val="auto"/>
          <w:kern w:val="0"/>
          <w:sz w:val="20"/>
          <w:szCs w:val="20"/>
          <w:highlight w:val="none"/>
        </w:rPr>
      </w:pPr>
    </w:p>
    <w:p w14:paraId="2F732C2C">
      <w:pPr>
        <w:autoSpaceDE w:val="0"/>
        <w:autoSpaceDN w:val="0"/>
        <w:adjustRightInd w:val="0"/>
        <w:snapToGrid w:val="0"/>
        <w:spacing w:line="360" w:lineRule="auto"/>
        <w:jc w:val="center"/>
        <w:rPr>
          <w:rFonts w:ascii="宋体" w:hAnsi="宋体"/>
          <w:color w:val="auto"/>
          <w:kern w:val="0"/>
          <w:sz w:val="72"/>
          <w:szCs w:val="72"/>
          <w:highlight w:val="none"/>
        </w:rPr>
      </w:pPr>
      <w:r>
        <w:rPr>
          <w:rStyle w:val="314"/>
          <w:rFonts w:hint="eastAsia" w:ascii="宋体" w:hAnsi="宋体" w:cs="宋体"/>
          <w:b/>
          <w:bCs/>
          <w:color w:val="auto"/>
          <w:spacing w:val="80"/>
          <w:sz w:val="84"/>
          <w:szCs w:val="84"/>
          <w:highlight w:val="none"/>
        </w:rPr>
        <w:t>竞争性比选文件</w:t>
      </w:r>
    </w:p>
    <w:p w14:paraId="7A4067C8">
      <w:pPr>
        <w:autoSpaceDE w:val="0"/>
        <w:autoSpaceDN w:val="0"/>
        <w:adjustRightInd w:val="0"/>
        <w:snapToGrid w:val="0"/>
        <w:spacing w:line="360" w:lineRule="auto"/>
        <w:jc w:val="left"/>
        <w:rPr>
          <w:rFonts w:ascii="宋体" w:hAnsi="宋体"/>
          <w:color w:val="auto"/>
          <w:kern w:val="0"/>
          <w:sz w:val="10"/>
          <w:szCs w:val="10"/>
          <w:highlight w:val="none"/>
        </w:rPr>
      </w:pPr>
    </w:p>
    <w:p w14:paraId="3AACF332">
      <w:pPr>
        <w:autoSpaceDE w:val="0"/>
        <w:autoSpaceDN w:val="0"/>
        <w:adjustRightInd w:val="0"/>
        <w:snapToGrid w:val="0"/>
        <w:spacing w:line="360" w:lineRule="auto"/>
        <w:jc w:val="left"/>
        <w:rPr>
          <w:rFonts w:ascii="宋体" w:hAnsi="宋体"/>
          <w:color w:val="auto"/>
          <w:kern w:val="0"/>
          <w:sz w:val="20"/>
          <w:szCs w:val="20"/>
          <w:highlight w:val="none"/>
        </w:rPr>
      </w:pPr>
    </w:p>
    <w:p w14:paraId="52EEFF4D">
      <w:pPr>
        <w:autoSpaceDE w:val="0"/>
        <w:autoSpaceDN w:val="0"/>
        <w:adjustRightInd w:val="0"/>
        <w:snapToGrid w:val="0"/>
        <w:spacing w:line="360" w:lineRule="auto"/>
        <w:jc w:val="left"/>
        <w:rPr>
          <w:rFonts w:ascii="宋体" w:hAnsi="宋体"/>
          <w:color w:val="auto"/>
          <w:kern w:val="0"/>
          <w:sz w:val="20"/>
          <w:szCs w:val="20"/>
          <w:highlight w:val="none"/>
        </w:rPr>
      </w:pPr>
    </w:p>
    <w:p w14:paraId="4D75170A">
      <w:pPr>
        <w:autoSpaceDE w:val="0"/>
        <w:autoSpaceDN w:val="0"/>
        <w:adjustRightInd w:val="0"/>
        <w:snapToGrid w:val="0"/>
        <w:spacing w:line="360" w:lineRule="auto"/>
        <w:jc w:val="left"/>
        <w:rPr>
          <w:rFonts w:ascii="宋体" w:hAnsi="宋体"/>
          <w:color w:val="auto"/>
          <w:kern w:val="0"/>
          <w:sz w:val="20"/>
          <w:szCs w:val="20"/>
          <w:highlight w:val="none"/>
        </w:rPr>
      </w:pPr>
    </w:p>
    <w:p w14:paraId="32F0F731">
      <w:pPr>
        <w:autoSpaceDE w:val="0"/>
        <w:autoSpaceDN w:val="0"/>
        <w:adjustRightInd w:val="0"/>
        <w:snapToGrid w:val="0"/>
        <w:spacing w:line="360" w:lineRule="auto"/>
        <w:jc w:val="left"/>
        <w:rPr>
          <w:rFonts w:ascii="宋体" w:hAnsi="宋体"/>
          <w:color w:val="auto"/>
          <w:kern w:val="0"/>
          <w:sz w:val="20"/>
          <w:szCs w:val="20"/>
          <w:highlight w:val="none"/>
        </w:rPr>
      </w:pPr>
    </w:p>
    <w:p w14:paraId="06D49F9B">
      <w:pPr>
        <w:autoSpaceDE w:val="0"/>
        <w:autoSpaceDN w:val="0"/>
        <w:adjustRightInd w:val="0"/>
        <w:snapToGrid w:val="0"/>
        <w:spacing w:line="360" w:lineRule="auto"/>
        <w:jc w:val="left"/>
        <w:rPr>
          <w:rFonts w:ascii="宋体" w:hAnsi="宋体"/>
          <w:color w:val="auto"/>
          <w:kern w:val="0"/>
          <w:sz w:val="20"/>
          <w:szCs w:val="20"/>
          <w:highlight w:val="none"/>
        </w:rPr>
      </w:pPr>
    </w:p>
    <w:p w14:paraId="48AE5F5E">
      <w:pPr>
        <w:autoSpaceDE w:val="0"/>
        <w:autoSpaceDN w:val="0"/>
        <w:adjustRightInd w:val="0"/>
        <w:snapToGrid w:val="0"/>
        <w:spacing w:line="360" w:lineRule="auto"/>
        <w:jc w:val="left"/>
        <w:rPr>
          <w:rFonts w:ascii="宋体" w:hAnsi="宋体"/>
          <w:color w:val="auto"/>
          <w:kern w:val="0"/>
          <w:sz w:val="20"/>
          <w:szCs w:val="20"/>
          <w:highlight w:val="none"/>
        </w:rPr>
      </w:pPr>
    </w:p>
    <w:p w14:paraId="10112DB8">
      <w:pPr>
        <w:autoSpaceDE w:val="0"/>
        <w:autoSpaceDN w:val="0"/>
        <w:adjustRightInd w:val="0"/>
        <w:snapToGrid w:val="0"/>
        <w:spacing w:line="360" w:lineRule="auto"/>
        <w:rPr>
          <w:rFonts w:ascii="宋体" w:hAnsi="宋体"/>
          <w:color w:val="auto"/>
          <w:kern w:val="0"/>
          <w:sz w:val="20"/>
          <w:szCs w:val="20"/>
          <w:highlight w:val="none"/>
        </w:rPr>
      </w:pPr>
    </w:p>
    <w:p w14:paraId="65B5B131">
      <w:pPr>
        <w:autoSpaceDE w:val="0"/>
        <w:autoSpaceDN w:val="0"/>
        <w:adjustRightInd w:val="0"/>
        <w:snapToGrid w:val="0"/>
        <w:spacing w:line="360" w:lineRule="auto"/>
        <w:jc w:val="left"/>
        <w:rPr>
          <w:rFonts w:ascii="宋体" w:hAnsi="宋体"/>
          <w:color w:val="auto"/>
          <w:kern w:val="0"/>
          <w:sz w:val="20"/>
          <w:szCs w:val="20"/>
          <w:highlight w:val="none"/>
        </w:rPr>
      </w:pPr>
    </w:p>
    <w:p w14:paraId="6F79D9CD">
      <w:pPr>
        <w:autoSpaceDE w:val="0"/>
        <w:autoSpaceDN w:val="0"/>
        <w:adjustRightInd w:val="0"/>
        <w:snapToGrid w:val="0"/>
        <w:spacing w:line="360" w:lineRule="auto"/>
        <w:rPr>
          <w:rFonts w:ascii="宋体" w:hAnsi="宋体"/>
          <w:color w:val="auto"/>
          <w:kern w:val="0"/>
          <w:sz w:val="20"/>
          <w:szCs w:val="20"/>
          <w:highlight w:val="none"/>
        </w:rPr>
      </w:pPr>
    </w:p>
    <w:p w14:paraId="3E0A059E">
      <w:pPr>
        <w:tabs>
          <w:tab w:val="left" w:pos="6219"/>
        </w:tabs>
        <w:autoSpaceDE w:val="0"/>
        <w:autoSpaceDN w:val="0"/>
        <w:adjustRightInd w:val="0"/>
        <w:snapToGrid w:val="0"/>
        <w:spacing w:line="360" w:lineRule="auto"/>
        <w:ind w:firstLine="341" w:firstLineChars="100"/>
        <w:rPr>
          <w:rFonts w:ascii="宋体" w:hAnsi="宋体"/>
          <w:b/>
          <w:color w:val="auto"/>
          <w:w w:val="99"/>
          <w:kern w:val="0"/>
          <w:sz w:val="28"/>
          <w:szCs w:val="28"/>
          <w:highlight w:val="none"/>
        </w:rPr>
      </w:pPr>
      <w:r>
        <w:rPr>
          <w:rFonts w:hint="eastAsia" w:ascii="宋体" w:hAnsi="宋体" w:cs="宋体"/>
          <w:b/>
          <w:bCs/>
          <w:color w:val="auto"/>
          <w:spacing w:val="20"/>
          <w:sz w:val="30"/>
          <w:szCs w:val="30"/>
          <w:highlight w:val="none"/>
        </w:rPr>
        <w:t>比 选 人</w:t>
      </w:r>
      <w:r>
        <w:rPr>
          <w:rFonts w:ascii="宋体" w:hAnsi="宋体"/>
          <w:b/>
          <w:color w:val="auto"/>
          <w:spacing w:val="8"/>
          <w:kern w:val="0"/>
          <w:sz w:val="28"/>
          <w:szCs w:val="28"/>
          <w:highlight w:val="none"/>
        </w:rPr>
        <w:t>：</w:t>
      </w:r>
      <w:r>
        <w:rPr>
          <w:rFonts w:hint="eastAsia" w:ascii="宋体" w:hAnsi="宋体" w:cs="宋体"/>
          <w:b/>
          <w:bCs/>
          <w:color w:val="auto"/>
          <w:sz w:val="30"/>
          <w:szCs w:val="30"/>
          <w:highlight w:val="none"/>
          <w:u w:val="single"/>
        </w:rPr>
        <w:t>重庆市南岸城市更新建设发展有限公司(</w:t>
      </w:r>
      <w:r>
        <w:rPr>
          <w:rFonts w:ascii="宋体" w:hAnsi="宋体"/>
          <w:b/>
          <w:color w:val="auto"/>
          <w:w w:val="99"/>
          <w:kern w:val="0"/>
          <w:sz w:val="28"/>
          <w:szCs w:val="28"/>
          <w:highlight w:val="none"/>
        </w:rPr>
        <w:t>盖单位法人章）</w:t>
      </w:r>
    </w:p>
    <w:p w14:paraId="3AFBDE1C">
      <w:pPr>
        <w:tabs>
          <w:tab w:val="left" w:pos="6252"/>
        </w:tabs>
        <w:autoSpaceDE w:val="0"/>
        <w:autoSpaceDN w:val="0"/>
        <w:adjustRightInd w:val="0"/>
        <w:snapToGrid w:val="0"/>
        <w:spacing w:line="360" w:lineRule="auto"/>
        <w:ind w:firstLine="297" w:firstLineChars="100"/>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rPr>
        <w:t>比选代理机构</w:t>
      </w:r>
      <w:r>
        <w:rPr>
          <w:rFonts w:ascii="宋体" w:hAnsi="宋体"/>
          <w:b/>
          <w:color w:val="auto"/>
          <w:spacing w:val="8"/>
          <w:kern w:val="0"/>
          <w:sz w:val="28"/>
          <w:szCs w:val="28"/>
          <w:highlight w:val="none"/>
        </w:rPr>
        <w:t>：</w:t>
      </w:r>
      <w:r>
        <w:rPr>
          <w:rFonts w:hint="eastAsia" w:ascii="宋体" w:hAnsi="宋体" w:cs="宋体"/>
          <w:b/>
          <w:bCs/>
          <w:color w:val="auto"/>
          <w:sz w:val="30"/>
          <w:szCs w:val="30"/>
          <w:highlight w:val="none"/>
          <w:u w:val="single"/>
        </w:rPr>
        <w:t>中资（重庆）工程咨询有限公司</w:t>
      </w:r>
      <w:r>
        <w:rPr>
          <w:rFonts w:ascii="宋体" w:hAnsi="宋体"/>
          <w:b/>
          <w:color w:val="auto"/>
          <w:w w:val="99"/>
          <w:kern w:val="0"/>
          <w:sz w:val="28"/>
          <w:szCs w:val="28"/>
          <w:highlight w:val="none"/>
        </w:rPr>
        <w:t>（盖单位法人章）</w:t>
      </w:r>
    </w:p>
    <w:p w14:paraId="3F267FBB">
      <w:pPr>
        <w:autoSpaceDE w:val="0"/>
        <w:autoSpaceDN w:val="0"/>
        <w:adjustRightInd w:val="0"/>
        <w:snapToGrid w:val="0"/>
        <w:spacing w:line="360" w:lineRule="auto"/>
        <w:jc w:val="center"/>
        <w:rPr>
          <w:rFonts w:ascii="宋体" w:hAnsi="宋体"/>
          <w:b/>
          <w:color w:val="auto"/>
          <w:kern w:val="0"/>
          <w:sz w:val="20"/>
          <w:szCs w:val="20"/>
          <w:highlight w:val="none"/>
        </w:rPr>
      </w:pPr>
    </w:p>
    <w:p w14:paraId="5B7CE28A">
      <w:pPr>
        <w:autoSpaceDE w:val="0"/>
        <w:autoSpaceDN w:val="0"/>
        <w:adjustRightInd w:val="0"/>
        <w:snapToGrid w:val="0"/>
        <w:spacing w:line="360" w:lineRule="auto"/>
        <w:jc w:val="center"/>
        <w:rPr>
          <w:rFonts w:ascii="宋体" w:hAnsi="宋体"/>
          <w:b/>
          <w:color w:val="auto"/>
          <w:kern w:val="0"/>
          <w:sz w:val="28"/>
          <w:szCs w:val="28"/>
          <w:highlight w:val="none"/>
        </w:rPr>
      </w:pPr>
    </w:p>
    <w:p w14:paraId="1A1214F5">
      <w:pPr>
        <w:autoSpaceDE w:val="0"/>
        <w:autoSpaceDN w:val="0"/>
        <w:adjustRightInd w:val="0"/>
        <w:snapToGrid w:val="0"/>
        <w:spacing w:line="360" w:lineRule="auto"/>
        <w:rPr>
          <w:rFonts w:ascii="宋体" w:hAnsi="宋体"/>
          <w:b/>
          <w:color w:val="auto"/>
          <w:kern w:val="0"/>
          <w:sz w:val="20"/>
          <w:szCs w:val="20"/>
          <w:highlight w:val="none"/>
        </w:rPr>
      </w:pPr>
    </w:p>
    <w:p w14:paraId="4B66E6DA">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13210649"/>
      <w:bookmarkStart w:id="2" w:name="_Toc536621766"/>
      <w:bookmarkStart w:id="3" w:name="_Toc536797277"/>
      <w:bookmarkStart w:id="4" w:name="_Toc536796736"/>
      <w:bookmarkStart w:id="5" w:name="_Toc509218549"/>
      <w:r>
        <w:rPr>
          <w:rFonts w:hint="eastAsia" w:ascii="宋体" w:hAnsi="宋体"/>
          <w:b/>
          <w:color w:val="auto"/>
          <w:spacing w:val="8"/>
          <w:kern w:val="0"/>
          <w:sz w:val="28"/>
          <w:szCs w:val="28"/>
          <w:highlight w:val="none"/>
          <w:u w:val="single"/>
        </w:rPr>
        <w:t>2025</w:t>
      </w:r>
      <w:r>
        <w:rPr>
          <w:rFonts w:ascii="宋体" w:hAnsi="宋体"/>
          <w:b/>
          <w:color w:val="auto"/>
          <w:spacing w:val="8"/>
          <w:kern w:val="0"/>
          <w:sz w:val="28"/>
          <w:szCs w:val="28"/>
          <w:highlight w:val="none"/>
        </w:rPr>
        <w:t>年</w:t>
      </w:r>
      <w:r>
        <w:rPr>
          <w:rFonts w:ascii="宋体" w:hAnsi="宋体"/>
          <w:b/>
          <w:color w:val="auto"/>
          <w:spacing w:val="8"/>
          <w:kern w:val="0"/>
          <w:sz w:val="28"/>
          <w:szCs w:val="28"/>
          <w:highlight w:val="none"/>
          <w:u w:val="single"/>
        </w:rPr>
        <w:t>9</w:t>
      </w:r>
      <w:r>
        <w:rPr>
          <w:rFonts w:ascii="宋体" w:hAnsi="宋体"/>
          <w:b/>
          <w:color w:val="auto"/>
          <w:spacing w:val="8"/>
          <w:kern w:val="0"/>
          <w:sz w:val="28"/>
          <w:szCs w:val="28"/>
          <w:highlight w:val="none"/>
        </w:rPr>
        <w:t>月</w:t>
      </w:r>
      <w:bookmarkEnd w:id="1"/>
      <w:bookmarkEnd w:id="2"/>
      <w:bookmarkEnd w:id="3"/>
      <w:bookmarkEnd w:id="4"/>
      <w:bookmarkEnd w:id="5"/>
    </w:p>
    <w:p w14:paraId="598F9D0A">
      <w:pPr>
        <w:pStyle w:val="2"/>
        <w:spacing w:line="360" w:lineRule="auto"/>
        <w:jc w:val="center"/>
        <w:rPr>
          <w:rFonts w:ascii="宋体" w:hAnsi="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14:paraId="510473F8">
      <w:pPr>
        <w:pStyle w:val="119"/>
        <w:jc w:val="center"/>
        <w:rPr>
          <w:rFonts w:ascii="宋体" w:hAnsi="宋体"/>
          <w:color w:val="auto"/>
          <w:sz w:val="44"/>
          <w:szCs w:val="44"/>
          <w:highlight w:val="none"/>
        </w:rPr>
      </w:pPr>
      <w:bookmarkStart w:id="6" w:name="_Toc5767"/>
      <w:bookmarkStart w:id="7"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4D1F83C3">
      <w:pPr>
        <w:pStyle w:val="32"/>
        <w:tabs>
          <w:tab w:val="right" w:leader="dot" w:pos="9459"/>
        </w:tabs>
        <w:rPr>
          <w:rFonts w:ascii="Calibri" w:hAnsi="Calibri"/>
          <w:caps w:val="0"/>
          <w:color w:val="auto"/>
          <w:sz w:val="21"/>
          <w:szCs w:val="2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"_Toc57905810"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一</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_Toc57905810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54F523E">
      <w:pPr>
        <w:pStyle w:val="32"/>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"_Toc57905811" </w:instrText>
      </w:r>
      <w:r>
        <w:rPr>
          <w:color w:val="auto"/>
          <w:highlight w:val="none"/>
        </w:rPr>
        <w:fldChar w:fldCharType="separate"/>
      </w:r>
      <w:r>
        <w:rPr>
          <w:rStyle w:val="54"/>
          <w:rFonts w:hint="eastAsia" w:ascii="宋体" w:hAnsi="宋体"/>
          <w:snapToGrid w:val="0"/>
          <w:color w:val="auto"/>
          <w:kern w:val="0"/>
          <w:highlight w:val="none"/>
        </w:rPr>
        <w:t>第一章</w:t>
      </w:r>
      <w:r>
        <w:rPr>
          <w:rStyle w:val="54"/>
          <w:rFonts w:ascii="宋体" w:hAnsi="宋体"/>
          <w:snapToGrid w:val="0"/>
          <w:color w:val="auto"/>
          <w:kern w:val="0"/>
          <w:highlight w:val="none"/>
        </w:rPr>
        <w:t xml:space="preserve">  </w:t>
      </w:r>
      <w:r>
        <w:rPr>
          <w:rStyle w:val="54"/>
          <w:rFonts w:hint="eastAsia" w:ascii="宋体" w:hAnsi="宋体"/>
          <w:snapToGrid w:val="0"/>
          <w:color w:val="auto"/>
          <w:kern w:val="0"/>
          <w:highlight w:val="none"/>
        </w:rPr>
        <w:t>招标公告</w:t>
      </w:r>
      <w:r>
        <w:rPr>
          <w:color w:val="auto"/>
          <w:highlight w:val="none"/>
        </w:rPr>
        <w:tab/>
      </w:r>
      <w:r>
        <w:rPr>
          <w:color w:val="auto"/>
          <w:highlight w:val="none"/>
        </w:rPr>
        <w:fldChar w:fldCharType="begin"/>
      </w:r>
      <w:r>
        <w:rPr>
          <w:color w:val="auto"/>
          <w:highlight w:val="none"/>
        </w:rPr>
        <w:instrText xml:space="preserve"> PAGEREF _Toc57905811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8500663">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"_Toc57905812"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_Toc57905812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35F10D8">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"_Toc57905813"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项目概况与比选范围</w:t>
      </w:r>
      <w:r>
        <w:rPr>
          <w:color w:val="auto"/>
          <w:highlight w:val="none"/>
        </w:rPr>
        <w:tab/>
      </w:r>
      <w:r>
        <w:rPr>
          <w:color w:val="auto"/>
          <w:highlight w:val="none"/>
        </w:rPr>
        <w:fldChar w:fldCharType="begin"/>
      </w:r>
      <w:r>
        <w:rPr>
          <w:color w:val="auto"/>
          <w:highlight w:val="none"/>
        </w:rPr>
        <w:instrText xml:space="preserve"> PAGEREF _Toc57905813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3D1EBB7">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"_Toc57905814"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竞选人资格要求</w:t>
      </w:r>
      <w:r>
        <w:rPr>
          <w:color w:val="auto"/>
          <w:highlight w:val="none"/>
        </w:rPr>
        <w:tab/>
      </w:r>
      <w:r>
        <w:rPr>
          <w:color w:val="auto"/>
          <w:highlight w:val="none"/>
        </w:rPr>
        <w:fldChar w:fldCharType="begin"/>
      </w:r>
      <w:r>
        <w:rPr>
          <w:color w:val="auto"/>
          <w:highlight w:val="none"/>
        </w:rPr>
        <w:instrText xml:space="preserve"> PAGEREF _Toc57905814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290D271">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"_Toc57905815" </w:instrText>
      </w:r>
      <w:r>
        <w:rPr>
          <w:color w:val="auto"/>
          <w:highlight w:val="none"/>
        </w:rPr>
        <w:fldChar w:fldCharType="separate"/>
      </w:r>
      <w:r>
        <w:rPr>
          <w:rStyle w:val="54"/>
          <w:rFonts w:ascii="宋体" w:hAnsi="宋体"/>
          <w:snapToGrid w:val="0"/>
          <w:color w:val="auto"/>
          <w:highlight w:val="none"/>
        </w:rPr>
        <w:t xml:space="preserve">4.  </w:t>
      </w:r>
      <w:r>
        <w:rPr>
          <w:rStyle w:val="54"/>
          <w:rFonts w:hint="eastAsia" w:ascii="宋体" w:hAnsi="宋体"/>
          <w:snapToGrid w:val="0"/>
          <w:color w:val="auto"/>
          <w:highlight w:val="none"/>
        </w:rPr>
        <w:t>竞选文件的获取</w:t>
      </w:r>
      <w:r>
        <w:rPr>
          <w:color w:val="auto"/>
          <w:highlight w:val="none"/>
        </w:rPr>
        <w:tab/>
      </w:r>
      <w:r>
        <w:rPr>
          <w:color w:val="auto"/>
          <w:highlight w:val="none"/>
        </w:rPr>
        <w:fldChar w:fldCharType="begin"/>
      </w:r>
      <w:r>
        <w:rPr>
          <w:color w:val="auto"/>
          <w:highlight w:val="none"/>
        </w:rPr>
        <w:instrText xml:space="preserve"> PAGEREF _Toc57905815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9F962D0">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"_Toc57905816" </w:instrText>
      </w:r>
      <w:r>
        <w:rPr>
          <w:color w:val="auto"/>
          <w:highlight w:val="none"/>
        </w:rPr>
        <w:fldChar w:fldCharType="separate"/>
      </w:r>
      <w:r>
        <w:rPr>
          <w:rStyle w:val="54"/>
          <w:rFonts w:ascii="宋体" w:hAnsi="宋体"/>
          <w:snapToGrid w:val="0"/>
          <w:color w:val="auto"/>
          <w:highlight w:val="none"/>
        </w:rPr>
        <w:t xml:space="preserve">5.  </w:t>
      </w:r>
      <w:r>
        <w:rPr>
          <w:rStyle w:val="54"/>
          <w:rFonts w:hint="eastAsia" w:ascii="宋体" w:hAnsi="宋体"/>
          <w:snapToGrid w:val="0"/>
          <w:color w:val="auto"/>
          <w:highlight w:val="none"/>
        </w:rPr>
        <w:t>竞选文件的递交</w:t>
      </w:r>
      <w:r>
        <w:rPr>
          <w:color w:val="auto"/>
          <w:highlight w:val="none"/>
        </w:rPr>
        <w:tab/>
      </w:r>
      <w:r>
        <w:rPr>
          <w:color w:val="auto"/>
          <w:highlight w:val="none"/>
        </w:rPr>
        <w:fldChar w:fldCharType="begin"/>
      </w:r>
      <w:r>
        <w:rPr>
          <w:color w:val="auto"/>
          <w:highlight w:val="none"/>
        </w:rPr>
        <w:instrText xml:space="preserve"> PAGEREF _Toc57905816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7C39DF8">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"_Toc57905817" </w:instrText>
      </w:r>
      <w:r>
        <w:rPr>
          <w:color w:val="auto"/>
          <w:highlight w:val="none"/>
        </w:rPr>
        <w:fldChar w:fldCharType="separate"/>
      </w:r>
      <w:r>
        <w:rPr>
          <w:rStyle w:val="54"/>
          <w:rFonts w:ascii="宋体" w:hAnsi="宋体"/>
          <w:snapToGrid w:val="0"/>
          <w:color w:val="auto"/>
          <w:highlight w:val="none"/>
        </w:rPr>
        <w:t xml:space="preserve">6.  </w:t>
      </w:r>
      <w:r>
        <w:rPr>
          <w:rStyle w:val="54"/>
          <w:rFonts w:hint="eastAsia" w:ascii="宋体" w:hAnsi="宋体"/>
          <w:snapToGrid w:val="0"/>
          <w:color w:val="auto"/>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_Toc57905817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EFE975E">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"_Toc57905818" </w:instrText>
      </w:r>
      <w:r>
        <w:rPr>
          <w:color w:val="auto"/>
          <w:highlight w:val="none"/>
        </w:rPr>
        <w:fldChar w:fldCharType="separate"/>
      </w:r>
      <w:r>
        <w:rPr>
          <w:rStyle w:val="54"/>
          <w:rFonts w:ascii="宋体" w:hAnsi="宋体"/>
          <w:snapToGrid w:val="0"/>
          <w:color w:val="auto"/>
          <w:highlight w:val="none"/>
        </w:rPr>
        <w:t xml:space="preserve">7.  </w:t>
      </w:r>
      <w:r>
        <w:rPr>
          <w:rStyle w:val="54"/>
          <w:rFonts w:hint="eastAsia" w:ascii="宋体" w:hAnsi="宋体"/>
          <w:snapToGrid w:val="0"/>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_Toc57905818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AA7A771">
      <w:pPr>
        <w:pStyle w:val="32"/>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"_Toc57905828" </w:instrText>
      </w:r>
      <w:r>
        <w:rPr>
          <w:color w:val="auto"/>
          <w:highlight w:val="none"/>
        </w:rPr>
        <w:fldChar w:fldCharType="separate"/>
      </w:r>
      <w:r>
        <w:rPr>
          <w:rStyle w:val="54"/>
          <w:rFonts w:hint="eastAsia" w:ascii="宋体" w:hAnsi="宋体"/>
          <w:snapToGrid w:val="0"/>
          <w:color w:val="auto"/>
          <w:kern w:val="0"/>
          <w:highlight w:val="none"/>
        </w:rPr>
        <w:t>第二章</w:t>
      </w:r>
      <w:r>
        <w:rPr>
          <w:rStyle w:val="54"/>
          <w:rFonts w:ascii="宋体" w:hAnsi="宋体"/>
          <w:snapToGrid w:val="0"/>
          <w:color w:val="auto"/>
          <w:kern w:val="0"/>
          <w:highlight w:val="none"/>
        </w:rPr>
        <w:t xml:space="preserve">  </w:t>
      </w:r>
      <w:r>
        <w:rPr>
          <w:rStyle w:val="54"/>
          <w:rFonts w:hint="eastAsia" w:ascii="宋体" w:hAnsi="宋体"/>
          <w:snapToGrid w:val="0"/>
          <w:color w:val="auto"/>
          <w:kern w:val="0"/>
          <w:highlight w:val="none"/>
        </w:rPr>
        <w:t>竞选人须知</w:t>
      </w:r>
      <w:r>
        <w:rPr>
          <w:color w:val="auto"/>
          <w:highlight w:val="none"/>
        </w:rPr>
        <w:tab/>
      </w:r>
      <w:r>
        <w:rPr>
          <w:color w:val="auto"/>
          <w:highlight w:val="none"/>
        </w:rPr>
        <w:fldChar w:fldCharType="begin"/>
      </w:r>
      <w:r>
        <w:rPr>
          <w:color w:val="auto"/>
          <w:highlight w:val="none"/>
        </w:rPr>
        <w:instrText xml:space="preserve"> PAGEREF _Toc57905828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A35AD2F">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"_Toc57905829" </w:instrText>
      </w:r>
      <w:r>
        <w:rPr>
          <w:color w:val="auto"/>
          <w:highlight w:val="none"/>
        </w:rPr>
        <w:fldChar w:fldCharType="separate"/>
      </w:r>
      <w:r>
        <w:rPr>
          <w:rStyle w:val="54"/>
          <w:rFonts w:hint="eastAsia" w:ascii="宋体" w:hAnsi="宋体"/>
          <w:color w:val="auto"/>
          <w:highlight w:val="none"/>
        </w:rPr>
        <w:t>竞选人须知前附表</w:t>
      </w:r>
      <w:r>
        <w:rPr>
          <w:color w:val="auto"/>
          <w:highlight w:val="none"/>
        </w:rPr>
        <w:tab/>
      </w:r>
      <w:r>
        <w:rPr>
          <w:color w:val="auto"/>
          <w:highlight w:val="none"/>
        </w:rPr>
        <w:fldChar w:fldCharType="begin"/>
      </w:r>
      <w:r>
        <w:rPr>
          <w:color w:val="auto"/>
          <w:highlight w:val="none"/>
        </w:rPr>
        <w:instrText xml:space="preserve"> PAGEREF _Toc57905829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6F0613A">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"_Toc57905830"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_Toc57905830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3B3398F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"_Toc57905831" </w:instrText>
      </w:r>
      <w:r>
        <w:rPr>
          <w:color w:val="auto"/>
          <w:highlight w:val="none"/>
        </w:rPr>
        <w:fldChar w:fldCharType="separate"/>
      </w:r>
      <w:r>
        <w:rPr>
          <w:rStyle w:val="54"/>
          <w:rFonts w:ascii="宋体" w:hAnsi="宋体"/>
          <w:i w:val="0"/>
          <w:snapToGrid w:val="0"/>
          <w:color w:val="auto"/>
          <w:highlight w:val="none"/>
        </w:rPr>
        <w:t xml:space="preserve">1.1  </w:t>
      </w:r>
      <w:r>
        <w:rPr>
          <w:rStyle w:val="54"/>
          <w:rFonts w:hint="eastAsia" w:ascii="宋体" w:hAnsi="宋体"/>
          <w:i w:val="0"/>
          <w:snapToGrid w:val="0"/>
          <w:color w:val="auto"/>
          <w:highlight w:val="none"/>
        </w:rPr>
        <w:t>项目概况</w:t>
      </w:r>
      <w:r>
        <w:rPr>
          <w:i w:val="0"/>
          <w:color w:val="auto"/>
          <w:highlight w:val="none"/>
        </w:rPr>
        <w:tab/>
      </w:r>
      <w:r>
        <w:rPr>
          <w:i w:val="0"/>
          <w:color w:val="auto"/>
          <w:highlight w:val="none"/>
        </w:rPr>
        <w:fldChar w:fldCharType="begin"/>
      </w:r>
      <w:r>
        <w:rPr>
          <w:i w:val="0"/>
          <w:color w:val="auto"/>
          <w:highlight w:val="none"/>
        </w:rPr>
        <w:instrText xml:space="preserve"> PAGEREF _Toc57905831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524E881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"_Toc57905832" </w:instrText>
      </w:r>
      <w:r>
        <w:rPr>
          <w:color w:val="auto"/>
          <w:highlight w:val="none"/>
        </w:rPr>
        <w:fldChar w:fldCharType="separate"/>
      </w:r>
      <w:r>
        <w:rPr>
          <w:rStyle w:val="54"/>
          <w:rFonts w:ascii="宋体" w:hAnsi="宋体"/>
          <w:i w:val="0"/>
          <w:snapToGrid w:val="0"/>
          <w:color w:val="auto"/>
          <w:highlight w:val="none"/>
        </w:rPr>
        <w:t xml:space="preserve">1.2  </w:t>
      </w:r>
      <w:r>
        <w:rPr>
          <w:rStyle w:val="54"/>
          <w:rFonts w:hint="eastAsia" w:ascii="宋体" w:hAnsi="宋体"/>
          <w:i w:val="0"/>
          <w:snapToGrid w:val="0"/>
          <w:color w:val="auto"/>
          <w:highlight w:val="none"/>
        </w:rPr>
        <w:t>资金来源和落实情况</w:t>
      </w:r>
      <w:r>
        <w:rPr>
          <w:i w:val="0"/>
          <w:color w:val="auto"/>
          <w:highlight w:val="none"/>
        </w:rPr>
        <w:tab/>
      </w:r>
      <w:r>
        <w:rPr>
          <w:i w:val="0"/>
          <w:color w:val="auto"/>
          <w:highlight w:val="none"/>
        </w:rPr>
        <w:fldChar w:fldCharType="begin"/>
      </w:r>
      <w:r>
        <w:rPr>
          <w:i w:val="0"/>
          <w:color w:val="auto"/>
          <w:highlight w:val="none"/>
        </w:rPr>
        <w:instrText xml:space="preserve"> PAGEREF _Toc57905832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38A8F87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"_Toc57905833" </w:instrText>
      </w:r>
      <w:r>
        <w:rPr>
          <w:color w:val="auto"/>
          <w:highlight w:val="none"/>
        </w:rPr>
        <w:fldChar w:fldCharType="separate"/>
      </w:r>
      <w:r>
        <w:rPr>
          <w:rStyle w:val="54"/>
          <w:rFonts w:ascii="宋体" w:hAnsi="宋体"/>
          <w:i w:val="0"/>
          <w:snapToGrid w:val="0"/>
          <w:color w:val="auto"/>
          <w:highlight w:val="none"/>
        </w:rPr>
        <w:t xml:space="preserve">1.3  </w:t>
      </w:r>
      <w:r>
        <w:rPr>
          <w:rStyle w:val="54"/>
          <w:rFonts w:hint="eastAsia" w:ascii="宋体" w:hAnsi="宋体"/>
          <w:i w:val="0"/>
          <w:snapToGrid w:val="0"/>
          <w:color w:val="auto"/>
          <w:highlight w:val="none"/>
        </w:rPr>
        <w:t>比选范围、计划工期和质量要求</w:t>
      </w:r>
      <w:r>
        <w:rPr>
          <w:i w:val="0"/>
          <w:color w:val="auto"/>
          <w:highlight w:val="none"/>
        </w:rPr>
        <w:tab/>
      </w:r>
      <w:r>
        <w:rPr>
          <w:i w:val="0"/>
          <w:color w:val="auto"/>
          <w:highlight w:val="none"/>
        </w:rPr>
        <w:fldChar w:fldCharType="begin"/>
      </w:r>
      <w:r>
        <w:rPr>
          <w:i w:val="0"/>
          <w:color w:val="auto"/>
          <w:highlight w:val="none"/>
        </w:rPr>
        <w:instrText xml:space="preserve"> PAGEREF _Toc57905833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7A23FD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"_Toc57905834" </w:instrText>
      </w:r>
      <w:r>
        <w:rPr>
          <w:color w:val="auto"/>
          <w:highlight w:val="none"/>
        </w:rPr>
        <w:fldChar w:fldCharType="separate"/>
      </w:r>
      <w:r>
        <w:rPr>
          <w:rStyle w:val="54"/>
          <w:rFonts w:ascii="宋体" w:hAnsi="宋体"/>
          <w:i w:val="0"/>
          <w:snapToGrid w:val="0"/>
          <w:color w:val="auto"/>
          <w:highlight w:val="none"/>
        </w:rPr>
        <w:t xml:space="preserve">1.4A  </w:t>
      </w:r>
      <w:r>
        <w:rPr>
          <w:rStyle w:val="54"/>
          <w:rFonts w:hint="eastAsia" w:ascii="宋体" w:hAnsi="宋体"/>
          <w:i w:val="0"/>
          <w:snapToGrid w:val="0"/>
          <w:color w:val="auto"/>
          <w:highlight w:val="none"/>
        </w:rPr>
        <w:t>竞选人资格要求（适用于已进行资格预审的）</w:t>
      </w:r>
      <w:r>
        <w:rPr>
          <w:i w:val="0"/>
          <w:color w:val="auto"/>
          <w:highlight w:val="none"/>
        </w:rPr>
        <w:tab/>
      </w:r>
      <w:r>
        <w:rPr>
          <w:i w:val="0"/>
          <w:color w:val="auto"/>
          <w:highlight w:val="none"/>
        </w:rPr>
        <w:fldChar w:fldCharType="begin"/>
      </w:r>
      <w:r>
        <w:rPr>
          <w:i w:val="0"/>
          <w:color w:val="auto"/>
          <w:highlight w:val="none"/>
        </w:rPr>
        <w:instrText xml:space="preserve"> PAGEREF _Toc57905834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697A51E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"_Toc57905835" </w:instrText>
      </w:r>
      <w:r>
        <w:rPr>
          <w:color w:val="auto"/>
          <w:highlight w:val="none"/>
        </w:rPr>
        <w:fldChar w:fldCharType="separate"/>
      </w:r>
      <w:r>
        <w:rPr>
          <w:rStyle w:val="54"/>
          <w:rFonts w:ascii="宋体" w:hAnsi="宋体"/>
          <w:i w:val="0"/>
          <w:snapToGrid w:val="0"/>
          <w:color w:val="auto"/>
          <w:highlight w:val="none"/>
        </w:rPr>
        <w:t xml:space="preserve">1.4B  </w:t>
      </w:r>
      <w:r>
        <w:rPr>
          <w:rStyle w:val="54"/>
          <w:rFonts w:hint="eastAsia" w:ascii="宋体" w:hAnsi="宋体"/>
          <w:i w:val="0"/>
          <w:snapToGrid w:val="0"/>
          <w:color w:val="auto"/>
          <w:highlight w:val="none"/>
        </w:rPr>
        <w:t>竞选人资格要求（适用于未进行资格预审的）</w:t>
      </w:r>
      <w:r>
        <w:rPr>
          <w:i w:val="0"/>
          <w:color w:val="auto"/>
          <w:highlight w:val="none"/>
        </w:rPr>
        <w:tab/>
      </w:r>
      <w:r>
        <w:rPr>
          <w:i w:val="0"/>
          <w:color w:val="auto"/>
          <w:highlight w:val="none"/>
        </w:rPr>
        <w:fldChar w:fldCharType="begin"/>
      </w:r>
      <w:r>
        <w:rPr>
          <w:i w:val="0"/>
          <w:color w:val="auto"/>
          <w:highlight w:val="none"/>
        </w:rPr>
        <w:instrText xml:space="preserve"> PAGEREF _Toc57905835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7E70715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"_Toc57905836" </w:instrText>
      </w:r>
      <w:r>
        <w:rPr>
          <w:color w:val="auto"/>
          <w:highlight w:val="none"/>
        </w:rPr>
        <w:fldChar w:fldCharType="separate"/>
      </w:r>
      <w:r>
        <w:rPr>
          <w:rStyle w:val="54"/>
          <w:rFonts w:ascii="宋体" w:hAnsi="宋体"/>
          <w:i w:val="0"/>
          <w:snapToGrid w:val="0"/>
          <w:color w:val="auto"/>
          <w:highlight w:val="none"/>
        </w:rPr>
        <w:t xml:space="preserve">1.5  </w:t>
      </w:r>
      <w:r>
        <w:rPr>
          <w:rStyle w:val="54"/>
          <w:rFonts w:hint="eastAsia" w:ascii="宋体" w:hAnsi="宋体"/>
          <w:i w:val="0"/>
          <w:snapToGrid w:val="0"/>
          <w:color w:val="auto"/>
          <w:highlight w:val="none"/>
        </w:rPr>
        <w:t>费用承担</w:t>
      </w:r>
      <w:r>
        <w:rPr>
          <w:i w:val="0"/>
          <w:color w:val="auto"/>
          <w:highlight w:val="none"/>
        </w:rPr>
        <w:tab/>
      </w:r>
      <w:r>
        <w:rPr>
          <w:i w:val="0"/>
          <w:color w:val="auto"/>
          <w:highlight w:val="none"/>
        </w:rPr>
        <w:fldChar w:fldCharType="begin"/>
      </w:r>
      <w:r>
        <w:rPr>
          <w:i w:val="0"/>
          <w:color w:val="auto"/>
          <w:highlight w:val="none"/>
        </w:rPr>
        <w:instrText xml:space="preserve"> PAGEREF _Toc57905836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1BC173B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"_Toc57905837" </w:instrText>
      </w:r>
      <w:r>
        <w:rPr>
          <w:color w:val="auto"/>
          <w:highlight w:val="none"/>
        </w:rPr>
        <w:fldChar w:fldCharType="separate"/>
      </w:r>
      <w:r>
        <w:rPr>
          <w:rStyle w:val="54"/>
          <w:rFonts w:ascii="宋体" w:hAnsi="宋体"/>
          <w:i w:val="0"/>
          <w:snapToGrid w:val="0"/>
          <w:color w:val="auto"/>
          <w:highlight w:val="none"/>
        </w:rPr>
        <w:t xml:space="preserve">1.6  </w:t>
      </w:r>
      <w:r>
        <w:rPr>
          <w:rStyle w:val="54"/>
          <w:rFonts w:hint="eastAsia" w:ascii="宋体" w:hAnsi="宋体"/>
          <w:i w:val="0"/>
          <w:snapToGrid w:val="0"/>
          <w:color w:val="auto"/>
          <w:highlight w:val="none"/>
        </w:rPr>
        <w:t>保密</w:t>
      </w:r>
      <w:r>
        <w:rPr>
          <w:i w:val="0"/>
          <w:color w:val="auto"/>
          <w:highlight w:val="none"/>
        </w:rPr>
        <w:tab/>
      </w:r>
      <w:r>
        <w:rPr>
          <w:i w:val="0"/>
          <w:color w:val="auto"/>
          <w:highlight w:val="none"/>
        </w:rPr>
        <w:fldChar w:fldCharType="begin"/>
      </w:r>
      <w:r>
        <w:rPr>
          <w:i w:val="0"/>
          <w:color w:val="auto"/>
          <w:highlight w:val="none"/>
        </w:rPr>
        <w:instrText xml:space="preserve"> PAGEREF _Toc57905837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2C6424E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"_Toc57905838" </w:instrText>
      </w:r>
      <w:r>
        <w:rPr>
          <w:color w:val="auto"/>
          <w:highlight w:val="none"/>
        </w:rPr>
        <w:fldChar w:fldCharType="separate"/>
      </w:r>
      <w:r>
        <w:rPr>
          <w:rStyle w:val="54"/>
          <w:rFonts w:ascii="宋体" w:hAnsi="宋体"/>
          <w:i w:val="0"/>
          <w:snapToGrid w:val="0"/>
          <w:color w:val="auto"/>
          <w:highlight w:val="none"/>
        </w:rPr>
        <w:t xml:space="preserve">1.7  </w:t>
      </w:r>
      <w:r>
        <w:rPr>
          <w:rStyle w:val="54"/>
          <w:rFonts w:hint="eastAsia" w:ascii="宋体" w:hAnsi="宋体"/>
          <w:i w:val="0"/>
          <w:snapToGrid w:val="0"/>
          <w:color w:val="auto"/>
          <w:highlight w:val="none"/>
        </w:rPr>
        <w:t>语言文字</w:t>
      </w:r>
      <w:r>
        <w:rPr>
          <w:i w:val="0"/>
          <w:color w:val="auto"/>
          <w:highlight w:val="none"/>
        </w:rPr>
        <w:tab/>
      </w:r>
      <w:r>
        <w:rPr>
          <w:i w:val="0"/>
          <w:color w:val="auto"/>
          <w:highlight w:val="none"/>
        </w:rPr>
        <w:fldChar w:fldCharType="begin"/>
      </w:r>
      <w:r>
        <w:rPr>
          <w:i w:val="0"/>
          <w:color w:val="auto"/>
          <w:highlight w:val="none"/>
        </w:rPr>
        <w:instrText xml:space="preserve"> PAGEREF _Toc57905838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3C01679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"_Toc57905839" </w:instrText>
      </w:r>
      <w:r>
        <w:rPr>
          <w:color w:val="auto"/>
          <w:highlight w:val="none"/>
        </w:rPr>
        <w:fldChar w:fldCharType="separate"/>
      </w:r>
      <w:r>
        <w:rPr>
          <w:rStyle w:val="54"/>
          <w:rFonts w:ascii="宋体" w:hAnsi="宋体"/>
          <w:i w:val="0"/>
          <w:snapToGrid w:val="0"/>
          <w:color w:val="auto"/>
          <w:highlight w:val="none"/>
        </w:rPr>
        <w:t xml:space="preserve">1.8  </w:t>
      </w:r>
      <w:r>
        <w:rPr>
          <w:rStyle w:val="54"/>
          <w:rFonts w:hint="eastAsia" w:ascii="宋体" w:hAnsi="宋体"/>
          <w:i w:val="0"/>
          <w:snapToGrid w:val="0"/>
          <w:color w:val="auto"/>
          <w:highlight w:val="none"/>
        </w:rPr>
        <w:t>计量单位</w:t>
      </w:r>
      <w:r>
        <w:rPr>
          <w:i w:val="0"/>
          <w:color w:val="auto"/>
          <w:highlight w:val="none"/>
        </w:rPr>
        <w:tab/>
      </w:r>
      <w:r>
        <w:rPr>
          <w:i w:val="0"/>
          <w:color w:val="auto"/>
          <w:highlight w:val="none"/>
        </w:rPr>
        <w:fldChar w:fldCharType="begin"/>
      </w:r>
      <w:r>
        <w:rPr>
          <w:i w:val="0"/>
          <w:color w:val="auto"/>
          <w:highlight w:val="none"/>
        </w:rPr>
        <w:instrText xml:space="preserve"> PAGEREF _Toc57905839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2AF3AD1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"_Toc57905840" </w:instrText>
      </w:r>
      <w:r>
        <w:rPr>
          <w:color w:val="auto"/>
          <w:highlight w:val="none"/>
        </w:rPr>
        <w:fldChar w:fldCharType="separate"/>
      </w:r>
      <w:r>
        <w:rPr>
          <w:rStyle w:val="54"/>
          <w:rFonts w:ascii="宋体" w:hAnsi="宋体"/>
          <w:i w:val="0"/>
          <w:snapToGrid w:val="0"/>
          <w:color w:val="auto"/>
          <w:highlight w:val="none"/>
        </w:rPr>
        <w:t xml:space="preserve">1.9  </w:t>
      </w:r>
      <w:r>
        <w:rPr>
          <w:rStyle w:val="54"/>
          <w:rFonts w:hint="eastAsia" w:ascii="宋体" w:hAnsi="宋体"/>
          <w:i w:val="0"/>
          <w:snapToGrid w:val="0"/>
          <w:color w:val="auto"/>
          <w:highlight w:val="none"/>
        </w:rPr>
        <w:t>踏勘现场</w:t>
      </w:r>
      <w:r>
        <w:rPr>
          <w:i w:val="0"/>
          <w:color w:val="auto"/>
          <w:highlight w:val="none"/>
        </w:rPr>
        <w:tab/>
      </w:r>
      <w:r>
        <w:rPr>
          <w:i w:val="0"/>
          <w:color w:val="auto"/>
          <w:highlight w:val="none"/>
        </w:rPr>
        <w:fldChar w:fldCharType="begin"/>
      </w:r>
      <w:r>
        <w:rPr>
          <w:i w:val="0"/>
          <w:color w:val="auto"/>
          <w:highlight w:val="none"/>
        </w:rPr>
        <w:instrText xml:space="preserve"> PAGEREF _Toc57905840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319729F7">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"_Toc57905841" </w:instrText>
      </w:r>
      <w:r>
        <w:rPr>
          <w:color w:val="auto"/>
          <w:highlight w:val="none"/>
        </w:rPr>
        <w:fldChar w:fldCharType="separate"/>
      </w:r>
      <w:r>
        <w:rPr>
          <w:rStyle w:val="54"/>
          <w:rFonts w:ascii="宋体" w:hAnsi="宋体"/>
          <w:i w:val="0"/>
          <w:snapToGrid w:val="0"/>
          <w:color w:val="auto"/>
          <w:highlight w:val="none"/>
        </w:rPr>
        <w:t xml:space="preserve">1.10  </w:t>
      </w:r>
      <w:r>
        <w:rPr>
          <w:rStyle w:val="54"/>
          <w:rFonts w:hint="eastAsia" w:ascii="宋体" w:hAnsi="宋体"/>
          <w:i w:val="0"/>
          <w:snapToGrid w:val="0"/>
          <w:color w:val="auto"/>
          <w:highlight w:val="none"/>
        </w:rPr>
        <w:t>投标预备会</w:t>
      </w:r>
      <w:r>
        <w:rPr>
          <w:i w:val="0"/>
          <w:color w:val="auto"/>
          <w:highlight w:val="none"/>
        </w:rPr>
        <w:tab/>
      </w:r>
      <w:r>
        <w:rPr>
          <w:i w:val="0"/>
          <w:color w:val="auto"/>
          <w:highlight w:val="none"/>
        </w:rPr>
        <w:fldChar w:fldCharType="begin"/>
      </w:r>
      <w:r>
        <w:rPr>
          <w:i w:val="0"/>
          <w:color w:val="auto"/>
          <w:highlight w:val="none"/>
        </w:rPr>
        <w:instrText xml:space="preserve"> PAGEREF _Toc57905841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5337185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"_Toc57905842" </w:instrText>
      </w:r>
      <w:r>
        <w:rPr>
          <w:color w:val="auto"/>
          <w:highlight w:val="none"/>
        </w:rPr>
        <w:fldChar w:fldCharType="separate"/>
      </w:r>
      <w:r>
        <w:rPr>
          <w:rStyle w:val="54"/>
          <w:rFonts w:ascii="宋体" w:hAnsi="宋体"/>
          <w:i w:val="0"/>
          <w:snapToGrid w:val="0"/>
          <w:color w:val="auto"/>
          <w:highlight w:val="none"/>
        </w:rPr>
        <w:t xml:space="preserve">1.11  </w:t>
      </w:r>
      <w:r>
        <w:rPr>
          <w:rStyle w:val="54"/>
          <w:rFonts w:hint="eastAsia" w:ascii="宋体" w:hAnsi="宋体"/>
          <w:i w:val="0"/>
          <w:snapToGrid w:val="0"/>
          <w:color w:val="auto"/>
          <w:highlight w:val="none"/>
        </w:rPr>
        <w:t>分包</w:t>
      </w:r>
      <w:r>
        <w:rPr>
          <w:i w:val="0"/>
          <w:color w:val="auto"/>
          <w:highlight w:val="none"/>
        </w:rPr>
        <w:tab/>
      </w:r>
      <w:r>
        <w:rPr>
          <w:i w:val="0"/>
          <w:color w:val="auto"/>
          <w:highlight w:val="none"/>
        </w:rPr>
        <w:fldChar w:fldCharType="begin"/>
      </w:r>
      <w:r>
        <w:rPr>
          <w:i w:val="0"/>
          <w:color w:val="auto"/>
          <w:highlight w:val="none"/>
        </w:rPr>
        <w:instrText xml:space="preserve"> PAGEREF _Toc57905842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2F1E085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"_Toc57905843" </w:instrText>
      </w:r>
      <w:r>
        <w:rPr>
          <w:color w:val="auto"/>
          <w:highlight w:val="none"/>
        </w:rPr>
        <w:fldChar w:fldCharType="separate"/>
      </w:r>
      <w:r>
        <w:rPr>
          <w:rStyle w:val="54"/>
          <w:rFonts w:ascii="宋体" w:hAnsi="宋体"/>
          <w:i w:val="0"/>
          <w:snapToGrid w:val="0"/>
          <w:color w:val="auto"/>
          <w:highlight w:val="none"/>
        </w:rPr>
        <w:t xml:space="preserve">1.12  </w:t>
      </w:r>
      <w:r>
        <w:rPr>
          <w:rStyle w:val="54"/>
          <w:rFonts w:hint="eastAsia" w:ascii="宋体" w:hAnsi="宋体"/>
          <w:i w:val="0"/>
          <w:snapToGrid w:val="0"/>
          <w:color w:val="auto"/>
          <w:highlight w:val="none"/>
        </w:rPr>
        <w:t>偏离</w:t>
      </w:r>
      <w:r>
        <w:rPr>
          <w:i w:val="0"/>
          <w:color w:val="auto"/>
          <w:highlight w:val="none"/>
        </w:rPr>
        <w:tab/>
      </w:r>
      <w:r>
        <w:rPr>
          <w:i w:val="0"/>
          <w:color w:val="auto"/>
          <w:highlight w:val="none"/>
        </w:rPr>
        <w:fldChar w:fldCharType="begin"/>
      </w:r>
      <w:r>
        <w:rPr>
          <w:i w:val="0"/>
          <w:color w:val="auto"/>
          <w:highlight w:val="none"/>
        </w:rPr>
        <w:instrText xml:space="preserve"> PAGEREF _Toc57905843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0A8A3294">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"_Toc57905844"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竞选文件</w:t>
      </w:r>
      <w:r>
        <w:rPr>
          <w:color w:val="auto"/>
          <w:highlight w:val="none"/>
        </w:rPr>
        <w:tab/>
      </w:r>
      <w:r>
        <w:rPr>
          <w:color w:val="auto"/>
          <w:highlight w:val="none"/>
        </w:rPr>
        <w:fldChar w:fldCharType="begin"/>
      </w:r>
      <w:r>
        <w:rPr>
          <w:color w:val="auto"/>
          <w:highlight w:val="none"/>
        </w:rPr>
        <w:instrText xml:space="preserve"> PAGEREF _Toc57905844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500A4CD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"_Toc57905845" </w:instrText>
      </w:r>
      <w:r>
        <w:rPr>
          <w:color w:val="auto"/>
          <w:highlight w:val="none"/>
        </w:rPr>
        <w:fldChar w:fldCharType="separate"/>
      </w:r>
      <w:r>
        <w:rPr>
          <w:rStyle w:val="54"/>
          <w:rFonts w:ascii="宋体" w:hAnsi="宋体"/>
          <w:i w:val="0"/>
          <w:snapToGrid w:val="0"/>
          <w:color w:val="auto"/>
          <w:highlight w:val="none"/>
        </w:rPr>
        <w:t xml:space="preserve">2.1  </w:t>
      </w:r>
      <w:r>
        <w:rPr>
          <w:rStyle w:val="54"/>
          <w:rFonts w:hint="eastAsia" w:ascii="宋体" w:hAnsi="宋体"/>
          <w:i w:val="0"/>
          <w:snapToGrid w:val="0"/>
          <w:color w:val="auto"/>
          <w:highlight w:val="none"/>
        </w:rPr>
        <w:t>竞选文件的组成</w:t>
      </w:r>
      <w:r>
        <w:rPr>
          <w:i w:val="0"/>
          <w:color w:val="auto"/>
          <w:highlight w:val="none"/>
        </w:rPr>
        <w:tab/>
      </w:r>
      <w:r>
        <w:rPr>
          <w:i w:val="0"/>
          <w:color w:val="auto"/>
          <w:highlight w:val="none"/>
        </w:rPr>
        <w:fldChar w:fldCharType="begin"/>
      </w:r>
      <w:r>
        <w:rPr>
          <w:i w:val="0"/>
          <w:color w:val="auto"/>
          <w:highlight w:val="none"/>
        </w:rPr>
        <w:instrText xml:space="preserve"> PAGEREF _Toc57905845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60AE40B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"_Toc57905846" </w:instrText>
      </w:r>
      <w:r>
        <w:rPr>
          <w:color w:val="auto"/>
          <w:highlight w:val="none"/>
        </w:rPr>
        <w:fldChar w:fldCharType="separate"/>
      </w:r>
      <w:r>
        <w:rPr>
          <w:rStyle w:val="54"/>
          <w:rFonts w:ascii="宋体" w:hAnsi="宋体"/>
          <w:i w:val="0"/>
          <w:snapToGrid w:val="0"/>
          <w:color w:val="auto"/>
          <w:highlight w:val="none"/>
        </w:rPr>
        <w:t xml:space="preserve">2.2  </w:t>
      </w:r>
      <w:r>
        <w:rPr>
          <w:rStyle w:val="54"/>
          <w:rFonts w:hint="eastAsia" w:ascii="宋体" w:hAnsi="宋体"/>
          <w:i w:val="0"/>
          <w:snapToGrid w:val="0"/>
          <w:color w:val="auto"/>
          <w:highlight w:val="none"/>
        </w:rPr>
        <w:t>竞选文件的澄清</w:t>
      </w:r>
      <w:r>
        <w:rPr>
          <w:i w:val="0"/>
          <w:color w:val="auto"/>
          <w:highlight w:val="none"/>
        </w:rPr>
        <w:tab/>
      </w:r>
      <w:r>
        <w:rPr>
          <w:i w:val="0"/>
          <w:color w:val="auto"/>
          <w:highlight w:val="none"/>
        </w:rPr>
        <w:fldChar w:fldCharType="begin"/>
      </w:r>
      <w:r>
        <w:rPr>
          <w:i w:val="0"/>
          <w:color w:val="auto"/>
          <w:highlight w:val="none"/>
        </w:rPr>
        <w:instrText xml:space="preserve"> PAGEREF _Toc57905846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4111AC6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"_Toc57905847" </w:instrText>
      </w:r>
      <w:r>
        <w:rPr>
          <w:color w:val="auto"/>
          <w:highlight w:val="none"/>
        </w:rPr>
        <w:fldChar w:fldCharType="separate"/>
      </w:r>
      <w:r>
        <w:rPr>
          <w:rStyle w:val="54"/>
          <w:rFonts w:ascii="宋体" w:hAnsi="宋体"/>
          <w:i w:val="0"/>
          <w:snapToGrid w:val="0"/>
          <w:color w:val="auto"/>
          <w:highlight w:val="none"/>
        </w:rPr>
        <w:t xml:space="preserve">2.3  </w:t>
      </w:r>
      <w:r>
        <w:rPr>
          <w:rStyle w:val="54"/>
          <w:rFonts w:hint="eastAsia" w:ascii="宋体" w:hAnsi="宋体"/>
          <w:i w:val="0"/>
          <w:snapToGrid w:val="0"/>
          <w:color w:val="auto"/>
          <w:highlight w:val="none"/>
        </w:rPr>
        <w:t>竞选文件的修改</w:t>
      </w:r>
      <w:r>
        <w:rPr>
          <w:i w:val="0"/>
          <w:color w:val="auto"/>
          <w:highlight w:val="none"/>
        </w:rPr>
        <w:tab/>
      </w:r>
      <w:r>
        <w:rPr>
          <w:i w:val="0"/>
          <w:color w:val="auto"/>
          <w:highlight w:val="none"/>
        </w:rPr>
        <w:fldChar w:fldCharType="begin"/>
      </w:r>
      <w:r>
        <w:rPr>
          <w:i w:val="0"/>
          <w:color w:val="auto"/>
          <w:highlight w:val="none"/>
        </w:rPr>
        <w:instrText xml:space="preserve"> PAGEREF _Toc57905847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64C124F4">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"_Toc57905848"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竞选文件</w:t>
      </w:r>
      <w:r>
        <w:rPr>
          <w:color w:val="auto"/>
          <w:highlight w:val="none"/>
        </w:rPr>
        <w:tab/>
      </w:r>
      <w:r>
        <w:rPr>
          <w:color w:val="auto"/>
          <w:highlight w:val="none"/>
        </w:rPr>
        <w:fldChar w:fldCharType="begin"/>
      </w:r>
      <w:r>
        <w:rPr>
          <w:color w:val="auto"/>
          <w:highlight w:val="none"/>
        </w:rPr>
        <w:instrText xml:space="preserve"> PAGEREF _Toc57905848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149BF77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"_Toc57905849" </w:instrText>
      </w:r>
      <w:r>
        <w:rPr>
          <w:color w:val="auto"/>
          <w:highlight w:val="none"/>
        </w:rPr>
        <w:fldChar w:fldCharType="separate"/>
      </w:r>
      <w:r>
        <w:rPr>
          <w:rStyle w:val="54"/>
          <w:rFonts w:ascii="宋体" w:hAnsi="宋体"/>
          <w:i w:val="0"/>
          <w:snapToGrid w:val="0"/>
          <w:color w:val="auto"/>
          <w:highlight w:val="none"/>
        </w:rPr>
        <w:t xml:space="preserve">3.1  </w:t>
      </w:r>
      <w:r>
        <w:rPr>
          <w:rStyle w:val="54"/>
          <w:rFonts w:hint="eastAsia" w:ascii="宋体" w:hAnsi="宋体"/>
          <w:i w:val="0"/>
          <w:snapToGrid w:val="0"/>
          <w:color w:val="auto"/>
          <w:highlight w:val="none"/>
        </w:rPr>
        <w:t>竞选文件的组成</w:t>
      </w:r>
      <w:r>
        <w:rPr>
          <w:i w:val="0"/>
          <w:color w:val="auto"/>
          <w:highlight w:val="none"/>
        </w:rPr>
        <w:tab/>
      </w:r>
      <w:r>
        <w:rPr>
          <w:i w:val="0"/>
          <w:color w:val="auto"/>
          <w:highlight w:val="none"/>
        </w:rPr>
        <w:fldChar w:fldCharType="begin"/>
      </w:r>
      <w:r>
        <w:rPr>
          <w:i w:val="0"/>
          <w:color w:val="auto"/>
          <w:highlight w:val="none"/>
        </w:rPr>
        <w:instrText xml:space="preserve"> PAGEREF _Toc57905849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0796D31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"_Toc57905850" </w:instrText>
      </w:r>
      <w:r>
        <w:rPr>
          <w:color w:val="auto"/>
          <w:highlight w:val="none"/>
        </w:rPr>
        <w:fldChar w:fldCharType="separate"/>
      </w:r>
      <w:r>
        <w:rPr>
          <w:rStyle w:val="54"/>
          <w:rFonts w:ascii="宋体" w:hAnsi="宋体"/>
          <w:i w:val="0"/>
          <w:snapToGrid w:val="0"/>
          <w:color w:val="auto"/>
          <w:highlight w:val="none"/>
        </w:rPr>
        <w:t xml:space="preserve">3.2  </w:t>
      </w:r>
      <w:r>
        <w:rPr>
          <w:rStyle w:val="54"/>
          <w:rFonts w:hint="eastAsia" w:ascii="宋体" w:hAnsi="宋体"/>
          <w:i w:val="0"/>
          <w:snapToGrid w:val="0"/>
          <w:color w:val="auto"/>
          <w:highlight w:val="none"/>
        </w:rPr>
        <w:t>投标报价</w:t>
      </w:r>
      <w:r>
        <w:rPr>
          <w:i w:val="0"/>
          <w:color w:val="auto"/>
          <w:highlight w:val="none"/>
        </w:rPr>
        <w:tab/>
      </w:r>
      <w:r>
        <w:rPr>
          <w:i w:val="0"/>
          <w:color w:val="auto"/>
          <w:highlight w:val="none"/>
        </w:rPr>
        <w:fldChar w:fldCharType="begin"/>
      </w:r>
      <w:r>
        <w:rPr>
          <w:i w:val="0"/>
          <w:color w:val="auto"/>
          <w:highlight w:val="none"/>
        </w:rPr>
        <w:instrText xml:space="preserve"> PAGEREF _Toc57905850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7156B2B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"_Toc57905851" </w:instrText>
      </w:r>
      <w:r>
        <w:rPr>
          <w:color w:val="auto"/>
          <w:highlight w:val="none"/>
        </w:rPr>
        <w:fldChar w:fldCharType="separate"/>
      </w:r>
      <w:r>
        <w:rPr>
          <w:rStyle w:val="54"/>
          <w:rFonts w:ascii="宋体" w:hAnsi="宋体"/>
          <w:i w:val="0"/>
          <w:snapToGrid w:val="0"/>
          <w:color w:val="auto"/>
          <w:highlight w:val="none"/>
        </w:rPr>
        <w:t xml:space="preserve">3.3  </w:t>
      </w:r>
      <w:r>
        <w:rPr>
          <w:rStyle w:val="54"/>
          <w:rFonts w:hint="eastAsia" w:ascii="宋体" w:hAnsi="宋体"/>
          <w:i w:val="0"/>
          <w:snapToGrid w:val="0"/>
          <w:color w:val="auto"/>
          <w:highlight w:val="none"/>
        </w:rPr>
        <w:t>投标有效期</w:t>
      </w:r>
      <w:r>
        <w:rPr>
          <w:i w:val="0"/>
          <w:color w:val="auto"/>
          <w:highlight w:val="none"/>
        </w:rPr>
        <w:tab/>
      </w:r>
      <w:r>
        <w:rPr>
          <w:i w:val="0"/>
          <w:color w:val="auto"/>
          <w:highlight w:val="none"/>
        </w:rPr>
        <w:fldChar w:fldCharType="begin"/>
      </w:r>
      <w:r>
        <w:rPr>
          <w:i w:val="0"/>
          <w:color w:val="auto"/>
          <w:highlight w:val="none"/>
        </w:rPr>
        <w:instrText xml:space="preserve"> PAGEREF _Toc57905851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2AF531A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"_Toc57905852" </w:instrText>
      </w:r>
      <w:r>
        <w:rPr>
          <w:color w:val="auto"/>
          <w:highlight w:val="none"/>
        </w:rPr>
        <w:fldChar w:fldCharType="separate"/>
      </w:r>
      <w:r>
        <w:rPr>
          <w:rStyle w:val="54"/>
          <w:rFonts w:ascii="宋体" w:hAnsi="宋体"/>
          <w:i w:val="0"/>
          <w:snapToGrid w:val="0"/>
          <w:color w:val="auto"/>
          <w:highlight w:val="none"/>
        </w:rPr>
        <w:t xml:space="preserve">3.4  </w:t>
      </w:r>
      <w:r>
        <w:rPr>
          <w:rStyle w:val="54"/>
          <w:rFonts w:hint="eastAsia" w:ascii="宋体" w:hAnsi="宋体"/>
          <w:i w:val="0"/>
          <w:snapToGrid w:val="0"/>
          <w:color w:val="auto"/>
          <w:highlight w:val="none"/>
        </w:rPr>
        <w:t>投标保证金</w:t>
      </w:r>
      <w:r>
        <w:rPr>
          <w:i w:val="0"/>
          <w:color w:val="auto"/>
          <w:highlight w:val="none"/>
        </w:rPr>
        <w:tab/>
      </w:r>
      <w:r>
        <w:rPr>
          <w:i w:val="0"/>
          <w:color w:val="auto"/>
          <w:highlight w:val="none"/>
        </w:rPr>
        <w:fldChar w:fldCharType="begin"/>
      </w:r>
      <w:r>
        <w:rPr>
          <w:i w:val="0"/>
          <w:color w:val="auto"/>
          <w:highlight w:val="none"/>
        </w:rPr>
        <w:instrText xml:space="preserve"> PAGEREF _Toc57905852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2C006B5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"_Toc57905853" </w:instrText>
      </w:r>
      <w:r>
        <w:rPr>
          <w:color w:val="auto"/>
          <w:highlight w:val="none"/>
        </w:rPr>
        <w:fldChar w:fldCharType="separate"/>
      </w:r>
      <w:r>
        <w:rPr>
          <w:rStyle w:val="54"/>
          <w:rFonts w:ascii="宋体" w:hAnsi="宋体"/>
          <w:i w:val="0"/>
          <w:snapToGrid w:val="0"/>
          <w:color w:val="auto"/>
          <w:highlight w:val="none"/>
        </w:rPr>
        <w:t xml:space="preserve">3.5A  </w:t>
      </w:r>
      <w:r>
        <w:rPr>
          <w:rStyle w:val="54"/>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_Toc57905853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76F7039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"_Toc57905854" </w:instrText>
      </w:r>
      <w:r>
        <w:rPr>
          <w:color w:val="auto"/>
          <w:highlight w:val="none"/>
        </w:rPr>
        <w:fldChar w:fldCharType="separate"/>
      </w:r>
      <w:r>
        <w:rPr>
          <w:rStyle w:val="54"/>
          <w:rFonts w:ascii="宋体" w:hAnsi="宋体"/>
          <w:i w:val="0"/>
          <w:snapToGrid w:val="0"/>
          <w:color w:val="auto"/>
          <w:highlight w:val="none"/>
        </w:rPr>
        <w:t xml:space="preserve">3.5B  </w:t>
      </w:r>
      <w:r>
        <w:rPr>
          <w:rStyle w:val="54"/>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_Toc57905854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54429F8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"_Toc57905855" </w:instrText>
      </w:r>
      <w:r>
        <w:rPr>
          <w:color w:val="auto"/>
          <w:highlight w:val="none"/>
        </w:rPr>
        <w:fldChar w:fldCharType="separate"/>
      </w:r>
      <w:r>
        <w:rPr>
          <w:rStyle w:val="54"/>
          <w:rFonts w:ascii="宋体" w:hAnsi="宋体"/>
          <w:i w:val="0"/>
          <w:snapToGrid w:val="0"/>
          <w:color w:val="auto"/>
          <w:highlight w:val="none"/>
        </w:rPr>
        <w:t xml:space="preserve">3.6  </w:t>
      </w:r>
      <w:r>
        <w:rPr>
          <w:rStyle w:val="54"/>
          <w:rFonts w:hint="eastAsia" w:ascii="宋体" w:hAnsi="宋体"/>
          <w:i w:val="0"/>
          <w:snapToGrid w:val="0"/>
          <w:color w:val="auto"/>
          <w:highlight w:val="none"/>
        </w:rPr>
        <w:t>备选投标方案</w:t>
      </w:r>
      <w:r>
        <w:rPr>
          <w:i w:val="0"/>
          <w:color w:val="auto"/>
          <w:highlight w:val="none"/>
        </w:rPr>
        <w:tab/>
      </w:r>
      <w:r>
        <w:rPr>
          <w:i w:val="0"/>
          <w:color w:val="auto"/>
          <w:highlight w:val="none"/>
        </w:rPr>
        <w:fldChar w:fldCharType="begin"/>
      </w:r>
      <w:r>
        <w:rPr>
          <w:i w:val="0"/>
          <w:color w:val="auto"/>
          <w:highlight w:val="none"/>
        </w:rPr>
        <w:instrText xml:space="preserve"> PAGEREF _Toc57905855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33CB174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"_Toc57905856" </w:instrText>
      </w:r>
      <w:r>
        <w:rPr>
          <w:color w:val="auto"/>
          <w:highlight w:val="none"/>
        </w:rPr>
        <w:fldChar w:fldCharType="separate"/>
      </w:r>
      <w:r>
        <w:rPr>
          <w:rStyle w:val="54"/>
          <w:rFonts w:ascii="宋体" w:hAnsi="宋体"/>
          <w:i w:val="0"/>
          <w:snapToGrid w:val="0"/>
          <w:color w:val="auto"/>
          <w:highlight w:val="none"/>
        </w:rPr>
        <w:t xml:space="preserve">3.7  </w:t>
      </w:r>
      <w:r>
        <w:rPr>
          <w:rStyle w:val="54"/>
          <w:rFonts w:hint="eastAsia" w:ascii="宋体" w:hAnsi="宋体"/>
          <w:i w:val="0"/>
          <w:snapToGrid w:val="0"/>
          <w:color w:val="auto"/>
          <w:highlight w:val="none"/>
        </w:rPr>
        <w:t>竞选文件的编制</w:t>
      </w:r>
      <w:r>
        <w:rPr>
          <w:i w:val="0"/>
          <w:color w:val="auto"/>
          <w:highlight w:val="none"/>
        </w:rPr>
        <w:tab/>
      </w:r>
      <w:r>
        <w:rPr>
          <w:i w:val="0"/>
          <w:color w:val="auto"/>
          <w:highlight w:val="none"/>
        </w:rPr>
        <w:fldChar w:fldCharType="begin"/>
      </w:r>
      <w:r>
        <w:rPr>
          <w:i w:val="0"/>
          <w:color w:val="auto"/>
          <w:highlight w:val="none"/>
        </w:rPr>
        <w:instrText xml:space="preserve"> PAGEREF _Toc57905856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52364052">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"_Toc57905857" </w:instrText>
      </w:r>
      <w:r>
        <w:rPr>
          <w:color w:val="auto"/>
          <w:highlight w:val="none"/>
        </w:rPr>
        <w:fldChar w:fldCharType="separate"/>
      </w:r>
      <w:r>
        <w:rPr>
          <w:rStyle w:val="54"/>
          <w:rFonts w:ascii="宋体" w:hAnsi="宋体"/>
          <w:snapToGrid w:val="0"/>
          <w:color w:val="auto"/>
          <w:highlight w:val="none"/>
        </w:rPr>
        <w:t xml:space="preserve">4.  </w:t>
      </w:r>
      <w:r>
        <w:rPr>
          <w:rStyle w:val="54"/>
          <w:rFonts w:hint="eastAsia" w:ascii="宋体" w:hAnsi="宋体"/>
          <w:snapToGrid w:val="0"/>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_Toc57905857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3876DE8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"_Toc57905858" </w:instrText>
      </w:r>
      <w:r>
        <w:rPr>
          <w:color w:val="auto"/>
          <w:highlight w:val="none"/>
        </w:rPr>
        <w:fldChar w:fldCharType="separate"/>
      </w:r>
      <w:r>
        <w:rPr>
          <w:rStyle w:val="54"/>
          <w:rFonts w:ascii="宋体" w:hAnsi="宋体"/>
          <w:i w:val="0"/>
          <w:snapToGrid w:val="0"/>
          <w:color w:val="auto"/>
          <w:highlight w:val="none"/>
        </w:rPr>
        <w:t xml:space="preserve">4.1  </w:t>
      </w:r>
      <w:r>
        <w:rPr>
          <w:rStyle w:val="54"/>
          <w:rFonts w:hint="eastAsia" w:ascii="宋体" w:hAnsi="宋体"/>
          <w:i w:val="0"/>
          <w:snapToGrid w:val="0"/>
          <w:color w:val="auto"/>
          <w:highlight w:val="none"/>
        </w:rPr>
        <w:t>竞选文件的密封和标记</w:t>
      </w:r>
      <w:r>
        <w:rPr>
          <w:i w:val="0"/>
          <w:color w:val="auto"/>
          <w:highlight w:val="none"/>
        </w:rPr>
        <w:tab/>
      </w:r>
      <w:r>
        <w:rPr>
          <w:i w:val="0"/>
          <w:color w:val="auto"/>
          <w:highlight w:val="none"/>
        </w:rPr>
        <w:fldChar w:fldCharType="begin"/>
      </w:r>
      <w:r>
        <w:rPr>
          <w:i w:val="0"/>
          <w:color w:val="auto"/>
          <w:highlight w:val="none"/>
        </w:rPr>
        <w:instrText xml:space="preserve"> PAGEREF _Toc57905858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0A99DBD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"_Toc57905859" </w:instrText>
      </w:r>
      <w:r>
        <w:rPr>
          <w:color w:val="auto"/>
          <w:highlight w:val="none"/>
        </w:rPr>
        <w:fldChar w:fldCharType="separate"/>
      </w:r>
      <w:r>
        <w:rPr>
          <w:rStyle w:val="54"/>
          <w:rFonts w:ascii="宋体" w:hAnsi="宋体"/>
          <w:i w:val="0"/>
          <w:snapToGrid w:val="0"/>
          <w:color w:val="auto"/>
          <w:highlight w:val="none"/>
        </w:rPr>
        <w:t xml:space="preserve">4.2  </w:t>
      </w:r>
      <w:r>
        <w:rPr>
          <w:rStyle w:val="54"/>
          <w:rFonts w:hint="eastAsia" w:ascii="宋体" w:hAnsi="宋体"/>
          <w:i w:val="0"/>
          <w:snapToGrid w:val="0"/>
          <w:color w:val="auto"/>
          <w:highlight w:val="none"/>
        </w:rPr>
        <w:t>竞选文件的递交</w:t>
      </w:r>
      <w:r>
        <w:rPr>
          <w:i w:val="0"/>
          <w:color w:val="auto"/>
          <w:highlight w:val="none"/>
        </w:rPr>
        <w:tab/>
      </w:r>
      <w:r>
        <w:rPr>
          <w:i w:val="0"/>
          <w:color w:val="auto"/>
          <w:highlight w:val="none"/>
        </w:rPr>
        <w:fldChar w:fldCharType="begin"/>
      </w:r>
      <w:r>
        <w:rPr>
          <w:i w:val="0"/>
          <w:color w:val="auto"/>
          <w:highlight w:val="none"/>
        </w:rPr>
        <w:instrText xml:space="preserve"> PAGEREF _Toc57905859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757CC74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"_Toc57905860" </w:instrText>
      </w:r>
      <w:r>
        <w:rPr>
          <w:color w:val="auto"/>
          <w:highlight w:val="none"/>
        </w:rPr>
        <w:fldChar w:fldCharType="separate"/>
      </w:r>
      <w:r>
        <w:rPr>
          <w:rStyle w:val="54"/>
          <w:rFonts w:ascii="宋体" w:hAnsi="宋体"/>
          <w:i w:val="0"/>
          <w:snapToGrid w:val="0"/>
          <w:color w:val="auto"/>
          <w:highlight w:val="none"/>
        </w:rPr>
        <w:t xml:space="preserve">4.3  </w:t>
      </w:r>
      <w:r>
        <w:rPr>
          <w:rStyle w:val="54"/>
          <w:rFonts w:hint="eastAsia" w:ascii="宋体" w:hAnsi="宋体"/>
          <w:i w:val="0"/>
          <w:snapToGrid w:val="0"/>
          <w:color w:val="auto"/>
          <w:highlight w:val="none"/>
        </w:rPr>
        <w:t>竞选文件的修改与撤回</w:t>
      </w:r>
      <w:r>
        <w:rPr>
          <w:i w:val="0"/>
          <w:color w:val="auto"/>
          <w:highlight w:val="none"/>
        </w:rPr>
        <w:tab/>
      </w:r>
      <w:r>
        <w:rPr>
          <w:i w:val="0"/>
          <w:color w:val="auto"/>
          <w:highlight w:val="none"/>
        </w:rPr>
        <w:fldChar w:fldCharType="begin"/>
      </w:r>
      <w:r>
        <w:rPr>
          <w:i w:val="0"/>
          <w:color w:val="auto"/>
          <w:highlight w:val="none"/>
        </w:rPr>
        <w:instrText xml:space="preserve"> PAGEREF _Toc57905860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070A216F">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"_Toc57905861" </w:instrText>
      </w:r>
      <w:r>
        <w:rPr>
          <w:color w:val="auto"/>
          <w:highlight w:val="none"/>
        </w:rPr>
        <w:fldChar w:fldCharType="separate"/>
      </w:r>
      <w:r>
        <w:rPr>
          <w:rStyle w:val="54"/>
          <w:rFonts w:ascii="宋体" w:hAnsi="宋体"/>
          <w:snapToGrid w:val="0"/>
          <w:color w:val="auto"/>
          <w:highlight w:val="none"/>
        </w:rPr>
        <w:t xml:space="preserve">5.  </w:t>
      </w:r>
      <w:r>
        <w:rPr>
          <w:rStyle w:val="54"/>
          <w:rFonts w:hint="eastAsia" w:ascii="宋体" w:hAnsi="宋体"/>
          <w:snapToGrid w:val="0"/>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_Toc57905861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649409A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"_Toc57905862" </w:instrText>
      </w:r>
      <w:r>
        <w:rPr>
          <w:color w:val="auto"/>
          <w:highlight w:val="none"/>
        </w:rPr>
        <w:fldChar w:fldCharType="separate"/>
      </w:r>
      <w:r>
        <w:rPr>
          <w:rStyle w:val="54"/>
          <w:rFonts w:ascii="宋体" w:hAnsi="宋体"/>
          <w:i w:val="0"/>
          <w:snapToGrid w:val="0"/>
          <w:color w:val="auto"/>
          <w:highlight w:val="none"/>
        </w:rPr>
        <w:t xml:space="preserve">5.1  </w:t>
      </w:r>
      <w:r>
        <w:rPr>
          <w:rStyle w:val="54"/>
          <w:rFonts w:hint="eastAsia" w:ascii="宋体" w:hAnsi="宋体"/>
          <w:i w:val="0"/>
          <w:snapToGrid w:val="0"/>
          <w:color w:val="auto"/>
          <w:highlight w:val="none"/>
        </w:rPr>
        <w:t>开标时间和地点</w:t>
      </w:r>
      <w:r>
        <w:rPr>
          <w:i w:val="0"/>
          <w:color w:val="auto"/>
          <w:highlight w:val="none"/>
        </w:rPr>
        <w:tab/>
      </w:r>
      <w:r>
        <w:rPr>
          <w:i w:val="0"/>
          <w:color w:val="auto"/>
          <w:highlight w:val="none"/>
        </w:rPr>
        <w:fldChar w:fldCharType="begin"/>
      </w:r>
      <w:r>
        <w:rPr>
          <w:i w:val="0"/>
          <w:color w:val="auto"/>
          <w:highlight w:val="none"/>
        </w:rPr>
        <w:instrText xml:space="preserve"> PAGEREF _Toc57905862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5072ADF7">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"_Toc57905863" </w:instrText>
      </w:r>
      <w:r>
        <w:rPr>
          <w:color w:val="auto"/>
          <w:highlight w:val="none"/>
        </w:rPr>
        <w:fldChar w:fldCharType="separate"/>
      </w:r>
      <w:r>
        <w:rPr>
          <w:rStyle w:val="54"/>
          <w:rFonts w:ascii="宋体" w:hAnsi="宋体"/>
          <w:i w:val="0"/>
          <w:snapToGrid w:val="0"/>
          <w:color w:val="auto"/>
          <w:highlight w:val="none"/>
        </w:rPr>
        <w:t xml:space="preserve">5.2  </w:t>
      </w:r>
      <w:r>
        <w:rPr>
          <w:rStyle w:val="54"/>
          <w:rFonts w:hint="eastAsia" w:ascii="宋体" w:hAnsi="宋体"/>
          <w:i w:val="0"/>
          <w:snapToGrid w:val="0"/>
          <w:color w:val="auto"/>
          <w:highlight w:val="none"/>
        </w:rPr>
        <w:t>开标程序</w:t>
      </w:r>
      <w:r>
        <w:rPr>
          <w:i w:val="0"/>
          <w:color w:val="auto"/>
          <w:highlight w:val="none"/>
        </w:rPr>
        <w:tab/>
      </w:r>
      <w:r>
        <w:rPr>
          <w:i w:val="0"/>
          <w:color w:val="auto"/>
          <w:highlight w:val="none"/>
        </w:rPr>
        <w:fldChar w:fldCharType="begin"/>
      </w:r>
      <w:r>
        <w:rPr>
          <w:i w:val="0"/>
          <w:color w:val="auto"/>
          <w:highlight w:val="none"/>
        </w:rPr>
        <w:instrText xml:space="preserve"> PAGEREF _Toc57905863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072CF7A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"_Toc57905864" </w:instrText>
      </w:r>
      <w:r>
        <w:rPr>
          <w:color w:val="auto"/>
          <w:highlight w:val="none"/>
        </w:rPr>
        <w:fldChar w:fldCharType="separate"/>
      </w:r>
      <w:r>
        <w:rPr>
          <w:rStyle w:val="54"/>
          <w:rFonts w:ascii="宋体" w:hAnsi="宋体"/>
          <w:i w:val="0"/>
          <w:snapToGrid w:val="0"/>
          <w:color w:val="auto"/>
          <w:highlight w:val="none"/>
        </w:rPr>
        <w:t xml:space="preserve">5.3  </w:t>
      </w:r>
      <w:r>
        <w:rPr>
          <w:rStyle w:val="54"/>
          <w:rFonts w:hint="eastAsia" w:ascii="宋体" w:hAnsi="宋体"/>
          <w:i w:val="0"/>
          <w:snapToGrid w:val="0"/>
          <w:color w:val="auto"/>
          <w:highlight w:val="none"/>
        </w:rPr>
        <w:t>开标异议</w:t>
      </w:r>
      <w:r>
        <w:rPr>
          <w:i w:val="0"/>
          <w:color w:val="auto"/>
          <w:highlight w:val="none"/>
        </w:rPr>
        <w:tab/>
      </w:r>
      <w:r>
        <w:rPr>
          <w:i w:val="0"/>
          <w:color w:val="auto"/>
          <w:highlight w:val="none"/>
        </w:rPr>
        <w:fldChar w:fldCharType="begin"/>
      </w:r>
      <w:r>
        <w:rPr>
          <w:i w:val="0"/>
          <w:color w:val="auto"/>
          <w:highlight w:val="none"/>
        </w:rPr>
        <w:instrText xml:space="preserve"> PAGEREF _Toc57905864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40DDD538">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"_Toc57905865" </w:instrText>
      </w:r>
      <w:r>
        <w:rPr>
          <w:color w:val="auto"/>
          <w:highlight w:val="none"/>
        </w:rPr>
        <w:fldChar w:fldCharType="separate"/>
      </w:r>
      <w:r>
        <w:rPr>
          <w:rStyle w:val="54"/>
          <w:rFonts w:ascii="宋体" w:hAnsi="宋体"/>
          <w:snapToGrid w:val="0"/>
          <w:color w:val="auto"/>
          <w:highlight w:val="none"/>
        </w:rPr>
        <w:t xml:space="preserve">6.  </w:t>
      </w:r>
      <w:r>
        <w:rPr>
          <w:rStyle w:val="54"/>
          <w:rFonts w:hint="eastAsia" w:ascii="宋体" w:hAnsi="宋体"/>
          <w:snapToGrid w:val="0"/>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_Toc57905865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B17932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"_Toc57905866" </w:instrText>
      </w:r>
      <w:r>
        <w:rPr>
          <w:color w:val="auto"/>
          <w:highlight w:val="none"/>
        </w:rPr>
        <w:fldChar w:fldCharType="separate"/>
      </w:r>
      <w:r>
        <w:rPr>
          <w:rStyle w:val="54"/>
          <w:rFonts w:ascii="宋体" w:hAnsi="宋体"/>
          <w:i w:val="0"/>
          <w:snapToGrid w:val="0"/>
          <w:color w:val="auto"/>
          <w:highlight w:val="none"/>
        </w:rPr>
        <w:t xml:space="preserve">6.1  </w:t>
      </w:r>
      <w:r>
        <w:rPr>
          <w:rStyle w:val="54"/>
          <w:rFonts w:hint="eastAsia" w:ascii="宋体" w:hAnsi="宋体"/>
          <w:i w:val="0"/>
          <w:snapToGrid w:val="0"/>
          <w:color w:val="auto"/>
          <w:highlight w:val="none"/>
        </w:rPr>
        <w:t>评标委员会</w:t>
      </w:r>
      <w:r>
        <w:rPr>
          <w:i w:val="0"/>
          <w:color w:val="auto"/>
          <w:highlight w:val="none"/>
        </w:rPr>
        <w:tab/>
      </w:r>
      <w:r>
        <w:rPr>
          <w:i w:val="0"/>
          <w:color w:val="auto"/>
          <w:highlight w:val="none"/>
        </w:rPr>
        <w:fldChar w:fldCharType="begin"/>
      </w:r>
      <w:r>
        <w:rPr>
          <w:i w:val="0"/>
          <w:color w:val="auto"/>
          <w:highlight w:val="none"/>
        </w:rPr>
        <w:instrText xml:space="preserve"> PAGEREF _Toc57905866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063BD76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"_Toc57905867" </w:instrText>
      </w:r>
      <w:r>
        <w:rPr>
          <w:color w:val="auto"/>
          <w:highlight w:val="none"/>
        </w:rPr>
        <w:fldChar w:fldCharType="separate"/>
      </w:r>
      <w:r>
        <w:rPr>
          <w:rStyle w:val="54"/>
          <w:rFonts w:ascii="宋体" w:hAnsi="宋体"/>
          <w:i w:val="0"/>
          <w:snapToGrid w:val="0"/>
          <w:color w:val="auto"/>
          <w:highlight w:val="none"/>
        </w:rPr>
        <w:t xml:space="preserve">6.2  </w:t>
      </w:r>
      <w:r>
        <w:rPr>
          <w:rStyle w:val="54"/>
          <w:rFonts w:hint="eastAsia" w:ascii="宋体" w:hAnsi="宋体"/>
          <w:i w:val="0"/>
          <w:snapToGrid w:val="0"/>
          <w:color w:val="auto"/>
          <w:highlight w:val="none"/>
        </w:rPr>
        <w:t>评标原则</w:t>
      </w:r>
      <w:r>
        <w:rPr>
          <w:i w:val="0"/>
          <w:color w:val="auto"/>
          <w:highlight w:val="none"/>
        </w:rPr>
        <w:tab/>
      </w:r>
      <w:r>
        <w:rPr>
          <w:i w:val="0"/>
          <w:color w:val="auto"/>
          <w:highlight w:val="none"/>
        </w:rPr>
        <w:fldChar w:fldCharType="begin"/>
      </w:r>
      <w:r>
        <w:rPr>
          <w:i w:val="0"/>
          <w:color w:val="auto"/>
          <w:highlight w:val="none"/>
        </w:rPr>
        <w:instrText xml:space="preserve"> PAGEREF _Toc57905867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32D0F25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"_Toc57905868" </w:instrText>
      </w:r>
      <w:r>
        <w:rPr>
          <w:color w:val="auto"/>
          <w:highlight w:val="none"/>
        </w:rPr>
        <w:fldChar w:fldCharType="separate"/>
      </w:r>
      <w:r>
        <w:rPr>
          <w:rStyle w:val="54"/>
          <w:rFonts w:ascii="宋体" w:hAnsi="宋体"/>
          <w:i w:val="0"/>
          <w:snapToGrid w:val="0"/>
          <w:color w:val="auto"/>
          <w:highlight w:val="none"/>
        </w:rPr>
        <w:t xml:space="preserve">6.3  </w:t>
      </w:r>
      <w:r>
        <w:rPr>
          <w:rStyle w:val="54"/>
          <w:rFonts w:hint="eastAsia" w:ascii="宋体" w:hAnsi="宋体"/>
          <w:i w:val="0"/>
          <w:snapToGrid w:val="0"/>
          <w:color w:val="auto"/>
          <w:highlight w:val="none"/>
        </w:rPr>
        <w:t>评标</w:t>
      </w:r>
      <w:r>
        <w:rPr>
          <w:i w:val="0"/>
          <w:color w:val="auto"/>
          <w:highlight w:val="none"/>
        </w:rPr>
        <w:tab/>
      </w:r>
      <w:r>
        <w:rPr>
          <w:i w:val="0"/>
          <w:color w:val="auto"/>
          <w:highlight w:val="none"/>
        </w:rPr>
        <w:fldChar w:fldCharType="begin"/>
      </w:r>
      <w:r>
        <w:rPr>
          <w:i w:val="0"/>
          <w:color w:val="auto"/>
          <w:highlight w:val="none"/>
        </w:rPr>
        <w:instrText xml:space="preserve"> PAGEREF _Toc57905868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29DA5C6F">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"_Toc57905869" </w:instrText>
      </w:r>
      <w:r>
        <w:rPr>
          <w:color w:val="auto"/>
          <w:highlight w:val="none"/>
        </w:rPr>
        <w:fldChar w:fldCharType="separate"/>
      </w:r>
      <w:r>
        <w:rPr>
          <w:rStyle w:val="54"/>
          <w:rFonts w:ascii="宋体" w:hAnsi="宋体"/>
          <w:snapToGrid w:val="0"/>
          <w:color w:val="auto"/>
          <w:highlight w:val="none"/>
        </w:rPr>
        <w:t xml:space="preserve">7.  </w:t>
      </w:r>
      <w:r>
        <w:rPr>
          <w:rStyle w:val="54"/>
          <w:rFonts w:hint="eastAsia" w:ascii="宋体" w:hAnsi="宋体"/>
          <w:snapToGrid w:val="0"/>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_Toc57905869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CEA936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"_Toc57905870" </w:instrText>
      </w:r>
      <w:r>
        <w:rPr>
          <w:color w:val="auto"/>
          <w:highlight w:val="none"/>
        </w:rPr>
        <w:fldChar w:fldCharType="separate"/>
      </w:r>
      <w:r>
        <w:rPr>
          <w:rStyle w:val="54"/>
          <w:rFonts w:ascii="宋体" w:hAnsi="宋体"/>
          <w:i w:val="0"/>
          <w:snapToGrid w:val="0"/>
          <w:color w:val="auto"/>
          <w:highlight w:val="none"/>
        </w:rPr>
        <w:t xml:space="preserve">7.1  </w:t>
      </w:r>
      <w:r>
        <w:rPr>
          <w:rStyle w:val="54"/>
          <w:rFonts w:hint="eastAsia" w:ascii="宋体" w:hAnsi="宋体"/>
          <w:i w:val="0"/>
          <w:snapToGrid w:val="0"/>
          <w:color w:val="auto"/>
          <w:highlight w:val="none"/>
        </w:rPr>
        <w:t>定标方式</w:t>
      </w:r>
      <w:r>
        <w:rPr>
          <w:i w:val="0"/>
          <w:color w:val="auto"/>
          <w:highlight w:val="none"/>
        </w:rPr>
        <w:tab/>
      </w:r>
      <w:r>
        <w:rPr>
          <w:i w:val="0"/>
          <w:color w:val="auto"/>
          <w:highlight w:val="none"/>
        </w:rPr>
        <w:fldChar w:fldCharType="begin"/>
      </w:r>
      <w:r>
        <w:rPr>
          <w:i w:val="0"/>
          <w:color w:val="auto"/>
          <w:highlight w:val="none"/>
        </w:rPr>
        <w:instrText xml:space="preserve"> PAGEREF _Toc57905870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045D13D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"_Toc57905871" </w:instrText>
      </w:r>
      <w:r>
        <w:rPr>
          <w:color w:val="auto"/>
          <w:highlight w:val="none"/>
        </w:rPr>
        <w:fldChar w:fldCharType="separate"/>
      </w:r>
      <w:r>
        <w:rPr>
          <w:rStyle w:val="54"/>
          <w:rFonts w:ascii="宋体" w:hAnsi="宋体"/>
          <w:i w:val="0"/>
          <w:snapToGrid w:val="0"/>
          <w:color w:val="auto"/>
          <w:highlight w:val="none"/>
        </w:rPr>
        <w:t xml:space="preserve">7.2  </w:t>
      </w:r>
      <w:r>
        <w:rPr>
          <w:rStyle w:val="54"/>
          <w:rFonts w:hint="eastAsia" w:ascii="宋体" w:hAnsi="宋体"/>
          <w:i w:val="0"/>
          <w:snapToGrid w:val="0"/>
          <w:color w:val="auto"/>
          <w:highlight w:val="none"/>
        </w:rPr>
        <w:t>中标公示及中标通知</w:t>
      </w:r>
      <w:r>
        <w:rPr>
          <w:i w:val="0"/>
          <w:color w:val="auto"/>
          <w:highlight w:val="none"/>
        </w:rPr>
        <w:tab/>
      </w:r>
      <w:r>
        <w:rPr>
          <w:i w:val="0"/>
          <w:color w:val="auto"/>
          <w:highlight w:val="none"/>
        </w:rPr>
        <w:fldChar w:fldCharType="begin"/>
      </w:r>
      <w:r>
        <w:rPr>
          <w:i w:val="0"/>
          <w:color w:val="auto"/>
          <w:highlight w:val="none"/>
        </w:rPr>
        <w:instrText xml:space="preserve"> PAGEREF _Toc57905871 \h </w:instrText>
      </w:r>
      <w:r>
        <w:rPr>
          <w:i w:val="0"/>
          <w:color w:val="auto"/>
          <w:highlight w:val="none"/>
        </w:rPr>
        <w:fldChar w:fldCharType="separate"/>
      </w:r>
      <w:r>
        <w:rPr>
          <w:i w:val="0"/>
          <w:color w:val="auto"/>
          <w:highlight w:val="none"/>
        </w:rPr>
        <w:t>27</w:t>
      </w:r>
      <w:r>
        <w:rPr>
          <w:i w:val="0"/>
          <w:color w:val="auto"/>
          <w:highlight w:val="none"/>
        </w:rPr>
        <w:fldChar w:fldCharType="end"/>
      </w:r>
      <w:r>
        <w:rPr>
          <w:i w:val="0"/>
          <w:color w:val="auto"/>
          <w:highlight w:val="none"/>
        </w:rPr>
        <w:fldChar w:fldCharType="end"/>
      </w:r>
    </w:p>
    <w:p w14:paraId="45BE760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"_Toc57905872" </w:instrText>
      </w:r>
      <w:r>
        <w:rPr>
          <w:color w:val="auto"/>
          <w:highlight w:val="none"/>
        </w:rPr>
        <w:fldChar w:fldCharType="separate"/>
      </w:r>
      <w:r>
        <w:rPr>
          <w:rStyle w:val="54"/>
          <w:rFonts w:ascii="宋体" w:hAnsi="宋体"/>
          <w:i w:val="0"/>
          <w:snapToGrid w:val="0"/>
          <w:color w:val="auto"/>
          <w:highlight w:val="none"/>
        </w:rPr>
        <w:t xml:space="preserve">7.3  </w:t>
      </w:r>
      <w:r>
        <w:rPr>
          <w:rStyle w:val="54"/>
          <w:rFonts w:hint="eastAsia" w:ascii="宋体" w:hAnsi="宋体"/>
          <w:i w:val="0"/>
          <w:snapToGrid w:val="0"/>
          <w:color w:val="auto"/>
          <w:highlight w:val="none"/>
        </w:rPr>
        <w:t>履约担保</w:t>
      </w:r>
      <w:r>
        <w:rPr>
          <w:i w:val="0"/>
          <w:color w:val="auto"/>
          <w:highlight w:val="none"/>
        </w:rPr>
        <w:tab/>
      </w:r>
      <w:r>
        <w:rPr>
          <w:i w:val="0"/>
          <w:color w:val="auto"/>
          <w:highlight w:val="none"/>
        </w:rPr>
        <w:fldChar w:fldCharType="begin"/>
      </w:r>
      <w:r>
        <w:rPr>
          <w:i w:val="0"/>
          <w:color w:val="auto"/>
          <w:highlight w:val="none"/>
        </w:rPr>
        <w:instrText xml:space="preserve"> PAGEREF _Toc57905872 \h </w:instrText>
      </w:r>
      <w:r>
        <w:rPr>
          <w:i w:val="0"/>
          <w:color w:val="auto"/>
          <w:highlight w:val="none"/>
        </w:rPr>
        <w:fldChar w:fldCharType="separate"/>
      </w:r>
      <w:r>
        <w:rPr>
          <w:i w:val="0"/>
          <w:color w:val="auto"/>
          <w:highlight w:val="none"/>
        </w:rPr>
        <w:t>27</w:t>
      </w:r>
      <w:r>
        <w:rPr>
          <w:i w:val="0"/>
          <w:color w:val="auto"/>
          <w:highlight w:val="none"/>
        </w:rPr>
        <w:fldChar w:fldCharType="end"/>
      </w:r>
      <w:r>
        <w:rPr>
          <w:i w:val="0"/>
          <w:color w:val="auto"/>
          <w:highlight w:val="none"/>
        </w:rPr>
        <w:fldChar w:fldCharType="end"/>
      </w:r>
    </w:p>
    <w:p w14:paraId="1439274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"_Toc57905873" </w:instrText>
      </w:r>
      <w:r>
        <w:rPr>
          <w:color w:val="auto"/>
          <w:highlight w:val="none"/>
        </w:rPr>
        <w:fldChar w:fldCharType="separate"/>
      </w:r>
      <w:r>
        <w:rPr>
          <w:rStyle w:val="54"/>
          <w:rFonts w:ascii="宋体" w:hAnsi="宋体"/>
          <w:i w:val="0"/>
          <w:snapToGrid w:val="0"/>
          <w:color w:val="auto"/>
          <w:highlight w:val="none"/>
        </w:rPr>
        <w:t xml:space="preserve">7.4  </w:t>
      </w:r>
      <w:r>
        <w:rPr>
          <w:rStyle w:val="54"/>
          <w:rFonts w:hint="eastAsia" w:ascii="宋体" w:hAnsi="宋体"/>
          <w:i w:val="0"/>
          <w:snapToGrid w:val="0"/>
          <w:color w:val="auto"/>
          <w:highlight w:val="none"/>
        </w:rPr>
        <w:t>签订合同</w:t>
      </w:r>
      <w:r>
        <w:rPr>
          <w:i w:val="0"/>
          <w:color w:val="auto"/>
          <w:highlight w:val="none"/>
        </w:rPr>
        <w:tab/>
      </w:r>
      <w:r>
        <w:rPr>
          <w:i w:val="0"/>
          <w:color w:val="auto"/>
          <w:highlight w:val="none"/>
        </w:rPr>
        <w:fldChar w:fldCharType="begin"/>
      </w:r>
      <w:r>
        <w:rPr>
          <w:i w:val="0"/>
          <w:color w:val="auto"/>
          <w:highlight w:val="none"/>
        </w:rPr>
        <w:instrText xml:space="preserve"> PAGEREF _Toc57905873 \h </w:instrText>
      </w:r>
      <w:r>
        <w:rPr>
          <w:i w:val="0"/>
          <w:color w:val="auto"/>
          <w:highlight w:val="none"/>
        </w:rPr>
        <w:fldChar w:fldCharType="separate"/>
      </w:r>
      <w:r>
        <w:rPr>
          <w:i w:val="0"/>
          <w:color w:val="auto"/>
          <w:highlight w:val="none"/>
        </w:rPr>
        <w:t>27</w:t>
      </w:r>
      <w:r>
        <w:rPr>
          <w:i w:val="0"/>
          <w:color w:val="auto"/>
          <w:highlight w:val="none"/>
        </w:rPr>
        <w:fldChar w:fldCharType="end"/>
      </w:r>
      <w:r>
        <w:rPr>
          <w:i w:val="0"/>
          <w:color w:val="auto"/>
          <w:highlight w:val="none"/>
        </w:rPr>
        <w:fldChar w:fldCharType="end"/>
      </w:r>
    </w:p>
    <w:p w14:paraId="59643FE8">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"_Toc57905874" </w:instrText>
      </w:r>
      <w:r>
        <w:rPr>
          <w:color w:val="auto"/>
          <w:highlight w:val="none"/>
        </w:rPr>
        <w:fldChar w:fldCharType="separate"/>
      </w:r>
      <w:r>
        <w:rPr>
          <w:rStyle w:val="54"/>
          <w:rFonts w:ascii="宋体" w:hAnsi="宋体"/>
          <w:snapToGrid w:val="0"/>
          <w:color w:val="auto"/>
          <w:highlight w:val="none"/>
        </w:rPr>
        <w:t xml:space="preserve">8.  </w:t>
      </w:r>
      <w:r>
        <w:rPr>
          <w:rStyle w:val="54"/>
          <w:rFonts w:hint="eastAsia" w:ascii="宋体" w:hAnsi="宋体"/>
          <w:snapToGrid w:val="0"/>
          <w:color w:val="auto"/>
          <w:highlight w:val="none"/>
        </w:rPr>
        <w:t>重新招标和不再招标</w:t>
      </w:r>
      <w:r>
        <w:rPr>
          <w:color w:val="auto"/>
          <w:highlight w:val="none"/>
        </w:rPr>
        <w:tab/>
      </w:r>
      <w:r>
        <w:rPr>
          <w:color w:val="auto"/>
          <w:highlight w:val="none"/>
        </w:rPr>
        <w:fldChar w:fldCharType="begin"/>
      </w:r>
      <w:r>
        <w:rPr>
          <w:color w:val="auto"/>
          <w:highlight w:val="none"/>
        </w:rPr>
        <w:instrText xml:space="preserve"> PAGEREF _Toc57905874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E4A4117">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"_Toc57905875" </w:instrText>
      </w:r>
      <w:r>
        <w:rPr>
          <w:color w:val="auto"/>
          <w:highlight w:val="none"/>
        </w:rPr>
        <w:fldChar w:fldCharType="separate"/>
      </w:r>
      <w:r>
        <w:rPr>
          <w:rStyle w:val="54"/>
          <w:rFonts w:ascii="宋体" w:hAnsi="宋体"/>
          <w:i w:val="0"/>
          <w:snapToGrid w:val="0"/>
          <w:color w:val="auto"/>
          <w:highlight w:val="none"/>
        </w:rPr>
        <w:t xml:space="preserve">8.1  </w:t>
      </w:r>
      <w:r>
        <w:rPr>
          <w:rStyle w:val="54"/>
          <w:rFonts w:hint="eastAsia" w:ascii="宋体" w:hAnsi="宋体"/>
          <w:i w:val="0"/>
          <w:snapToGrid w:val="0"/>
          <w:color w:val="auto"/>
          <w:highlight w:val="none"/>
        </w:rPr>
        <w:t>重新招标</w:t>
      </w:r>
      <w:r>
        <w:rPr>
          <w:i w:val="0"/>
          <w:color w:val="auto"/>
          <w:highlight w:val="none"/>
        </w:rPr>
        <w:tab/>
      </w:r>
      <w:r>
        <w:rPr>
          <w:i w:val="0"/>
          <w:color w:val="auto"/>
          <w:highlight w:val="none"/>
        </w:rPr>
        <w:fldChar w:fldCharType="begin"/>
      </w:r>
      <w:r>
        <w:rPr>
          <w:i w:val="0"/>
          <w:color w:val="auto"/>
          <w:highlight w:val="none"/>
        </w:rPr>
        <w:instrText xml:space="preserve"> PAGEREF _Toc57905875 \h </w:instrText>
      </w:r>
      <w:r>
        <w:rPr>
          <w:i w:val="0"/>
          <w:color w:val="auto"/>
          <w:highlight w:val="none"/>
        </w:rPr>
        <w:fldChar w:fldCharType="separate"/>
      </w:r>
      <w:r>
        <w:rPr>
          <w:i w:val="0"/>
          <w:color w:val="auto"/>
          <w:highlight w:val="none"/>
        </w:rPr>
        <w:t>27</w:t>
      </w:r>
      <w:r>
        <w:rPr>
          <w:i w:val="0"/>
          <w:color w:val="auto"/>
          <w:highlight w:val="none"/>
        </w:rPr>
        <w:fldChar w:fldCharType="end"/>
      </w:r>
      <w:r>
        <w:rPr>
          <w:i w:val="0"/>
          <w:color w:val="auto"/>
          <w:highlight w:val="none"/>
        </w:rPr>
        <w:fldChar w:fldCharType="end"/>
      </w:r>
    </w:p>
    <w:p w14:paraId="59EDDA3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"_Toc57905876" </w:instrText>
      </w:r>
      <w:r>
        <w:rPr>
          <w:color w:val="auto"/>
          <w:highlight w:val="none"/>
        </w:rPr>
        <w:fldChar w:fldCharType="separate"/>
      </w:r>
      <w:r>
        <w:rPr>
          <w:rStyle w:val="54"/>
          <w:rFonts w:ascii="宋体" w:hAnsi="宋体"/>
          <w:i w:val="0"/>
          <w:snapToGrid w:val="0"/>
          <w:color w:val="auto"/>
          <w:highlight w:val="none"/>
        </w:rPr>
        <w:t xml:space="preserve">8.2  </w:t>
      </w:r>
      <w:r>
        <w:rPr>
          <w:rStyle w:val="54"/>
          <w:rFonts w:hint="eastAsia" w:ascii="宋体" w:hAnsi="宋体"/>
          <w:i w:val="0"/>
          <w:snapToGrid w:val="0"/>
          <w:color w:val="auto"/>
          <w:highlight w:val="none"/>
        </w:rPr>
        <w:t>二次招标和不再招标</w:t>
      </w:r>
      <w:r>
        <w:rPr>
          <w:i w:val="0"/>
          <w:color w:val="auto"/>
          <w:highlight w:val="none"/>
        </w:rPr>
        <w:tab/>
      </w:r>
      <w:r>
        <w:rPr>
          <w:i w:val="0"/>
          <w:color w:val="auto"/>
          <w:highlight w:val="none"/>
        </w:rPr>
        <w:fldChar w:fldCharType="begin"/>
      </w:r>
      <w:r>
        <w:rPr>
          <w:i w:val="0"/>
          <w:color w:val="auto"/>
          <w:highlight w:val="none"/>
        </w:rPr>
        <w:instrText xml:space="preserve"> PAGEREF _Toc57905876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14:paraId="3483E188">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"_Toc57905877" </w:instrText>
      </w:r>
      <w:r>
        <w:rPr>
          <w:color w:val="auto"/>
          <w:highlight w:val="none"/>
        </w:rPr>
        <w:fldChar w:fldCharType="separate"/>
      </w:r>
      <w:r>
        <w:rPr>
          <w:rStyle w:val="54"/>
          <w:rFonts w:ascii="宋体" w:hAnsi="宋体"/>
          <w:snapToGrid w:val="0"/>
          <w:color w:val="auto"/>
          <w:highlight w:val="none"/>
        </w:rPr>
        <w:t xml:space="preserve">9.  </w:t>
      </w:r>
      <w:r>
        <w:rPr>
          <w:rStyle w:val="54"/>
          <w:rFonts w:hint="eastAsia" w:ascii="宋体" w:hAnsi="宋体"/>
          <w:snapToGrid w:val="0"/>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_Toc57905877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845BEF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"_Toc57905878" </w:instrText>
      </w:r>
      <w:r>
        <w:rPr>
          <w:color w:val="auto"/>
          <w:highlight w:val="none"/>
        </w:rPr>
        <w:fldChar w:fldCharType="separate"/>
      </w:r>
      <w:r>
        <w:rPr>
          <w:rStyle w:val="54"/>
          <w:rFonts w:ascii="宋体" w:hAnsi="宋体"/>
          <w:i w:val="0"/>
          <w:snapToGrid w:val="0"/>
          <w:color w:val="auto"/>
          <w:highlight w:val="none"/>
        </w:rPr>
        <w:t xml:space="preserve">9.1  </w:t>
      </w:r>
      <w:r>
        <w:rPr>
          <w:rStyle w:val="54"/>
          <w:rFonts w:hint="eastAsia" w:ascii="宋体" w:hAnsi="宋体"/>
          <w:i w:val="0"/>
          <w:snapToGrid w:val="0"/>
          <w:color w:val="auto"/>
          <w:highlight w:val="none"/>
        </w:rPr>
        <w:t>对比选人的纪律要求</w:t>
      </w:r>
      <w:r>
        <w:rPr>
          <w:i w:val="0"/>
          <w:color w:val="auto"/>
          <w:highlight w:val="none"/>
        </w:rPr>
        <w:tab/>
      </w:r>
      <w:r>
        <w:rPr>
          <w:i w:val="0"/>
          <w:color w:val="auto"/>
          <w:highlight w:val="none"/>
        </w:rPr>
        <w:fldChar w:fldCharType="begin"/>
      </w:r>
      <w:r>
        <w:rPr>
          <w:i w:val="0"/>
          <w:color w:val="auto"/>
          <w:highlight w:val="none"/>
        </w:rPr>
        <w:instrText xml:space="preserve"> PAGEREF _Toc57905878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14:paraId="3618926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"_Toc57905879" </w:instrText>
      </w:r>
      <w:r>
        <w:rPr>
          <w:color w:val="auto"/>
          <w:highlight w:val="none"/>
        </w:rPr>
        <w:fldChar w:fldCharType="separate"/>
      </w:r>
      <w:r>
        <w:rPr>
          <w:rStyle w:val="54"/>
          <w:rFonts w:ascii="宋体" w:hAnsi="宋体"/>
          <w:i w:val="0"/>
          <w:snapToGrid w:val="0"/>
          <w:color w:val="auto"/>
          <w:highlight w:val="none"/>
        </w:rPr>
        <w:t xml:space="preserve">9.2  </w:t>
      </w:r>
      <w:r>
        <w:rPr>
          <w:rStyle w:val="54"/>
          <w:rFonts w:hint="eastAsia" w:ascii="宋体" w:hAnsi="宋体"/>
          <w:i w:val="0"/>
          <w:snapToGrid w:val="0"/>
          <w:color w:val="auto"/>
          <w:highlight w:val="none"/>
        </w:rPr>
        <w:t>对竞选人的纪律要求</w:t>
      </w:r>
      <w:r>
        <w:rPr>
          <w:i w:val="0"/>
          <w:color w:val="auto"/>
          <w:highlight w:val="none"/>
        </w:rPr>
        <w:tab/>
      </w:r>
      <w:r>
        <w:rPr>
          <w:i w:val="0"/>
          <w:color w:val="auto"/>
          <w:highlight w:val="none"/>
        </w:rPr>
        <w:fldChar w:fldCharType="begin"/>
      </w:r>
      <w:r>
        <w:rPr>
          <w:i w:val="0"/>
          <w:color w:val="auto"/>
          <w:highlight w:val="none"/>
        </w:rPr>
        <w:instrText xml:space="preserve"> PAGEREF _Toc57905879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14:paraId="5781E83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"_Toc57905880" </w:instrText>
      </w:r>
      <w:r>
        <w:rPr>
          <w:color w:val="auto"/>
          <w:highlight w:val="none"/>
        </w:rPr>
        <w:fldChar w:fldCharType="separate"/>
      </w:r>
      <w:r>
        <w:rPr>
          <w:rStyle w:val="54"/>
          <w:rFonts w:ascii="宋体" w:hAnsi="宋体"/>
          <w:i w:val="0"/>
          <w:snapToGrid w:val="0"/>
          <w:color w:val="auto"/>
          <w:highlight w:val="none"/>
        </w:rPr>
        <w:t xml:space="preserve">9.3  </w:t>
      </w:r>
      <w:r>
        <w:rPr>
          <w:rStyle w:val="54"/>
          <w:rFonts w:hint="eastAsia" w:ascii="宋体" w:hAnsi="宋体"/>
          <w:i w:val="0"/>
          <w:snapToGrid w:val="0"/>
          <w:color w:val="auto"/>
          <w:highlight w:val="none"/>
        </w:rPr>
        <w:t>对评标委员会成员的纪律要求</w:t>
      </w:r>
      <w:r>
        <w:rPr>
          <w:i w:val="0"/>
          <w:color w:val="auto"/>
          <w:highlight w:val="none"/>
        </w:rPr>
        <w:tab/>
      </w:r>
      <w:r>
        <w:rPr>
          <w:i w:val="0"/>
          <w:color w:val="auto"/>
          <w:highlight w:val="none"/>
        </w:rPr>
        <w:fldChar w:fldCharType="begin"/>
      </w:r>
      <w:r>
        <w:rPr>
          <w:i w:val="0"/>
          <w:color w:val="auto"/>
          <w:highlight w:val="none"/>
        </w:rPr>
        <w:instrText xml:space="preserve"> PAGEREF _Toc57905880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5DBAE02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"_Toc57905881" </w:instrText>
      </w:r>
      <w:r>
        <w:rPr>
          <w:color w:val="auto"/>
          <w:highlight w:val="none"/>
        </w:rPr>
        <w:fldChar w:fldCharType="separate"/>
      </w:r>
      <w:r>
        <w:rPr>
          <w:rStyle w:val="54"/>
          <w:rFonts w:ascii="宋体" w:hAnsi="宋体"/>
          <w:i w:val="0"/>
          <w:snapToGrid w:val="0"/>
          <w:color w:val="auto"/>
          <w:highlight w:val="none"/>
        </w:rPr>
        <w:t xml:space="preserve">9.4  </w:t>
      </w:r>
      <w:r>
        <w:rPr>
          <w:rStyle w:val="54"/>
          <w:rFonts w:hint="eastAsia" w:ascii="宋体" w:hAnsi="宋体"/>
          <w:i w:val="0"/>
          <w:snapToGrid w:val="0"/>
          <w:color w:val="auto"/>
          <w:highlight w:val="none"/>
        </w:rPr>
        <w:t>对与评标活动有关的工作人员的纪律要求</w:t>
      </w:r>
      <w:r>
        <w:rPr>
          <w:i w:val="0"/>
          <w:color w:val="auto"/>
          <w:highlight w:val="none"/>
        </w:rPr>
        <w:tab/>
      </w:r>
      <w:r>
        <w:rPr>
          <w:i w:val="0"/>
          <w:color w:val="auto"/>
          <w:highlight w:val="none"/>
        </w:rPr>
        <w:fldChar w:fldCharType="begin"/>
      </w:r>
      <w:r>
        <w:rPr>
          <w:i w:val="0"/>
          <w:color w:val="auto"/>
          <w:highlight w:val="none"/>
        </w:rPr>
        <w:instrText xml:space="preserve"> PAGEREF _Toc57905881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014E05D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"_Toc57905882" </w:instrText>
      </w:r>
      <w:r>
        <w:rPr>
          <w:color w:val="auto"/>
          <w:highlight w:val="none"/>
        </w:rPr>
        <w:fldChar w:fldCharType="separate"/>
      </w:r>
      <w:r>
        <w:rPr>
          <w:rStyle w:val="54"/>
          <w:rFonts w:ascii="宋体" w:hAnsi="宋体"/>
          <w:i w:val="0"/>
          <w:snapToGrid w:val="0"/>
          <w:color w:val="auto"/>
          <w:highlight w:val="none"/>
        </w:rPr>
        <w:t xml:space="preserve">9.5  </w:t>
      </w:r>
      <w:r>
        <w:rPr>
          <w:rStyle w:val="54"/>
          <w:rFonts w:hint="eastAsia" w:ascii="宋体" w:hAnsi="宋体"/>
          <w:i w:val="0"/>
          <w:snapToGrid w:val="0"/>
          <w:color w:val="auto"/>
          <w:highlight w:val="none"/>
        </w:rPr>
        <w:t>投诉</w:t>
      </w:r>
      <w:r>
        <w:rPr>
          <w:i w:val="0"/>
          <w:color w:val="auto"/>
          <w:highlight w:val="none"/>
        </w:rPr>
        <w:tab/>
      </w:r>
      <w:r>
        <w:rPr>
          <w:i w:val="0"/>
          <w:color w:val="auto"/>
          <w:highlight w:val="none"/>
        </w:rPr>
        <w:fldChar w:fldCharType="begin"/>
      </w:r>
      <w:r>
        <w:rPr>
          <w:i w:val="0"/>
          <w:color w:val="auto"/>
          <w:highlight w:val="none"/>
        </w:rPr>
        <w:instrText xml:space="preserve"> PAGEREF _Toc57905882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4FC98326">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"_Toc57905883" </w:instrText>
      </w:r>
      <w:r>
        <w:rPr>
          <w:color w:val="auto"/>
          <w:highlight w:val="none"/>
        </w:rPr>
        <w:fldChar w:fldCharType="separate"/>
      </w:r>
      <w:r>
        <w:rPr>
          <w:rStyle w:val="54"/>
          <w:rFonts w:ascii="宋体" w:hAnsi="宋体"/>
          <w:snapToGrid w:val="0"/>
          <w:color w:val="auto"/>
          <w:highlight w:val="none"/>
        </w:rPr>
        <w:t xml:space="preserve">10. </w:t>
      </w:r>
      <w:r>
        <w:rPr>
          <w:rStyle w:val="54"/>
          <w:rFonts w:hint="eastAsia" w:ascii="宋体" w:hAnsi="宋体"/>
          <w:snapToGrid w:val="0"/>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_Toc57905883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06F53662">
      <w:pPr>
        <w:pStyle w:val="32"/>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"_Toc57905895" </w:instrText>
      </w:r>
      <w:r>
        <w:rPr>
          <w:color w:val="auto"/>
          <w:highlight w:val="none"/>
        </w:rPr>
        <w:fldChar w:fldCharType="separate"/>
      </w:r>
      <w:r>
        <w:rPr>
          <w:rStyle w:val="54"/>
          <w:rFonts w:hint="eastAsia" w:ascii="宋体" w:hAnsi="宋体"/>
          <w:color w:val="auto"/>
          <w:highlight w:val="none"/>
        </w:rPr>
        <w:t>第三章</w:t>
      </w:r>
      <w:r>
        <w:rPr>
          <w:rStyle w:val="54"/>
          <w:rFonts w:ascii="宋体" w:hAnsi="宋体"/>
          <w:color w:val="auto"/>
          <w:highlight w:val="none"/>
        </w:rPr>
        <w:t xml:space="preserve">  </w:t>
      </w:r>
      <w:r>
        <w:rPr>
          <w:rStyle w:val="54"/>
          <w:rFonts w:hint="eastAsia" w:ascii="宋体" w:hAnsi="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_Toc57905895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1CCE925">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"_Toc57905896" </w:instrText>
      </w:r>
      <w:r>
        <w:rPr>
          <w:color w:val="auto"/>
          <w:highlight w:val="none"/>
        </w:rPr>
        <w:fldChar w:fldCharType="separate"/>
      </w:r>
      <w:r>
        <w:rPr>
          <w:rStyle w:val="54"/>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_Toc57905896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2BEACBB">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"_Toc57905897"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_Toc57905897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1A9D4D61">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"_Toc57905898"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_Toc57905898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0E23971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"_Toc57905899" </w:instrText>
      </w:r>
      <w:r>
        <w:rPr>
          <w:color w:val="auto"/>
          <w:highlight w:val="none"/>
        </w:rPr>
        <w:fldChar w:fldCharType="separate"/>
      </w:r>
      <w:r>
        <w:rPr>
          <w:rStyle w:val="54"/>
          <w:rFonts w:ascii="宋体" w:hAnsi="宋体"/>
          <w:i w:val="0"/>
          <w:snapToGrid w:val="0"/>
          <w:color w:val="auto"/>
          <w:highlight w:val="none"/>
        </w:rPr>
        <w:t xml:space="preserve">2.1  </w:t>
      </w:r>
      <w:r>
        <w:rPr>
          <w:rStyle w:val="54"/>
          <w:rFonts w:hint="eastAsia" w:ascii="宋体" w:hAnsi="宋体"/>
          <w:i w:val="0"/>
          <w:snapToGrid w:val="0"/>
          <w:color w:val="auto"/>
          <w:highlight w:val="none"/>
        </w:rPr>
        <w:t>初步评审标准</w:t>
      </w:r>
      <w:r>
        <w:rPr>
          <w:i w:val="0"/>
          <w:color w:val="auto"/>
          <w:highlight w:val="none"/>
        </w:rPr>
        <w:tab/>
      </w:r>
      <w:r>
        <w:rPr>
          <w:i w:val="0"/>
          <w:color w:val="auto"/>
          <w:highlight w:val="none"/>
        </w:rPr>
        <w:fldChar w:fldCharType="begin"/>
      </w:r>
      <w:r>
        <w:rPr>
          <w:i w:val="0"/>
          <w:color w:val="auto"/>
          <w:highlight w:val="none"/>
        </w:rPr>
        <w:instrText xml:space="preserve"> PAGEREF _Toc57905899 \h </w:instrText>
      </w:r>
      <w:r>
        <w:rPr>
          <w:i w:val="0"/>
          <w:color w:val="auto"/>
          <w:highlight w:val="none"/>
        </w:rPr>
        <w:fldChar w:fldCharType="separate"/>
      </w:r>
      <w:r>
        <w:rPr>
          <w:i w:val="0"/>
          <w:color w:val="auto"/>
          <w:highlight w:val="none"/>
        </w:rPr>
        <w:t>34</w:t>
      </w:r>
      <w:r>
        <w:rPr>
          <w:i w:val="0"/>
          <w:color w:val="auto"/>
          <w:highlight w:val="none"/>
        </w:rPr>
        <w:fldChar w:fldCharType="end"/>
      </w:r>
      <w:r>
        <w:rPr>
          <w:i w:val="0"/>
          <w:color w:val="auto"/>
          <w:highlight w:val="none"/>
        </w:rPr>
        <w:fldChar w:fldCharType="end"/>
      </w:r>
    </w:p>
    <w:p w14:paraId="3B3EA7E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"_Toc57905900" </w:instrText>
      </w:r>
      <w:r>
        <w:rPr>
          <w:color w:val="auto"/>
          <w:highlight w:val="none"/>
        </w:rPr>
        <w:fldChar w:fldCharType="separate"/>
      </w:r>
      <w:r>
        <w:rPr>
          <w:rStyle w:val="54"/>
          <w:rFonts w:ascii="宋体" w:hAnsi="宋体"/>
          <w:i w:val="0"/>
          <w:snapToGrid w:val="0"/>
          <w:color w:val="auto"/>
          <w:highlight w:val="none"/>
        </w:rPr>
        <w:t xml:space="preserve">2.2  </w:t>
      </w:r>
      <w:r>
        <w:rPr>
          <w:rStyle w:val="54"/>
          <w:rFonts w:hint="eastAsia" w:ascii="宋体" w:hAnsi="宋体"/>
          <w:i w:val="0"/>
          <w:snapToGrid w:val="0"/>
          <w:color w:val="auto"/>
          <w:highlight w:val="none"/>
        </w:rPr>
        <w:t>分值构成与评分标准</w:t>
      </w:r>
      <w:r>
        <w:rPr>
          <w:i w:val="0"/>
          <w:color w:val="auto"/>
          <w:highlight w:val="none"/>
        </w:rPr>
        <w:tab/>
      </w:r>
      <w:r>
        <w:rPr>
          <w:i w:val="0"/>
          <w:color w:val="auto"/>
          <w:highlight w:val="none"/>
        </w:rPr>
        <w:fldChar w:fldCharType="begin"/>
      </w:r>
      <w:r>
        <w:rPr>
          <w:i w:val="0"/>
          <w:color w:val="auto"/>
          <w:highlight w:val="none"/>
        </w:rPr>
        <w:instrText xml:space="preserve"> PAGEREF _Toc57905900 \h </w:instrText>
      </w:r>
      <w:r>
        <w:rPr>
          <w:i w:val="0"/>
          <w:color w:val="auto"/>
          <w:highlight w:val="none"/>
        </w:rPr>
        <w:fldChar w:fldCharType="separate"/>
      </w:r>
      <w:r>
        <w:rPr>
          <w:i w:val="0"/>
          <w:color w:val="auto"/>
          <w:highlight w:val="none"/>
        </w:rPr>
        <w:t>34</w:t>
      </w:r>
      <w:r>
        <w:rPr>
          <w:i w:val="0"/>
          <w:color w:val="auto"/>
          <w:highlight w:val="none"/>
        </w:rPr>
        <w:fldChar w:fldCharType="end"/>
      </w:r>
      <w:r>
        <w:rPr>
          <w:i w:val="0"/>
          <w:color w:val="auto"/>
          <w:highlight w:val="none"/>
        </w:rPr>
        <w:fldChar w:fldCharType="end"/>
      </w:r>
    </w:p>
    <w:p w14:paraId="53DAD6E7">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"_Toc57905901"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_Toc57905901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7293ECE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"_Toc57905902" </w:instrText>
      </w:r>
      <w:r>
        <w:rPr>
          <w:color w:val="auto"/>
          <w:highlight w:val="none"/>
        </w:rPr>
        <w:fldChar w:fldCharType="separate"/>
      </w:r>
      <w:r>
        <w:rPr>
          <w:rStyle w:val="54"/>
          <w:rFonts w:ascii="宋体" w:hAnsi="宋体"/>
          <w:i w:val="0"/>
          <w:snapToGrid w:val="0"/>
          <w:color w:val="auto"/>
          <w:highlight w:val="none"/>
        </w:rPr>
        <w:t xml:space="preserve">3.1  </w:t>
      </w:r>
      <w:r>
        <w:rPr>
          <w:rStyle w:val="54"/>
          <w:rFonts w:hint="eastAsia" w:ascii="宋体" w:hAnsi="宋体"/>
          <w:i w:val="0"/>
          <w:snapToGrid w:val="0"/>
          <w:color w:val="auto"/>
          <w:highlight w:val="none"/>
        </w:rPr>
        <w:t>初步评审</w:t>
      </w:r>
      <w:r>
        <w:rPr>
          <w:i w:val="0"/>
          <w:color w:val="auto"/>
          <w:highlight w:val="none"/>
        </w:rPr>
        <w:tab/>
      </w:r>
      <w:r>
        <w:rPr>
          <w:i w:val="0"/>
          <w:color w:val="auto"/>
          <w:highlight w:val="none"/>
        </w:rPr>
        <w:fldChar w:fldCharType="begin"/>
      </w:r>
      <w:r>
        <w:rPr>
          <w:i w:val="0"/>
          <w:color w:val="auto"/>
          <w:highlight w:val="none"/>
        </w:rPr>
        <w:instrText xml:space="preserve"> PAGEREF _Toc57905902 \h </w:instrText>
      </w:r>
      <w:r>
        <w:rPr>
          <w:i w:val="0"/>
          <w:color w:val="auto"/>
          <w:highlight w:val="none"/>
        </w:rPr>
        <w:fldChar w:fldCharType="separate"/>
      </w:r>
      <w:r>
        <w:rPr>
          <w:i w:val="0"/>
          <w:color w:val="auto"/>
          <w:highlight w:val="none"/>
        </w:rPr>
        <w:t>34</w:t>
      </w:r>
      <w:r>
        <w:rPr>
          <w:i w:val="0"/>
          <w:color w:val="auto"/>
          <w:highlight w:val="none"/>
        </w:rPr>
        <w:fldChar w:fldCharType="end"/>
      </w:r>
      <w:r>
        <w:rPr>
          <w:i w:val="0"/>
          <w:color w:val="auto"/>
          <w:highlight w:val="none"/>
        </w:rPr>
        <w:fldChar w:fldCharType="end"/>
      </w:r>
    </w:p>
    <w:p w14:paraId="2E31AD4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"_Toc57905903" </w:instrText>
      </w:r>
      <w:r>
        <w:rPr>
          <w:color w:val="auto"/>
          <w:highlight w:val="none"/>
        </w:rPr>
        <w:fldChar w:fldCharType="separate"/>
      </w:r>
      <w:r>
        <w:rPr>
          <w:rStyle w:val="54"/>
          <w:rFonts w:ascii="宋体" w:hAnsi="宋体"/>
          <w:i w:val="0"/>
          <w:snapToGrid w:val="0"/>
          <w:color w:val="auto"/>
          <w:highlight w:val="none"/>
        </w:rPr>
        <w:t xml:space="preserve">3.2  </w:t>
      </w:r>
      <w:r>
        <w:rPr>
          <w:rStyle w:val="54"/>
          <w:rFonts w:hint="eastAsia" w:ascii="宋体" w:hAnsi="宋体"/>
          <w:i w:val="0"/>
          <w:snapToGrid w:val="0"/>
          <w:color w:val="auto"/>
          <w:highlight w:val="none"/>
        </w:rPr>
        <w:t>详细评审</w:t>
      </w:r>
      <w:r>
        <w:rPr>
          <w:i w:val="0"/>
          <w:color w:val="auto"/>
          <w:highlight w:val="none"/>
        </w:rPr>
        <w:tab/>
      </w:r>
      <w:r>
        <w:rPr>
          <w:i w:val="0"/>
          <w:color w:val="auto"/>
          <w:highlight w:val="none"/>
        </w:rPr>
        <w:fldChar w:fldCharType="begin"/>
      </w:r>
      <w:r>
        <w:rPr>
          <w:i w:val="0"/>
          <w:color w:val="auto"/>
          <w:highlight w:val="none"/>
        </w:rPr>
        <w:instrText xml:space="preserve"> PAGEREF _Toc57905903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3D72BD2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"_Toc57905904" </w:instrText>
      </w:r>
      <w:r>
        <w:rPr>
          <w:color w:val="auto"/>
          <w:highlight w:val="none"/>
        </w:rPr>
        <w:fldChar w:fldCharType="separate"/>
      </w:r>
      <w:r>
        <w:rPr>
          <w:rStyle w:val="54"/>
          <w:rFonts w:ascii="宋体" w:hAnsi="宋体"/>
          <w:i w:val="0"/>
          <w:snapToGrid w:val="0"/>
          <w:color w:val="auto"/>
          <w:highlight w:val="none"/>
        </w:rPr>
        <w:t xml:space="preserve">3.3  </w:t>
      </w:r>
      <w:r>
        <w:rPr>
          <w:rStyle w:val="54"/>
          <w:rFonts w:hint="eastAsia" w:ascii="宋体" w:hAnsi="宋体"/>
          <w:i w:val="0"/>
          <w:snapToGrid w:val="0"/>
          <w:color w:val="auto"/>
          <w:highlight w:val="none"/>
        </w:rPr>
        <w:t>竞选文件的澄清和补正</w:t>
      </w:r>
      <w:r>
        <w:rPr>
          <w:i w:val="0"/>
          <w:color w:val="auto"/>
          <w:highlight w:val="none"/>
        </w:rPr>
        <w:tab/>
      </w:r>
      <w:r>
        <w:rPr>
          <w:i w:val="0"/>
          <w:color w:val="auto"/>
          <w:highlight w:val="none"/>
        </w:rPr>
        <w:fldChar w:fldCharType="begin"/>
      </w:r>
      <w:r>
        <w:rPr>
          <w:i w:val="0"/>
          <w:color w:val="auto"/>
          <w:highlight w:val="none"/>
        </w:rPr>
        <w:instrText xml:space="preserve"> PAGEREF _Toc57905904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2F86C4A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"_Toc57905905" </w:instrText>
      </w:r>
      <w:r>
        <w:rPr>
          <w:color w:val="auto"/>
          <w:highlight w:val="none"/>
        </w:rPr>
        <w:fldChar w:fldCharType="separate"/>
      </w:r>
      <w:r>
        <w:rPr>
          <w:rStyle w:val="54"/>
          <w:rFonts w:ascii="宋体" w:hAnsi="宋体"/>
          <w:i w:val="0"/>
          <w:snapToGrid w:val="0"/>
          <w:color w:val="auto"/>
          <w:highlight w:val="none"/>
        </w:rPr>
        <w:t xml:space="preserve">3.4  </w:t>
      </w:r>
      <w:r>
        <w:rPr>
          <w:rStyle w:val="54"/>
          <w:rFonts w:hint="eastAsia" w:ascii="宋体" w:hAnsi="宋体"/>
          <w:i w:val="0"/>
          <w:snapToGrid w:val="0"/>
          <w:color w:val="auto"/>
          <w:highlight w:val="none"/>
        </w:rPr>
        <w:t>评标结果</w:t>
      </w:r>
      <w:r>
        <w:rPr>
          <w:i w:val="0"/>
          <w:color w:val="auto"/>
          <w:highlight w:val="none"/>
        </w:rPr>
        <w:tab/>
      </w:r>
      <w:r>
        <w:rPr>
          <w:i w:val="0"/>
          <w:color w:val="auto"/>
          <w:highlight w:val="none"/>
        </w:rPr>
        <w:fldChar w:fldCharType="begin"/>
      </w:r>
      <w:r>
        <w:rPr>
          <w:i w:val="0"/>
          <w:color w:val="auto"/>
          <w:highlight w:val="none"/>
        </w:rPr>
        <w:instrText xml:space="preserve"> PAGEREF _Toc57905905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07496F92">
      <w:pPr>
        <w:pStyle w:val="32"/>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"_Toc57905906" </w:instrText>
      </w:r>
      <w:r>
        <w:rPr>
          <w:color w:val="auto"/>
          <w:highlight w:val="none"/>
        </w:rPr>
        <w:fldChar w:fldCharType="separate"/>
      </w:r>
      <w:r>
        <w:rPr>
          <w:rStyle w:val="54"/>
          <w:rFonts w:hint="eastAsia" w:ascii="宋体" w:hAnsi="宋体"/>
          <w:color w:val="auto"/>
          <w:kern w:val="0"/>
          <w:highlight w:val="none"/>
        </w:rPr>
        <w:t>第四章</w:t>
      </w:r>
      <w:r>
        <w:rPr>
          <w:rStyle w:val="54"/>
          <w:rFonts w:ascii="宋体" w:hAnsi="宋体"/>
          <w:color w:val="auto"/>
          <w:kern w:val="0"/>
          <w:highlight w:val="none"/>
        </w:rPr>
        <w:t xml:space="preserve">  </w:t>
      </w:r>
      <w:r>
        <w:rPr>
          <w:rStyle w:val="54"/>
          <w:rFonts w:hint="eastAsia" w:ascii="宋体" w:hAnsi="宋体"/>
          <w:color w:val="auto"/>
          <w:kern w:val="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_Toc57905906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3480A33A">
      <w:pPr>
        <w:pStyle w:val="32"/>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"_Toc57905910" </w:instrText>
      </w:r>
      <w:r>
        <w:rPr>
          <w:color w:val="auto"/>
          <w:highlight w:val="none"/>
        </w:rPr>
        <w:fldChar w:fldCharType="separate"/>
      </w:r>
      <w:r>
        <w:rPr>
          <w:rStyle w:val="54"/>
          <w:rFonts w:hint="eastAsia" w:ascii="宋体" w:hAnsi="宋体"/>
          <w:color w:val="auto"/>
          <w:highlight w:val="none"/>
        </w:rPr>
        <w:t>第五章</w:t>
      </w:r>
      <w:r>
        <w:rPr>
          <w:rStyle w:val="54"/>
          <w:rFonts w:ascii="宋体" w:hAnsi="宋体"/>
          <w:color w:val="auto"/>
          <w:highlight w:val="none"/>
        </w:rPr>
        <w:t xml:space="preserve">  </w:t>
      </w:r>
      <w:r>
        <w:rPr>
          <w:rStyle w:val="54"/>
          <w:rFonts w:hint="eastAsia" w:ascii="宋体" w:hAnsi="宋体"/>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_Toc57905910 \h </w:instrText>
      </w:r>
      <w:r>
        <w:rPr>
          <w:color w:val="auto"/>
          <w:highlight w:val="none"/>
        </w:rPr>
        <w:fldChar w:fldCharType="separate"/>
      </w:r>
      <w:r>
        <w:rPr>
          <w:color w:val="auto"/>
          <w:highlight w:val="none"/>
        </w:rPr>
        <w:t>172</w:t>
      </w:r>
      <w:r>
        <w:rPr>
          <w:color w:val="auto"/>
          <w:highlight w:val="none"/>
        </w:rPr>
        <w:fldChar w:fldCharType="end"/>
      </w:r>
      <w:r>
        <w:rPr>
          <w:color w:val="auto"/>
          <w:highlight w:val="none"/>
        </w:rPr>
        <w:fldChar w:fldCharType="end"/>
      </w:r>
    </w:p>
    <w:p w14:paraId="5E1E5730">
      <w:pPr>
        <w:pStyle w:val="32"/>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"_Toc57905911"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二</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_Toc57905911 \h </w:instrText>
      </w:r>
      <w:r>
        <w:rPr>
          <w:color w:val="auto"/>
          <w:highlight w:val="none"/>
        </w:rPr>
        <w:fldChar w:fldCharType="separate"/>
      </w:r>
      <w:r>
        <w:rPr>
          <w:color w:val="auto"/>
          <w:highlight w:val="none"/>
        </w:rPr>
        <w:t>173</w:t>
      </w:r>
      <w:r>
        <w:rPr>
          <w:color w:val="auto"/>
          <w:highlight w:val="none"/>
        </w:rPr>
        <w:fldChar w:fldCharType="end"/>
      </w:r>
      <w:r>
        <w:rPr>
          <w:color w:val="auto"/>
          <w:highlight w:val="none"/>
        </w:rPr>
        <w:fldChar w:fldCharType="end"/>
      </w:r>
    </w:p>
    <w:p w14:paraId="3D21115C">
      <w:pPr>
        <w:pStyle w:val="32"/>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"_Toc57905912" </w:instrText>
      </w:r>
      <w:r>
        <w:rPr>
          <w:color w:val="auto"/>
          <w:highlight w:val="none"/>
        </w:rPr>
        <w:fldChar w:fldCharType="separate"/>
      </w:r>
      <w:r>
        <w:rPr>
          <w:rStyle w:val="54"/>
          <w:rFonts w:hint="eastAsia" w:ascii="宋体" w:hAnsi="宋体"/>
          <w:color w:val="auto"/>
          <w:highlight w:val="none"/>
        </w:rPr>
        <w:t>第六章</w:t>
      </w:r>
      <w:r>
        <w:rPr>
          <w:rStyle w:val="54"/>
          <w:rFonts w:ascii="宋体" w:hAnsi="宋体"/>
          <w:color w:val="auto"/>
          <w:highlight w:val="none"/>
        </w:rPr>
        <w:t xml:space="preserve">  </w:t>
      </w:r>
      <w:r>
        <w:rPr>
          <w:rStyle w:val="54"/>
          <w:rFonts w:hint="eastAsia" w:ascii="宋体" w:hAnsi="宋体"/>
          <w:color w:val="auto"/>
          <w:highlight w:val="none"/>
        </w:rPr>
        <w:t>图纸</w:t>
      </w:r>
      <w:r>
        <w:rPr>
          <w:color w:val="auto"/>
          <w:highlight w:val="none"/>
        </w:rPr>
        <w:tab/>
      </w:r>
      <w:r>
        <w:rPr>
          <w:color w:val="auto"/>
          <w:highlight w:val="none"/>
        </w:rPr>
        <w:fldChar w:fldCharType="begin"/>
      </w:r>
      <w:r>
        <w:rPr>
          <w:color w:val="auto"/>
          <w:highlight w:val="none"/>
        </w:rPr>
        <w:instrText xml:space="preserve"> PAGEREF _Toc57905912 \h </w:instrText>
      </w:r>
      <w:r>
        <w:rPr>
          <w:color w:val="auto"/>
          <w:highlight w:val="none"/>
        </w:rPr>
        <w:fldChar w:fldCharType="separate"/>
      </w:r>
      <w:r>
        <w:rPr>
          <w:color w:val="auto"/>
          <w:highlight w:val="none"/>
        </w:rPr>
        <w:t>174</w:t>
      </w:r>
      <w:r>
        <w:rPr>
          <w:color w:val="auto"/>
          <w:highlight w:val="none"/>
        </w:rPr>
        <w:fldChar w:fldCharType="end"/>
      </w:r>
      <w:r>
        <w:rPr>
          <w:color w:val="auto"/>
          <w:highlight w:val="none"/>
        </w:rPr>
        <w:fldChar w:fldCharType="end"/>
      </w:r>
    </w:p>
    <w:p w14:paraId="2D707246">
      <w:pPr>
        <w:pStyle w:val="32"/>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"_Toc57905913"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三</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_Toc57905913 \h </w:instrText>
      </w:r>
      <w:r>
        <w:rPr>
          <w:color w:val="auto"/>
          <w:highlight w:val="none"/>
        </w:rPr>
        <w:fldChar w:fldCharType="separate"/>
      </w:r>
      <w:r>
        <w:rPr>
          <w:color w:val="auto"/>
          <w:highlight w:val="none"/>
        </w:rPr>
        <w:t>175</w:t>
      </w:r>
      <w:r>
        <w:rPr>
          <w:color w:val="auto"/>
          <w:highlight w:val="none"/>
        </w:rPr>
        <w:fldChar w:fldCharType="end"/>
      </w:r>
      <w:r>
        <w:rPr>
          <w:color w:val="auto"/>
          <w:highlight w:val="none"/>
        </w:rPr>
        <w:fldChar w:fldCharType="end"/>
      </w:r>
    </w:p>
    <w:p w14:paraId="2F8CB93E">
      <w:pPr>
        <w:pStyle w:val="32"/>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"_Toc57905914" </w:instrText>
      </w:r>
      <w:r>
        <w:rPr>
          <w:color w:val="auto"/>
          <w:highlight w:val="none"/>
        </w:rPr>
        <w:fldChar w:fldCharType="separate"/>
      </w:r>
      <w:r>
        <w:rPr>
          <w:rStyle w:val="54"/>
          <w:rFonts w:hint="eastAsia" w:ascii="宋体" w:hAnsi="宋体"/>
          <w:color w:val="auto"/>
          <w:highlight w:val="none"/>
        </w:rPr>
        <w:t>第七章</w:t>
      </w:r>
      <w:r>
        <w:rPr>
          <w:rStyle w:val="54"/>
          <w:rFonts w:ascii="宋体" w:hAnsi="宋体"/>
          <w:color w:val="auto"/>
          <w:highlight w:val="none"/>
        </w:rPr>
        <w:t xml:space="preserve">  </w:t>
      </w:r>
      <w:r>
        <w:rPr>
          <w:rStyle w:val="54"/>
          <w:rFonts w:hint="eastAsia"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_Toc57905914 \h </w:instrText>
      </w:r>
      <w:r>
        <w:rPr>
          <w:color w:val="auto"/>
          <w:highlight w:val="none"/>
        </w:rPr>
        <w:fldChar w:fldCharType="separate"/>
      </w:r>
      <w:r>
        <w:rPr>
          <w:color w:val="auto"/>
          <w:highlight w:val="none"/>
        </w:rPr>
        <w:t>176</w:t>
      </w:r>
      <w:r>
        <w:rPr>
          <w:color w:val="auto"/>
          <w:highlight w:val="none"/>
        </w:rPr>
        <w:fldChar w:fldCharType="end"/>
      </w:r>
      <w:r>
        <w:rPr>
          <w:color w:val="auto"/>
          <w:highlight w:val="none"/>
        </w:rPr>
        <w:fldChar w:fldCharType="end"/>
      </w:r>
    </w:p>
    <w:p w14:paraId="715B96D8">
      <w:pPr>
        <w:pStyle w:val="32"/>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"_Toc57905915"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四</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_Toc57905915 \h </w:instrText>
      </w:r>
      <w:r>
        <w:rPr>
          <w:color w:val="auto"/>
          <w:highlight w:val="none"/>
        </w:rPr>
        <w:fldChar w:fldCharType="separate"/>
      </w:r>
      <w:r>
        <w:rPr>
          <w:color w:val="auto"/>
          <w:highlight w:val="none"/>
        </w:rPr>
        <w:t>177</w:t>
      </w:r>
      <w:r>
        <w:rPr>
          <w:color w:val="auto"/>
          <w:highlight w:val="none"/>
        </w:rPr>
        <w:fldChar w:fldCharType="end"/>
      </w:r>
      <w:r>
        <w:rPr>
          <w:color w:val="auto"/>
          <w:highlight w:val="none"/>
        </w:rPr>
        <w:fldChar w:fldCharType="end"/>
      </w:r>
    </w:p>
    <w:p w14:paraId="584D12CC">
      <w:pPr>
        <w:pStyle w:val="32"/>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"_Toc57905916" </w:instrText>
      </w:r>
      <w:r>
        <w:rPr>
          <w:color w:val="auto"/>
          <w:highlight w:val="none"/>
        </w:rPr>
        <w:fldChar w:fldCharType="separate"/>
      </w:r>
      <w:r>
        <w:rPr>
          <w:rStyle w:val="54"/>
          <w:rFonts w:hint="eastAsia" w:ascii="宋体" w:hAnsi="宋体"/>
          <w:color w:val="auto"/>
          <w:highlight w:val="none"/>
        </w:rPr>
        <w:t>第八章</w:t>
      </w:r>
      <w:r>
        <w:rPr>
          <w:rStyle w:val="54"/>
          <w:rFonts w:ascii="宋体" w:hAnsi="宋体"/>
          <w:color w:val="auto"/>
          <w:highlight w:val="none"/>
        </w:rPr>
        <w:t xml:space="preserve">  </w:t>
      </w:r>
      <w:r>
        <w:rPr>
          <w:rStyle w:val="54"/>
          <w:rFonts w:hint="eastAsia" w:ascii="宋体" w:hAnsi="宋体"/>
          <w:color w:val="auto"/>
          <w:highlight w:val="none"/>
        </w:rPr>
        <w:t>竞选文件格式</w:t>
      </w:r>
      <w:r>
        <w:rPr>
          <w:color w:val="auto"/>
          <w:highlight w:val="none"/>
        </w:rPr>
        <w:tab/>
      </w:r>
      <w:r>
        <w:rPr>
          <w:color w:val="auto"/>
          <w:highlight w:val="none"/>
        </w:rPr>
        <w:fldChar w:fldCharType="begin"/>
      </w:r>
      <w:r>
        <w:rPr>
          <w:color w:val="auto"/>
          <w:highlight w:val="none"/>
        </w:rPr>
        <w:instrText xml:space="preserve"> PAGEREF _Toc57905916 \h </w:instrText>
      </w:r>
      <w:r>
        <w:rPr>
          <w:color w:val="auto"/>
          <w:highlight w:val="none"/>
        </w:rPr>
        <w:fldChar w:fldCharType="separate"/>
      </w:r>
      <w:r>
        <w:rPr>
          <w:color w:val="auto"/>
          <w:highlight w:val="none"/>
        </w:rPr>
        <w:t>178</w:t>
      </w:r>
      <w:r>
        <w:rPr>
          <w:color w:val="auto"/>
          <w:highlight w:val="none"/>
        </w:rPr>
        <w:fldChar w:fldCharType="end"/>
      </w:r>
      <w:r>
        <w:rPr>
          <w:color w:val="auto"/>
          <w:highlight w:val="none"/>
        </w:rPr>
        <w:fldChar w:fldCharType="end"/>
      </w:r>
    </w:p>
    <w:p w14:paraId="159F2F99">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"_Toc57905918" </w:instrText>
      </w:r>
      <w:r>
        <w:rPr>
          <w:color w:val="auto"/>
          <w:highlight w:val="none"/>
        </w:rPr>
        <w:fldChar w:fldCharType="separate"/>
      </w:r>
      <w:r>
        <w:rPr>
          <w:rStyle w:val="54"/>
          <w:rFonts w:hint="eastAsia" w:ascii="宋体" w:hAnsi="宋体"/>
          <w:color w:val="auto"/>
          <w:highlight w:val="none"/>
        </w:rPr>
        <w:t>一、投标函部分</w:t>
      </w:r>
      <w:r>
        <w:rPr>
          <w:color w:val="auto"/>
          <w:highlight w:val="none"/>
        </w:rPr>
        <w:tab/>
      </w:r>
      <w:r>
        <w:rPr>
          <w:color w:val="auto"/>
          <w:highlight w:val="none"/>
        </w:rPr>
        <w:fldChar w:fldCharType="begin"/>
      </w:r>
      <w:r>
        <w:rPr>
          <w:color w:val="auto"/>
          <w:highlight w:val="none"/>
        </w:rPr>
        <w:instrText xml:space="preserve"> PAGEREF _Toc57905918 \h </w:instrText>
      </w:r>
      <w:r>
        <w:rPr>
          <w:color w:val="auto"/>
          <w:highlight w:val="none"/>
        </w:rPr>
        <w:fldChar w:fldCharType="separate"/>
      </w:r>
      <w:r>
        <w:rPr>
          <w:color w:val="auto"/>
          <w:highlight w:val="none"/>
        </w:rPr>
        <w:t>180</w:t>
      </w:r>
      <w:r>
        <w:rPr>
          <w:color w:val="auto"/>
          <w:highlight w:val="none"/>
        </w:rPr>
        <w:fldChar w:fldCharType="end"/>
      </w:r>
      <w:r>
        <w:rPr>
          <w:color w:val="auto"/>
          <w:highlight w:val="none"/>
        </w:rPr>
        <w:fldChar w:fldCharType="end"/>
      </w:r>
    </w:p>
    <w:p w14:paraId="472ED2C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"_Toc57905919" </w:instrText>
      </w:r>
      <w:r>
        <w:rPr>
          <w:color w:val="auto"/>
          <w:highlight w:val="none"/>
        </w:rPr>
        <w:fldChar w:fldCharType="separate"/>
      </w:r>
      <w:r>
        <w:rPr>
          <w:rStyle w:val="54"/>
          <w:rFonts w:hint="eastAsia"/>
          <w:i w:val="0"/>
          <w:color w:val="auto"/>
          <w:highlight w:val="none"/>
        </w:rPr>
        <w:t>（一）投标函</w:t>
      </w:r>
      <w:r>
        <w:rPr>
          <w:i w:val="0"/>
          <w:color w:val="auto"/>
          <w:highlight w:val="none"/>
        </w:rPr>
        <w:tab/>
      </w:r>
      <w:r>
        <w:rPr>
          <w:i w:val="0"/>
          <w:color w:val="auto"/>
          <w:highlight w:val="none"/>
        </w:rPr>
        <w:fldChar w:fldCharType="begin"/>
      </w:r>
      <w:r>
        <w:rPr>
          <w:i w:val="0"/>
          <w:color w:val="auto"/>
          <w:highlight w:val="none"/>
        </w:rPr>
        <w:instrText xml:space="preserve"> PAGEREF _Toc57905919 \h </w:instrText>
      </w:r>
      <w:r>
        <w:rPr>
          <w:i w:val="0"/>
          <w:color w:val="auto"/>
          <w:highlight w:val="none"/>
        </w:rPr>
        <w:fldChar w:fldCharType="separate"/>
      </w:r>
      <w:r>
        <w:rPr>
          <w:i w:val="0"/>
          <w:color w:val="auto"/>
          <w:highlight w:val="none"/>
        </w:rPr>
        <w:t>183</w:t>
      </w:r>
      <w:r>
        <w:rPr>
          <w:i w:val="0"/>
          <w:color w:val="auto"/>
          <w:highlight w:val="none"/>
        </w:rPr>
        <w:fldChar w:fldCharType="end"/>
      </w:r>
      <w:r>
        <w:rPr>
          <w:i w:val="0"/>
          <w:color w:val="auto"/>
          <w:highlight w:val="none"/>
        </w:rPr>
        <w:fldChar w:fldCharType="end"/>
      </w:r>
    </w:p>
    <w:p w14:paraId="5BC2E75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"_Toc57905920" </w:instrText>
      </w:r>
      <w:r>
        <w:rPr>
          <w:color w:val="auto"/>
          <w:highlight w:val="none"/>
        </w:rPr>
        <w:fldChar w:fldCharType="separate"/>
      </w:r>
      <w:r>
        <w:rPr>
          <w:rStyle w:val="54"/>
          <w:rFonts w:hint="eastAsia"/>
          <w:i w:val="0"/>
          <w:color w:val="auto"/>
          <w:highlight w:val="none"/>
        </w:rPr>
        <w:t>（二）投标函附录</w:t>
      </w:r>
      <w:r>
        <w:rPr>
          <w:i w:val="0"/>
          <w:color w:val="auto"/>
          <w:highlight w:val="none"/>
        </w:rPr>
        <w:tab/>
      </w:r>
      <w:r>
        <w:rPr>
          <w:i w:val="0"/>
          <w:color w:val="auto"/>
          <w:highlight w:val="none"/>
        </w:rPr>
        <w:fldChar w:fldCharType="begin"/>
      </w:r>
      <w:r>
        <w:rPr>
          <w:i w:val="0"/>
          <w:color w:val="auto"/>
          <w:highlight w:val="none"/>
        </w:rPr>
        <w:instrText xml:space="preserve"> PAGEREF _Toc57905920 \h </w:instrText>
      </w:r>
      <w:r>
        <w:rPr>
          <w:i w:val="0"/>
          <w:color w:val="auto"/>
          <w:highlight w:val="none"/>
        </w:rPr>
        <w:fldChar w:fldCharType="separate"/>
      </w:r>
      <w:r>
        <w:rPr>
          <w:i w:val="0"/>
          <w:color w:val="auto"/>
          <w:highlight w:val="none"/>
        </w:rPr>
        <w:t>184</w:t>
      </w:r>
      <w:r>
        <w:rPr>
          <w:i w:val="0"/>
          <w:color w:val="auto"/>
          <w:highlight w:val="none"/>
        </w:rPr>
        <w:fldChar w:fldCharType="end"/>
      </w:r>
      <w:r>
        <w:rPr>
          <w:i w:val="0"/>
          <w:color w:val="auto"/>
          <w:highlight w:val="none"/>
        </w:rPr>
        <w:fldChar w:fldCharType="end"/>
      </w:r>
    </w:p>
    <w:p w14:paraId="59E04F5C">
      <w:pPr>
        <w:pStyle w:val="23"/>
        <w:tabs>
          <w:tab w:val="right" w:leader="dot" w:pos="9459"/>
        </w:tabs>
        <w:rPr>
          <w:i w:val="0"/>
          <w:color w:val="auto"/>
          <w:highlight w:val="none"/>
        </w:rPr>
      </w:pPr>
      <w:r>
        <w:rPr>
          <w:color w:val="auto"/>
          <w:highlight w:val="none"/>
        </w:rPr>
        <w:fldChar w:fldCharType="begin"/>
      </w:r>
      <w:r>
        <w:rPr>
          <w:color w:val="auto"/>
          <w:highlight w:val="none"/>
        </w:rPr>
        <w:instrText xml:space="preserve"> HYPERLINK \l "_Toc57905921" </w:instrText>
      </w:r>
      <w:r>
        <w:rPr>
          <w:color w:val="auto"/>
          <w:highlight w:val="none"/>
        </w:rPr>
        <w:fldChar w:fldCharType="separate"/>
      </w:r>
      <w:r>
        <w:rPr>
          <w:rStyle w:val="54"/>
          <w:rFonts w:hint="eastAsia"/>
          <w:i w:val="0"/>
          <w:color w:val="auto"/>
          <w:highlight w:val="none"/>
        </w:rPr>
        <w:t>（三）法定代表人身份证明或附有法定代表人身份证明的授权委托书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_Toc57905921 \h </w:instrText>
      </w:r>
      <w:r>
        <w:rPr>
          <w:i w:val="0"/>
          <w:color w:val="auto"/>
          <w:highlight w:val="none"/>
        </w:rPr>
        <w:fldChar w:fldCharType="separate"/>
      </w:r>
      <w:r>
        <w:rPr>
          <w:i w:val="0"/>
          <w:color w:val="auto"/>
          <w:highlight w:val="none"/>
        </w:rPr>
        <w:t>185</w:t>
      </w:r>
      <w:r>
        <w:rPr>
          <w:i w:val="0"/>
          <w:color w:val="auto"/>
          <w:highlight w:val="none"/>
        </w:rPr>
        <w:fldChar w:fldCharType="end"/>
      </w:r>
      <w:r>
        <w:rPr>
          <w:i w:val="0"/>
          <w:color w:val="auto"/>
          <w:highlight w:val="none"/>
        </w:rPr>
        <w:fldChar w:fldCharType="end"/>
      </w:r>
    </w:p>
    <w:p w14:paraId="1D0D502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"_Toc57820651" </w:instrText>
      </w:r>
      <w:r>
        <w:rPr>
          <w:color w:val="auto"/>
          <w:highlight w:val="none"/>
        </w:rPr>
        <w:fldChar w:fldCharType="separate"/>
      </w:r>
      <w:r>
        <w:rPr>
          <w:rStyle w:val="54"/>
          <w:rFonts w:hint="eastAsia" w:ascii="宋体" w:hAnsi="宋体"/>
          <w:i w:val="0"/>
          <w:color w:val="auto"/>
          <w:highlight w:val="none"/>
        </w:rPr>
        <w:t>（四）低价风险担保提交承诺书</w:t>
      </w:r>
      <w:r>
        <w:rPr>
          <w:i w:val="0"/>
          <w:color w:val="auto"/>
          <w:highlight w:val="none"/>
        </w:rPr>
        <w:tab/>
      </w:r>
      <w:r>
        <w:rPr>
          <w:rFonts w:hint="eastAsia"/>
          <w:i w:val="0"/>
          <w:color w:val="auto"/>
          <w:highlight w:val="none"/>
        </w:rPr>
        <w:t>1</w:t>
      </w:r>
      <w:r>
        <w:rPr>
          <w:rFonts w:hint="eastAsia"/>
          <w:i w:val="0"/>
          <w:color w:val="auto"/>
          <w:highlight w:val="none"/>
        </w:rPr>
        <w:fldChar w:fldCharType="end"/>
      </w:r>
      <w:r>
        <w:rPr>
          <w:rFonts w:hint="eastAsia"/>
          <w:i w:val="0"/>
          <w:color w:val="auto"/>
          <w:highlight w:val="none"/>
        </w:rPr>
        <w:t>60</w:t>
      </w:r>
    </w:p>
    <w:p w14:paraId="1A36B971">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"_Toc57905924" </w:instrText>
      </w:r>
      <w:r>
        <w:rPr>
          <w:color w:val="auto"/>
          <w:highlight w:val="none"/>
        </w:rPr>
        <w:fldChar w:fldCharType="separate"/>
      </w:r>
      <w:r>
        <w:rPr>
          <w:rStyle w:val="54"/>
          <w:rFonts w:hint="eastAsia" w:ascii="宋体" w:hAnsi="宋体"/>
          <w:color w:val="auto"/>
          <w:highlight w:val="none"/>
        </w:rPr>
        <w:t>二、经济部分</w:t>
      </w:r>
      <w:r>
        <w:rPr>
          <w:color w:val="auto"/>
          <w:highlight w:val="none"/>
        </w:rPr>
        <w:tab/>
      </w:r>
      <w:r>
        <w:rPr>
          <w:color w:val="auto"/>
          <w:highlight w:val="none"/>
        </w:rPr>
        <w:fldChar w:fldCharType="begin"/>
      </w:r>
      <w:r>
        <w:rPr>
          <w:color w:val="auto"/>
          <w:highlight w:val="none"/>
        </w:rPr>
        <w:instrText xml:space="preserve"> PAGEREF _Toc57905924 \h </w:instrText>
      </w:r>
      <w:r>
        <w:rPr>
          <w:color w:val="auto"/>
          <w:highlight w:val="none"/>
        </w:rPr>
        <w:fldChar w:fldCharType="separate"/>
      </w:r>
      <w:r>
        <w:rPr>
          <w:color w:val="auto"/>
          <w:highlight w:val="none"/>
        </w:rPr>
        <w:t>188</w:t>
      </w:r>
      <w:r>
        <w:rPr>
          <w:color w:val="auto"/>
          <w:highlight w:val="none"/>
        </w:rPr>
        <w:fldChar w:fldCharType="end"/>
      </w:r>
      <w:r>
        <w:rPr>
          <w:color w:val="auto"/>
          <w:highlight w:val="none"/>
        </w:rPr>
        <w:fldChar w:fldCharType="end"/>
      </w:r>
    </w:p>
    <w:p w14:paraId="2DE4EC2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"_Toc57905925" </w:instrText>
      </w:r>
      <w:r>
        <w:rPr>
          <w:color w:val="auto"/>
          <w:highlight w:val="none"/>
        </w:rPr>
        <w:fldChar w:fldCharType="separate"/>
      </w:r>
      <w:r>
        <w:rPr>
          <w:rStyle w:val="54"/>
          <w:rFonts w:hint="eastAsia"/>
          <w:i w:val="0"/>
          <w:color w:val="auto"/>
          <w:highlight w:val="none"/>
        </w:rPr>
        <w:t>（一）已标价工程量清单</w:t>
      </w:r>
      <w:r>
        <w:rPr>
          <w:i w:val="0"/>
          <w:color w:val="auto"/>
          <w:highlight w:val="none"/>
        </w:rPr>
        <w:tab/>
      </w:r>
      <w:r>
        <w:rPr>
          <w:i w:val="0"/>
          <w:color w:val="auto"/>
          <w:highlight w:val="none"/>
        </w:rPr>
        <w:fldChar w:fldCharType="begin"/>
      </w:r>
      <w:r>
        <w:rPr>
          <w:i w:val="0"/>
          <w:color w:val="auto"/>
          <w:highlight w:val="none"/>
        </w:rPr>
        <w:instrText xml:space="preserve"> PAGEREF _Toc57905925 \h </w:instrText>
      </w:r>
      <w:r>
        <w:rPr>
          <w:i w:val="0"/>
          <w:color w:val="auto"/>
          <w:highlight w:val="none"/>
        </w:rPr>
        <w:fldChar w:fldCharType="separate"/>
      </w:r>
      <w:r>
        <w:rPr>
          <w:i w:val="0"/>
          <w:color w:val="auto"/>
          <w:highlight w:val="none"/>
        </w:rPr>
        <w:t>191</w:t>
      </w:r>
      <w:r>
        <w:rPr>
          <w:i w:val="0"/>
          <w:color w:val="auto"/>
          <w:highlight w:val="none"/>
        </w:rPr>
        <w:fldChar w:fldCharType="end"/>
      </w:r>
      <w:r>
        <w:rPr>
          <w:i w:val="0"/>
          <w:color w:val="auto"/>
          <w:highlight w:val="none"/>
        </w:rPr>
        <w:fldChar w:fldCharType="end"/>
      </w:r>
    </w:p>
    <w:p w14:paraId="4C8A0183">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"_Toc57905926" </w:instrText>
      </w:r>
      <w:r>
        <w:rPr>
          <w:color w:val="auto"/>
          <w:highlight w:val="none"/>
        </w:rPr>
        <w:fldChar w:fldCharType="separate"/>
      </w:r>
      <w:r>
        <w:rPr>
          <w:rStyle w:val="54"/>
          <w:rFonts w:hint="eastAsia" w:ascii="宋体" w:hAnsi="宋体"/>
          <w:color w:val="auto"/>
          <w:highlight w:val="none"/>
        </w:rPr>
        <w:t>三、技术部分</w:t>
      </w:r>
      <w:r>
        <w:rPr>
          <w:color w:val="auto"/>
          <w:highlight w:val="none"/>
        </w:rPr>
        <w:tab/>
      </w:r>
      <w:r>
        <w:rPr>
          <w:color w:val="auto"/>
          <w:highlight w:val="none"/>
        </w:rPr>
        <w:fldChar w:fldCharType="begin"/>
      </w:r>
      <w:r>
        <w:rPr>
          <w:color w:val="auto"/>
          <w:highlight w:val="none"/>
        </w:rPr>
        <w:instrText xml:space="preserve"> PAGEREF _Toc57905926 \h </w:instrText>
      </w:r>
      <w:r>
        <w:rPr>
          <w:color w:val="auto"/>
          <w:highlight w:val="none"/>
        </w:rPr>
        <w:fldChar w:fldCharType="separate"/>
      </w:r>
      <w:r>
        <w:rPr>
          <w:color w:val="auto"/>
          <w:highlight w:val="none"/>
        </w:rPr>
        <w:t>192</w:t>
      </w:r>
      <w:r>
        <w:rPr>
          <w:color w:val="auto"/>
          <w:highlight w:val="none"/>
        </w:rPr>
        <w:fldChar w:fldCharType="end"/>
      </w:r>
      <w:r>
        <w:rPr>
          <w:color w:val="auto"/>
          <w:highlight w:val="none"/>
        </w:rPr>
        <w:fldChar w:fldCharType="end"/>
      </w:r>
    </w:p>
    <w:p w14:paraId="283A0237">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"_Toc57905927" </w:instrText>
      </w:r>
      <w:r>
        <w:rPr>
          <w:color w:val="auto"/>
          <w:highlight w:val="none"/>
        </w:rPr>
        <w:fldChar w:fldCharType="separate"/>
      </w:r>
      <w:r>
        <w:rPr>
          <w:rStyle w:val="54"/>
          <w:rFonts w:hint="eastAsia"/>
          <w:i w:val="0"/>
          <w:color w:val="auto"/>
          <w:highlight w:val="none"/>
        </w:rPr>
        <w:t>（一）技术方案</w:t>
      </w:r>
      <w:r>
        <w:rPr>
          <w:i w:val="0"/>
          <w:color w:val="auto"/>
          <w:highlight w:val="none"/>
        </w:rPr>
        <w:tab/>
      </w:r>
      <w:r>
        <w:rPr>
          <w:i w:val="0"/>
          <w:color w:val="auto"/>
          <w:highlight w:val="none"/>
        </w:rPr>
        <w:fldChar w:fldCharType="begin"/>
      </w:r>
      <w:r>
        <w:rPr>
          <w:i w:val="0"/>
          <w:color w:val="auto"/>
          <w:highlight w:val="none"/>
        </w:rPr>
        <w:instrText xml:space="preserve"> PAGEREF _Toc57905927 \h </w:instrText>
      </w:r>
      <w:r>
        <w:rPr>
          <w:i w:val="0"/>
          <w:color w:val="auto"/>
          <w:highlight w:val="none"/>
        </w:rPr>
        <w:fldChar w:fldCharType="separate"/>
      </w:r>
      <w:r>
        <w:rPr>
          <w:i w:val="0"/>
          <w:color w:val="auto"/>
          <w:highlight w:val="none"/>
        </w:rPr>
        <w:t>195</w:t>
      </w:r>
      <w:r>
        <w:rPr>
          <w:i w:val="0"/>
          <w:color w:val="auto"/>
          <w:highlight w:val="none"/>
        </w:rPr>
        <w:fldChar w:fldCharType="end"/>
      </w:r>
      <w:r>
        <w:rPr>
          <w:i w:val="0"/>
          <w:color w:val="auto"/>
          <w:highlight w:val="none"/>
        </w:rPr>
        <w:fldChar w:fldCharType="end"/>
      </w:r>
    </w:p>
    <w:p w14:paraId="487C31D0">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"_Toc57905928" </w:instrText>
      </w:r>
      <w:r>
        <w:rPr>
          <w:color w:val="auto"/>
          <w:highlight w:val="none"/>
        </w:rPr>
        <w:fldChar w:fldCharType="separate"/>
      </w:r>
      <w:r>
        <w:rPr>
          <w:rStyle w:val="54"/>
          <w:rFonts w:hint="eastAsia" w:ascii="宋体" w:hAnsi="宋体"/>
          <w:color w:val="auto"/>
          <w:highlight w:val="none"/>
        </w:rPr>
        <w:t>四、资格审查部分</w:t>
      </w:r>
      <w:r>
        <w:rPr>
          <w:color w:val="auto"/>
          <w:highlight w:val="none"/>
        </w:rPr>
        <w:tab/>
      </w:r>
      <w:r>
        <w:rPr>
          <w:color w:val="auto"/>
          <w:highlight w:val="none"/>
        </w:rPr>
        <w:fldChar w:fldCharType="begin"/>
      </w:r>
      <w:r>
        <w:rPr>
          <w:color w:val="auto"/>
          <w:highlight w:val="none"/>
        </w:rPr>
        <w:instrText xml:space="preserve"> PAGEREF _Toc57905928 \h </w:instrText>
      </w:r>
      <w:r>
        <w:rPr>
          <w:color w:val="auto"/>
          <w:highlight w:val="none"/>
        </w:rPr>
        <w:fldChar w:fldCharType="separate"/>
      </w:r>
      <w:r>
        <w:rPr>
          <w:color w:val="auto"/>
          <w:highlight w:val="none"/>
        </w:rPr>
        <w:t>196</w:t>
      </w:r>
      <w:r>
        <w:rPr>
          <w:color w:val="auto"/>
          <w:highlight w:val="none"/>
        </w:rPr>
        <w:fldChar w:fldCharType="end"/>
      </w:r>
      <w:r>
        <w:rPr>
          <w:color w:val="auto"/>
          <w:highlight w:val="none"/>
        </w:rPr>
        <w:fldChar w:fldCharType="end"/>
      </w:r>
    </w:p>
    <w:p w14:paraId="41329E0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"_Toc57905929" </w:instrText>
      </w:r>
      <w:r>
        <w:rPr>
          <w:color w:val="auto"/>
          <w:highlight w:val="none"/>
        </w:rPr>
        <w:fldChar w:fldCharType="separate"/>
      </w:r>
      <w:r>
        <w:rPr>
          <w:rStyle w:val="54"/>
          <w:rFonts w:hint="eastAsia"/>
          <w:i w:val="0"/>
          <w:color w:val="auto"/>
          <w:highlight w:val="none"/>
        </w:rPr>
        <w:t>（一）法定代表人身份证明或附有法定代表人身份证明的授权委托书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_Toc57905929 \h </w:instrText>
      </w:r>
      <w:r>
        <w:rPr>
          <w:i w:val="0"/>
          <w:color w:val="auto"/>
          <w:highlight w:val="none"/>
        </w:rPr>
        <w:fldChar w:fldCharType="separate"/>
      </w:r>
      <w:r>
        <w:rPr>
          <w:i w:val="0"/>
          <w:color w:val="auto"/>
          <w:highlight w:val="none"/>
        </w:rPr>
        <w:t>199</w:t>
      </w:r>
      <w:r>
        <w:rPr>
          <w:i w:val="0"/>
          <w:color w:val="auto"/>
          <w:highlight w:val="none"/>
        </w:rPr>
        <w:fldChar w:fldCharType="end"/>
      </w:r>
      <w:r>
        <w:rPr>
          <w:i w:val="0"/>
          <w:color w:val="auto"/>
          <w:highlight w:val="none"/>
        </w:rPr>
        <w:fldChar w:fldCharType="end"/>
      </w:r>
    </w:p>
    <w:p w14:paraId="2203B0D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"_Toc57905931" </w:instrText>
      </w:r>
      <w:r>
        <w:rPr>
          <w:color w:val="auto"/>
          <w:highlight w:val="none"/>
        </w:rPr>
        <w:fldChar w:fldCharType="separate"/>
      </w:r>
      <w:r>
        <w:rPr>
          <w:rStyle w:val="54"/>
          <w:rFonts w:hint="eastAsia" w:ascii="宋体" w:hAnsi="宋体"/>
          <w:i w:val="0"/>
          <w:color w:val="auto"/>
          <w:highlight w:val="none"/>
        </w:rPr>
        <w:t>（二）竞选人基本情况表</w:t>
      </w:r>
      <w:r>
        <w:rPr>
          <w:i w:val="0"/>
          <w:color w:val="auto"/>
          <w:highlight w:val="none"/>
        </w:rPr>
        <w:tab/>
      </w:r>
      <w:r>
        <w:rPr>
          <w:i w:val="0"/>
          <w:color w:val="auto"/>
          <w:highlight w:val="none"/>
        </w:rPr>
        <w:fldChar w:fldCharType="begin"/>
      </w:r>
      <w:r>
        <w:rPr>
          <w:i w:val="0"/>
          <w:color w:val="auto"/>
          <w:highlight w:val="none"/>
        </w:rPr>
        <w:instrText xml:space="preserve"> PAGEREF _Toc57905931 \h </w:instrText>
      </w:r>
      <w:r>
        <w:rPr>
          <w:i w:val="0"/>
          <w:color w:val="auto"/>
          <w:highlight w:val="none"/>
        </w:rPr>
        <w:fldChar w:fldCharType="separate"/>
      </w:r>
      <w:r>
        <w:rPr>
          <w:i w:val="0"/>
          <w:color w:val="auto"/>
          <w:highlight w:val="none"/>
        </w:rPr>
        <w:t>201</w:t>
      </w:r>
      <w:r>
        <w:rPr>
          <w:i w:val="0"/>
          <w:color w:val="auto"/>
          <w:highlight w:val="none"/>
        </w:rPr>
        <w:fldChar w:fldCharType="end"/>
      </w:r>
      <w:r>
        <w:rPr>
          <w:i w:val="0"/>
          <w:color w:val="auto"/>
          <w:highlight w:val="none"/>
        </w:rPr>
        <w:fldChar w:fldCharType="end"/>
      </w:r>
    </w:p>
    <w:p w14:paraId="009C246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"_Toc57905932" </w:instrText>
      </w:r>
      <w:r>
        <w:rPr>
          <w:color w:val="auto"/>
          <w:highlight w:val="none"/>
        </w:rPr>
        <w:fldChar w:fldCharType="separate"/>
      </w:r>
      <w:r>
        <w:rPr>
          <w:rStyle w:val="54"/>
          <w:rFonts w:hint="eastAsia" w:ascii="宋体" w:hAnsi="宋体"/>
          <w:i w:val="0"/>
          <w:color w:val="auto"/>
          <w:highlight w:val="none"/>
        </w:rPr>
        <w:t>（三）项目管理机构</w:t>
      </w:r>
      <w:r>
        <w:rPr>
          <w:i w:val="0"/>
          <w:color w:val="auto"/>
          <w:highlight w:val="none"/>
        </w:rPr>
        <w:tab/>
      </w:r>
      <w:r>
        <w:rPr>
          <w:i w:val="0"/>
          <w:color w:val="auto"/>
          <w:highlight w:val="none"/>
        </w:rPr>
        <w:fldChar w:fldCharType="begin"/>
      </w:r>
      <w:r>
        <w:rPr>
          <w:i w:val="0"/>
          <w:color w:val="auto"/>
          <w:highlight w:val="none"/>
        </w:rPr>
        <w:instrText xml:space="preserve"> PAGEREF _Toc57905932 \h </w:instrText>
      </w:r>
      <w:r>
        <w:rPr>
          <w:i w:val="0"/>
          <w:color w:val="auto"/>
          <w:highlight w:val="none"/>
        </w:rPr>
        <w:fldChar w:fldCharType="separate"/>
      </w:r>
      <w:r>
        <w:rPr>
          <w:i w:val="0"/>
          <w:color w:val="auto"/>
          <w:highlight w:val="none"/>
        </w:rPr>
        <w:t>202</w:t>
      </w:r>
      <w:r>
        <w:rPr>
          <w:i w:val="0"/>
          <w:color w:val="auto"/>
          <w:highlight w:val="none"/>
        </w:rPr>
        <w:fldChar w:fldCharType="end"/>
      </w:r>
      <w:r>
        <w:rPr>
          <w:i w:val="0"/>
          <w:color w:val="auto"/>
          <w:highlight w:val="none"/>
        </w:rPr>
        <w:fldChar w:fldCharType="end"/>
      </w:r>
    </w:p>
    <w:p w14:paraId="2E904D8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"_Toc57905935" </w:instrText>
      </w:r>
      <w:r>
        <w:rPr>
          <w:color w:val="auto"/>
          <w:highlight w:val="none"/>
        </w:rPr>
        <w:fldChar w:fldCharType="separate"/>
      </w:r>
      <w:r>
        <w:rPr>
          <w:rStyle w:val="54"/>
          <w:rFonts w:hint="eastAsia" w:ascii="宋体" w:hAnsi="宋体"/>
          <w:i w:val="0"/>
          <w:color w:val="auto"/>
          <w:highlight w:val="none"/>
        </w:rPr>
        <w:t>（四）承诺</w:t>
      </w:r>
      <w:r>
        <w:rPr>
          <w:i w:val="0"/>
          <w:color w:val="auto"/>
          <w:highlight w:val="none"/>
        </w:rPr>
        <w:tab/>
      </w:r>
      <w:r>
        <w:rPr>
          <w:i w:val="0"/>
          <w:color w:val="auto"/>
          <w:highlight w:val="none"/>
        </w:rPr>
        <w:fldChar w:fldCharType="begin"/>
      </w:r>
      <w:r>
        <w:rPr>
          <w:i w:val="0"/>
          <w:color w:val="auto"/>
          <w:highlight w:val="none"/>
        </w:rPr>
        <w:instrText xml:space="preserve"> PAGEREF _Toc57905935 \h </w:instrText>
      </w:r>
      <w:r>
        <w:rPr>
          <w:i w:val="0"/>
          <w:color w:val="auto"/>
          <w:highlight w:val="none"/>
        </w:rPr>
        <w:fldChar w:fldCharType="separate"/>
      </w:r>
      <w:r>
        <w:rPr>
          <w:i w:val="0"/>
          <w:color w:val="auto"/>
          <w:highlight w:val="none"/>
        </w:rPr>
        <w:t>204</w:t>
      </w:r>
      <w:r>
        <w:rPr>
          <w:i w:val="0"/>
          <w:color w:val="auto"/>
          <w:highlight w:val="none"/>
        </w:rPr>
        <w:fldChar w:fldCharType="end"/>
      </w:r>
      <w:r>
        <w:rPr>
          <w:i w:val="0"/>
          <w:color w:val="auto"/>
          <w:highlight w:val="none"/>
        </w:rPr>
        <w:fldChar w:fldCharType="end"/>
      </w:r>
    </w:p>
    <w:p w14:paraId="06C7A51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"_Toc57905936" </w:instrText>
      </w:r>
      <w:r>
        <w:rPr>
          <w:color w:val="auto"/>
          <w:highlight w:val="none"/>
        </w:rPr>
        <w:fldChar w:fldCharType="separate"/>
      </w:r>
      <w:r>
        <w:rPr>
          <w:rStyle w:val="54"/>
          <w:rFonts w:hint="eastAsia" w:ascii="宋体" w:hAnsi="宋体"/>
          <w:i w:val="0"/>
          <w:color w:val="auto"/>
          <w:highlight w:val="none"/>
        </w:rPr>
        <w:t>（五）其他资料</w:t>
      </w:r>
      <w:r>
        <w:rPr>
          <w:i w:val="0"/>
          <w:color w:val="auto"/>
          <w:highlight w:val="none"/>
        </w:rPr>
        <w:tab/>
      </w:r>
      <w:r>
        <w:rPr>
          <w:i w:val="0"/>
          <w:color w:val="auto"/>
          <w:highlight w:val="none"/>
        </w:rPr>
        <w:fldChar w:fldCharType="begin"/>
      </w:r>
      <w:r>
        <w:rPr>
          <w:i w:val="0"/>
          <w:color w:val="auto"/>
          <w:highlight w:val="none"/>
        </w:rPr>
        <w:instrText xml:space="preserve"> PAGEREF _Toc57905936 \h </w:instrText>
      </w:r>
      <w:r>
        <w:rPr>
          <w:i w:val="0"/>
          <w:color w:val="auto"/>
          <w:highlight w:val="none"/>
        </w:rPr>
        <w:fldChar w:fldCharType="separate"/>
      </w:r>
      <w:r>
        <w:rPr>
          <w:i w:val="0"/>
          <w:color w:val="auto"/>
          <w:highlight w:val="none"/>
        </w:rPr>
        <w:t>206</w:t>
      </w:r>
      <w:r>
        <w:rPr>
          <w:i w:val="0"/>
          <w:color w:val="auto"/>
          <w:highlight w:val="none"/>
        </w:rPr>
        <w:fldChar w:fldCharType="end"/>
      </w:r>
      <w:r>
        <w:rPr>
          <w:i w:val="0"/>
          <w:color w:val="auto"/>
          <w:highlight w:val="none"/>
        </w:rPr>
        <w:fldChar w:fldCharType="end"/>
      </w:r>
    </w:p>
    <w:p w14:paraId="424D2086">
      <w:pPr>
        <w:rPr>
          <w:rFonts w:ascii="宋体" w:hAnsi="宋体"/>
          <w:color w:val="auto"/>
          <w:highlight w:val="none"/>
        </w:rPr>
      </w:pPr>
      <w:r>
        <w:rPr>
          <w:rFonts w:ascii="宋体" w:hAnsi="宋体"/>
          <w:bCs/>
          <w:color w:val="auto"/>
          <w:szCs w:val="20"/>
          <w:highlight w:val="none"/>
          <w:lang w:val="zh-CN"/>
        </w:rPr>
        <w:fldChar w:fldCharType="end"/>
      </w:r>
    </w:p>
    <w:bookmarkEnd w:id="0"/>
    <w:p w14:paraId="77D63477">
      <w:pPr>
        <w:spacing w:line="20" w:lineRule="exact"/>
        <w:rPr>
          <w:rFonts w:ascii="宋体" w:hAnsi="宋体"/>
          <w:color w:val="auto"/>
          <w:highlight w:val="none"/>
        </w:rPr>
      </w:pPr>
      <w:bookmarkStart w:id="8" w:name="_Toc430530414"/>
    </w:p>
    <w:p w14:paraId="15559A1A">
      <w:pPr>
        <w:spacing w:line="20" w:lineRule="exact"/>
        <w:jc w:val="left"/>
        <w:rPr>
          <w:rFonts w:ascii="宋体" w:hAnsi="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14:paraId="2740C61E">
      <w:pPr>
        <w:spacing w:line="360" w:lineRule="auto"/>
        <w:rPr>
          <w:rFonts w:ascii="宋体" w:hAnsi="宋体"/>
          <w:color w:val="auto"/>
          <w:highlight w:val="none"/>
        </w:rPr>
      </w:pPr>
    </w:p>
    <w:p w14:paraId="38655250">
      <w:pPr>
        <w:pStyle w:val="2"/>
        <w:spacing w:before="0" w:after="0" w:line="480" w:lineRule="auto"/>
        <w:jc w:val="center"/>
        <w:rPr>
          <w:rFonts w:ascii="宋体" w:hAnsi="宋体"/>
          <w:color w:val="auto"/>
          <w:sz w:val="52"/>
          <w:szCs w:val="52"/>
          <w:highlight w:val="none"/>
        </w:rPr>
      </w:pPr>
      <w:bookmarkStart w:id="9" w:name="_Toc9936"/>
      <w:bookmarkStart w:id="10" w:name="_Toc509218690"/>
      <w:bookmarkStart w:id="11" w:name="_Toc57905810"/>
      <w:r>
        <w:rPr>
          <w:rFonts w:hint="eastAsia" w:ascii="宋体" w:hAnsi="宋体"/>
          <w:color w:val="auto"/>
          <w:sz w:val="52"/>
          <w:szCs w:val="52"/>
          <w:highlight w:val="none"/>
        </w:rPr>
        <w:t>第 一 卷</w:t>
      </w:r>
      <w:bookmarkEnd w:id="9"/>
      <w:bookmarkEnd w:id="10"/>
      <w:bookmarkEnd w:id="11"/>
    </w:p>
    <w:p w14:paraId="0A12D844">
      <w:pPr>
        <w:spacing w:line="200" w:lineRule="exact"/>
        <w:rPr>
          <w:rFonts w:ascii="宋体" w:hAnsi="宋体"/>
          <w:color w:val="auto"/>
          <w:highlight w:val="none"/>
        </w:rPr>
      </w:pPr>
      <w:r>
        <w:rPr>
          <w:rFonts w:ascii="宋体" w:hAnsi="宋体"/>
          <w:color w:val="auto"/>
          <w:highlight w:val="none"/>
        </w:rPr>
        <w:br w:type="page"/>
      </w:r>
    </w:p>
    <w:p w14:paraId="67DEF354">
      <w:pPr>
        <w:pStyle w:val="2"/>
        <w:spacing w:line="360" w:lineRule="auto"/>
        <w:jc w:val="center"/>
        <w:rPr>
          <w:rFonts w:ascii="宋体" w:hAnsi="宋体"/>
          <w:snapToGrid w:val="0"/>
          <w:color w:val="auto"/>
          <w:kern w:val="0"/>
          <w:highlight w:val="none"/>
        </w:rPr>
      </w:pPr>
      <w:bookmarkStart w:id="12" w:name="_Toc509218691"/>
      <w:bookmarkStart w:id="13" w:name="_Toc57905811"/>
      <w:bookmarkStart w:id="14" w:name="_Toc287607727"/>
      <w:bookmarkStart w:id="15" w:name="_Toc12819"/>
      <w:bookmarkStart w:id="16" w:name="_Toc287620666"/>
      <w:bookmarkStart w:id="17" w:name="_Toc430530415"/>
      <w:bookmarkStart w:id="18" w:name="_Toc277082535"/>
      <w:bookmarkStart w:id="19" w:name="_Toc224103298"/>
      <w:r>
        <w:rPr>
          <w:rFonts w:ascii="宋体" w:hAnsi="宋体"/>
          <w:snapToGrid w:val="0"/>
          <w:color w:val="auto"/>
          <w:kern w:val="0"/>
          <w:highlight w:val="none"/>
        </w:rPr>
        <w:t>第一章  招标公告</w:t>
      </w:r>
      <w:bookmarkEnd w:id="12"/>
      <w:bookmarkEnd w:id="13"/>
      <w:bookmarkEnd w:id="14"/>
      <w:bookmarkEnd w:id="15"/>
      <w:bookmarkEnd w:id="16"/>
      <w:bookmarkEnd w:id="17"/>
      <w:bookmarkEnd w:id="18"/>
      <w:bookmarkEnd w:id="19"/>
    </w:p>
    <w:p w14:paraId="75725960">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w w:val="99"/>
          <w:kern w:val="0"/>
          <w:sz w:val="28"/>
          <w:szCs w:val="28"/>
          <w:highlight w:val="none"/>
          <w:u w:val="single"/>
        </w:rPr>
        <w:t>2023年燃气市政管道老化更新改造工程弹广路（娄家庄段）燃气管道通道恢复项目</w:t>
      </w:r>
      <w:r>
        <w:rPr>
          <w:rFonts w:hint="eastAsia" w:ascii="宋体" w:hAnsi="宋体"/>
          <w:snapToGrid w:val="0"/>
          <w:color w:val="auto"/>
          <w:w w:val="99"/>
          <w:kern w:val="0"/>
          <w:sz w:val="28"/>
          <w:szCs w:val="28"/>
          <w:highlight w:val="none"/>
        </w:rPr>
        <w:t>竞争性比选公告</w:t>
      </w:r>
    </w:p>
    <w:p w14:paraId="0E3ED298">
      <w:pPr>
        <w:pStyle w:val="3"/>
        <w:spacing w:before="100" w:after="100" w:line="460" w:lineRule="exact"/>
        <w:rPr>
          <w:rFonts w:ascii="宋体" w:hAnsi="宋体"/>
          <w:snapToGrid w:val="0"/>
          <w:color w:val="auto"/>
          <w:sz w:val="28"/>
          <w:szCs w:val="28"/>
          <w:highlight w:val="none"/>
        </w:rPr>
      </w:pPr>
      <w:bookmarkStart w:id="20" w:name="_Toc509218692"/>
      <w:bookmarkStart w:id="21" w:name="_Toc224103299"/>
      <w:bookmarkStart w:id="22" w:name="_Toc287620667"/>
      <w:bookmarkStart w:id="23" w:name="_Toc200359427"/>
      <w:bookmarkStart w:id="24" w:name="_Toc430530416"/>
      <w:bookmarkStart w:id="25" w:name="_Toc277082536"/>
      <w:bookmarkStart w:id="26" w:name="_Toc57905812"/>
      <w:bookmarkStart w:id="27" w:name="_Toc200359238"/>
      <w:bookmarkStart w:id="28" w:name="_Toc27491"/>
      <w:bookmarkStart w:id="29" w:name="_Toc287607728"/>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0"/>
      <w:bookmarkEnd w:id="21"/>
      <w:bookmarkEnd w:id="22"/>
      <w:bookmarkEnd w:id="23"/>
      <w:bookmarkEnd w:id="24"/>
      <w:bookmarkEnd w:id="25"/>
      <w:bookmarkEnd w:id="26"/>
      <w:bookmarkEnd w:id="27"/>
      <w:bookmarkEnd w:id="28"/>
      <w:bookmarkEnd w:id="29"/>
    </w:p>
    <w:p w14:paraId="611DF55E">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bookmarkStart w:id="30" w:name="_Toc287620668"/>
      <w:bookmarkStart w:id="31" w:name="_Toc430530417"/>
      <w:bookmarkStart w:id="32" w:name="_Toc277082537"/>
      <w:bookmarkStart w:id="33" w:name="_Toc200359428"/>
      <w:bookmarkStart w:id="34" w:name="_Toc57905813"/>
      <w:bookmarkStart w:id="35" w:name="_Toc224103300"/>
      <w:bookmarkStart w:id="36" w:name="_Toc509218693"/>
      <w:bookmarkStart w:id="37" w:name="_Toc200359239"/>
      <w:bookmarkStart w:id="38" w:name="_Toc16344"/>
      <w:bookmarkStart w:id="39" w:name="_Toc287607729"/>
      <w:r>
        <w:rPr>
          <w:rFonts w:hint="eastAsia" w:ascii="宋体" w:hAnsi="宋体"/>
          <w:color w:val="auto"/>
          <w:szCs w:val="21"/>
          <w:highlight w:val="none"/>
        </w:rPr>
        <w:t>本比选项目</w:t>
      </w:r>
      <w:r>
        <w:rPr>
          <w:rFonts w:hint="eastAsia" w:ascii="宋体" w:hAnsi="宋体"/>
          <w:color w:val="auto"/>
          <w:szCs w:val="21"/>
          <w:highlight w:val="none"/>
          <w:u w:val="single"/>
        </w:rPr>
        <w:t>2023年燃气市政管道老化更新改造工程弹广路（娄家庄段）燃气管道通道恢复项目</w:t>
      </w:r>
      <w:r>
        <w:rPr>
          <w:rFonts w:hint="eastAsia" w:ascii="宋体" w:hAnsi="宋体"/>
          <w:color w:val="auto"/>
          <w:szCs w:val="21"/>
          <w:highlight w:val="none"/>
        </w:rPr>
        <w:t>比选人为</w:t>
      </w:r>
      <w:r>
        <w:rPr>
          <w:rFonts w:hint="eastAsia" w:ascii="宋体" w:hAnsi="宋体"/>
          <w:color w:val="auto"/>
          <w:szCs w:val="21"/>
          <w:highlight w:val="none"/>
          <w:u w:val="single"/>
        </w:rPr>
        <w:t>重庆市南岸城市更新建设发展有限公司</w:t>
      </w:r>
      <w:r>
        <w:rPr>
          <w:rFonts w:hint="eastAsia" w:ascii="宋体" w:hAnsi="宋体"/>
          <w:color w:val="auto"/>
          <w:szCs w:val="21"/>
          <w:highlight w:val="none"/>
        </w:rPr>
        <w:t>。建设资金来自</w:t>
      </w:r>
      <w:r>
        <w:rPr>
          <w:rFonts w:hint="eastAsia" w:ascii="宋体" w:hAnsi="宋体"/>
          <w:color w:val="auto"/>
          <w:szCs w:val="21"/>
          <w:highlight w:val="none"/>
          <w:u w:val="single"/>
        </w:rPr>
        <w:t>国有资金</w:t>
      </w:r>
      <w:r>
        <w:rPr>
          <w:rFonts w:hint="eastAsia" w:ascii="宋体" w:hAnsi="宋体"/>
          <w:color w:val="auto"/>
          <w:szCs w:val="21"/>
          <w:highlight w:val="none"/>
        </w:rPr>
        <w:t>，项目出资比例为</w:t>
      </w:r>
      <w:r>
        <w:rPr>
          <w:rFonts w:hint="eastAsia" w:ascii="宋体" w:hAnsi="宋体"/>
          <w:color w:val="auto"/>
          <w:szCs w:val="21"/>
          <w:highlight w:val="none"/>
          <w:u w:val="single"/>
        </w:rPr>
        <w:t>100%</w:t>
      </w:r>
      <w:r>
        <w:rPr>
          <w:rFonts w:hint="eastAsia" w:ascii="宋体" w:hAnsi="宋体"/>
          <w:color w:val="auto"/>
          <w:szCs w:val="21"/>
          <w:highlight w:val="none"/>
        </w:rPr>
        <w:t>，项目已具备施工比选条件，现对该项目进行公开比选，特邀请有兴趣的潜在竞选人参与竞争性比选。</w:t>
      </w:r>
    </w:p>
    <w:p w14:paraId="61D7FEEF">
      <w:pPr>
        <w:pStyle w:val="3"/>
        <w:spacing w:before="100" w:after="100" w:line="460" w:lineRule="exact"/>
        <w:rPr>
          <w:rFonts w:ascii="宋体" w:hAnsi="宋体"/>
          <w:snapToGrid w:val="0"/>
          <w:color w:val="auto"/>
          <w:sz w:val="28"/>
          <w:szCs w:val="28"/>
          <w:highlight w:val="none"/>
        </w:rPr>
      </w:pPr>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bookmarkEnd w:id="30"/>
      <w:bookmarkEnd w:id="31"/>
      <w:bookmarkEnd w:id="32"/>
      <w:bookmarkEnd w:id="33"/>
      <w:bookmarkEnd w:id="34"/>
      <w:bookmarkEnd w:id="35"/>
      <w:bookmarkEnd w:id="36"/>
      <w:bookmarkEnd w:id="37"/>
      <w:bookmarkEnd w:id="38"/>
      <w:bookmarkEnd w:id="39"/>
      <w:r>
        <w:rPr>
          <w:rFonts w:hint="eastAsia" w:ascii="宋体" w:hAnsi="宋体"/>
          <w:snapToGrid w:val="0"/>
          <w:color w:val="auto"/>
          <w:sz w:val="28"/>
          <w:szCs w:val="28"/>
          <w:highlight w:val="none"/>
        </w:rPr>
        <w:t>比选范围</w:t>
      </w:r>
    </w:p>
    <w:p w14:paraId="1A6E825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重庆市南岸区</w:t>
      </w:r>
      <w:r>
        <w:rPr>
          <w:rFonts w:hint="eastAsia" w:ascii="宋体" w:hAnsi="宋体"/>
          <w:color w:val="auto"/>
          <w:szCs w:val="21"/>
          <w:highlight w:val="none"/>
          <w:u w:val="single"/>
        </w:rPr>
        <w:t>；</w:t>
      </w:r>
    </w:p>
    <w:p w14:paraId="1FDED1E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 xml:space="preserve"> 本项目为弹广路娄家庄应急抢险段（K5+092~K5+140），路线全长48m。项目路基挖方0.135万方、填方0.106万方，新建路基排水和防护工程1405立方米 。</w:t>
      </w:r>
    </w:p>
    <w:p w14:paraId="441E614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cs="宋体"/>
          <w:color w:val="auto"/>
          <w:szCs w:val="21"/>
          <w:highlight w:val="none"/>
          <w:u w:val="single"/>
        </w:rPr>
        <w:t>180万</w:t>
      </w:r>
      <w:r>
        <w:rPr>
          <w:rFonts w:hint="eastAsia" w:ascii="宋体" w:hAnsi="宋体"/>
          <w:snapToGrid w:val="0"/>
          <w:color w:val="auto"/>
          <w:kern w:val="0"/>
          <w:szCs w:val="21"/>
          <w:highlight w:val="none"/>
          <w:u w:val="single"/>
        </w:rPr>
        <w:t>元。</w:t>
      </w:r>
    </w:p>
    <w:p w14:paraId="4CF21E02">
      <w:pPr>
        <w:spacing w:line="420" w:lineRule="exact"/>
        <w:ind w:firstLine="420" w:firstLineChars="200"/>
        <w:textAlignment w:val="baseline"/>
        <w:rPr>
          <w:rFonts w:ascii="宋体" w:hAnsi="宋体" w:cs="MingLiU"/>
          <w:snapToGrid w:val="0"/>
          <w:color w:val="auto"/>
          <w:kern w:val="0"/>
          <w:szCs w:val="21"/>
          <w:highlight w:val="none"/>
        </w:rPr>
      </w:pPr>
      <w:r>
        <w:rPr>
          <w:rFonts w:hint="eastAsia" w:ascii="宋体" w:hAnsi="宋体"/>
          <w:snapToGrid w:val="0"/>
          <w:color w:val="auto"/>
          <w:kern w:val="0"/>
          <w:szCs w:val="21"/>
          <w:highlight w:val="none"/>
        </w:rPr>
        <w:t>2.4 比选范围：</w:t>
      </w:r>
      <w:r>
        <w:rPr>
          <w:rFonts w:hint="eastAsia" w:ascii="宋体" w:hAnsi="宋体"/>
          <w:color w:val="auto"/>
          <w:szCs w:val="21"/>
          <w:highlight w:val="none"/>
          <w:u w:val="single"/>
        </w:rPr>
        <w:t>具体内容详见比选人提供的施工图和工程量清单，施工图与工程量清单不一致时以工程量清单为准。</w:t>
      </w:r>
    </w:p>
    <w:p w14:paraId="17521B0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90</w:t>
      </w:r>
      <w:r>
        <w:rPr>
          <w:rFonts w:hint="eastAsia" w:ascii="宋体" w:hAnsi="宋体"/>
          <w:snapToGrid w:val="0"/>
          <w:color w:val="auto"/>
          <w:kern w:val="0"/>
          <w:szCs w:val="21"/>
          <w:highlight w:val="none"/>
          <w:u w:val="single"/>
        </w:rPr>
        <w:t>日历天</w:t>
      </w:r>
    </w:p>
    <w:p w14:paraId="1F5BEB8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24个月</w:t>
      </w:r>
    </w:p>
    <w:p w14:paraId="425DD21F">
      <w:pPr>
        <w:pStyle w:val="3"/>
        <w:spacing w:before="100" w:after="100" w:line="460" w:lineRule="exact"/>
        <w:rPr>
          <w:rFonts w:ascii="宋体" w:hAnsi="宋体"/>
          <w:snapToGrid w:val="0"/>
          <w:color w:val="auto"/>
          <w:sz w:val="28"/>
          <w:szCs w:val="28"/>
          <w:highlight w:val="none"/>
        </w:rPr>
      </w:pPr>
      <w:bookmarkStart w:id="40" w:name="_Toc19513"/>
      <w:bookmarkStart w:id="41" w:name="_Toc224103301"/>
      <w:bookmarkStart w:id="42" w:name="_Toc287607730"/>
      <w:bookmarkStart w:id="43" w:name="_Toc200359429"/>
      <w:bookmarkStart w:id="44" w:name="_Toc430530418"/>
      <w:bookmarkStart w:id="45" w:name="_Toc509218694"/>
      <w:bookmarkStart w:id="46" w:name="_Toc57905814"/>
      <w:bookmarkStart w:id="47" w:name="_Toc287620669"/>
      <w:bookmarkStart w:id="48" w:name="_Toc277082538"/>
      <w:bookmarkStart w:id="49" w:name="_Toc200359240"/>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竞选人</w:t>
      </w:r>
      <w:r>
        <w:rPr>
          <w:rFonts w:ascii="宋体" w:hAnsi="宋体"/>
          <w:snapToGrid w:val="0"/>
          <w:color w:val="auto"/>
          <w:sz w:val="28"/>
          <w:szCs w:val="28"/>
          <w:highlight w:val="none"/>
        </w:rPr>
        <w:t>资格要求</w:t>
      </w:r>
      <w:bookmarkEnd w:id="40"/>
      <w:bookmarkEnd w:id="41"/>
      <w:bookmarkEnd w:id="42"/>
      <w:bookmarkEnd w:id="43"/>
      <w:bookmarkEnd w:id="44"/>
      <w:bookmarkEnd w:id="45"/>
      <w:bookmarkEnd w:id="46"/>
      <w:bookmarkEnd w:id="47"/>
      <w:bookmarkEnd w:id="48"/>
      <w:bookmarkEnd w:id="49"/>
    </w:p>
    <w:p w14:paraId="3D49044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4E481F6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本次招标要求竞选人具备的资质条件：</w:t>
      </w:r>
      <w:r>
        <w:rPr>
          <w:rFonts w:hint="eastAsia" w:ascii="宋体" w:hAnsi="宋体"/>
          <w:color w:val="auto"/>
          <w:szCs w:val="21"/>
          <w:highlight w:val="none"/>
          <w:u w:val="single"/>
        </w:rPr>
        <w:t>具备建设行政主管部门颁发的有效的</w:t>
      </w:r>
      <w:r>
        <w:rPr>
          <w:rFonts w:hint="eastAsia" w:ascii="宋体" w:hAnsi="宋体"/>
          <w:color w:val="auto"/>
          <w:szCs w:val="21"/>
          <w:highlight w:val="none"/>
          <w:u w:val="single"/>
        </w:rPr>
        <w:t>公路工程施工总承包三级及以上资质</w:t>
      </w:r>
      <w:r>
        <w:rPr>
          <w:rFonts w:hint="eastAsia" w:ascii="宋体" w:hAnsi="宋体"/>
          <w:snapToGrid w:val="0"/>
          <w:color w:val="auto"/>
          <w:kern w:val="0"/>
          <w:szCs w:val="21"/>
          <w:highlight w:val="none"/>
        </w:rPr>
        <w:t>；</w:t>
      </w:r>
    </w:p>
    <w:p w14:paraId="448DF295">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3.1.2 竞选人还应在人员、设备、资金等方面具有相应的施工能力，详见竞选文件第二章竞选人须知前附表第1.4.1项内容。</w:t>
      </w:r>
    </w:p>
    <w:p w14:paraId="22DA145F">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u w:val="single"/>
        </w:rPr>
        <w:t>不接受</w:t>
      </w:r>
      <w:r>
        <w:rPr>
          <w:rFonts w:ascii="宋体" w:hAnsi="宋体"/>
          <w:snapToGrid w:val="0"/>
          <w:color w:val="auto"/>
          <w:kern w:val="0"/>
          <w:szCs w:val="21"/>
          <w:highlight w:val="none"/>
        </w:rPr>
        <w:t>联合体投标。</w:t>
      </w:r>
    </w:p>
    <w:p w14:paraId="52C062F3">
      <w:pPr>
        <w:pStyle w:val="3"/>
        <w:spacing w:before="100" w:after="100" w:line="460" w:lineRule="exact"/>
        <w:rPr>
          <w:rFonts w:ascii="宋体" w:hAnsi="宋体"/>
          <w:snapToGrid w:val="0"/>
          <w:color w:val="auto"/>
          <w:sz w:val="28"/>
          <w:szCs w:val="28"/>
          <w:highlight w:val="none"/>
        </w:rPr>
      </w:pPr>
      <w:bookmarkStart w:id="50" w:name="_Toc57905815"/>
      <w:bookmarkStart w:id="51" w:name="_Toc10508"/>
      <w:bookmarkStart w:id="52" w:name="_Toc277082539"/>
      <w:bookmarkStart w:id="53" w:name="_Toc200359430"/>
      <w:bookmarkStart w:id="54" w:name="_Toc509218695"/>
      <w:bookmarkStart w:id="55" w:name="_Toc200359241"/>
      <w:bookmarkStart w:id="56" w:name="_Toc224103302"/>
      <w:bookmarkStart w:id="57" w:name="_Toc287607731"/>
      <w:bookmarkStart w:id="58" w:name="_Toc287620670"/>
      <w:bookmarkStart w:id="59" w:name="_Toc430530419"/>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的获取</w:t>
      </w:r>
      <w:bookmarkEnd w:id="50"/>
      <w:bookmarkEnd w:id="51"/>
      <w:bookmarkEnd w:id="52"/>
      <w:bookmarkEnd w:id="53"/>
      <w:bookmarkEnd w:id="54"/>
      <w:bookmarkEnd w:id="55"/>
      <w:bookmarkEnd w:id="56"/>
      <w:bookmarkEnd w:id="57"/>
      <w:bookmarkEnd w:id="58"/>
      <w:bookmarkEnd w:id="59"/>
    </w:p>
    <w:p w14:paraId="0A20DEF5">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 xml:space="preserve">4.1 </w:t>
      </w:r>
      <w:r>
        <w:rPr>
          <w:rFonts w:hint="eastAsia" w:ascii="宋体" w:hAnsi="宋体" w:cs="宋体"/>
          <w:snapToGrid w:val="0"/>
          <w:color w:val="auto"/>
          <w:kern w:val="0"/>
          <w:szCs w:val="21"/>
          <w:highlight w:val="none"/>
        </w:rPr>
        <w:t>凡有意参加比选的比选申请人在行采家（https://www.gec123.com/）上获取竞争性比选文件以及补遗等开标前公布的所有项目资料，无论比选申请人领取或下载与否，均视为已知晓所有比选内容，并在</w:t>
      </w:r>
      <w:r>
        <w:rPr>
          <w:rFonts w:hint="eastAsia" w:ascii="宋体" w:hAnsi="宋体" w:cs="宋体"/>
          <w:snapToGrid w:val="0"/>
          <w:color w:val="auto"/>
          <w:kern w:val="0"/>
          <w:szCs w:val="21"/>
          <w:highlight w:val="none"/>
          <w:u w:val="single"/>
        </w:rPr>
        <w:t xml:space="preserve"> 2025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9</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23</w:t>
      </w:r>
      <w:r>
        <w:rPr>
          <w:rFonts w:hint="eastAsia" w:ascii="宋体" w:hAnsi="宋体" w:cs="宋体"/>
          <w:snapToGrid w:val="0"/>
          <w:color w:val="auto"/>
          <w:kern w:val="0"/>
          <w:szCs w:val="21"/>
          <w:highlight w:val="none"/>
        </w:rPr>
        <w:t>日下午</w:t>
      </w:r>
      <w:r>
        <w:rPr>
          <w:rFonts w:hint="eastAsia" w:ascii="宋体" w:hAnsi="宋体" w:cs="宋体"/>
          <w:snapToGrid w:val="0"/>
          <w:color w:val="auto"/>
          <w:kern w:val="0"/>
          <w:szCs w:val="21"/>
          <w:highlight w:val="none"/>
          <w:u w:val="single"/>
        </w:rPr>
        <w:t>17：00时前</w:t>
      </w:r>
      <w:r>
        <w:rPr>
          <w:rFonts w:hint="eastAsia" w:ascii="宋体" w:hAnsi="宋体" w:cs="宋体"/>
          <w:snapToGrid w:val="0"/>
          <w:color w:val="auto"/>
          <w:kern w:val="0"/>
          <w:szCs w:val="21"/>
          <w:highlight w:val="none"/>
        </w:rPr>
        <w:t>持单位授权委托书至中资（重庆）工程咨询有限公司（地址：重庆市沙坪坝区龙湖光年2号楼14层）递交《登记表》（加盖投人公章）报名或《登记表》（加盖投人公章）的扫描件发至邮箱（</w:t>
      </w:r>
      <w:r>
        <w:rPr>
          <w:rFonts w:ascii="宋体" w:hAnsi="宋体" w:cs="宋体"/>
          <w:snapToGrid w:val="0"/>
          <w:color w:val="auto"/>
          <w:kern w:val="0"/>
          <w:szCs w:val="21"/>
          <w:highlight w:val="none"/>
        </w:rPr>
        <w:t>ZZCQGC@163.com</w:t>
      </w:r>
      <w:r>
        <w:rPr>
          <w:rFonts w:hint="eastAsia" w:ascii="宋体" w:hAnsi="宋体" w:cs="宋体"/>
          <w:snapToGrid w:val="0"/>
          <w:color w:val="auto"/>
          <w:kern w:val="0"/>
          <w:szCs w:val="21"/>
          <w:highlight w:val="none"/>
        </w:rPr>
        <w:t>）报名。</w:t>
      </w:r>
    </w:p>
    <w:p w14:paraId="19202F2E">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 本次竞争性比选不采用邮寄等方式报名。</w:t>
      </w:r>
    </w:p>
    <w:p w14:paraId="7F931325">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 比选文件每套售价</w:t>
      </w:r>
      <w:r>
        <w:rPr>
          <w:rFonts w:cs="宋体" w:asciiTheme="minorEastAsia" w:hAnsiTheme="minorEastAsia" w:eastAsiaTheme="minorEastAsia"/>
          <w:snapToGrid w:val="0"/>
          <w:color w:val="auto"/>
          <w:kern w:val="0"/>
          <w:szCs w:val="21"/>
          <w:highlight w:val="none"/>
        </w:rPr>
        <w:t>5</w:t>
      </w:r>
      <w:r>
        <w:rPr>
          <w:rFonts w:hint="eastAsia" w:cs="宋体" w:asciiTheme="minorEastAsia" w:hAnsiTheme="minorEastAsia" w:eastAsiaTheme="minorEastAsia"/>
          <w:snapToGrid w:val="0"/>
          <w:color w:val="auto"/>
          <w:kern w:val="0"/>
          <w:szCs w:val="21"/>
          <w:highlight w:val="none"/>
        </w:rPr>
        <w:t>00元/份，在递交比选文件时支付给代理机构，售后不退。</w:t>
      </w:r>
    </w:p>
    <w:p w14:paraId="7D167B85">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 比选申请人须满足以下要件，其比选申请文件才被接受：</w:t>
      </w:r>
    </w:p>
    <w:p w14:paraId="2B22E086">
      <w:pPr>
        <w:autoSpaceDE w:val="0"/>
        <w:autoSpaceDN w:val="0"/>
        <w:adjustRightInd w:val="0"/>
        <w:snapToGrid w:val="0"/>
        <w:spacing w:line="46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4.4.1  按时递交了比选申请文件；</w:t>
      </w:r>
    </w:p>
    <w:p w14:paraId="1BD07730">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4.4.2  按时报名并签到。</w:t>
      </w:r>
    </w:p>
    <w:p w14:paraId="6857BDF3">
      <w:pPr>
        <w:pStyle w:val="3"/>
        <w:spacing w:before="100" w:after="100" w:line="460" w:lineRule="exact"/>
        <w:rPr>
          <w:rFonts w:ascii="宋体" w:hAnsi="宋体"/>
          <w:snapToGrid w:val="0"/>
          <w:color w:val="auto"/>
          <w:sz w:val="28"/>
          <w:szCs w:val="28"/>
          <w:highlight w:val="none"/>
        </w:rPr>
      </w:pPr>
      <w:bookmarkStart w:id="60" w:name="_Toc224103303"/>
      <w:bookmarkStart w:id="61" w:name="_Toc509218696"/>
      <w:bookmarkStart w:id="62" w:name="_Toc430530420"/>
      <w:bookmarkStart w:id="63" w:name="_Toc57905816"/>
      <w:bookmarkStart w:id="64" w:name="_Toc200359242"/>
      <w:bookmarkStart w:id="65" w:name="_Toc28449"/>
      <w:bookmarkStart w:id="66" w:name="_Toc200359431"/>
      <w:bookmarkStart w:id="67" w:name="_Toc287620671"/>
      <w:bookmarkStart w:id="68" w:name="_Toc287607732"/>
      <w:bookmarkStart w:id="69" w:name="_Toc277082540"/>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的递交</w:t>
      </w:r>
      <w:bookmarkEnd w:id="60"/>
      <w:bookmarkEnd w:id="61"/>
      <w:bookmarkEnd w:id="62"/>
      <w:bookmarkEnd w:id="63"/>
      <w:bookmarkEnd w:id="64"/>
      <w:bookmarkEnd w:id="65"/>
      <w:bookmarkEnd w:id="66"/>
      <w:bookmarkEnd w:id="67"/>
      <w:bookmarkEnd w:id="68"/>
      <w:bookmarkEnd w:id="69"/>
    </w:p>
    <w:p w14:paraId="69BF7727">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cs="宋体"/>
          <w:snapToGrid w:val="0"/>
          <w:color w:val="auto"/>
          <w:kern w:val="0"/>
          <w:szCs w:val="21"/>
          <w:highlight w:val="none"/>
        </w:rPr>
      </w:pPr>
      <w:bookmarkStart w:id="70" w:name="_Toc200359432"/>
      <w:bookmarkStart w:id="71" w:name="_Toc430530421"/>
      <w:bookmarkStart w:id="72" w:name="_Toc287620672"/>
      <w:bookmarkStart w:id="73" w:name="_Toc509218697"/>
      <w:bookmarkStart w:id="74" w:name="_Toc287607733"/>
      <w:bookmarkStart w:id="75" w:name="_Toc224103304"/>
      <w:bookmarkStart w:id="76" w:name="_Toc8166"/>
      <w:bookmarkStart w:id="77" w:name="_Toc200359243"/>
      <w:bookmarkStart w:id="78" w:name="_Toc57905817"/>
      <w:bookmarkStart w:id="79" w:name="_Toc277082541"/>
      <w:r>
        <w:rPr>
          <w:rFonts w:hint="eastAsia" w:ascii="宋体" w:hAnsi="宋体" w:cs="宋体"/>
          <w:snapToGrid w:val="0"/>
          <w:color w:val="auto"/>
          <w:kern w:val="0"/>
          <w:szCs w:val="21"/>
          <w:highlight w:val="none"/>
        </w:rPr>
        <w:t>5.1  竞选文件递交的截止时间（竞选截止时间，下同）为</w:t>
      </w:r>
      <w:r>
        <w:rPr>
          <w:rFonts w:hint="eastAsia" w:ascii="宋体" w:hAnsi="宋体" w:cs="宋体"/>
          <w:snapToGrid w:val="0"/>
          <w:color w:val="auto"/>
          <w:kern w:val="0"/>
          <w:szCs w:val="21"/>
          <w:highlight w:val="none"/>
          <w:u w:val="single"/>
        </w:rPr>
        <w:t xml:space="preserve"> 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9</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24</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10 </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 xml:space="preserve"> 00 </w:t>
      </w:r>
      <w:r>
        <w:rPr>
          <w:rFonts w:hint="eastAsia" w:ascii="宋体" w:hAnsi="宋体" w:cs="宋体"/>
          <w:snapToGrid w:val="0"/>
          <w:color w:val="auto"/>
          <w:kern w:val="0"/>
          <w:szCs w:val="21"/>
          <w:highlight w:val="none"/>
        </w:rPr>
        <w:t>分，地点为</w:t>
      </w:r>
      <w:r>
        <w:rPr>
          <w:rFonts w:hint="eastAsia" w:ascii="宋体" w:hAnsi="宋体" w:cs="宋体"/>
          <w:snapToGrid w:val="0"/>
          <w:color w:val="auto"/>
          <w:kern w:val="0"/>
          <w:szCs w:val="21"/>
          <w:highlight w:val="none"/>
          <w:u w:val="single"/>
        </w:rPr>
        <w:t xml:space="preserve"> 重庆市南岸区行政服务中心B区3号楼</w:t>
      </w:r>
      <w:r>
        <w:rPr>
          <w:rFonts w:ascii="宋体" w:hAnsi="宋体" w:cs="宋体"/>
          <w:snapToGrid w:val="0"/>
          <w:color w:val="auto"/>
          <w:kern w:val="0"/>
          <w:szCs w:val="21"/>
          <w:highlight w:val="none"/>
          <w:u w:val="single"/>
        </w:rPr>
        <w:t>2</w:t>
      </w:r>
      <w:r>
        <w:rPr>
          <w:rFonts w:hint="eastAsia" w:ascii="宋体" w:hAnsi="宋体" w:cs="宋体"/>
          <w:snapToGrid w:val="0"/>
          <w:color w:val="auto"/>
          <w:kern w:val="0"/>
          <w:szCs w:val="21"/>
          <w:highlight w:val="none"/>
          <w:u w:val="single"/>
        </w:rPr>
        <w:t xml:space="preserve">012室 </w:t>
      </w:r>
      <w:r>
        <w:rPr>
          <w:rFonts w:hint="eastAsia" w:ascii="宋体" w:hAnsi="宋体" w:cs="宋体"/>
          <w:snapToGrid w:val="0"/>
          <w:color w:val="auto"/>
          <w:kern w:val="0"/>
          <w:szCs w:val="21"/>
          <w:highlight w:val="none"/>
        </w:rPr>
        <w:t>。</w:t>
      </w:r>
    </w:p>
    <w:p w14:paraId="2616E7A7">
      <w:pPr>
        <w:autoSpaceDE w:val="0"/>
        <w:autoSpaceDN w:val="0"/>
        <w:adjustRightInd w:val="0"/>
        <w:snapToGrid w:val="0"/>
        <w:spacing w:line="45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5.2  逾期送达的或者未送达指定地点的竞选文件，比选人不予受理。</w:t>
      </w:r>
    </w:p>
    <w:p w14:paraId="007B92AA">
      <w:pPr>
        <w:pStyle w:val="3"/>
        <w:spacing w:before="100" w:after="100" w:line="460" w:lineRule="exact"/>
        <w:rPr>
          <w:rFonts w:ascii="宋体" w:hAnsi="宋体"/>
          <w:snapToGrid w:val="0"/>
          <w:color w:val="auto"/>
          <w:sz w:val="28"/>
          <w:szCs w:val="28"/>
          <w:highlight w:val="none"/>
        </w:rPr>
      </w:pPr>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0"/>
      <w:bookmarkEnd w:id="71"/>
      <w:bookmarkEnd w:id="72"/>
      <w:bookmarkEnd w:id="73"/>
      <w:bookmarkEnd w:id="74"/>
      <w:bookmarkEnd w:id="75"/>
      <w:bookmarkEnd w:id="76"/>
      <w:bookmarkEnd w:id="77"/>
      <w:bookmarkEnd w:id="78"/>
      <w:bookmarkEnd w:id="79"/>
    </w:p>
    <w:p w14:paraId="4AF35EFE">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行采家（http://www.gec123.com）、中国招标投标公共服务平台 （http://www.cebpubservice.com）</w:t>
      </w:r>
      <w:r>
        <w:rPr>
          <w:rFonts w:ascii="宋体" w:hAnsi="宋体"/>
          <w:snapToGrid w:val="0"/>
          <w:color w:val="auto"/>
          <w:kern w:val="0"/>
          <w:szCs w:val="21"/>
          <w:highlight w:val="none"/>
        </w:rPr>
        <w:t>上发布。</w:t>
      </w:r>
    </w:p>
    <w:p w14:paraId="61D54575">
      <w:pPr>
        <w:pStyle w:val="3"/>
        <w:spacing w:before="100" w:after="100" w:line="460" w:lineRule="exact"/>
        <w:rPr>
          <w:rFonts w:ascii="宋体" w:hAnsi="宋体"/>
          <w:snapToGrid w:val="0"/>
          <w:color w:val="auto"/>
          <w:sz w:val="28"/>
          <w:szCs w:val="28"/>
          <w:highlight w:val="none"/>
        </w:rPr>
      </w:pPr>
      <w:bookmarkStart w:id="80" w:name="_Toc14240"/>
      <w:bookmarkStart w:id="81" w:name="_Toc31352"/>
      <w:bookmarkStart w:id="82" w:name="_Toc224103305"/>
      <w:bookmarkStart w:id="83" w:name="_Toc430530422"/>
      <w:bookmarkStart w:id="84" w:name="_Toc287620673"/>
      <w:bookmarkStart w:id="85" w:name="_Toc57905818"/>
      <w:bookmarkStart w:id="86" w:name="_Toc287607734"/>
      <w:bookmarkStart w:id="87" w:name="_Toc509218698"/>
      <w:bookmarkStart w:id="88" w:name="_Toc277082542"/>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0"/>
      <w:bookmarkEnd w:id="81"/>
      <w:bookmarkStart w:id="89" w:name="_Toc589"/>
      <w:r>
        <w:rPr>
          <w:rFonts w:ascii="宋体" w:hAnsi="宋体"/>
          <w:snapToGrid w:val="0"/>
          <w:color w:val="auto"/>
          <w:sz w:val="28"/>
          <w:szCs w:val="28"/>
          <w:highlight w:val="none"/>
        </w:rPr>
        <w:t>联系方式</w:t>
      </w:r>
      <w:bookmarkEnd w:id="82"/>
      <w:bookmarkEnd w:id="83"/>
      <w:bookmarkEnd w:id="84"/>
      <w:bookmarkEnd w:id="85"/>
      <w:bookmarkEnd w:id="86"/>
      <w:bookmarkEnd w:id="87"/>
      <w:bookmarkEnd w:id="88"/>
      <w:bookmarkEnd w:id="89"/>
    </w:p>
    <w:p w14:paraId="74290A23">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比选人：重庆市南岸城市更新建设发展有限公司      </w:t>
      </w:r>
    </w:p>
    <w:p w14:paraId="517AF558">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地址：</w:t>
      </w:r>
      <w:r>
        <w:rPr>
          <w:rFonts w:hint="eastAsia" w:asciiTheme="minorEastAsia" w:hAnsiTheme="minorEastAsia" w:eastAsiaTheme="minorEastAsia"/>
          <w:color w:val="auto"/>
          <w:highlight w:val="none"/>
        </w:rPr>
        <w:t>重庆市南岸区行政中心B区三号楼</w:t>
      </w:r>
      <w:r>
        <w:rPr>
          <w:rFonts w:hint="eastAsia" w:ascii="宋体" w:hAnsi="宋体"/>
          <w:color w:val="auto"/>
          <w:szCs w:val="21"/>
          <w:highlight w:val="none"/>
        </w:rPr>
        <w:t xml:space="preserve">                        </w:t>
      </w:r>
    </w:p>
    <w:p w14:paraId="7FAF5558">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联系人：</w:t>
      </w:r>
      <w:r>
        <w:rPr>
          <w:rFonts w:hint="eastAsia" w:cs="宋体" w:asciiTheme="minorEastAsia" w:hAnsiTheme="minorEastAsia" w:eastAsiaTheme="minorEastAsia"/>
          <w:color w:val="auto"/>
          <w:highlight w:val="none"/>
        </w:rPr>
        <w:t>李老师</w:t>
      </w:r>
      <w:r>
        <w:rPr>
          <w:rFonts w:hint="eastAsia" w:ascii="宋体" w:hAnsi="宋体"/>
          <w:color w:val="auto"/>
          <w:szCs w:val="21"/>
          <w:highlight w:val="none"/>
        </w:rPr>
        <w:t xml:space="preserve">                                           </w:t>
      </w:r>
    </w:p>
    <w:p w14:paraId="30338673">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电  话：</w:t>
      </w:r>
      <w:r>
        <w:rPr>
          <w:rFonts w:hint="eastAsia" w:cs="宋体" w:asciiTheme="minorEastAsia" w:hAnsiTheme="minorEastAsia" w:eastAsiaTheme="minorEastAsia"/>
          <w:color w:val="auto"/>
          <w:highlight w:val="none"/>
        </w:rPr>
        <w:t>023-62905607</w:t>
      </w:r>
    </w:p>
    <w:p w14:paraId="2562E840">
      <w:pPr>
        <w:pStyle w:val="18"/>
        <w:spacing w:line="420" w:lineRule="exact"/>
        <w:rPr>
          <w:color w:val="auto"/>
          <w:szCs w:val="21"/>
          <w:highlight w:val="none"/>
        </w:rPr>
      </w:pPr>
    </w:p>
    <w:p w14:paraId="761D2EA1">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比选代理机构：中资（重庆）工程咨询有限公司</w:t>
      </w:r>
    </w:p>
    <w:p w14:paraId="6D3A0E6B">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宋体"/>
          <w:snapToGrid w:val="0"/>
          <w:color w:val="auto"/>
          <w:kern w:val="0"/>
          <w:szCs w:val="21"/>
          <w:highlight w:val="none"/>
        </w:rPr>
        <w:t>重庆市沙坪坝区龙湖光年2号楼14层</w:t>
      </w:r>
    </w:p>
    <w:p w14:paraId="316E7D11">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联系人：冉老师  </w:t>
      </w:r>
    </w:p>
    <w:p w14:paraId="3F1B54B5">
      <w:pPr>
        <w:autoSpaceDE w:val="0"/>
        <w:autoSpaceDN w:val="0"/>
        <w:adjustRightInd w:val="0"/>
        <w:snapToGrid w:val="0"/>
        <w:spacing w:line="440" w:lineRule="exact"/>
        <w:ind w:firstLine="420" w:firstLineChars="200"/>
        <w:rPr>
          <w:rFonts w:ascii="宋体" w:hAnsi="宋体"/>
          <w:snapToGrid w:val="0"/>
          <w:color w:val="auto"/>
          <w:kern w:val="0"/>
          <w:sz w:val="20"/>
          <w:szCs w:val="20"/>
          <w:highlight w:val="none"/>
        </w:rPr>
      </w:pPr>
      <w:r>
        <w:rPr>
          <w:rFonts w:hint="eastAsia" w:ascii="宋体" w:hAnsi="宋体"/>
          <w:color w:val="auto"/>
          <w:szCs w:val="21"/>
          <w:highlight w:val="none"/>
        </w:rPr>
        <w:t xml:space="preserve">电  话：18680861765 </w:t>
      </w:r>
      <w:r>
        <w:rPr>
          <w:rFonts w:hint="eastAsia" w:ascii="宋体" w:hAnsi="宋体"/>
          <w:snapToGrid w:val="0"/>
          <w:color w:val="auto"/>
          <w:kern w:val="0"/>
          <w:szCs w:val="21"/>
          <w:highlight w:val="none"/>
        </w:rPr>
        <w:t xml:space="preserve">  </w:t>
      </w:r>
    </w:p>
    <w:p w14:paraId="4E7B279F">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0" w:name="_Toc287620674"/>
      <w:bookmarkStart w:id="91" w:name="_Toc430530423"/>
      <w:bookmarkStart w:id="92" w:name="_Toc287607735"/>
      <w:bookmarkStart w:id="93" w:name="_Toc224103306"/>
    </w:p>
    <w:bookmarkEnd w:id="90"/>
    <w:bookmarkEnd w:id="91"/>
    <w:bookmarkEnd w:id="92"/>
    <w:bookmarkEnd w:id="93"/>
    <w:p w14:paraId="6D8C27A7">
      <w:pPr>
        <w:pStyle w:val="2"/>
        <w:spacing w:line="360" w:lineRule="auto"/>
        <w:jc w:val="center"/>
        <w:rPr>
          <w:rFonts w:ascii="宋体" w:hAnsi="宋体"/>
          <w:bCs w:val="0"/>
          <w:snapToGrid w:val="0"/>
          <w:color w:val="auto"/>
          <w:kern w:val="0"/>
          <w:highlight w:val="none"/>
        </w:rPr>
      </w:pPr>
      <w:bookmarkStart w:id="94" w:name="_Toc57905828"/>
      <w:bookmarkStart w:id="95" w:name="_Toc287620683"/>
      <w:bookmarkStart w:id="96" w:name="_Toc287607744"/>
      <w:bookmarkStart w:id="97" w:name="_Toc430530432"/>
      <w:bookmarkStart w:id="98" w:name="_Toc32148"/>
      <w:bookmarkStart w:id="99" w:name="_Toc224103315"/>
      <w:r>
        <w:rPr>
          <w:rFonts w:ascii="宋体" w:hAnsi="宋体"/>
          <w:snapToGrid w:val="0"/>
          <w:color w:val="auto"/>
          <w:kern w:val="0"/>
          <w:highlight w:val="none"/>
        </w:rPr>
        <w:t xml:space="preserve">第二章  </w:t>
      </w:r>
      <w:r>
        <w:rPr>
          <w:rFonts w:hint="eastAsia" w:ascii="宋体" w:hAnsi="宋体"/>
          <w:snapToGrid w:val="0"/>
          <w:color w:val="auto"/>
          <w:kern w:val="0"/>
          <w:highlight w:val="none"/>
        </w:rPr>
        <w:t>竞选人</w:t>
      </w:r>
      <w:r>
        <w:rPr>
          <w:rFonts w:ascii="宋体" w:hAnsi="宋体"/>
          <w:snapToGrid w:val="0"/>
          <w:color w:val="auto"/>
          <w:kern w:val="0"/>
          <w:highlight w:val="none"/>
        </w:rPr>
        <w:t>须知</w:t>
      </w:r>
      <w:bookmarkEnd w:id="94"/>
      <w:bookmarkEnd w:id="95"/>
      <w:bookmarkEnd w:id="96"/>
      <w:bookmarkEnd w:id="97"/>
      <w:bookmarkEnd w:id="98"/>
      <w:bookmarkEnd w:id="99"/>
      <w:bookmarkStart w:id="100" w:name="_Toc287620684"/>
      <w:bookmarkStart w:id="101" w:name="_Toc224103316"/>
      <w:bookmarkStart w:id="102" w:name="_Toc430530433"/>
      <w:bookmarkStart w:id="103" w:name="_Toc277082551"/>
      <w:bookmarkStart w:id="104" w:name="_Toc287607745"/>
    </w:p>
    <w:p w14:paraId="0C4C3F9C">
      <w:pPr>
        <w:pStyle w:val="3"/>
        <w:spacing w:before="100" w:after="100" w:line="360" w:lineRule="auto"/>
        <w:rPr>
          <w:rFonts w:ascii="宋体" w:hAnsi="宋体"/>
          <w:color w:val="auto"/>
          <w:highlight w:val="none"/>
        </w:rPr>
      </w:pPr>
      <w:bookmarkStart w:id="105" w:name="_Toc8005"/>
      <w:bookmarkStart w:id="106" w:name="_Toc57905829"/>
      <w:bookmarkStart w:id="107" w:name="_Toc509218708"/>
      <w:r>
        <w:rPr>
          <w:rFonts w:hint="eastAsia" w:ascii="宋体" w:hAnsi="宋体"/>
          <w:color w:val="auto"/>
          <w:highlight w:val="none"/>
        </w:rPr>
        <w:t>竞选人须知前附表</w:t>
      </w:r>
      <w:bookmarkEnd w:id="100"/>
      <w:bookmarkEnd w:id="101"/>
      <w:bookmarkEnd w:id="102"/>
      <w:bookmarkEnd w:id="103"/>
      <w:bookmarkEnd w:id="104"/>
      <w:bookmarkEnd w:id="105"/>
      <w:bookmarkEnd w:id="106"/>
      <w:bookmarkEnd w:id="107"/>
    </w:p>
    <w:p w14:paraId="60E564BD">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rPr>
        <w:t>竞选人</w:t>
      </w:r>
      <w:r>
        <w:rPr>
          <w:rFonts w:ascii="宋体" w:hAnsi="宋体"/>
          <w:color w:val="auto"/>
          <w:szCs w:val="21"/>
          <w:highlight w:val="none"/>
        </w:rPr>
        <w:t>须知前附表与正文不一致的地方，以</w:t>
      </w:r>
      <w:r>
        <w:rPr>
          <w:rFonts w:hint="eastAsia" w:ascii="宋体" w:hAnsi="宋体"/>
          <w:color w:val="auto"/>
          <w:szCs w:val="21"/>
          <w:highlight w:val="none"/>
        </w:rPr>
        <w:t>竞选人</w:t>
      </w:r>
      <w:r>
        <w:rPr>
          <w:rFonts w:ascii="宋体" w:hAnsi="宋体"/>
          <w:color w:val="auto"/>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00CB7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8440E63">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740ED00D">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2613736B">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61415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E8A05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4B5E27B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p>
        </w:tc>
        <w:tc>
          <w:tcPr>
            <w:tcW w:w="6490" w:type="dxa"/>
            <w:vAlign w:val="center"/>
          </w:tcPr>
          <w:p w14:paraId="0CABE0D1">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s="宋体"/>
                <w:color w:val="auto"/>
                <w:kern w:val="0"/>
                <w:szCs w:val="21"/>
                <w:highlight w:val="none"/>
              </w:rPr>
              <w:t>重庆市南岸城市更新建设发展有限公司</w:t>
            </w:r>
          </w:p>
          <w:p w14:paraId="2C13E10C">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color w:val="auto"/>
                <w:kern w:val="0"/>
                <w:szCs w:val="21"/>
                <w:highlight w:val="none"/>
              </w:rPr>
              <w:t>重庆市南岸区行政中心B区三号楼</w:t>
            </w:r>
          </w:p>
          <w:p w14:paraId="3B77D995">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cs="宋体" w:asciiTheme="minorEastAsia" w:hAnsiTheme="minorEastAsia" w:eastAsiaTheme="minorEastAsia"/>
                <w:color w:val="auto"/>
                <w:highlight w:val="none"/>
              </w:rPr>
              <w:t>李</w:t>
            </w:r>
            <w:r>
              <w:rPr>
                <w:rFonts w:hint="eastAsia" w:ascii="宋体" w:hAnsi="宋体" w:cs="宋体"/>
                <w:color w:val="auto"/>
                <w:kern w:val="0"/>
                <w:szCs w:val="21"/>
                <w:highlight w:val="none"/>
              </w:rPr>
              <w:t>老师</w:t>
            </w:r>
          </w:p>
          <w:p w14:paraId="7FBF223E">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023-62905607</w:t>
            </w:r>
          </w:p>
        </w:tc>
      </w:tr>
      <w:tr w14:paraId="5FB84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9445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61DE205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比选代理机构</w:t>
            </w:r>
          </w:p>
        </w:tc>
        <w:tc>
          <w:tcPr>
            <w:tcW w:w="6490" w:type="dxa"/>
            <w:vAlign w:val="center"/>
          </w:tcPr>
          <w:p w14:paraId="77B46AF6">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color w:val="auto"/>
                <w:highlight w:val="none"/>
              </w:rPr>
              <w:fldChar w:fldCharType="begin"/>
            </w:r>
            <w:r>
              <w:rPr>
                <w:color w:val="auto"/>
                <w:highlight w:val="none"/>
              </w:rPr>
              <w:instrText xml:space="preserve"> HYPERLINK "http://183.66.171.75:88/CQCollect/Qy_Query/Zjzxjg/javascript:__doPostBack('DataGrid1$_ctl2$_ctl0','')" </w:instrText>
            </w:r>
            <w:r>
              <w:rPr>
                <w:color w:val="auto"/>
                <w:highlight w:val="none"/>
              </w:rPr>
              <w:fldChar w:fldCharType="separate"/>
            </w:r>
            <w:r>
              <w:rPr>
                <w:rFonts w:hint="eastAsia" w:ascii="宋体" w:hAnsi="宋体"/>
                <w:color w:val="auto"/>
                <w:szCs w:val="21"/>
                <w:highlight w:val="none"/>
              </w:rPr>
              <w:t>中资（重庆）工程咨询有限公司</w:t>
            </w:r>
            <w:r>
              <w:rPr>
                <w:rFonts w:hint="eastAsia" w:ascii="宋体" w:hAnsi="宋体"/>
                <w:color w:val="auto"/>
                <w:szCs w:val="21"/>
                <w:highlight w:val="none"/>
              </w:rPr>
              <w:fldChar w:fldCharType="end"/>
            </w:r>
          </w:p>
          <w:p w14:paraId="3AC14D95">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snapToGrid w:val="0"/>
                <w:color w:val="auto"/>
                <w:kern w:val="0"/>
                <w:szCs w:val="21"/>
                <w:highlight w:val="none"/>
              </w:rPr>
              <w:t>重庆市沙坪坝区龙湖光年2号楼14层</w:t>
            </w:r>
          </w:p>
          <w:p w14:paraId="6510FC22">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szCs w:val="21"/>
                <w:highlight w:val="none"/>
              </w:rPr>
              <w:t>冉老师</w:t>
            </w:r>
          </w:p>
          <w:p w14:paraId="05CD1564">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szCs w:val="21"/>
                <w:highlight w:val="none"/>
              </w:rPr>
              <w:t>18680861765</w:t>
            </w:r>
          </w:p>
        </w:tc>
      </w:tr>
      <w:tr w14:paraId="65A31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E1720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0FE8517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0E9A1A1A">
            <w:pPr>
              <w:snapToGrid w:val="0"/>
              <w:spacing w:line="400" w:lineRule="exact"/>
              <w:jc w:val="left"/>
              <w:rPr>
                <w:rFonts w:ascii="宋体" w:hAnsi="宋体"/>
                <w:color w:val="auto"/>
                <w:szCs w:val="21"/>
                <w:highlight w:val="none"/>
              </w:rPr>
            </w:pPr>
            <w:r>
              <w:rPr>
                <w:rFonts w:hint="eastAsia" w:ascii="宋体" w:hAnsi="宋体" w:cs="宋体"/>
                <w:color w:val="auto"/>
                <w:kern w:val="0"/>
                <w:szCs w:val="21"/>
                <w:highlight w:val="none"/>
              </w:rPr>
              <w:t>2023年燃气市政管道老化更新改造工程弹广路（娄家庄段）燃气管道通道恢复项目</w:t>
            </w:r>
          </w:p>
        </w:tc>
      </w:tr>
      <w:tr w14:paraId="1585F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E3F98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5C4A102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6055E698">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重庆市南岸区</w:t>
            </w:r>
          </w:p>
        </w:tc>
      </w:tr>
      <w:tr w14:paraId="7D169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0F834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6B7583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6594DD4B">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rPr>
              <w:t>本项目为弹广路娄家庄应急抢险段（K5+092~K5+140），路线全长48m。项目路基挖方0.135万方、填方0.106万方，新建路基排水和防护工程1405立方米 。</w:t>
            </w:r>
          </w:p>
        </w:tc>
      </w:tr>
      <w:tr w14:paraId="677C7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D9A73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15654EB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733F6E7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国有资金</w:t>
            </w:r>
          </w:p>
        </w:tc>
      </w:tr>
      <w:tr w14:paraId="3E561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4F662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2156D17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12053616">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1AF49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CC019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4F34B9D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162CB11E">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181FB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D689C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0348EB3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比选范围</w:t>
            </w:r>
          </w:p>
        </w:tc>
        <w:tc>
          <w:tcPr>
            <w:tcW w:w="6490" w:type="dxa"/>
            <w:vAlign w:val="center"/>
          </w:tcPr>
          <w:p w14:paraId="01C4E492">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u w:val="single"/>
              </w:rPr>
              <w:t>具体内容详见比选人提供的施工图和工程量清单，施工图与工程量清单不一致时以工程量清单为准。</w:t>
            </w:r>
          </w:p>
        </w:tc>
      </w:tr>
      <w:tr w14:paraId="503B5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A9243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C847B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1AE3F0F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61FC4FBA">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90</w:t>
            </w:r>
            <w:r>
              <w:rPr>
                <w:rFonts w:hint="eastAsia" w:ascii="宋体" w:hAnsi="宋体"/>
                <w:snapToGrid w:val="0"/>
                <w:color w:val="auto"/>
                <w:kern w:val="0"/>
                <w:szCs w:val="21"/>
                <w:highlight w:val="none"/>
                <w:u w:val="single"/>
              </w:rPr>
              <w:t>日历天</w:t>
            </w:r>
          </w:p>
          <w:p w14:paraId="6ACA40C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24 个月</w:t>
            </w:r>
          </w:p>
        </w:tc>
      </w:tr>
      <w:tr w14:paraId="0F1D3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CFFA5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6B78079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FD02B1F">
            <w:pPr>
              <w:spacing w:line="400" w:lineRule="exact"/>
              <w:ind w:firstLine="420" w:firstLineChars="200"/>
              <w:rPr>
                <w:color w:val="auto"/>
                <w:highlight w:val="none"/>
              </w:rPr>
            </w:pPr>
            <w:r>
              <w:rPr>
                <w:rFonts w:hint="eastAsia"/>
                <w:color w:val="auto"/>
                <w:highlight w:val="none"/>
              </w:rPr>
              <w:t>工程交工验收的质量评定：</w:t>
            </w:r>
            <w:r>
              <w:rPr>
                <w:rFonts w:hint="eastAsia"/>
                <w:color w:val="auto"/>
                <w:highlight w:val="none"/>
                <w:u w:val="single"/>
                <w:lang w:val="en-US" w:eastAsia="zh-CN"/>
              </w:rPr>
              <w:t>合格</w:t>
            </w:r>
            <w:r>
              <w:rPr>
                <w:rFonts w:hint="eastAsia"/>
                <w:color w:val="auto"/>
                <w:highlight w:val="none"/>
                <w:u w:val="single"/>
              </w:rPr>
              <w:t xml:space="preserve"> </w:t>
            </w:r>
          </w:p>
          <w:p w14:paraId="525E996E">
            <w:pPr>
              <w:spacing w:line="400" w:lineRule="exact"/>
              <w:ind w:firstLine="420" w:firstLineChars="200"/>
              <w:rPr>
                <w:rFonts w:ascii="宋体" w:hAnsi="宋体"/>
                <w:color w:val="auto"/>
                <w:szCs w:val="21"/>
                <w:highlight w:val="none"/>
              </w:rPr>
            </w:pPr>
            <w:r>
              <w:rPr>
                <w:rFonts w:hint="eastAsia"/>
                <w:color w:val="auto"/>
                <w:highlight w:val="none"/>
              </w:rPr>
              <w:t>工程竣工验收的质量评定：</w:t>
            </w:r>
            <w:r>
              <w:rPr>
                <w:rFonts w:hint="eastAsia"/>
                <w:color w:val="auto"/>
                <w:highlight w:val="none"/>
                <w:u w:val="single"/>
                <w:lang w:val="en-US" w:eastAsia="zh-CN"/>
              </w:rPr>
              <w:t>满足国家现行工程质量验收标准，并达到合格标</w:t>
            </w:r>
            <w:r>
              <w:rPr>
                <w:rFonts w:hint="eastAsia"/>
                <w:color w:val="auto"/>
                <w:highlight w:val="none"/>
                <w:u w:val="single"/>
              </w:rPr>
              <w:t xml:space="preserve"> </w:t>
            </w:r>
          </w:p>
        </w:tc>
      </w:tr>
      <w:tr w14:paraId="467F5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35" w:type="dxa"/>
            <w:vAlign w:val="center"/>
          </w:tcPr>
          <w:p w14:paraId="18A9EC53">
            <w:pPr>
              <w:snapToGrid w:val="0"/>
              <w:spacing w:line="400" w:lineRule="exact"/>
              <w:jc w:val="center"/>
              <w:rPr>
                <w:rFonts w:ascii="宋体" w:hAnsi="宋体"/>
                <w:color w:val="auto"/>
                <w:kern w:val="0"/>
                <w:szCs w:val="21"/>
                <w:highlight w:val="none"/>
              </w:rPr>
            </w:pPr>
          </w:p>
          <w:p w14:paraId="7EE8335E">
            <w:pPr>
              <w:snapToGrid w:val="0"/>
              <w:spacing w:line="400" w:lineRule="exact"/>
              <w:jc w:val="center"/>
              <w:rPr>
                <w:rFonts w:ascii="宋体" w:hAnsi="宋体"/>
                <w:color w:val="auto"/>
                <w:kern w:val="0"/>
                <w:szCs w:val="21"/>
                <w:highlight w:val="none"/>
              </w:rPr>
            </w:pPr>
          </w:p>
          <w:p w14:paraId="0F1BD2E4">
            <w:pPr>
              <w:snapToGrid w:val="0"/>
              <w:spacing w:line="400" w:lineRule="exact"/>
              <w:jc w:val="center"/>
              <w:rPr>
                <w:rFonts w:ascii="宋体" w:hAnsi="宋体"/>
                <w:color w:val="auto"/>
                <w:kern w:val="0"/>
                <w:szCs w:val="21"/>
                <w:highlight w:val="none"/>
              </w:rPr>
            </w:pPr>
          </w:p>
          <w:p w14:paraId="3F7A3AD6">
            <w:pPr>
              <w:snapToGrid w:val="0"/>
              <w:spacing w:line="400" w:lineRule="exact"/>
              <w:jc w:val="center"/>
              <w:rPr>
                <w:rFonts w:ascii="宋体" w:hAnsi="宋体"/>
                <w:color w:val="auto"/>
                <w:kern w:val="0"/>
                <w:szCs w:val="21"/>
                <w:highlight w:val="none"/>
              </w:rPr>
            </w:pPr>
          </w:p>
          <w:p w14:paraId="22B89370">
            <w:pPr>
              <w:snapToGrid w:val="0"/>
              <w:spacing w:line="400" w:lineRule="exact"/>
              <w:jc w:val="center"/>
              <w:rPr>
                <w:rFonts w:ascii="宋体" w:hAnsi="宋体"/>
                <w:color w:val="auto"/>
                <w:kern w:val="0"/>
                <w:szCs w:val="21"/>
                <w:highlight w:val="none"/>
              </w:rPr>
            </w:pPr>
          </w:p>
          <w:p w14:paraId="76FDCF15">
            <w:pPr>
              <w:snapToGrid w:val="0"/>
              <w:spacing w:line="400" w:lineRule="exact"/>
              <w:jc w:val="center"/>
              <w:rPr>
                <w:rFonts w:ascii="宋体" w:hAnsi="宋体"/>
                <w:color w:val="auto"/>
                <w:kern w:val="0"/>
                <w:szCs w:val="21"/>
                <w:highlight w:val="none"/>
              </w:rPr>
            </w:pPr>
          </w:p>
          <w:p w14:paraId="36CBCE52">
            <w:pPr>
              <w:snapToGrid w:val="0"/>
              <w:spacing w:line="400" w:lineRule="exact"/>
              <w:jc w:val="center"/>
              <w:rPr>
                <w:rFonts w:ascii="宋体" w:hAnsi="宋体"/>
                <w:color w:val="auto"/>
                <w:kern w:val="0"/>
                <w:szCs w:val="21"/>
                <w:highlight w:val="none"/>
              </w:rPr>
            </w:pPr>
          </w:p>
          <w:p w14:paraId="578BF5A0">
            <w:pPr>
              <w:snapToGrid w:val="0"/>
              <w:spacing w:line="400" w:lineRule="exact"/>
              <w:jc w:val="center"/>
              <w:rPr>
                <w:rFonts w:ascii="宋体" w:hAnsi="宋体"/>
                <w:color w:val="auto"/>
                <w:kern w:val="0"/>
                <w:szCs w:val="21"/>
                <w:highlight w:val="none"/>
              </w:rPr>
            </w:pPr>
          </w:p>
          <w:p w14:paraId="6696E6EB">
            <w:pPr>
              <w:snapToGrid w:val="0"/>
              <w:spacing w:line="400" w:lineRule="exact"/>
              <w:jc w:val="center"/>
              <w:rPr>
                <w:rFonts w:ascii="宋体" w:hAnsi="宋体"/>
                <w:color w:val="auto"/>
                <w:kern w:val="0"/>
                <w:szCs w:val="21"/>
                <w:highlight w:val="none"/>
              </w:rPr>
            </w:pPr>
          </w:p>
          <w:p w14:paraId="56172DA6">
            <w:pPr>
              <w:snapToGrid w:val="0"/>
              <w:spacing w:line="400" w:lineRule="exact"/>
              <w:jc w:val="center"/>
              <w:rPr>
                <w:rFonts w:ascii="宋体" w:hAnsi="宋体"/>
                <w:color w:val="auto"/>
                <w:kern w:val="0"/>
                <w:szCs w:val="21"/>
                <w:highlight w:val="none"/>
              </w:rPr>
            </w:pPr>
          </w:p>
          <w:p w14:paraId="3F9C553B">
            <w:pPr>
              <w:snapToGrid w:val="0"/>
              <w:spacing w:line="400" w:lineRule="exact"/>
              <w:jc w:val="center"/>
              <w:rPr>
                <w:rFonts w:ascii="宋体" w:hAnsi="宋体"/>
                <w:color w:val="auto"/>
                <w:kern w:val="0"/>
                <w:szCs w:val="21"/>
                <w:highlight w:val="none"/>
              </w:rPr>
            </w:pPr>
          </w:p>
          <w:p w14:paraId="491D3E98">
            <w:pPr>
              <w:snapToGrid w:val="0"/>
              <w:spacing w:line="400" w:lineRule="exact"/>
              <w:jc w:val="center"/>
              <w:rPr>
                <w:rFonts w:ascii="宋体" w:hAnsi="宋体"/>
                <w:color w:val="auto"/>
                <w:kern w:val="0"/>
                <w:szCs w:val="21"/>
                <w:highlight w:val="none"/>
              </w:rPr>
            </w:pPr>
          </w:p>
          <w:p w14:paraId="7F360115">
            <w:pPr>
              <w:snapToGrid w:val="0"/>
              <w:spacing w:line="400" w:lineRule="exact"/>
              <w:jc w:val="center"/>
              <w:rPr>
                <w:rFonts w:ascii="宋体" w:hAnsi="宋体"/>
                <w:color w:val="auto"/>
                <w:kern w:val="0"/>
                <w:szCs w:val="21"/>
                <w:highlight w:val="none"/>
              </w:rPr>
            </w:pPr>
          </w:p>
          <w:p w14:paraId="1FC5B2BF">
            <w:pPr>
              <w:snapToGrid w:val="0"/>
              <w:spacing w:line="400" w:lineRule="exact"/>
              <w:jc w:val="center"/>
              <w:rPr>
                <w:rFonts w:ascii="宋体" w:hAnsi="宋体"/>
                <w:color w:val="auto"/>
                <w:kern w:val="0"/>
                <w:szCs w:val="21"/>
                <w:highlight w:val="none"/>
              </w:rPr>
            </w:pPr>
          </w:p>
          <w:p w14:paraId="235EFCDF">
            <w:pPr>
              <w:snapToGrid w:val="0"/>
              <w:spacing w:line="400" w:lineRule="exact"/>
              <w:jc w:val="center"/>
              <w:rPr>
                <w:rFonts w:ascii="宋体" w:hAnsi="宋体"/>
                <w:color w:val="auto"/>
                <w:kern w:val="0"/>
                <w:szCs w:val="21"/>
                <w:highlight w:val="none"/>
              </w:rPr>
            </w:pPr>
          </w:p>
          <w:p w14:paraId="038A32F7">
            <w:pPr>
              <w:snapToGrid w:val="0"/>
              <w:spacing w:line="400" w:lineRule="exact"/>
              <w:jc w:val="center"/>
              <w:rPr>
                <w:rFonts w:ascii="宋体" w:hAnsi="宋体"/>
                <w:color w:val="auto"/>
                <w:kern w:val="0"/>
                <w:szCs w:val="21"/>
                <w:highlight w:val="none"/>
              </w:rPr>
            </w:pPr>
          </w:p>
          <w:p w14:paraId="35C853BB">
            <w:pPr>
              <w:snapToGrid w:val="0"/>
              <w:spacing w:line="400" w:lineRule="exact"/>
              <w:jc w:val="center"/>
              <w:rPr>
                <w:rFonts w:ascii="宋体" w:hAnsi="宋体"/>
                <w:color w:val="auto"/>
                <w:kern w:val="0"/>
                <w:szCs w:val="21"/>
                <w:highlight w:val="none"/>
              </w:rPr>
            </w:pPr>
          </w:p>
          <w:p w14:paraId="660A1C8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27EE8D4">
            <w:pPr>
              <w:snapToGrid w:val="0"/>
              <w:spacing w:line="400" w:lineRule="exact"/>
              <w:jc w:val="center"/>
              <w:rPr>
                <w:rFonts w:ascii="宋体" w:hAnsi="宋体"/>
                <w:color w:val="auto"/>
                <w:kern w:val="0"/>
                <w:szCs w:val="21"/>
                <w:highlight w:val="none"/>
              </w:rPr>
            </w:pPr>
          </w:p>
          <w:p w14:paraId="37CB72A3">
            <w:pPr>
              <w:snapToGrid w:val="0"/>
              <w:spacing w:line="400" w:lineRule="exact"/>
              <w:jc w:val="center"/>
              <w:rPr>
                <w:rFonts w:ascii="宋体" w:hAnsi="宋体"/>
                <w:color w:val="auto"/>
                <w:kern w:val="0"/>
                <w:szCs w:val="21"/>
                <w:highlight w:val="none"/>
              </w:rPr>
            </w:pPr>
          </w:p>
          <w:p w14:paraId="47C03AAF">
            <w:pPr>
              <w:snapToGrid w:val="0"/>
              <w:spacing w:line="400" w:lineRule="exact"/>
              <w:jc w:val="center"/>
              <w:rPr>
                <w:rFonts w:ascii="宋体" w:hAnsi="宋体"/>
                <w:color w:val="auto"/>
                <w:kern w:val="0"/>
                <w:szCs w:val="21"/>
                <w:highlight w:val="none"/>
              </w:rPr>
            </w:pPr>
          </w:p>
          <w:p w14:paraId="25BB43E6">
            <w:pPr>
              <w:snapToGrid w:val="0"/>
              <w:spacing w:line="400" w:lineRule="exact"/>
              <w:jc w:val="center"/>
              <w:rPr>
                <w:rFonts w:ascii="宋体" w:hAnsi="宋体"/>
                <w:color w:val="auto"/>
                <w:kern w:val="0"/>
                <w:szCs w:val="21"/>
                <w:highlight w:val="none"/>
              </w:rPr>
            </w:pPr>
          </w:p>
          <w:p w14:paraId="144CB2EB">
            <w:pPr>
              <w:snapToGrid w:val="0"/>
              <w:spacing w:line="400" w:lineRule="exact"/>
              <w:jc w:val="center"/>
              <w:rPr>
                <w:rFonts w:ascii="宋体" w:hAnsi="宋体"/>
                <w:color w:val="auto"/>
                <w:kern w:val="0"/>
                <w:szCs w:val="21"/>
                <w:highlight w:val="none"/>
              </w:rPr>
            </w:pPr>
          </w:p>
          <w:p w14:paraId="25B2E008">
            <w:pPr>
              <w:snapToGrid w:val="0"/>
              <w:spacing w:line="400" w:lineRule="exact"/>
              <w:jc w:val="center"/>
              <w:rPr>
                <w:rFonts w:ascii="宋体" w:hAnsi="宋体"/>
                <w:color w:val="auto"/>
                <w:kern w:val="0"/>
                <w:szCs w:val="21"/>
                <w:highlight w:val="none"/>
              </w:rPr>
            </w:pPr>
          </w:p>
          <w:p w14:paraId="452DEFDD">
            <w:pPr>
              <w:snapToGrid w:val="0"/>
              <w:spacing w:line="400" w:lineRule="exact"/>
              <w:jc w:val="center"/>
              <w:rPr>
                <w:rFonts w:ascii="宋体" w:hAnsi="宋体"/>
                <w:color w:val="auto"/>
                <w:kern w:val="0"/>
                <w:szCs w:val="21"/>
                <w:highlight w:val="none"/>
              </w:rPr>
            </w:pPr>
          </w:p>
          <w:p w14:paraId="0870F2D5">
            <w:pPr>
              <w:snapToGrid w:val="0"/>
              <w:spacing w:line="400" w:lineRule="exact"/>
              <w:jc w:val="center"/>
              <w:rPr>
                <w:rFonts w:ascii="宋体" w:hAnsi="宋体"/>
                <w:color w:val="auto"/>
                <w:kern w:val="0"/>
                <w:szCs w:val="21"/>
                <w:highlight w:val="none"/>
              </w:rPr>
            </w:pPr>
          </w:p>
          <w:p w14:paraId="08E8EFE7">
            <w:pPr>
              <w:snapToGrid w:val="0"/>
              <w:spacing w:line="400" w:lineRule="exact"/>
              <w:jc w:val="center"/>
              <w:rPr>
                <w:rFonts w:ascii="宋体" w:hAnsi="宋体"/>
                <w:color w:val="auto"/>
                <w:kern w:val="0"/>
                <w:szCs w:val="21"/>
                <w:highlight w:val="none"/>
              </w:rPr>
            </w:pPr>
          </w:p>
          <w:p w14:paraId="47779F38">
            <w:pPr>
              <w:snapToGrid w:val="0"/>
              <w:spacing w:line="400" w:lineRule="exact"/>
              <w:jc w:val="center"/>
              <w:rPr>
                <w:rFonts w:ascii="宋体" w:hAnsi="宋体"/>
                <w:color w:val="auto"/>
                <w:kern w:val="0"/>
                <w:szCs w:val="21"/>
                <w:highlight w:val="none"/>
              </w:rPr>
            </w:pPr>
          </w:p>
          <w:p w14:paraId="453756CA">
            <w:pPr>
              <w:snapToGrid w:val="0"/>
              <w:spacing w:line="400" w:lineRule="exact"/>
              <w:jc w:val="center"/>
              <w:rPr>
                <w:rFonts w:ascii="宋体" w:hAnsi="宋体"/>
                <w:color w:val="auto"/>
                <w:kern w:val="0"/>
                <w:szCs w:val="21"/>
                <w:highlight w:val="none"/>
              </w:rPr>
            </w:pPr>
          </w:p>
          <w:p w14:paraId="4E32898E">
            <w:pPr>
              <w:snapToGrid w:val="0"/>
              <w:spacing w:line="400" w:lineRule="exact"/>
              <w:jc w:val="center"/>
              <w:rPr>
                <w:rFonts w:ascii="宋体" w:hAnsi="宋体"/>
                <w:color w:val="auto"/>
                <w:kern w:val="0"/>
                <w:szCs w:val="21"/>
                <w:highlight w:val="none"/>
              </w:rPr>
            </w:pPr>
          </w:p>
          <w:p w14:paraId="03B04BAA">
            <w:pPr>
              <w:snapToGrid w:val="0"/>
              <w:spacing w:line="400" w:lineRule="exact"/>
              <w:jc w:val="center"/>
              <w:rPr>
                <w:rFonts w:ascii="宋体" w:hAnsi="宋体"/>
                <w:color w:val="auto"/>
                <w:kern w:val="0"/>
                <w:szCs w:val="21"/>
                <w:highlight w:val="none"/>
              </w:rPr>
            </w:pPr>
          </w:p>
          <w:p w14:paraId="6701FB62">
            <w:pPr>
              <w:snapToGrid w:val="0"/>
              <w:spacing w:line="400" w:lineRule="exact"/>
              <w:jc w:val="center"/>
              <w:rPr>
                <w:rFonts w:ascii="宋体" w:hAnsi="宋体"/>
                <w:color w:val="auto"/>
                <w:kern w:val="0"/>
                <w:szCs w:val="21"/>
                <w:highlight w:val="none"/>
              </w:rPr>
            </w:pPr>
          </w:p>
          <w:p w14:paraId="0E79C333">
            <w:pPr>
              <w:snapToGrid w:val="0"/>
              <w:spacing w:line="400" w:lineRule="exact"/>
              <w:jc w:val="center"/>
              <w:rPr>
                <w:rFonts w:ascii="宋体" w:hAnsi="宋体"/>
                <w:color w:val="auto"/>
                <w:kern w:val="0"/>
                <w:szCs w:val="21"/>
                <w:highlight w:val="none"/>
              </w:rPr>
            </w:pPr>
          </w:p>
          <w:p w14:paraId="49862C69">
            <w:pPr>
              <w:snapToGrid w:val="0"/>
              <w:spacing w:line="400" w:lineRule="exact"/>
              <w:jc w:val="center"/>
              <w:rPr>
                <w:rFonts w:ascii="宋体" w:hAnsi="宋体"/>
                <w:color w:val="auto"/>
                <w:kern w:val="0"/>
                <w:szCs w:val="21"/>
                <w:highlight w:val="none"/>
              </w:rPr>
            </w:pPr>
          </w:p>
          <w:p w14:paraId="03AF369C">
            <w:pPr>
              <w:snapToGrid w:val="0"/>
              <w:spacing w:line="400" w:lineRule="exact"/>
              <w:jc w:val="center"/>
              <w:rPr>
                <w:rFonts w:ascii="宋体" w:hAnsi="宋体"/>
                <w:color w:val="auto"/>
                <w:kern w:val="0"/>
                <w:szCs w:val="21"/>
                <w:highlight w:val="none"/>
              </w:rPr>
            </w:pPr>
          </w:p>
          <w:p w14:paraId="0A108D07">
            <w:pPr>
              <w:snapToGrid w:val="0"/>
              <w:spacing w:line="400" w:lineRule="exact"/>
              <w:jc w:val="center"/>
              <w:rPr>
                <w:rFonts w:ascii="宋体" w:hAnsi="宋体"/>
                <w:color w:val="auto"/>
                <w:kern w:val="0"/>
                <w:szCs w:val="21"/>
                <w:highlight w:val="none"/>
              </w:rPr>
            </w:pPr>
          </w:p>
          <w:p w14:paraId="09278CA1">
            <w:pPr>
              <w:snapToGrid w:val="0"/>
              <w:spacing w:line="400" w:lineRule="exact"/>
              <w:jc w:val="center"/>
              <w:rPr>
                <w:rFonts w:ascii="宋体" w:hAnsi="宋体"/>
                <w:color w:val="auto"/>
                <w:kern w:val="0"/>
                <w:szCs w:val="21"/>
                <w:highlight w:val="none"/>
              </w:rPr>
            </w:pPr>
          </w:p>
          <w:p w14:paraId="129157FB">
            <w:pPr>
              <w:snapToGrid w:val="0"/>
              <w:spacing w:line="400" w:lineRule="exact"/>
              <w:jc w:val="center"/>
              <w:rPr>
                <w:rFonts w:ascii="宋体" w:hAnsi="宋体"/>
                <w:color w:val="auto"/>
                <w:kern w:val="0"/>
                <w:szCs w:val="21"/>
                <w:highlight w:val="none"/>
              </w:rPr>
            </w:pPr>
          </w:p>
          <w:p w14:paraId="29E70FD5">
            <w:pPr>
              <w:snapToGrid w:val="0"/>
              <w:spacing w:line="400" w:lineRule="exact"/>
              <w:jc w:val="center"/>
              <w:rPr>
                <w:rFonts w:ascii="宋体" w:hAnsi="宋体"/>
                <w:color w:val="auto"/>
                <w:kern w:val="0"/>
                <w:szCs w:val="21"/>
                <w:highlight w:val="none"/>
              </w:rPr>
            </w:pPr>
          </w:p>
          <w:p w14:paraId="44F83786">
            <w:pPr>
              <w:snapToGrid w:val="0"/>
              <w:spacing w:line="400" w:lineRule="exact"/>
              <w:jc w:val="center"/>
              <w:rPr>
                <w:rFonts w:ascii="宋体" w:hAnsi="宋体"/>
                <w:color w:val="auto"/>
                <w:kern w:val="0"/>
                <w:szCs w:val="21"/>
                <w:highlight w:val="none"/>
              </w:rPr>
            </w:pPr>
          </w:p>
          <w:p w14:paraId="6E9F2FC7">
            <w:pPr>
              <w:snapToGrid w:val="0"/>
              <w:spacing w:line="400" w:lineRule="exact"/>
              <w:jc w:val="center"/>
              <w:rPr>
                <w:rFonts w:ascii="宋体" w:hAnsi="宋体"/>
                <w:color w:val="auto"/>
                <w:kern w:val="0"/>
                <w:szCs w:val="21"/>
                <w:highlight w:val="none"/>
              </w:rPr>
            </w:pPr>
          </w:p>
          <w:p w14:paraId="6A1589C3">
            <w:pPr>
              <w:snapToGrid w:val="0"/>
              <w:spacing w:line="400" w:lineRule="exact"/>
              <w:jc w:val="center"/>
              <w:rPr>
                <w:rFonts w:ascii="宋体" w:hAnsi="宋体"/>
                <w:color w:val="auto"/>
                <w:kern w:val="0"/>
                <w:szCs w:val="21"/>
                <w:highlight w:val="none"/>
              </w:rPr>
            </w:pPr>
          </w:p>
          <w:p w14:paraId="79E7A6F9">
            <w:pPr>
              <w:snapToGrid w:val="0"/>
              <w:spacing w:line="400" w:lineRule="exact"/>
              <w:jc w:val="center"/>
              <w:rPr>
                <w:rFonts w:ascii="宋体" w:hAnsi="宋体"/>
                <w:color w:val="auto"/>
                <w:kern w:val="0"/>
                <w:szCs w:val="21"/>
                <w:highlight w:val="none"/>
              </w:rPr>
            </w:pPr>
          </w:p>
          <w:p w14:paraId="2950B114">
            <w:pPr>
              <w:snapToGrid w:val="0"/>
              <w:spacing w:line="400" w:lineRule="exact"/>
              <w:jc w:val="center"/>
              <w:rPr>
                <w:rFonts w:ascii="宋体" w:hAnsi="宋体"/>
                <w:color w:val="auto"/>
                <w:kern w:val="0"/>
                <w:szCs w:val="21"/>
                <w:highlight w:val="none"/>
              </w:rPr>
            </w:pPr>
          </w:p>
          <w:p w14:paraId="2F55ECA2">
            <w:pPr>
              <w:snapToGrid w:val="0"/>
              <w:spacing w:line="400" w:lineRule="exact"/>
              <w:jc w:val="center"/>
              <w:rPr>
                <w:rFonts w:ascii="宋体" w:hAnsi="宋体"/>
                <w:color w:val="auto"/>
                <w:kern w:val="0"/>
                <w:szCs w:val="21"/>
                <w:highlight w:val="none"/>
              </w:rPr>
            </w:pPr>
          </w:p>
          <w:p w14:paraId="41F658BD">
            <w:pPr>
              <w:snapToGrid w:val="0"/>
              <w:spacing w:line="400" w:lineRule="exact"/>
              <w:jc w:val="center"/>
              <w:rPr>
                <w:rFonts w:ascii="宋体" w:hAnsi="宋体"/>
                <w:color w:val="auto"/>
                <w:kern w:val="0"/>
                <w:szCs w:val="21"/>
                <w:highlight w:val="none"/>
              </w:rPr>
            </w:pPr>
          </w:p>
          <w:p w14:paraId="30D7E1BF">
            <w:pPr>
              <w:snapToGrid w:val="0"/>
              <w:spacing w:line="400" w:lineRule="exact"/>
              <w:jc w:val="center"/>
              <w:rPr>
                <w:rFonts w:ascii="宋体" w:hAnsi="宋体"/>
                <w:color w:val="auto"/>
                <w:kern w:val="0"/>
                <w:szCs w:val="21"/>
                <w:highlight w:val="none"/>
              </w:rPr>
            </w:pPr>
          </w:p>
          <w:p w14:paraId="4628C804">
            <w:pPr>
              <w:snapToGrid w:val="0"/>
              <w:spacing w:line="400" w:lineRule="exact"/>
              <w:jc w:val="center"/>
              <w:rPr>
                <w:rFonts w:ascii="宋体" w:hAnsi="宋体"/>
                <w:color w:val="auto"/>
                <w:kern w:val="0"/>
                <w:szCs w:val="21"/>
                <w:highlight w:val="none"/>
              </w:rPr>
            </w:pPr>
          </w:p>
          <w:p w14:paraId="3CE39DF0">
            <w:pPr>
              <w:snapToGrid w:val="0"/>
              <w:spacing w:line="400" w:lineRule="exact"/>
              <w:jc w:val="center"/>
              <w:rPr>
                <w:rFonts w:ascii="宋体" w:hAnsi="宋体"/>
                <w:color w:val="auto"/>
                <w:kern w:val="0"/>
                <w:szCs w:val="21"/>
                <w:highlight w:val="none"/>
              </w:rPr>
            </w:pPr>
          </w:p>
          <w:p w14:paraId="25E84E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78E65068">
            <w:pPr>
              <w:snapToGrid w:val="0"/>
              <w:spacing w:line="400" w:lineRule="exact"/>
              <w:jc w:val="center"/>
              <w:rPr>
                <w:rFonts w:ascii="宋体" w:hAnsi="宋体"/>
                <w:color w:val="auto"/>
                <w:kern w:val="0"/>
                <w:szCs w:val="21"/>
                <w:highlight w:val="none"/>
              </w:rPr>
            </w:pPr>
          </w:p>
          <w:p w14:paraId="41BE7AE7">
            <w:pPr>
              <w:snapToGrid w:val="0"/>
              <w:spacing w:line="400" w:lineRule="exact"/>
              <w:jc w:val="center"/>
              <w:rPr>
                <w:rFonts w:ascii="宋体" w:hAnsi="宋体"/>
                <w:color w:val="auto"/>
                <w:kern w:val="0"/>
                <w:szCs w:val="21"/>
                <w:highlight w:val="none"/>
              </w:rPr>
            </w:pPr>
          </w:p>
          <w:p w14:paraId="4099FE3B">
            <w:pPr>
              <w:snapToGrid w:val="0"/>
              <w:spacing w:line="400" w:lineRule="exact"/>
              <w:jc w:val="center"/>
              <w:rPr>
                <w:rFonts w:ascii="宋体" w:hAnsi="宋体"/>
                <w:color w:val="auto"/>
                <w:kern w:val="0"/>
                <w:szCs w:val="21"/>
                <w:highlight w:val="none"/>
              </w:rPr>
            </w:pPr>
          </w:p>
          <w:p w14:paraId="039D8C84">
            <w:pPr>
              <w:snapToGrid w:val="0"/>
              <w:spacing w:line="400" w:lineRule="exact"/>
              <w:jc w:val="center"/>
              <w:rPr>
                <w:rFonts w:ascii="宋体" w:hAnsi="宋体"/>
                <w:color w:val="auto"/>
                <w:kern w:val="0"/>
                <w:szCs w:val="21"/>
                <w:highlight w:val="none"/>
              </w:rPr>
            </w:pPr>
          </w:p>
          <w:p w14:paraId="13760067">
            <w:pPr>
              <w:snapToGrid w:val="0"/>
              <w:spacing w:line="400" w:lineRule="exact"/>
              <w:jc w:val="center"/>
              <w:rPr>
                <w:rFonts w:ascii="宋体" w:hAnsi="宋体"/>
                <w:color w:val="auto"/>
                <w:kern w:val="0"/>
                <w:szCs w:val="21"/>
                <w:highlight w:val="none"/>
              </w:rPr>
            </w:pPr>
          </w:p>
          <w:p w14:paraId="0E738450">
            <w:pPr>
              <w:snapToGrid w:val="0"/>
              <w:spacing w:line="400" w:lineRule="exact"/>
              <w:jc w:val="center"/>
              <w:rPr>
                <w:rFonts w:ascii="宋体" w:hAnsi="宋体"/>
                <w:color w:val="auto"/>
                <w:kern w:val="0"/>
                <w:szCs w:val="21"/>
                <w:highlight w:val="none"/>
              </w:rPr>
            </w:pPr>
          </w:p>
          <w:p w14:paraId="470E7004">
            <w:pPr>
              <w:snapToGrid w:val="0"/>
              <w:spacing w:line="400" w:lineRule="exact"/>
              <w:jc w:val="center"/>
              <w:rPr>
                <w:rFonts w:ascii="宋体" w:hAnsi="宋体"/>
                <w:color w:val="auto"/>
                <w:kern w:val="0"/>
                <w:szCs w:val="21"/>
                <w:highlight w:val="none"/>
              </w:rPr>
            </w:pPr>
          </w:p>
          <w:p w14:paraId="7B9BAB95">
            <w:pPr>
              <w:snapToGrid w:val="0"/>
              <w:spacing w:line="400" w:lineRule="exact"/>
              <w:jc w:val="center"/>
              <w:rPr>
                <w:rFonts w:ascii="宋体" w:hAnsi="宋体"/>
                <w:color w:val="auto"/>
                <w:kern w:val="0"/>
                <w:szCs w:val="21"/>
                <w:highlight w:val="none"/>
              </w:rPr>
            </w:pPr>
          </w:p>
          <w:p w14:paraId="03FDA3B3">
            <w:pPr>
              <w:snapToGrid w:val="0"/>
              <w:spacing w:line="400" w:lineRule="exact"/>
              <w:jc w:val="center"/>
              <w:rPr>
                <w:rFonts w:ascii="宋体" w:hAnsi="宋体"/>
                <w:color w:val="auto"/>
                <w:kern w:val="0"/>
                <w:szCs w:val="21"/>
                <w:highlight w:val="none"/>
              </w:rPr>
            </w:pPr>
          </w:p>
          <w:p w14:paraId="0593C465">
            <w:pPr>
              <w:snapToGrid w:val="0"/>
              <w:spacing w:line="400" w:lineRule="exact"/>
              <w:jc w:val="center"/>
              <w:rPr>
                <w:rFonts w:ascii="宋体" w:hAnsi="宋体"/>
                <w:color w:val="auto"/>
                <w:kern w:val="0"/>
                <w:szCs w:val="21"/>
                <w:highlight w:val="none"/>
              </w:rPr>
            </w:pPr>
          </w:p>
          <w:p w14:paraId="2536C613">
            <w:pPr>
              <w:snapToGrid w:val="0"/>
              <w:spacing w:line="400" w:lineRule="exact"/>
              <w:jc w:val="center"/>
              <w:rPr>
                <w:rFonts w:ascii="宋体" w:hAnsi="宋体"/>
                <w:color w:val="auto"/>
                <w:kern w:val="0"/>
                <w:szCs w:val="21"/>
                <w:highlight w:val="none"/>
              </w:rPr>
            </w:pPr>
          </w:p>
          <w:p w14:paraId="47DDC822">
            <w:pPr>
              <w:snapToGrid w:val="0"/>
              <w:spacing w:line="400" w:lineRule="exact"/>
              <w:jc w:val="center"/>
              <w:rPr>
                <w:rFonts w:ascii="宋体" w:hAnsi="宋体"/>
                <w:color w:val="auto"/>
                <w:kern w:val="0"/>
                <w:szCs w:val="21"/>
                <w:highlight w:val="none"/>
              </w:rPr>
            </w:pPr>
          </w:p>
          <w:p w14:paraId="76DDF458">
            <w:pPr>
              <w:snapToGrid w:val="0"/>
              <w:spacing w:line="400" w:lineRule="exact"/>
              <w:jc w:val="center"/>
              <w:rPr>
                <w:rFonts w:ascii="宋体" w:hAnsi="宋体"/>
                <w:color w:val="auto"/>
                <w:kern w:val="0"/>
                <w:szCs w:val="21"/>
                <w:highlight w:val="none"/>
              </w:rPr>
            </w:pPr>
          </w:p>
          <w:p w14:paraId="2656BAE3">
            <w:pPr>
              <w:snapToGrid w:val="0"/>
              <w:spacing w:line="400" w:lineRule="exact"/>
              <w:jc w:val="center"/>
              <w:rPr>
                <w:rFonts w:ascii="宋体" w:hAnsi="宋体"/>
                <w:color w:val="auto"/>
                <w:kern w:val="0"/>
                <w:szCs w:val="21"/>
                <w:highlight w:val="none"/>
              </w:rPr>
            </w:pPr>
          </w:p>
          <w:p w14:paraId="6CB3AFE5">
            <w:pPr>
              <w:snapToGrid w:val="0"/>
              <w:spacing w:line="400" w:lineRule="exact"/>
              <w:jc w:val="center"/>
              <w:rPr>
                <w:rFonts w:ascii="宋体" w:hAnsi="宋体"/>
                <w:color w:val="auto"/>
                <w:kern w:val="0"/>
                <w:szCs w:val="21"/>
                <w:highlight w:val="none"/>
              </w:rPr>
            </w:pPr>
          </w:p>
          <w:p w14:paraId="4385211A">
            <w:pPr>
              <w:snapToGrid w:val="0"/>
              <w:spacing w:line="400" w:lineRule="exact"/>
              <w:jc w:val="center"/>
              <w:rPr>
                <w:rFonts w:ascii="宋体" w:hAnsi="宋体"/>
                <w:color w:val="auto"/>
                <w:kern w:val="0"/>
                <w:szCs w:val="21"/>
                <w:highlight w:val="none"/>
              </w:rPr>
            </w:pPr>
          </w:p>
          <w:p w14:paraId="51DDD8B3">
            <w:pPr>
              <w:snapToGrid w:val="0"/>
              <w:spacing w:line="400" w:lineRule="exact"/>
              <w:jc w:val="center"/>
              <w:rPr>
                <w:rFonts w:ascii="宋体" w:hAnsi="宋体"/>
                <w:color w:val="auto"/>
                <w:kern w:val="0"/>
                <w:szCs w:val="21"/>
                <w:highlight w:val="none"/>
              </w:rPr>
            </w:pPr>
          </w:p>
          <w:p w14:paraId="6EE7941F">
            <w:pPr>
              <w:snapToGrid w:val="0"/>
              <w:spacing w:line="400" w:lineRule="exact"/>
              <w:jc w:val="center"/>
              <w:rPr>
                <w:rFonts w:ascii="宋体" w:hAnsi="宋体"/>
                <w:color w:val="auto"/>
                <w:kern w:val="0"/>
                <w:szCs w:val="21"/>
                <w:highlight w:val="none"/>
              </w:rPr>
            </w:pPr>
          </w:p>
          <w:p w14:paraId="05D3563D">
            <w:pPr>
              <w:snapToGrid w:val="0"/>
              <w:spacing w:line="400" w:lineRule="exact"/>
              <w:jc w:val="center"/>
              <w:rPr>
                <w:rFonts w:ascii="宋体" w:hAnsi="宋体"/>
                <w:color w:val="auto"/>
                <w:kern w:val="0"/>
                <w:szCs w:val="21"/>
                <w:highlight w:val="none"/>
              </w:rPr>
            </w:pPr>
          </w:p>
          <w:p w14:paraId="78489BED">
            <w:pPr>
              <w:snapToGrid w:val="0"/>
              <w:spacing w:line="400" w:lineRule="exact"/>
              <w:jc w:val="center"/>
              <w:rPr>
                <w:rFonts w:ascii="宋体" w:hAnsi="宋体"/>
                <w:color w:val="auto"/>
                <w:kern w:val="0"/>
                <w:szCs w:val="21"/>
                <w:highlight w:val="none"/>
              </w:rPr>
            </w:pPr>
          </w:p>
          <w:p w14:paraId="5AFE345A">
            <w:pPr>
              <w:snapToGrid w:val="0"/>
              <w:spacing w:line="400" w:lineRule="exact"/>
              <w:jc w:val="center"/>
              <w:rPr>
                <w:rFonts w:ascii="宋体" w:hAnsi="宋体"/>
                <w:color w:val="auto"/>
                <w:kern w:val="0"/>
                <w:szCs w:val="21"/>
                <w:highlight w:val="none"/>
              </w:rPr>
            </w:pPr>
          </w:p>
          <w:p w14:paraId="4BCDA4DD">
            <w:pPr>
              <w:snapToGrid w:val="0"/>
              <w:spacing w:line="400" w:lineRule="exact"/>
              <w:jc w:val="center"/>
              <w:rPr>
                <w:rFonts w:ascii="宋体" w:hAnsi="宋体"/>
                <w:color w:val="auto"/>
                <w:kern w:val="0"/>
                <w:szCs w:val="21"/>
                <w:highlight w:val="none"/>
              </w:rPr>
            </w:pPr>
          </w:p>
          <w:p w14:paraId="79051473">
            <w:pPr>
              <w:snapToGrid w:val="0"/>
              <w:spacing w:line="400" w:lineRule="exact"/>
              <w:jc w:val="center"/>
              <w:rPr>
                <w:rFonts w:ascii="宋体" w:hAnsi="宋体"/>
                <w:color w:val="auto"/>
                <w:kern w:val="0"/>
                <w:szCs w:val="21"/>
                <w:highlight w:val="none"/>
              </w:rPr>
            </w:pPr>
          </w:p>
          <w:p w14:paraId="3CF22B0E">
            <w:pPr>
              <w:snapToGrid w:val="0"/>
              <w:spacing w:line="400" w:lineRule="exact"/>
              <w:jc w:val="center"/>
              <w:rPr>
                <w:rFonts w:ascii="宋体" w:hAnsi="宋体"/>
                <w:color w:val="auto"/>
                <w:kern w:val="0"/>
                <w:szCs w:val="21"/>
                <w:highlight w:val="none"/>
              </w:rPr>
            </w:pPr>
          </w:p>
          <w:p w14:paraId="74030346">
            <w:pPr>
              <w:snapToGrid w:val="0"/>
              <w:spacing w:line="400" w:lineRule="exact"/>
              <w:jc w:val="center"/>
              <w:rPr>
                <w:rFonts w:ascii="宋体" w:hAnsi="宋体"/>
                <w:color w:val="auto"/>
                <w:kern w:val="0"/>
                <w:szCs w:val="21"/>
                <w:highlight w:val="none"/>
              </w:rPr>
            </w:pPr>
          </w:p>
          <w:p w14:paraId="63F83C97">
            <w:pPr>
              <w:snapToGrid w:val="0"/>
              <w:spacing w:line="400" w:lineRule="exact"/>
              <w:jc w:val="center"/>
              <w:rPr>
                <w:rFonts w:ascii="宋体" w:hAnsi="宋体"/>
                <w:color w:val="auto"/>
                <w:kern w:val="0"/>
                <w:szCs w:val="21"/>
                <w:highlight w:val="none"/>
              </w:rPr>
            </w:pPr>
          </w:p>
          <w:p w14:paraId="3A477C72">
            <w:pPr>
              <w:snapToGrid w:val="0"/>
              <w:spacing w:line="400" w:lineRule="exact"/>
              <w:jc w:val="center"/>
              <w:rPr>
                <w:rFonts w:ascii="宋体" w:hAnsi="宋体"/>
                <w:color w:val="auto"/>
                <w:kern w:val="0"/>
                <w:szCs w:val="21"/>
                <w:highlight w:val="none"/>
              </w:rPr>
            </w:pPr>
          </w:p>
          <w:p w14:paraId="02FC4760">
            <w:pPr>
              <w:snapToGrid w:val="0"/>
              <w:spacing w:line="400" w:lineRule="exact"/>
              <w:jc w:val="center"/>
              <w:rPr>
                <w:rFonts w:ascii="宋体" w:hAnsi="宋体"/>
                <w:color w:val="auto"/>
                <w:kern w:val="0"/>
                <w:szCs w:val="21"/>
                <w:highlight w:val="none"/>
              </w:rPr>
            </w:pPr>
          </w:p>
          <w:p w14:paraId="5B0D30D8">
            <w:pPr>
              <w:snapToGrid w:val="0"/>
              <w:spacing w:line="400" w:lineRule="exact"/>
              <w:jc w:val="center"/>
              <w:rPr>
                <w:rFonts w:ascii="宋体" w:hAnsi="宋体"/>
                <w:color w:val="auto"/>
                <w:kern w:val="0"/>
                <w:szCs w:val="21"/>
                <w:highlight w:val="none"/>
              </w:rPr>
            </w:pPr>
          </w:p>
          <w:p w14:paraId="7B0BAD86">
            <w:pPr>
              <w:snapToGrid w:val="0"/>
              <w:spacing w:line="400" w:lineRule="exact"/>
              <w:jc w:val="center"/>
              <w:rPr>
                <w:rFonts w:ascii="宋体" w:hAnsi="宋体"/>
                <w:color w:val="auto"/>
                <w:kern w:val="0"/>
                <w:szCs w:val="21"/>
                <w:highlight w:val="none"/>
              </w:rPr>
            </w:pPr>
          </w:p>
          <w:p w14:paraId="0380484A">
            <w:pPr>
              <w:snapToGrid w:val="0"/>
              <w:spacing w:line="400" w:lineRule="exact"/>
              <w:jc w:val="center"/>
              <w:rPr>
                <w:rFonts w:ascii="宋体" w:hAnsi="宋体"/>
                <w:color w:val="auto"/>
                <w:kern w:val="0"/>
                <w:szCs w:val="21"/>
                <w:highlight w:val="none"/>
              </w:rPr>
            </w:pPr>
          </w:p>
          <w:p w14:paraId="50B466B4">
            <w:pPr>
              <w:snapToGrid w:val="0"/>
              <w:spacing w:line="400" w:lineRule="exact"/>
              <w:jc w:val="center"/>
              <w:rPr>
                <w:rFonts w:ascii="宋体" w:hAnsi="宋体"/>
                <w:color w:val="auto"/>
                <w:kern w:val="0"/>
                <w:szCs w:val="21"/>
                <w:highlight w:val="none"/>
              </w:rPr>
            </w:pPr>
          </w:p>
          <w:p w14:paraId="5A288F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4DF4C743">
            <w:pPr>
              <w:snapToGrid w:val="0"/>
              <w:spacing w:line="400" w:lineRule="exact"/>
              <w:jc w:val="center"/>
              <w:rPr>
                <w:rFonts w:ascii="宋体" w:hAnsi="宋体"/>
                <w:color w:val="auto"/>
                <w:kern w:val="0"/>
                <w:szCs w:val="21"/>
                <w:highlight w:val="none"/>
              </w:rPr>
            </w:pPr>
          </w:p>
          <w:p w14:paraId="707EE578">
            <w:pPr>
              <w:snapToGrid w:val="0"/>
              <w:spacing w:line="400" w:lineRule="exact"/>
              <w:jc w:val="center"/>
              <w:rPr>
                <w:rFonts w:ascii="宋体" w:hAnsi="宋体"/>
                <w:color w:val="auto"/>
                <w:kern w:val="0"/>
                <w:szCs w:val="21"/>
                <w:highlight w:val="none"/>
              </w:rPr>
            </w:pPr>
          </w:p>
          <w:p w14:paraId="710B57D2">
            <w:pPr>
              <w:snapToGrid w:val="0"/>
              <w:spacing w:line="400" w:lineRule="exact"/>
              <w:jc w:val="center"/>
              <w:rPr>
                <w:rFonts w:ascii="宋体" w:hAnsi="宋体"/>
                <w:color w:val="auto"/>
                <w:kern w:val="0"/>
                <w:szCs w:val="21"/>
                <w:highlight w:val="none"/>
              </w:rPr>
            </w:pPr>
          </w:p>
          <w:p w14:paraId="12A42CBC">
            <w:pPr>
              <w:snapToGrid w:val="0"/>
              <w:spacing w:line="400" w:lineRule="exact"/>
              <w:jc w:val="center"/>
              <w:rPr>
                <w:rFonts w:ascii="宋体" w:hAnsi="宋体"/>
                <w:color w:val="auto"/>
                <w:kern w:val="0"/>
                <w:szCs w:val="21"/>
                <w:highlight w:val="none"/>
              </w:rPr>
            </w:pPr>
          </w:p>
          <w:p w14:paraId="4F683522">
            <w:pPr>
              <w:snapToGrid w:val="0"/>
              <w:spacing w:line="400" w:lineRule="exact"/>
              <w:jc w:val="center"/>
              <w:rPr>
                <w:rFonts w:ascii="宋体" w:hAnsi="宋体"/>
                <w:color w:val="auto"/>
                <w:kern w:val="0"/>
                <w:szCs w:val="21"/>
                <w:highlight w:val="none"/>
              </w:rPr>
            </w:pPr>
          </w:p>
          <w:p w14:paraId="4FABF55A">
            <w:pPr>
              <w:snapToGrid w:val="0"/>
              <w:spacing w:line="400" w:lineRule="exact"/>
              <w:jc w:val="center"/>
              <w:rPr>
                <w:rFonts w:ascii="宋体" w:hAnsi="宋体"/>
                <w:color w:val="auto"/>
                <w:kern w:val="0"/>
                <w:szCs w:val="21"/>
                <w:highlight w:val="none"/>
              </w:rPr>
            </w:pPr>
          </w:p>
          <w:p w14:paraId="4C02153E">
            <w:pPr>
              <w:snapToGrid w:val="0"/>
              <w:spacing w:line="400" w:lineRule="exact"/>
              <w:jc w:val="center"/>
              <w:rPr>
                <w:rFonts w:ascii="宋体" w:hAnsi="宋体"/>
                <w:color w:val="auto"/>
                <w:kern w:val="0"/>
                <w:szCs w:val="21"/>
                <w:highlight w:val="none"/>
              </w:rPr>
            </w:pPr>
          </w:p>
          <w:p w14:paraId="7A53D476">
            <w:pPr>
              <w:snapToGrid w:val="0"/>
              <w:spacing w:line="400" w:lineRule="exact"/>
              <w:jc w:val="center"/>
              <w:rPr>
                <w:rFonts w:ascii="宋体" w:hAnsi="宋体"/>
                <w:color w:val="auto"/>
                <w:kern w:val="0"/>
                <w:szCs w:val="21"/>
                <w:highlight w:val="none"/>
              </w:rPr>
            </w:pPr>
          </w:p>
          <w:p w14:paraId="1ADAB3B9">
            <w:pPr>
              <w:snapToGrid w:val="0"/>
              <w:spacing w:line="400" w:lineRule="exact"/>
              <w:jc w:val="center"/>
              <w:rPr>
                <w:rFonts w:ascii="宋体" w:hAnsi="宋体"/>
                <w:color w:val="auto"/>
                <w:kern w:val="0"/>
                <w:szCs w:val="21"/>
                <w:highlight w:val="none"/>
              </w:rPr>
            </w:pPr>
          </w:p>
          <w:p w14:paraId="352C8767">
            <w:pPr>
              <w:snapToGrid w:val="0"/>
              <w:spacing w:line="400" w:lineRule="exact"/>
              <w:jc w:val="center"/>
              <w:rPr>
                <w:rFonts w:ascii="宋体" w:hAnsi="宋体"/>
                <w:color w:val="auto"/>
                <w:kern w:val="0"/>
                <w:szCs w:val="21"/>
                <w:highlight w:val="none"/>
              </w:rPr>
            </w:pPr>
          </w:p>
          <w:p w14:paraId="05CC9A37">
            <w:pPr>
              <w:snapToGrid w:val="0"/>
              <w:spacing w:line="400" w:lineRule="exact"/>
              <w:jc w:val="center"/>
              <w:rPr>
                <w:rFonts w:ascii="宋体" w:hAnsi="宋体"/>
                <w:color w:val="auto"/>
                <w:kern w:val="0"/>
                <w:szCs w:val="21"/>
                <w:highlight w:val="none"/>
              </w:rPr>
            </w:pPr>
          </w:p>
          <w:p w14:paraId="7B5ECCBA">
            <w:pPr>
              <w:snapToGrid w:val="0"/>
              <w:spacing w:line="400" w:lineRule="exact"/>
              <w:jc w:val="center"/>
              <w:rPr>
                <w:rFonts w:ascii="宋体" w:hAnsi="宋体"/>
                <w:color w:val="auto"/>
                <w:kern w:val="0"/>
                <w:szCs w:val="21"/>
                <w:highlight w:val="none"/>
              </w:rPr>
            </w:pPr>
          </w:p>
          <w:p w14:paraId="07C428A1">
            <w:pPr>
              <w:snapToGrid w:val="0"/>
              <w:spacing w:line="400" w:lineRule="exact"/>
              <w:jc w:val="center"/>
              <w:rPr>
                <w:rFonts w:ascii="宋体" w:hAnsi="宋体"/>
                <w:color w:val="auto"/>
                <w:kern w:val="0"/>
                <w:szCs w:val="21"/>
                <w:highlight w:val="none"/>
              </w:rPr>
            </w:pPr>
          </w:p>
          <w:p w14:paraId="384B5004">
            <w:pPr>
              <w:snapToGrid w:val="0"/>
              <w:spacing w:line="400" w:lineRule="exact"/>
              <w:jc w:val="center"/>
              <w:rPr>
                <w:rFonts w:ascii="宋体" w:hAnsi="宋体"/>
                <w:color w:val="auto"/>
                <w:kern w:val="0"/>
                <w:szCs w:val="21"/>
                <w:highlight w:val="none"/>
              </w:rPr>
            </w:pPr>
          </w:p>
          <w:p w14:paraId="1568A244">
            <w:pPr>
              <w:snapToGrid w:val="0"/>
              <w:spacing w:line="400" w:lineRule="exact"/>
              <w:jc w:val="center"/>
              <w:rPr>
                <w:rFonts w:ascii="宋体" w:hAnsi="宋体"/>
                <w:color w:val="auto"/>
                <w:kern w:val="0"/>
                <w:szCs w:val="21"/>
                <w:highlight w:val="none"/>
              </w:rPr>
            </w:pPr>
          </w:p>
          <w:p w14:paraId="5C09803C">
            <w:pPr>
              <w:snapToGrid w:val="0"/>
              <w:spacing w:line="400" w:lineRule="exact"/>
              <w:jc w:val="center"/>
              <w:rPr>
                <w:rFonts w:ascii="宋体" w:hAnsi="宋体"/>
                <w:color w:val="auto"/>
                <w:kern w:val="0"/>
                <w:szCs w:val="21"/>
                <w:highlight w:val="none"/>
              </w:rPr>
            </w:pPr>
          </w:p>
          <w:p w14:paraId="1CA782AF">
            <w:pPr>
              <w:snapToGrid w:val="0"/>
              <w:spacing w:line="400" w:lineRule="exact"/>
              <w:jc w:val="center"/>
              <w:rPr>
                <w:rFonts w:ascii="宋体" w:hAnsi="宋体"/>
                <w:color w:val="auto"/>
                <w:kern w:val="0"/>
                <w:szCs w:val="21"/>
                <w:highlight w:val="none"/>
              </w:rPr>
            </w:pPr>
          </w:p>
          <w:p w14:paraId="517061DA">
            <w:pPr>
              <w:snapToGrid w:val="0"/>
              <w:spacing w:line="400" w:lineRule="exact"/>
              <w:rPr>
                <w:rFonts w:ascii="宋体" w:hAnsi="宋体"/>
                <w:color w:val="auto"/>
                <w:kern w:val="0"/>
                <w:szCs w:val="21"/>
                <w:highlight w:val="none"/>
              </w:rPr>
            </w:pPr>
          </w:p>
        </w:tc>
        <w:tc>
          <w:tcPr>
            <w:tcW w:w="1644" w:type="dxa"/>
            <w:vAlign w:val="center"/>
          </w:tcPr>
          <w:p w14:paraId="7DFBAC2E">
            <w:pPr>
              <w:snapToGrid w:val="0"/>
              <w:spacing w:line="400" w:lineRule="exact"/>
              <w:jc w:val="center"/>
              <w:rPr>
                <w:rFonts w:ascii="宋体" w:hAnsi="宋体"/>
                <w:color w:val="auto"/>
                <w:kern w:val="0"/>
                <w:szCs w:val="21"/>
                <w:highlight w:val="none"/>
              </w:rPr>
            </w:pPr>
          </w:p>
          <w:p w14:paraId="43DEDB92">
            <w:pPr>
              <w:snapToGrid w:val="0"/>
              <w:spacing w:line="400" w:lineRule="exact"/>
              <w:jc w:val="center"/>
              <w:rPr>
                <w:rFonts w:ascii="宋体" w:hAnsi="宋体"/>
                <w:color w:val="auto"/>
                <w:kern w:val="0"/>
                <w:szCs w:val="21"/>
                <w:highlight w:val="none"/>
              </w:rPr>
            </w:pPr>
          </w:p>
          <w:p w14:paraId="48F34A73">
            <w:pPr>
              <w:snapToGrid w:val="0"/>
              <w:spacing w:line="400" w:lineRule="exact"/>
              <w:jc w:val="center"/>
              <w:rPr>
                <w:rFonts w:ascii="宋体" w:hAnsi="宋体"/>
                <w:color w:val="auto"/>
                <w:kern w:val="0"/>
                <w:szCs w:val="21"/>
                <w:highlight w:val="none"/>
              </w:rPr>
            </w:pPr>
          </w:p>
          <w:p w14:paraId="43BFAD0A">
            <w:pPr>
              <w:snapToGrid w:val="0"/>
              <w:spacing w:line="400" w:lineRule="exact"/>
              <w:jc w:val="center"/>
              <w:rPr>
                <w:rFonts w:ascii="宋体" w:hAnsi="宋体"/>
                <w:color w:val="auto"/>
                <w:kern w:val="0"/>
                <w:szCs w:val="21"/>
                <w:highlight w:val="none"/>
              </w:rPr>
            </w:pPr>
          </w:p>
          <w:p w14:paraId="28D28DA7">
            <w:pPr>
              <w:snapToGrid w:val="0"/>
              <w:spacing w:line="400" w:lineRule="exact"/>
              <w:jc w:val="center"/>
              <w:rPr>
                <w:rFonts w:ascii="宋体" w:hAnsi="宋体"/>
                <w:color w:val="auto"/>
                <w:kern w:val="0"/>
                <w:szCs w:val="21"/>
                <w:highlight w:val="none"/>
              </w:rPr>
            </w:pPr>
          </w:p>
          <w:p w14:paraId="5A4B35CC">
            <w:pPr>
              <w:snapToGrid w:val="0"/>
              <w:spacing w:line="400" w:lineRule="exact"/>
              <w:jc w:val="center"/>
              <w:rPr>
                <w:rFonts w:ascii="宋体" w:hAnsi="宋体"/>
                <w:color w:val="auto"/>
                <w:kern w:val="0"/>
                <w:szCs w:val="21"/>
                <w:highlight w:val="none"/>
              </w:rPr>
            </w:pPr>
          </w:p>
          <w:p w14:paraId="7E632D8E">
            <w:pPr>
              <w:snapToGrid w:val="0"/>
              <w:spacing w:line="400" w:lineRule="exact"/>
              <w:jc w:val="center"/>
              <w:rPr>
                <w:rFonts w:ascii="宋体" w:hAnsi="宋体"/>
                <w:color w:val="auto"/>
                <w:kern w:val="0"/>
                <w:szCs w:val="21"/>
                <w:highlight w:val="none"/>
              </w:rPr>
            </w:pPr>
          </w:p>
          <w:p w14:paraId="05E8D73A">
            <w:pPr>
              <w:snapToGrid w:val="0"/>
              <w:spacing w:line="400" w:lineRule="exact"/>
              <w:jc w:val="center"/>
              <w:rPr>
                <w:rFonts w:ascii="宋体" w:hAnsi="宋体"/>
                <w:color w:val="auto"/>
                <w:kern w:val="0"/>
                <w:szCs w:val="21"/>
                <w:highlight w:val="none"/>
              </w:rPr>
            </w:pPr>
          </w:p>
          <w:p w14:paraId="0E923D61">
            <w:pPr>
              <w:snapToGrid w:val="0"/>
              <w:spacing w:line="400" w:lineRule="exact"/>
              <w:jc w:val="center"/>
              <w:rPr>
                <w:rFonts w:ascii="宋体" w:hAnsi="宋体"/>
                <w:color w:val="auto"/>
                <w:kern w:val="0"/>
                <w:szCs w:val="21"/>
                <w:highlight w:val="none"/>
              </w:rPr>
            </w:pPr>
          </w:p>
          <w:p w14:paraId="6008E16A">
            <w:pPr>
              <w:snapToGrid w:val="0"/>
              <w:spacing w:line="400" w:lineRule="exact"/>
              <w:jc w:val="center"/>
              <w:rPr>
                <w:rFonts w:ascii="宋体" w:hAnsi="宋体"/>
                <w:color w:val="auto"/>
                <w:kern w:val="0"/>
                <w:szCs w:val="21"/>
                <w:highlight w:val="none"/>
              </w:rPr>
            </w:pPr>
          </w:p>
          <w:p w14:paraId="04BE125C">
            <w:pPr>
              <w:snapToGrid w:val="0"/>
              <w:spacing w:line="400" w:lineRule="exact"/>
              <w:jc w:val="center"/>
              <w:rPr>
                <w:rFonts w:ascii="宋体" w:hAnsi="宋体"/>
                <w:color w:val="auto"/>
                <w:kern w:val="0"/>
                <w:szCs w:val="21"/>
                <w:highlight w:val="none"/>
              </w:rPr>
            </w:pPr>
          </w:p>
          <w:p w14:paraId="51F66979">
            <w:pPr>
              <w:snapToGrid w:val="0"/>
              <w:spacing w:line="400" w:lineRule="exact"/>
              <w:jc w:val="center"/>
              <w:rPr>
                <w:rFonts w:ascii="宋体" w:hAnsi="宋体"/>
                <w:color w:val="auto"/>
                <w:kern w:val="0"/>
                <w:szCs w:val="21"/>
                <w:highlight w:val="none"/>
              </w:rPr>
            </w:pPr>
          </w:p>
          <w:p w14:paraId="2088A126">
            <w:pPr>
              <w:snapToGrid w:val="0"/>
              <w:spacing w:line="400" w:lineRule="exact"/>
              <w:jc w:val="center"/>
              <w:rPr>
                <w:rFonts w:ascii="宋体" w:hAnsi="宋体"/>
                <w:color w:val="auto"/>
                <w:kern w:val="0"/>
                <w:szCs w:val="21"/>
                <w:highlight w:val="none"/>
              </w:rPr>
            </w:pPr>
          </w:p>
          <w:p w14:paraId="2399C826">
            <w:pPr>
              <w:snapToGrid w:val="0"/>
              <w:spacing w:line="400" w:lineRule="exact"/>
              <w:jc w:val="center"/>
              <w:rPr>
                <w:rFonts w:ascii="宋体" w:hAnsi="宋体"/>
                <w:color w:val="auto"/>
                <w:kern w:val="0"/>
                <w:szCs w:val="21"/>
                <w:highlight w:val="none"/>
              </w:rPr>
            </w:pPr>
          </w:p>
          <w:p w14:paraId="69043CAF">
            <w:pPr>
              <w:snapToGrid w:val="0"/>
              <w:spacing w:line="400" w:lineRule="exact"/>
              <w:jc w:val="center"/>
              <w:rPr>
                <w:rFonts w:ascii="宋体" w:hAnsi="宋体"/>
                <w:color w:val="auto"/>
                <w:kern w:val="0"/>
                <w:szCs w:val="21"/>
                <w:highlight w:val="none"/>
              </w:rPr>
            </w:pPr>
          </w:p>
          <w:p w14:paraId="1496D02E">
            <w:pPr>
              <w:snapToGrid w:val="0"/>
              <w:spacing w:line="400" w:lineRule="exact"/>
              <w:jc w:val="center"/>
              <w:rPr>
                <w:rFonts w:ascii="宋体" w:hAnsi="宋体"/>
                <w:color w:val="auto"/>
                <w:kern w:val="0"/>
                <w:szCs w:val="21"/>
                <w:highlight w:val="none"/>
              </w:rPr>
            </w:pPr>
          </w:p>
          <w:p w14:paraId="6E5E60FD">
            <w:pPr>
              <w:snapToGrid w:val="0"/>
              <w:spacing w:line="400" w:lineRule="exact"/>
              <w:jc w:val="center"/>
              <w:rPr>
                <w:rFonts w:ascii="宋体" w:hAnsi="宋体"/>
                <w:color w:val="auto"/>
                <w:kern w:val="0"/>
                <w:szCs w:val="21"/>
                <w:highlight w:val="none"/>
              </w:rPr>
            </w:pPr>
          </w:p>
          <w:p w14:paraId="1301666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6AF6927B">
            <w:pPr>
              <w:snapToGrid w:val="0"/>
              <w:spacing w:line="400" w:lineRule="exact"/>
              <w:jc w:val="center"/>
              <w:rPr>
                <w:rFonts w:ascii="宋体" w:hAnsi="宋体"/>
                <w:color w:val="auto"/>
                <w:kern w:val="0"/>
                <w:szCs w:val="21"/>
                <w:highlight w:val="none"/>
              </w:rPr>
            </w:pPr>
          </w:p>
          <w:p w14:paraId="1AA42F3F">
            <w:pPr>
              <w:snapToGrid w:val="0"/>
              <w:spacing w:line="400" w:lineRule="exact"/>
              <w:jc w:val="center"/>
              <w:rPr>
                <w:rFonts w:ascii="宋体" w:hAnsi="宋体"/>
                <w:color w:val="auto"/>
                <w:kern w:val="0"/>
                <w:szCs w:val="21"/>
                <w:highlight w:val="none"/>
              </w:rPr>
            </w:pPr>
          </w:p>
          <w:p w14:paraId="3D153DC7">
            <w:pPr>
              <w:snapToGrid w:val="0"/>
              <w:spacing w:line="400" w:lineRule="exact"/>
              <w:jc w:val="center"/>
              <w:rPr>
                <w:rFonts w:ascii="宋体" w:hAnsi="宋体"/>
                <w:color w:val="auto"/>
                <w:kern w:val="0"/>
                <w:szCs w:val="21"/>
                <w:highlight w:val="none"/>
              </w:rPr>
            </w:pPr>
          </w:p>
          <w:p w14:paraId="2FFB1882">
            <w:pPr>
              <w:snapToGrid w:val="0"/>
              <w:spacing w:line="400" w:lineRule="exact"/>
              <w:jc w:val="center"/>
              <w:rPr>
                <w:rFonts w:ascii="宋体" w:hAnsi="宋体"/>
                <w:color w:val="auto"/>
                <w:kern w:val="0"/>
                <w:szCs w:val="21"/>
                <w:highlight w:val="none"/>
              </w:rPr>
            </w:pPr>
          </w:p>
          <w:p w14:paraId="69047F91">
            <w:pPr>
              <w:snapToGrid w:val="0"/>
              <w:spacing w:line="400" w:lineRule="exact"/>
              <w:jc w:val="center"/>
              <w:rPr>
                <w:rFonts w:ascii="宋体" w:hAnsi="宋体"/>
                <w:color w:val="auto"/>
                <w:kern w:val="0"/>
                <w:szCs w:val="21"/>
                <w:highlight w:val="none"/>
              </w:rPr>
            </w:pPr>
          </w:p>
          <w:p w14:paraId="24304FFF">
            <w:pPr>
              <w:snapToGrid w:val="0"/>
              <w:spacing w:line="400" w:lineRule="exact"/>
              <w:jc w:val="center"/>
              <w:rPr>
                <w:rFonts w:ascii="宋体" w:hAnsi="宋体"/>
                <w:color w:val="auto"/>
                <w:kern w:val="0"/>
                <w:szCs w:val="21"/>
                <w:highlight w:val="none"/>
              </w:rPr>
            </w:pPr>
          </w:p>
          <w:p w14:paraId="0B4125D2">
            <w:pPr>
              <w:snapToGrid w:val="0"/>
              <w:spacing w:line="400" w:lineRule="exact"/>
              <w:jc w:val="center"/>
              <w:rPr>
                <w:rFonts w:ascii="宋体" w:hAnsi="宋体"/>
                <w:color w:val="auto"/>
                <w:kern w:val="0"/>
                <w:szCs w:val="21"/>
                <w:highlight w:val="none"/>
              </w:rPr>
            </w:pPr>
          </w:p>
          <w:p w14:paraId="4CEC89D1">
            <w:pPr>
              <w:snapToGrid w:val="0"/>
              <w:spacing w:line="400" w:lineRule="exact"/>
              <w:jc w:val="center"/>
              <w:rPr>
                <w:rFonts w:ascii="宋体" w:hAnsi="宋体"/>
                <w:color w:val="auto"/>
                <w:kern w:val="0"/>
                <w:szCs w:val="21"/>
                <w:highlight w:val="none"/>
              </w:rPr>
            </w:pPr>
          </w:p>
          <w:p w14:paraId="53C1C18F">
            <w:pPr>
              <w:snapToGrid w:val="0"/>
              <w:spacing w:line="400" w:lineRule="exact"/>
              <w:jc w:val="center"/>
              <w:rPr>
                <w:rFonts w:ascii="宋体" w:hAnsi="宋体"/>
                <w:color w:val="auto"/>
                <w:kern w:val="0"/>
                <w:szCs w:val="21"/>
                <w:highlight w:val="none"/>
              </w:rPr>
            </w:pPr>
          </w:p>
          <w:p w14:paraId="5AEBBF08">
            <w:pPr>
              <w:snapToGrid w:val="0"/>
              <w:spacing w:line="400" w:lineRule="exact"/>
              <w:jc w:val="center"/>
              <w:rPr>
                <w:rFonts w:ascii="宋体" w:hAnsi="宋体"/>
                <w:color w:val="auto"/>
                <w:kern w:val="0"/>
                <w:szCs w:val="21"/>
                <w:highlight w:val="none"/>
              </w:rPr>
            </w:pPr>
          </w:p>
          <w:p w14:paraId="2993714C">
            <w:pPr>
              <w:snapToGrid w:val="0"/>
              <w:spacing w:line="400" w:lineRule="exact"/>
              <w:jc w:val="center"/>
              <w:rPr>
                <w:rFonts w:ascii="宋体" w:hAnsi="宋体"/>
                <w:color w:val="auto"/>
                <w:kern w:val="0"/>
                <w:szCs w:val="21"/>
                <w:highlight w:val="none"/>
              </w:rPr>
            </w:pPr>
          </w:p>
          <w:p w14:paraId="78D92EA5">
            <w:pPr>
              <w:snapToGrid w:val="0"/>
              <w:spacing w:line="400" w:lineRule="exact"/>
              <w:jc w:val="center"/>
              <w:rPr>
                <w:rFonts w:ascii="宋体" w:hAnsi="宋体"/>
                <w:color w:val="auto"/>
                <w:kern w:val="0"/>
                <w:szCs w:val="21"/>
                <w:highlight w:val="none"/>
              </w:rPr>
            </w:pPr>
          </w:p>
          <w:p w14:paraId="48FD721B">
            <w:pPr>
              <w:snapToGrid w:val="0"/>
              <w:spacing w:line="400" w:lineRule="exact"/>
              <w:jc w:val="center"/>
              <w:rPr>
                <w:rFonts w:ascii="宋体" w:hAnsi="宋体"/>
                <w:color w:val="auto"/>
                <w:kern w:val="0"/>
                <w:szCs w:val="21"/>
                <w:highlight w:val="none"/>
              </w:rPr>
            </w:pPr>
          </w:p>
          <w:p w14:paraId="2967E8E8">
            <w:pPr>
              <w:snapToGrid w:val="0"/>
              <w:spacing w:line="400" w:lineRule="exact"/>
              <w:jc w:val="center"/>
              <w:rPr>
                <w:rFonts w:ascii="宋体" w:hAnsi="宋体"/>
                <w:color w:val="auto"/>
                <w:kern w:val="0"/>
                <w:szCs w:val="21"/>
                <w:highlight w:val="none"/>
              </w:rPr>
            </w:pPr>
          </w:p>
          <w:p w14:paraId="202947B4">
            <w:pPr>
              <w:snapToGrid w:val="0"/>
              <w:spacing w:line="400" w:lineRule="exact"/>
              <w:jc w:val="center"/>
              <w:rPr>
                <w:rFonts w:ascii="宋体" w:hAnsi="宋体"/>
                <w:color w:val="auto"/>
                <w:kern w:val="0"/>
                <w:szCs w:val="21"/>
                <w:highlight w:val="none"/>
              </w:rPr>
            </w:pPr>
          </w:p>
          <w:p w14:paraId="47925AD0">
            <w:pPr>
              <w:snapToGrid w:val="0"/>
              <w:spacing w:line="400" w:lineRule="exact"/>
              <w:jc w:val="center"/>
              <w:rPr>
                <w:rFonts w:ascii="宋体" w:hAnsi="宋体"/>
                <w:color w:val="auto"/>
                <w:kern w:val="0"/>
                <w:szCs w:val="21"/>
                <w:highlight w:val="none"/>
              </w:rPr>
            </w:pPr>
          </w:p>
          <w:p w14:paraId="5C253BA4">
            <w:pPr>
              <w:snapToGrid w:val="0"/>
              <w:spacing w:line="400" w:lineRule="exact"/>
              <w:jc w:val="center"/>
              <w:rPr>
                <w:rFonts w:ascii="宋体" w:hAnsi="宋体"/>
                <w:color w:val="auto"/>
                <w:kern w:val="0"/>
                <w:szCs w:val="21"/>
                <w:highlight w:val="none"/>
              </w:rPr>
            </w:pPr>
          </w:p>
          <w:p w14:paraId="6B838C37">
            <w:pPr>
              <w:snapToGrid w:val="0"/>
              <w:spacing w:line="400" w:lineRule="exact"/>
              <w:jc w:val="center"/>
              <w:rPr>
                <w:rFonts w:ascii="宋体" w:hAnsi="宋体"/>
                <w:color w:val="auto"/>
                <w:kern w:val="0"/>
                <w:szCs w:val="21"/>
                <w:highlight w:val="none"/>
              </w:rPr>
            </w:pPr>
          </w:p>
          <w:p w14:paraId="505600EF">
            <w:pPr>
              <w:snapToGrid w:val="0"/>
              <w:spacing w:line="400" w:lineRule="exact"/>
              <w:jc w:val="center"/>
              <w:rPr>
                <w:rFonts w:ascii="宋体" w:hAnsi="宋体"/>
                <w:color w:val="auto"/>
                <w:kern w:val="0"/>
                <w:szCs w:val="21"/>
                <w:highlight w:val="none"/>
              </w:rPr>
            </w:pPr>
          </w:p>
          <w:p w14:paraId="3D2C613E">
            <w:pPr>
              <w:snapToGrid w:val="0"/>
              <w:spacing w:line="400" w:lineRule="exact"/>
              <w:jc w:val="center"/>
              <w:rPr>
                <w:rFonts w:ascii="宋体" w:hAnsi="宋体"/>
                <w:color w:val="auto"/>
                <w:kern w:val="0"/>
                <w:szCs w:val="21"/>
                <w:highlight w:val="none"/>
              </w:rPr>
            </w:pPr>
          </w:p>
          <w:p w14:paraId="1F4EE4F7">
            <w:pPr>
              <w:snapToGrid w:val="0"/>
              <w:spacing w:line="400" w:lineRule="exact"/>
              <w:jc w:val="center"/>
              <w:rPr>
                <w:rFonts w:ascii="宋体" w:hAnsi="宋体"/>
                <w:color w:val="auto"/>
                <w:kern w:val="0"/>
                <w:szCs w:val="21"/>
                <w:highlight w:val="none"/>
              </w:rPr>
            </w:pPr>
          </w:p>
          <w:p w14:paraId="701228A4">
            <w:pPr>
              <w:snapToGrid w:val="0"/>
              <w:spacing w:line="400" w:lineRule="exact"/>
              <w:jc w:val="center"/>
              <w:rPr>
                <w:rFonts w:ascii="宋体" w:hAnsi="宋体"/>
                <w:color w:val="auto"/>
                <w:kern w:val="0"/>
                <w:szCs w:val="21"/>
                <w:highlight w:val="none"/>
              </w:rPr>
            </w:pPr>
          </w:p>
          <w:p w14:paraId="59EFD559">
            <w:pPr>
              <w:snapToGrid w:val="0"/>
              <w:spacing w:line="400" w:lineRule="exact"/>
              <w:jc w:val="center"/>
              <w:rPr>
                <w:rFonts w:ascii="宋体" w:hAnsi="宋体"/>
                <w:color w:val="auto"/>
                <w:kern w:val="0"/>
                <w:szCs w:val="21"/>
                <w:highlight w:val="none"/>
              </w:rPr>
            </w:pPr>
          </w:p>
          <w:p w14:paraId="164CE6B7">
            <w:pPr>
              <w:snapToGrid w:val="0"/>
              <w:spacing w:line="400" w:lineRule="exact"/>
              <w:jc w:val="center"/>
              <w:rPr>
                <w:rFonts w:ascii="宋体" w:hAnsi="宋体"/>
                <w:color w:val="auto"/>
                <w:kern w:val="0"/>
                <w:szCs w:val="21"/>
                <w:highlight w:val="none"/>
              </w:rPr>
            </w:pPr>
          </w:p>
          <w:p w14:paraId="6F6F6D95">
            <w:pPr>
              <w:snapToGrid w:val="0"/>
              <w:spacing w:line="400" w:lineRule="exact"/>
              <w:jc w:val="center"/>
              <w:rPr>
                <w:rFonts w:ascii="宋体" w:hAnsi="宋体"/>
                <w:color w:val="auto"/>
                <w:kern w:val="0"/>
                <w:szCs w:val="21"/>
                <w:highlight w:val="none"/>
              </w:rPr>
            </w:pPr>
          </w:p>
          <w:p w14:paraId="5ADC19B3">
            <w:pPr>
              <w:snapToGrid w:val="0"/>
              <w:spacing w:line="400" w:lineRule="exact"/>
              <w:jc w:val="center"/>
              <w:rPr>
                <w:rFonts w:ascii="宋体" w:hAnsi="宋体"/>
                <w:color w:val="auto"/>
                <w:kern w:val="0"/>
                <w:szCs w:val="21"/>
                <w:highlight w:val="none"/>
              </w:rPr>
            </w:pPr>
          </w:p>
          <w:p w14:paraId="5A385C38">
            <w:pPr>
              <w:snapToGrid w:val="0"/>
              <w:spacing w:line="400" w:lineRule="exact"/>
              <w:jc w:val="center"/>
              <w:rPr>
                <w:rFonts w:ascii="宋体" w:hAnsi="宋体"/>
                <w:color w:val="auto"/>
                <w:kern w:val="0"/>
                <w:szCs w:val="21"/>
                <w:highlight w:val="none"/>
              </w:rPr>
            </w:pPr>
          </w:p>
          <w:p w14:paraId="17B5B735">
            <w:pPr>
              <w:snapToGrid w:val="0"/>
              <w:spacing w:line="400" w:lineRule="exact"/>
              <w:jc w:val="center"/>
              <w:rPr>
                <w:rFonts w:ascii="宋体" w:hAnsi="宋体"/>
                <w:color w:val="auto"/>
                <w:kern w:val="0"/>
                <w:szCs w:val="21"/>
                <w:highlight w:val="none"/>
              </w:rPr>
            </w:pPr>
          </w:p>
          <w:p w14:paraId="7D588133">
            <w:pPr>
              <w:snapToGrid w:val="0"/>
              <w:spacing w:line="400" w:lineRule="exact"/>
              <w:jc w:val="center"/>
              <w:rPr>
                <w:rFonts w:ascii="宋体" w:hAnsi="宋体"/>
                <w:color w:val="auto"/>
                <w:kern w:val="0"/>
                <w:szCs w:val="21"/>
                <w:highlight w:val="none"/>
              </w:rPr>
            </w:pPr>
          </w:p>
          <w:p w14:paraId="202AA586">
            <w:pPr>
              <w:snapToGrid w:val="0"/>
              <w:spacing w:line="400" w:lineRule="exact"/>
              <w:jc w:val="center"/>
              <w:rPr>
                <w:rFonts w:ascii="宋体" w:hAnsi="宋体"/>
                <w:color w:val="auto"/>
                <w:kern w:val="0"/>
                <w:szCs w:val="21"/>
                <w:highlight w:val="none"/>
              </w:rPr>
            </w:pPr>
          </w:p>
          <w:p w14:paraId="2E9A701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25BF2899">
            <w:pPr>
              <w:snapToGrid w:val="0"/>
              <w:spacing w:line="400" w:lineRule="exact"/>
              <w:jc w:val="center"/>
              <w:rPr>
                <w:rFonts w:ascii="宋体" w:hAnsi="宋体"/>
                <w:color w:val="auto"/>
                <w:kern w:val="0"/>
                <w:szCs w:val="21"/>
                <w:highlight w:val="none"/>
              </w:rPr>
            </w:pPr>
          </w:p>
          <w:p w14:paraId="5B5A931D">
            <w:pPr>
              <w:snapToGrid w:val="0"/>
              <w:spacing w:line="400" w:lineRule="exact"/>
              <w:jc w:val="center"/>
              <w:rPr>
                <w:rFonts w:ascii="宋体" w:hAnsi="宋体"/>
                <w:color w:val="auto"/>
                <w:kern w:val="0"/>
                <w:szCs w:val="21"/>
                <w:highlight w:val="none"/>
              </w:rPr>
            </w:pPr>
          </w:p>
          <w:p w14:paraId="5F986A73">
            <w:pPr>
              <w:snapToGrid w:val="0"/>
              <w:spacing w:line="400" w:lineRule="exact"/>
              <w:jc w:val="center"/>
              <w:rPr>
                <w:rFonts w:ascii="宋体" w:hAnsi="宋体"/>
                <w:color w:val="auto"/>
                <w:kern w:val="0"/>
                <w:szCs w:val="21"/>
                <w:highlight w:val="none"/>
              </w:rPr>
            </w:pPr>
          </w:p>
          <w:p w14:paraId="0229DFBE">
            <w:pPr>
              <w:snapToGrid w:val="0"/>
              <w:spacing w:line="400" w:lineRule="exact"/>
              <w:jc w:val="center"/>
              <w:rPr>
                <w:rFonts w:ascii="宋体" w:hAnsi="宋体"/>
                <w:color w:val="auto"/>
                <w:kern w:val="0"/>
                <w:szCs w:val="21"/>
                <w:highlight w:val="none"/>
              </w:rPr>
            </w:pPr>
          </w:p>
          <w:p w14:paraId="5CAE581F">
            <w:pPr>
              <w:snapToGrid w:val="0"/>
              <w:spacing w:line="400" w:lineRule="exact"/>
              <w:jc w:val="center"/>
              <w:rPr>
                <w:rFonts w:ascii="宋体" w:hAnsi="宋体"/>
                <w:color w:val="auto"/>
                <w:kern w:val="0"/>
                <w:szCs w:val="21"/>
                <w:highlight w:val="none"/>
              </w:rPr>
            </w:pPr>
          </w:p>
          <w:p w14:paraId="245508FA">
            <w:pPr>
              <w:snapToGrid w:val="0"/>
              <w:spacing w:line="400" w:lineRule="exact"/>
              <w:jc w:val="center"/>
              <w:rPr>
                <w:rFonts w:ascii="宋体" w:hAnsi="宋体"/>
                <w:color w:val="auto"/>
                <w:kern w:val="0"/>
                <w:szCs w:val="21"/>
                <w:highlight w:val="none"/>
              </w:rPr>
            </w:pPr>
          </w:p>
          <w:p w14:paraId="7FBCFCFC">
            <w:pPr>
              <w:snapToGrid w:val="0"/>
              <w:spacing w:line="400" w:lineRule="exact"/>
              <w:jc w:val="center"/>
              <w:rPr>
                <w:rFonts w:ascii="宋体" w:hAnsi="宋体"/>
                <w:color w:val="auto"/>
                <w:kern w:val="0"/>
                <w:szCs w:val="21"/>
                <w:highlight w:val="none"/>
              </w:rPr>
            </w:pPr>
          </w:p>
          <w:p w14:paraId="79366F77">
            <w:pPr>
              <w:snapToGrid w:val="0"/>
              <w:spacing w:line="400" w:lineRule="exact"/>
              <w:jc w:val="center"/>
              <w:rPr>
                <w:rFonts w:ascii="宋体" w:hAnsi="宋体"/>
                <w:color w:val="auto"/>
                <w:kern w:val="0"/>
                <w:szCs w:val="21"/>
                <w:highlight w:val="none"/>
              </w:rPr>
            </w:pPr>
          </w:p>
          <w:p w14:paraId="7038B7D6">
            <w:pPr>
              <w:snapToGrid w:val="0"/>
              <w:spacing w:line="400" w:lineRule="exact"/>
              <w:jc w:val="center"/>
              <w:rPr>
                <w:rFonts w:ascii="宋体" w:hAnsi="宋体"/>
                <w:color w:val="auto"/>
                <w:kern w:val="0"/>
                <w:szCs w:val="21"/>
                <w:highlight w:val="none"/>
              </w:rPr>
            </w:pPr>
          </w:p>
          <w:p w14:paraId="6CC5E633">
            <w:pPr>
              <w:snapToGrid w:val="0"/>
              <w:spacing w:line="400" w:lineRule="exact"/>
              <w:jc w:val="center"/>
              <w:rPr>
                <w:rFonts w:ascii="宋体" w:hAnsi="宋体"/>
                <w:color w:val="auto"/>
                <w:kern w:val="0"/>
                <w:szCs w:val="21"/>
                <w:highlight w:val="none"/>
              </w:rPr>
            </w:pPr>
          </w:p>
          <w:p w14:paraId="637FD5FC">
            <w:pPr>
              <w:snapToGrid w:val="0"/>
              <w:spacing w:line="400" w:lineRule="exact"/>
              <w:jc w:val="center"/>
              <w:rPr>
                <w:rFonts w:ascii="宋体" w:hAnsi="宋体"/>
                <w:color w:val="auto"/>
                <w:kern w:val="0"/>
                <w:szCs w:val="21"/>
                <w:highlight w:val="none"/>
              </w:rPr>
            </w:pPr>
          </w:p>
          <w:p w14:paraId="01A11674">
            <w:pPr>
              <w:snapToGrid w:val="0"/>
              <w:spacing w:line="400" w:lineRule="exact"/>
              <w:jc w:val="center"/>
              <w:rPr>
                <w:rFonts w:ascii="宋体" w:hAnsi="宋体"/>
                <w:color w:val="auto"/>
                <w:kern w:val="0"/>
                <w:szCs w:val="21"/>
                <w:highlight w:val="none"/>
              </w:rPr>
            </w:pPr>
          </w:p>
          <w:p w14:paraId="7BB68BF3">
            <w:pPr>
              <w:snapToGrid w:val="0"/>
              <w:spacing w:line="400" w:lineRule="exact"/>
              <w:jc w:val="center"/>
              <w:rPr>
                <w:rFonts w:ascii="宋体" w:hAnsi="宋体"/>
                <w:color w:val="auto"/>
                <w:kern w:val="0"/>
                <w:szCs w:val="21"/>
                <w:highlight w:val="none"/>
              </w:rPr>
            </w:pPr>
          </w:p>
          <w:p w14:paraId="403FB3A0">
            <w:pPr>
              <w:snapToGrid w:val="0"/>
              <w:spacing w:line="400" w:lineRule="exact"/>
              <w:jc w:val="center"/>
              <w:rPr>
                <w:rFonts w:ascii="宋体" w:hAnsi="宋体"/>
                <w:color w:val="auto"/>
                <w:kern w:val="0"/>
                <w:szCs w:val="21"/>
                <w:highlight w:val="none"/>
              </w:rPr>
            </w:pPr>
          </w:p>
          <w:p w14:paraId="6844CD33">
            <w:pPr>
              <w:snapToGrid w:val="0"/>
              <w:spacing w:line="400" w:lineRule="exact"/>
              <w:jc w:val="center"/>
              <w:rPr>
                <w:rFonts w:ascii="宋体" w:hAnsi="宋体"/>
                <w:color w:val="auto"/>
                <w:kern w:val="0"/>
                <w:szCs w:val="21"/>
                <w:highlight w:val="none"/>
              </w:rPr>
            </w:pPr>
          </w:p>
          <w:p w14:paraId="514C096B">
            <w:pPr>
              <w:snapToGrid w:val="0"/>
              <w:spacing w:line="400" w:lineRule="exact"/>
              <w:jc w:val="center"/>
              <w:rPr>
                <w:rFonts w:ascii="宋体" w:hAnsi="宋体"/>
                <w:color w:val="auto"/>
                <w:kern w:val="0"/>
                <w:szCs w:val="21"/>
                <w:highlight w:val="none"/>
              </w:rPr>
            </w:pPr>
          </w:p>
          <w:p w14:paraId="0848DC83">
            <w:pPr>
              <w:snapToGrid w:val="0"/>
              <w:spacing w:line="400" w:lineRule="exact"/>
              <w:jc w:val="center"/>
              <w:rPr>
                <w:rFonts w:ascii="宋体" w:hAnsi="宋体"/>
                <w:color w:val="auto"/>
                <w:kern w:val="0"/>
                <w:szCs w:val="21"/>
                <w:highlight w:val="none"/>
              </w:rPr>
            </w:pPr>
          </w:p>
          <w:p w14:paraId="20846CBF">
            <w:pPr>
              <w:snapToGrid w:val="0"/>
              <w:spacing w:line="400" w:lineRule="exact"/>
              <w:jc w:val="center"/>
              <w:rPr>
                <w:rFonts w:ascii="宋体" w:hAnsi="宋体"/>
                <w:color w:val="auto"/>
                <w:kern w:val="0"/>
                <w:szCs w:val="21"/>
                <w:highlight w:val="none"/>
              </w:rPr>
            </w:pPr>
          </w:p>
          <w:p w14:paraId="55721B85">
            <w:pPr>
              <w:snapToGrid w:val="0"/>
              <w:spacing w:line="400" w:lineRule="exact"/>
              <w:jc w:val="center"/>
              <w:rPr>
                <w:rFonts w:ascii="宋体" w:hAnsi="宋体"/>
                <w:color w:val="auto"/>
                <w:kern w:val="0"/>
                <w:szCs w:val="21"/>
                <w:highlight w:val="none"/>
              </w:rPr>
            </w:pPr>
          </w:p>
          <w:p w14:paraId="691A64AB">
            <w:pPr>
              <w:snapToGrid w:val="0"/>
              <w:spacing w:line="400" w:lineRule="exact"/>
              <w:jc w:val="center"/>
              <w:rPr>
                <w:rFonts w:ascii="宋体" w:hAnsi="宋体"/>
                <w:color w:val="auto"/>
                <w:kern w:val="0"/>
                <w:szCs w:val="21"/>
                <w:highlight w:val="none"/>
              </w:rPr>
            </w:pPr>
          </w:p>
          <w:p w14:paraId="1C464546">
            <w:pPr>
              <w:snapToGrid w:val="0"/>
              <w:spacing w:line="400" w:lineRule="exact"/>
              <w:jc w:val="center"/>
              <w:rPr>
                <w:rFonts w:ascii="宋体" w:hAnsi="宋体"/>
                <w:color w:val="auto"/>
                <w:kern w:val="0"/>
                <w:szCs w:val="21"/>
                <w:highlight w:val="none"/>
              </w:rPr>
            </w:pPr>
          </w:p>
          <w:p w14:paraId="4B548411">
            <w:pPr>
              <w:snapToGrid w:val="0"/>
              <w:spacing w:line="400" w:lineRule="exact"/>
              <w:jc w:val="center"/>
              <w:rPr>
                <w:rFonts w:ascii="宋体" w:hAnsi="宋体"/>
                <w:color w:val="auto"/>
                <w:kern w:val="0"/>
                <w:szCs w:val="21"/>
                <w:highlight w:val="none"/>
              </w:rPr>
            </w:pPr>
          </w:p>
          <w:p w14:paraId="20985E6E">
            <w:pPr>
              <w:snapToGrid w:val="0"/>
              <w:spacing w:line="400" w:lineRule="exact"/>
              <w:jc w:val="center"/>
              <w:rPr>
                <w:rFonts w:ascii="宋体" w:hAnsi="宋体"/>
                <w:color w:val="auto"/>
                <w:kern w:val="0"/>
                <w:szCs w:val="21"/>
                <w:highlight w:val="none"/>
              </w:rPr>
            </w:pPr>
          </w:p>
          <w:p w14:paraId="14F6872A">
            <w:pPr>
              <w:snapToGrid w:val="0"/>
              <w:spacing w:line="400" w:lineRule="exact"/>
              <w:jc w:val="center"/>
              <w:rPr>
                <w:rFonts w:ascii="宋体" w:hAnsi="宋体"/>
                <w:color w:val="auto"/>
                <w:kern w:val="0"/>
                <w:szCs w:val="21"/>
                <w:highlight w:val="none"/>
              </w:rPr>
            </w:pPr>
          </w:p>
          <w:p w14:paraId="4164EA20">
            <w:pPr>
              <w:snapToGrid w:val="0"/>
              <w:spacing w:line="400" w:lineRule="exact"/>
              <w:jc w:val="center"/>
              <w:rPr>
                <w:rFonts w:ascii="宋体" w:hAnsi="宋体"/>
                <w:color w:val="auto"/>
                <w:kern w:val="0"/>
                <w:szCs w:val="21"/>
                <w:highlight w:val="none"/>
              </w:rPr>
            </w:pPr>
          </w:p>
          <w:p w14:paraId="310831C7">
            <w:pPr>
              <w:snapToGrid w:val="0"/>
              <w:spacing w:line="400" w:lineRule="exact"/>
              <w:jc w:val="center"/>
              <w:rPr>
                <w:rFonts w:ascii="宋体" w:hAnsi="宋体"/>
                <w:color w:val="auto"/>
                <w:kern w:val="0"/>
                <w:szCs w:val="21"/>
                <w:highlight w:val="none"/>
              </w:rPr>
            </w:pPr>
          </w:p>
          <w:p w14:paraId="326363B7">
            <w:pPr>
              <w:snapToGrid w:val="0"/>
              <w:spacing w:line="400" w:lineRule="exact"/>
              <w:jc w:val="center"/>
              <w:rPr>
                <w:rFonts w:ascii="宋体" w:hAnsi="宋体"/>
                <w:color w:val="auto"/>
                <w:kern w:val="0"/>
                <w:szCs w:val="21"/>
                <w:highlight w:val="none"/>
              </w:rPr>
            </w:pPr>
          </w:p>
          <w:p w14:paraId="08A330EA">
            <w:pPr>
              <w:snapToGrid w:val="0"/>
              <w:spacing w:line="400" w:lineRule="exact"/>
              <w:jc w:val="center"/>
              <w:rPr>
                <w:rFonts w:ascii="宋体" w:hAnsi="宋体"/>
                <w:color w:val="auto"/>
                <w:kern w:val="0"/>
                <w:szCs w:val="21"/>
                <w:highlight w:val="none"/>
              </w:rPr>
            </w:pPr>
          </w:p>
          <w:p w14:paraId="0F5F8397">
            <w:pPr>
              <w:snapToGrid w:val="0"/>
              <w:spacing w:line="400" w:lineRule="exact"/>
              <w:jc w:val="center"/>
              <w:rPr>
                <w:rFonts w:ascii="宋体" w:hAnsi="宋体"/>
                <w:color w:val="auto"/>
                <w:kern w:val="0"/>
                <w:szCs w:val="21"/>
                <w:highlight w:val="none"/>
              </w:rPr>
            </w:pPr>
          </w:p>
          <w:p w14:paraId="6DC79A5B">
            <w:pPr>
              <w:snapToGrid w:val="0"/>
              <w:spacing w:line="400" w:lineRule="exact"/>
              <w:jc w:val="center"/>
              <w:rPr>
                <w:rFonts w:ascii="宋体" w:hAnsi="宋体"/>
                <w:color w:val="auto"/>
                <w:kern w:val="0"/>
                <w:szCs w:val="21"/>
                <w:highlight w:val="none"/>
              </w:rPr>
            </w:pPr>
          </w:p>
          <w:p w14:paraId="32FD79B5">
            <w:pPr>
              <w:snapToGrid w:val="0"/>
              <w:spacing w:line="400" w:lineRule="exact"/>
              <w:jc w:val="center"/>
              <w:rPr>
                <w:rFonts w:ascii="宋体" w:hAnsi="宋体"/>
                <w:color w:val="auto"/>
                <w:kern w:val="0"/>
                <w:szCs w:val="21"/>
                <w:highlight w:val="none"/>
              </w:rPr>
            </w:pPr>
          </w:p>
          <w:p w14:paraId="15CB1B0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301AA5BD">
            <w:pPr>
              <w:snapToGrid w:val="0"/>
              <w:spacing w:line="400" w:lineRule="exact"/>
              <w:jc w:val="center"/>
              <w:rPr>
                <w:rFonts w:ascii="宋体" w:hAnsi="宋体"/>
                <w:color w:val="auto"/>
                <w:kern w:val="0"/>
                <w:szCs w:val="21"/>
                <w:highlight w:val="none"/>
              </w:rPr>
            </w:pPr>
          </w:p>
          <w:p w14:paraId="05C53399">
            <w:pPr>
              <w:snapToGrid w:val="0"/>
              <w:spacing w:line="400" w:lineRule="exact"/>
              <w:jc w:val="center"/>
              <w:rPr>
                <w:rFonts w:ascii="宋体" w:hAnsi="宋体"/>
                <w:color w:val="auto"/>
                <w:kern w:val="0"/>
                <w:szCs w:val="21"/>
                <w:highlight w:val="none"/>
              </w:rPr>
            </w:pPr>
          </w:p>
          <w:p w14:paraId="6914A8A6">
            <w:pPr>
              <w:snapToGrid w:val="0"/>
              <w:spacing w:line="400" w:lineRule="exact"/>
              <w:jc w:val="center"/>
              <w:rPr>
                <w:rFonts w:ascii="宋体" w:hAnsi="宋体"/>
                <w:color w:val="auto"/>
                <w:kern w:val="0"/>
                <w:szCs w:val="21"/>
                <w:highlight w:val="none"/>
              </w:rPr>
            </w:pPr>
          </w:p>
          <w:p w14:paraId="33F80946">
            <w:pPr>
              <w:snapToGrid w:val="0"/>
              <w:spacing w:line="400" w:lineRule="exact"/>
              <w:jc w:val="center"/>
              <w:rPr>
                <w:rFonts w:ascii="宋体" w:hAnsi="宋体"/>
                <w:color w:val="auto"/>
                <w:kern w:val="0"/>
                <w:szCs w:val="21"/>
                <w:highlight w:val="none"/>
              </w:rPr>
            </w:pPr>
          </w:p>
          <w:p w14:paraId="42F70CF2">
            <w:pPr>
              <w:snapToGrid w:val="0"/>
              <w:spacing w:line="400" w:lineRule="exact"/>
              <w:jc w:val="center"/>
              <w:rPr>
                <w:rFonts w:ascii="宋体" w:hAnsi="宋体"/>
                <w:color w:val="auto"/>
                <w:kern w:val="0"/>
                <w:szCs w:val="21"/>
                <w:highlight w:val="none"/>
              </w:rPr>
            </w:pPr>
          </w:p>
          <w:p w14:paraId="784DD11A">
            <w:pPr>
              <w:snapToGrid w:val="0"/>
              <w:spacing w:line="400" w:lineRule="exact"/>
              <w:jc w:val="center"/>
              <w:rPr>
                <w:rFonts w:ascii="宋体" w:hAnsi="宋体"/>
                <w:color w:val="auto"/>
                <w:kern w:val="0"/>
                <w:szCs w:val="21"/>
                <w:highlight w:val="none"/>
              </w:rPr>
            </w:pPr>
          </w:p>
          <w:p w14:paraId="68AF0031">
            <w:pPr>
              <w:snapToGrid w:val="0"/>
              <w:spacing w:line="400" w:lineRule="exact"/>
              <w:jc w:val="center"/>
              <w:rPr>
                <w:rFonts w:ascii="宋体" w:hAnsi="宋体"/>
                <w:color w:val="auto"/>
                <w:kern w:val="0"/>
                <w:szCs w:val="21"/>
                <w:highlight w:val="none"/>
              </w:rPr>
            </w:pPr>
          </w:p>
          <w:p w14:paraId="5B34A697">
            <w:pPr>
              <w:snapToGrid w:val="0"/>
              <w:spacing w:line="400" w:lineRule="exact"/>
              <w:jc w:val="center"/>
              <w:rPr>
                <w:rFonts w:ascii="宋体" w:hAnsi="宋体"/>
                <w:color w:val="auto"/>
                <w:kern w:val="0"/>
                <w:szCs w:val="21"/>
                <w:highlight w:val="none"/>
              </w:rPr>
            </w:pPr>
          </w:p>
          <w:p w14:paraId="6E7677C9">
            <w:pPr>
              <w:snapToGrid w:val="0"/>
              <w:spacing w:line="400" w:lineRule="exact"/>
              <w:jc w:val="center"/>
              <w:rPr>
                <w:rFonts w:ascii="宋体" w:hAnsi="宋体"/>
                <w:color w:val="auto"/>
                <w:kern w:val="0"/>
                <w:szCs w:val="21"/>
                <w:highlight w:val="none"/>
              </w:rPr>
            </w:pPr>
          </w:p>
          <w:p w14:paraId="72E3A136">
            <w:pPr>
              <w:snapToGrid w:val="0"/>
              <w:spacing w:line="400" w:lineRule="exact"/>
              <w:jc w:val="center"/>
              <w:rPr>
                <w:rFonts w:ascii="宋体" w:hAnsi="宋体"/>
                <w:color w:val="auto"/>
                <w:kern w:val="0"/>
                <w:szCs w:val="21"/>
                <w:highlight w:val="none"/>
              </w:rPr>
            </w:pPr>
          </w:p>
          <w:p w14:paraId="4698939E">
            <w:pPr>
              <w:snapToGrid w:val="0"/>
              <w:spacing w:line="400" w:lineRule="exact"/>
              <w:jc w:val="center"/>
              <w:rPr>
                <w:rFonts w:ascii="宋体" w:hAnsi="宋体"/>
                <w:color w:val="auto"/>
                <w:kern w:val="0"/>
                <w:szCs w:val="21"/>
                <w:highlight w:val="none"/>
              </w:rPr>
            </w:pPr>
          </w:p>
          <w:p w14:paraId="57F0D9BA">
            <w:pPr>
              <w:snapToGrid w:val="0"/>
              <w:spacing w:line="400" w:lineRule="exact"/>
              <w:jc w:val="center"/>
              <w:rPr>
                <w:rFonts w:ascii="宋体" w:hAnsi="宋体"/>
                <w:color w:val="auto"/>
                <w:kern w:val="0"/>
                <w:szCs w:val="21"/>
                <w:highlight w:val="none"/>
              </w:rPr>
            </w:pPr>
          </w:p>
          <w:p w14:paraId="713392FA">
            <w:pPr>
              <w:snapToGrid w:val="0"/>
              <w:spacing w:line="400" w:lineRule="exact"/>
              <w:jc w:val="center"/>
              <w:rPr>
                <w:rFonts w:ascii="宋体" w:hAnsi="宋体"/>
                <w:color w:val="auto"/>
                <w:kern w:val="0"/>
                <w:szCs w:val="21"/>
                <w:highlight w:val="none"/>
              </w:rPr>
            </w:pPr>
          </w:p>
          <w:p w14:paraId="46B5AD78">
            <w:pPr>
              <w:snapToGrid w:val="0"/>
              <w:spacing w:line="400" w:lineRule="exact"/>
              <w:jc w:val="center"/>
              <w:rPr>
                <w:rFonts w:ascii="宋体" w:hAnsi="宋体"/>
                <w:color w:val="auto"/>
                <w:kern w:val="0"/>
                <w:szCs w:val="21"/>
                <w:highlight w:val="none"/>
              </w:rPr>
            </w:pPr>
          </w:p>
          <w:p w14:paraId="6AA9A2F4">
            <w:pPr>
              <w:snapToGrid w:val="0"/>
              <w:spacing w:line="400" w:lineRule="exact"/>
              <w:jc w:val="center"/>
              <w:rPr>
                <w:rFonts w:ascii="宋体" w:hAnsi="宋体"/>
                <w:color w:val="auto"/>
                <w:kern w:val="0"/>
                <w:szCs w:val="21"/>
                <w:highlight w:val="none"/>
              </w:rPr>
            </w:pPr>
          </w:p>
          <w:p w14:paraId="291E70C2">
            <w:pPr>
              <w:snapToGrid w:val="0"/>
              <w:spacing w:line="400" w:lineRule="exact"/>
              <w:jc w:val="center"/>
              <w:rPr>
                <w:rFonts w:ascii="宋体" w:hAnsi="宋体"/>
                <w:color w:val="auto"/>
                <w:kern w:val="0"/>
                <w:szCs w:val="21"/>
                <w:highlight w:val="none"/>
              </w:rPr>
            </w:pPr>
          </w:p>
          <w:p w14:paraId="4EB815EB">
            <w:pPr>
              <w:snapToGrid w:val="0"/>
              <w:spacing w:line="400" w:lineRule="exact"/>
              <w:jc w:val="center"/>
              <w:rPr>
                <w:rFonts w:ascii="宋体" w:hAnsi="宋体"/>
                <w:color w:val="auto"/>
                <w:kern w:val="0"/>
                <w:szCs w:val="21"/>
                <w:highlight w:val="none"/>
              </w:rPr>
            </w:pPr>
          </w:p>
          <w:p w14:paraId="56661A97">
            <w:pPr>
              <w:snapToGrid w:val="0"/>
              <w:spacing w:line="400" w:lineRule="exact"/>
              <w:rPr>
                <w:rFonts w:ascii="宋体" w:hAnsi="宋体"/>
                <w:color w:val="auto"/>
                <w:kern w:val="0"/>
                <w:szCs w:val="21"/>
                <w:highlight w:val="none"/>
              </w:rPr>
            </w:pPr>
          </w:p>
        </w:tc>
        <w:tc>
          <w:tcPr>
            <w:tcW w:w="6490" w:type="dxa"/>
            <w:vAlign w:val="center"/>
          </w:tcPr>
          <w:p w14:paraId="068D2E8E">
            <w:pPr>
              <w:autoSpaceDE w:val="0"/>
              <w:autoSpaceDN w:val="0"/>
              <w:adjustRightInd w:val="0"/>
              <w:snapToGrid w:val="0"/>
              <w:spacing w:line="400" w:lineRule="exact"/>
              <w:ind w:firstLine="420" w:firstLineChars="200"/>
              <w:rPr>
                <w:rFonts w:ascii="宋体" w:hAnsi="宋体"/>
                <w:color w:val="auto"/>
                <w:szCs w:val="21"/>
                <w:highlight w:val="none"/>
              </w:rPr>
            </w:pPr>
            <w:bookmarkStart w:id="108" w:name="OLE_LINK1"/>
            <w:r>
              <w:rPr>
                <w:rFonts w:ascii="宋体" w:hAnsi="宋体"/>
                <w:color w:val="auto"/>
                <w:szCs w:val="21"/>
                <w:highlight w:val="none"/>
              </w:rPr>
              <w:t>本工程施工招标实行资格后审，</w:t>
            </w:r>
            <w:r>
              <w:rPr>
                <w:rFonts w:hint="eastAsia" w:ascii="宋体" w:hAnsi="宋体"/>
                <w:color w:val="auto"/>
                <w:szCs w:val="21"/>
                <w:highlight w:val="none"/>
              </w:rPr>
              <w:t>竞选人</w:t>
            </w:r>
            <w:r>
              <w:rPr>
                <w:rFonts w:ascii="宋体" w:hAnsi="宋体"/>
                <w:color w:val="auto"/>
                <w:szCs w:val="21"/>
                <w:highlight w:val="none"/>
              </w:rPr>
              <w:t>应</w:t>
            </w:r>
            <w:bookmarkStart w:id="109" w:name="一是"/>
            <w:bookmarkEnd w:id="109"/>
            <w:r>
              <w:rPr>
                <w:rFonts w:ascii="宋体" w:hAnsi="宋体"/>
                <w:color w:val="auto"/>
                <w:szCs w:val="21"/>
                <w:highlight w:val="none"/>
              </w:rPr>
              <w:t>具备以下资格条件：</w:t>
            </w:r>
          </w:p>
          <w:bookmarkEnd w:id="108"/>
          <w:p w14:paraId="5FE19915">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504CFDE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具备建设行政主管部门颁发的有效的</w:t>
            </w:r>
            <w:r>
              <w:rPr>
                <w:rFonts w:hint="eastAsia" w:ascii="宋体" w:hAnsi="宋体"/>
                <w:color w:val="auto"/>
                <w:szCs w:val="21"/>
                <w:highlight w:val="none"/>
              </w:rPr>
              <w:t>公路工程施工总承包三级及以上资质</w:t>
            </w:r>
            <w:r>
              <w:rPr>
                <w:rFonts w:ascii="宋体" w:hAnsi="宋体"/>
                <w:color w:val="auto"/>
                <w:szCs w:val="21"/>
                <w:highlight w:val="none"/>
              </w:rPr>
              <w:t>。</w:t>
            </w:r>
          </w:p>
          <w:p w14:paraId="272B291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在竞选文件资格审查部分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7771F8CA">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6904095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在竞选文件资格审查部分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注：不得将竞选人营业执照记载的经营范围作为评审因素。</w:t>
            </w:r>
          </w:p>
          <w:p w14:paraId="021BA74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负责人、拟担任该项目项目经理具备相应的由主管部门颁发的有效的安全生产考核合格证书</w:t>
            </w:r>
            <w:r>
              <w:rPr>
                <w:rFonts w:hint="eastAsia" w:ascii="宋体" w:hAnsi="宋体"/>
                <w:color w:val="auto"/>
                <w:szCs w:val="21"/>
                <w:highlight w:val="none"/>
              </w:rPr>
              <w:t>。</w:t>
            </w:r>
          </w:p>
          <w:p w14:paraId="6FFBC398">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竞选人须在竞选文件资格审查部分提供有效的安全生产许可证</w:t>
            </w:r>
            <w:r>
              <w:rPr>
                <w:rFonts w:ascii="宋体" w:hAnsi="宋体"/>
                <w:color w:val="auto"/>
                <w:szCs w:val="21"/>
                <w:highlight w:val="none"/>
              </w:rPr>
              <w:t>及安全生产考核合格证书复印件。</w:t>
            </w:r>
          </w:p>
          <w:p w14:paraId="13ECAF93">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.投标截止日投标资格情况</w:t>
            </w:r>
          </w:p>
          <w:p w14:paraId="5F15165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竞选人自行承诺（格式见第八章竞选文件格式）不得存在下列情形之一：</w:t>
            </w:r>
          </w:p>
          <w:p w14:paraId="604353A8">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6385B48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665167F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7D4A328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0CEA9BD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14:paraId="25859BB1">
            <w:pPr>
              <w:spacing w:line="400" w:lineRule="exact"/>
              <w:ind w:firstLine="420" w:firstLineChars="200"/>
              <w:rPr>
                <w:color w:val="auto"/>
                <w:highlight w:val="none"/>
              </w:rPr>
            </w:pPr>
            <w:r>
              <w:rPr>
                <w:rFonts w:hint="eastAsia"/>
                <w:color w:val="auto"/>
                <w:highlight w:val="none"/>
              </w:rPr>
              <w:t>竞选人须在竞选文件资格审查部分提供承诺。</w:t>
            </w:r>
          </w:p>
          <w:p w14:paraId="3A5BDE4E">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.项目经理资格要求</w:t>
            </w:r>
          </w:p>
          <w:p w14:paraId="2794623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3.1</w:t>
            </w:r>
            <w:r>
              <w:rPr>
                <w:rFonts w:hint="eastAsia"/>
                <w:color w:val="auto"/>
                <w:szCs w:val="21"/>
                <w:highlight w:val="none"/>
              </w:rPr>
              <w:t>竞选人拟派的</w:t>
            </w:r>
            <w:r>
              <w:rPr>
                <w:color w:val="auto"/>
                <w:szCs w:val="21"/>
                <w:highlight w:val="none"/>
              </w:rPr>
              <w:t>项目经理必须已在</w:t>
            </w:r>
            <w:r>
              <w:rPr>
                <w:rFonts w:hint="eastAsia"/>
                <w:color w:val="auto"/>
                <w:szCs w:val="21"/>
                <w:highlight w:val="none"/>
              </w:rPr>
              <w:t>竞选人本</w:t>
            </w:r>
            <w:r>
              <w:rPr>
                <w:color w:val="auto"/>
                <w:szCs w:val="21"/>
                <w:highlight w:val="none"/>
              </w:rPr>
              <w:t>单位注册并应具有</w:t>
            </w:r>
            <w:r>
              <w:rPr>
                <w:rFonts w:hint="eastAsia" w:ascii="宋体" w:hAnsi="宋体" w:cs="宋体"/>
                <w:color w:val="auto"/>
                <w:szCs w:val="21"/>
                <w:highlight w:val="none"/>
                <w:u w:val="single"/>
              </w:rPr>
              <w:t>公路工程</w:t>
            </w:r>
            <w:r>
              <w:rPr>
                <w:rFonts w:hint="eastAsia" w:ascii="宋体" w:hAnsi="宋体" w:cs="宋体"/>
                <w:color w:val="auto"/>
                <w:szCs w:val="21"/>
                <w:highlight w:val="none"/>
              </w:rPr>
              <w:t>专业</w:t>
            </w:r>
            <w:r>
              <w:rPr>
                <w:rFonts w:hint="eastAsia" w:ascii="宋体" w:hAnsi="宋体" w:cs="宋体"/>
                <w:color w:val="auto"/>
                <w:szCs w:val="21"/>
                <w:highlight w:val="none"/>
                <w:u w:val="single"/>
              </w:rPr>
              <w:t>二级</w:t>
            </w:r>
            <w:r>
              <w:rPr>
                <w:rFonts w:hint="eastAsia" w:ascii="宋体" w:hAnsi="宋体" w:cs="宋体"/>
                <w:color w:val="auto"/>
                <w:szCs w:val="21"/>
                <w:highlight w:val="none"/>
              </w:rPr>
              <w:t>及以上注册建造师执业资格。</w:t>
            </w:r>
          </w:p>
          <w:p w14:paraId="48155BE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3.2项目经理承诺要求：竞选人须承诺拟派项目经理按相关规定到岗履职和未被禁止参与投标。</w:t>
            </w:r>
          </w:p>
          <w:p w14:paraId="6D9CC137">
            <w:pPr>
              <w:snapToGrid w:val="0"/>
              <w:spacing w:line="400" w:lineRule="exact"/>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.2.1到岗履职承诺要求：承诺拟派项目经理中标后在本项目任职，签订合同时拟派的项目经理必须与</w:t>
            </w:r>
            <w:r>
              <w:rPr>
                <w:rFonts w:hint="eastAsia" w:ascii="宋体" w:hAnsi="宋体"/>
                <w:color w:val="auto"/>
                <w:highlight w:val="none"/>
              </w:rPr>
              <w:t>竞选文件</w:t>
            </w:r>
            <w:r>
              <w:rPr>
                <w:rFonts w:ascii="宋体" w:hAnsi="宋体"/>
                <w:color w:val="auto"/>
                <w:highlight w:val="none"/>
              </w:rPr>
              <w:t>中的项目经理一致，并满足办理施工许可手续的相关要求。不能按承诺到岗履约的，按合同相关条款处罚并上报行政主管部门，给</w:t>
            </w:r>
            <w:r>
              <w:rPr>
                <w:rFonts w:hint="eastAsia" w:ascii="宋体" w:hAnsi="宋体"/>
                <w:color w:val="auto"/>
                <w:highlight w:val="none"/>
              </w:rPr>
              <w:t>比选人</w:t>
            </w:r>
            <w:r>
              <w:rPr>
                <w:rFonts w:ascii="宋体" w:hAnsi="宋体"/>
                <w:color w:val="auto"/>
                <w:highlight w:val="none"/>
              </w:rPr>
              <w:t>造成损失的，</w:t>
            </w:r>
            <w:r>
              <w:rPr>
                <w:rFonts w:hint="eastAsia" w:ascii="宋体" w:hAnsi="宋体"/>
                <w:color w:val="auto"/>
                <w:highlight w:val="none"/>
              </w:rPr>
              <w:t>竞选人</w:t>
            </w:r>
            <w:r>
              <w:rPr>
                <w:rFonts w:ascii="宋体" w:hAnsi="宋体"/>
                <w:color w:val="auto"/>
                <w:highlight w:val="none"/>
              </w:rPr>
              <w:t>依法承担违约赔偿责任。拟派项目经理中标后不得随意更换。</w:t>
            </w:r>
          </w:p>
          <w:p w14:paraId="3A178DAC">
            <w:pPr>
              <w:snapToGrid w:val="0"/>
              <w:spacing w:line="400" w:lineRule="exact"/>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.2.2未被禁止参与投标承诺要求：承诺拟派项目经理未被重庆市</w:t>
            </w:r>
            <w:r>
              <w:rPr>
                <w:rFonts w:hint="eastAsia" w:ascii="宋体" w:hAnsi="宋体"/>
                <w:color w:val="auto"/>
                <w:highlight w:val="none"/>
              </w:rPr>
              <w:t>市级有关行业</w:t>
            </w:r>
            <w:r>
              <w:rPr>
                <w:rFonts w:ascii="宋体" w:hAnsi="宋体"/>
                <w:color w:val="auto"/>
                <w:highlight w:val="none"/>
              </w:rPr>
              <w:t>主管部门暂停在渝承揽新业务。若被暂停在渝承揽新业务但仍参加投标，将被否决投标；已取得中标候选人资格或中标资格的，</w:t>
            </w:r>
            <w:r>
              <w:rPr>
                <w:rFonts w:hint="eastAsia" w:ascii="宋体" w:hAnsi="宋体"/>
                <w:color w:val="auto"/>
                <w:highlight w:val="none"/>
              </w:rPr>
              <w:t>比选人</w:t>
            </w:r>
            <w:r>
              <w:rPr>
                <w:rFonts w:ascii="宋体" w:hAnsi="宋体"/>
                <w:color w:val="auto"/>
                <w:highlight w:val="none"/>
              </w:rPr>
              <w:t>有权取消其中标候选人资格或中标资格；给</w:t>
            </w:r>
            <w:r>
              <w:rPr>
                <w:rFonts w:hint="eastAsia" w:ascii="宋体" w:hAnsi="宋体"/>
                <w:color w:val="auto"/>
                <w:highlight w:val="none"/>
              </w:rPr>
              <w:t>比选人</w:t>
            </w:r>
            <w:r>
              <w:rPr>
                <w:rFonts w:ascii="宋体" w:hAnsi="宋体"/>
                <w:color w:val="auto"/>
                <w:highlight w:val="none"/>
              </w:rPr>
              <w:t>造成损失的，</w:t>
            </w:r>
            <w:r>
              <w:rPr>
                <w:rFonts w:hint="eastAsia" w:ascii="宋体" w:hAnsi="宋体"/>
                <w:color w:val="auto"/>
                <w:highlight w:val="none"/>
              </w:rPr>
              <w:t>竞选人</w:t>
            </w:r>
            <w:r>
              <w:rPr>
                <w:rFonts w:ascii="宋体" w:hAnsi="宋体"/>
                <w:color w:val="auto"/>
                <w:highlight w:val="none"/>
              </w:rPr>
              <w:t>依法承担违约赔偿责任。</w:t>
            </w:r>
          </w:p>
          <w:p w14:paraId="1882002E">
            <w:pPr>
              <w:snapToGrid w:val="0"/>
              <w:spacing w:line="400" w:lineRule="exact"/>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.2.3项目经理的其它承诺要求：为保证</w:t>
            </w:r>
            <w:r>
              <w:rPr>
                <w:rFonts w:hint="eastAsia" w:ascii="宋体" w:hAnsi="宋体"/>
                <w:color w:val="auto"/>
                <w:highlight w:val="none"/>
              </w:rPr>
              <w:t>竞选人</w:t>
            </w:r>
            <w:r>
              <w:rPr>
                <w:rFonts w:ascii="宋体" w:hAnsi="宋体"/>
                <w:color w:val="auto"/>
                <w:highlight w:val="none"/>
              </w:rPr>
              <w:t>拟派的项目经理到本项目到岗履职，</w:t>
            </w:r>
            <w:r>
              <w:rPr>
                <w:rFonts w:hint="eastAsia" w:ascii="宋体" w:hAnsi="宋体"/>
                <w:color w:val="auto"/>
                <w:highlight w:val="none"/>
              </w:rPr>
              <w:t>竞选人</w:t>
            </w:r>
            <w:r>
              <w:rPr>
                <w:rFonts w:ascii="宋体" w:hAnsi="宋体"/>
                <w:color w:val="auto"/>
                <w:highlight w:val="none"/>
              </w:rPr>
              <w:t>还需承诺：</w:t>
            </w:r>
          </w:p>
          <w:p w14:paraId="19EE6FFA">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竞选人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w:t>
            </w:r>
            <w:r>
              <w:rPr>
                <w:rFonts w:hint="eastAsia" w:ascii="宋体" w:hAnsi="宋体"/>
                <w:i/>
                <w:iCs/>
                <w:color w:val="auto"/>
                <w:highlight w:val="none"/>
              </w:rPr>
              <w:t>[提示：</w:t>
            </w:r>
            <w:r>
              <w:rPr>
                <w:rFonts w:ascii="宋体" w:hAnsi="宋体"/>
                <w:i/>
                <w:iCs/>
                <w:color w:val="auto"/>
                <w:highlight w:val="none"/>
              </w:rPr>
              <w:t>7～30日</w:t>
            </w:r>
            <w:r>
              <w:rPr>
                <w:rFonts w:hint="eastAsia" w:ascii="宋体" w:hAnsi="宋体"/>
                <w:i/>
                <w:iCs/>
                <w:color w:val="auto"/>
                <w:highlight w:val="none"/>
              </w:rPr>
              <w:t>]</w:t>
            </w:r>
            <w:r>
              <w:rPr>
                <w:rFonts w:ascii="宋体" w:hAnsi="宋体"/>
                <w:color w:val="auto"/>
                <w:highlight w:val="none"/>
              </w:rPr>
              <w:t>内，办理完成放弃在其他项目任职的手续（或办理完成放弃在其他项目中标或拟中标的手续），</w:t>
            </w:r>
            <w:r>
              <w:rPr>
                <w:rFonts w:hint="eastAsia" w:ascii="宋体" w:hAnsi="宋体"/>
                <w:color w:val="auto"/>
                <w:highlight w:val="none"/>
              </w:rPr>
              <w:t>比选人</w:t>
            </w:r>
            <w:r>
              <w:rPr>
                <w:rFonts w:ascii="宋体" w:hAnsi="宋体"/>
                <w:color w:val="auto"/>
                <w:highlight w:val="none"/>
              </w:rPr>
              <w:t>在合同签订前有权对</w:t>
            </w:r>
            <w:r>
              <w:rPr>
                <w:rFonts w:hint="eastAsia" w:ascii="宋体" w:hAnsi="宋体"/>
                <w:color w:val="auto"/>
                <w:highlight w:val="none"/>
              </w:rPr>
              <w:t>竞选人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竞选人</w:t>
            </w:r>
            <w:r>
              <w:rPr>
                <w:rFonts w:ascii="宋体" w:hAnsi="宋体"/>
                <w:color w:val="auto"/>
                <w:highlight w:val="none"/>
              </w:rPr>
              <w:t>承诺内容不符或</w:t>
            </w:r>
            <w:r>
              <w:rPr>
                <w:rFonts w:hint="eastAsia" w:ascii="宋体" w:hAnsi="宋体"/>
                <w:color w:val="auto"/>
                <w:highlight w:val="none"/>
              </w:rPr>
              <w:t>竞选人</w:t>
            </w:r>
            <w:r>
              <w:rPr>
                <w:rFonts w:ascii="宋体" w:hAnsi="宋体"/>
                <w:color w:val="auto"/>
                <w:highlight w:val="none"/>
              </w:rPr>
              <w:t>未在上述时间内按照</w:t>
            </w:r>
            <w:r>
              <w:rPr>
                <w:rFonts w:hint="eastAsia" w:ascii="宋体" w:hAnsi="宋体"/>
                <w:color w:val="auto"/>
                <w:highlight w:val="none"/>
              </w:rPr>
              <w:t>竞选文件</w:t>
            </w:r>
            <w:r>
              <w:rPr>
                <w:rFonts w:ascii="宋体" w:hAnsi="宋体"/>
                <w:color w:val="auto"/>
                <w:highlight w:val="none"/>
              </w:rPr>
              <w:t>规定递交放弃在其他项目任职、中标或拟中标的相关资料，视为</w:t>
            </w:r>
            <w:r>
              <w:rPr>
                <w:rFonts w:hint="eastAsia" w:ascii="宋体" w:hAnsi="宋体"/>
                <w:color w:val="auto"/>
                <w:highlight w:val="none"/>
              </w:rPr>
              <w:t>竞选人</w:t>
            </w:r>
            <w:r>
              <w:rPr>
                <w:rFonts w:ascii="宋体" w:hAnsi="宋体"/>
                <w:color w:val="auto"/>
                <w:highlight w:val="none"/>
              </w:rPr>
              <w:t>放弃中标资格，</w:t>
            </w:r>
            <w:r>
              <w:rPr>
                <w:rFonts w:hint="eastAsia" w:ascii="宋体" w:hAnsi="宋体"/>
                <w:color w:val="auto"/>
                <w:highlight w:val="none"/>
              </w:rPr>
              <w:t>比选人</w:t>
            </w:r>
            <w:r>
              <w:rPr>
                <w:rFonts w:ascii="宋体" w:hAnsi="宋体"/>
                <w:color w:val="auto"/>
                <w:highlight w:val="none"/>
              </w:rPr>
              <w:t>不退还其投标保证金。在合同签订时，</w:t>
            </w:r>
            <w:r>
              <w:rPr>
                <w:rFonts w:hint="eastAsia" w:ascii="宋体" w:hAnsi="宋体"/>
                <w:color w:val="auto"/>
                <w:highlight w:val="none"/>
              </w:rPr>
              <w:t>竞选人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rPr>
              <w:t>竞选人</w:t>
            </w:r>
            <w:r>
              <w:rPr>
                <w:rFonts w:ascii="宋体" w:hAnsi="宋体"/>
                <w:color w:val="auto"/>
                <w:highlight w:val="none"/>
              </w:rPr>
              <w:t>放弃中标资格，</w:t>
            </w:r>
            <w:r>
              <w:rPr>
                <w:rFonts w:hint="eastAsia" w:ascii="宋体" w:hAnsi="宋体"/>
                <w:color w:val="auto"/>
                <w:highlight w:val="none"/>
              </w:rPr>
              <w:t>比选人</w:t>
            </w:r>
            <w:r>
              <w:rPr>
                <w:rFonts w:ascii="宋体" w:hAnsi="宋体"/>
                <w:color w:val="auto"/>
                <w:highlight w:val="none"/>
              </w:rPr>
              <w:t>不退还其投标保证金。</w:t>
            </w:r>
          </w:p>
          <w:p w14:paraId="4539AEEC">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1466AA21">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放弃在其他项目中标或拟中标的需提供：①经中标或拟中标的其他项目建设单位同意的放弃中标函</w:t>
            </w:r>
            <w:r>
              <w:rPr>
                <w:rFonts w:hint="eastAsia" w:ascii="宋体" w:hAnsi="宋体"/>
                <w:color w:val="auto"/>
                <w:highlight w:val="none"/>
              </w:rPr>
              <w:t>。</w:t>
            </w:r>
          </w:p>
          <w:p w14:paraId="58CAEE62">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rPr>
              <w:t>3.2.4未提供上述承诺或承诺内容不符合要求的，由评标委员会作否决投标处理</w:t>
            </w:r>
            <w:r>
              <w:rPr>
                <w:rFonts w:ascii="宋体" w:hAnsi="宋体"/>
                <w:color w:val="auto"/>
                <w:highlight w:val="none"/>
              </w:rPr>
              <w:t>。</w:t>
            </w:r>
          </w:p>
          <w:p w14:paraId="46AD0A5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竞选人须在竞选文件资格审查部分提供有效的拟派</w:t>
            </w:r>
            <w:r>
              <w:rPr>
                <w:rFonts w:hint="eastAsia" w:ascii="宋体" w:hAnsi="宋体" w:cs="宋体"/>
                <w:color w:val="auto"/>
                <w:kern w:val="0"/>
                <w:szCs w:val="21"/>
                <w:highlight w:val="none"/>
              </w:rPr>
              <w:t>项目经理建造师注册证</w:t>
            </w:r>
            <w:r>
              <w:rPr>
                <w:rFonts w:hint="eastAsia" w:ascii="宋体" w:hAnsi="宋体"/>
                <w:color w:val="auto"/>
                <w:kern w:val="0"/>
                <w:szCs w:val="21"/>
                <w:highlight w:val="none"/>
              </w:rPr>
              <w:t>、身份证、竞选人为其缴纳的养老保险证明材料复印件，拟派项目经理到岗履职和未被禁止参与投标的承诺原件（承诺格式见第八章竞选文件格式）。</w:t>
            </w:r>
          </w:p>
          <w:p w14:paraId="71A4B110">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.其他要求</w:t>
            </w:r>
          </w:p>
          <w:p w14:paraId="0AEFA368">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w:t>
            </w:r>
            <w:r>
              <w:rPr>
                <w:rFonts w:hint="eastAsia" w:ascii="宋体" w:hAnsi="宋体"/>
                <w:color w:val="auto"/>
                <w:szCs w:val="21"/>
                <w:highlight w:val="none"/>
                <w:lang w:val="en-US" w:eastAsia="zh-CN"/>
              </w:rPr>
              <w:t>总工</w:t>
            </w:r>
            <w:r>
              <w:rPr>
                <w:rFonts w:ascii="宋体" w:hAnsi="宋体"/>
                <w:color w:val="auto"/>
                <w:szCs w:val="21"/>
                <w:highlight w:val="none"/>
              </w:rPr>
              <w:t>：</w:t>
            </w:r>
          </w:p>
          <w:p w14:paraId="24980E26">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工程类中</w:t>
            </w:r>
            <w:r>
              <w:rPr>
                <w:rFonts w:ascii="宋体" w:hAnsi="宋体"/>
                <w:color w:val="auto"/>
                <w:szCs w:val="21"/>
                <w:highlight w:val="none"/>
                <w:u w:val="single"/>
              </w:rPr>
              <w:t>级及以上</w:t>
            </w:r>
            <w:r>
              <w:rPr>
                <w:rFonts w:ascii="宋体" w:hAnsi="宋体"/>
                <w:color w:val="auto"/>
                <w:szCs w:val="21"/>
                <w:highlight w:val="none"/>
              </w:rPr>
              <w:t>职称；</w:t>
            </w:r>
          </w:p>
          <w:p w14:paraId="27413992">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竞选人须在竞选文件资格审查部分提供拟派技术负责人身份证、职称证及竞选人本单位为其缴纳的养老保险证明材料复印件。</w:t>
            </w:r>
          </w:p>
          <w:p w14:paraId="552266C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6528553B">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中标后不能满足该要求的，比选人可取消其中标资格，给比选人造成损失的，竞选人依法承担违约赔偿责任。</w:t>
            </w:r>
          </w:p>
          <w:p w14:paraId="16E6C55A">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竞选人须在竞选文件资格审查部分提供承诺（承诺格式见第八章竞选文件格式）。</w:t>
            </w:r>
          </w:p>
          <w:p w14:paraId="745C2FB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2AADE28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39CFB2A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须</w:t>
            </w:r>
            <w:r>
              <w:rPr>
                <w:rFonts w:hint="eastAsia" w:ascii="宋体" w:hAnsi="宋体"/>
                <w:color w:val="auto"/>
                <w:kern w:val="0"/>
                <w:szCs w:val="21"/>
                <w:highlight w:val="none"/>
              </w:rPr>
              <w:t>在竞选文件资格审查部分</w:t>
            </w:r>
            <w:r>
              <w:rPr>
                <w:rFonts w:ascii="宋体" w:hAnsi="宋体"/>
                <w:color w:val="auto"/>
                <w:kern w:val="0"/>
                <w:szCs w:val="21"/>
                <w:highlight w:val="none"/>
              </w:rPr>
              <w:t>提供</w:t>
            </w:r>
            <w:r>
              <w:rPr>
                <w:rFonts w:hint="eastAsia" w:ascii="宋体" w:hAnsi="宋体"/>
                <w:color w:val="auto"/>
                <w:kern w:val="0"/>
                <w:szCs w:val="21"/>
                <w:highlight w:val="none"/>
              </w:rPr>
              <w:t>竞选人为该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17677924">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059F65F1">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上述要求须提交的相关证明材料复印件均应加盖投标单位法人章并装入竞选文件资格审查部分中。上述要求</w:t>
            </w:r>
            <w:r>
              <w:rPr>
                <w:rFonts w:hint="eastAsia" w:ascii="宋体" w:hAnsi="宋体" w:cs="宋体"/>
                <w:color w:val="auto"/>
                <w:kern w:val="0"/>
                <w:szCs w:val="21"/>
                <w:highlight w:val="none"/>
              </w:rPr>
              <w:t>，有一条不满足则竞选文件由评标委员会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7745E9D4">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（2A）竞选人须自行承诺其提供的上述相关证明材料真实有效，不存在弄虚作假情形（格式见第八章竞选文件格式）。</w:t>
            </w:r>
            <w:r>
              <w:rPr>
                <w:rFonts w:hint="eastAsia" w:ascii="宋体" w:hAnsi="宋体" w:cs="宋体"/>
                <w:color w:val="auto"/>
                <w:szCs w:val="21"/>
                <w:highlight w:val="none"/>
                <w:u w:val="single"/>
              </w:rPr>
              <w:t>比选人在合同签订前均有权对竞选人提供的资料进行核实，若发现弄虚作假，按相关规定取消其中标资格，并按相关法律法规报招标投标监督部门，其投标保证金不予退还，竞选人承担因此造成的相关责任并赔偿相应损失</w:t>
            </w:r>
            <w:r>
              <w:rPr>
                <w:rFonts w:hint="eastAsia" w:ascii="宋体" w:hAnsi="宋体" w:cs="宋体"/>
                <w:color w:val="auto"/>
                <w:szCs w:val="21"/>
                <w:highlight w:val="none"/>
              </w:rPr>
              <w:t>。</w:t>
            </w:r>
          </w:p>
          <w:p w14:paraId="735726C5">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rPr>
              <w:t>竞选文件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A843169">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781E564A">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2</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7</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5C37A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4AA4D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0BC7AC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1E61B2B4">
            <w:pPr>
              <w:snapToGrid w:val="0"/>
              <w:spacing w:line="400" w:lineRule="exact"/>
              <w:ind w:firstLine="420" w:firstLineChars="200"/>
              <w:rPr>
                <w:rFonts w:ascii="宋体" w:hAnsi="宋体"/>
                <w:color w:val="auto"/>
                <w:kern w:val="0"/>
                <w:szCs w:val="21"/>
                <w:highlight w:val="none"/>
              </w:rPr>
            </w:pPr>
            <w:r>
              <w:rPr>
                <w:rFonts w:ascii="Segoe UI Emoji" w:hAnsi="Segoe UI Emoji" w:cs="Segoe UI Emoji"/>
                <w:color w:val="auto"/>
                <w:kern w:val="0"/>
                <w:szCs w:val="21"/>
                <w:highlight w:val="none"/>
              </w:rPr>
              <w:t>☑</w:t>
            </w:r>
            <w:r>
              <w:rPr>
                <w:rFonts w:ascii="宋体" w:hAnsi="宋体"/>
                <w:color w:val="auto"/>
                <w:kern w:val="0"/>
                <w:szCs w:val="21"/>
                <w:highlight w:val="none"/>
              </w:rPr>
              <w:t>不接受</w:t>
            </w:r>
          </w:p>
          <w:p w14:paraId="2C7CBB04">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5652C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BD56A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316888B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3A6AF0C">
            <w:pPr>
              <w:snapToGrid w:val="0"/>
              <w:spacing w:line="400" w:lineRule="exact"/>
              <w:ind w:firstLine="420" w:firstLineChars="200"/>
              <w:rPr>
                <w:rFonts w:ascii="宋体" w:hAnsi="宋体"/>
                <w:color w:val="auto"/>
                <w:kern w:val="0"/>
                <w:szCs w:val="21"/>
                <w:highlight w:val="none"/>
              </w:rPr>
            </w:pPr>
            <w:r>
              <w:rPr>
                <w:rFonts w:ascii="Segoe UI Emoji" w:hAnsi="Segoe UI Emoji" w:cs="Segoe UI Emoji"/>
                <w:color w:val="auto"/>
                <w:kern w:val="0"/>
                <w:szCs w:val="21"/>
                <w:highlight w:val="none"/>
              </w:rPr>
              <w:t>☑</w:t>
            </w:r>
            <w:r>
              <w:rPr>
                <w:rFonts w:ascii="宋体" w:hAnsi="宋体"/>
                <w:color w:val="auto"/>
                <w:kern w:val="0"/>
                <w:szCs w:val="21"/>
                <w:highlight w:val="none"/>
              </w:rPr>
              <w:t>不组织</w:t>
            </w:r>
          </w:p>
          <w:p w14:paraId="4240204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33A3DA3C">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373A3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52B12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444F46A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2DEB5E61">
            <w:pPr>
              <w:snapToGrid w:val="0"/>
              <w:spacing w:line="400" w:lineRule="exact"/>
              <w:ind w:firstLine="420" w:firstLineChars="200"/>
              <w:rPr>
                <w:rFonts w:ascii="宋体" w:hAnsi="宋体"/>
                <w:color w:val="auto"/>
                <w:kern w:val="0"/>
                <w:szCs w:val="21"/>
                <w:highlight w:val="none"/>
              </w:rPr>
            </w:pPr>
            <w:r>
              <w:rPr>
                <w:rFonts w:ascii="Segoe UI Emoji" w:hAnsi="Segoe UI Emoji" w:cs="Segoe UI Emoji"/>
                <w:color w:val="auto"/>
                <w:kern w:val="0"/>
                <w:szCs w:val="21"/>
                <w:highlight w:val="none"/>
              </w:rPr>
              <w:t>☑</w:t>
            </w:r>
            <w:r>
              <w:rPr>
                <w:rFonts w:ascii="宋体" w:hAnsi="宋体"/>
                <w:color w:val="auto"/>
                <w:kern w:val="0"/>
                <w:szCs w:val="21"/>
                <w:highlight w:val="none"/>
              </w:rPr>
              <w:t>不召开</w:t>
            </w:r>
          </w:p>
          <w:p w14:paraId="075B11B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7E0632E4">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6CF92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57178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4681BE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0501CEA4">
            <w:pPr>
              <w:snapToGrid w:val="0"/>
              <w:spacing w:line="400" w:lineRule="exact"/>
              <w:ind w:firstLine="420" w:firstLineChars="200"/>
              <w:rPr>
                <w:rFonts w:ascii="宋体" w:hAnsi="宋体"/>
                <w:color w:val="auto"/>
                <w:kern w:val="0"/>
                <w:szCs w:val="21"/>
                <w:highlight w:val="none"/>
              </w:rPr>
            </w:pPr>
            <w:r>
              <w:rPr>
                <w:rFonts w:ascii="Segoe UI Emoji" w:hAnsi="Segoe UI Emoji" w:cs="Segoe UI Emoji"/>
                <w:color w:val="auto"/>
                <w:kern w:val="0"/>
                <w:szCs w:val="21"/>
                <w:highlight w:val="none"/>
              </w:rPr>
              <w:t>☑</w:t>
            </w:r>
            <w:r>
              <w:rPr>
                <w:rFonts w:ascii="宋体" w:hAnsi="宋体"/>
                <w:color w:val="auto"/>
                <w:kern w:val="0"/>
                <w:szCs w:val="21"/>
                <w:highlight w:val="none"/>
              </w:rPr>
              <w:t>不允许</w:t>
            </w:r>
          </w:p>
          <w:p w14:paraId="6C46E91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p>
          <w:p w14:paraId="1D92731C">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分包金额要求：</w:t>
            </w:r>
          </w:p>
          <w:p w14:paraId="7CCBF6A1">
            <w:pPr>
              <w:snapToGrid w:val="0"/>
              <w:spacing w:after="15" w:afterLines="5" w:line="400" w:lineRule="exact"/>
              <w:rPr>
                <w:rFonts w:ascii="宋体" w:hAnsi="宋体"/>
                <w:color w:val="auto"/>
                <w:kern w:val="0"/>
                <w:szCs w:val="21"/>
                <w:highlight w:val="none"/>
              </w:rPr>
            </w:pPr>
            <w:r>
              <w:rPr>
                <w:rFonts w:ascii="宋体" w:hAnsi="宋体"/>
                <w:color w:val="auto"/>
                <w:kern w:val="0"/>
                <w:szCs w:val="21"/>
                <w:highlight w:val="none"/>
              </w:rPr>
              <w:t>接受分包的第三人资质要求：</w:t>
            </w:r>
          </w:p>
          <w:p w14:paraId="46CD5FB5">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14:paraId="44EC7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F2705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18034F5">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798413B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002ED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F509A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11B4C54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对</w:t>
            </w:r>
            <w:r>
              <w:rPr>
                <w:rFonts w:hint="eastAsia" w:ascii="宋体" w:hAnsi="宋体"/>
                <w:color w:val="auto"/>
                <w:kern w:val="0"/>
                <w:szCs w:val="21"/>
                <w:highlight w:val="none"/>
              </w:rPr>
              <w:t>竞选文件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0F77086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竞选人在收到比选文件后，应仔细检查比选文件的所有内容，如有残缺或文字表述不清，图纸尺寸标注不明以及存在错、碰、漏、缺、概念模糊和有可能出现歧义或理解上的偏差的内容，清单工程量等应在</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12：00 </w:t>
            </w:r>
            <w:r>
              <w:rPr>
                <w:rFonts w:hint="eastAsia" w:ascii="宋体" w:hAnsi="宋体"/>
                <w:color w:val="auto"/>
                <w:kern w:val="0"/>
                <w:szCs w:val="21"/>
                <w:highlight w:val="none"/>
              </w:rPr>
              <w:t>前通过匿名发</w:t>
            </w:r>
            <w:r>
              <w:rPr>
                <w:rFonts w:hint="eastAsia" w:ascii="宋体" w:hAnsi="宋体"/>
                <w:color w:val="auto"/>
                <w:kern w:val="0"/>
                <w:szCs w:val="21"/>
                <w:highlight w:val="none"/>
              </w:rPr>
              <w:t>送至邮箱</w:t>
            </w:r>
            <w:r>
              <w:rPr>
                <w:rFonts w:ascii="宋体" w:hAnsi="宋体"/>
                <w:color w:val="auto"/>
                <w:kern w:val="0"/>
                <w:szCs w:val="21"/>
                <w:highlight w:val="none"/>
                <w:u w:val="single"/>
              </w:rPr>
              <w:t>ZZCQGC@163.com</w:t>
            </w:r>
            <w:r>
              <w:rPr>
                <w:rFonts w:hint="eastAsia" w:ascii="宋体" w:hAnsi="宋体"/>
                <w:color w:val="auto"/>
                <w:kern w:val="0"/>
                <w:szCs w:val="21"/>
                <w:highlight w:val="none"/>
              </w:rPr>
              <w:t>。</w:t>
            </w:r>
          </w:p>
        </w:tc>
      </w:tr>
      <w:tr w14:paraId="602F7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493B2F0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3961887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对</w:t>
            </w:r>
            <w:r>
              <w:rPr>
                <w:rFonts w:hint="eastAsia" w:ascii="宋体" w:hAnsi="宋体"/>
                <w:color w:val="auto"/>
                <w:kern w:val="0"/>
                <w:szCs w:val="21"/>
                <w:highlight w:val="none"/>
              </w:rPr>
              <w:t>竞选文件澄清</w:t>
            </w:r>
            <w:r>
              <w:rPr>
                <w:rFonts w:ascii="宋体" w:hAnsi="宋体"/>
                <w:color w:val="auto"/>
                <w:kern w:val="0"/>
                <w:szCs w:val="21"/>
                <w:highlight w:val="none"/>
              </w:rPr>
              <w:t>的截止时间</w:t>
            </w:r>
          </w:p>
        </w:tc>
        <w:tc>
          <w:tcPr>
            <w:tcW w:w="6490" w:type="dxa"/>
            <w:vAlign w:val="center"/>
          </w:tcPr>
          <w:p w14:paraId="58D2C9B2">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比选人应在</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17：00 </w:t>
            </w:r>
            <w:r>
              <w:rPr>
                <w:rFonts w:hint="eastAsia" w:ascii="宋体" w:hAnsi="宋体" w:cs="宋体"/>
                <w:color w:val="auto"/>
                <w:szCs w:val="21"/>
                <w:highlight w:val="none"/>
              </w:rPr>
              <w:t>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“行采家”网站（https://www.gec123.com/）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397B8A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12C9488A">
            <w:pPr>
              <w:snapToGrid w:val="0"/>
              <w:spacing w:line="400" w:lineRule="exact"/>
              <w:jc w:val="center"/>
              <w:rPr>
                <w:rFonts w:ascii="宋体" w:hAnsi="宋体"/>
                <w:color w:val="auto"/>
                <w:kern w:val="0"/>
                <w:szCs w:val="21"/>
                <w:highlight w:val="none"/>
              </w:rPr>
            </w:pPr>
          </w:p>
        </w:tc>
        <w:tc>
          <w:tcPr>
            <w:tcW w:w="1644" w:type="dxa"/>
            <w:vAlign w:val="center"/>
          </w:tcPr>
          <w:p w14:paraId="0B5284F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竞选截止时间</w:t>
            </w:r>
          </w:p>
        </w:tc>
        <w:tc>
          <w:tcPr>
            <w:tcW w:w="6490" w:type="dxa"/>
            <w:vAlign w:val="center"/>
          </w:tcPr>
          <w:p w14:paraId="086E7C17">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详见竞选公告规定的竞选截止时间。</w:t>
            </w:r>
          </w:p>
        </w:tc>
      </w:tr>
      <w:tr w14:paraId="29C50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BD79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4215D4FC">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3861D37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的书面澄清、说明和补正（但不得改变</w:t>
            </w:r>
            <w:r>
              <w:rPr>
                <w:rFonts w:hint="eastAsia" w:ascii="宋体" w:hAnsi="宋体"/>
                <w:color w:val="auto"/>
                <w:szCs w:val="21"/>
                <w:highlight w:val="none"/>
              </w:rPr>
              <w:t>竞选文件</w:t>
            </w:r>
            <w:r>
              <w:rPr>
                <w:rFonts w:ascii="宋体" w:hAnsi="宋体"/>
                <w:color w:val="auto"/>
                <w:szCs w:val="21"/>
                <w:highlight w:val="none"/>
              </w:rPr>
              <w:t>的实质性内容）</w:t>
            </w:r>
          </w:p>
        </w:tc>
      </w:tr>
      <w:tr w14:paraId="652A9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14:paraId="66EBAAE4">
            <w:pPr>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w:t>
            </w:r>
          </w:p>
        </w:tc>
        <w:tc>
          <w:tcPr>
            <w:tcW w:w="1644" w:type="dxa"/>
            <w:vAlign w:val="center"/>
          </w:tcPr>
          <w:p w14:paraId="7A07EB87">
            <w:pPr>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增值税税金的计算方法</w:t>
            </w:r>
          </w:p>
        </w:tc>
        <w:tc>
          <w:tcPr>
            <w:tcW w:w="6490" w:type="dxa"/>
            <w:vAlign w:val="center"/>
          </w:tcPr>
          <w:p w14:paraId="1CE3A02B">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一般计税法</w:t>
            </w:r>
          </w:p>
          <w:p w14:paraId="63844A7D">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□简易计税法</w:t>
            </w:r>
          </w:p>
        </w:tc>
      </w:tr>
      <w:tr w14:paraId="4E4F1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14:paraId="2E270AA2">
            <w:pPr>
              <w:snapToGrid w:val="0"/>
              <w:spacing w:line="400" w:lineRule="exact"/>
              <w:jc w:val="center"/>
              <w:rPr>
                <w:rFonts w:hint="eastAsia" w:ascii="宋体" w:hAnsi="宋体" w:cs="宋体"/>
                <w:snapToGrid w:val="0"/>
                <w:color w:val="auto"/>
                <w:kern w:val="0"/>
                <w:szCs w:val="21"/>
                <w:highlight w:val="none"/>
              </w:rPr>
            </w:pPr>
          </w:p>
        </w:tc>
        <w:tc>
          <w:tcPr>
            <w:tcW w:w="1644" w:type="dxa"/>
            <w:vAlign w:val="center"/>
          </w:tcPr>
          <w:p w14:paraId="2ACFABB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工程量清单的填写方式</w:t>
            </w:r>
          </w:p>
        </w:tc>
        <w:tc>
          <w:tcPr>
            <w:tcW w:w="6490" w:type="dxa"/>
            <w:vAlign w:val="center"/>
          </w:tcPr>
          <w:p w14:paraId="7BFA59AC">
            <w:pPr>
              <w:pStyle w:val="317"/>
              <w:spacing w:line="400" w:lineRule="exact"/>
              <w:ind w:left="113" w:right="86" w:firstLine="420" w:firstLineChars="200"/>
              <w:rPr>
                <w:rFonts w:hint="eastAsia"/>
                <w:color w:val="auto"/>
                <w:highlight w:val="none"/>
                <w:lang w:val="en-US"/>
              </w:rPr>
            </w:pPr>
            <w:r>
              <w:rPr>
                <w:rFonts w:hint="eastAsia" w:ascii="宋体" w:hAnsi="宋体" w:eastAsia="宋体" w:cs="宋体"/>
                <w:color w:val="auto"/>
                <w:kern w:val="2"/>
                <w:sz w:val="21"/>
                <w:szCs w:val="21"/>
                <w:highlight w:val="none"/>
                <w:lang w:val="en-US" w:bidi="ar-SA"/>
              </w:rPr>
              <w:t>投标人按照招标人提供的工程量固化清单电子文件填写工程量清单。</w:t>
            </w:r>
          </w:p>
        </w:tc>
      </w:tr>
      <w:tr w14:paraId="3507F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B522F5">
            <w:pPr>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3.2.3</w:t>
            </w:r>
          </w:p>
        </w:tc>
        <w:tc>
          <w:tcPr>
            <w:tcW w:w="1644" w:type="dxa"/>
            <w:vAlign w:val="center"/>
          </w:tcPr>
          <w:p w14:paraId="7F0AF1A8">
            <w:pPr>
              <w:widowControl/>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报价方式</w:t>
            </w:r>
          </w:p>
        </w:tc>
        <w:tc>
          <w:tcPr>
            <w:tcW w:w="6490" w:type="dxa"/>
            <w:vAlign w:val="center"/>
          </w:tcPr>
          <w:p w14:paraId="61E5C65F">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单价</w:t>
            </w:r>
          </w:p>
          <w:p w14:paraId="46F80C98">
            <w:pPr>
              <w:widowControl/>
              <w:spacing w:line="400" w:lineRule="exact"/>
              <w:ind w:firstLine="420" w:firstLineChars="200"/>
              <w:jc w:val="left"/>
              <w:rPr>
                <w:rFonts w:hint="eastAsia" w:ascii="宋体" w:hAnsi="宋体" w:cs="宋体"/>
                <w:b/>
                <w:color w:val="auto"/>
                <w:szCs w:val="21"/>
                <w:highlight w:val="none"/>
              </w:rPr>
            </w:pPr>
            <w:r>
              <w:rPr>
                <w:rFonts w:hint="eastAsia" w:ascii="宋体" w:hAnsi="宋体" w:cs="宋体"/>
                <w:color w:val="auto"/>
                <w:kern w:val="0"/>
                <w:szCs w:val="21"/>
                <w:highlight w:val="none"/>
                <w:lang w:bidi="ar"/>
              </w:rPr>
              <w:t>□总价</w:t>
            </w:r>
          </w:p>
        </w:tc>
      </w:tr>
      <w:tr w14:paraId="1F46D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2DE984">
            <w:pPr>
              <w:spacing w:line="400" w:lineRule="exact"/>
              <w:jc w:val="center"/>
              <w:rPr>
                <w:rFonts w:hint="eastAsia" w:ascii="宋体" w:hAnsi="宋体" w:cs="宋体"/>
                <w:color w:val="auto"/>
                <w:highlight w:val="none"/>
              </w:rPr>
            </w:pPr>
            <w:r>
              <w:rPr>
                <w:rFonts w:hint="eastAsia" w:ascii="宋体" w:hAnsi="宋体" w:cs="宋体"/>
                <w:color w:val="auto"/>
                <w:highlight w:val="none"/>
              </w:rPr>
              <w:t>3.2.5</w:t>
            </w:r>
          </w:p>
        </w:tc>
        <w:tc>
          <w:tcPr>
            <w:tcW w:w="1644" w:type="dxa"/>
            <w:vAlign w:val="center"/>
          </w:tcPr>
          <w:p w14:paraId="356417AA">
            <w:pPr>
              <w:spacing w:line="400" w:lineRule="exact"/>
              <w:jc w:val="center"/>
              <w:rPr>
                <w:rFonts w:hint="eastAsia" w:ascii="宋体" w:hAnsi="宋体" w:cs="宋体"/>
                <w:color w:val="auto"/>
                <w:highlight w:val="none"/>
              </w:rPr>
            </w:pPr>
            <w:r>
              <w:rPr>
                <w:rFonts w:hint="eastAsia" w:ascii="宋体" w:hAnsi="宋体" w:cs="宋体"/>
                <w:color w:val="auto"/>
                <w:highlight w:val="none"/>
              </w:rPr>
              <w:t>安全生产费</w:t>
            </w:r>
          </w:p>
        </w:tc>
        <w:tc>
          <w:tcPr>
            <w:tcW w:w="6490" w:type="dxa"/>
          </w:tcPr>
          <w:p w14:paraId="5BEC9CC3">
            <w:pPr>
              <w:pStyle w:val="317"/>
              <w:spacing w:line="400" w:lineRule="exact"/>
              <w:ind w:left="113" w:right="86" w:firstLine="420" w:firstLineChars="20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u w:val="single"/>
                <w:lang w:val="en-US" w:bidi="ar-SA"/>
              </w:rPr>
              <w:t>26596.00</w:t>
            </w:r>
            <w:r>
              <w:rPr>
                <w:rFonts w:hint="eastAsia" w:ascii="宋体" w:hAnsi="宋体" w:eastAsia="宋体" w:cs="宋体"/>
                <w:color w:val="auto"/>
                <w:kern w:val="2"/>
                <w:sz w:val="21"/>
                <w:szCs w:val="21"/>
                <w:highlight w:val="none"/>
                <w:lang w:val="en-US" w:bidi="ar-SA"/>
              </w:rPr>
              <w:t>元。 投标人以此金额填报安全生产费， 不得随意更改，否则将由评标委员会作否决投标处理。</w:t>
            </w:r>
          </w:p>
        </w:tc>
      </w:tr>
      <w:tr w14:paraId="7DA38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412606">
            <w:pPr>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3.2.6</w:t>
            </w:r>
          </w:p>
        </w:tc>
        <w:tc>
          <w:tcPr>
            <w:tcW w:w="1644" w:type="dxa"/>
            <w:vAlign w:val="center"/>
          </w:tcPr>
          <w:p w14:paraId="0D5C9C55">
            <w:pPr>
              <w:widowControl/>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是否接受调价函</w:t>
            </w:r>
          </w:p>
        </w:tc>
        <w:tc>
          <w:tcPr>
            <w:tcW w:w="6490" w:type="dxa"/>
            <w:vAlign w:val="center"/>
          </w:tcPr>
          <w:p w14:paraId="34E62EF0">
            <w:pPr>
              <w:widowControl/>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否</w:t>
            </w:r>
          </w:p>
        </w:tc>
      </w:tr>
      <w:tr w14:paraId="31E0F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8B9436">
            <w:pPr>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3.2.8</w:t>
            </w:r>
          </w:p>
        </w:tc>
        <w:tc>
          <w:tcPr>
            <w:tcW w:w="1644" w:type="dxa"/>
            <w:vAlign w:val="center"/>
          </w:tcPr>
          <w:p w14:paraId="79C193BC">
            <w:pPr>
              <w:widowControl/>
              <w:spacing w:line="400" w:lineRule="exact"/>
              <w:jc w:val="center"/>
              <w:rPr>
                <w:rFonts w:hint="eastAsia" w:ascii="宋体" w:hAnsi="宋体" w:cs="宋体"/>
                <w:b/>
                <w:color w:val="auto"/>
                <w:kern w:val="0"/>
                <w:szCs w:val="21"/>
                <w:highlight w:val="none"/>
              </w:rPr>
            </w:pPr>
            <w:r>
              <w:rPr>
                <w:rFonts w:hint="eastAsia" w:ascii="宋体" w:hAnsi="宋体" w:cs="宋体"/>
                <w:color w:val="auto"/>
                <w:kern w:val="0"/>
                <w:szCs w:val="21"/>
                <w:highlight w:val="none"/>
                <w:lang w:bidi="ar"/>
              </w:rPr>
              <w:t>最高投标限价</w:t>
            </w:r>
          </w:p>
        </w:tc>
        <w:tc>
          <w:tcPr>
            <w:tcW w:w="6490" w:type="dxa"/>
            <w:vAlign w:val="center"/>
          </w:tcPr>
          <w:p w14:paraId="4C0333A4">
            <w:pPr>
              <w:widowControl/>
              <w:spacing w:line="400" w:lineRule="exact"/>
              <w:ind w:firstLine="420" w:firstLineChars="200"/>
              <w:jc w:val="left"/>
              <w:rPr>
                <w:rFonts w:hint="eastAsia" w:ascii="宋体" w:hAnsi="宋体" w:eastAsia="宋体" w:cs="宋体"/>
                <w:color w:val="auto"/>
                <w:kern w:val="0"/>
                <w:szCs w:val="21"/>
                <w:highlight w:val="none"/>
                <w:u w:val="single"/>
                <w:lang w:val="en-US" w:eastAsia="zh-CN" w:bidi="ar"/>
              </w:rPr>
            </w:pP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有，最高投标限价：</w:t>
            </w:r>
            <w:r>
              <w:rPr>
                <w:rFonts w:hint="eastAsia" w:ascii="宋体" w:hAnsi="宋体" w:cs="宋体"/>
                <w:color w:val="auto"/>
                <w:szCs w:val="21"/>
                <w:highlight w:val="none"/>
                <w:u w:val="single"/>
              </w:rPr>
              <w:t>1806884.00</w:t>
            </w:r>
            <w:r>
              <w:rPr>
                <w:rFonts w:hint="eastAsia" w:ascii="宋体" w:hAnsi="宋体" w:cs="宋体"/>
                <w:color w:val="auto"/>
                <w:szCs w:val="21"/>
                <w:highlight w:val="none"/>
                <w:u w:val="single"/>
                <w:lang w:val="en-US" w:eastAsia="zh-CN"/>
              </w:rPr>
              <w:t>元</w:t>
            </w:r>
          </w:p>
        </w:tc>
      </w:tr>
      <w:tr w14:paraId="71BC55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B7426D">
            <w:pPr>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3.2.9</w:t>
            </w:r>
          </w:p>
        </w:tc>
        <w:tc>
          <w:tcPr>
            <w:tcW w:w="1644" w:type="dxa"/>
            <w:vAlign w:val="center"/>
          </w:tcPr>
          <w:p w14:paraId="1A7C0B2B">
            <w:pPr>
              <w:widowControl/>
              <w:spacing w:line="400" w:lineRule="exact"/>
              <w:jc w:val="center"/>
              <w:rPr>
                <w:rFonts w:hint="eastAsia" w:ascii="宋体" w:hAnsi="宋体" w:cs="宋体"/>
                <w:b/>
                <w:color w:val="auto"/>
                <w:kern w:val="0"/>
                <w:szCs w:val="21"/>
                <w:highlight w:val="none"/>
              </w:rPr>
            </w:pPr>
            <w:r>
              <w:rPr>
                <w:rFonts w:hint="eastAsia" w:ascii="宋体" w:hAnsi="宋体" w:cs="宋体"/>
                <w:color w:val="auto"/>
                <w:kern w:val="0"/>
                <w:szCs w:val="21"/>
                <w:highlight w:val="none"/>
                <w:lang w:bidi="ar"/>
              </w:rPr>
              <w:t>投标报价的其他要求</w:t>
            </w:r>
          </w:p>
        </w:tc>
        <w:tc>
          <w:tcPr>
            <w:tcW w:w="6490" w:type="dxa"/>
            <w:vAlign w:val="center"/>
          </w:tcPr>
          <w:p w14:paraId="5F59A9FB">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eastAsia="zh-CN" w:bidi="ar"/>
              </w:rPr>
              <w:t>☑</w:t>
            </w:r>
            <w:r>
              <w:rPr>
                <w:rFonts w:hint="eastAsia" w:ascii="宋体" w:hAnsi="宋体" w:cs="宋体"/>
                <w:color w:val="auto"/>
                <w:szCs w:val="21"/>
                <w:highlight w:val="none"/>
              </w:rPr>
              <w:t>有，具体要求为：</w:t>
            </w:r>
          </w:p>
          <w:p w14:paraId="0DDAF8E0">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1.招标人将公布投标总报价最高限价及各清单子目单价最高限价。投标人的投标总报价不应高于投标总报价最高限价，否则由评标委员会作否决投标处理；</w:t>
            </w:r>
          </w:p>
          <w:p w14:paraId="248A5210">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2.投标人投标报价中的各清单子目单价不应高于各清单子目单价最高限价。招标人在合同签订前将对中标人“已标价工程量清单”进行复核，若出现差错则按以下原则进行处理（或结算）：</w:t>
            </w:r>
          </w:p>
          <w:p w14:paraId="697AFB7D">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14:paraId="2E0ED5C9">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（2）依据单价和数量计算结果与其合价不符的，按不利于投标人原则（就低不就高）对其单价和合价进行修正。</w:t>
            </w:r>
          </w:p>
          <w:p w14:paraId="0A2C3EAA">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（3）单价报价超过工程量清单综合单价最高限价的，以工程量清单综合单价最高限价为基础，按照中标总报价与总价最高限价的下浮比例进行同比例下调修正其单价和合价。</w:t>
            </w:r>
          </w:p>
          <w:p w14:paraId="5E6CAD8A">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14:paraId="0A4A604D">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提供：承诺（格式详见第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章投标文件格式），并包括以下内容：</w:t>
            </w:r>
          </w:p>
          <w:p w14:paraId="625D234B">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（1）按照第五章“工程量清单”的规定进行报价。</w:t>
            </w:r>
          </w:p>
          <w:p w14:paraId="2A1FCC5D">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（2）招标文件中规定工程量清单不允许修改的内容不得修改。</w:t>
            </w:r>
          </w:p>
          <w:p w14:paraId="20EFD6A4">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（3）若出现差错，按招标文件第二章投标人须知前附表第3.2.9项规定的原则进行处理（或结算）。</w:t>
            </w:r>
          </w:p>
          <w:p w14:paraId="2AF0C4D8">
            <w:pPr>
              <w:pStyle w:val="18"/>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投标人未按上述要求提供承诺函的，由评标委员会作否决投标处理。</w:t>
            </w:r>
          </w:p>
        </w:tc>
      </w:tr>
      <w:tr w14:paraId="78D4F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F2AD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3D6625F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2ECB6910">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rPr>
              <w:t>竞选文件</w:t>
            </w:r>
            <w:r>
              <w:rPr>
                <w:rFonts w:ascii="宋体" w:hAnsi="宋体"/>
                <w:color w:val="auto"/>
                <w:szCs w:val="21"/>
                <w:highlight w:val="none"/>
              </w:rPr>
              <w:t>截止日起计算）</w:t>
            </w:r>
          </w:p>
        </w:tc>
      </w:tr>
      <w:tr w14:paraId="5FC0C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05F26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68CC569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1E6C9E9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投标保证金的交纳方式：投标人可选择以下二种方式之一。</w:t>
            </w:r>
          </w:p>
          <w:p w14:paraId="31DE7AC2">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方式一</w:t>
            </w:r>
          </w:p>
          <w:p w14:paraId="27300F6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一、以转账支票或电汇形式交纳投标保证金</w:t>
            </w:r>
          </w:p>
          <w:p w14:paraId="0D6164F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color w:val="auto"/>
                <w:kern w:val="0"/>
                <w:szCs w:val="21"/>
                <w:highlight w:val="none"/>
              </w:rPr>
              <w:t>不满足上述要求的投标保证金无效。</w:t>
            </w:r>
          </w:p>
          <w:p w14:paraId="69FB924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投标人自行考虑汇入时间风险，如同城汇入、异地汇入、跨行汇入的时间要求。</w:t>
            </w:r>
          </w:p>
          <w:p w14:paraId="16A5B433">
            <w:pPr>
              <w:numPr>
                <w:ilvl w:val="0"/>
                <w:numId w:val="1"/>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以转账支票或电汇形式提交投标保证金的金额：</w:t>
            </w:r>
            <w:r>
              <w:rPr>
                <w:rFonts w:hint="eastAsia" w:ascii="宋体" w:hAnsi="宋体" w:cs="宋体"/>
                <w:color w:val="auto"/>
                <w:highlight w:val="none"/>
                <w:u w:val="single"/>
              </w:rPr>
              <w:t>4000</w:t>
            </w:r>
            <w:r>
              <w:rPr>
                <w:rFonts w:ascii="宋体" w:hAnsi="宋体" w:cs="宋体"/>
                <w:color w:val="auto"/>
                <w:highlight w:val="none"/>
                <w:u w:val="single"/>
              </w:rPr>
              <w:t>.00</w:t>
            </w:r>
            <w:r>
              <w:rPr>
                <w:rFonts w:hint="eastAsia" w:ascii="宋体" w:hAnsi="宋体" w:cs="宋体"/>
                <w:color w:val="auto"/>
                <w:highlight w:val="none"/>
              </w:rPr>
              <w:t>元整（人民币）。</w:t>
            </w:r>
          </w:p>
          <w:p w14:paraId="326425D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 投标保证金账户及账号：</w:t>
            </w:r>
          </w:p>
          <w:p w14:paraId="736D829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开户名：中资（重庆）工程咨询有限公司</w:t>
            </w:r>
          </w:p>
          <w:p w14:paraId="0CD8A40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开户行：中国银行股份有限公司重庆空港支行</w:t>
            </w:r>
          </w:p>
          <w:p w14:paraId="24E3BEA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帐  号：108885534992</w:t>
            </w:r>
          </w:p>
          <w:p w14:paraId="75DA05D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投标保证金以开标现场展示的保证金交纳情况为准。投标人须在投标文件资格审查部分</w:t>
            </w:r>
            <w:r>
              <w:rPr>
                <w:rFonts w:hint="eastAsia" w:ascii="宋体" w:hAnsi="宋体" w:cs="宋体"/>
                <w:color w:val="auto"/>
                <w:kern w:val="0"/>
                <w:szCs w:val="21"/>
                <w:highlight w:val="none"/>
              </w:rPr>
              <w:t>“其他资料”中</w:t>
            </w:r>
            <w:r>
              <w:rPr>
                <w:rFonts w:hint="eastAsia" w:ascii="宋体" w:hAnsi="宋体" w:cs="宋体"/>
                <w:color w:val="auto"/>
                <w:highlight w:val="none"/>
              </w:rPr>
              <w:t>提供企业基本账户开户证明文件。</w:t>
            </w:r>
          </w:p>
          <w:p w14:paraId="56FF6C58">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4. 投标人必须在付款凭证备注栏中注明是“</w:t>
            </w:r>
            <w:r>
              <w:rPr>
                <w:rFonts w:hint="eastAsia" w:ascii="宋体" w:hAnsi="宋体" w:cs="宋体"/>
                <w:color w:val="auto"/>
                <w:highlight w:val="none"/>
                <w:u w:val="single"/>
              </w:rPr>
              <w:t>2023年燃气市政管道老化更新改造工程弹广路（娄家庄段）燃气管道通道恢复项目</w:t>
            </w:r>
            <w:r>
              <w:rPr>
                <w:rFonts w:hint="eastAsia" w:ascii="宋体" w:hAnsi="宋体" w:cs="宋体"/>
                <w:color w:val="auto"/>
                <w:highlight w:val="none"/>
              </w:rPr>
              <w:t>项目投标保证金”。</w:t>
            </w:r>
            <w:r>
              <w:rPr>
                <w:rFonts w:hint="eastAsia" w:ascii="宋体" w:hAnsi="宋体" w:cs="宋体"/>
                <w:color w:val="auto"/>
                <w:highlight w:val="none"/>
              </w:rPr>
              <w:t>项目名称可简为</w:t>
            </w:r>
            <w:r>
              <w:rPr>
                <w:rFonts w:hint="eastAsia" w:ascii="宋体" w:hAnsi="宋体" w:cs="宋体"/>
                <w:color w:val="auto"/>
                <w:highlight w:val="none"/>
                <w:u w:val="single"/>
              </w:rPr>
              <w:t>（娄家庄段）通道恢复项目投标保证金</w:t>
            </w:r>
            <w:r>
              <w:rPr>
                <w:rFonts w:hint="eastAsia" w:ascii="宋体" w:hAnsi="宋体" w:cs="宋体"/>
                <w:color w:val="auto"/>
                <w:highlight w:val="none"/>
              </w:rPr>
              <w:t>。</w:t>
            </w:r>
          </w:p>
          <w:p w14:paraId="67AB2F8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 投标保证金有效期与投标有效期一致。</w:t>
            </w:r>
          </w:p>
          <w:p w14:paraId="3F1650FD">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6. 评标过程中由评标委员会根据投标人在投标文件中提供的企业基本账户开户证明文件核实其投标保证金是否由基本账户转入，未从基本账户转入的，由评标委员会作否决投标处理。</w:t>
            </w:r>
          </w:p>
          <w:p w14:paraId="51A677CF">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二、投标保证金的退还</w:t>
            </w:r>
          </w:p>
          <w:p w14:paraId="5822063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招标人应当在法定时间内确定中标人。招标人应当在中标通知书发出后2个工作日内退还。</w:t>
            </w:r>
          </w:p>
          <w:p w14:paraId="22A5B78E">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color w:val="auto"/>
                <w:highlight w:val="none"/>
              </w:rPr>
              <w:t>招标人应当在法定时间内和中标人签订合同。招标人应当在合同生效后2个工作日内退还。</w:t>
            </w:r>
          </w:p>
          <w:p w14:paraId="397CE1FC">
            <w:pPr>
              <w:snapToGrid w:val="0"/>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方式二</w:t>
            </w:r>
          </w:p>
          <w:p w14:paraId="539CDFA9">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一、以纸质投标保函形式交纳投标保证金</w:t>
            </w:r>
          </w:p>
          <w:p w14:paraId="7E60A483">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纸质投标保函交纳形式及要求：</w:t>
            </w:r>
          </w:p>
          <w:p w14:paraId="790C48F6">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（1）缴纳形式：纸质投标保函包括银行保函、保证保险和担保保函，其示范文本详见第八章投标文件格式。投标人提交的纸质投标保函应严格执行其示范文本，不得对示范文本中的实质性内容进行修改。</w:t>
            </w:r>
          </w:p>
          <w:p w14:paraId="3E22AC62">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771FBF9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投标人须在投标文件资格审查部分“其他资料”中提供纸质投标保函扫描件，纸质投标保函原件应当于投标截止时间前在开标现场递交招标人保管。</w:t>
            </w:r>
          </w:p>
          <w:p w14:paraId="3A84150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若投标截止时间延期，则纸质投标保函递交的截止时间和投标截止时间保持一致。</w:t>
            </w:r>
          </w:p>
          <w:p w14:paraId="4AD37BE2">
            <w:pPr>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不满足上述要求的纸质投标保函无效。</w:t>
            </w:r>
          </w:p>
          <w:p w14:paraId="7F19E848">
            <w:pPr>
              <w:numPr>
                <w:ilvl w:val="0"/>
                <w:numId w:val="1"/>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以纸质投标保函形式担保的投标保证金的金额</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4000</w:t>
            </w:r>
            <w:r>
              <w:rPr>
                <w:rFonts w:ascii="宋体" w:hAnsi="宋体" w:cs="宋体"/>
                <w:color w:val="auto"/>
                <w:kern w:val="0"/>
                <w:szCs w:val="21"/>
                <w:highlight w:val="none"/>
                <w:u w:val="single"/>
              </w:rPr>
              <w:t>.00</w:t>
            </w:r>
            <w:r>
              <w:rPr>
                <w:rFonts w:hint="eastAsia" w:ascii="宋体" w:hAnsi="宋体" w:cs="宋体"/>
                <w:color w:val="auto"/>
                <w:kern w:val="0"/>
                <w:szCs w:val="21"/>
                <w:highlight w:val="none"/>
              </w:rPr>
              <w:t>元整（人民币）</w:t>
            </w:r>
            <w:r>
              <w:rPr>
                <w:rFonts w:hint="eastAsia" w:ascii="宋体" w:hAnsi="宋体" w:cs="宋体"/>
                <w:color w:val="auto"/>
                <w:highlight w:val="none"/>
              </w:rPr>
              <w:t>。</w:t>
            </w:r>
          </w:p>
          <w:p w14:paraId="4EC8A89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投标人须</w:t>
            </w:r>
            <w:r>
              <w:rPr>
                <w:rFonts w:hint="eastAsia" w:ascii="宋体" w:hAnsi="宋体" w:cs="宋体"/>
                <w:color w:val="auto"/>
                <w:highlight w:val="none"/>
              </w:rPr>
              <w:t>在</w:t>
            </w:r>
            <w:r>
              <w:rPr>
                <w:rFonts w:hint="eastAsia" w:ascii="宋体" w:hAnsi="宋体" w:cs="宋体"/>
                <w:color w:val="auto"/>
                <w:kern w:val="0"/>
                <w:szCs w:val="21"/>
                <w:highlight w:val="none"/>
              </w:rPr>
              <w:t>纸质投标保函中注明在重庆市辖区范围内的核验地址和核验方式，并确保其递交的纸质投标保函能在开立人在渝的总部或者分支机构进行核验。</w:t>
            </w:r>
          </w:p>
          <w:p w14:paraId="43798B50">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 投标人在开标现场递交的纸质投标保函原件应与投标文件中提供的纸质投标保函扫描件一致，否则由评标委员会作否决投标处理。</w:t>
            </w:r>
          </w:p>
          <w:p w14:paraId="67365795">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color w:val="auto"/>
                <w:szCs w:val="21"/>
                <w:highlight w:val="none"/>
              </w:rPr>
              <w:t>已取得中标候选人资格或中标资格的投标人，按相关规定取消中标候选人资格或中标资格</w:t>
            </w:r>
            <w:r>
              <w:rPr>
                <w:rFonts w:hint="eastAsia" w:ascii="宋体" w:hAnsi="宋体" w:cs="宋体"/>
                <w:color w:val="auto"/>
                <w:kern w:val="0"/>
                <w:szCs w:val="21"/>
                <w:highlight w:val="none"/>
              </w:rPr>
              <w:t>，</w:t>
            </w:r>
            <w:r>
              <w:rPr>
                <w:rFonts w:hint="eastAsia" w:ascii="宋体" w:hAnsi="宋体" w:cs="宋体"/>
                <w:color w:val="auto"/>
                <w:szCs w:val="21"/>
                <w:highlight w:val="none"/>
              </w:rPr>
              <w:t>给招标人造成损失的，投标人依法承担赔偿责任。</w:t>
            </w:r>
            <w:r>
              <w:rPr>
                <w:rFonts w:hint="eastAsia" w:ascii="宋体" w:hAnsi="宋体" w:cs="宋体"/>
                <w:color w:val="auto"/>
                <w:kern w:val="0"/>
                <w:szCs w:val="21"/>
                <w:highlight w:val="none"/>
              </w:rPr>
              <w:t>投标人提交的纸质投标</w:t>
            </w:r>
            <w:r>
              <w:rPr>
                <w:rFonts w:hint="eastAsia" w:ascii="宋体" w:hAnsi="宋体" w:cs="宋体"/>
                <w:color w:val="auto"/>
                <w:szCs w:val="21"/>
                <w:highlight w:val="none"/>
              </w:rPr>
              <w:t>保函涉及弄虚作假或其他违法违规情形的，移送相关部门处理</w:t>
            </w:r>
            <w:r>
              <w:rPr>
                <w:rFonts w:hint="eastAsia" w:ascii="宋体" w:hAnsi="宋体" w:cs="宋体"/>
                <w:color w:val="auto"/>
                <w:kern w:val="0"/>
                <w:szCs w:val="21"/>
                <w:highlight w:val="none"/>
              </w:rPr>
              <w:t>。</w:t>
            </w:r>
          </w:p>
          <w:p w14:paraId="70E07AF5">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二、纸质投标保函的退还、注销</w:t>
            </w:r>
          </w:p>
          <w:p w14:paraId="469C01D2">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14:paraId="6E1FC4E0">
            <w:pPr>
              <w:pStyle w:val="18"/>
              <w:spacing w:after="0" w:line="360" w:lineRule="auto"/>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招标人应在法定时间内和中标人签订合同，并同时书面通知相关金融机构向中标人和其他中标候选人注销纸质投标保函。具体注销事宜由投标人与金融机构协商。</w:t>
            </w:r>
          </w:p>
        </w:tc>
      </w:tr>
      <w:tr w14:paraId="217FF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0380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78D5359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5BF5980E">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704BD4D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2A478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AED76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36C878BB">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竞选文件格式要求</w:t>
            </w:r>
          </w:p>
        </w:tc>
        <w:tc>
          <w:tcPr>
            <w:tcW w:w="6490" w:type="dxa"/>
            <w:vAlign w:val="center"/>
          </w:tcPr>
          <w:p w14:paraId="0DC8342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编制竞选文件时不得对第八章“竞选文件格式”的相应要素作实质性修改，否则由评标委员会作否决投标处理。</w:t>
            </w:r>
          </w:p>
        </w:tc>
      </w:tr>
      <w:tr w14:paraId="59A4F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4A93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7BCEB98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4EE712F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文件应用不褪色的材料书写或打印，并由竞选人的法定代表人或其委托代理人在竞选文件规定的位置按竞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5D0482F4">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37312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2D9FC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343044D5">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的份数</w:t>
            </w:r>
          </w:p>
        </w:tc>
        <w:tc>
          <w:tcPr>
            <w:tcW w:w="6490" w:type="dxa"/>
            <w:vAlign w:val="center"/>
          </w:tcPr>
          <w:p w14:paraId="4446519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1份、副本2份，电子版形式（U盘）1份。当副本和正本不一致时，以正本为准。否则由评标委员会作否决投标处理。</w:t>
            </w:r>
          </w:p>
          <w:p w14:paraId="01B18ED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电子版形式（U盘）中的经济部分：应包含经济部分全部excel格式预算表格，工程量清单综合单价分析表无须装订入竞选文件纸质版中，但清单项目的综合单价分析表（excel格式）必须刻入U盘中。</w:t>
            </w:r>
          </w:p>
        </w:tc>
      </w:tr>
      <w:tr w14:paraId="596A2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D9ED1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0A2264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336CF374">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1、应将投标函部分、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14:paraId="1A5CFE89">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2、装订</w:t>
            </w:r>
          </w:p>
          <w:p w14:paraId="6B9B4CD1">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）投标函部分的装订要求</w:t>
            </w:r>
          </w:p>
          <w:p w14:paraId="5394039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4707D90D">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zCs w:val="21"/>
                <w:highlight w:val="none"/>
              </w:rPr>
              <w:t>部分的装订要求</w:t>
            </w:r>
          </w:p>
          <w:p w14:paraId="745E224D">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（但不得将目录编制作为评审因素），标注页码。</w:t>
            </w:r>
          </w:p>
          <w:p w14:paraId="129A1C5B">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）技术部分的装订要求</w:t>
            </w:r>
          </w:p>
          <w:p w14:paraId="0AEF0D2C">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w:t>
            </w:r>
            <w:r>
              <w:rPr>
                <w:rFonts w:ascii="宋体" w:hAnsi="宋体"/>
                <w:color w:val="auto"/>
                <w:szCs w:val="21"/>
                <w:highlight w:val="none"/>
              </w:rPr>
              <w:t>第八章规定格式装订成册</w:t>
            </w:r>
            <w:r>
              <w:rPr>
                <w:rFonts w:hint="eastAsia" w:ascii="宋体" w:hAnsi="宋体"/>
                <w:color w:val="auto"/>
                <w:szCs w:val="21"/>
                <w:highlight w:val="none"/>
              </w:rPr>
              <w:t>，原则上应编制目录，但不得将封面设置、目录编制作为评审因素。注：技术部分采用明标评审时，不因形式评审的问题（包括但不限于封面、页码、目录、字体、格式等）而被否决投标。</w:t>
            </w:r>
          </w:p>
          <w:p w14:paraId="316ECBD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200 </w:t>
            </w:r>
            <w:r>
              <w:rPr>
                <w:rFonts w:hint="eastAsia" w:ascii="宋体" w:hAnsi="宋体"/>
                <w:color w:val="auto"/>
                <w:szCs w:val="21"/>
                <w:highlight w:val="none"/>
              </w:rPr>
              <w:t>页</w:t>
            </w:r>
            <w:r>
              <w:rPr>
                <w:rFonts w:hint="eastAsia" w:asciiTheme="minorEastAsia" w:hAnsiTheme="minorEastAsia" w:eastAsiaTheme="minorEastAsia" w:cstheme="minorEastAsia"/>
                <w:color w:val="auto"/>
                <w:szCs w:val="21"/>
                <w:highlight w:val="none"/>
              </w:rPr>
              <w:t>，</w:t>
            </w:r>
            <w:r>
              <w:rPr>
                <w:rFonts w:hint="eastAsia" w:ascii="宋体" w:hAnsi="宋体"/>
                <w:color w:val="auto"/>
                <w:szCs w:val="21"/>
                <w:highlight w:val="none"/>
              </w:rPr>
              <w:t>但不得将页数作为评审因素。）</w:t>
            </w:r>
          </w:p>
          <w:p w14:paraId="5838EDFD">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16C7023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r>
              <w:rPr>
                <w:rFonts w:hint="eastAsia" w:ascii="宋体" w:hAnsi="宋体"/>
                <w:color w:val="auto"/>
                <w:szCs w:val="21"/>
                <w:highlight w:val="none"/>
              </w:rPr>
              <w:t>。</w:t>
            </w:r>
          </w:p>
        </w:tc>
      </w:tr>
      <w:tr w14:paraId="67206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0136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22626CDE">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的密封</w:t>
            </w:r>
          </w:p>
        </w:tc>
        <w:tc>
          <w:tcPr>
            <w:tcW w:w="6490" w:type="dxa"/>
            <w:vAlign w:val="center"/>
          </w:tcPr>
          <w:p w14:paraId="20F56997">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竞选文件</w:t>
            </w:r>
            <w:r>
              <w:rPr>
                <w:rFonts w:ascii="宋体" w:hAnsi="宋体"/>
                <w:color w:val="auto"/>
                <w:szCs w:val="21"/>
                <w:highlight w:val="none"/>
              </w:rPr>
              <w:t>袋使用“投标函部分”袋、“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竞选文件</w:t>
            </w:r>
            <w:r>
              <w:rPr>
                <w:rFonts w:ascii="宋体" w:hAnsi="宋体"/>
                <w:color w:val="auto"/>
                <w:szCs w:val="21"/>
                <w:highlight w:val="none"/>
              </w:rPr>
              <w:t>”大袋。</w:t>
            </w:r>
          </w:p>
          <w:p w14:paraId="5F3057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和电子版形式（U盘）</w:t>
            </w:r>
            <w:r>
              <w:rPr>
                <w:rFonts w:ascii="宋体" w:hAnsi="宋体"/>
                <w:color w:val="auto"/>
                <w:szCs w:val="21"/>
                <w:highlight w:val="none"/>
              </w:rPr>
              <w:t>装入“投标函部分”袋中，密封并在袋上加盖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7631E9D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pacing w:val="4"/>
                <w:szCs w:val="21"/>
                <w:highlight w:val="none"/>
              </w:rPr>
              <w:t>经济</w:t>
            </w:r>
            <w:r>
              <w:rPr>
                <w:rFonts w:ascii="宋体" w:hAnsi="宋体"/>
                <w:color w:val="auto"/>
                <w:spacing w:val="4"/>
                <w:szCs w:val="21"/>
                <w:highlight w:val="none"/>
              </w:rPr>
              <w:t>部分装入“</w:t>
            </w:r>
            <w:r>
              <w:rPr>
                <w:rFonts w:hint="eastAsia" w:ascii="宋体" w:hAnsi="宋体"/>
                <w:color w:val="auto"/>
                <w:spacing w:val="4"/>
                <w:szCs w:val="21"/>
                <w:highlight w:val="none"/>
              </w:rPr>
              <w:t>经济</w:t>
            </w:r>
            <w:r>
              <w:rPr>
                <w:rFonts w:ascii="宋体" w:hAnsi="宋体"/>
                <w:color w:val="auto"/>
                <w:spacing w:val="4"/>
                <w:szCs w:val="21"/>
                <w:highlight w:val="none"/>
              </w:rPr>
              <w:t>部分”袋中，密封并在袋上加盖</w:t>
            </w:r>
            <w:r>
              <w:rPr>
                <w:rFonts w:hint="eastAsia" w:ascii="宋体" w:hAnsi="宋体"/>
                <w:color w:val="auto"/>
                <w:spacing w:val="4"/>
                <w:szCs w:val="21"/>
                <w:highlight w:val="none"/>
              </w:rPr>
              <w:t>竞选人</w:t>
            </w:r>
            <w:r>
              <w:rPr>
                <w:rFonts w:ascii="宋体" w:hAnsi="宋体"/>
                <w:color w:val="auto"/>
                <w:spacing w:val="4"/>
                <w:szCs w:val="21"/>
                <w:highlight w:val="none"/>
              </w:rPr>
              <w:t>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p>
          <w:p w14:paraId="7371AD7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pacing w:val="4"/>
                <w:szCs w:val="21"/>
                <w:highlight w:val="none"/>
              </w:rPr>
              <w:t>技术</w:t>
            </w:r>
            <w:r>
              <w:rPr>
                <w:rFonts w:ascii="宋体" w:hAnsi="宋体"/>
                <w:color w:val="auto"/>
                <w:spacing w:val="4"/>
                <w:szCs w:val="21"/>
                <w:highlight w:val="none"/>
              </w:rPr>
              <w:t>部分装入“</w:t>
            </w:r>
            <w:r>
              <w:rPr>
                <w:rFonts w:hint="eastAsia" w:ascii="宋体" w:hAnsi="宋体"/>
                <w:color w:val="auto"/>
                <w:spacing w:val="4"/>
                <w:szCs w:val="21"/>
                <w:highlight w:val="none"/>
              </w:rPr>
              <w:t>技术</w:t>
            </w:r>
            <w:r>
              <w:rPr>
                <w:rFonts w:ascii="宋体" w:hAnsi="宋体"/>
                <w:color w:val="auto"/>
                <w:spacing w:val="4"/>
                <w:szCs w:val="21"/>
                <w:highlight w:val="none"/>
              </w:rPr>
              <w:t>部分”袋中，密封并在袋上加盖</w:t>
            </w:r>
            <w:r>
              <w:rPr>
                <w:rFonts w:hint="eastAsia" w:ascii="宋体" w:hAnsi="宋体"/>
                <w:color w:val="auto"/>
                <w:spacing w:val="4"/>
                <w:szCs w:val="21"/>
                <w:highlight w:val="none"/>
              </w:rPr>
              <w:t>竞选人</w:t>
            </w:r>
            <w:r>
              <w:rPr>
                <w:rFonts w:ascii="宋体" w:hAnsi="宋体"/>
                <w:color w:val="auto"/>
                <w:spacing w:val="4"/>
                <w:szCs w:val="21"/>
                <w:highlight w:val="none"/>
              </w:rPr>
              <w:t>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p>
          <w:p w14:paraId="2CD0626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 资格审查部分装入“资格审查部分”袋中，密封并在袋上加盖竞选人单位法人章。</w:t>
            </w:r>
          </w:p>
          <w:p w14:paraId="56DD514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szCs w:val="21"/>
                <w:highlight w:val="none"/>
              </w:rPr>
              <w:t>、“资格审查部分”</w:t>
            </w:r>
            <w:r>
              <w:rPr>
                <w:rFonts w:ascii="宋体" w:hAnsi="宋体"/>
                <w:color w:val="auto"/>
                <w:szCs w:val="21"/>
                <w:highlight w:val="none"/>
              </w:rPr>
              <w:t>等小袋装入“</w:t>
            </w:r>
            <w:r>
              <w:rPr>
                <w:rFonts w:hint="eastAsia" w:ascii="宋体" w:hAnsi="宋体"/>
                <w:color w:val="auto"/>
                <w:szCs w:val="21"/>
                <w:highlight w:val="none"/>
              </w:rPr>
              <w:t>竞选文件</w:t>
            </w:r>
            <w:r>
              <w:rPr>
                <w:rFonts w:ascii="宋体" w:hAnsi="宋体"/>
                <w:color w:val="auto"/>
                <w:szCs w:val="21"/>
                <w:highlight w:val="none"/>
              </w:rPr>
              <w:t>”大袋中，密封并在大袋上加盖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p w14:paraId="69E1FB6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注：“投标函部分”袋、“技术部分”袋、“经济部分”袋、“资格审查部分”袋只为方便竞选文件分装，不作为判定密封合格与否的条件。但为了方便开标，请各竞选人主动配合，按要求分装。</w:t>
            </w:r>
          </w:p>
        </w:tc>
      </w:tr>
      <w:tr w14:paraId="66D46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61A8B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16E34A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68DE253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rPr>
              <w:t>竞选文件</w:t>
            </w:r>
            <w:r>
              <w:rPr>
                <w:rFonts w:ascii="宋体" w:hAnsi="宋体"/>
                <w:color w:val="auto"/>
                <w:kern w:val="0"/>
                <w:szCs w:val="21"/>
                <w:highlight w:val="none"/>
              </w:rPr>
              <w:t>”大袋封套上写明如下内容：</w:t>
            </w:r>
          </w:p>
          <w:p w14:paraId="0361C44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2D79B83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竞选人名称：</w:t>
            </w:r>
            <w:r>
              <w:rPr>
                <w:rFonts w:hint="eastAsia" w:ascii="宋体" w:hAnsi="宋体"/>
                <w:color w:val="auto"/>
                <w:kern w:val="0"/>
                <w:szCs w:val="21"/>
                <w:highlight w:val="none"/>
                <w:u w:val="single"/>
              </w:rPr>
              <w:t xml:space="preserve">            </w:t>
            </w:r>
          </w:p>
          <w:p w14:paraId="528A823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rPr>
              <w:t>竞选文件</w:t>
            </w:r>
          </w:p>
          <w:p w14:paraId="261CAD55">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4FCFF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E1989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76002E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rPr>
              <w:t>竞选文件</w:t>
            </w:r>
            <w:r>
              <w:rPr>
                <w:rFonts w:ascii="宋体" w:hAnsi="宋体"/>
                <w:color w:val="auto"/>
                <w:kern w:val="0"/>
                <w:szCs w:val="21"/>
                <w:highlight w:val="none"/>
              </w:rPr>
              <w:t>地点</w:t>
            </w:r>
          </w:p>
        </w:tc>
        <w:tc>
          <w:tcPr>
            <w:tcW w:w="6490" w:type="dxa"/>
            <w:vAlign w:val="center"/>
          </w:tcPr>
          <w:p w14:paraId="582D1187">
            <w:pPr>
              <w:snapToGrid w:val="0"/>
              <w:spacing w:line="400" w:lineRule="exact"/>
              <w:ind w:firstLine="420" w:firstLineChars="200"/>
              <w:rPr>
                <w:rFonts w:ascii="宋体" w:hAnsi="宋体"/>
                <w:bCs/>
                <w:i/>
                <w:color w:val="auto"/>
                <w:szCs w:val="21"/>
                <w:highlight w:val="none"/>
              </w:rPr>
            </w:pPr>
            <w:r>
              <w:rPr>
                <w:rFonts w:hint="eastAsia" w:cs="宋体" w:asciiTheme="minorEastAsia" w:hAnsiTheme="minorEastAsia" w:eastAsiaTheme="minorEastAsia"/>
                <w:color w:val="auto"/>
                <w:szCs w:val="21"/>
                <w:highlight w:val="none"/>
              </w:rPr>
              <w:t>重庆市南岸区行政服务中心B区3号楼</w:t>
            </w:r>
            <w:r>
              <w:rPr>
                <w:rFonts w:hint="eastAsia" w:asciiTheme="minorEastAsia" w:hAnsiTheme="minorEastAsia" w:eastAsiaTheme="minorEastAsia"/>
                <w:snapToGrid w:val="0"/>
                <w:color w:val="auto"/>
                <w:kern w:val="0"/>
                <w:szCs w:val="21"/>
                <w:highlight w:val="none"/>
              </w:rPr>
              <w:t>2012</w:t>
            </w:r>
            <w:r>
              <w:rPr>
                <w:rFonts w:hint="eastAsia" w:cs="宋体" w:asciiTheme="minorEastAsia" w:hAnsiTheme="minorEastAsia" w:eastAsiaTheme="minorEastAsia"/>
                <w:color w:val="auto"/>
                <w:szCs w:val="21"/>
                <w:highlight w:val="none"/>
              </w:rPr>
              <w:t>室</w:t>
            </w:r>
          </w:p>
        </w:tc>
      </w:tr>
      <w:tr w14:paraId="5CCED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48F12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4A7585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rPr>
              <w:t>竞选文件</w:t>
            </w:r>
          </w:p>
        </w:tc>
        <w:tc>
          <w:tcPr>
            <w:tcW w:w="6490" w:type="dxa"/>
            <w:vAlign w:val="center"/>
          </w:tcPr>
          <w:p w14:paraId="6926469F">
            <w:pPr>
              <w:snapToGrid w:val="0"/>
              <w:spacing w:line="400" w:lineRule="exact"/>
              <w:ind w:firstLine="420" w:firstLineChars="200"/>
              <w:rPr>
                <w:rFonts w:ascii="宋体" w:hAnsi="宋体"/>
                <w:color w:val="auto"/>
                <w:kern w:val="0"/>
                <w:szCs w:val="21"/>
                <w:highlight w:val="none"/>
              </w:rPr>
            </w:pPr>
            <w:r>
              <w:rPr>
                <w:rFonts w:ascii="Segoe UI Emoji" w:hAnsi="Segoe UI Emoji" w:cs="Segoe UI Emoji"/>
                <w:color w:val="auto"/>
                <w:kern w:val="0"/>
                <w:szCs w:val="21"/>
                <w:highlight w:val="none"/>
              </w:rPr>
              <w:t>☑</w:t>
            </w:r>
            <w:r>
              <w:rPr>
                <w:rFonts w:ascii="宋体" w:hAnsi="宋体"/>
                <w:color w:val="auto"/>
                <w:kern w:val="0"/>
                <w:szCs w:val="21"/>
                <w:highlight w:val="none"/>
              </w:rPr>
              <w:t>否</w:t>
            </w:r>
          </w:p>
          <w:p w14:paraId="3F883C63">
            <w:pPr>
              <w:snapToGrid w:val="0"/>
              <w:spacing w:after="31" w:afterLines="1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tc>
      </w:tr>
      <w:tr w14:paraId="59493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57364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0E1FDE8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62DAACC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29D2084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rPr>
              <w:t>竞选截止时间</w:t>
            </w:r>
          </w:p>
          <w:p w14:paraId="1B53943E">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cs="宋体" w:asciiTheme="minorEastAsia" w:hAnsiTheme="minorEastAsia" w:eastAsiaTheme="minorEastAsia"/>
                <w:color w:val="auto"/>
                <w:szCs w:val="21"/>
                <w:highlight w:val="none"/>
              </w:rPr>
              <w:t>重庆市南岸区行政服务中心B区3号楼2012室</w:t>
            </w:r>
          </w:p>
        </w:tc>
      </w:tr>
      <w:tr w14:paraId="51100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5ED09A">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1F8774EB">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499E904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3A7229DA">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69E4C90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7C8A4FA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6C22FB2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2AB6AD3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33AE9AB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核验投标保证金交纳情况。</w:t>
            </w:r>
          </w:p>
          <w:p w14:paraId="0F2C8CA3">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5EAD5FC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大袋及投标函部分袋、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1C8F486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1721B36A">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4F80AFE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305E8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35277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0DD61C2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010D8CAF">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由比选人按法律法规及相关规定依法组建评标委员会</w:t>
            </w:r>
            <w:r>
              <w:rPr>
                <w:rFonts w:hint="eastAsia" w:ascii="宋体" w:hAnsi="宋体"/>
                <w:color w:val="auto"/>
                <w:kern w:val="0"/>
                <w:szCs w:val="21"/>
                <w:highlight w:val="none"/>
              </w:rPr>
              <w:t>。</w:t>
            </w:r>
          </w:p>
        </w:tc>
      </w:tr>
      <w:tr w14:paraId="0D32C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A4763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25C8DC6C">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5E91AE50">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否，推荐经评审综合得分由高到低排名前三名为中标候选人。</w:t>
            </w:r>
          </w:p>
        </w:tc>
      </w:tr>
      <w:tr w14:paraId="32FAD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639F0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19B54710">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6ECBCFB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评选结果在比选人确认评选结果后3日内，于“</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进行公告，公告期限为1日。</w:t>
            </w:r>
          </w:p>
        </w:tc>
      </w:tr>
      <w:tr w14:paraId="38891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AEB02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13FAAE2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199ED4C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10AACDE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4C60F725">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kern w:val="0"/>
                <w:szCs w:val="21"/>
                <w:highlight w:val="none"/>
              </w:rPr>
              <w:t>（1）履约担保的形式：</w:t>
            </w:r>
            <w:r>
              <w:rPr>
                <w:rFonts w:hint="eastAsia" w:ascii="宋体" w:hAnsi="宋体"/>
                <w:color w:val="auto"/>
                <w:kern w:val="0"/>
                <w:szCs w:val="21"/>
                <w:highlight w:val="none"/>
                <w:u w:val="single"/>
              </w:rPr>
              <w:t>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p>
          <w:p w14:paraId="2334DE4E">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（2）履约担保的金额：</w:t>
            </w:r>
            <w:r>
              <w:rPr>
                <w:rFonts w:hint="eastAsia" w:ascii="宋体" w:hAnsi="宋体"/>
                <w:color w:val="auto"/>
                <w:szCs w:val="21"/>
                <w:highlight w:val="none"/>
                <w:u w:val="single"/>
              </w:rPr>
              <w:t>签约合同价10%；</w:t>
            </w:r>
          </w:p>
          <w:p w14:paraId="6C49AB42">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olor w:val="auto"/>
                <w:szCs w:val="21"/>
                <w:highlight w:val="none"/>
              </w:rPr>
              <w:t>。未提供履约担保，一切责任由承包人承担。</w:t>
            </w:r>
          </w:p>
          <w:p w14:paraId="2AF509AD">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（4）履约担保的期限：</w:t>
            </w:r>
            <w:r>
              <w:rPr>
                <w:rFonts w:hint="eastAsia" w:ascii="宋体" w:hAnsi="宋体"/>
                <w:color w:val="auto"/>
                <w:szCs w:val="21"/>
                <w:highlight w:val="none"/>
                <w:u w:val="single"/>
              </w:rPr>
              <w:t>自承包人法定代表人（或其委托代理人）签名并加盖公章之日起至发包人签发工程接收证书之日止</w:t>
            </w:r>
            <w:r>
              <w:rPr>
                <w:rFonts w:hint="eastAsia" w:ascii="宋体" w:hAnsi="宋体"/>
                <w:color w:val="auto"/>
                <w:szCs w:val="21"/>
                <w:highlight w:val="none"/>
              </w:rPr>
              <w:t>。</w:t>
            </w:r>
          </w:p>
          <w:p w14:paraId="61CEEA84">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（5）履约担保的退还时间：</w:t>
            </w:r>
            <w:r>
              <w:rPr>
                <w:rFonts w:hint="eastAsia" w:ascii="宋体" w:hAnsi="宋体"/>
                <w:color w:val="auto"/>
                <w:szCs w:val="21"/>
                <w:highlight w:val="none"/>
                <w:u w:val="single"/>
              </w:rPr>
              <w:t>采用现金担保的，发包人签发工程接收证书后14天内无息退还；采用银行保函的，发包人签发工程接收证书后14天内退还</w:t>
            </w:r>
            <w:r>
              <w:rPr>
                <w:rFonts w:hint="eastAsia" w:ascii="宋体" w:hAnsi="宋体"/>
                <w:color w:val="auto"/>
                <w:szCs w:val="21"/>
                <w:highlight w:val="none"/>
              </w:rPr>
              <w:t>。</w:t>
            </w:r>
          </w:p>
          <w:p w14:paraId="659212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（6）履约担保的有效期</w:t>
            </w:r>
          </w:p>
          <w:p w14:paraId="7512CC60">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履约担保的有效期应当自本合同生效之日起至发包人竣工验收合格后14天。如果无法获得一份不带具体截止日期的担保，履约担保中应当有“变更工程竣工日期的，保证期间按照变更后的竣工日期做相应调整”或类似约定的条款。</w:t>
            </w:r>
          </w:p>
        </w:tc>
      </w:tr>
      <w:tr w14:paraId="50A96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95214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4A2570D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59B4B78E">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05359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7CF22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551F820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094D9A3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rPr>
              <w:t>竞选人</w:t>
            </w:r>
            <w:r>
              <w:rPr>
                <w:rFonts w:ascii="宋体" w:hAnsi="宋体"/>
                <w:color w:val="auto"/>
                <w:kern w:val="0"/>
                <w:szCs w:val="21"/>
                <w:highlight w:val="none"/>
              </w:rPr>
              <w:t>须知第8.1（1）执行；</w:t>
            </w:r>
          </w:p>
          <w:p w14:paraId="1D26B39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rPr>
              <w:t>竞选人</w:t>
            </w:r>
            <w:r>
              <w:rPr>
                <w:rFonts w:ascii="宋体" w:hAnsi="宋体"/>
                <w:color w:val="auto"/>
                <w:kern w:val="0"/>
                <w:szCs w:val="21"/>
                <w:highlight w:val="none"/>
              </w:rPr>
              <w:t>须知第8.1（2）执行；</w:t>
            </w:r>
          </w:p>
          <w:p w14:paraId="0BD2D43B">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须知第8.1（3）执行；</w:t>
            </w:r>
          </w:p>
          <w:p w14:paraId="2CA3FDD0">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2D69927A">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7D59A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D6238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6014C4AE">
            <w:pPr>
              <w:snapToGrid w:val="0"/>
              <w:spacing w:line="400" w:lineRule="exact"/>
              <w:jc w:val="center"/>
              <w:rPr>
                <w:color w:val="auto"/>
                <w:highlight w:val="none"/>
              </w:rPr>
            </w:pPr>
            <w:bookmarkStart w:id="110" w:name="_Toc16930431"/>
            <w:bookmarkStart w:id="111" w:name="_Toc509218709"/>
            <w:bookmarkStart w:id="112" w:name="_Toc430530434"/>
            <w:bookmarkStart w:id="113" w:name="_Toc13210670"/>
            <w:bookmarkStart w:id="114" w:name="_Toc53662825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10"/>
            <w:bookmarkEnd w:id="111"/>
            <w:bookmarkEnd w:id="112"/>
            <w:bookmarkEnd w:id="113"/>
            <w:bookmarkEnd w:id="114"/>
          </w:p>
        </w:tc>
        <w:tc>
          <w:tcPr>
            <w:tcW w:w="6490" w:type="dxa"/>
            <w:vAlign w:val="center"/>
          </w:tcPr>
          <w:p w14:paraId="1D3C5051">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11171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A45E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6423F58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1AE43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B5D15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10.1</w:t>
            </w:r>
          </w:p>
        </w:tc>
        <w:tc>
          <w:tcPr>
            <w:tcW w:w="1644" w:type="dxa"/>
            <w:vAlign w:val="center"/>
          </w:tcPr>
          <w:p w14:paraId="5A0A735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14:paraId="4DE8B35F">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，中标人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《保障农民工工资支付条例》（中华人民共和国国务院令第724号）及国家</w:t>
            </w:r>
            <w:r>
              <w:rPr>
                <w:rFonts w:ascii="宋体" w:hAnsi="宋体"/>
                <w:color w:val="auto"/>
                <w:szCs w:val="21"/>
                <w:highlight w:val="none"/>
                <w:u w:val="single"/>
              </w:rPr>
              <w:t>和重庆市现行有关</w:t>
            </w:r>
            <w:r>
              <w:rPr>
                <w:rFonts w:ascii="宋体" w:hAnsi="宋体"/>
                <w:color w:val="auto"/>
                <w:kern w:val="0"/>
                <w:szCs w:val="21"/>
                <w:highlight w:val="none"/>
              </w:rPr>
              <w:t>农民工工资</w:t>
            </w:r>
            <w:r>
              <w:rPr>
                <w:rFonts w:hint="eastAsia" w:ascii="宋体" w:hAnsi="宋体"/>
                <w:color w:val="auto"/>
                <w:kern w:val="0"/>
                <w:szCs w:val="21"/>
                <w:highlight w:val="none"/>
              </w:rPr>
              <w:t>支付规定，明确农民工工资保证金、实名制、专用账户、银行代发等保障农民工工资支付内容以及违约责任，填报相应的网络管理系统。</w:t>
            </w:r>
          </w:p>
          <w:p w14:paraId="6B2F4CE4">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中标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tc>
      </w:tr>
      <w:tr w14:paraId="3AE62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shd w:val="clear" w:color="auto" w:fill="auto"/>
            <w:vAlign w:val="center"/>
          </w:tcPr>
          <w:p w14:paraId="660F96F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10.2</w:t>
            </w:r>
          </w:p>
        </w:tc>
        <w:tc>
          <w:tcPr>
            <w:tcW w:w="1644" w:type="dxa"/>
            <w:shd w:val="clear" w:color="auto" w:fill="auto"/>
            <w:vAlign w:val="center"/>
          </w:tcPr>
          <w:p w14:paraId="2D1090D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tc>
        <w:tc>
          <w:tcPr>
            <w:tcW w:w="6490" w:type="dxa"/>
            <w:shd w:val="clear" w:color="auto" w:fill="auto"/>
            <w:vAlign w:val="center"/>
          </w:tcPr>
          <w:p w14:paraId="41802395">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Cs w:val="21"/>
                <w:highlight w:val="none"/>
              </w:rPr>
              <w:t>并报招标投标行政监督部门按照信用管理办法的规定处理，对中标人的不良行为直接记12分，纳入重点关注名单。</w:t>
            </w:r>
          </w:p>
          <w:p w14:paraId="2D729C5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2、中标人提供低价风险担保的形式、金额及期限：</w:t>
            </w:r>
          </w:p>
          <w:p w14:paraId="2B5E4DAF">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（1）低价风险担保的形式：</w:t>
            </w:r>
            <w:r>
              <w:rPr>
                <w:rFonts w:hint="eastAsia" w:ascii="宋体" w:hAnsi="宋体" w:cs="宋体"/>
                <w:color w:val="auto"/>
                <w:kern w:val="0"/>
                <w:szCs w:val="21"/>
                <w:highlight w:val="none"/>
                <w:lang w:bidi="ar"/>
              </w:rPr>
              <w:t>现金或保函；采用保函形式的,保函的开立人应当是具有相应资格的且发包人认可的银行、保险机构、融资担保公司，其信用资质、履约能力、担保能力、赔付流程、安全保密等应符合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p>
          <w:p w14:paraId="2AACF0D4">
            <w:pPr>
              <w:autoSpaceDE w:val="0"/>
              <w:autoSpaceDN w:val="0"/>
              <w:adjustRightInd w:val="0"/>
              <w:snapToGrid w:val="0"/>
              <w:spacing w:line="400" w:lineRule="exact"/>
              <w:ind w:firstLine="420" w:firstLineChars="200"/>
              <w:rPr>
                <w:rFonts w:asciiTheme="minorEastAsia" w:hAnsiTheme="minorEastAsia" w:eastAsiaTheme="minorEastAsia" w:cstheme="minorEastAsia"/>
                <w:i/>
                <w:iCs/>
                <w:color w:val="auto"/>
                <w:kern w:val="0"/>
                <w:szCs w:val="21"/>
                <w:highlight w:val="none"/>
              </w:rPr>
            </w:pPr>
            <w:r>
              <w:rPr>
                <w:rFonts w:hint="eastAsia" w:asciiTheme="minorEastAsia" w:hAnsiTheme="minorEastAsia" w:eastAsiaTheme="minorEastAsia" w:cstheme="minorEastAsia"/>
                <w:color w:val="auto"/>
                <w:kern w:val="0"/>
                <w:szCs w:val="21"/>
                <w:highlight w:val="none"/>
              </w:rPr>
              <w:t>（2）低价风险担保的金额：（最高限价×85%-中标价）×3</w:t>
            </w:r>
            <w:r>
              <w:rPr>
                <w:rStyle w:val="55"/>
                <w:rFonts w:hint="eastAsia" w:asciiTheme="minorEastAsia" w:hAnsiTheme="minorEastAsia" w:eastAsiaTheme="minorEastAsia" w:cstheme="minorEastAsia"/>
                <w:color w:val="auto"/>
                <w:highlight w:val="none"/>
              </w:rPr>
              <w:t>，且最高不超过最高限价的85%。</w:t>
            </w:r>
          </w:p>
          <w:p w14:paraId="67AEAB04">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（3）低价风险担保送达招标人的时间：</w:t>
            </w:r>
            <w:r>
              <w:rPr>
                <w:rFonts w:hint="eastAsia" w:asciiTheme="minorEastAsia" w:hAnsiTheme="minorEastAsia" w:eastAsiaTheme="minorEastAsia" w:cstheme="minorEastAsia"/>
                <w:color w:val="auto"/>
                <w:szCs w:val="21"/>
                <w:highlight w:val="none"/>
              </w:rPr>
              <w:t>从招标人中标通知书送达拟中标人之日起</w:t>
            </w:r>
            <w:r>
              <w:rPr>
                <w:rFonts w:hint="eastAsia" w:asciiTheme="minorEastAsia" w:hAnsiTheme="minorEastAsia" w:eastAsiaTheme="minorEastAsia" w:cstheme="minorEastAsia"/>
                <w:color w:val="auto"/>
                <w:szCs w:val="21"/>
                <w:highlight w:val="none"/>
                <w:u w:val="single"/>
              </w:rPr>
              <w:t xml:space="preserve"> 10 </w:t>
            </w:r>
            <w:r>
              <w:rPr>
                <w:rFonts w:hint="eastAsia" w:asciiTheme="minorEastAsia" w:hAnsiTheme="minorEastAsia" w:eastAsiaTheme="minorEastAsia" w:cstheme="minorEastAsia"/>
                <w:color w:val="auto"/>
                <w:szCs w:val="21"/>
                <w:highlight w:val="none"/>
              </w:rPr>
              <w:t>工作日内</w:t>
            </w:r>
            <w:r>
              <w:rPr>
                <w:rFonts w:hint="eastAsia" w:asciiTheme="minorEastAsia" w:hAnsiTheme="minorEastAsia" w:eastAsiaTheme="minorEastAsia" w:cstheme="minorEastAsia"/>
                <w:color w:val="auto"/>
                <w:kern w:val="0"/>
                <w:szCs w:val="21"/>
                <w:highlight w:val="none"/>
              </w:rPr>
              <w:t>；</w:t>
            </w:r>
          </w:p>
          <w:p w14:paraId="142D6370">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（4）中标人因自身原因未按中标通知书规定的时限与招标人签订合同的，招标人有权扣除其低价风险担保并取消中标资格。</w:t>
            </w:r>
          </w:p>
          <w:p w14:paraId="120FDA94">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（5）低价风险担保的期限：</w:t>
            </w:r>
            <w:r>
              <w:rPr>
                <w:rFonts w:hint="eastAsia" w:ascii="宋体" w:hAnsi="宋体" w:cs="宋体"/>
                <w:color w:val="auto"/>
                <w:kern w:val="0"/>
                <w:szCs w:val="21"/>
                <w:highlight w:val="none"/>
                <w:lang w:bidi="ar"/>
              </w:rPr>
              <w:t>自提交低价风险担保之日起至竣工验收合格之日止。</w:t>
            </w:r>
          </w:p>
          <w:p w14:paraId="508BD4DC">
            <w:pPr>
              <w:widowControl/>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3、低价风险担保的退还时间：</w:t>
            </w:r>
            <w:r>
              <w:rPr>
                <w:rFonts w:hint="eastAsia" w:ascii="宋体" w:hAnsi="宋体" w:cs="宋体"/>
                <w:color w:val="auto"/>
                <w:kern w:val="0"/>
                <w:szCs w:val="21"/>
                <w:highlight w:val="none"/>
                <w:lang w:bidi="ar"/>
              </w:rPr>
              <w:t>采用现金担保的，工程竣工验收合格后14天内无息退还，合同履行期间允许承包人用符合要求的银行、保险机构、融资担保保函进行置换；采用保函的，工程竣工验收合格后14天内退还。</w:t>
            </w:r>
          </w:p>
          <w:p w14:paraId="7A6C23E3">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662D9248">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备注：当中标人或拟中标人未按时提交低价风险担保，且属于可以延长低价风险担保提交期限的特殊情形时，经招标人同意，可适当延长低价风险担保的提交期限。</w:t>
            </w:r>
          </w:p>
          <w:p w14:paraId="004205A2">
            <w:pPr>
              <w:pStyle w:val="18"/>
              <w:widowControl/>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Cs w:val="21"/>
                <w:highlight w:val="none"/>
              </w:rPr>
              <w:t>5、投标总报价低于最高限价85%的，投标人应在编制投标文件时，在投标函部分中递交低价风险担保提交承诺书。承诺书格式详见第八章投标文件格式。</w:t>
            </w:r>
          </w:p>
        </w:tc>
      </w:tr>
      <w:tr w14:paraId="1BFD0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2A915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14:paraId="1A2D195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关于对竞选文件及投标争议的解释</w:t>
            </w:r>
          </w:p>
        </w:tc>
        <w:tc>
          <w:tcPr>
            <w:tcW w:w="6490" w:type="dxa"/>
            <w:vAlign w:val="center"/>
          </w:tcPr>
          <w:p w14:paraId="30156E0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对资格预审文件或者竞选文件的评标标准和方法，以及资格审查和否决投标条款理解有争议的，应当作出不利于比选人的解释，但违背国家利益、社会公共利益的除外。</w:t>
            </w:r>
          </w:p>
          <w:p w14:paraId="3F61C8C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对竞选文件理解有争议的，应当作出不利于提交该竞选文件的竞选人的解释。</w:t>
            </w:r>
          </w:p>
        </w:tc>
      </w:tr>
      <w:tr w14:paraId="5D9FA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CD4A3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0E9102D6">
            <w:pPr>
              <w:snapToGrid w:val="0"/>
              <w:spacing w:line="400" w:lineRule="exact"/>
              <w:jc w:val="center"/>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代理服务费</w:t>
            </w:r>
          </w:p>
        </w:tc>
        <w:tc>
          <w:tcPr>
            <w:tcW w:w="6490" w:type="dxa"/>
            <w:vAlign w:val="center"/>
          </w:tcPr>
          <w:p w14:paraId="1ACA7FF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比选代理服务费：本工程</w:t>
            </w:r>
            <w:r>
              <w:rPr>
                <w:rFonts w:hint="eastAsia" w:asciiTheme="minorEastAsia" w:hAnsiTheme="minorEastAsia" w:eastAsiaTheme="minorEastAsia"/>
                <w:snapToGrid w:val="0"/>
                <w:color w:val="auto"/>
                <w:kern w:val="0"/>
                <w:szCs w:val="21"/>
                <w:highlight w:val="none"/>
              </w:rPr>
              <w:t>比选</w:t>
            </w:r>
            <w:r>
              <w:rPr>
                <w:rFonts w:hint="eastAsia" w:asciiTheme="minorEastAsia" w:hAnsiTheme="minorEastAsia" w:eastAsiaTheme="minorEastAsia"/>
                <w:color w:val="auto"/>
                <w:kern w:val="0"/>
                <w:szCs w:val="21"/>
                <w:highlight w:val="none"/>
              </w:rPr>
              <w:t>代理服务费按照《招标代理服务收费管理暂行办法》（计价格[2002]1980）70%计取，计算金额如低于6500.00元则按照6500.00元计。由中标人在领取中标通知书时一次性支付。</w:t>
            </w:r>
          </w:p>
        </w:tc>
      </w:tr>
      <w:tr w14:paraId="19B287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EED787">
            <w:pPr>
              <w:snapToGrid w:val="0"/>
              <w:spacing w:line="400" w:lineRule="exact"/>
              <w:jc w:val="center"/>
              <w:rPr>
                <w:rFonts w:ascii="宋体" w:hAnsi="宋体"/>
                <w:color w:val="auto"/>
                <w:kern w:val="0"/>
                <w:szCs w:val="21"/>
                <w:highlight w:val="none"/>
              </w:rPr>
            </w:pPr>
            <w:bookmarkStart w:id="115" w:name="_Toc200513126"/>
            <w:bookmarkStart w:id="116" w:name="_Toc430530435"/>
            <w:bookmarkStart w:id="117" w:name="_Toc287620685"/>
            <w:bookmarkStart w:id="118" w:name="_Toc224103317"/>
            <w:bookmarkStart w:id="119" w:name="_Toc277082552"/>
            <w:bookmarkStart w:id="120" w:name="_Toc287607746"/>
            <w:r>
              <w:rPr>
                <w:rFonts w:hint="eastAsia" w:ascii="宋体" w:hAnsi="宋体"/>
                <w:color w:val="auto"/>
                <w:kern w:val="0"/>
                <w:szCs w:val="21"/>
                <w:highlight w:val="none"/>
              </w:rPr>
              <w:t>10.5</w:t>
            </w:r>
          </w:p>
        </w:tc>
        <w:tc>
          <w:tcPr>
            <w:tcW w:w="1644" w:type="dxa"/>
            <w:vAlign w:val="center"/>
          </w:tcPr>
          <w:p w14:paraId="54996B0B">
            <w:pPr>
              <w:snapToGrid w:val="0"/>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特别说明</w:t>
            </w:r>
          </w:p>
        </w:tc>
        <w:tc>
          <w:tcPr>
            <w:tcW w:w="6490" w:type="dxa"/>
            <w:shd w:val="clear" w:color="auto" w:fill="auto"/>
            <w:vAlign w:val="center"/>
          </w:tcPr>
          <w:p w14:paraId="2601E3D0">
            <w:pPr>
              <w:autoSpaceDE w:val="0"/>
              <w:autoSpaceDN w:val="0"/>
              <w:adjustRightInd w:val="0"/>
              <w:snapToGrid w:val="0"/>
              <w:spacing w:line="400" w:lineRule="exact"/>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 xml:space="preserve">1、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 </w:t>
            </w:r>
          </w:p>
          <w:p w14:paraId="1B1C2AF9">
            <w:pPr>
              <w:autoSpaceDE w:val="0"/>
              <w:autoSpaceDN w:val="0"/>
              <w:adjustRightInd w:val="0"/>
              <w:snapToGrid w:val="0"/>
              <w:spacing w:line="400" w:lineRule="exact"/>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2、项目非因比选人原因取消的比选人不补偿或赔偿竞选人。</w:t>
            </w:r>
          </w:p>
        </w:tc>
      </w:tr>
    </w:tbl>
    <w:p w14:paraId="03C9B760">
      <w:pPr>
        <w:pStyle w:val="3"/>
        <w:spacing w:before="0" w:after="0" w:line="20" w:lineRule="exact"/>
        <w:rPr>
          <w:rFonts w:ascii="宋体" w:hAnsi="宋体"/>
          <w:b w:val="0"/>
          <w:snapToGrid w:val="0"/>
          <w:color w:val="auto"/>
          <w:highlight w:val="none"/>
        </w:rPr>
      </w:pPr>
    </w:p>
    <w:p w14:paraId="02024C57">
      <w:pPr>
        <w:pStyle w:val="3"/>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4FDB4843">
      <w:pPr>
        <w:pStyle w:val="3"/>
        <w:spacing w:before="0" w:after="0" w:line="360" w:lineRule="auto"/>
        <w:rPr>
          <w:rFonts w:ascii="宋体" w:hAnsi="宋体"/>
          <w:b w:val="0"/>
          <w:snapToGrid w:val="0"/>
          <w:color w:val="auto"/>
          <w:highlight w:val="none"/>
        </w:rPr>
      </w:pPr>
      <w:bookmarkStart w:id="121" w:name="_Toc509218710"/>
      <w:bookmarkStart w:id="122" w:name="_Toc840"/>
      <w:bookmarkStart w:id="123" w:name="_Toc57905830"/>
      <w:r>
        <w:rPr>
          <w:rFonts w:ascii="宋体" w:hAnsi="宋体"/>
          <w:b w:val="0"/>
          <w:snapToGrid w:val="0"/>
          <w:color w:val="auto"/>
          <w:highlight w:val="none"/>
        </w:rPr>
        <w:t>1.  总则</w:t>
      </w:r>
      <w:bookmarkEnd w:id="115"/>
      <w:bookmarkEnd w:id="116"/>
      <w:bookmarkEnd w:id="117"/>
      <w:bookmarkEnd w:id="118"/>
      <w:bookmarkEnd w:id="119"/>
      <w:bookmarkEnd w:id="120"/>
      <w:bookmarkEnd w:id="121"/>
      <w:bookmarkEnd w:id="122"/>
      <w:bookmarkEnd w:id="123"/>
    </w:p>
    <w:p w14:paraId="3A5D9029">
      <w:pPr>
        <w:pStyle w:val="4"/>
        <w:snapToGrid w:val="0"/>
        <w:spacing w:before="0" w:after="0" w:line="360" w:lineRule="auto"/>
        <w:rPr>
          <w:rFonts w:ascii="宋体" w:hAnsi="宋体"/>
          <w:b w:val="0"/>
          <w:snapToGrid w:val="0"/>
          <w:color w:val="auto"/>
          <w:sz w:val="24"/>
          <w:szCs w:val="24"/>
          <w:highlight w:val="none"/>
        </w:rPr>
      </w:pPr>
      <w:bookmarkStart w:id="124" w:name="_Toc430530436"/>
      <w:bookmarkStart w:id="125" w:name="_Toc509218711"/>
      <w:bookmarkStart w:id="126" w:name="_Toc200513127"/>
      <w:bookmarkStart w:id="127" w:name="_Toc287620686"/>
      <w:bookmarkStart w:id="128" w:name="_Toc57905831"/>
      <w:bookmarkStart w:id="129" w:name="_Toc287607747"/>
      <w:bookmarkStart w:id="130" w:name="_Toc224103318"/>
      <w:bookmarkStart w:id="131" w:name="_Toc32232"/>
      <w:bookmarkStart w:id="132" w:name="_Toc277082553"/>
      <w:r>
        <w:rPr>
          <w:rFonts w:ascii="宋体" w:hAnsi="宋体"/>
          <w:b w:val="0"/>
          <w:snapToGrid w:val="0"/>
          <w:color w:val="auto"/>
          <w:sz w:val="24"/>
          <w:szCs w:val="24"/>
          <w:highlight w:val="none"/>
        </w:rPr>
        <w:t>1.1  项目概况</w:t>
      </w:r>
      <w:bookmarkEnd w:id="124"/>
      <w:bookmarkEnd w:id="125"/>
      <w:bookmarkEnd w:id="126"/>
      <w:bookmarkEnd w:id="127"/>
      <w:bookmarkEnd w:id="128"/>
      <w:bookmarkEnd w:id="129"/>
      <w:bookmarkEnd w:id="130"/>
      <w:bookmarkEnd w:id="131"/>
      <w:bookmarkEnd w:id="132"/>
    </w:p>
    <w:p w14:paraId="52D831DF">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0D5EECF4">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0398AD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1DCB41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2BE938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7A4B31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783E045">
      <w:pPr>
        <w:pStyle w:val="4"/>
        <w:snapToGrid w:val="0"/>
        <w:spacing w:before="0" w:after="0" w:line="360" w:lineRule="auto"/>
        <w:rPr>
          <w:rFonts w:ascii="宋体" w:hAnsi="宋体"/>
          <w:b w:val="0"/>
          <w:snapToGrid w:val="0"/>
          <w:color w:val="auto"/>
          <w:sz w:val="24"/>
          <w:szCs w:val="24"/>
          <w:highlight w:val="none"/>
        </w:rPr>
      </w:pPr>
      <w:bookmarkStart w:id="133" w:name="_Toc224103319"/>
      <w:bookmarkStart w:id="134" w:name="_Toc277082554"/>
      <w:bookmarkStart w:id="135" w:name="_Toc57905832"/>
      <w:bookmarkStart w:id="136" w:name="_Toc430530437"/>
      <w:bookmarkStart w:id="137" w:name="_Toc200513128"/>
      <w:bookmarkStart w:id="138" w:name="_Toc287607748"/>
      <w:bookmarkStart w:id="139" w:name="_Toc509218712"/>
      <w:bookmarkStart w:id="140" w:name="_Toc287620687"/>
      <w:bookmarkStart w:id="141" w:name="_Toc21567"/>
      <w:r>
        <w:rPr>
          <w:rFonts w:ascii="宋体" w:hAnsi="宋体"/>
          <w:b w:val="0"/>
          <w:snapToGrid w:val="0"/>
          <w:color w:val="auto"/>
          <w:sz w:val="24"/>
          <w:szCs w:val="24"/>
          <w:highlight w:val="none"/>
        </w:rPr>
        <w:t>1.2  资金来源和落实情况</w:t>
      </w:r>
      <w:bookmarkEnd w:id="133"/>
      <w:bookmarkEnd w:id="134"/>
      <w:bookmarkEnd w:id="135"/>
      <w:bookmarkEnd w:id="136"/>
      <w:bookmarkEnd w:id="137"/>
      <w:bookmarkEnd w:id="138"/>
      <w:bookmarkEnd w:id="139"/>
      <w:bookmarkEnd w:id="140"/>
      <w:bookmarkEnd w:id="141"/>
    </w:p>
    <w:p w14:paraId="2EADB03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06A291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EB79B4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D6A96B2">
      <w:pPr>
        <w:pStyle w:val="4"/>
        <w:snapToGrid w:val="0"/>
        <w:spacing w:before="0" w:after="0" w:line="360" w:lineRule="auto"/>
        <w:rPr>
          <w:rFonts w:ascii="宋体" w:hAnsi="宋体"/>
          <w:b w:val="0"/>
          <w:snapToGrid w:val="0"/>
          <w:color w:val="auto"/>
          <w:sz w:val="24"/>
          <w:szCs w:val="24"/>
          <w:highlight w:val="none"/>
        </w:rPr>
      </w:pPr>
      <w:bookmarkStart w:id="142" w:name="_Toc224103320"/>
      <w:bookmarkStart w:id="143" w:name="_Toc509218713"/>
      <w:bookmarkStart w:id="144" w:name="_Toc277082555"/>
      <w:bookmarkStart w:id="145" w:name="_Toc287620688"/>
      <w:bookmarkStart w:id="146" w:name="_Toc430530438"/>
      <w:bookmarkStart w:id="147" w:name="_Toc287607749"/>
      <w:bookmarkStart w:id="148" w:name="_Toc4104"/>
      <w:bookmarkStart w:id="149" w:name="_Toc200513129"/>
      <w:bookmarkStart w:id="150" w:name="_Toc57905833"/>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rPr>
        <w:t>比选范围</w:t>
      </w:r>
      <w:r>
        <w:rPr>
          <w:rFonts w:ascii="宋体" w:hAnsi="宋体"/>
          <w:b w:val="0"/>
          <w:snapToGrid w:val="0"/>
          <w:color w:val="auto"/>
          <w:sz w:val="24"/>
          <w:szCs w:val="24"/>
          <w:highlight w:val="none"/>
        </w:rPr>
        <w:t>、计划工期和质量要求</w:t>
      </w:r>
      <w:bookmarkEnd w:id="142"/>
      <w:bookmarkEnd w:id="143"/>
      <w:bookmarkEnd w:id="144"/>
      <w:bookmarkEnd w:id="145"/>
      <w:bookmarkEnd w:id="146"/>
      <w:bookmarkEnd w:id="147"/>
      <w:bookmarkEnd w:id="148"/>
      <w:bookmarkEnd w:id="149"/>
      <w:bookmarkEnd w:id="150"/>
    </w:p>
    <w:p w14:paraId="2E0B8C6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A9666F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B054CF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D1BC0B8">
      <w:pPr>
        <w:pStyle w:val="4"/>
        <w:snapToGrid w:val="0"/>
        <w:spacing w:before="0" w:after="0" w:line="360" w:lineRule="auto"/>
        <w:rPr>
          <w:rFonts w:ascii="宋体" w:hAnsi="宋体"/>
          <w:b w:val="0"/>
          <w:snapToGrid w:val="0"/>
          <w:color w:val="auto"/>
          <w:sz w:val="24"/>
          <w:szCs w:val="24"/>
          <w:highlight w:val="none"/>
        </w:rPr>
      </w:pPr>
      <w:bookmarkStart w:id="151" w:name="_Toc57905834"/>
      <w:bookmarkStart w:id="152" w:name="_Toc430530439"/>
      <w:bookmarkStart w:id="153" w:name="_Toc277082556"/>
      <w:bookmarkStart w:id="154" w:name="_Toc224103321"/>
      <w:bookmarkStart w:id="155" w:name="_Toc287620689"/>
      <w:bookmarkStart w:id="156" w:name="_Toc11246"/>
      <w:bookmarkStart w:id="157" w:name="_Toc509218714"/>
      <w:bookmarkStart w:id="158" w:name="_Toc287607750"/>
      <w:bookmarkStart w:id="159" w:name="_Toc200513130"/>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适用于已进行资格预审的</w:t>
      </w:r>
      <w:r>
        <w:rPr>
          <w:rFonts w:ascii="宋体" w:hAnsi="宋体"/>
          <w:b w:val="0"/>
          <w:snapToGrid w:val="0"/>
          <w:color w:val="auto"/>
          <w:sz w:val="24"/>
          <w:szCs w:val="24"/>
          <w:highlight w:val="none"/>
        </w:rPr>
        <w:t>）</w:t>
      </w:r>
      <w:bookmarkEnd w:id="151"/>
      <w:bookmarkEnd w:id="152"/>
      <w:bookmarkEnd w:id="153"/>
      <w:bookmarkEnd w:id="154"/>
      <w:bookmarkEnd w:id="155"/>
      <w:bookmarkEnd w:id="156"/>
      <w:bookmarkEnd w:id="157"/>
      <w:bookmarkEnd w:id="158"/>
      <w:bookmarkEnd w:id="159"/>
    </w:p>
    <w:p w14:paraId="76B1ABB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应是收到</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发出投标邀请书的单位。</w:t>
      </w:r>
    </w:p>
    <w:p w14:paraId="332AFF79">
      <w:pPr>
        <w:pStyle w:val="4"/>
        <w:snapToGrid w:val="0"/>
        <w:spacing w:before="0" w:after="0" w:line="360" w:lineRule="auto"/>
        <w:rPr>
          <w:rFonts w:ascii="宋体" w:hAnsi="宋体"/>
          <w:b w:val="0"/>
          <w:snapToGrid w:val="0"/>
          <w:color w:val="auto"/>
          <w:sz w:val="24"/>
          <w:szCs w:val="24"/>
          <w:highlight w:val="none"/>
        </w:rPr>
      </w:pPr>
      <w:bookmarkStart w:id="160" w:name="_Toc509218715"/>
      <w:bookmarkStart w:id="161" w:name="_Toc430530440"/>
      <w:bookmarkStart w:id="162" w:name="_Toc57905835"/>
      <w:bookmarkStart w:id="163" w:name="_Toc277082557"/>
      <w:bookmarkStart w:id="164" w:name="_Toc224103322"/>
      <w:bookmarkStart w:id="165" w:name="_Toc287620690"/>
      <w:bookmarkStart w:id="166" w:name="_Toc1894"/>
      <w:bookmarkStart w:id="167" w:name="_Toc287607751"/>
      <w:bookmarkStart w:id="168" w:name="_Toc200513131"/>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60"/>
      <w:bookmarkEnd w:id="161"/>
      <w:bookmarkEnd w:id="162"/>
      <w:bookmarkEnd w:id="163"/>
      <w:bookmarkEnd w:id="164"/>
      <w:bookmarkEnd w:id="165"/>
      <w:bookmarkEnd w:id="166"/>
      <w:bookmarkEnd w:id="167"/>
      <w:bookmarkEnd w:id="168"/>
    </w:p>
    <w:p w14:paraId="15933DF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应具备承担本标段施工的资质条件、能力和信誉。</w:t>
      </w:r>
    </w:p>
    <w:p w14:paraId="330BB37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7E0941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EF4C83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A0C596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63E59A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）其他要求：见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5AE8A0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须知前附表的要求外，还应遵守以下规定：</w:t>
      </w:r>
    </w:p>
    <w:p w14:paraId="55C96F52">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提供的格式签订联合体协议书，明确联合体牵头人和各方权利义务；</w:t>
      </w:r>
    </w:p>
    <w:p w14:paraId="75E9F1E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6589D41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4B091CD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不得存在下列情形之一：</w:t>
      </w:r>
    </w:p>
    <w:p w14:paraId="79E8985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rPr>
        <w:t>比选人</w:t>
      </w:r>
      <w:r>
        <w:rPr>
          <w:rFonts w:ascii="宋体" w:hAnsi="宋体"/>
          <w:snapToGrid w:val="0"/>
          <w:color w:val="auto"/>
          <w:kern w:val="0"/>
          <w:position w:val="-2"/>
          <w:szCs w:val="21"/>
          <w:highlight w:val="none"/>
        </w:rPr>
        <w:t>存在利害关系可能影响招标公正性的法人、其他组织或者个人；</w:t>
      </w:r>
    </w:p>
    <w:p w14:paraId="2EBA543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2FA5762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57CD366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47F6EB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5888934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同为一个法定代表人的；</w:t>
      </w:r>
    </w:p>
    <w:p w14:paraId="246A2A1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rPr>
        <w:t>比选代理机构存在</w:t>
      </w:r>
      <w:r>
        <w:rPr>
          <w:rFonts w:ascii="宋体" w:hAnsi="宋体"/>
          <w:snapToGrid w:val="0"/>
          <w:color w:val="auto"/>
          <w:kern w:val="0"/>
          <w:szCs w:val="21"/>
          <w:highlight w:val="none"/>
        </w:rPr>
        <w:t>控股或参股的；</w:t>
      </w:r>
    </w:p>
    <w:p w14:paraId="0347CE7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相互任职或工作的；</w:t>
      </w:r>
    </w:p>
    <w:p w14:paraId="22303F0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12DB9762">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0CD7777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5835B7C9">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56D51346">
      <w:pPr>
        <w:pStyle w:val="4"/>
        <w:snapToGrid w:val="0"/>
        <w:spacing w:before="0" w:after="0" w:line="360" w:lineRule="auto"/>
        <w:rPr>
          <w:rFonts w:ascii="宋体" w:hAnsi="宋体"/>
          <w:b w:val="0"/>
          <w:snapToGrid w:val="0"/>
          <w:color w:val="auto"/>
          <w:sz w:val="24"/>
          <w:szCs w:val="24"/>
          <w:highlight w:val="none"/>
        </w:rPr>
      </w:pPr>
      <w:bookmarkStart w:id="169" w:name="_Toc287620691"/>
      <w:bookmarkStart w:id="170" w:name="_Toc20662"/>
      <w:bookmarkStart w:id="171" w:name="_Toc287607752"/>
      <w:bookmarkStart w:id="172" w:name="_Toc430530441"/>
      <w:bookmarkStart w:id="173" w:name="_Toc277082558"/>
      <w:bookmarkStart w:id="174" w:name="_Toc57905836"/>
      <w:bookmarkStart w:id="175" w:name="_Toc200513132"/>
      <w:bookmarkStart w:id="176" w:name="_Toc509218716"/>
      <w:bookmarkStart w:id="177" w:name="_Toc224103323"/>
      <w:r>
        <w:rPr>
          <w:rFonts w:ascii="宋体" w:hAnsi="宋体"/>
          <w:b w:val="0"/>
          <w:snapToGrid w:val="0"/>
          <w:color w:val="auto"/>
          <w:sz w:val="24"/>
          <w:szCs w:val="24"/>
          <w:highlight w:val="none"/>
        </w:rPr>
        <w:t>1.5  费用承担</w:t>
      </w:r>
      <w:bookmarkEnd w:id="169"/>
      <w:bookmarkEnd w:id="170"/>
      <w:bookmarkEnd w:id="171"/>
      <w:bookmarkEnd w:id="172"/>
      <w:bookmarkEnd w:id="173"/>
      <w:bookmarkEnd w:id="174"/>
      <w:bookmarkEnd w:id="175"/>
      <w:bookmarkEnd w:id="176"/>
      <w:bookmarkEnd w:id="177"/>
    </w:p>
    <w:p w14:paraId="10C6CD4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准备和参加投标活动发生的费用自理。</w:t>
      </w:r>
    </w:p>
    <w:p w14:paraId="77CB824B">
      <w:pPr>
        <w:pStyle w:val="4"/>
        <w:snapToGrid w:val="0"/>
        <w:spacing w:before="0" w:after="0" w:line="360" w:lineRule="auto"/>
        <w:rPr>
          <w:rFonts w:ascii="宋体" w:hAnsi="宋体"/>
          <w:b w:val="0"/>
          <w:snapToGrid w:val="0"/>
          <w:color w:val="auto"/>
          <w:sz w:val="24"/>
          <w:szCs w:val="24"/>
          <w:highlight w:val="none"/>
        </w:rPr>
      </w:pPr>
      <w:bookmarkStart w:id="178" w:name="_Toc287607753"/>
      <w:bookmarkStart w:id="179" w:name="_Toc26130"/>
      <w:bookmarkStart w:id="180" w:name="_Toc509218717"/>
      <w:bookmarkStart w:id="181" w:name="_Toc200513133"/>
      <w:bookmarkStart w:id="182" w:name="_Toc430530442"/>
      <w:bookmarkStart w:id="183" w:name="_Toc287620692"/>
      <w:bookmarkStart w:id="184" w:name="_Toc57905837"/>
      <w:bookmarkStart w:id="185" w:name="_Toc224103324"/>
      <w:bookmarkStart w:id="186" w:name="_Toc277082559"/>
      <w:r>
        <w:rPr>
          <w:rFonts w:ascii="宋体" w:hAnsi="宋体"/>
          <w:b w:val="0"/>
          <w:snapToGrid w:val="0"/>
          <w:color w:val="auto"/>
          <w:sz w:val="24"/>
          <w:szCs w:val="24"/>
          <w:highlight w:val="none"/>
        </w:rPr>
        <w:t>1.6  保密</w:t>
      </w:r>
      <w:bookmarkEnd w:id="178"/>
      <w:bookmarkEnd w:id="179"/>
      <w:bookmarkEnd w:id="180"/>
      <w:bookmarkEnd w:id="181"/>
      <w:bookmarkEnd w:id="182"/>
      <w:bookmarkEnd w:id="183"/>
      <w:bookmarkEnd w:id="184"/>
      <w:bookmarkEnd w:id="185"/>
      <w:bookmarkEnd w:id="186"/>
    </w:p>
    <w:p w14:paraId="54B690E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中的商业和技术等秘密保密，违者应对由此造成的后果承担法律责任。</w:t>
      </w:r>
    </w:p>
    <w:p w14:paraId="19C71AE6">
      <w:pPr>
        <w:pStyle w:val="4"/>
        <w:snapToGrid w:val="0"/>
        <w:spacing w:before="0" w:after="0" w:line="360" w:lineRule="auto"/>
        <w:rPr>
          <w:rFonts w:ascii="宋体" w:hAnsi="宋体"/>
          <w:b w:val="0"/>
          <w:snapToGrid w:val="0"/>
          <w:color w:val="auto"/>
          <w:sz w:val="24"/>
          <w:szCs w:val="24"/>
          <w:highlight w:val="none"/>
        </w:rPr>
      </w:pPr>
      <w:bookmarkStart w:id="187" w:name="_Toc277082560"/>
      <w:bookmarkStart w:id="188" w:name="_Toc200513134"/>
      <w:bookmarkStart w:id="189" w:name="_Toc287620693"/>
      <w:bookmarkStart w:id="190" w:name="_Toc1222"/>
      <w:bookmarkStart w:id="191" w:name="_Toc430530443"/>
      <w:bookmarkStart w:id="192" w:name="_Toc224103325"/>
      <w:bookmarkStart w:id="193" w:name="_Toc287607754"/>
      <w:bookmarkStart w:id="194" w:name="_Toc57905838"/>
      <w:bookmarkStart w:id="195" w:name="_Toc509218718"/>
      <w:r>
        <w:rPr>
          <w:rFonts w:ascii="宋体" w:hAnsi="宋体"/>
          <w:b w:val="0"/>
          <w:snapToGrid w:val="0"/>
          <w:color w:val="auto"/>
          <w:sz w:val="24"/>
          <w:szCs w:val="24"/>
          <w:highlight w:val="none"/>
        </w:rPr>
        <w:t>1.7  语言文字</w:t>
      </w:r>
      <w:bookmarkEnd w:id="187"/>
      <w:bookmarkEnd w:id="188"/>
      <w:bookmarkEnd w:id="189"/>
      <w:bookmarkEnd w:id="190"/>
      <w:bookmarkEnd w:id="191"/>
      <w:bookmarkEnd w:id="192"/>
      <w:bookmarkEnd w:id="193"/>
      <w:bookmarkEnd w:id="194"/>
      <w:bookmarkEnd w:id="195"/>
    </w:p>
    <w:p w14:paraId="13E61AB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282C7DB4">
      <w:pPr>
        <w:pStyle w:val="4"/>
        <w:snapToGrid w:val="0"/>
        <w:spacing w:before="0" w:after="0" w:line="360" w:lineRule="auto"/>
        <w:rPr>
          <w:rFonts w:ascii="宋体" w:hAnsi="宋体"/>
          <w:b w:val="0"/>
          <w:snapToGrid w:val="0"/>
          <w:color w:val="auto"/>
          <w:sz w:val="24"/>
          <w:szCs w:val="24"/>
          <w:highlight w:val="none"/>
        </w:rPr>
      </w:pPr>
      <w:bookmarkStart w:id="196" w:name="_Toc287607755"/>
      <w:bookmarkStart w:id="197" w:name="_Toc200513135"/>
      <w:bookmarkStart w:id="198" w:name="_Toc57905839"/>
      <w:bookmarkStart w:id="199" w:name="_Toc277082561"/>
      <w:bookmarkStart w:id="200" w:name="_Toc287620694"/>
      <w:bookmarkStart w:id="201" w:name="_Toc224103326"/>
      <w:bookmarkStart w:id="202" w:name="_Toc509218719"/>
      <w:bookmarkStart w:id="203" w:name="_Toc13374"/>
      <w:bookmarkStart w:id="204" w:name="_Toc430530444"/>
      <w:r>
        <w:rPr>
          <w:rFonts w:ascii="宋体" w:hAnsi="宋体"/>
          <w:b w:val="0"/>
          <w:snapToGrid w:val="0"/>
          <w:color w:val="auto"/>
          <w:sz w:val="24"/>
          <w:szCs w:val="24"/>
          <w:highlight w:val="none"/>
        </w:rPr>
        <w:t>1.8  计量单位</w:t>
      </w:r>
      <w:bookmarkEnd w:id="196"/>
      <w:bookmarkEnd w:id="197"/>
      <w:bookmarkEnd w:id="198"/>
      <w:bookmarkEnd w:id="199"/>
      <w:bookmarkEnd w:id="200"/>
      <w:bookmarkEnd w:id="201"/>
      <w:bookmarkEnd w:id="202"/>
      <w:bookmarkEnd w:id="203"/>
      <w:bookmarkEnd w:id="204"/>
    </w:p>
    <w:p w14:paraId="73D1198C">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6D16BB45">
      <w:pPr>
        <w:pStyle w:val="4"/>
        <w:snapToGrid w:val="0"/>
        <w:spacing w:before="0" w:after="0" w:line="360" w:lineRule="auto"/>
        <w:rPr>
          <w:rFonts w:ascii="宋体" w:hAnsi="宋体"/>
          <w:b w:val="0"/>
          <w:snapToGrid w:val="0"/>
          <w:color w:val="auto"/>
          <w:sz w:val="24"/>
          <w:szCs w:val="24"/>
          <w:highlight w:val="none"/>
        </w:rPr>
      </w:pPr>
      <w:bookmarkStart w:id="205" w:name="_Toc224103327"/>
      <w:bookmarkStart w:id="206" w:name="_Toc509218720"/>
      <w:bookmarkStart w:id="207" w:name="_Toc57905840"/>
      <w:bookmarkStart w:id="208" w:name="_Toc200513136"/>
      <w:bookmarkStart w:id="209" w:name="_Toc287620695"/>
      <w:bookmarkStart w:id="210" w:name="_Toc287607756"/>
      <w:bookmarkStart w:id="211" w:name="_Toc19275"/>
      <w:bookmarkStart w:id="212" w:name="_Toc430530445"/>
      <w:bookmarkStart w:id="213" w:name="_Toc277082562"/>
      <w:r>
        <w:rPr>
          <w:rFonts w:ascii="宋体" w:hAnsi="宋体"/>
          <w:b w:val="0"/>
          <w:snapToGrid w:val="0"/>
          <w:color w:val="auto"/>
          <w:sz w:val="24"/>
          <w:szCs w:val="24"/>
          <w:highlight w:val="none"/>
        </w:rPr>
        <w:t>1.9  踏勘现场</w:t>
      </w:r>
      <w:bookmarkEnd w:id="205"/>
      <w:bookmarkEnd w:id="206"/>
      <w:bookmarkEnd w:id="207"/>
      <w:bookmarkEnd w:id="208"/>
      <w:bookmarkEnd w:id="209"/>
      <w:bookmarkEnd w:id="210"/>
      <w:bookmarkEnd w:id="211"/>
      <w:bookmarkEnd w:id="212"/>
      <w:bookmarkEnd w:id="213"/>
    </w:p>
    <w:p w14:paraId="518B9D1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踏勘项目现场。</w:t>
      </w:r>
    </w:p>
    <w:p w14:paraId="5BBEB7E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踏勘现场发生的费用自理。</w:t>
      </w:r>
    </w:p>
    <w:p w14:paraId="0EB329A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自行负责在踏勘现场中所发生的人员伤亡和财产损失。</w:t>
      </w:r>
    </w:p>
    <w:p w14:paraId="06C05BB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在踏勘现场中介绍的工程场地和相关的周边环境情况，供</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据此做出的判断和决策负责。</w:t>
      </w:r>
    </w:p>
    <w:p w14:paraId="5526B735">
      <w:pPr>
        <w:pStyle w:val="4"/>
        <w:snapToGrid w:val="0"/>
        <w:spacing w:before="0" w:after="0" w:line="360" w:lineRule="auto"/>
        <w:rPr>
          <w:rFonts w:ascii="宋体" w:hAnsi="宋体"/>
          <w:b w:val="0"/>
          <w:snapToGrid w:val="0"/>
          <w:color w:val="auto"/>
          <w:sz w:val="24"/>
          <w:szCs w:val="24"/>
          <w:highlight w:val="none"/>
        </w:rPr>
      </w:pPr>
      <w:bookmarkStart w:id="214" w:name="_Toc287607757"/>
      <w:bookmarkStart w:id="215" w:name="_Toc509218721"/>
      <w:bookmarkStart w:id="216" w:name="_Toc57905841"/>
      <w:bookmarkStart w:id="217" w:name="_Toc200513137"/>
      <w:bookmarkStart w:id="218" w:name="_Toc224103328"/>
      <w:bookmarkStart w:id="219" w:name="_Toc430530446"/>
      <w:bookmarkStart w:id="220" w:name="_Toc277082563"/>
      <w:bookmarkStart w:id="221" w:name="_Toc32057"/>
      <w:bookmarkStart w:id="222" w:name="_Toc287620696"/>
      <w:r>
        <w:rPr>
          <w:rFonts w:ascii="宋体" w:hAnsi="宋体"/>
          <w:b w:val="0"/>
          <w:snapToGrid w:val="0"/>
          <w:color w:val="auto"/>
          <w:sz w:val="24"/>
          <w:szCs w:val="24"/>
          <w:highlight w:val="none"/>
        </w:rPr>
        <w:t>1.10  投标预备会</w:t>
      </w:r>
      <w:bookmarkEnd w:id="214"/>
      <w:bookmarkEnd w:id="215"/>
      <w:bookmarkEnd w:id="216"/>
      <w:bookmarkEnd w:id="217"/>
      <w:bookmarkEnd w:id="218"/>
      <w:bookmarkEnd w:id="219"/>
      <w:bookmarkEnd w:id="220"/>
      <w:bookmarkEnd w:id="221"/>
      <w:bookmarkEnd w:id="222"/>
    </w:p>
    <w:p w14:paraId="753ABAB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提出的问题。</w:t>
      </w:r>
    </w:p>
    <w:p w14:paraId="3942904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澄清。</w:t>
      </w:r>
    </w:p>
    <w:p w14:paraId="4244187F">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须知前附表规定的时间内，将对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rPr>
        <w:t>竞选文件</w:t>
      </w:r>
      <w:r>
        <w:rPr>
          <w:rFonts w:ascii="宋体" w:hAnsi="宋体"/>
          <w:snapToGrid w:val="0"/>
          <w:color w:val="auto"/>
          <w:kern w:val="0"/>
          <w:position w:val="-2"/>
          <w:szCs w:val="21"/>
          <w:highlight w:val="none"/>
        </w:rPr>
        <w:t>的组成部分。</w:t>
      </w:r>
    </w:p>
    <w:p w14:paraId="13AE0818">
      <w:pPr>
        <w:pStyle w:val="4"/>
        <w:snapToGrid w:val="0"/>
        <w:spacing w:before="0" w:after="0" w:line="360" w:lineRule="auto"/>
        <w:rPr>
          <w:rFonts w:ascii="宋体" w:hAnsi="宋体"/>
          <w:b w:val="0"/>
          <w:snapToGrid w:val="0"/>
          <w:color w:val="auto"/>
          <w:sz w:val="24"/>
          <w:szCs w:val="24"/>
          <w:highlight w:val="none"/>
        </w:rPr>
      </w:pPr>
      <w:bookmarkStart w:id="223" w:name="_Toc224103329"/>
      <w:bookmarkStart w:id="224" w:name="_Toc430530447"/>
      <w:bookmarkStart w:id="225" w:name="_Toc287620697"/>
      <w:bookmarkStart w:id="226" w:name="_Toc509218722"/>
      <w:bookmarkStart w:id="227" w:name="_Toc200513138"/>
      <w:bookmarkStart w:id="228" w:name="_Toc57905842"/>
      <w:bookmarkStart w:id="229" w:name="_Toc287607758"/>
      <w:bookmarkStart w:id="230" w:name="_Toc3036"/>
      <w:bookmarkStart w:id="231" w:name="_Toc277082564"/>
      <w:r>
        <w:rPr>
          <w:rFonts w:ascii="宋体" w:hAnsi="宋体"/>
          <w:b w:val="0"/>
          <w:snapToGrid w:val="0"/>
          <w:color w:val="auto"/>
          <w:sz w:val="24"/>
          <w:szCs w:val="24"/>
          <w:highlight w:val="none"/>
        </w:rPr>
        <w:t>1.11  分包</w:t>
      </w:r>
      <w:bookmarkEnd w:id="223"/>
      <w:bookmarkEnd w:id="224"/>
      <w:bookmarkEnd w:id="225"/>
      <w:bookmarkEnd w:id="226"/>
      <w:bookmarkEnd w:id="227"/>
      <w:bookmarkEnd w:id="228"/>
      <w:bookmarkEnd w:id="229"/>
      <w:bookmarkEnd w:id="230"/>
      <w:bookmarkEnd w:id="231"/>
    </w:p>
    <w:p w14:paraId="361E7217">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拟在中标后将中标项目的部分非主体、非关键性工作进行分包的，应符合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须知前附表规定的分包内容、分包金额和接受分包的第三人资质要求等限制性条件。</w:t>
      </w:r>
    </w:p>
    <w:p w14:paraId="588A3AF3">
      <w:pPr>
        <w:pStyle w:val="4"/>
        <w:snapToGrid w:val="0"/>
        <w:spacing w:before="0" w:after="0" w:line="360" w:lineRule="auto"/>
        <w:rPr>
          <w:rFonts w:ascii="宋体" w:hAnsi="宋体"/>
          <w:b w:val="0"/>
          <w:snapToGrid w:val="0"/>
          <w:color w:val="auto"/>
          <w:sz w:val="24"/>
          <w:szCs w:val="24"/>
          <w:highlight w:val="none"/>
        </w:rPr>
      </w:pPr>
      <w:bookmarkStart w:id="232" w:name="_Toc287607759"/>
      <w:bookmarkStart w:id="233" w:name="_Toc5536"/>
      <w:bookmarkStart w:id="234" w:name="_Toc200513139"/>
      <w:bookmarkStart w:id="235" w:name="_Toc430530448"/>
      <w:bookmarkStart w:id="236" w:name="_Toc57905843"/>
      <w:bookmarkStart w:id="237" w:name="_Toc277082565"/>
      <w:bookmarkStart w:id="238" w:name="_Toc287620698"/>
      <w:bookmarkStart w:id="239" w:name="_Toc224103330"/>
      <w:bookmarkStart w:id="240" w:name="_Toc509218723"/>
      <w:r>
        <w:rPr>
          <w:rFonts w:ascii="宋体" w:hAnsi="宋体"/>
          <w:b w:val="0"/>
          <w:snapToGrid w:val="0"/>
          <w:color w:val="auto"/>
          <w:sz w:val="24"/>
          <w:szCs w:val="24"/>
          <w:highlight w:val="none"/>
        </w:rPr>
        <w:t>1.12  偏离</w:t>
      </w:r>
      <w:bookmarkEnd w:id="232"/>
      <w:bookmarkEnd w:id="233"/>
      <w:bookmarkEnd w:id="234"/>
      <w:bookmarkEnd w:id="235"/>
      <w:bookmarkEnd w:id="236"/>
      <w:bookmarkEnd w:id="237"/>
      <w:bookmarkEnd w:id="238"/>
      <w:bookmarkEnd w:id="239"/>
      <w:bookmarkEnd w:id="240"/>
    </w:p>
    <w:p w14:paraId="1B76D9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规定 的偏离范围和幅度。</w:t>
      </w:r>
    </w:p>
    <w:p w14:paraId="425F6860">
      <w:pPr>
        <w:pStyle w:val="3"/>
        <w:spacing w:before="0" w:after="0" w:line="360" w:lineRule="auto"/>
        <w:rPr>
          <w:rFonts w:ascii="宋体" w:hAnsi="宋体"/>
          <w:b w:val="0"/>
          <w:snapToGrid w:val="0"/>
          <w:color w:val="auto"/>
          <w:highlight w:val="none"/>
        </w:rPr>
      </w:pPr>
      <w:bookmarkStart w:id="241" w:name="_Toc277082566"/>
      <w:bookmarkStart w:id="242" w:name="_Toc57905844"/>
      <w:bookmarkStart w:id="243" w:name="_Toc287607760"/>
      <w:bookmarkStart w:id="244" w:name="_Toc509218724"/>
      <w:bookmarkStart w:id="245" w:name="_Toc430530449"/>
      <w:bookmarkStart w:id="246" w:name="_Toc287620699"/>
      <w:bookmarkStart w:id="247" w:name="_Toc200513140"/>
      <w:bookmarkStart w:id="248" w:name="_Toc224103331"/>
      <w:bookmarkStart w:id="249" w:name="_Toc11902"/>
      <w:r>
        <w:rPr>
          <w:rFonts w:ascii="宋体" w:hAnsi="宋体"/>
          <w:b w:val="0"/>
          <w:snapToGrid w:val="0"/>
          <w:color w:val="auto"/>
          <w:highlight w:val="none"/>
        </w:rPr>
        <w:t xml:space="preserve">2.  </w:t>
      </w:r>
      <w:bookmarkEnd w:id="241"/>
      <w:bookmarkEnd w:id="242"/>
      <w:bookmarkEnd w:id="243"/>
      <w:bookmarkEnd w:id="244"/>
      <w:bookmarkEnd w:id="245"/>
      <w:bookmarkEnd w:id="246"/>
      <w:bookmarkEnd w:id="247"/>
      <w:bookmarkEnd w:id="248"/>
      <w:bookmarkEnd w:id="249"/>
      <w:r>
        <w:rPr>
          <w:rFonts w:hint="eastAsia" w:ascii="宋体" w:hAnsi="宋体"/>
          <w:b w:val="0"/>
          <w:snapToGrid w:val="0"/>
          <w:color w:val="auto"/>
          <w:highlight w:val="none"/>
        </w:rPr>
        <w:t>竞选文件</w:t>
      </w:r>
    </w:p>
    <w:p w14:paraId="1913D8EF">
      <w:pPr>
        <w:pStyle w:val="4"/>
        <w:snapToGrid w:val="0"/>
        <w:spacing w:before="0" w:after="0" w:line="360" w:lineRule="auto"/>
        <w:rPr>
          <w:rFonts w:ascii="宋体" w:hAnsi="宋体"/>
          <w:b w:val="0"/>
          <w:snapToGrid w:val="0"/>
          <w:color w:val="auto"/>
          <w:sz w:val="24"/>
          <w:szCs w:val="24"/>
          <w:highlight w:val="none"/>
        </w:rPr>
      </w:pPr>
      <w:bookmarkStart w:id="250" w:name="_Toc287607761"/>
      <w:bookmarkStart w:id="251" w:name="_Toc57905845"/>
      <w:bookmarkStart w:id="252" w:name="_Toc200513141"/>
      <w:bookmarkStart w:id="253" w:name="_Toc430530450"/>
      <w:bookmarkStart w:id="254" w:name="_Toc224103332"/>
      <w:bookmarkStart w:id="255" w:name="_Toc31696"/>
      <w:bookmarkStart w:id="256" w:name="_Toc277082567"/>
      <w:bookmarkStart w:id="257" w:name="_Toc509218725"/>
      <w:bookmarkStart w:id="258" w:name="_Toc287620700"/>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50"/>
      <w:bookmarkEnd w:id="251"/>
      <w:bookmarkEnd w:id="252"/>
      <w:bookmarkEnd w:id="253"/>
      <w:bookmarkEnd w:id="254"/>
      <w:bookmarkEnd w:id="255"/>
      <w:bookmarkEnd w:id="256"/>
      <w:bookmarkEnd w:id="257"/>
      <w:bookmarkEnd w:id="258"/>
    </w:p>
    <w:p w14:paraId="1F5AA04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包括：</w:t>
      </w:r>
    </w:p>
    <w:p w14:paraId="13E6BA6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14:paraId="756A61C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w:t>
      </w:r>
    </w:p>
    <w:p w14:paraId="4224CB6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4763562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4811676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1B87466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3C60FCC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2B212C2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w:t>
      </w:r>
    </w:p>
    <w:p w14:paraId="0DFA92A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须知前附表规定的其他材料。</w:t>
      </w:r>
    </w:p>
    <w:p w14:paraId="7A784C3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w:t>
      </w:r>
    </w:p>
    <w:p w14:paraId="107E1C7E">
      <w:pPr>
        <w:pStyle w:val="4"/>
        <w:snapToGrid w:val="0"/>
        <w:spacing w:before="0" w:after="0" w:line="360" w:lineRule="auto"/>
        <w:rPr>
          <w:rFonts w:ascii="宋体" w:hAnsi="宋体"/>
          <w:b w:val="0"/>
          <w:snapToGrid w:val="0"/>
          <w:color w:val="auto"/>
          <w:sz w:val="24"/>
          <w:szCs w:val="24"/>
          <w:highlight w:val="none"/>
        </w:rPr>
      </w:pPr>
      <w:bookmarkStart w:id="259" w:name="_Toc57905846"/>
      <w:bookmarkStart w:id="260" w:name="_Toc430530451"/>
      <w:bookmarkStart w:id="261" w:name="_Toc23750"/>
      <w:bookmarkStart w:id="262" w:name="_Toc50921872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w:t>
      </w:r>
      <w:bookmarkEnd w:id="259"/>
      <w:bookmarkEnd w:id="260"/>
      <w:bookmarkEnd w:id="261"/>
      <w:bookmarkEnd w:id="262"/>
    </w:p>
    <w:p w14:paraId="3D5DDFD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提出，以便补齐。如有疑问，应在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予以澄清。</w:t>
      </w:r>
    </w:p>
    <w:p w14:paraId="3419BB2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的澄清将在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w:t>
      </w:r>
      <w:r>
        <w:rPr>
          <w:rFonts w:ascii="宋体" w:hAnsi="宋体"/>
          <w:color w:val="auto"/>
          <w:kern w:val="0"/>
          <w:szCs w:val="21"/>
          <w:highlight w:val="none"/>
        </w:rPr>
        <w:t>在</w:t>
      </w:r>
      <w:r>
        <w:rPr>
          <w:rFonts w:hint="eastAsia" w:ascii="宋体" w:hAnsi="宋体"/>
          <w:color w:val="auto"/>
          <w:kern w:val="0"/>
          <w:szCs w:val="21"/>
          <w:highlight w:val="none"/>
        </w:rPr>
        <w:t>相应网站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w:t>
      </w:r>
    </w:p>
    <w:p w14:paraId="6748047F">
      <w:pPr>
        <w:pStyle w:val="4"/>
        <w:snapToGrid w:val="0"/>
        <w:spacing w:before="0" w:after="0" w:line="360" w:lineRule="auto"/>
        <w:rPr>
          <w:rFonts w:ascii="宋体" w:hAnsi="宋体"/>
          <w:b w:val="0"/>
          <w:snapToGrid w:val="0"/>
          <w:color w:val="auto"/>
          <w:sz w:val="24"/>
          <w:szCs w:val="24"/>
          <w:highlight w:val="none"/>
        </w:rPr>
      </w:pPr>
      <w:bookmarkStart w:id="263" w:name="_Toc224103334"/>
      <w:bookmarkStart w:id="264" w:name="_Toc287607763"/>
      <w:bookmarkStart w:id="265" w:name="_Toc277082569"/>
      <w:bookmarkStart w:id="266" w:name="_Toc287620702"/>
      <w:bookmarkStart w:id="267" w:name="_Toc57905847"/>
      <w:bookmarkStart w:id="268" w:name="_Toc200513143"/>
      <w:bookmarkStart w:id="269" w:name="_Toc509218727"/>
      <w:bookmarkStart w:id="270" w:name="_Toc27922"/>
      <w:bookmarkStart w:id="271" w:name="_Toc43053045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w:t>
      </w:r>
      <w:bookmarkEnd w:id="263"/>
      <w:bookmarkEnd w:id="264"/>
      <w:bookmarkEnd w:id="265"/>
      <w:bookmarkEnd w:id="266"/>
      <w:bookmarkEnd w:id="267"/>
      <w:bookmarkEnd w:id="268"/>
      <w:bookmarkEnd w:id="269"/>
      <w:bookmarkEnd w:id="270"/>
      <w:bookmarkEnd w:id="271"/>
    </w:p>
    <w:p w14:paraId="1C2CE9A4">
      <w:pPr>
        <w:autoSpaceDE w:val="0"/>
        <w:autoSpaceDN w:val="0"/>
        <w:adjustRightInd w:val="0"/>
        <w:snapToGrid w:val="0"/>
        <w:spacing w:line="360" w:lineRule="auto"/>
        <w:ind w:firstLine="420"/>
        <w:rPr>
          <w:rFonts w:ascii="宋体" w:hAnsi="宋体"/>
          <w:snapToGrid w:val="0"/>
          <w:color w:val="auto"/>
          <w:highlight w:val="none"/>
        </w:rPr>
      </w:pPr>
      <w:bookmarkStart w:id="272" w:name="_Toc224103335"/>
      <w:bookmarkStart w:id="273" w:name="_Toc287620703"/>
      <w:bookmarkStart w:id="274" w:name="_Toc277082570"/>
      <w:bookmarkStart w:id="275" w:name="_Toc287607764"/>
      <w:bookmarkStart w:id="276" w:name="_Toc200513144"/>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款竞选文件</w:t>
      </w:r>
      <w:r>
        <w:rPr>
          <w:rFonts w:ascii="宋体" w:hAnsi="宋体"/>
          <w:snapToGrid w:val="0"/>
          <w:color w:val="auto"/>
          <w:highlight w:val="none"/>
        </w:rPr>
        <w:t>的澄清相关内容及方式执行。</w:t>
      </w:r>
    </w:p>
    <w:p w14:paraId="4B11A2F6">
      <w:pPr>
        <w:pStyle w:val="3"/>
        <w:spacing w:before="0" w:after="0" w:line="360" w:lineRule="auto"/>
        <w:rPr>
          <w:rFonts w:ascii="宋体" w:hAnsi="宋体"/>
          <w:b w:val="0"/>
          <w:snapToGrid w:val="0"/>
          <w:color w:val="auto"/>
          <w:highlight w:val="none"/>
        </w:rPr>
      </w:pPr>
      <w:bookmarkStart w:id="277" w:name="_Toc14543"/>
      <w:bookmarkStart w:id="278" w:name="_Toc430530453"/>
      <w:bookmarkStart w:id="279" w:name="_Toc509218728"/>
      <w:bookmarkStart w:id="280" w:name="_Toc57905848"/>
      <w:r>
        <w:rPr>
          <w:rFonts w:ascii="宋体" w:hAnsi="宋体"/>
          <w:b w:val="0"/>
          <w:snapToGrid w:val="0"/>
          <w:color w:val="auto"/>
          <w:highlight w:val="none"/>
        </w:rPr>
        <w:t xml:space="preserve">3.  </w:t>
      </w:r>
      <w:bookmarkEnd w:id="272"/>
      <w:bookmarkEnd w:id="273"/>
      <w:bookmarkEnd w:id="274"/>
      <w:bookmarkEnd w:id="275"/>
      <w:bookmarkEnd w:id="276"/>
      <w:bookmarkEnd w:id="277"/>
      <w:bookmarkEnd w:id="278"/>
      <w:bookmarkEnd w:id="279"/>
      <w:bookmarkEnd w:id="280"/>
      <w:r>
        <w:rPr>
          <w:rFonts w:hint="eastAsia" w:ascii="宋体" w:hAnsi="宋体"/>
          <w:b w:val="0"/>
          <w:snapToGrid w:val="0"/>
          <w:color w:val="auto"/>
          <w:highlight w:val="none"/>
        </w:rPr>
        <w:t>竞选文件</w:t>
      </w:r>
    </w:p>
    <w:p w14:paraId="043D8F43">
      <w:pPr>
        <w:pStyle w:val="4"/>
        <w:snapToGrid w:val="0"/>
        <w:spacing w:before="0" w:after="0" w:line="360" w:lineRule="auto"/>
        <w:rPr>
          <w:rFonts w:ascii="宋体" w:hAnsi="宋体"/>
          <w:b w:val="0"/>
          <w:snapToGrid w:val="0"/>
          <w:color w:val="auto"/>
          <w:sz w:val="24"/>
          <w:szCs w:val="24"/>
          <w:highlight w:val="none"/>
        </w:rPr>
      </w:pPr>
      <w:bookmarkStart w:id="281" w:name="_Toc287607765"/>
      <w:bookmarkStart w:id="282" w:name="_Toc287620704"/>
      <w:bookmarkStart w:id="283" w:name="_Toc509218729"/>
      <w:bookmarkStart w:id="284" w:name="_Toc8482"/>
      <w:bookmarkStart w:id="285" w:name="_Toc277082571"/>
      <w:bookmarkStart w:id="286" w:name="_Toc57905849"/>
      <w:bookmarkStart w:id="287" w:name="_Toc200513145"/>
      <w:bookmarkStart w:id="288" w:name="_Toc430530454"/>
      <w:bookmarkStart w:id="289" w:name="_Toc224103336"/>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81"/>
      <w:bookmarkEnd w:id="282"/>
      <w:bookmarkEnd w:id="283"/>
      <w:bookmarkEnd w:id="284"/>
      <w:bookmarkEnd w:id="285"/>
      <w:bookmarkEnd w:id="286"/>
      <w:bookmarkEnd w:id="287"/>
      <w:bookmarkEnd w:id="288"/>
      <w:bookmarkEnd w:id="289"/>
    </w:p>
    <w:p w14:paraId="2578AE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应包括下列内容：</w:t>
      </w:r>
    </w:p>
    <w:p w14:paraId="2E4DC53E">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14:paraId="2CCDA8A0">
      <w:pPr>
        <w:spacing w:line="360" w:lineRule="auto"/>
        <w:ind w:firstLine="420" w:firstLineChars="200"/>
        <w:rPr>
          <w:rFonts w:ascii="宋体" w:hAnsi="宋体"/>
          <w:color w:val="auto"/>
          <w:highlight w:val="none"/>
        </w:rPr>
      </w:pPr>
      <w:r>
        <w:rPr>
          <w:rFonts w:hint="eastAsia" w:ascii="宋体" w:hAnsi="宋体"/>
          <w:color w:val="auto"/>
          <w:highlight w:val="none"/>
        </w:rPr>
        <w:t>3.1.1.2经济部分</w:t>
      </w:r>
    </w:p>
    <w:p w14:paraId="3608BCE4">
      <w:pPr>
        <w:spacing w:line="360" w:lineRule="auto"/>
        <w:ind w:firstLine="420" w:firstLineChars="200"/>
        <w:rPr>
          <w:rFonts w:ascii="宋体" w:hAnsi="宋体"/>
          <w:color w:val="auto"/>
          <w:highlight w:val="none"/>
        </w:rPr>
      </w:pPr>
      <w:r>
        <w:rPr>
          <w:rFonts w:hint="eastAsia" w:ascii="宋体" w:hAnsi="宋体"/>
          <w:color w:val="auto"/>
          <w:highlight w:val="none"/>
        </w:rPr>
        <w:t>3.1.1.3技术部分</w:t>
      </w:r>
    </w:p>
    <w:p w14:paraId="41E337F7">
      <w:pPr>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14:paraId="162F801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不包括联合体协议书。</w:t>
      </w:r>
    </w:p>
    <w:p w14:paraId="7FB22791">
      <w:pPr>
        <w:pStyle w:val="4"/>
        <w:snapToGrid w:val="0"/>
        <w:spacing w:before="0" w:after="0" w:line="360" w:lineRule="auto"/>
        <w:rPr>
          <w:rFonts w:ascii="宋体" w:hAnsi="宋体"/>
          <w:b w:val="0"/>
          <w:snapToGrid w:val="0"/>
          <w:color w:val="auto"/>
          <w:sz w:val="24"/>
          <w:szCs w:val="24"/>
          <w:highlight w:val="none"/>
        </w:rPr>
      </w:pPr>
      <w:bookmarkStart w:id="290" w:name="_Toc224103337"/>
      <w:bookmarkStart w:id="291" w:name="_Toc11028"/>
      <w:bookmarkStart w:id="292" w:name="_Toc277082572"/>
      <w:bookmarkStart w:id="293" w:name="_Toc430530455"/>
      <w:bookmarkStart w:id="294" w:name="_Toc287620705"/>
      <w:bookmarkStart w:id="295" w:name="_Toc287607766"/>
      <w:bookmarkStart w:id="296" w:name="_Toc200513146"/>
      <w:bookmarkStart w:id="297" w:name="_Toc57905850"/>
      <w:bookmarkStart w:id="298" w:name="_Toc509218730"/>
      <w:r>
        <w:rPr>
          <w:rFonts w:ascii="宋体" w:hAnsi="宋体"/>
          <w:b w:val="0"/>
          <w:snapToGrid w:val="0"/>
          <w:color w:val="auto"/>
          <w:sz w:val="24"/>
          <w:szCs w:val="24"/>
          <w:highlight w:val="none"/>
        </w:rPr>
        <w:t>3.2  投标报价</w:t>
      </w:r>
      <w:bookmarkEnd w:id="290"/>
      <w:bookmarkEnd w:id="291"/>
      <w:bookmarkEnd w:id="292"/>
      <w:bookmarkEnd w:id="293"/>
      <w:bookmarkEnd w:id="294"/>
      <w:bookmarkEnd w:id="295"/>
      <w:bookmarkEnd w:id="296"/>
      <w:bookmarkEnd w:id="297"/>
      <w:bookmarkEnd w:id="298"/>
    </w:p>
    <w:p w14:paraId="7475256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应按第五章“工程量清单”的要求填写相应表格。</w:t>
      </w:r>
    </w:p>
    <w:p w14:paraId="55B807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竞选人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前修改投标函中的</w:t>
      </w:r>
      <w:r>
        <w:rPr>
          <w:rFonts w:hint="eastAsia" w:ascii="宋体" w:hAnsi="宋体"/>
          <w:snapToGrid w:val="0"/>
          <w:color w:val="auto"/>
          <w:kern w:val="0"/>
          <w:szCs w:val="21"/>
          <w:highlight w:val="none"/>
        </w:rPr>
        <w:t>竞选总报价</w:t>
      </w:r>
      <w:r>
        <w:rPr>
          <w:rFonts w:ascii="宋体" w:hAnsi="宋体"/>
          <w:snapToGrid w:val="0"/>
          <w:color w:val="auto"/>
          <w:kern w:val="0"/>
          <w:szCs w:val="21"/>
          <w:highlight w:val="none"/>
        </w:rPr>
        <w:t>，应同时修改第五章“工程量清单”中的相应报价。此修改须符合本章第 4.3 款的有关要求。</w:t>
      </w:r>
    </w:p>
    <w:p w14:paraId="3513AF7C">
      <w:pPr>
        <w:pStyle w:val="4"/>
        <w:snapToGrid w:val="0"/>
        <w:spacing w:before="0" w:after="0" w:line="360" w:lineRule="auto"/>
        <w:rPr>
          <w:rFonts w:ascii="宋体" w:hAnsi="宋体"/>
          <w:b w:val="0"/>
          <w:snapToGrid w:val="0"/>
          <w:color w:val="auto"/>
          <w:sz w:val="24"/>
          <w:szCs w:val="24"/>
          <w:highlight w:val="none"/>
        </w:rPr>
      </w:pPr>
      <w:bookmarkStart w:id="299" w:name="_Toc57905851"/>
      <w:bookmarkStart w:id="300" w:name="_Toc287620706"/>
      <w:bookmarkStart w:id="301" w:name="_Toc200513147"/>
      <w:bookmarkStart w:id="302" w:name="_Toc277082573"/>
      <w:bookmarkStart w:id="303" w:name="_Toc4304"/>
      <w:bookmarkStart w:id="304" w:name="_Toc509218731"/>
      <w:bookmarkStart w:id="305" w:name="_Toc430530456"/>
      <w:bookmarkStart w:id="306" w:name="_Toc224103338"/>
      <w:bookmarkStart w:id="307" w:name="_Toc287607767"/>
      <w:r>
        <w:rPr>
          <w:rFonts w:ascii="宋体" w:hAnsi="宋体"/>
          <w:b w:val="0"/>
          <w:snapToGrid w:val="0"/>
          <w:color w:val="auto"/>
          <w:sz w:val="24"/>
          <w:szCs w:val="24"/>
          <w:highlight w:val="none"/>
        </w:rPr>
        <w:t>3.3  投标有效期</w:t>
      </w:r>
      <w:bookmarkEnd w:id="299"/>
      <w:bookmarkEnd w:id="300"/>
      <w:bookmarkEnd w:id="301"/>
      <w:bookmarkEnd w:id="302"/>
      <w:bookmarkEnd w:id="303"/>
      <w:bookmarkEnd w:id="304"/>
      <w:bookmarkEnd w:id="305"/>
      <w:bookmarkEnd w:id="306"/>
      <w:bookmarkEnd w:id="307"/>
    </w:p>
    <w:p w14:paraId="3646550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须知前附表规定的投标有效期内，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不得要求撤销或修改其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1931D051">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投标有效期的，比选人以书面形式通知所有竞选人延长投标有效期。竞选人同意延长的，应相应延长其投标保证金的有效期，但不得要求或被允许修改或撤销其竞选文件；竞选人拒绝延长的，其投标失效，但竞选人有权收回其投标保证金。</w:t>
      </w:r>
    </w:p>
    <w:p w14:paraId="32214327">
      <w:pPr>
        <w:pStyle w:val="4"/>
        <w:keepNext w:val="0"/>
        <w:keepLines w:val="0"/>
        <w:snapToGrid w:val="0"/>
        <w:spacing w:before="0" w:after="0" w:line="360" w:lineRule="auto"/>
        <w:rPr>
          <w:rFonts w:ascii="宋体" w:hAnsi="宋体"/>
          <w:b w:val="0"/>
          <w:snapToGrid w:val="0"/>
          <w:color w:val="auto"/>
          <w:sz w:val="24"/>
          <w:szCs w:val="24"/>
          <w:highlight w:val="none"/>
        </w:rPr>
      </w:pPr>
      <w:bookmarkStart w:id="308" w:name="_Toc287620707"/>
      <w:bookmarkStart w:id="309" w:name="_Toc287607768"/>
      <w:bookmarkStart w:id="310" w:name="_Toc200513148"/>
      <w:bookmarkStart w:id="311" w:name="_Toc277082574"/>
      <w:bookmarkStart w:id="312" w:name="_Toc509218732"/>
      <w:bookmarkStart w:id="313" w:name="_Toc430530457"/>
      <w:bookmarkStart w:id="314" w:name="_Toc224103339"/>
      <w:bookmarkStart w:id="315" w:name="_Toc1366"/>
      <w:bookmarkStart w:id="316" w:name="_Toc57905852"/>
      <w:r>
        <w:rPr>
          <w:rFonts w:ascii="宋体" w:hAnsi="宋体"/>
          <w:b w:val="0"/>
          <w:snapToGrid w:val="0"/>
          <w:color w:val="auto"/>
          <w:sz w:val="24"/>
          <w:szCs w:val="24"/>
          <w:highlight w:val="none"/>
        </w:rPr>
        <w:t xml:space="preserve">3.4  </w:t>
      </w:r>
      <w:bookmarkEnd w:id="308"/>
      <w:bookmarkEnd w:id="309"/>
      <w:bookmarkEnd w:id="310"/>
      <w:bookmarkEnd w:id="311"/>
      <w:bookmarkEnd w:id="312"/>
      <w:bookmarkEnd w:id="313"/>
      <w:bookmarkEnd w:id="314"/>
      <w:r>
        <w:rPr>
          <w:rFonts w:ascii="宋体" w:hAnsi="宋体"/>
          <w:b w:val="0"/>
          <w:snapToGrid w:val="0"/>
          <w:color w:val="auto"/>
          <w:sz w:val="24"/>
          <w:szCs w:val="24"/>
          <w:highlight w:val="none"/>
        </w:rPr>
        <w:t>投标</w:t>
      </w:r>
      <w:bookmarkEnd w:id="315"/>
      <w:r>
        <w:rPr>
          <w:rFonts w:hint="eastAsia" w:ascii="宋体" w:hAnsi="宋体"/>
          <w:b w:val="0"/>
          <w:snapToGrid w:val="0"/>
          <w:color w:val="auto"/>
          <w:sz w:val="24"/>
          <w:szCs w:val="24"/>
          <w:highlight w:val="none"/>
        </w:rPr>
        <w:t>保证金</w:t>
      </w:r>
      <w:bookmarkEnd w:id="316"/>
    </w:p>
    <w:p w14:paraId="4A21271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须知前附表的规定递交投标保证金，并作为其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的组成部分。联合体投标的，其投标保证金由牵头人递交，并应符合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w:t>
      </w:r>
    </w:p>
    <w:p w14:paraId="062DE07F">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不按本章第 3.4.1 项要求提交投标保证金的，其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作否决投标处理。</w:t>
      </w:r>
    </w:p>
    <w:p w14:paraId="79B0E6DE">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ascii="宋体" w:hAnsi="宋体"/>
          <w:snapToGrid w:val="0"/>
          <w:color w:val="auto"/>
          <w:kern w:val="0"/>
          <w:position w:val="-2"/>
          <w:szCs w:val="21"/>
          <w:highlight w:val="none"/>
        </w:rPr>
        <w:t>。</w:t>
      </w:r>
    </w:p>
    <w:p w14:paraId="59B8129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46A88EE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在规定的投标有效期内撤销或修改其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5A38D9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中标人在收到中标通知书后，无正当理由不与比选人订立合同，在签订合同时向比选人提出附加条件，或者不按照竞选文件要求提交履约保证金</w:t>
      </w:r>
      <w:r>
        <w:rPr>
          <w:rFonts w:ascii="宋体" w:hAnsi="宋体"/>
          <w:snapToGrid w:val="0"/>
          <w:color w:val="auto"/>
          <w:kern w:val="0"/>
          <w:szCs w:val="21"/>
          <w:highlight w:val="none"/>
        </w:rPr>
        <w:t>；</w:t>
      </w:r>
    </w:p>
    <w:p w14:paraId="277E2BA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中标人（或拟中标人）拒不提供或者不按时提供低价风险担保（适用于经评审的最低投标价法）；</w:t>
      </w:r>
    </w:p>
    <w:p w14:paraId="204041F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的纪律要求的；</w:t>
      </w:r>
    </w:p>
    <w:p w14:paraId="4A37304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2334C4F8">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7C1D6361">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rPr>
        <w:t>比选人。</w:t>
      </w:r>
    </w:p>
    <w:p w14:paraId="133EECE8">
      <w:pPr>
        <w:pStyle w:val="4"/>
        <w:keepNext w:val="0"/>
        <w:keepLines w:val="0"/>
        <w:snapToGrid w:val="0"/>
        <w:spacing w:before="0" w:after="0" w:line="360" w:lineRule="auto"/>
        <w:rPr>
          <w:rFonts w:ascii="宋体" w:hAnsi="宋体"/>
          <w:b w:val="0"/>
          <w:snapToGrid w:val="0"/>
          <w:color w:val="auto"/>
          <w:sz w:val="24"/>
          <w:szCs w:val="24"/>
          <w:highlight w:val="none"/>
        </w:rPr>
      </w:pPr>
      <w:bookmarkStart w:id="317" w:name="_Toc57905853"/>
      <w:bookmarkStart w:id="318" w:name="_Toc224103340"/>
      <w:bookmarkStart w:id="319" w:name="_Toc430530458"/>
      <w:bookmarkStart w:id="320" w:name="_Toc509218733"/>
      <w:bookmarkStart w:id="321" w:name="_Toc200513149"/>
      <w:bookmarkStart w:id="322" w:name="_Toc287607769"/>
      <w:bookmarkStart w:id="323" w:name="_Toc277082575"/>
      <w:bookmarkStart w:id="324" w:name="_Toc287620708"/>
      <w:bookmarkStart w:id="325" w:name="_Toc25920"/>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资格审查资料</w:t>
      </w:r>
      <w:bookmarkEnd w:id="317"/>
      <w:bookmarkEnd w:id="318"/>
      <w:bookmarkEnd w:id="319"/>
      <w:bookmarkEnd w:id="320"/>
      <w:bookmarkEnd w:id="321"/>
      <w:bookmarkEnd w:id="322"/>
      <w:bookmarkEnd w:id="323"/>
      <w:bookmarkEnd w:id="324"/>
      <w:bookmarkEnd w:id="325"/>
    </w:p>
    <w:p w14:paraId="19791DA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时，应按新情况更新或补充其在申请资格预审时提供的资料，以证实其各项资格条件仍能继续满足资格预审文件的要求，具备承担本标段施工的资质条件、能力和信誉。</w:t>
      </w:r>
    </w:p>
    <w:p w14:paraId="3C31F528">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[提示：适用于已进行资格预审的。]</w:t>
      </w:r>
    </w:p>
    <w:p w14:paraId="6E567429">
      <w:pPr>
        <w:pStyle w:val="4"/>
        <w:keepNext w:val="0"/>
        <w:keepLines w:val="0"/>
        <w:snapToGrid w:val="0"/>
        <w:spacing w:before="0" w:after="0" w:line="360" w:lineRule="auto"/>
        <w:rPr>
          <w:rFonts w:ascii="宋体" w:hAnsi="宋体"/>
          <w:b w:val="0"/>
          <w:snapToGrid w:val="0"/>
          <w:color w:val="auto"/>
          <w:sz w:val="24"/>
          <w:szCs w:val="24"/>
          <w:highlight w:val="none"/>
        </w:rPr>
      </w:pPr>
      <w:bookmarkStart w:id="326" w:name="_Toc430530459"/>
      <w:bookmarkStart w:id="327" w:name="_Toc287620709"/>
      <w:bookmarkStart w:id="328" w:name="_Toc277082576"/>
      <w:bookmarkStart w:id="329" w:name="_Toc287607770"/>
      <w:bookmarkStart w:id="330" w:name="_Toc57905854"/>
      <w:bookmarkStart w:id="331" w:name="_Toc509218734"/>
      <w:bookmarkStart w:id="332" w:name="_Toc224103341"/>
      <w:bookmarkStart w:id="333" w:name="_Toc16639"/>
      <w:bookmarkStart w:id="334" w:name="_Toc200513150"/>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326"/>
      <w:bookmarkEnd w:id="327"/>
      <w:bookmarkEnd w:id="328"/>
      <w:bookmarkEnd w:id="329"/>
      <w:bookmarkEnd w:id="330"/>
      <w:bookmarkEnd w:id="331"/>
      <w:bookmarkEnd w:id="332"/>
      <w:bookmarkEnd w:id="333"/>
      <w:bookmarkEnd w:id="334"/>
    </w:p>
    <w:p w14:paraId="17FF2D6A">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rPr>
        <w:t>竞选人应附</w:t>
      </w:r>
      <w:r>
        <w:rPr>
          <w:rFonts w:hint="eastAsia" w:ascii="宋体" w:hAnsi="宋体"/>
          <w:color w:val="auto"/>
          <w:kern w:val="0"/>
          <w:szCs w:val="21"/>
          <w:highlight w:val="none"/>
        </w:rPr>
        <w:t>竞选人须知前附表第1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50A1331A">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竞选人须知前附表规定接受联合体投标的，详见竞选人须知前附表联合体投标相关内容。</w:t>
      </w:r>
    </w:p>
    <w:p w14:paraId="25F4F218">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[提示：适用于未进行资格预审的。]</w:t>
      </w:r>
    </w:p>
    <w:p w14:paraId="4284CD63">
      <w:pPr>
        <w:pStyle w:val="4"/>
        <w:snapToGrid w:val="0"/>
        <w:spacing w:before="0" w:after="0" w:line="360" w:lineRule="auto"/>
        <w:rPr>
          <w:rFonts w:ascii="宋体" w:hAnsi="宋体"/>
          <w:b w:val="0"/>
          <w:snapToGrid w:val="0"/>
          <w:color w:val="auto"/>
          <w:sz w:val="24"/>
          <w:szCs w:val="24"/>
          <w:highlight w:val="none"/>
        </w:rPr>
      </w:pPr>
      <w:bookmarkStart w:id="335" w:name="_Toc57905855"/>
      <w:bookmarkStart w:id="336" w:name="_Toc509218735"/>
      <w:bookmarkStart w:id="337" w:name="_Toc287620710"/>
      <w:bookmarkStart w:id="338" w:name="_Toc24446"/>
      <w:bookmarkStart w:id="339" w:name="_Toc277082577"/>
      <w:bookmarkStart w:id="340" w:name="_Toc430530460"/>
      <w:bookmarkStart w:id="341" w:name="_Toc224103342"/>
      <w:bookmarkStart w:id="342" w:name="_Toc200513151"/>
      <w:bookmarkStart w:id="343" w:name="_Toc287607771"/>
      <w:r>
        <w:rPr>
          <w:rFonts w:ascii="宋体" w:hAnsi="宋体"/>
          <w:b w:val="0"/>
          <w:snapToGrid w:val="0"/>
          <w:color w:val="auto"/>
          <w:sz w:val="24"/>
          <w:szCs w:val="24"/>
          <w:highlight w:val="none"/>
        </w:rPr>
        <w:t>3.6  备选投标方案</w:t>
      </w:r>
      <w:bookmarkEnd w:id="335"/>
      <w:bookmarkEnd w:id="336"/>
      <w:bookmarkEnd w:id="337"/>
      <w:bookmarkEnd w:id="338"/>
      <w:bookmarkEnd w:id="339"/>
      <w:bookmarkEnd w:id="340"/>
      <w:bookmarkEnd w:id="341"/>
      <w:bookmarkEnd w:id="342"/>
      <w:bookmarkEnd w:id="343"/>
    </w:p>
    <w:p w14:paraId="157EC7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不得递交备选投标方案。允许</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可以接受该备选投标方案。</w:t>
      </w:r>
    </w:p>
    <w:p w14:paraId="56967D5D">
      <w:pPr>
        <w:pStyle w:val="4"/>
        <w:snapToGrid w:val="0"/>
        <w:spacing w:before="0" w:after="0" w:line="360" w:lineRule="auto"/>
        <w:rPr>
          <w:rFonts w:ascii="宋体" w:hAnsi="宋体"/>
          <w:b w:val="0"/>
          <w:snapToGrid w:val="0"/>
          <w:color w:val="auto"/>
          <w:sz w:val="24"/>
          <w:szCs w:val="24"/>
          <w:highlight w:val="none"/>
        </w:rPr>
      </w:pPr>
      <w:bookmarkStart w:id="344" w:name="_Toc287620711"/>
      <w:bookmarkStart w:id="345" w:name="_Toc509218736"/>
      <w:bookmarkStart w:id="346" w:name="_Toc224103343"/>
      <w:bookmarkStart w:id="347" w:name="_Toc287607772"/>
      <w:bookmarkStart w:id="348" w:name="_Toc430530461"/>
      <w:bookmarkStart w:id="349" w:name="_Toc57905856"/>
      <w:bookmarkStart w:id="350" w:name="_Toc16951"/>
      <w:bookmarkStart w:id="351" w:name="_Toc277082578"/>
      <w:bookmarkStart w:id="352" w:name="_Toc200513152"/>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的编制</w:t>
      </w:r>
      <w:bookmarkEnd w:id="344"/>
      <w:bookmarkEnd w:id="345"/>
      <w:bookmarkEnd w:id="346"/>
      <w:bookmarkEnd w:id="347"/>
      <w:bookmarkEnd w:id="348"/>
      <w:bookmarkEnd w:id="349"/>
      <w:bookmarkEnd w:id="350"/>
      <w:bookmarkEnd w:id="351"/>
      <w:bookmarkEnd w:id="352"/>
    </w:p>
    <w:p w14:paraId="676340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应按第八章“</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的组成部分。其中，投标函附录在满足</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的承诺。</w:t>
      </w:r>
    </w:p>
    <w:p w14:paraId="095B8D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等实质性内容做出响应。</w:t>
      </w:r>
    </w:p>
    <w:p w14:paraId="14A424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竞选文件的签名盖章要求：按本章竞选人须知前附表第3.7.3项执行。</w:t>
      </w:r>
    </w:p>
    <w:p w14:paraId="759521EE">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须知前附表。正本和副本的封面上应清楚地标记“正本”或“副本”的字样，正本和副本封面均须加盖单位法人章。当副本和正本不一致时，以正本为准。</w:t>
      </w:r>
    </w:p>
    <w:p w14:paraId="1118903B">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w:t>
      </w:r>
    </w:p>
    <w:p w14:paraId="491EF7CD">
      <w:pPr>
        <w:pStyle w:val="3"/>
        <w:keepNext w:val="0"/>
        <w:keepLines w:val="0"/>
        <w:spacing w:before="0" w:after="0" w:line="360" w:lineRule="auto"/>
        <w:rPr>
          <w:rFonts w:ascii="宋体" w:hAnsi="宋体"/>
          <w:b w:val="0"/>
          <w:snapToGrid w:val="0"/>
          <w:color w:val="auto"/>
          <w:highlight w:val="none"/>
        </w:rPr>
      </w:pPr>
      <w:bookmarkStart w:id="353" w:name="_Toc430530462"/>
      <w:bookmarkStart w:id="354" w:name="_Toc57905857"/>
      <w:bookmarkStart w:id="355" w:name="_Toc509218737"/>
      <w:bookmarkStart w:id="356" w:name="_Toc224103344"/>
      <w:bookmarkStart w:id="357" w:name="_Toc200513153"/>
      <w:bookmarkStart w:id="358" w:name="_Toc9499"/>
      <w:bookmarkStart w:id="359" w:name="_Toc277082579"/>
      <w:bookmarkStart w:id="360" w:name="_Toc287607773"/>
      <w:bookmarkStart w:id="361" w:name="_Toc287620712"/>
      <w:r>
        <w:rPr>
          <w:rFonts w:ascii="宋体" w:hAnsi="宋体"/>
          <w:b w:val="0"/>
          <w:snapToGrid w:val="0"/>
          <w:color w:val="auto"/>
          <w:highlight w:val="none"/>
        </w:rPr>
        <w:t>4.  投标</w:t>
      </w:r>
      <w:bookmarkEnd w:id="353"/>
      <w:bookmarkEnd w:id="354"/>
      <w:bookmarkEnd w:id="355"/>
      <w:bookmarkEnd w:id="356"/>
      <w:bookmarkEnd w:id="357"/>
      <w:bookmarkEnd w:id="358"/>
      <w:bookmarkEnd w:id="359"/>
      <w:bookmarkEnd w:id="360"/>
      <w:bookmarkEnd w:id="361"/>
    </w:p>
    <w:p w14:paraId="0C9D543C">
      <w:pPr>
        <w:pStyle w:val="4"/>
        <w:keepNext w:val="0"/>
        <w:keepLines w:val="0"/>
        <w:snapToGrid w:val="0"/>
        <w:spacing w:before="0" w:after="0" w:line="360" w:lineRule="auto"/>
        <w:rPr>
          <w:rFonts w:ascii="宋体" w:hAnsi="宋体"/>
          <w:b w:val="0"/>
          <w:snapToGrid w:val="0"/>
          <w:color w:val="auto"/>
          <w:sz w:val="24"/>
          <w:szCs w:val="24"/>
          <w:highlight w:val="none"/>
        </w:rPr>
      </w:pPr>
      <w:bookmarkStart w:id="362" w:name="_Toc200513154"/>
      <w:bookmarkStart w:id="363" w:name="_Toc57905858"/>
      <w:bookmarkStart w:id="364" w:name="_Toc509218738"/>
      <w:bookmarkStart w:id="365" w:name="_Toc277082580"/>
      <w:bookmarkStart w:id="366" w:name="_Toc18995"/>
      <w:bookmarkStart w:id="367" w:name="_Toc287607774"/>
      <w:bookmarkStart w:id="368" w:name="_Toc430530463"/>
      <w:bookmarkStart w:id="369" w:name="_Toc224103345"/>
      <w:bookmarkStart w:id="370" w:name="_Toc287620713"/>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的密封和标记</w:t>
      </w:r>
      <w:bookmarkEnd w:id="362"/>
      <w:bookmarkEnd w:id="363"/>
      <w:bookmarkEnd w:id="364"/>
      <w:bookmarkEnd w:id="365"/>
      <w:bookmarkEnd w:id="366"/>
      <w:bookmarkEnd w:id="367"/>
      <w:bookmarkEnd w:id="368"/>
      <w:bookmarkEnd w:id="369"/>
      <w:bookmarkEnd w:id="370"/>
    </w:p>
    <w:p w14:paraId="3839E55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71"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141A60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13A8A2E">
      <w:pPr>
        <w:pStyle w:val="4"/>
        <w:keepNext w:val="0"/>
        <w:keepLines w:val="0"/>
        <w:snapToGrid w:val="0"/>
        <w:spacing w:before="0" w:after="0" w:line="360" w:lineRule="auto"/>
        <w:rPr>
          <w:rFonts w:ascii="宋体" w:hAnsi="宋体"/>
          <w:b w:val="0"/>
          <w:snapToGrid w:val="0"/>
          <w:color w:val="auto"/>
          <w:sz w:val="24"/>
          <w:szCs w:val="24"/>
          <w:highlight w:val="none"/>
        </w:rPr>
      </w:pPr>
      <w:bookmarkStart w:id="372" w:name="_Toc430530464"/>
      <w:bookmarkStart w:id="373" w:name="_Toc287620714"/>
      <w:bookmarkStart w:id="374" w:name="_Toc57905859"/>
      <w:bookmarkStart w:id="375" w:name="_Toc287607775"/>
      <w:bookmarkStart w:id="376" w:name="_Toc277082581"/>
      <w:bookmarkStart w:id="377" w:name="_Toc25809"/>
      <w:bookmarkStart w:id="378" w:name="_Toc509218739"/>
      <w:bookmarkStart w:id="379" w:name="_Toc224103346"/>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的递交</w:t>
      </w:r>
      <w:bookmarkEnd w:id="371"/>
      <w:bookmarkEnd w:id="372"/>
      <w:bookmarkEnd w:id="373"/>
      <w:bookmarkEnd w:id="374"/>
      <w:bookmarkEnd w:id="375"/>
      <w:bookmarkEnd w:id="376"/>
      <w:bookmarkEnd w:id="377"/>
      <w:bookmarkEnd w:id="378"/>
      <w:bookmarkEnd w:id="379"/>
    </w:p>
    <w:p w14:paraId="5869224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63BF6E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5E2130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不予退还。</w:t>
      </w:r>
    </w:p>
    <w:p w14:paraId="089C3C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44F0DBB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4C959634">
      <w:pPr>
        <w:pStyle w:val="4"/>
        <w:keepNext w:val="0"/>
        <w:keepLines w:val="0"/>
        <w:snapToGrid w:val="0"/>
        <w:spacing w:before="0" w:after="0" w:line="360" w:lineRule="auto"/>
        <w:rPr>
          <w:rFonts w:ascii="宋体" w:hAnsi="宋体"/>
          <w:b w:val="0"/>
          <w:snapToGrid w:val="0"/>
          <w:color w:val="auto"/>
          <w:sz w:val="24"/>
          <w:szCs w:val="24"/>
          <w:highlight w:val="none"/>
        </w:rPr>
      </w:pPr>
      <w:bookmarkStart w:id="380" w:name="_Toc287620715"/>
      <w:bookmarkStart w:id="381" w:name="_Toc287607776"/>
      <w:bookmarkStart w:id="382" w:name="_Toc277082582"/>
      <w:bookmarkStart w:id="383" w:name="_Toc509218740"/>
      <w:bookmarkStart w:id="384" w:name="_Toc224103347"/>
      <w:bookmarkStart w:id="385" w:name="_Toc430530465"/>
      <w:bookmarkStart w:id="386" w:name="_Toc57905860"/>
      <w:bookmarkStart w:id="387" w:name="_Toc23986"/>
      <w:bookmarkStart w:id="388" w:name="_Toc200513156"/>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的修改与撤回</w:t>
      </w:r>
      <w:bookmarkEnd w:id="380"/>
      <w:bookmarkEnd w:id="381"/>
      <w:bookmarkEnd w:id="382"/>
      <w:bookmarkEnd w:id="383"/>
      <w:bookmarkEnd w:id="384"/>
      <w:bookmarkEnd w:id="385"/>
      <w:bookmarkEnd w:id="386"/>
      <w:bookmarkEnd w:id="387"/>
      <w:bookmarkEnd w:id="388"/>
    </w:p>
    <w:p w14:paraId="497FD73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2FB9A98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4AB93D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应按照本章第3条、第4条规定进行编制、密封、标记和递交，并标明“修改”字样。</w:t>
      </w:r>
    </w:p>
    <w:p w14:paraId="03A3BCFC">
      <w:pPr>
        <w:pStyle w:val="3"/>
        <w:keepNext w:val="0"/>
        <w:keepLines w:val="0"/>
        <w:spacing w:before="0" w:after="0" w:line="360" w:lineRule="auto"/>
        <w:rPr>
          <w:rFonts w:ascii="宋体" w:hAnsi="宋体"/>
          <w:b w:val="0"/>
          <w:snapToGrid w:val="0"/>
          <w:color w:val="auto"/>
          <w:highlight w:val="none"/>
        </w:rPr>
      </w:pPr>
      <w:bookmarkStart w:id="389" w:name="_Toc224103348"/>
      <w:bookmarkStart w:id="390" w:name="_Toc200513157"/>
      <w:bookmarkStart w:id="391" w:name="_Toc430530466"/>
      <w:bookmarkStart w:id="392" w:name="_Toc287620716"/>
      <w:bookmarkStart w:id="393" w:name="_Toc9614"/>
      <w:bookmarkStart w:id="394" w:name="_Toc277082583"/>
      <w:bookmarkStart w:id="395" w:name="_Toc509218741"/>
      <w:bookmarkStart w:id="396" w:name="_Toc57905861"/>
      <w:bookmarkStart w:id="397" w:name="_Toc287607777"/>
      <w:r>
        <w:rPr>
          <w:rFonts w:ascii="宋体" w:hAnsi="宋体"/>
          <w:b w:val="0"/>
          <w:snapToGrid w:val="0"/>
          <w:color w:val="auto"/>
          <w:highlight w:val="none"/>
        </w:rPr>
        <w:t>5.  开标</w:t>
      </w:r>
      <w:bookmarkEnd w:id="389"/>
      <w:bookmarkEnd w:id="390"/>
      <w:bookmarkEnd w:id="391"/>
      <w:bookmarkEnd w:id="392"/>
      <w:bookmarkEnd w:id="393"/>
      <w:bookmarkEnd w:id="394"/>
      <w:bookmarkEnd w:id="395"/>
      <w:bookmarkEnd w:id="396"/>
      <w:bookmarkEnd w:id="397"/>
    </w:p>
    <w:p w14:paraId="6FB611D6">
      <w:pPr>
        <w:pStyle w:val="4"/>
        <w:keepNext w:val="0"/>
        <w:keepLines w:val="0"/>
        <w:snapToGrid w:val="0"/>
        <w:spacing w:before="0" w:after="0" w:line="360" w:lineRule="auto"/>
        <w:rPr>
          <w:rFonts w:ascii="宋体" w:hAnsi="宋体"/>
          <w:b w:val="0"/>
          <w:snapToGrid w:val="0"/>
          <w:color w:val="auto"/>
          <w:sz w:val="24"/>
          <w:szCs w:val="24"/>
          <w:highlight w:val="none"/>
        </w:rPr>
      </w:pPr>
      <w:bookmarkStart w:id="398" w:name="_Toc509218742"/>
      <w:bookmarkStart w:id="399" w:name="_Toc20593"/>
      <w:bookmarkStart w:id="400" w:name="_Toc287620717"/>
      <w:bookmarkStart w:id="401" w:name="_Toc287607778"/>
      <w:bookmarkStart w:id="402" w:name="_Toc57905862"/>
      <w:bookmarkStart w:id="403" w:name="_Toc224103349"/>
      <w:bookmarkStart w:id="404" w:name="_Toc200513158"/>
      <w:bookmarkStart w:id="405" w:name="_Toc430530467"/>
      <w:bookmarkStart w:id="406" w:name="_Toc277082584"/>
      <w:r>
        <w:rPr>
          <w:rFonts w:ascii="宋体" w:hAnsi="宋体"/>
          <w:b w:val="0"/>
          <w:snapToGrid w:val="0"/>
          <w:color w:val="auto"/>
          <w:sz w:val="24"/>
          <w:szCs w:val="24"/>
          <w:highlight w:val="none"/>
        </w:rPr>
        <w:t>5.1  开标时间和地点</w:t>
      </w:r>
      <w:bookmarkEnd w:id="398"/>
      <w:bookmarkEnd w:id="399"/>
      <w:bookmarkEnd w:id="400"/>
      <w:bookmarkEnd w:id="401"/>
      <w:bookmarkEnd w:id="402"/>
      <w:bookmarkEnd w:id="403"/>
      <w:bookmarkEnd w:id="404"/>
      <w:bookmarkEnd w:id="405"/>
      <w:bookmarkEnd w:id="406"/>
    </w:p>
    <w:p w14:paraId="7D86306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（开标时间）和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的法定代表人或其委托代理人准时参加。</w:t>
      </w:r>
    </w:p>
    <w:p w14:paraId="7D5FD85C">
      <w:pPr>
        <w:pStyle w:val="4"/>
        <w:keepNext w:val="0"/>
        <w:keepLines w:val="0"/>
        <w:snapToGrid w:val="0"/>
        <w:spacing w:before="0" w:after="0" w:line="360" w:lineRule="auto"/>
        <w:rPr>
          <w:rFonts w:ascii="宋体" w:hAnsi="宋体"/>
          <w:b w:val="0"/>
          <w:snapToGrid w:val="0"/>
          <w:color w:val="auto"/>
          <w:sz w:val="24"/>
          <w:szCs w:val="24"/>
          <w:highlight w:val="none"/>
        </w:rPr>
      </w:pPr>
      <w:bookmarkStart w:id="407" w:name="_Toc277082585"/>
      <w:bookmarkStart w:id="408" w:name="_Toc200513159"/>
      <w:bookmarkStart w:id="409" w:name="_Toc57905863"/>
      <w:bookmarkStart w:id="410" w:name="_Toc14994"/>
      <w:bookmarkStart w:id="411" w:name="_Toc287620718"/>
      <w:bookmarkStart w:id="412" w:name="_Toc287607779"/>
      <w:bookmarkStart w:id="413" w:name="_Toc430530468"/>
      <w:bookmarkStart w:id="414" w:name="_Toc509218743"/>
      <w:bookmarkStart w:id="415" w:name="_Toc224103350"/>
      <w:r>
        <w:rPr>
          <w:rFonts w:ascii="宋体" w:hAnsi="宋体"/>
          <w:b w:val="0"/>
          <w:snapToGrid w:val="0"/>
          <w:color w:val="auto"/>
          <w:sz w:val="24"/>
          <w:szCs w:val="24"/>
          <w:highlight w:val="none"/>
        </w:rPr>
        <w:t>5.2  开标程序</w:t>
      </w:r>
      <w:bookmarkEnd w:id="407"/>
      <w:bookmarkEnd w:id="408"/>
      <w:bookmarkEnd w:id="409"/>
      <w:bookmarkEnd w:id="410"/>
      <w:bookmarkEnd w:id="411"/>
      <w:bookmarkEnd w:id="412"/>
      <w:bookmarkEnd w:id="413"/>
      <w:bookmarkEnd w:id="414"/>
      <w:bookmarkEnd w:id="415"/>
    </w:p>
    <w:p w14:paraId="3B188FC7">
      <w:pPr>
        <w:autoSpaceDE w:val="0"/>
        <w:autoSpaceDN w:val="0"/>
        <w:adjustRightInd w:val="0"/>
        <w:snapToGrid w:val="0"/>
        <w:spacing w:line="360" w:lineRule="auto"/>
        <w:ind w:firstLine="420" w:firstLineChars="200"/>
        <w:rPr>
          <w:rFonts w:ascii="宋体" w:hAnsi="宋体"/>
          <w:color w:val="auto"/>
          <w:szCs w:val="21"/>
          <w:highlight w:val="none"/>
        </w:rPr>
      </w:pPr>
      <w:bookmarkStart w:id="416" w:name="_Toc287607780"/>
      <w:bookmarkStart w:id="417" w:name="_Toc277082586"/>
      <w:bookmarkStart w:id="418" w:name="_Toc224103351"/>
      <w:bookmarkStart w:id="419" w:name="_Toc200513160"/>
      <w:bookmarkStart w:id="420" w:name="_Toc287620719"/>
      <w:r>
        <w:rPr>
          <w:rFonts w:ascii="宋体" w:hAnsi="宋体"/>
          <w:color w:val="auto"/>
          <w:szCs w:val="21"/>
          <w:highlight w:val="none"/>
        </w:rPr>
        <w:t>详见</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6C276AF6">
      <w:pPr>
        <w:pStyle w:val="4"/>
        <w:keepNext w:val="0"/>
        <w:keepLines w:val="0"/>
        <w:snapToGrid w:val="0"/>
        <w:spacing w:before="0" w:after="0" w:line="360" w:lineRule="auto"/>
        <w:rPr>
          <w:rFonts w:ascii="宋体" w:hAnsi="宋体"/>
          <w:b w:val="0"/>
          <w:snapToGrid w:val="0"/>
          <w:color w:val="auto"/>
          <w:sz w:val="24"/>
          <w:szCs w:val="24"/>
          <w:highlight w:val="none"/>
        </w:rPr>
      </w:pPr>
      <w:bookmarkStart w:id="421" w:name="_Toc57820594"/>
      <w:bookmarkStart w:id="422" w:name="_Toc5790586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21"/>
      <w:bookmarkEnd w:id="422"/>
    </w:p>
    <w:p w14:paraId="6BDDD62A">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color w:val="auto"/>
          <w:szCs w:val="21"/>
          <w:highlight w:val="none"/>
        </w:rPr>
        <w:t>。</w:t>
      </w:r>
    </w:p>
    <w:p w14:paraId="5BC22124">
      <w:pPr>
        <w:pStyle w:val="3"/>
        <w:keepNext w:val="0"/>
        <w:keepLines w:val="0"/>
        <w:spacing w:before="0" w:after="0" w:line="360" w:lineRule="auto"/>
        <w:rPr>
          <w:rFonts w:ascii="宋体" w:hAnsi="宋体"/>
          <w:b w:val="0"/>
          <w:snapToGrid w:val="0"/>
          <w:color w:val="auto"/>
          <w:highlight w:val="none"/>
        </w:rPr>
      </w:pPr>
      <w:bookmarkStart w:id="423" w:name="_Toc430530469"/>
      <w:bookmarkStart w:id="424" w:name="_Toc509218744"/>
      <w:bookmarkStart w:id="425" w:name="_Toc57905865"/>
      <w:bookmarkStart w:id="426" w:name="_Toc9533"/>
      <w:r>
        <w:rPr>
          <w:rFonts w:ascii="宋体" w:hAnsi="宋体"/>
          <w:b w:val="0"/>
          <w:snapToGrid w:val="0"/>
          <w:color w:val="auto"/>
          <w:highlight w:val="none"/>
        </w:rPr>
        <w:t>6.  评标</w:t>
      </w:r>
      <w:bookmarkEnd w:id="416"/>
      <w:bookmarkEnd w:id="417"/>
      <w:bookmarkEnd w:id="418"/>
      <w:bookmarkEnd w:id="419"/>
      <w:bookmarkEnd w:id="420"/>
      <w:bookmarkEnd w:id="423"/>
      <w:bookmarkEnd w:id="424"/>
      <w:bookmarkEnd w:id="425"/>
      <w:bookmarkEnd w:id="426"/>
    </w:p>
    <w:p w14:paraId="4FC96634">
      <w:pPr>
        <w:pStyle w:val="4"/>
        <w:keepNext w:val="0"/>
        <w:keepLines w:val="0"/>
        <w:snapToGrid w:val="0"/>
        <w:spacing w:before="0" w:after="0" w:line="360" w:lineRule="auto"/>
        <w:rPr>
          <w:rFonts w:ascii="宋体" w:hAnsi="宋体"/>
          <w:b w:val="0"/>
          <w:snapToGrid w:val="0"/>
          <w:color w:val="auto"/>
          <w:sz w:val="24"/>
          <w:szCs w:val="24"/>
          <w:highlight w:val="none"/>
        </w:rPr>
      </w:pPr>
      <w:bookmarkStart w:id="427" w:name="_Toc287607781"/>
      <w:bookmarkStart w:id="428" w:name="_Toc287620720"/>
      <w:bookmarkStart w:id="429" w:name="_Toc509218745"/>
      <w:bookmarkStart w:id="430" w:name="_Toc200513161"/>
      <w:bookmarkStart w:id="431" w:name="_Toc430530470"/>
      <w:bookmarkStart w:id="432" w:name="_Toc57905866"/>
      <w:bookmarkStart w:id="433" w:name="_Toc224103352"/>
      <w:bookmarkStart w:id="434" w:name="_Toc28100"/>
      <w:bookmarkStart w:id="435" w:name="_Toc277082587"/>
      <w:r>
        <w:rPr>
          <w:rFonts w:ascii="宋体" w:hAnsi="宋体"/>
          <w:b w:val="0"/>
          <w:snapToGrid w:val="0"/>
          <w:color w:val="auto"/>
          <w:sz w:val="24"/>
          <w:szCs w:val="24"/>
          <w:highlight w:val="none"/>
        </w:rPr>
        <w:t>6.1  评标委员会</w:t>
      </w:r>
      <w:bookmarkEnd w:id="427"/>
      <w:bookmarkEnd w:id="428"/>
      <w:bookmarkEnd w:id="429"/>
      <w:bookmarkEnd w:id="430"/>
      <w:bookmarkEnd w:id="431"/>
      <w:bookmarkEnd w:id="432"/>
      <w:bookmarkEnd w:id="433"/>
      <w:bookmarkEnd w:id="434"/>
      <w:bookmarkEnd w:id="435"/>
    </w:p>
    <w:p w14:paraId="38B99D33">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依据法律法规和相关规范性文件组建的评标委员会负责。</w:t>
      </w:r>
    </w:p>
    <w:p w14:paraId="528C3FC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0FC7EA9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的主要负责人的近亲属；</w:t>
      </w:r>
    </w:p>
    <w:p w14:paraId="5759C34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43AFF51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有利害关系，可能影响对投标公正评审的；</w:t>
      </w:r>
    </w:p>
    <w:p w14:paraId="5915BC3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6F16A4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446EBB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6CF21139">
      <w:pPr>
        <w:pStyle w:val="4"/>
        <w:snapToGrid w:val="0"/>
        <w:spacing w:before="0" w:after="0" w:line="360" w:lineRule="auto"/>
        <w:rPr>
          <w:rFonts w:ascii="宋体" w:hAnsi="宋体"/>
          <w:b w:val="0"/>
          <w:snapToGrid w:val="0"/>
          <w:color w:val="auto"/>
          <w:sz w:val="24"/>
          <w:szCs w:val="24"/>
          <w:highlight w:val="none"/>
        </w:rPr>
      </w:pPr>
      <w:bookmarkStart w:id="436" w:name="_Toc509218746"/>
      <w:bookmarkStart w:id="437" w:name="_Toc287607782"/>
      <w:bookmarkStart w:id="438" w:name="_Toc287620721"/>
      <w:bookmarkStart w:id="439" w:name="_Toc224103353"/>
      <w:bookmarkStart w:id="440" w:name="_Toc200513162"/>
      <w:bookmarkStart w:id="441" w:name="_Toc430530471"/>
      <w:bookmarkStart w:id="442" w:name="_Toc12166"/>
      <w:bookmarkStart w:id="443" w:name="_Toc277082588"/>
      <w:bookmarkStart w:id="444" w:name="_Toc57905867"/>
      <w:r>
        <w:rPr>
          <w:rFonts w:ascii="宋体" w:hAnsi="宋体"/>
          <w:b w:val="0"/>
          <w:snapToGrid w:val="0"/>
          <w:color w:val="auto"/>
          <w:sz w:val="24"/>
          <w:szCs w:val="24"/>
          <w:highlight w:val="none"/>
        </w:rPr>
        <w:t>6.2  评标原则</w:t>
      </w:r>
      <w:bookmarkEnd w:id="436"/>
      <w:bookmarkEnd w:id="437"/>
      <w:bookmarkEnd w:id="438"/>
      <w:bookmarkEnd w:id="439"/>
      <w:bookmarkEnd w:id="440"/>
      <w:bookmarkEnd w:id="441"/>
      <w:bookmarkEnd w:id="442"/>
      <w:bookmarkEnd w:id="443"/>
      <w:bookmarkEnd w:id="444"/>
    </w:p>
    <w:p w14:paraId="4A1EE1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7FE8AD97">
      <w:pPr>
        <w:pStyle w:val="4"/>
        <w:snapToGrid w:val="0"/>
        <w:spacing w:before="0" w:after="0" w:line="360" w:lineRule="auto"/>
        <w:rPr>
          <w:rFonts w:ascii="宋体" w:hAnsi="宋体"/>
          <w:b w:val="0"/>
          <w:snapToGrid w:val="0"/>
          <w:color w:val="auto"/>
          <w:sz w:val="24"/>
          <w:szCs w:val="24"/>
          <w:highlight w:val="none"/>
        </w:rPr>
      </w:pPr>
      <w:bookmarkStart w:id="445" w:name="_Toc287620722"/>
      <w:bookmarkStart w:id="446" w:name="_Toc200513163"/>
      <w:bookmarkStart w:id="447" w:name="_Toc14701"/>
      <w:bookmarkStart w:id="448" w:name="_Toc277082589"/>
      <w:bookmarkStart w:id="449" w:name="_Toc224103354"/>
      <w:bookmarkStart w:id="450" w:name="_Toc509218747"/>
      <w:bookmarkStart w:id="451" w:name="_Toc287607783"/>
      <w:bookmarkStart w:id="452" w:name="_Toc430530472"/>
      <w:bookmarkStart w:id="453" w:name="_Toc57905868"/>
      <w:r>
        <w:rPr>
          <w:rFonts w:ascii="宋体" w:hAnsi="宋体"/>
          <w:b w:val="0"/>
          <w:snapToGrid w:val="0"/>
          <w:color w:val="auto"/>
          <w:sz w:val="24"/>
          <w:szCs w:val="24"/>
          <w:highlight w:val="none"/>
        </w:rPr>
        <w:t>6.3  评标</w:t>
      </w:r>
      <w:bookmarkEnd w:id="445"/>
      <w:bookmarkEnd w:id="446"/>
      <w:bookmarkEnd w:id="447"/>
      <w:bookmarkEnd w:id="448"/>
      <w:bookmarkEnd w:id="449"/>
      <w:bookmarkEnd w:id="450"/>
      <w:bookmarkEnd w:id="451"/>
      <w:bookmarkEnd w:id="452"/>
      <w:bookmarkEnd w:id="453"/>
    </w:p>
    <w:p w14:paraId="40AF06B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进行评审。第三章“评标办法”没有规定的方法、评审因素和标准，不得作为评标依据。</w:t>
      </w:r>
    </w:p>
    <w:p w14:paraId="69AF9C05">
      <w:pPr>
        <w:pStyle w:val="3"/>
        <w:spacing w:before="0" w:after="0" w:line="360" w:lineRule="auto"/>
        <w:rPr>
          <w:rFonts w:ascii="宋体" w:hAnsi="宋体"/>
          <w:b w:val="0"/>
          <w:snapToGrid w:val="0"/>
          <w:color w:val="auto"/>
          <w:highlight w:val="none"/>
        </w:rPr>
      </w:pPr>
      <w:bookmarkStart w:id="454" w:name="_Toc57905869"/>
      <w:bookmarkStart w:id="455" w:name="_Toc224103355"/>
      <w:bookmarkStart w:id="456" w:name="_Toc509218748"/>
      <w:bookmarkStart w:id="457" w:name="_Toc200513164"/>
      <w:bookmarkStart w:id="458" w:name="_Toc2723"/>
      <w:bookmarkStart w:id="459" w:name="_Toc277082590"/>
      <w:bookmarkStart w:id="460" w:name="_Toc287620723"/>
      <w:bookmarkStart w:id="461" w:name="_Toc430530473"/>
      <w:bookmarkStart w:id="462" w:name="_Toc287607784"/>
      <w:r>
        <w:rPr>
          <w:rFonts w:ascii="宋体" w:hAnsi="宋体"/>
          <w:b w:val="0"/>
          <w:snapToGrid w:val="0"/>
          <w:color w:val="auto"/>
          <w:highlight w:val="none"/>
        </w:rPr>
        <w:t>7.  合同授予</w:t>
      </w:r>
      <w:bookmarkEnd w:id="454"/>
      <w:bookmarkEnd w:id="455"/>
      <w:bookmarkEnd w:id="456"/>
      <w:bookmarkEnd w:id="457"/>
      <w:bookmarkEnd w:id="458"/>
      <w:bookmarkEnd w:id="459"/>
      <w:bookmarkEnd w:id="460"/>
      <w:bookmarkEnd w:id="461"/>
      <w:bookmarkEnd w:id="462"/>
    </w:p>
    <w:p w14:paraId="5FB518D2">
      <w:pPr>
        <w:pStyle w:val="4"/>
        <w:snapToGrid w:val="0"/>
        <w:spacing w:before="0" w:after="0" w:line="360" w:lineRule="auto"/>
        <w:rPr>
          <w:rFonts w:ascii="宋体" w:hAnsi="宋体"/>
          <w:b w:val="0"/>
          <w:snapToGrid w:val="0"/>
          <w:color w:val="auto"/>
          <w:sz w:val="24"/>
          <w:szCs w:val="24"/>
          <w:highlight w:val="none"/>
        </w:rPr>
      </w:pPr>
      <w:bookmarkStart w:id="463" w:name="_Toc200513165"/>
      <w:bookmarkStart w:id="464" w:name="_Toc430530474"/>
      <w:bookmarkStart w:id="465" w:name="_Toc277082591"/>
      <w:bookmarkStart w:id="466" w:name="_Toc509218749"/>
      <w:bookmarkStart w:id="467" w:name="_Toc29937"/>
      <w:bookmarkStart w:id="468" w:name="_Toc287620724"/>
      <w:bookmarkStart w:id="469" w:name="_Toc287607785"/>
      <w:bookmarkStart w:id="470" w:name="_Toc57905870"/>
      <w:bookmarkStart w:id="471" w:name="_Toc224103356"/>
      <w:r>
        <w:rPr>
          <w:rFonts w:ascii="宋体" w:hAnsi="宋体"/>
          <w:b w:val="0"/>
          <w:snapToGrid w:val="0"/>
          <w:color w:val="auto"/>
          <w:sz w:val="24"/>
          <w:szCs w:val="24"/>
          <w:highlight w:val="none"/>
        </w:rPr>
        <w:t>7.1  定标方式</w:t>
      </w:r>
      <w:bookmarkEnd w:id="463"/>
      <w:bookmarkEnd w:id="464"/>
      <w:bookmarkEnd w:id="465"/>
      <w:bookmarkEnd w:id="466"/>
      <w:bookmarkEnd w:id="467"/>
      <w:bookmarkEnd w:id="468"/>
      <w:bookmarkEnd w:id="469"/>
      <w:bookmarkEnd w:id="470"/>
      <w:bookmarkEnd w:id="471"/>
    </w:p>
    <w:p w14:paraId="062CD243">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w:t>
      </w:r>
      <w:r>
        <w:rPr>
          <w:rFonts w:hint="eastAsia" w:ascii="宋体" w:hAnsi="宋体"/>
          <w:color w:val="auto"/>
          <w:szCs w:val="21"/>
          <w:highlight w:val="none"/>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rPr>
        <w:t>竞选文件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rPr>
        <w:t>比选人</w:t>
      </w:r>
      <w:r>
        <w:rPr>
          <w:rFonts w:ascii="宋体" w:hAnsi="宋体"/>
          <w:color w:val="auto"/>
          <w:szCs w:val="21"/>
          <w:highlight w:val="none"/>
        </w:rPr>
        <w:t>可以按照评标委员会提出的中标候选人名单排序依次确定其他中标候选人为中标人，也可以重新招标。</w:t>
      </w:r>
    </w:p>
    <w:p w14:paraId="3C5F4AE7">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3CE97F0">
      <w:pPr>
        <w:pStyle w:val="4"/>
        <w:snapToGrid w:val="0"/>
        <w:spacing w:before="0" w:after="0" w:line="360" w:lineRule="auto"/>
        <w:rPr>
          <w:rFonts w:ascii="宋体" w:hAnsi="宋体"/>
          <w:b w:val="0"/>
          <w:snapToGrid w:val="0"/>
          <w:color w:val="auto"/>
          <w:sz w:val="24"/>
          <w:szCs w:val="24"/>
          <w:highlight w:val="none"/>
        </w:rPr>
      </w:pPr>
      <w:bookmarkStart w:id="472" w:name="_Toc57905871"/>
      <w:bookmarkStart w:id="473" w:name="_Toc430530475"/>
      <w:bookmarkStart w:id="474" w:name="_Toc509218750"/>
      <w:bookmarkStart w:id="475" w:name="_Toc23594"/>
      <w:r>
        <w:rPr>
          <w:rFonts w:ascii="宋体" w:hAnsi="宋体"/>
          <w:b w:val="0"/>
          <w:snapToGrid w:val="0"/>
          <w:color w:val="auto"/>
          <w:sz w:val="24"/>
          <w:szCs w:val="24"/>
          <w:highlight w:val="none"/>
        </w:rPr>
        <w:t>7.2  中标公示及中标通知</w:t>
      </w:r>
      <w:bookmarkEnd w:id="472"/>
      <w:bookmarkEnd w:id="473"/>
      <w:bookmarkEnd w:id="474"/>
      <w:bookmarkEnd w:id="475"/>
    </w:p>
    <w:p w14:paraId="675FF4E7">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在收到评标报告之日起3日内公示中标候选人，公示期不得少于3日</w:t>
      </w:r>
      <w:r>
        <w:rPr>
          <w:rFonts w:hint="eastAsia" w:ascii="宋体" w:hAnsi="宋体"/>
          <w:color w:val="auto"/>
          <w:szCs w:val="21"/>
          <w:highlight w:val="none"/>
        </w:rPr>
        <w:t>。</w:t>
      </w:r>
    </w:p>
    <w:p w14:paraId="2E25AC3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以书面形式向中标人发出中标通知书。</w:t>
      </w:r>
    </w:p>
    <w:p w14:paraId="540E11A6">
      <w:pPr>
        <w:pStyle w:val="4"/>
        <w:snapToGrid w:val="0"/>
        <w:spacing w:before="0" w:after="0" w:line="360" w:lineRule="auto"/>
        <w:rPr>
          <w:rFonts w:ascii="宋体" w:hAnsi="宋体"/>
          <w:b w:val="0"/>
          <w:snapToGrid w:val="0"/>
          <w:color w:val="auto"/>
          <w:sz w:val="24"/>
          <w:szCs w:val="24"/>
          <w:highlight w:val="none"/>
        </w:rPr>
      </w:pPr>
      <w:bookmarkStart w:id="476" w:name="_Toc57905872"/>
      <w:bookmarkStart w:id="477" w:name="_Toc13383"/>
      <w:bookmarkStart w:id="478" w:name="_Toc277082593"/>
      <w:bookmarkStart w:id="479" w:name="_Toc509218751"/>
      <w:bookmarkStart w:id="480" w:name="_Toc200513167"/>
      <w:bookmarkStart w:id="481" w:name="_Toc287620726"/>
      <w:bookmarkStart w:id="482" w:name="_Toc224103358"/>
      <w:bookmarkStart w:id="483" w:name="_Toc430530476"/>
      <w:bookmarkStart w:id="484" w:name="_Toc287607787"/>
      <w:r>
        <w:rPr>
          <w:rFonts w:ascii="宋体" w:hAnsi="宋体"/>
          <w:b w:val="0"/>
          <w:snapToGrid w:val="0"/>
          <w:color w:val="auto"/>
          <w:sz w:val="24"/>
          <w:szCs w:val="24"/>
          <w:highlight w:val="none"/>
        </w:rPr>
        <w:t>7.3  履约担保</w:t>
      </w:r>
      <w:bookmarkEnd w:id="476"/>
      <w:bookmarkEnd w:id="477"/>
      <w:bookmarkEnd w:id="478"/>
      <w:bookmarkEnd w:id="479"/>
      <w:bookmarkEnd w:id="480"/>
      <w:bookmarkEnd w:id="481"/>
      <w:bookmarkEnd w:id="482"/>
      <w:bookmarkEnd w:id="483"/>
      <w:bookmarkEnd w:id="484"/>
    </w:p>
    <w:p w14:paraId="213EFA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提交履约担保。联合体中标的，其履约担保由牵头人递交，并应符合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第四章“合同条款及格式”规定的履约担保格式要求。</w:t>
      </w:r>
    </w:p>
    <w:p w14:paraId="32C9FEF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3ABF2DBA">
      <w:pPr>
        <w:pStyle w:val="4"/>
        <w:snapToGrid w:val="0"/>
        <w:spacing w:before="0" w:after="0" w:line="360" w:lineRule="auto"/>
        <w:rPr>
          <w:rFonts w:ascii="宋体" w:hAnsi="宋体"/>
          <w:b w:val="0"/>
          <w:snapToGrid w:val="0"/>
          <w:color w:val="auto"/>
          <w:sz w:val="24"/>
          <w:szCs w:val="24"/>
          <w:highlight w:val="none"/>
        </w:rPr>
      </w:pPr>
      <w:bookmarkStart w:id="485" w:name="_Toc287620727"/>
      <w:bookmarkStart w:id="486" w:name="_Toc287607788"/>
      <w:bookmarkStart w:id="487" w:name="_Toc509218752"/>
      <w:bookmarkStart w:id="488" w:name="_Toc200513168"/>
      <w:bookmarkStart w:id="489" w:name="_Toc430530477"/>
      <w:bookmarkStart w:id="490" w:name="_Toc277082594"/>
      <w:bookmarkStart w:id="491" w:name="_Toc57905873"/>
      <w:bookmarkStart w:id="492" w:name="_Toc224103359"/>
      <w:bookmarkStart w:id="493" w:name="_Toc16900"/>
      <w:r>
        <w:rPr>
          <w:rFonts w:ascii="宋体" w:hAnsi="宋体"/>
          <w:b w:val="0"/>
          <w:snapToGrid w:val="0"/>
          <w:color w:val="auto"/>
          <w:sz w:val="24"/>
          <w:szCs w:val="24"/>
          <w:highlight w:val="none"/>
        </w:rPr>
        <w:t>7.4  签订合同</w:t>
      </w:r>
      <w:bookmarkEnd w:id="485"/>
      <w:bookmarkEnd w:id="486"/>
      <w:bookmarkEnd w:id="487"/>
      <w:bookmarkEnd w:id="488"/>
      <w:bookmarkEnd w:id="489"/>
      <w:bookmarkEnd w:id="490"/>
      <w:bookmarkEnd w:id="491"/>
      <w:bookmarkEnd w:id="492"/>
      <w:bookmarkEnd w:id="493"/>
    </w:p>
    <w:p w14:paraId="7B0F808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和中标人应当自中标通知书发出之日起 30 天内，根据</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或不按照竞选文件要求提交低价风险担保（适用于经评审最低投标价法）或履约保证金的，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7726915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向中标人退还投标保证金；给中标人造成损失的，还应当赔偿损失。</w:t>
      </w:r>
    </w:p>
    <w:p w14:paraId="6608D612">
      <w:pPr>
        <w:pStyle w:val="3"/>
        <w:spacing w:before="0" w:after="0" w:line="360" w:lineRule="auto"/>
        <w:rPr>
          <w:rFonts w:ascii="宋体" w:hAnsi="宋体"/>
          <w:b w:val="0"/>
          <w:snapToGrid w:val="0"/>
          <w:color w:val="auto"/>
          <w:highlight w:val="none"/>
        </w:rPr>
      </w:pPr>
      <w:bookmarkStart w:id="494" w:name="_Toc22591"/>
      <w:bookmarkStart w:id="495" w:name="_Toc224103360"/>
      <w:bookmarkStart w:id="496" w:name="_Toc430530478"/>
      <w:bookmarkStart w:id="497" w:name="_Toc277082595"/>
      <w:bookmarkStart w:id="498" w:name="_Toc57905874"/>
      <w:bookmarkStart w:id="499" w:name="_Toc287620728"/>
      <w:bookmarkStart w:id="500" w:name="_Toc509218753"/>
      <w:bookmarkStart w:id="501" w:name="_Toc287607789"/>
      <w:bookmarkStart w:id="502" w:name="_Toc200513169"/>
      <w:r>
        <w:rPr>
          <w:rFonts w:ascii="宋体" w:hAnsi="宋体"/>
          <w:b w:val="0"/>
          <w:snapToGrid w:val="0"/>
          <w:color w:val="auto"/>
          <w:highlight w:val="none"/>
        </w:rPr>
        <w:t>8.  重新招标和不再招标</w:t>
      </w:r>
      <w:bookmarkEnd w:id="494"/>
      <w:bookmarkEnd w:id="495"/>
      <w:bookmarkEnd w:id="496"/>
      <w:bookmarkEnd w:id="497"/>
      <w:bookmarkEnd w:id="498"/>
      <w:bookmarkEnd w:id="499"/>
      <w:bookmarkEnd w:id="500"/>
      <w:bookmarkEnd w:id="501"/>
      <w:bookmarkEnd w:id="502"/>
    </w:p>
    <w:p w14:paraId="0474519A">
      <w:pPr>
        <w:pStyle w:val="4"/>
        <w:snapToGrid w:val="0"/>
        <w:spacing w:before="0" w:after="0" w:line="360" w:lineRule="auto"/>
        <w:rPr>
          <w:rFonts w:ascii="宋体" w:hAnsi="宋体"/>
          <w:b w:val="0"/>
          <w:snapToGrid w:val="0"/>
          <w:color w:val="auto"/>
          <w:sz w:val="24"/>
          <w:szCs w:val="24"/>
          <w:highlight w:val="none"/>
        </w:rPr>
      </w:pPr>
      <w:bookmarkStart w:id="503" w:name="_Toc224103361"/>
      <w:bookmarkStart w:id="504" w:name="_Toc509218754"/>
      <w:bookmarkStart w:id="505" w:name="_Toc57905875"/>
      <w:bookmarkStart w:id="506" w:name="_Toc277082596"/>
      <w:bookmarkStart w:id="507" w:name="_Toc4647"/>
      <w:bookmarkStart w:id="508" w:name="_Toc287620729"/>
      <w:bookmarkStart w:id="509" w:name="_Toc430530479"/>
      <w:bookmarkStart w:id="510" w:name="_Toc200513170"/>
      <w:bookmarkStart w:id="511" w:name="_Toc287607790"/>
      <w:r>
        <w:rPr>
          <w:rFonts w:ascii="宋体" w:hAnsi="宋体"/>
          <w:b w:val="0"/>
          <w:snapToGrid w:val="0"/>
          <w:color w:val="auto"/>
          <w:sz w:val="24"/>
          <w:szCs w:val="24"/>
          <w:highlight w:val="none"/>
        </w:rPr>
        <w:t>8.1  重新招标</w:t>
      </w:r>
      <w:bookmarkEnd w:id="503"/>
      <w:bookmarkEnd w:id="504"/>
      <w:bookmarkEnd w:id="505"/>
      <w:bookmarkEnd w:id="506"/>
      <w:bookmarkEnd w:id="507"/>
      <w:bookmarkEnd w:id="508"/>
      <w:bookmarkEnd w:id="509"/>
      <w:bookmarkEnd w:id="510"/>
      <w:bookmarkEnd w:id="511"/>
      <w:r>
        <w:rPr>
          <w:rFonts w:hint="eastAsia" w:ascii="宋体" w:hAnsi="宋体"/>
          <w:b w:val="0"/>
          <w:snapToGrid w:val="0"/>
          <w:color w:val="auto"/>
          <w:sz w:val="24"/>
          <w:szCs w:val="24"/>
          <w:highlight w:val="none"/>
        </w:rPr>
        <w:t>的情形</w:t>
      </w:r>
    </w:p>
    <w:p w14:paraId="1395844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将重新招标：</w:t>
      </w:r>
    </w:p>
    <w:p w14:paraId="3367BA0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止，</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少于 3 个的；</w:t>
      </w:r>
    </w:p>
    <w:p w14:paraId="1666CB9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7DD707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竞选人不足三个的，评标委员会应当否决所有投标。但是有效竞选人的经济、技术等指标仍然具有市场竞争力，能够满足竞选文件要求的，评标委员会可以继续评标并确定中标候选人；</w:t>
      </w:r>
    </w:p>
    <w:p w14:paraId="6D0E324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1D746A42">
      <w:pPr>
        <w:pStyle w:val="4"/>
        <w:snapToGrid w:val="0"/>
        <w:spacing w:before="0" w:after="0" w:line="360" w:lineRule="auto"/>
        <w:rPr>
          <w:rFonts w:ascii="宋体" w:hAnsi="宋体"/>
          <w:b w:val="0"/>
          <w:snapToGrid w:val="0"/>
          <w:color w:val="auto"/>
          <w:sz w:val="24"/>
          <w:szCs w:val="24"/>
          <w:highlight w:val="none"/>
        </w:rPr>
      </w:pPr>
      <w:bookmarkStart w:id="512" w:name="_Toc200513171"/>
      <w:bookmarkStart w:id="513" w:name="_Toc509218755"/>
      <w:bookmarkStart w:id="514" w:name="_Toc277082597"/>
      <w:bookmarkStart w:id="515" w:name="_Toc287607791"/>
      <w:bookmarkStart w:id="516" w:name="_Toc32210"/>
      <w:bookmarkStart w:id="517" w:name="_Toc430530480"/>
      <w:bookmarkStart w:id="518" w:name="_Toc57905876"/>
      <w:bookmarkStart w:id="519" w:name="_Toc287620730"/>
      <w:bookmarkStart w:id="520" w:name="_Toc224103362"/>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512"/>
      <w:bookmarkEnd w:id="513"/>
      <w:bookmarkEnd w:id="514"/>
      <w:bookmarkEnd w:id="515"/>
      <w:bookmarkEnd w:id="516"/>
      <w:bookmarkEnd w:id="517"/>
      <w:bookmarkEnd w:id="518"/>
      <w:bookmarkEnd w:id="519"/>
      <w:bookmarkEnd w:id="520"/>
    </w:p>
    <w:p w14:paraId="24DA5D3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7E82B5E9">
      <w:pPr>
        <w:pStyle w:val="3"/>
        <w:spacing w:before="0" w:after="0" w:line="360" w:lineRule="auto"/>
        <w:rPr>
          <w:rFonts w:ascii="宋体" w:hAnsi="宋体"/>
          <w:b w:val="0"/>
          <w:snapToGrid w:val="0"/>
          <w:color w:val="auto"/>
          <w:highlight w:val="none"/>
        </w:rPr>
      </w:pPr>
      <w:bookmarkStart w:id="521" w:name="_Toc200513172"/>
      <w:bookmarkStart w:id="522" w:name="_Toc277082598"/>
      <w:bookmarkStart w:id="523" w:name="_Toc509218756"/>
      <w:bookmarkStart w:id="524" w:name="_Toc285"/>
      <w:bookmarkStart w:id="525" w:name="_Toc430530481"/>
      <w:bookmarkStart w:id="526" w:name="_Toc287620731"/>
      <w:bookmarkStart w:id="527" w:name="_Toc57905877"/>
      <w:bookmarkStart w:id="528" w:name="_Toc224103363"/>
      <w:bookmarkStart w:id="529" w:name="_Toc287607792"/>
      <w:r>
        <w:rPr>
          <w:rFonts w:ascii="宋体" w:hAnsi="宋体"/>
          <w:b w:val="0"/>
          <w:snapToGrid w:val="0"/>
          <w:color w:val="auto"/>
          <w:highlight w:val="none"/>
        </w:rPr>
        <w:t>9.  纪律和监督</w:t>
      </w:r>
      <w:bookmarkEnd w:id="521"/>
      <w:bookmarkEnd w:id="522"/>
      <w:bookmarkEnd w:id="523"/>
      <w:bookmarkEnd w:id="524"/>
      <w:bookmarkEnd w:id="525"/>
      <w:bookmarkEnd w:id="526"/>
      <w:bookmarkEnd w:id="527"/>
      <w:bookmarkEnd w:id="528"/>
      <w:bookmarkEnd w:id="529"/>
    </w:p>
    <w:p w14:paraId="20F0EE92">
      <w:pPr>
        <w:pStyle w:val="4"/>
        <w:snapToGrid w:val="0"/>
        <w:spacing w:before="0" w:after="0" w:line="360" w:lineRule="auto"/>
        <w:rPr>
          <w:rFonts w:ascii="宋体" w:hAnsi="宋体"/>
          <w:b w:val="0"/>
          <w:snapToGrid w:val="0"/>
          <w:color w:val="auto"/>
          <w:sz w:val="24"/>
          <w:szCs w:val="24"/>
          <w:highlight w:val="none"/>
        </w:rPr>
      </w:pPr>
      <w:bookmarkStart w:id="530" w:name="_Toc277082599"/>
      <w:bookmarkStart w:id="531" w:name="_Toc287607793"/>
      <w:bookmarkStart w:id="532" w:name="_Toc224103364"/>
      <w:bookmarkStart w:id="533" w:name="_Toc57905878"/>
      <w:bookmarkStart w:id="534" w:name="_Toc430530482"/>
      <w:bookmarkStart w:id="535" w:name="_Toc509218757"/>
      <w:bookmarkStart w:id="536" w:name="_Toc287620732"/>
      <w:bookmarkStart w:id="537" w:name="_Toc11532"/>
      <w:bookmarkStart w:id="538" w:name="_Toc200513173"/>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rPr>
        <w:t>比选人</w:t>
      </w:r>
      <w:r>
        <w:rPr>
          <w:rFonts w:ascii="宋体" w:hAnsi="宋体"/>
          <w:b w:val="0"/>
          <w:snapToGrid w:val="0"/>
          <w:color w:val="auto"/>
          <w:sz w:val="24"/>
          <w:szCs w:val="24"/>
          <w:highlight w:val="none"/>
        </w:rPr>
        <w:t>的纪律要求</w:t>
      </w:r>
      <w:bookmarkEnd w:id="530"/>
      <w:bookmarkEnd w:id="531"/>
      <w:bookmarkEnd w:id="532"/>
      <w:bookmarkEnd w:id="533"/>
      <w:bookmarkEnd w:id="534"/>
      <w:bookmarkEnd w:id="535"/>
      <w:bookmarkEnd w:id="536"/>
      <w:bookmarkEnd w:id="537"/>
      <w:bookmarkEnd w:id="538"/>
    </w:p>
    <w:p w14:paraId="2D7B614A">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不得泄漏招标投标活动中应当保密的情况和资料，不得与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5815F74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0EC6839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rPr>
        <w:t>比选人</w:t>
      </w:r>
      <w:r>
        <w:rPr>
          <w:rFonts w:ascii="宋体" w:hAnsi="宋体"/>
          <w:color w:val="auto"/>
          <w:highlight w:val="none"/>
        </w:rPr>
        <w:t>在开标前开启</w:t>
      </w:r>
      <w:r>
        <w:rPr>
          <w:rFonts w:hint="eastAsia" w:ascii="宋体" w:hAnsi="宋体"/>
          <w:color w:val="auto"/>
          <w:highlight w:val="none"/>
        </w:rPr>
        <w:t>竞选文件</w:t>
      </w:r>
      <w:r>
        <w:rPr>
          <w:rFonts w:ascii="宋体" w:hAnsi="宋体"/>
          <w:color w:val="auto"/>
          <w:highlight w:val="none"/>
        </w:rPr>
        <w:t>并将有关信息泄露给其他</w:t>
      </w:r>
      <w:r>
        <w:rPr>
          <w:rFonts w:hint="eastAsia" w:ascii="宋体" w:hAnsi="宋体"/>
          <w:color w:val="auto"/>
          <w:highlight w:val="none"/>
        </w:rPr>
        <w:t>竞选人；</w:t>
      </w:r>
    </w:p>
    <w:p w14:paraId="339B0408">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rPr>
        <w:t>比选人</w:t>
      </w:r>
      <w:r>
        <w:rPr>
          <w:rFonts w:ascii="宋体" w:hAnsi="宋体"/>
          <w:color w:val="auto"/>
          <w:highlight w:val="none"/>
        </w:rPr>
        <w:t>直接或者间接向</w:t>
      </w:r>
      <w:r>
        <w:rPr>
          <w:rFonts w:hint="eastAsia" w:ascii="宋体" w:hAnsi="宋体"/>
          <w:color w:val="auto"/>
          <w:highlight w:val="none"/>
        </w:rPr>
        <w:t>竞选人</w:t>
      </w:r>
      <w:r>
        <w:rPr>
          <w:rFonts w:ascii="宋体" w:hAnsi="宋体"/>
          <w:color w:val="auto"/>
          <w:highlight w:val="none"/>
        </w:rPr>
        <w:t>泄露标底、评标委员会成员等信息；</w:t>
      </w:r>
    </w:p>
    <w:p w14:paraId="3BF5D29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压低或者抬高投标报价；</w:t>
      </w:r>
    </w:p>
    <w:p w14:paraId="3A45092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rPr>
        <w:t>比选人</w:t>
      </w:r>
      <w:r>
        <w:rPr>
          <w:rFonts w:ascii="宋体" w:hAnsi="宋体"/>
          <w:color w:val="auto"/>
          <w:highlight w:val="none"/>
        </w:rPr>
        <w:t>授意</w:t>
      </w:r>
      <w:r>
        <w:rPr>
          <w:rFonts w:hint="eastAsia" w:ascii="宋体" w:hAnsi="宋体"/>
          <w:color w:val="auto"/>
          <w:highlight w:val="none"/>
        </w:rPr>
        <w:t>竞选人</w:t>
      </w:r>
      <w:r>
        <w:rPr>
          <w:rFonts w:ascii="宋体" w:hAnsi="宋体"/>
          <w:color w:val="auto"/>
          <w:highlight w:val="none"/>
        </w:rPr>
        <w:t>撤换、修改</w:t>
      </w:r>
      <w:r>
        <w:rPr>
          <w:rFonts w:hint="eastAsia" w:ascii="宋体" w:hAnsi="宋体"/>
          <w:color w:val="auto"/>
          <w:highlight w:val="none"/>
        </w:rPr>
        <w:t>竞选文件</w:t>
      </w:r>
      <w:r>
        <w:rPr>
          <w:rFonts w:ascii="宋体" w:hAnsi="宋体"/>
          <w:color w:val="auto"/>
          <w:highlight w:val="none"/>
        </w:rPr>
        <w:t>；</w:t>
      </w:r>
    </w:p>
    <w:p w14:paraId="3360BA3B">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为特定</w:t>
      </w:r>
      <w:r>
        <w:rPr>
          <w:rFonts w:hint="eastAsia" w:ascii="宋体" w:hAnsi="宋体"/>
          <w:color w:val="auto"/>
          <w:highlight w:val="none"/>
        </w:rPr>
        <w:t>竞选人</w:t>
      </w:r>
      <w:r>
        <w:rPr>
          <w:rFonts w:ascii="宋体" w:hAnsi="宋体"/>
          <w:color w:val="auto"/>
          <w:highlight w:val="none"/>
        </w:rPr>
        <w:t>中标提供方便；</w:t>
      </w:r>
    </w:p>
    <w:p w14:paraId="1274200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为谋求特定</w:t>
      </w:r>
      <w:r>
        <w:rPr>
          <w:rFonts w:hint="eastAsia" w:ascii="宋体" w:hAnsi="宋体"/>
          <w:color w:val="auto"/>
          <w:highlight w:val="none"/>
        </w:rPr>
        <w:t>竞选人</w:t>
      </w:r>
      <w:r>
        <w:rPr>
          <w:rFonts w:ascii="宋体" w:hAnsi="宋体"/>
          <w:color w:val="auto"/>
          <w:highlight w:val="none"/>
        </w:rPr>
        <w:t>中标而采取的其他串通行为。</w:t>
      </w:r>
    </w:p>
    <w:p w14:paraId="0AFF4D50">
      <w:pPr>
        <w:pStyle w:val="4"/>
        <w:snapToGrid w:val="0"/>
        <w:spacing w:before="0" w:after="0" w:line="360" w:lineRule="auto"/>
        <w:rPr>
          <w:rFonts w:ascii="宋体" w:hAnsi="宋体"/>
          <w:b w:val="0"/>
          <w:snapToGrid w:val="0"/>
          <w:color w:val="auto"/>
          <w:sz w:val="24"/>
          <w:szCs w:val="24"/>
          <w:highlight w:val="none"/>
        </w:rPr>
      </w:pPr>
      <w:bookmarkStart w:id="539" w:name="_Toc430530483"/>
      <w:bookmarkStart w:id="540" w:name="_Toc287607794"/>
      <w:bookmarkStart w:id="541" w:name="_Toc224103365"/>
      <w:bookmarkStart w:id="542" w:name="_Toc200513174"/>
      <w:bookmarkStart w:id="543" w:name="_Toc57905879"/>
      <w:bookmarkStart w:id="544" w:name="_Toc509218758"/>
      <w:bookmarkStart w:id="545" w:name="_Toc277082600"/>
      <w:bookmarkStart w:id="546" w:name="_Toc287620733"/>
      <w:bookmarkStart w:id="547" w:name="_Toc11710"/>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的纪律要求</w:t>
      </w:r>
      <w:bookmarkEnd w:id="539"/>
      <w:bookmarkEnd w:id="540"/>
      <w:bookmarkEnd w:id="541"/>
      <w:bookmarkEnd w:id="542"/>
      <w:bookmarkEnd w:id="543"/>
      <w:bookmarkEnd w:id="544"/>
      <w:bookmarkEnd w:id="545"/>
      <w:bookmarkEnd w:id="546"/>
      <w:bookmarkEnd w:id="547"/>
    </w:p>
    <w:p w14:paraId="4E1FA0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或者评标委员会成员行贿谋取中标，不得以他人名义投标或者以其他方式弄虚作假骗取中标；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0D3F5186">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rPr>
        <w:t>竞选人</w:t>
      </w:r>
      <w:r>
        <w:rPr>
          <w:rFonts w:ascii="宋体" w:hAnsi="宋体"/>
          <w:color w:val="auto"/>
          <w:highlight w:val="none"/>
        </w:rPr>
        <w:t>相互串通投标：</w:t>
      </w:r>
    </w:p>
    <w:p w14:paraId="41A7DF8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竞选人</w:t>
      </w:r>
      <w:r>
        <w:rPr>
          <w:rFonts w:ascii="宋体" w:hAnsi="宋体"/>
          <w:color w:val="auto"/>
          <w:highlight w:val="none"/>
        </w:rPr>
        <w:t>之间协商投标报价等</w:t>
      </w:r>
      <w:r>
        <w:rPr>
          <w:rFonts w:hint="eastAsia" w:ascii="宋体" w:hAnsi="宋体"/>
          <w:color w:val="auto"/>
          <w:highlight w:val="none"/>
        </w:rPr>
        <w:t>竞选文件</w:t>
      </w:r>
      <w:r>
        <w:rPr>
          <w:rFonts w:ascii="宋体" w:hAnsi="宋体"/>
          <w:color w:val="auto"/>
          <w:highlight w:val="none"/>
        </w:rPr>
        <w:t>的实质性内容；</w:t>
      </w:r>
    </w:p>
    <w:p w14:paraId="27627A9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竞选人</w:t>
      </w:r>
      <w:r>
        <w:rPr>
          <w:rFonts w:ascii="宋体" w:hAnsi="宋体"/>
          <w:color w:val="auto"/>
          <w:highlight w:val="none"/>
        </w:rPr>
        <w:t>之间约定中标人；</w:t>
      </w:r>
    </w:p>
    <w:p w14:paraId="3269B54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竞选人</w:t>
      </w:r>
      <w:r>
        <w:rPr>
          <w:rFonts w:ascii="宋体" w:hAnsi="宋体"/>
          <w:color w:val="auto"/>
          <w:highlight w:val="none"/>
        </w:rPr>
        <w:t>之间约定部分</w:t>
      </w:r>
      <w:r>
        <w:rPr>
          <w:rFonts w:hint="eastAsia" w:ascii="宋体" w:hAnsi="宋体"/>
          <w:color w:val="auto"/>
          <w:highlight w:val="none"/>
        </w:rPr>
        <w:t>竞选人</w:t>
      </w:r>
      <w:r>
        <w:rPr>
          <w:rFonts w:ascii="宋体" w:hAnsi="宋体"/>
          <w:color w:val="auto"/>
          <w:highlight w:val="none"/>
        </w:rPr>
        <w:t>放弃投标或者中标；</w:t>
      </w:r>
    </w:p>
    <w:p w14:paraId="4DA8CC2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rPr>
        <w:t>竞选人</w:t>
      </w:r>
      <w:r>
        <w:rPr>
          <w:rFonts w:ascii="宋体" w:hAnsi="宋体"/>
          <w:color w:val="auto"/>
          <w:highlight w:val="none"/>
        </w:rPr>
        <w:t>按照该组织要求协同投标；</w:t>
      </w:r>
    </w:p>
    <w:p w14:paraId="38D61C9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rPr>
        <w:t>竞选人</w:t>
      </w:r>
      <w:r>
        <w:rPr>
          <w:rFonts w:ascii="宋体" w:hAnsi="宋体"/>
          <w:color w:val="auto"/>
          <w:highlight w:val="none"/>
        </w:rPr>
        <w:t>之间为谋取中标或者排斥特定</w:t>
      </w:r>
      <w:r>
        <w:rPr>
          <w:rFonts w:hint="eastAsia" w:ascii="宋体" w:hAnsi="宋体"/>
          <w:color w:val="auto"/>
          <w:highlight w:val="none"/>
        </w:rPr>
        <w:t>竞选人</w:t>
      </w:r>
      <w:r>
        <w:rPr>
          <w:rFonts w:ascii="宋体" w:hAnsi="宋体"/>
          <w:color w:val="auto"/>
          <w:highlight w:val="none"/>
        </w:rPr>
        <w:t>而采取的其他联合行动。</w:t>
      </w:r>
    </w:p>
    <w:p w14:paraId="303BD01F">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rPr>
        <w:t>竞选人</w:t>
      </w:r>
      <w:r>
        <w:rPr>
          <w:rFonts w:ascii="宋体" w:hAnsi="宋体"/>
          <w:color w:val="auto"/>
          <w:highlight w:val="none"/>
        </w:rPr>
        <w:t>相互串通投标：</w:t>
      </w:r>
    </w:p>
    <w:p w14:paraId="038C963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由同一单位或者个人编制；</w:t>
      </w:r>
    </w:p>
    <w:p w14:paraId="5961F2D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rPr>
        <w:t>竞选人</w:t>
      </w:r>
      <w:r>
        <w:rPr>
          <w:rFonts w:ascii="宋体" w:hAnsi="宋体"/>
          <w:color w:val="auto"/>
          <w:highlight w:val="none"/>
        </w:rPr>
        <w:t>委托同一单位或者个人办理投标事宜；</w:t>
      </w:r>
    </w:p>
    <w:p w14:paraId="7808E71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载明的项目管理成员为同一人；</w:t>
      </w:r>
    </w:p>
    <w:p w14:paraId="0B31458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异常一致或者投标报价呈规律性差异；</w:t>
      </w:r>
    </w:p>
    <w:p w14:paraId="73E0B09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相互混装；</w:t>
      </w:r>
    </w:p>
    <w:p w14:paraId="09F8465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rPr>
        <w:t>竞选人</w:t>
      </w:r>
      <w:r>
        <w:rPr>
          <w:rFonts w:ascii="宋体" w:hAnsi="宋体"/>
          <w:color w:val="auto"/>
          <w:highlight w:val="none"/>
        </w:rPr>
        <w:t>的投标保证金从同一单位或者个人的账户转出。</w:t>
      </w:r>
    </w:p>
    <w:p w14:paraId="77CEE31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4037F70D">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9.2.4  竞选人</w:t>
      </w:r>
      <w:r>
        <w:rPr>
          <w:rFonts w:ascii="宋体" w:hAnsi="宋体"/>
          <w:color w:val="auto"/>
          <w:highlight w:val="none"/>
        </w:rPr>
        <w:t>有下列情形之一的，属于以其他方式弄虚作假的行为：</w:t>
      </w:r>
    </w:p>
    <w:p w14:paraId="6DF55E3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4598294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1A58B02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07D90FD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1ABC77F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34286CC9">
      <w:pPr>
        <w:pStyle w:val="4"/>
        <w:snapToGrid w:val="0"/>
        <w:spacing w:before="0" w:after="0" w:line="360" w:lineRule="auto"/>
        <w:rPr>
          <w:rFonts w:ascii="宋体" w:hAnsi="宋体"/>
          <w:b w:val="0"/>
          <w:snapToGrid w:val="0"/>
          <w:color w:val="auto"/>
          <w:sz w:val="24"/>
          <w:szCs w:val="24"/>
          <w:highlight w:val="none"/>
        </w:rPr>
      </w:pPr>
      <w:bookmarkStart w:id="548" w:name="_Toc200513175"/>
      <w:bookmarkStart w:id="549" w:name="_Toc27742"/>
      <w:bookmarkStart w:id="550" w:name="_Toc509218759"/>
      <w:bookmarkStart w:id="551" w:name="_Toc224103366"/>
      <w:bookmarkStart w:id="552" w:name="_Toc287607795"/>
      <w:bookmarkStart w:id="553" w:name="_Toc430530484"/>
      <w:bookmarkStart w:id="554" w:name="_Toc287620734"/>
      <w:bookmarkStart w:id="555" w:name="_Toc277082601"/>
      <w:bookmarkStart w:id="556" w:name="_Toc57905880"/>
      <w:r>
        <w:rPr>
          <w:rFonts w:ascii="宋体" w:hAnsi="宋体"/>
          <w:b w:val="0"/>
          <w:snapToGrid w:val="0"/>
          <w:color w:val="auto"/>
          <w:sz w:val="24"/>
          <w:szCs w:val="24"/>
          <w:highlight w:val="none"/>
        </w:rPr>
        <w:t>9.3  对评标委员会成员的纪律要求</w:t>
      </w:r>
      <w:bookmarkEnd w:id="548"/>
      <w:bookmarkEnd w:id="549"/>
      <w:bookmarkEnd w:id="550"/>
      <w:bookmarkEnd w:id="551"/>
      <w:bookmarkEnd w:id="552"/>
      <w:bookmarkEnd w:id="553"/>
      <w:bookmarkEnd w:id="554"/>
      <w:bookmarkEnd w:id="555"/>
      <w:bookmarkEnd w:id="556"/>
    </w:p>
    <w:p w14:paraId="60A3E3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，不得对竞选文件中《否决投标情况一览表》以外的内容予以否决投标，否则对评标委员会成员按《重庆市综合评标专家库和评标专家管理暂行办法》进行处理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21BCE7F2">
      <w:pPr>
        <w:pStyle w:val="4"/>
        <w:snapToGrid w:val="0"/>
        <w:spacing w:before="0" w:after="0" w:line="360" w:lineRule="auto"/>
        <w:rPr>
          <w:rFonts w:ascii="宋体" w:hAnsi="宋体"/>
          <w:b w:val="0"/>
          <w:snapToGrid w:val="0"/>
          <w:color w:val="auto"/>
          <w:sz w:val="24"/>
          <w:szCs w:val="24"/>
          <w:highlight w:val="none"/>
        </w:rPr>
      </w:pPr>
      <w:bookmarkStart w:id="557" w:name="_Toc17353"/>
      <w:bookmarkStart w:id="558" w:name="_Toc200513176"/>
      <w:bookmarkStart w:id="559" w:name="_Toc287607796"/>
      <w:bookmarkStart w:id="560" w:name="_Toc224103367"/>
      <w:bookmarkStart w:id="561" w:name="_Toc277082602"/>
      <w:bookmarkStart w:id="562" w:name="_Toc57905881"/>
      <w:bookmarkStart w:id="563" w:name="_Toc430530485"/>
      <w:bookmarkStart w:id="564" w:name="_Toc509218760"/>
      <w:bookmarkStart w:id="565" w:name="_Toc287620735"/>
      <w:r>
        <w:rPr>
          <w:rFonts w:ascii="宋体" w:hAnsi="宋体"/>
          <w:b w:val="0"/>
          <w:snapToGrid w:val="0"/>
          <w:color w:val="auto"/>
          <w:sz w:val="24"/>
          <w:szCs w:val="24"/>
          <w:highlight w:val="none"/>
        </w:rPr>
        <w:t>9.4  对与评标活动有关的工作人员的纪律要求</w:t>
      </w:r>
      <w:bookmarkEnd w:id="557"/>
      <w:bookmarkEnd w:id="558"/>
      <w:bookmarkEnd w:id="559"/>
      <w:bookmarkEnd w:id="560"/>
      <w:bookmarkEnd w:id="561"/>
      <w:bookmarkEnd w:id="562"/>
      <w:bookmarkEnd w:id="563"/>
      <w:bookmarkEnd w:id="564"/>
      <w:bookmarkEnd w:id="565"/>
    </w:p>
    <w:p w14:paraId="69C4F65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62F217BF">
      <w:pPr>
        <w:pStyle w:val="4"/>
        <w:snapToGrid w:val="0"/>
        <w:spacing w:before="0" w:after="0" w:line="360" w:lineRule="auto"/>
        <w:rPr>
          <w:rFonts w:ascii="宋体" w:hAnsi="宋体"/>
          <w:b w:val="0"/>
          <w:snapToGrid w:val="0"/>
          <w:color w:val="auto"/>
          <w:sz w:val="24"/>
          <w:szCs w:val="24"/>
          <w:highlight w:val="none"/>
        </w:rPr>
      </w:pPr>
      <w:bookmarkStart w:id="566" w:name="_Toc224103368"/>
      <w:bookmarkStart w:id="567" w:name="_Toc430530486"/>
      <w:bookmarkStart w:id="568" w:name="_Toc57905882"/>
      <w:bookmarkStart w:id="569" w:name="_Toc277082603"/>
      <w:bookmarkStart w:id="570" w:name="_Toc509218761"/>
      <w:bookmarkStart w:id="571" w:name="_Toc17234"/>
      <w:bookmarkStart w:id="572" w:name="_Toc287607797"/>
      <w:bookmarkStart w:id="573" w:name="_Toc200513177"/>
      <w:bookmarkStart w:id="574" w:name="_Toc287620736"/>
      <w:r>
        <w:rPr>
          <w:rFonts w:ascii="宋体" w:hAnsi="宋体"/>
          <w:b w:val="0"/>
          <w:snapToGrid w:val="0"/>
          <w:color w:val="auto"/>
          <w:sz w:val="24"/>
          <w:szCs w:val="24"/>
          <w:highlight w:val="none"/>
        </w:rPr>
        <w:t>9.5  投诉</w:t>
      </w:r>
      <w:bookmarkEnd w:id="566"/>
      <w:bookmarkEnd w:id="567"/>
      <w:bookmarkEnd w:id="568"/>
      <w:bookmarkEnd w:id="569"/>
      <w:bookmarkEnd w:id="570"/>
      <w:bookmarkEnd w:id="571"/>
      <w:bookmarkEnd w:id="572"/>
      <w:bookmarkEnd w:id="573"/>
      <w:bookmarkEnd w:id="574"/>
    </w:p>
    <w:p w14:paraId="11F72A2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和其他利害关系人认为本次招标活动违反法律、法规和规章规定的，有权向有关行政监督部门投诉。</w:t>
      </w:r>
    </w:p>
    <w:p w14:paraId="2C654F32">
      <w:pPr>
        <w:pStyle w:val="3"/>
        <w:spacing w:before="0" w:after="0" w:line="360" w:lineRule="auto"/>
        <w:rPr>
          <w:rFonts w:ascii="宋体" w:hAnsi="宋体"/>
          <w:b w:val="0"/>
          <w:snapToGrid w:val="0"/>
          <w:color w:val="auto"/>
          <w:highlight w:val="none"/>
        </w:rPr>
      </w:pPr>
      <w:bookmarkStart w:id="575" w:name="_Toc13382"/>
      <w:bookmarkStart w:id="576" w:name="_Toc287607798"/>
      <w:bookmarkStart w:id="577" w:name="_Toc277082604"/>
      <w:bookmarkStart w:id="578" w:name="_Toc57905883"/>
      <w:bookmarkStart w:id="579" w:name="_Toc430530487"/>
      <w:bookmarkStart w:id="580" w:name="_Toc200513178"/>
      <w:bookmarkStart w:id="581" w:name="_Toc287620737"/>
      <w:bookmarkStart w:id="582" w:name="_Toc509218762"/>
      <w:bookmarkStart w:id="583" w:name="_Toc224103369"/>
      <w:r>
        <w:rPr>
          <w:rFonts w:ascii="宋体" w:hAnsi="宋体"/>
          <w:b w:val="0"/>
          <w:snapToGrid w:val="0"/>
          <w:color w:val="auto"/>
          <w:highlight w:val="none"/>
        </w:rPr>
        <w:t>10. 需要补充的其他内容</w:t>
      </w:r>
      <w:bookmarkEnd w:id="575"/>
      <w:bookmarkEnd w:id="576"/>
      <w:bookmarkEnd w:id="577"/>
      <w:bookmarkEnd w:id="578"/>
      <w:bookmarkEnd w:id="579"/>
      <w:bookmarkEnd w:id="580"/>
      <w:bookmarkEnd w:id="581"/>
      <w:bookmarkEnd w:id="582"/>
      <w:bookmarkEnd w:id="583"/>
    </w:p>
    <w:p w14:paraId="357594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0E7FDE4">
      <w:pPr>
        <w:pStyle w:val="2"/>
        <w:spacing w:line="360" w:lineRule="auto"/>
        <w:ind w:firstLine="883" w:firstLineChars="200"/>
        <w:jc w:val="center"/>
        <w:rPr>
          <w:rFonts w:ascii="宋体" w:hAnsi="宋体"/>
          <w:color w:val="auto"/>
          <w:highlight w:val="none"/>
        </w:rPr>
      </w:pPr>
      <w:bookmarkStart w:id="584" w:name="_Toc509218774"/>
      <w:bookmarkStart w:id="585" w:name="_Toc6128"/>
      <w:bookmarkStart w:id="586" w:name="_Toc57905895"/>
      <w:bookmarkStart w:id="587" w:name="_Toc200513198"/>
      <w:bookmarkStart w:id="588" w:name="_Toc287607812"/>
      <w:bookmarkStart w:id="589" w:name="_Toc287620751"/>
      <w:bookmarkStart w:id="590" w:name="_Toc430530500"/>
      <w:bookmarkStart w:id="591" w:name="_Toc224103384"/>
      <w:bookmarkStart w:id="592" w:name="_Toc277082618"/>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84"/>
      <w:bookmarkEnd w:id="585"/>
      <w:bookmarkEnd w:id="586"/>
      <w:bookmarkStart w:id="593" w:name="_Toc430530499"/>
      <w:bookmarkStart w:id="594" w:name="_Toc277082617"/>
      <w:bookmarkStart w:id="595" w:name="_Toc287620750"/>
      <w:bookmarkStart w:id="596" w:name="_Toc224103383"/>
      <w:bookmarkStart w:id="597" w:name="_Toc287607811"/>
    </w:p>
    <w:p w14:paraId="211879F0">
      <w:pPr>
        <w:pStyle w:val="3"/>
        <w:spacing w:before="100" w:after="100" w:line="360" w:lineRule="auto"/>
        <w:rPr>
          <w:rFonts w:ascii="宋体" w:hAnsi="宋体"/>
          <w:color w:val="auto"/>
          <w:highlight w:val="none"/>
        </w:rPr>
      </w:pPr>
      <w:bookmarkStart w:id="598" w:name="_Toc57905896"/>
      <w:bookmarkStart w:id="599" w:name="_Toc509218775"/>
      <w:bookmarkStart w:id="600" w:name="_Toc14663"/>
      <w:r>
        <w:rPr>
          <w:rFonts w:hint="eastAsia" w:ascii="宋体" w:hAnsi="宋体"/>
          <w:color w:val="auto"/>
          <w:highlight w:val="none"/>
        </w:rPr>
        <w:t>评标办法前附表</w:t>
      </w:r>
      <w:bookmarkEnd w:id="598"/>
      <w:bookmarkEnd w:id="599"/>
      <w:bookmarkEnd w:id="600"/>
    </w:p>
    <w:p w14:paraId="2BEF824D">
      <w:pPr>
        <w:spacing w:line="360" w:lineRule="auto"/>
        <w:ind w:firstLine="420" w:firstLineChars="200"/>
        <w:rPr>
          <w:color w:val="auto"/>
          <w:szCs w:val="21"/>
          <w:highlight w:val="none"/>
        </w:rPr>
      </w:pPr>
      <w:r>
        <w:rPr>
          <w:color w:val="auto"/>
          <w:szCs w:val="21"/>
          <w:highlight w:val="none"/>
        </w:rPr>
        <w:t>评标办法中的评审内容必须和</w:t>
      </w:r>
      <w:r>
        <w:rPr>
          <w:rFonts w:hint="eastAsia"/>
          <w:color w:val="auto"/>
          <w:szCs w:val="21"/>
          <w:highlight w:val="none"/>
        </w:rPr>
        <w:t>竞选人</w:t>
      </w:r>
      <w:r>
        <w:rPr>
          <w:color w:val="auto"/>
          <w:szCs w:val="21"/>
          <w:highlight w:val="none"/>
        </w:rPr>
        <w:t>须知中的对应内容一致，若</w:t>
      </w:r>
      <w:r>
        <w:rPr>
          <w:rFonts w:hint="eastAsia"/>
          <w:color w:val="auto"/>
          <w:szCs w:val="21"/>
          <w:highlight w:val="none"/>
        </w:rPr>
        <w:t>竞选人</w:t>
      </w:r>
      <w:r>
        <w:rPr>
          <w:color w:val="auto"/>
          <w:szCs w:val="21"/>
          <w:highlight w:val="none"/>
        </w:rPr>
        <w:t>须知中未作要求的内容，不得列入评标办法作为评定依据。</w:t>
      </w:r>
    </w:p>
    <w:bookmarkEnd w:id="593"/>
    <w:bookmarkEnd w:id="594"/>
    <w:bookmarkEnd w:id="595"/>
    <w:bookmarkEnd w:id="596"/>
    <w:bookmarkEnd w:id="597"/>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421"/>
        <w:gridCol w:w="5085"/>
      </w:tblGrid>
      <w:tr w14:paraId="24B2CC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F33C56D">
            <w:pPr>
              <w:spacing w:line="400" w:lineRule="exact"/>
              <w:jc w:val="center"/>
              <w:rPr>
                <w:rFonts w:ascii="宋体" w:hAnsi="宋体"/>
                <w:b/>
                <w:color w:val="auto"/>
                <w:kern w:val="0"/>
                <w:highlight w:val="none"/>
              </w:rPr>
            </w:pPr>
            <w:bookmarkStart w:id="601" w:name="_Toc509218776"/>
            <w:r>
              <w:rPr>
                <w:rFonts w:ascii="宋体" w:hAnsi="宋体"/>
                <w:b/>
                <w:color w:val="auto"/>
                <w:kern w:val="0"/>
                <w:highlight w:val="none"/>
              </w:rPr>
              <w:t>条款号</w:t>
            </w:r>
          </w:p>
        </w:tc>
        <w:tc>
          <w:tcPr>
            <w:tcW w:w="2967" w:type="dxa"/>
            <w:gridSpan w:val="3"/>
            <w:vAlign w:val="center"/>
          </w:tcPr>
          <w:p w14:paraId="144E66ED">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085" w:type="dxa"/>
            <w:vAlign w:val="center"/>
          </w:tcPr>
          <w:p w14:paraId="140009FF">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3AF2D3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31D5E4F9">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2967" w:type="dxa"/>
            <w:gridSpan w:val="3"/>
            <w:vAlign w:val="center"/>
          </w:tcPr>
          <w:p w14:paraId="21F43443">
            <w:pPr>
              <w:spacing w:line="400" w:lineRule="exact"/>
              <w:jc w:val="center"/>
              <w:rPr>
                <w:rFonts w:ascii="宋体" w:hAnsi="宋体"/>
                <w:color w:val="auto"/>
                <w:kern w:val="0"/>
                <w:highlight w:val="none"/>
              </w:rPr>
            </w:pPr>
            <w:r>
              <w:rPr>
                <w:rFonts w:ascii="宋体" w:hAnsi="宋体"/>
                <w:color w:val="auto"/>
                <w:kern w:val="0"/>
                <w:highlight w:val="none"/>
              </w:rPr>
              <w:t>评标办法</w:t>
            </w:r>
          </w:p>
        </w:tc>
        <w:tc>
          <w:tcPr>
            <w:tcW w:w="5085" w:type="dxa"/>
            <w:vAlign w:val="center"/>
          </w:tcPr>
          <w:p w14:paraId="07915D1A">
            <w:pPr>
              <w:spacing w:line="400" w:lineRule="exact"/>
              <w:ind w:firstLine="420" w:firstLineChars="200"/>
              <w:jc w:val="left"/>
              <w:rPr>
                <w:rFonts w:ascii="宋体" w:hAnsi="宋体"/>
                <w:color w:val="auto"/>
                <w:kern w:val="0"/>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ascii="宋体" w:hAnsi="宋体"/>
                <w:color w:val="auto"/>
                <w:spacing w:val="-31"/>
                <w:kern w:val="0"/>
                <w:szCs w:val="21"/>
                <w:highlight w:val="none"/>
              </w:rPr>
              <w:t>。</w:t>
            </w:r>
            <w:r>
              <w:rPr>
                <w:rFonts w:ascii="宋体" w:hAnsi="宋体"/>
                <w:color w:val="auto"/>
                <w:kern w:val="0"/>
                <w:szCs w:val="21"/>
                <w:highlight w:val="none"/>
              </w:rPr>
              <w:t>综合评分相等时</w:t>
            </w:r>
            <w:r>
              <w:rPr>
                <w:rFonts w:ascii="宋体" w:hAnsi="宋体"/>
                <w:color w:val="auto"/>
                <w:spacing w:val="-31"/>
                <w:kern w:val="0"/>
                <w:szCs w:val="21"/>
                <w:highlight w:val="none"/>
              </w:rPr>
              <w:t>，</w:t>
            </w:r>
            <w:r>
              <w:rPr>
                <w:rFonts w:ascii="宋体" w:hAnsi="宋体"/>
                <w:color w:val="auto"/>
                <w:kern w:val="0"/>
                <w:szCs w:val="21"/>
                <w:highlight w:val="none"/>
              </w:rPr>
              <w:t>以投标报价低的优先；投标报价相等的，</w:t>
            </w:r>
            <w:r>
              <w:rPr>
                <w:rFonts w:hint="eastAsia" w:ascii="宋体" w:hAnsi="宋体"/>
                <w:color w:val="auto"/>
                <w:kern w:val="0"/>
                <w:szCs w:val="21"/>
                <w:highlight w:val="none"/>
              </w:rPr>
              <w:t>以“技术部分得分高的优先”的原则排序；</w:t>
            </w:r>
            <w:r>
              <w:rPr>
                <w:rFonts w:ascii="宋体" w:hAnsi="宋体"/>
                <w:color w:val="auto"/>
                <w:kern w:val="0"/>
                <w:szCs w:val="21"/>
                <w:highlight w:val="none"/>
              </w:rPr>
              <w:t>投标报价</w:t>
            </w:r>
            <w:r>
              <w:rPr>
                <w:rFonts w:hint="eastAsia" w:ascii="宋体" w:hAnsi="宋体"/>
                <w:color w:val="auto"/>
                <w:kern w:val="0"/>
                <w:szCs w:val="21"/>
                <w:highlight w:val="none"/>
              </w:rPr>
              <w:t>和技术部分得分均</w:t>
            </w:r>
            <w:r>
              <w:rPr>
                <w:rFonts w:ascii="宋体" w:hAnsi="宋体"/>
                <w:color w:val="auto"/>
                <w:kern w:val="0"/>
                <w:szCs w:val="21"/>
                <w:highlight w:val="none"/>
              </w:rPr>
              <w:t>相等</w:t>
            </w:r>
            <w:r>
              <w:rPr>
                <w:rFonts w:hint="eastAsia" w:ascii="宋体" w:hAnsi="宋体"/>
                <w:color w:val="auto"/>
                <w:kern w:val="0"/>
                <w:szCs w:val="21"/>
                <w:highlight w:val="none"/>
              </w:rPr>
              <w:t>由评标委员会按照</w:t>
            </w:r>
            <w:r>
              <w:rPr>
                <w:rFonts w:hint="eastAsia" w:ascii="宋体" w:hAnsi="宋体"/>
                <w:color w:val="auto"/>
                <w:kern w:val="0"/>
                <w:szCs w:val="21"/>
                <w:highlight w:val="none"/>
                <w:u w:val="single"/>
              </w:rPr>
              <w:t xml:space="preserve"> 评标委员会投票表决 </w:t>
            </w:r>
            <w:r>
              <w:rPr>
                <w:rFonts w:hint="eastAsia" w:ascii="宋体" w:hAnsi="宋体"/>
                <w:color w:val="auto"/>
                <w:kern w:val="0"/>
                <w:szCs w:val="21"/>
                <w:highlight w:val="none"/>
              </w:rPr>
              <w:t>原则排序。</w:t>
            </w:r>
          </w:p>
        </w:tc>
      </w:tr>
      <w:tr w14:paraId="4E0E79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3F7C48FD">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567" w:type="dxa"/>
            <w:vMerge w:val="restart"/>
            <w:vAlign w:val="center"/>
          </w:tcPr>
          <w:p w14:paraId="5D222B55">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967" w:type="dxa"/>
            <w:gridSpan w:val="3"/>
            <w:tcBorders>
              <w:bottom w:val="single" w:color="auto" w:sz="4" w:space="0"/>
            </w:tcBorders>
            <w:vAlign w:val="center"/>
          </w:tcPr>
          <w:p w14:paraId="7E12D636">
            <w:pPr>
              <w:spacing w:line="400" w:lineRule="exact"/>
              <w:jc w:val="left"/>
              <w:rPr>
                <w:rFonts w:ascii="宋体" w:hAnsi="宋体"/>
                <w:color w:val="auto"/>
                <w:kern w:val="0"/>
                <w:highlight w:val="none"/>
              </w:rPr>
            </w:pPr>
            <w:r>
              <w:rPr>
                <w:rFonts w:hint="eastAsia" w:ascii="宋体" w:hAnsi="宋体"/>
                <w:color w:val="auto"/>
                <w:kern w:val="0"/>
                <w:highlight w:val="none"/>
              </w:rPr>
              <w:t>资质条件</w:t>
            </w:r>
          </w:p>
        </w:tc>
        <w:tc>
          <w:tcPr>
            <w:tcW w:w="5085" w:type="dxa"/>
            <w:vAlign w:val="center"/>
          </w:tcPr>
          <w:p w14:paraId="6628FEE7">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7B0DE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3552A84">
            <w:pPr>
              <w:spacing w:line="400" w:lineRule="exact"/>
              <w:rPr>
                <w:rFonts w:ascii="宋体" w:hAnsi="宋体"/>
                <w:color w:val="auto"/>
                <w:highlight w:val="none"/>
              </w:rPr>
            </w:pPr>
          </w:p>
        </w:tc>
        <w:tc>
          <w:tcPr>
            <w:tcW w:w="567" w:type="dxa"/>
            <w:vMerge w:val="continue"/>
          </w:tcPr>
          <w:p w14:paraId="5B9A12D8">
            <w:pPr>
              <w:spacing w:line="400" w:lineRule="exact"/>
              <w:rPr>
                <w:rFonts w:ascii="宋体" w:hAnsi="宋体"/>
                <w:color w:val="auto"/>
                <w:highlight w:val="none"/>
              </w:rPr>
            </w:pPr>
          </w:p>
        </w:tc>
        <w:tc>
          <w:tcPr>
            <w:tcW w:w="2967" w:type="dxa"/>
            <w:gridSpan w:val="3"/>
            <w:tcBorders>
              <w:top w:val="single" w:color="auto" w:sz="4" w:space="0"/>
              <w:bottom w:val="single" w:color="auto" w:sz="4" w:space="0"/>
            </w:tcBorders>
          </w:tcPr>
          <w:p w14:paraId="5D1AE8A3">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085" w:type="dxa"/>
            <w:vAlign w:val="center"/>
          </w:tcPr>
          <w:p w14:paraId="0BF2298C">
            <w:pPr>
              <w:autoSpaceDE w:val="0"/>
              <w:autoSpaceDN w:val="0"/>
              <w:adjustRightIn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3308AF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19FA5462">
            <w:pPr>
              <w:spacing w:line="400" w:lineRule="exact"/>
              <w:rPr>
                <w:rFonts w:ascii="宋体" w:hAnsi="宋体"/>
                <w:color w:val="auto"/>
                <w:highlight w:val="none"/>
              </w:rPr>
            </w:pPr>
          </w:p>
        </w:tc>
        <w:tc>
          <w:tcPr>
            <w:tcW w:w="567" w:type="dxa"/>
            <w:vMerge w:val="continue"/>
          </w:tcPr>
          <w:p w14:paraId="2DC25828">
            <w:pPr>
              <w:spacing w:line="400" w:lineRule="exact"/>
              <w:rPr>
                <w:rFonts w:ascii="宋体" w:hAnsi="宋体"/>
                <w:color w:val="auto"/>
                <w:highlight w:val="none"/>
              </w:rPr>
            </w:pPr>
          </w:p>
        </w:tc>
        <w:tc>
          <w:tcPr>
            <w:tcW w:w="2967" w:type="dxa"/>
            <w:gridSpan w:val="3"/>
            <w:tcBorders>
              <w:top w:val="single" w:color="auto" w:sz="4" w:space="0"/>
            </w:tcBorders>
          </w:tcPr>
          <w:p w14:paraId="149F13C8">
            <w:pPr>
              <w:spacing w:line="400" w:lineRule="exact"/>
              <w:jc w:val="left"/>
              <w:rPr>
                <w:rFonts w:ascii="宋体" w:hAnsi="宋体"/>
                <w:color w:val="auto"/>
                <w:kern w:val="0"/>
                <w:highlight w:val="none"/>
              </w:rPr>
            </w:pPr>
            <w:r>
              <w:rPr>
                <w:rFonts w:hint="eastAsia" w:ascii="宋体" w:hAnsi="宋体"/>
                <w:color w:val="auto"/>
                <w:kern w:val="0"/>
                <w:highlight w:val="none"/>
              </w:rPr>
              <w:t>安全生产条件</w:t>
            </w:r>
          </w:p>
        </w:tc>
        <w:tc>
          <w:tcPr>
            <w:tcW w:w="5085" w:type="dxa"/>
            <w:vAlign w:val="center"/>
          </w:tcPr>
          <w:p w14:paraId="400ADF69">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59452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89FCC78">
            <w:pPr>
              <w:spacing w:line="400" w:lineRule="exact"/>
              <w:rPr>
                <w:rFonts w:ascii="宋体" w:hAnsi="宋体"/>
                <w:color w:val="auto"/>
                <w:highlight w:val="none"/>
              </w:rPr>
            </w:pPr>
          </w:p>
        </w:tc>
        <w:tc>
          <w:tcPr>
            <w:tcW w:w="567" w:type="dxa"/>
            <w:vMerge w:val="continue"/>
          </w:tcPr>
          <w:p w14:paraId="2F44D047">
            <w:pPr>
              <w:spacing w:line="400" w:lineRule="exact"/>
              <w:rPr>
                <w:rFonts w:ascii="宋体" w:hAnsi="宋体"/>
                <w:color w:val="auto"/>
                <w:highlight w:val="none"/>
              </w:rPr>
            </w:pPr>
          </w:p>
        </w:tc>
        <w:tc>
          <w:tcPr>
            <w:tcW w:w="2967" w:type="dxa"/>
            <w:gridSpan w:val="3"/>
            <w:tcBorders>
              <w:top w:val="single" w:color="auto" w:sz="4" w:space="0"/>
              <w:bottom w:val="single" w:color="auto" w:sz="4" w:space="0"/>
            </w:tcBorders>
          </w:tcPr>
          <w:p w14:paraId="7B036E87">
            <w:pPr>
              <w:spacing w:line="400" w:lineRule="exact"/>
              <w:jc w:val="left"/>
              <w:rPr>
                <w:rFonts w:ascii="宋体" w:hAnsi="宋体"/>
                <w:color w:val="auto"/>
                <w:kern w:val="0"/>
                <w:highlight w:val="none"/>
              </w:rPr>
            </w:pPr>
            <w:r>
              <w:rPr>
                <w:rFonts w:ascii="宋体" w:hAnsi="宋体"/>
                <w:color w:val="auto"/>
                <w:szCs w:val="21"/>
                <w:highlight w:val="none"/>
              </w:rPr>
              <w:t>投标截止日投标资格情况</w:t>
            </w:r>
          </w:p>
        </w:tc>
        <w:tc>
          <w:tcPr>
            <w:tcW w:w="5085" w:type="dxa"/>
            <w:vAlign w:val="center"/>
          </w:tcPr>
          <w:p w14:paraId="172E0504">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4EC25D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923F621">
            <w:pPr>
              <w:spacing w:line="400" w:lineRule="exact"/>
              <w:rPr>
                <w:rFonts w:ascii="宋体" w:hAnsi="宋体"/>
                <w:color w:val="auto"/>
                <w:highlight w:val="none"/>
              </w:rPr>
            </w:pPr>
          </w:p>
        </w:tc>
        <w:tc>
          <w:tcPr>
            <w:tcW w:w="567" w:type="dxa"/>
            <w:vMerge w:val="continue"/>
          </w:tcPr>
          <w:p w14:paraId="5F1C9E46">
            <w:pPr>
              <w:spacing w:line="400" w:lineRule="exact"/>
              <w:rPr>
                <w:rFonts w:ascii="宋体" w:hAnsi="宋体"/>
                <w:color w:val="auto"/>
                <w:highlight w:val="none"/>
              </w:rPr>
            </w:pPr>
          </w:p>
        </w:tc>
        <w:tc>
          <w:tcPr>
            <w:tcW w:w="2967" w:type="dxa"/>
            <w:gridSpan w:val="3"/>
            <w:tcBorders>
              <w:top w:val="single" w:color="auto" w:sz="4" w:space="0"/>
              <w:bottom w:val="single" w:color="auto" w:sz="4" w:space="0"/>
            </w:tcBorders>
          </w:tcPr>
          <w:p w14:paraId="3027090D">
            <w:pPr>
              <w:spacing w:line="400" w:lineRule="exact"/>
              <w:jc w:val="left"/>
              <w:rPr>
                <w:rFonts w:ascii="宋体" w:hAnsi="宋体"/>
                <w:color w:val="auto"/>
                <w:szCs w:val="21"/>
                <w:highlight w:val="none"/>
              </w:rPr>
            </w:pPr>
            <w:r>
              <w:rPr>
                <w:rFonts w:ascii="宋体" w:hAnsi="宋体"/>
                <w:color w:val="auto"/>
                <w:kern w:val="0"/>
                <w:highlight w:val="none"/>
              </w:rPr>
              <w:t>项目经理资格</w:t>
            </w:r>
            <w:r>
              <w:rPr>
                <w:rFonts w:hint="eastAsia" w:ascii="宋体" w:hAnsi="宋体"/>
                <w:color w:val="auto"/>
                <w:kern w:val="0"/>
                <w:highlight w:val="none"/>
              </w:rPr>
              <w:t>要求</w:t>
            </w:r>
          </w:p>
        </w:tc>
        <w:tc>
          <w:tcPr>
            <w:tcW w:w="5085" w:type="dxa"/>
            <w:vAlign w:val="center"/>
          </w:tcPr>
          <w:p w14:paraId="6606876D">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1D69D2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0753D9F">
            <w:pPr>
              <w:spacing w:line="400" w:lineRule="exact"/>
              <w:rPr>
                <w:rFonts w:ascii="宋体" w:hAnsi="宋体"/>
                <w:color w:val="auto"/>
                <w:highlight w:val="none"/>
              </w:rPr>
            </w:pPr>
          </w:p>
        </w:tc>
        <w:tc>
          <w:tcPr>
            <w:tcW w:w="567" w:type="dxa"/>
            <w:vMerge w:val="continue"/>
          </w:tcPr>
          <w:p w14:paraId="0D5EDAE2">
            <w:pPr>
              <w:spacing w:line="400" w:lineRule="exact"/>
              <w:rPr>
                <w:rFonts w:ascii="宋体" w:hAnsi="宋体"/>
                <w:color w:val="auto"/>
                <w:highlight w:val="none"/>
              </w:rPr>
            </w:pPr>
          </w:p>
        </w:tc>
        <w:tc>
          <w:tcPr>
            <w:tcW w:w="2967" w:type="dxa"/>
            <w:gridSpan w:val="3"/>
            <w:tcBorders>
              <w:top w:val="single" w:color="auto" w:sz="4" w:space="0"/>
              <w:bottom w:val="single" w:color="auto" w:sz="4" w:space="0"/>
            </w:tcBorders>
          </w:tcPr>
          <w:p w14:paraId="25EBD598">
            <w:pPr>
              <w:spacing w:line="400" w:lineRule="exact"/>
              <w:jc w:val="left"/>
              <w:rPr>
                <w:rFonts w:ascii="宋体" w:hAnsi="宋体"/>
                <w:color w:val="auto"/>
                <w:kern w:val="0"/>
                <w:highlight w:val="none"/>
              </w:rPr>
            </w:pPr>
            <w:r>
              <w:rPr>
                <w:rFonts w:ascii="宋体" w:hAnsi="宋体"/>
                <w:color w:val="auto"/>
                <w:kern w:val="0"/>
                <w:highlight w:val="none"/>
              </w:rPr>
              <w:t>其他要求</w:t>
            </w:r>
          </w:p>
        </w:tc>
        <w:tc>
          <w:tcPr>
            <w:tcW w:w="5085" w:type="dxa"/>
            <w:vAlign w:val="center"/>
          </w:tcPr>
          <w:p w14:paraId="1D16C9E5">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09AE22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B24AB2C">
            <w:pPr>
              <w:spacing w:line="400" w:lineRule="exact"/>
              <w:jc w:val="center"/>
              <w:rPr>
                <w:rFonts w:ascii="宋体" w:hAnsi="宋体"/>
                <w:color w:val="auto"/>
                <w:highlight w:val="none"/>
              </w:rPr>
            </w:pPr>
            <w:r>
              <w:rPr>
                <w:rFonts w:ascii="宋体" w:hAnsi="宋体"/>
                <w:color w:val="auto"/>
                <w:kern w:val="0"/>
                <w:highlight w:val="none"/>
              </w:rPr>
              <w:t>2.1.</w:t>
            </w:r>
            <w:r>
              <w:rPr>
                <w:rFonts w:hint="eastAsia" w:ascii="宋体" w:hAnsi="宋体"/>
                <w:color w:val="auto"/>
                <w:kern w:val="0"/>
                <w:highlight w:val="none"/>
              </w:rPr>
              <w:t>2</w:t>
            </w:r>
          </w:p>
        </w:tc>
        <w:tc>
          <w:tcPr>
            <w:tcW w:w="567" w:type="dxa"/>
            <w:vMerge w:val="restart"/>
            <w:vAlign w:val="center"/>
          </w:tcPr>
          <w:p w14:paraId="693FCC12">
            <w:pPr>
              <w:spacing w:line="400" w:lineRule="exact"/>
              <w:jc w:val="center"/>
              <w:rPr>
                <w:rFonts w:ascii="宋体" w:hAnsi="宋体"/>
                <w:color w:val="auto"/>
                <w:highlight w:val="none"/>
              </w:rPr>
            </w:pPr>
            <w:r>
              <w:rPr>
                <w:rFonts w:ascii="宋体" w:hAnsi="宋体"/>
                <w:color w:val="auto"/>
                <w:kern w:val="0"/>
                <w:highlight w:val="none"/>
              </w:rPr>
              <w:t>形式评审标准</w:t>
            </w:r>
          </w:p>
        </w:tc>
        <w:tc>
          <w:tcPr>
            <w:tcW w:w="2967" w:type="dxa"/>
            <w:gridSpan w:val="3"/>
            <w:tcBorders>
              <w:top w:val="single" w:color="auto" w:sz="4" w:space="0"/>
              <w:bottom w:val="single" w:color="auto" w:sz="4" w:space="0"/>
            </w:tcBorders>
            <w:vAlign w:val="center"/>
          </w:tcPr>
          <w:p w14:paraId="11168A42">
            <w:pPr>
              <w:spacing w:line="400" w:lineRule="exact"/>
              <w:jc w:val="left"/>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名称</w:t>
            </w:r>
          </w:p>
        </w:tc>
        <w:tc>
          <w:tcPr>
            <w:tcW w:w="5085" w:type="dxa"/>
            <w:vAlign w:val="center"/>
          </w:tcPr>
          <w:p w14:paraId="740D06A5">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与营业执照、资质证书、安全生产许可证一致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1CE5CB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47EC382">
            <w:pPr>
              <w:spacing w:line="400" w:lineRule="exact"/>
              <w:rPr>
                <w:rFonts w:ascii="宋体" w:hAnsi="宋体"/>
                <w:color w:val="auto"/>
                <w:highlight w:val="none"/>
              </w:rPr>
            </w:pPr>
          </w:p>
        </w:tc>
        <w:tc>
          <w:tcPr>
            <w:tcW w:w="567" w:type="dxa"/>
            <w:vMerge w:val="continue"/>
          </w:tcPr>
          <w:p w14:paraId="308389AC">
            <w:pPr>
              <w:spacing w:line="400" w:lineRule="exact"/>
              <w:rPr>
                <w:rFonts w:ascii="宋体" w:hAnsi="宋体"/>
                <w:color w:val="auto"/>
                <w:highlight w:val="none"/>
              </w:rPr>
            </w:pPr>
          </w:p>
        </w:tc>
        <w:tc>
          <w:tcPr>
            <w:tcW w:w="2967" w:type="dxa"/>
            <w:gridSpan w:val="3"/>
            <w:tcBorders>
              <w:top w:val="single" w:color="auto" w:sz="4" w:space="0"/>
              <w:bottom w:val="single" w:color="auto" w:sz="4" w:space="0"/>
            </w:tcBorders>
            <w:vAlign w:val="center"/>
          </w:tcPr>
          <w:p w14:paraId="0598018F">
            <w:pPr>
              <w:spacing w:line="400" w:lineRule="exact"/>
              <w:jc w:val="left"/>
              <w:rPr>
                <w:rFonts w:ascii="宋体" w:hAnsi="宋体"/>
                <w:color w:val="auto"/>
                <w:kern w:val="0"/>
                <w:highlight w:val="none"/>
              </w:rPr>
            </w:pPr>
            <w:r>
              <w:rPr>
                <w:rFonts w:ascii="宋体" w:hAnsi="宋体"/>
                <w:color w:val="auto"/>
                <w:kern w:val="0"/>
                <w:highlight w:val="none"/>
              </w:rPr>
              <w:t>投标函</w:t>
            </w:r>
            <w:r>
              <w:rPr>
                <w:rFonts w:hint="eastAsia" w:ascii="宋体" w:hAnsi="宋体"/>
                <w:color w:val="auto"/>
                <w:kern w:val="0"/>
                <w:highlight w:val="none"/>
              </w:rPr>
              <w:t>签名</w:t>
            </w:r>
            <w:r>
              <w:rPr>
                <w:rFonts w:ascii="宋体" w:hAnsi="宋体"/>
                <w:color w:val="auto"/>
                <w:kern w:val="0"/>
                <w:highlight w:val="none"/>
              </w:rPr>
              <w:t>盖章</w:t>
            </w:r>
          </w:p>
        </w:tc>
        <w:tc>
          <w:tcPr>
            <w:tcW w:w="5085" w:type="dxa"/>
            <w:vAlign w:val="center"/>
          </w:tcPr>
          <w:p w14:paraId="5C65E777">
            <w:pPr>
              <w:spacing w:line="400" w:lineRule="exact"/>
              <w:ind w:firstLine="420" w:firstLineChars="200"/>
              <w:rPr>
                <w:rFonts w:ascii="宋体" w:hAnsi="宋体"/>
                <w:color w:val="auto"/>
                <w:kern w:val="0"/>
                <w:highlight w:val="none"/>
              </w:rPr>
            </w:pPr>
            <w:r>
              <w:rPr>
                <w:rFonts w:ascii="宋体" w:hAnsi="宋体"/>
                <w:color w:val="auto"/>
                <w:kern w:val="0"/>
                <w:highlight w:val="none"/>
              </w:rPr>
              <w:t>投标函格式规定</w:t>
            </w:r>
            <w:r>
              <w:rPr>
                <w:rFonts w:hint="eastAsia" w:ascii="宋体" w:hAnsi="宋体"/>
                <w:color w:val="auto"/>
                <w:kern w:val="0"/>
                <w:highlight w:val="none"/>
              </w:rPr>
              <w:t>签名、</w:t>
            </w:r>
            <w:r>
              <w:rPr>
                <w:rFonts w:ascii="宋体" w:hAnsi="宋体"/>
                <w:color w:val="auto"/>
                <w:kern w:val="0"/>
                <w:highlight w:val="none"/>
              </w:rPr>
              <w:t>盖章的位置有法定代表人或其委托代理人</w:t>
            </w:r>
            <w:r>
              <w:rPr>
                <w:rFonts w:hint="eastAsia" w:ascii="宋体" w:hAnsi="宋体"/>
                <w:color w:val="auto"/>
                <w:kern w:val="0"/>
                <w:highlight w:val="none"/>
              </w:rPr>
              <w:t>签名</w:t>
            </w:r>
            <w:r>
              <w:rPr>
                <w:rFonts w:ascii="宋体" w:hAnsi="宋体"/>
                <w:color w:val="auto"/>
                <w:kern w:val="0"/>
                <w:highlight w:val="none"/>
              </w:rPr>
              <w:t>（或盖章）、加盖单位法人章。</w:t>
            </w:r>
          </w:p>
        </w:tc>
      </w:tr>
      <w:tr w14:paraId="5DF7E4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C7E98E0">
            <w:pPr>
              <w:spacing w:line="400" w:lineRule="exact"/>
              <w:rPr>
                <w:rFonts w:ascii="宋体" w:hAnsi="宋体"/>
                <w:color w:val="auto"/>
                <w:highlight w:val="none"/>
              </w:rPr>
            </w:pPr>
          </w:p>
        </w:tc>
        <w:tc>
          <w:tcPr>
            <w:tcW w:w="567" w:type="dxa"/>
            <w:vMerge w:val="continue"/>
          </w:tcPr>
          <w:p w14:paraId="443C4711">
            <w:pPr>
              <w:spacing w:line="400" w:lineRule="exact"/>
              <w:rPr>
                <w:rFonts w:ascii="宋体" w:hAnsi="宋体"/>
                <w:color w:val="auto"/>
                <w:highlight w:val="none"/>
              </w:rPr>
            </w:pPr>
          </w:p>
        </w:tc>
        <w:tc>
          <w:tcPr>
            <w:tcW w:w="2967" w:type="dxa"/>
            <w:gridSpan w:val="3"/>
            <w:tcBorders>
              <w:top w:val="single" w:color="auto" w:sz="4" w:space="0"/>
              <w:bottom w:val="single" w:color="auto" w:sz="4" w:space="0"/>
            </w:tcBorders>
            <w:vAlign w:val="center"/>
          </w:tcPr>
          <w:p w14:paraId="66FFEE6D">
            <w:pPr>
              <w:spacing w:line="400" w:lineRule="exact"/>
              <w:jc w:val="left"/>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格式</w:t>
            </w:r>
          </w:p>
        </w:tc>
        <w:tc>
          <w:tcPr>
            <w:tcW w:w="5085" w:type="dxa"/>
            <w:vAlign w:val="center"/>
          </w:tcPr>
          <w:p w14:paraId="675E9F6B">
            <w:pPr>
              <w:spacing w:line="400" w:lineRule="exact"/>
              <w:ind w:firstLine="420" w:firstLineChars="200"/>
              <w:rPr>
                <w:rFonts w:ascii="宋体" w:hAnsi="宋体"/>
                <w:color w:val="auto"/>
                <w:kern w:val="0"/>
                <w:highlight w:val="none"/>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rPr>
              <w:t>竞选人须知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4610E4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DE5F8CF">
            <w:pPr>
              <w:spacing w:line="400" w:lineRule="exact"/>
              <w:rPr>
                <w:rFonts w:ascii="宋体" w:hAnsi="宋体"/>
                <w:color w:val="auto"/>
                <w:highlight w:val="none"/>
              </w:rPr>
            </w:pPr>
          </w:p>
        </w:tc>
        <w:tc>
          <w:tcPr>
            <w:tcW w:w="567" w:type="dxa"/>
            <w:vMerge w:val="continue"/>
          </w:tcPr>
          <w:p w14:paraId="7310FC7D">
            <w:pPr>
              <w:spacing w:line="400" w:lineRule="exact"/>
              <w:rPr>
                <w:rFonts w:ascii="宋体" w:hAnsi="宋体"/>
                <w:color w:val="auto"/>
                <w:highlight w:val="none"/>
              </w:rPr>
            </w:pPr>
          </w:p>
        </w:tc>
        <w:tc>
          <w:tcPr>
            <w:tcW w:w="2967" w:type="dxa"/>
            <w:gridSpan w:val="3"/>
            <w:tcBorders>
              <w:top w:val="single" w:color="auto" w:sz="4" w:space="0"/>
              <w:bottom w:val="single" w:color="auto" w:sz="4" w:space="0"/>
            </w:tcBorders>
            <w:vAlign w:val="center"/>
          </w:tcPr>
          <w:p w14:paraId="6AAB2F9C">
            <w:pPr>
              <w:spacing w:line="400" w:lineRule="exact"/>
              <w:jc w:val="left"/>
              <w:rPr>
                <w:rFonts w:ascii="宋体" w:hAnsi="宋体"/>
                <w:color w:val="auto"/>
                <w:kern w:val="0"/>
                <w:highlight w:val="none"/>
              </w:rPr>
            </w:pPr>
            <w:r>
              <w:rPr>
                <w:rFonts w:hint="eastAsia" w:ascii="宋体" w:hAnsi="宋体"/>
                <w:color w:val="auto"/>
                <w:kern w:val="0"/>
                <w:highlight w:val="none"/>
              </w:rPr>
              <w:t>竞选文件份数</w:t>
            </w:r>
          </w:p>
        </w:tc>
        <w:tc>
          <w:tcPr>
            <w:tcW w:w="5085" w:type="dxa"/>
            <w:vAlign w:val="center"/>
          </w:tcPr>
          <w:p w14:paraId="28606174">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符合第二章“竞选人须知”第3.7.4项规定。</w:t>
            </w:r>
          </w:p>
        </w:tc>
      </w:tr>
      <w:tr w14:paraId="7A09FE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B5E70C1">
            <w:pPr>
              <w:spacing w:line="400" w:lineRule="exact"/>
              <w:rPr>
                <w:rFonts w:ascii="宋体" w:hAnsi="宋体"/>
                <w:color w:val="auto"/>
                <w:highlight w:val="none"/>
              </w:rPr>
            </w:pPr>
          </w:p>
        </w:tc>
        <w:tc>
          <w:tcPr>
            <w:tcW w:w="567" w:type="dxa"/>
            <w:vMerge w:val="continue"/>
          </w:tcPr>
          <w:p w14:paraId="3CA2A9C9">
            <w:pPr>
              <w:spacing w:line="400" w:lineRule="exact"/>
              <w:rPr>
                <w:rFonts w:ascii="宋体" w:hAnsi="宋体"/>
                <w:color w:val="auto"/>
                <w:highlight w:val="none"/>
              </w:rPr>
            </w:pPr>
          </w:p>
        </w:tc>
        <w:tc>
          <w:tcPr>
            <w:tcW w:w="2967" w:type="dxa"/>
            <w:gridSpan w:val="3"/>
            <w:tcBorders>
              <w:top w:val="single" w:color="auto" w:sz="4" w:space="0"/>
              <w:bottom w:val="single" w:color="auto" w:sz="4" w:space="0"/>
            </w:tcBorders>
            <w:vAlign w:val="center"/>
          </w:tcPr>
          <w:p w14:paraId="09659455">
            <w:pPr>
              <w:spacing w:line="400" w:lineRule="exact"/>
              <w:jc w:val="left"/>
              <w:rPr>
                <w:rFonts w:ascii="宋体" w:hAnsi="宋体"/>
                <w:color w:val="auto"/>
                <w:kern w:val="0"/>
                <w:highlight w:val="none"/>
              </w:rPr>
            </w:pPr>
            <w:r>
              <w:rPr>
                <w:rFonts w:ascii="宋体" w:hAnsi="宋体"/>
                <w:color w:val="auto"/>
                <w:kern w:val="0"/>
                <w:highlight w:val="none"/>
              </w:rPr>
              <w:t>报价唯一</w:t>
            </w:r>
          </w:p>
        </w:tc>
        <w:tc>
          <w:tcPr>
            <w:tcW w:w="5085" w:type="dxa"/>
            <w:vAlign w:val="center"/>
          </w:tcPr>
          <w:p w14:paraId="3E5E7016">
            <w:pPr>
              <w:spacing w:line="400" w:lineRule="exact"/>
              <w:ind w:firstLine="420" w:firstLineChars="200"/>
              <w:rPr>
                <w:rFonts w:ascii="宋体" w:hAnsi="宋体"/>
                <w:color w:val="auto"/>
                <w:kern w:val="0"/>
                <w:highlight w:val="none"/>
              </w:rPr>
            </w:pPr>
            <w:r>
              <w:rPr>
                <w:rFonts w:ascii="宋体" w:hAnsi="宋体"/>
                <w:color w:val="auto"/>
                <w:kern w:val="0"/>
                <w:highlight w:val="none"/>
              </w:rPr>
              <w:t>只能有一个有效报价，在</w:t>
            </w:r>
            <w:r>
              <w:rPr>
                <w:rFonts w:hint="eastAsia" w:ascii="宋体" w:hAnsi="宋体"/>
                <w:color w:val="auto"/>
                <w:kern w:val="0"/>
                <w:highlight w:val="none"/>
              </w:rPr>
              <w:t>竞选文件</w:t>
            </w:r>
            <w:r>
              <w:rPr>
                <w:rFonts w:ascii="宋体" w:hAnsi="宋体"/>
                <w:color w:val="auto"/>
                <w:kern w:val="0"/>
                <w:highlight w:val="none"/>
              </w:rPr>
              <w:t>没有规定的情况下，不得提交选择性报价。</w:t>
            </w:r>
          </w:p>
        </w:tc>
      </w:tr>
      <w:tr w14:paraId="48859E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090FDDC">
            <w:pPr>
              <w:spacing w:line="400" w:lineRule="exact"/>
              <w:rPr>
                <w:rFonts w:ascii="宋体" w:hAnsi="宋体"/>
                <w:color w:val="auto"/>
                <w:highlight w:val="none"/>
              </w:rPr>
            </w:pPr>
          </w:p>
        </w:tc>
        <w:tc>
          <w:tcPr>
            <w:tcW w:w="567" w:type="dxa"/>
            <w:vMerge w:val="continue"/>
          </w:tcPr>
          <w:p w14:paraId="7E3286DD">
            <w:pPr>
              <w:spacing w:line="400" w:lineRule="exact"/>
              <w:rPr>
                <w:rFonts w:ascii="宋体" w:hAnsi="宋体"/>
                <w:color w:val="auto"/>
                <w:highlight w:val="none"/>
              </w:rPr>
            </w:pPr>
          </w:p>
        </w:tc>
        <w:tc>
          <w:tcPr>
            <w:tcW w:w="2967" w:type="dxa"/>
            <w:gridSpan w:val="3"/>
            <w:tcBorders>
              <w:top w:val="single" w:color="auto" w:sz="4" w:space="0"/>
              <w:bottom w:val="single" w:color="auto" w:sz="4" w:space="0"/>
            </w:tcBorders>
            <w:vAlign w:val="center"/>
          </w:tcPr>
          <w:p w14:paraId="2B5D23BE">
            <w:pPr>
              <w:spacing w:line="400" w:lineRule="exact"/>
              <w:jc w:val="left"/>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的签署</w:t>
            </w:r>
          </w:p>
        </w:tc>
        <w:tc>
          <w:tcPr>
            <w:tcW w:w="5085" w:type="dxa"/>
            <w:vAlign w:val="center"/>
          </w:tcPr>
          <w:p w14:paraId="0511F576">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第八章 竞选文件格式要求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p>
        </w:tc>
      </w:tr>
      <w:tr w14:paraId="370985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34B7FC6">
            <w:pPr>
              <w:spacing w:line="400" w:lineRule="exact"/>
              <w:rPr>
                <w:rFonts w:ascii="宋体" w:hAnsi="宋体"/>
                <w:color w:val="auto"/>
                <w:highlight w:val="none"/>
              </w:rPr>
            </w:pPr>
          </w:p>
        </w:tc>
        <w:tc>
          <w:tcPr>
            <w:tcW w:w="567" w:type="dxa"/>
            <w:vMerge w:val="continue"/>
          </w:tcPr>
          <w:p w14:paraId="59269E6D">
            <w:pPr>
              <w:spacing w:line="400" w:lineRule="exact"/>
              <w:rPr>
                <w:rFonts w:ascii="宋体" w:hAnsi="宋体"/>
                <w:color w:val="auto"/>
                <w:highlight w:val="none"/>
              </w:rPr>
            </w:pPr>
          </w:p>
        </w:tc>
        <w:tc>
          <w:tcPr>
            <w:tcW w:w="2967" w:type="dxa"/>
            <w:gridSpan w:val="3"/>
            <w:tcBorders>
              <w:top w:val="single" w:color="auto" w:sz="4" w:space="0"/>
              <w:bottom w:val="single" w:color="auto" w:sz="4" w:space="0"/>
            </w:tcBorders>
            <w:vAlign w:val="center"/>
          </w:tcPr>
          <w:p w14:paraId="59C3EB8E">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085" w:type="dxa"/>
            <w:vAlign w:val="center"/>
          </w:tcPr>
          <w:p w14:paraId="7DBCCD87">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和竞选人为其缴纳的养老保险。</w:t>
            </w:r>
          </w:p>
        </w:tc>
      </w:tr>
      <w:tr w14:paraId="5E3F12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17F64F0A">
            <w:pPr>
              <w:spacing w:line="400" w:lineRule="exact"/>
              <w:jc w:val="center"/>
              <w:rPr>
                <w:rFonts w:ascii="宋体" w:hAnsi="宋体"/>
                <w:color w:val="auto"/>
                <w:highlight w:val="none"/>
              </w:rPr>
            </w:pPr>
            <w:r>
              <w:rPr>
                <w:rFonts w:ascii="宋体" w:hAnsi="宋体"/>
                <w:color w:val="auto"/>
                <w:kern w:val="0"/>
                <w:highlight w:val="none"/>
              </w:rPr>
              <w:t>2.1.3</w:t>
            </w:r>
          </w:p>
        </w:tc>
        <w:tc>
          <w:tcPr>
            <w:tcW w:w="567" w:type="dxa"/>
            <w:vMerge w:val="restart"/>
            <w:vAlign w:val="center"/>
          </w:tcPr>
          <w:p w14:paraId="09080400">
            <w:pPr>
              <w:spacing w:line="400" w:lineRule="exact"/>
              <w:jc w:val="center"/>
              <w:rPr>
                <w:rFonts w:ascii="宋体" w:hAnsi="宋体"/>
                <w:color w:val="auto"/>
                <w:highlight w:val="none"/>
              </w:rPr>
            </w:pPr>
            <w:r>
              <w:rPr>
                <w:rFonts w:ascii="宋体" w:hAnsi="宋体"/>
                <w:color w:val="auto"/>
                <w:kern w:val="0"/>
                <w:highlight w:val="none"/>
              </w:rPr>
              <w:t>响应性评审标准</w:t>
            </w:r>
          </w:p>
        </w:tc>
        <w:tc>
          <w:tcPr>
            <w:tcW w:w="2967" w:type="dxa"/>
            <w:gridSpan w:val="3"/>
            <w:vAlign w:val="center"/>
          </w:tcPr>
          <w:p w14:paraId="279CCBC8">
            <w:pPr>
              <w:spacing w:line="400" w:lineRule="exact"/>
              <w:jc w:val="left"/>
              <w:rPr>
                <w:rFonts w:ascii="宋体" w:hAnsi="宋体"/>
                <w:color w:val="auto"/>
                <w:kern w:val="0"/>
                <w:highlight w:val="none"/>
              </w:rPr>
            </w:pPr>
            <w:r>
              <w:rPr>
                <w:rFonts w:hint="eastAsia" w:ascii="宋体" w:hAnsi="宋体"/>
                <w:color w:val="auto"/>
                <w:kern w:val="0"/>
                <w:highlight w:val="none"/>
              </w:rPr>
              <w:t>竞选总报价</w:t>
            </w:r>
          </w:p>
        </w:tc>
        <w:tc>
          <w:tcPr>
            <w:tcW w:w="5085" w:type="dxa"/>
            <w:vAlign w:val="center"/>
          </w:tcPr>
          <w:p w14:paraId="3B9A77BB">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hint="eastAsia" w:ascii="宋体" w:hAnsi="宋体" w:cs="宋体"/>
                <w:color w:val="auto"/>
                <w:szCs w:val="21"/>
                <w:highlight w:val="none"/>
              </w:rPr>
              <w:t>竞选总报价必须与已标价工程量清单总报价一致。</w:t>
            </w:r>
          </w:p>
          <w:p w14:paraId="617D7E1D">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竞选总报价</w:t>
            </w:r>
            <w:r>
              <w:rPr>
                <w:rFonts w:ascii="宋体" w:hAnsi="宋体"/>
                <w:color w:val="auto"/>
                <w:kern w:val="0"/>
                <w:highlight w:val="none"/>
              </w:rPr>
              <w:t>不得高于</w:t>
            </w:r>
            <w:r>
              <w:rPr>
                <w:rFonts w:hint="eastAsia" w:ascii="宋体" w:hAnsi="宋体"/>
                <w:color w:val="auto"/>
                <w:kern w:val="0"/>
                <w:highlight w:val="none"/>
              </w:rPr>
              <w:t>比选人</w:t>
            </w:r>
            <w:r>
              <w:rPr>
                <w:rFonts w:ascii="宋体" w:hAnsi="宋体"/>
                <w:color w:val="auto"/>
                <w:kern w:val="0"/>
                <w:highlight w:val="none"/>
              </w:rPr>
              <w:t>公布的</w:t>
            </w:r>
            <w:r>
              <w:rPr>
                <w:rFonts w:hint="eastAsia" w:ascii="宋体" w:hAnsi="宋体"/>
                <w:color w:val="auto"/>
                <w:kern w:val="0"/>
                <w:highlight w:val="none"/>
              </w:rPr>
              <w:t>竞选总报价</w:t>
            </w:r>
            <w:r>
              <w:rPr>
                <w:rFonts w:ascii="宋体" w:hAnsi="宋体"/>
                <w:color w:val="auto"/>
                <w:kern w:val="0"/>
                <w:highlight w:val="none"/>
              </w:rPr>
              <w:t>最高限价</w:t>
            </w:r>
            <w:r>
              <w:rPr>
                <w:rFonts w:hint="eastAsia" w:ascii="宋体" w:hAnsi="宋体"/>
                <w:color w:val="auto"/>
                <w:kern w:val="0"/>
                <w:highlight w:val="none"/>
              </w:rPr>
              <w:t>。</w:t>
            </w:r>
          </w:p>
        </w:tc>
      </w:tr>
      <w:tr w14:paraId="705F5E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48BAF146">
            <w:pPr>
              <w:spacing w:line="400" w:lineRule="exact"/>
              <w:jc w:val="center"/>
              <w:rPr>
                <w:rFonts w:ascii="宋体" w:hAnsi="宋体"/>
                <w:color w:val="auto"/>
                <w:kern w:val="0"/>
                <w:highlight w:val="none"/>
              </w:rPr>
            </w:pPr>
          </w:p>
        </w:tc>
        <w:tc>
          <w:tcPr>
            <w:tcW w:w="567" w:type="dxa"/>
            <w:vMerge w:val="continue"/>
            <w:textDirection w:val="tbRlV"/>
            <w:vAlign w:val="center"/>
          </w:tcPr>
          <w:p w14:paraId="1D8F07F4">
            <w:pPr>
              <w:spacing w:line="400" w:lineRule="exact"/>
              <w:jc w:val="center"/>
              <w:rPr>
                <w:rFonts w:ascii="宋体" w:hAnsi="宋体"/>
                <w:color w:val="auto"/>
                <w:kern w:val="0"/>
                <w:highlight w:val="none"/>
              </w:rPr>
            </w:pPr>
          </w:p>
        </w:tc>
        <w:tc>
          <w:tcPr>
            <w:tcW w:w="2967" w:type="dxa"/>
            <w:gridSpan w:val="3"/>
            <w:vAlign w:val="center"/>
          </w:tcPr>
          <w:p w14:paraId="0EA641BE">
            <w:pPr>
              <w:spacing w:line="400" w:lineRule="exact"/>
              <w:jc w:val="left"/>
              <w:rPr>
                <w:rFonts w:ascii="宋体" w:hAnsi="宋体"/>
                <w:color w:val="auto"/>
                <w:kern w:val="0"/>
                <w:highlight w:val="none"/>
              </w:rPr>
            </w:pPr>
            <w:r>
              <w:rPr>
                <w:rFonts w:hint="eastAsia" w:ascii="宋体" w:hAnsi="宋体"/>
                <w:color w:val="auto"/>
                <w:kern w:val="0"/>
                <w:highlight w:val="none"/>
              </w:rPr>
              <w:t>暂定金额</w:t>
            </w:r>
          </w:p>
        </w:tc>
        <w:tc>
          <w:tcPr>
            <w:tcW w:w="5085" w:type="dxa"/>
            <w:vAlign w:val="center"/>
          </w:tcPr>
          <w:p w14:paraId="49AB6973">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暂列金额、暂估价、安全文明施工费等暂定金额必须按照竞选文件给定的金额填报</w:t>
            </w:r>
          </w:p>
        </w:tc>
      </w:tr>
      <w:tr w14:paraId="2F12C4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315F922D">
            <w:pPr>
              <w:spacing w:line="400" w:lineRule="exact"/>
              <w:jc w:val="center"/>
              <w:rPr>
                <w:rFonts w:ascii="宋体" w:hAnsi="宋体"/>
                <w:color w:val="auto"/>
                <w:kern w:val="0"/>
                <w:highlight w:val="none"/>
              </w:rPr>
            </w:pPr>
          </w:p>
        </w:tc>
        <w:tc>
          <w:tcPr>
            <w:tcW w:w="567" w:type="dxa"/>
            <w:vMerge w:val="continue"/>
            <w:textDirection w:val="tbRlV"/>
            <w:vAlign w:val="center"/>
          </w:tcPr>
          <w:p w14:paraId="79C73CEE">
            <w:pPr>
              <w:spacing w:line="400" w:lineRule="exact"/>
              <w:jc w:val="center"/>
              <w:rPr>
                <w:rFonts w:ascii="宋体" w:hAnsi="宋体"/>
                <w:color w:val="auto"/>
                <w:kern w:val="0"/>
                <w:highlight w:val="none"/>
              </w:rPr>
            </w:pPr>
          </w:p>
        </w:tc>
        <w:tc>
          <w:tcPr>
            <w:tcW w:w="2967" w:type="dxa"/>
            <w:gridSpan w:val="3"/>
            <w:vAlign w:val="center"/>
          </w:tcPr>
          <w:p w14:paraId="45B19A44">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085" w:type="dxa"/>
            <w:vAlign w:val="center"/>
          </w:tcPr>
          <w:p w14:paraId="5CFB2322">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须知”第1.3.1项规定</w:t>
            </w:r>
          </w:p>
        </w:tc>
      </w:tr>
      <w:tr w14:paraId="7E20D6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EB51884">
            <w:pPr>
              <w:spacing w:line="400" w:lineRule="exact"/>
              <w:jc w:val="center"/>
              <w:rPr>
                <w:rFonts w:ascii="宋体" w:hAnsi="宋体"/>
                <w:color w:val="auto"/>
                <w:highlight w:val="none"/>
              </w:rPr>
            </w:pPr>
          </w:p>
        </w:tc>
        <w:tc>
          <w:tcPr>
            <w:tcW w:w="567" w:type="dxa"/>
            <w:vMerge w:val="continue"/>
          </w:tcPr>
          <w:p w14:paraId="297C1DBF">
            <w:pPr>
              <w:spacing w:line="400" w:lineRule="exact"/>
              <w:jc w:val="center"/>
              <w:rPr>
                <w:rFonts w:ascii="宋体" w:hAnsi="宋体"/>
                <w:color w:val="auto"/>
                <w:highlight w:val="none"/>
              </w:rPr>
            </w:pPr>
          </w:p>
        </w:tc>
        <w:tc>
          <w:tcPr>
            <w:tcW w:w="2967" w:type="dxa"/>
            <w:gridSpan w:val="3"/>
            <w:vAlign w:val="center"/>
          </w:tcPr>
          <w:p w14:paraId="275B4C9C">
            <w:pPr>
              <w:spacing w:line="400" w:lineRule="exact"/>
              <w:jc w:val="left"/>
              <w:rPr>
                <w:rFonts w:ascii="宋体" w:hAnsi="宋体"/>
                <w:color w:val="auto"/>
                <w:kern w:val="0"/>
                <w:highlight w:val="none"/>
              </w:rPr>
            </w:pPr>
            <w:r>
              <w:rPr>
                <w:rFonts w:ascii="宋体" w:hAnsi="宋体"/>
                <w:color w:val="auto"/>
                <w:kern w:val="0"/>
                <w:highlight w:val="none"/>
              </w:rPr>
              <w:t>工期</w:t>
            </w:r>
          </w:p>
        </w:tc>
        <w:tc>
          <w:tcPr>
            <w:tcW w:w="5085" w:type="dxa"/>
            <w:vAlign w:val="center"/>
          </w:tcPr>
          <w:p w14:paraId="3E7E6423">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须知”第1.3.2项规定</w:t>
            </w:r>
          </w:p>
        </w:tc>
      </w:tr>
      <w:tr w14:paraId="1B618A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66D30FA">
            <w:pPr>
              <w:spacing w:line="400" w:lineRule="exact"/>
              <w:jc w:val="center"/>
              <w:rPr>
                <w:rFonts w:ascii="宋体" w:hAnsi="宋体"/>
                <w:color w:val="auto"/>
                <w:highlight w:val="none"/>
              </w:rPr>
            </w:pPr>
          </w:p>
        </w:tc>
        <w:tc>
          <w:tcPr>
            <w:tcW w:w="567" w:type="dxa"/>
            <w:vMerge w:val="continue"/>
          </w:tcPr>
          <w:p w14:paraId="0BC933B3">
            <w:pPr>
              <w:spacing w:line="400" w:lineRule="exact"/>
              <w:jc w:val="center"/>
              <w:rPr>
                <w:rFonts w:ascii="宋体" w:hAnsi="宋体"/>
                <w:color w:val="auto"/>
                <w:highlight w:val="none"/>
              </w:rPr>
            </w:pPr>
          </w:p>
        </w:tc>
        <w:tc>
          <w:tcPr>
            <w:tcW w:w="2967" w:type="dxa"/>
            <w:gridSpan w:val="3"/>
            <w:vAlign w:val="center"/>
          </w:tcPr>
          <w:p w14:paraId="679F1780">
            <w:pPr>
              <w:spacing w:line="400" w:lineRule="exact"/>
              <w:jc w:val="left"/>
              <w:rPr>
                <w:rFonts w:ascii="宋体" w:hAnsi="宋体"/>
                <w:color w:val="auto"/>
                <w:kern w:val="0"/>
                <w:highlight w:val="none"/>
              </w:rPr>
            </w:pPr>
            <w:r>
              <w:rPr>
                <w:rFonts w:ascii="宋体" w:hAnsi="宋体"/>
                <w:color w:val="auto"/>
                <w:kern w:val="0"/>
                <w:highlight w:val="none"/>
              </w:rPr>
              <w:t>工程质量</w:t>
            </w:r>
          </w:p>
        </w:tc>
        <w:tc>
          <w:tcPr>
            <w:tcW w:w="5085" w:type="dxa"/>
            <w:vAlign w:val="center"/>
          </w:tcPr>
          <w:p w14:paraId="5B9C349E">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须知”第1.3.3项规定</w:t>
            </w:r>
          </w:p>
        </w:tc>
      </w:tr>
      <w:tr w14:paraId="11BDA4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D4BD3D4">
            <w:pPr>
              <w:spacing w:line="400" w:lineRule="exact"/>
              <w:jc w:val="center"/>
              <w:rPr>
                <w:rFonts w:ascii="宋体" w:hAnsi="宋体"/>
                <w:color w:val="auto"/>
                <w:highlight w:val="none"/>
              </w:rPr>
            </w:pPr>
          </w:p>
        </w:tc>
        <w:tc>
          <w:tcPr>
            <w:tcW w:w="567" w:type="dxa"/>
            <w:vMerge w:val="continue"/>
          </w:tcPr>
          <w:p w14:paraId="1DFAEEF7">
            <w:pPr>
              <w:spacing w:line="400" w:lineRule="exact"/>
              <w:jc w:val="center"/>
              <w:rPr>
                <w:rFonts w:ascii="宋体" w:hAnsi="宋体"/>
                <w:color w:val="auto"/>
                <w:highlight w:val="none"/>
              </w:rPr>
            </w:pPr>
          </w:p>
        </w:tc>
        <w:tc>
          <w:tcPr>
            <w:tcW w:w="2967" w:type="dxa"/>
            <w:gridSpan w:val="3"/>
            <w:vAlign w:val="center"/>
          </w:tcPr>
          <w:p w14:paraId="423B79E2">
            <w:pPr>
              <w:spacing w:line="400" w:lineRule="exact"/>
              <w:jc w:val="left"/>
              <w:rPr>
                <w:rFonts w:ascii="宋体" w:hAnsi="宋体"/>
                <w:color w:val="auto"/>
                <w:kern w:val="0"/>
                <w:highlight w:val="none"/>
              </w:rPr>
            </w:pPr>
            <w:r>
              <w:rPr>
                <w:rFonts w:ascii="宋体" w:hAnsi="宋体"/>
                <w:color w:val="auto"/>
                <w:kern w:val="0"/>
                <w:highlight w:val="none"/>
              </w:rPr>
              <w:t>投标有效期</w:t>
            </w:r>
          </w:p>
        </w:tc>
        <w:tc>
          <w:tcPr>
            <w:tcW w:w="5085" w:type="dxa"/>
            <w:vAlign w:val="center"/>
          </w:tcPr>
          <w:p w14:paraId="38A4C301">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须知”第3.3.1项规定</w:t>
            </w:r>
          </w:p>
        </w:tc>
      </w:tr>
      <w:tr w14:paraId="0EE2E5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8C3C8B7">
            <w:pPr>
              <w:spacing w:line="400" w:lineRule="exact"/>
              <w:jc w:val="center"/>
              <w:rPr>
                <w:rFonts w:ascii="宋体" w:hAnsi="宋体"/>
                <w:color w:val="auto"/>
                <w:highlight w:val="none"/>
              </w:rPr>
            </w:pPr>
          </w:p>
        </w:tc>
        <w:tc>
          <w:tcPr>
            <w:tcW w:w="567" w:type="dxa"/>
            <w:vMerge w:val="continue"/>
          </w:tcPr>
          <w:p w14:paraId="750F87D5">
            <w:pPr>
              <w:spacing w:line="400" w:lineRule="exact"/>
              <w:jc w:val="center"/>
              <w:rPr>
                <w:rFonts w:ascii="宋体" w:hAnsi="宋体"/>
                <w:color w:val="auto"/>
                <w:highlight w:val="none"/>
              </w:rPr>
            </w:pPr>
          </w:p>
        </w:tc>
        <w:tc>
          <w:tcPr>
            <w:tcW w:w="2967" w:type="dxa"/>
            <w:gridSpan w:val="3"/>
            <w:vAlign w:val="center"/>
          </w:tcPr>
          <w:p w14:paraId="0C630E21">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085" w:type="dxa"/>
            <w:vAlign w:val="center"/>
          </w:tcPr>
          <w:p w14:paraId="21E95BC5">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rPr>
              <w:t>竞选人</w:t>
            </w:r>
            <w:r>
              <w:rPr>
                <w:rFonts w:ascii="宋体" w:hAnsi="宋体"/>
                <w:color w:val="auto"/>
                <w:kern w:val="0"/>
                <w:szCs w:val="21"/>
                <w:highlight w:val="none"/>
              </w:rPr>
              <w:t>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6CD239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29AD3CF">
            <w:pPr>
              <w:spacing w:line="400" w:lineRule="exact"/>
              <w:jc w:val="center"/>
              <w:rPr>
                <w:rFonts w:ascii="宋体" w:hAnsi="宋体"/>
                <w:color w:val="auto"/>
                <w:highlight w:val="none"/>
              </w:rPr>
            </w:pPr>
          </w:p>
        </w:tc>
        <w:tc>
          <w:tcPr>
            <w:tcW w:w="567" w:type="dxa"/>
            <w:vMerge w:val="continue"/>
          </w:tcPr>
          <w:p w14:paraId="61D3721D">
            <w:pPr>
              <w:spacing w:line="400" w:lineRule="exact"/>
              <w:jc w:val="center"/>
              <w:rPr>
                <w:rFonts w:ascii="宋体" w:hAnsi="宋体"/>
                <w:color w:val="auto"/>
                <w:highlight w:val="none"/>
              </w:rPr>
            </w:pPr>
          </w:p>
        </w:tc>
        <w:tc>
          <w:tcPr>
            <w:tcW w:w="2967" w:type="dxa"/>
            <w:gridSpan w:val="3"/>
            <w:vAlign w:val="center"/>
          </w:tcPr>
          <w:p w14:paraId="4685EA7B">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085" w:type="dxa"/>
            <w:vAlign w:val="center"/>
          </w:tcPr>
          <w:p w14:paraId="1B5332EB">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rPr>
              <w:t>竞选文件</w:t>
            </w:r>
            <w:r>
              <w:rPr>
                <w:rFonts w:ascii="宋体" w:hAnsi="宋体"/>
                <w:color w:val="auto"/>
                <w:kern w:val="0"/>
                <w:highlight w:val="none"/>
              </w:rPr>
              <w:t>不应附有</w:t>
            </w:r>
            <w:r>
              <w:rPr>
                <w:rFonts w:hint="eastAsia" w:ascii="宋体" w:hAnsi="宋体"/>
                <w:color w:val="auto"/>
                <w:kern w:val="0"/>
                <w:highlight w:val="none"/>
              </w:rPr>
              <w:t>比选人</w:t>
            </w:r>
            <w:r>
              <w:rPr>
                <w:rFonts w:ascii="宋体" w:hAnsi="宋体"/>
                <w:color w:val="auto"/>
                <w:kern w:val="0"/>
                <w:highlight w:val="none"/>
              </w:rPr>
              <w:t>不能接受的条件。</w:t>
            </w:r>
            <w:r>
              <w:rPr>
                <w:rFonts w:hint="eastAsia" w:ascii="宋体" w:hAnsi="宋体" w:cs="宋体"/>
                <w:color w:val="auto"/>
                <w:kern w:val="0"/>
                <w:highlight w:val="none"/>
              </w:rPr>
              <w:t>（由竞选人承诺，承诺书格式详见第八章竞选文件格式。）</w:t>
            </w:r>
          </w:p>
        </w:tc>
      </w:tr>
      <w:tr w14:paraId="6A0E01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52B24E2C">
            <w:pPr>
              <w:spacing w:line="400" w:lineRule="exact"/>
              <w:jc w:val="center"/>
              <w:rPr>
                <w:rFonts w:ascii="宋体" w:hAnsi="宋体"/>
                <w:color w:val="auto"/>
                <w:highlight w:val="none"/>
              </w:rPr>
            </w:pPr>
          </w:p>
        </w:tc>
        <w:tc>
          <w:tcPr>
            <w:tcW w:w="567" w:type="dxa"/>
            <w:vMerge w:val="continue"/>
            <w:vAlign w:val="center"/>
          </w:tcPr>
          <w:p w14:paraId="6D317A4E">
            <w:pPr>
              <w:spacing w:line="400" w:lineRule="exact"/>
              <w:jc w:val="center"/>
              <w:rPr>
                <w:rFonts w:ascii="宋体" w:hAnsi="宋体"/>
                <w:color w:val="auto"/>
                <w:highlight w:val="none"/>
              </w:rPr>
            </w:pPr>
          </w:p>
        </w:tc>
        <w:tc>
          <w:tcPr>
            <w:tcW w:w="2967" w:type="dxa"/>
            <w:gridSpan w:val="3"/>
            <w:vAlign w:val="center"/>
          </w:tcPr>
          <w:p w14:paraId="0794715F">
            <w:pPr>
              <w:spacing w:line="400" w:lineRule="exact"/>
              <w:jc w:val="left"/>
              <w:rPr>
                <w:rFonts w:ascii="宋体" w:hAnsi="宋体"/>
                <w:color w:val="auto"/>
                <w:kern w:val="0"/>
                <w:highlight w:val="none"/>
              </w:rPr>
            </w:pPr>
            <w:r>
              <w:rPr>
                <w:rFonts w:ascii="宋体" w:hAnsi="宋体"/>
                <w:color w:val="auto"/>
                <w:kern w:val="0"/>
                <w:highlight w:val="none"/>
              </w:rPr>
              <w:t>已标价工程量清单</w:t>
            </w:r>
          </w:p>
        </w:tc>
        <w:tc>
          <w:tcPr>
            <w:tcW w:w="5085" w:type="dxa"/>
            <w:vAlign w:val="center"/>
          </w:tcPr>
          <w:p w14:paraId="06E405B2">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竞选人承诺满足以下内容：</w:t>
            </w:r>
          </w:p>
          <w:p w14:paraId="0B2D5273">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.符合第五章“工程量清单”给出的范围及数量。</w:t>
            </w:r>
          </w:p>
          <w:p w14:paraId="108AC930">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竞选文件中规定工程量清单不允许修改的内容不得修改。</w:t>
            </w:r>
          </w:p>
          <w:p w14:paraId="7419FD3B">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3.每项工程量清单综合单价报价不得高于对应工程量清单综合单价最高限价。</w:t>
            </w:r>
          </w:p>
        </w:tc>
      </w:tr>
      <w:tr w14:paraId="5F06E2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E6CB8EB">
            <w:pPr>
              <w:spacing w:line="400" w:lineRule="exact"/>
              <w:rPr>
                <w:rFonts w:ascii="宋体" w:hAnsi="宋体"/>
                <w:color w:val="auto"/>
                <w:highlight w:val="none"/>
              </w:rPr>
            </w:pPr>
          </w:p>
        </w:tc>
        <w:tc>
          <w:tcPr>
            <w:tcW w:w="567" w:type="dxa"/>
            <w:vMerge w:val="continue"/>
          </w:tcPr>
          <w:p w14:paraId="368CDE46">
            <w:pPr>
              <w:spacing w:line="400" w:lineRule="exact"/>
              <w:rPr>
                <w:rFonts w:ascii="宋体" w:hAnsi="宋体"/>
                <w:color w:val="auto"/>
                <w:highlight w:val="none"/>
              </w:rPr>
            </w:pPr>
          </w:p>
        </w:tc>
        <w:tc>
          <w:tcPr>
            <w:tcW w:w="2967" w:type="dxa"/>
            <w:gridSpan w:val="3"/>
            <w:vAlign w:val="center"/>
          </w:tcPr>
          <w:p w14:paraId="08F708D3">
            <w:pPr>
              <w:spacing w:line="400" w:lineRule="exact"/>
              <w:jc w:val="left"/>
              <w:rPr>
                <w:rFonts w:ascii="宋体" w:hAnsi="宋体"/>
                <w:color w:val="auto"/>
                <w:kern w:val="0"/>
                <w:highlight w:val="none"/>
              </w:rPr>
            </w:pPr>
            <w:r>
              <w:rPr>
                <w:rFonts w:ascii="宋体" w:hAnsi="宋体"/>
                <w:color w:val="auto"/>
                <w:kern w:val="0"/>
                <w:highlight w:val="none"/>
              </w:rPr>
              <w:t>投标报价算术错误修正</w:t>
            </w:r>
          </w:p>
        </w:tc>
        <w:tc>
          <w:tcPr>
            <w:tcW w:w="5085" w:type="dxa"/>
            <w:vAlign w:val="center"/>
          </w:tcPr>
          <w:p w14:paraId="39244196">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符合第三章3.评标程序第3.1.3项规定。</w:t>
            </w:r>
          </w:p>
        </w:tc>
      </w:tr>
      <w:tr w14:paraId="21E3E0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69FAF23">
            <w:pPr>
              <w:spacing w:line="400" w:lineRule="exact"/>
              <w:rPr>
                <w:rFonts w:ascii="宋体" w:hAnsi="宋体"/>
                <w:color w:val="auto"/>
                <w:highlight w:val="none"/>
              </w:rPr>
            </w:pPr>
          </w:p>
        </w:tc>
        <w:tc>
          <w:tcPr>
            <w:tcW w:w="567" w:type="dxa"/>
            <w:vMerge w:val="continue"/>
          </w:tcPr>
          <w:p w14:paraId="134CE6FD">
            <w:pPr>
              <w:spacing w:line="400" w:lineRule="exact"/>
              <w:rPr>
                <w:rFonts w:ascii="宋体" w:hAnsi="宋体"/>
                <w:color w:val="auto"/>
                <w:highlight w:val="none"/>
              </w:rPr>
            </w:pPr>
          </w:p>
        </w:tc>
        <w:tc>
          <w:tcPr>
            <w:tcW w:w="2967" w:type="dxa"/>
            <w:gridSpan w:val="3"/>
            <w:vAlign w:val="center"/>
          </w:tcPr>
          <w:p w14:paraId="2D635056">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085" w:type="dxa"/>
            <w:vAlign w:val="center"/>
          </w:tcPr>
          <w:p w14:paraId="6EEC3326">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符合第二章“竞选人须知”第1.4.3项规定。</w:t>
            </w:r>
          </w:p>
          <w:p w14:paraId="6D037A78">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63EEC97B">
            <w:pPr>
              <w:spacing w:after="62"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按评标委员会要求澄清、说明或补正。</w:t>
            </w:r>
          </w:p>
        </w:tc>
      </w:tr>
      <w:tr w14:paraId="4B34E5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74056312">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967" w:type="dxa"/>
            <w:gridSpan w:val="3"/>
            <w:vAlign w:val="center"/>
          </w:tcPr>
          <w:p w14:paraId="288057F5">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085" w:type="dxa"/>
            <w:vAlign w:val="center"/>
          </w:tcPr>
          <w:p w14:paraId="307D804A">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 xml:space="preserve">技术部分 </w:t>
            </w:r>
            <w:r>
              <w:rPr>
                <w:rFonts w:hint="eastAsia" w:ascii="宋体" w:hAnsi="宋体"/>
                <w:color w:val="auto"/>
                <w:kern w:val="0"/>
                <w:highlight w:val="none"/>
                <w:u w:val="single"/>
                <w:lang w:val="en-US" w:eastAsia="zh-CN"/>
              </w:rPr>
              <w:t>70</w:t>
            </w:r>
            <w:r>
              <w:rPr>
                <w:rFonts w:ascii="宋体" w:hAnsi="宋体"/>
                <w:color w:val="auto"/>
                <w:kern w:val="0"/>
                <w:highlight w:val="none"/>
              </w:rPr>
              <w:t>分</w:t>
            </w:r>
            <w:r>
              <w:rPr>
                <w:rFonts w:hint="eastAsia" w:ascii="宋体" w:hAnsi="宋体"/>
                <w:color w:val="auto"/>
                <w:kern w:val="0"/>
                <w:highlight w:val="none"/>
              </w:rPr>
              <w:t>；</w:t>
            </w:r>
          </w:p>
          <w:p w14:paraId="2D880294">
            <w:pPr>
              <w:snapToGrid w:val="0"/>
              <w:spacing w:line="400" w:lineRule="exact"/>
              <w:ind w:firstLine="420" w:firstLineChars="200"/>
              <w:rPr>
                <w:rFonts w:ascii="宋体" w:hAnsi="宋体"/>
                <w:i/>
                <w:color w:val="auto"/>
                <w:kern w:val="0"/>
                <w:highlight w:val="none"/>
              </w:rPr>
            </w:pPr>
            <w:r>
              <w:rPr>
                <w:rFonts w:hint="eastAsia" w:ascii="宋体" w:hAnsi="宋体"/>
                <w:color w:val="auto"/>
                <w:kern w:val="0"/>
                <w:highlight w:val="none"/>
              </w:rPr>
              <w:t>2.竞选总报价</w:t>
            </w:r>
            <w:r>
              <w:rPr>
                <w:rFonts w:hint="eastAsia" w:ascii="宋体" w:hAnsi="宋体"/>
                <w:color w:val="auto"/>
                <w:kern w:val="0"/>
                <w:highlight w:val="none"/>
                <w:u w:val="single"/>
                <w:lang w:val="en-US" w:eastAsia="zh-CN"/>
              </w:rPr>
              <w:t>3</w:t>
            </w:r>
            <w:r>
              <w:rPr>
                <w:rFonts w:hint="eastAsia" w:ascii="宋体" w:hAnsi="宋体"/>
                <w:color w:val="auto"/>
                <w:kern w:val="0"/>
                <w:highlight w:val="none"/>
                <w:u w:val="single"/>
              </w:rPr>
              <w:t>0</w:t>
            </w:r>
            <w:r>
              <w:rPr>
                <w:rFonts w:hint="eastAsia" w:ascii="宋体" w:hAnsi="宋体"/>
                <w:color w:val="auto"/>
                <w:kern w:val="0"/>
                <w:highlight w:val="none"/>
              </w:rPr>
              <w:t>分。</w:t>
            </w:r>
          </w:p>
        </w:tc>
      </w:tr>
      <w:tr w14:paraId="57BA4D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5F554A62">
            <w:pPr>
              <w:spacing w:line="400" w:lineRule="exact"/>
              <w:jc w:val="center"/>
              <w:rPr>
                <w:rFonts w:ascii="宋体" w:hAnsi="宋体"/>
                <w:color w:val="auto"/>
                <w:kern w:val="0"/>
                <w:highlight w:val="none"/>
              </w:rPr>
            </w:pPr>
            <w:r>
              <w:rPr>
                <w:rFonts w:hint="eastAsia" w:ascii="宋体" w:hAnsi="宋体"/>
                <w:color w:val="auto"/>
                <w:kern w:val="0"/>
                <w:highlight w:val="none"/>
              </w:rPr>
              <w:t>2.2.2</w:t>
            </w:r>
          </w:p>
        </w:tc>
        <w:tc>
          <w:tcPr>
            <w:tcW w:w="585" w:type="dxa"/>
            <w:gridSpan w:val="2"/>
            <w:vMerge w:val="restart"/>
            <w:tcBorders>
              <w:left w:val="single" w:color="auto" w:sz="4" w:space="0"/>
            </w:tcBorders>
            <w:vAlign w:val="center"/>
          </w:tcPr>
          <w:p w14:paraId="4FD3C7FE">
            <w:pPr>
              <w:spacing w:line="400" w:lineRule="exact"/>
              <w:jc w:val="center"/>
              <w:rPr>
                <w:rFonts w:ascii="宋体" w:hAnsi="宋体"/>
                <w:color w:val="auto"/>
                <w:kern w:val="0"/>
                <w:highlight w:val="none"/>
              </w:rPr>
            </w:pPr>
            <w:r>
              <w:rPr>
                <w:rFonts w:hint="eastAsia" w:ascii="宋体" w:hAnsi="宋体"/>
                <w:color w:val="auto"/>
                <w:kern w:val="0"/>
                <w:highlight w:val="none"/>
              </w:rPr>
              <w:t>技术部分评分标准</w:t>
            </w:r>
          </w:p>
        </w:tc>
        <w:tc>
          <w:tcPr>
            <w:tcW w:w="568" w:type="dxa"/>
            <w:vMerge w:val="restart"/>
            <w:tcBorders>
              <w:right w:val="single" w:color="auto" w:sz="4" w:space="0"/>
            </w:tcBorders>
            <w:vAlign w:val="center"/>
          </w:tcPr>
          <w:p w14:paraId="5AA0A7E8">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技</w:t>
            </w:r>
          </w:p>
          <w:p w14:paraId="0E536104">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术</w:t>
            </w:r>
          </w:p>
          <w:p w14:paraId="5C5DF19A">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方</w:t>
            </w:r>
          </w:p>
          <w:p w14:paraId="2009A485">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案</w:t>
            </w:r>
          </w:p>
          <w:p w14:paraId="6D08C695">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评</w:t>
            </w:r>
          </w:p>
          <w:p w14:paraId="006A4675">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审</w:t>
            </w:r>
          </w:p>
        </w:tc>
        <w:tc>
          <w:tcPr>
            <w:tcW w:w="2399" w:type="dxa"/>
            <w:gridSpan w:val="2"/>
            <w:tcBorders>
              <w:left w:val="single" w:color="auto" w:sz="4" w:space="0"/>
            </w:tcBorders>
            <w:vAlign w:val="center"/>
          </w:tcPr>
          <w:p w14:paraId="702CFFC8">
            <w:pPr>
              <w:tabs>
                <w:tab w:val="left" w:pos="1875"/>
              </w:tabs>
              <w:spacing w:line="400" w:lineRule="exact"/>
              <w:jc w:val="left"/>
              <w:rPr>
                <w:rFonts w:ascii="宋体" w:hAnsi="宋体"/>
                <w:color w:val="auto"/>
                <w:kern w:val="0"/>
                <w:highlight w:val="none"/>
              </w:rPr>
            </w:pPr>
            <w:r>
              <w:rPr>
                <w:rFonts w:hint="eastAsia" w:ascii="宋体" w:hAnsi="宋体" w:cs="宋体"/>
                <w:color w:val="auto"/>
                <w:kern w:val="0"/>
                <w:highlight w:val="none"/>
              </w:rPr>
              <w:t>技术方案部分形式要求</w:t>
            </w:r>
          </w:p>
        </w:tc>
        <w:tc>
          <w:tcPr>
            <w:tcW w:w="5085" w:type="dxa"/>
            <w:vAlign w:val="center"/>
          </w:tcPr>
          <w:p w14:paraId="2A6E8141">
            <w:pPr>
              <w:snapToGrid w:val="0"/>
              <w:spacing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须符合第二章竞选人须知前附表第3.7.5项（4）技术部分的装订要求，否则其技术方案为0分，不再对技术方案的其他评分标准进行评审。</w:t>
            </w:r>
          </w:p>
        </w:tc>
      </w:tr>
      <w:tr w14:paraId="4DA3B9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2C0FEA8">
            <w:pPr>
              <w:spacing w:line="400" w:lineRule="exact"/>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4711B14E">
            <w:pPr>
              <w:spacing w:line="400" w:lineRule="exact"/>
              <w:jc w:val="center"/>
              <w:rPr>
                <w:rFonts w:ascii="宋体" w:hAnsi="宋体"/>
                <w:color w:val="auto"/>
                <w:kern w:val="0"/>
                <w:highlight w:val="none"/>
              </w:rPr>
            </w:pPr>
          </w:p>
        </w:tc>
        <w:tc>
          <w:tcPr>
            <w:tcW w:w="568" w:type="dxa"/>
            <w:vMerge w:val="continue"/>
            <w:tcBorders>
              <w:right w:val="single" w:color="auto" w:sz="4" w:space="0"/>
            </w:tcBorders>
            <w:vAlign w:val="center"/>
          </w:tcPr>
          <w:p w14:paraId="41AC199E">
            <w:pPr>
              <w:tabs>
                <w:tab w:val="left" w:pos="1875"/>
              </w:tabs>
              <w:spacing w:line="400" w:lineRule="exact"/>
              <w:jc w:val="center"/>
              <w:rPr>
                <w:rFonts w:ascii="宋体" w:hAnsi="宋体"/>
                <w:color w:val="auto"/>
                <w:kern w:val="0"/>
                <w:highlight w:val="none"/>
              </w:rPr>
            </w:pPr>
          </w:p>
        </w:tc>
        <w:tc>
          <w:tcPr>
            <w:tcW w:w="2399" w:type="dxa"/>
            <w:gridSpan w:val="2"/>
            <w:tcBorders>
              <w:left w:val="single" w:color="auto" w:sz="4" w:space="0"/>
            </w:tcBorders>
            <w:vAlign w:val="center"/>
          </w:tcPr>
          <w:p w14:paraId="568C576D">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内容完整性和编制水平</w:t>
            </w:r>
          </w:p>
        </w:tc>
        <w:tc>
          <w:tcPr>
            <w:tcW w:w="5085" w:type="dxa"/>
            <w:vAlign w:val="center"/>
          </w:tcPr>
          <w:p w14:paraId="3C2B7945">
            <w:pPr>
              <w:snapToGrid w:val="0"/>
              <w:spacing w:line="400" w:lineRule="exact"/>
              <w:ind w:firstLine="420" w:firstLineChars="200"/>
              <w:rPr>
                <w:rFonts w:ascii="宋体" w:hAnsi="宋体"/>
                <w:color w:val="auto"/>
                <w:highlight w:val="none"/>
                <w:u w:val="singl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 xml:space="preserve">分 </w:t>
            </w:r>
            <w:r>
              <w:rPr>
                <w:rFonts w:hint="eastAsia" w:ascii="宋体" w:hAnsi="宋体"/>
                <w:color w:val="auto"/>
                <w:highlight w:val="none"/>
              </w:rPr>
              <w:t xml:space="preserve"> </w:t>
            </w:r>
            <w:r>
              <w:rPr>
                <w:rFonts w:ascii="宋体" w:hAnsi="宋体"/>
                <w:color w:val="auto"/>
                <w:highlight w:val="none"/>
              </w:rPr>
              <w:t xml:space="preserve"> 编制要点</w:t>
            </w:r>
            <w:r>
              <w:rPr>
                <w:rFonts w:hint="eastAsia" w:ascii="宋体" w:hAnsi="宋体"/>
                <w:color w:val="auto"/>
                <w:highlight w:val="none"/>
              </w:rPr>
              <w:t>：</w:t>
            </w:r>
            <w:r>
              <w:rPr>
                <w:rFonts w:hint="eastAsia" w:ascii="宋体" w:hAnsi="宋体"/>
                <w:color w:val="auto"/>
                <w:highlight w:val="none"/>
                <w:u w:val="single"/>
              </w:rPr>
              <w:t>内容完整，无重大漏项、错误和矛盾，文件编制具有系统性和逻辑性、无严重技术问题</w:t>
            </w:r>
          </w:p>
        </w:tc>
      </w:tr>
      <w:tr w14:paraId="183E4A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426610F">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6A12A97F">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0EB1CD80">
            <w:pPr>
              <w:tabs>
                <w:tab w:val="left" w:pos="1875"/>
              </w:tabs>
              <w:spacing w:line="400" w:lineRule="exact"/>
              <w:jc w:val="left"/>
              <w:rPr>
                <w:rFonts w:ascii="宋体" w:hAnsi="宋体"/>
                <w:color w:val="auto"/>
                <w:kern w:val="0"/>
                <w:highlight w:val="none"/>
              </w:rPr>
            </w:pPr>
          </w:p>
        </w:tc>
        <w:tc>
          <w:tcPr>
            <w:tcW w:w="2399" w:type="dxa"/>
            <w:gridSpan w:val="2"/>
            <w:tcBorders>
              <w:left w:val="single" w:color="auto" w:sz="4" w:space="0"/>
            </w:tcBorders>
            <w:vAlign w:val="center"/>
          </w:tcPr>
          <w:p w14:paraId="588888CA">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施工方案与技术措施</w:t>
            </w:r>
          </w:p>
        </w:tc>
        <w:tc>
          <w:tcPr>
            <w:tcW w:w="5085" w:type="dxa"/>
            <w:vAlign w:val="center"/>
          </w:tcPr>
          <w:p w14:paraId="768B2804">
            <w:pPr>
              <w:snapToGrid w:val="0"/>
              <w:spacing w:line="400" w:lineRule="exact"/>
              <w:ind w:firstLine="420" w:firstLineChars="200"/>
              <w:rPr>
                <w:rFonts w:ascii="宋体" w:hAnsi="宋体"/>
                <w:color w:val="auto"/>
                <w:kern w:val="0"/>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 xml:space="preserve">分 </w:t>
            </w:r>
            <w:r>
              <w:rPr>
                <w:rFonts w:hint="eastAsia" w:ascii="宋体" w:hAnsi="宋体"/>
                <w:color w:val="auto"/>
                <w:highlight w:val="none"/>
              </w:rPr>
              <w:t xml:space="preserve"> </w:t>
            </w:r>
            <w:r>
              <w:rPr>
                <w:rFonts w:ascii="宋体" w:hAnsi="宋体"/>
                <w:color w:val="auto"/>
                <w:highlight w:val="none"/>
              </w:rPr>
              <w:t xml:space="preserve"> 编制要点</w:t>
            </w:r>
            <w:r>
              <w:rPr>
                <w:rFonts w:hint="eastAsia" w:ascii="宋体" w:hAnsi="宋体"/>
                <w:color w:val="auto"/>
                <w:highlight w:val="none"/>
              </w:rPr>
              <w:t>：</w:t>
            </w:r>
            <w:r>
              <w:rPr>
                <w:rFonts w:hint="eastAsia" w:ascii="宋体" w:hAnsi="宋体"/>
                <w:color w:val="auto"/>
                <w:highlight w:val="none"/>
                <w:u w:val="single"/>
              </w:rPr>
              <w:t>施工重点、难点分析及主要对策，施工程序、方法、工艺和技术保证措施，工程验收、质保期缺陷处理的工作方案和保证措施</w:t>
            </w:r>
          </w:p>
        </w:tc>
      </w:tr>
      <w:tr w14:paraId="000F41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F2271F0">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76C0AC37">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5E012FF9">
            <w:pPr>
              <w:tabs>
                <w:tab w:val="left" w:pos="1875"/>
              </w:tabs>
              <w:spacing w:line="400" w:lineRule="exact"/>
              <w:jc w:val="left"/>
              <w:rPr>
                <w:rFonts w:ascii="宋体" w:hAnsi="宋体"/>
                <w:color w:val="auto"/>
                <w:kern w:val="0"/>
                <w:highlight w:val="none"/>
              </w:rPr>
            </w:pPr>
          </w:p>
        </w:tc>
        <w:tc>
          <w:tcPr>
            <w:tcW w:w="2399" w:type="dxa"/>
            <w:gridSpan w:val="2"/>
            <w:tcBorders>
              <w:left w:val="single" w:color="auto" w:sz="4" w:space="0"/>
            </w:tcBorders>
            <w:vAlign w:val="center"/>
          </w:tcPr>
          <w:p w14:paraId="1379750C">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质量管理体系与措施</w:t>
            </w:r>
          </w:p>
        </w:tc>
        <w:tc>
          <w:tcPr>
            <w:tcW w:w="5085" w:type="dxa"/>
            <w:vAlign w:val="center"/>
          </w:tcPr>
          <w:p w14:paraId="4913B861">
            <w:pPr>
              <w:snapToGrid w:val="0"/>
              <w:spacing w:line="400" w:lineRule="exact"/>
              <w:ind w:firstLine="420" w:firstLineChars="200"/>
              <w:rPr>
                <w:rFonts w:ascii="宋体" w:hAnsi="宋体"/>
                <w:color w:val="auto"/>
                <w:kern w:val="0"/>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分   编制要点</w:t>
            </w:r>
            <w:r>
              <w:rPr>
                <w:rFonts w:hint="eastAsia" w:ascii="宋体" w:hAnsi="宋体"/>
                <w:color w:val="auto"/>
                <w:highlight w:val="none"/>
              </w:rPr>
              <w:t>：</w:t>
            </w:r>
            <w:r>
              <w:rPr>
                <w:rFonts w:hint="eastAsia" w:ascii="宋体" w:hAnsi="宋体" w:cs="宋体"/>
                <w:color w:val="auto"/>
                <w:kern w:val="0"/>
                <w:szCs w:val="21"/>
                <w:highlight w:val="none"/>
                <w:u w:val="single"/>
              </w:rPr>
              <w:t>质量标准响应招标文件要求，质量管理体系健全有效、保证措施具有针对性，材料的质量保证措施满足招标文件及图纸所要求的工程质量要求</w:t>
            </w:r>
          </w:p>
        </w:tc>
      </w:tr>
      <w:tr w14:paraId="3AC28C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3E5187C">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2AFD5776">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69B3E478">
            <w:pPr>
              <w:tabs>
                <w:tab w:val="left" w:pos="1875"/>
              </w:tabs>
              <w:spacing w:line="400" w:lineRule="exact"/>
              <w:jc w:val="left"/>
              <w:rPr>
                <w:rFonts w:ascii="宋体" w:hAnsi="宋体"/>
                <w:color w:val="auto"/>
                <w:kern w:val="0"/>
                <w:highlight w:val="none"/>
              </w:rPr>
            </w:pPr>
          </w:p>
        </w:tc>
        <w:tc>
          <w:tcPr>
            <w:tcW w:w="2399" w:type="dxa"/>
            <w:gridSpan w:val="2"/>
            <w:tcBorders>
              <w:left w:val="single" w:color="auto" w:sz="4" w:space="0"/>
            </w:tcBorders>
            <w:vAlign w:val="center"/>
          </w:tcPr>
          <w:p w14:paraId="7EE607E0">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安全管理体系与措施</w:t>
            </w:r>
          </w:p>
        </w:tc>
        <w:tc>
          <w:tcPr>
            <w:tcW w:w="5085" w:type="dxa"/>
            <w:vAlign w:val="center"/>
          </w:tcPr>
          <w:p w14:paraId="28299678">
            <w:pPr>
              <w:snapToGrid w:val="0"/>
              <w:spacing w:line="400" w:lineRule="exact"/>
              <w:ind w:firstLine="420" w:firstLineChars="200"/>
              <w:rPr>
                <w:rFonts w:ascii="宋体" w:hAnsi="宋体"/>
                <w:color w:val="auto"/>
                <w:kern w:val="0"/>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hint="eastAsia" w:ascii="宋体" w:hAnsi="宋体"/>
                <w:color w:val="auto"/>
                <w:highlight w:val="none"/>
                <w:u w:val="single"/>
              </w:rPr>
              <w:t xml:space="preserve"> </w:t>
            </w:r>
            <w:r>
              <w:rPr>
                <w:rFonts w:ascii="宋体" w:hAnsi="宋体"/>
                <w:color w:val="auto"/>
                <w:highlight w:val="none"/>
              </w:rPr>
              <w:t>分   编制要点</w:t>
            </w:r>
            <w:r>
              <w:rPr>
                <w:rFonts w:hint="eastAsia" w:ascii="宋体" w:hAnsi="宋体"/>
                <w:color w:val="auto"/>
                <w:highlight w:val="none"/>
              </w:rPr>
              <w:t>：</w:t>
            </w:r>
            <w:r>
              <w:rPr>
                <w:rFonts w:hint="eastAsia" w:ascii="宋体" w:hAnsi="宋体"/>
                <w:color w:val="auto"/>
                <w:highlight w:val="none"/>
                <w:u w:val="single"/>
              </w:rPr>
              <w:t>安全管理体系健全有效，施工安全专项方案及安全管理保证措施具有针对性</w:t>
            </w:r>
          </w:p>
        </w:tc>
      </w:tr>
      <w:tr w14:paraId="50232B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39D6F4A">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53F9D98D">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6A1116CD">
            <w:pPr>
              <w:tabs>
                <w:tab w:val="left" w:pos="1875"/>
              </w:tabs>
              <w:spacing w:line="400" w:lineRule="exact"/>
              <w:jc w:val="left"/>
              <w:rPr>
                <w:rFonts w:ascii="宋体" w:hAnsi="宋体"/>
                <w:color w:val="auto"/>
                <w:kern w:val="0"/>
                <w:highlight w:val="none"/>
              </w:rPr>
            </w:pPr>
          </w:p>
        </w:tc>
        <w:tc>
          <w:tcPr>
            <w:tcW w:w="2399" w:type="dxa"/>
            <w:gridSpan w:val="2"/>
            <w:tcBorders>
              <w:left w:val="single" w:color="auto" w:sz="4" w:space="0"/>
            </w:tcBorders>
            <w:vAlign w:val="center"/>
          </w:tcPr>
          <w:p w14:paraId="1D14B31F">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环境保护管理体系措施</w:t>
            </w:r>
          </w:p>
        </w:tc>
        <w:tc>
          <w:tcPr>
            <w:tcW w:w="5085" w:type="dxa"/>
            <w:vAlign w:val="center"/>
          </w:tcPr>
          <w:p w14:paraId="2DFDD2F4">
            <w:pPr>
              <w:snapToGrid w:val="0"/>
              <w:spacing w:line="400" w:lineRule="exact"/>
              <w:ind w:firstLine="420" w:firstLineChars="200"/>
              <w:rPr>
                <w:rFonts w:ascii="宋体" w:hAnsi="宋体"/>
                <w:color w:val="auto"/>
                <w:kern w:val="0"/>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分   编制要点</w:t>
            </w:r>
            <w:r>
              <w:rPr>
                <w:rFonts w:hint="eastAsia" w:ascii="宋体" w:hAnsi="宋体"/>
                <w:color w:val="auto"/>
                <w:highlight w:val="none"/>
              </w:rPr>
              <w:t>：</w:t>
            </w:r>
            <w:r>
              <w:rPr>
                <w:rFonts w:hint="eastAsia" w:ascii="宋体" w:hAnsi="宋体" w:cs="宋体"/>
                <w:color w:val="auto"/>
                <w:kern w:val="0"/>
                <w:szCs w:val="21"/>
                <w:highlight w:val="none"/>
                <w:u w:val="single"/>
              </w:rPr>
              <w:t>环境管理体系健全有效，环境管理保证措施具有针对性</w:t>
            </w:r>
          </w:p>
        </w:tc>
      </w:tr>
      <w:tr w14:paraId="1A1FC8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0A8B921">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7AEA31CE">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5705585D">
            <w:pPr>
              <w:tabs>
                <w:tab w:val="left" w:pos="1875"/>
              </w:tabs>
              <w:spacing w:line="400" w:lineRule="exact"/>
              <w:jc w:val="left"/>
              <w:rPr>
                <w:rFonts w:ascii="宋体" w:hAnsi="宋体"/>
                <w:color w:val="auto"/>
                <w:kern w:val="0"/>
                <w:highlight w:val="none"/>
              </w:rPr>
            </w:pPr>
          </w:p>
        </w:tc>
        <w:tc>
          <w:tcPr>
            <w:tcW w:w="2399" w:type="dxa"/>
            <w:gridSpan w:val="2"/>
            <w:tcBorders>
              <w:left w:val="single" w:color="auto" w:sz="4" w:space="0"/>
            </w:tcBorders>
            <w:vAlign w:val="center"/>
          </w:tcPr>
          <w:p w14:paraId="737791CA">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工程进度计划与措施</w:t>
            </w:r>
          </w:p>
        </w:tc>
        <w:tc>
          <w:tcPr>
            <w:tcW w:w="5085" w:type="dxa"/>
            <w:vAlign w:val="center"/>
          </w:tcPr>
          <w:p w14:paraId="30B70D1D">
            <w:pPr>
              <w:snapToGrid w:val="0"/>
              <w:spacing w:line="400" w:lineRule="exact"/>
              <w:ind w:firstLine="420" w:firstLineChars="200"/>
              <w:rPr>
                <w:rFonts w:ascii="宋体" w:hAnsi="宋体"/>
                <w:color w:val="auto"/>
                <w:kern w:val="0"/>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分   编制要点</w:t>
            </w:r>
            <w:r>
              <w:rPr>
                <w:rFonts w:hint="eastAsia" w:ascii="宋体" w:hAnsi="宋体"/>
                <w:color w:val="auto"/>
                <w:highlight w:val="none"/>
              </w:rPr>
              <w:t>：</w:t>
            </w:r>
            <w:r>
              <w:rPr>
                <w:rFonts w:hint="eastAsia" w:ascii="宋体" w:hAnsi="宋体" w:cs="宋体"/>
                <w:color w:val="auto"/>
                <w:kern w:val="0"/>
                <w:szCs w:val="21"/>
                <w:highlight w:val="none"/>
                <w:u w:val="single"/>
              </w:rPr>
              <w:t>进度安排满足项目进度要求，关键线路进度安排可行、合理，实现进度安排的保证措施可行</w:t>
            </w:r>
          </w:p>
        </w:tc>
      </w:tr>
      <w:tr w14:paraId="721A4D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1D8C5E3">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5BE2BD56">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36E590D7">
            <w:pPr>
              <w:tabs>
                <w:tab w:val="left" w:pos="1875"/>
              </w:tabs>
              <w:spacing w:line="400" w:lineRule="exact"/>
              <w:jc w:val="left"/>
              <w:rPr>
                <w:rFonts w:ascii="宋体" w:hAnsi="宋体"/>
                <w:color w:val="auto"/>
                <w:kern w:val="0"/>
                <w:highlight w:val="none"/>
              </w:rPr>
            </w:pPr>
          </w:p>
        </w:tc>
        <w:tc>
          <w:tcPr>
            <w:tcW w:w="2399" w:type="dxa"/>
            <w:gridSpan w:val="2"/>
            <w:tcBorders>
              <w:left w:val="single" w:color="auto" w:sz="4" w:space="0"/>
            </w:tcBorders>
            <w:vAlign w:val="center"/>
          </w:tcPr>
          <w:p w14:paraId="4CF8F0A8">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资源配备计划与先进性</w:t>
            </w:r>
          </w:p>
        </w:tc>
        <w:tc>
          <w:tcPr>
            <w:tcW w:w="5085" w:type="dxa"/>
            <w:vAlign w:val="center"/>
          </w:tcPr>
          <w:p w14:paraId="0A43A6DD">
            <w:pPr>
              <w:snapToGrid w:val="0"/>
              <w:spacing w:line="400" w:lineRule="exact"/>
              <w:ind w:firstLine="420" w:firstLineChars="200"/>
              <w:rPr>
                <w:rFonts w:ascii="宋体" w:hAnsi="宋体"/>
                <w:color w:val="auto"/>
                <w:kern w:val="0"/>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分   编制要点</w:t>
            </w:r>
            <w:r>
              <w:rPr>
                <w:rFonts w:hint="eastAsia" w:ascii="宋体" w:hAnsi="宋体"/>
                <w:color w:val="auto"/>
                <w:highlight w:val="none"/>
              </w:rPr>
              <w:t>：</w:t>
            </w:r>
            <w:r>
              <w:rPr>
                <w:rFonts w:hint="eastAsia" w:ascii="宋体" w:hAnsi="宋体" w:cs="宋体"/>
                <w:color w:val="auto"/>
                <w:kern w:val="0"/>
                <w:szCs w:val="21"/>
                <w:highlight w:val="none"/>
                <w:u w:val="single"/>
              </w:rPr>
              <w:t>施工机械设备、临时设施等配备满足施工需要，各专业劳动力和工种配置、投入计划安排合理</w:t>
            </w:r>
          </w:p>
        </w:tc>
      </w:tr>
      <w:tr w14:paraId="686754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3AF3CE8C">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3</w:t>
            </w:r>
          </w:p>
        </w:tc>
        <w:tc>
          <w:tcPr>
            <w:tcW w:w="2131" w:type="dxa"/>
            <w:gridSpan w:val="4"/>
            <w:vAlign w:val="center"/>
          </w:tcPr>
          <w:p w14:paraId="64A6F734">
            <w:pPr>
              <w:spacing w:line="400" w:lineRule="exact"/>
              <w:jc w:val="center"/>
              <w:rPr>
                <w:rFonts w:ascii="宋体" w:hAnsi="宋体"/>
                <w:color w:val="auto"/>
                <w:kern w:val="0"/>
                <w:highlight w:val="none"/>
              </w:rPr>
            </w:pPr>
            <w:r>
              <w:rPr>
                <w:rFonts w:ascii="宋体" w:hAnsi="宋体"/>
                <w:color w:val="auto"/>
                <w:kern w:val="0"/>
                <w:highlight w:val="none"/>
              </w:rPr>
              <w:t>评标基准价计算方法</w:t>
            </w:r>
          </w:p>
        </w:tc>
        <w:tc>
          <w:tcPr>
            <w:tcW w:w="1421" w:type="dxa"/>
            <w:vAlign w:val="center"/>
          </w:tcPr>
          <w:p w14:paraId="24D7FF93">
            <w:pPr>
              <w:spacing w:line="400" w:lineRule="exact"/>
              <w:jc w:val="center"/>
              <w:rPr>
                <w:rFonts w:ascii="宋体" w:hAnsi="宋体"/>
                <w:color w:val="auto"/>
                <w:kern w:val="0"/>
                <w:highlight w:val="none"/>
              </w:rPr>
            </w:pPr>
            <w:r>
              <w:rPr>
                <w:rFonts w:hint="eastAsia" w:ascii="宋体" w:hAnsi="宋体"/>
                <w:color w:val="auto"/>
                <w:kern w:val="0"/>
                <w:highlight w:val="none"/>
              </w:rPr>
              <w:t>竞选总报价</w:t>
            </w:r>
          </w:p>
        </w:tc>
        <w:tc>
          <w:tcPr>
            <w:tcW w:w="5085" w:type="dxa"/>
          </w:tcPr>
          <w:p w14:paraId="44034F1B">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所有通过初步评审合格的</w:t>
            </w:r>
            <w:r>
              <w:rPr>
                <w:rFonts w:hint="eastAsia" w:ascii="宋体" w:hAnsi="宋体"/>
                <w:color w:val="auto"/>
                <w:kern w:val="0"/>
                <w:szCs w:val="21"/>
                <w:highlight w:val="none"/>
              </w:rPr>
              <w:t>竞选人</w:t>
            </w:r>
            <w:r>
              <w:rPr>
                <w:rFonts w:ascii="宋体" w:hAnsi="宋体"/>
                <w:color w:val="auto"/>
                <w:szCs w:val="21"/>
                <w:highlight w:val="none"/>
              </w:rPr>
              <w:t>的</w:t>
            </w:r>
            <w:r>
              <w:rPr>
                <w:rFonts w:hint="eastAsia" w:ascii="宋体" w:hAnsi="宋体"/>
                <w:color w:val="auto"/>
                <w:szCs w:val="21"/>
                <w:highlight w:val="none"/>
              </w:rPr>
              <w:t>竞选总报价</w:t>
            </w:r>
            <w:r>
              <w:rPr>
                <w:rFonts w:ascii="宋体" w:hAnsi="宋体"/>
                <w:color w:val="auto"/>
                <w:kern w:val="0"/>
                <w:szCs w:val="21"/>
                <w:highlight w:val="none"/>
              </w:rPr>
              <w:t>中去掉六分之一（不能整除的按小数点前整数取整，不足六家报价则不去掉）的</w:t>
            </w:r>
            <w:r>
              <w:rPr>
                <w:rFonts w:hint="eastAsia" w:ascii="宋体" w:hAnsi="宋体"/>
                <w:color w:val="auto"/>
                <w:kern w:val="0"/>
                <w:szCs w:val="21"/>
                <w:highlight w:val="none"/>
              </w:rPr>
              <w:t>最低价和相同家数的最高价后的算术平均值与本项目最高限价再取平均值，即为本项目的竞选总报价的评标基准价。</w:t>
            </w:r>
          </w:p>
          <w:p w14:paraId="7FE30B3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1F96A0D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16622F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08FBF8D1">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4</w:t>
            </w:r>
          </w:p>
          <w:p w14:paraId="6AD00879">
            <w:pPr>
              <w:spacing w:line="400" w:lineRule="exact"/>
              <w:jc w:val="center"/>
              <w:rPr>
                <w:rFonts w:ascii="宋体" w:hAnsi="宋体"/>
                <w:color w:val="auto"/>
                <w:kern w:val="0"/>
                <w:highlight w:val="none"/>
              </w:rPr>
            </w:pPr>
          </w:p>
        </w:tc>
        <w:tc>
          <w:tcPr>
            <w:tcW w:w="3552" w:type="dxa"/>
            <w:gridSpan w:val="5"/>
            <w:vMerge w:val="restart"/>
            <w:vAlign w:val="center"/>
          </w:tcPr>
          <w:p w14:paraId="76BB0581">
            <w:pPr>
              <w:spacing w:line="400" w:lineRule="exact"/>
              <w:jc w:val="center"/>
              <w:rPr>
                <w:rFonts w:ascii="宋体" w:hAnsi="宋体"/>
                <w:color w:val="auto"/>
                <w:kern w:val="0"/>
                <w:highlight w:val="none"/>
              </w:rPr>
            </w:pPr>
            <w:r>
              <w:rPr>
                <w:rFonts w:hint="eastAsia" w:ascii="宋体" w:hAnsi="宋体"/>
                <w:color w:val="auto"/>
                <w:kern w:val="0"/>
                <w:highlight w:val="none"/>
              </w:rPr>
              <w:t>允许偏差率</w:t>
            </w:r>
          </w:p>
        </w:tc>
        <w:tc>
          <w:tcPr>
            <w:tcW w:w="5085" w:type="dxa"/>
            <w:vAlign w:val="center"/>
          </w:tcPr>
          <w:p w14:paraId="5F756A8B">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竞选总报价</w:t>
            </w:r>
            <w:r>
              <w:rPr>
                <w:rFonts w:ascii="宋体" w:hAnsi="宋体"/>
                <w:color w:val="auto"/>
                <w:kern w:val="0"/>
                <w:highlight w:val="none"/>
              </w:rPr>
              <w:t>的偏差率计算公式</w:t>
            </w:r>
          </w:p>
          <w:p w14:paraId="0314AE17">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w:t>
            </w:r>
            <w:r>
              <w:rPr>
                <w:rFonts w:hint="eastAsia" w:ascii="宋体" w:hAnsi="宋体"/>
                <w:color w:val="auto"/>
                <w:kern w:val="0"/>
                <w:highlight w:val="none"/>
              </w:rPr>
              <w:t>竞选人</w:t>
            </w:r>
            <w:r>
              <w:rPr>
                <w:rFonts w:ascii="宋体" w:hAnsi="宋体"/>
                <w:color w:val="auto"/>
                <w:kern w:val="0"/>
                <w:highlight w:val="none"/>
              </w:rPr>
              <w:t>报价一评标基准价）／评标基准价</w:t>
            </w:r>
          </w:p>
          <w:p w14:paraId="77B937A8">
            <w:pPr>
              <w:spacing w:line="400" w:lineRule="exact"/>
              <w:ind w:firstLine="200"/>
              <w:rPr>
                <w:rFonts w:ascii="宋体" w:hAnsi="宋体"/>
                <w:color w:val="auto"/>
                <w:kern w:val="0"/>
                <w:highlight w:val="none"/>
              </w:rPr>
            </w:pPr>
            <w:r>
              <w:rPr>
                <w:rFonts w:ascii="宋体" w:hAnsi="宋体"/>
                <w:color w:val="auto"/>
                <w:kern w:val="0"/>
                <w:highlight w:val="none"/>
              </w:rPr>
              <w:t xml:space="preserve">  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37FF28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0B164F49">
            <w:pPr>
              <w:spacing w:line="400" w:lineRule="exact"/>
              <w:jc w:val="center"/>
              <w:rPr>
                <w:rFonts w:ascii="宋体" w:hAnsi="宋体"/>
                <w:color w:val="auto"/>
                <w:kern w:val="0"/>
                <w:highlight w:val="none"/>
              </w:rPr>
            </w:pPr>
          </w:p>
        </w:tc>
        <w:tc>
          <w:tcPr>
            <w:tcW w:w="3552" w:type="dxa"/>
            <w:gridSpan w:val="5"/>
            <w:vMerge w:val="continue"/>
            <w:vAlign w:val="center"/>
          </w:tcPr>
          <w:p w14:paraId="5AF1BE71">
            <w:pPr>
              <w:spacing w:line="400" w:lineRule="exact"/>
              <w:jc w:val="center"/>
              <w:rPr>
                <w:rFonts w:ascii="宋体" w:hAnsi="宋体"/>
                <w:color w:val="auto"/>
                <w:kern w:val="0"/>
                <w:highlight w:val="none"/>
              </w:rPr>
            </w:pPr>
          </w:p>
        </w:tc>
        <w:tc>
          <w:tcPr>
            <w:tcW w:w="5085" w:type="dxa"/>
            <w:vAlign w:val="center"/>
          </w:tcPr>
          <w:p w14:paraId="2D6FF0D5">
            <w:pPr>
              <w:snapToGrid w:val="0"/>
              <w:spacing w:line="400" w:lineRule="exact"/>
              <w:ind w:firstLine="420" w:firstLineChars="200"/>
              <w:jc w:val="left"/>
              <w:rPr>
                <w:rFonts w:ascii="宋体" w:hAnsi="宋体"/>
                <w:i/>
                <w:color w:val="auto"/>
                <w:kern w:val="0"/>
                <w:highlight w:val="none"/>
              </w:rPr>
            </w:pPr>
            <w:r>
              <w:rPr>
                <w:rFonts w:hint="eastAsia" w:ascii="宋体" w:hAnsi="宋体"/>
                <w:color w:val="auto"/>
                <w:szCs w:val="28"/>
                <w:highlight w:val="none"/>
              </w:rPr>
              <w:t>本项目竞选总报价允许偏差范围</w:t>
            </w:r>
            <w:r>
              <w:rPr>
                <w:rFonts w:ascii="宋体" w:hAnsi="宋体"/>
                <w:color w:val="auto"/>
                <w:szCs w:val="28"/>
                <w:highlight w:val="none"/>
              </w:rPr>
              <w:t>为：</w:t>
            </w:r>
            <w:r>
              <w:rPr>
                <w:rFonts w:hint="eastAsia" w:ascii="宋体" w:hAnsi="宋体"/>
                <w:color w:val="auto"/>
                <w:kern w:val="0"/>
                <w:highlight w:val="none"/>
              </w:rPr>
              <w:t>不设偏差范围。</w:t>
            </w:r>
          </w:p>
        </w:tc>
      </w:tr>
      <w:tr w14:paraId="1DD8B9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39959622">
            <w:pPr>
              <w:spacing w:line="400" w:lineRule="exact"/>
              <w:jc w:val="center"/>
              <w:rPr>
                <w:rFonts w:ascii="宋体" w:hAnsi="宋体"/>
                <w:color w:val="auto"/>
                <w:kern w:val="0"/>
                <w:highlight w:val="none"/>
              </w:rPr>
            </w:pPr>
            <w:r>
              <w:rPr>
                <w:rFonts w:ascii="宋体" w:hAnsi="宋体"/>
                <w:color w:val="auto"/>
                <w:highlight w:val="none"/>
              </w:rPr>
              <w:t>3</w:t>
            </w:r>
          </w:p>
        </w:tc>
        <w:tc>
          <w:tcPr>
            <w:tcW w:w="1135" w:type="dxa"/>
            <w:gridSpan w:val="2"/>
            <w:vAlign w:val="center"/>
          </w:tcPr>
          <w:p w14:paraId="4E22D460">
            <w:pPr>
              <w:spacing w:line="400" w:lineRule="exact"/>
              <w:jc w:val="center"/>
              <w:rPr>
                <w:rFonts w:ascii="宋体" w:hAnsi="宋体"/>
                <w:color w:val="auto"/>
                <w:kern w:val="0"/>
                <w:highlight w:val="none"/>
              </w:rPr>
            </w:pPr>
            <w:r>
              <w:rPr>
                <w:rFonts w:ascii="宋体" w:hAnsi="宋体"/>
                <w:color w:val="auto"/>
                <w:highlight w:val="none"/>
              </w:rPr>
              <w:t>评标程序</w:t>
            </w:r>
          </w:p>
        </w:tc>
        <w:tc>
          <w:tcPr>
            <w:tcW w:w="7484" w:type="dxa"/>
            <w:gridSpan w:val="3"/>
          </w:tcPr>
          <w:p w14:paraId="0C6FD42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1.按本章评标办法第3.1款进行初步评审。未通过初步评审或评标委员会认定为无效的竞选文件的不再进行后续评审。</w:t>
            </w:r>
          </w:p>
          <w:p w14:paraId="48940E9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2.按本章评标办法前附表第2.2.2项及第3.2.1（1）目的规定对技术部分进行评审。</w:t>
            </w:r>
          </w:p>
          <w:p w14:paraId="126DEE4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因评标委员会作否决投标处理导致有效竞选人不足三个的，评标委员会应当否决所有投标。但是有效竞选人的经济、技术等指标仍然具有市场竞争力，能够满足竞选文件要求的，评标委员会可以继续评标并确定中标候选人。</w:t>
            </w:r>
          </w:p>
          <w:p w14:paraId="0E934B0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4.对初步评审合格的竞选人按照本章第2.2.3项计算方法计算评标基准价，并按本附表第3.2.1（2）目规定的评分方法对竞选总报价进行评分。</w:t>
            </w:r>
          </w:p>
          <w:p w14:paraId="3AB2CB1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5.对技术部分、竞选总报价得分进行汇总，确定得分由高至低前三名竞选人为中标候选人。</w:t>
            </w:r>
          </w:p>
        </w:tc>
      </w:tr>
      <w:tr w14:paraId="220A8F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66E0176D">
            <w:pPr>
              <w:spacing w:line="400" w:lineRule="exact"/>
              <w:jc w:val="center"/>
              <w:rPr>
                <w:rFonts w:ascii="宋体" w:hAnsi="宋体"/>
                <w:color w:val="auto"/>
                <w:highlight w:val="none"/>
              </w:rPr>
            </w:pPr>
            <w:r>
              <w:rPr>
                <w:rFonts w:ascii="宋体" w:hAnsi="宋体"/>
                <w:color w:val="auto"/>
                <w:highlight w:val="none"/>
              </w:rPr>
              <w:t>3.2.1</w:t>
            </w:r>
          </w:p>
          <w:p w14:paraId="06A8F753">
            <w:pPr>
              <w:spacing w:line="400" w:lineRule="exact"/>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p>
        </w:tc>
        <w:tc>
          <w:tcPr>
            <w:tcW w:w="1135" w:type="dxa"/>
            <w:gridSpan w:val="2"/>
            <w:vMerge w:val="restart"/>
            <w:vAlign w:val="center"/>
          </w:tcPr>
          <w:p w14:paraId="14900C5B">
            <w:pPr>
              <w:spacing w:line="400" w:lineRule="exact"/>
              <w:jc w:val="center"/>
              <w:rPr>
                <w:rFonts w:ascii="宋体" w:hAnsi="宋体"/>
                <w:color w:val="auto"/>
                <w:highlight w:val="none"/>
              </w:rPr>
            </w:pPr>
            <w:r>
              <w:rPr>
                <w:rFonts w:hint="eastAsia" w:ascii="宋体" w:hAnsi="宋体"/>
                <w:color w:val="auto"/>
                <w:highlight w:val="none"/>
              </w:rPr>
              <w:t>技术部分</w:t>
            </w:r>
            <w:r>
              <w:rPr>
                <w:rFonts w:ascii="宋体" w:hAnsi="宋体"/>
                <w:color w:val="auto"/>
                <w:kern w:val="0"/>
                <w:highlight w:val="none"/>
              </w:rPr>
              <w:t>得分</w:t>
            </w:r>
            <w:r>
              <w:rPr>
                <w:rFonts w:ascii="宋体" w:hAnsi="宋体"/>
                <w:color w:val="auto"/>
                <w:spacing w:val="-4"/>
                <w:highlight w:val="none"/>
              </w:rPr>
              <w:t>（</w:t>
            </w:r>
            <w:r>
              <w:rPr>
                <w:rFonts w:hint="eastAsia" w:ascii="宋体" w:hAnsi="宋体"/>
                <w:color w:val="auto"/>
                <w:spacing w:val="-4"/>
                <w:highlight w:val="none"/>
              </w:rPr>
              <w:t>A）</w:t>
            </w:r>
          </w:p>
        </w:tc>
        <w:tc>
          <w:tcPr>
            <w:tcW w:w="2399" w:type="dxa"/>
            <w:gridSpan w:val="2"/>
            <w:tcBorders>
              <w:bottom w:val="single" w:color="auto" w:sz="4" w:space="0"/>
            </w:tcBorders>
            <w:vAlign w:val="center"/>
          </w:tcPr>
          <w:p w14:paraId="6183BE4A">
            <w:pPr>
              <w:spacing w:line="400" w:lineRule="exact"/>
              <w:jc w:val="left"/>
              <w:rPr>
                <w:rFonts w:ascii="宋体" w:hAnsi="宋体"/>
                <w:color w:val="auto"/>
                <w:highlight w:val="none"/>
              </w:rPr>
            </w:pPr>
            <w:r>
              <w:rPr>
                <w:rFonts w:hint="eastAsia" w:ascii="宋体" w:hAnsi="宋体" w:cs="宋体"/>
                <w:color w:val="auto"/>
                <w:kern w:val="0"/>
                <w:highlight w:val="none"/>
              </w:rPr>
              <w:t>技术方案部分形式要求</w:t>
            </w:r>
          </w:p>
        </w:tc>
        <w:tc>
          <w:tcPr>
            <w:tcW w:w="5085" w:type="dxa"/>
            <w:tcBorders>
              <w:bottom w:val="single" w:color="auto" w:sz="4" w:space="0"/>
            </w:tcBorders>
            <w:vAlign w:val="center"/>
          </w:tcPr>
          <w:p w14:paraId="727F301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不符合第二章竞选人须知前附表第3.7.5项（4）技术部分装订要求的，技术方案得0分。</w:t>
            </w:r>
          </w:p>
        </w:tc>
      </w:tr>
      <w:tr w14:paraId="363CD7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continue"/>
            <w:vAlign w:val="center"/>
          </w:tcPr>
          <w:p w14:paraId="7E0D7DB0">
            <w:pPr>
              <w:spacing w:line="400" w:lineRule="exact"/>
              <w:jc w:val="center"/>
              <w:rPr>
                <w:rFonts w:ascii="宋体" w:hAnsi="宋体"/>
                <w:color w:val="auto"/>
                <w:highlight w:val="none"/>
              </w:rPr>
            </w:pPr>
          </w:p>
        </w:tc>
        <w:tc>
          <w:tcPr>
            <w:tcW w:w="1135" w:type="dxa"/>
            <w:gridSpan w:val="2"/>
            <w:vMerge w:val="continue"/>
            <w:vAlign w:val="center"/>
          </w:tcPr>
          <w:p w14:paraId="1CF7B90B">
            <w:pPr>
              <w:spacing w:line="400" w:lineRule="exact"/>
              <w:jc w:val="center"/>
              <w:rPr>
                <w:rFonts w:ascii="宋体" w:hAnsi="宋体"/>
                <w:color w:val="auto"/>
                <w:highlight w:val="none"/>
              </w:rPr>
            </w:pPr>
          </w:p>
        </w:tc>
        <w:tc>
          <w:tcPr>
            <w:tcW w:w="2399" w:type="dxa"/>
            <w:gridSpan w:val="2"/>
            <w:tcBorders>
              <w:top w:val="single" w:color="auto" w:sz="4" w:space="0"/>
              <w:bottom w:val="single" w:color="auto" w:sz="4" w:space="0"/>
            </w:tcBorders>
            <w:vAlign w:val="center"/>
          </w:tcPr>
          <w:p w14:paraId="7072F9C1">
            <w:pPr>
              <w:spacing w:line="400" w:lineRule="exact"/>
              <w:jc w:val="left"/>
              <w:rPr>
                <w:rFonts w:ascii="宋体" w:hAnsi="宋体"/>
                <w:color w:val="auto"/>
                <w:kern w:val="0"/>
                <w:highlight w:val="none"/>
              </w:rPr>
            </w:pPr>
            <w:r>
              <w:rPr>
                <w:rFonts w:ascii="宋体" w:hAnsi="宋体"/>
                <w:color w:val="auto"/>
                <w:kern w:val="0"/>
                <w:highlight w:val="none"/>
              </w:rPr>
              <w:t>内容完整性和编制水平</w:t>
            </w:r>
          </w:p>
        </w:tc>
        <w:tc>
          <w:tcPr>
            <w:tcW w:w="5085" w:type="dxa"/>
            <w:vMerge w:val="restart"/>
            <w:tcBorders>
              <w:top w:val="single" w:color="auto" w:sz="4" w:space="0"/>
            </w:tcBorders>
            <w:vAlign w:val="center"/>
          </w:tcPr>
          <w:p w14:paraId="6323DB0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评标委员会按</w:t>
            </w:r>
            <w:r>
              <w:rPr>
                <w:rFonts w:hint="eastAsia" w:ascii="宋体" w:hAnsi="宋体"/>
                <w:color w:val="auto"/>
                <w:szCs w:val="21"/>
                <w:highlight w:val="none"/>
              </w:rPr>
              <w:t>第</w:t>
            </w: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项各评审因素设定的分值评分。</w:t>
            </w:r>
          </w:p>
          <w:p w14:paraId="0B36F388">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评标委员会成员为5人及以上时，所有评委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取算术平均值为该</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技术方案得分。</w:t>
            </w:r>
          </w:p>
          <w:p w14:paraId="3947B702">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技术方案得分的最终结果取小数点后两位，第三位四舍五入。</w:t>
            </w:r>
          </w:p>
        </w:tc>
      </w:tr>
      <w:tr w14:paraId="35F56F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181201D8">
            <w:pPr>
              <w:spacing w:line="400" w:lineRule="exact"/>
              <w:jc w:val="center"/>
              <w:rPr>
                <w:rFonts w:ascii="宋体" w:hAnsi="宋体"/>
                <w:color w:val="auto"/>
                <w:highlight w:val="none"/>
              </w:rPr>
            </w:pPr>
          </w:p>
        </w:tc>
        <w:tc>
          <w:tcPr>
            <w:tcW w:w="1135" w:type="dxa"/>
            <w:gridSpan w:val="2"/>
            <w:vMerge w:val="continue"/>
            <w:vAlign w:val="center"/>
          </w:tcPr>
          <w:p w14:paraId="0D0B360D">
            <w:pPr>
              <w:spacing w:line="400" w:lineRule="exact"/>
              <w:jc w:val="center"/>
              <w:rPr>
                <w:rFonts w:ascii="宋体" w:hAnsi="宋体"/>
                <w:color w:val="auto"/>
                <w:highlight w:val="none"/>
              </w:rPr>
            </w:pPr>
          </w:p>
        </w:tc>
        <w:tc>
          <w:tcPr>
            <w:tcW w:w="2399" w:type="dxa"/>
            <w:gridSpan w:val="2"/>
            <w:tcBorders>
              <w:top w:val="single" w:color="auto" w:sz="4" w:space="0"/>
              <w:bottom w:val="single" w:color="auto" w:sz="4" w:space="0"/>
            </w:tcBorders>
            <w:vAlign w:val="center"/>
          </w:tcPr>
          <w:p w14:paraId="4FB4771A">
            <w:pPr>
              <w:spacing w:line="400" w:lineRule="exact"/>
              <w:jc w:val="left"/>
              <w:rPr>
                <w:rFonts w:ascii="宋体" w:hAnsi="宋体"/>
                <w:color w:val="auto"/>
                <w:highlight w:val="none"/>
              </w:rPr>
            </w:pPr>
            <w:r>
              <w:rPr>
                <w:rFonts w:ascii="宋体" w:hAnsi="宋体"/>
                <w:color w:val="auto"/>
                <w:kern w:val="0"/>
                <w:highlight w:val="none"/>
              </w:rPr>
              <w:t>施工方案与技术措施</w:t>
            </w:r>
          </w:p>
        </w:tc>
        <w:tc>
          <w:tcPr>
            <w:tcW w:w="5085" w:type="dxa"/>
            <w:vMerge w:val="continue"/>
            <w:vAlign w:val="center"/>
          </w:tcPr>
          <w:p w14:paraId="167D047C">
            <w:pPr>
              <w:autoSpaceDE w:val="0"/>
              <w:autoSpaceDN w:val="0"/>
              <w:adjustRightInd w:val="0"/>
              <w:snapToGrid w:val="0"/>
              <w:spacing w:line="400" w:lineRule="exact"/>
              <w:ind w:firstLine="420" w:firstLineChars="200"/>
              <w:rPr>
                <w:rFonts w:ascii="宋体" w:hAnsi="宋体"/>
                <w:color w:val="auto"/>
                <w:szCs w:val="21"/>
                <w:highlight w:val="none"/>
              </w:rPr>
            </w:pPr>
          </w:p>
        </w:tc>
      </w:tr>
      <w:tr w14:paraId="24035E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1B622FE6">
            <w:pPr>
              <w:spacing w:line="400" w:lineRule="exact"/>
              <w:jc w:val="center"/>
              <w:rPr>
                <w:rFonts w:ascii="宋体" w:hAnsi="宋体"/>
                <w:color w:val="auto"/>
                <w:highlight w:val="none"/>
              </w:rPr>
            </w:pPr>
          </w:p>
        </w:tc>
        <w:tc>
          <w:tcPr>
            <w:tcW w:w="1135" w:type="dxa"/>
            <w:gridSpan w:val="2"/>
            <w:vMerge w:val="continue"/>
            <w:vAlign w:val="center"/>
          </w:tcPr>
          <w:p w14:paraId="1389F1AD">
            <w:pPr>
              <w:spacing w:line="400" w:lineRule="exact"/>
              <w:jc w:val="center"/>
              <w:rPr>
                <w:rFonts w:ascii="宋体" w:hAnsi="宋体"/>
                <w:color w:val="auto"/>
                <w:highlight w:val="none"/>
              </w:rPr>
            </w:pPr>
          </w:p>
        </w:tc>
        <w:tc>
          <w:tcPr>
            <w:tcW w:w="2399" w:type="dxa"/>
            <w:gridSpan w:val="2"/>
            <w:tcBorders>
              <w:top w:val="single" w:color="auto" w:sz="4" w:space="0"/>
              <w:bottom w:val="single" w:color="auto" w:sz="4" w:space="0"/>
            </w:tcBorders>
            <w:vAlign w:val="center"/>
          </w:tcPr>
          <w:p w14:paraId="00DE88A5">
            <w:pPr>
              <w:spacing w:line="400" w:lineRule="exact"/>
              <w:jc w:val="left"/>
              <w:rPr>
                <w:rFonts w:ascii="宋体" w:hAnsi="宋体"/>
                <w:color w:val="auto"/>
                <w:highlight w:val="none"/>
              </w:rPr>
            </w:pPr>
            <w:r>
              <w:rPr>
                <w:rFonts w:ascii="宋体" w:hAnsi="宋体"/>
                <w:color w:val="auto"/>
                <w:kern w:val="0"/>
                <w:highlight w:val="none"/>
              </w:rPr>
              <w:t>质量管理体系与措施</w:t>
            </w:r>
          </w:p>
        </w:tc>
        <w:tc>
          <w:tcPr>
            <w:tcW w:w="5085" w:type="dxa"/>
            <w:vMerge w:val="continue"/>
            <w:vAlign w:val="center"/>
          </w:tcPr>
          <w:p w14:paraId="13E93655">
            <w:pPr>
              <w:autoSpaceDE w:val="0"/>
              <w:autoSpaceDN w:val="0"/>
              <w:adjustRightInd w:val="0"/>
              <w:snapToGrid w:val="0"/>
              <w:spacing w:line="400" w:lineRule="exact"/>
              <w:ind w:firstLine="420" w:firstLineChars="200"/>
              <w:rPr>
                <w:rFonts w:ascii="宋体" w:hAnsi="宋体"/>
                <w:color w:val="auto"/>
                <w:szCs w:val="21"/>
                <w:highlight w:val="none"/>
              </w:rPr>
            </w:pPr>
          </w:p>
        </w:tc>
      </w:tr>
      <w:tr w14:paraId="3E093D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102FB3B9">
            <w:pPr>
              <w:spacing w:line="400" w:lineRule="exact"/>
              <w:jc w:val="center"/>
              <w:rPr>
                <w:rFonts w:ascii="宋体" w:hAnsi="宋体"/>
                <w:color w:val="auto"/>
                <w:highlight w:val="none"/>
              </w:rPr>
            </w:pPr>
          </w:p>
        </w:tc>
        <w:tc>
          <w:tcPr>
            <w:tcW w:w="1135" w:type="dxa"/>
            <w:gridSpan w:val="2"/>
            <w:vMerge w:val="continue"/>
            <w:vAlign w:val="center"/>
          </w:tcPr>
          <w:p w14:paraId="32AD25BA">
            <w:pPr>
              <w:spacing w:line="400" w:lineRule="exact"/>
              <w:jc w:val="center"/>
              <w:rPr>
                <w:rFonts w:ascii="宋体" w:hAnsi="宋体"/>
                <w:color w:val="auto"/>
                <w:highlight w:val="none"/>
              </w:rPr>
            </w:pPr>
          </w:p>
        </w:tc>
        <w:tc>
          <w:tcPr>
            <w:tcW w:w="2399" w:type="dxa"/>
            <w:gridSpan w:val="2"/>
            <w:tcBorders>
              <w:top w:val="single" w:color="auto" w:sz="4" w:space="0"/>
              <w:bottom w:val="single" w:color="auto" w:sz="4" w:space="0"/>
            </w:tcBorders>
            <w:vAlign w:val="center"/>
          </w:tcPr>
          <w:p w14:paraId="264EEF50">
            <w:pPr>
              <w:spacing w:line="400" w:lineRule="exact"/>
              <w:jc w:val="left"/>
              <w:rPr>
                <w:rFonts w:ascii="宋体" w:hAnsi="宋体"/>
                <w:color w:val="auto"/>
                <w:highlight w:val="none"/>
              </w:rPr>
            </w:pPr>
            <w:r>
              <w:rPr>
                <w:rFonts w:ascii="宋体" w:hAnsi="宋体"/>
                <w:color w:val="auto"/>
                <w:kern w:val="0"/>
                <w:highlight w:val="none"/>
              </w:rPr>
              <w:t>安全管理体系与措施</w:t>
            </w:r>
          </w:p>
        </w:tc>
        <w:tc>
          <w:tcPr>
            <w:tcW w:w="5085" w:type="dxa"/>
            <w:vMerge w:val="continue"/>
            <w:vAlign w:val="center"/>
          </w:tcPr>
          <w:p w14:paraId="5869807F">
            <w:pPr>
              <w:autoSpaceDE w:val="0"/>
              <w:autoSpaceDN w:val="0"/>
              <w:adjustRightInd w:val="0"/>
              <w:snapToGrid w:val="0"/>
              <w:spacing w:line="400" w:lineRule="exact"/>
              <w:ind w:firstLine="420" w:firstLineChars="200"/>
              <w:rPr>
                <w:rFonts w:ascii="宋体" w:hAnsi="宋体"/>
                <w:color w:val="auto"/>
                <w:szCs w:val="21"/>
                <w:highlight w:val="none"/>
              </w:rPr>
            </w:pPr>
          </w:p>
        </w:tc>
      </w:tr>
      <w:tr w14:paraId="46A16F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5568FA1C">
            <w:pPr>
              <w:spacing w:line="400" w:lineRule="exact"/>
              <w:jc w:val="center"/>
              <w:rPr>
                <w:rFonts w:ascii="宋体" w:hAnsi="宋体"/>
                <w:color w:val="auto"/>
                <w:highlight w:val="none"/>
              </w:rPr>
            </w:pPr>
          </w:p>
        </w:tc>
        <w:tc>
          <w:tcPr>
            <w:tcW w:w="1135" w:type="dxa"/>
            <w:gridSpan w:val="2"/>
            <w:vMerge w:val="continue"/>
            <w:vAlign w:val="center"/>
          </w:tcPr>
          <w:p w14:paraId="4EA352A1">
            <w:pPr>
              <w:spacing w:line="400" w:lineRule="exact"/>
              <w:jc w:val="center"/>
              <w:rPr>
                <w:rFonts w:ascii="宋体" w:hAnsi="宋体"/>
                <w:color w:val="auto"/>
                <w:highlight w:val="none"/>
              </w:rPr>
            </w:pPr>
          </w:p>
        </w:tc>
        <w:tc>
          <w:tcPr>
            <w:tcW w:w="2399" w:type="dxa"/>
            <w:gridSpan w:val="2"/>
            <w:tcBorders>
              <w:top w:val="single" w:color="auto" w:sz="4" w:space="0"/>
              <w:bottom w:val="single" w:color="auto" w:sz="4" w:space="0"/>
            </w:tcBorders>
            <w:vAlign w:val="center"/>
          </w:tcPr>
          <w:p w14:paraId="0EC5C00C">
            <w:pPr>
              <w:spacing w:line="400" w:lineRule="exact"/>
              <w:jc w:val="left"/>
              <w:rPr>
                <w:rFonts w:ascii="宋体" w:hAnsi="宋体"/>
                <w:color w:val="auto"/>
                <w:highlight w:val="none"/>
              </w:rPr>
            </w:pPr>
            <w:r>
              <w:rPr>
                <w:rFonts w:ascii="宋体" w:hAnsi="宋体"/>
                <w:color w:val="auto"/>
                <w:kern w:val="0"/>
                <w:highlight w:val="none"/>
              </w:rPr>
              <w:t>环境保护管理体系措施</w:t>
            </w:r>
          </w:p>
        </w:tc>
        <w:tc>
          <w:tcPr>
            <w:tcW w:w="5085" w:type="dxa"/>
            <w:vMerge w:val="continue"/>
            <w:vAlign w:val="center"/>
          </w:tcPr>
          <w:p w14:paraId="2FF82F41">
            <w:pPr>
              <w:autoSpaceDE w:val="0"/>
              <w:autoSpaceDN w:val="0"/>
              <w:adjustRightInd w:val="0"/>
              <w:snapToGrid w:val="0"/>
              <w:spacing w:line="400" w:lineRule="exact"/>
              <w:ind w:firstLine="420" w:firstLineChars="200"/>
              <w:rPr>
                <w:rFonts w:ascii="宋体" w:hAnsi="宋体"/>
                <w:color w:val="auto"/>
                <w:szCs w:val="21"/>
                <w:highlight w:val="none"/>
              </w:rPr>
            </w:pPr>
          </w:p>
        </w:tc>
      </w:tr>
      <w:tr w14:paraId="63A693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2C660B0B">
            <w:pPr>
              <w:spacing w:line="400" w:lineRule="exact"/>
              <w:jc w:val="center"/>
              <w:rPr>
                <w:rFonts w:ascii="宋体" w:hAnsi="宋体"/>
                <w:color w:val="auto"/>
                <w:highlight w:val="none"/>
              </w:rPr>
            </w:pPr>
          </w:p>
        </w:tc>
        <w:tc>
          <w:tcPr>
            <w:tcW w:w="1135" w:type="dxa"/>
            <w:gridSpan w:val="2"/>
            <w:vMerge w:val="continue"/>
            <w:vAlign w:val="center"/>
          </w:tcPr>
          <w:p w14:paraId="20BFD32C">
            <w:pPr>
              <w:spacing w:line="400" w:lineRule="exact"/>
              <w:jc w:val="center"/>
              <w:rPr>
                <w:rFonts w:ascii="宋体" w:hAnsi="宋体"/>
                <w:color w:val="auto"/>
                <w:highlight w:val="none"/>
              </w:rPr>
            </w:pPr>
          </w:p>
        </w:tc>
        <w:tc>
          <w:tcPr>
            <w:tcW w:w="2399" w:type="dxa"/>
            <w:gridSpan w:val="2"/>
            <w:tcBorders>
              <w:top w:val="single" w:color="auto" w:sz="4" w:space="0"/>
              <w:bottom w:val="single" w:color="auto" w:sz="4" w:space="0"/>
            </w:tcBorders>
            <w:vAlign w:val="center"/>
          </w:tcPr>
          <w:p w14:paraId="7D4A8630">
            <w:pPr>
              <w:spacing w:line="400" w:lineRule="exact"/>
              <w:jc w:val="left"/>
              <w:rPr>
                <w:rFonts w:ascii="宋体" w:hAnsi="宋体"/>
                <w:color w:val="auto"/>
                <w:highlight w:val="none"/>
              </w:rPr>
            </w:pPr>
            <w:r>
              <w:rPr>
                <w:rFonts w:ascii="宋体" w:hAnsi="宋体"/>
                <w:color w:val="auto"/>
                <w:kern w:val="0"/>
                <w:highlight w:val="none"/>
              </w:rPr>
              <w:t>工程进度计划与措施</w:t>
            </w:r>
          </w:p>
        </w:tc>
        <w:tc>
          <w:tcPr>
            <w:tcW w:w="5085" w:type="dxa"/>
            <w:vMerge w:val="continue"/>
            <w:vAlign w:val="center"/>
          </w:tcPr>
          <w:p w14:paraId="3B29D5BB">
            <w:pPr>
              <w:autoSpaceDE w:val="0"/>
              <w:autoSpaceDN w:val="0"/>
              <w:adjustRightInd w:val="0"/>
              <w:snapToGrid w:val="0"/>
              <w:spacing w:line="400" w:lineRule="exact"/>
              <w:ind w:firstLine="420" w:firstLineChars="200"/>
              <w:rPr>
                <w:rFonts w:ascii="宋体" w:hAnsi="宋体"/>
                <w:color w:val="auto"/>
                <w:szCs w:val="21"/>
                <w:highlight w:val="none"/>
              </w:rPr>
            </w:pPr>
          </w:p>
        </w:tc>
      </w:tr>
      <w:tr w14:paraId="774523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continue"/>
            <w:vAlign w:val="center"/>
          </w:tcPr>
          <w:p w14:paraId="7C793456">
            <w:pPr>
              <w:spacing w:line="400" w:lineRule="exact"/>
              <w:jc w:val="center"/>
              <w:rPr>
                <w:rFonts w:ascii="宋体" w:hAnsi="宋体"/>
                <w:color w:val="auto"/>
                <w:highlight w:val="none"/>
              </w:rPr>
            </w:pPr>
          </w:p>
        </w:tc>
        <w:tc>
          <w:tcPr>
            <w:tcW w:w="1135" w:type="dxa"/>
            <w:gridSpan w:val="2"/>
            <w:vMerge w:val="continue"/>
            <w:vAlign w:val="center"/>
          </w:tcPr>
          <w:p w14:paraId="505E546F">
            <w:pPr>
              <w:spacing w:line="400" w:lineRule="exact"/>
              <w:jc w:val="center"/>
              <w:rPr>
                <w:rFonts w:ascii="宋体" w:hAnsi="宋体"/>
                <w:color w:val="auto"/>
                <w:highlight w:val="none"/>
              </w:rPr>
            </w:pPr>
          </w:p>
        </w:tc>
        <w:tc>
          <w:tcPr>
            <w:tcW w:w="2399" w:type="dxa"/>
            <w:gridSpan w:val="2"/>
            <w:tcBorders>
              <w:top w:val="single" w:color="auto" w:sz="4" w:space="0"/>
              <w:bottom w:val="single" w:color="auto" w:sz="4" w:space="0"/>
            </w:tcBorders>
            <w:vAlign w:val="center"/>
          </w:tcPr>
          <w:p w14:paraId="1C154846">
            <w:pPr>
              <w:spacing w:line="400" w:lineRule="exact"/>
              <w:jc w:val="left"/>
              <w:rPr>
                <w:rFonts w:ascii="宋体" w:hAnsi="宋体"/>
                <w:color w:val="auto"/>
                <w:highlight w:val="none"/>
              </w:rPr>
            </w:pPr>
            <w:r>
              <w:rPr>
                <w:rFonts w:ascii="宋体" w:hAnsi="宋体"/>
                <w:color w:val="auto"/>
                <w:kern w:val="0"/>
                <w:highlight w:val="none"/>
              </w:rPr>
              <w:t>资源配备计划与先进性</w:t>
            </w:r>
          </w:p>
        </w:tc>
        <w:tc>
          <w:tcPr>
            <w:tcW w:w="5085" w:type="dxa"/>
            <w:vMerge w:val="continue"/>
            <w:vAlign w:val="center"/>
          </w:tcPr>
          <w:p w14:paraId="46F76B30">
            <w:pPr>
              <w:autoSpaceDE w:val="0"/>
              <w:autoSpaceDN w:val="0"/>
              <w:adjustRightInd w:val="0"/>
              <w:snapToGrid w:val="0"/>
              <w:spacing w:line="400" w:lineRule="exact"/>
              <w:ind w:firstLine="420" w:firstLineChars="200"/>
              <w:rPr>
                <w:rFonts w:ascii="宋体" w:hAnsi="宋体"/>
                <w:color w:val="auto"/>
                <w:szCs w:val="21"/>
                <w:highlight w:val="none"/>
              </w:rPr>
            </w:pPr>
          </w:p>
        </w:tc>
      </w:tr>
      <w:tr w14:paraId="025D96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7D5E0B48">
            <w:pPr>
              <w:spacing w:line="400" w:lineRule="exact"/>
              <w:jc w:val="center"/>
              <w:rPr>
                <w:rFonts w:ascii="宋体" w:hAnsi="宋体"/>
                <w:color w:val="auto"/>
                <w:highlight w:val="none"/>
              </w:rPr>
            </w:pPr>
            <w:r>
              <w:rPr>
                <w:rFonts w:ascii="宋体" w:hAnsi="宋体"/>
                <w:color w:val="auto"/>
                <w:highlight w:val="none"/>
              </w:rPr>
              <w:t>3.2.1（</w:t>
            </w:r>
            <w:r>
              <w:rPr>
                <w:rFonts w:hint="eastAsia" w:ascii="宋体" w:hAnsi="宋体"/>
                <w:color w:val="auto"/>
                <w:highlight w:val="none"/>
              </w:rPr>
              <w:t>2</w:t>
            </w:r>
            <w:r>
              <w:rPr>
                <w:rFonts w:ascii="宋体" w:hAnsi="宋体"/>
                <w:color w:val="auto"/>
                <w:highlight w:val="none"/>
              </w:rPr>
              <w:t>）</w:t>
            </w:r>
          </w:p>
        </w:tc>
        <w:tc>
          <w:tcPr>
            <w:tcW w:w="1135" w:type="dxa"/>
            <w:gridSpan w:val="2"/>
            <w:vAlign w:val="center"/>
          </w:tcPr>
          <w:p w14:paraId="0007338D">
            <w:pPr>
              <w:spacing w:line="400" w:lineRule="exact"/>
              <w:jc w:val="center"/>
              <w:rPr>
                <w:rFonts w:ascii="宋体" w:hAnsi="宋体"/>
                <w:color w:val="auto"/>
                <w:highlight w:val="none"/>
              </w:rPr>
            </w:pPr>
            <w:r>
              <w:rPr>
                <w:rFonts w:ascii="宋体" w:hAnsi="宋体"/>
                <w:color w:val="auto"/>
                <w:highlight w:val="none"/>
              </w:rPr>
              <w:t>投标报价</w:t>
            </w:r>
            <w:r>
              <w:rPr>
                <w:rFonts w:ascii="宋体" w:hAnsi="宋体"/>
                <w:color w:val="auto"/>
                <w:kern w:val="0"/>
                <w:highlight w:val="none"/>
              </w:rPr>
              <w:t>得分</w:t>
            </w:r>
            <w:r>
              <w:rPr>
                <w:rFonts w:ascii="宋体" w:hAnsi="宋体"/>
                <w:color w:val="auto"/>
                <w:spacing w:val="-8"/>
                <w:highlight w:val="none"/>
              </w:rPr>
              <w:t>（</w:t>
            </w:r>
            <w:r>
              <w:rPr>
                <w:rFonts w:hint="eastAsia" w:ascii="宋体" w:hAnsi="宋体"/>
                <w:color w:val="auto"/>
                <w:spacing w:val="-8"/>
                <w:highlight w:val="none"/>
              </w:rPr>
              <w:t>B</w:t>
            </w:r>
            <w:r>
              <w:rPr>
                <w:rFonts w:ascii="宋体" w:hAnsi="宋体"/>
                <w:color w:val="auto"/>
                <w:spacing w:val="-8"/>
                <w:highlight w:val="none"/>
              </w:rPr>
              <w:t>）</w:t>
            </w:r>
          </w:p>
        </w:tc>
        <w:tc>
          <w:tcPr>
            <w:tcW w:w="2399" w:type="dxa"/>
            <w:gridSpan w:val="2"/>
            <w:tcBorders>
              <w:top w:val="single" w:color="auto" w:sz="4" w:space="0"/>
            </w:tcBorders>
            <w:vAlign w:val="center"/>
          </w:tcPr>
          <w:p w14:paraId="04FD0853">
            <w:pPr>
              <w:spacing w:line="400" w:lineRule="exact"/>
              <w:jc w:val="center"/>
              <w:rPr>
                <w:rFonts w:ascii="宋体" w:hAnsi="宋体"/>
                <w:color w:val="auto"/>
                <w:highlight w:val="none"/>
              </w:rPr>
            </w:pPr>
            <w:r>
              <w:rPr>
                <w:rFonts w:hint="eastAsia" w:ascii="宋体" w:hAnsi="宋体"/>
                <w:color w:val="auto"/>
                <w:highlight w:val="none"/>
              </w:rPr>
              <w:t>竞选总报价</w:t>
            </w:r>
          </w:p>
        </w:tc>
        <w:tc>
          <w:tcPr>
            <w:tcW w:w="5085" w:type="dxa"/>
            <w:vAlign w:val="center"/>
          </w:tcPr>
          <w:p w14:paraId="14C363D4">
            <w:pPr>
              <w:spacing w:line="400" w:lineRule="exact"/>
              <w:ind w:firstLine="420" w:firstLineChars="200"/>
              <w:rPr>
                <w:rFonts w:ascii="宋体" w:hAnsi="宋体"/>
                <w:color w:val="auto"/>
                <w:szCs w:val="21"/>
                <w:highlight w:val="none"/>
              </w:rPr>
            </w:pPr>
            <w:r>
              <w:rPr>
                <w:rFonts w:hint="eastAsia" w:ascii="宋体" w:hAnsi="宋体"/>
                <w:bCs/>
                <w:color w:val="auto"/>
                <w:kern w:val="0"/>
                <w:szCs w:val="21"/>
                <w:highlight w:val="none"/>
              </w:rPr>
              <w:t>设置允许偏差范围的，</w:t>
            </w:r>
            <w:r>
              <w:rPr>
                <w:rFonts w:hint="eastAsia" w:ascii="宋体" w:hAnsi="宋体"/>
                <w:color w:val="auto"/>
                <w:kern w:val="0"/>
                <w:highlight w:val="none"/>
              </w:rPr>
              <w:t>竞选总报价</w:t>
            </w:r>
            <w:r>
              <w:rPr>
                <w:rFonts w:ascii="宋体" w:hAnsi="宋体"/>
                <w:color w:val="auto"/>
                <w:kern w:val="0"/>
                <w:highlight w:val="none"/>
              </w:rPr>
              <w:t>的偏差在</w:t>
            </w:r>
            <w:r>
              <w:rPr>
                <w:rFonts w:ascii="宋体" w:hAnsi="宋体"/>
                <w:color w:val="auto"/>
                <w:szCs w:val="21"/>
                <w:highlight w:val="none"/>
              </w:rPr>
              <w:t>允许偏差范围外的，</w:t>
            </w:r>
            <w:r>
              <w:rPr>
                <w:rFonts w:ascii="宋体" w:hAnsi="宋体"/>
                <w:bCs/>
                <w:color w:val="auto"/>
                <w:szCs w:val="28"/>
                <w:highlight w:val="none"/>
              </w:rPr>
              <w:t>得零分</w:t>
            </w:r>
            <w:r>
              <w:rPr>
                <w:rFonts w:ascii="宋体" w:hAnsi="宋体"/>
                <w:color w:val="auto"/>
                <w:kern w:val="0"/>
                <w:highlight w:val="none"/>
              </w:rPr>
              <w:t>；</w:t>
            </w:r>
            <w:r>
              <w:rPr>
                <w:rFonts w:hint="eastAsia" w:ascii="宋体" w:hAnsi="宋体"/>
                <w:color w:val="auto"/>
                <w:kern w:val="0"/>
                <w:highlight w:val="none"/>
              </w:rPr>
              <w:t>不设置允许偏差范围或</w:t>
            </w:r>
            <w:r>
              <w:rPr>
                <w:rFonts w:hint="eastAsia" w:ascii="宋体" w:hAnsi="宋体"/>
                <w:color w:val="auto"/>
                <w:szCs w:val="21"/>
                <w:highlight w:val="none"/>
              </w:rPr>
              <w:t>竞选总报价</w:t>
            </w:r>
            <w:r>
              <w:rPr>
                <w:rFonts w:ascii="宋体" w:hAnsi="宋体"/>
                <w:color w:val="auto"/>
                <w:szCs w:val="21"/>
                <w:highlight w:val="none"/>
              </w:rPr>
              <w:t>偏差在允许范围内的（含上、下限值），得</w:t>
            </w:r>
            <w:r>
              <w:rPr>
                <w:rFonts w:ascii="宋体" w:hAnsi="宋体"/>
                <w:bCs/>
                <w:color w:val="auto"/>
                <w:szCs w:val="28"/>
                <w:highlight w:val="none"/>
              </w:rPr>
              <w:t>本附表</w:t>
            </w:r>
            <w:r>
              <w:rPr>
                <w:rFonts w:hint="eastAsia" w:ascii="宋体" w:hAnsi="宋体"/>
                <w:bCs/>
                <w:color w:val="auto"/>
                <w:szCs w:val="28"/>
                <w:highlight w:val="none"/>
              </w:rPr>
              <w:t>第</w:t>
            </w:r>
            <w:r>
              <w:rPr>
                <w:rFonts w:ascii="宋体" w:hAnsi="宋体"/>
                <w:bCs/>
                <w:color w:val="auto"/>
                <w:szCs w:val="28"/>
                <w:highlight w:val="none"/>
              </w:rPr>
              <w:t>2.2.1</w:t>
            </w:r>
            <w:r>
              <w:rPr>
                <w:rFonts w:hint="eastAsia" w:ascii="宋体" w:hAnsi="宋体"/>
                <w:bCs/>
                <w:color w:val="auto"/>
                <w:szCs w:val="28"/>
                <w:highlight w:val="none"/>
              </w:rPr>
              <w:t>项</w:t>
            </w:r>
            <w:r>
              <w:rPr>
                <w:rFonts w:ascii="宋体" w:hAnsi="宋体"/>
                <w:bCs/>
                <w:color w:val="auto"/>
                <w:szCs w:val="28"/>
                <w:highlight w:val="none"/>
              </w:rPr>
              <w:t>规定分值的满分</w:t>
            </w:r>
            <w:r>
              <w:rPr>
                <w:rFonts w:ascii="宋体" w:hAnsi="宋体"/>
                <w:bCs/>
                <w:color w:val="auto"/>
                <w:szCs w:val="28"/>
                <w:highlight w:val="none"/>
                <w:u w:val="single"/>
              </w:rPr>
              <w:t xml:space="preserve"> </w:t>
            </w:r>
            <w:r>
              <w:rPr>
                <w:rFonts w:hint="eastAsia" w:ascii="宋体" w:hAnsi="宋体"/>
                <w:bCs/>
                <w:color w:val="auto"/>
                <w:szCs w:val="28"/>
                <w:highlight w:val="none"/>
                <w:u w:val="single"/>
                <w:lang w:val="en-US" w:eastAsia="zh-CN"/>
              </w:rPr>
              <w:t>3</w:t>
            </w:r>
            <w:r>
              <w:rPr>
                <w:rFonts w:hint="eastAsia" w:ascii="宋体" w:hAnsi="宋体"/>
                <w:bCs/>
                <w:color w:val="auto"/>
                <w:szCs w:val="28"/>
                <w:highlight w:val="none"/>
                <w:u w:val="single"/>
              </w:rPr>
              <w:t>0</w:t>
            </w:r>
            <w:r>
              <w:rPr>
                <w:rFonts w:ascii="宋体" w:hAnsi="宋体"/>
                <w:bCs/>
                <w:color w:val="auto"/>
                <w:szCs w:val="28"/>
                <w:highlight w:val="none"/>
                <w:u w:val="single"/>
              </w:rPr>
              <w:t xml:space="preserve"> </w:t>
            </w:r>
            <w:r>
              <w:rPr>
                <w:rFonts w:ascii="宋体" w:hAnsi="宋体"/>
                <w:color w:val="auto"/>
                <w:szCs w:val="21"/>
                <w:highlight w:val="none"/>
              </w:rPr>
              <w:t>分。在此基础上，</w:t>
            </w:r>
            <w:r>
              <w:rPr>
                <w:rFonts w:hint="eastAsia" w:ascii="宋体" w:hAnsi="宋体"/>
                <w:color w:val="auto"/>
                <w:szCs w:val="21"/>
                <w:highlight w:val="none"/>
              </w:rPr>
              <w:t>竞选总报价</w:t>
            </w:r>
            <w:r>
              <w:rPr>
                <w:rFonts w:ascii="宋体" w:hAnsi="宋体"/>
                <w:color w:val="auto"/>
                <w:szCs w:val="21"/>
                <w:highlight w:val="none"/>
              </w:rPr>
              <w:t>与评标基准价相比，每增加1%扣</w:t>
            </w:r>
            <w:r>
              <w:rPr>
                <w:rFonts w:ascii="宋体" w:hAnsi="宋体"/>
                <w:color w:val="auto"/>
                <w:szCs w:val="21"/>
                <w:highlight w:val="none"/>
                <w:u w:val="single"/>
              </w:rPr>
              <w:t>　</w:t>
            </w:r>
            <w:r>
              <w:rPr>
                <w:rFonts w:hint="eastAsia" w:ascii="宋体" w:hAnsi="宋体"/>
                <w:color w:val="auto"/>
                <w:szCs w:val="21"/>
                <w:highlight w:val="none"/>
                <w:u w:val="single"/>
              </w:rPr>
              <w:t>0.</w:t>
            </w:r>
            <w:r>
              <w:rPr>
                <w:rFonts w:hint="eastAsia" w:ascii="宋体" w:hAnsi="宋体"/>
                <w:color w:val="auto"/>
                <w:szCs w:val="21"/>
                <w:highlight w:val="none"/>
                <w:u w:val="single"/>
                <w:lang w:val="en-US" w:eastAsia="zh-CN"/>
              </w:rPr>
              <w:t>5</w:t>
            </w:r>
            <w:r>
              <w:rPr>
                <w:rFonts w:ascii="宋体" w:hAnsi="宋体"/>
                <w:color w:val="auto"/>
                <w:szCs w:val="21"/>
                <w:highlight w:val="none"/>
              </w:rPr>
              <w:t>分，每减少1%扣</w:t>
            </w:r>
            <w:r>
              <w:rPr>
                <w:rFonts w:ascii="宋体" w:hAnsi="宋体"/>
                <w:color w:val="auto"/>
                <w:szCs w:val="21"/>
                <w:highlight w:val="none"/>
                <w:u w:val="single"/>
              </w:rPr>
              <w:t>　</w:t>
            </w:r>
            <w:r>
              <w:rPr>
                <w:rFonts w:hint="eastAsia" w:ascii="宋体" w:hAnsi="宋体"/>
                <w:color w:val="auto"/>
                <w:szCs w:val="21"/>
                <w:highlight w:val="none"/>
                <w:u w:val="single"/>
              </w:rPr>
              <w:t>0.</w:t>
            </w:r>
            <w:r>
              <w:rPr>
                <w:rFonts w:hint="eastAsia" w:ascii="宋体" w:hAnsi="宋体"/>
                <w:color w:val="auto"/>
                <w:szCs w:val="21"/>
                <w:highlight w:val="none"/>
                <w:u w:val="single"/>
                <w:lang w:val="en-US" w:eastAsia="zh-CN"/>
              </w:rPr>
              <w:t>25</w:t>
            </w:r>
            <w:r>
              <w:rPr>
                <w:rFonts w:ascii="宋体" w:hAnsi="宋体"/>
                <w:color w:val="auto"/>
                <w:szCs w:val="21"/>
                <w:highlight w:val="none"/>
                <w:u w:val="single"/>
              </w:rPr>
              <w:t>　</w:t>
            </w:r>
            <w:r>
              <w:rPr>
                <w:rFonts w:ascii="宋体" w:hAnsi="宋体"/>
                <w:color w:val="auto"/>
                <w:szCs w:val="21"/>
                <w:highlight w:val="none"/>
              </w:rPr>
              <w:t>分，</w:t>
            </w:r>
            <w:r>
              <w:rPr>
                <w:rFonts w:hint="eastAsia" w:ascii="宋体" w:hAnsi="宋体"/>
                <w:color w:val="auto"/>
                <w:szCs w:val="21"/>
                <w:highlight w:val="none"/>
                <w:lang w:val="en-US" w:eastAsia="zh-CN"/>
              </w:rPr>
              <w:t>最多扣5分</w:t>
            </w:r>
            <w:r>
              <w:rPr>
                <w:rFonts w:ascii="宋体" w:hAnsi="宋体"/>
                <w:color w:val="auto"/>
                <w:szCs w:val="21"/>
                <w:highlight w:val="none"/>
              </w:rPr>
              <w:t>。</w:t>
            </w:r>
          </w:p>
          <w:p w14:paraId="78B5C06A">
            <w:pPr>
              <w:spacing w:line="400" w:lineRule="exact"/>
              <w:ind w:firstLine="420" w:firstLineChars="200"/>
              <w:rPr>
                <w:rFonts w:ascii="宋体" w:hAnsi="宋体"/>
                <w:color w:val="auto"/>
                <w:szCs w:val="21"/>
                <w:highlight w:val="none"/>
              </w:rPr>
            </w:pPr>
            <w:r>
              <w:rPr>
                <w:rFonts w:ascii="宋体" w:hAnsi="宋体"/>
                <w:color w:val="auto"/>
                <w:szCs w:val="21"/>
                <w:highlight w:val="none"/>
              </w:rPr>
              <w:t>按插入法计算得分。</w:t>
            </w:r>
            <w:bookmarkStart w:id="2282" w:name="_GoBack"/>
            <w:bookmarkEnd w:id="2282"/>
          </w:p>
          <w:p w14:paraId="06C955D2">
            <w:pPr>
              <w:spacing w:line="400" w:lineRule="exact"/>
              <w:ind w:firstLine="420" w:firstLineChars="200"/>
              <w:rPr>
                <w:rFonts w:ascii="宋体" w:hAnsi="宋体"/>
                <w:color w:val="auto"/>
                <w:szCs w:val="21"/>
                <w:highlight w:val="none"/>
              </w:rPr>
            </w:pPr>
            <w:r>
              <w:rPr>
                <w:rFonts w:ascii="宋体" w:hAnsi="宋体"/>
                <w:color w:val="auto"/>
                <w:szCs w:val="21"/>
                <w:highlight w:val="none"/>
              </w:rPr>
              <w:t>在偏差范围内，未参与评标基准价计算的投标报价，仍应参加计算相应分值。</w:t>
            </w:r>
          </w:p>
          <w:p w14:paraId="3AE73F00">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竞选总报价得分最终结果</w:t>
            </w:r>
            <w:r>
              <w:rPr>
                <w:rFonts w:ascii="宋体" w:hAnsi="宋体"/>
                <w:color w:val="auto"/>
                <w:kern w:val="0"/>
                <w:szCs w:val="21"/>
                <w:highlight w:val="none"/>
              </w:rPr>
              <w:t>取小数点后两位，第三位四舍五入。</w:t>
            </w:r>
          </w:p>
        </w:tc>
      </w:tr>
      <w:tr w14:paraId="3BBA4C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2AD6ED18">
            <w:pPr>
              <w:spacing w:line="400" w:lineRule="exact"/>
              <w:ind w:firstLine="18" w:firstLineChars="9"/>
              <w:jc w:val="center"/>
              <w:rPr>
                <w:rFonts w:ascii="宋体" w:hAnsi="宋体"/>
                <w:color w:val="auto"/>
                <w:szCs w:val="21"/>
                <w:highlight w:val="none"/>
              </w:rPr>
            </w:pPr>
            <w:r>
              <w:rPr>
                <w:rFonts w:ascii="宋体" w:hAnsi="宋体"/>
                <w:color w:val="auto"/>
                <w:szCs w:val="21"/>
                <w:highlight w:val="none"/>
              </w:rPr>
              <w:t>3.2.3</w:t>
            </w:r>
          </w:p>
        </w:tc>
        <w:tc>
          <w:tcPr>
            <w:tcW w:w="2399" w:type="dxa"/>
            <w:gridSpan w:val="2"/>
            <w:vAlign w:val="center"/>
          </w:tcPr>
          <w:p w14:paraId="3A823039">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得分</w:t>
            </w:r>
          </w:p>
        </w:tc>
        <w:tc>
          <w:tcPr>
            <w:tcW w:w="5085" w:type="dxa"/>
            <w:vAlign w:val="center"/>
          </w:tcPr>
          <w:p w14:paraId="7C72F463">
            <w:pPr>
              <w:spacing w:line="400" w:lineRule="exact"/>
              <w:jc w:val="center"/>
              <w:rPr>
                <w:rFonts w:ascii="宋体" w:hAnsi="宋体"/>
                <w:color w:val="auto"/>
                <w:szCs w:val="21"/>
                <w:highlight w:val="none"/>
                <w:u w:val="single"/>
              </w:rPr>
            </w:pPr>
            <w:r>
              <w:rPr>
                <w:rFonts w:hint="eastAsia" w:ascii="宋体" w:hAnsi="宋体"/>
                <w:color w:val="auto"/>
                <w:szCs w:val="21"/>
                <w:highlight w:val="none"/>
                <w:u w:val="single"/>
              </w:rPr>
              <w:t>竞选人</w:t>
            </w:r>
            <w:r>
              <w:rPr>
                <w:rFonts w:ascii="宋体" w:hAnsi="宋体"/>
                <w:color w:val="auto"/>
                <w:szCs w:val="21"/>
                <w:highlight w:val="none"/>
                <w:u w:val="single"/>
              </w:rPr>
              <w:t>得分=A+B</w:t>
            </w:r>
          </w:p>
        </w:tc>
      </w:tr>
    </w:tbl>
    <w:p w14:paraId="4CCB0D69">
      <w:pPr>
        <w:pStyle w:val="3"/>
        <w:spacing w:before="0" w:after="0" w:line="360" w:lineRule="auto"/>
        <w:rPr>
          <w:rFonts w:ascii="宋体" w:hAnsi="宋体"/>
          <w:b w:val="0"/>
          <w:snapToGrid w:val="0"/>
          <w:color w:val="auto"/>
          <w:highlight w:val="none"/>
        </w:rPr>
      </w:pPr>
      <w:r>
        <w:rPr>
          <w:rFonts w:ascii="宋体" w:hAnsi="宋体"/>
          <w:b w:val="0"/>
          <w:snapToGrid w:val="0"/>
          <w:color w:val="auto"/>
          <w:highlight w:val="none"/>
        </w:rPr>
        <w:br w:type="page"/>
      </w:r>
      <w:bookmarkStart w:id="602" w:name="_Toc2957"/>
      <w:bookmarkStart w:id="603" w:name="_Toc57905897"/>
      <w:r>
        <w:rPr>
          <w:rFonts w:ascii="宋体" w:hAnsi="宋体"/>
          <w:b w:val="0"/>
          <w:snapToGrid w:val="0"/>
          <w:color w:val="auto"/>
          <w:highlight w:val="none"/>
        </w:rPr>
        <w:t>1.  评标方法</w:t>
      </w:r>
      <w:bookmarkEnd w:id="587"/>
      <w:bookmarkEnd w:id="588"/>
      <w:bookmarkEnd w:id="589"/>
      <w:bookmarkEnd w:id="590"/>
      <w:bookmarkEnd w:id="591"/>
      <w:bookmarkEnd w:id="592"/>
      <w:bookmarkEnd w:id="601"/>
      <w:bookmarkEnd w:id="602"/>
      <w:bookmarkEnd w:id="603"/>
    </w:p>
    <w:p w14:paraId="2E38C9A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hint="eastAsia" w:ascii="宋体" w:hAnsi="宋体"/>
          <w:color w:val="auto"/>
          <w:kern w:val="0"/>
          <w:szCs w:val="21"/>
          <w:highlight w:val="none"/>
        </w:rPr>
        <w:t>，若出现竞选人投标报价相同的，以评标办法前附表约定的原则确定排序</w:t>
      </w:r>
      <w:r>
        <w:rPr>
          <w:rFonts w:ascii="宋体" w:hAnsi="宋体"/>
          <w:color w:val="auto"/>
          <w:spacing w:val="-31"/>
          <w:kern w:val="0"/>
          <w:szCs w:val="21"/>
          <w:highlight w:val="none"/>
        </w:rPr>
        <w:t>。</w:t>
      </w:r>
    </w:p>
    <w:p w14:paraId="679846BF">
      <w:pPr>
        <w:pStyle w:val="3"/>
        <w:spacing w:before="0" w:after="0" w:line="360" w:lineRule="auto"/>
        <w:rPr>
          <w:rFonts w:ascii="宋体" w:hAnsi="宋体"/>
          <w:b w:val="0"/>
          <w:snapToGrid w:val="0"/>
          <w:color w:val="auto"/>
          <w:highlight w:val="none"/>
        </w:rPr>
      </w:pPr>
      <w:bookmarkStart w:id="604" w:name="_Toc57905898"/>
      <w:bookmarkStart w:id="605" w:name="_Toc509218777"/>
      <w:bookmarkStart w:id="606" w:name="_Toc430530501"/>
      <w:bookmarkStart w:id="607" w:name="_Toc224103385"/>
      <w:bookmarkStart w:id="608" w:name="_Toc200513199"/>
      <w:bookmarkStart w:id="609" w:name="_Toc287607813"/>
      <w:bookmarkStart w:id="610" w:name="_Toc287620752"/>
      <w:bookmarkStart w:id="611" w:name="_Toc277082619"/>
      <w:bookmarkStart w:id="612" w:name="_Toc28040"/>
      <w:r>
        <w:rPr>
          <w:rFonts w:ascii="宋体" w:hAnsi="宋体"/>
          <w:b w:val="0"/>
          <w:snapToGrid w:val="0"/>
          <w:color w:val="auto"/>
          <w:highlight w:val="none"/>
        </w:rPr>
        <w:t>2.  评审标准</w:t>
      </w:r>
      <w:bookmarkEnd w:id="604"/>
      <w:bookmarkEnd w:id="605"/>
      <w:bookmarkEnd w:id="606"/>
      <w:bookmarkEnd w:id="607"/>
      <w:bookmarkEnd w:id="608"/>
      <w:bookmarkEnd w:id="609"/>
      <w:bookmarkEnd w:id="610"/>
      <w:bookmarkEnd w:id="611"/>
      <w:bookmarkEnd w:id="612"/>
    </w:p>
    <w:p w14:paraId="525BA15C">
      <w:pPr>
        <w:pStyle w:val="4"/>
        <w:snapToGrid w:val="0"/>
        <w:spacing w:before="0" w:after="0" w:line="360" w:lineRule="auto"/>
        <w:rPr>
          <w:rFonts w:ascii="宋体" w:hAnsi="宋体"/>
          <w:b w:val="0"/>
          <w:snapToGrid w:val="0"/>
          <w:color w:val="auto"/>
          <w:sz w:val="24"/>
          <w:szCs w:val="24"/>
          <w:highlight w:val="none"/>
        </w:rPr>
      </w:pPr>
      <w:bookmarkStart w:id="613" w:name="_Toc509218778"/>
      <w:bookmarkStart w:id="614" w:name="_Toc200513200"/>
      <w:bookmarkStart w:id="615" w:name="_Toc224103386"/>
      <w:bookmarkStart w:id="616" w:name="_Toc287620753"/>
      <w:bookmarkStart w:id="617" w:name="_Toc57905899"/>
      <w:bookmarkStart w:id="618" w:name="_Toc430530502"/>
      <w:bookmarkStart w:id="619" w:name="_Toc2588"/>
      <w:bookmarkStart w:id="620" w:name="_Toc277082620"/>
      <w:bookmarkStart w:id="621" w:name="_Toc287607814"/>
      <w:r>
        <w:rPr>
          <w:rFonts w:ascii="宋体" w:hAnsi="宋体"/>
          <w:b w:val="0"/>
          <w:snapToGrid w:val="0"/>
          <w:color w:val="auto"/>
          <w:sz w:val="24"/>
          <w:szCs w:val="24"/>
          <w:highlight w:val="none"/>
        </w:rPr>
        <w:t>2.1  初步评审标准</w:t>
      </w:r>
      <w:bookmarkEnd w:id="613"/>
      <w:bookmarkEnd w:id="614"/>
      <w:bookmarkEnd w:id="615"/>
      <w:bookmarkEnd w:id="616"/>
      <w:bookmarkEnd w:id="617"/>
      <w:bookmarkEnd w:id="618"/>
      <w:bookmarkEnd w:id="619"/>
      <w:bookmarkEnd w:id="620"/>
      <w:bookmarkEnd w:id="621"/>
    </w:p>
    <w:p w14:paraId="300BD70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1A</w:t>
      </w:r>
      <w:r>
        <w:rPr>
          <w:rFonts w:ascii="宋体" w:hAnsi="宋体"/>
          <w:color w:val="auto"/>
          <w:kern w:val="0"/>
          <w:szCs w:val="21"/>
          <w:highlight w:val="none"/>
        </w:rPr>
        <w:t xml:space="preserve">  资格评审标准：见评标办法前附表（适用于未进行资格预审的）。</w:t>
      </w:r>
    </w:p>
    <w:p w14:paraId="6DB1103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1B</w:t>
      </w:r>
      <w:r>
        <w:rPr>
          <w:rFonts w:ascii="宋体" w:hAnsi="宋体"/>
          <w:color w:val="auto"/>
          <w:kern w:val="0"/>
          <w:szCs w:val="21"/>
          <w:highlight w:val="none"/>
        </w:rPr>
        <w:t xml:space="preserve">  资格评审标准：见资格预审文件第三章“资格审查办法”详细审查标准（适用于已进行资格预审的）。</w:t>
      </w:r>
    </w:p>
    <w:p w14:paraId="6154F83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6353047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5ADC017F">
      <w:pPr>
        <w:pStyle w:val="4"/>
        <w:snapToGrid w:val="0"/>
        <w:spacing w:before="0" w:after="0" w:line="360" w:lineRule="auto"/>
        <w:rPr>
          <w:rFonts w:ascii="宋体" w:hAnsi="宋体"/>
          <w:b w:val="0"/>
          <w:snapToGrid w:val="0"/>
          <w:color w:val="auto"/>
          <w:sz w:val="24"/>
          <w:szCs w:val="24"/>
          <w:highlight w:val="none"/>
        </w:rPr>
      </w:pPr>
      <w:bookmarkStart w:id="622" w:name="_Toc509218779"/>
      <w:bookmarkStart w:id="623" w:name="_Toc287607815"/>
      <w:bookmarkStart w:id="624" w:name="_Toc17923"/>
      <w:bookmarkStart w:id="625" w:name="_Toc277082621"/>
      <w:bookmarkStart w:id="626" w:name="_Toc430530503"/>
      <w:bookmarkStart w:id="627" w:name="_Toc224103387"/>
      <w:bookmarkStart w:id="628" w:name="_Toc200513201"/>
      <w:bookmarkStart w:id="629" w:name="_Toc57905900"/>
      <w:bookmarkStart w:id="630" w:name="_Toc287620754"/>
      <w:r>
        <w:rPr>
          <w:rFonts w:ascii="宋体" w:hAnsi="宋体"/>
          <w:b w:val="0"/>
          <w:snapToGrid w:val="0"/>
          <w:color w:val="auto"/>
          <w:sz w:val="24"/>
          <w:szCs w:val="24"/>
          <w:highlight w:val="none"/>
        </w:rPr>
        <w:t>2.2  分值构成与评分标准</w:t>
      </w:r>
      <w:bookmarkEnd w:id="622"/>
      <w:bookmarkEnd w:id="623"/>
      <w:bookmarkEnd w:id="624"/>
      <w:bookmarkEnd w:id="625"/>
      <w:bookmarkEnd w:id="626"/>
      <w:bookmarkEnd w:id="627"/>
      <w:bookmarkEnd w:id="628"/>
      <w:bookmarkEnd w:id="629"/>
      <w:bookmarkEnd w:id="630"/>
    </w:p>
    <w:p w14:paraId="439DB93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0E1CA7F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26EA121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竞选总报价</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68DC446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评分标准</w:t>
      </w:r>
    </w:p>
    <w:p w14:paraId="54FCADA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评分标准：见评标办法前附表</w:t>
      </w:r>
      <w:r>
        <w:rPr>
          <w:rFonts w:hint="eastAsia" w:ascii="宋体" w:hAnsi="宋体"/>
          <w:color w:val="auto"/>
          <w:kern w:val="0"/>
          <w:szCs w:val="21"/>
          <w:highlight w:val="none"/>
        </w:rPr>
        <w:t>。</w:t>
      </w:r>
    </w:p>
    <w:p w14:paraId="3515C37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2.2.3  </w:t>
      </w:r>
      <w:r>
        <w:rPr>
          <w:rFonts w:ascii="宋体" w:hAnsi="宋体"/>
          <w:color w:val="auto"/>
          <w:kern w:val="0"/>
          <w:szCs w:val="21"/>
          <w:highlight w:val="none"/>
        </w:rPr>
        <w:t>评标基准价计算</w:t>
      </w:r>
    </w:p>
    <w:p w14:paraId="3C5F8F0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7BF81EB4">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4</w:t>
      </w:r>
      <w:r>
        <w:rPr>
          <w:rFonts w:ascii="宋体" w:hAnsi="宋体"/>
          <w:color w:val="auto"/>
          <w:kern w:val="0"/>
          <w:szCs w:val="21"/>
          <w:highlight w:val="none"/>
        </w:rPr>
        <w:t xml:space="preserve">  投标报价的偏差率计算</w:t>
      </w:r>
      <w:r>
        <w:rPr>
          <w:rFonts w:hint="eastAsia" w:ascii="宋体" w:hAnsi="宋体"/>
          <w:color w:val="auto"/>
          <w:kern w:val="0"/>
          <w:szCs w:val="21"/>
          <w:highlight w:val="none"/>
        </w:rPr>
        <w:t>和允许偏差范围</w:t>
      </w:r>
    </w:p>
    <w:p w14:paraId="437D7A8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3108C8F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（2）投标报价的允许偏差范围</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3AEA9900">
      <w:pPr>
        <w:pStyle w:val="3"/>
        <w:spacing w:before="0" w:after="0" w:line="360" w:lineRule="auto"/>
        <w:rPr>
          <w:rFonts w:ascii="宋体" w:hAnsi="宋体"/>
          <w:b w:val="0"/>
          <w:snapToGrid w:val="0"/>
          <w:color w:val="auto"/>
          <w:highlight w:val="none"/>
        </w:rPr>
      </w:pPr>
      <w:bookmarkStart w:id="631" w:name="_Toc4568"/>
      <w:bookmarkStart w:id="632" w:name="_Toc287620755"/>
      <w:bookmarkStart w:id="633" w:name="_Toc277082622"/>
      <w:bookmarkStart w:id="634" w:name="_Toc200513202"/>
      <w:bookmarkStart w:id="635" w:name="_Toc287607816"/>
      <w:bookmarkStart w:id="636" w:name="_Toc224103388"/>
      <w:bookmarkStart w:id="637" w:name="_Toc509218780"/>
      <w:bookmarkStart w:id="638" w:name="_Toc430530504"/>
      <w:bookmarkStart w:id="639" w:name="_Toc57905901"/>
      <w:r>
        <w:rPr>
          <w:rFonts w:ascii="宋体" w:hAnsi="宋体"/>
          <w:b w:val="0"/>
          <w:snapToGrid w:val="0"/>
          <w:color w:val="auto"/>
          <w:highlight w:val="none"/>
        </w:rPr>
        <w:t>3.  评标程序</w:t>
      </w:r>
      <w:bookmarkEnd w:id="631"/>
      <w:bookmarkEnd w:id="632"/>
      <w:bookmarkEnd w:id="633"/>
      <w:bookmarkEnd w:id="634"/>
      <w:bookmarkEnd w:id="635"/>
      <w:bookmarkEnd w:id="636"/>
      <w:bookmarkEnd w:id="637"/>
      <w:bookmarkEnd w:id="638"/>
      <w:bookmarkEnd w:id="639"/>
    </w:p>
    <w:p w14:paraId="5DE83ACA">
      <w:pPr>
        <w:pStyle w:val="4"/>
        <w:snapToGrid w:val="0"/>
        <w:spacing w:before="0" w:after="0" w:line="360" w:lineRule="auto"/>
        <w:rPr>
          <w:rFonts w:ascii="宋体" w:hAnsi="宋体"/>
          <w:b w:val="0"/>
          <w:snapToGrid w:val="0"/>
          <w:color w:val="auto"/>
          <w:sz w:val="24"/>
          <w:szCs w:val="24"/>
          <w:highlight w:val="none"/>
        </w:rPr>
      </w:pPr>
      <w:bookmarkStart w:id="640" w:name="_Toc224103389"/>
      <w:bookmarkStart w:id="641" w:name="_Toc57905902"/>
      <w:bookmarkStart w:id="642" w:name="_Toc200513203"/>
      <w:bookmarkStart w:id="643" w:name="_Toc277082623"/>
      <w:bookmarkStart w:id="644" w:name="_Toc287607817"/>
      <w:bookmarkStart w:id="645" w:name="_Toc287620756"/>
      <w:bookmarkStart w:id="646" w:name="_Toc430530505"/>
      <w:bookmarkStart w:id="647" w:name="_Toc509218781"/>
      <w:bookmarkStart w:id="648" w:name="_Toc21102"/>
      <w:r>
        <w:rPr>
          <w:rFonts w:ascii="宋体" w:hAnsi="宋体"/>
          <w:b w:val="0"/>
          <w:snapToGrid w:val="0"/>
          <w:color w:val="auto"/>
          <w:sz w:val="24"/>
          <w:szCs w:val="24"/>
          <w:highlight w:val="none"/>
        </w:rPr>
        <w:t>3.1  初步评审</w:t>
      </w:r>
      <w:bookmarkEnd w:id="640"/>
      <w:bookmarkEnd w:id="641"/>
      <w:bookmarkEnd w:id="642"/>
      <w:bookmarkEnd w:id="643"/>
      <w:bookmarkEnd w:id="644"/>
      <w:bookmarkEnd w:id="645"/>
      <w:bookmarkEnd w:id="646"/>
      <w:bookmarkEnd w:id="647"/>
      <w:bookmarkEnd w:id="648"/>
    </w:p>
    <w:p w14:paraId="4AC8AE9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进行初步评审。有一项不符合评审标准的，作否决投标处理。（适用于未进行资格预审的）</w:t>
      </w:r>
    </w:p>
    <w:p w14:paraId="67C7E97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评标委员会依据本章第2.1.1项</w:t>
      </w:r>
      <w:r>
        <w:rPr>
          <w:rFonts w:hint="eastAsia" w:ascii="宋体" w:hAnsi="宋体"/>
          <w:color w:val="auto"/>
          <w:kern w:val="0"/>
          <w:szCs w:val="21"/>
          <w:highlight w:val="none"/>
        </w:rPr>
        <w:t>至</w:t>
      </w:r>
      <w:r>
        <w:rPr>
          <w:rFonts w:ascii="宋体" w:hAnsi="宋体"/>
          <w:color w:val="auto"/>
          <w:kern w:val="0"/>
          <w:szCs w:val="21"/>
          <w:highlight w:val="none"/>
        </w:rPr>
        <w:t>第2.1.3项规定的评审标准对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进行初步评审。有一项不符合评审标准的，作否决投标处理。当</w:t>
      </w:r>
      <w:r>
        <w:rPr>
          <w:rFonts w:hint="eastAsia" w:ascii="宋体" w:hAnsi="宋体"/>
          <w:color w:val="auto"/>
          <w:kern w:val="0"/>
          <w:szCs w:val="21"/>
          <w:highlight w:val="none"/>
        </w:rPr>
        <w:t>竞选人</w:t>
      </w:r>
      <w:r>
        <w:rPr>
          <w:rFonts w:ascii="宋体" w:hAnsi="宋体"/>
          <w:color w:val="auto"/>
          <w:kern w:val="0"/>
          <w:szCs w:val="21"/>
          <w:highlight w:val="none"/>
        </w:rPr>
        <w:t>资格预审申请文件的内容发生重大变化时，评标委员会依据本章第2.1.2项规定的标准对其更新资料进行评审</w:t>
      </w:r>
      <w:r>
        <w:rPr>
          <w:rFonts w:hint="eastAsia" w:ascii="宋体" w:hAnsi="宋体"/>
          <w:color w:val="auto"/>
          <w:kern w:val="0"/>
          <w:szCs w:val="21"/>
          <w:highlight w:val="none"/>
        </w:rPr>
        <w:t>。</w:t>
      </w:r>
      <w:r>
        <w:rPr>
          <w:rFonts w:ascii="宋体" w:hAnsi="宋体"/>
          <w:color w:val="auto"/>
          <w:kern w:val="0"/>
          <w:szCs w:val="21"/>
          <w:highlight w:val="none"/>
        </w:rPr>
        <w:t>（适用于已进行资格预审的）</w:t>
      </w:r>
    </w:p>
    <w:p w14:paraId="6FB67A1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rPr>
        <w:t>竞选人</w:t>
      </w:r>
      <w:r>
        <w:rPr>
          <w:rFonts w:ascii="宋体" w:hAnsi="宋体"/>
          <w:color w:val="auto"/>
          <w:kern w:val="0"/>
          <w:szCs w:val="21"/>
          <w:highlight w:val="none"/>
        </w:rPr>
        <w:t>有以下情形之一的，其投标作否决投标处理：</w:t>
      </w:r>
    </w:p>
    <w:p w14:paraId="47638C0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5B2FA5D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5EC46DA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01545B7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投标报价有算术错误的，评标委员会按以下原则对投标报价进行修正，修正的价格经</w:t>
      </w:r>
      <w:r>
        <w:rPr>
          <w:rFonts w:hint="eastAsia" w:ascii="宋体" w:hAnsi="宋体"/>
          <w:color w:val="auto"/>
          <w:kern w:val="0"/>
          <w:szCs w:val="21"/>
          <w:highlight w:val="none"/>
        </w:rPr>
        <w:t>竞选人</w:t>
      </w:r>
      <w:r>
        <w:rPr>
          <w:rFonts w:ascii="宋体" w:hAnsi="宋体"/>
          <w:color w:val="auto"/>
          <w:kern w:val="0"/>
          <w:szCs w:val="21"/>
          <w:highlight w:val="none"/>
        </w:rPr>
        <w:t>书面确认后具有约束力</w:t>
      </w:r>
      <w:r>
        <w:rPr>
          <w:rFonts w:hint="eastAsia" w:ascii="宋体" w:hAnsi="宋体"/>
          <w:color w:val="auto"/>
          <w:kern w:val="0"/>
          <w:szCs w:val="21"/>
          <w:highlight w:val="none"/>
        </w:rPr>
        <w:t>，修正原则如下：</w:t>
      </w:r>
    </w:p>
    <w:p w14:paraId="1D2F45F1">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spacing w:val="-1"/>
          <w:kern w:val="0"/>
          <w:szCs w:val="21"/>
          <w:highlight w:val="none"/>
        </w:rPr>
        <w:t>（1）</w:t>
      </w:r>
      <w:r>
        <w:rPr>
          <w:rFonts w:hint="eastAsia" w:ascii="宋体" w:hAnsi="宋体"/>
          <w:color w:val="auto"/>
          <w:spacing w:val="-1"/>
          <w:kern w:val="0"/>
          <w:szCs w:val="21"/>
          <w:highlight w:val="none"/>
        </w:rPr>
        <w:t>竞选文件</w:t>
      </w:r>
      <w:r>
        <w:rPr>
          <w:rFonts w:ascii="宋体" w:hAnsi="宋体"/>
          <w:color w:val="auto"/>
          <w:spacing w:val="-1"/>
          <w:kern w:val="0"/>
          <w:szCs w:val="21"/>
          <w:highlight w:val="none"/>
        </w:rPr>
        <w:t>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4556ECFC">
      <w:pPr>
        <w:autoSpaceDE w:val="0"/>
        <w:autoSpaceDN w:val="0"/>
        <w:adjustRightInd w:val="0"/>
        <w:snapToGrid w:val="0"/>
        <w:spacing w:line="360" w:lineRule="auto"/>
        <w:ind w:firstLine="532"/>
        <w:rPr>
          <w:rFonts w:ascii="宋体" w:hAnsi="宋体"/>
          <w:color w:val="auto"/>
          <w:kern w:val="0"/>
          <w:szCs w:val="21"/>
          <w:highlight w:val="none"/>
        </w:rPr>
      </w:pPr>
      <w:r>
        <w:rPr>
          <w:rFonts w:hint="eastAsia" w:ascii="宋体" w:hAnsi="宋体"/>
          <w:color w:val="auto"/>
          <w:kern w:val="0"/>
          <w:szCs w:val="21"/>
          <w:highlight w:val="none"/>
        </w:rPr>
        <w:t>（2）投标函中的总报价与已标价工程量清单总报价不一致的，由评标委员会作否决投标处理。</w:t>
      </w:r>
    </w:p>
    <w:p w14:paraId="5A4561DF">
      <w:pPr>
        <w:pStyle w:val="4"/>
        <w:snapToGrid w:val="0"/>
        <w:spacing w:before="0" w:after="0" w:line="360" w:lineRule="auto"/>
        <w:rPr>
          <w:rFonts w:ascii="宋体" w:hAnsi="宋体"/>
          <w:b w:val="0"/>
          <w:snapToGrid w:val="0"/>
          <w:color w:val="auto"/>
          <w:sz w:val="24"/>
          <w:szCs w:val="24"/>
          <w:highlight w:val="none"/>
        </w:rPr>
      </w:pPr>
      <w:bookmarkStart w:id="649" w:name="_Toc200513204"/>
      <w:bookmarkStart w:id="650" w:name="_Toc224103390"/>
      <w:bookmarkStart w:id="651" w:name="_Toc57905903"/>
      <w:bookmarkStart w:id="652" w:name="_Toc287607818"/>
      <w:bookmarkStart w:id="653" w:name="_Toc509218782"/>
      <w:bookmarkStart w:id="654" w:name="_Toc430530506"/>
      <w:bookmarkStart w:id="655" w:name="_Toc31837"/>
      <w:bookmarkStart w:id="656" w:name="_Toc277082624"/>
      <w:bookmarkStart w:id="657" w:name="_Toc287620757"/>
      <w:r>
        <w:rPr>
          <w:rFonts w:ascii="宋体" w:hAnsi="宋体"/>
          <w:b w:val="0"/>
          <w:snapToGrid w:val="0"/>
          <w:color w:val="auto"/>
          <w:sz w:val="24"/>
          <w:szCs w:val="24"/>
          <w:highlight w:val="none"/>
        </w:rPr>
        <w:t>3.2  详细评审</w:t>
      </w:r>
      <w:bookmarkEnd w:id="649"/>
      <w:bookmarkEnd w:id="650"/>
      <w:bookmarkEnd w:id="651"/>
      <w:bookmarkEnd w:id="652"/>
      <w:bookmarkEnd w:id="653"/>
      <w:bookmarkEnd w:id="654"/>
      <w:bookmarkEnd w:id="655"/>
      <w:bookmarkEnd w:id="656"/>
      <w:bookmarkEnd w:id="657"/>
    </w:p>
    <w:p w14:paraId="600DC9D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rPr>
        <w:t>评分</w:t>
      </w:r>
      <w:r>
        <w:rPr>
          <w:rFonts w:ascii="宋体" w:hAnsi="宋体"/>
          <w:color w:val="auto"/>
          <w:kern w:val="0"/>
          <w:szCs w:val="21"/>
          <w:highlight w:val="none"/>
        </w:rPr>
        <w:t>，并计算出综合评估得分。</w:t>
      </w:r>
    </w:p>
    <w:p w14:paraId="0611957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rPr>
        <w:t>1</w:t>
      </w:r>
      <w:r>
        <w:rPr>
          <w:rFonts w:ascii="宋体" w:hAnsi="宋体"/>
          <w:color w:val="auto"/>
          <w:kern w:val="0"/>
          <w:szCs w:val="21"/>
          <w:highlight w:val="none"/>
        </w:rPr>
        <w:t>）目规定的评审因素和分值对技术方案计算出得分</w:t>
      </w:r>
      <w:r>
        <w:rPr>
          <w:rFonts w:hint="eastAsia" w:ascii="宋体" w:hAnsi="宋体"/>
          <w:color w:val="auto"/>
          <w:kern w:val="0"/>
          <w:szCs w:val="21"/>
          <w:highlight w:val="none"/>
        </w:rPr>
        <w:t>A；</w:t>
      </w:r>
    </w:p>
    <w:p w14:paraId="7DA3B74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）按本章第3.2.1（</w:t>
      </w:r>
      <w:r>
        <w:rPr>
          <w:rFonts w:hint="eastAsia" w:ascii="宋体" w:hAnsi="宋体"/>
          <w:color w:val="auto"/>
          <w:kern w:val="0"/>
          <w:szCs w:val="21"/>
          <w:highlight w:val="none"/>
        </w:rPr>
        <w:t>2</w:t>
      </w:r>
      <w:r>
        <w:rPr>
          <w:rFonts w:ascii="宋体" w:hAnsi="宋体"/>
          <w:color w:val="auto"/>
          <w:kern w:val="0"/>
          <w:szCs w:val="21"/>
          <w:highlight w:val="none"/>
        </w:rPr>
        <w:t>）目规定的评审因素和分值对</w:t>
      </w:r>
      <w:r>
        <w:rPr>
          <w:rFonts w:hint="eastAsia" w:ascii="宋体" w:hAnsi="宋体"/>
          <w:color w:val="auto"/>
          <w:kern w:val="0"/>
          <w:szCs w:val="21"/>
          <w:highlight w:val="none"/>
        </w:rPr>
        <w:t>竞选总报价</w:t>
      </w:r>
      <w:r>
        <w:rPr>
          <w:rFonts w:ascii="宋体" w:hAnsi="宋体"/>
          <w:color w:val="auto"/>
          <w:kern w:val="0"/>
          <w:szCs w:val="21"/>
          <w:highlight w:val="none"/>
        </w:rPr>
        <w:t>计算出得分</w:t>
      </w:r>
      <w:r>
        <w:rPr>
          <w:rFonts w:hint="eastAsia" w:ascii="宋体" w:hAnsi="宋体"/>
          <w:color w:val="auto"/>
          <w:kern w:val="0"/>
          <w:szCs w:val="21"/>
          <w:highlight w:val="none"/>
        </w:rPr>
        <w:t>B。</w:t>
      </w:r>
    </w:p>
    <w:p w14:paraId="6AF4FD5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1EE575D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3.2.3  </w:t>
      </w:r>
      <w:r>
        <w:rPr>
          <w:rFonts w:hint="eastAsia" w:ascii="宋体" w:hAnsi="宋体"/>
          <w:color w:val="auto"/>
          <w:kern w:val="0"/>
          <w:szCs w:val="21"/>
          <w:highlight w:val="none"/>
        </w:rPr>
        <w:t>竞选人</w:t>
      </w:r>
      <w:r>
        <w:rPr>
          <w:rFonts w:ascii="宋体" w:hAnsi="宋体"/>
          <w:color w:val="auto"/>
          <w:kern w:val="0"/>
          <w:szCs w:val="21"/>
          <w:highlight w:val="none"/>
        </w:rPr>
        <w:t>得分=A+B</w:t>
      </w:r>
      <w:r>
        <w:rPr>
          <w:rFonts w:hint="eastAsia" w:ascii="宋体" w:hAnsi="宋体"/>
          <w:color w:val="auto"/>
          <w:kern w:val="0"/>
          <w:szCs w:val="21"/>
          <w:highlight w:val="none"/>
        </w:rPr>
        <w:t>。</w:t>
      </w:r>
    </w:p>
    <w:p w14:paraId="485AEFEC">
      <w:pPr>
        <w:pStyle w:val="4"/>
        <w:snapToGrid w:val="0"/>
        <w:spacing w:before="0" w:after="0" w:line="360" w:lineRule="auto"/>
        <w:rPr>
          <w:rFonts w:ascii="宋体" w:hAnsi="宋体"/>
          <w:b w:val="0"/>
          <w:snapToGrid w:val="0"/>
          <w:color w:val="auto"/>
          <w:sz w:val="24"/>
          <w:szCs w:val="24"/>
          <w:highlight w:val="none"/>
        </w:rPr>
      </w:pPr>
      <w:bookmarkStart w:id="658" w:name="_Toc200513205"/>
      <w:bookmarkStart w:id="659" w:name="_Toc57905904"/>
      <w:bookmarkStart w:id="660" w:name="_Toc224103391"/>
      <w:bookmarkStart w:id="661" w:name="_Toc287607819"/>
      <w:bookmarkStart w:id="662" w:name="_Toc277082625"/>
      <w:bookmarkStart w:id="663" w:name="_Toc509218783"/>
      <w:bookmarkStart w:id="664" w:name="_Toc430530507"/>
      <w:bookmarkStart w:id="665" w:name="_Toc287620758"/>
      <w:bookmarkStart w:id="666" w:name="_Toc29615"/>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的澄清和补正</w:t>
      </w:r>
      <w:bookmarkEnd w:id="658"/>
      <w:bookmarkEnd w:id="659"/>
      <w:bookmarkEnd w:id="660"/>
      <w:bookmarkEnd w:id="661"/>
      <w:bookmarkEnd w:id="662"/>
      <w:bookmarkEnd w:id="663"/>
      <w:bookmarkEnd w:id="664"/>
      <w:bookmarkEnd w:id="665"/>
      <w:bookmarkEnd w:id="666"/>
    </w:p>
    <w:p w14:paraId="66460EF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3.3.1  在评标过程中，评标委员会可以书面形式要求</w:t>
      </w:r>
      <w:r>
        <w:rPr>
          <w:rFonts w:hint="eastAsia" w:ascii="宋体" w:hAnsi="宋体"/>
          <w:color w:val="auto"/>
          <w:kern w:val="0"/>
          <w:szCs w:val="21"/>
          <w:highlight w:val="none"/>
        </w:rPr>
        <w:t>竞选人</w:t>
      </w:r>
      <w:r>
        <w:rPr>
          <w:rFonts w:ascii="宋体" w:hAnsi="宋体"/>
          <w:color w:val="auto"/>
          <w:kern w:val="0"/>
          <w:szCs w:val="21"/>
          <w:highlight w:val="none"/>
        </w:rPr>
        <w:t>对所提交</w:t>
      </w:r>
      <w:r>
        <w:rPr>
          <w:rFonts w:hint="eastAsia" w:ascii="宋体" w:hAnsi="宋体"/>
          <w:color w:val="auto"/>
          <w:kern w:val="0"/>
          <w:szCs w:val="21"/>
          <w:highlight w:val="none"/>
        </w:rPr>
        <w:t>竞选文件</w:t>
      </w:r>
      <w:r>
        <w:rPr>
          <w:rFonts w:ascii="宋体" w:hAnsi="宋体"/>
          <w:color w:val="auto"/>
          <w:kern w:val="0"/>
          <w:szCs w:val="21"/>
          <w:highlight w:val="none"/>
        </w:rPr>
        <w:t>中不明确的内容进行书面澄清或说明，或者对细微偏差进行补正。评标委员会不接受</w:t>
      </w:r>
      <w:r>
        <w:rPr>
          <w:rFonts w:hint="eastAsia" w:ascii="宋体" w:hAnsi="宋体"/>
          <w:color w:val="auto"/>
          <w:kern w:val="0"/>
          <w:szCs w:val="21"/>
          <w:highlight w:val="none"/>
        </w:rPr>
        <w:t>竞选人</w:t>
      </w:r>
      <w:r>
        <w:rPr>
          <w:rFonts w:ascii="宋体" w:hAnsi="宋体"/>
          <w:color w:val="auto"/>
          <w:kern w:val="0"/>
          <w:szCs w:val="21"/>
          <w:highlight w:val="none"/>
        </w:rPr>
        <w:t>主动提出的澄清、说明或补正。</w:t>
      </w:r>
    </w:p>
    <w:p w14:paraId="23BEC184">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rPr>
        <w:t>竞选文件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rPr>
        <w:t>竞选人</w:t>
      </w:r>
      <w:r>
        <w:rPr>
          <w:rFonts w:ascii="宋体" w:hAnsi="宋体"/>
          <w:color w:val="auto"/>
          <w:kern w:val="0"/>
          <w:szCs w:val="21"/>
          <w:highlight w:val="none"/>
        </w:rPr>
        <w:t>的书面澄清、说明和补正属于</w:t>
      </w:r>
      <w:r>
        <w:rPr>
          <w:rFonts w:hint="eastAsia" w:ascii="宋体" w:hAnsi="宋体"/>
          <w:color w:val="auto"/>
          <w:kern w:val="0"/>
          <w:szCs w:val="21"/>
          <w:highlight w:val="none"/>
        </w:rPr>
        <w:t>竞选文件</w:t>
      </w:r>
      <w:r>
        <w:rPr>
          <w:rFonts w:ascii="宋体" w:hAnsi="宋体"/>
          <w:color w:val="auto"/>
          <w:kern w:val="0"/>
          <w:szCs w:val="21"/>
          <w:highlight w:val="none"/>
        </w:rPr>
        <w:t>的组成部分。</w:t>
      </w:r>
    </w:p>
    <w:p w14:paraId="2554971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w:t>
      </w:r>
      <w:r>
        <w:rPr>
          <w:rFonts w:hint="eastAsia" w:ascii="宋体" w:hAnsi="宋体"/>
          <w:color w:val="auto"/>
          <w:kern w:val="0"/>
          <w:szCs w:val="21"/>
          <w:highlight w:val="none"/>
        </w:rPr>
        <w:t>竞选人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rPr>
        <w:t>竞选人</w:t>
      </w:r>
      <w:r>
        <w:rPr>
          <w:rFonts w:ascii="宋体" w:hAnsi="宋体"/>
          <w:color w:val="auto"/>
          <w:kern w:val="0"/>
          <w:szCs w:val="21"/>
          <w:highlight w:val="none"/>
        </w:rPr>
        <w:t>进一步澄清、说明或补正，直至满足评标委员会的要求。</w:t>
      </w:r>
    </w:p>
    <w:p w14:paraId="52D6FFA3">
      <w:pPr>
        <w:pStyle w:val="4"/>
        <w:snapToGrid w:val="0"/>
        <w:spacing w:before="0" w:after="0" w:line="360" w:lineRule="auto"/>
        <w:rPr>
          <w:rFonts w:ascii="宋体" w:hAnsi="宋体"/>
          <w:b w:val="0"/>
          <w:snapToGrid w:val="0"/>
          <w:color w:val="auto"/>
          <w:sz w:val="24"/>
          <w:szCs w:val="24"/>
          <w:highlight w:val="none"/>
        </w:rPr>
      </w:pPr>
      <w:bookmarkStart w:id="667" w:name="_Toc224103392"/>
      <w:bookmarkStart w:id="668" w:name="_Toc287607820"/>
      <w:bookmarkStart w:id="669" w:name="_Toc430530508"/>
      <w:bookmarkStart w:id="670" w:name="_Toc287620759"/>
      <w:bookmarkStart w:id="671" w:name="_Toc509218784"/>
      <w:bookmarkStart w:id="672" w:name="_Toc17868"/>
      <w:bookmarkStart w:id="673" w:name="_Toc57905905"/>
      <w:bookmarkStart w:id="674" w:name="_Toc200513206"/>
      <w:bookmarkStart w:id="675" w:name="_Toc277082626"/>
      <w:r>
        <w:rPr>
          <w:rFonts w:ascii="宋体" w:hAnsi="宋体"/>
          <w:b w:val="0"/>
          <w:snapToGrid w:val="0"/>
          <w:color w:val="auto"/>
          <w:sz w:val="24"/>
          <w:szCs w:val="24"/>
          <w:highlight w:val="none"/>
        </w:rPr>
        <w:t>3.4  评标结果</w:t>
      </w:r>
      <w:bookmarkEnd w:id="667"/>
      <w:bookmarkEnd w:id="668"/>
      <w:bookmarkEnd w:id="669"/>
      <w:bookmarkEnd w:id="670"/>
      <w:bookmarkEnd w:id="671"/>
      <w:bookmarkEnd w:id="672"/>
      <w:bookmarkEnd w:id="673"/>
      <w:bookmarkEnd w:id="674"/>
      <w:bookmarkEnd w:id="675"/>
    </w:p>
    <w:p w14:paraId="4AA490A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rPr>
        <w:t>竞选人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w:t>
      </w:r>
    </w:p>
    <w:p w14:paraId="5458BCD7">
      <w:pPr>
        <w:autoSpaceDE w:val="0"/>
        <w:autoSpaceDN w:val="0"/>
        <w:adjustRightInd w:val="0"/>
        <w:snapToGrid w:val="0"/>
        <w:spacing w:line="360" w:lineRule="auto"/>
        <w:ind w:firstLine="424" w:firstLineChars="200"/>
        <w:rPr>
          <w:rFonts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rPr>
        <w:t>比选人</w:t>
      </w:r>
      <w:r>
        <w:rPr>
          <w:rFonts w:ascii="宋体" w:hAnsi="宋体"/>
          <w:color w:val="auto"/>
          <w:kern w:val="0"/>
          <w:szCs w:val="21"/>
          <w:highlight w:val="none"/>
        </w:rPr>
        <w:t>提交书面评标报告。</w:t>
      </w:r>
    </w:p>
    <w:p w14:paraId="274855C3">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14:paraId="40145224">
      <w:pPr>
        <w:pStyle w:val="34"/>
        <w:spacing w:line="360" w:lineRule="auto"/>
        <w:rPr>
          <w:rFonts w:ascii="宋体" w:hAnsi="宋体"/>
          <w:b/>
          <w:color w:val="auto"/>
          <w:sz w:val="28"/>
          <w:szCs w:val="28"/>
          <w:highlight w:val="none"/>
          <w:u w:val="none"/>
          <w:lang w:eastAsia="zh-CN"/>
        </w:rPr>
      </w:pPr>
      <w:bookmarkStart w:id="676" w:name="招标文件03章02评标办法综合评估法02附件02"/>
      <w:bookmarkEnd w:id="676"/>
      <w:bookmarkStart w:id="677" w:name="招标文件04章合同条款及格式"/>
      <w:bookmarkEnd w:id="677"/>
      <w:bookmarkStart w:id="678" w:name="_Toc230410480"/>
      <w:bookmarkStart w:id="679" w:name="_Toc277082627"/>
      <w:r>
        <w:rPr>
          <w:rFonts w:ascii="宋体" w:hAnsi="宋体"/>
          <w:b/>
          <w:color w:val="auto"/>
          <w:sz w:val="28"/>
          <w:szCs w:val="28"/>
          <w:highlight w:val="none"/>
          <w:u w:val="none"/>
          <w:lang w:eastAsia="zh-CN"/>
        </w:rPr>
        <w:t>附件A：综合评估法否决投标情况一览表</w:t>
      </w:r>
      <w:bookmarkEnd w:id="678"/>
    </w:p>
    <w:bookmarkEnd w:id="679"/>
    <w:p w14:paraId="3D075937">
      <w:pPr>
        <w:pStyle w:val="34"/>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竞选文件存在本一览表下列情形之一的，竞选文件视为重大偏差并作否决投标处理，否则，评标委员会不得视为重大偏差而否决竞选人的竞选文件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4D9BA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2CD6785B">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29DAC5D3">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6D5FBF16">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5E2C32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5E650573">
            <w:pPr>
              <w:spacing w:line="400" w:lineRule="exact"/>
              <w:jc w:val="center"/>
              <w:rPr>
                <w:rFonts w:ascii="宋体" w:hAnsi="宋体"/>
                <w:color w:val="auto"/>
                <w:szCs w:val="21"/>
                <w:highlight w:val="none"/>
              </w:rPr>
            </w:pPr>
          </w:p>
        </w:tc>
        <w:tc>
          <w:tcPr>
            <w:tcW w:w="1899" w:type="dxa"/>
            <w:vMerge w:val="restart"/>
            <w:vAlign w:val="center"/>
          </w:tcPr>
          <w:p w14:paraId="61946CA5">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050D25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A-1竞选人的资质条件、营业执照及安全生产条件须满足竞选人须知前附表1.4.1项的要求，否则由评标委员会作否决投标处理。</w:t>
            </w:r>
          </w:p>
        </w:tc>
      </w:tr>
      <w:tr w14:paraId="0B6FC7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CB98F51">
            <w:pPr>
              <w:spacing w:line="400" w:lineRule="exact"/>
              <w:jc w:val="center"/>
              <w:rPr>
                <w:rFonts w:ascii="宋体" w:hAnsi="宋体"/>
                <w:color w:val="auto"/>
                <w:szCs w:val="21"/>
                <w:highlight w:val="none"/>
              </w:rPr>
            </w:pPr>
          </w:p>
        </w:tc>
        <w:tc>
          <w:tcPr>
            <w:tcW w:w="1899" w:type="dxa"/>
            <w:vMerge w:val="continue"/>
            <w:vAlign w:val="center"/>
          </w:tcPr>
          <w:p w14:paraId="170CCD15">
            <w:pPr>
              <w:spacing w:line="400" w:lineRule="exact"/>
              <w:jc w:val="center"/>
              <w:rPr>
                <w:rFonts w:ascii="宋体" w:hAnsi="宋体"/>
                <w:color w:val="auto"/>
                <w:szCs w:val="21"/>
                <w:highlight w:val="none"/>
              </w:rPr>
            </w:pPr>
          </w:p>
        </w:tc>
        <w:tc>
          <w:tcPr>
            <w:tcW w:w="6333" w:type="dxa"/>
            <w:vAlign w:val="center"/>
          </w:tcPr>
          <w:p w14:paraId="2C34306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A-2竞选人的财务须满足竞选人须知前附表第1.4.1项的要求，否则由评标委员会作否决投标处理（如有）。</w:t>
            </w:r>
          </w:p>
        </w:tc>
      </w:tr>
      <w:tr w14:paraId="49B6B7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B4ADD4E">
            <w:pPr>
              <w:spacing w:line="400" w:lineRule="exact"/>
              <w:jc w:val="center"/>
              <w:rPr>
                <w:rFonts w:ascii="宋体" w:hAnsi="宋体"/>
                <w:color w:val="auto"/>
                <w:szCs w:val="21"/>
                <w:highlight w:val="none"/>
              </w:rPr>
            </w:pPr>
          </w:p>
        </w:tc>
        <w:tc>
          <w:tcPr>
            <w:tcW w:w="1899" w:type="dxa"/>
            <w:vMerge w:val="continue"/>
            <w:vAlign w:val="center"/>
          </w:tcPr>
          <w:p w14:paraId="2EDA6DB9">
            <w:pPr>
              <w:spacing w:line="400" w:lineRule="exact"/>
              <w:jc w:val="center"/>
              <w:rPr>
                <w:rFonts w:ascii="宋体" w:hAnsi="宋体"/>
                <w:color w:val="auto"/>
                <w:szCs w:val="21"/>
                <w:highlight w:val="none"/>
              </w:rPr>
            </w:pPr>
          </w:p>
        </w:tc>
        <w:tc>
          <w:tcPr>
            <w:tcW w:w="6333" w:type="dxa"/>
            <w:vAlign w:val="center"/>
          </w:tcPr>
          <w:p w14:paraId="509C776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A-3竞选人的业绩须满足竞选人须知前附表第1.4.1项的要求，否则由评标委员会作否决投标处理（如有）。</w:t>
            </w:r>
          </w:p>
        </w:tc>
      </w:tr>
      <w:tr w14:paraId="0E6DD4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113E89B">
            <w:pPr>
              <w:spacing w:line="400" w:lineRule="exact"/>
              <w:jc w:val="center"/>
              <w:rPr>
                <w:rFonts w:ascii="宋体" w:hAnsi="宋体"/>
                <w:color w:val="auto"/>
                <w:szCs w:val="21"/>
                <w:highlight w:val="none"/>
              </w:rPr>
            </w:pPr>
          </w:p>
        </w:tc>
        <w:tc>
          <w:tcPr>
            <w:tcW w:w="1899" w:type="dxa"/>
            <w:vMerge w:val="continue"/>
            <w:vAlign w:val="center"/>
          </w:tcPr>
          <w:p w14:paraId="5DDBEA19">
            <w:pPr>
              <w:spacing w:line="400" w:lineRule="exact"/>
              <w:jc w:val="center"/>
              <w:rPr>
                <w:rFonts w:ascii="宋体" w:hAnsi="宋体"/>
                <w:color w:val="auto"/>
                <w:szCs w:val="21"/>
                <w:highlight w:val="none"/>
              </w:rPr>
            </w:pPr>
          </w:p>
        </w:tc>
        <w:tc>
          <w:tcPr>
            <w:tcW w:w="6333" w:type="dxa"/>
            <w:vAlign w:val="center"/>
          </w:tcPr>
          <w:p w14:paraId="6F13920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A-4竞选人的投标截止日投标资格情况须满足竞选人须知前附表第1.4.1项的要求，否则由评标委员会作否决投标处理。</w:t>
            </w:r>
          </w:p>
        </w:tc>
      </w:tr>
      <w:tr w14:paraId="6582C9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E29EC1A">
            <w:pPr>
              <w:spacing w:line="400" w:lineRule="exact"/>
              <w:jc w:val="center"/>
              <w:rPr>
                <w:rFonts w:ascii="宋体" w:hAnsi="宋体"/>
                <w:color w:val="auto"/>
                <w:szCs w:val="21"/>
                <w:highlight w:val="none"/>
              </w:rPr>
            </w:pPr>
          </w:p>
        </w:tc>
        <w:tc>
          <w:tcPr>
            <w:tcW w:w="1899" w:type="dxa"/>
            <w:vMerge w:val="continue"/>
            <w:vAlign w:val="center"/>
          </w:tcPr>
          <w:p w14:paraId="2E66D8D7">
            <w:pPr>
              <w:spacing w:line="400" w:lineRule="exact"/>
              <w:jc w:val="center"/>
              <w:rPr>
                <w:rFonts w:ascii="宋体" w:hAnsi="宋体"/>
                <w:color w:val="auto"/>
                <w:szCs w:val="21"/>
                <w:highlight w:val="none"/>
              </w:rPr>
            </w:pPr>
          </w:p>
        </w:tc>
        <w:tc>
          <w:tcPr>
            <w:tcW w:w="6333" w:type="dxa"/>
            <w:vAlign w:val="center"/>
          </w:tcPr>
          <w:p w14:paraId="4997696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A-5竞选人的项目经理资格须满足竞选人须知前附表第1.4.1项的要求，否则由评标委员会作否决投标处理。</w:t>
            </w:r>
          </w:p>
        </w:tc>
      </w:tr>
      <w:tr w14:paraId="14B310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0D73531">
            <w:pPr>
              <w:spacing w:line="400" w:lineRule="exact"/>
              <w:jc w:val="center"/>
              <w:rPr>
                <w:rFonts w:ascii="宋体" w:hAnsi="宋体"/>
                <w:color w:val="auto"/>
                <w:szCs w:val="21"/>
                <w:highlight w:val="none"/>
              </w:rPr>
            </w:pPr>
          </w:p>
        </w:tc>
        <w:tc>
          <w:tcPr>
            <w:tcW w:w="1899" w:type="dxa"/>
            <w:vMerge w:val="continue"/>
            <w:vAlign w:val="center"/>
          </w:tcPr>
          <w:p w14:paraId="698411D1">
            <w:pPr>
              <w:spacing w:line="400" w:lineRule="exact"/>
              <w:jc w:val="center"/>
              <w:rPr>
                <w:rFonts w:ascii="宋体" w:hAnsi="宋体"/>
                <w:color w:val="auto"/>
                <w:szCs w:val="21"/>
                <w:highlight w:val="none"/>
              </w:rPr>
            </w:pPr>
          </w:p>
        </w:tc>
        <w:tc>
          <w:tcPr>
            <w:tcW w:w="6333" w:type="dxa"/>
            <w:vAlign w:val="center"/>
          </w:tcPr>
          <w:p w14:paraId="4DD5C4F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A-6竞选人的其他要求须满足竞选人须知前附表第1.4.1项的要求，否则由评标委员会作否决投标处理。</w:t>
            </w:r>
          </w:p>
        </w:tc>
      </w:tr>
      <w:tr w14:paraId="31B922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C35E766">
            <w:pPr>
              <w:spacing w:line="400" w:lineRule="exact"/>
              <w:jc w:val="center"/>
              <w:rPr>
                <w:rFonts w:ascii="宋体" w:hAnsi="宋体"/>
                <w:color w:val="auto"/>
                <w:szCs w:val="21"/>
                <w:highlight w:val="none"/>
              </w:rPr>
            </w:pPr>
          </w:p>
        </w:tc>
        <w:tc>
          <w:tcPr>
            <w:tcW w:w="1899" w:type="dxa"/>
            <w:vMerge w:val="continue"/>
            <w:vAlign w:val="center"/>
          </w:tcPr>
          <w:p w14:paraId="4959C103">
            <w:pPr>
              <w:spacing w:line="400" w:lineRule="exact"/>
              <w:jc w:val="center"/>
              <w:rPr>
                <w:rFonts w:ascii="宋体" w:hAnsi="宋体"/>
                <w:color w:val="auto"/>
                <w:szCs w:val="21"/>
                <w:highlight w:val="none"/>
              </w:rPr>
            </w:pPr>
          </w:p>
        </w:tc>
        <w:tc>
          <w:tcPr>
            <w:tcW w:w="6333" w:type="dxa"/>
            <w:vAlign w:val="center"/>
          </w:tcPr>
          <w:p w14:paraId="6B1BF75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A-7若有联合体竞选人，则：</w:t>
            </w:r>
          </w:p>
          <w:p w14:paraId="3F076F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（1）联合体各方应按照竞选文件提供的格式签订联合体协议书，明确联合体牵头人和各方权利义务；</w:t>
            </w:r>
          </w:p>
          <w:p w14:paraId="66732C1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5FA27AB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3D32A7C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14:paraId="260A7F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84E4D08">
            <w:pPr>
              <w:spacing w:line="400" w:lineRule="exact"/>
              <w:jc w:val="center"/>
              <w:rPr>
                <w:rFonts w:ascii="宋体" w:hAnsi="宋体"/>
                <w:color w:val="auto"/>
                <w:szCs w:val="21"/>
                <w:highlight w:val="none"/>
              </w:rPr>
            </w:pPr>
          </w:p>
        </w:tc>
        <w:tc>
          <w:tcPr>
            <w:tcW w:w="1899" w:type="dxa"/>
            <w:vMerge w:val="restart"/>
            <w:vAlign w:val="center"/>
          </w:tcPr>
          <w:p w14:paraId="175D15A6">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7A3AAC4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A-8竞选人名称必须与营业执照、资质证书、安全生产许可证一致，依法变更名称的应提交相应证明材料，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6DEED1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D7DB53F">
            <w:pPr>
              <w:spacing w:line="400" w:lineRule="exact"/>
              <w:jc w:val="center"/>
              <w:rPr>
                <w:rFonts w:ascii="宋体" w:hAnsi="宋体"/>
                <w:color w:val="auto"/>
                <w:szCs w:val="21"/>
                <w:highlight w:val="none"/>
              </w:rPr>
            </w:pPr>
          </w:p>
        </w:tc>
        <w:tc>
          <w:tcPr>
            <w:tcW w:w="1899" w:type="dxa"/>
            <w:vMerge w:val="continue"/>
            <w:vAlign w:val="center"/>
          </w:tcPr>
          <w:p w14:paraId="11ED77C9">
            <w:pPr>
              <w:spacing w:line="400" w:lineRule="exact"/>
              <w:jc w:val="center"/>
              <w:rPr>
                <w:rFonts w:ascii="宋体" w:hAnsi="宋体"/>
                <w:color w:val="auto"/>
                <w:szCs w:val="21"/>
                <w:highlight w:val="none"/>
              </w:rPr>
            </w:pPr>
          </w:p>
        </w:tc>
        <w:tc>
          <w:tcPr>
            <w:tcW w:w="6333" w:type="dxa"/>
          </w:tcPr>
          <w:p w14:paraId="7BBFCF7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A-9投标函格式规定签名、盖章的位置有法定代表人或其委托代理人签名（或盖章）、加盖单位法人章，否则由评标委员会作否决投标处理。</w:t>
            </w:r>
          </w:p>
        </w:tc>
      </w:tr>
      <w:tr w14:paraId="35E1B8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8ACE564">
            <w:pPr>
              <w:spacing w:line="400" w:lineRule="exact"/>
              <w:jc w:val="center"/>
              <w:rPr>
                <w:rFonts w:ascii="宋体" w:hAnsi="宋体"/>
                <w:color w:val="auto"/>
                <w:szCs w:val="21"/>
                <w:highlight w:val="none"/>
              </w:rPr>
            </w:pPr>
          </w:p>
        </w:tc>
        <w:tc>
          <w:tcPr>
            <w:tcW w:w="1899" w:type="dxa"/>
            <w:vMerge w:val="continue"/>
            <w:vAlign w:val="center"/>
          </w:tcPr>
          <w:p w14:paraId="63B63FAF">
            <w:pPr>
              <w:spacing w:line="400" w:lineRule="exact"/>
              <w:jc w:val="center"/>
              <w:rPr>
                <w:rFonts w:ascii="宋体" w:hAnsi="宋体"/>
                <w:color w:val="auto"/>
                <w:szCs w:val="21"/>
                <w:highlight w:val="none"/>
              </w:rPr>
            </w:pPr>
          </w:p>
        </w:tc>
        <w:tc>
          <w:tcPr>
            <w:tcW w:w="6333" w:type="dxa"/>
          </w:tcPr>
          <w:p w14:paraId="5FBFBF4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A-10竞选文件格式符合第二章“竞选人须知”第3.7款的要求，否则由评标委员会作否决投标处理。</w:t>
            </w:r>
          </w:p>
          <w:p w14:paraId="17C457D4">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编制竞选文件时不得对第八章“竞选文件格式”的相应要素作实质性修改，否则由评标委员会作否决投标处理。</w:t>
            </w:r>
          </w:p>
        </w:tc>
      </w:tr>
      <w:tr w14:paraId="5CCE3A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4E8C97">
            <w:pPr>
              <w:spacing w:line="400" w:lineRule="exact"/>
              <w:jc w:val="center"/>
              <w:rPr>
                <w:rFonts w:ascii="宋体" w:hAnsi="宋体"/>
                <w:color w:val="auto"/>
                <w:szCs w:val="21"/>
                <w:highlight w:val="none"/>
              </w:rPr>
            </w:pPr>
          </w:p>
        </w:tc>
        <w:tc>
          <w:tcPr>
            <w:tcW w:w="1899" w:type="dxa"/>
            <w:vMerge w:val="continue"/>
            <w:vAlign w:val="center"/>
          </w:tcPr>
          <w:p w14:paraId="2A892C30">
            <w:pPr>
              <w:spacing w:line="400" w:lineRule="exact"/>
              <w:jc w:val="center"/>
              <w:rPr>
                <w:rFonts w:ascii="宋体" w:hAnsi="宋体"/>
                <w:color w:val="auto"/>
                <w:szCs w:val="21"/>
                <w:highlight w:val="none"/>
              </w:rPr>
            </w:pPr>
          </w:p>
        </w:tc>
        <w:tc>
          <w:tcPr>
            <w:tcW w:w="6333" w:type="dxa"/>
          </w:tcPr>
          <w:p w14:paraId="7A4967BD">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A-11竞选文件份数符合第二章“竞选人须知”第3.7.4项的规定，</w:t>
            </w:r>
            <w:r>
              <w:rPr>
                <w:rFonts w:hint="eastAsia" w:ascii="宋体" w:hAnsi="宋体"/>
                <w:color w:val="auto"/>
                <w:kern w:val="0"/>
                <w:szCs w:val="21"/>
                <w:highlight w:val="none"/>
              </w:rPr>
              <w:t>否则由评标委员会作否决投标处理。</w:t>
            </w:r>
          </w:p>
        </w:tc>
      </w:tr>
      <w:tr w14:paraId="412724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D4301B">
            <w:pPr>
              <w:spacing w:line="400" w:lineRule="exact"/>
              <w:jc w:val="center"/>
              <w:rPr>
                <w:rFonts w:ascii="宋体" w:hAnsi="宋体"/>
                <w:color w:val="auto"/>
                <w:szCs w:val="21"/>
                <w:highlight w:val="none"/>
              </w:rPr>
            </w:pPr>
          </w:p>
        </w:tc>
        <w:tc>
          <w:tcPr>
            <w:tcW w:w="1899" w:type="dxa"/>
            <w:vMerge w:val="continue"/>
            <w:vAlign w:val="center"/>
          </w:tcPr>
          <w:p w14:paraId="428193FD">
            <w:pPr>
              <w:spacing w:line="400" w:lineRule="exact"/>
              <w:jc w:val="center"/>
              <w:rPr>
                <w:rFonts w:ascii="宋体" w:hAnsi="宋体"/>
                <w:color w:val="auto"/>
                <w:szCs w:val="21"/>
                <w:highlight w:val="none"/>
              </w:rPr>
            </w:pPr>
          </w:p>
        </w:tc>
        <w:tc>
          <w:tcPr>
            <w:tcW w:w="6333" w:type="dxa"/>
          </w:tcPr>
          <w:p w14:paraId="73A5EAD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1DDC48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A9F6973">
            <w:pPr>
              <w:spacing w:line="400" w:lineRule="exact"/>
              <w:jc w:val="center"/>
              <w:rPr>
                <w:rFonts w:ascii="宋体" w:hAnsi="宋体"/>
                <w:color w:val="auto"/>
                <w:szCs w:val="21"/>
                <w:highlight w:val="none"/>
              </w:rPr>
            </w:pPr>
          </w:p>
        </w:tc>
        <w:tc>
          <w:tcPr>
            <w:tcW w:w="1899" w:type="dxa"/>
            <w:vMerge w:val="continue"/>
            <w:vAlign w:val="center"/>
          </w:tcPr>
          <w:p w14:paraId="5EEC63B2">
            <w:pPr>
              <w:spacing w:line="400" w:lineRule="exact"/>
              <w:jc w:val="center"/>
              <w:rPr>
                <w:rFonts w:ascii="宋体" w:hAnsi="宋体"/>
                <w:color w:val="auto"/>
                <w:szCs w:val="21"/>
                <w:highlight w:val="none"/>
              </w:rPr>
            </w:pPr>
          </w:p>
        </w:tc>
        <w:tc>
          <w:tcPr>
            <w:tcW w:w="6333" w:type="dxa"/>
          </w:tcPr>
          <w:p w14:paraId="5C71187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A-13只能有一个有效报价。在竞选文件没有规定的情况下，不得提交选择性报价，否则由评标委员会作否决投标处理。</w:t>
            </w:r>
          </w:p>
        </w:tc>
      </w:tr>
      <w:tr w14:paraId="2F63CE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D6824DA">
            <w:pPr>
              <w:spacing w:line="400" w:lineRule="exact"/>
              <w:jc w:val="center"/>
              <w:rPr>
                <w:rFonts w:ascii="宋体" w:hAnsi="宋体"/>
                <w:color w:val="auto"/>
                <w:szCs w:val="21"/>
                <w:highlight w:val="none"/>
              </w:rPr>
            </w:pPr>
          </w:p>
        </w:tc>
        <w:tc>
          <w:tcPr>
            <w:tcW w:w="1899" w:type="dxa"/>
            <w:vMerge w:val="continue"/>
            <w:vAlign w:val="center"/>
          </w:tcPr>
          <w:p w14:paraId="450308EC">
            <w:pPr>
              <w:spacing w:line="400" w:lineRule="exact"/>
              <w:jc w:val="center"/>
              <w:rPr>
                <w:rFonts w:ascii="宋体" w:hAnsi="宋体"/>
                <w:color w:val="auto"/>
                <w:szCs w:val="21"/>
                <w:highlight w:val="none"/>
              </w:rPr>
            </w:pPr>
          </w:p>
        </w:tc>
        <w:tc>
          <w:tcPr>
            <w:tcW w:w="6333" w:type="dxa"/>
          </w:tcPr>
          <w:p w14:paraId="0C75F1E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w:t>
            </w:r>
            <w:r>
              <w:rPr>
                <w:rFonts w:hint="eastAsia" w:ascii="宋体" w:hAnsi="宋体" w:cs="宋体"/>
                <w:color w:val="auto"/>
                <w:kern w:val="0"/>
                <w:highlight w:val="none"/>
              </w:rPr>
              <w:t>第八章 竞选文件格式要求法定代表人或其委托代理人签名（或盖章）的须齐全。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竞选文件格式中，要求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14:paraId="00A905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090D05">
            <w:pPr>
              <w:spacing w:line="400" w:lineRule="exact"/>
              <w:jc w:val="center"/>
              <w:rPr>
                <w:rFonts w:ascii="宋体" w:hAnsi="宋体"/>
                <w:color w:val="auto"/>
                <w:szCs w:val="21"/>
                <w:highlight w:val="none"/>
              </w:rPr>
            </w:pPr>
          </w:p>
        </w:tc>
        <w:tc>
          <w:tcPr>
            <w:tcW w:w="1899" w:type="dxa"/>
            <w:vMerge w:val="continue"/>
            <w:vAlign w:val="center"/>
          </w:tcPr>
          <w:p w14:paraId="2DA91A92">
            <w:pPr>
              <w:spacing w:line="400" w:lineRule="exact"/>
              <w:jc w:val="center"/>
              <w:rPr>
                <w:rFonts w:ascii="宋体" w:hAnsi="宋体"/>
                <w:color w:val="auto"/>
                <w:szCs w:val="21"/>
                <w:highlight w:val="none"/>
              </w:rPr>
            </w:pPr>
          </w:p>
        </w:tc>
        <w:tc>
          <w:tcPr>
            <w:tcW w:w="6333" w:type="dxa"/>
          </w:tcPr>
          <w:p w14:paraId="647F47A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A-15竞选人法定代表人的委托代理人有法定代表人签署的授权委托书和竞选人为其缴纳的养老保险证明材料，否则由评标委员会作否决投标处理。</w:t>
            </w:r>
          </w:p>
        </w:tc>
      </w:tr>
      <w:tr w14:paraId="25DE9B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787563C">
            <w:pPr>
              <w:spacing w:line="400" w:lineRule="exact"/>
              <w:jc w:val="center"/>
              <w:rPr>
                <w:rFonts w:ascii="宋体" w:hAnsi="宋体"/>
                <w:color w:val="auto"/>
                <w:szCs w:val="21"/>
                <w:highlight w:val="none"/>
              </w:rPr>
            </w:pPr>
          </w:p>
        </w:tc>
        <w:tc>
          <w:tcPr>
            <w:tcW w:w="1899" w:type="dxa"/>
            <w:vMerge w:val="restart"/>
            <w:vAlign w:val="center"/>
          </w:tcPr>
          <w:p w14:paraId="24F0615A">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1FF8383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s="宋体"/>
                <w:color w:val="auto"/>
                <w:szCs w:val="21"/>
                <w:highlight w:val="none"/>
              </w:rPr>
              <w:t>竞选总报价必须与已标价工程量清单总报价一致</w:t>
            </w:r>
            <w:r>
              <w:rPr>
                <w:rFonts w:hint="eastAsia" w:ascii="宋体" w:hAnsi="宋体"/>
                <w:color w:val="auto"/>
                <w:szCs w:val="21"/>
                <w:highlight w:val="none"/>
              </w:rPr>
              <w:t>，否则由评标委员会作否决投标处理。</w:t>
            </w:r>
          </w:p>
        </w:tc>
      </w:tr>
      <w:tr w14:paraId="08E9C4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BE3A73D">
            <w:pPr>
              <w:spacing w:line="400" w:lineRule="exact"/>
              <w:jc w:val="center"/>
              <w:rPr>
                <w:rFonts w:ascii="宋体" w:hAnsi="宋体"/>
                <w:color w:val="auto"/>
                <w:szCs w:val="21"/>
                <w:highlight w:val="none"/>
              </w:rPr>
            </w:pPr>
          </w:p>
        </w:tc>
        <w:tc>
          <w:tcPr>
            <w:tcW w:w="1899" w:type="dxa"/>
            <w:vMerge w:val="continue"/>
            <w:vAlign w:val="center"/>
          </w:tcPr>
          <w:p w14:paraId="3131749E">
            <w:pPr>
              <w:spacing w:line="400" w:lineRule="exact"/>
              <w:jc w:val="center"/>
              <w:rPr>
                <w:rFonts w:ascii="宋体" w:hAnsi="宋体"/>
                <w:color w:val="auto"/>
                <w:szCs w:val="21"/>
                <w:highlight w:val="none"/>
              </w:rPr>
            </w:pPr>
          </w:p>
        </w:tc>
        <w:tc>
          <w:tcPr>
            <w:tcW w:w="6333" w:type="dxa"/>
            <w:vAlign w:val="center"/>
          </w:tcPr>
          <w:p w14:paraId="7EEFAA7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A-17竞选总报价不得高于比选人公布的竞选总报价最高限价，否则由评标委员会作否决投标处理。</w:t>
            </w:r>
          </w:p>
        </w:tc>
      </w:tr>
      <w:tr w14:paraId="4F39A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58B62C2">
            <w:pPr>
              <w:spacing w:line="400" w:lineRule="exact"/>
              <w:jc w:val="center"/>
              <w:rPr>
                <w:rFonts w:ascii="宋体" w:hAnsi="宋体"/>
                <w:color w:val="auto"/>
                <w:szCs w:val="21"/>
                <w:highlight w:val="none"/>
              </w:rPr>
            </w:pPr>
          </w:p>
        </w:tc>
        <w:tc>
          <w:tcPr>
            <w:tcW w:w="1899" w:type="dxa"/>
            <w:vMerge w:val="continue"/>
            <w:vAlign w:val="center"/>
          </w:tcPr>
          <w:p w14:paraId="0F4060EA">
            <w:pPr>
              <w:spacing w:line="400" w:lineRule="exact"/>
              <w:jc w:val="center"/>
              <w:rPr>
                <w:rFonts w:ascii="宋体" w:hAnsi="宋体"/>
                <w:color w:val="auto"/>
                <w:szCs w:val="21"/>
                <w:highlight w:val="none"/>
              </w:rPr>
            </w:pPr>
          </w:p>
        </w:tc>
        <w:tc>
          <w:tcPr>
            <w:tcW w:w="6333" w:type="dxa"/>
            <w:vAlign w:val="center"/>
          </w:tcPr>
          <w:p w14:paraId="6187572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A-18暂列金额、暂估价、安全生产费等暂定金额必须按照竞选文件给定的金额填报，否则由评标委员会作否决投标处理。</w:t>
            </w:r>
          </w:p>
        </w:tc>
      </w:tr>
      <w:tr w14:paraId="41A875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76C8463">
            <w:pPr>
              <w:spacing w:line="400" w:lineRule="exact"/>
              <w:jc w:val="center"/>
              <w:rPr>
                <w:rFonts w:ascii="宋体" w:hAnsi="宋体"/>
                <w:color w:val="auto"/>
                <w:szCs w:val="21"/>
                <w:highlight w:val="none"/>
              </w:rPr>
            </w:pPr>
          </w:p>
        </w:tc>
        <w:tc>
          <w:tcPr>
            <w:tcW w:w="1899" w:type="dxa"/>
            <w:vMerge w:val="continue"/>
            <w:vAlign w:val="center"/>
          </w:tcPr>
          <w:p w14:paraId="0B513852">
            <w:pPr>
              <w:spacing w:line="400" w:lineRule="exact"/>
              <w:jc w:val="center"/>
              <w:rPr>
                <w:rFonts w:ascii="宋体" w:hAnsi="宋体"/>
                <w:color w:val="auto"/>
                <w:szCs w:val="21"/>
                <w:highlight w:val="none"/>
              </w:rPr>
            </w:pPr>
          </w:p>
        </w:tc>
        <w:tc>
          <w:tcPr>
            <w:tcW w:w="6333" w:type="dxa"/>
            <w:vAlign w:val="center"/>
          </w:tcPr>
          <w:p w14:paraId="587417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A-19投标内容符合第二章“竞选人须知”第1.3.1项规定，否则由评标委员会作否决投标处理。</w:t>
            </w:r>
          </w:p>
        </w:tc>
      </w:tr>
      <w:tr w14:paraId="4D3389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04EDFE">
            <w:pPr>
              <w:spacing w:line="400" w:lineRule="exact"/>
              <w:jc w:val="center"/>
              <w:rPr>
                <w:rFonts w:ascii="宋体" w:hAnsi="宋体"/>
                <w:color w:val="auto"/>
                <w:szCs w:val="21"/>
                <w:highlight w:val="none"/>
              </w:rPr>
            </w:pPr>
          </w:p>
        </w:tc>
        <w:tc>
          <w:tcPr>
            <w:tcW w:w="1899" w:type="dxa"/>
            <w:vMerge w:val="continue"/>
            <w:vAlign w:val="center"/>
          </w:tcPr>
          <w:p w14:paraId="36A888C8">
            <w:pPr>
              <w:spacing w:line="400" w:lineRule="exact"/>
              <w:jc w:val="center"/>
              <w:rPr>
                <w:rFonts w:ascii="宋体" w:hAnsi="宋体"/>
                <w:color w:val="auto"/>
                <w:szCs w:val="21"/>
                <w:highlight w:val="none"/>
              </w:rPr>
            </w:pPr>
          </w:p>
        </w:tc>
        <w:tc>
          <w:tcPr>
            <w:tcW w:w="6333" w:type="dxa"/>
            <w:vAlign w:val="center"/>
          </w:tcPr>
          <w:p w14:paraId="75AB2DA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A-20工期符合第二章“竞选人须知”第1.3.2项规定，否则由评标委员会作否决投标处理。</w:t>
            </w:r>
          </w:p>
        </w:tc>
      </w:tr>
      <w:tr w14:paraId="379EFA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F74DD72">
            <w:pPr>
              <w:spacing w:line="400" w:lineRule="exact"/>
              <w:jc w:val="center"/>
              <w:rPr>
                <w:rFonts w:ascii="宋体" w:hAnsi="宋体"/>
                <w:color w:val="auto"/>
                <w:szCs w:val="21"/>
                <w:highlight w:val="none"/>
              </w:rPr>
            </w:pPr>
          </w:p>
        </w:tc>
        <w:tc>
          <w:tcPr>
            <w:tcW w:w="1899" w:type="dxa"/>
            <w:vMerge w:val="continue"/>
            <w:vAlign w:val="center"/>
          </w:tcPr>
          <w:p w14:paraId="206177F4">
            <w:pPr>
              <w:spacing w:line="400" w:lineRule="exact"/>
              <w:jc w:val="center"/>
              <w:rPr>
                <w:rFonts w:ascii="宋体" w:hAnsi="宋体"/>
                <w:color w:val="auto"/>
                <w:szCs w:val="21"/>
                <w:highlight w:val="none"/>
              </w:rPr>
            </w:pPr>
          </w:p>
        </w:tc>
        <w:tc>
          <w:tcPr>
            <w:tcW w:w="6333" w:type="dxa"/>
            <w:vAlign w:val="center"/>
          </w:tcPr>
          <w:p w14:paraId="14AC2A6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A-21工程质量符合第二章“竞选人须知”第1.3.3项规定，否则由评标委员会作否决投标处理。</w:t>
            </w:r>
          </w:p>
        </w:tc>
      </w:tr>
      <w:tr w14:paraId="79EA9E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FDC8C2">
            <w:pPr>
              <w:spacing w:line="400" w:lineRule="exact"/>
              <w:jc w:val="center"/>
              <w:rPr>
                <w:rFonts w:ascii="宋体" w:hAnsi="宋体"/>
                <w:color w:val="auto"/>
                <w:szCs w:val="21"/>
                <w:highlight w:val="none"/>
              </w:rPr>
            </w:pPr>
          </w:p>
        </w:tc>
        <w:tc>
          <w:tcPr>
            <w:tcW w:w="1899" w:type="dxa"/>
            <w:vMerge w:val="continue"/>
            <w:vAlign w:val="center"/>
          </w:tcPr>
          <w:p w14:paraId="0A89C16E">
            <w:pPr>
              <w:spacing w:line="400" w:lineRule="exact"/>
              <w:jc w:val="center"/>
              <w:rPr>
                <w:rFonts w:ascii="宋体" w:hAnsi="宋体"/>
                <w:color w:val="auto"/>
                <w:szCs w:val="21"/>
                <w:highlight w:val="none"/>
              </w:rPr>
            </w:pPr>
          </w:p>
        </w:tc>
        <w:tc>
          <w:tcPr>
            <w:tcW w:w="6333" w:type="dxa"/>
            <w:vAlign w:val="center"/>
          </w:tcPr>
          <w:p w14:paraId="5BBE522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A-22投标有效期符合第二章“竞选人须知”第3.3.1项规定，否则由评标委员会作否决投标处理。</w:t>
            </w:r>
          </w:p>
        </w:tc>
      </w:tr>
      <w:tr w14:paraId="459166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F368730">
            <w:pPr>
              <w:spacing w:line="400" w:lineRule="exact"/>
              <w:jc w:val="center"/>
              <w:rPr>
                <w:rFonts w:ascii="宋体" w:hAnsi="宋体"/>
                <w:color w:val="auto"/>
                <w:szCs w:val="21"/>
                <w:highlight w:val="none"/>
              </w:rPr>
            </w:pPr>
          </w:p>
        </w:tc>
        <w:tc>
          <w:tcPr>
            <w:tcW w:w="1899" w:type="dxa"/>
            <w:vMerge w:val="continue"/>
            <w:vAlign w:val="center"/>
          </w:tcPr>
          <w:p w14:paraId="4FD648AB">
            <w:pPr>
              <w:spacing w:line="400" w:lineRule="exact"/>
              <w:jc w:val="center"/>
              <w:rPr>
                <w:rFonts w:ascii="宋体" w:hAnsi="宋体"/>
                <w:color w:val="auto"/>
                <w:szCs w:val="21"/>
                <w:highlight w:val="none"/>
              </w:rPr>
            </w:pPr>
          </w:p>
        </w:tc>
        <w:tc>
          <w:tcPr>
            <w:tcW w:w="6333" w:type="dxa"/>
            <w:vAlign w:val="center"/>
          </w:tcPr>
          <w:p w14:paraId="47F646A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A-23竞选人</w:t>
            </w:r>
            <w:r>
              <w:rPr>
                <w:rFonts w:ascii="宋体" w:hAnsi="宋体"/>
                <w:color w:val="auto"/>
                <w:szCs w:val="21"/>
                <w:highlight w:val="none"/>
              </w:rPr>
              <w:t>应按</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w:t>
            </w:r>
            <w:r>
              <w:rPr>
                <w:rFonts w:hint="eastAsia" w:ascii="宋体" w:hAnsi="宋体"/>
                <w:color w:val="auto"/>
                <w:szCs w:val="21"/>
                <w:highlight w:val="none"/>
              </w:rPr>
              <w:t>竞选文件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2A7D5B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7F00291">
            <w:pPr>
              <w:spacing w:line="400" w:lineRule="exact"/>
              <w:jc w:val="center"/>
              <w:rPr>
                <w:rFonts w:ascii="宋体" w:hAnsi="宋体"/>
                <w:color w:val="auto"/>
                <w:szCs w:val="21"/>
                <w:highlight w:val="none"/>
              </w:rPr>
            </w:pPr>
          </w:p>
        </w:tc>
        <w:tc>
          <w:tcPr>
            <w:tcW w:w="1899" w:type="dxa"/>
            <w:vMerge w:val="continue"/>
            <w:vAlign w:val="center"/>
          </w:tcPr>
          <w:p w14:paraId="526E9982">
            <w:pPr>
              <w:spacing w:line="400" w:lineRule="exact"/>
              <w:jc w:val="center"/>
              <w:rPr>
                <w:rFonts w:ascii="宋体" w:hAnsi="宋体"/>
                <w:color w:val="auto"/>
                <w:szCs w:val="21"/>
                <w:highlight w:val="none"/>
              </w:rPr>
            </w:pPr>
          </w:p>
        </w:tc>
        <w:tc>
          <w:tcPr>
            <w:tcW w:w="6333" w:type="dxa"/>
            <w:vAlign w:val="center"/>
          </w:tcPr>
          <w:p w14:paraId="551F4F9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A-24符合第四章“合同条款及格式”规定，竞选文件不应附有比选人不能接受的条件，否则由评标委员会作否决投标处理。（由竞选人承诺，承诺书格式详见第八章竞选文件格式。）</w:t>
            </w:r>
          </w:p>
        </w:tc>
      </w:tr>
      <w:tr w14:paraId="4FFBF6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BFDE1EF">
            <w:pPr>
              <w:spacing w:line="400" w:lineRule="exact"/>
              <w:jc w:val="center"/>
              <w:rPr>
                <w:rFonts w:ascii="宋体" w:hAnsi="宋体"/>
                <w:color w:val="auto"/>
                <w:szCs w:val="21"/>
                <w:highlight w:val="none"/>
              </w:rPr>
            </w:pPr>
          </w:p>
        </w:tc>
        <w:tc>
          <w:tcPr>
            <w:tcW w:w="1899" w:type="dxa"/>
            <w:vMerge w:val="continue"/>
            <w:vAlign w:val="center"/>
          </w:tcPr>
          <w:p w14:paraId="44AC563E">
            <w:pPr>
              <w:spacing w:line="400" w:lineRule="exact"/>
              <w:jc w:val="center"/>
              <w:rPr>
                <w:rFonts w:ascii="宋体" w:hAnsi="宋体"/>
                <w:color w:val="auto"/>
                <w:szCs w:val="21"/>
                <w:highlight w:val="none"/>
              </w:rPr>
            </w:pPr>
          </w:p>
        </w:tc>
        <w:tc>
          <w:tcPr>
            <w:tcW w:w="6333" w:type="dxa"/>
            <w:vAlign w:val="center"/>
          </w:tcPr>
          <w:p w14:paraId="2F17F28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A-25符合第七章“技术标准和要求”规定。否则由评标委员会作否决投标处理（如有）。（由竞选人承诺，承诺书格式详见第八章竞选文件格式。）</w:t>
            </w:r>
          </w:p>
        </w:tc>
      </w:tr>
      <w:tr w14:paraId="16CAA1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8703738">
            <w:pPr>
              <w:spacing w:line="400" w:lineRule="exact"/>
              <w:jc w:val="center"/>
              <w:rPr>
                <w:rFonts w:ascii="宋体" w:hAnsi="宋体"/>
                <w:color w:val="auto"/>
                <w:szCs w:val="21"/>
                <w:highlight w:val="none"/>
              </w:rPr>
            </w:pPr>
          </w:p>
        </w:tc>
        <w:tc>
          <w:tcPr>
            <w:tcW w:w="1899" w:type="dxa"/>
            <w:vMerge w:val="continue"/>
            <w:vAlign w:val="center"/>
          </w:tcPr>
          <w:p w14:paraId="792C7A46">
            <w:pPr>
              <w:spacing w:line="400" w:lineRule="exact"/>
              <w:jc w:val="center"/>
              <w:rPr>
                <w:rFonts w:ascii="宋体" w:hAnsi="宋体"/>
                <w:color w:val="auto"/>
                <w:szCs w:val="21"/>
                <w:highlight w:val="none"/>
              </w:rPr>
            </w:pPr>
          </w:p>
        </w:tc>
        <w:tc>
          <w:tcPr>
            <w:tcW w:w="6333" w:type="dxa"/>
            <w:vAlign w:val="center"/>
          </w:tcPr>
          <w:p w14:paraId="3301951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A-26竞选人提供的关于已标价工程量清单的承诺符合竞选文件的要求，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14E39E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F7F55F">
            <w:pPr>
              <w:spacing w:line="400" w:lineRule="exact"/>
              <w:jc w:val="center"/>
              <w:rPr>
                <w:rFonts w:ascii="宋体" w:hAnsi="宋体"/>
                <w:color w:val="auto"/>
                <w:szCs w:val="21"/>
                <w:highlight w:val="none"/>
              </w:rPr>
            </w:pPr>
          </w:p>
        </w:tc>
        <w:tc>
          <w:tcPr>
            <w:tcW w:w="1899" w:type="dxa"/>
            <w:vMerge w:val="continue"/>
            <w:vAlign w:val="center"/>
          </w:tcPr>
          <w:p w14:paraId="7E415F3B">
            <w:pPr>
              <w:spacing w:line="400" w:lineRule="exact"/>
              <w:jc w:val="center"/>
              <w:rPr>
                <w:rFonts w:ascii="宋体" w:hAnsi="宋体"/>
                <w:color w:val="auto"/>
                <w:szCs w:val="21"/>
                <w:highlight w:val="none"/>
              </w:rPr>
            </w:pPr>
          </w:p>
        </w:tc>
        <w:tc>
          <w:tcPr>
            <w:tcW w:w="6333" w:type="dxa"/>
            <w:vAlign w:val="center"/>
          </w:tcPr>
          <w:p w14:paraId="709FE6F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A-27投标报价有算术错误的，按照第三章“评标办法”第3.1.3项规定执行，否则由评标委员会作否决投标处理</w:t>
            </w:r>
            <w:r>
              <w:rPr>
                <w:rFonts w:ascii="宋体" w:hAnsi="宋体"/>
                <w:color w:val="auto"/>
                <w:szCs w:val="21"/>
                <w:highlight w:val="none"/>
              </w:rPr>
              <w:t>。</w:t>
            </w:r>
          </w:p>
        </w:tc>
      </w:tr>
      <w:tr w14:paraId="3CAA06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852E1D">
            <w:pPr>
              <w:spacing w:line="400" w:lineRule="exact"/>
              <w:jc w:val="center"/>
              <w:rPr>
                <w:rFonts w:ascii="宋体" w:hAnsi="宋体"/>
                <w:color w:val="auto"/>
                <w:szCs w:val="21"/>
                <w:highlight w:val="none"/>
              </w:rPr>
            </w:pPr>
          </w:p>
        </w:tc>
        <w:tc>
          <w:tcPr>
            <w:tcW w:w="1899" w:type="dxa"/>
            <w:vMerge w:val="continue"/>
            <w:vAlign w:val="center"/>
          </w:tcPr>
          <w:p w14:paraId="3A0D4469">
            <w:pPr>
              <w:spacing w:line="400" w:lineRule="exact"/>
              <w:jc w:val="center"/>
              <w:rPr>
                <w:rFonts w:ascii="宋体" w:hAnsi="宋体"/>
                <w:color w:val="auto"/>
                <w:szCs w:val="21"/>
                <w:highlight w:val="none"/>
              </w:rPr>
            </w:pPr>
          </w:p>
        </w:tc>
        <w:tc>
          <w:tcPr>
            <w:tcW w:w="6333" w:type="dxa"/>
            <w:vAlign w:val="center"/>
          </w:tcPr>
          <w:p w14:paraId="7273626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A-28竞选人有以下情形之一的，其竞选文件由评标委员会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B83322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1.第二章“竞选人须知”第1.4.3项规定的任何一种情形的；</w:t>
            </w:r>
          </w:p>
          <w:p w14:paraId="5F75F08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0F8F279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0B333D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7F19D5A7">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0FE45470">
            <w:pPr>
              <w:spacing w:line="400" w:lineRule="exact"/>
              <w:jc w:val="center"/>
              <w:rPr>
                <w:rFonts w:ascii="宋体" w:hAnsi="宋体"/>
                <w:color w:val="auto"/>
                <w:szCs w:val="21"/>
                <w:highlight w:val="none"/>
              </w:rPr>
            </w:pPr>
          </w:p>
        </w:tc>
        <w:tc>
          <w:tcPr>
            <w:tcW w:w="6333" w:type="dxa"/>
          </w:tcPr>
          <w:p w14:paraId="4B3FB799">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[提示：比选人必须将所有否决投标条款集中罗列于此表，若无其他否决投标条款则在该条写无。]</w:t>
            </w:r>
          </w:p>
        </w:tc>
      </w:tr>
    </w:tbl>
    <w:p w14:paraId="39FECB5A">
      <w:pPr>
        <w:autoSpaceDE w:val="0"/>
        <w:autoSpaceDN w:val="0"/>
        <w:adjustRightInd w:val="0"/>
        <w:snapToGrid w:val="0"/>
        <w:spacing w:line="360" w:lineRule="auto"/>
        <w:jc w:val="left"/>
        <w:rPr>
          <w:rFonts w:ascii="宋体" w:hAnsi="宋体"/>
          <w:b/>
          <w:color w:val="auto"/>
          <w:kern w:val="0"/>
          <w:sz w:val="20"/>
          <w:szCs w:val="20"/>
          <w:highlight w:val="none"/>
        </w:rPr>
      </w:pPr>
    </w:p>
    <w:p w14:paraId="5AF9C5E1">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515B648F">
      <w:pPr>
        <w:pStyle w:val="2"/>
        <w:spacing w:line="360" w:lineRule="auto"/>
        <w:jc w:val="center"/>
        <w:rPr>
          <w:rFonts w:ascii="宋体" w:hAnsi="宋体"/>
          <w:color w:val="auto"/>
          <w:kern w:val="0"/>
          <w:highlight w:val="none"/>
        </w:rPr>
      </w:pPr>
      <w:bookmarkStart w:id="680" w:name="_Toc509218785"/>
      <w:bookmarkStart w:id="681" w:name="_Toc8427"/>
      <w:bookmarkStart w:id="682" w:name="_Toc57905906"/>
      <w:bookmarkStart w:id="683" w:name="_Toc430530509"/>
      <w:r>
        <w:rPr>
          <w:rFonts w:hint="eastAsia" w:ascii="宋体" w:hAnsi="宋体"/>
          <w:color w:val="auto"/>
          <w:kern w:val="0"/>
          <w:highlight w:val="none"/>
        </w:rPr>
        <w:t>第四章  合同条款及格式</w:t>
      </w:r>
      <w:bookmarkEnd w:id="680"/>
      <w:bookmarkEnd w:id="681"/>
      <w:bookmarkEnd w:id="682"/>
      <w:bookmarkEnd w:id="683"/>
    </w:p>
    <w:p w14:paraId="5A2C3485">
      <w:pPr>
        <w:rPr>
          <w:rFonts w:ascii="宋体" w:hAnsi="宋体"/>
          <w:color w:val="auto"/>
          <w:sz w:val="44"/>
          <w:szCs w:val="44"/>
          <w:highlight w:val="none"/>
        </w:rPr>
      </w:pPr>
      <w:r>
        <w:rPr>
          <w:rFonts w:ascii="宋体" w:hAnsi="宋体"/>
          <w:color w:val="auto"/>
          <w:highlight w:val="none"/>
        </w:rPr>
        <w:br w:type="page"/>
      </w:r>
      <w:bookmarkStart w:id="684" w:name="_Toc296890982"/>
      <w:bookmarkStart w:id="685" w:name="_Toc296503025"/>
      <w:bookmarkStart w:id="686" w:name="_Toc351203480"/>
    </w:p>
    <w:p w14:paraId="61603166">
      <w:pPr>
        <w:jc w:val="center"/>
        <w:rPr>
          <w:rFonts w:eastAsia="华文中宋"/>
          <w:b/>
          <w:color w:val="auto"/>
          <w:sz w:val="52"/>
          <w:szCs w:val="52"/>
          <w:highlight w:val="none"/>
        </w:rPr>
      </w:pPr>
      <w:bookmarkStart w:id="687" w:name="招标文件05章工程量清单"/>
      <w:bookmarkEnd w:id="687"/>
      <w:bookmarkStart w:id="688" w:name="_Toc351203632"/>
      <w:r>
        <w:rPr>
          <w:rFonts w:eastAsia="华文中宋"/>
          <w:b/>
          <w:color w:val="auto"/>
          <w:sz w:val="72"/>
          <w:szCs w:val="52"/>
          <w:highlight w:val="none"/>
        </w:rPr>
        <w:t>建设工程</w:t>
      </w:r>
      <w:r>
        <w:rPr>
          <w:rFonts w:hint="eastAsia" w:eastAsia="华文中宋"/>
          <w:b/>
          <w:color w:val="auto"/>
          <w:sz w:val="72"/>
          <w:szCs w:val="52"/>
          <w:highlight w:val="none"/>
        </w:rPr>
        <w:t>承包</w:t>
      </w:r>
      <w:r>
        <w:rPr>
          <w:rFonts w:eastAsia="华文中宋"/>
          <w:b/>
          <w:color w:val="auto"/>
          <w:sz w:val="72"/>
          <w:szCs w:val="52"/>
          <w:highlight w:val="none"/>
        </w:rPr>
        <w:t>合同</w:t>
      </w:r>
      <w:r>
        <w:rPr>
          <w:rFonts w:eastAsia="华文中宋"/>
          <w:b/>
          <w:color w:val="auto"/>
          <w:sz w:val="52"/>
          <w:szCs w:val="52"/>
          <w:highlight w:val="none"/>
        </w:rPr>
        <w:br w:type="textWrapping"/>
      </w:r>
    </w:p>
    <w:p w14:paraId="29038BFB">
      <w:pPr>
        <w:jc w:val="center"/>
        <w:rPr>
          <w:rFonts w:eastAsia="华文中宋"/>
          <w:b/>
          <w:color w:val="auto"/>
          <w:sz w:val="52"/>
          <w:szCs w:val="52"/>
          <w:highlight w:val="none"/>
        </w:rPr>
      </w:pPr>
    </w:p>
    <w:p w14:paraId="2A69066B">
      <w:pPr>
        <w:jc w:val="center"/>
        <w:rPr>
          <w:rFonts w:eastAsia="华文中宋"/>
          <w:b/>
          <w:color w:val="auto"/>
          <w:sz w:val="52"/>
          <w:szCs w:val="52"/>
          <w:highlight w:val="none"/>
        </w:rPr>
      </w:pPr>
    </w:p>
    <w:p w14:paraId="169F2687">
      <w:pPr>
        <w:pStyle w:val="18"/>
        <w:rPr>
          <w:color w:val="auto"/>
          <w:highlight w:val="none"/>
        </w:rPr>
      </w:pPr>
    </w:p>
    <w:p w14:paraId="4799751F">
      <w:pPr>
        <w:spacing w:after="120"/>
        <w:rPr>
          <w:color w:val="auto"/>
          <w:highlight w:val="none"/>
        </w:rPr>
      </w:pPr>
    </w:p>
    <w:p w14:paraId="226A2661">
      <w:pPr>
        <w:spacing w:line="480" w:lineRule="auto"/>
        <w:ind w:firstLine="643" w:firstLineChars="200"/>
        <w:rPr>
          <w:rFonts w:ascii="宋体" w:hAnsi="宋体" w:cs="仿宋_GB2312"/>
          <w:b/>
          <w:bCs/>
          <w:color w:val="auto"/>
          <w:sz w:val="32"/>
          <w:highlight w:val="none"/>
        </w:rPr>
      </w:pPr>
      <w:r>
        <w:rPr>
          <w:rFonts w:hint="eastAsia" w:ascii="宋体" w:hAnsi="宋体" w:cs="仿宋_GB2312"/>
          <w:b/>
          <w:bCs/>
          <w:color w:val="auto"/>
          <w:sz w:val="32"/>
          <w:highlight w:val="none"/>
        </w:rPr>
        <w:t>工程名称：</w:t>
      </w:r>
      <w:r>
        <w:rPr>
          <w:rFonts w:hint="eastAsia" w:ascii="宋体" w:hAnsi="宋体" w:cs="仿宋_GB2312"/>
          <w:b/>
          <w:bCs/>
          <w:color w:val="auto"/>
          <w:sz w:val="32"/>
          <w:highlight w:val="none"/>
          <w:u w:val="single"/>
        </w:rPr>
        <w:t xml:space="preserve">                      </w:t>
      </w:r>
      <w:r>
        <w:rPr>
          <w:rFonts w:hint="eastAsia" w:ascii="宋体" w:hAnsi="宋体" w:cs="仿宋_GB2312"/>
          <w:b/>
          <w:bCs/>
          <w:color w:val="auto"/>
          <w:sz w:val="32"/>
          <w:highlight w:val="none"/>
        </w:rPr>
        <w:t></w:t>
      </w:r>
    </w:p>
    <w:p w14:paraId="5BE5CB32">
      <w:pPr>
        <w:pStyle w:val="18"/>
        <w:spacing w:line="480" w:lineRule="auto"/>
        <w:ind w:firstLine="643" w:firstLineChars="200"/>
        <w:rPr>
          <w:rFonts w:ascii="宋体" w:hAnsi="宋体" w:cs="仿宋_GB2312"/>
          <w:b/>
          <w:bCs/>
          <w:color w:val="auto"/>
          <w:sz w:val="32"/>
          <w:highlight w:val="none"/>
        </w:rPr>
      </w:pPr>
      <w:r>
        <w:rPr>
          <w:rFonts w:hint="eastAsia" w:ascii="宋体" w:hAnsi="宋体" w:cs="仿宋_GB2312"/>
          <w:b/>
          <w:bCs/>
          <w:color w:val="auto"/>
          <w:sz w:val="32"/>
          <w:highlight w:val="none"/>
        </w:rPr>
        <w:t>发 包 人：</w:t>
      </w:r>
      <w:r>
        <w:rPr>
          <w:rFonts w:hint="eastAsia" w:ascii="宋体" w:hAnsi="宋体" w:cs="仿宋_GB2312"/>
          <w:b/>
          <w:bCs/>
          <w:color w:val="auto"/>
          <w:sz w:val="32"/>
          <w:highlight w:val="none"/>
          <w:u w:val="single"/>
        </w:rPr>
        <w:t xml:space="preserve">                      </w:t>
      </w:r>
      <w:r>
        <w:rPr>
          <w:rFonts w:hint="eastAsia" w:ascii="宋体" w:hAnsi="宋体" w:cs="仿宋_GB2312"/>
          <w:b/>
          <w:bCs/>
          <w:color w:val="auto"/>
          <w:sz w:val="32"/>
          <w:highlight w:val="none"/>
        </w:rPr>
        <w:t></w:t>
      </w:r>
    </w:p>
    <w:p w14:paraId="5EC4337F">
      <w:pPr>
        <w:spacing w:line="480" w:lineRule="auto"/>
        <w:ind w:firstLine="643" w:firstLineChars="200"/>
        <w:rPr>
          <w:rFonts w:ascii="宋体" w:hAnsi="宋体" w:cs="仿宋_GB2312"/>
          <w:b/>
          <w:bCs/>
          <w:color w:val="auto"/>
          <w:sz w:val="32"/>
          <w:highlight w:val="none"/>
        </w:rPr>
      </w:pPr>
      <w:r>
        <w:rPr>
          <w:rFonts w:hint="eastAsia" w:ascii="宋体" w:hAnsi="宋体" w:cs="仿宋_GB2312"/>
          <w:b/>
          <w:bCs/>
          <w:color w:val="auto"/>
          <w:sz w:val="32"/>
          <w:highlight w:val="none"/>
        </w:rPr>
        <w:t>承 包 人：</w:t>
      </w:r>
      <w:r>
        <w:rPr>
          <w:rFonts w:hint="eastAsia" w:ascii="宋体" w:hAnsi="宋体" w:cs="仿宋_GB2312"/>
          <w:b/>
          <w:bCs/>
          <w:color w:val="auto"/>
          <w:sz w:val="32"/>
          <w:highlight w:val="none"/>
          <w:u w:val="single"/>
        </w:rPr>
        <w:t xml:space="preserve">                      </w:t>
      </w:r>
      <w:r>
        <w:rPr>
          <w:rFonts w:hint="eastAsia" w:ascii="宋体" w:hAnsi="宋体" w:cs="仿宋_GB2312"/>
          <w:b/>
          <w:bCs/>
          <w:color w:val="auto"/>
          <w:sz w:val="32"/>
          <w:highlight w:val="none"/>
        </w:rPr>
        <w:t></w:t>
      </w:r>
    </w:p>
    <w:p w14:paraId="5BE8DC0B">
      <w:pPr>
        <w:pStyle w:val="18"/>
        <w:spacing w:line="480" w:lineRule="auto"/>
        <w:ind w:firstLine="643" w:firstLineChars="200"/>
        <w:rPr>
          <w:color w:val="auto"/>
          <w:highlight w:val="none"/>
        </w:rPr>
      </w:pPr>
      <w:r>
        <w:rPr>
          <w:rFonts w:ascii="宋体" w:hAnsi="宋体" w:cs="仿宋_GB2312"/>
          <w:b/>
          <w:bCs/>
          <w:color w:val="auto"/>
          <w:sz w:val="32"/>
          <w:highlight w:val="none"/>
        </w:rPr>
        <w:t>签订时间</w:t>
      </w:r>
      <w:r>
        <w:rPr>
          <w:rFonts w:hint="eastAsia" w:ascii="宋体" w:hAnsi="宋体" w:cs="仿宋_GB2312"/>
          <w:b/>
          <w:bCs/>
          <w:color w:val="auto"/>
          <w:sz w:val="32"/>
          <w:highlight w:val="none"/>
        </w:rPr>
        <w:t>：</w:t>
      </w:r>
      <w:r>
        <w:rPr>
          <w:rFonts w:hint="eastAsia" w:ascii="宋体" w:hAnsi="宋体" w:cs="仿宋_GB2312"/>
          <w:b/>
          <w:bCs/>
          <w:color w:val="auto"/>
          <w:sz w:val="32"/>
          <w:highlight w:val="none"/>
          <w:u w:val="single"/>
        </w:rPr>
        <w:t xml:space="preserve">                      </w:t>
      </w:r>
      <w:r>
        <w:rPr>
          <w:rFonts w:hint="eastAsia" w:ascii="宋体" w:hAnsi="宋体" w:cs="仿宋_GB2312"/>
          <w:b/>
          <w:bCs/>
          <w:color w:val="auto"/>
          <w:sz w:val="32"/>
          <w:highlight w:val="none"/>
        </w:rPr>
        <w:t></w:t>
      </w:r>
    </w:p>
    <w:p w14:paraId="3CDD17C2">
      <w:pPr>
        <w:spacing w:line="360" w:lineRule="auto"/>
        <w:rPr>
          <w:rFonts w:eastAsia="华文中宋"/>
          <w:b/>
          <w:color w:val="auto"/>
          <w:sz w:val="52"/>
          <w:szCs w:val="52"/>
          <w:highlight w:val="none"/>
        </w:rPr>
      </w:pPr>
    </w:p>
    <w:p w14:paraId="560C99F1">
      <w:pPr>
        <w:spacing w:line="360" w:lineRule="auto"/>
        <w:ind w:firstLine="1767" w:firstLineChars="400"/>
        <w:rPr>
          <w:rFonts w:ascii="宋体" w:hAnsi="宋体"/>
          <w:b/>
          <w:bCs/>
          <w:color w:val="auto"/>
          <w:sz w:val="44"/>
          <w:szCs w:val="44"/>
          <w:highlight w:val="none"/>
        </w:rPr>
      </w:pPr>
      <w:r>
        <w:rPr>
          <w:rFonts w:ascii="宋体" w:hAnsi="宋体"/>
          <w:b/>
          <w:bCs/>
          <w:color w:val="auto"/>
          <w:sz w:val="44"/>
          <w:szCs w:val="44"/>
          <w:highlight w:val="none"/>
        </w:rPr>
        <w:br w:type="page"/>
      </w:r>
    </w:p>
    <w:p w14:paraId="1005244A">
      <w:pPr>
        <w:keepNext/>
        <w:keepLines/>
        <w:spacing w:before="260" w:after="260" w:line="416" w:lineRule="auto"/>
        <w:jc w:val="center"/>
        <w:outlineLvl w:val="2"/>
        <w:rPr>
          <w:rFonts w:ascii="宋体" w:hAnsi="宋体"/>
          <w:bCs/>
          <w:color w:val="auto"/>
          <w:sz w:val="44"/>
          <w:szCs w:val="44"/>
          <w:highlight w:val="none"/>
        </w:rPr>
      </w:pPr>
      <w:r>
        <w:rPr>
          <w:rFonts w:ascii="宋体" w:hAnsi="宋体"/>
          <w:b/>
          <w:bCs/>
          <w:color w:val="auto"/>
          <w:sz w:val="44"/>
          <w:szCs w:val="44"/>
          <w:highlight w:val="none"/>
        </w:rPr>
        <w:t>第一部分 合同协议书</w:t>
      </w:r>
    </w:p>
    <w:p w14:paraId="47D947AA">
      <w:pPr>
        <w:snapToGrid w:val="0"/>
        <w:spacing w:line="600" w:lineRule="exact"/>
        <w:ind w:firstLine="480" w:firstLineChars="200"/>
        <w:rPr>
          <w:rFonts w:ascii="宋体" w:hAnsi="宋体"/>
          <w:color w:val="auto"/>
          <w:sz w:val="24"/>
          <w:highlight w:val="none"/>
        </w:rPr>
      </w:pPr>
    </w:p>
    <w:p w14:paraId="335F1A0B">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436E7BA8">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374B727B">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根据《中华人民共和国民法典》、《中华人民共和国建筑法》及有关法律、法规规定，遵循平等、自愿、公平和诚信的原则，双方就</w:t>
      </w:r>
      <w:r>
        <w:rPr>
          <w:rFonts w:hint="eastAsia" w:ascii="宋体" w:hAnsi="宋体"/>
          <w:color w:val="auto"/>
          <w:szCs w:val="21"/>
          <w:highlight w:val="none"/>
          <w:u w:val="single"/>
        </w:rPr>
        <w:t xml:space="preserve">          </w:t>
      </w:r>
      <w:r>
        <w:rPr>
          <w:rFonts w:hint="eastAsia" w:ascii="宋体" w:hAnsi="宋体"/>
          <w:color w:val="auto"/>
          <w:szCs w:val="21"/>
          <w:highlight w:val="none"/>
        </w:rPr>
        <w:t>工程施工及有关事项协商一致，共同达成如下协议：</w:t>
      </w:r>
    </w:p>
    <w:p w14:paraId="63692903">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bookmarkStart w:id="689" w:name="_Toc351203481"/>
      <w:bookmarkStart w:id="690" w:name="_Toc532375573"/>
      <w:bookmarkStart w:id="691" w:name="_Toc532377166"/>
      <w:r>
        <w:rPr>
          <w:rFonts w:hint="eastAsia" w:ascii="宋体" w:hAnsi="宋体" w:cs="宋体"/>
          <w:b/>
          <w:bCs/>
          <w:color w:val="auto"/>
          <w:szCs w:val="21"/>
          <w:highlight w:val="none"/>
        </w:rPr>
        <w:t>一、工程概况</w:t>
      </w:r>
      <w:bookmarkEnd w:id="689"/>
      <w:bookmarkEnd w:id="690"/>
      <w:bookmarkEnd w:id="691"/>
    </w:p>
    <w:p w14:paraId="36FBA5B7">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9FBA575">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A520C6B">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w:t>
      </w:r>
      <w:r>
        <w:rPr>
          <w:rFonts w:hint="eastAsia" w:ascii="宋体" w:hAnsi="宋体"/>
          <w:bCs/>
          <w:color w:val="auto"/>
          <w:szCs w:val="21"/>
          <w:highlight w:val="none"/>
        </w:rPr>
        <w:t>。</w:t>
      </w:r>
    </w:p>
    <w:p w14:paraId="006D7D9B">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3F5FF33">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5522635">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4D06BB5">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r>
        <w:rPr>
          <w:rFonts w:hint="eastAsia" w:ascii="宋体" w:hAnsi="宋体" w:cs="宋体"/>
          <w:b/>
          <w:bCs/>
          <w:color w:val="auto"/>
          <w:szCs w:val="21"/>
          <w:highlight w:val="none"/>
        </w:rPr>
        <w:t>二、合同工期</w:t>
      </w:r>
    </w:p>
    <w:p w14:paraId="26A5AE8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   日历天</w:t>
      </w:r>
      <w:r>
        <w:rPr>
          <w:rFonts w:hint="eastAsia" w:ascii="宋体" w:hAnsi="宋体"/>
          <w:bCs/>
          <w:color w:val="auto"/>
          <w:szCs w:val="21"/>
          <w:highlight w:val="none"/>
        </w:rPr>
        <w:t>。</w:t>
      </w:r>
    </w:p>
    <w:p w14:paraId="7B9C962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  </w:t>
      </w:r>
      <w:r>
        <w:rPr>
          <w:rFonts w:hint="eastAsia" w:ascii="宋体" w:hAnsi="宋体"/>
          <w:bCs/>
          <w:color w:val="auto"/>
          <w:szCs w:val="21"/>
          <w:highlight w:val="none"/>
        </w:rPr>
        <w:t>年</w:t>
      </w:r>
      <w:r>
        <w:rPr>
          <w:rFonts w:hint="eastAsia" w:ascii="宋体" w:hAnsi="宋体"/>
          <w:bCs/>
          <w:color w:val="auto"/>
          <w:szCs w:val="21"/>
          <w:highlight w:val="none"/>
          <w:u w:val="single"/>
        </w:rPr>
        <w:t> </w:t>
      </w:r>
      <w:r>
        <w:rPr>
          <w:rFonts w:hint="eastAsia" w:ascii="宋体" w:hAnsi="宋体"/>
          <w:bCs/>
          <w:color w:val="auto"/>
          <w:szCs w:val="21"/>
          <w:highlight w:val="none"/>
        </w:rPr>
        <w:t>月</w:t>
      </w:r>
      <w:r>
        <w:rPr>
          <w:rFonts w:hint="eastAsia" w:ascii="宋体" w:hAnsi="宋体"/>
          <w:bCs/>
          <w:color w:val="auto"/>
          <w:szCs w:val="21"/>
          <w:highlight w:val="none"/>
          <w:u w:val="single"/>
        </w:rPr>
        <w:t> </w:t>
      </w:r>
      <w:r>
        <w:rPr>
          <w:rFonts w:hint="eastAsia" w:ascii="宋体" w:hAnsi="宋体"/>
          <w:bCs/>
          <w:color w:val="auto"/>
          <w:szCs w:val="21"/>
          <w:highlight w:val="none"/>
        </w:rPr>
        <w:t>日，实际开工日期以监理工程师签发的工程开工通知明确的开工日期为准。</w:t>
      </w:r>
    </w:p>
    <w:p w14:paraId="2F7B6C0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 </w:t>
      </w:r>
      <w:r>
        <w:rPr>
          <w:rFonts w:hint="eastAsia" w:ascii="宋体" w:hAnsi="宋体"/>
          <w:bCs/>
          <w:color w:val="auto"/>
          <w:szCs w:val="21"/>
          <w:highlight w:val="none"/>
        </w:rPr>
        <w:t>年</w:t>
      </w:r>
      <w:r>
        <w:rPr>
          <w:rFonts w:hint="eastAsia" w:ascii="宋体" w:hAnsi="宋体"/>
          <w:bCs/>
          <w:color w:val="auto"/>
          <w:szCs w:val="21"/>
          <w:highlight w:val="none"/>
          <w:u w:val="single"/>
        </w:rPr>
        <w:t>  </w:t>
      </w:r>
      <w:r>
        <w:rPr>
          <w:rFonts w:hint="eastAsia" w:ascii="宋体" w:hAnsi="宋体"/>
          <w:bCs/>
          <w:color w:val="auto"/>
          <w:szCs w:val="21"/>
          <w:highlight w:val="none"/>
        </w:rPr>
        <w:t>月</w:t>
      </w:r>
      <w:r>
        <w:rPr>
          <w:rFonts w:hint="eastAsia" w:ascii="宋体" w:hAnsi="宋体"/>
          <w:bCs/>
          <w:color w:val="auto"/>
          <w:szCs w:val="21"/>
          <w:highlight w:val="none"/>
          <w:u w:val="single"/>
        </w:rPr>
        <w:t> </w:t>
      </w:r>
      <w:r>
        <w:rPr>
          <w:rFonts w:hint="eastAsia" w:ascii="宋体" w:hAnsi="宋体"/>
          <w:bCs/>
          <w:color w:val="auto"/>
          <w:szCs w:val="21"/>
          <w:highlight w:val="none"/>
        </w:rPr>
        <w:t>日，实际竣工日期以工程竣工验收合格并交付之日为准。</w:t>
      </w:r>
    </w:p>
    <w:p w14:paraId="462B4B49">
      <w:pPr>
        <w:spacing w:line="360" w:lineRule="auto"/>
        <w:ind w:firstLine="420" w:firstLineChars="200"/>
        <w:rPr>
          <w:rFonts w:hint="eastAsia" w:ascii="宋体" w:hAnsi="宋体"/>
          <w:color w:val="auto"/>
          <w:szCs w:val="21"/>
          <w:highlight w:val="none"/>
          <w:lang w:eastAsia="zh-CN"/>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 </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致的，以工期总日历天数为准，工程总日历天数不应超过承包人投标函中承诺的工期</w:t>
      </w:r>
      <w:r>
        <w:rPr>
          <w:rFonts w:hint="eastAsia" w:ascii="宋体" w:hAnsi="宋体"/>
          <w:color w:val="auto"/>
          <w:szCs w:val="21"/>
          <w:highlight w:val="none"/>
          <w:lang w:eastAsia="zh-CN"/>
        </w:rPr>
        <w:t>。</w:t>
      </w:r>
    </w:p>
    <w:p w14:paraId="1FFAA3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施工过程中存在的造价争议，包括不限于变更引起的工程费用、认质核价的争议、措施费用的争议、清单或定额中的争议等，均不能作为工期滞后的因素。</w:t>
      </w:r>
    </w:p>
    <w:p w14:paraId="1ACD890A">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r>
        <w:rPr>
          <w:rFonts w:hint="eastAsia" w:ascii="宋体" w:hAnsi="宋体" w:cs="宋体"/>
          <w:b/>
          <w:bCs/>
          <w:color w:val="auto"/>
          <w:szCs w:val="21"/>
          <w:highlight w:val="none"/>
        </w:rPr>
        <w:t>三、质量标准</w:t>
      </w:r>
    </w:p>
    <w:p w14:paraId="11E84089">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w:t>
      </w:r>
      <w:r>
        <w:rPr>
          <w:rFonts w:hint="eastAsia" w:ascii="宋体" w:hAnsi="宋体"/>
          <w:color w:val="auto"/>
          <w:szCs w:val="21"/>
          <w:highlight w:val="none"/>
          <w:u w:val="single"/>
        </w:rPr>
        <w:t>达到国家</w:t>
      </w:r>
      <w:r>
        <w:rPr>
          <w:rFonts w:ascii="宋体" w:hAnsi="宋体"/>
          <w:color w:val="auto"/>
          <w:szCs w:val="21"/>
          <w:highlight w:val="none"/>
          <w:u w:val="single"/>
        </w:rPr>
        <w:t>和重庆市现行</w:t>
      </w:r>
      <w:r>
        <w:rPr>
          <w:rFonts w:hint="eastAsia" w:ascii="宋体" w:hAnsi="宋体"/>
          <w:color w:val="auto"/>
          <w:szCs w:val="21"/>
          <w:highlight w:val="none"/>
          <w:u w:val="single"/>
        </w:rPr>
        <w:t>有关施工质量验收规范要求及合同文件中所有发包人之其他相关工程质量规定，并须在存有任何标准不一致时按较高标准的要求执行，达到一次性验收合格</w:t>
      </w:r>
      <w:r>
        <w:rPr>
          <w:rFonts w:hint="eastAsia" w:ascii="宋体" w:hAnsi="宋体"/>
          <w:color w:val="auto"/>
          <w:szCs w:val="21"/>
          <w:highlight w:val="none"/>
        </w:rPr>
        <w:t>标准。</w:t>
      </w:r>
    </w:p>
    <w:p w14:paraId="7484F08A">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r>
        <w:rPr>
          <w:rFonts w:hint="eastAsia" w:ascii="宋体" w:hAnsi="宋体" w:cs="宋体"/>
          <w:b/>
          <w:bCs/>
          <w:color w:val="auto"/>
          <w:szCs w:val="21"/>
          <w:highlight w:val="none"/>
        </w:rPr>
        <w:t>四、签约合同价与合同价格形式</w:t>
      </w:r>
      <w:r>
        <w:rPr>
          <w:rFonts w:hint="eastAsia" w:ascii="宋体" w:hAnsi="宋体" w:cs="宋体"/>
          <w:b/>
          <w:bCs/>
          <w:color w:val="auto"/>
          <w:szCs w:val="21"/>
          <w:highlight w:val="none"/>
        </w:rPr>
        <w:tab/>
      </w:r>
    </w:p>
    <w:p w14:paraId="671CC27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14:paraId="40AAE2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元 </w:t>
      </w:r>
      <w:r>
        <w:rPr>
          <w:rFonts w:hint="eastAsia" w:ascii="宋体" w:hAnsi="宋体"/>
          <w:color w:val="auto"/>
          <w:szCs w:val="21"/>
          <w:highlight w:val="none"/>
        </w:rPr>
        <w:t>）；</w:t>
      </w:r>
    </w:p>
    <w:p w14:paraId="59C6E5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14:paraId="13B3930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元</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，其中不含税价为人民币（大写）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；税金为人民币（大写）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 xml:space="preserve">，税率     </w:t>
      </w:r>
      <w:r>
        <w:rPr>
          <w:rFonts w:ascii="宋体" w:hAnsi="宋体"/>
          <w:color w:val="auto"/>
          <w:szCs w:val="21"/>
          <w:highlight w:val="none"/>
        </w:rPr>
        <w:t>%。</w:t>
      </w:r>
    </w:p>
    <w:p w14:paraId="345EB21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14:paraId="78C03E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14:paraId="2C9B1A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215A24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14:paraId="3B43EB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78D18B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14:paraId="2ADF37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324F15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14:paraId="36B5B0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04AE9A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14:paraId="7A7F4B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25%  </w:t>
      </w:r>
      <w:r>
        <w:rPr>
          <w:rFonts w:hint="eastAsia" w:ascii="宋体" w:hAnsi="宋体"/>
          <w:color w:val="auto"/>
          <w:szCs w:val="21"/>
          <w:highlight w:val="none"/>
        </w:rPr>
        <w:t>（不低于25%，以设备采购为主的工程项目不受此限制），农民工工资单独支付至承包人设立的农民工工资专用账户（增值税税率随国家税收政策的改变而作相应调整）。</w:t>
      </w:r>
    </w:p>
    <w:p w14:paraId="5CA001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70ADC08">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r>
        <w:rPr>
          <w:rFonts w:hint="eastAsia" w:ascii="宋体" w:hAnsi="宋体" w:cs="宋体"/>
          <w:b/>
          <w:bCs/>
          <w:color w:val="auto"/>
          <w:szCs w:val="21"/>
          <w:highlight w:val="none"/>
        </w:rPr>
        <w:t>五、项目经理及技术负责人</w:t>
      </w:r>
    </w:p>
    <w:p w14:paraId="0F2DFF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14:paraId="665A20B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FF47B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79464054">
      <w:pPr>
        <w:spacing w:line="360" w:lineRule="auto"/>
        <w:ind w:firstLine="420" w:firstLineChars="200"/>
        <w:rPr>
          <w:rFonts w:hint="eastAsia" w:ascii="宋体" w:hAnsi="宋体"/>
          <w:color w:val="auto"/>
          <w:szCs w:val="21"/>
          <w:highlight w:val="none"/>
          <w:u w:val="single"/>
          <w:lang w:val="en-US" w:eastAsia="zh-CN"/>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none"/>
          <w:lang w:val="en-US" w:eastAsia="zh-CN"/>
        </w:rPr>
        <w:t>,</w:t>
      </w:r>
    </w:p>
    <w:p w14:paraId="508875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联系方式：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7FDE3E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14:paraId="05658A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43A5D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22BD28C">
      <w:pPr>
        <w:spacing w:line="360" w:lineRule="auto"/>
        <w:ind w:firstLine="420" w:firstLineChars="200"/>
        <w:rPr>
          <w:rFonts w:hint="eastAsia" w:ascii="宋体" w:hAnsi="宋体"/>
          <w:color w:val="auto"/>
          <w:szCs w:val="21"/>
          <w:highlight w:val="none"/>
          <w:u w:val="single"/>
          <w:lang w:val="en-US" w:eastAsia="zh-CN"/>
        </w:rPr>
      </w:pPr>
      <w:r>
        <w:rPr>
          <w:rFonts w:hint="eastAsia" w:ascii="宋体" w:hAnsi="宋体"/>
          <w:color w:val="auto"/>
          <w:szCs w:val="21"/>
          <w:highlight w:val="none"/>
        </w:rPr>
        <w:t>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w:t>
      </w:r>
    </w:p>
    <w:p w14:paraId="51C0BCB7">
      <w:pPr>
        <w:spacing w:after="120" w:line="360" w:lineRule="auto"/>
        <w:ind w:firstLine="420"/>
        <w:rPr>
          <w:rFonts w:ascii="宋体" w:hAnsi="宋体"/>
          <w:color w:val="auto"/>
          <w:szCs w:val="21"/>
          <w:highlight w:val="none"/>
        </w:rPr>
      </w:pPr>
      <w:r>
        <w:rPr>
          <w:rFonts w:hint="eastAsia" w:ascii="宋体" w:hAnsi="宋体"/>
          <w:color w:val="auto"/>
          <w:szCs w:val="21"/>
          <w:highlight w:val="none"/>
          <w:lang w:val="en-US" w:eastAsia="zh-CN"/>
        </w:rPr>
        <w:t>联系方式：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68319EC">
      <w:pPr>
        <w:pStyle w:val="18"/>
        <w:ind w:firstLine="420"/>
        <w:rPr>
          <w:color w:val="auto"/>
          <w:highlight w:val="none"/>
        </w:rPr>
      </w:pPr>
      <w:r>
        <w:rPr>
          <w:rFonts w:hint="eastAsia"/>
          <w:color w:val="auto"/>
          <w:highlight w:val="none"/>
        </w:rPr>
        <w:t>未经发包人同意，承包人不得擅自变更项目经理及技术负责人，否则，视为承包人违约，发包人有权解除本合同，承包人承担给发包人造成一切损失。</w:t>
      </w:r>
    </w:p>
    <w:p w14:paraId="667C9397">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r>
        <w:rPr>
          <w:rFonts w:hint="eastAsia" w:ascii="宋体" w:hAnsi="宋体" w:cs="宋体"/>
          <w:b/>
          <w:bCs/>
          <w:color w:val="auto"/>
          <w:szCs w:val="21"/>
          <w:highlight w:val="none"/>
        </w:rPr>
        <w:t>六、合同文件构成</w:t>
      </w:r>
    </w:p>
    <w:p w14:paraId="7DB8D6D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14:paraId="34818B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593576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72585C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14:paraId="2266E5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215A65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533685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14:paraId="3111AC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招标文件或比选文件（包括但不限于本工程的招标或比选文件、图纸、其他技术资料及招标人发出的对招标或比选文件所作的澄清、修改、补遗等资料）（若有）</w:t>
      </w:r>
      <w:r>
        <w:rPr>
          <w:rFonts w:hint="eastAsia" w:ascii="宋体" w:hAnsi="宋体"/>
          <w:color w:val="auto"/>
          <w:szCs w:val="21"/>
          <w:highlight w:val="none"/>
        </w:rPr>
        <w:t>；</w:t>
      </w:r>
    </w:p>
    <w:p w14:paraId="38DE06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14:paraId="41D323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14:paraId="08F9C2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14:paraId="5685DE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28579D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上述文件是相互说明，相互解释的，如出现不一致时，上述的排列顺序就是合同的优先解释和执行顺序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但专用条款另有约定以专用条款优先</w:t>
      </w:r>
      <w:r>
        <w:rPr>
          <w:rFonts w:hint="eastAsia" w:ascii="宋体" w:hAnsi="宋体"/>
          <w:color w:val="auto"/>
          <w:szCs w:val="21"/>
          <w:highlight w:val="none"/>
        </w:rPr>
        <w:t>。各项合同文件包括合同当事人就该项合同文件所作出的补充和修改，属于同一类内容的文件，应以最新签署的为准。同一顺序文件若存在任何矛盾则以公平解释为准；若技术文件之间有任何矛盾，则以其中标准较高或要求较严的为准。专用合同条款及其附件须经合同当事人签名或盖章。</w:t>
      </w:r>
    </w:p>
    <w:p w14:paraId="6D84F313">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r>
        <w:rPr>
          <w:rFonts w:hint="eastAsia" w:ascii="宋体" w:hAnsi="宋体" w:cs="宋体"/>
          <w:b/>
          <w:bCs/>
          <w:color w:val="auto"/>
          <w:szCs w:val="21"/>
          <w:highlight w:val="none"/>
        </w:rPr>
        <w:t>七、承诺</w:t>
      </w:r>
    </w:p>
    <w:p w14:paraId="2431189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31F65B4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14:paraId="689EBE2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5D39A0D8">
      <w:pPr>
        <w:spacing w:line="360" w:lineRule="auto"/>
        <w:ind w:firstLine="420" w:firstLineChars="200"/>
        <w:rPr>
          <w:rFonts w:hint="eastAsia" w:ascii="宋体" w:hAnsi="宋体"/>
          <w:bCs/>
          <w:color w:val="auto"/>
          <w:szCs w:val="21"/>
          <w:highlight w:val="none"/>
          <w:lang w:val="en-US" w:eastAsia="zh-CN"/>
        </w:rPr>
      </w:pPr>
      <w:r>
        <w:rPr>
          <w:rFonts w:ascii="宋体" w:hAnsi="宋体"/>
          <w:bCs/>
          <w:color w:val="auto"/>
          <w:szCs w:val="21"/>
          <w:highlight w:val="none"/>
        </w:rPr>
        <w:t>4.</w:t>
      </w:r>
      <w:r>
        <w:rPr>
          <w:rFonts w:hint="eastAsia" w:ascii="宋体" w:hAnsi="宋体"/>
          <w:bCs/>
          <w:color w:val="auto"/>
          <w:szCs w:val="21"/>
          <w:highlight w:val="none"/>
          <w:lang w:val="en-US" w:eastAsia="zh-CN"/>
        </w:rPr>
        <w:t>承包人承诺施工过程中存在的造价争议，包括不限于变更引起的工程费用、认质核价的争议、措施费用的争议、清单或定额中的争议等，均不作为工期滞后的因素，由此造成的工期延期严格按照违约条款处理。</w:t>
      </w:r>
    </w:p>
    <w:p w14:paraId="2793E89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本合同中的所有条款均由各方经过充分协商一致，各方已完全知晓并理解本协议全部内容，各方对本合同内容不存在任何争议；各方确认在签订本合同时已特别注意合同中涉及的免除或者限制其责任的全部条款内容，并已按对方要求给予明确说明，各方一致认可本合同内容不存在显失公平、重大误解等情形，是各方协商一致的真实意思表示。</w:t>
      </w:r>
    </w:p>
    <w:p w14:paraId="60AD94E6">
      <w:pPr>
        <w:keepNext/>
        <w:keepLines/>
        <w:widowControl/>
        <w:spacing w:before="100" w:beforeAutospacing="1" w:after="100" w:afterAutospacing="1" w:line="360" w:lineRule="auto"/>
        <w:ind w:firstLine="422" w:firstLineChars="200"/>
        <w:outlineLvl w:val="3"/>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rPr>
        <w:t>八、</w:t>
      </w:r>
      <w:r>
        <w:rPr>
          <w:rFonts w:hint="eastAsia" w:ascii="宋体" w:hAnsi="宋体" w:cs="宋体"/>
          <w:b/>
          <w:bCs/>
          <w:color w:val="auto"/>
          <w:szCs w:val="21"/>
          <w:highlight w:val="none"/>
          <w:lang w:val="en-US" w:eastAsia="zh-CN"/>
        </w:rPr>
        <w:t>其他</w:t>
      </w:r>
    </w:p>
    <w:p w14:paraId="23DB3AF4">
      <w:pPr>
        <w:spacing w:line="360" w:lineRule="auto"/>
        <w:ind w:firstLine="420" w:firstLineChars="20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r>
        <w:rPr>
          <w:rFonts w:hint="eastAsia" w:ascii="宋体" w:hAnsi="宋体" w:eastAsia="宋体"/>
          <w:bCs/>
          <w:color w:val="auto"/>
          <w:szCs w:val="21"/>
          <w:highlight w:val="none"/>
          <w:lang w:eastAsia="zh-CN"/>
        </w:rPr>
        <w:t>。</w:t>
      </w:r>
    </w:p>
    <w:p w14:paraId="73401C1D">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r>
        <w:rPr>
          <w:rFonts w:hint="eastAsia" w:ascii="宋体" w:hAnsi="宋体" w:cs="宋体"/>
          <w:b/>
          <w:bCs/>
          <w:color w:val="auto"/>
          <w:szCs w:val="21"/>
          <w:highlight w:val="none"/>
        </w:rPr>
        <w:t>九</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词语含义</w:t>
      </w:r>
    </w:p>
    <w:p w14:paraId="73B1C6E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65DEAAE3">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r>
        <w:rPr>
          <w:rFonts w:hint="eastAsia" w:ascii="宋体" w:hAnsi="宋体" w:cs="宋体"/>
          <w:b/>
          <w:bCs/>
          <w:color w:val="auto"/>
          <w:szCs w:val="21"/>
          <w:highlight w:val="none"/>
        </w:rPr>
        <w:t>十、签订时间</w:t>
      </w:r>
    </w:p>
    <w:p w14:paraId="6D9B84CB">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2FDDC6D0">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r>
        <w:rPr>
          <w:rFonts w:hint="eastAsia" w:ascii="宋体" w:hAnsi="宋体" w:cs="宋体"/>
          <w:b/>
          <w:bCs/>
          <w:color w:val="auto"/>
          <w:szCs w:val="21"/>
          <w:highlight w:val="none"/>
        </w:rPr>
        <w:t>十一、签订地点</w:t>
      </w:r>
    </w:p>
    <w:p w14:paraId="7990885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重庆市南岸区行政服务中心B区19楼会议室 </w:t>
      </w:r>
      <w:r>
        <w:rPr>
          <w:rFonts w:hint="eastAsia" w:ascii="宋体" w:hAnsi="宋体"/>
          <w:bCs/>
          <w:color w:val="auto"/>
          <w:szCs w:val="21"/>
          <w:highlight w:val="none"/>
        </w:rPr>
        <w:t>签订。</w:t>
      </w:r>
    </w:p>
    <w:p w14:paraId="216FDCE6">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r>
        <w:rPr>
          <w:rFonts w:hint="eastAsia" w:ascii="宋体" w:hAnsi="宋体" w:cs="宋体"/>
          <w:b/>
          <w:bCs/>
          <w:color w:val="auto"/>
          <w:szCs w:val="21"/>
          <w:highlight w:val="none"/>
        </w:rPr>
        <w:t>十二、补充协议</w:t>
      </w:r>
    </w:p>
    <w:p w14:paraId="4D526621">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6A9D00F0">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r>
        <w:rPr>
          <w:rFonts w:hint="eastAsia" w:ascii="宋体" w:hAnsi="宋体" w:cs="宋体"/>
          <w:b/>
          <w:bCs/>
          <w:color w:val="auto"/>
          <w:szCs w:val="21"/>
          <w:highlight w:val="none"/>
        </w:rPr>
        <w:t>十三、合同生效</w:t>
      </w:r>
    </w:p>
    <w:p w14:paraId="2DD3AAE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739E5966">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6DA3E7E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14:paraId="7CD8FE4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25163C2">
      <w:pPr>
        <w:keepNext/>
        <w:keepLines/>
        <w:widowControl/>
        <w:spacing w:before="100" w:beforeAutospacing="1" w:after="100" w:afterAutospacing="1" w:line="360" w:lineRule="auto"/>
        <w:ind w:firstLine="422" w:firstLineChars="200"/>
        <w:outlineLvl w:val="3"/>
        <w:rPr>
          <w:rFonts w:ascii="宋体" w:hAnsi="宋体" w:cs="宋体"/>
          <w:b/>
          <w:bCs/>
          <w:color w:val="auto"/>
          <w:szCs w:val="21"/>
          <w:highlight w:val="none"/>
        </w:rPr>
      </w:pPr>
      <w:r>
        <w:rPr>
          <w:rFonts w:hint="eastAsia" w:ascii="宋体" w:hAnsi="宋体" w:cs="宋体"/>
          <w:b/>
          <w:bCs/>
          <w:color w:val="auto"/>
          <w:szCs w:val="21"/>
          <w:highlight w:val="none"/>
        </w:rPr>
        <w:t>十</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、合同份数</w:t>
      </w:r>
    </w:p>
    <w:p w14:paraId="2426E343">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u w:val="single"/>
          <w:lang w:val="en-US" w:eastAsia="zh-CN"/>
        </w:rPr>
        <w:t xml:space="preserve"> </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贰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壹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柒  </w:t>
      </w:r>
      <w:r>
        <w:rPr>
          <w:rFonts w:hint="eastAsia" w:ascii="宋体" w:hAnsi="宋体" w:cs="Microsoft Sans Serif"/>
          <w:bCs/>
          <w:color w:val="auto"/>
          <w:szCs w:val="21"/>
          <w:highlight w:val="none"/>
        </w:rPr>
        <w:t>份，甲方执</w:t>
      </w:r>
      <w:r>
        <w:rPr>
          <w:rFonts w:hint="eastAsia" w:ascii="宋体" w:hAnsi="宋体" w:cs="Microsoft Sans Serif"/>
          <w:bCs/>
          <w:color w:val="auto"/>
          <w:szCs w:val="21"/>
          <w:highlight w:val="none"/>
          <w:u w:val="single"/>
        </w:rPr>
        <w:t xml:space="preserve">  贰  </w:t>
      </w:r>
      <w:r>
        <w:rPr>
          <w:rFonts w:hint="eastAsia" w:ascii="宋体" w:hAnsi="宋体" w:cs="Microsoft Sans Serif"/>
          <w:bCs/>
          <w:color w:val="auto"/>
          <w:szCs w:val="21"/>
          <w:highlight w:val="none"/>
        </w:rPr>
        <w:t>份，乙方执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u w:val="single"/>
          <w:lang w:val="en-US" w:eastAsia="zh-CN"/>
        </w:rPr>
        <w:t xml:space="preserve"> </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。合同正文若出现手写内容，手写内容未经双方盖章确认则无效。合同盖章位置载明的委托代理人未经书面授权，仅代表在本合同签名，其他单方承诺或认可内容无效。</w:t>
      </w:r>
    </w:p>
    <w:p w14:paraId="75334586">
      <w:pPr>
        <w:spacing w:after="120" w:line="360" w:lineRule="auto"/>
        <w:ind w:firstLine="420" w:firstLineChars="200"/>
        <w:rPr>
          <w:rFonts w:ascii="宋体" w:hAnsi="宋体"/>
          <w:color w:val="auto"/>
          <w:szCs w:val="21"/>
          <w:highlight w:val="none"/>
        </w:rPr>
      </w:pPr>
    </w:p>
    <w:p w14:paraId="27B1C50F">
      <w:pPr>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35A5F4F2">
      <w:pPr>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76C4B981">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p>
    <w:p w14:paraId="3024C160">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09A9585">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93504C3">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址：重庆市南岸区复兴街9号中讯时代18-19楼</w:t>
      </w:r>
      <w:r>
        <w:rPr>
          <w:rFonts w:ascii="宋体" w:hAnsi="宋体"/>
          <w:snapToGrid w:val="0"/>
          <w:color w:val="auto"/>
          <w:w w:val="200"/>
          <w:kern w:val="0"/>
          <w:szCs w:val="21"/>
          <w:highlight w:val="none"/>
          <w:u w:val="single"/>
        </w:rPr>
        <w:t xml:space="preserve"> </w:t>
      </w:r>
    </w:p>
    <w:p w14:paraId="762C720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C049298">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1943AF1">
      <w:pPr>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账    号：</w:t>
      </w:r>
    </w:p>
    <w:p w14:paraId="42E93126">
      <w:pPr>
        <w:spacing w:line="360" w:lineRule="auto"/>
        <w:ind w:firstLine="840" w:firstLineChars="200"/>
        <w:rPr>
          <w:rFonts w:ascii="宋体" w:hAnsi="宋体"/>
          <w:color w:val="auto"/>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674B76C5">
      <w:pPr>
        <w:spacing w:line="360" w:lineRule="auto"/>
        <w:rPr>
          <w:rFonts w:ascii="宋体" w:hAnsi="宋体"/>
          <w:snapToGrid w:val="0"/>
          <w:color w:val="auto"/>
          <w:kern w:val="0"/>
          <w:szCs w:val="21"/>
          <w:highlight w:val="none"/>
        </w:rPr>
      </w:pPr>
    </w:p>
    <w:p w14:paraId="6EC9C0C1">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2D6477E2">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p>
    <w:p w14:paraId="4A2498CD">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A0DD690">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A375FA1">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7E5073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hint="eastAsia" w:ascii="宋体" w:hAnsi="宋体"/>
          <w:snapToGrid w:val="0"/>
          <w:color w:val="auto"/>
          <w:kern w:val="0"/>
          <w:szCs w:val="21"/>
          <w:highlight w:val="none"/>
        </w:rPr>
        <w:tab/>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6134A95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AE50B96">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0247184">
      <w:pPr>
        <w:spacing w:after="120" w:line="360" w:lineRule="auto"/>
        <w:rPr>
          <w:rFonts w:ascii="宋体" w:hAnsi="宋体"/>
          <w:color w:val="auto"/>
          <w:szCs w:val="21"/>
          <w:highlight w:val="none"/>
        </w:rPr>
      </w:pPr>
    </w:p>
    <w:p w14:paraId="609CC393">
      <w:pPr>
        <w:spacing w:line="360" w:lineRule="auto"/>
        <w:jc w:val="right"/>
        <w:rPr>
          <w:rFonts w:ascii="宋体" w:hAnsi="宋体"/>
          <w:snapToGrid w:val="0"/>
          <w:color w:val="auto"/>
          <w:kern w:val="0"/>
          <w:szCs w:val="21"/>
          <w:highlight w:val="none"/>
        </w:rPr>
      </w:pPr>
    </w:p>
    <w:p w14:paraId="1DF15E91">
      <w:pPr>
        <w:spacing w:line="360" w:lineRule="auto"/>
        <w:jc w:val="right"/>
        <w:rPr>
          <w:rFonts w:ascii="宋体" w:hAnsi="宋体"/>
          <w:snapToGrid w:val="0"/>
          <w:color w:val="auto"/>
          <w:kern w:val="0"/>
          <w:szCs w:val="21"/>
          <w:highlight w:val="none"/>
        </w:rPr>
      </w:pPr>
    </w:p>
    <w:p w14:paraId="7458D59F">
      <w:pPr>
        <w:keepNext/>
        <w:keepLines/>
        <w:spacing w:before="260" w:after="260" w:line="416" w:lineRule="auto"/>
        <w:jc w:val="center"/>
        <w:outlineLvl w:val="2"/>
        <w:rPr>
          <w:rFonts w:ascii="宋体" w:hAnsi="宋体"/>
          <w:b/>
          <w:color w:val="auto"/>
          <w:szCs w:val="21"/>
          <w:highlight w:val="none"/>
        </w:rPr>
      </w:pPr>
      <w:r>
        <w:rPr>
          <w:rFonts w:hint="eastAsia" w:ascii="宋体" w:hAnsi="宋体"/>
          <w:bCs/>
          <w:snapToGrid w:val="0"/>
          <w:color w:val="auto"/>
          <w:szCs w:val="21"/>
          <w:highlight w:val="none"/>
          <w:lang w:val="zh-CN"/>
        </w:rPr>
        <w:br w:type="page"/>
      </w:r>
      <w:bookmarkStart w:id="692" w:name="_Toc532375586"/>
      <w:bookmarkStart w:id="693" w:name="_Toc532377179"/>
      <w:bookmarkStart w:id="694" w:name="_Toc529388289"/>
      <w:bookmarkStart w:id="695" w:name="_Toc5496"/>
      <w:bookmarkStart w:id="696" w:name="_Toc11292"/>
      <w:r>
        <w:rPr>
          <w:rFonts w:hint="eastAsia" w:ascii="宋体" w:hAnsi="宋体"/>
          <w:b/>
          <w:bCs/>
          <w:color w:val="auto"/>
          <w:sz w:val="44"/>
          <w:szCs w:val="44"/>
          <w:highlight w:val="none"/>
        </w:rPr>
        <w:t>第二部分 通用合同条款</w:t>
      </w:r>
      <w:bookmarkEnd w:id="692"/>
      <w:bookmarkEnd w:id="693"/>
      <w:bookmarkEnd w:id="694"/>
      <w:bookmarkEnd w:id="695"/>
      <w:bookmarkEnd w:id="696"/>
    </w:p>
    <w:p w14:paraId="56B17E11">
      <w:pPr>
        <w:keepNext/>
        <w:keepLines/>
        <w:widowControl/>
        <w:spacing w:before="156" w:beforeLines="50" w:after="156" w:afterLines="50" w:line="360" w:lineRule="auto"/>
        <w:outlineLvl w:val="3"/>
        <w:rPr>
          <w:rFonts w:ascii="宋体" w:hAnsi="宋体" w:cs="宋体"/>
          <w:b/>
          <w:bCs/>
          <w:color w:val="auto"/>
          <w:szCs w:val="21"/>
          <w:highlight w:val="none"/>
        </w:rPr>
      </w:pPr>
      <w:bookmarkStart w:id="697" w:name="_Toc351203495"/>
      <w:bookmarkStart w:id="698" w:name="_Toc532375587"/>
      <w:bookmarkStart w:id="699" w:name="_Toc532377180"/>
      <w:r>
        <w:rPr>
          <w:rFonts w:hint="eastAsia" w:ascii="宋体" w:hAnsi="宋体" w:cs="宋体"/>
          <w:b/>
          <w:bCs/>
          <w:color w:val="auto"/>
          <w:szCs w:val="21"/>
          <w:highlight w:val="none"/>
        </w:rPr>
        <w:t>1.</w:t>
      </w:r>
      <w:bookmarkStart w:id="700" w:name="_Toc303538974"/>
      <w:bookmarkEnd w:id="700"/>
      <w:bookmarkStart w:id="701" w:name="_Toc303538975"/>
      <w:bookmarkEnd w:id="701"/>
      <w:bookmarkStart w:id="702" w:name="_Toc303538976"/>
      <w:bookmarkEnd w:id="702"/>
      <w:bookmarkStart w:id="703" w:name="_Toc303538973"/>
      <w:bookmarkEnd w:id="703"/>
      <w:bookmarkStart w:id="704" w:name="_Toc303538972"/>
      <w:bookmarkEnd w:id="704"/>
      <w:bookmarkStart w:id="705" w:name="_Toc296346528"/>
      <w:bookmarkStart w:id="706" w:name="_Toc296503027"/>
      <w:r>
        <w:rPr>
          <w:rFonts w:hint="eastAsia" w:ascii="宋体" w:hAnsi="宋体" w:cs="宋体"/>
          <w:b/>
          <w:bCs/>
          <w:color w:val="auto"/>
          <w:szCs w:val="21"/>
          <w:highlight w:val="none"/>
        </w:rPr>
        <w:t>一般约定</w:t>
      </w:r>
      <w:bookmarkEnd w:id="697"/>
      <w:bookmarkEnd w:id="698"/>
      <w:bookmarkEnd w:id="699"/>
      <w:bookmarkEnd w:id="705"/>
      <w:bookmarkEnd w:id="706"/>
    </w:p>
    <w:p w14:paraId="596FC8E8">
      <w:pPr>
        <w:widowControl/>
        <w:spacing w:line="360" w:lineRule="auto"/>
        <w:ind w:firstLine="422" w:firstLineChars="200"/>
        <w:jc w:val="left"/>
        <w:outlineLvl w:val="4"/>
        <w:rPr>
          <w:rFonts w:ascii="宋体" w:hAnsi="宋体" w:cs="宋体"/>
          <w:b/>
          <w:bCs/>
          <w:color w:val="auto"/>
          <w:kern w:val="0"/>
          <w:szCs w:val="21"/>
          <w:highlight w:val="none"/>
        </w:rPr>
      </w:pPr>
      <w:bookmarkStart w:id="707" w:name="_Toc296346529"/>
      <w:bookmarkStart w:id="708" w:name="_Toc337558728"/>
      <w:bookmarkStart w:id="709" w:name="_Toc296503028"/>
      <w:bookmarkStart w:id="710" w:name="_Toc532377181"/>
      <w:bookmarkStart w:id="711" w:name="_Toc351203496"/>
      <w:r>
        <w:rPr>
          <w:rFonts w:hint="eastAsia" w:ascii="宋体" w:hAnsi="宋体" w:cs="宋体"/>
          <w:b/>
          <w:bCs/>
          <w:color w:val="auto"/>
          <w:kern w:val="0"/>
          <w:szCs w:val="21"/>
          <w:highlight w:val="none"/>
        </w:rPr>
        <w:t>1.1词语定义</w:t>
      </w:r>
      <w:bookmarkEnd w:id="707"/>
      <w:bookmarkEnd w:id="708"/>
      <w:bookmarkEnd w:id="709"/>
      <w:r>
        <w:rPr>
          <w:rFonts w:hint="eastAsia" w:ascii="宋体" w:hAnsi="宋体" w:cs="宋体"/>
          <w:b/>
          <w:bCs/>
          <w:color w:val="auto"/>
          <w:kern w:val="0"/>
          <w:szCs w:val="21"/>
          <w:highlight w:val="none"/>
        </w:rPr>
        <w:t>与解释</w:t>
      </w:r>
      <w:bookmarkEnd w:id="710"/>
      <w:bookmarkEnd w:id="711"/>
    </w:p>
    <w:p w14:paraId="1B95D0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合同协议书、通用合同条款、专用合同条款中的下列词语具有本款所赋予的含义：</w:t>
      </w:r>
    </w:p>
    <w:p w14:paraId="7F04982E">
      <w:pPr>
        <w:widowControl/>
        <w:spacing w:line="360" w:lineRule="auto"/>
        <w:ind w:firstLine="420" w:firstLineChars="200"/>
        <w:jc w:val="left"/>
        <w:outlineLvl w:val="4"/>
        <w:rPr>
          <w:rFonts w:ascii="宋体" w:hAnsi="宋体" w:cs="宋体"/>
          <w:color w:val="auto"/>
          <w:kern w:val="0"/>
          <w:szCs w:val="21"/>
          <w:highlight w:val="none"/>
        </w:rPr>
      </w:pPr>
      <w:bookmarkStart w:id="712" w:name="_Toc532377182"/>
      <w:r>
        <w:rPr>
          <w:rFonts w:hint="eastAsia" w:ascii="宋体" w:hAnsi="宋体" w:cs="宋体"/>
          <w:color w:val="auto"/>
          <w:kern w:val="0"/>
          <w:szCs w:val="21"/>
          <w:highlight w:val="none"/>
        </w:rPr>
        <w:t>1.1.1 合同</w:t>
      </w:r>
      <w:bookmarkEnd w:id="712"/>
    </w:p>
    <w:p w14:paraId="6511AC7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color w:val="auto"/>
          <w:szCs w:val="21"/>
          <w:highlight w:val="none"/>
        </w:rPr>
        <w:t>及其附件</w:t>
      </w:r>
      <w:r>
        <w:rPr>
          <w:rFonts w:hint="eastAsia" w:ascii="宋体" w:hAnsi="宋体"/>
          <w:color w:val="auto"/>
          <w:kern w:val="0"/>
          <w:szCs w:val="21"/>
          <w:highlight w:val="none"/>
        </w:rPr>
        <w:t>、通用合同条款、技术标准和要求、图纸、已标价工程量清单或预算书以及其他合同文件。</w:t>
      </w:r>
    </w:p>
    <w:p w14:paraId="77E9E1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合同协议书：是指构成合同的由发包人和承包人共同签署的称为“合同协议书”的书面文件。</w:t>
      </w:r>
    </w:p>
    <w:p w14:paraId="05F9C8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中标通知书：是指构成合同的由发包人通知承包人中标的书面文件。</w:t>
      </w:r>
    </w:p>
    <w:p w14:paraId="2DFBAD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投标函：是指构成合同的由承包人填写并签署的用于投标的称为“投标函”的文件。</w:t>
      </w:r>
    </w:p>
    <w:p w14:paraId="3099B4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1.1.1.5 投标函附录：是指构成合同的附在投标函后的称为“投标函附录”的文件。</w:t>
      </w:r>
    </w:p>
    <w:p w14:paraId="45D0E2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 技术标准和要求：是指构成合同的施工应当遵守的或指导施工的国家、行业或地方的技术标准和要求，以及合同约定的技术标准和要求。</w:t>
      </w:r>
    </w:p>
    <w:p w14:paraId="0FF3C03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555A15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已标价工程量清单：是指构成合同的由承包人按照规定的格式和要求填写并标明价格的工程量清单，包括说明和表格。</w:t>
      </w:r>
    </w:p>
    <w:p w14:paraId="5A4B07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预算书：是指构成合同的由承包人按照发包人规定的格式和要求编制的工程预算文件。</w:t>
      </w:r>
    </w:p>
    <w:p w14:paraId="28016BF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其他合同文件：是指经合同当事人约定的与工程施工有关的具有合同约束力的文件或书面协议。合同当事人可以在专用合同条款中进行约定。</w:t>
      </w:r>
    </w:p>
    <w:p w14:paraId="7247E57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 合同当事人及其他相关方</w:t>
      </w:r>
    </w:p>
    <w:p w14:paraId="490E75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1.1.2.1 合同当事人：是指发包人和（或）承包人。</w:t>
      </w:r>
    </w:p>
    <w:p w14:paraId="55CAE8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1.1.2.2 发包人：是指与承包人签订合同协议书的当事人及取得该当事人资格的合法继承人。</w:t>
      </w:r>
    </w:p>
    <w:p w14:paraId="7D7EF9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1.1.2.3 承包人：是指与发包人签订合同协议书的，具有相应工程施工承包资质的当事人及取得该当事人资格的合法继承人。</w:t>
      </w:r>
    </w:p>
    <w:p w14:paraId="5093E0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1.1.2.4 监理人：是指在专用合同条款中指明的，受发包人委托按照法律规定进行工程监督管理的法人或其他组织。</w:t>
      </w:r>
    </w:p>
    <w:p w14:paraId="74A6BF6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1.1.2.5 设计人：是指在专用合同条款中指明的，受发包人委托负责工程设计并具备相应工程设计资质的法人或其他组织。</w:t>
      </w:r>
    </w:p>
    <w:p w14:paraId="7C80FC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1.1.2.6 分包人：</w:t>
      </w:r>
      <w:bookmarkStart w:id="713" w:name="#go5"/>
      <w:bookmarkEnd w:id="713"/>
      <w:r>
        <w:rPr>
          <w:rFonts w:hint="eastAsia" w:ascii="宋体" w:hAnsi="宋体"/>
          <w:color w:val="auto"/>
          <w:kern w:val="0"/>
          <w:szCs w:val="21"/>
          <w:highlight w:val="none"/>
        </w:rPr>
        <w:t>是指按照法律规定和合同约定，分包部分工程或工作，并与承包人签订分包合同的具有相应资质的法人。</w:t>
      </w:r>
    </w:p>
    <w:p w14:paraId="7739B67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1.1.2.7 发包人代表：是指由发包人任命并派驻施工现场在发包人授权范围内行使发包人权利的人。</w:t>
      </w:r>
    </w:p>
    <w:p w14:paraId="54172D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1.1.2.8 项目经理：是指由承包人任命并派驻施工现场，在承包人授权范围内负责合同履行，且按照法律规定具有相应资格的项目负责人。</w:t>
      </w:r>
    </w:p>
    <w:p w14:paraId="432ED60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1.1.2.9 总监理工程师：是指由监理人任命并派驻施工现场进行工程监理的总负责人。</w:t>
      </w:r>
    </w:p>
    <w:p w14:paraId="2B0659B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 工程和设备</w:t>
      </w:r>
    </w:p>
    <w:p w14:paraId="5E8A8E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 工程：是指与合同协议书中工程承包范围对应的永久工程和（或）临时工程。</w:t>
      </w:r>
    </w:p>
    <w:p w14:paraId="090A51B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1.1.3.2 永久工程：是指按合同约定建造并移交给发包人的工程，包括工程设备。</w:t>
      </w:r>
    </w:p>
    <w:p w14:paraId="553E1A9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1.1.3.3 临时工程：是指为完成合同约定的永久工程所修建的各类临时性工程，不包括施工设备。</w:t>
      </w:r>
    </w:p>
    <w:p w14:paraId="7782721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1.1.3.4 单位工程：是指在合同协议书中指明的，具备独立施工条件并能形成独立使用功能的永久工程。</w:t>
      </w:r>
    </w:p>
    <w:p w14:paraId="21EAABC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1.1.3.5 工程设备：是指构成永久工程的机电设备、金属结构设备、仪器及其他类似的设备和装置。</w:t>
      </w:r>
    </w:p>
    <w:p w14:paraId="4506919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1.1.3.6 施工设备：是指为完成合同约定的各项工作所需的设备、器具和其他物品，但不包括工程设备、临时工程和材料。</w:t>
      </w:r>
    </w:p>
    <w:p w14:paraId="3451FE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1.1.3.7 施工现场：是指用于工程施工的场所，以及在专用合同条款中指明作为施工场所组成部分的其他场所，包括永久占地和临时占地。</w:t>
      </w:r>
    </w:p>
    <w:p w14:paraId="2AD874A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1.1.3.8临时设施：是指为完成合同约定的各项工作所服务的临时性生产和生活设施。</w:t>
      </w:r>
    </w:p>
    <w:p w14:paraId="59CACC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1.1.3.9 永久占地：是指专用合同条款中指明为实施工程需永久占用的土地。</w:t>
      </w:r>
    </w:p>
    <w:p w14:paraId="2CFA9A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1.1.3.10 临时占地：是指专用合同条款中指明为实施工程需要临时占用的土地。</w:t>
      </w:r>
    </w:p>
    <w:p w14:paraId="2D6FF0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 日期和期限</w:t>
      </w:r>
    </w:p>
    <w:p w14:paraId="2E2770F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B24DD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4F1EACB1">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1.1.4.3 工期：是指在合同协议书约定的承包人完成工程所需的期限，包括按照合同约定所作的期限变更。</w:t>
      </w:r>
    </w:p>
    <w:p w14:paraId="7158476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1.1.4.4 缺陷责任期：是指承包人按照合同约定承担缺陷修复义务，且发包人预留质量保证金的期限，自工程实际竣工日期起计算。</w:t>
      </w:r>
    </w:p>
    <w:p w14:paraId="4749796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1.1.4.5 保修期：是指承包人按照合同约定对工程承担保修责任的期限，从工程竣工验收合格交付之日起计算。</w:t>
      </w:r>
    </w:p>
    <w:p w14:paraId="26D695C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1.1.4.6 基准日期：招标发包的工程以投标截止日前28天的日期为基准日期，直接发包的工程以合同签订日前28天的日期为基准日期。</w:t>
      </w:r>
    </w:p>
    <w:p w14:paraId="31C8B6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1.1.4.7 天：除特别指明外，均指日历天。合同中按天计算时间的，开始当天不计入，从次日开始计算，期限最后一天的截止时间为当天24：00时。</w:t>
      </w:r>
    </w:p>
    <w:p w14:paraId="6FF960B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 合同价格和费用</w:t>
      </w:r>
    </w:p>
    <w:p w14:paraId="3698ED2E">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1.1.5.1 签约合同价：是指</w:t>
      </w:r>
      <w:r>
        <w:rPr>
          <w:rFonts w:hint="eastAsia" w:ascii="宋体" w:hAnsi="宋体"/>
          <w:color w:val="auto"/>
          <w:szCs w:val="21"/>
          <w:highlight w:val="none"/>
        </w:rPr>
        <w:t>发包人和承包人在合同协议书中确定的总金额，包括安全文明施工费、暂估价及暂列金额等。</w:t>
      </w:r>
    </w:p>
    <w:p w14:paraId="409C93B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1.1.5.2 合同价格：是指发包人用于支付承包人按照合同约定完成承包范围内全部工作的金额，包括合同履行过程中按合同约定发生的价格变化。</w:t>
      </w:r>
    </w:p>
    <w:p w14:paraId="3EDF6D4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1.1.5.3 费用：是指为履行合同所发生的或将要发生的所有必需的开支，包括管理费和应分摊的其他费用，但不包括利润。</w:t>
      </w:r>
    </w:p>
    <w:p w14:paraId="7797583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577EBB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01026E1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1.1.5.6 计日工：是指合同履行过程中，承包人完成发包人提出的零星工作或需要采用计日工计价的变更工作时，按合同中约定的单价计价的一种方式。</w:t>
      </w:r>
    </w:p>
    <w:p w14:paraId="5A231C74">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1.1.5.7 质量保证金</w:t>
      </w:r>
      <w:bookmarkStart w:id="714" w:name="#go2"/>
      <w:bookmarkEnd w:id="714"/>
      <w:r>
        <w:rPr>
          <w:rFonts w:hint="eastAsia" w:ascii="宋体" w:hAnsi="宋体"/>
          <w:color w:val="auto"/>
          <w:kern w:val="0"/>
          <w:szCs w:val="21"/>
          <w:highlight w:val="none"/>
        </w:rPr>
        <w:t>：是指按照第15.3款〔质量保证金〕约定承包人用于保证其在缺陷责任期内履行缺陷修补义务的担保</w:t>
      </w:r>
      <w:r>
        <w:rPr>
          <w:rFonts w:hint="eastAsia" w:ascii="宋体" w:hAnsi="宋体"/>
          <w:color w:val="auto"/>
          <w:szCs w:val="21"/>
          <w:highlight w:val="none"/>
        </w:rPr>
        <w:t>。</w:t>
      </w:r>
    </w:p>
    <w:p w14:paraId="689EEEC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1.1.5.8 总价项目：是指在现行国家、行业以及地方的计量规则中无工程量计算规则，在已标价工程量清单或预算书中以总价或以费率形式计算的项目。</w:t>
      </w:r>
    </w:p>
    <w:p w14:paraId="7EBD0C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07810D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1.1.6.1 书面形式：是指合同文件、信函、电报、传真等可以有形地表现所载内容的形式。</w:t>
      </w:r>
    </w:p>
    <w:p w14:paraId="1A8D0E2A">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1.1.6.2</w:t>
      </w:r>
      <w:r>
        <w:rPr>
          <w:rFonts w:hint="eastAsia" w:ascii="宋体" w:hAnsi="宋体"/>
          <w:color w:val="auto"/>
          <w:kern w:val="0"/>
          <w:szCs w:val="21"/>
          <w:highlight w:val="none"/>
        </w:rPr>
        <w:t>“不可抗力”是指发包人和承包人在订立本合同时不可预见，在工程施工过程中不可避免发生并不能克服的自然灾害和社会性突发事件，如地震、海啸、瘟疫、水灾、骚乱、暴动、战争、发包人出资主体要求解除本合同、行政机关要求解除本合同、政策变化致使本合同无法继续履行以及其他条款约定的其他情形。</w:t>
      </w:r>
    </w:p>
    <w:p w14:paraId="57C84525">
      <w:pPr>
        <w:widowControl/>
        <w:spacing w:line="360" w:lineRule="auto"/>
        <w:ind w:firstLine="422" w:firstLineChars="200"/>
        <w:jc w:val="left"/>
        <w:outlineLvl w:val="4"/>
        <w:rPr>
          <w:rFonts w:ascii="宋体" w:hAnsi="宋体" w:cs="宋体"/>
          <w:b/>
          <w:bCs/>
          <w:color w:val="auto"/>
          <w:kern w:val="0"/>
          <w:szCs w:val="21"/>
          <w:highlight w:val="none"/>
        </w:rPr>
      </w:pPr>
      <w:bookmarkStart w:id="715" w:name="_Toc532377183"/>
      <w:r>
        <w:rPr>
          <w:rFonts w:hint="eastAsia" w:ascii="宋体" w:hAnsi="宋体" w:cs="宋体"/>
          <w:b/>
          <w:bCs/>
          <w:color w:val="auto"/>
          <w:kern w:val="0"/>
          <w:szCs w:val="21"/>
          <w:highlight w:val="none"/>
        </w:rPr>
        <w:t>1.2 语言文字</w:t>
      </w:r>
      <w:bookmarkEnd w:id="715"/>
    </w:p>
    <w:p w14:paraId="1EA31CD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14:paraId="3032702F">
      <w:pPr>
        <w:widowControl/>
        <w:spacing w:line="360" w:lineRule="auto"/>
        <w:ind w:firstLine="422" w:firstLineChars="200"/>
        <w:jc w:val="left"/>
        <w:outlineLvl w:val="4"/>
        <w:rPr>
          <w:rFonts w:ascii="宋体" w:hAnsi="宋体" w:cs="宋体"/>
          <w:b/>
          <w:bCs/>
          <w:color w:val="auto"/>
          <w:kern w:val="0"/>
          <w:szCs w:val="21"/>
          <w:highlight w:val="none"/>
        </w:rPr>
      </w:pPr>
      <w:bookmarkStart w:id="716" w:name="_Toc532377184"/>
      <w:bookmarkStart w:id="717" w:name="_Toc337558730"/>
      <w:bookmarkStart w:id="718" w:name="_Toc296346531"/>
      <w:bookmarkStart w:id="719" w:name="_Toc351203498"/>
      <w:bookmarkStart w:id="720" w:name="_Toc296503030"/>
      <w:r>
        <w:rPr>
          <w:rFonts w:hint="eastAsia" w:ascii="宋体" w:hAnsi="宋体" w:cs="宋体"/>
          <w:b/>
          <w:bCs/>
          <w:color w:val="auto"/>
          <w:kern w:val="0"/>
          <w:szCs w:val="21"/>
          <w:highlight w:val="none"/>
        </w:rPr>
        <w:t>1.3法律</w:t>
      </w:r>
      <w:bookmarkEnd w:id="716"/>
      <w:bookmarkEnd w:id="717"/>
      <w:bookmarkEnd w:id="718"/>
      <w:bookmarkEnd w:id="719"/>
      <w:bookmarkEnd w:id="720"/>
    </w:p>
    <w:p w14:paraId="3833E59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合同所称法律是指中华人民共和国法律、行政法规、部门规章，以及工程所在地的地方性法规、自治条例、单行条例和地方政府规章等。</w:t>
      </w:r>
    </w:p>
    <w:p w14:paraId="71EF0B7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合同当事人可以在专用合同条款中约定合同适用的其他规范性文件。</w:t>
      </w:r>
    </w:p>
    <w:p w14:paraId="22EBD796">
      <w:pPr>
        <w:widowControl/>
        <w:spacing w:line="360" w:lineRule="auto"/>
        <w:ind w:firstLine="422" w:firstLineChars="200"/>
        <w:jc w:val="left"/>
        <w:outlineLvl w:val="4"/>
        <w:rPr>
          <w:rFonts w:ascii="宋体" w:hAnsi="宋体" w:cs="宋体"/>
          <w:b/>
          <w:bCs/>
          <w:color w:val="auto"/>
          <w:kern w:val="0"/>
          <w:szCs w:val="21"/>
          <w:highlight w:val="none"/>
        </w:rPr>
      </w:pPr>
      <w:bookmarkStart w:id="721" w:name="_Toc351203499"/>
      <w:bookmarkStart w:id="722" w:name="_Toc532377185"/>
      <w:r>
        <w:rPr>
          <w:rFonts w:hint="eastAsia" w:ascii="宋体" w:hAnsi="宋体" w:cs="宋体"/>
          <w:b/>
          <w:bCs/>
          <w:color w:val="auto"/>
          <w:kern w:val="0"/>
          <w:szCs w:val="21"/>
          <w:highlight w:val="none"/>
        </w:rPr>
        <w:t>1.4 标准和规范</w:t>
      </w:r>
      <w:bookmarkEnd w:id="721"/>
      <w:bookmarkEnd w:id="722"/>
    </w:p>
    <w:p w14:paraId="582145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 适用于工程的国家标准、行业标准、工程所在地的地方性标准，以及相应的规范、规程等，合同当事人有特别要求的，应在专用合同条款中约定。</w:t>
      </w:r>
    </w:p>
    <w:p w14:paraId="7257E3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发包人要求使用国外标准、规范的，发包人负责提供原文版本和中文译本，并在专用合同条款中约定提供标准规范的名称、份数和时间。</w:t>
      </w:r>
    </w:p>
    <w:p w14:paraId="4AC6E9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D4E431D">
      <w:pPr>
        <w:widowControl/>
        <w:spacing w:line="360" w:lineRule="auto"/>
        <w:ind w:firstLine="422" w:firstLineChars="200"/>
        <w:jc w:val="left"/>
        <w:outlineLvl w:val="4"/>
        <w:rPr>
          <w:rFonts w:ascii="宋体" w:hAnsi="宋体" w:cs="宋体"/>
          <w:b/>
          <w:bCs/>
          <w:color w:val="auto"/>
          <w:kern w:val="0"/>
          <w:szCs w:val="21"/>
          <w:highlight w:val="none"/>
        </w:rPr>
      </w:pPr>
      <w:bookmarkStart w:id="723" w:name="_Toc532377186"/>
      <w:bookmarkStart w:id="724" w:name="_Toc351203500"/>
      <w:r>
        <w:rPr>
          <w:rFonts w:hint="eastAsia" w:ascii="宋体" w:hAnsi="宋体" w:cs="宋体"/>
          <w:b/>
          <w:bCs/>
          <w:color w:val="auto"/>
          <w:kern w:val="0"/>
          <w:szCs w:val="21"/>
          <w:highlight w:val="none"/>
        </w:rPr>
        <w:t>1</w:t>
      </w:r>
      <w:bookmarkStart w:id="725" w:name="_Toc296503031"/>
      <w:bookmarkStart w:id="726" w:name="_Toc296346532"/>
      <w:bookmarkStart w:id="727" w:name="_Toc337558731"/>
      <w:r>
        <w:rPr>
          <w:rFonts w:hint="eastAsia" w:ascii="宋体" w:hAnsi="宋体" w:cs="宋体"/>
          <w:b/>
          <w:bCs/>
          <w:color w:val="auto"/>
          <w:kern w:val="0"/>
          <w:szCs w:val="21"/>
          <w:highlight w:val="none"/>
        </w:rPr>
        <w:t>.5 合同文件的优先顺序</w:t>
      </w:r>
      <w:bookmarkEnd w:id="723"/>
      <w:bookmarkEnd w:id="724"/>
    </w:p>
    <w:bookmarkEnd w:id="725"/>
    <w:bookmarkEnd w:id="726"/>
    <w:bookmarkEnd w:id="727"/>
    <w:p w14:paraId="69DD2C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组成合同的各项文件应互相解释，互为说明。除专用合同条款另有约定外，解释合同文件的优先顺序如下：</w:t>
      </w:r>
    </w:p>
    <w:p w14:paraId="4FC28E7A">
      <w:pPr>
        <w:numPr>
          <w:ilvl w:val="0"/>
          <w:numId w:val="2"/>
        </w:num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w:t>
      </w:r>
    </w:p>
    <w:p w14:paraId="15B56B9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（2）招标文件；</w:t>
      </w:r>
    </w:p>
    <w:p w14:paraId="2F3B356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（3）中标通知书（如有）；</w:t>
      </w:r>
    </w:p>
    <w:p w14:paraId="0BE29B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（4）专用合同条款及其附件；</w:t>
      </w:r>
    </w:p>
    <w:p w14:paraId="5CE47E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（5）通用合同条款；</w:t>
      </w:r>
    </w:p>
    <w:p w14:paraId="0E8066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（6）技术标准和要求；</w:t>
      </w:r>
    </w:p>
    <w:p w14:paraId="2521311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（7）图纸；</w:t>
      </w:r>
    </w:p>
    <w:p w14:paraId="7F778BE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（8）已标价工程量清单或预算书；</w:t>
      </w:r>
    </w:p>
    <w:p w14:paraId="194E32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（9）投标函及其附录（如有）；</w:t>
      </w:r>
    </w:p>
    <w:p w14:paraId="23EB3C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（10）其他合同文件。</w:t>
      </w:r>
    </w:p>
    <w:p w14:paraId="2B757D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上述各项合同文件包括合同当事人就该项合同文件所作出的补充和修改，属于同一类内容的文件，应以最新签署的为准。</w:t>
      </w:r>
    </w:p>
    <w:p w14:paraId="538891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在合同订立及履行过程中形成的与合同有关的文件均构成合同文件组成部分，并根据其性质确定优先解释顺序。</w:t>
      </w:r>
    </w:p>
    <w:p w14:paraId="342ABF78">
      <w:pPr>
        <w:widowControl/>
        <w:spacing w:line="360" w:lineRule="auto"/>
        <w:ind w:firstLine="422" w:firstLineChars="200"/>
        <w:jc w:val="left"/>
        <w:outlineLvl w:val="4"/>
        <w:rPr>
          <w:rFonts w:ascii="宋体" w:hAnsi="宋体" w:cs="宋体"/>
          <w:b/>
          <w:bCs/>
          <w:color w:val="auto"/>
          <w:kern w:val="0"/>
          <w:szCs w:val="21"/>
          <w:highlight w:val="none"/>
        </w:rPr>
      </w:pPr>
      <w:bookmarkStart w:id="728" w:name="_Toc532377187"/>
      <w:bookmarkStart w:id="729" w:name="_Toc351203501"/>
      <w:r>
        <w:rPr>
          <w:rFonts w:hint="eastAsia" w:ascii="宋体" w:hAnsi="宋体" w:cs="宋体"/>
          <w:b/>
          <w:bCs/>
          <w:color w:val="auto"/>
          <w:kern w:val="0"/>
          <w:szCs w:val="21"/>
          <w:highlight w:val="none"/>
        </w:rPr>
        <w:t>1</w:t>
      </w:r>
      <w:bookmarkStart w:id="730" w:name="_Toc296346533"/>
      <w:bookmarkStart w:id="731" w:name="_Toc296503032"/>
      <w:bookmarkStart w:id="732" w:name="_Toc337558732"/>
      <w:r>
        <w:rPr>
          <w:rFonts w:hint="eastAsia" w:ascii="宋体" w:hAnsi="宋体" w:cs="宋体"/>
          <w:b/>
          <w:bCs/>
          <w:color w:val="auto"/>
          <w:kern w:val="0"/>
          <w:szCs w:val="21"/>
          <w:highlight w:val="none"/>
        </w:rPr>
        <w:t>.6图纸和承包人文件</w:t>
      </w:r>
      <w:bookmarkEnd w:id="728"/>
      <w:bookmarkEnd w:id="729"/>
    </w:p>
    <w:bookmarkEnd w:id="730"/>
    <w:bookmarkEnd w:id="731"/>
    <w:bookmarkEnd w:id="732"/>
    <w:p w14:paraId="2AAB54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 图纸的提供和交底</w:t>
      </w:r>
    </w:p>
    <w:p w14:paraId="3947BCC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CF25C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因发包人未按合同约定提供图纸导致承包人费用增加和（或）工期延误的，按照第7.5.1项〔因发包人原因导致工期延误〕约定办理。</w:t>
      </w:r>
    </w:p>
    <w:p w14:paraId="3DBE37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 图纸的错误</w:t>
      </w:r>
    </w:p>
    <w:p w14:paraId="501550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095BC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1.6.3 图纸的修改和补充</w:t>
      </w:r>
    </w:p>
    <w:p w14:paraId="6404C4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5F6FA6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1.6.4 承包人文件</w:t>
      </w:r>
    </w:p>
    <w:p w14:paraId="10E051A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164D9B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DB7C2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1.6.5 图纸和承包人文件的保管</w:t>
      </w:r>
    </w:p>
    <w:p w14:paraId="44A351B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除专用合同条款另有约定外，承包人应在施工现场另外保存一套完整的图纸和承包人文件，供发包人、监理人及有关人员进行工程检查时使用。</w:t>
      </w:r>
    </w:p>
    <w:p w14:paraId="55915BEE">
      <w:pPr>
        <w:widowControl/>
        <w:spacing w:line="360" w:lineRule="auto"/>
        <w:ind w:firstLine="422" w:firstLineChars="200"/>
        <w:jc w:val="left"/>
        <w:outlineLvl w:val="4"/>
        <w:rPr>
          <w:rFonts w:ascii="宋体" w:hAnsi="宋体" w:cs="宋体"/>
          <w:b/>
          <w:bCs/>
          <w:color w:val="auto"/>
          <w:kern w:val="0"/>
          <w:szCs w:val="21"/>
          <w:highlight w:val="none"/>
        </w:rPr>
      </w:pPr>
      <w:bookmarkStart w:id="733" w:name="_Toc351203502"/>
      <w:bookmarkStart w:id="734" w:name="_Toc532377188"/>
      <w:r>
        <w:rPr>
          <w:rFonts w:hint="eastAsia" w:ascii="宋体" w:hAnsi="宋体" w:cs="宋体"/>
          <w:b/>
          <w:bCs/>
          <w:color w:val="auto"/>
          <w:kern w:val="0"/>
          <w:szCs w:val="21"/>
          <w:highlight w:val="none"/>
        </w:rPr>
        <w:t>1</w:t>
      </w:r>
      <w:bookmarkStart w:id="735" w:name="_Toc296503033"/>
      <w:bookmarkStart w:id="736" w:name="_Toc337558733"/>
      <w:bookmarkStart w:id="737" w:name="_Toc296346534"/>
      <w:r>
        <w:rPr>
          <w:rFonts w:hint="eastAsia" w:ascii="宋体" w:hAnsi="宋体" w:cs="宋体"/>
          <w:b/>
          <w:bCs/>
          <w:color w:val="auto"/>
          <w:kern w:val="0"/>
          <w:szCs w:val="21"/>
          <w:highlight w:val="none"/>
        </w:rPr>
        <w:t>.7联络</w:t>
      </w:r>
      <w:bookmarkEnd w:id="733"/>
      <w:bookmarkEnd w:id="734"/>
    </w:p>
    <w:bookmarkEnd w:id="735"/>
    <w:bookmarkEnd w:id="736"/>
    <w:bookmarkEnd w:id="737"/>
    <w:p w14:paraId="0CAD93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4B043B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62D48F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 发包人和承包人应当及时签收另一方送达至送达地点和指定接收人的来往信函。拒不签收的，由此增加的费用和（或）延误的工期由拒绝接收一方承担。</w:t>
      </w:r>
    </w:p>
    <w:p w14:paraId="60E472A2">
      <w:pPr>
        <w:autoSpaceDE w:val="0"/>
        <w:autoSpaceDN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1.7.4</w:t>
      </w:r>
      <w:r>
        <w:rPr>
          <w:rFonts w:hint="eastAsia" w:ascii="宋体" w:hAnsi="宋体"/>
          <w:color w:val="auto"/>
          <w:kern w:val="0"/>
          <w:szCs w:val="21"/>
          <w:highlight w:val="none"/>
        </w:rPr>
        <w:t xml:space="preserve"> 在因本合同及本合同相关事宜发生诉讼/仲裁的情形下，专用合同条款约定的各方送达接收人和送达地点，同时作为各方的诉讼/仲裁文书送达地址，该送达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14:paraId="367D22FC">
      <w:pPr>
        <w:widowControl/>
        <w:spacing w:line="360" w:lineRule="auto"/>
        <w:ind w:firstLine="422" w:firstLineChars="200"/>
        <w:jc w:val="left"/>
        <w:outlineLvl w:val="4"/>
        <w:rPr>
          <w:rFonts w:ascii="宋体" w:hAnsi="宋体" w:cs="宋体"/>
          <w:b/>
          <w:bCs/>
          <w:color w:val="auto"/>
          <w:kern w:val="0"/>
          <w:szCs w:val="21"/>
          <w:highlight w:val="none"/>
        </w:rPr>
      </w:pPr>
      <w:bookmarkStart w:id="738" w:name="_Toc351203503"/>
      <w:bookmarkStart w:id="739" w:name="_Toc532377189"/>
      <w:r>
        <w:rPr>
          <w:rFonts w:hint="eastAsia" w:ascii="宋体" w:hAnsi="宋体" w:cs="宋体"/>
          <w:b/>
          <w:bCs/>
          <w:color w:val="auto"/>
          <w:kern w:val="0"/>
          <w:szCs w:val="21"/>
          <w:highlight w:val="none"/>
        </w:rPr>
        <w:t>1</w:t>
      </w:r>
      <w:bookmarkStart w:id="740" w:name="_Toc296346536"/>
      <w:bookmarkStart w:id="741" w:name="_Toc337558734"/>
      <w:bookmarkStart w:id="742" w:name="_Toc296503035"/>
      <w:r>
        <w:rPr>
          <w:rFonts w:hint="eastAsia" w:ascii="宋体" w:hAnsi="宋体" w:cs="宋体"/>
          <w:b/>
          <w:bCs/>
          <w:color w:val="auto"/>
          <w:kern w:val="0"/>
          <w:szCs w:val="21"/>
          <w:highlight w:val="none"/>
        </w:rPr>
        <w:t>.8严禁贿赂</w:t>
      </w:r>
      <w:bookmarkEnd w:id="738"/>
      <w:bookmarkEnd w:id="739"/>
    </w:p>
    <w:bookmarkEnd w:id="740"/>
    <w:bookmarkEnd w:id="741"/>
    <w:bookmarkEnd w:id="742"/>
    <w:p w14:paraId="7B6AA1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14:paraId="7EB5F8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4E498D9B">
      <w:pPr>
        <w:widowControl/>
        <w:spacing w:line="360" w:lineRule="auto"/>
        <w:ind w:firstLine="422" w:firstLineChars="200"/>
        <w:jc w:val="left"/>
        <w:outlineLvl w:val="4"/>
        <w:rPr>
          <w:rFonts w:ascii="宋体" w:hAnsi="宋体" w:cs="宋体"/>
          <w:b/>
          <w:bCs/>
          <w:color w:val="auto"/>
          <w:kern w:val="0"/>
          <w:szCs w:val="21"/>
          <w:highlight w:val="none"/>
        </w:rPr>
      </w:pPr>
      <w:bookmarkStart w:id="743" w:name="_Toc532377190"/>
      <w:bookmarkStart w:id="744" w:name="_Toc351203504"/>
      <w:r>
        <w:rPr>
          <w:rFonts w:hint="eastAsia" w:ascii="宋体" w:hAnsi="宋体" w:cs="宋体"/>
          <w:b/>
          <w:bCs/>
          <w:color w:val="auto"/>
          <w:kern w:val="0"/>
          <w:szCs w:val="21"/>
          <w:highlight w:val="none"/>
        </w:rPr>
        <w:t>1</w:t>
      </w:r>
      <w:bookmarkStart w:id="745" w:name="_Toc296346537"/>
      <w:bookmarkStart w:id="746" w:name="_Toc296503036"/>
      <w:bookmarkStart w:id="747" w:name="_Toc337558735"/>
      <w:r>
        <w:rPr>
          <w:rFonts w:hint="eastAsia" w:ascii="宋体" w:hAnsi="宋体" w:cs="宋体"/>
          <w:b/>
          <w:bCs/>
          <w:color w:val="auto"/>
          <w:kern w:val="0"/>
          <w:szCs w:val="21"/>
          <w:highlight w:val="none"/>
        </w:rPr>
        <w:t>.9化石、文物</w:t>
      </w:r>
      <w:bookmarkEnd w:id="743"/>
      <w:bookmarkEnd w:id="744"/>
    </w:p>
    <w:bookmarkEnd w:id="745"/>
    <w:bookmarkEnd w:id="746"/>
    <w:bookmarkEnd w:id="747"/>
    <w:p w14:paraId="388304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7943EC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发包人、监理人和承包人应按有关政府行政管理部门要求采取妥善的保护措施，由此增加的费用和（或）延误的工期由发包人承担。</w:t>
      </w:r>
    </w:p>
    <w:p w14:paraId="67E868D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文物后不及时报告或隐瞒不报，致使文物丢失或损坏的，视为承包人违约，应赔偿损失，并承担相应的法律责任，由此增加的费用和延误的工期由承包人承担，若发包人承担责任，发包人有权追偿，并有权从应支付的工程款中扣除发包人的损失。</w:t>
      </w:r>
    </w:p>
    <w:p w14:paraId="3ADDDBEA">
      <w:pPr>
        <w:widowControl/>
        <w:spacing w:line="360" w:lineRule="auto"/>
        <w:ind w:firstLine="422" w:firstLineChars="200"/>
        <w:jc w:val="left"/>
        <w:outlineLvl w:val="4"/>
        <w:rPr>
          <w:rFonts w:ascii="宋体" w:hAnsi="宋体" w:cs="宋体"/>
          <w:b/>
          <w:bCs/>
          <w:color w:val="auto"/>
          <w:kern w:val="0"/>
          <w:szCs w:val="21"/>
          <w:highlight w:val="none"/>
        </w:rPr>
      </w:pPr>
      <w:bookmarkStart w:id="748" w:name="_Toc532377191"/>
      <w:bookmarkStart w:id="749" w:name="_Toc351203505"/>
      <w:r>
        <w:rPr>
          <w:rFonts w:hint="eastAsia" w:ascii="宋体" w:hAnsi="宋体" w:cs="宋体"/>
          <w:b/>
          <w:bCs/>
          <w:color w:val="auto"/>
          <w:kern w:val="0"/>
          <w:szCs w:val="21"/>
          <w:highlight w:val="none"/>
        </w:rPr>
        <w:t>1</w:t>
      </w:r>
      <w:bookmarkStart w:id="750" w:name="_Toc337558736"/>
      <w:r>
        <w:rPr>
          <w:rFonts w:hint="eastAsia" w:ascii="宋体" w:hAnsi="宋体" w:cs="宋体"/>
          <w:b/>
          <w:bCs/>
          <w:color w:val="auto"/>
          <w:kern w:val="0"/>
          <w:szCs w:val="21"/>
          <w:highlight w:val="none"/>
        </w:rPr>
        <w:t>.10交通运输</w:t>
      </w:r>
      <w:bookmarkEnd w:id="748"/>
      <w:bookmarkEnd w:id="749"/>
    </w:p>
    <w:bookmarkEnd w:id="750"/>
    <w:p w14:paraId="2FE952F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1.10.1 出入现场的权利</w:t>
      </w:r>
    </w:p>
    <w:p w14:paraId="640633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E9228B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41BB3E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1.10.2 场外交通</w:t>
      </w:r>
    </w:p>
    <w:p w14:paraId="5051227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不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14:paraId="26C603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1.10.3场内交通</w:t>
      </w:r>
    </w:p>
    <w:p w14:paraId="47B139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不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488896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FD4BDD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场外交通和场内交通的边界由合同当事人在专用合同条款中约定。</w:t>
      </w:r>
    </w:p>
    <w:p w14:paraId="64ECE48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1.10.4 超大件和超重件的运输</w:t>
      </w:r>
    </w:p>
    <w:p w14:paraId="3BB85DB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5FD2E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1.10.5 道路和桥梁的损坏责任</w:t>
      </w:r>
    </w:p>
    <w:p w14:paraId="542A8F3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因承包人运输造成施工场地内外公共道路和桥梁损坏的，由承包人承担修复损坏的全部费用和可能引起的赔偿。</w:t>
      </w:r>
    </w:p>
    <w:p w14:paraId="6B7A053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1.10.6 水路和航空运输</w:t>
      </w:r>
    </w:p>
    <w:p w14:paraId="3739D8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0EC54451">
      <w:pPr>
        <w:widowControl/>
        <w:spacing w:line="360" w:lineRule="auto"/>
        <w:ind w:firstLine="422" w:firstLineChars="200"/>
        <w:jc w:val="left"/>
        <w:outlineLvl w:val="4"/>
        <w:rPr>
          <w:rFonts w:ascii="宋体" w:hAnsi="宋体" w:cs="宋体"/>
          <w:b/>
          <w:bCs/>
          <w:color w:val="auto"/>
          <w:kern w:val="0"/>
          <w:szCs w:val="21"/>
          <w:highlight w:val="none"/>
        </w:rPr>
      </w:pPr>
      <w:bookmarkStart w:id="751" w:name="_Toc351203506"/>
      <w:bookmarkStart w:id="752" w:name="_Toc532377192"/>
      <w:r>
        <w:rPr>
          <w:rFonts w:hint="eastAsia" w:ascii="宋体" w:hAnsi="宋体" w:cs="宋体"/>
          <w:b/>
          <w:bCs/>
          <w:color w:val="auto"/>
          <w:kern w:val="0"/>
          <w:szCs w:val="21"/>
          <w:highlight w:val="none"/>
        </w:rPr>
        <w:t>1</w:t>
      </w:r>
      <w:bookmarkStart w:id="753" w:name="_Toc337558737"/>
      <w:bookmarkStart w:id="754" w:name="_Toc296503037"/>
      <w:bookmarkStart w:id="755" w:name="_Toc296346538"/>
      <w:r>
        <w:rPr>
          <w:rFonts w:hint="eastAsia" w:ascii="宋体" w:hAnsi="宋体" w:cs="宋体"/>
          <w:b/>
          <w:bCs/>
          <w:color w:val="auto"/>
          <w:kern w:val="0"/>
          <w:szCs w:val="21"/>
          <w:highlight w:val="none"/>
        </w:rPr>
        <w:t>.11知识产权</w:t>
      </w:r>
      <w:bookmarkEnd w:id="751"/>
      <w:bookmarkEnd w:id="752"/>
      <w:bookmarkEnd w:id="753"/>
    </w:p>
    <w:bookmarkEnd w:id="754"/>
    <w:bookmarkEnd w:id="755"/>
    <w:p w14:paraId="5BBEE8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6916E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E9778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26DAF6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除专用合同条款另有约定外，承包人在合同签订前和签订时已确定采用的专利、专有技术、技术秘密的使用费已包含在签约合同价中。</w:t>
      </w:r>
    </w:p>
    <w:p w14:paraId="38D1D69F">
      <w:pPr>
        <w:widowControl/>
        <w:spacing w:line="360" w:lineRule="auto"/>
        <w:ind w:firstLine="422" w:firstLineChars="200"/>
        <w:jc w:val="left"/>
        <w:outlineLvl w:val="4"/>
        <w:rPr>
          <w:rFonts w:ascii="宋体" w:hAnsi="宋体" w:cs="宋体"/>
          <w:b/>
          <w:bCs/>
          <w:color w:val="auto"/>
          <w:kern w:val="0"/>
          <w:szCs w:val="21"/>
          <w:highlight w:val="none"/>
        </w:rPr>
      </w:pPr>
      <w:bookmarkStart w:id="756" w:name="_Toc532377193"/>
      <w:bookmarkStart w:id="757" w:name="_Toc351203507"/>
      <w:r>
        <w:rPr>
          <w:rFonts w:hint="eastAsia" w:ascii="宋体" w:hAnsi="宋体" w:cs="宋体"/>
          <w:b/>
          <w:bCs/>
          <w:color w:val="auto"/>
          <w:kern w:val="0"/>
          <w:szCs w:val="21"/>
          <w:highlight w:val="none"/>
        </w:rPr>
        <w:t>1</w:t>
      </w:r>
      <w:bookmarkStart w:id="758" w:name="_Toc337558738"/>
      <w:r>
        <w:rPr>
          <w:rFonts w:hint="eastAsia" w:ascii="宋体" w:hAnsi="宋体" w:cs="宋体"/>
          <w:b/>
          <w:bCs/>
          <w:color w:val="auto"/>
          <w:kern w:val="0"/>
          <w:szCs w:val="21"/>
          <w:highlight w:val="none"/>
        </w:rPr>
        <w:t>.12保密</w:t>
      </w:r>
      <w:bookmarkEnd w:id="756"/>
      <w:bookmarkEnd w:id="757"/>
    </w:p>
    <w:bookmarkEnd w:id="758"/>
    <w:p w14:paraId="09B9DB2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除法律规定或合同另有约定外，未经发包人同意，承包人不得将发包人提供的图纸、文件以及声明需要保密的资料信息等商业秘密泄露给第三方。</w:t>
      </w:r>
    </w:p>
    <w:p w14:paraId="50E03E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除法律规定或合同另有约定外，未经承包人同意，发包人不得将承包人提供的技术秘密及声明需要保密的资料信息等商业秘密泄露给第三方。</w:t>
      </w:r>
    </w:p>
    <w:p w14:paraId="0F390C16">
      <w:pPr>
        <w:widowControl/>
        <w:spacing w:line="360" w:lineRule="auto"/>
        <w:ind w:firstLine="422" w:firstLineChars="200"/>
        <w:jc w:val="left"/>
        <w:outlineLvl w:val="4"/>
        <w:rPr>
          <w:rFonts w:ascii="宋体" w:hAnsi="宋体" w:cs="宋体"/>
          <w:b/>
          <w:bCs/>
          <w:color w:val="auto"/>
          <w:kern w:val="0"/>
          <w:szCs w:val="21"/>
          <w:highlight w:val="none"/>
        </w:rPr>
      </w:pPr>
      <w:bookmarkStart w:id="759" w:name="_Toc351203508"/>
      <w:bookmarkStart w:id="760" w:name="_Toc532377194"/>
      <w:r>
        <w:rPr>
          <w:rFonts w:hint="eastAsia" w:ascii="宋体" w:hAnsi="宋体" w:cs="宋体"/>
          <w:b/>
          <w:bCs/>
          <w:color w:val="auto"/>
          <w:kern w:val="0"/>
          <w:szCs w:val="21"/>
          <w:highlight w:val="none"/>
        </w:rPr>
        <w:t>1.13工程量清单错误的修正</w:t>
      </w:r>
      <w:bookmarkEnd w:id="759"/>
      <w:bookmarkEnd w:id="760"/>
    </w:p>
    <w:p w14:paraId="4A2631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除专用合同条款另有约定外，发包人提供的工程量清单，应被认为是准确的和完整的。出现下列情形之一时，发包人应予以修正，并相应调整合同价格：</w:t>
      </w:r>
    </w:p>
    <w:p w14:paraId="382502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（1）工程量清单存在缺项、漏项的；</w:t>
      </w:r>
    </w:p>
    <w:p w14:paraId="0ED11E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（2）工程量清单偏差超出专用合同条款约定的工程量偏差范围的；</w:t>
      </w:r>
    </w:p>
    <w:p w14:paraId="35760CC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（3）未按照国家现行计量规范强制性规定计量的。</w:t>
      </w:r>
    </w:p>
    <w:p w14:paraId="5015853C">
      <w:pPr>
        <w:keepNext/>
        <w:keepLines/>
        <w:widowControl/>
        <w:spacing w:before="156" w:beforeLines="50" w:after="156" w:afterLines="50" w:line="360" w:lineRule="auto"/>
        <w:outlineLvl w:val="3"/>
        <w:rPr>
          <w:rFonts w:ascii="宋体" w:hAnsi="宋体" w:cs="宋体"/>
          <w:b/>
          <w:bCs/>
          <w:color w:val="auto"/>
          <w:szCs w:val="21"/>
          <w:highlight w:val="none"/>
        </w:rPr>
      </w:pPr>
      <w:bookmarkStart w:id="761" w:name="_Toc532377195"/>
      <w:bookmarkStart w:id="762" w:name="_Toc351203509"/>
      <w:bookmarkStart w:id="763" w:name="_Toc532375588"/>
      <w:r>
        <w:rPr>
          <w:rFonts w:hint="eastAsia" w:ascii="宋体" w:hAnsi="宋体" w:cs="宋体"/>
          <w:b/>
          <w:bCs/>
          <w:color w:val="auto"/>
          <w:szCs w:val="21"/>
          <w:highlight w:val="none"/>
        </w:rPr>
        <w:t>2</w:t>
      </w:r>
      <w:bookmarkStart w:id="764" w:name="_Toc296503038"/>
      <w:bookmarkStart w:id="765" w:name="_Toc296346539"/>
      <w:bookmarkStart w:id="766" w:name="_Toc337558739"/>
      <w:r>
        <w:rPr>
          <w:rFonts w:hint="eastAsia" w:ascii="宋体" w:hAnsi="宋体" w:cs="宋体"/>
          <w:b/>
          <w:bCs/>
          <w:color w:val="auto"/>
          <w:szCs w:val="21"/>
          <w:highlight w:val="none"/>
        </w:rPr>
        <w:t>. 发包人</w:t>
      </w:r>
      <w:bookmarkEnd w:id="761"/>
      <w:bookmarkEnd w:id="762"/>
      <w:bookmarkEnd w:id="763"/>
    </w:p>
    <w:bookmarkEnd w:id="764"/>
    <w:bookmarkEnd w:id="765"/>
    <w:bookmarkEnd w:id="766"/>
    <w:p w14:paraId="44D27214">
      <w:pPr>
        <w:widowControl/>
        <w:spacing w:line="360" w:lineRule="auto"/>
        <w:ind w:firstLine="422" w:firstLineChars="200"/>
        <w:jc w:val="left"/>
        <w:outlineLvl w:val="4"/>
        <w:rPr>
          <w:rFonts w:ascii="宋体" w:hAnsi="宋体" w:cs="宋体"/>
          <w:b/>
          <w:bCs/>
          <w:color w:val="auto"/>
          <w:kern w:val="0"/>
          <w:szCs w:val="21"/>
          <w:highlight w:val="none"/>
        </w:rPr>
      </w:pPr>
      <w:bookmarkStart w:id="767" w:name="_Toc351203510"/>
      <w:bookmarkStart w:id="768" w:name="_Toc532377196"/>
      <w:r>
        <w:rPr>
          <w:rFonts w:hint="eastAsia" w:ascii="宋体" w:hAnsi="宋体" w:cs="宋体"/>
          <w:b/>
          <w:bCs/>
          <w:color w:val="auto"/>
          <w:kern w:val="0"/>
          <w:szCs w:val="21"/>
          <w:highlight w:val="none"/>
        </w:rPr>
        <w:t>2</w:t>
      </w:r>
      <w:bookmarkStart w:id="769" w:name="_Toc296503039"/>
      <w:bookmarkStart w:id="770" w:name="_Toc337558740"/>
      <w:bookmarkStart w:id="771" w:name="_Toc296346540"/>
      <w:r>
        <w:rPr>
          <w:rFonts w:hint="eastAsia" w:ascii="宋体" w:hAnsi="宋体" w:cs="宋体"/>
          <w:b/>
          <w:bCs/>
          <w:color w:val="auto"/>
          <w:kern w:val="0"/>
          <w:szCs w:val="21"/>
          <w:highlight w:val="none"/>
        </w:rPr>
        <w:t>.1 许可或批准</w:t>
      </w:r>
      <w:bookmarkEnd w:id="767"/>
      <w:bookmarkEnd w:id="768"/>
    </w:p>
    <w:p w14:paraId="552FA8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B9A453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因发包人原因未能及时办理完毕前述许可、批准或备案，由发包人承担由延误的工期。</w:t>
      </w:r>
    </w:p>
    <w:p w14:paraId="48E41434">
      <w:pPr>
        <w:widowControl/>
        <w:spacing w:line="360" w:lineRule="auto"/>
        <w:ind w:firstLine="422" w:firstLineChars="200"/>
        <w:jc w:val="left"/>
        <w:outlineLvl w:val="4"/>
        <w:rPr>
          <w:rFonts w:ascii="宋体" w:hAnsi="宋体" w:cs="宋体"/>
          <w:b/>
          <w:bCs/>
          <w:color w:val="auto"/>
          <w:kern w:val="0"/>
          <w:szCs w:val="21"/>
          <w:highlight w:val="none"/>
        </w:rPr>
      </w:pPr>
      <w:bookmarkStart w:id="772" w:name="_Toc351203511"/>
      <w:bookmarkStart w:id="773" w:name="_Toc532377197"/>
      <w:r>
        <w:rPr>
          <w:rFonts w:hint="eastAsia" w:ascii="宋体" w:hAnsi="宋体" w:cs="宋体"/>
          <w:b/>
          <w:bCs/>
          <w:color w:val="auto"/>
          <w:kern w:val="0"/>
          <w:szCs w:val="21"/>
          <w:highlight w:val="none"/>
        </w:rPr>
        <w:t>2.2 发包人代表</w:t>
      </w:r>
      <w:bookmarkEnd w:id="772"/>
      <w:bookmarkEnd w:id="773"/>
    </w:p>
    <w:p w14:paraId="31B06E5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0A5E5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发包人代表不能按照合同约定履行其职责及义务，并导致合同无法继续正常履行的，承包人可以要求发包人撤换发包人代表。</w:t>
      </w:r>
    </w:p>
    <w:p w14:paraId="584965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不属于法定必须监理的工程，监理人的职权可以由发包人代表或发包人指定的其他人员行使。</w:t>
      </w:r>
    </w:p>
    <w:p w14:paraId="5E76E4EA">
      <w:pPr>
        <w:widowControl/>
        <w:spacing w:line="360" w:lineRule="auto"/>
        <w:ind w:firstLine="422" w:firstLineChars="200"/>
        <w:jc w:val="left"/>
        <w:outlineLvl w:val="4"/>
        <w:rPr>
          <w:rFonts w:ascii="宋体" w:hAnsi="宋体" w:cs="宋体"/>
          <w:b/>
          <w:bCs/>
          <w:color w:val="auto"/>
          <w:kern w:val="0"/>
          <w:szCs w:val="21"/>
          <w:highlight w:val="none"/>
        </w:rPr>
      </w:pPr>
      <w:bookmarkStart w:id="774" w:name="_Toc351203512"/>
      <w:bookmarkStart w:id="775" w:name="_Toc532377198"/>
      <w:r>
        <w:rPr>
          <w:rFonts w:hint="eastAsia" w:ascii="宋体" w:hAnsi="宋体" w:cs="宋体"/>
          <w:b/>
          <w:bCs/>
          <w:color w:val="auto"/>
          <w:kern w:val="0"/>
          <w:szCs w:val="21"/>
          <w:highlight w:val="none"/>
        </w:rPr>
        <w:t>2.3 发包人人员</w:t>
      </w:r>
      <w:bookmarkEnd w:id="774"/>
      <w:bookmarkEnd w:id="775"/>
    </w:p>
    <w:p w14:paraId="1B690B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69A7237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发包人人员包括发包人代表及其他由发包人派驻施工现场的人员。</w:t>
      </w:r>
      <w:bookmarkEnd w:id="769"/>
      <w:bookmarkEnd w:id="770"/>
      <w:bookmarkEnd w:id="771"/>
    </w:p>
    <w:p w14:paraId="35DF4F52">
      <w:pPr>
        <w:widowControl/>
        <w:spacing w:line="360" w:lineRule="auto"/>
        <w:ind w:firstLine="422" w:firstLineChars="200"/>
        <w:jc w:val="left"/>
        <w:outlineLvl w:val="4"/>
        <w:rPr>
          <w:rFonts w:ascii="宋体" w:hAnsi="宋体" w:cs="宋体"/>
          <w:b/>
          <w:bCs/>
          <w:color w:val="auto"/>
          <w:kern w:val="0"/>
          <w:szCs w:val="21"/>
          <w:highlight w:val="none"/>
        </w:rPr>
      </w:pPr>
      <w:bookmarkStart w:id="776" w:name="_Toc351203513"/>
      <w:bookmarkStart w:id="777" w:name="_Toc532377199"/>
      <w:r>
        <w:rPr>
          <w:rFonts w:hint="eastAsia" w:ascii="宋体" w:hAnsi="宋体" w:cs="宋体"/>
          <w:b/>
          <w:bCs/>
          <w:color w:val="auto"/>
          <w:kern w:val="0"/>
          <w:szCs w:val="21"/>
          <w:highlight w:val="none"/>
        </w:rPr>
        <w:t>2</w:t>
      </w:r>
      <w:bookmarkStart w:id="778" w:name="_Toc337558741"/>
      <w:bookmarkStart w:id="779" w:name="_Toc296503040"/>
      <w:bookmarkStart w:id="780" w:name="_Toc296346541"/>
      <w:r>
        <w:rPr>
          <w:rFonts w:hint="eastAsia" w:ascii="宋体" w:hAnsi="宋体" w:cs="宋体"/>
          <w:b/>
          <w:bCs/>
          <w:color w:val="auto"/>
          <w:kern w:val="0"/>
          <w:szCs w:val="21"/>
          <w:highlight w:val="none"/>
        </w:rPr>
        <w:t>.4 施工现场、施工条件和基础资料的提供</w:t>
      </w:r>
      <w:bookmarkEnd w:id="776"/>
      <w:bookmarkEnd w:id="777"/>
      <w:bookmarkEnd w:id="778"/>
      <w:bookmarkEnd w:id="779"/>
      <w:bookmarkEnd w:id="780"/>
    </w:p>
    <w:p w14:paraId="1A907C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2.4.1 提供施工现场</w:t>
      </w:r>
    </w:p>
    <w:p w14:paraId="32780EF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除专用合同条款另有约定外，发包人应最迟于开工日期7天前向承包人移交施工现场。</w:t>
      </w:r>
    </w:p>
    <w:p w14:paraId="615B76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2.4.2 提供施工条件</w:t>
      </w:r>
    </w:p>
    <w:p w14:paraId="0A688F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除专用合同条款另有约定外，发包人应负责提供施工所需要的条件，包括：</w:t>
      </w:r>
    </w:p>
    <w:p w14:paraId="17DD5A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（1）协调配合承包人将施工用水、电力、通讯线路等施工所必需的条件接至施工现场内；</w:t>
      </w:r>
    </w:p>
    <w:p w14:paraId="04CDAB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（2）保证向承包人提供正常施工所需要的进入施工现场的交通条件；</w:t>
      </w:r>
    </w:p>
    <w:p w14:paraId="2ED66D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（3）协调处理施工现场周围地下管线和邻近建筑物、构筑物、古树名木的保护工作，并承担相关费用；</w:t>
      </w:r>
    </w:p>
    <w:p w14:paraId="50F163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（4）按照专用合同条款约定应提供的其他设施和条件。</w:t>
      </w:r>
    </w:p>
    <w:p w14:paraId="47D03A3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2.4.3 提供基础资料</w:t>
      </w:r>
    </w:p>
    <w:p w14:paraId="636345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01D03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14:paraId="45A829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2.4.4 逾期提供的责任</w:t>
      </w:r>
    </w:p>
    <w:p w14:paraId="303A7E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因发包人原因未能按合同约定及时向承包人提供施工现场、施工条件、基础资料的，由发包人承担由此延误的工期。</w:t>
      </w:r>
    </w:p>
    <w:p w14:paraId="33214966">
      <w:pPr>
        <w:widowControl/>
        <w:spacing w:line="360" w:lineRule="auto"/>
        <w:ind w:firstLine="422" w:firstLineChars="200"/>
        <w:jc w:val="left"/>
        <w:outlineLvl w:val="4"/>
        <w:rPr>
          <w:rFonts w:ascii="宋体" w:hAnsi="宋体" w:cs="宋体"/>
          <w:b/>
          <w:bCs/>
          <w:color w:val="auto"/>
          <w:kern w:val="0"/>
          <w:szCs w:val="21"/>
          <w:highlight w:val="none"/>
        </w:rPr>
      </w:pPr>
      <w:bookmarkStart w:id="781" w:name="_Toc532377200"/>
      <w:bookmarkStart w:id="782" w:name="_Toc351203514"/>
      <w:r>
        <w:rPr>
          <w:rFonts w:hint="eastAsia" w:ascii="宋体" w:hAnsi="宋体" w:cs="宋体"/>
          <w:b/>
          <w:bCs/>
          <w:color w:val="auto"/>
          <w:kern w:val="0"/>
          <w:szCs w:val="21"/>
          <w:highlight w:val="none"/>
        </w:rPr>
        <w:t>2</w:t>
      </w:r>
      <w:bookmarkStart w:id="783" w:name="_Toc337558745"/>
      <w:bookmarkStart w:id="784" w:name="_Toc296346543"/>
      <w:bookmarkStart w:id="785" w:name="_Toc296503042"/>
      <w:r>
        <w:rPr>
          <w:rFonts w:hint="eastAsia" w:ascii="宋体" w:hAnsi="宋体" w:cs="宋体"/>
          <w:b/>
          <w:bCs/>
          <w:color w:val="auto"/>
          <w:kern w:val="0"/>
          <w:szCs w:val="21"/>
          <w:highlight w:val="none"/>
        </w:rPr>
        <w:t>.5 资</w:t>
      </w:r>
      <w:bookmarkEnd w:id="783"/>
      <w:bookmarkEnd w:id="784"/>
      <w:bookmarkEnd w:id="785"/>
      <w:r>
        <w:rPr>
          <w:rFonts w:hint="eastAsia" w:ascii="宋体" w:hAnsi="宋体" w:cs="宋体"/>
          <w:b/>
          <w:bCs/>
          <w:color w:val="auto"/>
          <w:kern w:val="0"/>
          <w:szCs w:val="21"/>
          <w:highlight w:val="none"/>
        </w:rPr>
        <w:t>金来源证明及支付担保</w:t>
      </w:r>
      <w:bookmarkEnd w:id="781"/>
      <w:bookmarkEnd w:id="782"/>
    </w:p>
    <w:p w14:paraId="4ADFD6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09A517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646D3C51">
      <w:pPr>
        <w:widowControl/>
        <w:spacing w:line="360" w:lineRule="auto"/>
        <w:ind w:firstLine="422" w:firstLineChars="200"/>
        <w:jc w:val="left"/>
        <w:outlineLvl w:val="4"/>
        <w:rPr>
          <w:rFonts w:ascii="宋体" w:hAnsi="宋体" w:cs="宋体"/>
          <w:b/>
          <w:bCs/>
          <w:color w:val="auto"/>
          <w:kern w:val="0"/>
          <w:szCs w:val="21"/>
          <w:highlight w:val="none"/>
        </w:rPr>
      </w:pPr>
      <w:bookmarkStart w:id="786" w:name="_Toc532377201"/>
      <w:bookmarkStart w:id="787" w:name="_Toc351203515"/>
      <w:r>
        <w:rPr>
          <w:rFonts w:hint="eastAsia" w:ascii="宋体" w:hAnsi="宋体" w:cs="宋体"/>
          <w:b/>
          <w:bCs/>
          <w:color w:val="auto"/>
          <w:kern w:val="0"/>
          <w:szCs w:val="21"/>
          <w:highlight w:val="none"/>
        </w:rPr>
        <w:t>2.6 支付合同价款</w:t>
      </w:r>
      <w:bookmarkEnd w:id="786"/>
      <w:bookmarkEnd w:id="787"/>
    </w:p>
    <w:p w14:paraId="23E63F4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发包人应按合同约定向承包人及时支付合同价款。</w:t>
      </w:r>
    </w:p>
    <w:p w14:paraId="33511A64">
      <w:pPr>
        <w:widowControl/>
        <w:spacing w:line="360" w:lineRule="auto"/>
        <w:ind w:firstLine="422" w:firstLineChars="200"/>
        <w:jc w:val="left"/>
        <w:outlineLvl w:val="4"/>
        <w:rPr>
          <w:rFonts w:ascii="宋体" w:hAnsi="宋体" w:cs="宋体"/>
          <w:b/>
          <w:bCs/>
          <w:color w:val="auto"/>
          <w:kern w:val="0"/>
          <w:szCs w:val="21"/>
          <w:highlight w:val="none"/>
        </w:rPr>
      </w:pPr>
      <w:bookmarkStart w:id="788" w:name="_Toc351203516"/>
      <w:bookmarkStart w:id="789" w:name="_Toc532377202"/>
      <w:r>
        <w:rPr>
          <w:rFonts w:hint="eastAsia" w:ascii="宋体" w:hAnsi="宋体" w:cs="宋体"/>
          <w:b/>
          <w:bCs/>
          <w:color w:val="auto"/>
          <w:kern w:val="0"/>
          <w:szCs w:val="21"/>
          <w:highlight w:val="none"/>
        </w:rPr>
        <w:t>2.7 组织竣工验收</w:t>
      </w:r>
      <w:bookmarkEnd w:id="788"/>
      <w:bookmarkEnd w:id="789"/>
    </w:p>
    <w:p w14:paraId="3A0ADA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发包人应按合同约定及时组织竣工验收。</w:t>
      </w:r>
    </w:p>
    <w:p w14:paraId="2A97708C">
      <w:pPr>
        <w:widowControl/>
        <w:spacing w:line="360" w:lineRule="auto"/>
        <w:ind w:firstLine="422" w:firstLineChars="200"/>
        <w:jc w:val="left"/>
        <w:outlineLvl w:val="4"/>
        <w:rPr>
          <w:rFonts w:ascii="宋体" w:hAnsi="宋体" w:cs="宋体"/>
          <w:b/>
          <w:bCs/>
          <w:color w:val="auto"/>
          <w:kern w:val="0"/>
          <w:szCs w:val="21"/>
          <w:highlight w:val="none"/>
        </w:rPr>
      </w:pPr>
      <w:bookmarkStart w:id="790" w:name="_Toc532377203"/>
      <w:bookmarkStart w:id="791" w:name="_Toc351203517"/>
      <w:r>
        <w:rPr>
          <w:rFonts w:hint="eastAsia" w:ascii="宋体" w:hAnsi="宋体" w:cs="宋体"/>
          <w:b/>
          <w:bCs/>
          <w:color w:val="auto"/>
          <w:kern w:val="0"/>
          <w:szCs w:val="21"/>
          <w:highlight w:val="none"/>
        </w:rPr>
        <w:t>2.8 现场统一管理协议</w:t>
      </w:r>
      <w:bookmarkEnd w:id="790"/>
      <w:bookmarkEnd w:id="791"/>
    </w:p>
    <w:p w14:paraId="370947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14:paraId="62E5DF80">
      <w:pPr>
        <w:keepNext/>
        <w:keepLines/>
        <w:widowControl/>
        <w:spacing w:before="156" w:beforeLines="50" w:after="156" w:afterLines="50" w:line="360" w:lineRule="auto"/>
        <w:outlineLvl w:val="3"/>
        <w:rPr>
          <w:rFonts w:ascii="宋体" w:hAnsi="宋体" w:cs="宋体"/>
          <w:b/>
          <w:color w:val="auto"/>
          <w:szCs w:val="21"/>
          <w:highlight w:val="none"/>
        </w:rPr>
      </w:pPr>
      <w:bookmarkStart w:id="792" w:name="_Toc532377204"/>
      <w:bookmarkStart w:id="793" w:name="_Toc532375589"/>
      <w:bookmarkStart w:id="794" w:name="_Toc351203518"/>
      <w:r>
        <w:rPr>
          <w:rFonts w:hint="eastAsia" w:ascii="宋体" w:hAnsi="宋体" w:cs="宋体"/>
          <w:b/>
          <w:bCs/>
          <w:color w:val="auto"/>
          <w:szCs w:val="21"/>
          <w:highlight w:val="none"/>
        </w:rPr>
        <w:t>3</w:t>
      </w:r>
      <w:bookmarkStart w:id="795" w:name="_Toc296346546"/>
      <w:bookmarkStart w:id="796" w:name="_Toc337558746"/>
      <w:bookmarkStart w:id="797" w:name="_Toc296503045"/>
      <w:r>
        <w:rPr>
          <w:rFonts w:hint="eastAsia" w:ascii="宋体" w:hAnsi="宋体" w:cs="宋体"/>
          <w:b/>
          <w:bCs/>
          <w:color w:val="auto"/>
          <w:szCs w:val="21"/>
          <w:highlight w:val="none"/>
        </w:rPr>
        <w:t>. 承包人</w:t>
      </w:r>
      <w:bookmarkEnd w:id="792"/>
      <w:bookmarkEnd w:id="793"/>
      <w:bookmarkEnd w:id="794"/>
    </w:p>
    <w:bookmarkEnd w:id="795"/>
    <w:bookmarkEnd w:id="796"/>
    <w:bookmarkEnd w:id="797"/>
    <w:p w14:paraId="6A2CB7B7">
      <w:pPr>
        <w:widowControl/>
        <w:spacing w:line="360" w:lineRule="auto"/>
        <w:ind w:firstLine="422" w:firstLineChars="200"/>
        <w:jc w:val="left"/>
        <w:outlineLvl w:val="4"/>
        <w:rPr>
          <w:rFonts w:ascii="宋体" w:hAnsi="宋体" w:cs="宋体"/>
          <w:b/>
          <w:bCs/>
          <w:color w:val="auto"/>
          <w:kern w:val="0"/>
          <w:szCs w:val="21"/>
          <w:highlight w:val="none"/>
        </w:rPr>
      </w:pPr>
      <w:bookmarkStart w:id="798" w:name="_Toc351203519"/>
      <w:bookmarkStart w:id="799" w:name="_Toc532377205"/>
      <w:r>
        <w:rPr>
          <w:rFonts w:hint="eastAsia" w:ascii="宋体" w:hAnsi="宋体" w:cs="宋体"/>
          <w:b/>
          <w:bCs/>
          <w:color w:val="auto"/>
          <w:kern w:val="0"/>
          <w:szCs w:val="21"/>
          <w:highlight w:val="none"/>
        </w:rPr>
        <w:t>3</w:t>
      </w:r>
      <w:bookmarkStart w:id="800" w:name="_Toc337558747"/>
      <w:bookmarkStart w:id="801" w:name="_Toc296346547"/>
      <w:bookmarkStart w:id="802" w:name="_Toc296503046"/>
      <w:r>
        <w:rPr>
          <w:rFonts w:hint="eastAsia" w:ascii="宋体" w:hAnsi="宋体" w:cs="宋体"/>
          <w:b/>
          <w:bCs/>
          <w:color w:val="auto"/>
          <w:kern w:val="0"/>
          <w:szCs w:val="21"/>
          <w:highlight w:val="none"/>
        </w:rPr>
        <w:t>.1 承包人的一般义务</w:t>
      </w:r>
      <w:bookmarkEnd w:id="798"/>
      <w:bookmarkEnd w:id="799"/>
    </w:p>
    <w:bookmarkEnd w:id="800"/>
    <w:bookmarkEnd w:id="801"/>
    <w:bookmarkEnd w:id="802"/>
    <w:p w14:paraId="64E5AD6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承包人在履行合同过程中应遵守法律和工程建设标准规范，并履行以下义务：</w:t>
      </w:r>
    </w:p>
    <w:p w14:paraId="0FCA0004">
      <w:pPr>
        <w:numPr>
          <w:ilvl w:val="0"/>
          <w:numId w:val="3"/>
        </w:num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办理法律规定应由承包人办理的许可和批准，并将办理结果书面报送发包人留存；</w:t>
      </w:r>
    </w:p>
    <w:p w14:paraId="0416D9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（2）按法律规定和合同约定完成工程，并在保修期内承担保修义务；</w:t>
      </w:r>
    </w:p>
    <w:p w14:paraId="627586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（3）按法律规定和合同约定采取施工安全和环境保护措施，办理工伤保险，确保工程及人员、材料、设备和设施的安全；</w:t>
      </w:r>
    </w:p>
    <w:p w14:paraId="7E2ADD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（4）按合同约定的工作内容和施工进度要求，编制施工组织设计和施工措施计划，并对所有施工作业和施工方法的完备性和安全可靠性负责；</w:t>
      </w:r>
    </w:p>
    <w:p w14:paraId="048B92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9C53A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（6）按照第6.3款〔环境保护〕约定负责施工场地及其周边环境与生态的保护工作；</w:t>
      </w:r>
    </w:p>
    <w:p w14:paraId="3378A5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（7）按第6.1款〔安全文明施工〕约定采取施工安全措施，确保工程及其人员、材料、设备和设施的安全，防止因工程施工造成的人身伤害和财产损失；</w:t>
      </w:r>
    </w:p>
    <w:p w14:paraId="0FABB5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（8）将发包人按合同约定支付的各项价款专用于合同工程，且应及时支付其雇用人员工资，并及时向分包人支付合同价款；</w:t>
      </w:r>
    </w:p>
    <w:p w14:paraId="0DBB2D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（9）按照法律规定和合同约定编制竣工资料，完成竣工资料立卷及归档，并按专用合同条款约定的竣工资料的套数、内容、时间等要求移交发包人；</w:t>
      </w:r>
    </w:p>
    <w:p w14:paraId="02145E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（10）应履行的其他义务。</w:t>
      </w:r>
    </w:p>
    <w:p w14:paraId="67817F3D">
      <w:pPr>
        <w:widowControl/>
        <w:spacing w:line="360" w:lineRule="auto"/>
        <w:ind w:firstLine="422" w:firstLineChars="200"/>
        <w:jc w:val="left"/>
        <w:outlineLvl w:val="4"/>
        <w:rPr>
          <w:rFonts w:ascii="宋体" w:hAnsi="宋体" w:cs="宋体"/>
          <w:b/>
          <w:bCs/>
          <w:color w:val="auto"/>
          <w:kern w:val="0"/>
          <w:szCs w:val="21"/>
          <w:highlight w:val="none"/>
        </w:rPr>
      </w:pPr>
      <w:bookmarkStart w:id="803" w:name="_Toc351203520"/>
      <w:bookmarkStart w:id="804" w:name="_Toc532377206"/>
      <w:r>
        <w:rPr>
          <w:rFonts w:hint="eastAsia" w:ascii="宋体" w:hAnsi="宋体" w:cs="宋体"/>
          <w:b/>
          <w:bCs/>
          <w:color w:val="auto"/>
          <w:kern w:val="0"/>
          <w:szCs w:val="21"/>
          <w:highlight w:val="none"/>
        </w:rPr>
        <w:t>3</w:t>
      </w:r>
      <w:bookmarkStart w:id="805" w:name="_Toc337558748"/>
      <w:bookmarkStart w:id="806" w:name="_Toc296346548"/>
      <w:bookmarkStart w:id="807" w:name="_Toc296503047"/>
      <w:r>
        <w:rPr>
          <w:rFonts w:hint="eastAsia" w:ascii="宋体" w:hAnsi="宋体" w:cs="宋体"/>
          <w:b/>
          <w:bCs/>
          <w:color w:val="auto"/>
          <w:kern w:val="0"/>
          <w:szCs w:val="21"/>
          <w:highlight w:val="none"/>
        </w:rPr>
        <w:t xml:space="preserve">.2 </w:t>
      </w:r>
      <w:bookmarkEnd w:id="803"/>
      <w:r>
        <w:rPr>
          <w:rFonts w:hint="eastAsia" w:ascii="宋体" w:hAnsi="宋体" w:cs="宋体"/>
          <w:b/>
          <w:bCs/>
          <w:color w:val="auto"/>
          <w:kern w:val="0"/>
          <w:szCs w:val="21"/>
          <w:highlight w:val="none"/>
        </w:rPr>
        <w:t>项目经理</w:t>
      </w:r>
      <w:bookmarkEnd w:id="804"/>
    </w:p>
    <w:bookmarkEnd w:id="805"/>
    <w:bookmarkEnd w:id="806"/>
    <w:bookmarkEnd w:id="807"/>
    <w:p w14:paraId="22A1627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E2BD43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0D8BDB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承包人违反上述约定的，应按照专用合同条款的约定，承担违约责任。</w:t>
      </w:r>
    </w:p>
    <w:p w14:paraId="35BA47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3F171F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129EB1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DCCD3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34E99329">
      <w:pPr>
        <w:widowControl/>
        <w:spacing w:line="360" w:lineRule="auto"/>
        <w:ind w:firstLine="422" w:firstLineChars="200"/>
        <w:jc w:val="left"/>
        <w:outlineLvl w:val="4"/>
        <w:rPr>
          <w:rFonts w:ascii="宋体" w:hAnsi="宋体" w:cs="宋体"/>
          <w:b/>
          <w:bCs/>
          <w:color w:val="auto"/>
          <w:kern w:val="0"/>
          <w:szCs w:val="21"/>
          <w:highlight w:val="none"/>
        </w:rPr>
      </w:pPr>
      <w:bookmarkStart w:id="808" w:name="_Toc532377207"/>
      <w:bookmarkStart w:id="809" w:name="_Toc351203521"/>
      <w:r>
        <w:rPr>
          <w:rFonts w:hint="eastAsia" w:ascii="宋体" w:hAnsi="宋体" w:cs="宋体"/>
          <w:b/>
          <w:bCs/>
          <w:color w:val="auto"/>
          <w:kern w:val="0"/>
          <w:szCs w:val="21"/>
          <w:highlight w:val="none"/>
        </w:rPr>
        <w:t>3</w:t>
      </w:r>
      <w:bookmarkStart w:id="810" w:name="_Toc296346549"/>
      <w:bookmarkStart w:id="811" w:name="_Toc296503048"/>
      <w:bookmarkStart w:id="812" w:name="_Toc337558749"/>
      <w:r>
        <w:rPr>
          <w:rFonts w:hint="eastAsia" w:ascii="宋体" w:hAnsi="宋体" w:cs="宋体"/>
          <w:b/>
          <w:bCs/>
          <w:color w:val="auto"/>
          <w:kern w:val="0"/>
          <w:szCs w:val="21"/>
          <w:highlight w:val="none"/>
        </w:rPr>
        <w:t xml:space="preserve">.3 </w:t>
      </w:r>
      <w:bookmarkEnd w:id="810"/>
      <w:bookmarkEnd w:id="811"/>
      <w:r>
        <w:rPr>
          <w:rFonts w:hint="eastAsia" w:ascii="宋体" w:hAnsi="宋体" w:cs="宋体"/>
          <w:b/>
          <w:bCs/>
          <w:color w:val="auto"/>
          <w:kern w:val="0"/>
          <w:szCs w:val="21"/>
          <w:highlight w:val="none"/>
        </w:rPr>
        <w:t>承包人人员</w:t>
      </w:r>
      <w:bookmarkEnd w:id="808"/>
      <w:bookmarkEnd w:id="809"/>
    </w:p>
    <w:bookmarkEnd w:id="812"/>
    <w:p w14:paraId="6471CC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E5F20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1C4EBD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特殊工种作业人员均应持有相应的资格证明，监理人可以随时检查。</w:t>
      </w:r>
    </w:p>
    <w:p w14:paraId="635D6D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7AF46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8E992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3.3.5 承包人擅自更换主要施工管理人员，或前述人员未经监理人或发包人同意擅自离开施工现场的，应按照专用合同条款约定承担违约责任。</w:t>
      </w:r>
    </w:p>
    <w:p w14:paraId="0529E580">
      <w:pPr>
        <w:widowControl/>
        <w:spacing w:line="360" w:lineRule="auto"/>
        <w:ind w:firstLine="422" w:firstLineChars="200"/>
        <w:jc w:val="left"/>
        <w:outlineLvl w:val="4"/>
        <w:rPr>
          <w:rFonts w:ascii="宋体" w:hAnsi="宋体" w:cs="宋体"/>
          <w:b/>
          <w:bCs/>
          <w:color w:val="auto"/>
          <w:kern w:val="0"/>
          <w:szCs w:val="21"/>
          <w:highlight w:val="none"/>
        </w:rPr>
      </w:pPr>
      <w:bookmarkStart w:id="813" w:name="_Toc532377208"/>
      <w:bookmarkStart w:id="814" w:name="_Toc351203522"/>
      <w:r>
        <w:rPr>
          <w:rFonts w:hint="eastAsia" w:ascii="宋体" w:hAnsi="宋体" w:cs="宋体"/>
          <w:b/>
          <w:bCs/>
          <w:color w:val="auto"/>
          <w:kern w:val="0"/>
          <w:szCs w:val="21"/>
          <w:highlight w:val="none"/>
        </w:rPr>
        <w:t>3</w:t>
      </w:r>
      <w:bookmarkStart w:id="815" w:name="_Toc337558750"/>
      <w:bookmarkStart w:id="816" w:name="_Toc296503050"/>
      <w:bookmarkStart w:id="817" w:name="_Toc296346551"/>
      <w:r>
        <w:rPr>
          <w:rFonts w:hint="eastAsia" w:ascii="宋体" w:hAnsi="宋体" w:cs="宋体"/>
          <w:b/>
          <w:bCs/>
          <w:color w:val="auto"/>
          <w:kern w:val="0"/>
          <w:szCs w:val="21"/>
          <w:highlight w:val="none"/>
        </w:rPr>
        <w:t>.4 承包人现场查勘</w:t>
      </w:r>
      <w:bookmarkEnd w:id="813"/>
      <w:bookmarkEnd w:id="814"/>
    </w:p>
    <w:bookmarkEnd w:id="815"/>
    <w:bookmarkEnd w:id="816"/>
    <w:bookmarkEnd w:id="817"/>
    <w:p w14:paraId="179A70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承包人应对基于发包人按照第2.4.3项〔提供基础资料〕提交的基础资料所做出的解释和推断负责，但因基础资料存在错误、遗漏导致承包人解释或推断失实的，由承包人承担相应责任。</w:t>
      </w:r>
    </w:p>
    <w:p w14:paraId="3F3771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13E0913">
      <w:pPr>
        <w:widowControl/>
        <w:spacing w:line="360" w:lineRule="auto"/>
        <w:ind w:firstLine="422" w:firstLineChars="200"/>
        <w:jc w:val="left"/>
        <w:outlineLvl w:val="4"/>
        <w:rPr>
          <w:rFonts w:ascii="宋体" w:hAnsi="宋体" w:cs="宋体"/>
          <w:b/>
          <w:bCs/>
          <w:color w:val="auto"/>
          <w:kern w:val="0"/>
          <w:szCs w:val="21"/>
          <w:highlight w:val="none"/>
        </w:rPr>
      </w:pPr>
      <w:bookmarkStart w:id="818" w:name="_Toc351203523"/>
      <w:bookmarkStart w:id="819" w:name="_Toc532377209"/>
      <w:r>
        <w:rPr>
          <w:rFonts w:hint="eastAsia" w:ascii="宋体" w:hAnsi="宋体" w:cs="宋体"/>
          <w:b/>
          <w:bCs/>
          <w:color w:val="auto"/>
          <w:kern w:val="0"/>
          <w:szCs w:val="21"/>
          <w:highlight w:val="none"/>
        </w:rPr>
        <w:t>3</w:t>
      </w:r>
      <w:bookmarkStart w:id="820" w:name="_Toc337558751"/>
      <w:bookmarkStart w:id="821" w:name="_Toc296503051"/>
      <w:bookmarkStart w:id="822" w:name="_Toc296346552"/>
      <w:r>
        <w:rPr>
          <w:rFonts w:hint="eastAsia" w:ascii="宋体" w:hAnsi="宋体" w:cs="宋体"/>
          <w:b/>
          <w:bCs/>
          <w:color w:val="auto"/>
          <w:kern w:val="0"/>
          <w:szCs w:val="21"/>
          <w:highlight w:val="none"/>
        </w:rPr>
        <w:t>.5 分包</w:t>
      </w:r>
      <w:bookmarkEnd w:id="818"/>
      <w:bookmarkEnd w:id="819"/>
    </w:p>
    <w:bookmarkEnd w:id="820"/>
    <w:bookmarkEnd w:id="821"/>
    <w:bookmarkEnd w:id="822"/>
    <w:p w14:paraId="65829BE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3.5.1 分包的一般约定</w:t>
      </w:r>
    </w:p>
    <w:p w14:paraId="0585315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726953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承包人不得以劳务分包的名义转包或违法分包工程。</w:t>
      </w:r>
    </w:p>
    <w:p w14:paraId="78900F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3.5.2 分包的确定</w:t>
      </w:r>
    </w:p>
    <w:p w14:paraId="2CA69C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CCDA4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3.5.3 分包管理</w:t>
      </w:r>
    </w:p>
    <w:p w14:paraId="1B99F7E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14:paraId="018EBA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3.5.4 分包合同价款</w:t>
      </w:r>
    </w:p>
    <w:p w14:paraId="3E19D0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（1）除本项第（2）目约定的情况或专用合同条款另有约定外，分包合同价款由承包人与分包人结算，未经承包人同意，发包人不得向分包人支付分包工程价款；</w:t>
      </w:r>
    </w:p>
    <w:p w14:paraId="442FC3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（2）生效法律文书要求发包人向分包人支付分包合同价款的，发包人有权从应付承包人工程款中扣除该部分款项。</w:t>
      </w:r>
    </w:p>
    <w:p w14:paraId="13D921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3.5.5 分包合同权益的转让</w:t>
      </w:r>
    </w:p>
    <w:p w14:paraId="14216F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23" w:name="_Toc351203524"/>
    </w:p>
    <w:p w14:paraId="78BD7AB8">
      <w:pPr>
        <w:widowControl/>
        <w:spacing w:line="360" w:lineRule="auto"/>
        <w:ind w:firstLine="422" w:firstLineChars="200"/>
        <w:jc w:val="left"/>
        <w:outlineLvl w:val="4"/>
        <w:rPr>
          <w:rFonts w:ascii="宋体" w:hAnsi="宋体" w:cs="宋体"/>
          <w:b/>
          <w:bCs/>
          <w:color w:val="auto"/>
          <w:kern w:val="0"/>
          <w:szCs w:val="21"/>
          <w:highlight w:val="none"/>
        </w:rPr>
      </w:pPr>
      <w:bookmarkStart w:id="824" w:name="_Toc532377210"/>
      <w:r>
        <w:rPr>
          <w:rFonts w:hint="eastAsia" w:ascii="宋体" w:hAnsi="宋体" w:cs="宋体"/>
          <w:b/>
          <w:bCs/>
          <w:color w:val="auto"/>
          <w:kern w:val="0"/>
          <w:szCs w:val="21"/>
          <w:highlight w:val="none"/>
        </w:rPr>
        <w:t>3.6 工程照管与成品、半成品保护</w:t>
      </w:r>
      <w:bookmarkEnd w:id="823"/>
      <w:bookmarkEnd w:id="824"/>
    </w:p>
    <w:p w14:paraId="323F8B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14:paraId="5CD422E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（2）在承包人负责照管期间，因承包人原因造成工程、材料、工程设备损坏的，由承包人负责修复或更换，并承担由此增加的费用和（或）延误的工期。</w:t>
      </w:r>
    </w:p>
    <w:p w14:paraId="05852CC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F29B028">
      <w:pPr>
        <w:widowControl/>
        <w:spacing w:line="360" w:lineRule="auto"/>
        <w:ind w:firstLine="422" w:firstLineChars="200"/>
        <w:jc w:val="left"/>
        <w:outlineLvl w:val="4"/>
        <w:rPr>
          <w:rFonts w:ascii="宋体" w:hAnsi="宋体" w:cs="宋体"/>
          <w:b/>
          <w:bCs/>
          <w:color w:val="auto"/>
          <w:kern w:val="0"/>
          <w:szCs w:val="21"/>
          <w:highlight w:val="none"/>
        </w:rPr>
      </w:pPr>
      <w:bookmarkStart w:id="825" w:name="_Toc351203525"/>
      <w:bookmarkStart w:id="826" w:name="_Toc532377211"/>
      <w:r>
        <w:rPr>
          <w:rFonts w:hint="eastAsia" w:ascii="宋体" w:hAnsi="宋体" w:cs="宋体"/>
          <w:b/>
          <w:bCs/>
          <w:color w:val="auto"/>
          <w:kern w:val="0"/>
          <w:szCs w:val="21"/>
          <w:highlight w:val="none"/>
        </w:rPr>
        <w:t>3</w:t>
      </w:r>
      <w:bookmarkStart w:id="827" w:name="_Toc337558752"/>
      <w:bookmarkStart w:id="828" w:name="_Toc296346553"/>
      <w:bookmarkStart w:id="829" w:name="_Toc296503052"/>
      <w:r>
        <w:rPr>
          <w:rFonts w:hint="eastAsia" w:ascii="宋体" w:hAnsi="宋体" w:cs="宋体"/>
          <w:b/>
          <w:bCs/>
          <w:color w:val="auto"/>
          <w:kern w:val="0"/>
          <w:szCs w:val="21"/>
          <w:highlight w:val="none"/>
        </w:rPr>
        <w:t>.7 履约担保</w:t>
      </w:r>
      <w:bookmarkEnd w:id="825"/>
      <w:bookmarkEnd w:id="826"/>
    </w:p>
    <w:bookmarkEnd w:id="827"/>
    <w:bookmarkEnd w:id="828"/>
    <w:bookmarkEnd w:id="829"/>
    <w:p w14:paraId="7549A20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7FD4D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14:paraId="50EA1BCB">
      <w:pPr>
        <w:widowControl/>
        <w:spacing w:line="360" w:lineRule="auto"/>
        <w:ind w:firstLine="422" w:firstLineChars="200"/>
        <w:jc w:val="left"/>
        <w:outlineLvl w:val="4"/>
        <w:rPr>
          <w:rFonts w:ascii="宋体" w:hAnsi="宋体" w:cs="宋体"/>
          <w:b/>
          <w:bCs/>
          <w:color w:val="auto"/>
          <w:kern w:val="0"/>
          <w:szCs w:val="21"/>
          <w:highlight w:val="none"/>
        </w:rPr>
      </w:pPr>
      <w:bookmarkStart w:id="830" w:name="_Toc351203526"/>
      <w:bookmarkStart w:id="831" w:name="_Toc532377212"/>
      <w:r>
        <w:rPr>
          <w:rFonts w:hint="eastAsia" w:ascii="宋体" w:hAnsi="宋体" w:cs="宋体"/>
          <w:b/>
          <w:bCs/>
          <w:color w:val="auto"/>
          <w:kern w:val="0"/>
          <w:szCs w:val="21"/>
          <w:highlight w:val="none"/>
        </w:rPr>
        <w:t>3.8 联合体</w:t>
      </w:r>
      <w:bookmarkEnd w:id="830"/>
      <w:bookmarkEnd w:id="831"/>
    </w:p>
    <w:p w14:paraId="234142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3.8.1 联合体各方应共同与发包人签订合同协议书。联合体各方应为履行合同向发包人承担连带责任。</w:t>
      </w:r>
    </w:p>
    <w:p w14:paraId="0854CD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3.8.2 联合体协议经发包人确认后作为合同附件。在履行合同过程中，未经发包人同意，不得修改联合体协议。</w:t>
      </w:r>
    </w:p>
    <w:p w14:paraId="57A7C6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3.8.3 联合体牵头人负责与发包人和监理人联系，并接受指示，负责组织联合体各成员全面履行合同。</w:t>
      </w:r>
    </w:p>
    <w:p w14:paraId="6829E0C7">
      <w:pPr>
        <w:keepNext/>
        <w:keepLines/>
        <w:widowControl/>
        <w:spacing w:before="156" w:beforeLines="50" w:after="156" w:afterLines="50" w:line="360" w:lineRule="auto"/>
        <w:outlineLvl w:val="3"/>
        <w:rPr>
          <w:rFonts w:ascii="宋体" w:hAnsi="宋体" w:cs="宋体"/>
          <w:b/>
          <w:color w:val="auto"/>
          <w:szCs w:val="21"/>
          <w:highlight w:val="none"/>
        </w:rPr>
      </w:pPr>
      <w:bookmarkStart w:id="832" w:name="_Toc532375590"/>
      <w:bookmarkStart w:id="833" w:name="_Toc351203527"/>
      <w:bookmarkStart w:id="834" w:name="_Toc532377213"/>
      <w:r>
        <w:rPr>
          <w:rFonts w:hint="eastAsia" w:ascii="宋体" w:hAnsi="宋体" w:cs="宋体"/>
          <w:b/>
          <w:bCs/>
          <w:color w:val="auto"/>
          <w:szCs w:val="21"/>
          <w:highlight w:val="none"/>
        </w:rPr>
        <w:t>4</w:t>
      </w:r>
      <w:bookmarkStart w:id="835" w:name="_Toc296346554"/>
      <w:bookmarkStart w:id="836" w:name="_Toc296503053"/>
      <w:bookmarkStart w:id="837" w:name="_Toc337558753"/>
      <w:r>
        <w:rPr>
          <w:rFonts w:hint="eastAsia" w:ascii="宋体" w:hAnsi="宋体" w:cs="宋体"/>
          <w:b/>
          <w:bCs/>
          <w:color w:val="auto"/>
          <w:szCs w:val="21"/>
          <w:highlight w:val="none"/>
        </w:rPr>
        <w:t>. 监</w:t>
      </w:r>
      <w:bookmarkEnd w:id="835"/>
      <w:bookmarkEnd w:id="836"/>
      <w:r>
        <w:rPr>
          <w:rFonts w:hint="eastAsia" w:ascii="宋体" w:hAnsi="宋体" w:cs="宋体"/>
          <w:b/>
          <w:bCs/>
          <w:color w:val="auto"/>
          <w:szCs w:val="21"/>
          <w:highlight w:val="none"/>
        </w:rPr>
        <w:t>理人</w:t>
      </w:r>
      <w:bookmarkEnd w:id="832"/>
      <w:bookmarkEnd w:id="833"/>
      <w:bookmarkEnd w:id="834"/>
    </w:p>
    <w:bookmarkEnd w:id="837"/>
    <w:p w14:paraId="16FF2030">
      <w:pPr>
        <w:widowControl/>
        <w:spacing w:line="360" w:lineRule="auto"/>
        <w:ind w:firstLine="422" w:firstLineChars="200"/>
        <w:jc w:val="left"/>
        <w:outlineLvl w:val="4"/>
        <w:rPr>
          <w:rFonts w:ascii="宋体" w:hAnsi="宋体" w:cs="宋体"/>
          <w:b/>
          <w:bCs/>
          <w:color w:val="auto"/>
          <w:kern w:val="0"/>
          <w:szCs w:val="21"/>
          <w:highlight w:val="none"/>
        </w:rPr>
      </w:pPr>
      <w:bookmarkStart w:id="838" w:name="_Toc532377214"/>
      <w:bookmarkStart w:id="839" w:name="_Toc351203528"/>
      <w:r>
        <w:rPr>
          <w:rFonts w:hint="eastAsia" w:ascii="宋体" w:hAnsi="宋体" w:cs="宋体"/>
          <w:b/>
          <w:bCs/>
          <w:color w:val="auto"/>
          <w:kern w:val="0"/>
          <w:szCs w:val="21"/>
          <w:highlight w:val="none"/>
        </w:rPr>
        <w:t>4</w:t>
      </w:r>
      <w:bookmarkStart w:id="840" w:name="_Toc296503054"/>
      <w:bookmarkStart w:id="841" w:name="_Toc296346555"/>
      <w:bookmarkStart w:id="842" w:name="_Toc337558754"/>
      <w:r>
        <w:rPr>
          <w:rFonts w:hint="eastAsia" w:ascii="宋体" w:hAnsi="宋体" w:cs="宋体"/>
          <w:b/>
          <w:bCs/>
          <w:color w:val="auto"/>
          <w:kern w:val="0"/>
          <w:szCs w:val="21"/>
          <w:highlight w:val="none"/>
        </w:rPr>
        <w:t>.1监理人的一般规定</w:t>
      </w:r>
      <w:bookmarkEnd w:id="838"/>
      <w:bookmarkEnd w:id="839"/>
    </w:p>
    <w:bookmarkEnd w:id="840"/>
    <w:bookmarkEnd w:id="841"/>
    <w:bookmarkEnd w:id="842"/>
    <w:p w14:paraId="6D05DE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6C494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除专用合同条款另有约定外，监理人在施工现场的办公场所、生活场所由承包人提供，所发生的费用由发包人承担。</w:t>
      </w:r>
    </w:p>
    <w:p w14:paraId="3807BB09">
      <w:pPr>
        <w:widowControl/>
        <w:spacing w:line="360" w:lineRule="auto"/>
        <w:ind w:firstLine="422" w:firstLineChars="200"/>
        <w:jc w:val="left"/>
        <w:outlineLvl w:val="4"/>
        <w:rPr>
          <w:rFonts w:ascii="宋体" w:hAnsi="宋体" w:cs="宋体"/>
          <w:b/>
          <w:bCs/>
          <w:color w:val="auto"/>
          <w:kern w:val="0"/>
          <w:szCs w:val="21"/>
          <w:highlight w:val="none"/>
        </w:rPr>
      </w:pPr>
      <w:bookmarkStart w:id="843" w:name="_Toc351203529"/>
      <w:bookmarkStart w:id="844" w:name="_Toc532377215"/>
      <w:r>
        <w:rPr>
          <w:rFonts w:hint="eastAsia" w:ascii="宋体" w:hAnsi="宋体" w:cs="宋体"/>
          <w:b/>
          <w:bCs/>
          <w:color w:val="auto"/>
          <w:kern w:val="0"/>
          <w:szCs w:val="21"/>
          <w:highlight w:val="none"/>
        </w:rPr>
        <w:t>4</w:t>
      </w:r>
      <w:bookmarkStart w:id="845" w:name="_Toc337558755"/>
      <w:r>
        <w:rPr>
          <w:rFonts w:hint="eastAsia" w:ascii="宋体" w:hAnsi="宋体" w:cs="宋体"/>
          <w:b/>
          <w:bCs/>
          <w:color w:val="auto"/>
          <w:kern w:val="0"/>
          <w:szCs w:val="21"/>
          <w:highlight w:val="none"/>
        </w:rPr>
        <w:t>.2监理人员</w:t>
      </w:r>
      <w:bookmarkEnd w:id="843"/>
      <w:bookmarkEnd w:id="844"/>
    </w:p>
    <w:bookmarkEnd w:id="845"/>
    <w:p w14:paraId="26E875F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3900581">
      <w:pPr>
        <w:widowControl/>
        <w:spacing w:line="360" w:lineRule="auto"/>
        <w:ind w:firstLine="422" w:firstLineChars="200"/>
        <w:jc w:val="left"/>
        <w:outlineLvl w:val="4"/>
        <w:rPr>
          <w:rFonts w:ascii="宋体" w:hAnsi="宋体" w:cs="宋体"/>
          <w:b/>
          <w:bCs/>
          <w:color w:val="auto"/>
          <w:kern w:val="0"/>
          <w:szCs w:val="21"/>
          <w:highlight w:val="none"/>
        </w:rPr>
      </w:pPr>
      <w:bookmarkStart w:id="846" w:name="_Toc532377216"/>
      <w:bookmarkStart w:id="847" w:name="_Toc351203530"/>
      <w:r>
        <w:rPr>
          <w:rFonts w:hint="eastAsia" w:ascii="宋体" w:hAnsi="宋体" w:cs="宋体"/>
          <w:b/>
          <w:bCs/>
          <w:color w:val="auto"/>
          <w:kern w:val="0"/>
          <w:szCs w:val="21"/>
          <w:highlight w:val="none"/>
        </w:rPr>
        <w:t>4</w:t>
      </w:r>
      <w:bookmarkStart w:id="848" w:name="_Toc296503055"/>
      <w:bookmarkStart w:id="849" w:name="_Toc296346556"/>
      <w:bookmarkStart w:id="850" w:name="_Toc337558756"/>
      <w:r>
        <w:rPr>
          <w:rFonts w:hint="eastAsia" w:ascii="宋体" w:hAnsi="宋体" w:cs="宋体"/>
          <w:b/>
          <w:bCs/>
          <w:color w:val="auto"/>
          <w:kern w:val="0"/>
          <w:szCs w:val="21"/>
          <w:highlight w:val="none"/>
        </w:rPr>
        <w:t>.3</w:t>
      </w:r>
      <w:bookmarkEnd w:id="848"/>
      <w:bookmarkEnd w:id="849"/>
      <w:r>
        <w:rPr>
          <w:rFonts w:hint="eastAsia" w:ascii="宋体" w:hAnsi="宋体" w:cs="宋体"/>
          <w:b/>
          <w:bCs/>
          <w:color w:val="auto"/>
          <w:kern w:val="0"/>
          <w:szCs w:val="21"/>
          <w:highlight w:val="none"/>
        </w:rPr>
        <w:t>监理人的指</w:t>
      </w:r>
      <w:bookmarkEnd w:id="850"/>
      <w:r>
        <w:rPr>
          <w:rFonts w:hint="eastAsia" w:ascii="宋体" w:hAnsi="宋体" w:cs="宋体"/>
          <w:b/>
          <w:bCs/>
          <w:color w:val="auto"/>
          <w:kern w:val="0"/>
          <w:szCs w:val="21"/>
          <w:highlight w:val="none"/>
        </w:rPr>
        <w:t>示</w:t>
      </w:r>
      <w:bookmarkEnd w:id="846"/>
      <w:bookmarkEnd w:id="847"/>
    </w:p>
    <w:p w14:paraId="3EC56F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A877F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7B4C6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09B4CB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4AE67CE4">
      <w:pPr>
        <w:widowControl/>
        <w:spacing w:line="360" w:lineRule="auto"/>
        <w:ind w:firstLine="422" w:firstLineChars="200"/>
        <w:jc w:val="left"/>
        <w:outlineLvl w:val="4"/>
        <w:rPr>
          <w:rFonts w:ascii="宋体" w:hAnsi="宋体" w:cs="宋体"/>
          <w:b/>
          <w:bCs/>
          <w:color w:val="auto"/>
          <w:kern w:val="0"/>
          <w:szCs w:val="21"/>
          <w:highlight w:val="none"/>
        </w:rPr>
      </w:pPr>
      <w:bookmarkStart w:id="851" w:name="_Toc532377217"/>
      <w:bookmarkStart w:id="852" w:name="_Toc351203531"/>
      <w:r>
        <w:rPr>
          <w:rFonts w:hint="eastAsia" w:ascii="宋体" w:hAnsi="宋体" w:cs="宋体"/>
          <w:b/>
          <w:bCs/>
          <w:color w:val="auto"/>
          <w:kern w:val="0"/>
          <w:szCs w:val="21"/>
          <w:highlight w:val="none"/>
        </w:rPr>
        <w:t>4</w:t>
      </w:r>
      <w:bookmarkStart w:id="853" w:name="_Toc337558757"/>
      <w:bookmarkStart w:id="854" w:name="_Toc296503057"/>
      <w:bookmarkStart w:id="855" w:name="_Toc296346558"/>
      <w:r>
        <w:rPr>
          <w:rFonts w:hint="eastAsia" w:ascii="宋体" w:hAnsi="宋体" w:cs="宋体"/>
          <w:b/>
          <w:bCs/>
          <w:color w:val="auto"/>
          <w:kern w:val="0"/>
          <w:szCs w:val="21"/>
          <w:highlight w:val="none"/>
        </w:rPr>
        <w:t>.4 商定或确定</w:t>
      </w:r>
      <w:bookmarkEnd w:id="851"/>
      <w:bookmarkEnd w:id="852"/>
    </w:p>
    <w:bookmarkEnd w:id="853"/>
    <w:bookmarkEnd w:id="854"/>
    <w:bookmarkEnd w:id="855"/>
    <w:p w14:paraId="5749B5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14:paraId="4A6E69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1EDC7FE4">
      <w:pPr>
        <w:keepNext/>
        <w:keepLines/>
        <w:widowControl/>
        <w:spacing w:before="156" w:beforeLines="50" w:after="156" w:afterLines="50" w:line="360" w:lineRule="auto"/>
        <w:outlineLvl w:val="3"/>
        <w:rPr>
          <w:rFonts w:ascii="宋体" w:hAnsi="宋体" w:cs="宋体"/>
          <w:b/>
          <w:color w:val="auto"/>
          <w:szCs w:val="21"/>
          <w:highlight w:val="none"/>
        </w:rPr>
      </w:pPr>
      <w:bookmarkStart w:id="856" w:name="_Toc351203532"/>
      <w:bookmarkStart w:id="857" w:name="_Toc532377218"/>
      <w:bookmarkStart w:id="858" w:name="_Toc532375591"/>
      <w:r>
        <w:rPr>
          <w:rFonts w:hint="eastAsia" w:ascii="宋体" w:hAnsi="宋体" w:cs="宋体"/>
          <w:b/>
          <w:bCs/>
          <w:color w:val="auto"/>
          <w:szCs w:val="21"/>
          <w:highlight w:val="none"/>
        </w:rPr>
        <w:t>5</w:t>
      </w:r>
      <w:bookmarkStart w:id="859" w:name="_Toc337558758"/>
      <w:r>
        <w:rPr>
          <w:rFonts w:hint="eastAsia" w:ascii="宋体" w:hAnsi="宋体" w:cs="宋体"/>
          <w:b/>
          <w:bCs/>
          <w:color w:val="auto"/>
          <w:szCs w:val="21"/>
          <w:highlight w:val="none"/>
        </w:rPr>
        <w:t>. 工程质量</w:t>
      </w:r>
      <w:bookmarkEnd w:id="856"/>
      <w:bookmarkEnd w:id="857"/>
      <w:bookmarkEnd w:id="858"/>
    </w:p>
    <w:bookmarkEnd w:id="859"/>
    <w:p w14:paraId="3A5F43E3">
      <w:pPr>
        <w:widowControl/>
        <w:spacing w:line="360" w:lineRule="auto"/>
        <w:ind w:firstLine="422" w:firstLineChars="200"/>
        <w:jc w:val="left"/>
        <w:outlineLvl w:val="4"/>
        <w:rPr>
          <w:rFonts w:ascii="宋体" w:hAnsi="宋体" w:cs="宋体"/>
          <w:b/>
          <w:bCs/>
          <w:color w:val="auto"/>
          <w:kern w:val="0"/>
          <w:szCs w:val="21"/>
          <w:highlight w:val="none"/>
        </w:rPr>
      </w:pPr>
      <w:bookmarkStart w:id="860" w:name="_Toc351203533"/>
      <w:bookmarkStart w:id="861" w:name="_Toc532377219"/>
      <w:r>
        <w:rPr>
          <w:rFonts w:hint="eastAsia" w:ascii="宋体" w:hAnsi="宋体" w:cs="宋体"/>
          <w:b/>
          <w:bCs/>
          <w:color w:val="auto"/>
          <w:kern w:val="0"/>
          <w:szCs w:val="21"/>
          <w:highlight w:val="none"/>
        </w:rPr>
        <w:t>5</w:t>
      </w:r>
      <w:bookmarkStart w:id="862" w:name="_Toc337558759"/>
      <w:r>
        <w:rPr>
          <w:rFonts w:hint="eastAsia" w:ascii="宋体" w:hAnsi="宋体" w:cs="宋体"/>
          <w:b/>
          <w:bCs/>
          <w:color w:val="auto"/>
          <w:kern w:val="0"/>
          <w:szCs w:val="21"/>
          <w:highlight w:val="none"/>
        </w:rPr>
        <w:t>.1质量要求</w:t>
      </w:r>
      <w:bookmarkEnd w:id="860"/>
      <w:bookmarkEnd w:id="861"/>
    </w:p>
    <w:bookmarkEnd w:id="862"/>
    <w:p w14:paraId="63A11B1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5.1.1 工程质量标准必须符合现行国家有关工程施工质量验收规范和标准的要求。有关工程质量的特殊标准或要求由合同当事人在专用合同条款中约定。</w:t>
      </w:r>
    </w:p>
    <w:p w14:paraId="07B257B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5.1.2 因发包人原因造成工程质量未达到合同约定标准的，由发包人承担由此延误的工期。</w:t>
      </w:r>
    </w:p>
    <w:p w14:paraId="5FE506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因承包人原因造成工程质量未达到合同约定标准的，发包人有权要求承包人返工直至工程质量达到合同约定的标准为止，并由承包人承担由此增加的费用和（或）延误的工期并承担逾期竣工违约责任。</w:t>
      </w:r>
    </w:p>
    <w:p w14:paraId="3908AAC8">
      <w:pPr>
        <w:widowControl/>
        <w:spacing w:line="360" w:lineRule="auto"/>
        <w:ind w:firstLine="422" w:firstLineChars="200"/>
        <w:jc w:val="left"/>
        <w:outlineLvl w:val="4"/>
        <w:rPr>
          <w:rFonts w:ascii="宋体" w:hAnsi="宋体" w:cs="宋体"/>
          <w:b/>
          <w:bCs/>
          <w:color w:val="auto"/>
          <w:kern w:val="0"/>
          <w:szCs w:val="21"/>
          <w:highlight w:val="none"/>
        </w:rPr>
      </w:pPr>
      <w:bookmarkStart w:id="863" w:name="_Toc532377220"/>
      <w:bookmarkStart w:id="864" w:name="_Toc351203534"/>
      <w:r>
        <w:rPr>
          <w:rFonts w:hint="eastAsia" w:ascii="宋体" w:hAnsi="宋体" w:cs="宋体"/>
          <w:b/>
          <w:bCs/>
          <w:color w:val="auto"/>
          <w:kern w:val="0"/>
          <w:szCs w:val="21"/>
          <w:highlight w:val="none"/>
        </w:rPr>
        <w:t>5</w:t>
      </w:r>
      <w:bookmarkStart w:id="865" w:name="_Toc337558760"/>
      <w:r>
        <w:rPr>
          <w:rFonts w:hint="eastAsia" w:ascii="宋体" w:hAnsi="宋体" w:cs="宋体"/>
          <w:b/>
          <w:bCs/>
          <w:color w:val="auto"/>
          <w:kern w:val="0"/>
          <w:szCs w:val="21"/>
          <w:highlight w:val="none"/>
        </w:rPr>
        <w:t>.2质量保证措施</w:t>
      </w:r>
      <w:bookmarkEnd w:id="863"/>
      <w:bookmarkEnd w:id="864"/>
    </w:p>
    <w:bookmarkEnd w:id="865"/>
    <w:p w14:paraId="7CD8F6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5.2.1 发包人的质量管理</w:t>
      </w:r>
    </w:p>
    <w:p w14:paraId="542F0E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发包人应按照法律规定及合同约定完成与工程质量有关的各项工作。</w:t>
      </w:r>
    </w:p>
    <w:p w14:paraId="55221C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5.2.2 承包人的质量管理</w:t>
      </w:r>
    </w:p>
    <w:p w14:paraId="46A8A3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903A1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承包人应对施工人员进行质量教育和技术培训，定期考核施工人员的劳动技能，严格执行施工规范和操作规程。</w:t>
      </w:r>
    </w:p>
    <w:p w14:paraId="5C6CC1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0A448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5.2.3 监理人的质量检查和检验</w:t>
      </w:r>
    </w:p>
    <w:p w14:paraId="439E38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0E60D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延误的工期由发包人承担。</w:t>
      </w:r>
    </w:p>
    <w:p w14:paraId="4EB58B49">
      <w:pPr>
        <w:widowControl/>
        <w:spacing w:line="360" w:lineRule="auto"/>
        <w:ind w:firstLine="422" w:firstLineChars="200"/>
        <w:jc w:val="left"/>
        <w:outlineLvl w:val="4"/>
        <w:rPr>
          <w:rFonts w:ascii="宋体" w:hAnsi="宋体" w:cs="宋体"/>
          <w:b/>
          <w:bCs/>
          <w:color w:val="auto"/>
          <w:kern w:val="0"/>
          <w:szCs w:val="21"/>
          <w:highlight w:val="none"/>
        </w:rPr>
      </w:pPr>
      <w:bookmarkStart w:id="866" w:name="_Toc532377221"/>
      <w:bookmarkStart w:id="867" w:name="_Toc351203535"/>
      <w:r>
        <w:rPr>
          <w:rFonts w:hint="eastAsia" w:ascii="宋体" w:hAnsi="宋体" w:cs="宋体"/>
          <w:b/>
          <w:bCs/>
          <w:color w:val="auto"/>
          <w:kern w:val="0"/>
          <w:szCs w:val="21"/>
          <w:highlight w:val="none"/>
        </w:rPr>
        <w:t>5</w:t>
      </w:r>
      <w:bookmarkStart w:id="868" w:name="_Toc337558761"/>
      <w:r>
        <w:rPr>
          <w:rFonts w:hint="eastAsia" w:ascii="宋体" w:hAnsi="宋体" w:cs="宋体"/>
          <w:b/>
          <w:bCs/>
          <w:color w:val="auto"/>
          <w:kern w:val="0"/>
          <w:szCs w:val="21"/>
          <w:highlight w:val="none"/>
        </w:rPr>
        <w:t>.3 隐蔽工程检查</w:t>
      </w:r>
      <w:bookmarkEnd w:id="866"/>
      <w:bookmarkEnd w:id="867"/>
    </w:p>
    <w:bookmarkEnd w:id="868"/>
    <w:p w14:paraId="57F4827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5.3.1承包人自检</w:t>
      </w:r>
    </w:p>
    <w:p w14:paraId="40DCAE2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承包人应当对工程隐蔽部位进行自检，并经自检确认是否具备覆盖条件。</w:t>
      </w:r>
    </w:p>
    <w:p w14:paraId="5B144F8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5.3.2检查程序</w:t>
      </w:r>
    </w:p>
    <w:p w14:paraId="2842E91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C59B6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142558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事后对检查记录有疑问的，可按第5.3.3项〔重新检查〕的约定重新检查。</w:t>
      </w:r>
    </w:p>
    <w:p w14:paraId="59BB64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 重新检查</w:t>
      </w:r>
    </w:p>
    <w:p w14:paraId="454B01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延误的工期；经检查证明工程质量不符合合同要求的，由此增加的费用和（或）延误的工期由承包人承担。</w:t>
      </w:r>
    </w:p>
    <w:p w14:paraId="13DE27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 承包人私自覆盖</w:t>
      </w:r>
    </w:p>
    <w:p w14:paraId="518C01C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1AD2E966">
      <w:pPr>
        <w:widowControl/>
        <w:spacing w:line="360" w:lineRule="auto"/>
        <w:ind w:firstLine="422" w:firstLineChars="200"/>
        <w:jc w:val="left"/>
        <w:outlineLvl w:val="4"/>
        <w:rPr>
          <w:rFonts w:ascii="宋体" w:hAnsi="宋体" w:cs="宋体"/>
          <w:b/>
          <w:bCs/>
          <w:color w:val="auto"/>
          <w:kern w:val="0"/>
          <w:szCs w:val="21"/>
          <w:highlight w:val="none"/>
        </w:rPr>
      </w:pPr>
      <w:bookmarkStart w:id="869" w:name="_Toc532377222"/>
      <w:r>
        <w:rPr>
          <w:rFonts w:hint="eastAsia" w:ascii="宋体" w:hAnsi="宋体" w:cs="宋体"/>
          <w:b/>
          <w:bCs/>
          <w:color w:val="auto"/>
          <w:kern w:val="0"/>
          <w:szCs w:val="21"/>
          <w:highlight w:val="none"/>
        </w:rPr>
        <w:t>5.4不合格工程的处理</w:t>
      </w:r>
      <w:bookmarkEnd w:id="869"/>
    </w:p>
    <w:p w14:paraId="7DD5DB1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6A412B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5.4.2 因发包人原因造成工程不合格的，由此延误的工期由发包人承担。</w:t>
      </w:r>
    </w:p>
    <w:p w14:paraId="7A53924E">
      <w:pPr>
        <w:widowControl/>
        <w:spacing w:line="360" w:lineRule="auto"/>
        <w:ind w:firstLine="422" w:firstLineChars="200"/>
        <w:jc w:val="left"/>
        <w:outlineLvl w:val="4"/>
        <w:rPr>
          <w:rFonts w:ascii="宋体" w:hAnsi="宋体" w:cs="宋体"/>
          <w:b/>
          <w:bCs/>
          <w:color w:val="auto"/>
          <w:kern w:val="0"/>
          <w:szCs w:val="21"/>
          <w:highlight w:val="none"/>
        </w:rPr>
      </w:pPr>
      <w:bookmarkStart w:id="870" w:name="_Toc532377223"/>
      <w:bookmarkStart w:id="871" w:name="_Toc351203537"/>
      <w:r>
        <w:rPr>
          <w:rFonts w:hint="eastAsia" w:ascii="宋体" w:hAnsi="宋体" w:cs="宋体"/>
          <w:b/>
          <w:bCs/>
          <w:color w:val="auto"/>
          <w:kern w:val="0"/>
          <w:szCs w:val="21"/>
          <w:highlight w:val="none"/>
        </w:rPr>
        <w:t>5.5 质量争议检测</w:t>
      </w:r>
      <w:bookmarkEnd w:id="870"/>
      <w:bookmarkEnd w:id="871"/>
    </w:p>
    <w:p w14:paraId="4481D2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合同当事人对工程质量有争议的，由双方协商确定的工程质量检测机构鉴定，由此产生的费用及因此造成的损失，由责任方承担。</w:t>
      </w:r>
    </w:p>
    <w:p w14:paraId="0E8141E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合同当事人均有责任的，由双方根据其责任分别承担。合同当事人无法达成一致的，按照第4.4款〔商定或确定〕执行。</w:t>
      </w:r>
    </w:p>
    <w:p w14:paraId="6903CAF0">
      <w:pPr>
        <w:keepNext/>
        <w:keepLines/>
        <w:widowControl/>
        <w:spacing w:before="156" w:beforeLines="50" w:after="156" w:afterLines="50" w:line="360" w:lineRule="auto"/>
        <w:outlineLvl w:val="3"/>
        <w:rPr>
          <w:rFonts w:ascii="宋体" w:hAnsi="宋体" w:cs="宋体"/>
          <w:b/>
          <w:color w:val="auto"/>
          <w:szCs w:val="21"/>
          <w:highlight w:val="none"/>
        </w:rPr>
      </w:pPr>
      <w:bookmarkStart w:id="872" w:name="_Toc532375592"/>
      <w:bookmarkStart w:id="873" w:name="_Toc351203538"/>
      <w:bookmarkStart w:id="874" w:name="_Toc532377224"/>
      <w:r>
        <w:rPr>
          <w:rFonts w:hint="eastAsia" w:ascii="宋体" w:hAnsi="宋体" w:cs="宋体"/>
          <w:b/>
          <w:bCs/>
          <w:color w:val="auto"/>
          <w:szCs w:val="21"/>
          <w:highlight w:val="none"/>
        </w:rPr>
        <w:t>6</w:t>
      </w:r>
      <w:bookmarkStart w:id="875" w:name="_Toc337558763"/>
      <w:r>
        <w:rPr>
          <w:rFonts w:hint="eastAsia" w:ascii="宋体" w:hAnsi="宋体" w:cs="宋体"/>
          <w:b/>
          <w:bCs/>
          <w:color w:val="auto"/>
          <w:szCs w:val="21"/>
          <w:highlight w:val="none"/>
        </w:rPr>
        <w:t>. 安全文明施工与环境保护</w:t>
      </w:r>
      <w:bookmarkEnd w:id="872"/>
      <w:bookmarkEnd w:id="873"/>
      <w:bookmarkEnd w:id="874"/>
    </w:p>
    <w:bookmarkEnd w:id="875"/>
    <w:p w14:paraId="2F93A1B8">
      <w:pPr>
        <w:widowControl/>
        <w:spacing w:line="360" w:lineRule="auto"/>
        <w:ind w:firstLine="422" w:firstLineChars="200"/>
        <w:jc w:val="left"/>
        <w:outlineLvl w:val="4"/>
        <w:rPr>
          <w:rFonts w:ascii="宋体" w:hAnsi="宋体" w:cs="宋体"/>
          <w:b/>
          <w:bCs/>
          <w:color w:val="auto"/>
          <w:kern w:val="0"/>
          <w:szCs w:val="21"/>
          <w:highlight w:val="none"/>
        </w:rPr>
      </w:pPr>
      <w:bookmarkStart w:id="876" w:name="_Toc532377225"/>
      <w:bookmarkStart w:id="877" w:name="_Toc351203539"/>
      <w:r>
        <w:rPr>
          <w:rFonts w:hint="eastAsia" w:ascii="宋体" w:hAnsi="宋体" w:cs="宋体"/>
          <w:b/>
          <w:bCs/>
          <w:color w:val="auto"/>
          <w:kern w:val="0"/>
          <w:szCs w:val="21"/>
          <w:highlight w:val="none"/>
        </w:rPr>
        <w:t>6</w:t>
      </w:r>
      <w:bookmarkStart w:id="878" w:name="_Toc337558764"/>
      <w:r>
        <w:rPr>
          <w:rFonts w:hint="eastAsia" w:ascii="宋体" w:hAnsi="宋体" w:cs="宋体"/>
          <w:b/>
          <w:bCs/>
          <w:color w:val="auto"/>
          <w:kern w:val="0"/>
          <w:szCs w:val="21"/>
          <w:highlight w:val="none"/>
        </w:rPr>
        <w:t>.1安全文明施工</w:t>
      </w:r>
      <w:bookmarkEnd w:id="876"/>
      <w:bookmarkEnd w:id="877"/>
    </w:p>
    <w:bookmarkEnd w:id="878"/>
    <w:p w14:paraId="71FB58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6.1.1安全生产要求</w:t>
      </w:r>
    </w:p>
    <w:p w14:paraId="00ED8A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EF001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6BF3B2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因安全生产需要暂停施工的，按照第7.8款〔暂停施工〕的约定执行。</w:t>
      </w:r>
    </w:p>
    <w:p w14:paraId="3A6B7C2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6.1.2 安全生产保证措施</w:t>
      </w:r>
    </w:p>
    <w:p w14:paraId="1E9F70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4445F70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6.1.3特别安全生产事项</w:t>
      </w:r>
    </w:p>
    <w:p w14:paraId="2A83D8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940251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EBDDB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E7E2AC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14:paraId="731F2EE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6.1.4 治安保卫</w:t>
      </w:r>
    </w:p>
    <w:p w14:paraId="736311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047614F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发包人和承包人除应协助现场治安管理机构或联防组织维护施工场地的社会治安外，还应做好包括生活区在内的各自管辖区的治安保卫工作。</w:t>
      </w:r>
    </w:p>
    <w:p w14:paraId="0C29DF4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2ED9F4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6.1.5 文明施工</w:t>
      </w:r>
    </w:p>
    <w:p w14:paraId="2BF1F62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95E06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1CC82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6.1.6 安全文明施工费</w:t>
      </w:r>
    </w:p>
    <w:p w14:paraId="7716BE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52CD6B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085C5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1F150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4FB6D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6.1.7 紧急情况处理</w:t>
      </w:r>
    </w:p>
    <w:p w14:paraId="05A8C4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D45AAF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6.1.8 事故处理</w:t>
      </w:r>
    </w:p>
    <w:p w14:paraId="3231C84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CCE1A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 安全生产责任</w:t>
      </w:r>
    </w:p>
    <w:p w14:paraId="226D5D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6.1.9.1 发包人的安全责任</w:t>
      </w:r>
    </w:p>
    <w:p w14:paraId="408663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发包人应负责赔偿以下各种情况造成的损失：</w:t>
      </w:r>
    </w:p>
    <w:p w14:paraId="4711E5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（1）工程或工程的任何部分对土地的占用所造成的第三者财产损失；</w:t>
      </w:r>
    </w:p>
    <w:p w14:paraId="759FDB6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（2）由于发包人原因在施工场地及其毗邻地带造成的第三者人身伤亡和财产损失；</w:t>
      </w:r>
    </w:p>
    <w:p w14:paraId="0D5A65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（3）由于发包人原因对承包人、监理人造成的人员人身伤亡和财产损失；</w:t>
      </w:r>
    </w:p>
    <w:p w14:paraId="26B7D4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（4）由于发包人原因造成的发包人自身人员的人身伤害以及财产损失。</w:t>
      </w:r>
    </w:p>
    <w:p w14:paraId="2F0B20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6.1.9.2 承包人的安全责任</w:t>
      </w:r>
    </w:p>
    <w:p w14:paraId="61CA459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由于承包人原因在施工场地内及其毗邻地带造成的发包人、监理人以及第三者人员伤亡和财产损失，由承包人负责赔偿。</w:t>
      </w:r>
    </w:p>
    <w:p w14:paraId="6BFC69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因承包人原因导致施工工程中发生安全生产事故、劳动用工事故、环境污染事故等导致发包人被相关职能部门处罚或约谈的，发包人有权随时解除本合同，不再支付任何费用，且承包人应赔偿给发包人造成的损失及对外承担的赔偿金额。</w:t>
      </w:r>
    </w:p>
    <w:p w14:paraId="06249E27">
      <w:pPr>
        <w:spacing w:line="360" w:lineRule="auto"/>
        <w:ind w:firstLine="420" w:firstLineChars="200"/>
        <w:jc w:val="left"/>
        <w:rPr>
          <w:rFonts w:ascii="宋体" w:hAnsi="宋体"/>
          <w:color w:val="auto"/>
          <w:kern w:val="0"/>
          <w:szCs w:val="21"/>
          <w:highlight w:val="none"/>
        </w:rPr>
      </w:pPr>
      <w:bookmarkStart w:id="879" w:name="_Toc351203540"/>
      <w:bookmarkStart w:id="880" w:name="_Toc532377226"/>
      <w:r>
        <w:rPr>
          <w:rFonts w:hint="eastAsia" w:ascii="宋体" w:hAnsi="宋体"/>
          <w:color w:val="auto"/>
          <w:kern w:val="0"/>
          <w:szCs w:val="21"/>
          <w:highlight w:val="none"/>
        </w:rPr>
        <w:t>6</w:t>
      </w:r>
      <w:bookmarkStart w:id="881" w:name="_Toc337558765"/>
      <w:r>
        <w:rPr>
          <w:rFonts w:hint="eastAsia" w:ascii="宋体" w:hAnsi="宋体"/>
          <w:color w:val="auto"/>
          <w:kern w:val="0"/>
          <w:szCs w:val="21"/>
          <w:highlight w:val="none"/>
        </w:rPr>
        <w:t>.2 职业健康</w:t>
      </w:r>
      <w:bookmarkEnd w:id="879"/>
      <w:bookmarkEnd w:id="880"/>
    </w:p>
    <w:bookmarkEnd w:id="881"/>
    <w:p w14:paraId="464E3C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6.2.1 劳动保护</w:t>
      </w:r>
    </w:p>
    <w:p w14:paraId="6F9E08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F58E80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D7AAC1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30DD92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6.2.2 生活条件</w:t>
      </w:r>
    </w:p>
    <w:p w14:paraId="2B75F3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193BEBB">
      <w:pPr>
        <w:widowControl/>
        <w:spacing w:line="360" w:lineRule="auto"/>
        <w:ind w:firstLine="422" w:firstLineChars="200"/>
        <w:jc w:val="left"/>
        <w:outlineLvl w:val="4"/>
        <w:rPr>
          <w:rFonts w:ascii="宋体" w:hAnsi="宋体" w:cs="宋体"/>
          <w:b/>
          <w:bCs/>
          <w:color w:val="auto"/>
          <w:kern w:val="0"/>
          <w:szCs w:val="21"/>
          <w:highlight w:val="none"/>
        </w:rPr>
      </w:pPr>
      <w:bookmarkStart w:id="882" w:name="_Toc351203541"/>
      <w:bookmarkStart w:id="883" w:name="_Toc532377227"/>
      <w:r>
        <w:rPr>
          <w:rFonts w:hint="eastAsia" w:ascii="宋体" w:hAnsi="宋体" w:cs="宋体"/>
          <w:b/>
          <w:bCs/>
          <w:color w:val="auto"/>
          <w:kern w:val="0"/>
          <w:szCs w:val="21"/>
          <w:highlight w:val="none"/>
        </w:rPr>
        <w:t>6</w:t>
      </w:r>
      <w:bookmarkStart w:id="884" w:name="_Toc337558766"/>
      <w:r>
        <w:rPr>
          <w:rFonts w:hint="eastAsia" w:ascii="宋体" w:hAnsi="宋体" w:cs="宋体"/>
          <w:b/>
          <w:bCs/>
          <w:color w:val="auto"/>
          <w:kern w:val="0"/>
          <w:szCs w:val="21"/>
          <w:highlight w:val="none"/>
        </w:rPr>
        <w:t>.3 环境保护</w:t>
      </w:r>
      <w:bookmarkEnd w:id="882"/>
      <w:bookmarkEnd w:id="883"/>
    </w:p>
    <w:bookmarkEnd w:id="884"/>
    <w:p w14:paraId="4163BF6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1DAF0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14:paraId="56812C89">
      <w:pPr>
        <w:keepNext/>
        <w:keepLines/>
        <w:widowControl/>
        <w:spacing w:before="156" w:beforeLines="50" w:after="156" w:afterLines="50" w:line="360" w:lineRule="auto"/>
        <w:outlineLvl w:val="3"/>
        <w:rPr>
          <w:rFonts w:ascii="宋体" w:hAnsi="宋体" w:cs="宋体"/>
          <w:b/>
          <w:color w:val="auto"/>
          <w:szCs w:val="21"/>
          <w:highlight w:val="none"/>
        </w:rPr>
      </w:pPr>
      <w:bookmarkStart w:id="885" w:name="_Toc532377228"/>
      <w:bookmarkStart w:id="886" w:name="_Toc351203542"/>
      <w:bookmarkStart w:id="887" w:name="_Toc532375593"/>
      <w:r>
        <w:rPr>
          <w:rFonts w:hint="eastAsia" w:ascii="宋体" w:hAnsi="宋体" w:cs="宋体"/>
          <w:b/>
          <w:bCs/>
          <w:color w:val="auto"/>
          <w:szCs w:val="21"/>
          <w:highlight w:val="none"/>
        </w:rPr>
        <w:t>7</w:t>
      </w:r>
      <w:bookmarkStart w:id="888" w:name="_Toc337558767"/>
      <w:r>
        <w:rPr>
          <w:rFonts w:hint="eastAsia" w:ascii="宋体" w:hAnsi="宋体" w:cs="宋体"/>
          <w:b/>
          <w:bCs/>
          <w:color w:val="auto"/>
          <w:szCs w:val="21"/>
          <w:highlight w:val="none"/>
        </w:rPr>
        <w:t>. 工期和进度</w:t>
      </w:r>
      <w:bookmarkEnd w:id="885"/>
      <w:bookmarkEnd w:id="886"/>
      <w:bookmarkEnd w:id="887"/>
    </w:p>
    <w:bookmarkEnd w:id="888"/>
    <w:p w14:paraId="1438748D">
      <w:pPr>
        <w:widowControl/>
        <w:spacing w:line="360" w:lineRule="auto"/>
        <w:ind w:firstLine="422" w:firstLineChars="200"/>
        <w:jc w:val="left"/>
        <w:outlineLvl w:val="4"/>
        <w:rPr>
          <w:rFonts w:ascii="宋体" w:hAnsi="宋体" w:cs="宋体"/>
          <w:b/>
          <w:bCs/>
          <w:color w:val="auto"/>
          <w:kern w:val="0"/>
          <w:szCs w:val="21"/>
          <w:highlight w:val="none"/>
        </w:rPr>
      </w:pPr>
      <w:bookmarkStart w:id="889" w:name="_Toc532377229"/>
      <w:bookmarkStart w:id="890" w:name="_Toc351203543"/>
      <w:r>
        <w:rPr>
          <w:rFonts w:hint="eastAsia" w:ascii="宋体" w:hAnsi="宋体" w:cs="宋体"/>
          <w:b/>
          <w:bCs/>
          <w:color w:val="auto"/>
          <w:kern w:val="0"/>
          <w:szCs w:val="21"/>
          <w:highlight w:val="none"/>
        </w:rPr>
        <w:t>7</w:t>
      </w:r>
      <w:bookmarkStart w:id="891" w:name="_Toc337558768"/>
      <w:bookmarkStart w:id="892" w:name="_Toc296346567"/>
      <w:bookmarkStart w:id="893" w:name="_Toc296503066"/>
      <w:r>
        <w:rPr>
          <w:rFonts w:hint="eastAsia" w:ascii="宋体" w:hAnsi="宋体" w:cs="宋体"/>
          <w:b/>
          <w:bCs/>
          <w:color w:val="auto"/>
          <w:kern w:val="0"/>
          <w:szCs w:val="21"/>
          <w:highlight w:val="none"/>
        </w:rPr>
        <w:t>.1施工组织设计</w:t>
      </w:r>
      <w:bookmarkEnd w:id="889"/>
      <w:bookmarkEnd w:id="890"/>
    </w:p>
    <w:bookmarkEnd w:id="891"/>
    <w:p w14:paraId="0893E2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7.1.1 施工组织设计的内容</w:t>
      </w:r>
    </w:p>
    <w:p w14:paraId="79144B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施工组织设计应包含以下内容：</w:t>
      </w:r>
    </w:p>
    <w:p w14:paraId="16CBD2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（1）施工方案； </w:t>
      </w:r>
    </w:p>
    <w:p w14:paraId="05CD6DE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（2）施工现场平面布置图；</w:t>
      </w:r>
    </w:p>
    <w:p w14:paraId="3AD206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（3）施工进度计划和保证措施； </w:t>
      </w:r>
    </w:p>
    <w:p w14:paraId="56A236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（4）劳动力及材料供应计划；</w:t>
      </w:r>
    </w:p>
    <w:p w14:paraId="70E0BB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（5）施工机械设备的选用；</w:t>
      </w:r>
    </w:p>
    <w:p w14:paraId="24EF0EE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（6）质量保证体系及措施；</w:t>
      </w:r>
    </w:p>
    <w:p w14:paraId="76DEB3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（7）安全生产、文明施工措施；</w:t>
      </w:r>
    </w:p>
    <w:p w14:paraId="1519FD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（8）环境保护、成本控制措施；</w:t>
      </w:r>
    </w:p>
    <w:p w14:paraId="2FA2876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（9）合同当事人约定的其他内容。</w:t>
      </w:r>
    </w:p>
    <w:p w14:paraId="717A487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7.1.2 施工组织设计的提交和修改</w:t>
      </w:r>
    </w:p>
    <w:p w14:paraId="09C2C3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306546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施工进度计划的编制和修改按照第7.2款〔施工进度计划〕执行。</w:t>
      </w:r>
    </w:p>
    <w:p w14:paraId="45C45D1F">
      <w:pPr>
        <w:widowControl/>
        <w:spacing w:line="360" w:lineRule="auto"/>
        <w:ind w:firstLine="422" w:firstLineChars="200"/>
        <w:jc w:val="left"/>
        <w:outlineLvl w:val="4"/>
        <w:rPr>
          <w:rFonts w:ascii="宋体" w:hAnsi="宋体" w:cs="宋体"/>
          <w:b/>
          <w:bCs/>
          <w:color w:val="auto"/>
          <w:kern w:val="0"/>
          <w:szCs w:val="21"/>
          <w:highlight w:val="none"/>
        </w:rPr>
      </w:pPr>
      <w:bookmarkStart w:id="894" w:name="_Toc532377230"/>
      <w:bookmarkStart w:id="895" w:name="_Toc351203544"/>
      <w:r>
        <w:rPr>
          <w:rFonts w:hint="eastAsia" w:ascii="宋体" w:hAnsi="宋体" w:cs="宋体"/>
          <w:b/>
          <w:bCs/>
          <w:color w:val="auto"/>
          <w:kern w:val="0"/>
          <w:szCs w:val="21"/>
          <w:highlight w:val="none"/>
        </w:rPr>
        <w:t>7</w:t>
      </w:r>
      <w:bookmarkStart w:id="896" w:name="_Toc337558769"/>
      <w:r>
        <w:rPr>
          <w:rFonts w:hint="eastAsia" w:ascii="宋体" w:hAnsi="宋体" w:cs="宋体"/>
          <w:b/>
          <w:bCs/>
          <w:color w:val="auto"/>
          <w:kern w:val="0"/>
          <w:szCs w:val="21"/>
          <w:highlight w:val="none"/>
        </w:rPr>
        <w:t>.2 施工进度计划</w:t>
      </w:r>
      <w:bookmarkEnd w:id="894"/>
      <w:bookmarkEnd w:id="895"/>
    </w:p>
    <w:bookmarkEnd w:id="896"/>
    <w:p w14:paraId="7B952B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7.2.1 施工进度计划的编制</w:t>
      </w:r>
    </w:p>
    <w:p w14:paraId="5FD644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BEA5F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7.2.2 施工进度计划的修订</w:t>
      </w:r>
    </w:p>
    <w:p w14:paraId="630732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779337DF">
      <w:pPr>
        <w:widowControl/>
        <w:spacing w:line="360" w:lineRule="auto"/>
        <w:ind w:firstLine="422" w:firstLineChars="200"/>
        <w:jc w:val="left"/>
        <w:outlineLvl w:val="4"/>
        <w:rPr>
          <w:rFonts w:ascii="宋体" w:hAnsi="宋体" w:cs="宋体"/>
          <w:b/>
          <w:bCs/>
          <w:color w:val="auto"/>
          <w:kern w:val="0"/>
          <w:szCs w:val="21"/>
          <w:highlight w:val="none"/>
        </w:rPr>
      </w:pPr>
      <w:bookmarkStart w:id="897" w:name="_Toc351203545"/>
      <w:bookmarkStart w:id="898" w:name="_Toc532377231"/>
      <w:r>
        <w:rPr>
          <w:rFonts w:hint="eastAsia" w:ascii="宋体" w:hAnsi="宋体" w:cs="宋体"/>
          <w:b/>
          <w:bCs/>
          <w:color w:val="auto"/>
          <w:kern w:val="0"/>
          <w:szCs w:val="21"/>
          <w:highlight w:val="none"/>
        </w:rPr>
        <w:t>7</w:t>
      </w:r>
      <w:bookmarkStart w:id="899" w:name="_Toc337558770"/>
      <w:r>
        <w:rPr>
          <w:rFonts w:hint="eastAsia" w:ascii="宋体" w:hAnsi="宋体" w:cs="宋体"/>
          <w:b/>
          <w:bCs/>
          <w:color w:val="auto"/>
          <w:kern w:val="0"/>
          <w:szCs w:val="21"/>
          <w:highlight w:val="none"/>
        </w:rPr>
        <w:t>.3 开工</w:t>
      </w:r>
      <w:bookmarkEnd w:id="897"/>
      <w:bookmarkEnd w:id="898"/>
    </w:p>
    <w:p w14:paraId="66552A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7.3.1 开工准备</w:t>
      </w:r>
    </w:p>
    <w:p w14:paraId="558296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57BA0A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除专用合同条款另有约定外，合同当事人应按约定完成开工准备工作。</w:t>
      </w:r>
    </w:p>
    <w:p w14:paraId="23500A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7.3.2 开工通知</w:t>
      </w:r>
    </w:p>
    <w:bookmarkEnd w:id="899"/>
    <w:p w14:paraId="0233E34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4C4BC29">
      <w:pPr>
        <w:widowControl/>
        <w:spacing w:line="360" w:lineRule="auto"/>
        <w:ind w:firstLine="422" w:firstLineChars="200"/>
        <w:jc w:val="left"/>
        <w:outlineLvl w:val="4"/>
        <w:rPr>
          <w:rFonts w:ascii="宋体" w:hAnsi="宋体" w:cs="宋体"/>
          <w:b/>
          <w:bCs/>
          <w:color w:val="auto"/>
          <w:kern w:val="0"/>
          <w:szCs w:val="21"/>
          <w:highlight w:val="none"/>
        </w:rPr>
      </w:pPr>
      <w:bookmarkStart w:id="900" w:name="_Toc532377232"/>
      <w:bookmarkStart w:id="901" w:name="_Toc351203546"/>
      <w:r>
        <w:rPr>
          <w:rFonts w:hint="eastAsia" w:ascii="宋体" w:hAnsi="宋体" w:cs="宋体"/>
          <w:b/>
          <w:bCs/>
          <w:color w:val="auto"/>
          <w:kern w:val="0"/>
          <w:szCs w:val="21"/>
          <w:highlight w:val="none"/>
        </w:rPr>
        <w:t>7.4测量放线</w:t>
      </w:r>
      <w:bookmarkEnd w:id="900"/>
      <w:bookmarkEnd w:id="901"/>
    </w:p>
    <w:p w14:paraId="3B4437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610BBF0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A03AA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2BF77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施工过程中对施工现场内水准点等测量标志物的保护工作由承包人负责。</w:t>
      </w:r>
      <w:bookmarkStart w:id="902" w:name="_Toc351203547"/>
    </w:p>
    <w:p w14:paraId="731CFF72">
      <w:pPr>
        <w:widowControl/>
        <w:spacing w:line="360" w:lineRule="auto"/>
        <w:ind w:firstLine="422" w:firstLineChars="200"/>
        <w:jc w:val="left"/>
        <w:outlineLvl w:val="4"/>
        <w:rPr>
          <w:rFonts w:ascii="宋体" w:hAnsi="宋体" w:cs="宋体"/>
          <w:b/>
          <w:bCs/>
          <w:color w:val="auto"/>
          <w:kern w:val="0"/>
          <w:szCs w:val="21"/>
          <w:highlight w:val="none"/>
        </w:rPr>
      </w:pPr>
      <w:bookmarkStart w:id="903" w:name="_Toc532377233"/>
      <w:r>
        <w:rPr>
          <w:rFonts w:hint="eastAsia" w:ascii="宋体" w:hAnsi="宋体" w:cs="宋体"/>
          <w:b/>
          <w:bCs/>
          <w:color w:val="auto"/>
          <w:kern w:val="0"/>
          <w:szCs w:val="21"/>
          <w:highlight w:val="none"/>
        </w:rPr>
        <w:t>7</w:t>
      </w:r>
      <w:bookmarkEnd w:id="892"/>
      <w:bookmarkEnd w:id="893"/>
      <w:bookmarkStart w:id="904" w:name="_Toc337558772"/>
      <w:bookmarkStart w:id="905" w:name="_Toc296503073"/>
      <w:bookmarkStart w:id="906" w:name="_Toc296346574"/>
      <w:r>
        <w:rPr>
          <w:rFonts w:hint="eastAsia" w:ascii="宋体" w:hAnsi="宋体" w:cs="宋体"/>
          <w:b/>
          <w:bCs/>
          <w:color w:val="auto"/>
          <w:kern w:val="0"/>
          <w:szCs w:val="21"/>
          <w:highlight w:val="none"/>
        </w:rPr>
        <w:t>.5 工期延误</w:t>
      </w:r>
      <w:bookmarkEnd w:id="902"/>
      <w:bookmarkEnd w:id="903"/>
    </w:p>
    <w:bookmarkEnd w:id="904"/>
    <w:bookmarkEnd w:id="905"/>
    <w:bookmarkEnd w:id="906"/>
    <w:p w14:paraId="394EC96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7.5.1 因发包人原因导致工期延误</w:t>
      </w:r>
    </w:p>
    <w:p w14:paraId="03BA4E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在合同履行过程中，因下列情况导致工期延误的，由发包人承担由此延误的工期：</w:t>
      </w:r>
    </w:p>
    <w:p w14:paraId="3537A0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（1）发包人未能按合同约定提供图纸或所提供图纸不符合合同约定的；</w:t>
      </w:r>
    </w:p>
    <w:p w14:paraId="0A99ACF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（2）发包人未能按合同约定提供施工现场、施工条件、基础资料、许可、批准等开工条件的；</w:t>
      </w:r>
    </w:p>
    <w:p w14:paraId="7399D5B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（3）发包人提供的测量基准点、基准线和水准点及其书面资料存在错误或疏漏的；</w:t>
      </w:r>
    </w:p>
    <w:p w14:paraId="7D534DA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（4）发包人未能在计划开工日期之日起7天内同意下达开工通知的；</w:t>
      </w:r>
    </w:p>
    <w:p w14:paraId="5A54D5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（5）发包人未能按合同约定日期支付工程预付款、进度款或竣工结算款的；</w:t>
      </w:r>
    </w:p>
    <w:p w14:paraId="201654B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（6）监理人未按合同约定发出指示、批准等文件的；</w:t>
      </w:r>
    </w:p>
    <w:p w14:paraId="749B67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（7）专用合同条款中约定的其他情形。</w:t>
      </w:r>
    </w:p>
    <w:p w14:paraId="3D3EB0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AB4E7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7.5.2 因承包人原因导致工期延误</w:t>
      </w:r>
    </w:p>
    <w:p w14:paraId="396FF027">
      <w:pPr>
        <w:autoSpaceDE w:val="0"/>
        <w:autoSpaceDN w:val="0"/>
        <w:spacing w:line="360" w:lineRule="auto"/>
        <w:ind w:firstLine="420" w:firstLineChars="200"/>
        <w:jc w:val="left"/>
        <w:rPr>
          <w:rFonts w:ascii="宋体" w:hAnsi="宋体"/>
          <w:color w:val="auto"/>
          <w:kern w:val="0"/>
          <w:szCs w:val="21"/>
          <w:highlight w:val="none"/>
        </w:rPr>
      </w:pPr>
      <w:bookmarkStart w:id="907" w:name="_Toc296503076"/>
      <w:bookmarkStart w:id="908" w:name="_Toc296346577"/>
      <w:r>
        <w:rPr>
          <w:rFonts w:hint="eastAsia" w:ascii="宋体" w:hAnsi="宋体"/>
          <w:color w:val="auto"/>
          <w:kern w:val="0"/>
          <w:szCs w:val="21"/>
          <w:highlight w:val="none"/>
        </w:rPr>
        <w:t>因</w:t>
      </w:r>
      <w:bookmarkEnd w:id="907"/>
      <w:bookmarkEnd w:id="908"/>
      <w:r>
        <w:rPr>
          <w:rFonts w:hint="eastAsia" w:ascii="宋体" w:hAnsi="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49217E89">
      <w:pPr>
        <w:widowControl/>
        <w:spacing w:line="360" w:lineRule="auto"/>
        <w:ind w:firstLine="422" w:firstLineChars="200"/>
        <w:jc w:val="left"/>
        <w:outlineLvl w:val="4"/>
        <w:rPr>
          <w:rFonts w:ascii="宋体" w:hAnsi="宋体" w:cs="宋体"/>
          <w:b/>
          <w:bCs/>
          <w:color w:val="auto"/>
          <w:kern w:val="0"/>
          <w:szCs w:val="21"/>
          <w:highlight w:val="none"/>
        </w:rPr>
      </w:pPr>
      <w:bookmarkStart w:id="909" w:name="_Toc532377234"/>
      <w:bookmarkStart w:id="910" w:name="_Toc351203548"/>
      <w:r>
        <w:rPr>
          <w:rFonts w:hint="eastAsia" w:ascii="宋体" w:hAnsi="宋体" w:cs="宋体"/>
          <w:b/>
          <w:bCs/>
          <w:color w:val="auto"/>
          <w:kern w:val="0"/>
          <w:szCs w:val="21"/>
          <w:highlight w:val="none"/>
        </w:rPr>
        <w:t>7</w:t>
      </w:r>
      <w:bookmarkStart w:id="911" w:name="_Toc296346575"/>
      <w:bookmarkStart w:id="912" w:name="_Toc296503074"/>
      <w:bookmarkStart w:id="913" w:name="_Toc337558773"/>
      <w:bookmarkStart w:id="914" w:name="_Toc296346578"/>
      <w:bookmarkStart w:id="915" w:name="_Toc296503077"/>
      <w:r>
        <w:rPr>
          <w:rFonts w:hint="eastAsia" w:ascii="宋体" w:hAnsi="宋体" w:cs="宋体"/>
          <w:b/>
          <w:bCs/>
          <w:color w:val="auto"/>
          <w:kern w:val="0"/>
          <w:szCs w:val="21"/>
          <w:highlight w:val="none"/>
        </w:rPr>
        <w:t>.6 不利物质条件</w:t>
      </w:r>
      <w:bookmarkEnd w:id="909"/>
      <w:bookmarkEnd w:id="910"/>
    </w:p>
    <w:bookmarkEnd w:id="911"/>
    <w:bookmarkEnd w:id="912"/>
    <w:bookmarkEnd w:id="913"/>
    <w:p w14:paraId="307654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06CF8E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w:t>
      </w:r>
    </w:p>
    <w:p w14:paraId="442EBCF5">
      <w:pPr>
        <w:widowControl/>
        <w:spacing w:line="360" w:lineRule="auto"/>
        <w:ind w:firstLine="422" w:firstLineChars="200"/>
        <w:jc w:val="left"/>
        <w:outlineLvl w:val="4"/>
        <w:rPr>
          <w:rFonts w:ascii="宋体" w:hAnsi="宋体" w:cs="宋体"/>
          <w:b/>
          <w:bCs/>
          <w:color w:val="auto"/>
          <w:kern w:val="0"/>
          <w:szCs w:val="21"/>
          <w:highlight w:val="none"/>
        </w:rPr>
      </w:pPr>
      <w:bookmarkStart w:id="916" w:name="_Toc351203549"/>
      <w:bookmarkStart w:id="917" w:name="_Toc532377235"/>
      <w:r>
        <w:rPr>
          <w:rFonts w:hint="eastAsia" w:ascii="宋体" w:hAnsi="宋体" w:cs="宋体"/>
          <w:b/>
          <w:bCs/>
          <w:color w:val="auto"/>
          <w:kern w:val="0"/>
          <w:szCs w:val="21"/>
          <w:highlight w:val="none"/>
        </w:rPr>
        <w:t>7</w:t>
      </w:r>
      <w:bookmarkStart w:id="918" w:name="_Toc296503075"/>
      <w:bookmarkStart w:id="919" w:name="_Toc296346576"/>
      <w:bookmarkStart w:id="920" w:name="_Toc337558774"/>
      <w:r>
        <w:rPr>
          <w:rFonts w:hint="eastAsia" w:ascii="宋体" w:hAnsi="宋体" w:cs="宋体"/>
          <w:b/>
          <w:bCs/>
          <w:color w:val="auto"/>
          <w:kern w:val="0"/>
          <w:szCs w:val="21"/>
          <w:highlight w:val="none"/>
        </w:rPr>
        <w:t>.7 异常恶劣的气候条件</w:t>
      </w:r>
      <w:bookmarkEnd w:id="916"/>
      <w:bookmarkEnd w:id="917"/>
    </w:p>
    <w:bookmarkEnd w:id="918"/>
    <w:bookmarkEnd w:id="919"/>
    <w:bookmarkEnd w:id="920"/>
    <w:p w14:paraId="372D330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B438D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921" w:name="_Toc351203550"/>
    </w:p>
    <w:p w14:paraId="4BE09700">
      <w:pPr>
        <w:widowControl/>
        <w:spacing w:line="360" w:lineRule="auto"/>
        <w:ind w:firstLine="422" w:firstLineChars="200"/>
        <w:jc w:val="left"/>
        <w:outlineLvl w:val="4"/>
        <w:rPr>
          <w:rFonts w:ascii="宋体" w:hAnsi="宋体" w:cs="宋体"/>
          <w:b/>
          <w:bCs/>
          <w:color w:val="auto"/>
          <w:kern w:val="0"/>
          <w:szCs w:val="21"/>
          <w:highlight w:val="none"/>
        </w:rPr>
      </w:pPr>
      <w:bookmarkStart w:id="922" w:name="_Toc532377236"/>
      <w:r>
        <w:rPr>
          <w:rFonts w:hint="eastAsia" w:ascii="宋体" w:hAnsi="宋体" w:cs="宋体"/>
          <w:b/>
          <w:bCs/>
          <w:color w:val="auto"/>
          <w:kern w:val="0"/>
          <w:szCs w:val="21"/>
          <w:highlight w:val="none"/>
        </w:rPr>
        <w:t>7</w:t>
      </w:r>
      <w:bookmarkStart w:id="923" w:name="_Toc337558775"/>
      <w:r>
        <w:rPr>
          <w:rFonts w:hint="eastAsia" w:ascii="宋体" w:hAnsi="宋体" w:cs="宋体"/>
          <w:b/>
          <w:bCs/>
          <w:color w:val="auto"/>
          <w:kern w:val="0"/>
          <w:szCs w:val="21"/>
          <w:highlight w:val="none"/>
        </w:rPr>
        <w:t>.8 暂停施工</w:t>
      </w:r>
      <w:bookmarkEnd w:id="921"/>
      <w:bookmarkEnd w:id="922"/>
    </w:p>
    <w:bookmarkEnd w:id="914"/>
    <w:bookmarkEnd w:id="915"/>
    <w:bookmarkEnd w:id="923"/>
    <w:p w14:paraId="7C84A8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7.8.1发包人原因引起的暂停施工</w:t>
      </w:r>
    </w:p>
    <w:p w14:paraId="7C7B88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14D51F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因发包人原因引起的暂停施工，发包人应承担由此增加的费用和（或）延误的工期，并支付承包人合理的利润。</w:t>
      </w:r>
    </w:p>
    <w:p w14:paraId="6574BCC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7.8.2 承包人原因引起的暂停施工</w:t>
      </w:r>
    </w:p>
    <w:p w14:paraId="520091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9AF85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7.8.3 指示暂停施工</w:t>
      </w:r>
    </w:p>
    <w:p w14:paraId="07A57B9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监理人认为有必要时，并经发包人批准后，可向承包人作出暂停施工的指示，承包人应按监理人指示暂停施工。</w:t>
      </w:r>
    </w:p>
    <w:p w14:paraId="58AF4DA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7.8.4 紧急情况下的暂停施工</w:t>
      </w:r>
    </w:p>
    <w:p w14:paraId="7ED37F1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FE83B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7.8.5 暂停施工后的复工</w:t>
      </w:r>
    </w:p>
    <w:p w14:paraId="07D025C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954D86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14:paraId="18C8D3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7.8.6 暂停施工持续56天以上</w:t>
      </w:r>
    </w:p>
    <w:p w14:paraId="297DE21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18F58C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7.8.7 暂停施工期间的工程照管</w:t>
      </w:r>
    </w:p>
    <w:p w14:paraId="66C7B82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暂停施工期间，承包人应负责妥善照管工程并提供安全保障，由此增加的费用由责任方承担。</w:t>
      </w:r>
    </w:p>
    <w:p w14:paraId="59D6BC6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7.8.8 暂停施工的措施</w:t>
      </w:r>
    </w:p>
    <w:p w14:paraId="0479B8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暂停施工期间，发包人和承包人均应采取必要的措施确保工程质量及安全，防止因暂停施工扩大损失。</w:t>
      </w:r>
    </w:p>
    <w:p w14:paraId="4EFFB508">
      <w:pPr>
        <w:widowControl/>
        <w:spacing w:line="360" w:lineRule="auto"/>
        <w:ind w:firstLine="422" w:firstLineChars="200"/>
        <w:jc w:val="left"/>
        <w:outlineLvl w:val="4"/>
        <w:rPr>
          <w:rFonts w:ascii="宋体" w:hAnsi="宋体" w:cs="宋体"/>
          <w:b/>
          <w:bCs/>
          <w:color w:val="auto"/>
          <w:kern w:val="0"/>
          <w:szCs w:val="21"/>
          <w:highlight w:val="none"/>
        </w:rPr>
      </w:pPr>
      <w:bookmarkStart w:id="924" w:name="_Toc351203551"/>
      <w:bookmarkStart w:id="925" w:name="_Toc532377237"/>
      <w:r>
        <w:rPr>
          <w:rFonts w:hint="eastAsia" w:ascii="宋体" w:hAnsi="宋体" w:cs="宋体"/>
          <w:b/>
          <w:bCs/>
          <w:color w:val="auto"/>
          <w:kern w:val="0"/>
          <w:szCs w:val="21"/>
          <w:highlight w:val="none"/>
        </w:rPr>
        <w:t>7.9提前竣工</w:t>
      </w:r>
      <w:bookmarkEnd w:id="924"/>
      <w:bookmarkEnd w:id="925"/>
    </w:p>
    <w:p w14:paraId="30DFDE3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D8219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7.9.2 发包人要求承包人提前竣工，或承包人提出提前竣工的建议能够给发包人带来效益的，合同当事人可以在专用合同条款中约定提前竣工的奖励。</w:t>
      </w:r>
    </w:p>
    <w:p w14:paraId="197F4ED3">
      <w:pPr>
        <w:keepNext/>
        <w:keepLines/>
        <w:widowControl/>
        <w:spacing w:before="156" w:beforeLines="50" w:after="156" w:afterLines="50" w:line="360" w:lineRule="auto"/>
        <w:outlineLvl w:val="3"/>
        <w:rPr>
          <w:rFonts w:ascii="宋体" w:hAnsi="宋体" w:cs="宋体"/>
          <w:b/>
          <w:color w:val="auto"/>
          <w:szCs w:val="21"/>
          <w:highlight w:val="none"/>
        </w:rPr>
      </w:pPr>
      <w:bookmarkStart w:id="926" w:name="_Toc351203552"/>
      <w:bookmarkStart w:id="927" w:name="_Toc532377238"/>
      <w:bookmarkStart w:id="928" w:name="_Toc532375594"/>
      <w:r>
        <w:rPr>
          <w:rFonts w:hint="eastAsia" w:ascii="宋体" w:hAnsi="宋体" w:cs="宋体"/>
          <w:b/>
          <w:bCs/>
          <w:color w:val="auto"/>
          <w:szCs w:val="21"/>
          <w:highlight w:val="none"/>
        </w:rPr>
        <w:t>8</w:t>
      </w:r>
      <w:bookmarkStart w:id="929" w:name="_Toc296503058"/>
      <w:bookmarkStart w:id="930" w:name="_Toc337558776"/>
      <w:bookmarkStart w:id="931" w:name="_Toc296346559"/>
      <w:r>
        <w:rPr>
          <w:rFonts w:hint="eastAsia" w:ascii="宋体" w:hAnsi="宋体" w:cs="宋体"/>
          <w:b/>
          <w:bCs/>
          <w:color w:val="auto"/>
          <w:szCs w:val="21"/>
          <w:highlight w:val="none"/>
        </w:rPr>
        <w:t>. 材料与设备</w:t>
      </w:r>
      <w:bookmarkEnd w:id="926"/>
      <w:bookmarkEnd w:id="927"/>
      <w:bookmarkEnd w:id="928"/>
    </w:p>
    <w:bookmarkEnd w:id="929"/>
    <w:bookmarkEnd w:id="930"/>
    <w:bookmarkEnd w:id="931"/>
    <w:p w14:paraId="603003B7">
      <w:pPr>
        <w:widowControl/>
        <w:spacing w:line="360" w:lineRule="auto"/>
        <w:ind w:firstLine="422" w:firstLineChars="200"/>
        <w:jc w:val="left"/>
        <w:outlineLvl w:val="4"/>
        <w:rPr>
          <w:rFonts w:ascii="宋体" w:hAnsi="宋体" w:cs="宋体"/>
          <w:b/>
          <w:bCs/>
          <w:color w:val="auto"/>
          <w:kern w:val="0"/>
          <w:szCs w:val="21"/>
          <w:highlight w:val="none"/>
        </w:rPr>
      </w:pPr>
      <w:bookmarkStart w:id="932" w:name="_Toc351203553"/>
      <w:bookmarkStart w:id="933" w:name="_Toc532377239"/>
      <w:r>
        <w:rPr>
          <w:rFonts w:hint="eastAsia" w:ascii="宋体" w:hAnsi="宋体" w:cs="宋体"/>
          <w:b/>
          <w:bCs/>
          <w:color w:val="auto"/>
          <w:kern w:val="0"/>
          <w:szCs w:val="21"/>
          <w:highlight w:val="none"/>
        </w:rPr>
        <w:t>8</w:t>
      </w:r>
      <w:bookmarkStart w:id="934" w:name="_Toc296503059"/>
      <w:bookmarkStart w:id="935" w:name="_Toc296346560"/>
      <w:bookmarkStart w:id="936" w:name="_Toc337558777"/>
      <w:bookmarkStart w:id="937" w:name="_Toc468936960"/>
      <w:r>
        <w:rPr>
          <w:rFonts w:hint="eastAsia" w:ascii="宋体" w:hAnsi="宋体" w:cs="宋体"/>
          <w:b/>
          <w:bCs/>
          <w:color w:val="auto"/>
          <w:kern w:val="0"/>
          <w:szCs w:val="21"/>
          <w:highlight w:val="none"/>
        </w:rPr>
        <w:t>.1发包人供应材料与工程设备</w:t>
      </w:r>
      <w:bookmarkEnd w:id="932"/>
      <w:bookmarkEnd w:id="933"/>
    </w:p>
    <w:bookmarkEnd w:id="934"/>
    <w:bookmarkEnd w:id="935"/>
    <w:bookmarkEnd w:id="936"/>
    <w:p w14:paraId="2FA7BF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330E5E9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433A006">
      <w:pPr>
        <w:widowControl/>
        <w:spacing w:line="360" w:lineRule="auto"/>
        <w:ind w:firstLine="422" w:firstLineChars="200"/>
        <w:jc w:val="left"/>
        <w:outlineLvl w:val="4"/>
        <w:rPr>
          <w:rFonts w:ascii="宋体" w:hAnsi="宋体" w:cs="宋体"/>
          <w:b/>
          <w:bCs/>
          <w:color w:val="auto"/>
          <w:kern w:val="0"/>
          <w:szCs w:val="21"/>
          <w:highlight w:val="none"/>
        </w:rPr>
      </w:pPr>
      <w:bookmarkStart w:id="938" w:name="_Toc532377240"/>
      <w:r>
        <w:rPr>
          <w:rFonts w:hint="eastAsia" w:ascii="宋体" w:hAnsi="宋体" w:cs="宋体"/>
          <w:b/>
          <w:bCs/>
          <w:color w:val="auto"/>
          <w:kern w:val="0"/>
          <w:szCs w:val="21"/>
          <w:highlight w:val="none"/>
        </w:rPr>
        <w:t>8.2承包人采购材料与工程设备</w:t>
      </w:r>
      <w:bookmarkEnd w:id="938"/>
    </w:p>
    <w:p w14:paraId="6914E9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14CA346">
      <w:pPr>
        <w:widowControl/>
        <w:spacing w:line="360" w:lineRule="auto"/>
        <w:ind w:firstLine="422" w:firstLineChars="200"/>
        <w:jc w:val="left"/>
        <w:outlineLvl w:val="4"/>
        <w:rPr>
          <w:rFonts w:ascii="宋体" w:hAnsi="宋体" w:cs="宋体"/>
          <w:b/>
          <w:bCs/>
          <w:color w:val="auto"/>
          <w:kern w:val="0"/>
          <w:szCs w:val="21"/>
          <w:highlight w:val="none"/>
        </w:rPr>
      </w:pPr>
      <w:bookmarkStart w:id="939" w:name="_Toc351203555"/>
      <w:bookmarkStart w:id="940" w:name="_Toc532377241"/>
      <w:r>
        <w:rPr>
          <w:rFonts w:hint="eastAsia" w:ascii="宋体" w:hAnsi="宋体" w:cs="宋体"/>
          <w:b/>
          <w:bCs/>
          <w:color w:val="auto"/>
          <w:kern w:val="0"/>
          <w:szCs w:val="21"/>
          <w:highlight w:val="none"/>
        </w:rPr>
        <w:t>8</w:t>
      </w:r>
      <w:bookmarkStart w:id="941" w:name="_Toc337558779"/>
      <w:bookmarkStart w:id="942" w:name="_Toc296503061"/>
      <w:bookmarkStart w:id="943" w:name="_Toc296346562"/>
      <w:r>
        <w:rPr>
          <w:rFonts w:hint="eastAsia" w:ascii="宋体" w:hAnsi="宋体" w:cs="宋体"/>
          <w:b/>
          <w:bCs/>
          <w:color w:val="auto"/>
          <w:kern w:val="0"/>
          <w:szCs w:val="21"/>
          <w:highlight w:val="none"/>
        </w:rPr>
        <w:t>.3材料与工程设备的接收与拒收</w:t>
      </w:r>
      <w:bookmarkEnd w:id="939"/>
      <w:bookmarkEnd w:id="940"/>
    </w:p>
    <w:bookmarkEnd w:id="941"/>
    <w:bookmarkEnd w:id="942"/>
    <w:bookmarkEnd w:id="943"/>
    <w:p w14:paraId="5462A36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3E9194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07166E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8.3.2 承包人采购的材料和工程设备，应保证产品质量合格，承包人应在材料和工程设备到货前24小时通知监理人检验。承</w:t>
      </w:r>
      <w:bookmarkStart w:id="944" w:name="_Toc250655469"/>
      <w:r>
        <w:rPr>
          <w:rFonts w:hint="eastAsia" w:ascii="宋体" w:hAnsi="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944"/>
    <w:p w14:paraId="253D5E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3C3EC42">
      <w:pPr>
        <w:widowControl/>
        <w:spacing w:line="360" w:lineRule="auto"/>
        <w:ind w:firstLine="422" w:firstLineChars="200"/>
        <w:jc w:val="left"/>
        <w:outlineLvl w:val="4"/>
        <w:rPr>
          <w:rFonts w:ascii="宋体" w:hAnsi="宋体" w:cs="宋体"/>
          <w:b/>
          <w:bCs/>
          <w:color w:val="auto"/>
          <w:kern w:val="0"/>
          <w:szCs w:val="21"/>
          <w:highlight w:val="none"/>
        </w:rPr>
      </w:pPr>
      <w:bookmarkStart w:id="945" w:name="_Toc351203556"/>
      <w:bookmarkStart w:id="946" w:name="_Toc532377242"/>
      <w:r>
        <w:rPr>
          <w:rFonts w:hint="eastAsia" w:ascii="宋体" w:hAnsi="宋体" w:cs="宋体"/>
          <w:b/>
          <w:bCs/>
          <w:color w:val="auto"/>
          <w:kern w:val="0"/>
          <w:szCs w:val="21"/>
          <w:highlight w:val="none"/>
        </w:rPr>
        <w:t>8</w:t>
      </w:r>
      <w:bookmarkStart w:id="947" w:name="_Toc337558780"/>
      <w:bookmarkStart w:id="948" w:name="_Toc296503062"/>
      <w:bookmarkStart w:id="949" w:name="_Toc296346563"/>
      <w:r>
        <w:rPr>
          <w:rFonts w:hint="eastAsia" w:ascii="宋体" w:hAnsi="宋体" w:cs="宋体"/>
          <w:b/>
          <w:bCs/>
          <w:color w:val="auto"/>
          <w:kern w:val="0"/>
          <w:szCs w:val="21"/>
          <w:highlight w:val="none"/>
        </w:rPr>
        <w:t>.4材料与工程设备的保管与使用</w:t>
      </w:r>
      <w:bookmarkEnd w:id="945"/>
      <w:bookmarkEnd w:id="946"/>
    </w:p>
    <w:bookmarkEnd w:id="947"/>
    <w:bookmarkEnd w:id="948"/>
    <w:bookmarkEnd w:id="949"/>
    <w:p w14:paraId="25B313A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8.4.1 发包人供应材料与工程设备的保管与使用</w:t>
      </w:r>
    </w:p>
    <w:p w14:paraId="149B902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承包人清点后由承包人妥善保管，保管费用由承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36546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发包人供应的材料和工程设备使用前，由承包人负责检验，检验费用由发包人承担，不合格的不得使用。</w:t>
      </w:r>
    </w:p>
    <w:p w14:paraId="631892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8.4.2 承包人采购材料与工程设备的保管与使用</w:t>
      </w:r>
    </w:p>
    <w:p w14:paraId="55DF3C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7B82C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01D7E5F4">
      <w:pPr>
        <w:widowControl/>
        <w:spacing w:line="360" w:lineRule="auto"/>
        <w:ind w:firstLine="422" w:firstLineChars="200"/>
        <w:jc w:val="left"/>
        <w:outlineLvl w:val="4"/>
        <w:rPr>
          <w:rFonts w:ascii="宋体" w:hAnsi="宋体" w:cs="宋体"/>
          <w:b/>
          <w:bCs/>
          <w:color w:val="auto"/>
          <w:kern w:val="0"/>
          <w:szCs w:val="21"/>
          <w:highlight w:val="none"/>
        </w:rPr>
      </w:pPr>
      <w:bookmarkStart w:id="950" w:name="_Toc351203557"/>
      <w:bookmarkStart w:id="951" w:name="_Toc532377243"/>
      <w:r>
        <w:rPr>
          <w:rFonts w:hint="eastAsia" w:ascii="宋体" w:hAnsi="宋体" w:cs="宋体"/>
          <w:b/>
          <w:bCs/>
          <w:color w:val="auto"/>
          <w:kern w:val="0"/>
          <w:szCs w:val="21"/>
          <w:highlight w:val="none"/>
        </w:rPr>
        <w:t>8.5禁止使用不合格的材料和工程设备</w:t>
      </w:r>
      <w:bookmarkEnd w:id="950"/>
      <w:bookmarkEnd w:id="951"/>
    </w:p>
    <w:p w14:paraId="5D818E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5D0C24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8.5.2 监理人发现承包人使用了不合格的材料和工程设备，承包人应按照监理人的指示立即改正，并禁止在工程中继续使用不合格的材料和工程设备。</w:t>
      </w:r>
    </w:p>
    <w:p w14:paraId="15C22E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8.5.3 发包人提供的材料或工程设备不符合合同要求的，承包人有权拒绝，并可要求发包人更换，由此延误的工期由发包人承担。</w:t>
      </w:r>
    </w:p>
    <w:p w14:paraId="3B4AC41B">
      <w:pPr>
        <w:widowControl/>
        <w:spacing w:line="360" w:lineRule="auto"/>
        <w:ind w:firstLine="422" w:firstLineChars="200"/>
        <w:jc w:val="left"/>
        <w:outlineLvl w:val="4"/>
        <w:rPr>
          <w:rFonts w:ascii="宋体" w:hAnsi="宋体" w:cs="宋体"/>
          <w:b/>
          <w:bCs/>
          <w:color w:val="auto"/>
          <w:kern w:val="0"/>
          <w:szCs w:val="21"/>
          <w:highlight w:val="none"/>
        </w:rPr>
      </w:pPr>
      <w:bookmarkStart w:id="952" w:name="_Toc351203558"/>
      <w:bookmarkStart w:id="953" w:name="_Toc532377244"/>
      <w:r>
        <w:rPr>
          <w:rFonts w:hint="eastAsia" w:ascii="宋体" w:hAnsi="宋体" w:cs="宋体"/>
          <w:b/>
          <w:bCs/>
          <w:color w:val="auto"/>
          <w:kern w:val="0"/>
          <w:szCs w:val="21"/>
          <w:highlight w:val="none"/>
        </w:rPr>
        <w:t>8.6 样品</w:t>
      </w:r>
      <w:bookmarkEnd w:id="952"/>
      <w:bookmarkEnd w:id="953"/>
    </w:p>
    <w:p w14:paraId="5FC46F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8.6.1</w:t>
      </w:r>
      <w:r>
        <w:rPr>
          <w:rFonts w:hint="eastAsia" w:ascii="宋体" w:hAnsi="宋体"/>
          <w:color w:val="auto"/>
          <w:kern w:val="0"/>
          <w:szCs w:val="21"/>
          <w:highlight w:val="none"/>
        </w:rPr>
        <w:tab/>
      </w:r>
      <w:r>
        <w:rPr>
          <w:rFonts w:hint="eastAsia" w:ascii="宋体" w:hAnsi="宋体"/>
          <w:color w:val="auto"/>
          <w:kern w:val="0"/>
          <w:szCs w:val="21"/>
          <w:highlight w:val="none"/>
        </w:rPr>
        <w:t>样品的报送与封存</w:t>
      </w:r>
    </w:p>
    <w:p w14:paraId="7F97D8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需要承包人报送样品的材料或工程设备，样品的种类、名称、规格、数量等要求均应在专用合同条款中约定。样品的报送程序如下：</w:t>
      </w:r>
    </w:p>
    <w:p w14:paraId="4A4553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33401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A97957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230812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E8C39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8.6.2 样品的保管</w:t>
      </w:r>
    </w:p>
    <w:p w14:paraId="567123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经批准的样品应由监理人负责封存于现场，承包人应在现场为保存样品提供适当和固定的场所并保持适当和良好的存储环境条件。</w:t>
      </w:r>
    </w:p>
    <w:p w14:paraId="15840AE1">
      <w:pPr>
        <w:widowControl/>
        <w:spacing w:line="360" w:lineRule="auto"/>
        <w:ind w:firstLine="422" w:firstLineChars="200"/>
        <w:jc w:val="left"/>
        <w:outlineLvl w:val="4"/>
        <w:rPr>
          <w:rFonts w:ascii="宋体" w:hAnsi="宋体" w:cs="宋体"/>
          <w:b/>
          <w:bCs/>
          <w:color w:val="auto"/>
          <w:kern w:val="0"/>
          <w:szCs w:val="21"/>
          <w:highlight w:val="none"/>
        </w:rPr>
      </w:pPr>
      <w:bookmarkStart w:id="954" w:name="_Toc351203559"/>
      <w:bookmarkStart w:id="955" w:name="_Toc532377245"/>
      <w:r>
        <w:rPr>
          <w:rFonts w:hint="eastAsia" w:ascii="宋体" w:hAnsi="宋体" w:cs="宋体"/>
          <w:b/>
          <w:bCs/>
          <w:color w:val="auto"/>
          <w:kern w:val="0"/>
          <w:szCs w:val="21"/>
          <w:highlight w:val="none"/>
        </w:rPr>
        <w:t>8.7材料与工程设备的替代</w:t>
      </w:r>
      <w:bookmarkEnd w:id="954"/>
      <w:bookmarkEnd w:id="955"/>
    </w:p>
    <w:p w14:paraId="05752E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8.7.1 出现下列情况需要使用替代材料和工程设备的，承包人应按照第8.7.2项约定的程序执行：</w:t>
      </w:r>
    </w:p>
    <w:p w14:paraId="698F578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（1）基准日期后生效的法律规定禁止使用的；</w:t>
      </w:r>
    </w:p>
    <w:p w14:paraId="793774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（2）发包人要求使用替代品的；</w:t>
      </w:r>
    </w:p>
    <w:p w14:paraId="2E2ECE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（3）因其他原因必须使用替代品的。</w:t>
      </w:r>
    </w:p>
    <w:p w14:paraId="5F3C8E9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8.7.2 承包人应在使用替代材料和工程设备28天前书面通知监理人，并附下列文件：</w:t>
      </w:r>
    </w:p>
    <w:p w14:paraId="0B7BE3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（1）被替代的材料和工程设备的名称、数量、规格、型号、品牌、性能、价格及其他相关资料；</w:t>
      </w:r>
    </w:p>
    <w:p w14:paraId="2D1706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（2）替代品的名称、数量、规格、型号、品牌、性能、价格及其他相关资料；</w:t>
      </w:r>
    </w:p>
    <w:p w14:paraId="473A6F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（3）替代品与被替代产品之间的差异以及使用替代品可能对工程产生的影响；</w:t>
      </w:r>
    </w:p>
    <w:p w14:paraId="22E208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（4）替代品与被替代产品的价格差异；</w:t>
      </w:r>
    </w:p>
    <w:p w14:paraId="5CE1CF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（5）使用替代品的理由和原因说明；</w:t>
      </w:r>
    </w:p>
    <w:p w14:paraId="18BBF6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（6）监理人要求的其他文件。</w:t>
      </w:r>
    </w:p>
    <w:p w14:paraId="205B3F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监理人应在收到通知后14天内向承包人发出经发包人签认的书面指示；监理人逾期发出书面指示的，视为发包人和监理人同意使用替代品。</w:t>
      </w:r>
    </w:p>
    <w:p w14:paraId="361BDC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268F355">
      <w:pPr>
        <w:widowControl/>
        <w:spacing w:line="360" w:lineRule="auto"/>
        <w:ind w:firstLine="422" w:firstLineChars="200"/>
        <w:jc w:val="left"/>
        <w:outlineLvl w:val="4"/>
        <w:rPr>
          <w:rFonts w:ascii="宋体" w:hAnsi="宋体" w:cs="宋体"/>
          <w:b/>
          <w:bCs/>
          <w:color w:val="auto"/>
          <w:kern w:val="0"/>
          <w:szCs w:val="21"/>
          <w:highlight w:val="none"/>
        </w:rPr>
      </w:pPr>
      <w:bookmarkStart w:id="956" w:name="_Toc532377246"/>
      <w:bookmarkStart w:id="957" w:name="_Toc351203560"/>
      <w:r>
        <w:rPr>
          <w:rFonts w:hint="eastAsia" w:ascii="宋体" w:hAnsi="宋体" w:cs="宋体"/>
          <w:b/>
          <w:bCs/>
          <w:color w:val="auto"/>
          <w:kern w:val="0"/>
          <w:szCs w:val="21"/>
          <w:highlight w:val="none"/>
        </w:rPr>
        <w:t>8.8施工设备和临时设施</w:t>
      </w:r>
      <w:bookmarkEnd w:id="956"/>
      <w:bookmarkEnd w:id="957"/>
    </w:p>
    <w:p w14:paraId="52E39F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8.8.1 承包人提供的施工设备和临时设施</w:t>
      </w:r>
    </w:p>
    <w:p w14:paraId="08B0A1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C382A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除专用合同条款另有约定外，承包人应自行承担修建临时设施的费用，需要临时占地的，应由发包人办理申请手续并承担相应费用。</w:t>
      </w:r>
    </w:p>
    <w:p w14:paraId="58586C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8.8.2发包人提供的施工设备和临时设施</w:t>
      </w:r>
    </w:p>
    <w:p w14:paraId="3072B5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发包人提供的施工设备或临时设施在专用合同条款中约定。</w:t>
      </w:r>
    </w:p>
    <w:p w14:paraId="45C36B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8.8.3要求承包人增加或更换施工设备</w:t>
      </w:r>
    </w:p>
    <w:p w14:paraId="2D5ECAA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0CAB831F">
      <w:pPr>
        <w:widowControl/>
        <w:spacing w:line="360" w:lineRule="auto"/>
        <w:ind w:firstLine="422" w:firstLineChars="200"/>
        <w:jc w:val="left"/>
        <w:outlineLvl w:val="4"/>
        <w:rPr>
          <w:rFonts w:ascii="宋体" w:hAnsi="宋体" w:cs="宋体"/>
          <w:b/>
          <w:bCs/>
          <w:color w:val="auto"/>
          <w:kern w:val="0"/>
          <w:szCs w:val="21"/>
          <w:highlight w:val="none"/>
        </w:rPr>
      </w:pPr>
      <w:bookmarkStart w:id="958" w:name="_Toc351203561"/>
      <w:bookmarkStart w:id="959" w:name="_Toc532377247"/>
      <w:r>
        <w:rPr>
          <w:rFonts w:hint="eastAsia" w:ascii="宋体" w:hAnsi="宋体" w:cs="宋体"/>
          <w:b/>
          <w:bCs/>
          <w:color w:val="auto"/>
          <w:kern w:val="0"/>
          <w:szCs w:val="21"/>
          <w:highlight w:val="none"/>
        </w:rPr>
        <w:t>8</w:t>
      </w:r>
      <w:bookmarkStart w:id="960" w:name="_Toc296503063"/>
      <w:bookmarkStart w:id="961" w:name="_Toc296346564"/>
      <w:bookmarkStart w:id="962" w:name="_Toc337558781"/>
      <w:r>
        <w:rPr>
          <w:rFonts w:hint="eastAsia" w:ascii="宋体" w:hAnsi="宋体" w:cs="宋体"/>
          <w:b/>
          <w:bCs/>
          <w:color w:val="auto"/>
          <w:kern w:val="0"/>
          <w:szCs w:val="21"/>
          <w:highlight w:val="none"/>
        </w:rPr>
        <w:t>.9材料与设备专用</w:t>
      </w:r>
      <w:bookmarkEnd w:id="958"/>
      <w:r>
        <w:rPr>
          <w:rFonts w:hint="eastAsia" w:ascii="宋体" w:hAnsi="宋体" w:cs="宋体"/>
          <w:b/>
          <w:bCs/>
          <w:color w:val="auto"/>
          <w:kern w:val="0"/>
          <w:szCs w:val="21"/>
          <w:highlight w:val="none"/>
        </w:rPr>
        <w:t>要求</w:t>
      </w:r>
      <w:bookmarkEnd w:id="959"/>
    </w:p>
    <w:bookmarkEnd w:id="960"/>
    <w:bookmarkEnd w:id="961"/>
    <w:bookmarkEnd w:id="962"/>
    <w:p w14:paraId="75C797B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937"/>
      <w:r>
        <w:rPr>
          <w:rFonts w:hint="eastAsia" w:ascii="宋体" w:hAnsi="宋体"/>
          <w:color w:val="auto"/>
          <w:kern w:val="0"/>
          <w:szCs w:val="21"/>
          <w:highlight w:val="none"/>
        </w:rPr>
        <w:t>经发包人批准，承包人可以根据施工进度计划撤走闲置的施工设备和其他物品。</w:t>
      </w:r>
    </w:p>
    <w:p w14:paraId="01578631">
      <w:pPr>
        <w:keepNext/>
        <w:keepLines/>
        <w:widowControl/>
        <w:spacing w:before="156" w:beforeLines="50" w:after="156" w:afterLines="50" w:line="360" w:lineRule="auto"/>
        <w:outlineLvl w:val="3"/>
        <w:rPr>
          <w:rFonts w:ascii="宋体" w:hAnsi="宋体" w:cs="宋体"/>
          <w:b/>
          <w:color w:val="auto"/>
          <w:szCs w:val="21"/>
          <w:highlight w:val="none"/>
        </w:rPr>
      </w:pPr>
      <w:bookmarkStart w:id="963" w:name="_Toc532377248"/>
      <w:bookmarkStart w:id="964" w:name="_Toc532375595"/>
      <w:bookmarkStart w:id="965" w:name="_Toc351203562"/>
      <w:r>
        <w:rPr>
          <w:rFonts w:hint="eastAsia" w:ascii="宋体" w:hAnsi="宋体" w:cs="宋体"/>
          <w:b/>
          <w:bCs/>
          <w:color w:val="auto"/>
          <w:szCs w:val="21"/>
          <w:highlight w:val="none"/>
        </w:rPr>
        <w:t>9</w:t>
      </w:r>
      <w:bookmarkStart w:id="966" w:name="_Toc337558782"/>
      <w:bookmarkStart w:id="967" w:name="_Toc296346584"/>
      <w:bookmarkStart w:id="968" w:name="_Toc296503083"/>
      <w:r>
        <w:rPr>
          <w:rFonts w:hint="eastAsia" w:ascii="宋体" w:hAnsi="宋体" w:cs="宋体"/>
          <w:b/>
          <w:bCs/>
          <w:color w:val="auto"/>
          <w:szCs w:val="21"/>
          <w:highlight w:val="none"/>
        </w:rPr>
        <w:t>. 试验与检验</w:t>
      </w:r>
      <w:bookmarkEnd w:id="963"/>
      <w:bookmarkEnd w:id="964"/>
      <w:bookmarkEnd w:id="965"/>
    </w:p>
    <w:bookmarkEnd w:id="966"/>
    <w:p w14:paraId="27A05755">
      <w:pPr>
        <w:widowControl/>
        <w:spacing w:line="360" w:lineRule="auto"/>
        <w:ind w:firstLine="422" w:firstLineChars="200"/>
        <w:jc w:val="left"/>
        <w:outlineLvl w:val="4"/>
        <w:rPr>
          <w:rFonts w:ascii="宋体" w:hAnsi="宋体" w:cs="宋体"/>
          <w:b/>
          <w:bCs/>
          <w:color w:val="auto"/>
          <w:kern w:val="0"/>
          <w:szCs w:val="21"/>
          <w:highlight w:val="none"/>
        </w:rPr>
      </w:pPr>
      <w:bookmarkStart w:id="969" w:name="_Toc351203563"/>
      <w:bookmarkStart w:id="970" w:name="_Toc532377249"/>
      <w:r>
        <w:rPr>
          <w:rFonts w:hint="eastAsia" w:ascii="宋体" w:hAnsi="宋体" w:cs="宋体"/>
          <w:b/>
          <w:bCs/>
          <w:color w:val="auto"/>
          <w:kern w:val="0"/>
          <w:szCs w:val="21"/>
          <w:highlight w:val="none"/>
        </w:rPr>
        <w:t>9</w:t>
      </w:r>
      <w:bookmarkStart w:id="971" w:name="_Toc337558783"/>
      <w:r>
        <w:rPr>
          <w:rFonts w:hint="eastAsia" w:ascii="宋体" w:hAnsi="宋体" w:cs="宋体"/>
          <w:b/>
          <w:bCs/>
          <w:color w:val="auto"/>
          <w:kern w:val="0"/>
          <w:szCs w:val="21"/>
          <w:highlight w:val="none"/>
        </w:rPr>
        <w:t>.1试验设备与试验人员</w:t>
      </w:r>
      <w:bookmarkEnd w:id="969"/>
      <w:bookmarkEnd w:id="970"/>
    </w:p>
    <w:bookmarkEnd w:id="971"/>
    <w:p w14:paraId="45749BA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EE2240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9.1.2 承包人应按专用合同条款的约定提供试验设备、取样装置、试验场所和试验条件，并向监理人提交相应进场计划表。</w:t>
      </w:r>
    </w:p>
    <w:p w14:paraId="0982A3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承包人配置的试验设备要符合相应试验规程的要求并经过具有资质的检测单位检测，且在正式使用该试验设备前，需要经过监理人与承包人共同校定。</w:t>
      </w:r>
    </w:p>
    <w:p w14:paraId="595861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7636B828">
      <w:pPr>
        <w:widowControl/>
        <w:spacing w:line="360" w:lineRule="auto"/>
        <w:ind w:firstLine="422" w:firstLineChars="200"/>
        <w:jc w:val="left"/>
        <w:outlineLvl w:val="4"/>
        <w:rPr>
          <w:rFonts w:ascii="宋体" w:hAnsi="宋体" w:cs="宋体"/>
          <w:b/>
          <w:bCs/>
          <w:color w:val="auto"/>
          <w:kern w:val="0"/>
          <w:szCs w:val="21"/>
          <w:highlight w:val="none"/>
        </w:rPr>
      </w:pPr>
      <w:bookmarkStart w:id="972" w:name="_Toc351203564"/>
      <w:bookmarkStart w:id="973" w:name="_Toc532377250"/>
      <w:r>
        <w:rPr>
          <w:rFonts w:hint="eastAsia" w:ascii="宋体" w:hAnsi="宋体" w:cs="宋体"/>
          <w:b/>
          <w:bCs/>
          <w:color w:val="auto"/>
          <w:kern w:val="0"/>
          <w:szCs w:val="21"/>
          <w:highlight w:val="none"/>
        </w:rPr>
        <w:t>9</w:t>
      </w:r>
      <w:bookmarkStart w:id="974" w:name="_Toc337558784"/>
      <w:r>
        <w:rPr>
          <w:rFonts w:hint="eastAsia" w:ascii="宋体" w:hAnsi="宋体" w:cs="宋体"/>
          <w:b/>
          <w:bCs/>
          <w:color w:val="auto"/>
          <w:kern w:val="0"/>
          <w:szCs w:val="21"/>
          <w:highlight w:val="none"/>
        </w:rPr>
        <w:t>.2取样</w:t>
      </w:r>
      <w:bookmarkEnd w:id="972"/>
      <w:bookmarkEnd w:id="973"/>
    </w:p>
    <w:bookmarkEnd w:id="974"/>
    <w:p w14:paraId="47B1FC2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试验属于自检性质的，承包人可以单独取样。试验属于监理人抽检性质的，可由监理人取样，也可由承包人的试验人员在监理人的监督下取样。</w:t>
      </w:r>
    </w:p>
    <w:p w14:paraId="0B0C4B9F">
      <w:pPr>
        <w:widowControl/>
        <w:spacing w:line="360" w:lineRule="auto"/>
        <w:ind w:firstLine="422" w:firstLineChars="200"/>
        <w:jc w:val="left"/>
        <w:outlineLvl w:val="4"/>
        <w:rPr>
          <w:rFonts w:ascii="宋体" w:hAnsi="宋体" w:cs="宋体"/>
          <w:b/>
          <w:bCs/>
          <w:color w:val="auto"/>
          <w:kern w:val="0"/>
          <w:szCs w:val="21"/>
          <w:highlight w:val="none"/>
        </w:rPr>
      </w:pPr>
      <w:bookmarkStart w:id="975" w:name="_Toc532377251"/>
      <w:bookmarkStart w:id="976" w:name="_Toc351203565"/>
      <w:r>
        <w:rPr>
          <w:rFonts w:hint="eastAsia" w:ascii="宋体" w:hAnsi="宋体" w:cs="宋体"/>
          <w:b/>
          <w:bCs/>
          <w:color w:val="auto"/>
          <w:kern w:val="0"/>
          <w:szCs w:val="21"/>
          <w:highlight w:val="none"/>
        </w:rPr>
        <w:t>9</w:t>
      </w:r>
      <w:bookmarkStart w:id="977" w:name="_Toc337558785"/>
      <w:r>
        <w:rPr>
          <w:rFonts w:hint="eastAsia" w:ascii="宋体" w:hAnsi="宋体" w:cs="宋体"/>
          <w:b/>
          <w:bCs/>
          <w:color w:val="auto"/>
          <w:kern w:val="0"/>
          <w:szCs w:val="21"/>
          <w:highlight w:val="none"/>
        </w:rPr>
        <w:t>.3材料、工程设备和工程的试验和检验</w:t>
      </w:r>
      <w:bookmarkEnd w:id="975"/>
      <w:bookmarkEnd w:id="976"/>
    </w:p>
    <w:bookmarkEnd w:id="977"/>
    <w:p w14:paraId="2FF139F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720A97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4325D2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延误的工期由发包人承担。</w:t>
      </w:r>
    </w:p>
    <w:p w14:paraId="3F551205">
      <w:pPr>
        <w:widowControl/>
        <w:spacing w:line="360" w:lineRule="auto"/>
        <w:ind w:firstLine="422" w:firstLineChars="200"/>
        <w:jc w:val="left"/>
        <w:outlineLvl w:val="4"/>
        <w:rPr>
          <w:rFonts w:ascii="宋体" w:hAnsi="宋体" w:cs="宋体"/>
          <w:b/>
          <w:bCs/>
          <w:color w:val="auto"/>
          <w:kern w:val="0"/>
          <w:szCs w:val="21"/>
          <w:highlight w:val="none"/>
        </w:rPr>
      </w:pPr>
      <w:bookmarkStart w:id="978" w:name="_Toc351203566"/>
      <w:bookmarkStart w:id="979" w:name="_Toc532377252"/>
      <w:r>
        <w:rPr>
          <w:rFonts w:hint="eastAsia" w:ascii="宋体" w:hAnsi="宋体" w:cs="宋体"/>
          <w:b/>
          <w:bCs/>
          <w:color w:val="auto"/>
          <w:kern w:val="0"/>
          <w:szCs w:val="21"/>
          <w:highlight w:val="none"/>
        </w:rPr>
        <w:t>9</w:t>
      </w:r>
      <w:bookmarkStart w:id="980" w:name="_Toc337558786"/>
      <w:r>
        <w:rPr>
          <w:rFonts w:hint="eastAsia" w:ascii="宋体" w:hAnsi="宋体" w:cs="宋体"/>
          <w:b/>
          <w:bCs/>
          <w:color w:val="auto"/>
          <w:kern w:val="0"/>
          <w:szCs w:val="21"/>
          <w:highlight w:val="none"/>
        </w:rPr>
        <w:t>.4现场工艺试验</w:t>
      </w:r>
      <w:bookmarkEnd w:id="978"/>
      <w:bookmarkEnd w:id="979"/>
    </w:p>
    <w:bookmarkEnd w:id="980"/>
    <w:p w14:paraId="7597A1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18BE374E">
      <w:pPr>
        <w:keepNext/>
        <w:keepLines/>
        <w:widowControl/>
        <w:spacing w:before="156" w:beforeLines="50" w:after="156" w:afterLines="50" w:line="360" w:lineRule="auto"/>
        <w:outlineLvl w:val="3"/>
        <w:rPr>
          <w:rFonts w:ascii="宋体" w:hAnsi="宋体" w:cs="宋体"/>
          <w:b/>
          <w:color w:val="auto"/>
          <w:szCs w:val="21"/>
          <w:highlight w:val="none"/>
        </w:rPr>
      </w:pPr>
      <w:bookmarkStart w:id="981" w:name="_Toc532375596"/>
      <w:bookmarkStart w:id="982" w:name="_Toc532377253"/>
      <w:bookmarkStart w:id="983" w:name="_Toc351203567"/>
      <w:r>
        <w:rPr>
          <w:rFonts w:hint="eastAsia" w:ascii="宋体" w:hAnsi="宋体" w:cs="宋体"/>
          <w:b/>
          <w:bCs/>
          <w:color w:val="auto"/>
          <w:szCs w:val="21"/>
          <w:highlight w:val="none"/>
        </w:rPr>
        <w:t>1</w:t>
      </w:r>
      <w:bookmarkStart w:id="984" w:name="_Toc337558787"/>
      <w:r>
        <w:rPr>
          <w:rFonts w:hint="eastAsia" w:ascii="宋体" w:hAnsi="宋体" w:cs="宋体"/>
          <w:b/>
          <w:bCs/>
          <w:color w:val="auto"/>
          <w:szCs w:val="21"/>
          <w:highlight w:val="none"/>
        </w:rPr>
        <w:t>0. 变更</w:t>
      </w:r>
      <w:bookmarkEnd w:id="967"/>
      <w:bookmarkEnd w:id="968"/>
      <w:bookmarkEnd w:id="981"/>
      <w:bookmarkEnd w:id="982"/>
      <w:bookmarkEnd w:id="983"/>
    </w:p>
    <w:bookmarkEnd w:id="984"/>
    <w:p w14:paraId="5F78E510">
      <w:pPr>
        <w:widowControl/>
        <w:spacing w:line="360" w:lineRule="auto"/>
        <w:ind w:firstLine="422" w:firstLineChars="200"/>
        <w:jc w:val="left"/>
        <w:outlineLvl w:val="4"/>
        <w:rPr>
          <w:rFonts w:ascii="宋体" w:hAnsi="宋体" w:cs="宋体"/>
          <w:b/>
          <w:bCs/>
          <w:color w:val="auto"/>
          <w:kern w:val="0"/>
          <w:szCs w:val="21"/>
          <w:highlight w:val="none"/>
        </w:rPr>
      </w:pPr>
      <w:bookmarkStart w:id="985" w:name="_Toc351203568"/>
      <w:bookmarkStart w:id="986" w:name="_Toc532377254"/>
      <w:r>
        <w:rPr>
          <w:rFonts w:hint="eastAsia" w:ascii="宋体" w:hAnsi="宋体" w:cs="宋体"/>
          <w:b/>
          <w:bCs/>
          <w:color w:val="auto"/>
          <w:kern w:val="0"/>
          <w:szCs w:val="21"/>
          <w:highlight w:val="none"/>
        </w:rPr>
        <w:t>1</w:t>
      </w:r>
      <w:bookmarkStart w:id="987" w:name="_Toc337558788"/>
      <w:bookmarkStart w:id="988" w:name="_Toc296346585"/>
      <w:bookmarkStart w:id="989" w:name="_Toc296503084"/>
      <w:r>
        <w:rPr>
          <w:rFonts w:hint="eastAsia" w:ascii="宋体" w:hAnsi="宋体" w:cs="宋体"/>
          <w:b/>
          <w:bCs/>
          <w:color w:val="auto"/>
          <w:kern w:val="0"/>
          <w:szCs w:val="21"/>
          <w:highlight w:val="none"/>
        </w:rPr>
        <w:t>0.1变更的范围</w:t>
      </w:r>
      <w:bookmarkEnd w:id="985"/>
      <w:bookmarkEnd w:id="986"/>
    </w:p>
    <w:bookmarkEnd w:id="987"/>
    <w:bookmarkEnd w:id="988"/>
    <w:bookmarkEnd w:id="989"/>
    <w:p w14:paraId="0A987AE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除专用合同条款另有约定外，合同履行过程中发生以下情形的，应按照本条约定进行变更：</w:t>
      </w:r>
    </w:p>
    <w:p w14:paraId="2C221F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（1）增加或减少合同中任何工作，或追加额外的工作；</w:t>
      </w:r>
    </w:p>
    <w:p w14:paraId="5AEC2F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（2）取消合同中任何工作，但转由他人实施的工作除外；</w:t>
      </w:r>
    </w:p>
    <w:p w14:paraId="3432A9E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（3）改变合同中任何工作的质量标准或其他特性；</w:t>
      </w:r>
    </w:p>
    <w:p w14:paraId="144D9D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（4）改变工程的基线、标高、位置和尺寸；</w:t>
      </w:r>
    </w:p>
    <w:p w14:paraId="1C4365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（5）改变工程的时间安排或实施顺序。</w:t>
      </w:r>
    </w:p>
    <w:p w14:paraId="4C903EDB">
      <w:pPr>
        <w:widowControl/>
        <w:spacing w:line="360" w:lineRule="auto"/>
        <w:ind w:firstLine="422" w:firstLineChars="200"/>
        <w:jc w:val="left"/>
        <w:outlineLvl w:val="4"/>
        <w:rPr>
          <w:rFonts w:ascii="宋体" w:hAnsi="宋体" w:cs="宋体"/>
          <w:b/>
          <w:bCs/>
          <w:color w:val="auto"/>
          <w:kern w:val="0"/>
          <w:szCs w:val="21"/>
          <w:highlight w:val="none"/>
        </w:rPr>
      </w:pPr>
      <w:bookmarkStart w:id="990" w:name="_Toc532377255"/>
      <w:r>
        <w:rPr>
          <w:rFonts w:hint="eastAsia" w:ascii="宋体" w:hAnsi="宋体" w:cs="宋体"/>
          <w:b/>
          <w:bCs/>
          <w:color w:val="auto"/>
          <w:kern w:val="0"/>
          <w:szCs w:val="21"/>
          <w:highlight w:val="none"/>
        </w:rPr>
        <w:t>10.2变更权</w:t>
      </w:r>
      <w:bookmarkEnd w:id="990"/>
    </w:p>
    <w:p w14:paraId="0FBF83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635697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涉及设计变更的，应由设计人提供变更后的图纸和说明。如变更超过原设计标准或批准的建设规模时，发包人应及时办理规划、设计变更等审批手续。</w:t>
      </w:r>
    </w:p>
    <w:p w14:paraId="5BEF77B6">
      <w:pPr>
        <w:widowControl/>
        <w:spacing w:line="360" w:lineRule="auto"/>
        <w:ind w:firstLine="422" w:firstLineChars="200"/>
        <w:jc w:val="left"/>
        <w:outlineLvl w:val="4"/>
        <w:rPr>
          <w:rFonts w:ascii="宋体" w:hAnsi="宋体" w:cs="宋体"/>
          <w:b/>
          <w:bCs/>
          <w:color w:val="auto"/>
          <w:kern w:val="0"/>
          <w:szCs w:val="21"/>
          <w:highlight w:val="none"/>
        </w:rPr>
      </w:pPr>
      <w:bookmarkStart w:id="991" w:name="_Toc532377256"/>
      <w:r>
        <w:rPr>
          <w:rFonts w:hint="eastAsia" w:ascii="宋体" w:hAnsi="宋体" w:cs="宋体"/>
          <w:b/>
          <w:bCs/>
          <w:color w:val="auto"/>
          <w:kern w:val="0"/>
          <w:szCs w:val="21"/>
          <w:highlight w:val="none"/>
        </w:rPr>
        <w:t>10.3变更程序</w:t>
      </w:r>
      <w:bookmarkEnd w:id="991"/>
    </w:p>
    <w:p w14:paraId="2245AD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10.3.1 发包人提出变更</w:t>
      </w:r>
    </w:p>
    <w:p w14:paraId="2664D81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发包人提出变更的，应通过监理人向承包人发出变更指示，变更指示应说明计划变更的工程范围和变更的内容。</w:t>
      </w:r>
    </w:p>
    <w:p w14:paraId="18C9F8E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10.3.2 监理人提出变更建议</w:t>
      </w:r>
    </w:p>
    <w:p w14:paraId="5A147F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0D8C3C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10.3.3 变更执行</w:t>
      </w:r>
    </w:p>
    <w:p w14:paraId="2E4D982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2CC95BF">
      <w:pPr>
        <w:widowControl/>
        <w:spacing w:line="360" w:lineRule="auto"/>
        <w:ind w:firstLine="422" w:firstLineChars="200"/>
        <w:jc w:val="left"/>
        <w:outlineLvl w:val="4"/>
        <w:rPr>
          <w:rFonts w:ascii="宋体" w:hAnsi="宋体" w:cs="宋体"/>
          <w:b/>
          <w:bCs/>
          <w:color w:val="auto"/>
          <w:kern w:val="0"/>
          <w:szCs w:val="21"/>
          <w:highlight w:val="none"/>
        </w:rPr>
      </w:pPr>
      <w:bookmarkStart w:id="992" w:name="_Toc351203571"/>
      <w:bookmarkStart w:id="993" w:name="_Toc532377257"/>
      <w:r>
        <w:rPr>
          <w:rFonts w:hint="eastAsia" w:ascii="宋体" w:hAnsi="宋体" w:cs="宋体"/>
          <w:b/>
          <w:bCs/>
          <w:color w:val="auto"/>
          <w:kern w:val="0"/>
          <w:szCs w:val="21"/>
          <w:highlight w:val="none"/>
        </w:rPr>
        <w:t>1</w:t>
      </w:r>
      <w:bookmarkStart w:id="994" w:name="_Toc337558791"/>
      <w:bookmarkStart w:id="995" w:name="_Toc296346588"/>
      <w:bookmarkStart w:id="996" w:name="_Toc296503087"/>
      <w:r>
        <w:rPr>
          <w:rFonts w:hint="eastAsia" w:ascii="宋体" w:hAnsi="宋体" w:cs="宋体"/>
          <w:b/>
          <w:bCs/>
          <w:color w:val="auto"/>
          <w:kern w:val="0"/>
          <w:szCs w:val="21"/>
          <w:highlight w:val="none"/>
        </w:rPr>
        <w:t>0.4变更估价</w:t>
      </w:r>
      <w:bookmarkEnd w:id="992"/>
      <w:bookmarkEnd w:id="993"/>
    </w:p>
    <w:bookmarkEnd w:id="994"/>
    <w:bookmarkEnd w:id="995"/>
    <w:bookmarkEnd w:id="996"/>
    <w:p w14:paraId="5909DC2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10.4.1 变更估价原则</w:t>
      </w:r>
    </w:p>
    <w:p w14:paraId="092AAA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除专用合同条款另有约定外，变更估价按照本款约定处理：</w:t>
      </w:r>
    </w:p>
    <w:p w14:paraId="0A8982E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（1）已标价工程量清单或预算书有相同项目的，按照相同项目单价认定；</w:t>
      </w:r>
    </w:p>
    <w:p w14:paraId="3CC700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（2）已标价工程量清单或预算书中无相同项目，但有类似项目的，可在合理范围内参照类似项目的单价认定；</w:t>
      </w:r>
    </w:p>
    <w:p w14:paraId="1CBFC8F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5B140E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10.4.2 变更估价程序</w:t>
      </w:r>
    </w:p>
    <w:p w14:paraId="626207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因变更引起的价格调整应计入最近一期的进度款中支付。</w:t>
      </w:r>
    </w:p>
    <w:p w14:paraId="1917DAA9">
      <w:pPr>
        <w:widowControl/>
        <w:spacing w:line="360" w:lineRule="auto"/>
        <w:ind w:firstLine="422" w:firstLineChars="200"/>
        <w:jc w:val="left"/>
        <w:outlineLvl w:val="4"/>
        <w:rPr>
          <w:rFonts w:ascii="宋体" w:hAnsi="宋体" w:cs="宋体"/>
          <w:b/>
          <w:bCs/>
          <w:color w:val="auto"/>
          <w:kern w:val="0"/>
          <w:szCs w:val="21"/>
          <w:highlight w:val="none"/>
        </w:rPr>
      </w:pPr>
      <w:bookmarkStart w:id="997" w:name="_Toc532377258"/>
      <w:bookmarkStart w:id="998" w:name="_Toc351203572"/>
      <w:r>
        <w:rPr>
          <w:rFonts w:hint="eastAsia" w:ascii="宋体" w:hAnsi="宋体" w:cs="宋体"/>
          <w:b/>
          <w:bCs/>
          <w:color w:val="auto"/>
          <w:kern w:val="0"/>
          <w:szCs w:val="21"/>
          <w:highlight w:val="none"/>
        </w:rPr>
        <w:t>1</w:t>
      </w:r>
      <w:bookmarkStart w:id="999" w:name="_Toc296503094"/>
      <w:bookmarkStart w:id="1000" w:name="_Toc337558792"/>
      <w:bookmarkStart w:id="1001" w:name="_Toc296346595"/>
      <w:r>
        <w:rPr>
          <w:rFonts w:hint="eastAsia" w:ascii="宋体" w:hAnsi="宋体" w:cs="宋体"/>
          <w:b/>
          <w:bCs/>
          <w:color w:val="auto"/>
          <w:kern w:val="0"/>
          <w:szCs w:val="21"/>
          <w:highlight w:val="none"/>
        </w:rPr>
        <w:t>0.5承包人的合理化建议</w:t>
      </w:r>
      <w:bookmarkEnd w:id="997"/>
      <w:bookmarkEnd w:id="998"/>
    </w:p>
    <w:bookmarkEnd w:id="999"/>
    <w:bookmarkEnd w:id="1000"/>
    <w:bookmarkEnd w:id="1001"/>
    <w:p w14:paraId="72DCAC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承包人提出合理化建议的，应向监理人提交合理化建议说明，说明建议的内容和理由，以及实施该建议对合同价格和工期的影响。</w:t>
      </w:r>
    </w:p>
    <w:p w14:paraId="03AB64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20080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合理化建议降低了合同价格或者提高了工程经济效益的，发包人可对承包人给予奖励，奖励的方法和金额在专用合同条款中约定。</w:t>
      </w:r>
    </w:p>
    <w:p w14:paraId="7D647AAC">
      <w:pPr>
        <w:widowControl/>
        <w:spacing w:line="360" w:lineRule="auto"/>
        <w:ind w:firstLine="422" w:firstLineChars="200"/>
        <w:jc w:val="left"/>
        <w:outlineLvl w:val="4"/>
        <w:rPr>
          <w:rFonts w:ascii="宋体" w:hAnsi="宋体" w:cs="宋体"/>
          <w:b/>
          <w:bCs/>
          <w:color w:val="auto"/>
          <w:kern w:val="0"/>
          <w:szCs w:val="21"/>
          <w:highlight w:val="none"/>
        </w:rPr>
      </w:pPr>
      <w:bookmarkStart w:id="1002" w:name="_Toc532377259"/>
      <w:bookmarkStart w:id="1003" w:name="_Toc351203573"/>
      <w:r>
        <w:rPr>
          <w:rFonts w:hint="eastAsia" w:ascii="宋体" w:hAnsi="宋体" w:cs="宋体"/>
          <w:b/>
          <w:bCs/>
          <w:color w:val="auto"/>
          <w:kern w:val="0"/>
          <w:szCs w:val="21"/>
          <w:highlight w:val="none"/>
        </w:rPr>
        <w:t>1</w:t>
      </w:r>
      <w:bookmarkStart w:id="1004" w:name="_Toc337558793"/>
      <w:r>
        <w:rPr>
          <w:rFonts w:hint="eastAsia" w:ascii="宋体" w:hAnsi="宋体" w:cs="宋体"/>
          <w:b/>
          <w:bCs/>
          <w:color w:val="auto"/>
          <w:kern w:val="0"/>
          <w:szCs w:val="21"/>
          <w:highlight w:val="none"/>
        </w:rPr>
        <w:t>0.6变更引起的工期调整</w:t>
      </w:r>
      <w:bookmarkEnd w:id="1002"/>
      <w:bookmarkEnd w:id="1003"/>
      <w:bookmarkEnd w:id="1004"/>
    </w:p>
    <w:p w14:paraId="18D6A9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因变更引起工期变化的，合同当事人均可要求调整合同工期，由合同当事人按照第4.4款〔商定或确定〕并参考工程所在地的工期定额标准确定增减工期天数。</w:t>
      </w:r>
    </w:p>
    <w:p w14:paraId="2F2D05D8">
      <w:pPr>
        <w:widowControl/>
        <w:spacing w:line="360" w:lineRule="auto"/>
        <w:ind w:firstLine="422" w:firstLineChars="200"/>
        <w:jc w:val="left"/>
        <w:outlineLvl w:val="4"/>
        <w:rPr>
          <w:rFonts w:ascii="宋体" w:hAnsi="宋体" w:cs="宋体"/>
          <w:b/>
          <w:bCs/>
          <w:color w:val="auto"/>
          <w:kern w:val="0"/>
          <w:szCs w:val="21"/>
          <w:highlight w:val="none"/>
        </w:rPr>
      </w:pPr>
      <w:bookmarkStart w:id="1005" w:name="_Toc351203574"/>
      <w:bookmarkStart w:id="1006" w:name="_Toc532377260"/>
      <w:r>
        <w:rPr>
          <w:rFonts w:hint="eastAsia" w:ascii="宋体" w:hAnsi="宋体" w:cs="宋体"/>
          <w:b/>
          <w:bCs/>
          <w:color w:val="auto"/>
          <w:kern w:val="0"/>
          <w:szCs w:val="21"/>
          <w:highlight w:val="none"/>
        </w:rPr>
        <w:t>10.7暂估价</w:t>
      </w:r>
      <w:bookmarkEnd w:id="1005"/>
      <w:bookmarkEnd w:id="1006"/>
    </w:p>
    <w:p w14:paraId="294E6E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暂估价专业分包工程、服务、材料和工程设备的明细由合同当事人在专用合同条款中约定。</w:t>
      </w:r>
    </w:p>
    <w:p w14:paraId="0F1CAE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10.7.1 依法必须招标的暂估价项目</w:t>
      </w:r>
    </w:p>
    <w:p w14:paraId="5683FEE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对于依法必须招标的暂估价项目，采取以下第1种方式确定。合同当事人也可以在专用合同条款中选择其他招标方式。与组织招标工作有关的费用应当认为已经包括在承包人的签约合同价中。</w:t>
      </w:r>
    </w:p>
    <w:p w14:paraId="3E65A2F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第1种方式：对于依法必须招标的暂估价项目，由承包人招标，对该暂估价项目的确认和批准按照以下约定执行：</w:t>
      </w:r>
    </w:p>
    <w:p w14:paraId="369130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C96E6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520DAB2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89AD3F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AA35DC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10.7.2不属于依法必须招标的暂估价项目</w:t>
      </w:r>
    </w:p>
    <w:p w14:paraId="5DC95D5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除专用合同条款另有约定外，对于不属于依法必须招标的暂估价项目，采取以下第1种方式确定： </w:t>
      </w:r>
    </w:p>
    <w:p w14:paraId="66E441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第1种方式：对于不属于依法必须招标的暂估价项目，按本项约定确认和批准：</w:t>
      </w:r>
    </w:p>
    <w:p w14:paraId="5501800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E56925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（2）发包人认为承包人确定的供应商、分包人无法满足工程质量或合同要求的，发包人可以要求承包人重新确定暂估价项目的供应商、分包人;</w:t>
      </w:r>
    </w:p>
    <w:p w14:paraId="0ED76CF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14:paraId="0069BA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第2种方式：承包人按照第10.7.1项〔依法必须招标的暂估价项目〕约定的第1种方式确定暂估价项目。</w:t>
      </w:r>
    </w:p>
    <w:p w14:paraId="5221FF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第3种方式：承包人直接实施的暂估价项目</w:t>
      </w:r>
    </w:p>
    <w:p w14:paraId="5F51444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14:paraId="7FF6989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10.7.3 因发包人原因导致暂估价合同订立和履行迟延的，由此延误的工期由发包人承担。因承包人原因导致暂估价合同订立和履行迟延的，由此增加的费用和（或）延误的工期由承包人承担。</w:t>
      </w:r>
    </w:p>
    <w:p w14:paraId="5F9AB222">
      <w:pPr>
        <w:widowControl/>
        <w:spacing w:line="360" w:lineRule="auto"/>
        <w:ind w:firstLine="422" w:firstLineChars="200"/>
        <w:jc w:val="left"/>
        <w:outlineLvl w:val="4"/>
        <w:rPr>
          <w:rFonts w:ascii="宋体" w:hAnsi="宋体" w:cs="宋体"/>
          <w:b/>
          <w:bCs/>
          <w:color w:val="auto"/>
          <w:kern w:val="0"/>
          <w:szCs w:val="21"/>
          <w:highlight w:val="none"/>
        </w:rPr>
      </w:pPr>
      <w:bookmarkStart w:id="1007" w:name="_Toc532377261"/>
      <w:bookmarkStart w:id="1008" w:name="_Toc351203575"/>
      <w:r>
        <w:rPr>
          <w:rFonts w:hint="eastAsia" w:ascii="宋体" w:hAnsi="宋体" w:cs="宋体"/>
          <w:b/>
          <w:bCs/>
          <w:color w:val="auto"/>
          <w:kern w:val="0"/>
          <w:szCs w:val="21"/>
          <w:highlight w:val="none"/>
        </w:rPr>
        <w:t>1</w:t>
      </w:r>
      <w:bookmarkStart w:id="1009" w:name="_Toc337558794"/>
      <w:bookmarkStart w:id="1010" w:name="_Toc296503090"/>
      <w:bookmarkStart w:id="1011" w:name="_Toc322522561"/>
      <w:bookmarkStart w:id="1012" w:name="_Toc296346591"/>
      <w:r>
        <w:rPr>
          <w:rFonts w:hint="eastAsia" w:ascii="宋体" w:hAnsi="宋体" w:cs="宋体"/>
          <w:b/>
          <w:bCs/>
          <w:color w:val="auto"/>
          <w:kern w:val="0"/>
          <w:szCs w:val="21"/>
          <w:highlight w:val="none"/>
        </w:rPr>
        <w:t>0.8暂列金额</w:t>
      </w:r>
      <w:bookmarkEnd w:id="1007"/>
      <w:bookmarkEnd w:id="1008"/>
    </w:p>
    <w:bookmarkEnd w:id="1009"/>
    <w:p w14:paraId="5998A1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暂列金额应按照发包人的要求使用，发包人的要求应通过监理人发出。合同当事人可以在专用合同条款中协商确定有关事项。</w:t>
      </w:r>
    </w:p>
    <w:bookmarkEnd w:id="1010"/>
    <w:bookmarkEnd w:id="1011"/>
    <w:bookmarkEnd w:id="1012"/>
    <w:p w14:paraId="3EB9CE7A">
      <w:pPr>
        <w:widowControl/>
        <w:spacing w:line="360" w:lineRule="auto"/>
        <w:ind w:firstLine="422" w:firstLineChars="200"/>
        <w:jc w:val="left"/>
        <w:outlineLvl w:val="4"/>
        <w:rPr>
          <w:rFonts w:ascii="宋体" w:hAnsi="宋体" w:cs="宋体"/>
          <w:b/>
          <w:bCs/>
          <w:color w:val="auto"/>
          <w:kern w:val="0"/>
          <w:szCs w:val="21"/>
          <w:highlight w:val="none"/>
        </w:rPr>
      </w:pPr>
      <w:bookmarkStart w:id="1013" w:name="_Toc351203576"/>
      <w:bookmarkStart w:id="1014" w:name="_Toc532377262"/>
      <w:r>
        <w:rPr>
          <w:rFonts w:hint="eastAsia" w:ascii="宋体" w:hAnsi="宋体" w:cs="宋体"/>
          <w:b/>
          <w:bCs/>
          <w:color w:val="auto"/>
          <w:kern w:val="0"/>
          <w:szCs w:val="21"/>
          <w:highlight w:val="none"/>
        </w:rPr>
        <w:t>1</w:t>
      </w:r>
      <w:bookmarkStart w:id="1015" w:name="_Toc296503091"/>
      <w:bookmarkStart w:id="1016" w:name="_Toc296346592"/>
      <w:bookmarkStart w:id="1017" w:name="_Toc337558796"/>
      <w:r>
        <w:rPr>
          <w:rFonts w:hint="eastAsia" w:ascii="宋体" w:hAnsi="宋体" w:cs="宋体"/>
          <w:b/>
          <w:bCs/>
          <w:color w:val="auto"/>
          <w:kern w:val="0"/>
          <w:szCs w:val="21"/>
          <w:highlight w:val="none"/>
        </w:rPr>
        <w:t>0.9计日工</w:t>
      </w:r>
      <w:bookmarkEnd w:id="1013"/>
      <w:bookmarkEnd w:id="1014"/>
      <w:bookmarkEnd w:id="1015"/>
      <w:bookmarkEnd w:id="1016"/>
      <w:bookmarkEnd w:id="1017"/>
    </w:p>
    <w:p w14:paraId="1B0A5C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1B191CA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采用计日工计价的任何一项工作，承包人应在该项工作实施过程中，每天提交以下报表和有关凭证报送监理人审查：</w:t>
      </w:r>
    </w:p>
    <w:p w14:paraId="44BBC1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（1）工作名称、内容和数量；</w:t>
      </w:r>
    </w:p>
    <w:p w14:paraId="6DE0851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（2）投入该工作的所有人员的姓名、专业、工种、级别和耗用工时；</w:t>
      </w:r>
    </w:p>
    <w:p w14:paraId="4BD598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（3）投入该工作的材料类别和数量；</w:t>
      </w:r>
    </w:p>
    <w:p w14:paraId="47BDE7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（4）投入该工作的施工设备型号、台数和耗用台时；</w:t>
      </w:r>
    </w:p>
    <w:p w14:paraId="25C36F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（5）其他有关资料和凭证。</w:t>
      </w:r>
    </w:p>
    <w:p w14:paraId="7A1A71D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计日工由承包人汇总后，列入最近一期进度付款申请单，由监理人审查并经发包人批准后列入进度付款。</w:t>
      </w:r>
    </w:p>
    <w:p w14:paraId="661BD95A">
      <w:pPr>
        <w:keepNext/>
        <w:keepLines/>
        <w:widowControl/>
        <w:spacing w:before="156" w:beforeLines="50" w:after="156" w:afterLines="50" w:line="360" w:lineRule="auto"/>
        <w:outlineLvl w:val="3"/>
        <w:rPr>
          <w:rFonts w:ascii="宋体" w:hAnsi="宋体" w:cs="宋体"/>
          <w:b/>
          <w:color w:val="auto"/>
          <w:szCs w:val="21"/>
          <w:highlight w:val="none"/>
        </w:rPr>
      </w:pPr>
      <w:bookmarkStart w:id="1018" w:name="_Toc532377263"/>
      <w:bookmarkStart w:id="1019" w:name="_Toc532375597"/>
      <w:bookmarkStart w:id="1020" w:name="_Toc351203577"/>
      <w:r>
        <w:rPr>
          <w:rFonts w:hint="eastAsia" w:ascii="宋体" w:hAnsi="宋体" w:cs="宋体"/>
          <w:b/>
          <w:bCs/>
          <w:color w:val="auto"/>
          <w:szCs w:val="21"/>
          <w:highlight w:val="none"/>
        </w:rPr>
        <w:t>11. 价格调整</w:t>
      </w:r>
      <w:bookmarkEnd w:id="1018"/>
      <w:bookmarkEnd w:id="1019"/>
      <w:bookmarkEnd w:id="1020"/>
    </w:p>
    <w:p w14:paraId="22B475EA">
      <w:pPr>
        <w:widowControl/>
        <w:spacing w:line="360" w:lineRule="auto"/>
        <w:ind w:firstLine="422" w:firstLineChars="200"/>
        <w:jc w:val="left"/>
        <w:outlineLvl w:val="4"/>
        <w:rPr>
          <w:rFonts w:ascii="宋体" w:hAnsi="宋体" w:cs="宋体"/>
          <w:b/>
          <w:bCs/>
          <w:color w:val="auto"/>
          <w:kern w:val="0"/>
          <w:szCs w:val="21"/>
          <w:highlight w:val="none"/>
        </w:rPr>
      </w:pPr>
      <w:bookmarkStart w:id="1021" w:name="_Toc532377264"/>
      <w:bookmarkStart w:id="1022" w:name="_Toc351203578"/>
      <w:bookmarkStart w:id="1023" w:name="_Toc296503092"/>
      <w:bookmarkStart w:id="1024" w:name="_Toc296346593"/>
      <w:bookmarkStart w:id="1025" w:name="_Toc337558797"/>
      <w:r>
        <w:rPr>
          <w:rFonts w:hint="eastAsia" w:ascii="宋体" w:hAnsi="宋体" w:cs="宋体"/>
          <w:b/>
          <w:bCs/>
          <w:color w:val="auto"/>
          <w:kern w:val="0"/>
          <w:szCs w:val="21"/>
          <w:highlight w:val="none"/>
        </w:rPr>
        <w:t>11.1市场价格波动引起的调整</w:t>
      </w:r>
      <w:bookmarkEnd w:id="1021"/>
      <w:bookmarkEnd w:id="1022"/>
    </w:p>
    <w:bookmarkEnd w:id="1023"/>
    <w:bookmarkEnd w:id="1024"/>
    <w:bookmarkEnd w:id="1025"/>
    <w:p w14:paraId="480774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除专用合同条款另有约定外，市场价格波动超过合同当事人约定的范围，合同价格应当调整。合同当事人可以在</w:t>
      </w:r>
    </w:p>
    <w:p w14:paraId="1295119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以下一种方式对合同价格进行调整：</w:t>
      </w:r>
    </w:p>
    <w:p w14:paraId="11535DC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第1种方式：采用价格指数进行价格调整。</w:t>
      </w:r>
    </w:p>
    <w:p w14:paraId="7FC00CC2">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（1）价格调整公式</w:t>
      </w:r>
    </w:p>
    <w:p w14:paraId="6E7DFE7F">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因人工、材料和设备等价格波动影响合同价格时，根据专用合同条款中约定的数据，按以下公式计算差额并调整合同价格：</w:t>
      </w:r>
    </w:p>
    <w:p w14:paraId="77CD096D">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object>
          <v:shape id="_x0000_i1025" o:spt="75" type="#_x0000_t75" style="height:41.45pt;width:360pt;" o:ole="t"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p>
    <w:p w14:paraId="0879CA67">
      <w:pPr>
        <w:tabs>
          <w:tab w:val="left" w:pos="0"/>
          <w:tab w:val="left" w:pos="360"/>
          <w:tab w:val="left" w:pos="540"/>
        </w:tabs>
        <w:spacing w:line="360" w:lineRule="auto"/>
        <w:ind w:firstLine="200"/>
        <w:jc w:val="left"/>
        <w:rPr>
          <w:rFonts w:ascii="宋体" w:hAnsi="宋体"/>
          <w:color w:val="auto"/>
          <w:kern w:val="0"/>
          <w:szCs w:val="21"/>
          <w:highlight w:val="none"/>
        </w:rPr>
      </w:pPr>
      <w:r>
        <w:rPr>
          <w:rFonts w:hint="eastAsia" w:ascii="宋体" w:hAnsi="宋体"/>
          <w:color w:val="auto"/>
          <w:kern w:val="0"/>
          <w:szCs w:val="21"/>
          <w:highlight w:val="none"/>
        </w:rPr>
        <w:t>公式中：ΔP——需调整的价格差额；</w:t>
      </w:r>
    </w:p>
    <w:p w14:paraId="0A1295D6">
      <w:pPr>
        <w:tabs>
          <w:tab w:val="left" w:pos="0"/>
          <w:tab w:val="left" w:pos="360"/>
          <w:tab w:val="left" w:pos="540"/>
        </w:tabs>
        <w:spacing w:line="360" w:lineRule="auto"/>
        <w:ind w:firstLine="1260" w:firstLineChars="600"/>
        <w:jc w:val="left"/>
        <w:rPr>
          <w:rFonts w:ascii="宋体" w:hAnsi="宋体"/>
          <w:color w:val="auto"/>
          <w:kern w:val="0"/>
          <w:szCs w:val="21"/>
          <w:highlight w:val="none"/>
        </w:rPr>
      </w:pPr>
      <w:r>
        <w:rPr>
          <w:rFonts w:ascii="宋体" w:hAnsi="宋体"/>
          <w:color w:val="auto"/>
          <w:kern w:val="0"/>
          <w:szCs w:val="21"/>
          <w:highlight w:val="none"/>
        </w:rPr>
        <w:object>
          <v:shape id="_x0000_i1026" o:spt="75" type="#_x0000_t75" style="height:20.15pt;width:20.15pt;" o:ole="t" filled="f" o:preferrelative="t" stroked="f" coordsize="21600,21600">
            <v:path/>
            <v:fill on="f" focussize="0,0"/>
            <v:stroke on="f"/>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ascii="宋体" w:hAnsi="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415E0D2D">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A——定值权重（即不调部分的权重）；</w:t>
      </w:r>
    </w:p>
    <w:p w14:paraId="1F1ED923">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object>
          <v:shape id="_x0000_i1027" o:spt="75" type="#_x0000_t75" style="height:20.15pt;width:97.9pt;" o:ole="t" filled="f" o:preferrelative="t" stroked="f" coordsize="21600,21600">
            <v:path/>
            <v:fill on="f" focussize="0,0"/>
            <v:stroke on="f"/>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宋体" w:hAnsi="宋体"/>
          <w:color w:val="auto"/>
          <w:kern w:val="0"/>
          <w:szCs w:val="21"/>
          <w:highlight w:val="none"/>
        </w:rPr>
        <w:t>——各可调因子的变值权重（即可调部分的权重），为各可调因子在签约合同价中所占的比例；</w:t>
      </w:r>
    </w:p>
    <w:p w14:paraId="6444C65D">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object>
          <v:shape id="_x0000_i1028" o:spt="75" type="#_x0000_t75" style="height:20.15pt;width:102.55pt;" o:ole="t" filled="f" o:preferrelative="t" stroked="f" coordsize="21600,21600">
            <v:path/>
            <v:fill on="f" focussize="0,0"/>
            <v:stroke on="f"/>
            <v:imagedata r:id="rId15" o:title=""/>
            <o:lock v:ext="edit" aspectratio="t"/>
            <w10:wrap type="none"/>
            <w10:anchorlock/>
          </v:shape>
          <o:OLEObject Type="Embed" ProgID="Equation.3" ShapeID="_x0000_i1028" DrawAspect="Content" ObjectID="_1468075728" r:id="rId14">
            <o:LockedField>false</o:LockedField>
          </o:OLEObject>
        </w:object>
      </w:r>
      <w:r>
        <w:rPr>
          <w:rFonts w:hint="eastAsia" w:ascii="宋体" w:hAnsi="宋体"/>
          <w:color w:val="auto"/>
          <w:kern w:val="0"/>
          <w:szCs w:val="21"/>
          <w:highlight w:val="none"/>
        </w:rPr>
        <w:t>——各可调因子的现行价格指数，指约定的付款证书相关周期最后一天的前42天的各可调因子的价格指数；</w:t>
      </w:r>
    </w:p>
    <w:p w14:paraId="30A70A5C">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object>
          <v:shape id="_x0000_i1029" o:spt="75" type="#_x0000_t75" style="height:20.15pt;width:108.3pt;" o:ole="t" filled="f" o:preferrelative="t" stroked="f" coordsize="21600,21600">
            <v:path/>
            <v:fill on="f" focussize="0,0"/>
            <v:stroke on="f"/>
            <v:imagedata r:id="rId17" o:title=""/>
            <o:lock v:ext="edit" aspectratio="t"/>
            <w10:wrap type="none"/>
            <w10:anchorlock/>
          </v:shape>
          <o:OLEObject Type="Embed" ProgID="Equation.3" ShapeID="_x0000_i1029" DrawAspect="Content" ObjectID="_1468075729" r:id="rId16">
            <o:LockedField>false</o:LockedField>
          </o:OLEObject>
        </w:object>
      </w:r>
      <w:r>
        <w:rPr>
          <w:rFonts w:hint="eastAsia" w:ascii="宋体" w:hAnsi="宋体"/>
          <w:color w:val="auto"/>
          <w:kern w:val="0"/>
          <w:szCs w:val="21"/>
          <w:highlight w:val="none"/>
        </w:rPr>
        <w:t>——各可调因子的基本价格指数，指基准日期的各可调因子的价格指数。</w:t>
      </w:r>
    </w:p>
    <w:p w14:paraId="6F872A8F">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53D9D38">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（2）暂时确定调整差额</w:t>
      </w:r>
    </w:p>
    <w:p w14:paraId="02DC0D69">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在计算调整差额时无现行价格指数的，合同当事人同意暂用前次价格指数计算。实际价格指数有调整的，合同当事人进行相应调整。</w:t>
      </w:r>
    </w:p>
    <w:p w14:paraId="35D1857A">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（3）权重的调整</w:t>
      </w:r>
    </w:p>
    <w:p w14:paraId="41D506AA">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因变更导致合同约定的权重不合理时，按照第4.4款〔商定或确定〕执行。</w:t>
      </w:r>
    </w:p>
    <w:p w14:paraId="6830BE2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（4）因承包人原因工期延误后的价格调整</w:t>
      </w:r>
    </w:p>
    <w:p w14:paraId="32AD2377">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06B88F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第2种方式：采用造价信息进行价格调整。</w:t>
      </w:r>
    </w:p>
    <w:p w14:paraId="06E8857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53F29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BFD6A5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（2）材料、工程设备价格变化的价款调整按照发包人提供的基准价格，按以下风险范围规定执行：</w:t>
      </w:r>
    </w:p>
    <w:p w14:paraId="23CBCAA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F4D388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F5D26A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65989D9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6AF139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6F3BD38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（3）施工机械台班单价或施工机械使用费发生变化超过省级或行业建设主管部门或其授权的工程造价管理机构规定的范围时，按规定调整合同价格。</w:t>
      </w:r>
    </w:p>
    <w:p w14:paraId="668436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第3种方式：专用合同条款约定的其他方式。</w:t>
      </w:r>
    </w:p>
    <w:p w14:paraId="3666175D">
      <w:pPr>
        <w:widowControl/>
        <w:spacing w:line="360" w:lineRule="auto"/>
        <w:ind w:firstLine="422" w:firstLineChars="200"/>
        <w:jc w:val="left"/>
        <w:outlineLvl w:val="4"/>
        <w:rPr>
          <w:rFonts w:ascii="宋体" w:hAnsi="宋体" w:cs="宋体"/>
          <w:b/>
          <w:bCs/>
          <w:color w:val="auto"/>
          <w:kern w:val="0"/>
          <w:szCs w:val="21"/>
          <w:highlight w:val="none"/>
        </w:rPr>
      </w:pPr>
      <w:bookmarkStart w:id="1026" w:name="_Toc532377265"/>
      <w:bookmarkStart w:id="1027" w:name="_Toc351203579"/>
      <w:bookmarkStart w:id="1028" w:name="_Toc296503093"/>
      <w:bookmarkStart w:id="1029" w:name="_Toc296346594"/>
      <w:bookmarkStart w:id="1030" w:name="_Toc337558798"/>
      <w:r>
        <w:rPr>
          <w:rFonts w:hint="eastAsia" w:ascii="宋体" w:hAnsi="宋体" w:cs="宋体"/>
          <w:b/>
          <w:bCs/>
          <w:color w:val="auto"/>
          <w:kern w:val="0"/>
          <w:szCs w:val="21"/>
          <w:highlight w:val="none"/>
        </w:rPr>
        <w:t>11.2法律变化引起的调整</w:t>
      </w:r>
      <w:bookmarkEnd w:id="1026"/>
      <w:bookmarkEnd w:id="1027"/>
    </w:p>
    <w:bookmarkEnd w:id="1028"/>
    <w:bookmarkEnd w:id="1029"/>
    <w:bookmarkEnd w:id="1030"/>
    <w:p w14:paraId="04E46C6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4AD6B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因法律变化引起的合同价格和工期调整，合同当事人无法达成一致的，由总监理工程师按第4.4款〔商定或确定〕的约定处理。</w:t>
      </w:r>
    </w:p>
    <w:p w14:paraId="39EFD9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因承包人原因造成工期延误，在工期延误期间出现法律变化的，由此增加的费用和（或）延误的工期由承包人承担。</w:t>
      </w:r>
    </w:p>
    <w:p w14:paraId="55A8756F">
      <w:pPr>
        <w:keepNext/>
        <w:keepLines/>
        <w:widowControl/>
        <w:spacing w:before="156" w:beforeLines="50" w:after="156" w:afterLines="50" w:line="360" w:lineRule="auto"/>
        <w:outlineLvl w:val="3"/>
        <w:rPr>
          <w:rFonts w:ascii="宋体" w:hAnsi="宋体" w:cs="宋体"/>
          <w:b/>
          <w:color w:val="auto"/>
          <w:szCs w:val="21"/>
          <w:highlight w:val="none"/>
        </w:rPr>
      </w:pPr>
      <w:bookmarkStart w:id="1031" w:name="_Toc532375598"/>
      <w:bookmarkStart w:id="1032" w:name="_Toc351203580"/>
      <w:bookmarkStart w:id="1033" w:name="_Toc532377266"/>
      <w:bookmarkStart w:id="1034" w:name="_Toc337558799"/>
      <w:bookmarkStart w:id="1035" w:name="_Toc296346597"/>
      <w:bookmarkStart w:id="1036" w:name="_Toc296503096"/>
      <w:r>
        <w:rPr>
          <w:rFonts w:hint="eastAsia" w:ascii="宋体" w:hAnsi="宋体" w:cs="宋体"/>
          <w:b/>
          <w:bCs/>
          <w:color w:val="auto"/>
          <w:szCs w:val="21"/>
          <w:highlight w:val="none"/>
        </w:rPr>
        <w:t>12. 合同价格、计量与支付</w:t>
      </w:r>
      <w:bookmarkEnd w:id="1031"/>
      <w:bookmarkEnd w:id="1032"/>
      <w:bookmarkEnd w:id="1033"/>
    </w:p>
    <w:bookmarkEnd w:id="1034"/>
    <w:p w14:paraId="0F5256EE">
      <w:pPr>
        <w:widowControl/>
        <w:spacing w:line="360" w:lineRule="auto"/>
        <w:ind w:firstLine="422" w:firstLineChars="200"/>
        <w:jc w:val="left"/>
        <w:outlineLvl w:val="4"/>
        <w:rPr>
          <w:rFonts w:ascii="宋体" w:hAnsi="宋体" w:cs="宋体"/>
          <w:b/>
          <w:bCs/>
          <w:color w:val="auto"/>
          <w:kern w:val="0"/>
          <w:szCs w:val="21"/>
          <w:highlight w:val="none"/>
        </w:rPr>
      </w:pPr>
      <w:bookmarkStart w:id="1037" w:name="_Toc351203581"/>
      <w:bookmarkStart w:id="1038" w:name="_Toc532377267"/>
      <w:bookmarkStart w:id="1039" w:name="_Toc337558800"/>
      <w:r>
        <w:rPr>
          <w:rFonts w:hint="eastAsia" w:ascii="宋体" w:hAnsi="宋体" w:cs="宋体"/>
          <w:b/>
          <w:bCs/>
          <w:color w:val="auto"/>
          <w:kern w:val="0"/>
          <w:szCs w:val="21"/>
          <w:highlight w:val="none"/>
        </w:rPr>
        <w:t>12.1 合同价</w:t>
      </w:r>
      <w:bookmarkEnd w:id="1035"/>
      <w:bookmarkEnd w:id="1036"/>
      <w:r>
        <w:rPr>
          <w:rFonts w:hint="eastAsia" w:ascii="宋体" w:hAnsi="宋体" w:cs="宋体"/>
          <w:b/>
          <w:bCs/>
          <w:color w:val="auto"/>
          <w:kern w:val="0"/>
          <w:szCs w:val="21"/>
          <w:highlight w:val="none"/>
        </w:rPr>
        <w:t>格形式</w:t>
      </w:r>
      <w:bookmarkEnd w:id="1037"/>
      <w:bookmarkEnd w:id="1038"/>
    </w:p>
    <w:bookmarkEnd w:id="1039"/>
    <w:p w14:paraId="426D96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发包人和承包人应在合同协议书中选择下列一种合同价格形式： </w:t>
      </w:r>
    </w:p>
    <w:p w14:paraId="00D879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w:t>
      </w:r>
    </w:p>
    <w:p w14:paraId="5DD06E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61B5AFB8">
      <w:pPr>
        <w:widowControl/>
        <w:spacing w:line="360" w:lineRule="auto"/>
        <w:ind w:firstLine="420" w:firstLineChars="200"/>
        <w:jc w:val="left"/>
        <w:outlineLvl w:val="4"/>
        <w:rPr>
          <w:rFonts w:ascii="宋体" w:hAnsi="宋体" w:cs="宋体"/>
          <w:bCs/>
          <w:color w:val="auto"/>
          <w:kern w:val="0"/>
          <w:szCs w:val="21"/>
          <w:highlight w:val="none"/>
        </w:rPr>
      </w:pPr>
      <w:bookmarkStart w:id="1040" w:name="_Toc532377268"/>
      <w:r>
        <w:rPr>
          <w:rFonts w:hint="eastAsia" w:ascii="宋体" w:hAnsi="宋体" w:cs="宋体"/>
          <w:bCs/>
          <w:color w:val="auto"/>
          <w:kern w:val="0"/>
          <w:szCs w:val="21"/>
          <w:highlight w:val="none"/>
        </w:rPr>
        <w:t>2.总价合同</w:t>
      </w:r>
      <w:bookmarkEnd w:id="1040"/>
    </w:p>
    <w:p w14:paraId="09F2BA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30A9F85">
      <w:pPr>
        <w:widowControl/>
        <w:spacing w:line="360" w:lineRule="auto"/>
        <w:ind w:firstLine="420" w:firstLineChars="200"/>
        <w:jc w:val="left"/>
        <w:outlineLvl w:val="4"/>
        <w:rPr>
          <w:rFonts w:ascii="宋体" w:hAnsi="宋体" w:cs="宋体"/>
          <w:bCs/>
          <w:color w:val="auto"/>
          <w:kern w:val="0"/>
          <w:szCs w:val="21"/>
          <w:highlight w:val="none"/>
        </w:rPr>
      </w:pPr>
      <w:bookmarkStart w:id="1041" w:name="_Toc532377269"/>
      <w:r>
        <w:rPr>
          <w:rFonts w:hint="eastAsia" w:ascii="宋体" w:hAnsi="宋体" w:cs="宋体"/>
          <w:bCs/>
          <w:color w:val="auto"/>
          <w:kern w:val="0"/>
          <w:szCs w:val="21"/>
          <w:highlight w:val="none"/>
        </w:rPr>
        <w:t>3.其它价格形式</w:t>
      </w:r>
      <w:bookmarkEnd w:id="1041"/>
    </w:p>
    <w:p w14:paraId="0C71532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合同当事人可在专用合同条款中约定其他合同价格形式。</w:t>
      </w:r>
    </w:p>
    <w:p w14:paraId="60DDA657">
      <w:pPr>
        <w:widowControl/>
        <w:spacing w:line="360" w:lineRule="auto"/>
        <w:ind w:firstLine="422" w:firstLineChars="200"/>
        <w:jc w:val="left"/>
        <w:outlineLvl w:val="4"/>
        <w:rPr>
          <w:rFonts w:ascii="宋体" w:hAnsi="宋体" w:cs="宋体"/>
          <w:b/>
          <w:bCs/>
          <w:color w:val="auto"/>
          <w:kern w:val="0"/>
          <w:szCs w:val="21"/>
          <w:highlight w:val="none"/>
        </w:rPr>
      </w:pPr>
      <w:bookmarkStart w:id="1042" w:name="_Toc296346598"/>
      <w:bookmarkStart w:id="1043" w:name="_Toc296503097"/>
      <w:bookmarkStart w:id="1044" w:name="_Toc532377270"/>
      <w:bookmarkStart w:id="1045" w:name="_Toc351203582"/>
      <w:bookmarkStart w:id="1046" w:name="_Toc337558801"/>
      <w:r>
        <w:rPr>
          <w:rFonts w:hint="eastAsia" w:ascii="宋体" w:hAnsi="宋体" w:cs="宋体"/>
          <w:b/>
          <w:bCs/>
          <w:color w:val="auto"/>
          <w:kern w:val="0"/>
          <w:szCs w:val="21"/>
          <w:highlight w:val="none"/>
        </w:rPr>
        <w:t>12.2预</w:t>
      </w:r>
      <w:bookmarkEnd w:id="1042"/>
      <w:bookmarkEnd w:id="1043"/>
      <w:bookmarkStart w:id="1047" w:name="_Toc296503100"/>
      <w:bookmarkStart w:id="1048" w:name="_Toc296346601"/>
      <w:r>
        <w:rPr>
          <w:rFonts w:hint="eastAsia" w:ascii="宋体" w:hAnsi="宋体" w:cs="宋体"/>
          <w:b/>
          <w:bCs/>
          <w:color w:val="auto"/>
          <w:kern w:val="0"/>
          <w:szCs w:val="21"/>
          <w:highlight w:val="none"/>
        </w:rPr>
        <w:t>付款</w:t>
      </w:r>
      <w:bookmarkEnd w:id="1044"/>
      <w:bookmarkEnd w:id="1045"/>
    </w:p>
    <w:bookmarkEnd w:id="1046"/>
    <w:bookmarkEnd w:id="1047"/>
    <w:bookmarkEnd w:id="1048"/>
    <w:p w14:paraId="690A27E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12.2.1预付款的支付</w:t>
      </w:r>
    </w:p>
    <w:p w14:paraId="35E206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1D83457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除专用合同条款另有约定外，预付款在进度付款中同比例扣回。在颁发工程接收证书前，提前解除合同的，尚未扣完的预付款应与合同价款一并结算。</w:t>
      </w:r>
    </w:p>
    <w:p w14:paraId="6184511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发包人逾期支付预付款超过7天的，承包人有权向发包人发出要求预付的催告通知，并按第16.1.1项〔发包人违约的情形〕执行。</w:t>
      </w:r>
    </w:p>
    <w:p w14:paraId="1503CAB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12.2.2 预付款担保</w:t>
      </w:r>
    </w:p>
    <w:p w14:paraId="377B61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304BC4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发包人在工程款中逐期扣回预付款后，预付款担保额度应相应减少，但剩余的预付款担保金额不得低于未被扣回的预付款金额。</w:t>
      </w:r>
    </w:p>
    <w:p w14:paraId="02F24DD4">
      <w:pPr>
        <w:widowControl/>
        <w:spacing w:line="360" w:lineRule="auto"/>
        <w:ind w:firstLine="422" w:firstLineChars="200"/>
        <w:jc w:val="left"/>
        <w:outlineLvl w:val="4"/>
        <w:rPr>
          <w:rFonts w:ascii="宋体" w:hAnsi="宋体" w:cs="宋体"/>
          <w:b/>
          <w:bCs/>
          <w:color w:val="auto"/>
          <w:kern w:val="0"/>
          <w:szCs w:val="21"/>
          <w:highlight w:val="none"/>
        </w:rPr>
      </w:pPr>
      <w:bookmarkStart w:id="1049" w:name="_Toc532377271"/>
      <w:bookmarkStart w:id="1050" w:name="_Toc351203583"/>
      <w:bookmarkStart w:id="1051" w:name="_Toc337558802"/>
      <w:r>
        <w:rPr>
          <w:rFonts w:hint="eastAsia" w:ascii="宋体" w:hAnsi="宋体" w:cs="宋体"/>
          <w:b/>
          <w:bCs/>
          <w:color w:val="auto"/>
          <w:kern w:val="0"/>
          <w:szCs w:val="21"/>
          <w:highlight w:val="none"/>
        </w:rPr>
        <w:t>12.3计量</w:t>
      </w:r>
      <w:bookmarkEnd w:id="1049"/>
      <w:bookmarkEnd w:id="1050"/>
    </w:p>
    <w:bookmarkEnd w:id="1051"/>
    <w:p w14:paraId="6A0216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12.3.1 计量原则</w:t>
      </w:r>
    </w:p>
    <w:p w14:paraId="56B7844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4A11667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12.3.2 计量周期</w:t>
      </w:r>
    </w:p>
    <w:p w14:paraId="41DC1A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除专用合同条款另有约定外，工程量的计量按月进行。</w:t>
      </w:r>
    </w:p>
    <w:p w14:paraId="3BDA91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12.3.3 单价合同的计量</w:t>
      </w:r>
    </w:p>
    <w:p w14:paraId="6B5AE71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除专用合同条款另有约定外，单价合同的计量按照本项约定执行：</w:t>
      </w:r>
    </w:p>
    <w:p w14:paraId="7599228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70F1C82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3413E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14:paraId="46F87D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12.3.4 总价合同的计量</w:t>
      </w:r>
    </w:p>
    <w:p w14:paraId="771D1C8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除专用合同条款另有约定外，按月计量支付的总价合同，按照本项约定执行：</w:t>
      </w:r>
    </w:p>
    <w:p w14:paraId="5D0DC93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2EFA2F7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2A969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（3）监理人未在收到承包人提交的工程量报表后的7天内完成复核的，承包人提交的工程量报告中的工程量视为承包人实际完成的工程量。</w:t>
      </w:r>
    </w:p>
    <w:p w14:paraId="4094F8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12.3.5 总价合同采用支付分解表计量支付的，可以按照第12.3.4项〔总价合同的计量〕约定进行计量，但合同价款按照支付分解表进行支付。</w:t>
      </w:r>
    </w:p>
    <w:p w14:paraId="673F18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12.3.6 其他价格形式合同的计量</w:t>
      </w:r>
    </w:p>
    <w:p w14:paraId="030801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合同当事人可在专用合同条款中约定其他价格形式合同的计量方式和程序。</w:t>
      </w:r>
    </w:p>
    <w:p w14:paraId="4D50E23C">
      <w:pPr>
        <w:widowControl/>
        <w:spacing w:line="360" w:lineRule="auto"/>
        <w:ind w:firstLine="422" w:firstLineChars="200"/>
        <w:jc w:val="left"/>
        <w:outlineLvl w:val="4"/>
        <w:rPr>
          <w:rFonts w:ascii="宋体" w:hAnsi="宋体" w:cs="宋体"/>
          <w:b/>
          <w:bCs/>
          <w:color w:val="auto"/>
          <w:kern w:val="0"/>
          <w:szCs w:val="21"/>
          <w:highlight w:val="none"/>
        </w:rPr>
      </w:pPr>
      <w:bookmarkStart w:id="1052" w:name="_Toc296503101"/>
      <w:bookmarkStart w:id="1053" w:name="_Toc296346602"/>
      <w:bookmarkStart w:id="1054" w:name="_Toc351203584"/>
      <w:bookmarkStart w:id="1055" w:name="_Toc532377272"/>
      <w:bookmarkStart w:id="1056" w:name="_Toc337558803"/>
      <w:r>
        <w:rPr>
          <w:rFonts w:hint="eastAsia" w:ascii="宋体" w:hAnsi="宋体" w:cs="宋体"/>
          <w:b/>
          <w:bCs/>
          <w:color w:val="auto"/>
          <w:kern w:val="0"/>
          <w:szCs w:val="21"/>
          <w:highlight w:val="none"/>
        </w:rPr>
        <w:t>12.4工程进度款支</w:t>
      </w:r>
      <w:bookmarkEnd w:id="1052"/>
      <w:bookmarkEnd w:id="1053"/>
      <w:r>
        <w:rPr>
          <w:rFonts w:hint="eastAsia" w:ascii="宋体" w:hAnsi="宋体" w:cs="宋体"/>
          <w:b/>
          <w:bCs/>
          <w:color w:val="auto"/>
          <w:kern w:val="0"/>
          <w:szCs w:val="21"/>
          <w:highlight w:val="none"/>
        </w:rPr>
        <w:t>付</w:t>
      </w:r>
      <w:bookmarkEnd w:id="1054"/>
      <w:bookmarkEnd w:id="1055"/>
    </w:p>
    <w:bookmarkEnd w:id="1056"/>
    <w:p w14:paraId="55810A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12.4.1 付款周期</w:t>
      </w:r>
    </w:p>
    <w:p w14:paraId="70092A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除专用合同条款另有约定外，付款周期应按照第12.3.2项〔计量周期〕的约定与计量周期保持一致。</w:t>
      </w:r>
    </w:p>
    <w:p w14:paraId="68A9996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 进度付款申请单的编制</w:t>
      </w:r>
    </w:p>
    <w:p w14:paraId="7DC9F8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除专用合同条款另有约定外，进度付款申请单应包括下列内容：</w:t>
      </w:r>
    </w:p>
    <w:p w14:paraId="6BA405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（1）截至本次付款周期已完成工作对应的金额；</w:t>
      </w:r>
    </w:p>
    <w:p w14:paraId="71ED58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（2）根据第10条〔变更〕应增加和扣减的变更金额；</w:t>
      </w:r>
    </w:p>
    <w:p w14:paraId="1C3D865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（3）根据第12.2款〔预付款〕约定应支付的预付款和扣减的返还预付款；</w:t>
      </w:r>
    </w:p>
    <w:p w14:paraId="34C68D2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（4）根据第15.3款〔质量保证金〕约定应扣减的质量保证金；</w:t>
      </w:r>
    </w:p>
    <w:p w14:paraId="135A40E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（5）根据第19条〔索赔〕应增加和扣减的索赔金额；</w:t>
      </w:r>
    </w:p>
    <w:p w14:paraId="602F49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（6）对已签发的进度款支付证书中出现错误的修正，应在本次进度付款中支付或扣除的金额；</w:t>
      </w:r>
    </w:p>
    <w:p w14:paraId="28A940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（7）根据合同约定应增加和扣减的其他金额。</w:t>
      </w:r>
    </w:p>
    <w:p w14:paraId="48F798B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12.4.3 进度付款申请单的提交</w:t>
      </w:r>
    </w:p>
    <w:p w14:paraId="07D3AAC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（1）单价合同进度付款申请单的提交</w:t>
      </w:r>
    </w:p>
    <w:p w14:paraId="5F65D27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692F8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（2）总价合同进度付款申请单的提交</w:t>
      </w:r>
    </w:p>
    <w:p w14:paraId="06DF3A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总价合同按月计量支付的，承包人按照第12.3.4项〔总价合同的计量〕约定的时间按月向监理人提交进度付款申请单，并附上已完成工程量报表和有关资料。</w:t>
      </w:r>
    </w:p>
    <w:p w14:paraId="47AAD8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总价合同按支付分解表支付的，承包人应按照第12.4.6项〔支付分解表〕及第12.4.2项〔进度付款申请单的编制〕的约定向监理人提交进度付款申请单。</w:t>
      </w:r>
    </w:p>
    <w:p w14:paraId="76EFDB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（3）其他价格形式合同的进度付款申请单的提交</w:t>
      </w:r>
    </w:p>
    <w:p w14:paraId="10C9AF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合同当事人可在专用合同条款中约定其他价格形式合同的进度付款申请单的编制和提交程序。</w:t>
      </w:r>
    </w:p>
    <w:p w14:paraId="656443B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12.4.4 进度款审核和支付</w:t>
      </w:r>
    </w:p>
    <w:p w14:paraId="1597BF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F351C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1D102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（2）除专用合同条款另有约定外，发包人应在进度款支付证书或临时进度款支付证书签发后14天内完成支付，发包人逾期支付进度款的，应按照中国人民银行发布的同期存款基准利率支付违约金。</w:t>
      </w:r>
    </w:p>
    <w:p w14:paraId="2F463D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（3）发包人签发进度款支付证书或临时进度款支付证书，不表明发包人已同意、批准或接受了承包人完成的相应部分的工作。</w:t>
      </w:r>
    </w:p>
    <w:p w14:paraId="4784094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12.4.5 进度付款的修正</w:t>
      </w:r>
    </w:p>
    <w:p w14:paraId="59FE14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1B34CA4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12.4.6 支付分解表</w:t>
      </w:r>
    </w:p>
    <w:p w14:paraId="7A29EC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1.支付分解表的编制要求</w:t>
      </w:r>
    </w:p>
    <w:p w14:paraId="5369BA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（1）支付分解表中所列的每期付款金额，应为第12.4.2项〔进度付款申请单的编制〕第（1）目的估算金额；</w:t>
      </w:r>
    </w:p>
    <w:p w14:paraId="5543450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（2）实际进度与施工进度计划不一致的，合同当事人可按照第4.4款〔商定或确定〕修改支付分解表；</w:t>
      </w:r>
    </w:p>
    <w:p w14:paraId="01E4C6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（3）不采用支付分解表的，承包人应向发包人和监理人提交按季度编制的支付估算分解表，用于支付参考。</w:t>
      </w:r>
    </w:p>
    <w:p w14:paraId="48DCC8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2.总价合同支付分解表的编制与审批</w:t>
      </w:r>
    </w:p>
    <w:p w14:paraId="3953D2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684691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1F0D188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（3）发包人逾期未完成支付分解表审批的，也未及时要求承包人进行修正和提供补充资料的，则承包人提交的支付分解表视为已经获得发包人批准。</w:t>
      </w:r>
    </w:p>
    <w:p w14:paraId="3A320D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3.单价合同的总价项目支付分解表的编制与审批</w:t>
      </w:r>
    </w:p>
    <w:p w14:paraId="77C2E4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F023B9A">
      <w:pPr>
        <w:widowControl/>
        <w:spacing w:line="360" w:lineRule="auto"/>
        <w:ind w:firstLine="422" w:firstLineChars="200"/>
        <w:jc w:val="left"/>
        <w:outlineLvl w:val="4"/>
        <w:rPr>
          <w:rFonts w:ascii="宋体" w:hAnsi="宋体" w:cs="宋体"/>
          <w:b/>
          <w:bCs/>
          <w:color w:val="auto"/>
          <w:kern w:val="0"/>
          <w:szCs w:val="21"/>
          <w:highlight w:val="none"/>
        </w:rPr>
      </w:pPr>
      <w:bookmarkStart w:id="1057" w:name="_Toc532377273"/>
      <w:r>
        <w:rPr>
          <w:rFonts w:hint="eastAsia" w:ascii="宋体" w:hAnsi="宋体" w:cs="宋体"/>
          <w:b/>
          <w:bCs/>
          <w:color w:val="auto"/>
          <w:kern w:val="0"/>
          <w:szCs w:val="21"/>
          <w:highlight w:val="none"/>
        </w:rPr>
        <w:t>12.5支付账户</w:t>
      </w:r>
      <w:bookmarkEnd w:id="1057"/>
    </w:p>
    <w:p w14:paraId="2B6F84F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发包人应将合同价款支付至合同协议书中约定的承包人账户。</w:t>
      </w:r>
    </w:p>
    <w:p w14:paraId="13F96FDB">
      <w:pPr>
        <w:keepNext/>
        <w:keepLines/>
        <w:widowControl/>
        <w:spacing w:before="156" w:beforeLines="50" w:after="156" w:afterLines="50" w:line="360" w:lineRule="auto"/>
        <w:outlineLvl w:val="3"/>
        <w:rPr>
          <w:rFonts w:ascii="宋体" w:hAnsi="宋体" w:cs="宋体"/>
          <w:b/>
          <w:color w:val="auto"/>
          <w:szCs w:val="21"/>
          <w:highlight w:val="none"/>
        </w:rPr>
      </w:pPr>
      <w:bookmarkStart w:id="1058" w:name="_Toc351203586"/>
      <w:bookmarkStart w:id="1059" w:name="_Toc532375599"/>
      <w:bookmarkStart w:id="1060" w:name="_Toc532377274"/>
      <w:bookmarkStart w:id="1061" w:name="_Toc296503106"/>
      <w:bookmarkStart w:id="1062" w:name="_Toc322522574"/>
      <w:bookmarkStart w:id="1063" w:name="_Toc337558804"/>
      <w:bookmarkStart w:id="1064" w:name="_Toc296346607"/>
      <w:r>
        <w:rPr>
          <w:rFonts w:hint="eastAsia" w:ascii="宋体" w:hAnsi="宋体" w:cs="宋体"/>
          <w:b/>
          <w:bCs/>
          <w:color w:val="auto"/>
          <w:szCs w:val="21"/>
          <w:highlight w:val="none"/>
        </w:rPr>
        <w:t>13. 验收和工程试车</w:t>
      </w:r>
      <w:bookmarkEnd w:id="1058"/>
      <w:bookmarkEnd w:id="1059"/>
      <w:bookmarkEnd w:id="1060"/>
    </w:p>
    <w:bookmarkEnd w:id="1061"/>
    <w:bookmarkEnd w:id="1062"/>
    <w:bookmarkEnd w:id="1063"/>
    <w:bookmarkEnd w:id="1064"/>
    <w:p w14:paraId="72C173A1">
      <w:pPr>
        <w:widowControl/>
        <w:spacing w:line="360" w:lineRule="auto"/>
        <w:ind w:firstLine="422" w:firstLineChars="200"/>
        <w:jc w:val="left"/>
        <w:outlineLvl w:val="4"/>
        <w:rPr>
          <w:rFonts w:ascii="宋体" w:hAnsi="宋体" w:cs="宋体"/>
          <w:b/>
          <w:bCs/>
          <w:color w:val="auto"/>
          <w:kern w:val="0"/>
          <w:szCs w:val="21"/>
          <w:highlight w:val="none"/>
        </w:rPr>
      </w:pPr>
      <w:bookmarkStart w:id="1065" w:name="_Toc532377275"/>
      <w:bookmarkStart w:id="1066" w:name="_Toc351203587"/>
      <w:bookmarkStart w:id="1067" w:name="_Toc337558805"/>
      <w:bookmarkStart w:id="1068" w:name="_Toc296346611"/>
      <w:bookmarkStart w:id="1069" w:name="_Toc296503110"/>
      <w:r>
        <w:rPr>
          <w:rFonts w:hint="eastAsia" w:ascii="宋体" w:hAnsi="宋体" w:cs="宋体"/>
          <w:b/>
          <w:bCs/>
          <w:color w:val="auto"/>
          <w:kern w:val="0"/>
          <w:szCs w:val="21"/>
          <w:highlight w:val="none"/>
        </w:rPr>
        <w:t>13.1分部分项工程验收</w:t>
      </w:r>
      <w:bookmarkEnd w:id="1065"/>
      <w:bookmarkEnd w:id="1066"/>
    </w:p>
    <w:bookmarkEnd w:id="1067"/>
    <w:p w14:paraId="4BE659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13.1.1 分部分项工程质量应符合国家有关工程施工验收规范、标准及合同约定，承包人应按照施工组织设计的要求完成分部分项工程施工。</w:t>
      </w:r>
    </w:p>
    <w:p w14:paraId="69A9A3F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2D87B2F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分部分项工程的验收资料应当作为竣工资料的组成部分。</w:t>
      </w:r>
    </w:p>
    <w:p w14:paraId="24E6CB2A">
      <w:pPr>
        <w:widowControl/>
        <w:spacing w:line="360" w:lineRule="auto"/>
        <w:ind w:firstLine="422" w:firstLineChars="200"/>
        <w:jc w:val="left"/>
        <w:outlineLvl w:val="4"/>
        <w:rPr>
          <w:rFonts w:ascii="宋体" w:hAnsi="宋体" w:cs="宋体"/>
          <w:b/>
          <w:bCs/>
          <w:color w:val="auto"/>
          <w:kern w:val="0"/>
          <w:szCs w:val="21"/>
          <w:highlight w:val="none"/>
        </w:rPr>
      </w:pPr>
      <w:bookmarkStart w:id="1070" w:name="_Toc351203588"/>
      <w:bookmarkStart w:id="1071" w:name="_Toc532377276"/>
      <w:bookmarkStart w:id="1072" w:name="_Toc337558806"/>
      <w:r>
        <w:rPr>
          <w:rFonts w:hint="eastAsia" w:ascii="宋体" w:hAnsi="宋体" w:cs="宋体"/>
          <w:b/>
          <w:bCs/>
          <w:color w:val="auto"/>
          <w:kern w:val="0"/>
          <w:szCs w:val="21"/>
          <w:highlight w:val="none"/>
        </w:rPr>
        <w:t>13.2竣工验收</w:t>
      </w:r>
      <w:bookmarkEnd w:id="1070"/>
      <w:bookmarkEnd w:id="1071"/>
    </w:p>
    <w:bookmarkEnd w:id="1068"/>
    <w:bookmarkEnd w:id="1069"/>
    <w:bookmarkEnd w:id="1072"/>
    <w:p w14:paraId="77EDE8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13.2.1竣工验收条件</w:t>
      </w:r>
    </w:p>
    <w:p w14:paraId="4215B9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工程具备以下条件的，承包人可以申请竣工验收：</w:t>
      </w:r>
    </w:p>
    <w:p w14:paraId="5ED4429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（1）除发包人同意的甩项工作和缺陷修补工作外，合同范围内的全部工程以及有关工作，包括合同要求的试验、试运行以及检验均已完成，并符合合同要求；</w:t>
      </w:r>
    </w:p>
    <w:p w14:paraId="050C7D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（2）已按合同约定编制了甩项工作和缺陷修补工作清单以及相应的施工计划；</w:t>
      </w:r>
    </w:p>
    <w:p w14:paraId="7FFC5B8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（3）已按合同约定的内容和份数备齐竣工资料。</w:t>
      </w:r>
    </w:p>
    <w:p w14:paraId="6F5D3B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13.2.2竣工验收程序</w:t>
      </w:r>
    </w:p>
    <w:p w14:paraId="60354B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除专用合同条款另有约定外，承包人申请竣工验收的，应当按照以下程序进行：</w:t>
      </w:r>
    </w:p>
    <w:p w14:paraId="10794B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A5B1D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95BD0F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竣工验收合格的，发包人应在验收合格后14天内向承包人签发工程接收证书。（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4A6111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13.2.3竣工日期</w:t>
      </w:r>
    </w:p>
    <w:p w14:paraId="02E8B4B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工程经竣工验收合格的，以发包人签署的工程接收证书中载明的日期为竣工日期。</w:t>
      </w:r>
    </w:p>
    <w:p w14:paraId="6F0B76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13.2.4 拒绝接收全部或部分工程</w:t>
      </w:r>
    </w:p>
    <w:p w14:paraId="537760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660A9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13.2.5 移交、接收全部与部分工程</w:t>
      </w:r>
    </w:p>
    <w:p w14:paraId="5C3304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除专用合同条款另有约定外，合同当事人应当在颁发工程接收证书后7天内完成工程的移交。</w:t>
      </w:r>
    </w:p>
    <w:p w14:paraId="762FAC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5DBE70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04C0C0AC">
      <w:pPr>
        <w:widowControl/>
        <w:spacing w:line="360" w:lineRule="auto"/>
        <w:ind w:firstLine="422" w:firstLineChars="200"/>
        <w:jc w:val="left"/>
        <w:outlineLvl w:val="4"/>
        <w:rPr>
          <w:rFonts w:ascii="宋体" w:hAnsi="宋体" w:cs="宋体"/>
          <w:b/>
          <w:bCs/>
          <w:color w:val="auto"/>
          <w:kern w:val="0"/>
          <w:szCs w:val="21"/>
          <w:highlight w:val="none"/>
        </w:rPr>
      </w:pPr>
      <w:bookmarkStart w:id="1073" w:name="_Toc351203589"/>
      <w:bookmarkStart w:id="1074" w:name="_Toc532377277"/>
      <w:bookmarkStart w:id="1075" w:name="_Toc337558807"/>
      <w:bookmarkStart w:id="1076" w:name="_Toc296503111"/>
      <w:bookmarkStart w:id="1077" w:name="_Toc296346612"/>
      <w:r>
        <w:rPr>
          <w:rFonts w:hint="eastAsia" w:ascii="宋体" w:hAnsi="宋体" w:cs="宋体"/>
          <w:b/>
          <w:bCs/>
          <w:color w:val="auto"/>
          <w:kern w:val="0"/>
          <w:szCs w:val="21"/>
          <w:highlight w:val="none"/>
        </w:rPr>
        <w:t>13.3工程试车</w:t>
      </w:r>
      <w:bookmarkEnd w:id="1073"/>
      <w:bookmarkEnd w:id="1074"/>
    </w:p>
    <w:bookmarkEnd w:id="1075"/>
    <w:bookmarkEnd w:id="1076"/>
    <w:bookmarkEnd w:id="1077"/>
    <w:p w14:paraId="56B9CD3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13.3.1试车程序</w:t>
      </w:r>
    </w:p>
    <w:p w14:paraId="794960F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工程需要试车的，除专用合同条款另有约定外，试车内容应与承包人承包范围相一致，试车费用由承包人承担。工程试车应按如下程序进行：</w:t>
      </w:r>
    </w:p>
    <w:p w14:paraId="6D9E0E8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244132F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监理人不能按时参加试车，应在试车前24小时以书面形式向承包人提出延期要求。</w:t>
      </w:r>
    </w:p>
    <w:p w14:paraId="50FAD4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4B09C83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13.3.2 试车中的责任</w:t>
      </w:r>
    </w:p>
    <w:p w14:paraId="6CDAA13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036211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BC7BCE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13.3.3 投料试车</w:t>
      </w:r>
    </w:p>
    <w:p w14:paraId="5F7EBE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79FBF1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因承包人原因造成投料试车不合格的，承包人应按照发包人要求进行整改，由此产生的整改费用由承包人承担。</w:t>
      </w:r>
    </w:p>
    <w:p w14:paraId="47E89FB1">
      <w:pPr>
        <w:widowControl/>
        <w:spacing w:line="360" w:lineRule="auto"/>
        <w:ind w:firstLine="422" w:firstLineChars="200"/>
        <w:jc w:val="left"/>
        <w:outlineLvl w:val="4"/>
        <w:rPr>
          <w:rFonts w:ascii="宋体" w:hAnsi="宋体" w:cs="宋体"/>
          <w:b/>
          <w:bCs/>
          <w:color w:val="auto"/>
          <w:kern w:val="0"/>
          <w:szCs w:val="21"/>
          <w:highlight w:val="none"/>
        </w:rPr>
      </w:pPr>
      <w:bookmarkStart w:id="1078" w:name="_Toc532377278"/>
      <w:r>
        <w:rPr>
          <w:rFonts w:hint="eastAsia" w:ascii="宋体" w:hAnsi="宋体" w:cs="宋体"/>
          <w:b/>
          <w:bCs/>
          <w:color w:val="auto"/>
          <w:kern w:val="0"/>
          <w:szCs w:val="21"/>
          <w:highlight w:val="none"/>
        </w:rPr>
        <w:t>13.4提前交付单位工程的验收</w:t>
      </w:r>
      <w:bookmarkEnd w:id="1078"/>
    </w:p>
    <w:p w14:paraId="10823C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3B695E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499CD36">
      <w:pPr>
        <w:widowControl/>
        <w:spacing w:line="360" w:lineRule="auto"/>
        <w:ind w:firstLine="422" w:firstLineChars="200"/>
        <w:jc w:val="left"/>
        <w:outlineLvl w:val="4"/>
        <w:rPr>
          <w:rFonts w:ascii="宋体" w:hAnsi="宋体" w:cs="宋体"/>
          <w:b/>
          <w:bCs/>
          <w:color w:val="auto"/>
          <w:kern w:val="0"/>
          <w:szCs w:val="21"/>
          <w:highlight w:val="none"/>
        </w:rPr>
      </w:pPr>
      <w:bookmarkStart w:id="1079" w:name="_Toc351203591"/>
      <w:bookmarkStart w:id="1080" w:name="_Toc532377279"/>
      <w:r>
        <w:rPr>
          <w:rFonts w:hint="eastAsia" w:ascii="宋体" w:hAnsi="宋体" w:cs="宋体"/>
          <w:b/>
          <w:bCs/>
          <w:color w:val="auto"/>
          <w:kern w:val="0"/>
          <w:szCs w:val="21"/>
          <w:highlight w:val="none"/>
        </w:rPr>
        <w:t>13.5 施工期运行</w:t>
      </w:r>
      <w:bookmarkEnd w:id="1079"/>
      <w:bookmarkEnd w:id="1080"/>
    </w:p>
    <w:p w14:paraId="721CB84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42AC8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13.5.2 在施工期运行中发现工程或工程设备损坏或存在缺陷的，由承包人按第15.2款〔缺陷责任期〕约定进行修复。</w:t>
      </w:r>
    </w:p>
    <w:p w14:paraId="6D6A89C5">
      <w:pPr>
        <w:widowControl/>
        <w:spacing w:line="360" w:lineRule="auto"/>
        <w:ind w:firstLine="422" w:firstLineChars="200"/>
        <w:jc w:val="left"/>
        <w:outlineLvl w:val="4"/>
        <w:rPr>
          <w:rFonts w:ascii="宋体" w:hAnsi="宋体" w:cs="宋体"/>
          <w:b/>
          <w:bCs/>
          <w:color w:val="auto"/>
          <w:kern w:val="0"/>
          <w:szCs w:val="21"/>
          <w:highlight w:val="none"/>
        </w:rPr>
      </w:pPr>
      <w:bookmarkStart w:id="1081" w:name="_Toc296503112"/>
      <w:bookmarkStart w:id="1082" w:name="_Toc296346613"/>
      <w:bookmarkStart w:id="1083" w:name="_Toc532377280"/>
      <w:bookmarkStart w:id="1084" w:name="_Toc351203592"/>
      <w:bookmarkStart w:id="1085" w:name="_Toc337558809"/>
      <w:r>
        <w:rPr>
          <w:rFonts w:hint="eastAsia" w:ascii="宋体" w:hAnsi="宋体" w:cs="宋体"/>
          <w:b/>
          <w:bCs/>
          <w:color w:val="auto"/>
          <w:kern w:val="0"/>
          <w:szCs w:val="21"/>
          <w:highlight w:val="none"/>
        </w:rPr>
        <w:t>13.6 竣工退</w:t>
      </w:r>
      <w:bookmarkEnd w:id="1081"/>
      <w:bookmarkEnd w:id="1082"/>
      <w:r>
        <w:rPr>
          <w:rFonts w:hint="eastAsia" w:ascii="宋体" w:hAnsi="宋体" w:cs="宋体"/>
          <w:b/>
          <w:bCs/>
          <w:color w:val="auto"/>
          <w:kern w:val="0"/>
          <w:szCs w:val="21"/>
          <w:highlight w:val="none"/>
        </w:rPr>
        <w:t>场</w:t>
      </w:r>
      <w:bookmarkEnd w:id="1083"/>
      <w:bookmarkEnd w:id="1084"/>
    </w:p>
    <w:bookmarkEnd w:id="1085"/>
    <w:p w14:paraId="0B9AA2F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13.6.1 竣工退场</w:t>
      </w:r>
    </w:p>
    <w:p w14:paraId="36C91AD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颁发工程接收证书后，承包人应按以下要求对施工现场进行清理：</w:t>
      </w:r>
    </w:p>
    <w:p w14:paraId="61813F5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（1）施工现场内残留的垃圾已全部清除出场；</w:t>
      </w:r>
    </w:p>
    <w:p w14:paraId="34A53A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（2）临时工程已拆除，场地已进行清理、平整或复原；</w:t>
      </w:r>
    </w:p>
    <w:p w14:paraId="79E4FB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（3）按合同约定应撤离的人员、承包人施工设备和剩余的材料，包括废弃的施工设备和材料，已按计划撤离施工现场；</w:t>
      </w:r>
    </w:p>
    <w:p w14:paraId="212451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（4）施工现场周边及其附近道路、河道的施工堆积物，已全部清理；</w:t>
      </w:r>
    </w:p>
    <w:p w14:paraId="209A1E1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（5）施工现场其他场地清理工作已全部完成。</w:t>
      </w:r>
    </w:p>
    <w:p w14:paraId="0E29F8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6947BA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13.6.2 地表还原</w:t>
      </w:r>
    </w:p>
    <w:p w14:paraId="3479CD2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1170AB1">
      <w:pPr>
        <w:keepNext/>
        <w:keepLines/>
        <w:widowControl/>
        <w:spacing w:before="156" w:beforeLines="50" w:after="156" w:afterLines="50" w:line="360" w:lineRule="auto"/>
        <w:outlineLvl w:val="3"/>
        <w:rPr>
          <w:rFonts w:ascii="宋体" w:hAnsi="宋体" w:cs="宋体"/>
          <w:b/>
          <w:color w:val="auto"/>
          <w:szCs w:val="21"/>
          <w:highlight w:val="none"/>
        </w:rPr>
      </w:pPr>
      <w:bookmarkStart w:id="1086" w:name="_Toc351203593"/>
      <w:bookmarkStart w:id="1087" w:name="_Toc532377281"/>
      <w:bookmarkStart w:id="1088" w:name="_Toc532375600"/>
      <w:bookmarkStart w:id="1089" w:name="_Toc337558810"/>
      <w:bookmarkStart w:id="1090" w:name="_Toc296503113"/>
      <w:bookmarkStart w:id="1091" w:name="_Toc296346614"/>
      <w:r>
        <w:rPr>
          <w:rFonts w:hint="eastAsia" w:ascii="宋体" w:hAnsi="宋体" w:cs="宋体"/>
          <w:b/>
          <w:bCs/>
          <w:color w:val="auto"/>
          <w:szCs w:val="21"/>
          <w:highlight w:val="none"/>
        </w:rPr>
        <w:t>14. 竣工结算</w:t>
      </w:r>
      <w:bookmarkEnd w:id="1086"/>
      <w:bookmarkEnd w:id="1087"/>
      <w:bookmarkEnd w:id="1088"/>
    </w:p>
    <w:bookmarkEnd w:id="1089"/>
    <w:p w14:paraId="5620B503">
      <w:pPr>
        <w:widowControl/>
        <w:spacing w:line="360" w:lineRule="auto"/>
        <w:ind w:firstLine="422" w:firstLineChars="200"/>
        <w:jc w:val="left"/>
        <w:outlineLvl w:val="4"/>
        <w:rPr>
          <w:rFonts w:ascii="宋体" w:hAnsi="宋体" w:cs="宋体"/>
          <w:b/>
          <w:bCs/>
          <w:color w:val="auto"/>
          <w:kern w:val="0"/>
          <w:szCs w:val="21"/>
          <w:highlight w:val="none"/>
        </w:rPr>
      </w:pPr>
      <w:bookmarkStart w:id="1092" w:name="_Toc532377282"/>
      <w:bookmarkStart w:id="1093" w:name="_Toc351203594"/>
      <w:bookmarkStart w:id="1094" w:name="_Toc337558811"/>
      <w:r>
        <w:rPr>
          <w:rFonts w:hint="eastAsia" w:ascii="宋体" w:hAnsi="宋体" w:cs="宋体"/>
          <w:b/>
          <w:bCs/>
          <w:color w:val="auto"/>
          <w:kern w:val="0"/>
          <w:szCs w:val="21"/>
          <w:highlight w:val="none"/>
        </w:rPr>
        <w:t>14.1 竣工结算申请</w:t>
      </w:r>
      <w:bookmarkEnd w:id="1092"/>
      <w:bookmarkEnd w:id="1093"/>
    </w:p>
    <w:bookmarkEnd w:id="1094"/>
    <w:p w14:paraId="2EF78B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09D57B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除专用合同条款另有约定外，竣工结算申请单应包括以下内容：</w:t>
      </w:r>
    </w:p>
    <w:p w14:paraId="5590BE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（1）竣工结算合同价格；</w:t>
      </w:r>
    </w:p>
    <w:p w14:paraId="06CD15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（2）发包人已支付承包人的款项；</w:t>
      </w:r>
    </w:p>
    <w:p w14:paraId="46A4C4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（3）应扣留的质量保证金。已缴纳履约保证金的或提供其他工程质量担保方式的除外； </w:t>
      </w:r>
    </w:p>
    <w:p w14:paraId="2901901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（4）发包人应支付承包人的合同价款。</w:t>
      </w:r>
    </w:p>
    <w:p w14:paraId="5EB6F055">
      <w:pPr>
        <w:widowControl/>
        <w:spacing w:line="360" w:lineRule="auto"/>
        <w:ind w:firstLine="422" w:firstLineChars="200"/>
        <w:jc w:val="left"/>
        <w:outlineLvl w:val="4"/>
        <w:rPr>
          <w:rFonts w:ascii="宋体" w:hAnsi="宋体" w:cs="宋体"/>
          <w:b/>
          <w:bCs/>
          <w:color w:val="auto"/>
          <w:kern w:val="0"/>
          <w:szCs w:val="21"/>
          <w:highlight w:val="none"/>
        </w:rPr>
      </w:pPr>
      <w:bookmarkStart w:id="1095" w:name="_Toc532377283"/>
      <w:bookmarkStart w:id="1096" w:name="_Toc351203595"/>
      <w:bookmarkStart w:id="1097" w:name="_Toc337558812"/>
      <w:r>
        <w:rPr>
          <w:rFonts w:hint="eastAsia" w:ascii="宋体" w:hAnsi="宋体" w:cs="宋体"/>
          <w:b/>
          <w:bCs/>
          <w:color w:val="auto"/>
          <w:kern w:val="0"/>
          <w:szCs w:val="21"/>
          <w:highlight w:val="none"/>
        </w:rPr>
        <w:t>14.2 竣工结算审核</w:t>
      </w:r>
      <w:bookmarkEnd w:id="1095"/>
      <w:bookmarkEnd w:id="1096"/>
    </w:p>
    <w:bookmarkEnd w:id="1097"/>
    <w:p w14:paraId="1527C1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16E9914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0A9D3D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（2）除专用合同条款另有约定外，发包人应在签发竣工付款证书后的14 天内，完成对承包人的竣工付款。发包人逾期支付的，按照中国人民银行发布的同期存款基准利率支付违约金。</w:t>
      </w:r>
    </w:p>
    <w:p w14:paraId="72CA29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C522B8A">
      <w:pPr>
        <w:widowControl/>
        <w:spacing w:line="360" w:lineRule="auto"/>
        <w:ind w:firstLine="422" w:firstLineChars="200"/>
        <w:jc w:val="left"/>
        <w:outlineLvl w:val="4"/>
        <w:rPr>
          <w:rFonts w:ascii="宋体" w:hAnsi="宋体" w:cs="宋体"/>
          <w:b/>
          <w:bCs/>
          <w:color w:val="auto"/>
          <w:kern w:val="0"/>
          <w:szCs w:val="21"/>
          <w:highlight w:val="none"/>
        </w:rPr>
      </w:pPr>
      <w:bookmarkStart w:id="1098" w:name="_Toc351203596"/>
      <w:bookmarkStart w:id="1099" w:name="_Toc532377284"/>
      <w:bookmarkStart w:id="1100" w:name="_Toc337558813"/>
      <w:r>
        <w:rPr>
          <w:rFonts w:hint="eastAsia" w:ascii="宋体" w:hAnsi="宋体" w:cs="宋体"/>
          <w:b/>
          <w:bCs/>
          <w:color w:val="auto"/>
          <w:kern w:val="0"/>
          <w:szCs w:val="21"/>
          <w:highlight w:val="none"/>
        </w:rPr>
        <w:t>14.3 甩项竣工协议</w:t>
      </w:r>
      <w:bookmarkEnd w:id="1098"/>
      <w:bookmarkEnd w:id="1099"/>
    </w:p>
    <w:bookmarkEnd w:id="1100"/>
    <w:p w14:paraId="0DBD3E7C">
      <w:pPr>
        <w:autoSpaceDE w:val="0"/>
        <w:autoSpaceDN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39CC74E6">
      <w:pPr>
        <w:widowControl/>
        <w:spacing w:line="360" w:lineRule="auto"/>
        <w:ind w:firstLine="422" w:firstLineChars="200"/>
        <w:jc w:val="left"/>
        <w:outlineLvl w:val="4"/>
        <w:rPr>
          <w:rFonts w:ascii="宋体" w:hAnsi="宋体" w:cs="宋体"/>
          <w:b/>
          <w:bCs/>
          <w:color w:val="auto"/>
          <w:kern w:val="0"/>
          <w:szCs w:val="21"/>
          <w:highlight w:val="none"/>
        </w:rPr>
      </w:pPr>
      <w:bookmarkStart w:id="1101" w:name="_Toc532377285"/>
      <w:bookmarkStart w:id="1102" w:name="_Toc351203597"/>
      <w:bookmarkStart w:id="1103" w:name="_Toc337558814"/>
      <w:r>
        <w:rPr>
          <w:rFonts w:hint="eastAsia" w:ascii="宋体" w:hAnsi="宋体" w:cs="宋体"/>
          <w:b/>
          <w:bCs/>
          <w:color w:val="auto"/>
          <w:kern w:val="0"/>
          <w:szCs w:val="21"/>
          <w:highlight w:val="none"/>
        </w:rPr>
        <w:t>14.4 最终结清</w:t>
      </w:r>
      <w:bookmarkEnd w:id="1101"/>
      <w:bookmarkEnd w:id="1102"/>
    </w:p>
    <w:bookmarkEnd w:id="1103"/>
    <w:p w14:paraId="715CA6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14.4.1 最终结清申请单</w:t>
      </w:r>
    </w:p>
    <w:p w14:paraId="414225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14:paraId="23FC28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除专用合同条款另有约定外，最终结清申请单应列明质量保证金、应扣除的质量保证金、缺陷责任期内发生的增减费用。</w:t>
      </w:r>
    </w:p>
    <w:p w14:paraId="11FA3C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（2）发包人对最终结清申请单内容有异议的，有权要求承包人进行修正和提供补充资料，承包人应向发包人提交修正后的最终结清申请单。</w:t>
      </w:r>
    </w:p>
    <w:p w14:paraId="42377A5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14.4.2 最终结清证书和支付</w:t>
      </w:r>
    </w:p>
    <w:p w14:paraId="0A5377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909B6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（2）除专用合同条款另有约定外，发包人应在颁发最终结清证书后7天内完成支付。发包人逾期支付的，按照中国人民银行发布的同期存款基准利率支付违约金。</w:t>
      </w:r>
    </w:p>
    <w:p w14:paraId="14B0E8D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（3）承包人对发包人颁发的最终结清证书有异议的，按第20条〔争议解决〕的约定办理。</w:t>
      </w:r>
    </w:p>
    <w:p w14:paraId="517BC94A">
      <w:pPr>
        <w:keepNext/>
        <w:keepLines/>
        <w:widowControl/>
        <w:spacing w:before="156" w:beforeLines="50" w:after="156" w:afterLines="50" w:line="360" w:lineRule="auto"/>
        <w:outlineLvl w:val="3"/>
        <w:rPr>
          <w:rFonts w:ascii="宋体" w:hAnsi="宋体" w:cs="宋体"/>
          <w:b/>
          <w:color w:val="auto"/>
          <w:szCs w:val="21"/>
          <w:highlight w:val="none"/>
        </w:rPr>
      </w:pPr>
      <w:bookmarkStart w:id="1104" w:name="_Toc351203598"/>
      <w:bookmarkStart w:id="1105" w:name="_Toc532377286"/>
      <w:bookmarkStart w:id="1106" w:name="_Toc532375601"/>
      <w:bookmarkStart w:id="1107" w:name="_Toc337558815"/>
      <w:r>
        <w:rPr>
          <w:rFonts w:hint="eastAsia" w:ascii="宋体" w:hAnsi="宋体" w:cs="宋体"/>
          <w:b/>
          <w:bCs/>
          <w:color w:val="auto"/>
          <w:szCs w:val="21"/>
          <w:highlight w:val="none"/>
        </w:rPr>
        <w:t>15. 缺陷责任与保修</w:t>
      </w:r>
      <w:bookmarkEnd w:id="1104"/>
      <w:bookmarkEnd w:id="1105"/>
      <w:bookmarkEnd w:id="1106"/>
    </w:p>
    <w:bookmarkEnd w:id="1090"/>
    <w:bookmarkEnd w:id="1091"/>
    <w:bookmarkEnd w:id="1107"/>
    <w:p w14:paraId="0EA68B8F">
      <w:pPr>
        <w:widowControl/>
        <w:spacing w:line="360" w:lineRule="auto"/>
        <w:ind w:firstLine="422" w:firstLineChars="200"/>
        <w:jc w:val="left"/>
        <w:outlineLvl w:val="4"/>
        <w:rPr>
          <w:rFonts w:ascii="宋体" w:hAnsi="宋体" w:cs="宋体"/>
          <w:b/>
          <w:bCs/>
          <w:color w:val="auto"/>
          <w:kern w:val="0"/>
          <w:szCs w:val="21"/>
          <w:highlight w:val="none"/>
        </w:rPr>
      </w:pPr>
      <w:bookmarkStart w:id="1108" w:name="_Toc351203599"/>
      <w:bookmarkStart w:id="1109" w:name="_Toc532377287"/>
      <w:bookmarkStart w:id="1110" w:name="_Toc337558816"/>
      <w:bookmarkStart w:id="1111" w:name="_Toc296503114"/>
      <w:bookmarkStart w:id="1112" w:name="_Toc296346615"/>
      <w:r>
        <w:rPr>
          <w:rFonts w:hint="eastAsia" w:ascii="宋体" w:hAnsi="宋体" w:cs="宋体"/>
          <w:b/>
          <w:bCs/>
          <w:color w:val="auto"/>
          <w:kern w:val="0"/>
          <w:szCs w:val="21"/>
          <w:highlight w:val="none"/>
        </w:rPr>
        <w:t>15.1 工程保修的原则</w:t>
      </w:r>
      <w:bookmarkEnd w:id="1108"/>
      <w:bookmarkEnd w:id="1109"/>
    </w:p>
    <w:bookmarkEnd w:id="1110"/>
    <w:p w14:paraId="0782A4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3419FE20">
      <w:pPr>
        <w:widowControl/>
        <w:spacing w:line="360" w:lineRule="auto"/>
        <w:ind w:firstLine="422" w:firstLineChars="200"/>
        <w:jc w:val="left"/>
        <w:outlineLvl w:val="4"/>
        <w:rPr>
          <w:rFonts w:ascii="宋体" w:hAnsi="宋体" w:cs="宋体"/>
          <w:b/>
          <w:bCs/>
          <w:color w:val="auto"/>
          <w:kern w:val="0"/>
          <w:szCs w:val="21"/>
          <w:highlight w:val="none"/>
        </w:rPr>
      </w:pPr>
      <w:bookmarkStart w:id="1113" w:name="_Toc351203600"/>
      <w:bookmarkStart w:id="1114" w:name="_Toc532377288"/>
      <w:bookmarkStart w:id="1115" w:name="_Toc337558817"/>
      <w:r>
        <w:rPr>
          <w:rFonts w:hint="eastAsia" w:ascii="宋体" w:hAnsi="宋体" w:cs="宋体"/>
          <w:b/>
          <w:bCs/>
          <w:color w:val="auto"/>
          <w:kern w:val="0"/>
          <w:szCs w:val="21"/>
          <w:highlight w:val="none"/>
        </w:rPr>
        <w:t>15.2 缺陷责任期</w:t>
      </w:r>
      <w:bookmarkEnd w:id="1111"/>
      <w:bookmarkEnd w:id="1112"/>
      <w:bookmarkEnd w:id="1113"/>
      <w:bookmarkEnd w:id="1114"/>
    </w:p>
    <w:bookmarkEnd w:id="1115"/>
    <w:p w14:paraId="7CE5F3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15.2.1 缺陷责任期从工程通过竣工验收之日起计算，合同当事人应在专用合同条款约定缺陷责任期的具体期限，但该期限最长不超过24个月。</w:t>
      </w:r>
    </w:p>
    <w:p w14:paraId="5F58B2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缺陷责任期内，对建筑主要构造组成部分进行维修后，发包人有权根据维修情况及后续可能发生缺陷质量问题的概率要求对维修部分的缺陷责任期重新计算，并从承包人缴纳的质保金中划出相应的部分作为对重新计算缺陷责任期的担保。重新计算的缺陷责任期不受本协议中缺陷责任期最长期限的限制。</w:t>
      </w:r>
    </w:p>
    <w:p w14:paraId="74C883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由他人原因造成的缺陷，发包人负责组织维修，承包人不承担费用，且发包人不得从保证金中扣除费用。</w:t>
      </w:r>
    </w:p>
    <w:p w14:paraId="53BDDA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62CE8D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D4A6B51">
      <w:pPr>
        <w:widowControl/>
        <w:spacing w:line="360" w:lineRule="auto"/>
        <w:ind w:firstLine="422" w:firstLineChars="200"/>
        <w:jc w:val="left"/>
        <w:outlineLvl w:val="4"/>
        <w:rPr>
          <w:rFonts w:ascii="宋体" w:hAnsi="宋体" w:cs="宋体"/>
          <w:b/>
          <w:bCs/>
          <w:color w:val="auto"/>
          <w:kern w:val="0"/>
          <w:szCs w:val="21"/>
          <w:highlight w:val="none"/>
        </w:rPr>
      </w:pPr>
      <w:bookmarkStart w:id="1116" w:name="_Toc532377289"/>
      <w:bookmarkStart w:id="1117" w:name="_Toc351203601"/>
      <w:bookmarkStart w:id="1118" w:name="_Toc337558818"/>
      <w:bookmarkStart w:id="1119" w:name="_Toc296503115"/>
      <w:bookmarkStart w:id="1120" w:name="_Toc296346616"/>
      <w:r>
        <w:rPr>
          <w:rFonts w:hint="eastAsia" w:ascii="宋体" w:hAnsi="宋体" w:cs="宋体"/>
          <w:b/>
          <w:bCs/>
          <w:color w:val="auto"/>
          <w:kern w:val="0"/>
          <w:szCs w:val="21"/>
          <w:highlight w:val="none"/>
        </w:rPr>
        <w:t>15.3 质量保证金</w:t>
      </w:r>
      <w:bookmarkEnd w:id="1116"/>
      <w:bookmarkEnd w:id="1117"/>
    </w:p>
    <w:bookmarkEnd w:id="1118"/>
    <w:p w14:paraId="5257E35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经合同当事人协商一致扣留质量保证金的，应在专用合同条款中予以明确。</w:t>
      </w:r>
    </w:p>
    <w:p w14:paraId="34812C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15.3.1 承包人提供质量保证金的方式</w:t>
      </w:r>
    </w:p>
    <w:p w14:paraId="532EA9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承包人提供质量保证金有以下三种方式：</w:t>
      </w:r>
    </w:p>
    <w:p w14:paraId="393B0C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（1）质量保证金保函；</w:t>
      </w:r>
    </w:p>
    <w:p w14:paraId="227D1F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（2）相应比例的工程款；</w:t>
      </w:r>
    </w:p>
    <w:p w14:paraId="46A18B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（3）双方约定的其他方式。</w:t>
      </w:r>
    </w:p>
    <w:p w14:paraId="4EC545D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除专用合同条款另有约定外，质量保证金原则上采用上述第（2）种方式。</w:t>
      </w:r>
    </w:p>
    <w:p w14:paraId="27778D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15.3.2 质量保证金的扣留</w:t>
      </w:r>
    </w:p>
    <w:p w14:paraId="7DD4B8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质量保证金的扣留有以下三种方式：</w:t>
      </w:r>
    </w:p>
    <w:p w14:paraId="08095B4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（1）在支付工程进度款时逐次扣留，在此情形下，质量保证金的计算基数不包括预付款的支付、扣回以及价格调整的金额；</w:t>
      </w:r>
    </w:p>
    <w:p w14:paraId="1AE698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w:t>
      </w:r>
      <w:bookmarkStart w:id="1121" w:name="#go6"/>
      <w:bookmarkEnd w:id="1121"/>
      <w:r>
        <w:rPr>
          <w:rFonts w:hint="eastAsia" w:ascii="宋体" w:hAnsi="宋体"/>
          <w:color w:val="auto"/>
          <w:kern w:val="0"/>
          <w:szCs w:val="21"/>
          <w:highlight w:val="none"/>
        </w:rPr>
        <w:t>程竣工结算时一次性扣留质量保证金；</w:t>
      </w:r>
    </w:p>
    <w:p w14:paraId="069BBB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（3）双方约定的其他扣留方式。</w:t>
      </w:r>
    </w:p>
    <w:p w14:paraId="6EA4D3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除专用合同条款另有约定外，质量保证金的扣留原则上采用上述第（1）种方式。</w:t>
      </w:r>
    </w:p>
    <w:p w14:paraId="7C220ED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w:t>
      </w:r>
      <w:bookmarkStart w:id="1122" w:name="#go4"/>
      <w:bookmarkEnd w:id="1122"/>
      <w:r>
        <w:rPr>
          <w:rFonts w:hint="eastAsia" w:ascii="宋体" w:hAnsi="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B624B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除专用合同条款另有约定外，发包人在退还质量保证金的同时按照中国人民银行发布的同期存款基准利率支付利息。</w:t>
      </w:r>
    </w:p>
    <w:p w14:paraId="3B329D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15.3.3 质量保证金的退还</w:t>
      </w:r>
    </w:p>
    <w:p w14:paraId="033F39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缺陷责任期内，承包人认真履行合同约定的责任，到期后，承包人可向发包人申请返还保证金。</w:t>
      </w:r>
    </w:p>
    <w:p w14:paraId="0FBC0E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接到承包人返还保证金申请后，应于14天内会同承包人按照合同约定的内容进行核实。如无异议，发包人应当按照约定将保证金返还给承包人。发包人和承包人对保证金预留、返还以及工程维修质量、费用有争议的，按合同第20条约定的争议和纠纷解决程序处理。</w:t>
      </w:r>
    </w:p>
    <w:p w14:paraId="573CE158">
      <w:pPr>
        <w:widowControl/>
        <w:spacing w:line="360" w:lineRule="auto"/>
        <w:ind w:firstLine="422" w:firstLineChars="200"/>
        <w:jc w:val="left"/>
        <w:outlineLvl w:val="4"/>
        <w:rPr>
          <w:rFonts w:ascii="宋体" w:hAnsi="宋体" w:cs="宋体"/>
          <w:b/>
          <w:bCs/>
          <w:color w:val="auto"/>
          <w:kern w:val="0"/>
          <w:szCs w:val="21"/>
          <w:highlight w:val="none"/>
        </w:rPr>
      </w:pPr>
      <w:bookmarkStart w:id="1123" w:name="_Toc532377290"/>
      <w:bookmarkStart w:id="1124" w:name="_Toc351203602"/>
      <w:bookmarkStart w:id="1125" w:name="_Toc337558819"/>
      <w:r>
        <w:rPr>
          <w:rFonts w:hint="eastAsia" w:ascii="宋体" w:hAnsi="宋体" w:cs="宋体"/>
          <w:b/>
          <w:bCs/>
          <w:color w:val="auto"/>
          <w:kern w:val="0"/>
          <w:szCs w:val="21"/>
          <w:highlight w:val="none"/>
        </w:rPr>
        <w:t>15.4 保修</w:t>
      </w:r>
      <w:bookmarkEnd w:id="1123"/>
      <w:bookmarkEnd w:id="1124"/>
    </w:p>
    <w:bookmarkEnd w:id="1119"/>
    <w:bookmarkEnd w:id="1120"/>
    <w:bookmarkEnd w:id="1125"/>
    <w:p w14:paraId="4BBEF6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15.4.1保修责任</w:t>
      </w:r>
    </w:p>
    <w:p w14:paraId="60D376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保修期从工程竣工验收合格交付之日起算，具体分部分项工程的保修期由合同当事人在专用合同条款中约定，但不得低于法定最低保修年限。在工程保修期内，承包人应当根据有关法律规定以及合同约定承担保修责任。</w:t>
      </w:r>
    </w:p>
    <w:p w14:paraId="162C8F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15.4.2 修复费用</w:t>
      </w:r>
    </w:p>
    <w:p w14:paraId="416D78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保修期内，修复的费用按照以下约定处理：</w:t>
      </w:r>
    </w:p>
    <w:p w14:paraId="6603CF0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（1）保修期内，因承包人原因造成工程的缺陷、损坏，承包人应负责修复，并承担修复的费用以及因工程的缺陷、损坏造成的人身伤害和财产损失；</w:t>
      </w:r>
    </w:p>
    <w:p w14:paraId="60E58E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（2）保修期内，因发包人使用不当造成工程的缺陷、损坏，可以委托承包人修复，但发包人应承担修复的费用，并支付承包人合理利润；</w:t>
      </w:r>
    </w:p>
    <w:p w14:paraId="77CEC6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190E0A5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15.4.3 修复通知</w:t>
      </w:r>
    </w:p>
    <w:p w14:paraId="7E2830B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4D3E76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15.4.4 未能修复</w:t>
      </w:r>
    </w:p>
    <w:p w14:paraId="56FD79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发包人有权不经通知承包人直接从质保金中扣除相应款项，不足部分有权继续向承包人追偿。但修复范围超出缺陷或损坏范围的，超出范围部分的修复费用由发包人承担。工程一经保修，该部分的质保期便于维修工作结束后重新计算。</w:t>
      </w:r>
    </w:p>
    <w:p w14:paraId="7952C9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15.4.5 承包人出入权</w:t>
      </w:r>
    </w:p>
    <w:p w14:paraId="52C3D18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A86DED2">
      <w:pPr>
        <w:keepNext/>
        <w:keepLines/>
        <w:widowControl/>
        <w:spacing w:before="156" w:beforeLines="50" w:after="156" w:afterLines="50" w:line="360" w:lineRule="auto"/>
        <w:outlineLvl w:val="3"/>
        <w:rPr>
          <w:rFonts w:ascii="宋体" w:hAnsi="宋体" w:cs="宋体"/>
          <w:b/>
          <w:color w:val="auto"/>
          <w:szCs w:val="21"/>
          <w:highlight w:val="none"/>
        </w:rPr>
      </w:pPr>
      <w:bookmarkStart w:id="1126" w:name="_Toc532375602"/>
      <w:bookmarkStart w:id="1127" w:name="_Toc351203603"/>
      <w:bookmarkStart w:id="1128" w:name="_Toc532377291"/>
      <w:bookmarkStart w:id="1129" w:name="_Toc337558820"/>
      <w:r>
        <w:rPr>
          <w:rFonts w:hint="eastAsia" w:ascii="宋体" w:hAnsi="宋体" w:cs="宋体"/>
          <w:b/>
          <w:bCs/>
          <w:color w:val="auto"/>
          <w:szCs w:val="21"/>
          <w:highlight w:val="none"/>
        </w:rPr>
        <w:t>16. 违约</w:t>
      </w:r>
      <w:bookmarkEnd w:id="1126"/>
      <w:bookmarkEnd w:id="1127"/>
      <w:bookmarkEnd w:id="1128"/>
    </w:p>
    <w:bookmarkEnd w:id="1129"/>
    <w:p w14:paraId="5D7D207A">
      <w:pPr>
        <w:widowControl/>
        <w:spacing w:line="360" w:lineRule="auto"/>
        <w:ind w:firstLine="422" w:firstLineChars="200"/>
        <w:jc w:val="left"/>
        <w:outlineLvl w:val="4"/>
        <w:rPr>
          <w:rFonts w:ascii="宋体" w:hAnsi="宋体" w:cs="宋体"/>
          <w:b/>
          <w:bCs/>
          <w:color w:val="auto"/>
          <w:kern w:val="0"/>
          <w:szCs w:val="21"/>
          <w:highlight w:val="none"/>
        </w:rPr>
      </w:pPr>
      <w:bookmarkStart w:id="1130" w:name="_Toc296346630"/>
      <w:bookmarkStart w:id="1131" w:name="_Toc296503129"/>
      <w:bookmarkStart w:id="1132" w:name="_Toc532377292"/>
      <w:bookmarkStart w:id="1133" w:name="_Toc351203604"/>
      <w:bookmarkStart w:id="1134" w:name="_Toc337558821"/>
      <w:r>
        <w:rPr>
          <w:rFonts w:hint="eastAsia" w:ascii="宋体" w:hAnsi="宋体" w:cs="宋体"/>
          <w:b/>
          <w:bCs/>
          <w:color w:val="auto"/>
          <w:kern w:val="0"/>
          <w:szCs w:val="21"/>
          <w:highlight w:val="none"/>
        </w:rPr>
        <w:t>16.1 发</w:t>
      </w:r>
      <w:bookmarkEnd w:id="1130"/>
      <w:bookmarkEnd w:id="1131"/>
      <w:r>
        <w:rPr>
          <w:rFonts w:hint="eastAsia" w:ascii="宋体" w:hAnsi="宋体" w:cs="宋体"/>
          <w:b/>
          <w:bCs/>
          <w:color w:val="auto"/>
          <w:kern w:val="0"/>
          <w:szCs w:val="21"/>
          <w:highlight w:val="none"/>
        </w:rPr>
        <w:t>包人违约</w:t>
      </w:r>
      <w:bookmarkEnd w:id="1132"/>
      <w:bookmarkEnd w:id="1133"/>
    </w:p>
    <w:bookmarkEnd w:id="1134"/>
    <w:p w14:paraId="4AF41A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16.1.1 发包人违约的情形</w:t>
      </w:r>
    </w:p>
    <w:p w14:paraId="1B464A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在合同履行过程中发生的下列情形，属于发包人违约：</w:t>
      </w:r>
    </w:p>
    <w:p w14:paraId="12F609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（1）因发包人原因未能按合同约定支付合同价款的；</w:t>
      </w:r>
    </w:p>
    <w:p w14:paraId="408EA8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（2）发包人违反第10.1款〔变更的范围〕第（2）项约定，自行实施被取消的工作或转由他人实施的；</w:t>
      </w:r>
    </w:p>
    <w:p w14:paraId="7029BB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（3）发包人提供的材料、工程设备的规格、数量或质量不符合合同约定，或因发包人原因导致交货日期延误或交货地点变更等情况的；</w:t>
      </w:r>
    </w:p>
    <w:p w14:paraId="15FF39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（4）因发包人违反合同约定造成暂停施工的；</w:t>
      </w:r>
    </w:p>
    <w:p w14:paraId="2D73C6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（5）发包人明确表示或者以其行为表明不履行合同主要义务的；</w:t>
      </w:r>
    </w:p>
    <w:p w14:paraId="13BA91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（6）发包人未能按照合同约定履行其他义务的。</w:t>
      </w:r>
    </w:p>
    <w:p w14:paraId="219511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发包人发生除本项第（7）目以外的违约情况时，承包人可向发包人发出通知，要求发包人采取有效措施纠正违约行为。</w:t>
      </w:r>
    </w:p>
    <w:p w14:paraId="5F9E29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16.1.2 发包人违约的责任</w:t>
      </w:r>
    </w:p>
    <w:p w14:paraId="0E89C5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发包人应承担因其违约延误的工期。此外，合同当事人可在专用合同条款中另行约定发包人违约责任的承担方式和计算方法。</w:t>
      </w:r>
    </w:p>
    <w:p w14:paraId="1464A009">
      <w:pPr>
        <w:widowControl/>
        <w:spacing w:line="360" w:lineRule="auto"/>
        <w:ind w:firstLine="422" w:firstLineChars="200"/>
        <w:jc w:val="left"/>
        <w:outlineLvl w:val="4"/>
        <w:rPr>
          <w:rFonts w:ascii="宋体" w:hAnsi="宋体" w:cs="宋体"/>
          <w:b/>
          <w:bCs/>
          <w:color w:val="auto"/>
          <w:kern w:val="0"/>
          <w:szCs w:val="21"/>
          <w:highlight w:val="none"/>
        </w:rPr>
      </w:pPr>
      <w:bookmarkStart w:id="1135" w:name="_Toc532377293"/>
      <w:bookmarkStart w:id="1136" w:name="_Toc351203605"/>
      <w:bookmarkStart w:id="1137" w:name="_Toc337558822"/>
      <w:bookmarkStart w:id="1138" w:name="_Toc296346632"/>
      <w:bookmarkStart w:id="1139" w:name="_Toc296503131"/>
      <w:r>
        <w:rPr>
          <w:rFonts w:hint="eastAsia" w:ascii="宋体" w:hAnsi="宋体" w:cs="宋体"/>
          <w:b/>
          <w:bCs/>
          <w:color w:val="auto"/>
          <w:kern w:val="0"/>
          <w:szCs w:val="21"/>
          <w:highlight w:val="none"/>
        </w:rPr>
        <w:t>16.2 承包人违约</w:t>
      </w:r>
      <w:bookmarkEnd w:id="1135"/>
      <w:bookmarkEnd w:id="1136"/>
    </w:p>
    <w:bookmarkEnd w:id="1137"/>
    <w:bookmarkEnd w:id="1138"/>
    <w:bookmarkEnd w:id="1139"/>
    <w:p w14:paraId="2B67C7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16.2.1 承包人违约的情形</w:t>
      </w:r>
    </w:p>
    <w:p w14:paraId="4F48B3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在合同履行过程中发生的下列情形，属于承包人违约：</w:t>
      </w:r>
    </w:p>
    <w:p w14:paraId="19EF22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（1）承包人违反合同约定进行转包或违法分包的；</w:t>
      </w:r>
    </w:p>
    <w:p w14:paraId="07A1CA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（2）承包人违反合同约定采购和使用不合格的材料和工程设备的；</w:t>
      </w:r>
    </w:p>
    <w:p w14:paraId="0EFF6B2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（3）因承包人原因导致工程质量不符合合同要求的； </w:t>
      </w:r>
    </w:p>
    <w:p w14:paraId="6B5F89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（4）承包人违反第8.9款〔材料与设备专用要求〕的约定，未经批准，私自将已按照合同约定进入施工现场的材料或设备撤离施工现场的；</w:t>
      </w:r>
    </w:p>
    <w:p w14:paraId="787413D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（5）承包人未能按施工进度计划及时完成合同约定的工作，造成工期延误的；</w:t>
      </w:r>
    </w:p>
    <w:p w14:paraId="45E780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（6）承包人在缺陷责任期及保修期内，未能在合理期限对工程缺陷进行修复，或拒绝按发包人要求进行修复的；</w:t>
      </w:r>
    </w:p>
    <w:p w14:paraId="13F7E26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（7）承包人明确表示或者以其行为表明不履行合同主要义务的；</w:t>
      </w:r>
    </w:p>
    <w:p w14:paraId="7F077FB5">
      <w:pPr>
        <w:autoSpaceDE w:val="0"/>
        <w:autoSpaceDN w:val="0"/>
        <w:spacing w:line="360" w:lineRule="auto"/>
        <w:ind w:firstLine="420" w:firstLineChars="200"/>
        <w:jc w:val="left"/>
        <w:rPr>
          <w:rFonts w:hint="eastAsia" w:ascii="宋体" w:hAnsi="宋体" w:cs="Microsoft Sans Serif"/>
          <w:color w:val="auto"/>
          <w:kern w:val="0"/>
          <w:szCs w:val="21"/>
          <w:highlight w:val="none"/>
          <w:lang w:val="en-US" w:eastAsia="zh-CN"/>
        </w:rPr>
      </w:pPr>
      <w:r>
        <w:rPr>
          <w:rFonts w:hint="eastAsia" w:ascii="宋体" w:hAnsi="宋体"/>
          <w:color w:val="auto"/>
          <w:kern w:val="0"/>
          <w:szCs w:val="21"/>
          <w:highlight w:val="none"/>
        </w:rPr>
        <w:t>（8）</w:t>
      </w:r>
      <w:r>
        <w:rPr>
          <w:rFonts w:hint="eastAsia" w:ascii="宋体" w:hAnsi="宋体" w:cs="Microsoft Sans Serif"/>
          <w:color w:val="auto"/>
          <w:kern w:val="0"/>
          <w:szCs w:val="21"/>
          <w:highlight w:val="none"/>
        </w:rPr>
        <w:t>承包人因造价争议导致的工期</w:t>
      </w:r>
      <w:r>
        <w:rPr>
          <w:rFonts w:hint="eastAsia" w:ascii="宋体" w:hAnsi="宋体" w:cs="Microsoft Sans Serif"/>
          <w:color w:val="auto"/>
          <w:kern w:val="0"/>
          <w:szCs w:val="21"/>
          <w:highlight w:val="none"/>
          <w:lang w:val="en-US" w:eastAsia="zh-CN"/>
        </w:rPr>
        <w:t>延误；</w:t>
      </w:r>
    </w:p>
    <w:p w14:paraId="62D8AD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9</w:t>
      </w:r>
      <w:r>
        <w:rPr>
          <w:rFonts w:hint="eastAsia" w:ascii="宋体" w:hAnsi="宋体"/>
          <w:color w:val="auto"/>
          <w:kern w:val="0"/>
          <w:szCs w:val="21"/>
          <w:highlight w:val="none"/>
        </w:rPr>
        <w:t>）承包人未能按照合同约定履行其他义务的。</w:t>
      </w:r>
    </w:p>
    <w:p w14:paraId="73447F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承包人发生除本项第（7）目约定以外的其他违约情况时，监理人可向承包人发出整改通知，要求其在指定的期限内改正。</w:t>
      </w:r>
    </w:p>
    <w:p w14:paraId="143976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16.2.2 承包人违约的责任</w:t>
      </w:r>
    </w:p>
    <w:p w14:paraId="648D5E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承包人应承担因其违约行为而增加的费用和（或）延误的工期。此外，合同当事人可在专用合同条款中另行约定承包人违约责任的承担方式和计算方法。</w:t>
      </w:r>
    </w:p>
    <w:p w14:paraId="0F28F2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16.2.3 因承包人违约解除合同</w:t>
      </w:r>
    </w:p>
    <w:p w14:paraId="30A8B4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C00478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16.2.4因承包人违约解除合同后的处理</w:t>
      </w:r>
    </w:p>
    <w:p w14:paraId="38E9811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因承包人原因导致合同解除的，则合同当事人应在合同解除后28天内完成估价、付款和清算，并按以下约定执行：</w:t>
      </w:r>
    </w:p>
    <w:p w14:paraId="0F2157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（1）合同解除后，按第4.4款〔商定或确定〕商定或确定承包人实际完成工作对应的合同价款，以及承包人已提供的材料、工程设备、施工设备和临时工程等的价值；</w:t>
      </w:r>
    </w:p>
    <w:p w14:paraId="3923A5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（2）合同解除后，承包人应支付的违约金；</w:t>
      </w:r>
    </w:p>
    <w:p w14:paraId="03AE4C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（3）合同解除后，因解除合同给发包人造成的损失；</w:t>
      </w:r>
    </w:p>
    <w:p w14:paraId="6B457C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（4）合同解除后，承包人应按照发包人要求和监理人的指示完成现场的清理和撤离；</w:t>
      </w:r>
    </w:p>
    <w:p w14:paraId="1241D0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（5）发包人和承包人应在合同解除后进行清算，出具最终结清付款证书，结清全部款项。</w:t>
      </w:r>
    </w:p>
    <w:p w14:paraId="46F679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77EC58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16.2.5采购合同权益转让</w:t>
      </w:r>
    </w:p>
    <w:p w14:paraId="595B84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8F897A1">
      <w:pPr>
        <w:widowControl/>
        <w:spacing w:line="360" w:lineRule="auto"/>
        <w:ind w:firstLine="422" w:firstLineChars="200"/>
        <w:jc w:val="left"/>
        <w:outlineLvl w:val="4"/>
        <w:rPr>
          <w:rFonts w:ascii="宋体" w:hAnsi="宋体" w:cs="宋体"/>
          <w:b/>
          <w:bCs/>
          <w:color w:val="auto"/>
          <w:kern w:val="0"/>
          <w:szCs w:val="21"/>
          <w:highlight w:val="none"/>
        </w:rPr>
      </w:pPr>
      <w:bookmarkStart w:id="1140" w:name="_Toc532377294"/>
      <w:bookmarkStart w:id="1141" w:name="_Toc351203606"/>
      <w:r>
        <w:rPr>
          <w:rFonts w:hint="eastAsia" w:ascii="宋体" w:hAnsi="宋体" w:cs="宋体"/>
          <w:b/>
          <w:bCs/>
          <w:color w:val="auto"/>
          <w:kern w:val="0"/>
          <w:szCs w:val="21"/>
          <w:highlight w:val="none"/>
        </w:rPr>
        <w:t>16.3 第三人造成的违约</w:t>
      </w:r>
      <w:bookmarkEnd w:id="1140"/>
      <w:bookmarkEnd w:id="1141"/>
    </w:p>
    <w:p w14:paraId="748731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2F3CA3E1">
      <w:pPr>
        <w:keepNext/>
        <w:keepLines/>
        <w:widowControl/>
        <w:spacing w:before="156" w:beforeLines="50" w:after="156" w:afterLines="50" w:line="360" w:lineRule="auto"/>
        <w:outlineLvl w:val="3"/>
        <w:rPr>
          <w:rFonts w:ascii="宋体" w:hAnsi="宋体" w:cs="宋体"/>
          <w:b/>
          <w:color w:val="auto"/>
          <w:szCs w:val="21"/>
          <w:highlight w:val="none"/>
        </w:rPr>
      </w:pPr>
      <w:bookmarkStart w:id="1142" w:name="_Toc532377295"/>
      <w:bookmarkStart w:id="1143" w:name="_Toc337558823"/>
      <w:bookmarkStart w:id="1144" w:name="_Toc296503116"/>
      <w:bookmarkStart w:id="1145" w:name="_Toc532375603"/>
      <w:bookmarkStart w:id="1146" w:name="_Toc351203607"/>
      <w:bookmarkStart w:id="1147" w:name="_Toc296346617"/>
      <w:r>
        <w:rPr>
          <w:rFonts w:hint="eastAsia" w:ascii="宋体" w:hAnsi="宋体" w:cs="宋体"/>
          <w:b/>
          <w:bCs/>
          <w:color w:val="auto"/>
          <w:szCs w:val="21"/>
          <w:highlight w:val="none"/>
        </w:rPr>
        <w:t>17. 不可抗力</w:t>
      </w:r>
      <w:bookmarkEnd w:id="1142"/>
      <w:bookmarkEnd w:id="1143"/>
      <w:bookmarkEnd w:id="1144"/>
      <w:bookmarkEnd w:id="1145"/>
      <w:bookmarkEnd w:id="1146"/>
      <w:bookmarkEnd w:id="1147"/>
    </w:p>
    <w:p w14:paraId="28EC2143">
      <w:pPr>
        <w:widowControl/>
        <w:spacing w:line="360" w:lineRule="auto"/>
        <w:ind w:firstLine="422" w:firstLineChars="200"/>
        <w:jc w:val="left"/>
        <w:outlineLvl w:val="4"/>
        <w:rPr>
          <w:rFonts w:ascii="宋体" w:hAnsi="宋体" w:cs="宋体"/>
          <w:b/>
          <w:bCs/>
          <w:color w:val="auto"/>
          <w:kern w:val="0"/>
          <w:szCs w:val="21"/>
          <w:highlight w:val="none"/>
        </w:rPr>
      </w:pPr>
      <w:bookmarkStart w:id="1148" w:name="_Toc351203608"/>
      <w:bookmarkStart w:id="1149" w:name="_Toc532377296"/>
      <w:bookmarkStart w:id="1150" w:name="_Toc296346618"/>
      <w:bookmarkStart w:id="1151" w:name="_Toc337558824"/>
      <w:bookmarkStart w:id="1152" w:name="_Toc296503117"/>
      <w:r>
        <w:rPr>
          <w:rFonts w:hint="eastAsia" w:ascii="宋体" w:hAnsi="宋体" w:cs="宋体"/>
          <w:b/>
          <w:bCs/>
          <w:color w:val="auto"/>
          <w:kern w:val="0"/>
          <w:szCs w:val="21"/>
          <w:highlight w:val="none"/>
        </w:rPr>
        <w:t>17.1 不可抗力的确认</w:t>
      </w:r>
      <w:bookmarkEnd w:id="1148"/>
      <w:bookmarkEnd w:id="1149"/>
    </w:p>
    <w:bookmarkEnd w:id="1150"/>
    <w:bookmarkEnd w:id="1151"/>
    <w:bookmarkEnd w:id="1152"/>
    <w:p w14:paraId="0FA2F6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7D738C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B70BED0">
      <w:pPr>
        <w:widowControl/>
        <w:spacing w:line="360" w:lineRule="auto"/>
        <w:ind w:firstLine="422" w:firstLineChars="200"/>
        <w:jc w:val="left"/>
        <w:outlineLvl w:val="4"/>
        <w:rPr>
          <w:rFonts w:ascii="宋体" w:hAnsi="宋体" w:cs="宋体"/>
          <w:b/>
          <w:bCs/>
          <w:color w:val="auto"/>
          <w:kern w:val="0"/>
          <w:szCs w:val="21"/>
          <w:highlight w:val="none"/>
        </w:rPr>
      </w:pPr>
      <w:bookmarkStart w:id="1153" w:name="_Toc532377297"/>
      <w:bookmarkStart w:id="1154" w:name="_Toc351203609"/>
      <w:bookmarkStart w:id="1155" w:name="_Toc296346619"/>
      <w:bookmarkStart w:id="1156" w:name="_Toc296503118"/>
      <w:bookmarkStart w:id="1157" w:name="_Toc337558825"/>
      <w:r>
        <w:rPr>
          <w:rFonts w:hint="eastAsia" w:ascii="宋体" w:hAnsi="宋体" w:cs="宋体"/>
          <w:b/>
          <w:bCs/>
          <w:color w:val="auto"/>
          <w:kern w:val="0"/>
          <w:szCs w:val="21"/>
          <w:highlight w:val="none"/>
        </w:rPr>
        <w:t>17.2 不可抗力的通知</w:t>
      </w:r>
      <w:bookmarkEnd w:id="1153"/>
      <w:bookmarkEnd w:id="1154"/>
    </w:p>
    <w:bookmarkEnd w:id="1155"/>
    <w:bookmarkEnd w:id="1156"/>
    <w:bookmarkEnd w:id="1157"/>
    <w:p w14:paraId="439BCA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615DFC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5C1678D2">
      <w:pPr>
        <w:widowControl/>
        <w:spacing w:line="360" w:lineRule="auto"/>
        <w:ind w:firstLine="422" w:firstLineChars="200"/>
        <w:jc w:val="left"/>
        <w:outlineLvl w:val="4"/>
        <w:rPr>
          <w:rFonts w:ascii="宋体" w:hAnsi="宋体" w:cs="宋体"/>
          <w:b/>
          <w:bCs/>
          <w:color w:val="auto"/>
          <w:kern w:val="0"/>
          <w:szCs w:val="21"/>
          <w:highlight w:val="none"/>
        </w:rPr>
      </w:pPr>
      <w:bookmarkStart w:id="1158" w:name="_Toc532377298"/>
      <w:r>
        <w:rPr>
          <w:rFonts w:hint="eastAsia" w:ascii="宋体" w:hAnsi="宋体" w:cs="宋体"/>
          <w:b/>
          <w:bCs/>
          <w:color w:val="auto"/>
          <w:kern w:val="0"/>
          <w:szCs w:val="21"/>
          <w:highlight w:val="none"/>
        </w:rPr>
        <w:t>17.3 不可抗力后果的承担</w:t>
      </w:r>
      <w:bookmarkEnd w:id="1158"/>
    </w:p>
    <w:p w14:paraId="1283DA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14:paraId="69884C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17.3.2 不可抗力导致的人员伤亡、财产损失、费用增加和（或）工期延误等后果，由合同当事人按以下原则承担：</w:t>
      </w:r>
    </w:p>
    <w:p w14:paraId="28092D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（1）永久工程、已运至施工现场的材料和工程设备的损坏，以及因工程损坏造成的第三人人员伤亡和财产损失由发包人承担；</w:t>
      </w:r>
    </w:p>
    <w:p w14:paraId="71EF6E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（2）承包人施工设备的损坏由承包人承担；</w:t>
      </w:r>
    </w:p>
    <w:p w14:paraId="058702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（3）发包人和承包人承担各自人员伤亡和财产的损失；</w:t>
      </w:r>
    </w:p>
    <w:p w14:paraId="7381DDF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9B2050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（5）因不可抗力引起或将引起工期延误，发包人要求赶工的，由此增加的赶工费用由发包人承担；</w:t>
      </w:r>
    </w:p>
    <w:p w14:paraId="53FF1D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（6）承包人在停工期间按照发包人要求照管、清理和修复工程的费用由发包人承担。</w:t>
      </w:r>
    </w:p>
    <w:p w14:paraId="450683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不可抗力发生后，合同当事人均应采取措施尽量避免和减少损失的扩大，任何一方当事人没有采取有效措施导致损失扩大的，应对扩大的损失承担责任。</w:t>
      </w:r>
    </w:p>
    <w:p w14:paraId="794A12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因合同一方迟延履行合同义务，在迟延履行期间遭遇不可抗力的，不免除其违约责任。</w:t>
      </w:r>
    </w:p>
    <w:p w14:paraId="3267C55D">
      <w:pPr>
        <w:widowControl/>
        <w:spacing w:line="360" w:lineRule="auto"/>
        <w:ind w:firstLine="422" w:firstLineChars="200"/>
        <w:jc w:val="left"/>
        <w:outlineLvl w:val="4"/>
        <w:rPr>
          <w:rFonts w:ascii="宋体" w:hAnsi="宋体" w:cs="宋体"/>
          <w:b/>
          <w:bCs/>
          <w:color w:val="auto"/>
          <w:kern w:val="0"/>
          <w:szCs w:val="21"/>
          <w:highlight w:val="none"/>
        </w:rPr>
      </w:pPr>
      <w:bookmarkStart w:id="1159" w:name="_Toc532377299"/>
      <w:bookmarkStart w:id="1160" w:name="_Toc351203611"/>
      <w:bookmarkStart w:id="1161" w:name="_Toc337558827"/>
      <w:r>
        <w:rPr>
          <w:rFonts w:hint="eastAsia" w:ascii="宋体" w:hAnsi="宋体" w:cs="宋体"/>
          <w:b/>
          <w:bCs/>
          <w:color w:val="auto"/>
          <w:kern w:val="0"/>
          <w:szCs w:val="21"/>
          <w:highlight w:val="none"/>
        </w:rPr>
        <w:t>17.4 因不可抗力解除合同</w:t>
      </w:r>
      <w:bookmarkEnd w:id="1159"/>
      <w:bookmarkEnd w:id="1160"/>
    </w:p>
    <w:bookmarkEnd w:id="1161"/>
    <w:p w14:paraId="34476B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117FC9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（1）合同解除前承包人已完成工作的价款；</w:t>
      </w:r>
    </w:p>
    <w:p w14:paraId="1FB06B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（2）承包人为工程订购的并已交付给承包人，或承包人有责任接受交付的材料、工程设备和其他物品的价款；</w:t>
      </w:r>
    </w:p>
    <w:p w14:paraId="5E08E1D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（3）发包人要求承包人退货或解除订货合同而产生的费用，或因不能退货或解除合同而产生的损失；</w:t>
      </w:r>
    </w:p>
    <w:p w14:paraId="1DBE53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（4）承包人撤离施工现场以及遣散承包人人员的费用；</w:t>
      </w:r>
    </w:p>
    <w:p w14:paraId="5E1978E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（5）按照合同约定在合同解除前应支付给承包人的其他款项；</w:t>
      </w:r>
    </w:p>
    <w:p w14:paraId="39E24F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（6）扣减承包人按照合同约定应向发包人支付的款项；</w:t>
      </w:r>
    </w:p>
    <w:p w14:paraId="3241AD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（7）双方商定或确定的其他款项。</w:t>
      </w:r>
    </w:p>
    <w:p w14:paraId="412761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除专用合同条款另有约定外，合同解除后，发包人应在商定或确定上述款项后28天内完成上述款项的支付。</w:t>
      </w:r>
    </w:p>
    <w:p w14:paraId="3BEC1A40">
      <w:pPr>
        <w:keepNext/>
        <w:keepLines/>
        <w:widowControl/>
        <w:spacing w:before="156" w:beforeLines="50" w:after="156" w:afterLines="50" w:line="360" w:lineRule="auto"/>
        <w:outlineLvl w:val="3"/>
        <w:rPr>
          <w:rFonts w:ascii="宋体" w:hAnsi="宋体" w:cs="宋体"/>
          <w:b/>
          <w:color w:val="auto"/>
          <w:szCs w:val="21"/>
          <w:highlight w:val="none"/>
        </w:rPr>
      </w:pPr>
      <w:bookmarkStart w:id="1162" w:name="_Toc351203612"/>
      <w:bookmarkStart w:id="1163" w:name="_Toc532375604"/>
      <w:bookmarkStart w:id="1164" w:name="_Toc532377300"/>
      <w:bookmarkStart w:id="1165" w:name="_Toc296503120"/>
      <w:bookmarkStart w:id="1166" w:name="_Toc296346621"/>
      <w:bookmarkStart w:id="1167" w:name="_Toc337558828"/>
      <w:r>
        <w:rPr>
          <w:rFonts w:hint="eastAsia" w:ascii="宋体" w:hAnsi="宋体" w:cs="宋体"/>
          <w:b/>
          <w:bCs/>
          <w:color w:val="auto"/>
          <w:szCs w:val="21"/>
          <w:highlight w:val="none"/>
        </w:rPr>
        <w:t>18. 保险</w:t>
      </w:r>
      <w:bookmarkEnd w:id="1162"/>
      <w:bookmarkEnd w:id="1163"/>
      <w:bookmarkEnd w:id="1164"/>
    </w:p>
    <w:bookmarkEnd w:id="1165"/>
    <w:bookmarkEnd w:id="1166"/>
    <w:bookmarkEnd w:id="1167"/>
    <w:p w14:paraId="489435A4">
      <w:pPr>
        <w:widowControl/>
        <w:spacing w:line="360" w:lineRule="auto"/>
        <w:ind w:firstLine="422" w:firstLineChars="200"/>
        <w:jc w:val="left"/>
        <w:outlineLvl w:val="4"/>
        <w:rPr>
          <w:rFonts w:ascii="宋体" w:hAnsi="宋体" w:cs="宋体"/>
          <w:b/>
          <w:bCs/>
          <w:color w:val="auto"/>
          <w:kern w:val="0"/>
          <w:szCs w:val="21"/>
          <w:highlight w:val="none"/>
        </w:rPr>
      </w:pPr>
      <w:bookmarkStart w:id="1168" w:name="_Toc351203613"/>
      <w:bookmarkStart w:id="1169" w:name="_Toc532377301"/>
      <w:bookmarkStart w:id="1170" w:name="_Toc296346622"/>
      <w:bookmarkStart w:id="1171" w:name="_Toc337558829"/>
      <w:bookmarkStart w:id="1172" w:name="_Toc296503121"/>
      <w:r>
        <w:rPr>
          <w:rFonts w:hint="eastAsia" w:ascii="宋体" w:hAnsi="宋体" w:cs="宋体"/>
          <w:b/>
          <w:bCs/>
          <w:color w:val="auto"/>
          <w:kern w:val="0"/>
          <w:szCs w:val="21"/>
          <w:highlight w:val="none"/>
        </w:rPr>
        <w:t>18.1 工程保险</w:t>
      </w:r>
      <w:bookmarkEnd w:id="1168"/>
      <w:bookmarkEnd w:id="1169"/>
    </w:p>
    <w:bookmarkEnd w:id="1170"/>
    <w:bookmarkEnd w:id="1171"/>
    <w:bookmarkEnd w:id="1172"/>
    <w:p w14:paraId="2673F8C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w:t>
      </w:r>
      <w:r>
        <w:rPr>
          <w:rFonts w:hint="eastAsia" w:ascii="宋体" w:hAnsi="宋体"/>
          <w:color w:val="auto"/>
          <w:szCs w:val="21"/>
          <w:highlight w:val="none"/>
        </w:rPr>
        <w:t>承包人</w:t>
      </w:r>
      <w:r>
        <w:rPr>
          <w:rFonts w:hint="eastAsia" w:ascii="宋体" w:hAnsi="宋体"/>
          <w:color w:val="auto"/>
          <w:kern w:val="0"/>
          <w:szCs w:val="21"/>
          <w:highlight w:val="none"/>
        </w:rPr>
        <w:t>应投保建筑工程一切险或安装工程一切险；发包人委托承包人投保的，因投保产生的保险费和其他相关费用由已包含在合同价款中。</w:t>
      </w:r>
    </w:p>
    <w:p w14:paraId="37BB58E0">
      <w:pPr>
        <w:widowControl/>
        <w:spacing w:line="360" w:lineRule="auto"/>
        <w:ind w:firstLine="422" w:firstLineChars="200"/>
        <w:jc w:val="left"/>
        <w:outlineLvl w:val="4"/>
        <w:rPr>
          <w:rFonts w:ascii="宋体" w:hAnsi="宋体" w:cs="宋体"/>
          <w:b/>
          <w:bCs/>
          <w:color w:val="auto"/>
          <w:kern w:val="0"/>
          <w:szCs w:val="21"/>
          <w:highlight w:val="none"/>
        </w:rPr>
      </w:pPr>
      <w:bookmarkStart w:id="1173" w:name="_Toc351203614"/>
      <w:bookmarkStart w:id="1174" w:name="_Toc532377302"/>
      <w:bookmarkStart w:id="1175" w:name="_Toc296346623"/>
      <w:bookmarkStart w:id="1176" w:name="_Toc296503122"/>
      <w:bookmarkStart w:id="1177" w:name="_Toc337558830"/>
      <w:r>
        <w:rPr>
          <w:rFonts w:hint="eastAsia" w:ascii="宋体" w:hAnsi="宋体" w:cs="宋体"/>
          <w:b/>
          <w:bCs/>
          <w:color w:val="auto"/>
          <w:kern w:val="0"/>
          <w:szCs w:val="21"/>
          <w:highlight w:val="none"/>
        </w:rPr>
        <w:t>18.2 工伤保险</w:t>
      </w:r>
      <w:bookmarkEnd w:id="1173"/>
      <w:bookmarkEnd w:id="1174"/>
    </w:p>
    <w:bookmarkEnd w:id="1175"/>
    <w:bookmarkEnd w:id="1176"/>
    <w:bookmarkEnd w:id="1177"/>
    <w:p w14:paraId="1929E1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18.2.1 </w:t>
      </w:r>
      <w:r>
        <w:rPr>
          <w:rFonts w:hint="eastAsia" w:ascii="宋体" w:hAnsi="宋体"/>
          <w:color w:val="auto"/>
          <w:szCs w:val="21"/>
          <w:highlight w:val="none"/>
        </w:rPr>
        <w:t>承包</w:t>
      </w:r>
      <w:r>
        <w:rPr>
          <w:rFonts w:hint="eastAsia" w:ascii="宋体" w:hAnsi="宋体"/>
          <w:color w:val="auto"/>
          <w:kern w:val="0"/>
          <w:szCs w:val="21"/>
          <w:highlight w:val="none"/>
        </w:rPr>
        <w:t>人应依照法律规定参加工伤保险，并为其在施工现场的全部员工办理工伤保险，缴纳工伤保险费，并要求监理人及由发包人为履行合同聘请的第三方依法参加工伤保险。</w:t>
      </w:r>
    </w:p>
    <w:p w14:paraId="091FD5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098DE507">
      <w:pPr>
        <w:widowControl/>
        <w:spacing w:line="360" w:lineRule="auto"/>
        <w:ind w:firstLine="422" w:firstLineChars="200"/>
        <w:jc w:val="left"/>
        <w:outlineLvl w:val="4"/>
        <w:rPr>
          <w:rFonts w:ascii="宋体" w:hAnsi="宋体" w:cs="宋体"/>
          <w:b/>
          <w:bCs/>
          <w:color w:val="auto"/>
          <w:kern w:val="0"/>
          <w:szCs w:val="21"/>
          <w:highlight w:val="none"/>
        </w:rPr>
      </w:pPr>
      <w:bookmarkStart w:id="1178" w:name="_Toc532377303"/>
      <w:bookmarkStart w:id="1179" w:name="_Toc351203615"/>
      <w:bookmarkStart w:id="1180" w:name="_Toc337558831"/>
      <w:bookmarkStart w:id="1181" w:name="_Toc296346626"/>
      <w:bookmarkStart w:id="1182" w:name="_Toc296503125"/>
      <w:r>
        <w:rPr>
          <w:rFonts w:hint="eastAsia" w:ascii="宋体" w:hAnsi="宋体" w:cs="宋体"/>
          <w:b/>
          <w:bCs/>
          <w:color w:val="auto"/>
          <w:kern w:val="0"/>
          <w:szCs w:val="21"/>
          <w:highlight w:val="none"/>
        </w:rPr>
        <w:t>18.3其他保险</w:t>
      </w:r>
      <w:bookmarkEnd w:id="1178"/>
      <w:bookmarkEnd w:id="1179"/>
    </w:p>
    <w:bookmarkEnd w:id="1180"/>
    <w:bookmarkEnd w:id="1181"/>
    <w:bookmarkEnd w:id="1182"/>
    <w:p w14:paraId="39F5E8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5987DB6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除专用合同条款另有约定外，承包人应为其施工设备等办理财产保险。</w:t>
      </w:r>
    </w:p>
    <w:p w14:paraId="7F1A39E6">
      <w:pPr>
        <w:widowControl/>
        <w:spacing w:line="360" w:lineRule="auto"/>
        <w:ind w:firstLine="422" w:firstLineChars="200"/>
        <w:jc w:val="left"/>
        <w:outlineLvl w:val="4"/>
        <w:rPr>
          <w:rFonts w:ascii="宋体" w:hAnsi="宋体" w:cs="宋体"/>
          <w:b/>
          <w:bCs/>
          <w:color w:val="auto"/>
          <w:kern w:val="0"/>
          <w:szCs w:val="21"/>
          <w:highlight w:val="none"/>
        </w:rPr>
      </w:pPr>
      <w:bookmarkStart w:id="1183" w:name="_Toc532377304"/>
      <w:bookmarkStart w:id="1184" w:name="_Toc351203616"/>
      <w:r>
        <w:rPr>
          <w:rFonts w:hint="eastAsia" w:ascii="宋体" w:hAnsi="宋体" w:cs="宋体"/>
          <w:b/>
          <w:bCs/>
          <w:color w:val="auto"/>
          <w:kern w:val="0"/>
          <w:szCs w:val="21"/>
          <w:highlight w:val="none"/>
        </w:rPr>
        <w:t>18.4持续保险</w:t>
      </w:r>
      <w:bookmarkEnd w:id="1183"/>
      <w:bookmarkEnd w:id="1184"/>
    </w:p>
    <w:p w14:paraId="762DBC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合同当事人应与保险人保持联系，使保险人能够随时了解工程实施中的变动，并确保按保险合同条款要求持续保险。</w:t>
      </w:r>
    </w:p>
    <w:p w14:paraId="438A6B99">
      <w:pPr>
        <w:widowControl/>
        <w:spacing w:line="360" w:lineRule="auto"/>
        <w:ind w:firstLine="422" w:firstLineChars="200"/>
        <w:jc w:val="left"/>
        <w:outlineLvl w:val="4"/>
        <w:rPr>
          <w:rFonts w:ascii="宋体" w:hAnsi="宋体" w:cs="宋体"/>
          <w:b/>
          <w:bCs/>
          <w:color w:val="auto"/>
          <w:kern w:val="0"/>
          <w:szCs w:val="21"/>
          <w:highlight w:val="none"/>
        </w:rPr>
      </w:pPr>
      <w:bookmarkStart w:id="1185" w:name="_Toc351203617"/>
      <w:bookmarkStart w:id="1186" w:name="_Toc532377305"/>
      <w:bookmarkStart w:id="1187" w:name="_Toc296346627"/>
      <w:bookmarkStart w:id="1188" w:name="_Toc296503126"/>
      <w:bookmarkStart w:id="1189" w:name="_Toc337558832"/>
      <w:r>
        <w:rPr>
          <w:rFonts w:hint="eastAsia" w:ascii="宋体" w:hAnsi="宋体" w:cs="宋体"/>
          <w:b/>
          <w:bCs/>
          <w:color w:val="auto"/>
          <w:kern w:val="0"/>
          <w:szCs w:val="21"/>
          <w:highlight w:val="none"/>
        </w:rPr>
        <w:t>18.5 保险凭证</w:t>
      </w:r>
      <w:bookmarkEnd w:id="1185"/>
      <w:bookmarkEnd w:id="1186"/>
    </w:p>
    <w:bookmarkEnd w:id="1187"/>
    <w:bookmarkEnd w:id="1188"/>
    <w:bookmarkEnd w:id="1189"/>
    <w:p w14:paraId="33D5E2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合同当事人应及时向另一方当事人提交其已投保的各项保险的凭证和保险单复印件。</w:t>
      </w:r>
    </w:p>
    <w:p w14:paraId="51367D3D">
      <w:pPr>
        <w:widowControl/>
        <w:spacing w:line="360" w:lineRule="auto"/>
        <w:ind w:firstLine="422" w:firstLineChars="200"/>
        <w:jc w:val="left"/>
        <w:outlineLvl w:val="4"/>
        <w:rPr>
          <w:rFonts w:ascii="宋体" w:hAnsi="宋体" w:cs="宋体"/>
          <w:b/>
          <w:bCs/>
          <w:color w:val="auto"/>
          <w:kern w:val="0"/>
          <w:szCs w:val="21"/>
          <w:highlight w:val="none"/>
        </w:rPr>
      </w:pPr>
      <w:bookmarkStart w:id="1190" w:name="_Toc532377306"/>
      <w:bookmarkStart w:id="1191" w:name="_Toc351203618"/>
      <w:bookmarkStart w:id="1192" w:name="_Toc296346628"/>
      <w:bookmarkStart w:id="1193" w:name="_Toc296503127"/>
      <w:bookmarkStart w:id="1194" w:name="_Toc337558833"/>
      <w:r>
        <w:rPr>
          <w:rFonts w:hint="eastAsia" w:ascii="宋体" w:hAnsi="宋体" w:cs="宋体"/>
          <w:b/>
          <w:bCs/>
          <w:color w:val="auto"/>
          <w:kern w:val="0"/>
          <w:szCs w:val="21"/>
          <w:highlight w:val="none"/>
        </w:rPr>
        <w:t>18.6 未按约定投保的补救</w:t>
      </w:r>
      <w:bookmarkEnd w:id="1190"/>
      <w:bookmarkEnd w:id="1191"/>
    </w:p>
    <w:bookmarkEnd w:id="1192"/>
    <w:bookmarkEnd w:id="1193"/>
    <w:bookmarkEnd w:id="1194"/>
    <w:p w14:paraId="75AF9BB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0BA8BFC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5DC2763E">
      <w:pPr>
        <w:widowControl/>
        <w:spacing w:line="360" w:lineRule="auto"/>
        <w:ind w:firstLine="422" w:firstLineChars="200"/>
        <w:jc w:val="left"/>
        <w:outlineLvl w:val="4"/>
        <w:rPr>
          <w:rFonts w:ascii="宋体" w:hAnsi="宋体" w:cs="宋体"/>
          <w:b/>
          <w:bCs/>
          <w:color w:val="auto"/>
          <w:kern w:val="0"/>
          <w:szCs w:val="21"/>
          <w:highlight w:val="none"/>
        </w:rPr>
      </w:pPr>
      <w:bookmarkStart w:id="1195" w:name="_Toc532377307"/>
      <w:bookmarkStart w:id="1196" w:name="_Toc351203619"/>
      <w:bookmarkStart w:id="1197" w:name="_Toc337558834"/>
      <w:r>
        <w:rPr>
          <w:rFonts w:hint="eastAsia" w:ascii="宋体" w:hAnsi="宋体" w:cs="宋体"/>
          <w:b/>
          <w:bCs/>
          <w:color w:val="auto"/>
          <w:kern w:val="0"/>
          <w:szCs w:val="21"/>
          <w:highlight w:val="none"/>
        </w:rPr>
        <w:t>18.7 通知义务</w:t>
      </w:r>
      <w:bookmarkEnd w:id="1195"/>
      <w:bookmarkEnd w:id="1196"/>
    </w:p>
    <w:bookmarkEnd w:id="1197"/>
    <w:p w14:paraId="754A4C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57C517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保险事故发生时，投保人应按照保险合同规定的条件和期限及时向保险人报告。发包人和承包人应当在知道保险事故发生后及时通知对方。</w:t>
      </w:r>
    </w:p>
    <w:p w14:paraId="7AEAA744">
      <w:pPr>
        <w:keepNext/>
        <w:keepLines/>
        <w:widowControl/>
        <w:spacing w:before="156" w:beforeLines="50" w:after="156" w:afterLines="50" w:line="360" w:lineRule="auto"/>
        <w:outlineLvl w:val="3"/>
        <w:rPr>
          <w:rFonts w:ascii="宋体" w:hAnsi="宋体" w:cs="宋体"/>
          <w:b/>
          <w:color w:val="auto"/>
          <w:szCs w:val="21"/>
          <w:highlight w:val="none"/>
        </w:rPr>
      </w:pPr>
      <w:bookmarkStart w:id="1198" w:name="_Toc532377308"/>
      <w:bookmarkStart w:id="1199" w:name="_Toc532375605"/>
      <w:r>
        <w:rPr>
          <w:rFonts w:hint="eastAsia" w:ascii="宋体" w:hAnsi="宋体" w:cs="宋体"/>
          <w:b/>
          <w:bCs/>
          <w:color w:val="auto"/>
          <w:szCs w:val="21"/>
          <w:highlight w:val="none"/>
        </w:rPr>
        <w:t>19. 索赔</w:t>
      </w:r>
      <w:bookmarkEnd w:id="1198"/>
      <w:bookmarkEnd w:id="1199"/>
    </w:p>
    <w:p w14:paraId="2D02F080">
      <w:pPr>
        <w:widowControl/>
        <w:spacing w:line="360" w:lineRule="auto"/>
        <w:ind w:firstLine="422" w:firstLineChars="200"/>
        <w:jc w:val="left"/>
        <w:outlineLvl w:val="4"/>
        <w:rPr>
          <w:rFonts w:ascii="宋体" w:hAnsi="宋体" w:cs="宋体"/>
          <w:b/>
          <w:bCs/>
          <w:color w:val="auto"/>
          <w:kern w:val="0"/>
          <w:szCs w:val="21"/>
          <w:highlight w:val="none"/>
        </w:rPr>
      </w:pPr>
      <w:bookmarkStart w:id="1200" w:name="_Toc532377309"/>
      <w:r>
        <w:rPr>
          <w:rFonts w:hint="eastAsia" w:ascii="宋体" w:hAnsi="宋体" w:cs="宋体"/>
          <w:b/>
          <w:bCs/>
          <w:color w:val="auto"/>
          <w:kern w:val="0"/>
          <w:szCs w:val="21"/>
          <w:highlight w:val="none"/>
        </w:rPr>
        <w:t>19.1承包人的索赔</w:t>
      </w:r>
      <w:bookmarkEnd w:id="1200"/>
    </w:p>
    <w:p w14:paraId="4279690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根据合同约定，承包人认为有权得到追加付款和（或）延长工期的，应按以下程序向发包人提出索赔：</w:t>
      </w:r>
    </w:p>
    <w:p w14:paraId="168242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3B774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20DC26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14:paraId="0EFE653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（4）在索赔事件影响结束后28天内，承包人应向监理人递交最终索赔报告，说明最终要求索赔的追加付款金额和（或）延长的工期，并附必要的记录和证明材料。</w:t>
      </w:r>
    </w:p>
    <w:p w14:paraId="027C2E25">
      <w:pPr>
        <w:widowControl/>
        <w:spacing w:line="360" w:lineRule="auto"/>
        <w:ind w:firstLine="422" w:firstLineChars="200"/>
        <w:jc w:val="left"/>
        <w:outlineLvl w:val="4"/>
        <w:rPr>
          <w:rFonts w:ascii="宋体" w:hAnsi="宋体" w:cs="宋体"/>
          <w:b/>
          <w:bCs/>
          <w:color w:val="auto"/>
          <w:kern w:val="0"/>
          <w:szCs w:val="21"/>
          <w:highlight w:val="none"/>
        </w:rPr>
      </w:pPr>
      <w:bookmarkStart w:id="1201" w:name="_Toc351203622"/>
      <w:bookmarkStart w:id="1202" w:name="_Toc532377310"/>
      <w:bookmarkStart w:id="1203" w:name="_Toc296346643"/>
      <w:bookmarkStart w:id="1204" w:name="_Toc296503142"/>
      <w:bookmarkStart w:id="1205" w:name="_Toc337558837"/>
      <w:r>
        <w:rPr>
          <w:rFonts w:hint="eastAsia" w:ascii="宋体" w:hAnsi="宋体" w:cs="宋体"/>
          <w:b/>
          <w:bCs/>
          <w:color w:val="auto"/>
          <w:kern w:val="0"/>
          <w:szCs w:val="21"/>
          <w:highlight w:val="none"/>
        </w:rPr>
        <w:t>19.2 对承包人索赔的处理</w:t>
      </w:r>
      <w:bookmarkEnd w:id="1201"/>
      <w:bookmarkEnd w:id="1202"/>
    </w:p>
    <w:bookmarkEnd w:id="1203"/>
    <w:bookmarkEnd w:id="1204"/>
    <w:bookmarkEnd w:id="1205"/>
    <w:p w14:paraId="341C14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对承包人索赔的处理如下：</w:t>
      </w:r>
    </w:p>
    <w:p w14:paraId="23C6386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（1）监理人应在收到索赔报告后14天内完成审查并报送发包人。监理人对索赔报告存在异议的，有权要求承包人提交全部原始记录副本；</w:t>
      </w:r>
    </w:p>
    <w:p w14:paraId="569A08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162950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（3）承包人接受索赔处理结果的，索赔款项在当期进度款中进行支付；承包人不接受索赔处理结果的，按照第20条〔争议解决〕约定处理。</w:t>
      </w:r>
    </w:p>
    <w:p w14:paraId="7A16416C">
      <w:pPr>
        <w:widowControl/>
        <w:spacing w:line="360" w:lineRule="auto"/>
        <w:ind w:firstLine="422" w:firstLineChars="200"/>
        <w:jc w:val="left"/>
        <w:outlineLvl w:val="4"/>
        <w:rPr>
          <w:rFonts w:ascii="宋体" w:hAnsi="宋体" w:cs="宋体"/>
          <w:b/>
          <w:bCs/>
          <w:color w:val="auto"/>
          <w:kern w:val="0"/>
          <w:szCs w:val="21"/>
          <w:highlight w:val="none"/>
        </w:rPr>
      </w:pPr>
      <w:bookmarkStart w:id="1206" w:name="_Toc351203623"/>
      <w:bookmarkStart w:id="1207" w:name="_Toc532377311"/>
      <w:bookmarkStart w:id="1208" w:name="_Toc296346644"/>
      <w:bookmarkStart w:id="1209" w:name="_Toc337558838"/>
      <w:bookmarkStart w:id="1210" w:name="_Toc296503143"/>
      <w:r>
        <w:rPr>
          <w:rFonts w:hint="eastAsia" w:ascii="宋体" w:hAnsi="宋体" w:cs="宋体"/>
          <w:b/>
          <w:bCs/>
          <w:color w:val="auto"/>
          <w:kern w:val="0"/>
          <w:szCs w:val="21"/>
          <w:highlight w:val="none"/>
        </w:rPr>
        <w:t>19.3发包人的索赔</w:t>
      </w:r>
      <w:bookmarkEnd w:id="1206"/>
      <w:bookmarkEnd w:id="1207"/>
    </w:p>
    <w:bookmarkEnd w:id="1208"/>
    <w:bookmarkEnd w:id="1209"/>
    <w:bookmarkEnd w:id="1210"/>
    <w:p w14:paraId="482A58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根据合同约定，发包人认为有权得到赔付金额和（或）延长缺陷责任期的，监理人应向承包人发出通知并附有详细的证明。</w:t>
      </w:r>
    </w:p>
    <w:p w14:paraId="4BE777B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E341DF2">
      <w:pPr>
        <w:widowControl/>
        <w:spacing w:line="360" w:lineRule="auto"/>
        <w:ind w:firstLine="422" w:firstLineChars="200"/>
        <w:jc w:val="left"/>
        <w:outlineLvl w:val="4"/>
        <w:rPr>
          <w:rFonts w:ascii="宋体" w:hAnsi="宋体" w:cs="宋体"/>
          <w:b/>
          <w:bCs/>
          <w:color w:val="auto"/>
          <w:kern w:val="0"/>
          <w:szCs w:val="21"/>
          <w:highlight w:val="none"/>
        </w:rPr>
      </w:pPr>
      <w:bookmarkStart w:id="1211" w:name="_Toc532377312"/>
      <w:bookmarkStart w:id="1212" w:name="_Toc351203624"/>
      <w:bookmarkStart w:id="1213" w:name="_Toc337558839"/>
      <w:bookmarkStart w:id="1214" w:name="_Toc296346645"/>
      <w:bookmarkStart w:id="1215" w:name="_Toc296503144"/>
      <w:r>
        <w:rPr>
          <w:rFonts w:hint="eastAsia" w:ascii="宋体" w:hAnsi="宋体" w:cs="宋体"/>
          <w:b/>
          <w:bCs/>
          <w:color w:val="auto"/>
          <w:kern w:val="0"/>
          <w:szCs w:val="21"/>
          <w:highlight w:val="none"/>
        </w:rPr>
        <w:t>19.4 对发包人索赔的处理</w:t>
      </w:r>
      <w:bookmarkEnd w:id="1211"/>
      <w:bookmarkEnd w:id="1212"/>
    </w:p>
    <w:bookmarkEnd w:id="1213"/>
    <w:bookmarkEnd w:id="1214"/>
    <w:bookmarkEnd w:id="1215"/>
    <w:p w14:paraId="7C8346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2600A6A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（1）承包人收到发包人提交的索赔报告后，应及时审查索赔报告的内容、查验发包人证明材料；</w:t>
      </w:r>
    </w:p>
    <w:p w14:paraId="7F2C43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1528DA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5D784148">
      <w:pPr>
        <w:widowControl/>
        <w:spacing w:line="360" w:lineRule="auto"/>
        <w:ind w:firstLine="420" w:firstLineChars="200"/>
        <w:jc w:val="left"/>
        <w:outlineLvl w:val="4"/>
        <w:rPr>
          <w:rFonts w:ascii="宋体" w:hAnsi="宋体" w:cs="宋体"/>
          <w:bCs/>
          <w:color w:val="auto"/>
          <w:kern w:val="0"/>
          <w:szCs w:val="21"/>
          <w:highlight w:val="none"/>
        </w:rPr>
      </w:pPr>
      <w:bookmarkStart w:id="1216" w:name="_Toc351203625"/>
      <w:bookmarkStart w:id="1217" w:name="_Toc532377313"/>
      <w:r>
        <w:rPr>
          <w:rFonts w:hint="eastAsia" w:ascii="宋体" w:hAnsi="宋体" w:cs="宋体"/>
          <w:bCs/>
          <w:color w:val="auto"/>
          <w:kern w:val="0"/>
          <w:szCs w:val="21"/>
          <w:highlight w:val="none"/>
        </w:rPr>
        <w:t>19.5 提出索赔的期限</w:t>
      </w:r>
      <w:bookmarkEnd w:id="1216"/>
      <w:bookmarkEnd w:id="1217"/>
    </w:p>
    <w:p w14:paraId="0C84DF4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（1）承包人按第14.2款〔竣工结算审核〕约定接收竣工付款证书后，应被视为已无权再提出在工程接收证书颁发前所发生的任何索赔。</w:t>
      </w:r>
    </w:p>
    <w:p w14:paraId="6A1F7E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（2）承包人按第14.4款〔最终结清〕提交的最终结清申请单中，只限于提出工程接收证书颁发后发生的索赔。提出索赔的期限自接受最终结清证书时终止。</w:t>
      </w:r>
    </w:p>
    <w:p w14:paraId="59AE3E0D">
      <w:pPr>
        <w:keepNext/>
        <w:keepLines/>
        <w:widowControl/>
        <w:spacing w:before="156" w:beforeLines="50" w:after="156" w:afterLines="50" w:line="360" w:lineRule="auto"/>
        <w:outlineLvl w:val="3"/>
        <w:rPr>
          <w:rFonts w:ascii="宋体" w:hAnsi="宋体" w:cs="宋体"/>
          <w:b/>
          <w:color w:val="auto"/>
          <w:szCs w:val="21"/>
          <w:highlight w:val="none"/>
        </w:rPr>
      </w:pPr>
      <w:bookmarkStart w:id="1218" w:name="_Toc532375606"/>
      <w:bookmarkStart w:id="1219" w:name="_Toc532377314"/>
      <w:bookmarkStart w:id="1220" w:name="_Toc351203626"/>
      <w:r>
        <w:rPr>
          <w:rFonts w:hint="eastAsia" w:ascii="宋体" w:hAnsi="宋体" w:cs="宋体"/>
          <w:b/>
          <w:bCs/>
          <w:color w:val="auto"/>
          <w:szCs w:val="21"/>
          <w:highlight w:val="none"/>
        </w:rPr>
        <w:t>20</w:t>
      </w:r>
      <w:bookmarkStart w:id="1221" w:name="_Toc296346647"/>
      <w:bookmarkStart w:id="1222" w:name="_Toc337558840"/>
      <w:bookmarkStart w:id="1223" w:name="_Toc296503146"/>
      <w:r>
        <w:rPr>
          <w:rFonts w:hint="eastAsia" w:ascii="宋体" w:hAnsi="宋体" w:cs="宋体"/>
          <w:b/>
          <w:bCs/>
          <w:color w:val="auto"/>
          <w:szCs w:val="21"/>
          <w:highlight w:val="none"/>
        </w:rPr>
        <w:t>. 争议解决</w:t>
      </w:r>
      <w:bookmarkEnd w:id="1218"/>
      <w:bookmarkEnd w:id="1219"/>
      <w:bookmarkEnd w:id="1220"/>
    </w:p>
    <w:bookmarkEnd w:id="1221"/>
    <w:bookmarkEnd w:id="1222"/>
    <w:bookmarkEnd w:id="1223"/>
    <w:p w14:paraId="4967ED3A">
      <w:pPr>
        <w:widowControl/>
        <w:spacing w:line="360" w:lineRule="auto"/>
        <w:ind w:firstLine="422" w:firstLineChars="200"/>
        <w:jc w:val="left"/>
        <w:outlineLvl w:val="4"/>
        <w:rPr>
          <w:rFonts w:ascii="宋体" w:hAnsi="宋体" w:cs="宋体"/>
          <w:b/>
          <w:bCs/>
          <w:color w:val="auto"/>
          <w:kern w:val="0"/>
          <w:szCs w:val="21"/>
          <w:highlight w:val="none"/>
        </w:rPr>
      </w:pPr>
      <w:bookmarkStart w:id="1224" w:name="_Toc532377315"/>
      <w:bookmarkStart w:id="1225" w:name="_Toc351203627"/>
      <w:bookmarkStart w:id="1226" w:name="_Toc296346648"/>
      <w:bookmarkStart w:id="1227" w:name="_Toc337558841"/>
      <w:bookmarkStart w:id="1228" w:name="_Toc296503147"/>
      <w:r>
        <w:rPr>
          <w:rFonts w:hint="eastAsia" w:ascii="宋体" w:hAnsi="宋体" w:cs="宋体"/>
          <w:b/>
          <w:bCs/>
          <w:color w:val="auto"/>
          <w:kern w:val="0"/>
          <w:szCs w:val="21"/>
          <w:highlight w:val="none"/>
        </w:rPr>
        <w:t>20.1和解</w:t>
      </w:r>
      <w:bookmarkEnd w:id="1224"/>
      <w:bookmarkEnd w:id="1225"/>
    </w:p>
    <w:bookmarkEnd w:id="1226"/>
    <w:bookmarkEnd w:id="1227"/>
    <w:bookmarkEnd w:id="1228"/>
    <w:p w14:paraId="2BEE48D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合同当事人可以就争议自行和解，自行和解达成协议的经双方签名并盖章后作为合同补充文件，双方均应遵照执行。</w:t>
      </w:r>
    </w:p>
    <w:p w14:paraId="3DF674AA">
      <w:pPr>
        <w:widowControl/>
        <w:spacing w:line="360" w:lineRule="auto"/>
        <w:ind w:firstLine="422" w:firstLineChars="200"/>
        <w:jc w:val="left"/>
        <w:outlineLvl w:val="4"/>
        <w:rPr>
          <w:rFonts w:ascii="宋体" w:hAnsi="宋体" w:cs="宋体"/>
          <w:b/>
          <w:bCs/>
          <w:color w:val="auto"/>
          <w:kern w:val="0"/>
          <w:szCs w:val="21"/>
          <w:highlight w:val="none"/>
        </w:rPr>
      </w:pPr>
      <w:bookmarkStart w:id="1229" w:name="_Toc351203628"/>
      <w:bookmarkStart w:id="1230" w:name="_Toc532377316"/>
      <w:r>
        <w:rPr>
          <w:rFonts w:hint="eastAsia" w:ascii="宋体" w:hAnsi="宋体" w:cs="宋体"/>
          <w:b/>
          <w:bCs/>
          <w:color w:val="auto"/>
          <w:kern w:val="0"/>
          <w:szCs w:val="21"/>
          <w:highlight w:val="none"/>
        </w:rPr>
        <w:t>20</w:t>
      </w:r>
      <w:bookmarkStart w:id="1231" w:name="_Toc337558842"/>
      <w:bookmarkStart w:id="1232" w:name="_Toc296346649"/>
      <w:bookmarkStart w:id="1233" w:name="_Toc296503148"/>
      <w:r>
        <w:rPr>
          <w:rFonts w:hint="eastAsia" w:ascii="宋体" w:hAnsi="宋体" w:cs="宋体"/>
          <w:b/>
          <w:bCs/>
          <w:color w:val="auto"/>
          <w:kern w:val="0"/>
          <w:szCs w:val="21"/>
          <w:highlight w:val="none"/>
        </w:rPr>
        <w:t>.2调解</w:t>
      </w:r>
      <w:bookmarkEnd w:id="1229"/>
      <w:bookmarkEnd w:id="1230"/>
    </w:p>
    <w:bookmarkEnd w:id="1231"/>
    <w:bookmarkEnd w:id="1232"/>
    <w:bookmarkEnd w:id="1233"/>
    <w:p w14:paraId="1D8D0F5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14:paraId="66323345">
      <w:pPr>
        <w:widowControl/>
        <w:spacing w:line="360" w:lineRule="auto"/>
        <w:ind w:firstLine="422" w:firstLineChars="200"/>
        <w:jc w:val="left"/>
        <w:outlineLvl w:val="4"/>
        <w:rPr>
          <w:rFonts w:ascii="宋体" w:hAnsi="宋体" w:cs="宋体"/>
          <w:b/>
          <w:bCs/>
          <w:color w:val="auto"/>
          <w:kern w:val="0"/>
          <w:szCs w:val="21"/>
          <w:highlight w:val="none"/>
        </w:rPr>
      </w:pPr>
      <w:bookmarkStart w:id="1234" w:name="_Toc351203629"/>
      <w:bookmarkStart w:id="1235" w:name="_Toc532377317"/>
      <w:bookmarkStart w:id="1236" w:name="_Toc296503149"/>
      <w:bookmarkStart w:id="1237" w:name="_Toc337558843"/>
      <w:bookmarkStart w:id="1238" w:name="_Toc296346650"/>
      <w:r>
        <w:rPr>
          <w:rFonts w:hint="eastAsia" w:ascii="宋体" w:hAnsi="宋体" w:cs="宋体"/>
          <w:b/>
          <w:bCs/>
          <w:color w:val="auto"/>
          <w:kern w:val="0"/>
          <w:szCs w:val="21"/>
          <w:highlight w:val="none"/>
        </w:rPr>
        <w:t>20.3争议评审</w:t>
      </w:r>
      <w:bookmarkEnd w:id="1234"/>
      <w:bookmarkEnd w:id="1235"/>
    </w:p>
    <w:bookmarkEnd w:id="1236"/>
    <w:bookmarkEnd w:id="1237"/>
    <w:bookmarkEnd w:id="1238"/>
    <w:p w14:paraId="44DFE43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合同当事人在专用合同条款中约定采取争议评审方式解决争议以及评审规则，并按下列约定执行： </w:t>
      </w:r>
    </w:p>
    <w:p w14:paraId="0FC683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20.3.1 争议评审小组的确定</w:t>
      </w:r>
    </w:p>
    <w:p w14:paraId="44C176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1B4616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AF21D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除专用合同条款另有约定外，评审员报酬由发包人和承包人各承担一半。</w:t>
      </w:r>
    </w:p>
    <w:p w14:paraId="546CDA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20.3.2 争议评审小组的决定</w:t>
      </w:r>
    </w:p>
    <w:p w14:paraId="538309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34387B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20.3.3 争议评审小组决定的效力</w:t>
      </w:r>
    </w:p>
    <w:p w14:paraId="7AA4A6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争议评审小组作出的书面决定经合同当事人签名确认后，对双方具有约束力，双方应遵照执行。</w:t>
      </w:r>
    </w:p>
    <w:p w14:paraId="688F64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任何一方当事人不接受争议评审小组决定或不履行争议评审小组决定的，双方可选择采用其他争议解决方式。</w:t>
      </w:r>
    </w:p>
    <w:p w14:paraId="719289AA">
      <w:pPr>
        <w:widowControl/>
        <w:spacing w:line="360" w:lineRule="auto"/>
        <w:ind w:firstLine="422" w:firstLineChars="200"/>
        <w:jc w:val="left"/>
        <w:outlineLvl w:val="4"/>
        <w:rPr>
          <w:rFonts w:ascii="宋体" w:hAnsi="宋体" w:cs="宋体"/>
          <w:b/>
          <w:bCs/>
          <w:color w:val="auto"/>
          <w:kern w:val="0"/>
          <w:szCs w:val="21"/>
          <w:highlight w:val="none"/>
        </w:rPr>
      </w:pPr>
      <w:bookmarkStart w:id="1239" w:name="_Toc351203630"/>
      <w:bookmarkStart w:id="1240" w:name="_Toc532377318"/>
      <w:bookmarkStart w:id="1241" w:name="_Toc296503150"/>
      <w:bookmarkStart w:id="1242" w:name="_Toc296346651"/>
      <w:bookmarkStart w:id="1243" w:name="_Toc337558844"/>
      <w:r>
        <w:rPr>
          <w:rFonts w:hint="eastAsia" w:ascii="宋体" w:hAnsi="宋体" w:cs="宋体"/>
          <w:b/>
          <w:bCs/>
          <w:color w:val="auto"/>
          <w:kern w:val="0"/>
          <w:szCs w:val="21"/>
          <w:highlight w:val="none"/>
        </w:rPr>
        <w:t>20.4仲裁或诉讼</w:t>
      </w:r>
      <w:bookmarkEnd w:id="1239"/>
      <w:bookmarkEnd w:id="1240"/>
    </w:p>
    <w:bookmarkEnd w:id="1241"/>
    <w:bookmarkEnd w:id="1242"/>
    <w:bookmarkEnd w:id="1243"/>
    <w:p w14:paraId="213D5D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因合同及合同有关事项产生的争议，合同当事人可以在专用合同条款中约定以下一种方式解决争议：</w:t>
      </w:r>
    </w:p>
    <w:p w14:paraId="36FB59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（1）向约定的仲裁委员会申请仲裁；</w:t>
      </w:r>
    </w:p>
    <w:p w14:paraId="6EC4D4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（2）向有管辖权的人民法院起诉。</w:t>
      </w:r>
    </w:p>
    <w:p w14:paraId="29CF09FA">
      <w:pPr>
        <w:widowControl/>
        <w:spacing w:line="360" w:lineRule="auto"/>
        <w:ind w:firstLine="420" w:firstLineChars="200"/>
        <w:jc w:val="left"/>
        <w:outlineLvl w:val="4"/>
        <w:rPr>
          <w:rFonts w:ascii="宋体" w:hAnsi="宋体" w:cs="宋体"/>
          <w:bCs/>
          <w:color w:val="auto"/>
          <w:kern w:val="0"/>
          <w:szCs w:val="21"/>
          <w:highlight w:val="none"/>
        </w:rPr>
      </w:pPr>
      <w:bookmarkStart w:id="1244" w:name="_Toc351203631"/>
      <w:bookmarkStart w:id="1245" w:name="_Toc532377319"/>
      <w:bookmarkStart w:id="1246" w:name="_Toc296346653"/>
      <w:bookmarkStart w:id="1247" w:name="_Toc296503152"/>
      <w:bookmarkStart w:id="1248" w:name="_Toc337558845"/>
      <w:r>
        <w:rPr>
          <w:rFonts w:hint="eastAsia" w:ascii="宋体" w:hAnsi="宋体" w:cs="宋体"/>
          <w:bCs/>
          <w:color w:val="auto"/>
          <w:kern w:val="0"/>
          <w:szCs w:val="21"/>
          <w:highlight w:val="none"/>
        </w:rPr>
        <w:t>20.5争议解决条款效力</w:t>
      </w:r>
      <w:bookmarkEnd w:id="1244"/>
      <w:bookmarkEnd w:id="1245"/>
    </w:p>
    <w:bookmarkEnd w:id="1246"/>
    <w:bookmarkEnd w:id="1247"/>
    <w:bookmarkEnd w:id="1248"/>
    <w:p w14:paraId="53E2E03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合同有关争议解决的条款独立存在，合同的变更、解除、终止、无效或者被撤销均不影响其效力。</w:t>
      </w:r>
    </w:p>
    <w:p w14:paraId="63A53607">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14:paraId="7A4B6B0B">
      <w:pPr>
        <w:keepNext/>
        <w:keepLines/>
        <w:spacing w:before="260" w:after="260" w:line="416" w:lineRule="auto"/>
        <w:jc w:val="center"/>
        <w:outlineLvl w:val="2"/>
        <w:rPr>
          <w:rFonts w:ascii="宋体" w:hAnsi="宋体"/>
          <w:b/>
          <w:bCs/>
          <w:color w:val="auto"/>
          <w:sz w:val="44"/>
          <w:szCs w:val="44"/>
          <w:highlight w:val="none"/>
        </w:rPr>
      </w:pPr>
      <w:bookmarkStart w:id="1249" w:name="_Toc532375607"/>
      <w:bookmarkStart w:id="1250" w:name="_Toc529388290"/>
      <w:bookmarkStart w:id="1251" w:name="_Toc25311"/>
      <w:bookmarkStart w:id="1252" w:name="_Toc532377320"/>
      <w:r>
        <w:rPr>
          <w:rFonts w:hint="eastAsia" w:ascii="宋体" w:hAnsi="宋体"/>
          <w:b/>
          <w:bCs/>
          <w:color w:val="auto"/>
          <w:sz w:val="44"/>
          <w:szCs w:val="44"/>
          <w:highlight w:val="none"/>
        </w:rPr>
        <w:t>第三部分 专用合同条款</w:t>
      </w:r>
      <w:bookmarkEnd w:id="1249"/>
      <w:bookmarkEnd w:id="1250"/>
      <w:bookmarkEnd w:id="1251"/>
      <w:bookmarkEnd w:id="1252"/>
    </w:p>
    <w:p w14:paraId="01C1FD3F">
      <w:pPr>
        <w:keepNext/>
        <w:keepLines/>
        <w:widowControl/>
        <w:spacing w:before="156" w:beforeLines="50" w:after="156" w:afterLines="50" w:line="360" w:lineRule="auto"/>
        <w:outlineLvl w:val="3"/>
        <w:rPr>
          <w:rFonts w:ascii="宋体" w:hAnsi="宋体" w:cs="宋体"/>
          <w:b/>
          <w:color w:val="auto"/>
          <w:szCs w:val="21"/>
          <w:highlight w:val="none"/>
        </w:rPr>
      </w:pPr>
      <w:bookmarkStart w:id="1253" w:name="_Toc351203633"/>
      <w:bookmarkStart w:id="1254" w:name="_Toc532375608"/>
      <w:bookmarkStart w:id="1255" w:name="_Toc532377321"/>
      <w:bookmarkStart w:id="1256" w:name="_Hlk528927191"/>
      <w:r>
        <w:rPr>
          <w:rFonts w:hint="eastAsia" w:ascii="宋体" w:hAnsi="宋体" w:cs="宋体"/>
          <w:b/>
          <w:bCs/>
          <w:color w:val="auto"/>
          <w:szCs w:val="21"/>
          <w:highlight w:val="none"/>
        </w:rPr>
        <w:t>1</w:t>
      </w:r>
      <w:bookmarkStart w:id="1257" w:name="_Toc297048342"/>
      <w:bookmarkStart w:id="1258" w:name="_Toc296346657"/>
      <w:bookmarkStart w:id="1259" w:name="_Toc296944495"/>
      <w:bookmarkStart w:id="1260" w:name="_Toc296890984"/>
      <w:bookmarkStart w:id="1261" w:name="_Toc292559361"/>
      <w:bookmarkStart w:id="1262" w:name="_Toc296503156"/>
      <w:bookmarkStart w:id="1263" w:name="_Toc296347155"/>
      <w:bookmarkStart w:id="1264" w:name="_Toc297120456"/>
      <w:bookmarkStart w:id="1265" w:name="_Toc292559866"/>
      <w:bookmarkStart w:id="1266" w:name="_Toc296891196"/>
      <w:r>
        <w:rPr>
          <w:rFonts w:hint="eastAsia" w:ascii="宋体" w:hAnsi="宋体" w:cs="宋体"/>
          <w:b/>
          <w:bCs/>
          <w:color w:val="auto"/>
          <w:szCs w:val="21"/>
          <w:highlight w:val="none"/>
        </w:rPr>
        <w:t>. 一般约定</w:t>
      </w:r>
      <w:bookmarkEnd w:id="1253"/>
      <w:bookmarkEnd w:id="1254"/>
      <w:bookmarkEnd w:id="1255"/>
    </w:p>
    <w:bookmarkEnd w:id="1257"/>
    <w:bookmarkEnd w:id="1258"/>
    <w:bookmarkEnd w:id="1259"/>
    <w:bookmarkEnd w:id="1260"/>
    <w:bookmarkEnd w:id="1261"/>
    <w:bookmarkEnd w:id="1262"/>
    <w:bookmarkEnd w:id="1263"/>
    <w:bookmarkEnd w:id="1264"/>
    <w:bookmarkEnd w:id="1265"/>
    <w:bookmarkEnd w:id="1266"/>
    <w:p w14:paraId="39F3E86A">
      <w:pPr>
        <w:widowControl/>
        <w:spacing w:line="360" w:lineRule="auto"/>
        <w:ind w:firstLine="422" w:firstLineChars="200"/>
        <w:jc w:val="left"/>
        <w:outlineLvl w:val="4"/>
        <w:rPr>
          <w:rFonts w:ascii="宋体" w:hAnsi="宋体" w:cs="宋体"/>
          <w:b/>
          <w:bCs/>
          <w:color w:val="auto"/>
          <w:kern w:val="0"/>
          <w:szCs w:val="21"/>
          <w:highlight w:val="none"/>
        </w:rPr>
      </w:pPr>
      <w:bookmarkStart w:id="1267" w:name="_Toc532377322"/>
      <w:r>
        <w:rPr>
          <w:rFonts w:hint="eastAsia" w:ascii="宋体" w:hAnsi="宋体" w:cs="宋体"/>
          <w:b/>
          <w:bCs/>
          <w:color w:val="auto"/>
          <w:kern w:val="0"/>
          <w:szCs w:val="21"/>
          <w:highlight w:val="none"/>
        </w:rPr>
        <w:t>1.1词语定义与解释</w:t>
      </w:r>
      <w:bookmarkEnd w:id="1267"/>
    </w:p>
    <w:p w14:paraId="14C2D89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14:paraId="3AEDFE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14:paraId="716C388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14:paraId="110C2243">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6E0645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14:paraId="40B4CF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14:paraId="746D3CC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14:paraId="746C93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14:paraId="5E7FDC6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1256"/>
    <w:p w14:paraId="2DF210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14:paraId="4D1686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14:paraId="52F266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14:paraId="63BCDB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14:paraId="0B3A884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DED2A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78BEB0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color w:val="auto"/>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29EDB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14:paraId="6E3824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633EEC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7FD448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7177B5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14:paraId="307A2AF4">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14:paraId="27F1149A">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14:paraId="0DAA59B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14:paraId="0AB2D9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4D2915B1">
      <w:pPr>
        <w:spacing w:line="360" w:lineRule="auto"/>
        <w:ind w:firstLine="420" w:firstLineChars="200"/>
        <w:jc w:val="left"/>
        <w:rPr>
          <w:rFonts w:ascii="宋体" w:hAnsi="宋体"/>
          <w:color w:val="auto"/>
          <w:szCs w:val="21"/>
          <w:highlight w:val="none"/>
        </w:rPr>
      </w:pPr>
      <w:bookmarkStart w:id="1268" w:name="_Hlk528927262"/>
      <w:r>
        <w:rPr>
          <w:rFonts w:hint="eastAsia" w:ascii="宋体" w:hAnsi="宋体"/>
          <w:color w:val="auto"/>
          <w:szCs w:val="21"/>
          <w:highlight w:val="none"/>
        </w:rPr>
        <w:t>本项补充1.1.6.2～1.1.6.3目：</w:t>
      </w:r>
    </w:p>
    <w:p w14:paraId="40C882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1268"/>
    <w:p w14:paraId="3B58D3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1FC39D97">
      <w:pPr>
        <w:widowControl/>
        <w:spacing w:line="360" w:lineRule="auto"/>
        <w:ind w:firstLine="422" w:firstLineChars="200"/>
        <w:jc w:val="left"/>
        <w:outlineLvl w:val="4"/>
        <w:rPr>
          <w:rFonts w:ascii="宋体" w:hAnsi="宋体" w:cs="宋体"/>
          <w:b/>
          <w:bCs/>
          <w:color w:val="auto"/>
          <w:kern w:val="0"/>
          <w:szCs w:val="21"/>
          <w:highlight w:val="none"/>
        </w:rPr>
      </w:pPr>
      <w:bookmarkStart w:id="1269" w:name="_Toc532377323"/>
      <w:r>
        <w:rPr>
          <w:rFonts w:hint="eastAsia" w:ascii="宋体" w:hAnsi="宋体" w:cs="宋体"/>
          <w:b/>
          <w:bCs/>
          <w:color w:val="auto"/>
          <w:kern w:val="0"/>
          <w:szCs w:val="21"/>
          <w:highlight w:val="none"/>
        </w:rPr>
        <w:t>1.4 标准和规范</w:t>
      </w:r>
      <w:bookmarkEnd w:id="1269"/>
    </w:p>
    <w:p w14:paraId="3474DE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14:paraId="7BFE3B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14:paraId="38BF179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14:paraId="38DCDC2A">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2DE448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780167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6B5A8D6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7DBCEA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14:paraId="5A6BF54A">
      <w:pPr>
        <w:widowControl/>
        <w:spacing w:line="360" w:lineRule="auto"/>
        <w:ind w:firstLine="422" w:firstLineChars="200"/>
        <w:jc w:val="left"/>
        <w:outlineLvl w:val="4"/>
        <w:rPr>
          <w:rFonts w:ascii="宋体" w:hAnsi="宋体" w:cs="宋体"/>
          <w:b/>
          <w:bCs/>
          <w:color w:val="auto"/>
          <w:kern w:val="0"/>
          <w:szCs w:val="21"/>
          <w:highlight w:val="none"/>
        </w:rPr>
      </w:pPr>
      <w:bookmarkStart w:id="1270" w:name="_Toc532377324"/>
      <w:r>
        <w:rPr>
          <w:rFonts w:hint="eastAsia" w:ascii="宋体" w:hAnsi="宋体" w:cs="宋体"/>
          <w:b/>
          <w:bCs/>
          <w:color w:val="auto"/>
          <w:kern w:val="0"/>
          <w:szCs w:val="21"/>
          <w:highlight w:val="none"/>
        </w:rPr>
        <w:t>1.5 合同文件的优先顺序</w:t>
      </w:r>
      <w:bookmarkEnd w:id="1270"/>
    </w:p>
    <w:p w14:paraId="0C326A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6CFFB0B4">
      <w:pPr>
        <w:widowControl/>
        <w:spacing w:line="360" w:lineRule="auto"/>
        <w:ind w:firstLine="422" w:firstLineChars="200"/>
        <w:jc w:val="left"/>
        <w:outlineLvl w:val="4"/>
        <w:rPr>
          <w:rFonts w:ascii="宋体" w:hAnsi="宋体" w:cs="宋体"/>
          <w:b/>
          <w:bCs/>
          <w:color w:val="auto"/>
          <w:kern w:val="0"/>
          <w:szCs w:val="21"/>
          <w:highlight w:val="none"/>
        </w:rPr>
      </w:pPr>
      <w:bookmarkStart w:id="1271" w:name="_Toc532377325"/>
      <w:r>
        <w:rPr>
          <w:rFonts w:hint="eastAsia" w:ascii="宋体" w:hAnsi="宋体" w:cs="宋体"/>
          <w:b/>
          <w:bCs/>
          <w:color w:val="auto"/>
          <w:kern w:val="0"/>
          <w:szCs w:val="21"/>
          <w:highlight w:val="none"/>
        </w:rPr>
        <w:t>1.6 图纸和承包人文件</w:t>
      </w:r>
      <w:bookmarkEnd w:id="1271"/>
    </w:p>
    <w:p w14:paraId="3AF82D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14:paraId="2BD06D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14:paraId="64E8E6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壹 套</w:t>
      </w:r>
      <w:r>
        <w:rPr>
          <w:rFonts w:hint="eastAsia" w:ascii="宋体" w:hAnsi="宋体"/>
          <w:color w:val="auto"/>
          <w:szCs w:val="21"/>
          <w:highlight w:val="none"/>
        </w:rPr>
        <w:t xml:space="preserve">； </w:t>
      </w:r>
    </w:p>
    <w:p w14:paraId="33EE45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14:paraId="31CCFFD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14:paraId="169A0E9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14:paraId="1F2A99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14:paraId="501EE6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2CF79C9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14:paraId="6CA5F5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14:paraId="53A645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需要由承包人提供的书面文件，包括但不限于：</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工程质量保证体系、安全保证体系、环境保证体系、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14:paraId="6E19C7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14:paraId="2F39FE1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14:paraId="6D2216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每月20日前报送月工程进度完成报表</w:t>
      </w:r>
      <w:r>
        <w:rPr>
          <w:rFonts w:hint="eastAsia" w:ascii="宋体" w:hAnsi="宋体"/>
          <w:color w:val="auto"/>
          <w:szCs w:val="21"/>
          <w:highlight w:val="none"/>
        </w:rPr>
        <w:t>。</w:t>
      </w:r>
    </w:p>
    <w:p w14:paraId="41CADFC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14:paraId="4115A4D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14:paraId="084740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0AE7D81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14:paraId="2B4695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基于发包人、监理人审批承包人文件须要合理的审核、报批或者论证时间。因此，承包人作为有经验的专业承包人应根据工程的情况提前安排相关报批文件，留足发包人、监理人审核的必要时间，避免因审核时间对施工进度的影响。承包人没有进行合理规划文件报批时间而影响工程工期的责任由承包人自行承担。逾期提交文件时，除合同另有约定外，每逾期一天向发包人承担违约金10000元，逾期五天未提交，发包人有权解除本合同。</w:t>
      </w:r>
    </w:p>
    <w:p w14:paraId="06120E0F">
      <w:pPr>
        <w:widowControl/>
        <w:spacing w:line="360" w:lineRule="auto"/>
        <w:ind w:firstLine="422" w:firstLineChars="200"/>
        <w:jc w:val="left"/>
        <w:outlineLvl w:val="4"/>
        <w:rPr>
          <w:rFonts w:ascii="宋体" w:hAnsi="宋体" w:cs="宋体"/>
          <w:b/>
          <w:bCs/>
          <w:color w:val="auto"/>
          <w:kern w:val="0"/>
          <w:szCs w:val="21"/>
          <w:highlight w:val="none"/>
        </w:rPr>
      </w:pPr>
      <w:bookmarkStart w:id="1272" w:name="_Toc532377326"/>
      <w:r>
        <w:rPr>
          <w:rFonts w:hint="eastAsia" w:ascii="宋体" w:hAnsi="宋体" w:cs="宋体"/>
          <w:b/>
          <w:bCs/>
          <w:color w:val="auto"/>
          <w:kern w:val="0"/>
          <w:szCs w:val="21"/>
          <w:highlight w:val="none"/>
        </w:rPr>
        <w:t>1.7 联络</w:t>
      </w:r>
      <w:bookmarkEnd w:id="1272"/>
    </w:p>
    <w:p w14:paraId="35C3A5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14:paraId="32E5ACBB">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A15487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1273" w:name="_Hlk528493983"/>
      <w:bookmarkEnd w:id="1273"/>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53AB920">
      <w:pPr>
        <w:pStyle w:val="18"/>
        <w:ind w:firstLine="420" w:firstLineChars="200"/>
        <w:rPr>
          <w:color w:val="auto"/>
          <w:highlight w:val="none"/>
        </w:rPr>
      </w:pPr>
      <w:r>
        <w:rPr>
          <w:rFonts w:hint="eastAsia"/>
          <w:color w:val="auto"/>
          <w:highlight w:val="none"/>
        </w:rPr>
        <w:t>发包人指定的联系电话：</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B47E8F4">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07C8B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54FFF41">
      <w:pPr>
        <w:spacing w:line="360" w:lineRule="auto"/>
        <w:ind w:firstLine="420" w:firstLineChars="200"/>
        <w:jc w:val="left"/>
        <w:rPr>
          <w:color w:val="auto"/>
          <w:highlight w:val="none"/>
        </w:rPr>
      </w:pPr>
      <w:r>
        <w:rPr>
          <w:rFonts w:hint="eastAsia" w:ascii="宋体" w:hAnsi="宋体"/>
          <w:color w:val="auto"/>
          <w:kern w:val="0"/>
          <w:szCs w:val="21"/>
          <w:highlight w:val="none"/>
        </w:rPr>
        <w:t>承包人指定的联系电话：</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9B8A6B8">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2DFC145">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p>
    <w:p w14:paraId="587FE8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监理人人指定的联系电话：</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F41639B">
      <w:pPr>
        <w:widowControl/>
        <w:spacing w:line="360" w:lineRule="auto"/>
        <w:ind w:firstLine="422" w:firstLineChars="200"/>
        <w:jc w:val="left"/>
        <w:outlineLvl w:val="4"/>
        <w:rPr>
          <w:rFonts w:ascii="宋体" w:hAnsi="宋体" w:cs="宋体"/>
          <w:b/>
          <w:bCs/>
          <w:color w:val="auto"/>
          <w:kern w:val="0"/>
          <w:szCs w:val="21"/>
          <w:highlight w:val="none"/>
        </w:rPr>
      </w:pPr>
      <w:bookmarkStart w:id="1274" w:name="_Toc532377327"/>
      <w:r>
        <w:rPr>
          <w:rFonts w:hint="eastAsia" w:ascii="宋体" w:hAnsi="宋体" w:cs="宋体"/>
          <w:b/>
          <w:bCs/>
          <w:color w:val="auto"/>
          <w:kern w:val="0"/>
          <w:szCs w:val="21"/>
          <w:highlight w:val="none"/>
        </w:rPr>
        <w:t>1.8 严禁贿赂</w:t>
      </w:r>
      <w:bookmarkEnd w:id="1274"/>
    </w:p>
    <w:p w14:paraId="6A6BC4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14:paraId="2DA11A86">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14:paraId="64FCC40E">
      <w:pPr>
        <w:widowControl/>
        <w:spacing w:line="360" w:lineRule="auto"/>
        <w:ind w:firstLine="422" w:firstLineChars="200"/>
        <w:jc w:val="left"/>
        <w:outlineLvl w:val="4"/>
        <w:rPr>
          <w:rFonts w:ascii="宋体" w:hAnsi="宋体" w:cs="宋体"/>
          <w:b/>
          <w:bCs/>
          <w:color w:val="auto"/>
          <w:kern w:val="0"/>
          <w:szCs w:val="21"/>
          <w:highlight w:val="none"/>
        </w:rPr>
      </w:pPr>
      <w:bookmarkStart w:id="1275" w:name="_Toc532377328"/>
      <w:r>
        <w:rPr>
          <w:rFonts w:hint="eastAsia" w:ascii="宋体" w:hAnsi="宋体" w:cs="宋体"/>
          <w:b/>
          <w:bCs/>
          <w:color w:val="auto"/>
          <w:kern w:val="0"/>
          <w:szCs w:val="21"/>
          <w:highlight w:val="none"/>
        </w:rPr>
        <w:t>1.10 交通运输</w:t>
      </w:r>
      <w:bookmarkEnd w:id="1275"/>
    </w:p>
    <w:p w14:paraId="05D49E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76" w:name="_Toc303539100"/>
      <w:bookmarkStart w:id="1277" w:name="_Toc318581155"/>
      <w:bookmarkStart w:id="1278" w:name="_Toc312677986"/>
      <w:bookmarkStart w:id="1279" w:name="_Toc304295521"/>
      <w:bookmarkStart w:id="1280" w:name="_Toc300934943"/>
      <w:r>
        <w:rPr>
          <w:rFonts w:hint="eastAsia" w:ascii="宋体" w:hAnsi="宋体"/>
          <w:color w:val="auto"/>
          <w:szCs w:val="21"/>
          <w:highlight w:val="none"/>
        </w:rPr>
        <w:t>.10.1 出入现场的权利</w:t>
      </w:r>
    </w:p>
    <w:p w14:paraId="4080135F">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承包人负责办理，</w:t>
      </w:r>
      <w:bookmarkStart w:id="1281" w:name="_Hlk77189214"/>
      <w:r>
        <w:rPr>
          <w:rFonts w:hint="eastAsia" w:ascii="宋体" w:hAnsi="宋体"/>
          <w:color w:val="auto"/>
          <w:szCs w:val="21"/>
          <w:highlight w:val="none"/>
          <w:u w:val="single"/>
        </w:rPr>
        <w:t>费用已包含在投标报价中</w:t>
      </w:r>
      <w:bookmarkEnd w:id="1281"/>
      <w:r>
        <w:rPr>
          <w:rFonts w:hint="eastAsia" w:ascii="宋体" w:hAnsi="宋体"/>
          <w:color w:val="auto"/>
          <w:szCs w:val="21"/>
          <w:highlight w:val="none"/>
        </w:rPr>
        <w:t>。</w:t>
      </w:r>
    </w:p>
    <w:bookmarkEnd w:id="1276"/>
    <w:bookmarkEnd w:id="1277"/>
    <w:bookmarkEnd w:id="1278"/>
    <w:bookmarkEnd w:id="1279"/>
    <w:bookmarkEnd w:id="1280"/>
    <w:p w14:paraId="0951C5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14:paraId="5E7AAB7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承包人应遵守有关交通法规，执行有关道路限速、限行、禁止超载的规定，并配合交通管理部门的监督和检查。相关费用已包括在合同价款中，不另行计取。场外交通以施工场地移交时的现状为准。</w:t>
      </w:r>
    </w:p>
    <w:p w14:paraId="77A45D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82" w:name="_Toc312677987"/>
      <w:bookmarkStart w:id="1283" w:name="_Toc304295522"/>
      <w:bookmarkStart w:id="1284" w:name="_Toc318581156"/>
      <w:bookmarkStart w:id="1285" w:name="_Toc303539101"/>
      <w:bookmarkStart w:id="1286" w:name="_Toc300934944"/>
      <w:r>
        <w:rPr>
          <w:rFonts w:hint="eastAsia" w:ascii="宋体" w:hAnsi="宋体"/>
          <w:color w:val="auto"/>
          <w:szCs w:val="21"/>
          <w:highlight w:val="none"/>
        </w:rPr>
        <w:t>.10.3 场内交通</w:t>
      </w:r>
    </w:p>
    <w:p w14:paraId="2D76A552">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14:paraId="5406D0E2">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1282"/>
    <w:bookmarkEnd w:id="1283"/>
    <w:bookmarkEnd w:id="1284"/>
    <w:bookmarkEnd w:id="1285"/>
    <w:bookmarkEnd w:id="1286"/>
    <w:p w14:paraId="02E37210">
      <w:pPr>
        <w:spacing w:line="360" w:lineRule="auto"/>
        <w:ind w:firstLine="420" w:firstLineChars="200"/>
        <w:jc w:val="left"/>
        <w:rPr>
          <w:rFonts w:ascii="宋体" w:hAnsi="宋体"/>
          <w:color w:val="auto"/>
          <w:szCs w:val="21"/>
          <w:highlight w:val="none"/>
        </w:rPr>
      </w:pPr>
      <w:bookmarkStart w:id="1287" w:name="_Toc318581157"/>
      <w:r>
        <w:rPr>
          <w:rFonts w:hint="eastAsia" w:ascii="宋体" w:hAnsi="宋体"/>
          <w:color w:val="auto"/>
          <w:szCs w:val="21"/>
          <w:highlight w:val="none"/>
        </w:rPr>
        <w:t>1.10.4 超大件和超重件的运输</w:t>
      </w:r>
    </w:p>
    <w:p w14:paraId="4112EC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运输超大件或超重件运输许可证办理及运至现场所需的道路和桥梁临时加固改造费用和其他有关费用由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bookmarkEnd w:id="1287"/>
    <w:p w14:paraId="647085AB">
      <w:pPr>
        <w:widowControl/>
        <w:spacing w:line="360" w:lineRule="auto"/>
        <w:ind w:firstLine="422" w:firstLineChars="200"/>
        <w:jc w:val="left"/>
        <w:outlineLvl w:val="4"/>
        <w:rPr>
          <w:rFonts w:ascii="宋体" w:hAnsi="宋体" w:cs="宋体"/>
          <w:b/>
          <w:bCs/>
          <w:color w:val="auto"/>
          <w:kern w:val="0"/>
          <w:szCs w:val="21"/>
          <w:highlight w:val="none"/>
        </w:rPr>
      </w:pPr>
      <w:bookmarkStart w:id="1288" w:name="_Toc532377329"/>
      <w:r>
        <w:rPr>
          <w:rFonts w:hint="eastAsia" w:ascii="宋体" w:hAnsi="宋体" w:cs="宋体"/>
          <w:b/>
          <w:bCs/>
          <w:color w:val="auto"/>
          <w:kern w:val="0"/>
          <w:szCs w:val="21"/>
          <w:highlight w:val="none"/>
        </w:rPr>
        <w:t>1.11 知识产权</w:t>
      </w:r>
      <w:bookmarkEnd w:id="1288"/>
    </w:p>
    <w:p w14:paraId="32DFC5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14:paraId="26B3CF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367F32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由承包人承担，已包含在签约合同价中 </w:t>
      </w:r>
      <w:r>
        <w:rPr>
          <w:rFonts w:hint="eastAsia" w:ascii="宋体" w:hAnsi="宋体"/>
          <w:color w:val="auto"/>
          <w:szCs w:val="21"/>
          <w:highlight w:val="none"/>
        </w:rPr>
        <w:t>。</w:t>
      </w:r>
    </w:p>
    <w:p w14:paraId="415FFE37">
      <w:pPr>
        <w:widowControl/>
        <w:spacing w:line="360" w:lineRule="auto"/>
        <w:ind w:firstLine="422" w:firstLineChars="200"/>
        <w:jc w:val="left"/>
        <w:outlineLvl w:val="4"/>
        <w:rPr>
          <w:rFonts w:ascii="宋体" w:hAnsi="宋体" w:cs="宋体"/>
          <w:b/>
          <w:bCs/>
          <w:color w:val="auto"/>
          <w:kern w:val="0"/>
          <w:szCs w:val="21"/>
          <w:highlight w:val="none"/>
        </w:rPr>
      </w:pPr>
      <w:bookmarkStart w:id="1289" w:name="_Toc532377330"/>
      <w:r>
        <w:rPr>
          <w:rFonts w:hint="eastAsia" w:ascii="宋体" w:hAnsi="宋体" w:cs="宋体"/>
          <w:b/>
          <w:bCs/>
          <w:color w:val="auto"/>
          <w:kern w:val="0"/>
          <w:szCs w:val="21"/>
          <w:highlight w:val="none"/>
        </w:rPr>
        <w:t>1.13工程量清单错误的修正</w:t>
      </w:r>
      <w:bookmarkEnd w:id="1289"/>
    </w:p>
    <w:p w14:paraId="4E9984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承包人承担本工程各分部分项工程量清单子项不论其对应的项目特征和工作内容是否描述完整的风险；发包人承担漏项的风险</w:t>
      </w:r>
      <w:r>
        <w:rPr>
          <w:rFonts w:hint="eastAsia" w:ascii="宋体" w:hAnsi="宋体"/>
          <w:color w:val="auto"/>
          <w:szCs w:val="21"/>
          <w:highlight w:val="none"/>
        </w:rPr>
        <w:t>。</w:t>
      </w:r>
    </w:p>
    <w:p w14:paraId="66481D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不调整合同单价</w:t>
      </w:r>
      <w:r>
        <w:rPr>
          <w:rFonts w:hint="eastAsia" w:ascii="宋体" w:hAnsi="宋体"/>
          <w:color w:val="auto"/>
          <w:kern w:val="0"/>
          <w:szCs w:val="21"/>
          <w:highlight w:val="none"/>
        </w:rPr>
        <w:t>。</w:t>
      </w:r>
    </w:p>
    <w:p w14:paraId="108A52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不调整合同单价</w:t>
      </w:r>
      <w:r>
        <w:rPr>
          <w:rFonts w:hint="eastAsia" w:ascii="宋体" w:hAnsi="宋体"/>
          <w:color w:val="auto"/>
          <w:szCs w:val="21"/>
          <w:highlight w:val="none"/>
        </w:rPr>
        <w:t>。</w:t>
      </w:r>
    </w:p>
    <w:p w14:paraId="1E0FDB64">
      <w:pPr>
        <w:keepNext/>
        <w:keepLines/>
        <w:widowControl/>
        <w:spacing w:before="156" w:beforeLines="50" w:after="156" w:afterLines="50" w:line="360" w:lineRule="auto"/>
        <w:outlineLvl w:val="3"/>
        <w:rPr>
          <w:rFonts w:ascii="宋体" w:hAnsi="宋体" w:cs="宋体"/>
          <w:b/>
          <w:color w:val="auto"/>
          <w:szCs w:val="21"/>
          <w:highlight w:val="none"/>
        </w:rPr>
      </w:pPr>
      <w:bookmarkStart w:id="1290" w:name="_Toc532375609"/>
      <w:bookmarkStart w:id="1291" w:name="_Toc351203634"/>
      <w:bookmarkStart w:id="1292" w:name="_Toc532377331"/>
      <w:r>
        <w:rPr>
          <w:rFonts w:hint="eastAsia" w:ascii="宋体" w:hAnsi="宋体" w:cs="宋体"/>
          <w:b/>
          <w:bCs/>
          <w:color w:val="auto"/>
          <w:szCs w:val="21"/>
          <w:highlight w:val="none"/>
        </w:rPr>
        <w:t>2</w:t>
      </w:r>
      <w:bookmarkStart w:id="1293" w:name="_Toc296890985"/>
      <w:bookmarkStart w:id="1294" w:name="_Toc292559867"/>
      <w:bookmarkStart w:id="1295" w:name="_Toc296891197"/>
      <w:bookmarkStart w:id="1296" w:name="_Toc296944496"/>
      <w:bookmarkStart w:id="1297" w:name="_Toc297120457"/>
      <w:bookmarkStart w:id="1298" w:name="_Toc296503157"/>
      <w:bookmarkStart w:id="1299" w:name="_Toc297048343"/>
      <w:bookmarkStart w:id="1300" w:name="_Toc296346658"/>
      <w:bookmarkStart w:id="1301" w:name="_Toc296347156"/>
      <w:bookmarkStart w:id="1302" w:name="_Toc292559362"/>
      <w:r>
        <w:rPr>
          <w:rFonts w:hint="eastAsia" w:ascii="宋体" w:hAnsi="宋体" w:cs="宋体"/>
          <w:b/>
          <w:bCs/>
          <w:color w:val="auto"/>
          <w:szCs w:val="21"/>
          <w:highlight w:val="none"/>
        </w:rPr>
        <w:t>. 发包人</w:t>
      </w:r>
      <w:bookmarkEnd w:id="1290"/>
      <w:bookmarkEnd w:id="1291"/>
      <w:bookmarkEnd w:id="1292"/>
    </w:p>
    <w:bookmarkEnd w:id="1293"/>
    <w:bookmarkEnd w:id="1294"/>
    <w:bookmarkEnd w:id="1295"/>
    <w:bookmarkEnd w:id="1296"/>
    <w:bookmarkEnd w:id="1297"/>
    <w:bookmarkEnd w:id="1298"/>
    <w:bookmarkEnd w:id="1299"/>
    <w:bookmarkEnd w:id="1300"/>
    <w:bookmarkEnd w:id="1301"/>
    <w:bookmarkEnd w:id="1302"/>
    <w:p w14:paraId="27AFCB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14:paraId="058187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14:paraId="1074EF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14:paraId="611F7D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14:paraId="66DF31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14:paraId="57C35CF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14:paraId="0DED39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14:paraId="0803AA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。凡涉及工期、工程量、价款等合同实质性内容变更的，应以发包人盖章确认为准。</w:t>
      </w:r>
    </w:p>
    <w:p w14:paraId="47ED402C">
      <w:pPr>
        <w:widowControl/>
        <w:spacing w:line="360" w:lineRule="auto"/>
        <w:ind w:firstLine="422" w:firstLineChars="200"/>
        <w:jc w:val="left"/>
        <w:outlineLvl w:val="4"/>
        <w:rPr>
          <w:rFonts w:ascii="宋体" w:hAnsi="宋体" w:cs="宋体"/>
          <w:b/>
          <w:bCs/>
          <w:color w:val="auto"/>
          <w:kern w:val="0"/>
          <w:szCs w:val="21"/>
          <w:highlight w:val="none"/>
        </w:rPr>
      </w:pPr>
      <w:bookmarkStart w:id="1303" w:name="_Toc532377332"/>
      <w:r>
        <w:rPr>
          <w:rFonts w:hint="eastAsia" w:ascii="宋体" w:hAnsi="宋体" w:cs="宋体"/>
          <w:b/>
          <w:bCs/>
          <w:color w:val="auto"/>
          <w:kern w:val="0"/>
          <w:szCs w:val="21"/>
          <w:highlight w:val="none"/>
        </w:rPr>
        <w:t>2.4 施工现场、施工条件和基础资料的提供</w:t>
      </w:r>
      <w:bookmarkEnd w:id="1303"/>
    </w:p>
    <w:p w14:paraId="323837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14:paraId="79A5E7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14:paraId="4FAEE1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379AA6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14:paraId="301CE3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14:paraId="15C609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14:paraId="1EA6237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14:paraId="123957B9">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如施工过程中遇阻工等原因导致施工场地不具备实施条件，承包人应结合实际情况组织相关协调工作。因以上原因导致工期延长或赶工的，相关费用由承包人自行考虑，发包人不再支付任何费用。</w:t>
      </w:r>
    </w:p>
    <w:p w14:paraId="58EE06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14:paraId="38CC40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2.4.2.1关于发包人应负责提供施工所需要的条件：</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57F8C5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2.4.2.</w:t>
      </w:r>
      <w:r>
        <w:rPr>
          <w:rFonts w:hint="eastAsia" w:ascii="宋体" w:hAnsi="宋体"/>
          <w:color w:val="auto"/>
          <w:szCs w:val="21"/>
          <w:highlight w:val="none"/>
        </w:rPr>
        <w:t>2施工场地与公共道路的通道开通时间和要求：由承包人自行负责协调进场和维护，如果承包人需要另外开辟道路，须报经发包人批准后，由承包人自行负责全部工作，费用综合考虑在投标报价中。</w:t>
      </w:r>
    </w:p>
    <w:p w14:paraId="5CA1B49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2.4.2.</w:t>
      </w:r>
      <w:r>
        <w:rPr>
          <w:rFonts w:hint="eastAsia" w:ascii="宋体" w:hAnsi="宋体"/>
          <w:color w:val="auto"/>
          <w:szCs w:val="21"/>
          <w:highlight w:val="none"/>
        </w:rPr>
        <w:t>3工程地质资料和地下管线资料的提供时间；承包方进场后应结合现场情况对其准确性进行复核，并对复核结果负责。</w:t>
      </w:r>
    </w:p>
    <w:p w14:paraId="07B6100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2.4.2.</w:t>
      </w:r>
      <w:r>
        <w:rPr>
          <w:rFonts w:hint="eastAsia" w:ascii="宋体" w:hAnsi="宋体"/>
          <w:color w:val="auto"/>
          <w:szCs w:val="21"/>
          <w:highlight w:val="none"/>
        </w:rPr>
        <w:t>4协调处理施工场地周围地下管线和邻近建筑物、构筑物(含文物保护建筑)、古树名木的保护工作：在发包人所提供的资料（若有）外，施工区域内仍有可能存在管线和邻近建筑物、构筑物(含文物保护建筑)、古树名木，承包人应在调查、探明并编制安全施工方案经监理批准后方可实施，费用由</w:t>
      </w:r>
      <w:r>
        <w:rPr>
          <w:rFonts w:hint="eastAsia" w:ascii="宋体" w:hAnsi="宋体"/>
          <w:color w:val="auto"/>
          <w:szCs w:val="21"/>
          <w:highlight w:val="none"/>
          <w:lang w:val="en-US" w:eastAsia="zh-CN"/>
        </w:rPr>
        <w:t>承包人</w:t>
      </w:r>
      <w:r>
        <w:rPr>
          <w:rFonts w:hint="eastAsia" w:ascii="宋体" w:hAnsi="宋体"/>
          <w:color w:val="auto"/>
          <w:szCs w:val="21"/>
          <w:highlight w:val="none"/>
        </w:rPr>
        <w:t>根据实际情况承担。承包人对施工中的地上地下建筑物（构筑物）管线、电力设施等应按有关规定加强监控测量和保护，保证周围建(构)筑物、地下及地上管线、地下人防等设施安全，相应的费用或因保护不当造成的损失及法律责任由承包人承担</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若发包人承担责任，视为承包人违约，有权向承包人追偿</w:t>
      </w:r>
      <w:r>
        <w:rPr>
          <w:rFonts w:hint="eastAsia" w:ascii="宋体" w:hAnsi="宋体"/>
          <w:color w:val="auto"/>
          <w:szCs w:val="21"/>
          <w:highlight w:val="none"/>
        </w:rPr>
        <w:t>。</w:t>
      </w:r>
    </w:p>
    <w:p w14:paraId="7C2502E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2.4.2.</w:t>
      </w:r>
      <w:r>
        <w:rPr>
          <w:rFonts w:hint="eastAsia" w:ascii="宋体" w:hAnsi="宋体"/>
          <w:color w:val="auto"/>
          <w:szCs w:val="21"/>
          <w:highlight w:val="none"/>
        </w:rPr>
        <w:t>5将施工所需的水、电接至施工场地的时间、地点：由承包人自行接至施工现场，施工用电的低压端部分、水的安拆费用综合考虑在投标报价中。承包人应充分考虑停水、停电因素，因停水、停电而造成自发电、储水措施费用已包含在合同总价中，同时工期不得顺延。承包人应充分考虑发包人后续招标（如有）进场施工单位的用水用电需求，无条件配合发包人的管理安排，自备发电措施及其他储水措施以保证工程顺利进行，相关费用由承包人自理已包含在合同总价中，同时工期不得顺延。</w:t>
      </w:r>
    </w:p>
    <w:p w14:paraId="699734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2.4.3逾期提供的责任</w:t>
      </w:r>
    </w:p>
    <w:p w14:paraId="0D69D62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本款所涉及的发包人提供的施工现场、施工条件和基础资料，承包人在进场之后应在三天内核实发包人是否提供及是否符合条件，并提出书面异议和催告，否则均将视为发包人提供的施工现场、施工条件和基础资料符合要求或不影响承包人施工和增加其费用。</w:t>
      </w:r>
    </w:p>
    <w:p w14:paraId="138E2A6B">
      <w:pPr>
        <w:widowControl/>
        <w:spacing w:line="360" w:lineRule="auto"/>
        <w:ind w:firstLine="422" w:firstLineChars="200"/>
        <w:jc w:val="left"/>
        <w:outlineLvl w:val="4"/>
        <w:rPr>
          <w:rFonts w:ascii="宋体" w:hAnsi="宋体" w:cs="宋体"/>
          <w:b/>
          <w:bCs/>
          <w:color w:val="auto"/>
          <w:kern w:val="0"/>
          <w:szCs w:val="21"/>
          <w:highlight w:val="none"/>
        </w:rPr>
      </w:pPr>
      <w:bookmarkStart w:id="1304" w:name="_Toc532377333"/>
      <w:r>
        <w:rPr>
          <w:rFonts w:hint="eastAsia" w:ascii="宋体" w:hAnsi="宋体" w:cs="宋体"/>
          <w:b/>
          <w:bCs/>
          <w:color w:val="auto"/>
          <w:kern w:val="0"/>
          <w:szCs w:val="21"/>
          <w:highlight w:val="none"/>
        </w:rPr>
        <w:t>2.5 资金来源证明及支付担保</w:t>
      </w:r>
      <w:bookmarkEnd w:id="1304"/>
    </w:p>
    <w:p w14:paraId="518554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4BCDF8F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rPr>
        <w:t>不提供</w:t>
      </w:r>
      <w:r>
        <w:rPr>
          <w:rFonts w:hint="eastAsia" w:ascii="宋体" w:hAnsi="宋体"/>
          <w:color w:val="auto"/>
          <w:szCs w:val="21"/>
          <w:highlight w:val="none"/>
        </w:rPr>
        <w:t>。</w:t>
      </w:r>
    </w:p>
    <w:p w14:paraId="6304A4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B6150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2F1D8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E1183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44087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8F2E637">
      <w:pPr>
        <w:keepNext/>
        <w:keepLines/>
        <w:widowControl/>
        <w:spacing w:before="156" w:beforeLines="50" w:after="156" w:afterLines="50" w:line="360" w:lineRule="auto"/>
        <w:outlineLvl w:val="3"/>
        <w:rPr>
          <w:rFonts w:ascii="宋体" w:hAnsi="宋体" w:cs="宋体"/>
          <w:b/>
          <w:color w:val="auto"/>
          <w:szCs w:val="21"/>
          <w:highlight w:val="none"/>
        </w:rPr>
      </w:pPr>
      <w:bookmarkStart w:id="1305" w:name="_Toc532375610"/>
      <w:bookmarkStart w:id="1306" w:name="_Toc532377334"/>
      <w:bookmarkStart w:id="1307" w:name="_Toc351203635"/>
      <w:r>
        <w:rPr>
          <w:rFonts w:hint="eastAsia" w:ascii="宋体" w:hAnsi="宋体" w:cs="宋体"/>
          <w:b/>
          <w:bCs/>
          <w:color w:val="auto"/>
          <w:szCs w:val="21"/>
          <w:highlight w:val="none"/>
        </w:rPr>
        <w:t>3</w:t>
      </w:r>
      <w:bookmarkStart w:id="1308" w:name="_Toc296503158"/>
      <w:bookmarkStart w:id="1309" w:name="_Toc297048344"/>
      <w:bookmarkStart w:id="1310" w:name="_Toc292559363"/>
      <w:bookmarkStart w:id="1311" w:name="_Toc296347157"/>
      <w:bookmarkStart w:id="1312" w:name="_Toc296944497"/>
      <w:bookmarkStart w:id="1313" w:name="_Toc297120458"/>
      <w:bookmarkStart w:id="1314" w:name="_Toc296346659"/>
      <w:bookmarkStart w:id="1315" w:name="_Toc296890986"/>
      <w:bookmarkStart w:id="1316" w:name="_Toc292559868"/>
      <w:bookmarkStart w:id="1317" w:name="_Toc296891198"/>
      <w:r>
        <w:rPr>
          <w:rFonts w:hint="eastAsia" w:ascii="宋体" w:hAnsi="宋体" w:cs="宋体"/>
          <w:b/>
          <w:bCs/>
          <w:color w:val="auto"/>
          <w:szCs w:val="21"/>
          <w:highlight w:val="none"/>
        </w:rPr>
        <w:t>. 承包人</w:t>
      </w:r>
      <w:bookmarkEnd w:id="1305"/>
      <w:bookmarkEnd w:id="1306"/>
      <w:bookmarkEnd w:id="1307"/>
    </w:p>
    <w:bookmarkEnd w:id="1308"/>
    <w:bookmarkEnd w:id="1309"/>
    <w:bookmarkEnd w:id="1310"/>
    <w:bookmarkEnd w:id="1311"/>
    <w:bookmarkEnd w:id="1312"/>
    <w:bookmarkEnd w:id="1313"/>
    <w:bookmarkEnd w:id="1314"/>
    <w:bookmarkEnd w:id="1315"/>
    <w:bookmarkEnd w:id="1316"/>
    <w:bookmarkEnd w:id="1317"/>
    <w:p w14:paraId="289083A5">
      <w:pPr>
        <w:widowControl/>
        <w:spacing w:line="360" w:lineRule="auto"/>
        <w:ind w:firstLine="422" w:firstLineChars="200"/>
        <w:jc w:val="left"/>
        <w:outlineLvl w:val="4"/>
        <w:rPr>
          <w:rFonts w:ascii="宋体" w:hAnsi="宋体" w:cs="宋体"/>
          <w:b/>
          <w:bCs/>
          <w:color w:val="auto"/>
          <w:kern w:val="0"/>
          <w:szCs w:val="21"/>
          <w:highlight w:val="none"/>
        </w:rPr>
      </w:pPr>
      <w:bookmarkStart w:id="1318" w:name="_Toc532377335"/>
      <w:r>
        <w:rPr>
          <w:rFonts w:hint="eastAsia" w:ascii="宋体" w:hAnsi="宋体" w:cs="宋体"/>
          <w:b/>
          <w:bCs/>
          <w:color w:val="auto"/>
          <w:kern w:val="0"/>
          <w:szCs w:val="21"/>
          <w:highlight w:val="none"/>
        </w:rPr>
        <w:t>3.1 承包人的一般义务</w:t>
      </w:r>
      <w:bookmarkEnd w:id="1318"/>
    </w:p>
    <w:p w14:paraId="41763A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14:paraId="4C569B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1E50DE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250178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2EBC01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1D2B4BF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C438AF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14:paraId="316D3B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14:paraId="7E0F67F5">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14:paraId="287A347E">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14:paraId="50E7C5EE">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六  </w:t>
      </w:r>
      <w:r>
        <w:rPr>
          <w:rFonts w:hint="eastAsia" w:ascii="宋体" w:hAnsi="宋体"/>
          <w:color w:val="auto"/>
          <w:szCs w:val="21"/>
          <w:highlight w:val="none"/>
        </w:rPr>
        <w:t>套</w:t>
      </w:r>
      <w:r>
        <w:rPr>
          <w:rFonts w:hint="eastAsia" w:ascii="宋体" w:hAnsi="宋体"/>
          <w:color w:val="auto"/>
          <w:szCs w:val="21"/>
          <w:highlight w:val="none"/>
        </w:rPr>
        <w:t>（含电子文档）。</w:t>
      </w:r>
    </w:p>
    <w:p w14:paraId="41EB6D3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由承包人承担，如需要额外增加资料套数时，承包人无偿提供</w:t>
      </w:r>
      <w:r>
        <w:rPr>
          <w:rFonts w:hint="eastAsia" w:ascii="宋体" w:hAnsi="宋体"/>
          <w:color w:val="auto"/>
          <w:szCs w:val="21"/>
          <w:highlight w:val="none"/>
        </w:rPr>
        <w:t>。</w:t>
      </w:r>
    </w:p>
    <w:p w14:paraId="0C298D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工程竣工验收合格后</w:t>
      </w:r>
      <w:r>
        <w:rPr>
          <w:rFonts w:hint="eastAsia" w:ascii="宋体" w:hAnsi="宋体"/>
          <w:color w:val="auto"/>
          <w:szCs w:val="21"/>
          <w:highlight w:val="none"/>
          <w:u w:val="single"/>
        </w:rPr>
        <w:t xml:space="preserve"> 1 个月</w:t>
      </w:r>
      <w:r>
        <w:rPr>
          <w:rFonts w:hint="eastAsia" w:ascii="宋体" w:hAnsi="宋体"/>
          <w:color w:val="auto"/>
          <w:szCs w:val="21"/>
          <w:highlight w:val="none"/>
          <w:u w:val="single"/>
        </w:rPr>
        <w:t>内移交给发包人</w:t>
      </w:r>
      <w:r>
        <w:rPr>
          <w:rFonts w:hint="eastAsia" w:ascii="宋体" w:hAnsi="宋体"/>
          <w:color w:val="auto"/>
          <w:szCs w:val="21"/>
          <w:highlight w:val="none"/>
        </w:rPr>
        <w:t>。</w:t>
      </w:r>
    </w:p>
    <w:p w14:paraId="177397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14:paraId="292E9F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14:paraId="53F368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14:paraId="1DEE687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20C0B2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3F032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14:paraId="507A1F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14:paraId="3E929C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3.1.10.6</w:t>
      </w:r>
      <w:r>
        <w:rPr>
          <w:rFonts w:hint="eastAsia" w:ascii="宋体" w:hAnsi="宋体"/>
          <w:color w:val="auto"/>
          <w:szCs w:val="21"/>
          <w:highlight w:val="none"/>
        </w:rPr>
        <w:t>为他人提供方便</w:t>
      </w:r>
    </w:p>
    <w:p w14:paraId="5C1F10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(1)承包人应当对在施工场地或者附近实施与合同工程有关的其他工作的独立承包人履行管理、协调、配合、照管和服务义务，由此发生的费用被认为己经包括在承包人的签约合同价(投标总报价)中。</w:t>
      </w:r>
    </w:p>
    <w:p w14:paraId="3F6CDE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(2)承包人还应按监理人指示为独立承包人以外的他人在施工场地或者附近实施与合同工程有关的其他工作提供可能的条件，可能发生费用由承包人承担。</w:t>
      </w:r>
    </w:p>
    <w:p w14:paraId="2D3390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(3)承包人有义务积极配合协调其他施工单位的工作。承包人不得向其他承包人收取配合费、管理费和其他任何手续费。</w:t>
      </w:r>
    </w:p>
    <w:p w14:paraId="0D53B6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(4)承包人应负责向发包人发包的其它承包人提供他们施工所需的合理设施，由此产生的配合费、降效费等所有相应费用综合考虑在投标报价中。水电按表计量，并收取水电费：</w:t>
      </w:r>
    </w:p>
    <w:p w14:paraId="140899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(5)承包人应负责向发包人发包的其它承包人提供工地上道路，并提供施工场地，发生的相关费用综合考虑在投标报价中。</w:t>
      </w:r>
    </w:p>
    <w:p w14:paraId="0B7CB5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(6)承包人应负责向发包人发包的其它承包人提供在现场搭设办公室、材料设备的堆场等场地，发生的相关费用综合考虑在投标报价中(如果有).</w:t>
      </w:r>
    </w:p>
    <w:p w14:paraId="28358F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10.7施工所需的水、电、电讯线路供应要求：承包人自行解决生活、办公及生产用水，发包人指定水电接口(红线100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驻现场咨询人所需的生活用水用电，工程的施工、试验和维修用水、电等，相关费用综合考虑在投标报价中。</w:t>
      </w:r>
    </w:p>
    <w:p w14:paraId="308653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10.8承担施工安全保卫工作及施工照明的责任和要求：由承包人自行解决，并按有关规定办理建设工程报监手续，费用综合考虑在投标报价中。施工过程中按照法律规定施工并制定相应制度，若因承包人未履行义务，致使发包人承担赔偿责任或被相关行政机关处罚，承包人承担给发包人造成一切损失，且发包人有权解除本合同。</w:t>
      </w:r>
    </w:p>
    <w:p w14:paraId="649A6DF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10.9向发包人提供的办公、生活房屋、交通工具及设施的要求：承包人向发包人派驻的工程师提供必要的办公房屋，费用综合考虑在投标报价中。</w:t>
      </w:r>
    </w:p>
    <w:p w14:paraId="7E49F6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10.10需承包人办理的有关施工场地交通、环卫、排污和施工噪音管理等手续：均由承包人自行负责，按相关部门规定办理有关手续，相关费用均综合考虑在投标报价中。注：工程排污费由承包人缴纳,发包人根据缴纳凭证据实支付。</w:t>
      </w:r>
    </w:p>
    <w:p w14:paraId="34BCB2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10.11己完工程成品保护的特殊要求及费用承担；由承包人负责，费用综合考虑在投标报价中。</w:t>
      </w:r>
    </w:p>
    <w:p w14:paraId="23B138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10.12施工场地周围地下管线和邻近建筑物、构筑物（含文物保护建筑）、古树名木的保护要求及费用承担：保护义务由承包人负责，相关费用由发包人根据实际情况承担。</w:t>
      </w:r>
    </w:p>
    <w:p w14:paraId="04FCCAA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10.13施工场地清洁卫生的要求：执行重庆市建委渝建发《重庆市房屋建筑和市政基础设施工程现场文明施工标准》（渝建发（2008）169号）、建设部《建筑工程安全防护文明施工措施费用及使用管理规定》及JGJ59-2011《建筑施工安全检查评分标准》。工程竣工验收前必须撤除发包人及监理办公用房外的全部临时设施，将建筑垃圾、生活垃圾清理出场，并按建设主管部门的规定执行，全部费用综合考虑在投标报价中。</w:t>
      </w:r>
    </w:p>
    <w:p w14:paraId="581D33E3">
      <w:pPr>
        <w:pStyle w:val="18"/>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10.14</w:t>
      </w:r>
      <w:r>
        <w:rPr>
          <w:rFonts w:hint="eastAsia" w:ascii="宋体" w:hAnsi="宋体"/>
          <w:color w:val="auto"/>
          <w:szCs w:val="21"/>
          <w:highlight w:val="none"/>
        </w:rPr>
        <w:t>承包人应按照设计及相关规范、规定，</w:t>
      </w:r>
      <w:r>
        <w:rPr>
          <w:rFonts w:hint="eastAsia" w:ascii="宋体" w:hAnsi="宋体"/>
          <w:color w:val="auto"/>
          <w:szCs w:val="21"/>
          <w:highlight w:val="none"/>
          <w:lang w:eastAsia="zh-Hans"/>
        </w:rPr>
        <w:t>完成</w:t>
      </w:r>
      <w:r>
        <w:rPr>
          <w:rFonts w:hint="eastAsia" w:ascii="宋体" w:hAnsi="宋体"/>
          <w:color w:val="auto"/>
          <w:szCs w:val="21"/>
          <w:highlight w:val="none"/>
        </w:rPr>
        <w:t>危大项目、高边坡、深基坑、轨道和附近构筑物等的监测和安全评估（评价）工作</w:t>
      </w:r>
      <w:r>
        <w:rPr>
          <w:rFonts w:ascii="宋体" w:hAnsi="宋体"/>
          <w:color w:val="auto"/>
          <w:szCs w:val="21"/>
          <w:highlight w:val="none"/>
        </w:rPr>
        <w:t>，</w:t>
      </w:r>
      <w:r>
        <w:rPr>
          <w:rFonts w:hint="eastAsia" w:ascii="宋体" w:hAnsi="宋体"/>
          <w:color w:val="auto"/>
          <w:szCs w:val="21"/>
          <w:highlight w:val="none"/>
          <w:lang w:eastAsia="zh-Hans"/>
        </w:rPr>
        <w:t>其</w:t>
      </w:r>
      <w:r>
        <w:rPr>
          <w:rFonts w:hint="eastAsia" w:ascii="宋体" w:hAnsi="宋体"/>
          <w:color w:val="auto"/>
          <w:szCs w:val="21"/>
          <w:highlight w:val="none"/>
        </w:rPr>
        <w:t>费用已包含在合同价格中，不再另行计价；承包人应根据收集的资料及现场情况</w:t>
      </w:r>
      <w:r>
        <w:rPr>
          <w:rFonts w:hint="eastAsia" w:ascii="宋体" w:hAnsi="宋体"/>
          <w:color w:val="auto"/>
          <w:szCs w:val="21"/>
          <w:highlight w:val="none"/>
          <w:lang w:eastAsia="zh-Hans"/>
        </w:rPr>
        <w:t>制作</w:t>
      </w:r>
      <w:r>
        <w:rPr>
          <w:rFonts w:hint="eastAsia" w:ascii="宋体" w:hAnsi="宋体"/>
          <w:color w:val="auto"/>
          <w:szCs w:val="21"/>
          <w:highlight w:val="none"/>
        </w:rPr>
        <w:t>施工方案，施工时委托有资质的第三方单位开展监测和评审，应符合国家、重庆市、住建部的相关规定，并确保周边建筑及人员、本工程施工人员、机械等安全，费用已包含在合同价格中，不再另行计价。</w:t>
      </w:r>
    </w:p>
    <w:p w14:paraId="40A4395A">
      <w:pPr>
        <w:widowControl/>
        <w:spacing w:line="360" w:lineRule="auto"/>
        <w:ind w:firstLine="422" w:firstLineChars="200"/>
        <w:jc w:val="left"/>
        <w:outlineLvl w:val="4"/>
        <w:rPr>
          <w:rFonts w:ascii="宋体" w:hAnsi="宋体" w:cs="宋体"/>
          <w:b/>
          <w:bCs/>
          <w:color w:val="auto"/>
          <w:kern w:val="0"/>
          <w:szCs w:val="21"/>
          <w:highlight w:val="none"/>
        </w:rPr>
      </w:pPr>
      <w:bookmarkStart w:id="1319" w:name="_Toc532377336"/>
      <w:r>
        <w:rPr>
          <w:rFonts w:hint="eastAsia" w:ascii="宋体" w:hAnsi="宋体" w:cs="宋体"/>
          <w:b/>
          <w:bCs/>
          <w:color w:val="auto"/>
          <w:kern w:val="0"/>
          <w:szCs w:val="21"/>
          <w:highlight w:val="none"/>
        </w:rPr>
        <w:t>3.2 项目经理</w:t>
      </w:r>
      <w:bookmarkEnd w:id="1319"/>
    </w:p>
    <w:p w14:paraId="4DE5BCC1">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14:paraId="03B55C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317990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rPr>
        <w:t>；</w:t>
      </w:r>
    </w:p>
    <w:p w14:paraId="540F45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9D0DF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794D1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C70817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4410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hint="eastAsia" w:ascii="宋体" w:hAnsi="宋体"/>
          <w:color w:val="auto"/>
          <w:szCs w:val="21"/>
          <w:highlight w:val="none"/>
        </w:rPr>
        <w:t>。</w:t>
      </w:r>
    </w:p>
    <w:p w14:paraId="76690E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14:paraId="4CAFEB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。若一个会计年度内项目经理每月出勤少于22日发生2次，发包人有权认为承包人的项目经理不尽职责，有权要求承包人更换项目经理。同时，发包人有权解除本合同。</w:t>
      </w:r>
    </w:p>
    <w:p w14:paraId="66B601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承包人应在合同签订后7天内提交与项目经理签订的劳动合同及为项目经理缴纳社会保险的证明，承包人未在限期内提交的，项目经理无权履行职责，发包人有权要求更换项目经理或解除本合同</w:t>
      </w:r>
      <w:r>
        <w:rPr>
          <w:rFonts w:hint="eastAsia" w:ascii="宋体" w:hAnsi="宋体"/>
          <w:color w:val="auto"/>
          <w:szCs w:val="21"/>
          <w:highlight w:val="none"/>
        </w:rPr>
        <w:t>。</w:t>
      </w:r>
    </w:p>
    <w:p w14:paraId="33740C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项目经理未经批准，擅自离开施工现场的违约责任：项目经理工作时间因公离开施工现场，必须事前向发包人现场代表通报，，如不通报按</w:t>
      </w:r>
      <w:r>
        <w:rPr>
          <w:rFonts w:hint="eastAsia" w:ascii="宋体" w:hAnsi="宋体"/>
          <w:color w:val="auto"/>
          <w:szCs w:val="21"/>
          <w:highlight w:val="none"/>
          <w:lang w:val="en-US" w:eastAsia="zh-CN"/>
        </w:rPr>
        <w:t>每</w:t>
      </w:r>
      <w:r>
        <w:rPr>
          <w:rFonts w:hint="eastAsia" w:ascii="宋体" w:hAnsi="宋体"/>
          <w:color w:val="auto"/>
          <w:szCs w:val="21"/>
          <w:highlight w:val="none"/>
        </w:rPr>
        <w:t>人</w:t>
      </w:r>
      <w:r>
        <w:rPr>
          <w:rFonts w:hint="eastAsia" w:ascii="宋体" w:hAnsi="宋体"/>
          <w:color w:val="auto"/>
          <w:szCs w:val="21"/>
          <w:highlight w:val="none"/>
          <w:lang w:val="en-US" w:eastAsia="zh-CN"/>
        </w:rPr>
        <w:t>每</w:t>
      </w:r>
      <w:r>
        <w:rPr>
          <w:rFonts w:hint="eastAsia" w:ascii="宋体" w:hAnsi="宋体"/>
          <w:color w:val="auto"/>
          <w:szCs w:val="21"/>
          <w:highlight w:val="none"/>
        </w:rPr>
        <w:t>天向发包人支付违约金</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签约合同金额小于400万元（含）的项目</w:t>
      </w:r>
      <w:r>
        <w:rPr>
          <w:rFonts w:hint="eastAsia" w:ascii="宋体" w:hAnsi="宋体"/>
          <w:color w:val="auto"/>
          <w:szCs w:val="21"/>
          <w:highlight w:val="none"/>
        </w:rPr>
        <w:t>按</w:t>
      </w:r>
      <w:r>
        <w:rPr>
          <w:rFonts w:hint="eastAsia" w:ascii="宋体" w:hAnsi="宋体"/>
          <w:color w:val="auto"/>
          <w:szCs w:val="21"/>
          <w:highlight w:val="none"/>
          <w:lang w:val="en-US" w:eastAsia="zh-CN"/>
        </w:rPr>
        <w:t>500</w:t>
      </w:r>
      <w:r>
        <w:rPr>
          <w:rFonts w:hint="eastAsia" w:ascii="宋体" w:hAnsi="宋体"/>
          <w:color w:val="auto"/>
          <w:szCs w:val="21"/>
          <w:highlight w:val="none"/>
        </w:rPr>
        <w:t>元/人·天向发包人支付违约金</w:t>
      </w:r>
      <w:r>
        <w:rPr>
          <w:rFonts w:hint="eastAsia" w:ascii="宋体" w:hAnsi="宋体"/>
          <w:color w:val="auto"/>
          <w:szCs w:val="21"/>
          <w:highlight w:val="none"/>
          <w:lang w:val="en-US" w:eastAsia="zh-CN"/>
        </w:rPr>
        <w:t>；签约合同金额400万元-5000万元（含）的项目</w:t>
      </w:r>
      <w:r>
        <w:rPr>
          <w:rFonts w:hint="eastAsia" w:ascii="宋体" w:hAnsi="宋体"/>
          <w:color w:val="auto"/>
          <w:szCs w:val="21"/>
          <w:highlight w:val="none"/>
        </w:rPr>
        <w:t>按</w:t>
      </w:r>
      <w:r>
        <w:rPr>
          <w:rFonts w:hint="eastAsia" w:ascii="宋体" w:hAnsi="宋体"/>
          <w:color w:val="auto"/>
          <w:szCs w:val="21"/>
          <w:highlight w:val="none"/>
          <w:lang w:val="en-US" w:eastAsia="zh-CN"/>
        </w:rPr>
        <w:t>1000</w:t>
      </w:r>
      <w:r>
        <w:rPr>
          <w:rFonts w:hint="eastAsia" w:ascii="宋体" w:hAnsi="宋体"/>
          <w:color w:val="auto"/>
          <w:szCs w:val="21"/>
          <w:highlight w:val="none"/>
        </w:rPr>
        <w:t>元/人·天向发包人支付违约金</w:t>
      </w:r>
      <w:r>
        <w:rPr>
          <w:rFonts w:hint="eastAsia" w:ascii="宋体" w:hAnsi="宋体"/>
          <w:color w:val="auto"/>
          <w:szCs w:val="21"/>
          <w:highlight w:val="none"/>
          <w:lang w:val="en-US" w:eastAsia="zh-CN"/>
        </w:rPr>
        <w:t>；签约合同5000万元-1亿元（含）的项目</w:t>
      </w:r>
      <w:r>
        <w:rPr>
          <w:rFonts w:hint="eastAsia" w:ascii="宋体" w:hAnsi="宋体"/>
          <w:color w:val="auto"/>
          <w:szCs w:val="21"/>
          <w:highlight w:val="none"/>
        </w:rPr>
        <w:t>按</w:t>
      </w:r>
      <w:r>
        <w:rPr>
          <w:rFonts w:hint="eastAsia" w:ascii="宋体" w:hAnsi="宋体"/>
          <w:color w:val="auto"/>
          <w:szCs w:val="21"/>
          <w:highlight w:val="none"/>
          <w:lang w:val="en-US" w:eastAsia="zh-CN"/>
        </w:rPr>
        <w:t>2000</w:t>
      </w:r>
      <w:r>
        <w:rPr>
          <w:rFonts w:hint="eastAsia" w:ascii="宋体" w:hAnsi="宋体"/>
          <w:color w:val="auto"/>
          <w:szCs w:val="21"/>
          <w:highlight w:val="none"/>
        </w:rPr>
        <w:t>元/人·天向发包人支付违约金</w:t>
      </w:r>
      <w:r>
        <w:rPr>
          <w:rFonts w:hint="eastAsia" w:ascii="宋体" w:hAnsi="宋体"/>
          <w:color w:val="auto"/>
          <w:szCs w:val="21"/>
          <w:highlight w:val="none"/>
          <w:lang w:val="en-US" w:eastAsia="zh-CN"/>
        </w:rPr>
        <w:t>；签约合同金额大于1亿元的项目</w:t>
      </w:r>
      <w:r>
        <w:rPr>
          <w:rFonts w:hint="eastAsia" w:ascii="宋体" w:hAnsi="宋体"/>
          <w:color w:val="auto"/>
          <w:szCs w:val="21"/>
          <w:highlight w:val="none"/>
        </w:rPr>
        <w:t>按</w:t>
      </w:r>
      <w:r>
        <w:rPr>
          <w:rFonts w:hint="eastAsia" w:ascii="宋体" w:hAnsi="宋体"/>
          <w:color w:val="auto"/>
          <w:szCs w:val="21"/>
          <w:highlight w:val="none"/>
          <w:lang w:val="en-US" w:eastAsia="zh-CN"/>
        </w:rPr>
        <w:t>5000</w:t>
      </w:r>
      <w:r>
        <w:rPr>
          <w:rFonts w:hint="eastAsia" w:ascii="宋体" w:hAnsi="宋体"/>
          <w:color w:val="auto"/>
          <w:szCs w:val="21"/>
          <w:highlight w:val="none"/>
        </w:rPr>
        <w:t>元/人·天向发包人支付违约金。。</w:t>
      </w:r>
    </w:p>
    <w:p w14:paraId="53E20B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承包人擅自更换项目经理的违约责任：承包人原则上不得更换项目经理，若因特殊原因确需更换项目经理，则更换前需取得发包人书面许可，同时还需承担违约金。</w:t>
      </w:r>
      <w:r>
        <w:rPr>
          <w:rFonts w:hint="eastAsia" w:ascii="宋体" w:hAnsi="宋体"/>
          <w:color w:val="auto"/>
          <w:szCs w:val="21"/>
          <w:highlight w:val="none"/>
          <w:lang w:val="en-US" w:eastAsia="zh-CN"/>
        </w:rPr>
        <w:t>签约合同金额小于1000万元（含）的项目更换项目经理承担签约合同金额1%/次的违约金；签约合同金额1000万元-1亿元（含）的项目更换项目经理承担签约合同金额0.8%/次的违约金；签约合同金额大于1亿元的项目更换项目经理承担签约合同金额0.5%/次的违约金</w:t>
      </w:r>
      <w:r>
        <w:rPr>
          <w:rFonts w:hint="eastAsia" w:ascii="宋体" w:hAnsi="宋体"/>
          <w:color w:val="auto"/>
          <w:szCs w:val="21"/>
          <w:highlight w:val="none"/>
        </w:rPr>
        <w:t>。</w:t>
      </w:r>
    </w:p>
    <w:p w14:paraId="2155B5D3">
      <w:pPr>
        <w:spacing w:line="360" w:lineRule="auto"/>
        <w:ind w:firstLine="420" w:firstLineChars="200"/>
        <w:jc w:val="left"/>
        <w:rPr>
          <w:rFonts w:ascii="宋体" w:hAnsi="宋体"/>
          <w:color w:val="auto"/>
          <w:szCs w:val="21"/>
          <w:highlight w:val="none"/>
        </w:rPr>
      </w:pPr>
    </w:p>
    <w:p w14:paraId="3586A2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项目经理</w:t>
      </w:r>
      <w:r>
        <w:rPr>
          <w:rFonts w:ascii="宋体" w:hAnsi="宋体"/>
          <w:color w:val="auto"/>
          <w:szCs w:val="21"/>
          <w:highlight w:val="none"/>
        </w:rPr>
        <w:t>离开施工现场的批准要求：因公离开施工现场，必须事前征得发包人现场代表同意。</w:t>
      </w:r>
    </w:p>
    <w:p w14:paraId="66CFDF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14:paraId="11BD44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31660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6D4B98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EBBF1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DFC5A54">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57B986CB">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。若一个会计年度内技术负责人每月出勤少于22日发生2次，发包人有权认为承包人的技术负责人不尽职责，有权要求承包人更换技术负责人。同时，发包人有权解除本合同。</w:t>
      </w:r>
    </w:p>
    <w:p w14:paraId="2BB180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承包人应在合同签订后7天内提交与技术负责人签订的劳动合同及为技术负责人缴纳社会保险的证明，承包人未在限期内提交的，技术负责人无权履行职责，发包人有权要求更换技术负责人或解除本合同</w:t>
      </w:r>
      <w:r>
        <w:rPr>
          <w:rFonts w:hint="eastAsia" w:ascii="宋体" w:hAnsi="宋体"/>
          <w:color w:val="auto"/>
          <w:szCs w:val="21"/>
          <w:highlight w:val="none"/>
        </w:rPr>
        <w:t>。</w:t>
      </w:r>
      <w:bookmarkStart w:id="1320" w:name="_Hlk528927599"/>
    </w:p>
    <w:bookmarkEnd w:id="1320"/>
    <w:p w14:paraId="2BFDBCB9">
      <w:pPr>
        <w:spacing w:line="360" w:lineRule="auto"/>
        <w:ind w:firstLine="420" w:firstLineChars="200"/>
        <w:jc w:val="left"/>
        <w:rPr>
          <w:rFonts w:ascii="宋体" w:hAnsi="宋体"/>
          <w:color w:val="auto"/>
          <w:szCs w:val="21"/>
          <w:highlight w:val="none"/>
        </w:rPr>
      </w:pPr>
      <w:bookmarkStart w:id="1321" w:name="_Hlk528927718"/>
      <w:r>
        <w:rPr>
          <w:rFonts w:hint="eastAsia" w:ascii="宋体" w:hAnsi="宋体"/>
          <w:color w:val="auto"/>
          <w:szCs w:val="21"/>
          <w:highlight w:val="none"/>
        </w:rPr>
        <w:t>3.2.3 发包人有权书面通知承包人更换其认为不称职/不履职/不满意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321"/>
      <w:r>
        <w:rPr>
          <w:rFonts w:hint="eastAsia" w:ascii="宋体" w:hAnsi="宋体"/>
          <w:color w:val="auto"/>
          <w:szCs w:val="21"/>
          <w:highlight w:val="none"/>
        </w:rPr>
        <w:t>发包人要求承包人更换项目经理或技术负责人，而承包人不予更换的，视为承包人不能履约，不能实现合同目的，发包人有权解除本合同，并有权</w:t>
      </w:r>
      <w:r>
        <w:rPr>
          <w:rFonts w:hint="eastAsia" w:ascii="宋体" w:hAnsi="宋体"/>
          <w:color w:val="auto"/>
          <w:szCs w:val="21"/>
          <w:highlight w:val="none"/>
          <w:lang w:eastAsia="zh-Hans"/>
        </w:rPr>
        <w:t>在专用合同条款</w:t>
      </w:r>
      <w:r>
        <w:rPr>
          <w:rFonts w:hint="eastAsia" w:ascii="宋体" w:hAnsi="宋体"/>
          <w:color w:val="auto"/>
          <w:szCs w:val="21"/>
          <w:highlight w:val="none"/>
        </w:rPr>
        <w:t>3.2.1条约定</w:t>
      </w:r>
      <w:r>
        <w:rPr>
          <w:rFonts w:hint="eastAsia" w:ascii="宋体" w:hAnsi="宋体"/>
          <w:color w:val="auto"/>
          <w:szCs w:val="21"/>
          <w:highlight w:val="none"/>
          <w:lang w:eastAsia="zh-Hans"/>
        </w:rPr>
        <w:t>之</w:t>
      </w:r>
      <w:r>
        <w:rPr>
          <w:rFonts w:hint="eastAsia" w:ascii="宋体" w:hAnsi="宋体"/>
          <w:color w:val="auto"/>
          <w:szCs w:val="21"/>
          <w:highlight w:val="none"/>
        </w:rPr>
        <w:t>外要求承包人按照中标金额的0.1%承担违约金。</w:t>
      </w:r>
    </w:p>
    <w:p w14:paraId="182E47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24269B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14:paraId="321FE7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14:paraId="3D8176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14:paraId="779D9F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14:paraId="0F75C0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14:paraId="502A14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14:paraId="0DB8D02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14:paraId="7977A8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14:paraId="34B349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技术负责人离开施工现场的批准要求：因公离开施工现场，必须事前征得发包人现场代表同意。</w:t>
      </w:r>
    </w:p>
    <w:p w14:paraId="53903E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技术负责人擅自离岗的违约责任：</w:t>
      </w:r>
      <w:r>
        <w:rPr>
          <w:rFonts w:hint="eastAsia" w:ascii="宋体" w:hAnsi="宋体"/>
          <w:color w:val="auto"/>
          <w:szCs w:val="21"/>
          <w:highlight w:val="none"/>
          <w:lang w:val="en-US" w:eastAsia="zh-CN"/>
        </w:rPr>
        <w:t>签约合同金额小于400万元（含）的项目</w:t>
      </w:r>
      <w:r>
        <w:rPr>
          <w:rFonts w:hint="eastAsia" w:ascii="宋体" w:hAnsi="宋体"/>
          <w:color w:val="auto"/>
          <w:szCs w:val="21"/>
          <w:highlight w:val="none"/>
        </w:rPr>
        <w:t>按</w:t>
      </w:r>
      <w:r>
        <w:rPr>
          <w:rFonts w:hint="eastAsia" w:ascii="宋体" w:hAnsi="宋体"/>
          <w:color w:val="auto"/>
          <w:szCs w:val="21"/>
          <w:highlight w:val="none"/>
          <w:lang w:val="en-US" w:eastAsia="zh-CN"/>
        </w:rPr>
        <w:t>500</w:t>
      </w:r>
      <w:r>
        <w:rPr>
          <w:rFonts w:hint="eastAsia" w:ascii="宋体" w:hAnsi="宋体"/>
          <w:color w:val="auto"/>
          <w:szCs w:val="21"/>
          <w:highlight w:val="none"/>
        </w:rPr>
        <w:t>元/人·天向发包人支付违约金</w:t>
      </w:r>
      <w:r>
        <w:rPr>
          <w:rFonts w:hint="eastAsia" w:ascii="宋体" w:hAnsi="宋体"/>
          <w:color w:val="auto"/>
          <w:szCs w:val="21"/>
          <w:highlight w:val="none"/>
          <w:lang w:val="en-US" w:eastAsia="zh-CN"/>
        </w:rPr>
        <w:t>；签约合同金额400万元-5000万元（含）的项目</w:t>
      </w:r>
      <w:r>
        <w:rPr>
          <w:rFonts w:hint="eastAsia" w:ascii="宋体" w:hAnsi="宋体"/>
          <w:color w:val="auto"/>
          <w:szCs w:val="21"/>
          <w:highlight w:val="none"/>
        </w:rPr>
        <w:t>按</w:t>
      </w:r>
      <w:r>
        <w:rPr>
          <w:rFonts w:hint="eastAsia" w:ascii="宋体" w:hAnsi="宋体"/>
          <w:color w:val="auto"/>
          <w:szCs w:val="21"/>
          <w:highlight w:val="none"/>
          <w:lang w:val="en-US" w:eastAsia="zh-CN"/>
        </w:rPr>
        <w:t>1000</w:t>
      </w:r>
      <w:r>
        <w:rPr>
          <w:rFonts w:hint="eastAsia" w:ascii="宋体" w:hAnsi="宋体"/>
          <w:color w:val="auto"/>
          <w:szCs w:val="21"/>
          <w:highlight w:val="none"/>
        </w:rPr>
        <w:t>元/人·天向发包人支付违约金</w:t>
      </w:r>
      <w:r>
        <w:rPr>
          <w:rFonts w:hint="eastAsia" w:ascii="宋体" w:hAnsi="宋体"/>
          <w:color w:val="auto"/>
          <w:szCs w:val="21"/>
          <w:highlight w:val="none"/>
          <w:lang w:val="en-US" w:eastAsia="zh-CN"/>
        </w:rPr>
        <w:t>；签约合同5000万元-1亿元（含）的项目</w:t>
      </w:r>
      <w:r>
        <w:rPr>
          <w:rFonts w:hint="eastAsia" w:ascii="宋体" w:hAnsi="宋体"/>
          <w:color w:val="auto"/>
          <w:szCs w:val="21"/>
          <w:highlight w:val="none"/>
        </w:rPr>
        <w:t>按</w:t>
      </w:r>
      <w:r>
        <w:rPr>
          <w:rFonts w:hint="eastAsia" w:ascii="宋体" w:hAnsi="宋体"/>
          <w:color w:val="auto"/>
          <w:szCs w:val="21"/>
          <w:highlight w:val="none"/>
          <w:lang w:val="en-US" w:eastAsia="zh-CN"/>
        </w:rPr>
        <w:t>2000</w:t>
      </w:r>
      <w:r>
        <w:rPr>
          <w:rFonts w:hint="eastAsia" w:ascii="宋体" w:hAnsi="宋体"/>
          <w:color w:val="auto"/>
          <w:szCs w:val="21"/>
          <w:highlight w:val="none"/>
        </w:rPr>
        <w:t>元/人·天向发包人支付违约金</w:t>
      </w:r>
      <w:r>
        <w:rPr>
          <w:rFonts w:hint="eastAsia" w:ascii="宋体" w:hAnsi="宋体"/>
          <w:color w:val="auto"/>
          <w:szCs w:val="21"/>
          <w:highlight w:val="none"/>
          <w:lang w:val="en-US" w:eastAsia="zh-CN"/>
        </w:rPr>
        <w:t>；签约合同金额大于1亿元的项目</w:t>
      </w:r>
      <w:r>
        <w:rPr>
          <w:rFonts w:hint="eastAsia" w:ascii="宋体" w:hAnsi="宋体"/>
          <w:color w:val="auto"/>
          <w:szCs w:val="21"/>
          <w:highlight w:val="none"/>
        </w:rPr>
        <w:t>按</w:t>
      </w:r>
      <w:r>
        <w:rPr>
          <w:rFonts w:hint="eastAsia" w:ascii="宋体" w:hAnsi="宋体"/>
          <w:color w:val="auto"/>
          <w:szCs w:val="21"/>
          <w:highlight w:val="none"/>
          <w:lang w:val="en-US" w:eastAsia="zh-CN"/>
        </w:rPr>
        <w:t>5000</w:t>
      </w:r>
      <w:r>
        <w:rPr>
          <w:rFonts w:hint="eastAsia" w:ascii="宋体" w:hAnsi="宋体"/>
          <w:color w:val="auto"/>
          <w:szCs w:val="21"/>
          <w:highlight w:val="none"/>
        </w:rPr>
        <w:t>元/人·天向发包人支付违约金</w:t>
      </w:r>
      <w:r>
        <w:rPr>
          <w:rFonts w:hint="eastAsia" w:ascii="宋体" w:hAnsi="宋体"/>
          <w:color w:val="auto"/>
          <w:szCs w:val="21"/>
          <w:highlight w:val="none"/>
        </w:rPr>
        <w:t>。</w:t>
      </w:r>
    </w:p>
    <w:p w14:paraId="020B5C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承包人擅自更换技术负责人的违约责任：承包人原则上不得更换技术负责人，若因特殊原因确需更换技术负责人，则更换前需取得发包人书面许可，且还需承担违约金。</w:t>
      </w:r>
      <w:r>
        <w:rPr>
          <w:rFonts w:hint="eastAsia" w:ascii="宋体" w:hAnsi="宋体"/>
          <w:color w:val="auto"/>
          <w:szCs w:val="21"/>
          <w:highlight w:val="none"/>
          <w:lang w:val="en-US" w:eastAsia="zh-CN"/>
        </w:rPr>
        <w:t>签约合同金额小于1000万元（含）的项目更换项目经理承担签约合同金额1%/次的违约金；签约合同金额1000万元-1亿元（含）的项目更换项目经理承担签约合同金额0.8%/次的违约金；签约合同金额大于1亿元的项目更换项目经理承担签约合同金额0.5%/次的违约金</w:t>
      </w:r>
      <w:r>
        <w:rPr>
          <w:rFonts w:hint="eastAsia" w:ascii="宋体" w:hAnsi="宋体"/>
          <w:color w:val="auto"/>
          <w:szCs w:val="21"/>
          <w:highlight w:val="none"/>
        </w:rPr>
        <w:t>。</w:t>
      </w:r>
    </w:p>
    <w:p w14:paraId="68D533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3.2.7 国有资金投资项目其他主要人员变更参照《重庆市政府投资项目合同变更管理暂行办法》的规定。</w:t>
      </w:r>
    </w:p>
    <w:p w14:paraId="4E643E26">
      <w:pPr>
        <w:widowControl/>
        <w:spacing w:line="360" w:lineRule="auto"/>
        <w:ind w:firstLine="422" w:firstLineChars="200"/>
        <w:jc w:val="left"/>
        <w:outlineLvl w:val="4"/>
        <w:rPr>
          <w:rFonts w:ascii="宋体" w:hAnsi="宋体" w:cs="宋体"/>
          <w:b/>
          <w:bCs/>
          <w:color w:val="auto"/>
          <w:kern w:val="0"/>
          <w:szCs w:val="21"/>
          <w:highlight w:val="none"/>
        </w:rPr>
      </w:pPr>
      <w:bookmarkStart w:id="1322" w:name="_Toc532377337"/>
      <w:r>
        <w:rPr>
          <w:rFonts w:hint="eastAsia" w:ascii="宋体" w:hAnsi="宋体" w:cs="宋体"/>
          <w:b/>
          <w:bCs/>
          <w:color w:val="auto"/>
          <w:kern w:val="0"/>
          <w:szCs w:val="21"/>
          <w:highlight w:val="none"/>
        </w:rPr>
        <w:t>3.3 承包人人员</w:t>
      </w:r>
      <w:bookmarkEnd w:id="1322"/>
    </w:p>
    <w:p w14:paraId="051A63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承包人于开工前7日内提交项目管理机构及施工现场管理人员安排报告；承包人主要施工管理人员因公离开施工现场，必须事前征得发包人现场代表同意。承包人擅自更换主要施工管理人员的，向发包人承担1万元违约金/次；承包人主要施工管理人员擅自离岗的，</w:t>
      </w:r>
      <w:r>
        <w:rPr>
          <w:rFonts w:hint="eastAsia" w:ascii="宋体" w:hAnsi="宋体"/>
          <w:color w:val="auto"/>
          <w:szCs w:val="21"/>
          <w:highlight w:val="none"/>
          <w:u w:val="single"/>
        </w:rPr>
        <w:t xml:space="preserve"> </w:t>
      </w:r>
      <w:r>
        <w:rPr>
          <w:rFonts w:hint="eastAsia" w:ascii="宋体" w:hAnsi="宋体"/>
          <w:color w:val="auto"/>
          <w:szCs w:val="21"/>
          <w:highlight w:val="none"/>
          <w:lang w:val="en-US" w:eastAsia="zh-CN"/>
        </w:rPr>
        <w:t>签约合同金额小于400万元（含）的项目</w:t>
      </w:r>
      <w:r>
        <w:rPr>
          <w:rFonts w:hint="eastAsia" w:ascii="宋体" w:hAnsi="宋体"/>
          <w:color w:val="auto"/>
          <w:szCs w:val="21"/>
          <w:highlight w:val="none"/>
        </w:rPr>
        <w:t>按</w:t>
      </w:r>
      <w:r>
        <w:rPr>
          <w:rFonts w:hint="eastAsia" w:ascii="宋体" w:hAnsi="宋体"/>
          <w:color w:val="auto"/>
          <w:szCs w:val="21"/>
          <w:highlight w:val="none"/>
          <w:lang w:val="en-US" w:eastAsia="zh-CN"/>
        </w:rPr>
        <w:t>25</w:t>
      </w:r>
      <w:r>
        <w:rPr>
          <w:rFonts w:hint="eastAsia" w:ascii="宋体" w:hAnsi="宋体"/>
          <w:color w:val="auto"/>
          <w:szCs w:val="21"/>
          <w:highlight w:val="none"/>
          <w:lang w:val="en-US" w:eastAsia="zh-CN"/>
        </w:rPr>
        <w:t>0</w:t>
      </w:r>
      <w:r>
        <w:rPr>
          <w:rFonts w:hint="eastAsia" w:ascii="宋体" w:hAnsi="宋体"/>
          <w:color w:val="auto"/>
          <w:szCs w:val="21"/>
          <w:highlight w:val="none"/>
        </w:rPr>
        <w:t>元/人·天向发包人支付违约金</w:t>
      </w:r>
      <w:r>
        <w:rPr>
          <w:rFonts w:hint="eastAsia" w:ascii="宋体" w:hAnsi="宋体"/>
          <w:color w:val="auto"/>
          <w:szCs w:val="21"/>
          <w:highlight w:val="none"/>
          <w:lang w:val="en-US" w:eastAsia="zh-CN"/>
        </w:rPr>
        <w:t>；签约合同金额400万元-5000万元（含）的项目</w:t>
      </w:r>
      <w:r>
        <w:rPr>
          <w:rFonts w:hint="eastAsia" w:ascii="宋体" w:hAnsi="宋体"/>
          <w:color w:val="auto"/>
          <w:szCs w:val="21"/>
          <w:highlight w:val="none"/>
        </w:rPr>
        <w:t>按</w:t>
      </w:r>
      <w:r>
        <w:rPr>
          <w:rFonts w:hint="eastAsia" w:ascii="宋体" w:hAnsi="宋体"/>
          <w:color w:val="auto"/>
          <w:szCs w:val="21"/>
          <w:highlight w:val="none"/>
          <w:lang w:val="en-US" w:eastAsia="zh-CN"/>
        </w:rPr>
        <w:t>500</w:t>
      </w:r>
      <w:r>
        <w:rPr>
          <w:rFonts w:hint="eastAsia" w:ascii="宋体" w:hAnsi="宋体"/>
          <w:color w:val="auto"/>
          <w:szCs w:val="21"/>
          <w:highlight w:val="none"/>
        </w:rPr>
        <w:t>元/人·天向发包人支付违约金</w:t>
      </w:r>
      <w:r>
        <w:rPr>
          <w:rFonts w:hint="eastAsia" w:ascii="宋体" w:hAnsi="宋体"/>
          <w:color w:val="auto"/>
          <w:szCs w:val="21"/>
          <w:highlight w:val="none"/>
          <w:lang w:val="en-US" w:eastAsia="zh-CN"/>
        </w:rPr>
        <w:t>；签约合同5000万元-1亿元（含）的项目</w:t>
      </w:r>
      <w:r>
        <w:rPr>
          <w:rFonts w:hint="eastAsia" w:ascii="宋体" w:hAnsi="宋体"/>
          <w:color w:val="auto"/>
          <w:szCs w:val="21"/>
          <w:highlight w:val="none"/>
        </w:rPr>
        <w:t>按</w:t>
      </w:r>
      <w:r>
        <w:rPr>
          <w:rFonts w:hint="eastAsia" w:ascii="宋体" w:hAnsi="宋体"/>
          <w:color w:val="auto"/>
          <w:szCs w:val="21"/>
          <w:highlight w:val="none"/>
          <w:lang w:val="en-US" w:eastAsia="zh-CN"/>
        </w:rPr>
        <w:t>1000</w:t>
      </w:r>
      <w:r>
        <w:rPr>
          <w:rFonts w:hint="eastAsia" w:ascii="宋体" w:hAnsi="宋体"/>
          <w:color w:val="auto"/>
          <w:szCs w:val="21"/>
          <w:highlight w:val="none"/>
        </w:rPr>
        <w:t>元/人·天向发包人支付违约金</w:t>
      </w:r>
      <w:r>
        <w:rPr>
          <w:rFonts w:hint="eastAsia" w:ascii="宋体" w:hAnsi="宋体"/>
          <w:color w:val="auto"/>
          <w:szCs w:val="21"/>
          <w:highlight w:val="none"/>
          <w:lang w:val="en-US" w:eastAsia="zh-CN"/>
        </w:rPr>
        <w:t>；签约合同金额大于1亿元的项目</w:t>
      </w:r>
      <w:r>
        <w:rPr>
          <w:rFonts w:hint="eastAsia" w:ascii="宋体" w:hAnsi="宋体"/>
          <w:color w:val="auto"/>
          <w:szCs w:val="21"/>
          <w:highlight w:val="none"/>
        </w:rPr>
        <w:t>按</w:t>
      </w:r>
      <w:r>
        <w:rPr>
          <w:rFonts w:hint="eastAsia" w:ascii="宋体" w:hAnsi="宋体"/>
          <w:color w:val="auto"/>
          <w:szCs w:val="21"/>
          <w:highlight w:val="none"/>
          <w:lang w:val="en-US" w:eastAsia="zh-CN"/>
        </w:rPr>
        <w:t>2500</w:t>
      </w:r>
      <w:r>
        <w:rPr>
          <w:rFonts w:hint="eastAsia" w:ascii="宋体" w:hAnsi="宋体"/>
          <w:color w:val="auto"/>
          <w:szCs w:val="21"/>
          <w:highlight w:val="none"/>
        </w:rPr>
        <w:t>元/人·天向发包人支付违约金</w:t>
      </w:r>
      <w:r>
        <w:rPr>
          <w:rFonts w:hint="eastAsia" w:ascii="宋体" w:hAnsi="宋体"/>
          <w:color w:val="auto"/>
          <w:szCs w:val="21"/>
          <w:highlight w:val="none"/>
          <w:u w:val="single"/>
        </w:rPr>
        <w:t>。</w:t>
      </w:r>
      <w:r>
        <w:rPr>
          <w:rFonts w:hint="eastAsia" w:ascii="宋体" w:hAnsi="宋体"/>
          <w:color w:val="auto"/>
          <w:szCs w:val="21"/>
          <w:highlight w:val="none"/>
          <w:u w:val="single"/>
        </w:rPr>
        <w:t xml:space="preserve">       </w:t>
      </w:r>
    </w:p>
    <w:p w14:paraId="3BA199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51FF5F9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3.3.3 发包人有权书面通知承包人更换其认为不称职/不满意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r>
        <w:rPr>
          <w:rFonts w:hint="eastAsia" w:ascii="宋体" w:hAnsi="宋体"/>
          <w:color w:val="auto"/>
          <w:szCs w:val="21"/>
          <w:highlight w:val="none"/>
          <w:u w:val="single"/>
        </w:rPr>
        <w:t>承包人未在发包人规定时间内更换，则承包人</w:t>
      </w:r>
      <w:r>
        <w:rPr>
          <w:rFonts w:hint="eastAsia" w:ascii="宋体" w:hAnsi="宋体"/>
          <w:color w:val="auto"/>
          <w:szCs w:val="21"/>
          <w:highlight w:val="none"/>
          <w:u w:val="single"/>
          <w:lang w:val="en-US" w:eastAsia="zh-CN"/>
        </w:rPr>
        <w:t>按每人每天</w:t>
      </w:r>
      <w:r>
        <w:rPr>
          <w:rFonts w:hint="eastAsia" w:ascii="宋体" w:hAnsi="宋体"/>
          <w:color w:val="auto"/>
          <w:szCs w:val="21"/>
          <w:highlight w:val="none"/>
          <w:u w:val="single"/>
        </w:rPr>
        <w:t>承担违约金</w:t>
      </w:r>
      <w:r>
        <w:rPr>
          <w:rFonts w:hint="eastAsia" w:ascii="宋体" w:hAnsi="宋体"/>
          <w:color w:val="auto"/>
          <w:szCs w:val="21"/>
          <w:highlight w:val="none"/>
          <w:u w:val="single"/>
          <w:lang w:eastAsia="zh-CN"/>
        </w:rPr>
        <w:t>，</w:t>
      </w:r>
      <w:r>
        <w:rPr>
          <w:rFonts w:hint="eastAsia" w:ascii="宋体" w:hAnsi="宋体"/>
          <w:color w:val="auto"/>
          <w:szCs w:val="21"/>
          <w:highlight w:val="none"/>
          <w:lang w:val="en-US" w:eastAsia="zh-CN"/>
        </w:rPr>
        <w:t>签约合同金额小于400万元（含）的项目</w:t>
      </w:r>
      <w:r>
        <w:rPr>
          <w:rFonts w:hint="eastAsia" w:ascii="宋体" w:hAnsi="宋体"/>
          <w:color w:val="auto"/>
          <w:szCs w:val="21"/>
          <w:highlight w:val="none"/>
        </w:rPr>
        <w:t>按</w:t>
      </w:r>
      <w:r>
        <w:rPr>
          <w:rFonts w:hint="eastAsia" w:ascii="宋体" w:hAnsi="宋体"/>
          <w:color w:val="auto"/>
          <w:szCs w:val="21"/>
          <w:highlight w:val="none"/>
          <w:lang w:val="en-US" w:eastAsia="zh-CN"/>
        </w:rPr>
        <w:t>500</w:t>
      </w:r>
      <w:r>
        <w:rPr>
          <w:rFonts w:hint="eastAsia" w:ascii="宋体" w:hAnsi="宋体"/>
          <w:color w:val="auto"/>
          <w:szCs w:val="21"/>
          <w:highlight w:val="none"/>
        </w:rPr>
        <w:t>元/人·天向发包人支付违约金</w:t>
      </w:r>
      <w:r>
        <w:rPr>
          <w:rFonts w:hint="eastAsia" w:ascii="宋体" w:hAnsi="宋体"/>
          <w:color w:val="auto"/>
          <w:szCs w:val="21"/>
          <w:highlight w:val="none"/>
          <w:lang w:val="en-US" w:eastAsia="zh-CN"/>
        </w:rPr>
        <w:t>；签约合同金额400万元-5000万元（含）的项目</w:t>
      </w:r>
      <w:r>
        <w:rPr>
          <w:rFonts w:hint="eastAsia" w:ascii="宋体" w:hAnsi="宋体"/>
          <w:color w:val="auto"/>
          <w:szCs w:val="21"/>
          <w:highlight w:val="none"/>
        </w:rPr>
        <w:t>按</w:t>
      </w:r>
      <w:r>
        <w:rPr>
          <w:rFonts w:hint="eastAsia" w:ascii="宋体" w:hAnsi="宋体"/>
          <w:color w:val="auto"/>
          <w:szCs w:val="21"/>
          <w:highlight w:val="none"/>
          <w:lang w:val="en-US" w:eastAsia="zh-CN"/>
        </w:rPr>
        <w:t>1000</w:t>
      </w:r>
      <w:r>
        <w:rPr>
          <w:rFonts w:hint="eastAsia" w:ascii="宋体" w:hAnsi="宋体"/>
          <w:color w:val="auto"/>
          <w:szCs w:val="21"/>
          <w:highlight w:val="none"/>
        </w:rPr>
        <w:t>元/人·天向发包人支付违约金</w:t>
      </w:r>
      <w:r>
        <w:rPr>
          <w:rFonts w:hint="eastAsia" w:ascii="宋体" w:hAnsi="宋体"/>
          <w:color w:val="auto"/>
          <w:szCs w:val="21"/>
          <w:highlight w:val="none"/>
          <w:lang w:val="en-US" w:eastAsia="zh-CN"/>
        </w:rPr>
        <w:t>；签约合同5000万元-1亿元（含）的项目</w:t>
      </w:r>
      <w:r>
        <w:rPr>
          <w:rFonts w:hint="eastAsia" w:ascii="宋体" w:hAnsi="宋体"/>
          <w:color w:val="auto"/>
          <w:szCs w:val="21"/>
          <w:highlight w:val="none"/>
        </w:rPr>
        <w:t>按</w:t>
      </w:r>
      <w:r>
        <w:rPr>
          <w:rFonts w:hint="eastAsia" w:ascii="宋体" w:hAnsi="宋体"/>
          <w:color w:val="auto"/>
          <w:szCs w:val="21"/>
          <w:highlight w:val="none"/>
          <w:lang w:val="en-US" w:eastAsia="zh-CN"/>
        </w:rPr>
        <w:t>2000</w:t>
      </w:r>
      <w:r>
        <w:rPr>
          <w:rFonts w:hint="eastAsia" w:ascii="宋体" w:hAnsi="宋体"/>
          <w:color w:val="auto"/>
          <w:szCs w:val="21"/>
          <w:highlight w:val="none"/>
        </w:rPr>
        <w:t>元/人·天向发包人支付违约金</w:t>
      </w:r>
      <w:r>
        <w:rPr>
          <w:rFonts w:hint="eastAsia" w:ascii="宋体" w:hAnsi="宋体"/>
          <w:color w:val="auto"/>
          <w:szCs w:val="21"/>
          <w:highlight w:val="none"/>
          <w:lang w:val="en-US" w:eastAsia="zh-CN"/>
        </w:rPr>
        <w:t>；签约合同金额大于1亿元的项目</w:t>
      </w:r>
      <w:r>
        <w:rPr>
          <w:rFonts w:hint="eastAsia" w:ascii="宋体" w:hAnsi="宋体"/>
          <w:color w:val="auto"/>
          <w:szCs w:val="21"/>
          <w:highlight w:val="none"/>
        </w:rPr>
        <w:t>按</w:t>
      </w:r>
      <w:r>
        <w:rPr>
          <w:rFonts w:hint="eastAsia" w:ascii="宋体" w:hAnsi="宋体"/>
          <w:color w:val="auto"/>
          <w:szCs w:val="21"/>
          <w:highlight w:val="none"/>
          <w:lang w:val="en-US" w:eastAsia="zh-CN"/>
        </w:rPr>
        <w:t>5000</w:t>
      </w:r>
      <w:r>
        <w:rPr>
          <w:rFonts w:hint="eastAsia" w:ascii="宋体" w:hAnsi="宋体"/>
          <w:color w:val="auto"/>
          <w:szCs w:val="21"/>
          <w:highlight w:val="none"/>
        </w:rPr>
        <w:t>元/人·天向发包人支付违约金</w:t>
      </w:r>
      <w:r>
        <w:rPr>
          <w:rFonts w:hint="eastAsia" w:ascii="宋体" w:hAnsi="宋体"/>
          <w:color w:val="auto"/>
          <w:szCs w:val="21"/>
          <w:highlight w:val="none"/>
          <w:u w:val="single"/>
        </w:rPr>
        <w:t>。</w:t>
      </w:r>
    </w:p>
    <w:p w14:paraId="3A7CA6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承包人主要施工管理人员离开施工现场，经发包人同意后，指定的临时人员需满足：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即使承包人派驻人员符合合同及相关配置规定要求，但根据项目实际实施的需要，监理人或发包人认为承包人应当增加派驻人员时，承包人必须按相关要求增加派驻人员，增加派驻人员的费用由承包人自行承担，发包人不另行支付。本合同中对承包人项目经理的到岗及更换等另有约定的，按其他约定执行。</w:t>
      </w:r>
    </w:p>
    <w:p w14:paraId="32788C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若承包人未经发包人事先书面同意而擅自更换项目经理、技术负责人、主要管理人员的，发包人有权随时解除本合同，不再支付任何费用，且承包人应赔偿给发包人造成的损失。</w:t>
      </w:r>
    </w:p>
    <w:p w14:paraId="47972100">
      <w:pPr>
        <w:widowControl/>
        <w:spacing w:line="360" w:lineRule="auto"/>
        <w:ind w:firstLine="422" w:firstLineChars="200"/>
        <w:jc w:val="left"/>
        <w:outlineLvl w:val="4"/>
        <w:rPr>
          <w:rFonts w:ascii="宋体" w:hAnsi="宋体" w:cs="宋体"/>
          <w:b/>
          <w:bCs/>
          <w:color w:val="auto"/>
          <w:kern w:val="0"/>
          <w:szCs w:val="21"/>
          <w:highlight w:val="none"/>
        </w:rPr>
      </w:pPr>
      <w:bookmarkStart w:id="1323" w:name="_Toc532377338"/>
      <w:r>
        <w:rPr>
          <w:rFonts w:hint="eastAsia" w:ascii="宋体" w:hAnsi="宋体" w:cs="宋体"/>
          <w:b/>
          <w:bCs/>
          <w:color w:val="auto"/>
          <w:kern w:val="0"/>
          <w:szCs w:val="21"/>
          <w:highlight w:val="none"/>
        </w:rPr>
        <w:t>3</w:t>
      </w:r>
      <w:bookmarkStart w:id="1324" w:name="_Toc297123492"/>
      <w:bookmarkStart w:id="1325" w:name="_Toc296347158"/>
      <w:bookmarkStart w:id="1326" w:name="_Toc296346660"/>
      <w:bookmarkStart w:id="1327" w:name="_Toc292559364"/>
      <w:bookmarkStart w:id="1328" w:name="_Toc292559869"/>
      <w:bookmarkStart w:id="1329" w:name="_Toc297048345"/>
      <w:bookmarkStart w:id="1330" w:name="_Toc300934945"/>
      <w:bookmarkStart w:id="1331" w:name="_Toc304295523"/>
      <w:bookmarkStart w:id="1332" w:name="_Toc296944498"/>
      <w:bookmarkStart w:id="1333" w:name="_Toc303539102"/>
      <w:bookmarkStart w:id="1334" w:name="_Toc297216151"/>
      <w:bookmarkStart w:id="1335" w:name="_Toc297120459"/>
      <w:bookmarkStart w:id="1336" w:name="_Toc312677988"/>
      <w:bookmarkStart w:id="1337" w:name="_Toc296890987"/>
      <w:bookmarkStart w:id="1338" w:name="_Toc296503159"/>
      <w:bookmarkStart w:id="1339" w:name="_Toc296891199"/>
      <w:r>
        <w:rPr>
          <w:rFonts w:hint="eastAsia" w:ascii="宋体" w:hAnsi="宋体" w:cs="宋体"/>
          <w:b/>
          <w:bCs/>
          <w:color w:val="auto"/>
          <w:kern w:val="0"/>
          <w:szCs w:val="21"/>
          <w:highlight w:val="none"/>
        </w:rPr>
        <w:t>.5 分包</w:t>
      </w:r>
      <w:bookmarkEnd w:id="1323"/>
    </w:p>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14:paraId="1996ED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340" w:name="_Toc296891200"/>
      <w:bookmarkStart w:id="1341" w:name="_Toc292559870"/>
      <w:bookmarkStart w:id="1342" w:name="_Toc296346661"/>
      <w:bookmarkStart w:id="1343" w:name="_Toc312677989"/>
      <w:bookmarkStart w:id="1344" w:name="_Toc292559365"/>
      <w:bookmarkStart w:id="1345" w:name="_Toc297048346"/>
      <w:bookmarkStart w:id="1346" w:name="_Toc297123493"/>
      <w:bookmarkStart w:id="1347" w:name="_Toc297216152"/>
      <w:bookmarkStart w:id="1348" w:name="_Toc296347159"/>
      <w:bookmarkStart w:id="1349" w:name="_Toc297120460"/>
      <w:bookmarkStart w:id="1350" w:name="_Toc303539103"/>
      <w:bookmarkStart w:id="1351" w:name="_Toc296890988"/>
      <w:bookmarkStart w:id="1352" w:name="_Toc304295524"/>
      <w:bookmarkStart w:id="1353" w:name="_Toc296503160"/>
      <w:bookmarkStart w:id="1354" w:name="_Toc300934946"/>
      <w:bookmarkStart w:id="1355" w:name="_Toc296944499"/>
      <w:bookmarkStart w:id="1356" w:name="_Toc318581158"/>
      <w:r>
        <w:rPr>
          <w:rFonts w:hint="eastAsia" w:ascii="宋体" w:hAnsi="宋体"/>
          <w:color w:val="auto"/>
          <w:szCs w:val="21"/>
          <w:highlight w:val="none"/>
        </w:rPr>
        <w:t>.5.1 分包的一般约定</w:t>
      </w:r>
    </w:p>
    <w:p w14:paraId="120337EE">
      <w:pPr>
        <w:spacing w:after="120"/>
        <w:rPr>
          <w:color w:val="auto"/>
          <w:highlight w:val="none"/>
        </w:rPr>
      </w:pPr>
      <w:r>
        <w:rPr>
          <w:rFonts w:hint="eastAsia"/>
          <w:color w:val="auto"/>
          <w:highlight w:val="none"/>
        </w:rPr>
        <w:t xml:space="preserve">    未经发包人事先书面同意，本工程禁止分包。一经查实，承包人的履约担保不予退还，发包人有权终止合同</w:t>
      </w:r>
    </w:p>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14:paraId="21C005DA">
      <w:pPr>
        <w:widowControl/>
        <w:spacing w:line="360" w:lineRule="auto"/>
        <w:ind w:firstLine="422" w:firstLineChars="200"/>
        <w:jc w:val="left"/>
        <w:outlineLvl w:val="4"/>
        <w:rPr>
          <w:rFonts w:ascii="宋体" w:hAnsi="宋体" w:cs="宋体"/>
          <w:b/>
          <w:bCs/>
          <w:color w:val="auto"/>
          <w:kern w:val="0"/>
          <w:szCs w:val="21"/>
          <w:highlight w:val="none"/>
        </w:rPr>
      </w:pPr>
      <w:bookmarkStart w:id="1357" w:name="_Toc532377339"/>
      <w:r>
        <w:rPr>
          <w:rFonts w:hint="eastAsia" w:ascii="宋体" w:hAnsi="宋体" w:cs="宋体"/>
          <w:b/>
          <w:bCs/>
          <w:color w:val="auto"/>
          <w:kern w:val="0"/>
          <w:szCs w:val="21"/>
          <w:highlight w:val="none"/>
        </w:rPr>
        <w:t>3.7 履约担保</w:t>
      </w:r>
      <w:bookmarkEnd w:id="1357"/>
    </w:p>
    <w:p w14:paraId="3B6522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7C54FE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14:paraId="28CD649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（1）履约担保的形式：现金或履约保函；</w:t>
      </w:r>
      <w:r>
        <w:rPr>
          <w:rFonts w:hint="eastAsia" w:ascii="宋体" w:hAnsi="宋体"/>
          <w:color w:val="auto"/>
          <w:szCs w:val="21"/>
          <w:highlight w:val="none"/>
        </w:rPr>
        <w:t>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p>
    <w:p w14:paraId="41F78B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（2）履约担保的金额：签约合同价10%；</w:t>
      </w:r>
    </w:p>
    <w:p w14:paraId="48FC73F2">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olor w:val="auto"/>
          <w:szCs w:val="21"/>
          <w:highlight w:val="none"/>
        </w:rPr>
        <w:t>。未提供履约担保，一切责任由承包人承担。</w:t>
      </w:r>
    </w:p>
    <w:p w14:paraId="19FB5654">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（4）履约担保的期限：</w:t>
      </w:r>
      <w:r>
        <w:rPr>
          <w:rFonts w:hint="eastAsia" w:ascii="宋体" w:hAnsi="宋体"/>
          <w:color w:val="auto"/>
          <w:szCs w:val="21"/>
          <w:highlight w:val="none"/>
          <w:u w:val="single"/>
        </w:rPr>
        <w:t>自承包人法定代表人（或其委托代理人）签名并加盖公章之日起至发包人签发工程接收证书之日止</w:t>
      </w:r>
      <w:r>
        <w:rPr>
          <w:rFonts w:hint="eastAsia" w:ascii="宋体" w:hAnsi="宋体"/>
          <w:color w:val="auto"/>
          <w:szCs w:val="21"/>
          <w:highlight w:val="none"/>
        </w:rPr>
        <w:t>。</w:t>
      </w:r>
    </w:p>
    <w:p w14:paraId="1F689FB6">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（5）履约担保的退还时间：</w:t>
      </w:r>
      <w:r>
        <w:rPr>
          <w:rFonts w:hint="eastAsia" w:ascii="宋体" w:hAnsi="宋体"/>
          <w:color w:val="auto"/>
          <w:szCs w:val="21"/>
          <w:highlight w:val="none"/>
          <w:u w:val="single"/>
        </w:rPr>
        <w:t>采用现金担保的，发包人签发工程接收证书后14天内无息退还；采用银行保函的，发包人签发工程接收证书后14天内退还</w:t>
      </w:r>
      <w:r>
        <w:rPr>
          <w:rFonts w:hint="eastAsia" w:ascii="宋体" w:hAnsi="宋体"/>
          <w:color w:val="auto"/>
          <w:szCs w:val="21"/>
          <w:highlight w:val="none"/>
        </w:rPr>
        <w:t>。</w:t>
      </w:r>
    </w:p>
    <w:p w14:paraId="36AD7E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（6）履约担保的有效期</w:t>
      </w:r>
    </w:p>
    <w:p w14:paraId="16C1689B">
      <w:pPr>
        <w:spacing w:line="360" w:lineRule="auto"/>
        <w:ind w:firstLine="420" w:firstLineChars="200"/>
        <w:jc w:val="left"/>
        <w:rPr>
          <w:color w:val="auto"/>
          <w:highlight w:val="none"/>
        </w:rPr>
      </w:pPr>
      <w:r>
        <w:rPr>
          <w:rFonts w:hint="eastAsia" w:ascii="宋体" w:hAnsi="宋体"/>
          <w:color w:val="auto"/>
          <w:szCs w:val="21"/>
          <w:highlight w:val="none"/>
        </w:rPr>
        <w:t>履约担保的有效期应当自本合同生效之日起至发包人竣工验收合格后14天。如果无法获得一份不带具体截止日期的担保，履约担保中应当有“变更工程竣工日期的，保证期间按照变更后的竣工日期做相应调整”或类似约定的条款。</w:t>
      </w:r>
    </w:p>
    <w:p w14:paraId="44483DA2">
      <w:pPr>
        <w:keepNext/>
        <w:keepLines/>
        <w:widowControl/>
        <w:spacing w:before="156" w:beforeLines="50" w:after="156" w:afterLines="50" w:line="360" w:lineRule="auto"/>
        <w:outlineLvl w:val="3"/>
        <w:rPr>
          <w:rFonts w:ascii="宋体" w:hAnsi="宋体" w:cs="宋体"/>
          <w:b/>
          <w:color w:val="auto"/>
          <w:szCs w:val="21"/>
          <w:highlight w:val="none"/>
        </w:rPr>
      </w:pPr>
      <w:bookmarkStart w:id="1358" w:name="_Toc532377340"/>
      <w:bookmarkStart w:id="1359" w:name="_Toc532375611"/>
      <w:bookmarkStart w:id="1360" w:name="_Toc351203636"/>
      <w:r>
        <w:rPr>
          <w:rFonts w:hint="eastAsia" w:ascii="宋体" w:hAnsi="宋体" w:cs="宋体"/>
          <w:b/>
          <w:bCs/>
          <w:color w:val="auto"/>
          <w:szCs w:val="21"/>
          <w:highlight w:val="none"/>
        </w:rPr>
        <w:t>4</w:t>
      </w:r>
      <w:bookmarkStart w:id="1361" w:name="_Toc292559871"/>
      <w:bookmarkStart w:id="1362" w:name="_Toc296346663"/>
      <w:bookmarkStart w:id="1363" w:name="_Toc296944501"/>
      <w:bookmarkStart w:id="1364" w:name="_Toc267251413"/>
      <w:bookmarkStart w:id="1365" w:name="_Toc296347161"/>
      <w:bookmarkStart w:id="1366" w:name="_Toc292559366"/>
      <w:bookmarkStart w:id="1367" w:name="_Toc296890990"/>
      <w:bookmarkStart w:id="1368" w:name="_Toc296891202"/>
      <w:bookmarkStart w:id="1369" w:name="_Toc297048348"/>
      <w:bookmarkStart w:id="1370" w:name="_Toc297120462"/>
      <w:bookmarkStart w:id="1371" w:name="_Toc296503162"/>
      <w:r>
        <w:rPr>
          <w:rFonts w:hint="eastAsia" w:ascii="宋体" w:hAnsi="宋体" w:cs="宋体"/>
          <w:b/>
          <w:bCs/>
          <w:color w:val="auto"/>
          <w:szCs w:val="21"/>
          <w:highlight w:val="none"/>
        </w:rPr>
        <w:t>. 监</w:t>
      </w:r>
      <w:bookmarkEnd w:id="1361"/>
      <w:bookmarkEnd w:id="1362"/>
      <w:bookmarkEnd w:id="1363"/>
      <w:bookmarkEnd w:id="1364"/>
      <w:bookmarkEnd w:id="1365"/>
      <w:bookmarkEnd w:id="1366"/>
      <w:bookmarkEnd w:id="1367"/>
      <w:bookmarkEnd w:id="1368"/>
      <w:bookmarkEnd w:id="1369"/>
      <w:bookmarkEnd w:id="1370"/>
      <w:bookmarkEnd w:id="1371"/>
      <w:r>
        <w:rPr>
          <w:rFonts w:hint="eastAsia" w:ascii="宋体" w:hAnsi="宋体" w:cs="宋体"/>
          <w:b/>
          <w:bCs/>
          <w:color w:val="auto"/>
          <w:szCs w:val="21"/>
          <w:highlight w:val="none"/>
        </w:rPr>
        <w:t>理人</w:t>
      </w:r>
      <w:bookmarkEnd w:id="1358"/>
      <w:bookmarkEnd w:id="1359"/>
      <w:bookmarkEnd w:id="1360"/>
    </w:p>
    <w:p w14:paraId="7CCDC01A">
      <w:pPr>
        <w:widowControl/>
        <w:spacing w:line="360" w:lineRule="auto"/>
        <w:ind w:firstLine="422" w:firstLineChars="200"/>
        <w:jc w:val="left"/>
        <w:outlineLvl w:val="4"/>
        <w:rPr>
          <w:rFonts w:ascii="宋体" w:hAnsi="宋体" w:cs="宋体"/>
          <w:b/>
          <w:bCs/>
          <w:color w:val="auto"/>
          <w:kern w:val="0"/>
          <w:szCs w:val="21"/>
          <w:highlight w:val="none"/>
        </w:rPr>
      </w:pPr>
      <w:bookmarkStart w:id="1372" w:name="_Toc532377341"/>
      <w:r>
        <w:rPr>
          <w:rFonts w:hint="eastAsia" w:ascii="宋体" w:hAnsi="宋体" w:cs="宋体"/>
          <w:b/>
          <w:bCs/>
          <w:color w:val="auto"/>
          <w:kern w:val="0"/>
          <w:szCs w:val="21"/>
          <w:highlight w:val="none"/>
        </w:rPr>
        <w:t>4.1 监理人的一般规定</w:t>
      </w:r>
      <w:bookmarkEnd w:id="1372"/>
    </w:p>
    <w:p w14:paraId="240204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03C891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14:paraId="598C4F3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按渝建质安〔2021〕63号文《关于实施房屋市政工程监理工作“十不准”规定的通知》不提供监理人；但提供1～2间工作用房和1间会议室作为发包人临时办公场所，总面积40～60平方米，直至满足办公需求</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承包人应为发包人指定的第三方提供</w:t>
      </w:r>
      <w:r>
        <w:rPr>
          <w:rFonts w:hint="eastAsia" w:ascii="宋体" w:hAnsi="宋体"/>
          <w:color w:val="auto"/>
          <w:szCs w:val="21"/>
          <w:highlight w:val="none"/>
          <w:u w:val="single"/>
        </w:rPr>
        <w:t>临时办公场所</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本条约定使用办公场所产生的</w:t>
      </w:r>
      <w:r>
        <w:rPr>
          <w:rFonts w:hint="eastAsia" w:ascii="宋体" w:hAnsi="宋体"/>
          <w:color w:val="auto"/>
          <w:szCs w:val="21"/>
          <w:highlight w:val="none"/>
          <w:u w:val="single"/>
        </w:rPr>
        <w:t>费用由承包人承担，已包含在投标报价中不单独计算。</w:t>
      </w:r>
    </w:p>
    <w:p w14:paraId="49E1E834">
      <w:pPr>
        <w:widowControl/>
        <w:spacing w:line="360" w:lineRule="auto"/>
        <w:ind w:firstLine="422" w:firstLineChars="200"/>
        <w:jc w:val="left"/>
        <w:outlineLvl w:val="4"/>
        <w:rPr>
          <w:rFonts w:ascii="宋体" w:hAnsi="宋体" w:cs="宋体"/>
          <w:b/>
          <w:bCs/>
          <w:color w:val="auto"/>
          <w:kern w:val="0"/>
          <w:szCs w:val="21"/>
          <w:highlight w:val="none"/>
        </w:rPr>
      </w:pPr>
      <w:bookmarkStart w:id="1373" w:name="_Toc532377342"/>
      <w:r>
        <w:rPr>
          <w:rFonts w:hint="eastAsia" w:ascii="宋体" w:hAnsi="宋体" w:cs="宋体"/>
          <w:b/>
          <w:bCs/>
          <w:color w:val="auto"/>
          <w:kern w:val="0"/>
          <w:szCs w:val="21"/>
          <w:highlight w:val="none"/>
        </w:rPr>
        <w:t>4.2 监理人员</w:t>
      </w:r>
      <w:bookmarkEnd w:id="1373"/>
    </w:p>
    <w:p w14:paraId="403763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14:paraId="6993068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580811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color w:val="auto"/>
          <w:szCs w:val="21"/>
          <w:highlight w:val="none"/>
        </w:rPr>
        <w:t>；</w:t>
      </w:r>
    </w:p>
    <w:p w14:paraId="683622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811B0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0699A2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3F47BAD9">
      <w:pPr>
        <w:widowControl/>
        <w:spacing w:line="360" w:lineRule="auto"/>
        <w:ind w:firstLine="420" w:firstLineChars="200"/>
        <w:jc w:val="left"/>
        <w:outlineLvl w:val="4"/>
        <w:rPr>
          <w:rFonts w:ascii="宋体" w:hAnsi="宋体" w:cs="宋体"/>
          <w:bCs/>
          <w:color w:val="auto"/>
          <w:kern w:val="0"/>
          <w:szCs w:val="21"/>
          <w:highlight w:val="none"/>
        </w:rPr>
      </w:pPr>
      <w:bookmarkStart w:id="1374" w:name="_Toc532377343"/>
      <w:r>
        <w:rPr>
          <w:rFonts w:hint="eastAsia" w:ascii="宋体" w:hAnsi="宋体" w:cs="宋体"/>
          <w:bCs/>
          <w:color w:val="auto"/>
          <w:kern w:val="0"/>
          <w:szCs w:val="21"/>
          <w:highlight w:val="none"/>
        </w:rPr>
        <w:t>4.4 商定或确定</w:t>
      </w:r>
      <w:bookmarkEnd w:id="1374"/>
    </w:p>
    <w:p w14:paraId="673C29D9">
      <w:pPr>
        <w:spacing w:line="360" w:lineRule="auto"/>
        <w:ind w:firstLine="420" w:firstLineChars="200"/>
        <w:jc w:val="left"/>
        <w:rPr>
          <w:rFonts w:ascii="宋体" w:hAnsi="宋体"/>
          <w:color w:val="auto"/>
          <w:szCs w:val="21"/>
          <w:highlight w:val="none"/>
        </w:rPr>
      </w:pPr>
      <w:bookmarkStart w:id="1375" w:name="_Toc267251418"/>
      <w:r>
        <w:rPr>
          <w:rFonts w:hint="eastAsia" w:ascii="宋体" w:hAnsi="宋体"/>
          <w:color w:val="auto"/>
          <w:szCs w:val="21"/>
          <w:highlight w:val="none"/>
        </w:rPr>
        <w:t>在发包人和承包人不能通过协商达成一致意见时，发包人授权监理人对以下事项进行确定：</w:t>
      </w:r>
    </w:p>
    <w:p w14:paraId="71B995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EC73474">
      <w:pPr>
        <w:keepNext/>
        <w:keepLines/>
        <w:widowControl/>
        <w:spacing w:before="156" w:beforeLines="50" w:after="156" w:afterLines="50" w:line="360" w:lineRule="auto"/>
        <w:outlineLvl w:val="3"/>
        <w:rPr>
          <w:rFonts w:ascii="宋体" w:hAnsi="宋体" w:cs="宋体"/>
          <w:b/>
          <w:color w:val="auto"/>
          <w:szCs w:val="21"/>
          <w:highlight w:val="none"/>
        </w:rPr>
      </w:pPr>
      <w:bookmarkStart w:id="1376" w:name="_Toc532377344"/>
      <w:bookmarkStart w:id="1377" w:name="_Toc351203637"/>
      <w:bookmarkStart w:id="1378" w:name="_Toc532375612"/>
      <w:r>
        <w:rPr>
          <w:rFonts w:hint="eastAsia" w:ascii="宋体" w:hAnsi="宋体" w:cs="宋体"/>
          <w:b/>
          <w:bCs/>
          <w:color w:val="auto"/>
          <w:szCs w:val="21"/>
          <w:highlight w:val="none"/>
        </w:rPr>
        <w:t>5</w:t>
      </w:r>
      <w:bookmarkEnd w:id="1375"/>
      <w:bookmarkStart w:id="1379" w:name="_Toc292559872"/>
      <w:bookmarkStart w:id="1380" w:name="_Toc296503163"/>
      <w:bookmarkStart w:id="1381" w:name="_Toc296891203"/>
      <w:bookmarkStart w:id="1382" w:name="_Toc292559367"/>
      <w:bookmarkStart w:id="1383" w:name="_Toc297120463"/>
      <w:bookmarkStart w:id="1384" w:name="_Toc296346664"/>
      <w:bookmarkStart w:id="1385" w:name="_Toc296944502"/>
      <w:bookmarkStart w:id="1386" w:name="_Toc296890991"/>
      <w:bookmarkStart w:id="1387" w:name="_Toc296347162"/>
      <w:bookmarkStart w:id="1388" w:name="_Toc297048349"/>
      <w:r>
        <w:rPr>
          <w:rFonts w:hint="eastAsia" w:ascii="宋体" w:hAnsi="宋体" w:cs="宋体"/>
          <w:b/>
          <w:bCs/>
          <w:color w:val="auto"/>
          <w:szCs w:val="21"/>
          <w:highlight w:val="none"/>
        </w:rPr>
        <w:t>. 工程质量</w:t>
      </w:r>
      <w:bookmarkEnd w:id="1376"/>
      <w:bookmarkEnd w:id="1377"/>
      <w:bookmarkEnd w:id="1378"/>
    </w:p>
    <w:p w14:paraId="028A7691">
      <w:pPr>
        <w:widowControl/>
        <w:spacing w:line="360" w:lineRule="auto"/>
        <w:ind w:firstLine="422" w:firstLineChars="200"/>
        <w:jc w:val="left"/>
        <w:outlineLvl w:val="4"/>
        <w:rPr>
          <w:rFonts w:ascii="宋体" w:hAnsi="宋体" w:cs="宋体"/>
          <w:b/>
          <w:bCs/>
          <w:color w:val="auto"/>
          <w:kern w:val="0"/>
          <w:szCs w:val="21"/>
          <w:highlight w:val="none"/>
        </w:rPr>
      </w:pPr>
      <w:bookmarkStart w:id="1389" w:name="_Toc532377345"/>
      <w:r>
        <w:rPr>
          <w:rFonts w:hint="eastAsia" w:ascii="宋体" w:hAnsi="宋体" w:cs="宋体"/>
          <w:b/>
          <w:bCs/>
          <w:color w:val="auto"/>
          <w:kern w:val="0"/>
          <w:szCs w:val="21"/>
          <w:highlight w:val="none"/>
        </w:rPr>
        <w:t>5.1 质量要求</w:t>
      </w:r>
      <w:bookmarkEnd w:id="1389"/>
      <w:bookmarkStart w:id="1390" w:name="_Hlk528909888"/>
      <w:bookmarkStart w:id="1391" w:name="_Toc304295527"/>
      <w:bookmarkStart w:id="1392" w:name="_Toc297216155"/>
      <w:bookmarkStart w:id="1393" w:name="_Toc303539106"/>
      <w:bookmarkStart w:id="1394" w:name="_Toc312677997"/>
      <w:bookmarkStart w:id="1395" w:name="_Toc318581164"/>
      <w:bookmarkStart w:id="1396" w:name="_Toc297123496"/>
      <w:bookmarkStart w:id="1397" w:name="_Toc300934949"/>
    </w:p>
    <w:p w14:paraId="1ACDD6E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达到国家和重庆市现行有关施工质量验收规范要求及合同文件中所有发包人之其他相关工程质量规定，并须在存有任何标准不一致时按较高标准的要求执行，达到一次性验收合格标准。</w:t>
      </w:r>
    </w:p>
    <w:bookmarkEnd w:id="1390"/>
    <w:p w14:paraId="340B3A60">
      <w:pPr>
        <w:widowControl/>
        <w:spacing w:line="360" w:lineRule="auto"/>
        <w:ind w:firstLine="422" w:firstLineChars="200"/>
        <w:jc w:val="left"/>
        <w:outlineLvl w:val="4"/>
        <w:rPr>
          <w:rFonts w:ascii="宋体" w:hAnsi="宋体" w:cs="宋体"/>
          <w:b/>
          <w:bCs/>
          <w:color w:val="auto"/>
          <w:kern w:val="0"/>
          <w:szCs w:val="21"/>
          <w:highlight w:val="none"/>
        </w:rPr>
      </w:pPr>
      <w:bookmarkStart w:id="1398" w:name="_Toc532377346"/>
      <w:r>
        <w:rPr>
          <w:rFonts w:hint="eastAsia" w:ascii="宋体" w:hAnsi="宋体" w:cs="宋体"/>
          <w:b/>
          <w:bCs/>
          <w:color w:val="auto"/>
          <w:kern w:val="0"/>
          <w:szCs w:val="21"/>
          <w:highlight w:val="none"/>
        </w:rPr>
        <w:t>5.2 质量保证措施</w:t>
      </w:r>
      <w:bookmarkEnd w:id="1398"/>
    </w:p>
    <w:p w14:paraId="76C2E1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14:paraId="4AFDC8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14:paraId="768E27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14:paraId="3C5072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14:paraId="3D6BB4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14:paraId="2D8808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14:paraId="7C8E39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14:paraId="0F96F0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14:paraId="4A8D39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14:paraId="3F0604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14:paraId="0EEBE2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14:paraId="6483EE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14:paraId="0B5C79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发包人质量要求 </w:t>
      </w:r>
      <w:r>
        <w:rPr>
          <w:rFonts w:hint="eastAsia" w:ascii="宋体" w:hAnsi="宋体"/>
          <w:color w:val="auto"/>
          <w:szCs w:val="21"/>
          <w:highlight w:val="none"/>
        </w:rPr>
        <w:t>。</w:t>
      </w:r>
    </w:p>
    <w:p w14:paraId="29C1F0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14:paraId="4A3A91DE">
      <w:pPr>
        <w:widowControl/>
        <w:spacing w:line="360" w:lineRule="auto"/>
        <w:ind w:firstLine="422" w:firstLineChars="200"/>
        <w:jc w:val="left"/>
        <w:outlineLvl w:val="4"/>
        <w:rPr>
          <w:rFonts w:ascii="宋体" w:hAnsi="宋体" w:cs="宋体"/>
          <w:b/>
          <w:bCs/>
          <w:color w:val="auto"/>
          <w:kern w:val="0"/>
          <w:szCs w:val="21"/>
          <w:highlight w:val="none"/>
        </w:rPr>
      </w:pPr>
      <w:bookmarkStart w:id="1399" w:name="_Toc351203536"/>
      <w:bookmarkStart w:id="1400" w:name="_Toc532377347"/>
      <w:bookmarkStart w:id="1401" w:name="_Hlk528927873"/>
      <w:r>
        <w:rPr>
          <w:rFonts w:hint="eastAsia" w:ascii="宋体" w:hAnsi="宋体" w:cs="宋体"/>
          <w:b/>
          <w:bCs/>
          <w:color w:val="auto"/>
          <w:kern w:val="0"/>
          <w:szCs w:val="21"/>
          <w:highlight w:val="none"/>
        </w:rPr>
        <w:t>5.3隐蔽工程检查</w:t>
      </w:r>
    </w:p>
    <w:p w14:paraId="0DEF0A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14:paraId="7D59399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12 </w:t>
      </w:r>
      <w:r>
        <w:rPr>
          <w:rFonts w:hint="eastAsia" w:ascii="宋体" w:hAnsi="宋体"/>
          <w:color w:val="auto"/>
          <w:szCs w:val="21"/>
          <w:highlight w:val="none"/>
        </w:rPr>
        <w:t>小时书面通知监理人检查，通知中应载明隐蔽检查的内容、时间和地点，并应附有自检记录和必要的检查资料。</w:t>
      </w:r>
      <w:r>
        <w:rPr>
          <w:rFonts w:hint="eastAsia" w:ascii="宋体" w:hAnsi="宋体"/>
          <w:color w:val="auto"/>
          <w:szCs w:val="21"/>
          <w:highlight w:val="none"/>
        </w:rPr>
        <w:t>对于隐蔽工程发包人将委托有资质的检测单位进行现场抽检，一旦发现问题，承包人必须按照要求进行整改，承担10万元/次的违约金，并支付相应的检测费用。</w:t>
      </w:r>
    </w:p>
    <w:p w14:paraId="098C8A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5.3.3 重新检查</w:t>
      </w:r>
    </w:p>
    <w:p w14:paraId="513DFB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（1）隐蔽工程在隐蔽前，承包人应当通知发包人、和质量监督机构、监理、地勘设计，对未经监理人员验收或验收不合格的工序，监理人员应拒绝签认，并要求承包单位严禁进入下一道工序的施工。</w:t>
      </w:r>
    </w:p>
    <w:p w14:paraId="15BE2C48">
      <w:pPr>
        <w:spacing w:line="360" w:lineRule="auto"/>
        <w:ind w:firstLine="420" w:firstLineChars="200"/>
        <w:jc w:val="left"/>
        <w:rPr>
          <w:color w:val="auto"/>
          <w:highlight w:val="none"/>
        </w:rPr>
      </w:pPr>
      <w:r>
        <w:rPr>
          <w:rFonts w:hint="eastAsia" w:ascii="宋体" w:hAnsi="宋体"/>
          <w:color w:val="auto"/>
          <w:szCs w:val="21"/>
          <w:highlight w:val="none"/>
        </w:rPr>
        <w:t>（2）发包人及上级监督机构将不定期抽查监理单位对“重点部位、关键工序”实施旁站监理情况。</w:t>
      </w:r>
    </w:p>
    <w:p w14:paraId="2F742612">
      <w:pPr>
        <w:widowControl/>
        <w:spacing w:line="360" w:lineRule="auto"/>
        <w:ind w:firstLine="422" w:firstLineChars="200"/>
        <w:jc w:val="left"/>
        <w:outlineLvl w:val="4"/>
        <w:rPr>
          <w:rFonts w:ascii="宋体" w:hAnsi="宋体" w:cs="宋体"/>
          <w:b/>
          <w:bCs/>
          <w:color w:val="auto"/>
          <w:kern w:val="0"/>
          <w:szCs w:val="21"/>
          <w:highlight w:val="none"/>
        </w:rPr>
      </w:pPr>
      <w:r>
        <w:rPr>
          <w:rFonts w:hint="eastAsia" w:ascii="宋体" w:hAnsi="宋体" w:cs="宋体"/>
          <w:b/>
          <w:bCs/>
          <w:color w:val="auto"/>
          <w:kern w:val="0"/>
          <w:szCs w:val="21"/>
          <w:highlight w:val="none"/>
        </w:rPr>
        <w:t>5</w:t>
      </w:r>
      <w:bookmarkStart w:id="1402" w:name="_Toc337558762"/>
      <w:r>
        <w:rPr>
          <w:rFonts w:hint="eastAsia" w:ascii="宋体" w:hAnsi="宋体" w:cs="宋体"/>
          <w:b/>
          <w:bCs/>
          <w:color w:val="auto"/>
          <w:kern w:val="0"/>
          <w:szCs w:val="21"/>
          <w:highlight w:val="none"/>
        </w:rPr>
        <w:t>.4 不合格工程的处理</w:t>
      </w:r>
      <w:bookmarkEnd w:id="1399"/>
      <w:bookmarkEnd w:id="1400"/>
    </w:p>
    <w:bookmarkEnd w:id="1402"/>
    <w:p w14:paraId="7D4B66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14:paraId="7824F0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承包人在收到监理人发出的《不合格分项报告》或监理通知单后，必须在监理人规定时间内按要求完成整改，未能在限定时间内完成整改的，须承担相应违约责任，发包人有权解除本合同。</w:t>
      </w:r>
    </w:p>
    <w:p w14:paraId="5AF5B7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5.5 质量争议检测</w:t>
      </w:r>
    </w:p>
    <w:p w14:paraId="21A11A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双方约定工程质量有争议时：由发包人处理。</w:t>
      </w:r>
    </w:p>
    <w:p w14:paraId="495761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1401"/>
    <w:p w14:paraId="42C456E6">
      <w:pPr>
        <w:widowControl/>
        <w:spacing w:line="360" w:lineRule="auto"/>
        <w:ind w:firstLine="422" w:firstLineChars="200"/>
        <w:jc w:val="left"/>
        <w:outlineLvl w:val="4"/>
        <w:rPr>
          <w:rFonts w:ascii="宋体" w:hAnsi="宋体" w:cs="宋体"/>
          <w:b/>
          <w:bCs/>
          <w:color w:val="auto"/>
          <w:kern w:val="0"/>
          <w:szCs w:val="21"/>
          <w:highlight w:val="none"/>
        </w:rPr>
      </w:pPr>
      <w:bookmarkStart w:id="1403" w:name="_Toc532377348"/>
      <w:r>
        <w:rPr>
          <w:rFonts w:hint="eastAsia" w:ascii="宋体" w:hAnsi="宋体" w:cs="宋体"/>
          <w:b/>
          <w:bCs/>
          <w:color w:val="auto"/>
          <w:kern w:val="0"/>
          <w:szCs w:val="21"/>
          <w:highlight w:val="none"/>
        </w:rPr>
        <w:t>5.6 质量事故的处理</w:t>
      </w:r>
      <w:bookmarkEnd w:id="1403"/>
    </w:p>
    <w:p w14:paraId="5B00A7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14:paraId="7F90F8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79"/>
    <w:bookmarkEnd w:id="1380"/>
    <w:bookmarkEnd w:id="1381"/>
    <w:bookmarkEnd w:id="1382"/>
    <w:bookmarkEnd w:id="1383"/>
    <w:bookmarkEnd w:id="1384"/>
    <w:bookmarkEnd w:id="1385"/>
    <w:bookmarkEnd w:id="1386"/>
    <w:bookmarkEnd w:id="1387"/>
    <w:bookmarkEnd w:id="1388"/>
    <w:bookmarkEnd w:id="1391"/>
    <w:bookmarkEnd w:id="1392"/>
    <w:bookmarkEnd w:id="1393"/>
    <w:bookmarkEnd w:id="1394"/>
    <w:bookmarkEnd w:id="1395"/>
    <w:bookmarkEnd w:id="1396"/>
    <w:bookmarkEnd w:id="1397"/>
    <w:p w14:paraId="1603E1CF">
      <w:pPr>
        <w:keepNext/>
        <w:keepLines/>
        <w:widowControl/>
        <w:spacing w:before="156" w:beforeLines="50" w:after="156" w:afterLines="50" w:line="360" w:lineRule="auto"/>
        <w:outlineLvl w:val="3"/>
        <w:rPr>
          <w:rFonts w:ascii="宋体" w:hAnsi="宋体" w:cs="宋体"/>
          <w:b/>
          <w:color w:val="auto"/>
          <w:szCs w:val="21"/>
          <w:highlight w:val="none"/>
        </w:rPr>
      </w:pPr>
      <w:bookmarkStart w:id="1404" w:name="_Toc532375613"/>
      <w:bookmarkStart w:id="1405" w:name="_Toc351203638"/>
      <w:bookmarkStart w:id="1406" w:name="_Toc532377349"/>
      <w:bookmarkStart w:id="1407" w:name="_Toc296944512"/>
      <w:bookmarkStart w:id="1408" w:name="_Toc292559883"/>
      <w:bookmarkStart w:id="1409" w:name="_Toc296346674"/>
      <w:bookmarkStart w:id="1410" w:name="_Toc267251428"/>
      <w:bookmarkStart w:id="1411" w:name="_Toc296891213"/>
      <w:bookmarkStart w:id="1412" w:name="_Toc267251427"/>
      <w:bookmarkStart w:id="1413" w:name="_Toc296891001"/>
      <w:bookmarkStart w:id="1414" w:name="_Toc351203642"/>
      <w:bookmarkStart w:id="1415" w:name="_Toc297048359"/>
      <w:bookmarkStart w:id="1416" w:name="_Toc292559378"/>
      <w:bookmarkStart w:id="1417" w:name="_Toc296347172"/>
      <w:bookmarkStart w:id="1418" w:name="_Toc296503173"/>
      <w:bookmarkStart w:id="1419" w:name="_Toc297120473"/>
      <w:r>
        <w:rPr>
          <w:rFonts w:hint="eastAsia" w:ascii="宋体" w:hAnsi="宋体" w:cs="宋体"/>
          <w:b/>
          <w:bCs/>
          <w:color w:val="auto"/>
          <w:szCs w:val="21"/>
          <w:highlight w:val="none"/>
        </w:rPr>
        <w:t>6. 安全文明施工与环境保护</w:t>
      </w:r>
      <w:bookmarkEnd w:id="1404"/>
      <w:bookmarkEnd w:id="1405"/>
      <w:bookmarkEnd w:id="1406"/>
    </w:p>
    <w:p w14:paraId="04E264A0">
      <w:pPr>
        <w:widowControl/>
        <w:spacing w:line="360" w:lineRule="auto"/>
        <w:ind w:firstLine="422" w:firstLineChars="200"/>
        <w:jc w:val="left"/>
        <w:outlineLvl w:val="4"/>
        <w:rPr>
          <w:rFonts w:ascii="宋体" w:hAnsi="宋体" w:cs="宋体"/>
          <w:b/>
          <w:bCs/>
          <w:color w:val="auto"/>
          <w:kern w:val="0"/>
          <w:szCs w:val="21"/>
          <w:highlight w:val="none"/>
        </w:rPr>
      </w:pPr>
      <w:bookmarkStart w:id="1420" w:name="_Toc532375614"/>
      <w:bookmarkStart w:id="1421" w:name="_Toc532377350"/>
      <w:r>
        <w:rPr>
          <w:rFonts w:hint="eastAsia" w:ascii="宋体" w:hAnsi="宋体" w:cs="宋体"/>
          <w:b/>
          <w:bCs/>
          <w:color w:val="auto"/>
          <w:kern w:val="0"/>
          <w:szCs w:val="21"/>
          <w:highlight w:val="none"/>
        </w:rPr>
        <w:t>6.1 安全文明施工</w:t>
      </w:r>
      <w:bookmarkEnd w:id="1420"/>
      <w:bookmarkEnd w:id="1421"/>
    </w:p>
    <w:p w14:paraId="55506F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承包人必须认真贯彻执行国家安全生产法律、法规、规章和标准，按照重庆市现行的质量、安全文明施工有关规定和发包人安全管理的有关规定，建立完善的质量、安全、文明施工管理制度。</w:t>
      </w:r>
    </w:p>
    <w:p w14:paraId="3BB2F68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r>
        <w:rPr>
          <w:rFonts w:hint="eastAsia" w:ascii="宋体" w:hAnsi="宋体"/>
          <w:color w:val="auto"/>
          <w:szCs w:val="21"/>
          <w:highlight w:val="none"/>
        </w:rPr>
        <w:t>承包人应按照相关规定要求做好安全防护措施，若发包人发现现场安全防护措施未按照相关规定要求设置，则视为承包人违约，发包人根据现场情况有权要求承包人向发包人承担10000元/次的违约金。</w:t>
      </w:r>
    </w:p>
    <w:p w14:paraId="2D4C239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安全“零事故”目标，达到《建筑施工安全检查标准》（JGJ59-2011）的要求</w:t>
      </w:r>
      <w:r>
        <w:rPr>
          <w:rFonts w:hint="eastAsia" w:ascii="宋体" w:hAnsi="宋体"/>
          <w:color w:val="auto"/>
          <w:szCs w:val="21"/>
          <w:highlight w:val="none"/>
        </w:rPr>
        <w:t>。</w:t>
      </w:r>
    </w:p>
    <w:p w14:paraId="0F6E9E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14:paraId="5F53B7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14:paraId="79D3848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14:paraId="354474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14:paraId="060CBE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14:paraId="494E9059">
      <w:pPr>
        <w:spacing w:line="360" w:lineRule="auto"/>
        <w:ind w:firstLine="420" w:firstLineChars="200"/>
        <w:jc w:val="left"/>
        <w:rPr>
          <w:color w:val="auto"/>
          <w:highlight w:val="none"/>
        </w:rPr>
      </w:pPr>
      <w:r>
        <w:rPr>
          <w:rFonts w:hint="eastAsia" w:ascii="宋体" w:hAnsi="宋体"/>
          <w:color w:val="auto"/>
          <w:szCs w:val="21"/>
          <w:highlight w:val="none"/>
          <w:u w:val="single"/>
        </w:rPr>
        <w:t>（6）承包人必须与分包单位及相邻施工单位（若有）签署安全生产协议，对分包单位的安全生产活动负责，履行对分包单位的安全管理责任。</w:t>
      </w:r>
    </w:p>
    <w:p w14:paraId="537182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14:paraId="2F5D011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14:paraId="492281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14:paraId="366FC7F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14:paraId="5DC06B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不再单独计算</w:t>
      </w:r>
      <w:r>
        <w:rPr>
          <w:rFonts w:hint="eastAsia" w:ascii="宋体" w:hAnsi="宋体"/>
          <w:color w:val="auto"/>
          <w:szCs w:val="21"/>
          <w:highlight w:val="none"/>
        </w:rPr>
        <w:t>。</w:t>
      </w:r>
    </w:p>
    <w:p w14:paraId="16F8A11D">
      <w:pPr>
        <w:spacing w:line="360" w:lineRule="auto"/>
        <w:ind w:firstLine="420" w:firstLineChars="200"/>
        <w:jc w:val="left"/>
        <w:rPr>
          <w:color w:val="auto"/>
          <w:highlight w:val="none"/>
        </w:rPr>
      </w:pPr>
      <w:r>
        <w:rPr>
          <w:rFonts w:hint="eastAsia" w:ascii="宋体" w:hAnsi="宋体"/>
          <w:color w:val="auto"/>
          <w:szCs w:val="21"/>
          <w:highlight w:val="none"/>
          <w:u w:val="single"/>
        </w:rPr>
        <w:t>确保安全施工及施工红线范围内和工程使用区域内的现场安全，其费用综合考虑在投标报价中。施工中，若承包人未认真履行义务，应承担全部责任和经济损失。</w:t>
      </w:r>
    </w:p>
    <w:p w14:paraId="7FFACCE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关于安全文明施工费支付比例和支付期限的约定：按照行业主管部门相关规定执行。</w:t>
      </w:r>
    </w:p>
    <w:p w14:paraId="7BD1B8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14:paraId="26FDAF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6.1.7环境保护工作由承包方全权负责，执行国家和重庆相关规定。施工现场内不得随地抛洒剩饭及生活垃圾等，更不能将其随意倒至施工区外，施工区内不得随处大小便，否则承担500元/次违约金。做到工完场地清；施工机械设备进场前，应做好清洁、保养和维护工作。出场车辆应有专人打扫、清洗。有密封要求的按规定必须达到：</w:t>
      </w:r>
    </w:p>
    <w:p w14:paraId="3C7C70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6.1.8施工期间必须保证周边单位的正常工作及居民的正常生活，尽量减少粉尘、噪声、振动等污染的扰民。必须按市委、市人大、市政府及有关部门的临时要求，调整作业方式，停止高粉尘、高噪音作业或爆破作业等；</w:t>
      </w:r>
    </w:p>
    <w:p w14:paraId="5159A9E3">
      <w:pPr>
        <w:spacing w:line="360" w:lineRule="auto"/>
        <w:ind w:firstLine="420" w:firstLineChars="200"/>
        <w:jc w:val="left"/>
        <w:rPr>
          <w:color w:val="auto"/>
          <w:highlight w:val="none"/>
        </w:rPr>
      </w:pPr>
      <w:r>
        <w:rPr>
          <w:rFonts w:hint="eastAsia" w:ascii="宋体" w:hAnsi="宋体"/>
          <w:color w:val="auto"/>
          <w:szCs w:val="21"/>
          <w:highlight w:val="none"/>
        </w:rPr>
        <w:t>6.1.9按规定做好施工区域封闭及场地硬化工作，施工围墙（围挡）等维护设施应安全、美观、耐久，非施工相关人员不许入内。若发包人发现一次则由承包人承担2000元/次的违约金。</w:t>
      </w:r>
    </w:p>
    <w:p w14:paraId="183B0845">
      <w:pPr>
        <w:widowControl/>
        <w:spacing w:line="360" w:lineRule="auto"/>
        <w:ind w:firstLine="422" w:firstLineChars="200"/>
        <w:jc w:val="left"/>
        <w:outlineLvl w:val="4"/>
        <w:rPr>
          <w:rFonts w:ascii="宋体" w:hAnsi="宋体" w:cs="宋体"/>
          <w:b/>
          <w:bCs/>
          <w:color w:val="auto"/>
          <w:kern w:val="0"/>
          <w:szCs w:val="21"/>
          <w:highlight w:val="none"/>
        </w:rPr>
      </w:pPr>
      <w:bookmarkStart w:id="1422" w:name="_Toc532375615"/>
      <w:bookmarkStart w:id="1423" w:name="_Toc532377351"/>
      <w:r>
        <w:rPr>
          <w:rFonts w:hint="eastAsia" w:ascii="宋体" w:hAnsi="宋体" w:cs="宋体"/>
          <w:b/>
          <w:bCs/>
          <w:color w:val="auto"/>
          <w:kern w:val="0"/>
          <w:szCs w:val="21"/>
          <w:highlight w:val="none"/>
        </w:rPr>
        <w:t>6.3 环境保护</w:t>
      </w:r>
      <w:bookmarkEnd w:id="1422"/>
      <w:bookmarkEnd w:id="1423"/>
    </w:p>
    <w:p w14:paraId="1AEBBC8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14:paraId="3D69742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375093F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4215E72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3FC2443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0275E45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14:paraId="7B2961F2">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14:paraId="59F66A4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14:paraId="5A710B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14:paraId="596963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承包人应按照发包人要求做好环境保护管理工作 </w:t>
      </w:r>
      <w:r>
        <w:rPr>
          <w:rFonts w:hint="eastAsia" w:ascii="宋体" w:hAnsi="宋体"/>
          <w:color w:val="auto"/>
          <w:szCs w:val="21"/>
          <w:highlight w:val="none"/>
        </w:rPr>
        <w:t>。承包人完工拆场清场的所有事项，包括但不限于临设的拆除及清理，开荒清洁等达到移交接收标准，所需发生的费用由承包人承担。</w:t>
      </w:r>
    </w:p>
    <w:p w14:paraId="0A6BD92A">
      <w:pPr>
        <w:tabs>
          <w:tab w:val="left" w:pos="711"/>
          <w:tab w:val="left" w:pos="2580"/>
        </w:tabs>
        <w:spacing w:line="360" w:lineRule="auto"/>
        <w:ind w:firstLine="420" w:firstLineChars="200"/>
        <w:jc w:val="left"/>
        <w:textAlignment w:val="baseline"/>
        <w:rPr>
          <w:color w:val="auto"/>
          <w:highlight w:val="none"/>
        </w:rPr>
      </w:pPr>
      <w:r>
        <w:rPr>
          <w:rFonts w:hint="eastAsia" w:ascii="宋体" w:hAnsi="宋体"/>
          <w:color w:val="auto"/>
          <w:szCs w:val="21"/>
          <w:highlight w:val="none"/>
        </w:rPr>
        <w:t>6.3.10因履行本合同约定环境保护义务，相应的费用或因保护不当造成的损失及法律责任由承包人承担。</w:t>
      </w:r>
    </w:p>
    <w:p w14:paraId="18EA0284">
      <w:pPr>
        <w:keepNext/>
        <w:keepLines/>
        <w:widowControl/>
        <w:spacing w:before="156" w:beforeLines="50" w:after="156" w:afterLines="50" w:line="360" w:lineRule="auto"/>
        <w:outlineLvl w:val="3"/>
        <w:rPr>
          <w:rFonts w:ascii="宋体" w:hAnsi="宋体" w:cs="宋体"/>
          <w:b/>
          <w:color w:val="auto"/>
          <w:szCs w:val="21"/>
          <w:highlight w:val="none"/>
        </w:rPr>
      </w:pPr>
      <w:bookmarkStart w:id="1424" w:name="_Toc532377352"/>
      <w:bookmarkStart w:id="1425" w:name="_Toc351203639"/>
      <w:bookmarkStart w:id="1426" w:name="_Toc532375616"/>
      <w:r>
        <w:rPr>
          <w:rFonts w:hint="eastAsia" w:ascii="宋体" w:hAnsi="宋体" w:cs="宋体"/>
          <w:b/>
          <w:bCs/>
          <w:color w:val="auto"/>
          <w:szCs w:val="21"/>
          <w:highlight w:val="none"/>
        </w:rPr>
        <w:t>7. 工期和进度</w:t>
      </w:r>
      <w:bookmarkEnd w:id="1424"/>
      <w:bookmarkEnd w:id="1425"/>
      <w:bookmarkEnd w:id="1426"/>
    </w:p>
    <w:p w14:paraId="21D32F01">
      <w:pPr>
        <w:widowControl/>
        <w:spacing w:line="360" w:lineRule="auto"/>
        <w:ind w:firstLine="422" w:firstLineChars="200"/>
        <w:jc w:val="left"/>
        <w:outlineLvl w:val="4"/>
        <w:rPr>
          <w:rFonts w:ascii="宋体" w:hAnsi="宋体" w:cs="宋体"/>
          <w:b/>
          <w:bCs/>
          <w:color w:val="auto"/>
          <w:kern w:val="0"/>
          <w:szCs w:val="21"/>
          <w:highlight w:val="none"/>
        </w:rPr>
      </w:pPr>
      <w:bookmarkStart w:id="1427" w:name="_Toc532375617"/>
      <w:bookmarkStart w:id="1428" w:name="_Toc532377353"/>
      <w:r>
        <w:rPr>
          <w:rFonts w:hint="eastAsia" w:ascii="宋体" w:hAnsi="宋体" w:cs="宋体"/>
          <w:b/>
          <w:bCs/>
          <w:color w:val="auto"/>
          <w:kern w:val="0"/>
          <w:szCs w:val="21"/>
          <w:highlight w:val="none"/>
        </w:rPr>
        <w:t>7.1 施工组织设计</w:t>
      </w:r>
      <w:bookmarkEnd w:id="1427"/>
      <w:bookmarkEnd w:id="1428"/>
    </w:p>
    <w:p w14:paraId="168BF179">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14:paraId="512B2926">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14:paraId="562107D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承包人提交详细施工组织设计等的期限的约定：</w:t>
      </w:r>
      <w:r>
        <w:rPr>
          <w:rFonts w:hint="eastAsia" w:ascii="宋体" w:hAnsi="宋体"/>
          <w:color w:val="auto"/>
          <w:szCs w:val="21"/>
          <w:highlight w:val="none"/>
          <w:u w:val="single"/>
        </w:rPr>
        <w:t>合同签订后7天内，向发包人提供完善（经优化）的施工组织设计和工程进度总计划及本年度施工进度计划一式陆份。进度计划安排必须符合发包人对本工程总体进度计划的安排，按时提交其它专业施工所需工作面。监理人批复承包人提供文件的期限：收到施工组织设计和进度计划后14天内审查确认，月进度报表及次月工程进度计划审批时间为5天</w:t>
      </w:r>
      <w:r>
        <w:rPr>
          <w:rFonts w:hint="eastAsia" w:ascii="宋体" w:hAnsi="宋体"/>
          <w:color w:val="auto"/>
          <w:szCs w:val="21"/>
          <w:highlight w:val="none"/>
        </w:rPr>
        <w:t>。</w:t>
      </w:r>
    </w:p>
    <w:p w14:paraId="30EED2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收到施工组织设计后7  天内</w:t>
      </w:r>
      <w:r>
        <w:rPr>
          <w:rFonts w:hint="eastAsia" w:ascii="宋体" w:hAnsi="宋体"/>
          <w:color w:val="auto"/>
          <w:szCs w:val="21"/>
          <w:highlight w:val="none"/>
        </w:rPr>
        <w:t>。</w:t>
      </w:r>
    </w:p>
    <w:p w14:paraId="0AF688B7">
      <w:pPr>
        <w:widowControl/>
        <w:spacing w:line="360" w:lineRule="auto"/>
        <w:ind w:firstLine="422" w:firstLineChars="200"/>
        <w:jc w:val="left"/>
        <w:outlineLvl w:val="4"/>
        <w:rPr>
          <w:rFonts w:ascii="宋体" w:hAnsi="宋体" w:cs="宋体"/>
          <w:b/>
          <w:bCs/>
          <w:color w:val="auto"/>
          <w:kern w:val="0"/>
          <w:szCs w:val="21"/>
          <w:highlight w:val="none"/>
        </w:rPr>
      </w:pPr>
      <w:bookmarkStart w:id="1429" w:name="_Toc532377354"/>
      <w:bookmarkStart w:id="1430" w:name="_Toc532375618"/>
      <w:r>
        <w:rPr>
          <w:rFonts w:hint="eastAsia" w:ascii="宋体" w:hAnsi="宋体" w:cs="宋体"/>
          <w:b/>
          <w:bCs/>
          <w:color w:val="auto"/>
          <w:kern w:val="0"/>
          <w:szCs w:val="21"/>
          <w:highlight w:val="none"/>
        </w:rPr>
        <w:t>7.2 施工进度计划</w:t>
      </w:r>
      <w:bookmarkEnd w:id="1429"/>
      <w:bookmarkEnd w:id="1430"/>
    </w:p>
    <w:p w14:paraId="4DA1DF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14:paraId="180836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收到修订的施工进度计划后7天内</w:t>
      </w:r>
      <w:r>
        <w:rPr>
          <w:rFonts w:hint="eastAsia" w:ascii="宋体" w:hAnsi="宋体"/>
          <w:color w:val="auto"/>
          <w:szCs w:val="21"/>
          <w:highlight w:val="none"/>
        </w:rPr>
        <w:t>。</w:t>
      </w:r>
    </w:p>
    <w:p w14:paraId="2681E4F6">
      <w:pPr>
        <w:widowControl/>
        <w:spacing w:line="360" w:lineRule="auto"/>
        <w:ind w:firstLine="422" w:firstLineChars="200"/>
        <w:jc w:val="left"/>
        <w:outlineLvl w:val="4"/>
        <w:rPr>
          <w:rFonts w:ascii="宋体" w:hAnsi="宋体" w:cs="宋体"/>
          <w:b/>
          <w:bCs/>
          <w:color w:val="auto"/>
          <w:kern w:val="0"/>
          <w:szCs w:val="21"/>
          <w:highlight w:val="none"/>
        </w:rPr>
      </w:pPr>
      <w:bookmarkStart w:id="1431" w:name="_Toc532375619"/>
      <w:bookmarkStart w:id="1432" w:name="_Toc532377355"/>
      <w:bookmarkStart w:id="1433" w:name="_Toc312677479"/>
      <w:bookmarkStart w:id="1434" w:name="_Toc312678005"/>
      <w:bookmarkStart w:id="1435" w:name="_Toc297216173"/>
      <w:bookmarkStart w:id="1436" w:name="_Toc304295541"/>
      <w:bookmarkStart w:id="1437" w:name="_Toc303539123"/>
      <w:bookmarkStart w:id="1438" w:name="_Toc300934966"/>
      <w:bookmarkStart w:id="1439" w:name="_Toc297123514"/>
      <w:r>
        <w:rPr>
          <w:rFonts w:hint="eastAsia" w:ascii="宋体" w:hAnsi="宋体" w:cs="宋体"/>
          <w:b/>
          <w:bCs/>
          <w:color w:val="auto"/>
          <w:kern w:val="0"/>
          <w:szCs w:val="21"/>
          <w:highlight w:val="none"/>
        </w:rPr>
        <w:t>7.3 开工</w:t>
      </w:r>
      <w:bookmarkEnd w:id="1431"/>
      <w:bookmarkEnd w:id="1432"/>
    </w:p>
    <w:p w14:paraId="626D22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14:paraId="4B81EE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不晚于开工前7天</w:t>
      </w:r>
      <w:r>
        <w:rPr>
          <w:rFonts w:hint="eastAsia" w:ascii="宋体" w:hAnsi="宋体"/>
          <w:color w:val="auto"/>
          <w:szCs w:val="21"/>
          <w:highlight w:val="none"/>
        </w:rPr>
        <w:t>。</w:t>
      </w:r>
    </w:p>
    <w:p w14:paraId="786B28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不晚于开工前7天</w:t>
      </w:r>
      <w:r>
        <w:rPr>
          <w:rFonts w:hint="eastAsia" w:ascii="宋体" w:hAnsi="宋体"/>
          <w:color w:val="auto"/>
          <w:szCs w:val="21"/>
          <w:highlight w:val="none"/>
        </w:rPr>
        <w:t>。</w:t>
      </w:r>
    </w:p>
    <w:p w14:paraId="6781C6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不晚于开工前7天</w:t>
      </w:r>
      <w:r>
        <w:rPr>
          <w:rFonts w:hint="eastAsia" w:ascii="宋体" w:hAnsi="宋体"/>
          <w:color w:val="auto"/>
          <w:szCs w:val="21"/>
          <w:highlight w:val="none"/>
        </w:rPr>
        <w:t>。</w:t>
      </w:r>
    </w:p>
    <w:bookmarkEnd w:id="1433"/>
    <w:bookmarkEnd w:id="1434"/>
    <w:bookmarkEnd w:id="1435"/>
    <w:bookmarkEnd w:id="1436"/>
    <w:bookmarkEnd w:id="1437"/>
    <w:bookmarkEnd w:id="1438"/>
    <w:bookmarkEnd w:id="1439"/>
    <w:p w14:paraId="61CA01DD">
      <w:pPr>
        <w:widowControl/>
        <w:spacing w:line="360" w:lineRule="auto"/>
        <w:ind w:firstLine="422" w:firstLineChars="200"/>
        <w:jc w:val="left"/>
        <w:outlineLvl w:val="4"/>
        <w:rPr>
          <w:rFonts w:ascii="宋体" w:hAnsi="宋体" w:cs="宋体"/>
          <w:b/>
          <w:bCs/>
          <w:color w:val="auto"/>
          <w:kern w:val="0"/>
          <w:szCs w:val="21"/>
          <w:highlight w:val="none"/>
        </w:rPr>
      </w:pPr>
      <w:bookmarkStart w:id="1440" w:name="_Toc532377356"/>
      <w:bookmarkStart w:id="1441" w:name="_Toc532375620"/>
      <w:r>
        <w:rPr>
          <w:rFonts w:hint="eastAsia" w:ascii="宋体" w:hAnsi="宋体" w:cs="宋体"/>
          <w:b/>
          <w:bCs/>
          <w:color w:val="auto"/>
          <w:kern w:val="0"/>
          <w:szCs w:val="21"/>
          <w:highlight w:val="none"/>
        </w:rPr>
        <w:t>7.4 测量放线</w:t>
      </w:r>
      <w:bookmarkEnd w:id="1440"/>
      <w:bookmarkEnd w:id="1441"/>
    </w:p>
    <w:p w14:paraId="1471EE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不晚于开工前5天</w:t>
      </w:r>
      <w:r>
        <w:rPr>
          <w:rFonts w:hint="eastAsia" w:ascii="宋体" w:hAnsi="宋体"/>
          <w:color w:val="auto"/>
          <w:szCs w:val="21"/>
          <w:highlight w:val="none"/>
        </w:rPr>
        <w:t>。</w:t>
      </w:r>
    </w:p>
    <w:p w14:paraId="6EC79C4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3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14:paraId="179E7B5C">
      <w:pPr>
        <w:widowControl/>
        <w:spacing w:line="360" w:lineRule="auto"/>
        <w:ind w:firstLine="422" w:firstLineChars="200"/>
        <w:jc w:val="left"/>
        <w:outlineLvl w:val="4"/>
        <w:rPr>
          <w:rFonts w:ascii="宋体" w:hAnsi="宋体" w:cs="宋体"/>
          <w:b/>
          <w:bCs/>
          <w:color w:val="auto"/>
          <w:kern w:val="0"/>
          <w:szCs w:val="21"/>
          <w:highlight w:val="none"/>
        </w:rPr>
      </w:pPr>
      <w:bookmarkStart w:id="1442" w:name="_Toc532377357"/>
      <w:bookmarkStart w:id="1443" w:name="_Toc532375621"/>
      <w:r>
        <w:rPr>
          <w:rFonts w:hint="eastAsia" w:ascii="宋体" w:hAnsi="宋体" w:cs="宋体"/>
          <w:b/>
          <w:bCs/>
          <w:color w:val="auto"/>
          <w:kern w:val="0"/>
          <w:szCs w:val="21"/>
          <w:highlight w:val="none"/>
        </w:rPr>
        <w:t>7</w:t>
      </w:r>
      <w:bookmarkStart w:id="1444" w:name="_Toc303539125"/>
      <w:bookmarkStart w:id="1445" w:name="_Toc297123516"/>
      <w:bookmarkStart w:id="1446" w:name="_Toc312677484"/>
      <w:bookmarkStart w:id="1447" w:name="_Toc312678010"/>
      <w:bookmarkStart w:id="1448" w:name="_Toc304295546"/>
      <w:bookmarkStart w:id="1449" w:name="_Toc297216175"/>
      <w:bookmarkStart w:id="1450" w:name="_Toc300934968"/>
      <w:r>
        <w:rPr>
          <w:rFonts w:hint="eastAsia" w:ascii="宋体" w:hAnsi="宋体" w:cs="宋体"/>
          <w:b/>
          <w:bCs/>
          <w:color w:val="auto"/>
          <w:kern w:val="0"/>
          <w:szCs w:val="21"/>
          <w:highlight w:val="none"/>
        </w:rPr>
        <w:t>.5 工期延误</w:t>
      </w:r>
      <w:bookmarkEnd w:id="1442"/>
      <w:bookmarkEnd w:id="1443"/>
    </w:p>
    <w:bookmarkEnd w:id="1444"/>
    <w:bookmarkEnd w:id="1445"/>
    <w:bookmarkEnd w:id="1446"/>
    <w:bookmarkEnd w:id="1447"/>
    <w:bookmarkEnd w:id="1448"/>
    <w:bookmarkEnd w:id="1449"/>
    <w:bookmarkEnd w:id="1450"/>
    <w:p w14:paraId="65F97473">
      <w:pPr>
        <w:spacing w:line="360" w:lineRule="auto"/>
        <w:ind w:firstLine="420" w:firstLineChars="200"/>
        <w:jc w:val="left"/>
        <w:rPr>
          <w:rFonts w:ascii="宋体" w:hAnsi="宋体"/>
          <w:color w:val="auto"/>
          <w:szCs w:val="21"/>
          <w:highlight w:val="none"/>
        </w:rPr>
      </w:pPr>
      <w:bookmarkStart w:id="1451" w:name="_Hlk528927940"/>
      <w:r>
        <w:rPr>
          <w:rFonts w:hint="eastAsia" w:ascii="宋体" w:hAnsi="宋体"/>
          <w:color w:val="auto"/>
          <w:szCs w:val="21"/>
          <w:highlight w:val="none"/>
        </w:rPr>
        <w:t>7.5.1 因发包人原因导致工期延误：</w:t>
      </w:r>
    </w:p>
    <w:p w14:paraId="7C72D7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w:t>
      </w:r>
    </w:p>
    <w:p w14:paraId="44B3CC8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14:paraId="389937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（2）监理人未按合同约定发出指示、批准等文件，且该未按合同约定发出指示、批准直接影响项目关键线路的；</w:t>
      </w:r>
    </w:p>
    <w:p w14:paraId="47A80A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（3）变更未及时审批，直接影响项目关键线路的；</w:t>
      </w:r>
    </w:p>
    <w:p w14:paraId="4747DD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（4）实施变更直接影响项目关键线路的；</w:t>
      </w:r>
    </w:p>
    <w:p w14:paraId="375902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（5）因发包人原因导致工程暂停施工、停建、缓建的；</w:t>
      </w:r>
    </w:p>
    <w:p w14:paraId="004C52A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14:paraId="38DE25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14:paraId="347A23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14:paraId="032E4A8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1451"/>
    <w:p w14:paraId="4DF5EBC3">
      <w:pPr>
        <w:widowControl/>
        <w:spacing w:line="360" w:lineRule="auto"/>
        <w:ind w:firstLine="422" w:firstLineChars="200"/>
        <w:jc w:val="left"/>
        <w:outlineLvl w:val="4"/>
        <w:rPr>
          <w:rFonts w:ascii="宋体" w:hAnsi="宋体" w:cs="宋体"/>
          <w:b/>
          <w:bCs/>
          <w:color w:val="auto"/>
          <w:kern w:val="0"/>
          <w:szCs w:val="21"/>
          <w:highlight w:val="none"/>
        </w:rPr>
      </w:pPr>
      <w:bookmarkStart w:id="1452" w:name="_Toc532377358"/>
      <w:bookmarkStart w:id="1453" w:name="_Toc532375622"/>
      <w:bookmarkStart w:id="1454" w:name="_Hlk528927997"/>
      <w:r>
        <w:rPr>
          <w:rFonts w:hint="eastAsia" w:ascii="宋体" w:hAnsi="宋体" w:cs="宋体"/>
          <w:b/>
          <w:bCs/>
          <w:color w:val="auto"/>
          <w:kern w:val="0"/>
          <w:szCs w:val="21"/>
          <w:highlight w:val="none"/>
        </w:rPr>
        <w:t>7</w:t>
      </w:r>
      <w:bookmarkStart w:id="1455" w:name="_Toc300934971"/>
      <w:bookmarkStart w:id="1456" w:name="_Toc303539128"/>
      <w:bookmarkStart w:id="1457" w:name="_Toc297123519"/>
      <w:bookmarkStart w:id="1458" w:name="_Toc304295549"/>
      <w:bookmarkStart w:id="1459" w:name="_Toc312678015"/>
      <w:bookmarkStart w:id="1460" w:name="_Toc297216178"/>
      <w:r>
        <w:rPr>
          <w:rFonts w:hint="eastAsia" w:ascii="宋体" w:hAnsi="宋体" w:cs="宋体"/>
          <w:b/>
          <w:bCs/>
          <w:color w:val="auto"/>
          <w:kern w:val="0"/>
          <w:szCs w:val="21"/>
          <w:highlight w:val="none"/>
        </w:rPr>
        <w:t>.6 不</w:t>
      </w:r>
      <w:bookmarkEnd w:id="1455"/>
      <w:bookmarkEnd w:id="1456"/>
      <w:bookmarkEnd w:id="1457"/>
      <w:bookmarkEnd w:id="1458"/>
      <w:bookmarkEnd w:id="1459"/>
      <w:bookmarkEnd w:id="1460"/>
      <w:r>
        <w:rPr>
          <w:rFonts w:hint="eastAsia" w:ascii="宋体" w:hAnsi="宋体" w:cs="宋体"/>
          <w:b/>
          <w:bCs/>
          <w:color w:val="auto"/>
          <w:kern w:val="0"/>
          <w:szCs w:val="21"/>
          <w:highlight w:val="none"/>
        </w:rPr>
        <w:t>利物质条件</w:t>
      </w:r>
      <w:bookmarkEnd w:id="1452"/>
      <w:bookmarkEnd w:id="1453"/>
    </w:p>
    <w:bookmarkEnd w:id="1454"/>
    <w:p w14:paraId="0718E8A2">
      <w:pPr>
        <w:spacing w:line="360" w:lineRule="auto"/>
        <w:ind w:firstLine="420" w:firstLineChars="200"/>
        <w:jc w:val="left"/>
        <w:rPr>
          <w:rFonts w:ascii="宋体" w:hAnsi="宋体"/>
          <w:bCs/>
          <w:color w:val="auto"/>
          <w:szCs w:val="21"/>
          <w:highlight w:val="none"/>
        </w:rPr>
      </w:pPr>
      <w:bookmarkStart w:id="1461" w:name="_Toc312678016"/>
      <w:bookmarkStart w:id="1462" w:name="_Toc297216179"/>
      <w:bookmarkStart w:id="1463" w:name="_Toc300934972"/>
      <w:bookmarkStart w:id="1464" w:name="_Toc318581172"/>
      <w:bookmarkStart w:id="1465" w:name="_Toc304295550"/>
      <w:bookmarkStart w:id="1466" w:name="_Toc297123520"/>
      <w:bookmarkStart w:id="1467" w:name="_Toc303539129"/>
      <w:r>
        <w:rPr>
          <w:rFonts w:hint="eastAsia" w:ascii="宋体" w:hAnsi="宋体"/>
          <w:color w:val="auto"/>
          <w:szCs w:val="21"/>
          <w:highlight w:val="none"/>
        </w:rPr>
        <w:t>不利物质条件的其他情形和有关约定：</w:t>
      </w:r>
      <w:bookmarkStart w:id="1468" w:name="_Hlk528910274"/>
      <w:r>
        <w:rPr>
          <w:rFonts w:hint="eastAsia" w:ascii="宋体" w:hAnsi="宋体"/>
          <w:color w:val="auto"/>
          <w:szCs w:val="21"/>
          <w:highlight w:val="none"/>
          <w:u w:val="single"/>
        </w:rPr>
        <w:t xml:space="preserve">  承包人按要求对施工场地和周围环境进行踏勘并充分收集相关资料，不利物质条件由承包人自行考虑，其费用已纳入合同价中，不再单独计取  </w:t>
      </w:r>
      <w:r>
        <w:rPr>
          <w:rFonts w:hint="eastAsia" w:ascii="宋体" w:hAnsi="宋体"/>
          <w:color w:val="auto"/>
          <w:szCs w:val="21"/>
          <w:highlight w:val="none"/>
        </w:rPr>
        <w:t>。</w:t>
      </w:r>
    </w:p>
    <w:bookmarkEnd w:id="1461"/>
    <w:bookmarkEnd w:id="1462"/>
    <w:bookmarkEnd w:id="1463"/>
    <w:bookmarkEnd w:id="1464"/>
    <w:bookmarkEnd w:id="1465"/>
    <w:bookmarkEnd w:id="1466"/>
    <w:bookmarkEnd w:id="1467"/>
    <w:bookmarkEnd w:id="1468"/>
    <w:p w14:paraId="0C2B614C">
      <w:pPr>
        <w:widowControl/>
        <w:spacing w:line="360" w:lineRule="auto"/>
        <w:ind w:firstLine="422" w:firstLineChars="200"/>
        <w:jc w:val="left"/>
        <w:outlineLvl w:val="4"/>
        <w:rPr>
          <w:rFonts w:ascii="宋体" w:hAnsi="宋体" w:cs="宋体"/>
          <w:b/>
          <w:bCs/>
          <w:color w:val="auto"/>
          <w:kern w:val="0"/>
          <w:szCs w:val="21"/>
          <w:highlight w:val="none"/>
        </w:rPr>
      </w:pPr>
      <w:bookmarkStart w:id="1469" w:name="_Toc532375623"/>
      <w:bookmarkStart w:id="1470" w:name="_Toc532377359"/>
      <w:r>
        <w:rPr>
          <w:rFonts w:hint="eastAsia" w:ascii="宋体" w:hAnsi="宋体" w:cs="宋体"/>
          <w:b/>
          <w:bCs/>
          <w:color w:val="auto"/>
          <w:kern w:val="0"/>
          <w:szCs w:val="21"/>
          <w:highlight w:val="none"/>
        </w:rPr>
        <w:t>7</w:t>
      </w:r>
      <w:bookmarkStart w:id="1471" w:name="_Toc297216180"/>
      <w:bookmarkStart w:id="1472" w:name="_Toc304295551"/>
      <w:bookmarkStart w:id="1473" w:name="_Toc312678017"/>
      <w:bookmarkStart w:id="1474" w:name="_Toc303539130"/>
      <w:bookmarkStart w:id="1475" w:name="_Toc300934973"/>
      <w:bookmarkStart w:id="1476" w:name="_Toc297123521"/>
      <w:r>
        <w:rPr>
          <w:rFonts w:hint="eastAsia" w:ascii="宋体" w:hAnsi="宋体" w:cs="宋体"/>
          <w:b/>
          <w:bCs/>
          <w:color w:val="auto"/>
          <w:kern w:val="0"/>
          <w:szCs w:val="21"/>
          <w:highlight w:val="none"/>
        </w:rPr>
        <w:t>.7异常恶劣的气候条件</w:t>
      </w:r>
      <w:bookmarkEnd w:id="1469"/>
      <w:bookmarkEnd w:id="1470"/>
    </w:p>
    <w:bookmarkEnd w:id="1471"/>
    <w:bookmarkEnd w:id="1472"/>
    <w:bookmarkEnd w:id="1473"/>
    <w:bookmarkEnd w:id="1474"/>
    <w:bookmarkEnd w:id="1475"/>
    <w:bookmarkEnd w:id="1476"/>
    <w:p w14:paraId="6027597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以气象部门书面通知的禁止施工条件为准（异常气候是指项目所在地50年以上一遇的罕见气候现象）</w:t>
      </w:r>
      <w:r>
        <w:rPr>
          <w:rFonts w:hint="eastAsia" w:ascii="宋体" w:hAnsi="宋体"/>
          <w:color w:val="auto"/>
          <w:szCs w:val="21"/>
          <w:highlight w:val="none"/>
        </w:rPr>
        <w:t>。</w:t>
      </w:r>
    </w:p>
    <w:p w14:paraId="2EF1B9E2">
      <w:pPr>
        <w:widowControl/>
        <w:spacing w:line="360" w:lineRule="auto"/>
        <w:ind w:firstLine="422" w:firstLineChars="200"/>
        <w:jc w:val="left"/>
        <w:outlineLvl w:val="4"/>
        <w:rPr>
          <w:rFonts w:ascii="宋体" w:hAnsi="宋体" w:cs="宋体"/>
          <w:b/>
          <w:bCs/>
          <w:color w:val="auto"/>
          <w:kern w:val="0"/>
          <w:szCs w:val="21"/>
          <w:highlight w:val="none"/>
        </w:rPr>
      </w:pPr>
      <w:bookmarkStart w:id="1477" w:name="_Toc532375624"/>
      <w:bookmarkStart w:id="1478" w:name="_Toc532377360"/>
      <w:r>
        <w:rPr>
          <w:rFonts w:hint="eastAsia" w:ascii="宋体" w:hAnsi="宋体" w:cs="宋体"/>
          <w:b/>
          <w:bCs/>
          <w:color w:val="auto"/>
          <w:kern w:val="0"/>
          <w:szCs w:val="21"/>
          <w:highlight w:val="none"/>
        </w:rPr>
        <w:t>7.9 提前竣工</w:t>
      </w:r>
      <w:bookmarkEnd w:id="1477"/>
      <w:bookmarkEnd w:id="1478"/>
    </w:p>
    <w:p w14:paraId="64BEA7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14:paraId="1A73B1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4B1D9D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14:paraId="0AD8AD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无</w:t>
      </w:r>
      <w:r>
        <w:rPr>
          <w:rFonts w:hint="eastAsia" w:ascii="宋体" w:hAnsi="宋体"/>
          <w:color w:val="auto"/>
          <w:szCs w:val="21"/>
          <w:highlight w:val="none"/>
        </w:rPr>
        <w:t>。</w:t>
      </w:r>
    </w:p>
    <w:p w14:paraId="2E179611">
      <w:pPr>
        <w:keepNext/>
        <w:keepLines/>
        <w:widowControl/>
        <w:spacing w:before="156" w:beforeLines="50" w:after="156" w:afterLines="50" w:line="360" w:lineRule="auto"/>
        <w:outlineLvl w:val="3"/>
        <w:rPr>
          <w:rFonts w:ascii="宋体" w:hAnsi="宋体" w:cs="宋体"/>
          <w:b/>
          <w:color w:val="auto"/>
          <w:szCs w:val="21"/>
          <w:highlight w:val="none"/>
        </w:rPr>
      </w:pPr>
      <w:bookmarkStart w:id="1479" w:name="_Toc532375625"/>
      <w:bookmarkStart w:id="1480" w:name="_Toc532377361"/>
      <w:bookmarkStart w:id="1481" w:name="_Toc351203640"/>
      <w:r>
        <w:rPr>
          <w:rFonts w:hint="eastAsia" w:ascii="宋体" w:hAnsi="宋体" w:cs="宋体"/>
          <w:b/>
          <w:bCs/>
          <w:color w:val="auto"/>
          <w:szCs w:val="21"/>
          <w:highlight w:val="none"/>
        </w:rPr>
        <w:t>8. 材料与设备</w:t>
      </w:r>
      <w:bookmarkEnd w:id="1479"/>
      <w:bookmarkEnd w:id="1480"/>
      <w:bookmarkEnd w:id="1481"/>
    </w:p>
    <w:p w14:paraId="4ADA9B7B">
      <w:pPr>
        <w:widowControl/>
        <w:spacing w:line="360" w:lineRule="auto"/>
        <w:ind w:firstLine="422" w:firstLineChars="200"/>
        <w:jc w:val="left"/>
        <w:outlineLvl w:val="4"/>
        <w:rPr>
          <w:rFonts w:ascii="宋体" w:hAnsi="宋体" w:cs="宋体"/>
          <w:b/>
          <w:bCs/>
          <w:color w:val="auto"/>
          <w:kern w:val="0"/>
          <w:szCs w:val="21"/>
          <w:highlight w:val="none"/>
        </w:rPr>
      </w:pPr>
      <w:bookmarkStart w:id="1482" w:name="_Toc532377362"/>
      <w:bookmarkStart w:id="1483" w:name="_Toc532375626"/>
      <w:r>
        <w:rPr>
          <w:rFonts w:hint="eastAsia" w:ascii="宋体" w:hAnsi="宋体" w:cs="宋体"/>
          <w:b/>
          <w:bCs/>
          <w:color w:val="auto"/>
          <w:kern w:val="0"/>
          <w:szCs w:val="21"/>
          <w:highlight w:val="none"/>
        </w:rPr>
        <w:t>8.1发包人供应材料与工程设备</w:t>
      </w:r>
      <w:bookmarkEnd w:id="1482"/>
      <w:bookmarkEnd w:id="1483"/>
    </w:p>
    <w:p w14:paraId="4A83E2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14:paraId="42D6BC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14:paraId="2020A8E2">
      <w:pPr>
        <w:widowControl/>
        <w:spacing w:line="360" w:lineRule="auto"/>
        <w:ind w:firstLine="422" w:firstLineChars="200"/>
        <w:jc w:val="left"/>
        <w:outlineLvl w:val="4"/>
        <w:rPr>
          <w:rFonts w:ascii="宋体" w:hAnsi="宋体" w:cs="宋体"/>
          <w:b/>
          <w:bCs/>
          <w:color w:val="auto"/>
          <w:kern w:val="0"/>
          <w:szCs w:val="21"/>
          <w:highlight w:val="none"/>
        </w:rPr>
      </w:pPr>
      <w:bookmarkStart w:id="1484" w:name="_Toc532375627"/>
      <w:bookmarkStart w:id="1485" w:name="_Toc532377363"/>
      <w:bookmarkStart w:id="1486" w:name="_Toc351203554"/>
      <w:r>
        <w:rPr>
          <w:rFonts w:hint="eastAsia" w:ascii="宋体" w:hAnsi="宋体" w:cs="宋体"/>
          <w:b/>
          <w:bCs/>
          <w:color w:val="auto"/>
          <w:kern w:val="0"/>
          <w:szCs w:val="21"/>
          <w:highlight w:val="none"/>
        </w:rPr>
        <w:t>8</w:t>
      </w:r>
      <w:bookmarkStart w:id="1487" w:name="_Toc296346561"/>
      <w:bookmarkStart w:id="1488" w:name="_Toc296503060"/>
      <w:bookmarkStart w:id="1489" w:name="_Toc337558778"/>
      <w:r>
        <w:rPr>
          <w:rFonts w:hint="eastAsia" w:ascii="宋体" w:hAnsi="宋体" w:cs="宋体"/>
          <w:b/>
          <w:bCs/>
          <w:color w:val="auto"/>
          <w:kern w:val="0"/>
          <w:szCs w:val="21"/>
          <w:highlight w:val="none"/>
        </w:rPr>
        <w:t>.2 承包人采购材料与工程设备</w:t>
      </w:r>
      <w:bookmarkEnd w:id="1484"/>
      <w:bookmarkEnd w:id="1485"/>
      <w:bookmarkEnd w:id="1486"/>
    </w:p>
    <w:bookmarkEnd w:id="1487"/>
    <w:bookmarkEnd w:id="1488"/>
    <w:bookmarkEnd w:id="1489"/>
    <w:p w14:paraId="762923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14:paraId="2184BC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重要（主要）材料设备使用前28天</w:t>
      </w:r>
      <w:r>
        <w:rPr>
          <w:rFonts w:hint="eastAsia" w:ascii="宋体" w:hAnsi="宋体"/>
          <w:color w:val="auto"/>
          <w:szCs w:val="21"/>
          <w:highlight w:val="none"/>
        </w:rPr>
        <w:t>。</w:t>
      </w:r>
    </w:p>
    <w:p w14:paraId="3E6FFE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14:paraId="31CE0C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具备有效的营业执照，提供的产品符合国家、地方现行规范标准并满足设计图纸的要求，并提供产品合格证明</w:t>
      </w:r>
      <w:r>
        <w:rPr>
          <w:rFonts w:hint="eastAsia" w:ascii="宋体" w:hAnsi="宋体"/>
          <w:color w:val="auto"/>
          <w:szCs w:val="21"/>
          <w:highlight w:val="none"/>
        </w:rPr>
        <w:t>；</w:t>
      </w:r>
    </w:p>
    <w:p w14:paraId="18E9ED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具备有效的营业执照，提供的产品符合国家、地方现行规范标准并满足设计图纸的要求，并提供产品合格证明</w:t>
      </w:r>
      <w:r>
        <w:rPr>
          <w:rFonts w:hint="eastAsia" w:ascii="宋体" w:hAnsi="宋体"/>
          <w:color w:val="auto"/>
          <w:szCs w:val="21"/>
          <w:highlight w:val="none"/>
        </w:rPr>
        <w:t>；</w:t>
      </w:r>
    </w:p>
    <w:p w14:paraId="369269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具备有效的营业执照，提供的产品符合国家、地方现行规范标准并满足设计图纸的要求，并提供产品合格证明</w:t>
      </w:r>
      <w:r>
        <w:rPr>
          <w:rFonts w:hint="eastAsia" w:ascii="宋体" w:hAnsi="宋体"/>
          <w:color w:val="auto"/>
          <w:szCs w:val="21"/>
          <w:highlight w:val="none"/>
        </w:rPr>
        <w:t>；</w:t>
      </w:r>
    </w:p>
    <w:p w14:paraId="64C5BE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D.承包人选择的装配式建筑材料供应商应满足下列条件：</w:t>
      </w:r>
      <w:r>
        <w:rPr>
          <w:rFonts w:hint="eastAsia" w:ascii="宋体" w:hAnsi="宋体"/>
          <w:color w:val="auto"/>
          <w:szCs w:val="21"/>
          <w:highlight w:val="none"/>
          <w:u w:val="single"/>
        </w:rPr>
        <w:t>具备有效的营业执照，提供的产品符合国家、地方现行规范标准并满足设计图纸的要求，并提供产品合格证明</w:t>
      </w:r>
      <w:r>
        <w:rPr>
          <w:rFonts w:hint="eastAsia" w:ascii="宋体" w:hAnsi="宋体"/>
          <w:color w:val="auto"/>
          <w:szCs w:val="21"/>
          <w:highlight w:val="none"/>
        </w:rPr>
        <w:t>；</w:t>
      </w:r>
    </w:p>
    <w:p w14:paraId="7D29F1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E.承包人采购的材料与设计或标准要求不符时，承包人应按发包人和监理人要求的时间运出施工场地，并重新采购符合要求的产品，并承担由此发生的费用，因此延误的工期不予顺延。</w:t>
      </w:r>
    </w:p>
    <w:p w14:paraId="7C784C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F.承包人采购的材料在使用前，应按发包人和监理人的要求进行检验或试验，不合格的不得使用。</w:t>
      </w:r>
    </w:p>
    <w:p w14:paraId="167DEA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G.即使投标报价中的材料价格低于市场价格和招标清单限价价格，必须按照设计标准和合同要求的标准供应材料，且不得低于招标清单限价价格同档次材料品质，发包人有权参与材料的选择。</w:t>
      </w:r>
    </w:p>
    <w:p w14:paraId="4C251B32">
      <w:pPr>
        <w:widowControl/>
        <w:spacing w:line="360" w:lineRule="auto"/>
        <w:ind w:firstLine="422" w:firstLineChars="200"/>
        <w:jc w:val="left"/>
        <w:outlineLvl w:val="4"/>
        <w:rPr>
          <w:rFonts w:ascii="宋体" w:hAnsi="宋体" w:cs="宋体"/>
          <w:b/>
          <w:bCs/>
          <w:color w:val="auto"/>
          <w:kern w:val="0"/>
          <w:szCs w:val="21"/>
          <w:highlight w:val="none"/>
        </w:rPr>
      </w:pPr>
      <w:bookmarkStart w:id="1490" w:name="_Toc532377364"/>
      <w:bookmarkStart w:id="1491" w:name="_Toc532375628"/>
      <w:r>
        <w:rPr>
          <w:rFonts w:hint="eastAsia" w:ascii="宋体" w:hAnsi="宋体" w:cs="宋体"/>
          <w:b/>
          <w:bCs/>
          <w:color w:val="auto"/>
          <w:kern w:val="0"/>
          <w:szCs w:val="21"/>
          <w:highlight w:val="none"/>
        </w:rPr>
        <w:t>8</w:t>
      </w:r>
      <w:bookmarkStart w:id="1492" w:name="_Toc312678019"/>
      <w:bookmarkStart w:id="1493" w:name="_Toc296503167"/>
      <w:bookmarkStart w:id="1494" w:name="_Toc296346668"/>
      <w:bookmarkStart w:id="1495" w:name="_Toc303539136"/>
      <w:bookmarkStart w:id="1496" w:name="_Toc292559372"/>
      <w:bookmarkStart w:id="1497" w:name="_Toc297216186"/>
      <w:bookmarkStart w:id="1498" w:name="_Toc296944506"/>
      <w:bookmarkStart w:id="1499" w:name="_Toc297120467"/>
      <w:bookmarkStart w:id="1500" w:name="_Toc296890995"/>
      <w:bookmarkStart w:id="1501" w:name="_Toc280868654"/>
      <w:bookmarkStart w:id="1502" w:name="_Toc297048353"/>
      <w:bookmarkStart w:id="1503" w:name="_Toc297123527"/>
      <w:bookmarkStart w:id="1504" w:name="_Toc292559877"/>
      <w:bookmarkStart w:id="1505" w:name="_Toc304295556"/>
      <w:bookmarkStart w:id="1506" w:name="_Toc296347166"/>
      <w:bookmarkStart w:id="1507" w:name="_Toc296891207"/>
      <w:bookmarkStart w:id="1508" w:name="_Toc300934979"/>
      <w:bookmarkStart w:id="1509" w:name="_Toc312677493"/>
      <w:bookmarkStart w:id="1510" w:name="_Toc280868656"/>
      <w:bookmarkStart w:id="1511" w:name="_Toc267251424"/>
      <w:bookmarkStart w:id="1512" w:name="_Toc280868655"/>
      <w:r>
        <w:rPr>
          <w:rFonts w:hint="eastAsia" w:ascii="宋体" w:hAnsi="宋体" w:cs="宋体"/>
          <w:b/>
          <w:bCs/>
          <w:color w:val="auto"/>
          <w:kern w:val="0"/>
          <w:szCs w:val="21"/>
          <w:highlight w:val="none"/>
        </w:rPr>
        <w:t>.4 材料与工程设备的保管与使用</w:t>
      </w:r>
      <w:bookmarkEnd w:id="1490"/>
      <w:bookmarkEnd w:id="1491"/>
    </w:p>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14:paraId="2CED70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1513" w:name="_Toc292559878"/>
      <w:bookmarkStart w:id="1514" w:name="_Toc292559373"/>
      <w:bookmarkStart w:id="1515" w:name="_Toc312678020"/>
      <w:bookmarkStart w:id="1516" w:name="_Toc296346669"/>
      <w:bookmarkStart w:id="1517" w:name="_Toc297048354"/>
      <w:bookmarkStart w:id="1518" w:name="_Toc296503168"/>
      <w:bookmarkStart w:id="1519" w:name="_Toc296944507"/>
      <w:bookmarkStart w:id="1520" w:name="_Toc300934980"/>
      <w:bookmarkStart w:id="1521" w:name="_Toc297120468"/>
      <w:bookmarkStart w:id="1522" w:name="_Toc312677494"/>
      <w:bookmarkStart w:id="1523" w:name="_Toc296891208"/>
      <w:bookmarkStart w:id="1524" w:name="_Toc296347167"/>
      <w:bookmarkStart w:id="1525" w:name="_Toc304295557"/>
      <w:bookmarkStart w:id="1526" w:name="_Toc297123528"/>
      <w:bookmarkStart w:id="1527" w:name="_Toc296890996"/>
      <w:bookmarkStart w:id="1528" w:name="_Toc318581173"/>
      <w:bookmarkStart w:id="1529" w:name="_Toc303539137"/>
      <w:bookmarkStart w:id="1530" w:name="_Toc297216187"/>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承包人承担，其费用包含在投标报价中  </w:t>
      </w:r>
      <w:r>
        <w:rPr>
          <w:rFonts w:hint="eastAsia" w:ascii="宋体" w:hAnsi="宋体"/>
          <w:color w:val="auto"/>
          <w:szCs w:val="21"/>
          <w:highlight w:val="none"/>
        </w:rPr>
        <w:t>。</w:t>
      </w:r>
      <w:bookmarkEnd w:id="1513"/>
      <w:bookmarkEnd w:id="1514"/>
    </w:p>
    <w:p w14:paraId="359AB066">
      <w:pPr>
        <w:widowControl/>
        <w:spacing w:line="360" w:lineRule="auto"/>
        <w:ind w:firstLine="422" w:firstLineChars="200"/>
        <w:jc w:val="left"/>
        <w:outlineLvl w:val="4"/>
        <w:rPr>
          <w:rFonts w:ascii="宋体" w:hAnsi="宋体" w:cs="宋体"/>
          <w:b/>
          <w:bCs/>
          <w:color w:val="auto"/>
          <w:kern w:val="0"/>
          <w:szCs w:val="21"/>
          <w:highlight w:val="none"/>
        </w:rPr>
      </w:pPr>
      <w:bookmarkStart w:id="1531" w:name="_Toc532375629"/>
      <w:bookmarkStart w:id="1532" w:name="_Toc532377365"/>
      <w:r>
        <w:rPr>
          <w:rFonts w:hint="eastAsia" w:ascii="宋体" w:hAnsi="宋体" w:cs="宋体"/>
          <w:b/>
          <w:bCs/>
          <w:color w:val="auto"/>
          <w:kern w:val="0"/>
          <w:szCs w:val="21"/>
          <w:highlight w:val="none"/>
        </w:rPr>
        <w:t>8.6 样品</w:t>
      </w:r>
      <w:bookmarkEnd w:id="1531"/>
      <w:bookmarkEnd w:id="1532"/>
    </w:p>
    <w:p w14:paraId="3982B246">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14:paraId="572095F1">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样品的报送与封存</w:t>
      </w:r>
    </w:p>
    <w:p w14:paraId="26D34B5B">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需要承包人报送样品的材料或工程设备，样品的种类、名称、规格、数量要求： 按发包人要求执行，费用由承包人承担且已包含在合同价款中 。</w:t>
      </w:r>
    </w:p>
    <w:p w14:paraId="504D4A5C">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本工程发包人供应部分材料，其余材料、设备均由承包人自行采购，但所采购的材料必须符合国家规范标准及设计文件、招标文件要求，并提供相应合格证明资料、质保书等。</w:t>
      </w:r>
    </w:p>
    <w:p w14:paraId="6A563EE8">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承包人采购的材料与设计或标准要求不符时，承包人应按监理工程师或发包人要求的时间运出施工场地，重新采购符合要求的产品，并承担由此发生的费用，由此延误的工期不予顺延。</w:t>
      </w:r>
    </w:p>
    <w:p w14:paraId="2C37151C">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本工程所需的主要材料（设备）须采用中档及以上品牌（厂家）的产品，同时报送三家及以上的品牌（厂家）的产品，承包人应在采购前14日内将所采购材料设备的厂家、技术参数、品牌、质量等级等指标以书面形式通知发包人及监理人，发包人收到承包人的书面报告后14日内予以确认，经发包人及监理人认质、封样（如有必要）后承包人方可采购进场。发包人及监理人认为承包人所使用的材料（设备）品质存在缺陷，或者偏离图纸及规范要求（以设计和监理书面意见为准），不能适用于本工程，发包人及监理人有权要求承包人无条件更换，发包人不因更换材料（设备）品牌而调整材料价格及相关费用；承包人拒绝按发包人及监理人要求更换，该种材料（设备）改为第三方供货，发包人收取承包人该类材料（设备）费的20%作为违约金，并按发包人实际支付的货款从承包人的结算价款中扣除，并且由此造成的工期延误由承包人负责。</w:t>
      </w:r>
    </w:p>
    <w:p w14:paraId="412113A3">
      <w:pPr>
        <w:widowControl/>
        <w:spacing w:line="360" w:lineRule="auto"/>
        <w:ind w:firstLine="422" w:firstLineChars="200"/>
        <w:jc w:val="left"/>
        <w:outlineLvl w:val="4"/>
        <w:rPr>
          <w:rFonts w:ascii="宋体" w:hAnsi="宋体" w:cs="宋体"/>
          <w:b/>
          <w:bCs/>
          <w:color w:val="auto"/>
          <w:kern w:val="0"/>
          <w:szCs w:val="21"/>
          <w:highlight w:val="none"/>
        </w:rPr>
      </w:pPr>
      <w:bookmarkStart w:id="1533" w:name="_Toc532377366"/>
      <w:bookmarkStart w:id="1534" w:name="_Toc532375630"/>
      <w:r>
        <w:rPr>
          <w:rFonts w:hint="eastAsia" w:ascii="宋体" w:hAnsi="宋体" w:cs="宋体"/>
          <w:b/>
          <w:bCs/>
          <w:color w:val="auto"/>
          <w:kern w:val="0"/>
          <w:szCs w:val="21"/>
          <w:highlight w:val="none"/>
        </w:rPr>
        <w:t>8.8 施工设备和临时设施</w:t>
      </w:r>
      <w:bookmarkEnd w:id="1533"/>
      <w:bookmarkEnd w:id="1534"/>
    </w:p>
    <w:p w14:paraId="54FBAD2D">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14:paraId="715C31E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由承包人承担，其费用包含在投标报价中</w:t>
      </w:r>
      <w:r>
        <w:rPr>
          <w:rFonts w:hint="eastAsia" w:ascii="宋体" w:hAnsi="宋体"/>
          <w:color w:val="auto"/>
          <w:szCs w:val="21"/>
          <w:highlight w:val="none"/>
        </w:rPr>
        <w:t>。</w:t>
      </w:r>
    </w:p>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14:paraId="7429726F">
      <w:pPr>
        <w:keepNext/>
        <w:keepLines/>
        <w:widowControl/>
        <w:spacing w:before="156" w:beforeLines="50" w:after="156" w:afterLines="50" w:line="360" w:lineRule="auto"/>
        <w:outlineLvl w:val="3"/>
        <w:rPr>
          <w:rFonts w:ascii="宋体" w:hAnsi="宋体" w:cs="宋体"/>
          <w:b/>
          <w:color w:val="auto"/>
          <w:szCs w:val="21"/>
          <w:highlight w:val="none"/>
        </w:rPr>
      </w:pPr>
      <w:bookmarkStart w:id="1535" w:name="_Toc532375631"/>
      <w:bookmarkStart w:id="1536" w:name="_Toc532377367"/>
      <w:bookmarkStart w:id="1537" w:name="_Toc351203641"/>
      <w:r>
        <w:rPr>
          <w:rFonts w:hint="eastAsia" w:ascii="宋体" w:hAnsi="宋体" w:cs="宋体"/>
          <w:b/>
          <w:bCs/>
          <w:color w:val="auto"/>
          <w:szCs w:val="21"/>
          <w:highlight w:val="none"/>
        </w:rPr>
        <w:t>9</w:t>
      </w:r>
      <w:bookmarkEnd w:id="1510"/>
      <w:bookmarkEnd w:id="1511"/>
      <w:bookmarkEnd w:id="1512"/>
      <w:bookmarkStart w:id="1538" w:name="_Toc312678021"/>
      <w:bookmarkStart w:id="1539" w:name="_Toc300934982"/>
      <w:bookmarkStart w:id="1540" w:name="_Toc297216192"/>
      <w:bookmarkStart w:id="1541" w:name="_Toc297123533"/>
      <w:bookmarkStart w:id="1542" w:name="_Toc303539139"/>
      <w:bookmarkStart w:id="1543" w:name="_Toc304295559"/>
      <w:bookmarkStart w:id="1544" w:name="_Toc312677495"/>
      <w:r>
        <w:rPr>
          <w:rFonts w:hint="eastAsia" w:ascii="宋体" w:hAnsi="宋体" w:cs="宋体"/>
          <w:b/>
          <w:bCs/>
          <w:color w:val="auto"/>
          <w:szCs w:val="21"/>
          <w:highlight w:val="none"/>
        </w:rPr>
        <w:t>. 试验与检验</w:t>
      </w:r>
      <w:bookmarkEnd w:id="1535"/>
      <w:bookmarkEnd w:id="1536"/>
      <w:bookmarkEnd w:id="1537"/>
    </w:p>
    <w:bookmarkEnd w:id="1538"/>
    <w:bookmarkEnd w:id="1539"/>
    <w:bookmarkEnd w:id="1540"/>
    <w:bookmarkEnd w:id="1541"/>
    <w:bookmarkEnd w:id="1542"/>
    <w:bookmarkEnd w:id="1543"/>
    <w:bookmarkEnd w:id="1544"/>
    <w:p w14:paraId="3FA9D49C">
      <w:pPr>
        <w:widowControl/>
        <w:spacing w:line="360" w:lineRule="auto"/>
        <w:ind w:firstLine="422" w:firstLineChars="200"/>
        <w:jc w:val="left"/>
        <w:outlineLvl w:val="4"/>
        <w:rPr>
          <w:rFonts w:ascii="宋体" w:hAnsi="宋体" w:cs="宋体"/>
          <w:b/>
          <w:bCs/>
          <w:color w:val="auto"/>
          <w:kern w:val="0"/>
          <w:szCs w:val="21"/>
          <w:highlight w:val="none"/>
        </w:rPr>
      </w:pPr>
      <w:bookmarkStart w:id="1545" w:name="_Toc532375632"/>
      <w:bookmarkStart w:id="1546" w:name="_Toc532377368"/>
      <w:r>
        <w:rPr>
          <w:rFonts w:hint="eastAsia" w:ascii="宋体" w:hAnsi="宋体" w:cs="宋体"/>
          <w:b/>
          <w:bCs/>
          <w:color w:val="auto"/>
          <w:kern w:val="0"/>
          <w:szCs w:val="21"/>
          <w:highlight w:val="none"/>
        </w:rPr>
        <w:t>9</w:t>
      </w:r>
      <w:bookmarkStart w:id="1547" w:name="_Toc304295560"/>
      <w:bookmarkStart w:id="1548" w:name="_Toc300934983"/>
      <w:bookmarkStart w:id="1549" w:name="_Toc303539140"/>
      <w:bookmarkStart w:id="1550" w:name="_Toc297123534"/>
      <w:bookmarkStart w:id="1551" w:name="_Toc312677496"/>
      <w:bookmarkStart w:id="1552" w:name="_Toc297216193"/>
      <w:bookmarkStart w:id="1553" w:name="_Toc312678022"/>
      <w:r>
        <w:rPr>
          <w:rFonts w:hint="eastAsia" w:ascii="宋体" w:hAnsi="宋体" w:cs="宋体"/>
          <w:b/>
          <w:bCs/>
          <w:color w:val="auto"/>
          <w:kern w:val="0"/>
          <w:szCs w:val="21"/>
          <w:highlight w:val="none"/>
        </w:rPr>
        <w:t>.1 试验设备与试验人员</w:t>
      </w:r>
      <w:bookmarkEnd w:id="1545"/>
      <w:bookmarkEnd w:id="1546"/>
    </w:p>
    <w:bookmarkEnd w:id="1547"/>
    <w:bookmarkEnd w:id="1548"/>
    <w:bookmarkEnd w:id="1549"/>
    <w:bookmarkEnd w:id="1550"/>
    <w:bookmarkEnd w:id="1551"/>
    <w:bookmarkEnd w:id="1552"/>
    <w:bookmarkEnd w:id="1553"/>
    <w:p w14:paraId="5C969A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1554" w:name="_Toc297216194"/>
      <w:bookmarkStart w:id="1555" w:name="_Toc297123535"/>
      <w:bookmarkStart w:id="1556" w:name="_Toc303539141"/>
      <w:bookmarkStart w:id="1557" w:name="_Toc312677497"/>
      <w:bookmarkStart w:id="1558" w:name="_Toc300934984"/>
      <w:bookmarkStart w:id="1559" w:name="_Toc312678023"/>
      <w:bookmarkStart w:id="1560" w:name="_Toc304295561"/>
      <w:bookmarkStart w:id="1561" w:name="_Toc318581174"/>
      <w:r>
        <w:rPr>
          <w:rFonts w:hint="eastAsia" w:ascii="宋体" w:hAnsi="宋体"/>
          <w:color w:val="auto"/>
          <w:szCs w:val="21"/>
          <w:highlight w:val="none"/>
        </w:rPr>
        <w:t>.1.2 试验设备</w:t>
      </w:r>
    </w:p>
    <w:p w14:paraId="3AEA60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1554"/>
      <w:bookmarkEnd w:id="1555"/>
      <w:bookmarkEnd w:id="1556"/>
      <w:bookmarkEnd w:id="1557"/>
      <w:bookmarkEnd w:id="1558"/>
      <w:bookmarkEnd w:id="1559"/>
      <w:bookmarkEnd w:id="1560"/>
      <w:bookmarkStart w:id="1562" w:name="_Toc297123536"/>
      <w:bookmarkStart w:id="1563" w:name="_Toc297216195"/>
      <w:bookmarkStart w:id="1564" w:name="_Toc300934985"/>
      <w:bookmarkStart w:id="1565" w:name="_Toc312678024"/>
      <w:bookmarkStart w:id="1566" w:name="_Toc303539142"/>
      <w:bookmarkStart w:id="1567" w:name="_Toc304295562"/>
      <w:bookmarkStart w:id="1568" w:name="_Toc312677498"/>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7F84A8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5D66CA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27F8664F">
      <w:pPr>
        <w:widowControl/>
        <w:spacing w:line="360" w:lineRule="auto"/>
        <w:ind w:firstLine="422" w:firstLineChars="200"/>
        <w:jc w:val="left"/>
        <w:outlineLvl w:val="4"/>
        <w:rPr>
          <w:rFonts w:ascii="宋体" w:hAnsi="宋体" w:cs="宋体"/>
          <w:b/>
          <w:bCs/>
          <w:color w:val="auto"/>
          <w:kern w:val="0"/>
          <w:szCs w:val="21"/>
          <w:highlight w:val="none"/>
        </w:rPr>
      </w:pPr>
      <w:bookmarkStart w:id="1569" w:name="_Toc532377369"/>
      <w:bookmarkStart w:id="1570" w:name="_Toc532375633"/>
      <w:r>
        <w:rPr>
          <w:rFonts w:hint="eastAsia" w:ascii="宋体" w:hAnsi="宋体" w:cs="宋体"/>
          <w:b/>
          <w:bCs/>
          <w:color w:val="auto"/>
          <w:kern w:val="0"/>
          <w:szCs w:val="21"/>
          <w:highlight w:val="none"/>
        </w:rPr>
        <w:t>9.4 现场工艺试验</w:t>
      </w:r>
      <w:bookmarkEnd w:id="1569"/>
      <w:bookmarkEnd w:id="1570"/>
    </w:p>
    <w:p w14:paraId="782C46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1561"/>
    <w:bookmarkEnd w:id="1562"/>
    <w:bookmarkEnd w:id="1563"/>
    <w:bookmarkEnd w:id="1564"/>
    <w:bookmarkEnd w:id="1565"/>
    <w:bookmarkEnd w:id="1566"/>
    <w:bookmarkEnd w:id="1567"/>
    <w:bookmarkEnd w:id="1568"/>
    <w:p w14:paraId="3EBA09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14:paraId="276987B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14561689">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1A1C32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14:paraId="67F53F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2296DC6A">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14:paraId="4ED70B5B">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14:paraId="3FBC0B1B">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3A8DC3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14:paraId="725E4262">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1407"/>
    <w:bookmarkEnd w:id="1408"/>
    <w:bookmarkEnd w:id="1409"/>
    <w:bookmarkEnd w:id="1410"/>
    <w:bookmarkEnd w:id="1411"/>
    <w:bookmarkEnd w:id="1412"/>
    <w:bookmarkEnd w:id="1413"/>
    <w:bookmarkEnd w:id="1414"/>
    <w:bookmarkEnd w:id="1415"/>
    <w:bookmarkEnd w:id="1416"/>
    <w:bookmarkEnd w:id="1417"/>
    <w:bookmarkEnd w:id="1418"/>
    <w:bookmarkEnd w:id="1419"/>
    <w:p w14:paraId="375B9333">
      <w:pPr>
        <w:keepNext/>
        <w:keepLines/>
        <w:widowControl/>
        <w:spacing w:before="156" w:beforeLines="50" w:after="156" w:afterLines="50" w:line="360" w:lineRule="auto"/>
        <w:outlineLvl w:val="3"/>
        <w:rPr>
          <w:rFonts w:ascii="宋体" w:hAnsi="宋体" w:cs="宋体"/>
          <w:b/>
          <w:color w:val="auto"/>
          <w:szCs w:val="21"/>
          <w:highlight w:val="none"/>
        </w:rPr>
      </w:pPr>
      <w:bookmarkStart w:id="1571" w:name="_Toc532377370"/>
      <w:bookmarkStart w:id="1572" w:name="_Toc532375634"/>
      <w:bookmarkStart w:id="1573" w:name="_Toc267251484"/>
      <w:bookmarkStart w:id="1574" w:name="_Toc267251486"/>
      <w:bookmarkStart w:id="1575" w:name="_Hlk524298112"/>
      <w:bookmarkStart w:id="1576" w:name="_Toc267251485"/>
      <w:bookmarkStart w:id="1577" w:name="_Toc267251488"/>
      <w:bookmarkStart w:id="1578" w:name="_Toc267251482"/>
      <w:bookmarkStart w:id="1579" w:name="_Toc267251490"/>
      <w:bookmarkStart w:id="1580" w:name="_Toc267251489"/>
      <w:bookmarkStart w:id="1581" w:name="_Toc267251508"/>
      <w:bookmarkStart w:id="1582" w:name="_Toc267251492"/>
      <w:bookmarkStart w:id="1583" w:name="_Toc267251496"/>
      <w:bookmarkStart w:id="1584" w:name="_Toc267251504"/>
      <w:bookmarkStart w:id="1585" w:name="_Toc267251497"/>
      <w:bookmarkStart w:id="1586" w:name="_Toc267251495"/>
      <w:bookmarkStart w:id="1587" w:name="_Toc267251493"/>
      <w:bookmarkStart w:id="1588" w:name="_Toc267251502"/>
      <w:bookmarkStart w:id="1589" w:name="_Toc267251503"/>
      <w:bookmarkStart w:id="1590" w:name="_Toc267251513"/>
      <w:bookmarkStart w:id="1591" w:name="_Toc267251491"/>
      <w:bookmarkStart w:id="1592" w:name="_Toc267251499"/>
      <w:bookmarkStart w:id="1593" w:name="_Toc267251498"/>
      <w:bookmarkStart w:id="1594" w:name="_Toc267251514"/>
      <w:bookmarkStart w:id="1595" w:name="_Toc267251507"/>
      <w:bookmarkStart w:id="1596" w:name="_Toc267251501"/>
      <w:bookmarkStart w:id="1597" w:name="_Toc267251506"/>
      <w:bookmarkStart w:id="1598" w:name="_Toc267251511"/>
      <w:bookmarkStart w:id="1599" w:name="_Toc267251494"/>
      <w:bookmarkStart w:id="1600" w:name="_Toc267251509"/>
      <w:bookmarkStart w:id="1601" w:name="_Toc267251510"/>
      <w:bookmarkStart w:id="1602" w:name="_Toc267251515"/>
      <w:r>
        <w:rPr>
          <w:rFonts w:hint="eastAsia" w:ascii="宋体" w:hAnsi="宋体" w:cs="宋体"/>
          <w:b/>
          <w:bCs/>
          <w:color w:val="auto"/>
          <w:szCs w:val="21"/>
          <w:highlight w:val="none"/>
        </w:rPr>
        <w:t>1</w:t>
      </w:r>
      <w:bookmarkStart w:id="1603" w:name="_Toc296346694"/>
      <w:bookmarkStart w:id="1604" w:name="_Toc297048379"/>
      <w:bookmarkStart w:id="1605" w:name="_Toc296503193"/>
      <w:bookmarkStart w:id="1606" w:name="_Toc296891021"/>
      <w:bookmarkStart w:id="1607" w:name="_Toc292559398"/>
      <w:bookmarkStart w:id="1608" w:name="_Toc296891233"/>
      <w:bookmarkStart w:id="1609" w:name="_Toc292559903"/>
      <w:bookmarkStart w:id="1610" w:name="_Toc300934989"/>
      <w:bookmarkStart w:id="1611" w:name="_Toc296347192"/>
      <w:bookmarkStart w:id="1612" w:name="_Toc303539146"/>
      <w:bookmarkStart w:id="1613" w:name="_Toc297120493"/>
      <w:bookmarkStart w:id="1614" w:name="_Toc296944532"/>
      <w:bookmarkStart w:id="1615" w:name="_Toc297216199"/>
      <w:bookmarkStart w:id="1616" w:name="_Toc304295566"/>
      <w:bookmarkStart w:id="1617" w:name="_Toc297123540"/>
      <w:bookmarkStart w:id="1618" w:name="_Toc312677499"/>
      <w:bookmarkStart w:id="1619" w:name="_Toc312678025"/>
      <w:bookmarkStart w:id="1620" w:name="_Toc267251437"/>
      <w:bookmarkStart w:id="1621" w:name="_Toc267251435"/>
      <w:bookmarkStart w:id="1622" w:name="_Toc267251440"/>
      <w:bookmarkStart w:id="1623" w:name="_Toc267251441"/>
      <w:bookmarkStart w:id="1624" w:name="_Toc267251433"/>
      <w:bookmarkStart w:id="1625" w:name="_Toc267251439"/>
      <w:r>
        <w:rPr>
          <w:rFonts w:hint="eastAsia" w:ascii="宋体" w:hAnsi="宋体" w:cs="宋体"/>
          <w:b/>
          <w:bCs/>
          <w:color w:val="auto"/>
          <w:szCs w:val="21"/>
          <w:highlight w:val="none"/>
        </w:rPr>
        <w:t>0. 变更</w:t>
      </w:r>
      <w:bookmarkEnd w:id="1571"/>
      <w:bookmarkEnd w:id="157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bookmarkEnd w:id="1618"/>
    <w:bookmarkEnd w:id="1619"/>
    <w:p w14:paraId="44EF743F">
      <w:pPr>
        <w:widowControl/>
        <w:spacing w:line="360" w:lineRule="auto"/>
        <w:ind w:firstLine="422" w:firstLineChars="200"/>
        <w:jc w:val="left"/>
        <w:outlineLvl w:val="4"/>
        <w:rPr>
          <w:rFonts w:ascii="宋体" w:hAnsi="宋体" w:cs="宋体"/>
          <w:b/>
          <w:bCs/>
          <w:color w:val="auto"/>
          <w:kern w:val="0"/>
          <w:szCs w:val="21"/>
          <w:highlight w:val="none"/>
        </w:rPr>
      </w:pPr>
      <w:bookmarkStart w:id="1626" w:name="_Toc532375635"/>
      <w:bookmarkStart w:id="1627" w:name="_Toc532377371"/>
      <w:r>
        <w:rPr>
          <w:rFonts w:hint="eastAsia" w:ascii="宋体" w:hAnsi="宋体" w:cs="宋体"/>
          <w:b/>
          <w:bCs/>
          <w:color w:val="auto"/>
          <w:kern w:val="0"/>
          <w:szCs w:val="21"/>
          <w:highlight w:val="none"/>
        </w:rPr>
        <w:t>1</w:t>
      </w:r>
      <w:bookmarkStart w:id="1628" w:name="_Toc296347193"/>
      <w:bookmarkStart w:id="1629" w:name="_Toc304295567"/>
      <w:bookmarkStart w:id="1630" w:name="_Toc300934990"/>
      <w:bookmarkStart w:id="1631" w:name="_Toc312677500"/>
      <w:bookmarkStart w:id="1632" w:name="_Toc296503194"/>
      <w:bookmarkStart w:id="1633" w:name="_Toc297216200"/>
      <w:bookmarkStart w:id="1634" w:name="_Toc292559399"/>
      <w:bookmarkStart w:id="1635" w:name="_Toc296891234"/>
      <w:bookmarkStart w:id="1636" w:name="_Toc296891022"/>
      <w:bookmarkStart w:id="1637" w:name="_Toc312678026"/>
      <w:bookmarkStart w:id="1638" w:name="_Toc303539147"/>
      <w:bookmarkStart w:id="1639" w:name="_Toc297123541"/>
      <w:bookmarkStart w:id="1640" w:name="_Toc292559904"/>
      <w:bookmarkStart w:id="1641" w:name="_Toc296944533"/>
      <w:bookmarkStart w:id="1642" w:name="_Toc296346695"/>
      <w:bookmarkStart w:id="1643" w:name="_Toc297048380"/>
      <w:bookmarkStart w:id="1644" w:name="_Toc297120494"/>
      <w:r>
        <w:rPr>
          <w:rFonts w:hint="eastAsia" w:ascii="宋体" w:hAnsi="宋体" w:cs="宋体"/>
          <w:b/>
          <w:bCs/>
          <w:color w:val="auto"/>
          <w:kern w:val="0"/>
          <w:szCs w:val="21"/>
          <w:highlight w:val="none"/>
        </w:rPr>
        <w:t>0.1变更的范围</w:t>
      </w:r>
      <w:bookmarkEnd w:id="1626"/>
      <w:bookmarkEnd w:id="1627"/>
    </w:p>
    <w:p w14:paraId="57EBC4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14:paraId="49E284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1618EC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14:paraId="35B7EC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19F2D4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14:paraId="0C14EA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14:paraId="28A885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（6）经发包人审核认可的勘察设计变更；</w:t>
      </w:r>
    </w:p>
    <w:p w14:paraId="1784DC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14:paraId="291E29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14:paraId="4AA1B7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14:paraId="1C0196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14:paraId="334235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设计变更、发包人要求的施工变更及合同范围内的减项、合同范围外的增项均属工程变更。工程变更必须按程序先审批后实施。所有工程变更必须征得发包人的同意签认后，才可以实施。承包人不得直接向设计单位提出设计变更，确需进行设计变更的，由承包人向监理工程师和发包人提出，经监理工程师和发包人同意后，由发包人向设计单位提出进行设计变更。施工中发生工程变更，承包人按照经发包人认可的变更设计文件，进行变更施工</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ADE9D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2880106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承包人对其提供的材料、工程设备、施工、无负荷试车、热负荷试车及图纸参数存在的缺陷，自费修正、调整和完善，不属于变更。因此种情形变化发生的费用均由承包人自行承担。</w:t>
      </w:r>
    </w:p>
    <w:p w14:paraId="5A46C8A1">
      <w:pPr>
        <w:widowControl/>
        <w:spacing w:line="360" w:lineRule="auto"/>
        <w:ind w:firstLine="422" w:firstLineChars="200"/>
        <w:jc w:val="left"/>
        <w:outlineLvl w:val="4"/>
        <w:rPr>
          <w:rFonts w:ascii="宋体" w:hAnsi="宋体" w:cs="宋体"/>
          <w:b/>
          <w:bCs/>
          <w:color w:val="auto"/>
          <w:kern w:val="0"/>
          <w:szCs w:val="21"/>
          <w:highlight w:val="none"/>
        </w:rPr>
      </w:pPr>
      <w:bookmarkStart w:id="1645" w:name="_Toc532377372"/>
      <w:bookmarkStart w:id="1646" w:name="_Toc351203569"/>
      <w:bookmarkStart w:id="1647" w:name="_Toc532375636"/>
      <w:r>
        <w:rPr>
          <w:rFonts w:hint="eastAsia" w:ascii="宋体" w:hAnsi="宋体" w:cs="宋体"/>
          <w:b/>
          <w:bCs/>
          <w:color w:val="auto"/>
          <w:kern w:val="0"/>
          <w:szCs w:val="21"/>
          <w:highlight w:val="none"/>
        </w:rPr>
        <w:t>1</w:t>
      </w:r>
      <w:bookmarkStart w:id="1648" w:name="_Toc296346586"/>
      <w:bookmarkStart w:id="1649" w:name="_Toc296503085"/>
      <w:bookmarkStart w:id="1650" w:name="_Toc337558789"/>
      <w:r>
        <w:rPr>
          <w:rFonts w:hint="eastAsia" w:ascii="宋体" w:hAnsi="宋体" w:cs="宋体"/>
          <w:b/>
          <w:bCs/>
          <w:color w:val="auto"/>
          <w:kern w:val="0"/>
          <w:szCs w:val="21"/>
          <w:highlight w:val="none"/>
        </w:rPr>
        <w:t>0.2变更权</w:t>
      </w:r>
      <w:bookmarkEnd w:id="1645"/>
      <w:bookmarkEnd w:id="1646"/>
      <w:bookmarkEnd w:id="1647"/>
    </w:p>
    <w:bookmarkEnd w:id="1648"/>
    <w:bookmarkEnd w:id="1649"/>
    <w:bookmarkEnd w:id="1650"/>
    <w:p w14:paraId="3F8D19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14:paraId="654B7C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6E6D48E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2C2F71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14:paraId="0CA1B9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14:paraId="4FD2B9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14:paraId="7D7E93B7">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14:paraId="4043AA5D">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14:paraId="1555520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14:paraId="0DD2BB2A">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14:paraId="05E7C272">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14:paraId="67892B09">
      <w:pPr>
        <w:widowControl/>
        <w:spacing w:line="360" w:lineRule="auto"/>
        <w:ind w:firstLine="422" w:firstLineChars="200"/>
        <w:jc w:val="left"/>
        <w:outlineLvl w:val="4"/>
        <w:rPr>
          <w:rFonts w:ascii="宋体" w:hAnsi="宋体" w:cs="宋体"/>
          <w:b/>
          <w:bCs/>
          <w:color w:val="auto"/>
          <w:kern w:val="0"/>
          <w:szCs w:val="21"/>
          <w:highlight w:val="none"/>
        </w:rPr>
      </w:pPr>
      <w:bookmarkStart w:id="1651" w:name="_Toc532375637"/>
      <w:bookmarkStart w:id="1652" w:name="_Toc532377373"/>
      <w:bookmarkStart w:id="1653" w:name="_Hlk528928195"/>
      <w:bookmarkStart w:id="1654" w:name="_Toc351203570"/>
      <w:r>
        <w:rPr>
          <w:rFonts w:hint="eastAsia" w:ascii="宋体" w:hAnsi="宋体" w:cs="宋体"/>
          <w:b/>
          <w:bCs/>
          <w:color w:val="auto"/>
          <w:kern w:val="0"/>
          <w:szCs w:val="21"/>
          <w:highlight w:val="none"/>
        </w:rPr>
        <w:t>1</w:t>
      </w:r>
      <w:bookmarkStart w:id="1655" w:name="_Toc296346587"/>
      <w:bookmarkStart w:id="1656" w:name="_Toc296503086"/>
      <w:bookmarkStart w:id="1657" w:name="_Toc337558790"/>
      <w:r>
        <w:rPr>
          <w:rFonts w:hint="eastAsia" w:ascii="宋体" w:hAnsi="宋体" w:cs="宋体"/>
          <w:b/>
          <w:bCs/>
          <w:color w:val="auto"/>
          <w:kern w:val="0"/>
          <w:szCs w:val="21"/>
          <w:highlight w:val="none"/>
        </w:rPr>
        <w:t>0.3变更程序</w:t>
      </w:r>
      <w:bookmarkEnd w:id="1651"/>
      <w:bookmarkEnd w:id="1652"/>
    </w:p>
    <w:bookmarkEnd w:id="1655"/>
    <w:bookmarkEnd w:id="1656"/>
    <w:bookmarkEnd w:id="1657"/>
    <w:p w14:paraId="20318D0B">
      <w:pPr>
        <w:autoSpaceDE w:val="0"/>
        <w:autoSpaceDN w:val="0"/>
        <w:spacing w:line="360" w:lineRule="auto"/>
        <w:ind w:firstLine="420" w:firstLineChars="200"/>
        <w:jc w:val="left"/>
        <w:rPr>
          <w:rFonts w:ascii="宋体" w:hAnsi="宋体"/>
          <w:color w:val="auto"/>
          <w:szCs w:val="21"/>
          <w:highlight w:val="none"/>
        </w:rPr>
      </w:pPr>
      <w:bookmarkStart w:id="1658" w:name="_Hlk524353972"/>
      <w:r>
        <w:rPr>
          <w:rFonts w:hint="eastAsia" w:ascii="宋体" w:hAnsi="宋体"/>
          <w:color w:val="auto"/>
          <w:szCs w:val="21"/>
          <w:highlight w:val="none"/>
        </w:rPr>
        <w:t>10.3.3 变更执行</w:t>
      </w:r>
    </w:p>
    <w:p w14:paraId="35DF173B">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4D41CD48">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14:paraId="4427149B">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14:paraId="306C91B7">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南岸区政府投资项目管理办法》（南岸府发【2017】29号文）规定的程序自行决策或者报批；经论证不需要变更的，继续按合同执行。</w:t>
      </w:r>
    </w:p>
    <w:p w14:paraId="5ED5FB25">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14:paraId="6EB4A35E">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14:paraId="39CA4128">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14:paraId="659678E5">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083F9A62">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1653"/>
    <w:bookmarkEnd w:id="1654"/>
    <w:bookmarkEnd w:id="1658"/>
    <w:p w14:paraId="4A6BA72C">
      <w:pPr>
        <w:widowControl/>
        <w:spacing w:line="360" w:lineRule="auto"/>
        <w:ind w:firstLine="422" w:firstLineChars="200"/>
        <w:jc w:val="left"/>
        <w:outlineLvl w:val="4"/>
        <w:rPr>
          <w:rFonts w:ascii="宋体" w:hAnsi="宋体" w:cs="宋体"/>
          <w:b/>
          <w:bCs/>
          <w:color w:val="auto"/>
          <w:kern w:val="0"/>
          <w:szCs w:val="21"/>
          <w:highlight w:val="none"/>
        </w:rPr>
      </w:pPr>
      <w:bookmarkStart w:id="1659" w:name="_Toc532377374"/>
      <w:bookmarkStart w:id="1660" w:name="_Toc532375638"/>
      <w:r>
        <w:rPr>
          <w:rFonts w:hint="eastAsia" w:ascii="宋体" w:hAnsi="宋体" w:cs="宋体"/>
          <w:b/>
          <w:bCs/>
          <w:color w:val="auto"/>
          <w:kern w:val="0"/>
          <w:szCs w:val="21"/>
          <w:highlight w:val="none"/>
        </w:rPr>
        <w:t>10.4 变更估价</w:t>
      </w:r>
      <w:bookmarkEnd w:id="1659"/>
      <w:bookmarkEnd w:id="1660"/>
    </w:p>
    <w:p w14:paraId="14EE0DCD">
      <w:pPr>
        <w:spacing w:line="360" w:lineRule="auto"/>
        <w:ind w:firstLine="420" w:firstLineChars="200"/>
        <w:jc w:val="left"/>
        <w:rPr>
          <w:rFonts w:ascii="宋体" w:hAnsi="宋体"/>
          <w:color w:val="auto"/>
          <w:szCs w:val="21"/>
          <w:highlight w:val="none"/>
        </w:rPr>
      </w:pPr>
      <w:bookmarkStart w:id="1661" w:name="_Hlk524296629"/>
      <w:r>
        <w:rPr>
          <w:rFonts w:hint="eastAsia" w:ascii="宋体" w:hAnsi="宋体"/>
          <w:color w:val="auto"/>
          <w:szCs w:val="21"/>
          <w:highlight w:val="none"/>
        </w:rPr>
        <w:t>10.4.1 变更估价原则</w:t>
      </w:r>
    </w:p>
    <w:p w14:paraId="2EC395B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专用合同条款12.3.1 </w:t>
      </w:r>
      <w:r>
        <w:rPr>
          <w:rFonts w:hint="eastAsia" w:ascii="宋体" w:hAnsi="宋体"/>
          <w:color w:val="auto"/>
          <w:szCs w:val="21"/>
          <w:highlight w:val="none"/>
        </w:rPr>
        <w:t>规定的计算规则及已标价工程量清单规定的工程量计算规则计量，按以下办法计价：</w:t>
      </w:r>
      <w:bookmarkStart w:id="1662" w:name="_Hlk524770102"/>
    </w:p>
    <w:bookmarkEnd w:id="1662"/>
    <w:p w14:paraId="3EE0D5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14:paraId="43CE93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14:paraId="036D6A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14:paraId="4BC510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14:paraId="628E7C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14:paraId="40772F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14:paraId="3BFFF409">
      <w:pPr>
        <w:spacing w:line="360" w:lineRule="auto"/>
        <w:ind w:firstLine="420" w:firstLineChars="200"/>
        <w:jc w:val="left"/>
        <w:rPr>
          <w:rFonts w:ascii="宋体" w:hAnsi="宋体"/>
          <w:color w:val="auto"/>
          <w:szCs w:val="21"/>
          <w:highlight w:val="none"/>
        </w:rPr>
      </w:pPr>
      <w:bookmarkStart w:id="1663" w:name="_Hlk529023896"/>
      <w:r>
        <w:rPr>
          <w:rFonts w:hint="eastAsia" w:ascii="宋体" w:hAnsi="宋体"/>
          <w:color w:val="auto"/>
          <w:szCs w:val="21"/>
          <w:highlight w:val="none"/>
        </w:rPr>
        <w:t>（2）材料单价：</w:t>
      </w:r>
    </w:p>
    <w:p w14:paraId="298007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664" w:name="_Hlk529023354"/>
      <w:r>
        <w:rPr>
          <w:rFonts w:hint="eastAsia" w:ascii="宋体" w:hAnsi="宋体"/>
          <w:color w:val="auto"/>
          <w:szCs w:val="21"/>
          <w:highlight w:val="none"/>
        </w:rPr>
        <w:t>开标当期《重庆工程造价信息》发布的项目所在地的信息价</w:t>
      </w:r>
      <w:bookmarkEnd w:id="1664"/>
      <w:r>
        <w:rPr>
          <w:rFonts w:hint="eastAsia" w:ascii="宋体" w:hAnsi="宋体"/>
          <w:color w:val="auto"/>
          <w:szCs w:val="21"/>
          <w:highlight w:val="none"/>
        </w:rPr>
        <w:t>执行；</w:t>
      </w:r>
    </w:p>
    <w:p w14:paraId="3D1B06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14:paraId="664DA6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1663"/>
    <w:p w14:paraId="11935C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39388C8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14:paraId="51461463">
      <w:pPr>
        <w:spacing w:line="360" w:lineRule="auto"/>
        <w:ind w:firstLine="420" w:firstLineChars="200"/>
        <w:jc w:val="left"/>
        <w:rPr>
          <w:color w:val="auto"/>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14:paraId="0C677E2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5D5B47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14:paraId="31CF6E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3B83B4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14:paraId="0FE75C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14:paraId="466EFB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14:paraId="4214ED6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661"/>
    <w:p w14:paraId="70FCA6ED">
      <w:pPr>
        <w:widowControl/>
        <w:spacing w:line="360" w:lineRule="auto"/>
        <w:ind w:firstLine="422" w:firstLineChars="200"/>
        <w:jc w:val="left"/>
        <w:outlineLvl w:val="4"/>
        <w:rPr>
          <w:rFonts w:ascii="宋体" w:hAnsi="宋体" w:cs="宋体"/>
          <w:b/>
          <w:bCs/>
          <w:color w:val="auto"/>
          <w:kern w:val="0"/>
          <w:szCs w:val="21"/>
          <w:highlight w:val="none"/>
        </w:rPr>
      </w:pPr>
      <w:bookmarkStart w:id="1665" w:name="_Toc532377375"/>
      <w:bookmarkStart w:id="1666" w:name="_Toc532375639"/>
      <w:r>
        <w:rPr>
          <w:rFonts w:hint="eastAsia" w:ascii="宋体" w:hAnsi="宋体" w:cs="宋体"/>
          <w:b/>
          <w:bCs/>
          <w:color w:val="auto"/>
          <w:kern w:val="0"/>
          <w:szCs w:val="21"/>
          <w:highlight w:val="none"/>
        </w:rPr>
        <w:t>1</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Start w:id="1667" w:name="_Toc296346698"/>
      <w:bookmarkStart w:id="1668" w:name="_Toc296347196"/>
      <w:bookmarkStart w:id="1669" w:name="_Toc297048383"/>
      <w:bookmarkStart w:id="1670" w:name="_Toc300934993"/>
      <w:bookmarkStart w:id="1671" w:name="_Toc296944536"/>
      <w:bookmarkStart w:id="1672" w:name="_Toc303539150"/>
      <w:bookmarkStart w:id="1673" w:name="_Toc296891025"/>
      <w:bookmarkStart w:id="1674" w:name="_Toc296891237"/>
      <w:bookmarkStart w:id="1675" w:name="_Toc292559907"/>
      <w:bookmarkStart w:id="1676" w:name="_Toc297123544"/>
      <w:bookmarkStart w:id="1677" w:name="_Toc292559402"/>
      <w:bookmarkStart w:id="1678" w:name="_Toc297216203"/>
      <w:bookmarkStart w:id="1679" w:name="_Toc296503197"/>
      <w:bookmarkStart w:id="1680" w:name="_Toc297120497"/>
      <w:bookmarkStart w:id="1681" w:name="_Toc312678029"/>
      <w:bookmarkStart w:id="1682" w:name="_Toc312677503"/>
      <w:bookmarkStart w:id="1683" w:name="_Toc304295570"/>
      <w:r>
        <w:rPr>
          <w:rFonts w:hint="eastAsia" w:ascii="宋体" w:hAnsi="宋体" w:cs="宋体"/>
          <w:b/>
          <w:bCs/>
          <w:color w:val="auto"/>
          <w:kern w:val="0"/>
          <w:szCs w:val="21"/>
          <w:highlight w:val="none"/>
        </w:rPr>
        <w:t>0.5承</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Start w:id="1684" w:name="_Toc296347202"/>
      <w:bookmarkStart w:id="1685" w:name="_Toc296346704"/>
      <w:bookmarkStart w:id="1686" w:name="_Toc297120503"/>
      <w:bookmarkStart w:id="1687" w:name="_Toc296503203"/>
      <w:bookmarkStart w:id="1688" w:name="_Toc297048389"/>
      <w:bookmarkStart w:id="1689" w:name="_Toc297216204"/>
      <w:bookmarkStart w:id="1690" w:name="_Toc300934994"/>
      <w:bookmarkStart w:id="1691" w:name="_Toc292559913"/>
      <w:bookmarkStart w:id="1692" w:name="_Toc296891031"/>
      <w:bookmarkStart w:id="1693" w:name="_Toc303539151"/>
      <w:bookmarkStart w:id="1694" w:name="_Toc292559408"/>
      <w:bookmarkStart w:id="1695" w:name="_Toc296891243"/>
      <w:bookmarkStart w:id="1696" w:name="_Toc297123545"/>
      <w:bookmarkStart w:id="1697" w:name="_Toc296944542"/>
      <w:r>
        <w:rPr>
          <w:rFonts w:hint="eastAsia" w:ascii="宋体" w:hAnsi="宋体" w:cs="宋体"/>
          <w:b/>
          <w:bCs/>
          <w:color w:val="auto"/>
          <w:kern w:val="0"/>
          <w:szCs w:val="21"/>
          <w:highlight w:val="none"/>
        </w:rPr>
        <w:t>包人的合理化建议</w:t>
      </w:r>
      <w:bookmarkEnd w:id="1665"/>
      <w:bookmarkEnd w:id="1666"/>
    </w:p>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14:paraId="5F48F2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14:paraId="434DF2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580D54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58B722C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1698" w:name="_Toc296347203"/>
      <w:bookmarkStart w:id="1699" w:name="_Toc297216205"/>
      <w:bookmarkStart w:id="1700" w:name="_Toc312677504"/>
      <w:bookmarkStart w:id="1701" w:name="_Toc296346705"/>
      <w:bookmarkStart w:id="1702" w:name="_Toc297120504"/>
      <w:bookmarkStart w:id="1703" w:name="_Toc318581175"/>
      <w:bookmarkStart w:id="1704" w:name="_Toc304295571"/>
      <w:bookmarkStart w:id="1705" w:name="_Toc297123546"/>
      <w:bookmarkStart w:id="1706" w:name="_Toc297048390"/>
      <w:bookmarkStart w:id="1707" w:name="_Toc292559409"/>
      <w:bookmarkStart w:id="1708" w:name="_Toc296944543"/>
      <w:bookmarkStart w:id="1709" w:name="_Toc296891244"/>
      <w:bookmarkStart w:id="1710" w:name="_Toc303539152"/>
      <w:bookmarkStart w:id="1711" w:name="_Toc296891032"/>
      <w:bookmarkStart w:id="1712" w:name="_Toc312678030"/>
      <w:bookmarkStart w:id="1713" w:name="_Toc296503204"/>
      <w:bookmarkStart w:id="1714" w:name="_Toc300934995"/>
      <w:bookmarkStart w:id="1715" w:name="_Toc292559914"/>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u w:val="single"/>
        </w:rPr>
        <w:t>合理化建议带来经济效益的5～10 %，具体比例由发包人确认</w:t>
      </w:r>
      <w:r>
        <w:rPr>
          <w:rFonts w:hint="eastAsia" w:ascii="宋体" w:hAnsi="宋体"/>
          <w:color w:val="auto"/>
          <w:szCs w:val="21"/>
          <w:highlight w:val="none"/>
        </w:rPr>
        <w:t>。</w:t>
      </w:r>
    </w:p>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14:paraId="6BDB3877">
      <w:pPr>
        <w:widowControl/>
        <w:spacing w:line="360" w:lineRule="auto"/>
        <w:ind w:firstLine="422" w:firstLineChars="200"/>
        <w:jc w:val="left"/>
        <w:outlineLvl w:val="4"/>
        <w:rPr>
          <w:rFonts w:ascii="宋体" w:hAnsi="宋体" w:cs="宋体"/>
          <w:b/>
          <w:bCs/>
          <w:color w:val="auto"/>
          <w:kern w:val="0"/>
          <w:szCs w:val="21"/>
          <w:highlight w:val="none"/>
        </w:rPr>
      </w:pPr>
      <w:bookmarkStart w:id="1716" w:name="_Toc532377376"/>
      <w:bookmarkStart w:id="1717" w:name="_Toc532375640"/>
      <w:r>
        <w:rPr>
          <w:rFonts w:hint="eastAsia" w:ascii="宋体" w:hAnsi="宋体" w:cs="宋体"/>
          <w:b/>
          <w:bCs/>
          <w:color w:val="auto"/>
          <w:kern w:val="0"/>
          <w:szCs w:val="21"/>
          <w:highlight w:val="none"/>
        </w:rPr>
        <w:t>1</w:t>
      </w:r>
      <w:bookmarkStart w:id="1718" w:name="_Toc312678033"/>
      <w:bookmarkStart w:id="1719" w:name="_Toc297048385"/>
      <w:bookmarkStart w:id="1720" w:name="_Toc296944538"/>
      <w:bookmarkStart w:id="1721" w:name="_Toc292559909"/>
      <w:bookmarkStart w:id="1722" w:name="_Toc296346700"/>
      <w:bookmarkStart w:id="1723" w:name="_Toc296891239"/>
      <w:bookmarkStart w:id="1724" w:name="_Toc312677507"/>
      <w:bookmarkStart w:id="1725" w:name="_Toc300934997"/>
      <w:bookmarkStart w:id="1726" w:name="_Toc297123548"/>
      <w:bookmarkStart w:id="1727" w:name="_Toc296503199"/>
      <w:bookmarkStart w:id="1728" w:name="_Toc292559404"/>
      <w:bookmarkStart w:id="1729" w:name="_Toc297216207"/>
      <w:bookmarkStart w:id="1730" w:name="_Toc304295574"/>
      <w:bookmarkStart w:id="1731" w:name="_Toc296891027"/>
      <w:bookmarkStart w:id="1732" w:name="_Toc303539154"/>
      <w:bookmarkStart w:id="1733" w:name="_Toc297120499"/>
      <w:bookmarkStart w:id="1734" w:name="_Toc296347198"/>
      <w:r>
        <w:rPr>
          <w:rFonts w:hint="eastAsia" w:ascii="宋体" w:hAnsi="宋体" w:cs="宋体"/>
          <w:b/>
          <w:bCs/>
          <w:color w:val="auto"/>
          <w:kern w:val="0"/>
          <w:szCs w:val="21"/>
          <w:highlight w:val="none"/>
        </w:rPr>
        <w:t>0.7 暂估价</w:t>
      </w:r>
      <w:bookmarkEnd w:id="1716"/>
      <w:bookmarkEnd w:id="1717"/>
    </w:p>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14:paraId="11BF12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p w14:paraId="2D64E7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6FF2C5F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14:paraId="1C5B2713">
      <w:pPr>
        <w:widowControl/>
        <w:spacing w:line="360" w:lineRule="auto"/>
        <w:ind w:firstLine="422" w:firstLineChars="200"/>
        <w:jc w:val="left"/>
        <w:outlineLvl w:val="4"/>
        <w:rPr>
          <w:rFonts w:ascii="宋体" w:hAnsi="宋体" w:cs="宋体"/>
          <w:b/>
          <w:bCs/>
          <w:color w:val="auto"/>
          <w:kern w:val="0"/>
          <w:szCs w:val="21"/>
          <w:highlight w:val="none"/>
        </w:rPr>
      </w:pPr>
      <w:bookmarkStart w:id="1735" w:name="_Toc532375641"/>
      <w:bookmarkStart w:id="1736" w:name="_Toc532377377"/>
      <w:r>
        <w:rPr>
          <w:rFonts w:hint="eastAsia" w:ascii="宋体" w:hAnsi="宋体" w:cs="宋体"/>
          <w:b/>
          <w:bCs/>
          <w:color w:val="auto"/>
          <w:kern w:val="0"/>
          <w:szCs w:val="21"/>
          <w:highlight w:val="none"/>
        </w:rPr>
        <w:t>10.8 暂列金额</w:t>
      </w:r>
      <w:bookmarkEnd w:id="1735"/>
      <w:bookmarkEnd w:id="1736"/>
    </w:p>
    <w:p w14:paraId="3C91A745">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由发包人确定</w:t>
      </w:r>
      <w:r>
        <w:rPr>
          <w:rFonts w:hint="eastAsia" w:ascii="宋体" w:hAnsi="宋体"/>
          <w:color w:val="auto"/>
          <w:szCs w:val="21"/>
          <w:highlight w:val="none"/>
        </w:rPr>
        <w:t>。</w:t>
      </w:r>
    </w:p>
    <w:p w14:paraId="06E11837">
      <w:pPr>
        <w:keepNext/>
        <w:keepLines/>
        <w:widowControl/>
        <w:spacing w:before="156" w:beforeLines="50" w:after="156" w:afterLines="50" w:line="360" w:lineRule="auto"/>
        <w:outlineLvl w:val="3"/>
        <w:rPr>
          <w:rFonts w:ascii="宋体" w:hAnsi="宋体" w:cs="宋体"/>
          <w:b/>
          <w:color w:val="auto"/>
          <w:szCs w:val="21"/>
          <w:highlight w:val="none"/>
        </w:rPr>
      </w:pPr>
      <w:bookmarkStart w:id="1737" w:name="_Toc532375642"/>
      <w:bookmarkStart w:id="1738" w:name="_Toc351203643"/>
      <w:bookmarkStart w:id="1739" w:name="_Toc532377378"/>
      <w:r>
        <w:rPr>
          <w:rFonts w:hint="eastAsia" w:ascii="宋体" w:hAnsi="宋体" w:cs="宋体"/>
          <w:b/>
          <w:bCs/>
          <w:color w:val="auto"/>
          <w:szCs w:val="21"/>
          <w:highlight w:val="none"/>
        </w:rPr>
        <w:t>11. 价格调整</w:t>
      </w:r>
      <w:bookmarkEnd w:id="1737"/>
      <w:bookmarkEnd w:id="1738"/>
      <w:bookmarkEnd w:id="1739"/>
    </w:p>
    <w:p w14:paraId="2D741E96">
      <w:pPr>
        <w:widowControl/>
        <w:spacing w:line="360" w:lineRule="auto"/>
        <w:ind w:firstLine="422" w:firstLineChars="200"/>
        <w:jc w:val="left"/>
        <w:outlineLvl w:val="4"/>
        <w:rPr>
          <w:rFonts w:ascii="宋体" w:hAnsi="宋体" w:cs="宋体"/>
          <w:b/>
          <w:bCs/>
          <w:color w:val="auto"/>
          <w:kern w:val="0"/>
          <w:szCs w:val="21"/>
          <w:highlight w:val="none"/>
        </w:rPr>
      </w:pPr>
      <w:bookmarkStart w:id="1740" w:name="_Toc532377379"/>
      <w:bookmarkStart w:id="1741" w:name="_Toc532375643"/>
      <w:bookmarkStart w:id="1742" w:name="_Toc296891241"/>
      <w:bookmarkStart w:id="1743" w:name="_Toc297216209"/>
      <w:bookmarkStart w:id="1744" w:name="_Toc297123550"/>
      <w:bookmarkStart w:id="1745" w:name="_Toc296891029"/>
      <w:bookmarkStart w:id="1746" w:name="_Toc297048387"/>
      <w:bookmarkStart w:id="1747" w:name="_Toc312678039"/>
      <w:bookmarkStart w:id="1748" w:name="_Toc300935000"/>
      <w:bookmarkStart w:id="1749" w:name="_Toc296944540"/>
      <w:bookmarkStart w:id="1750" w:name="_Toc296346702"/>
      <w:bookmarkStart w:id="1751" w:name="_Toc297120501"/>
      <w:bookmarkStart w:id="1752" w:name="_Toc292559406"/>
      <w:bookmarkStart w:id="1753" w:name="_Toc296503201"/>
      <w:bookmarkStart w:id="1754" w:name="_Toc303539157"/>
      <w:bookmarkStart w:id="1755" w:name="_Toc304295577"/>
      <w:bookmarkStart w:id="1756" w:name="_Toc296347200"/>
      <w:bookmarkStart w:id="1757" w:name="_Toc292559911"/>
      <w:r>
        <w:rPr>
          <w:rFonts w:hint="eastAsia" w:ascii="宋体" w:hAnsi="宋体" w:cs="宋体"/>
          <w:b/>
          <w:bCs/>
          <w:color w:val="auto"/>
          <w:kern w:val="0"/>
          <w:szCs w:val="21"/>
          <w:highlight w:val="none"/>
        </w:rPr>
        <w:t>11.1 市场价格波动引起的调整</w:t>
      </w:r>
      <w:bookmarkEnd w:id="1740"/>
      <w:bookmarkEnd w:id="1741"/>
    </w:p>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14:paraId="2090411E">
      <w:pPr>
        <w:spacing w:line="360" w:lineRule="auto"/>
        <w:ind w:firstLine="420" w:firstLineChars="200"/>
        <w:jc w:val="left"/>
        <w:rPr>
          <w:rFonts w:ascii="宋体" w:hAnsi="宋体"/>
          <w:color w:val="auto"/>
          <w:szCs w:val="21"/>
          <w:highlight w:val="none"/>
        </w:rPr>
      </w:pPr>
      <w:bookmarkStart w:id="1758" w:name="_Toc466911545"/>
      <w:bookmarkStart w:id="1759" w:name="_Toc466913963"/>
      <w:bookmarkStart w:id="1760" w:name="_Toc467689641"/>
      <w:bookmarkStart w:id="1761" w:name="_Toc466913513"/>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olor w:val="auto"/>
          <w:szCs w:val="21"/>
          <w:highlight w:val="none"/>
        </w:rPr>
        <w:t>。人工费用由承包人自行考虑后纳入签约合同价格中，不再予以调整。</w:t>
      </w:r>
    </w:p>
    <w:p w14:paraId="703D7D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因市场价格波动调整合同价格，采用以下第2种方式对合同价格进行调整：</w:t>
      </w:r>
    </w:p>
    <w:p w14:paraId="680D6B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第1种方式：</w:t>
      </w:r>
      <w:r>
        <w:rPr>
          <w:rFonts w:hint="eastAsia" w:ascii="宋体" w:hAnsi="宋体"/>
          <w:color w:val="auto"/>
          <w:szCs w:val="21"/>
          <w:highlight w:val="none"/>
          <w:u w:val="single"/>
        </w:rPr>
        <w:t>采用价格指数进行价格调整</w:t>
      </w:r>
      <w:r>
        <w:rPr>
          <w:rFonts w:hint="eastAsia" w:ascii="宋体" w:hAnsi="宋体"/>
          <w:color w:val="auto"/>
          <w:szCs w:val="21"/>
          <w:highlight w:val="none"/>
        </w:rPr>
        <w:t>。</w:t>
      </w:r>
    </w:p>
    <w:p w14:paraId="56F723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不采用 </w:t>
      </w:r>
      <w:r>
        <w:rPr>
          <w:rFonts w:hint="eastAsia" w:ascii="宋体" w:hAnsi="宋体"/>
          <w:color w:val="auto"/>
          <w:szCs w:val="21"/>
          <w:highlight w:val="none"/>
        </w:rPr>
        <w:t>；</w:t>
      </w:r>
    </w:p>
    <w:p w14:paraId="2040BA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第2种方式：</w:t>
      </w:r>
      <w:r>
        <w:rPr>
          <w:rFonts w:hint="eastAsia" w:ascii="宋体" w:hAnsi="宋体"/>
          <w:color w:val="auto"/>
          <w:szCs w:val="21"/>
          <w:highlight w:val="none"/>
          <w:u w:val="single"/>
        </w:rPr>
        <w:t>采用造价信息进行价格调整，调整方法如下</w:t>
      </w:r>
      <w:r>
        <w:rPr>
          <w:rFonts w:hint="eastAsia" w:ascii="宋体" w:hAnsi="宋体"/>
          <w:color w:val="auto"/>
          <w:szCs w:val="21"/>
          <w:highlight w:val="none"/>
        </w:rPr>
        <w:t>：</w:t>
      </w:r>
    </w:p>
    <w:p w14:paraId="6492E3BD">
      <w:pPr>
        <w:spacing w:line="360" w:lineRule="auto"/>
        <w:ind w:firstLine="420" w:firstLineChars="200"/>
        <w:jc w:val="left"/>
        <w:rPr>
          <w:rFonts w:ascii="宋体" w:hAnsi="宋体"/>
          <w:color w:val="auto"/>
          <w:szCs w:val="21"/>
          <w:highlight w:val="none"/>
        </w:rPr>
      </w:pPr>
      <w:bookmarkStart w:id="1762" w:name="_Hlk524296901"/>
      <w:r>
        <w:rPr>
          <w:rFonts w:hint="eastAsia" w:ascii="宋体" w:hAnsi="宋体"/>
          <w:color w:val="auto"/>
          <w:szCs w:val="21"/>
          <w:highlight w:val="none"/>
        </w:rPr>
        <w:t>11.1.1人工费价差调整办法</w:t>
      </w:r>
      <w:bookmarkEnd w:id="1758"/>
      <w:bookmarkEnd w:id="1759"/>
      <w:bookmarkEnd w:id="1760"/>
      <w:bookmarkEnd w:id="1761"/>
    </w:p>
    <w:p w14:paraId="46890A39">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63" w:name="_Toc466913966"/>
      <w:bookmarkStart w:id="1764" w:name="_Toc466911548"/>
      <w:bookmarkStart w:id="1765" w:name="_Toc467689644"/>
      <w:bookmarkStart w:id="1766" w:name="_Toc466913516"/>
      <w:r>
        <w:rPr>
          <w:rFonts w:hint="eastAsia" w:ascii="宋体" w:hAnsi="宋体"/>
          <w:color w:val="auto"/>
          <w:szCs w:val="21"/>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407B2ED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0EC777B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1485822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人工消耗量按承包人投标报价的消耗量执行（承包人投标报价的单位工程人工消耗量高于定额单位工程人工消耗量的，按定额单位工程的人工消耗量执行）。</w:t>
      </w:r>
    </w:p>
    <w:bookmarkEnd w:id="1762"/>
    <w:p w14:paraId="1E704EC8">
      <w:pPr>
        <w:spacing w:line="360" w:lineRule="auto"/>
        <w:ind w:firstLine="420" w:firstLineChars="200"/>
        <w:jc w:val="left"/>
        <w:rPr>
          <w:rFonts w:ascii="宋体" w:hAnsi="宋体"/>
          <w:color w:val="auto"/>
          <w:szCs w:val="21"/>
          <w:highlight w:val="none"/>
        </w:rPr>
      </w:pPr>
      <w:bookmarkStart w:id="1767" w:name="_Hlk524297138"/>
      <w:r>
        <w:rPr>
          <w:rFonts w:hint="eastAsia" w:ascii="宋体" w:hAnsi="宋体"/>
          <w:color w:val="auto"/>
          <w:szCs w:val="21"/>
          <w:highlight w:val="none"/>
        </w:rPr>
        <w:t>11.1.2 材料费价差调整</w:t>
      </w:r>
      <w:bookmarkEnd w:id="1763"/>
      <w:bookmarkEnd w:id="1764"/>
      <w:bookmarkEnd w:id="1765"/>
      <w:bookmarkEnd w:id="1766"/>
      <w:r>
        <w:rPr>
          <w:rFonts w:hint="eastAsia" w:ascii="宋体" w:hAnsi="宋体"/>
          <w:color w:val="auto"/>
          <w:szCs w:val="21"/>
          <w:highlight w:val="none"/>
        </w:rPr>
        <w:t>办法</w:t>
      </w:r>
    </w:p>
    <w:p w14:paraId="648F92B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w:t>
      </w:r>
      <w:r>
        <w:rPr>
          <w:rFonts w:hint="eastAsia" w:ascii="宋体" w:hAnsi="宋体"/>
          <w:color w:val="auto"/>
          <w:szCs w:val="21"/>
          <w:highlight w:val="none"/>
          <w:u w:val="single"/>
        </w:rPr>
        <w:t>水泥、商品砼、碎石、砂、钢筋、型钢、沥青混凝土、水泥稳定碎石拌和料、预拌商品砂浆、砌筑材料、装配式构建、电缆等主要材料</w:t>
      </w:r>
      <w:r>
        <w:rPr>
          <w:rFonts w:hint="eastAsia" w:ascii="宋体" w:hAnsi="宋体"/>
          <w:color w:val="auto"/>
          <w:szCs w:val="21"/>
          <w:highlight w:val="none"/>
        </w:rPr>
        <w:t>。</w:t>
      </w:r>
    </w:p>
    <w:p w14:paraId="5EE7545A">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可调价差材料的价差调整办法如下：</w:t>
      </w:r>
    </w:p>
    <w:bookmarkEnd w:id="1620"/>
    <w:bookmarkEnd w:id="1621"/>
    <w:bookmarkEnd w:id="1622"/>
    <w:bookmarkEnd w:id="1623"/>
    <w:bookmarkEnd w:id="1624"/>
    <w:bookmarkEnd w:id="1625"/>
    <w:p w14:paraId="5CBE7EE0">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68" w:name="_Toc297120505"/>
      <w:bookmarkStart w:id="1769" w:name="_Toc296503205"/>
      <w:bookmarkStart w:id="1770" w:name="_Toc296346706"/>
      <w:bookmarkStart w:id="1771" w:name="_Toc296891245"/>
      <w:bookmarkStart w:id="1772" w:name="_Toc296944544"/>
      <w:bookmarkStart w:id="1773" w:name="_Toc292559915"/>
      <w:bookmarkStart w:id="1774" w:name="_Toc296891033"/>
      <w:bookmarkStart w:id="1775" w:name="_Toc296347204"/>
      <w:bookmarkStart w:id="1776" w:name="_Toc297048391"/>
      <w:bookmarkStart w:id="1777" w:name="_Toc292559410"/>
      <w:bookmarkStart w:id="1778" w:name="_Toc351203644"/>
      <w:bookmarkStart w:id="1779" w:name="_Toc300935002"/>
      <w:bookmarkStart w:id="1780" w:name="_Toc304295579"/>
      <w:bookmarkStart w:id="1781" w:name="_Toc297216211"/>
      <w:bookmarkStart w:id="1782" w:name="_Toc312678040"/>
      <w:bookmarkStart w:id="1783" w:name="_Toc303539159"/>
      <w:bookmarkStart w:id="1784" w:name="_Toc297123552"/>
      <w:r>
        <w:rPr>
          <w:rFonts w:hint="eastAsia" w:ascii="宋体" w:hAnsi="宋体"/>
          <w:color w:val="auto"/>
          <w:szCs w:val="21"/>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2CAB154C">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0A035B0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56FD8AB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14:paraId="07A31C7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bookmarkEnd w:id="1767"/>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04132E62">
      <w:pPr>
        <w:widowControl/>
        <w:spacing w:line="360" w:lineRule="auto"/>
        <w:ind w:firstLine="422" w:firstLineChars="200"/>
        <w:jc w:val="left"/>
        <w:outlineLvl w:val="4"/>
        <w:rPr>
          <w:rFonts w:ascii="宋体" w:hAnsi="宋体" w:cs="宋体"/>
          <w:b/>
          <w:bCs/>
          <w:color w:val="auto"/>
          <w:kern w:val="0"/>
          <w:szCs w:val="21"/>
          <w:highlight w:val="none"/>
        </w:rPr>
      </w:pPr>
      <w:bookmarkStart w:id="1785" w:name="_Toc532377380"/>
      <w:bookmarkStart w:id="1786" w:name="_Toc532375644"/>
      <w:bookmarkStart w:id="1787" w:name="_Hlk528928232"/>
      <w:r>
        <w:rPr>
          <w:rFonts w:hint="eastAsia" w:ascii="宋体" w:hAnsi="宋体" w:cs="宋体"/>
          <w:b/>
          <w:bCs/>
          <w:color w:val="auto"/>
          <w:kern w:val="0"/>
          <w:szCs w:val="21"/>
          <w:highlight w:val="none"/>
        </w:rPr>
        <w:t>11.2 法律变化引起的调整</w:t>
      </w:r>
      <w:bookmarkEnd w:id="1785"/>
      <w:bookmarkEnd w:id="1786"/>
    </w:p>
    <w:p w14:paraId="528B1A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不予调整。不属于强制性执行的，则不增减合同价款。</w:t>
      </w:r>
    </w:p>
    <w:p w14:paraId="623634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787"/>
    <w:p w14:paraId="0199217B">
      <w:pPr>
        <w:widowControl/>
        <w:spacing w:line="360" w:lineRule="auto"/>
        <w:ind w:firstLine="422" w:firstLineChars="200"/>
        <w:jc w:val="left"/>
        <w:outlineLvl w:val="4"/>
        <w:rPr>
          <w:rFonts w:ascii="宋体" w:hAnsi="宋体" w:cs="宋体"/>
          <w:b/>
          <w:bCs/>
          <w:color w:val="auto"/>
          <w:kern w:val="0"/>
          <w:szCs w:val="21"/>
          <w:highlight w:val="none"/>
        </w:rPr>
      </w:pPr>
      <w:bookmarkStart w:id="1788" w:name="_Toc532377381"/>
      <w:bookmarkStart w:id="1789" w:name="_Toc532375645"/>
      <w:r>
        <w:rPr>
          <w:rFonts w:hint="eastAsia" w:ascii="宋体" w:hAnsi="宋体" w:cs="宋体"/>
          <w:b/>
          <w:bCs/>
          <w:color w:val="auto"/>
          <w:kern w:val="0"/>
          <w:szCs w:val="21"/>
          <w:highlight w:val="none"/>
        </w:rPr>
        <w:t>11.3 严重不平衡报价引起的调整</w:t>
      </w:r>
      <w:bookmarkEnd w:id="1788"/>
      <w:bookmarkEnd w:id="1789"/>
    </w:p>
    <w:p w14:paraId="1D3AC8F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Cs w:val="21"/>
          <w:highlight w:val="none"/>
        </w:rPr>
        <w:t>。</w:t>
      </w:r>
    </w:p>
    <w:p w14:paraId="2250580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Cs w:val="21"/>
          <w:highlight w:val="none"/>
        </w:rPr>
        <w:t>。</w:t>
      </w:r>
    </w:p>
    <w:p w14:paraId="334C7521">
      <w:pPr>
        <w:keepNext/>
        <w:keepLines/>
        <w:widowControl/>
        <w:spacing w:before="156" w:beforeLines="50" w:after="156" w:afterLines="50" w:line="360" w:lineRule="auto"/>
        <w:outlineLvl w:val="3"/>
        <w:rPr>
          <w:rFonts w:ascii="宋体" w:hAnsi="宋体" w:cs="宋体"/>
          <w:b/>
          <w:color w:val="auto"/>
          <w:szCs w:val="21"/>
          <w:highlight w:val="none"/>
        </w:rPr>
      </w:pPr>
      <w:bookmarkStart w:id="1790" w:name="_Toc532375646"/>
      <w:bookmarkStart w:id="1791" w:name="_Toc532377382"/>
      <w:r>
        <w:rPr>
          <w:rFonts w:hint="eastAsia" w:ascii="宋体" w:hAnsi="宋体" w:cs="宋体"/>
          <w:b/>
          <w:bCs/>
          <w:color w:val="auto"/>
          <w:szCs w:val="21"/>
          <w:highlight w:val="none"/>
        </w:rPr>
        <w:t xml:space="preserve">12. </w:t>
      </w:r>
      <w:bookmarkEnd w:id="1768"/>
      <w:bookmarkEnd w:id="1769"/>
      <w:bookmarkEnd w:id="1770"/>
      <w:bookmarkEnd w:id="1771"/>
      <w:bookmarkEnd w:id="1772"/>
      <w:bookmarkEnd w:id="1773"/>
      <w:bookmarkEnd w:id="1774"/>
      <w:bookmarkEnd w:id="1775"/>
      <w:bookmarkEnd w:id="1776"/>
      <w:bookmarkEnd w:id="1777"/>
      <w:r>
        <w:rPr>
          <w:rFonts w:hint="eastAsia" w:ascii="宋体" w:hAnsi="宋体" w:cs="宋体"/>
          <w:b/>
          <w:bCs/>
          <w:color w:val="auto"/>
          <w:szCs w:val="21"/>
          <w:highlight w:val="none"/>
        </w:rPr>
        <w:t>合同价格、计量与支付</w:t>
      </w:r>
      <w:bookmarkEnd w:id="1778"/>
      <w:bookmarkEnd w:id="1790"/>
      <w:bookmarkEnd w:id="1791"/>
    </w:p>
    <w:bookmarkEnd w:id="1779"/>
    <w:bookmarkEnd w:id="1780"/>
    <w:bookmarkEnd w:id="1781"/>
    <w:bookmarkEnd w:id="1782"/>
    <w:bookmarkEnd w:id="1783"/>
    <w:bookmarkEnd w:id="1784"/>
    <w:p w14:paraId="6D1CEAAB">
      <w:pPr>
        <w:widowControl/>
        <w:spacing w:line="360" w:lineRule="auto"/>
        <w:ind w:firstLine="422" w:firstLineChars="200"/>
        <w:jc w:val="left"/>
        <w:outlineLvl w:val="4"/>
        <w:rPr>
          <w:rFonts w:ascii="宋体" w:hAnsi="宋体" w:cs="宋体"/>
          <w:b/>
          <w:bCs/>
          <w:color w:val="auto"/>
          <w:kern w:val="0"/>
          <w:szCs w:val="21"/>
          <w:highlight w:val="none"/>
        </w:rPr>
      </w:pPr>
      <w:bookmarkStart w:id="1792" w:name="_Toc292559916"/>
      <w:bookmarkStart w:id="1793" w:name="_Toc267251461"/>
      <w:bookmarkStart w:id="1794" w:name="_Toc292559411"/>
      <w:bookmarkStart w:id="1795" w:name="_Toc297120506"/>
      <w:bookmarkStart w:id="1796" w:name="_Toc296891246"/>
      <w:bookmarkStart w:id="1797" w:name="_Toc296346707"/>
      <w:bookmarkStart w:id="1798" w:name="_Toc297048392"/>
      <w:bookmarkStart w:id="1799" w:name="_Toc296891034"/>
      <w:bookmarkStart w:id="1800" w:name="_Toc296347205"/>
      <w:bookmarkStart w:id="1801" w:name="_Toc296503206"/>
      <w:bookmarkStart w:id="1802" w:name="_Toc296944545"/>
      <w:bookmarkStart w:id="1803" w:name="_Toc532375647"/>
      <w:bookmarkStart w:id="1804" w:name="_Toc532377383"/>
      <w:bookmarkStart w:id="1805" w:name="_Toc312678041"/>
      <w:bookmarkStart w:id="1806" w:name="_Toc304295580"/>
      <w:bookmarkStart w:id="1807" w:name="_Toc300935003"/>
      <w:bookmarkStart w:id="1808" w:name="_Toc297216212"/>
      <w:bookmarkStart w:id="1809" w:name="_Toc297123553"/>
      <w:bookmarkStart w:id="1810" w:name="_Toc303539160"/>
      <w:r>
        <w:rPr>
          <w:rFonts w:hint="eastAsia" w:ascii="宋体" w:hAnsi="宋体" w:cs="宋体"/>
          <w:b/>
          <w:bCs/>
          <w:color w:val="auto"/>
          <w:kern w:val="0"/>
          <w:szCs w:val="21"/>
          <w:highlight w:val="none"/>
        </w:rPr>
        <w:t>12.1 合</w:t>
      </w:r>
      <w:bookmarkEnd w:id="1792"/>
      <w:bookmarkEnd w:id="1793"/>
      <w:bookmarkEnd w:id="1794"/>
      <w:r>
        <w:rPr>
          <w:rFonts w:hint="eastAsia" w:ascii="宋体" w:hAnsi="宋体" w:cs="宋体"/>
          <w:b/>
          <w:bCs/>
          <w:color w:val="auto"/>
          <w:kern w:val="0"/>
          <w:szCs w:val="21"/>
          <w:highlight w:val="none"/>
        </w:rPr>
        <w:t>同价</w:t>
      </w:r>
      <w:bookmarkEnd w:id="1795"/>
      <w:bookmarkEnd w:id="1796"/>
      <w:bookmarkEnd w:id="1797"/>
      <w:bookmarkEnd w:id="1798"/>
      <w:bookmarkEnd w:id="1799"/>
      <w:bookmarkEnd w:id="1800"/>
      <w:bookmarkEnd w:id="1801"/>
      <w:bookmarkEnd w:id="1802"/>
      <w:r>
        <w:rPr>
          <w:rFonts w:hint="eastAsia" w:ascii="宋体" w:hAnsi="宋体" w:cs="宋体"/>
          <w:b/>
          <w:bCs/>
          <w:color w:val="auto"/>
          <w:kern w:val="0"/>
          <w:szCs w:val="21"/>
          <w:highlight w:val="none"/>
        </w:rPr>
        <w:t>格形式</w:t>
      </w:r>
      <w:bookmarkEnd w:id="1803"/>
      <w:bookmarkEnd w:id="1804"/>
      <w:r>
        <w:rPr>
          <w:rFonts w:hint="eastAsia" w:ascii="宋体" w:hAnsi="宋体" w:cs="宋体"/>
          <w:b/>
          <w:bCs/>
          <w:color w:val="auto"/>
          <w:kern w:val="0"/>
          <w:szCs w:val="21"/>
          <w:highlight w:val="none"/>
        </w:rPr>
        <w:t>（采用单价合同）</w:t>
      </w:r>
    </w:p>
    <w:bookmarkEnd w:id="1805"/>
    <w:bookmarkEnd w:id="1806"/>
    <w:bookmarkEnd w:id="1807"/>
    <w:bookmarkEnd w:id="1808"/>
    <w:bookmarkEnd w:id="1809"/>
    <w:bookmarkEnd w:id="1810"/>
    <w:p w14:paraId="2DFD76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14:paraId="26D5558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税费、利润、风险费、施工技术措施项目费、施工组织措施项目费及缺陷修复、二次设计费、建设智慧平台管理第三方单位管理培训（不超过工程费用总价万分之二）等费用，以及</w:t>
      </w:r>
      <w:bookmarkStart w:id="1811"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811"/>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r>
        <w:rPr>
          <w:rFonts w:hint="eastAsia" w:ascii="宋体" w:hAnsi="宋体"/>
          <w:color w:val="auto"/>
          <w:szCs w:val="21"/>
          <w:highlight w:val="none"/>
          <w:u w:val="single"/>
        </w:rPr>
        <w:t>除《专用合同条款》第11款明确约定可以进行调整的项目除外，综合单价均不予以调整。</w:t>
      </w:r>
    </w:p>
    <w:p w14:paraId="529BEBF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6B060A8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承包人承担建设智慧平台管理第三方单位管理培训费用，中标工程费用总价万分之二，不足3000元按3000元计，签订合同后由承包人一次性支付给平台第三方管理培训单位.</w:t>
      </w:r>
    </w:p>
    <w:p w14:paraId="00F2D6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28434D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14:paraId="10BDE23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税费、利润、风险费、施工技术措施项目费、施工组织措施项目费、总承包服务费、规费和税金及缺陷修复、建设智慧平台管理第三方单位管理培训（不超过工程费用总价万分之二）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highlight w:val="none"/>
        </w:rPr>
        <w:t>。</w:t>
      </w:r>
    </w:p>
    <w:p w14:paraId="3A46793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39C468F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承包人承担建设智慧平台管理第三方单位管理培训费用，建设智慧平台管理第三方单位管理培训费：</w:t>
      </w:r>
      <w:r>
        <w:rPr>
          <w:rFonts w:hint="eastAsia" w:ascii="宋体" w:hAnsi="宋体"/>
          <w:color w:val="auto"/>
          <w:szCs w:val="21"/>
          <w:highlight w:val="none"/>
          <w:lang w:val="en-US" w:eastAsia="zh-CN"/>
        </w:rPr>
        <w:t>2000</w:t>
      </w:r>
      <w:r>
        <w:rPr>
          <w:rFonts w:hint="eastAsia" w:ascii="宋体" w:hAnsi="宋体"/>
          <w:color w:val="auto"/>
          <w:szCs w:val="21"/>
          <w:highlight w:val="none"/>
        </w:rPr>
        <w:t>元（大写：</w:t>
      </w:r>
      <w:r>
        <w:rPr>
          <w:rFonts w:hint="eastAsia" w:ascii="宋体" w:hAnsi="宋体"/>
          <w:color w:val="auto"/>
          <w:szCs w:val="21"/>
          <w:highlight w:val="none"/>
          <w:lang w:val="en-US" w:eastAsia="zh-CN"/>
        </w:rPr>
        <w:t>贰仟</w:t>
      </w:r>
      <w:r>
        <w:rPr>
          <w:rFonts w:hint="eastAsia" w:ascii="宋体" w:hAnsi="宋体"/>
          <w:color w:val="auto"/>
          <w:szCs w:val="21"/>
          <w:highlight w:val="none"/>
        </w:rPr>
        <w:t>元整），，签订合同后由承包人一次性支付给平台第三方管理培训单位.</w:t>
      </w:r>
    </w:p>
    <w:p w14:paraId="0B869FF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6AB85D8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7849C9DF">
      <w:pPr>
        <w:widowControl/>
        <w:spacing w:line="360" w:lineRule="auto"/>
        <w:ind w:firstLine="422" w:firstLineChars="200"/>
        <w:jc w:val="left"/>
        <w:outlineLvl w:val="4"/>
        <w:rPr>
          <w:rFonts w:ascii="宋体" w:hAnsi="宋体" w:cs="宋体"/>
          <w:b/>
          <w:bCs/>
          <w:color w:val="auto"/>
          <w:kern w:val="0"/>
          <w:szCs w:val="21"/>
          <w:highlight w:val="none"/>
        </w:rPr>
      </w:pPr>
      <w:bookmarkStart w:id="1812" w:name="_Toc532375648"/>
      <w:bookmarkStart w:id="1813" w:name="_Toc532377384"/>
      <w:bookmarkStart w:id="1814" w:name="_Toc312678042"/>
      <w:bookmarkStart w:id="1815" w:name="_Toc304295581"/>
      <w:bookmarkStart w:id="1816" w:name="_Toc297216213"/>
      <w:bookmarkStart w:id="1817" w:name="_Toc297123554"/>
      <w:bookmarkStart w:id="1818" w:name="_Toc300935004"/>
      <w:bookmarkStart w:id="1819" w:name="_Toc303539161"/>
      <w:bookmarkStart w:id="1820" w:name="_Toc297048393"/>
      <w:bookmarkStart w:id="1821" w:name="_Toc296347206"/>
      <w:bookmarkStart w:id="1822" w:name="_Toc296891247"/>
      <w:bookmarkStart w:id="1823" w:name="_Toc292559917"/>
      <w:bookmarkStart w:id="1824" w:name="_Toc297120507"/>
      <w:bookmarkStart w:id="1825" w:name="_Toc296503207"/>
      <w:bookmarkStart w:id="1826" w:name="_Toc296346708"/>
      <w:bookmarkStart w:id="1827" w:name="_Toc296891035"/>
      <w:bookmarkStart w:id="1828" w:name="_Toc296944546"/>
      <w:bookmarkStart w:id="1829" w:name="_Toc292559412"/>
      <w:r>
        <w:rPr>
          <w:rFonts w:hint="eastAsia" w:ascii="宋体" w:hAnsi="宋体" w:cs="宋体"/>
          <w:b/>
          <w:bCs/>
          <w:color w:val="auto"/>
          <w:kern w:val="0"/>
          <w:szCs w:val="21"/>
          <w:highlight w:val="none"/>
        </w:rPr>
        <w:t>12.2 预付款</w:t>
      </w:r>
      <w:bookmarkEnd w:id="1812"/>
      <w:bookmarkEnd w:id="1813"/>
    </w:p>
    <w:bookmarkEnd w:id="1814"/>
    <w:bookmarkEnd w:id="1815"/>
    <w:bookmarkEnd w:id="1816"/>
    <w:bookmarkEnd w:id="1817"/>
    <w:bookmarkEnd w:id="1818"/>
    <w:bookmarkEnd w:id="1819"/>
    <w:p w14:paraId="1ED6BD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14:paraId="15A9F1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不支付预付款</w:t>
      </w:r>
      <w:r>
        <w:rPr>
          <w:rFonts w:hint="eastAsia" w:ascii="宋体" w:hAnsi="宋体"/>
          <w:color w:val="auto"/>
          <w:szCs w:val="21"/>
          <w:highlight w:val="none"/>
        </w:rPr>
        <w:t>。</w:t>
      </w:r>
    </w:p>
    <w:p w14:paraId="3C328E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rPr>
        <w:t>/</w:t>
      </w:r>
      <w:r>
        <w:rPr>
          <w:rFonts w:hint="eastAsia" w:ascii="宋体" w:hAnsi="宋体"/>
          <w:color w:val="auto"/>
          <w:szCs w:val="21"/>
          <w:highlight w:val="none"/>
        </w:rPr>
        <w:t>。</w:t>
      </w:r>
    </w:p>
    <w:p w14:paraId="0CE204B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rPr>
        <w:t>/</w:t>
      </w:r>
      <w:r>
        <w:rPr>
          <w:rFonts w:hint="eastAsia" w:ascii="宋体" w:hAnsi="宋体"/>
          <w:color w:val="auto"/>
          <w:szCs w:val="21"/>
          <w:highlight w:val="none"/>
        </w:rPr>
        <w:t>。</w:t>
      </w:r>
    </w:p>
    <w:bookmarkEnd w:id="1820"/>
    <w:bookmarkEnd w:id="1821"/>
    <w:bookmarkEnd w:id="1822"/>
    <w:bookmarkEnd w:id="1823"/>
    <w:bookmarkEnd w:id="1824"/>
    <w:bookmarkEnd w:id="1825"/>
    <w:bookmarkEnd w:id="1826"/>
    <w:bookmarkEnd w:id="1827"/>
    <w:bookmarkEnd w:id="1828"/>
    <w:bookmarkEnd w:id="1829"/>
    <w:p w14:paraId="1266D734">
      <w:pPr>
        <w:widowControl/>
        <w:spacing w:line="360" w:lineRule="auto"/>
        <w:ind w:firstLine="422" w:firstLineChars="200"/>
        <w:jc w:val="left"/>
        <w:outlineLvl w:val="4"/>
        <w:rPr>
          <w:rFonts w:ascii="宋体" w:hAnsi="宋体" w:cs="宋体"/>
          <w:b/>
          <w:bCs/>
          <w:color w:val="auto"/>
          <w:kern w:val="0"/>
          <w:szCs w:val="21"/>
          <w:highlight w:val="none"/>
        </w:rPr>
      </w:pPr>
      <w:bookmarkStart w:id="1830" w:name="_Toc532375649"/>
      <w:bookmarkStart w:id="1831" w:name="_Toc532377385"/>
      <w:r>
        <w:rPr>
          <w:rFonts w:hint="eastAsia" w:ascii="宋体" w:hAnsi="宋体" w:cs="宋体"/>
          <w:b/>
          <w:bCs/>
          <w:color w:val="auto"/>
          <w:kern w:val="0"/>
          <w:szCs w:val="21"/>
          <w:highlight w:val="none"/>
        </w:rPr>
        <w:t>12.3 计量</w:t>
      </w:r>
      <w:bookmarkEnd w:id="1830"/>
      <w:bookmarkEnd w:id="1831"/>
    </w:p>
    <w:p w14:paraId="1F373946">
      <w:pPr>
        <w:spacing w:line="360" w:lineRule="auto"/>
        <w:ind w:firstLine="420" w:firstLineChars="200"/>
        <w:jc w:val="left"/>
        <w:rPr>
          <w:rFonts w:ascii="宋体" w:hAnsi="宋体"/>
          <w:color w:val="auto"/>
          <w:szCs w:val="21"/>
          <w:highlight w:val="none"/>
        </w:rPr>
      </w:pPr>
      <w:bookmarkStart w:id="1832" w:name="_Hlk528928260"/>
      <w:r>
        <w:rPr>
          <w:rFonts w:hint="eastAsia" w:ascii="宋体" w:hAnsi="宋体"/>
          <w:color w:val="auto"/>
          <w:szCs w:val="21"/>
          <w:highlight w:val="none"/>
        </w:rPr>
        <w:t>12.3.1 计量原则</w:t>
      </w:r>
    </w:p>
    <w:p w14:paraId="2AE88E43">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832"/>
    <w:p w14:paraId="7CD8F1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14:paraId="3A9BB4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rPr>
        <w:t>按月计量</w:t>
      </w:r>
      <w:r>
        <w:rPr>
          <w:rFonts w:hint="eastAsia" w:ascii="宋体" w:hAnsi="宋体"/>
          <w:color w:val="auto"/>
          <w:szCs w:val="21"/>
          <w:highlight w:val="none"/>
        </w:rPr>
        <w:t>。</w:t>
      </w:r>
    </w:p>
    <w:p w14:paraId="1509AB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14:paraId="2D4722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14:paraId="048FF483">
      <w:pPr>
        <w:spacing w:line="360" w:lineRule="auto"/>
        <w:ind w:firstLine="420" w:firstLineChars="200"/>
        <w:jc w:val="left"/>
        <w:rPr>
          <w:rFonts w:ascii="宋体" w:hAnsi="宋体"/>
          <w:color w:val="auto"/>
          <w:szCs w:val="21"/>
          <w:highlight w:val="none"/>
          <w:u w:val="single"/>
        </w:rPr>
      </w:pPr>
      <w:bookmarkStart w:id="1833" w:name="_Hlk528926162"/>
      <w:r>
        <w:rPr>
          <w:rFonts w:hint="eastAsia" w:ascii="宋体" w:hAnsi="宋体"/>
          <w:color w:val="auto"/>
          <w:szCs w:val="21"/>
          <w:highlight w:val="none"/>
          <w:u w:val="single"/>
        </w:rPr>
        <w:t>（1）承包人应于当月20日前向监理人报送上月已完成的工程量，并附进度付款申请单、已完成工程量报表和其他有关资料</w:t>
      </w:r>
      <w:r>
        <w:rPr>
          <w:rFonts w:hint="eastAsia" w:ascii="宋体" w:hAnsi="宋体"/>
          <w:color w:val="auto"/>
          <w:szCs w:val="21"/>
          <w:highlight w:val="none"/>
        </w:rPr>
        <w:t>。</w:t>
      </w:r>
    </w:p>
    <w:bookmarkEnd w:id="1833"/>
    <w:p w14:paraId="0313C26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14:paraId="6B65914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14:paraId="7032516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14:paraId="5B045B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14:paraId="286EBB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按形象进度比例支付</w:t>
      </w:r>
      <w:r>
        <w:rPr>
          <w:rFonts w:hint="eastAsia" w:ascii="宋体" w:hAnsi="宋体"/>
          <w:color w:val="auto"/>
          <w:szCs w:val="21"/>
          <w:highlight w:val="none"/>
        </w:rPr>
        <w:t>。</w:t>
      </w:r>
    </w:p>
    <w:p w14:paraId="7C5B2A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14:paraId="58FF92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14:paraId="23FACB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298DC768">
      <w:pPr>
        <w:widowControl/>
        <w:spacing w:line="360" w:lineRule="auto"/>
        <w:ind w:firstLine="422" w:firstLineChars="200"/>
        <w:jc w:val="left"/>
        <w:outlineLvl w:val="4"/>
        <w:rPr>
          <w:rFonts w:ascii="宋体" w:hAnsi="宋体" w:cs="宋体"/>
          <w:b/>
          <w:bCs/>
          <w:color w:val="auto"/>
          <w:kern w:val="0"/>
          <w:szCs w:val="21"/>
          <w:highlight w:val="none"/>
        </w:rPr>
      </w:pPr>
      <w:bookmarkStart w:id="1834" w:name="_Toc532377386"/>
      <w:bookmarkStart w:id="1835" w:name="_Toc532375650"/>
      <w:bookmarkStart w:id="1836" w:name="_Hlk528928289"/>
      <w:r>
        <w:rPr>
          <w:rFonts w:hint="eastAsia" w:ascii="宋体" w:hAnsi="宋体" w:cs="宋体"/>
          <w:b/>
          <w:bCs/>
          <w:color w:val="auto"/>
          <w:kern w:val="0"/>
          <w:szCs w:val="21"/>
          <w:highlight w:val="none"/>
        </w:rPr>
        <w:t>12.4 工程进度款支付</w:t>
      </w:r>
      <w:bookmarkEnd w:id="1834"/>
      <w:bookmarkEnd w:id="1835"/>
    </w:p>
    <w:bookmarkEnd w:id="1836"/>
    <w:p w14:paraId="390522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14:paraId="02286F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关于付款周期的约定：</w:t>
      </w:r>
      <w:r>
        <w:rPr>
          <w:rFonts w:hint="eastAsia" w:ascii="宋体" w:hAnsi="宋体"/>
          <w:color w:val="auto"/>
          <w:szCs w:val="21"/>
          <w:highlight w:val="none"/>
          <w:u w:val="single"/>
        </w:rPr>
        <w:t>按月计量支付进度款</w:t>
      </w:r>
      <w:r>
        <w:rPr>
          <w:rFonts w:hint="eastAsia" w:ascii="宋体" w:hAnsi="宋体"/>
          <w:color w:val="auto"/>
          <w:szCs w:val="21"/>
          <w:highlight w:val="none"/>
        </w:rPr>
        <w:t>。</w:t>
      </w:r>
    </w:p>
    <w:p w14:paraId="143394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14:paraId="0D9F48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进度付款申请单应包括下列内容：</w:t>
      </w:r>
    </w:p>
    <w:p w14:paraId="441845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（1）截至本次付款周期已完成工作对应的金额</w:t>
      </w:r>
      <w:r>
        <w:rPr>
          <w:rFonts w:hint="eastAsia" w:ascii="宋体" w:hAnsi="宋体"/>
          <w:color w:val="auto"/>
          <w:szCs w:val="21"/>
          <w:highlight w:val="none"/>
        </w:rPr>
        <w:t>；</w:t>
      </w:r>
    </w:p>
    <w:p w14:paraId="391776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（2）根据第10条〔变更〕应增加和扣减的已审定变更金额</w:t>
      </w:r>
      <w:r>
        <w:rPr>
          <w:rFonts w:hint="eastAsia" w:ascii="宋体" w:hAnsi="宋体"/>
          <w:color w:val="auto"/>
          <w:szCs w:val="21"/>
          <w:highlight w:val="none"/>
        </w:rPr>
        <w:t>；</w:t>
      </w:r>
    </w:p>
    <w:p w14:paraId="172A74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（3）根据第12.2款〔预付款〕约定应支付的预付款和扣减的返还预付款</w:t>
      </w:r>
      <w:r>
        <w:rPr>
          <w:rFonts w:hint="eastAsia" w:ascii="宋体" w:hAnsi="宋体"/>
          <w:color w:val="auto"/>
          <w:szCs w:val="21"/>
          <w:highlight w:val="none"/>
        </w:rPr>
        <w:t>；</w:t>
      </w:r>
    </w:p>
    <w:p w14:paraId="69FA23D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（4）根据第15.3款〔质量保证金〕约定应扣减的质量保证金</w:t>
      </w:r>
      <w:r>
        <w:rPr>
          <w:rFonts w:hint="eastAsia" w:ascii="宋体" w:hAnsi="宋体"/>
          <w:color w:val="auto"/>
          <w:szCs w:val="21"/>
          <w:highlight w:val="none"/>
        </w:rPr>
        <w:t>；</w:t>
      </w:r>
    </w:p>
    <w:p w14:paraId="00D3EB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（5）根据第19条〔索赔〕应增加和扣减的已审定索赔金额</w:t>
      </w:r>
      <w:r>
        <w:rPr>
          <w:rFonts w:hint="eastAsia" w:ascii="宋体" w:hAnsi="宋体"/>
          <w:color w:val="auto"/>
          <w:szCs w:val="21"/>
          <w:highlight w:val="none"/>
        </w:rPr>
        <w:t>；</w:t>
      </w:r>
    </w:p>
    <w:p w14:paraId="213BA3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（6）根据第11条〔价格调整〕应增加和扣减的价格调整金额</w:t>
      </w:r>
      <w:r>
        <w:rPr>
          <w:rFonts w:hint="eastAsia" w:ascii="宋体" w:hAnsi="宋体"/>
          <w:color w:val="auto"/>
          <w:szCs w:val="21"/>
          <w:highlight w:val="none"/>
        </w:rPr>
        <w:t>；</w:t>
      </w:r>
    </w:p>
    <w:p w14:paraId="1C440E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（7）对已签发的进度款支付证书中出现错误的修正，应在本次进度付款中支付或扣除的金额</w:t>
      </w:r>
      <w:r>
        <w:rPr>
          <w:rFonts w:hint="eastAsia" w:ascii="宋体" w:hAnsi="宋体"/>
          <w:color w:val="auto"/>
          <w:szCs w:val="21"/>
          <w:highlight w:val="none"/>
        </w:rPr>
        <w:t>；</w:t>
      </w:r>
    </w:p>
    <w:p w14:paraId="168FD8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（8）根据合同约定承包人应向发包人支付的违约金</w:t>
      </w:r>
      <w:r>
        <w:rPr>
          <w:rFonts w:hint="eastAsia" w:ascii="宋体" w:hAnsi="宋体"/>
          <w:color w:val="auto"/>
          <w:szCs w:val="21"/>
          <w:highlight w:val="none"/>
        </w:rPr>
        <w:t>；</w:t>
      </w:r>
    </w:p>
    <w:p w14:paraId="446B68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（9）根据合同约定发包人应向承包人支付的违约金和（或）奖励</w:t>
      </w:r>
      <w:r>
        <w:rPr>
          <w:rFonts w:hint="eastAsia" w:ascii="宋体" w:hAnsi="宋体"/>
          <w:color w:val="auto"/>
          <w:szCs w:val="21"/>
          <w:highlight w:val="none"/>
        </w:rPr>
        <w:t>；</w:t>
      </w:r>
    </w:p>
    <w:p w14:paraId="3D655B5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（10）根据合同约定应增加和扣减的其他金额</w:t>
      </w:r>
      <w:r>
        <w:rPr>
          <w:rFonts w:hint="eastAsia" w:ascii="宋体" w:hAnsi="宋体"/>
          <w:color w:val="auto"/>
          <w:szCs w:val="21"/>
          <w:highlight w:val="none"/>
        </w:rPr>
        <w:t>；</w:t>
      </w:r>
    </w:p>
    <w:p w14:paraId="4F28CF2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（11）当月应支付的人工费（工资款）金额</w:t>
      </w:r>
      <w:r>
        <w:rPr>
          <w:rFonts w:hint="eastAsia" w:ascii="宋体" w:hAnsi="宋体"/>
          <w:color w:val="auto"/>
          <w:szCs w:val="21"/>
          <w:highlight w:val="none"/>
        </w:rPr>
        <w:t>。</w:t>
      </w:r>
    </w:p>
    <w:p w14:paraId="259B79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14:paraId="63738E7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（1）单价合同进度付款申请单提交的约定：</w:t>
      </w:r>
      <w:r>
        <w:rPr>
          <w:rFonts w:hint="eastAsia" w:ascii="宋体" w:hAnsi="宋体"/>
          <w:color w:val="auto"/>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szCs w:val="21"/>
          <w:highlight w:val="none"/>
        </w:rPr>
        <w:t>。</w:t>
      </w:r>
    </w:p>
    <w:p w14:paraId="2A2C4CF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（2）总价合同进度付款申请单提交的约定：</w:t>
      </w:r>
      <w:r>
        <w:rPr>
          <w:rFonts w:hint="eastAsia" w:ascii="宋体" w:hAnsi="宋体"/>
          <w:color w:val="auto"/>
          <w:szCs w:val="21"/>
          <w:highlight w:val="none"/>
          <w:u w:val="single"/>
        </w:rPr>
        <w:t>按照合同约定的形象进度的计量约定的时间向监理人提交，并附上已完成工程量报表、经审核的农民工工资发放的情况说明及有关资料</w:t>
      </w:r>
      <w:r>
        <w:rPr>
          <w:rFonts w:hint="eastAsia" w:ascii="宋体" w:hAnsi="宋体"/>
          <w:color w:val="auto"/>
          <w:szCs w:val="21"/>
          <w:highlight w:val="none"/>
        </w:rPr>
        <w:t>。</w:t>
      </w:r>
    </w:p>
    <w:p w14:paraId="60E7289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（3）其他价格形式合同进度付款申请单提交的约定：</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01C648A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14:paraId="36D673C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（1）监理人审查并报送发包人的期限：</w:t>
      </w:r>
      <w:r>
        <w:rPr>
          <w:rFonts w:hint="eastAsia" w:ascii="宋体" w:hAnsi="宋体"/>
          <w:color w:val="auto"/>
          <w:szCs w:val="21"/>
          <w:highlight w:val="none"/>
          <w:u w:val="single"/>
        </w:rPr>
        <w:t>收到完整资料后7天内</w:t>
      </w:r>
      <w:r>
        <w:rPr>
          <w:rFonts w:hint="eastAsia" w:ascii="宋体" w:hAnsi="宋体"/>
          <w:color w:val="auto"/>
          <w:szCs w:val="21"/>
          <w:highlight w:val="none"/>
        </w:rPr>
        <w:t>。</w:t>
      </w:r>
    </w:p>
    <w:p w14:paraId="01CC08E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发包人完成审批并签发进度款支付证书的期限：</w:t>
      </w:r>
      <w:r>
        <w:rPr>
          <w:rFonts w:hint="eastAsia" w:ascii="宋体" w:hAnsi="宋体"/>
          <w:color w:val="auto"/>
          <w:szCs w:val="21"/>
          <w:highlight w:val="none"/>
          <w:u w:val="single"/>
        </w:rPr>
        <w:t>发包人收到监理人报送资料后7天内完成审批并签发进度款支付证书</w:t>
      </w:r>
      <w:r>
        <w:rPr>
          <w:rFonts w:hint="eastAsia" w:ascii="宋体" w:hAnsi="宋体"/>
          <w:color w:val="auto"/>
          <w:szCs w:val="21"/>
          <w:highlight w:val="none"/>
        </w:rPr>
        <w:t>。</w:t>
      </w:r>
    </w:p>
    <w:p w14:paraId="36784A3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4B4E6A4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发包人签发进度款支付证书或临时进度款支付证书，不表明发包人已同意、批准或接受了承包人完成的相应部分的工作。</w:t>
      </w:r>
    </w:p>
    <w:p w14:paraId="2E6892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（2）进度款支付：</w:t>
      </w:r>
    </w:p>
    <w:p w14:paraId="661DBAA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①发包人将上月农民工工资支付凭证和收到承包人开具的本次应支付金额的增值税专用发票作为当月进度款支付的前置条件。</w:t>
      </w:r>
    </w:p>
    <w:p w14:paraId="187EA81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②安全文明施工费：</w:t>
      </w:r>
      <w:r>
        <w:rPr>
          <w:rFonts w:hint="eastAsia" w:ascii="宋体" w:hAnsi="宋体"/>
          <w:color w:val="auto"/>
          <w:szCs w:val="21"/>
          <w:highlight w:val="none"/>
          <w:u w:val="single"/>
        </w:rPr>
        <w:t>合同</w:t>
      </w:r>
      <w:r>
        <w:rPr>
          <w:rFonts w:hint="eastAsia" w:ascii="宋体" w:hAnsi="宋体"/>
          <w:color w:val="auto"/>
          <w:szCs w:val="21"/>
          <w:highlight w:val="none"/>
          <w:u w:val="single"/>
          <w:lang w:val="en-US" w:eastAsia="zh-CN"/>
        </w:rPr>
        <w:t>生效</w:t>
      </w:r>
      <w:r>
        <w:rPr>
          <w:rFonts w:hint="eastAsia" w:ascii="宋体" w:hAnsi="宋体"/>
          <w:color w:val="auto"/>
          <w:szCs w:val="21"/>
          <w:highlight w:val="none"/>
          <w:u w:val="single"/>
        </w:rPr>
        <w:t>且承包人提供等额增值税专用发票后，发包人在</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开工前</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按签约合同价中安全文明施工费的</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50</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％支付承包人，用于现场安全文明施工建设，余下安全文明施工费按施工进度支付</w:t>
      </w:r>
      <w:r>
        <w:rPr>
          <w:rFonts w:hint="eastAsia" w:ascii="宋体" w:hAnsi="宋体"/>
          <w:color w:val="auto"/>
          <w:szCs w:val="21"/>
          <w:highlight w:val="none"/>
        </w:rPr>
        <w:t>。</w:t>
      </w:r>
    </w:p>
    <w:p w14:paraId="4C80402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③分部分项工程费：</w:t>
      </w:r>
      <w:r>
        <w:rPr>
          <w:rFonts w:hint="eastAsia" w:ascii="宋体" w:hAnsi="宋体"/>
          <w:color w:val="auto"/>
          <w:szCs w:val="21"/>
          <w:highlight w:val="none"/>
          <w:u w:val="single"/>
        </w:rPr>
        <w:t>按承包人当期完成并经监理人、跟审单位和发包人审定的工程量乘以相应综合单价计算当期完成的分部分项工程费及相应的规费和税金。发包人在签发进度款支付证书或临时进度款支付证书且收到承包人开具的等额增值税专用发票的次月</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10</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天</w:t>
      </w:r>
      <w:r>
        <w:rPr>
          <w:rFonts w:hint="eastAsia" w:ascii="宋体" w:hAnsi="宋体"/>
          <w:color w:val="auto"/>
          <w:szCs w:val="21"/>
          <w:highlight w:val="none"/>
          <w:u w:val="single"/>
        </w:rPr>
        <w:t>前按经监理人、跟审单位和发包人审定的当期完成的分部分项工程费及相应的规费和税金（不含人工费价差和材料费价差）的</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80</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%支付承包人</w:t>
      </w:r>
      <w:r>
        <w:rPr>
          <w:rFonts w:hint="eastAsia" w:ascii="宋体" w:hAnsi="宋体"/>
          <w:color w:val="auto"/>
          <w:szCs w:val="21"/>
          <w:highlight w:val="none"/>
        </w:rPr>
        <w:t>。</w:t>
      </w:r>
    </w:p>
    <w:p w14:paraId="3712EE3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④措施项目费：</w:t>
      </w:r>
      <w:r>
        <w:rPr>
          <w:rFonts w:hint="eastAsia" w:ascii="宋体" w:hAnsi="宋体"/>
          <w:color w:val="auto"/>
          <w:szCs w:val="21"/>
          <w:highlight w:val="none"/>
          <w:u w:val="single"/>
        </w:rPr>
        <w:t>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规费和税金。发包人在签发进度款支付证书或临时进度款支付证书且收到承包人开具的等额增值税专用发票的次月</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10</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天</w:t>
      </w:r>
      <w:r>
        <w:rPr>
          <w:rFonts w:hint="eastAsia" w:ascii="宋体" w:hAnsi="宋体"/>
          <w:color w:val="auto"/>
          <w:szCs w:val="21"/>
          <w:highlight w:val="none"/>
          <w:u w:val="single"/>
        </w:rPr>
        <w:t>前按经监理人、跟审单位和发包人审定的当期完成的措施项目费及相应的规费和税金（不含人工费价差和材料费价差）的</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80</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%支付承包人</w:t>
      </w:r>
      <w:r>
        <w:rPr>
          <w:rFonts w:hint="eastAsia" w:ascii="宋体" w:hAnsi="宋体"/>
          <w:color w:val="auto"/>
          <w:szCs w:val="21"/>
          <w:highlight w:val="none"/>
        </w:rPr>
        <w:t>。</w:t>
      </w:r>
    </w:p>
    <w:p w14:paraId="2019C1C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5 \* GB3 </w:instrText>
      </w:r>
      <w:r>
        <w:rPr>
          <w:rFonts w:hint="eastAsia" w:ascii="宋体" w:hAnsi="宋体"/>
          <w:color w:val="auto"/>
          <w:szCs w:val="21"/>
          <w:highlight w:val="none"/>
        </w:rPr>
        <w:fldChar w:fldCharType="separate"/>
      </w:r>
      <w:r>
        <w:rPr>
          <w:rFonts w:hint="eastAsia" w:ascii="宋体" w:hAnsi="宋体"/>
          <w:color w:val="auto"/>
          <w:szCs w:val="21"/>
          <w:highlight w:val="none"/>
        </w:rPr>
        <w:t>⑤</w:t>
      </w:r>
      <w:r>
        <w:rPr>
          <w:rFonts w:hint="eastAsia" w:ascii="宋体" w:hAnsi="宋体"/>
          <w:color w:val="auto"/>
          <w:szCs w:val="21"/>
          <w:highlight w:val="none"/>
        </w:rPr>
        <w:fldChar w:fldCharType="end"/>
      </w:r>
      <w:r>
        <w:rPr>
          <w:rFonts w:hint="eastAsia" w:ascii="宋体" w:hAnsi="宋体"/>
          <w:color w:val="auto"/>
          <w:szCs w:val="21"/>
          <w:highlight w:val="none"/>
        </w:rPr>
        <w:t>其他项目费：</w:t>
      </w:r>
      <w:r>
        <w:rPr>
          <w:rFonts w:hint="eastAsia" w:ascii="宋体" w:hAnsi="宋体"/>
          <w:color w:val="auto"/>
          <w:szCs w:val="21"/>
          <w:highlight w:val="none"/>
          <w:u w:val="single"/>
        </w:rPr>
        <w:t>按承包人当期完成并经监理人、跟审单位和发包人审定的工程量乘以相应综合单价计算当期完成的其他项目费及相应的规费和税金。发包人在签发进度款支付证书或临时进度款支付证书且收到承包人开具的等额增值税专用发票的次月</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10</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天</w:t>
      </w:r>
      <w:r>
        <w:rPr>
          <w:rFonts w:hint="eastAsia" w:ascii="宋体" w:hAnsi="宋体"/>
          <w:color w:val="auto"/>
          <w:szCs w:val="21"/>
          <w:highlight w:val="none"/>
          <w:u w:val="single"/>
        </w:rPr>
        <w:t>前按经监理人、跟审单位和发包人审定的当期完成的其他项目费及相应的规费和税金的</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80</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%支付承包人</w:t>
      </w:r>
      <w:r>
        <w:rPr>
          <w:rFonts w:hint="eastAsia" w:ascii="宋体" w:hAnsi="宋体"/>
          <w:color w:val="auto"/>
          <w:szCs w:val="21"/>
          <w:highlight w:val="none"/>
        </w:rPr>
        <w:t>。</w:t>
      </w:r>
    </w:p>
    <w:p w14:paraId="165ED82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⑥人工费（工资款）：发包人在签发人工费（工资款）支付证书且收到承包人开具的等额增值税专用发票的次月</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 xml:space="preserve">10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天</w:t>
      </w:r>
      <w:r>
        <w:rPr>
          <w:rFonts w:hint="eastAsia" w:ascii="宋体" w:hAnsi="宋体"/>
          <w:color w:val="auto"/>
          <w:szCs w:val="21"/>
          <w:highlight w:val="none"/>
          <w:u w:val="single"/>
        </w:rPr>
        <w:t>前，按经监理人和发包人审定的当月完成的合同价款的</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%（人工费数额大于当月完成的合同价款的</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 xml:space="preserve">25 </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%时，按实际人工费数额拨付；若人工费数额小于当月完成的合同价款的</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%时，按不小于当月完成的合同价款的</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 xml:space="preserve">25 </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%拨付），支付至承包人。</w:t>
      </w:r>
    </w:p>
    <w:p w14:paraId="04683AF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⑦人工、材料价差按80%纳入当期进度支付，价差调整方式按11条约定执行</w:t>
      </w:r>
      <w:r>
        <w:rPr>
          <w:rFonts w:hint="eastAsia" w:ascii="宋体" w:hAnsi="宋体"/>
          <w:color w:val="auto"/>
          <w:szCs w:val="21"/>
          <w:highlight w:val="none"/>
        </w:rPr>
        <w:t>。</w:t>
      </w:r>
    </w:p>
    <w:p w14:paraId="773237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⑧工程竣工验收移交完整的工程竣工资料且承包人提交等额增值税专用发票后</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 xml:space="preserve"> 14</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天</w:t>
      </w:r>
      <w:r>
        <w:rPr>
          <w:rFonts w:hint="eastAsia" w:ascii="宋体" w:hAnsi="宋体"/>
          <w:color w:val="auto"/>
          <w:szCs w:val="21"/>
          <w:highlight w:val="none"/>
          <w:u w:val="single"/>
        </w:rPr>
        <w:t>内，发包人向承包人支付至累计进度审定金额的</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 xml:space="preserve">85 </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%；完成结算审核且承包人提交等额增值税专用发票后</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28</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天</w:t>
      </w:r>
      <w:r>
        <w:rPr>
          <w:rFonts w:hint="eastAsia" w:ascii="宋体" w:hAnsi="宋体"/>
          <w:color w:val="auto"/>
          <w:szCs w:val="21"/>
          <w:highlight w:val="none"/>
          <w:u w:val="single"/>
        </w:rPr>
        <w:t>内，发包人向承包人支付至结算审定金额的</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 xml:space="preserve">97 </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%；质保期满且承包人提交等额增值税专用发票后</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28</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天</w:t>
      </w:r>
      <w:r>
        <w:rPr>
          <w:rFonts w:hint="eastAsia" w:ascii="宋体" w:hAnsi="宋体"/>
          <w:color w:val="auto"/>
          <w:szCs w:val="21"/>
          <w:highlight w:val="none"/>
          <w:u w:val="single"/>
        </w:rPr>
        <w:t>内发包人向承包人无息支付剩余工程款</w:t>
      </w:r>
      <w:r>
        <w:rPr>
          <w:rFonts w:hint="eastAsia" w:ascii="宋体" w:hAnsi="宋体"/>
          <w:color w:val="auto"/>
          <w:szCs w:val="21"/>
          <w:highlight w:val="none"/>
        </w:rPr>
        <w:t>。</w:t>
      </w:r>
    </w:p>
    <w:p w14:paraId="1000A939">
      <w:pPr>
        <w:numPr>
          <w:ilvl w:val="0"/>
          <w:numId w:val="3"/>
        </w:numPr>
        <w:spacing w:line="360" w:lineRule="auto"/>
        <w:ind w:firstLine="420" w:firstLineChars="200"/>
        <w:jc w:val="left"/>
        <w:rPr>
          <w:rFonts w:hint="eastAsia" w:ascii="宋体" w:hAnsi="宋体"/>
          <w:color w:val="auto"/>
          <w:szCs w:val="21"/>
          <w:highlight w:val="none"/>
          <w:u w:val="single"/>
          <w:lang w:eastAsia="zh-CN"/>
        </w:rPr>
      </w:pPr>
      <w:r>
        <w:rPr>
          <w:rFonts w:hint="eastAsia" w:ascii="宋体" w:hAnsi="宋体"/>
          <w:color w:val="auto"/>
          <w:szCs w:val="21"/>
          <w:highlight w:val="none"/>
          <w:u w:val="single"/>
        </w:rPr>
        <w:t>未收到发票，发包人有权拒绝支付工程款，一切责任由承包人承担。承包人若未按月足额支付农民工工资，由此造成的工期延误、停工损失等全部责任由承包人承担，不得将未完成与人工费分包审计作为延期支付人工费的理由</w:t>
      </w:r>
      <w:r>
        <w:rPr>
          <w:rFonts w:hint="eastAsia" w:ascii="宋体" w:hAnsi="宋体"/>
          <w:color w:val="auto"/>
          <w:szCs w:val="21"/>
          <w:highlight w:val="none"/>
          <w:u w:val="single"/>
          <w:lang w:eastAsia="zh-CN"/>
        </w:rPr>
        <w:t>。</w:t>
      </w:r>
    </w:p>
    <w:p w14:paraId="7A80A379">
      <w:pPr>
        <w:numPr>
          <w:ilvl w:val="0"/>
          <w:numId w:val="3"/>
        </w:numPr>
        <w:spacing w:line="360" w:lineRule="auto"/>
        <w:ind w:firstLine="420" w:firstLineChars="200"/>
        <w:jc w:val="left"/>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若重庆市南岸区财政局或重庆市南岸区审计局要求对本项目进行审计，则最终审定金额以重庆市南岸区财政局或重庆市南岸区审计局审计金额为准，其他条款与本条款有冲突的，以本条款约定为准。</w:t>
      </w:r>
    </w:p>
    <w:p w14:paraId="374E914D">
      <w:pPr>
        <w:numPr>
          <w:ilvl w:val="0"/>
          <w:numId w:val="3"/>
        </w:num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若本合同涉及财政资金或专项资金支持，在发包人未收到财政资金或专项资金的情形下，发包人有权迟延付款且不承担违约责任，在符合其他付款条件且收到财政资金或专项资金后付款。</w:t>
      </w:r>
    </w:p>
    <w:p w14:paraId="5916FDF5">
      <w:pPr>
        <w:numPr>
          <w:ilvl w:val="0"/>
          <w:numId w:val="3"/>
        </w:num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lang w:val="en-US" w:eastAsia="zh-CN"/>
        </w:rPr>
        <w:t>若涉及财评，则在财评结果未出之前，发包人有权迟延付款且不承担违约责任</w:t>
      </w:r>
      <w:r>
        <w:rPr>
          <w:rFonts w:hint="eastAsia" w:ascii="宋体" w:hAnsi="宋体"/>
          <w:color w:val="auto"/>
          <w:szCs w:val="21"/>
          <w:highlight w:val="none"/>
          <w:u w:val="single"/>
        </w:rPr>
        <w:t>。</w:t>
      </w:r>
    </w:p>
    <w:p w14:paraId="3EB561C7">
      <w:pPr>
        <w:widowControl/>
        <w:spacing w:line="360" w:lineRule="auto"/>
        <w:ind w:firstLine="422" w:firstLineChars="200"/>
        <w:jc w:val="left"/>
        <w:outlineLvl w:val="4"/>
        <w:rPr>
          <w:rFonts w:ascii="宋体" w:hAnsi="宋体" w:cs="宋体"/>
          <w:b/>
          <w:bCs/>
          <w:color w:val="auto"/>
          <w:kern w:val="0"/>
          <w:szCs w:val="21"/>
          <w:highlight w:val="none"/>
        </w:rPr>
      </w:pPr>
      <w:bookmarkStart w:id="1837" w:name="_Toc351203585"/>
      <w:bookmarkStart w:id="1838" w:name="_Toc532377387"/>
      <w:r>
        <w:rPr>
          <w:rFonts w:hint="eastAsia" w:ascii="宋体" w:hAnsi="宋体" w:cs="宋体"/>
          <w:b/>
          <w:bCs/>
          <w:color w:val="auto"/>
          <w:kern w:val="0"/>
          <w:szCs w:val="21"/>
          <w:highlight w:val="none"/>
        </w:rPr>
        <w:t>12.5支付账户</w:t>
      </w:r>
      <w:bookmarkEnd w:id="1837"/>
      <w:bookmarkEnd w:id="1838"/>
    </w:p>
    <w:p w14:paraId="102FCA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14:paraId="7A04C998">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17BCB2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DDA69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604D2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发包人应将人工费（工资款）支付至如下承包人指定的农民工工资专用账户：</w:t>
      </w:r>
    </w:p>
    <w:p w14:paraId="6880F5B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开户银行：</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60CB8F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农民工工资专用账户名称：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7BDE816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农民工工资专用账户账号：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5505C146">
      <w:pPr>
        <w:spacing w:after="120"/>
        <w:rPr>
          <w:color w:val="auto"/>
          <w:highlight w:val="none"/>
        </w:rPr>
      </w:pPr>
      <w:r>
        <w:rPr>
          <w:rFonts w:hint="eastAsia"/>
          <w:color w:val="auto"/>
          <w:highlight w:val="none"/>
        </w:rPr>
        <w:t xml:space="preserve"> </w:t>
      </w:r>
      <w:r>
        <w:rPr>
          <w:color w:val="auto"/>
          <w:highlight w:val="none"/>
        </w:rPr>
        <w:t xml:space="preserve">  12.6 </w:t>
      </w:r>
      <w:r>
        <w:rPr>
          <w:rFonts w:hint="eastAsia"/>
          <w:color w:val="auto"/>
          <w:highlight w:val="none"/>
        </w:rPr>
        <w:t>发包人每次付款前，承包人应当提供等额有效的</w:t>
      </w:r>
      <w:r>
        <w:rPr>
          <w:rFonts w:hint="eastAsia"/>
          <w:color w:val="auto"/>
          <w:highlight w:val="none"/>
          <w:lang w:eastAsia="zh-Hans"/>
        </w:rPr>
        <w:t>增值税专用</w:t>
      </w:r>
      <w:r>
        <w:rPr>
          <w:rFonts w:hint="eastAsia"/>
          <w:color w:val="auto"/>
          <w:highlight w:val="none"/>
        </w:rPr>
        <w:t>发票。否则承包人有权拒绝付款且不承担逾期付款的违约责任。</w:t>
      </w:r>
    </w:p>
    <w:p w14:paraId="0790F530">
      <w:pPr>
        <w:keepNext/>
        <w:keepLines/>
        <w:widowControl/>
        <w:spacing w:before="156" w:beforeLines="50" w:after="156" w:afterLines="50" w:line="360" w:lineRule="auto"/>
        <w:outlineLvl w:val="3"/>
        <w:rPr>
          <w:rFonts w:ascii="宋体" w:hAnsi="宋体" w:cs="宋体"/>
          <w:b/>
          <w:color w:val="auto"/>
          <w:szCs w:val="21"/>
          <w:highlight w:val="none"/>
        </w:rPr>
      </w:pPr>
      <w:bookmarkStart w:id="1839" w:name="_Toc532375651"/>
      <w:bookmarkStart w:id="1840" w:name="_Toc532377388"/>
      <w:bookmarkStart w:id="1841" w:name="_Toc351203645"/>
      <w:bookmarkStart w:id="1842" w:name="_Toc296891259"/>
      <w:bookmarkStart w:id="1843" w:name="_Toc300935015"/>
      <w:bookmarkStart w:id="1844" w:name="_Toc297123564"/>
      <w:bookmarkStart w:id="1845" w:name="_Toc297120519"/>
      <w:bookmarkStart w:id="1846" w:name="_Toc296347218"/>
      <w:bookmarkStart w:id="1847" w:name="_Toc296891047"/>
      <w:bookmarkStart w:id="1848" w:name="_Toc292559424"/>
      <w:bookmarkStart w:id="1849" w:name="_Toc297216223"/>
      <w:bookmarkStart w:id="1850" w:name="_Toc304295593"/>
      <w:bookmarkStart w:id="1851" w:name="_Toc296503219"/>
      <w:bookmarkStart w:id="1852" w:name="_Toc303539172"/>
      <w:bookmarkStart w:id="1853" w:name="_Toc297048405"/>
      <w:bookmarkStart w:id="1854" w:name="_Toc292559929"/>
      <w:bookmarkStart w:id="1855" w:name="_Toc296944558"/>
      <w:bookmarkStart w:id="1856" w:name="_Toc312678053"/>
      <w:bookmarkStart w:id="1857" w:name="_Toc296346720"/>
      <w:r>
        <w:rPr>
          <w:rFonts w:hint="eastAsia" w:ascii="宋体" w:hAnsi="宋体" w:cs="宋体"/>
          <w:b/>
          <w:bCs/>
          <w:color w:val="auto"/>
          <w:szCs w:val="21"/>
          <w:highlight w:val="none"/>
        </w:rPr>
        <w:t>13. 验收和工程试车</w:t>
      </w:r>
      <w:bookmarkEnd w:id="1839"/>
      <w:bookmarkEnd w:id="1840"/>
      <w:bookmarkEnd w:id="1841"/>
    </w:p>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14:paraId="69FA9A60">
      <w:pPr>
        <w:widowControl/>
        <w:spacing w:line="360" w:lineRule="auto"/>
        <w:ind w:firstLine="422" w:firstLineChars="200"/>
        <w:jc w:val="left"/>
        <w:outlineLvl w:val="4"/>
        <w:rPr>
          <w:rFonts w:ascii="宋体" w:hAnsi="宋体" w:cs="宋体"/>
          <w:b/>
          <w:bCs/>
          <w:color w:val="auto"/>
          <w:kern w:val="0"/>
          <w:szCs w:val="21"/>
          <w:highlight w:val="none"/>
        </w:rPr>
      </w:pPr>
      <w:bookmarkStart w:id="1858" w:name="_Toc532377389"/>
      <w:bookmarkStart w:id="1859" w:name="_Toc532375652"/>
      <w:bookmarkStart w:id="1860" w:name="_Toc280868704"/>
      <w:bookmarkStart w:id="1861" w:name="_Toc280868705"/>
      <w:bookmarkStart w:id="1862" w:name="_Toc280868706"/>
      <w:bookmarkStart w:id="1863" w:name="_Toc280868707"/>
      <w:bookmarkStart w:id="1864" w:name="_Toc280868708"/>
      <w:bookmarkStart w:id="1865" w:name="_Toc267251474"/>
      <w:bookmarkStart w:id="1866" w:name="_Toc267251470"/>
      <w:bookmarkStart w:id="1867" w:name="_Toc267251471"/>
      <w:bookmarkStart w:id="1868" w:name="_Toc267251475"/>
      <w:bookmarkStart w:id="1869" w:name="_Toc267251472"/>
      <w:bookmarkStart w:id="1870" w:name="_Toc280868709"/>
      <w:bookmarkStart w:id="1871" w:name="_Toc267251473"/>
      <w:bookmarkStart w:id="1872" w:name="_Toc267251476"/>
      <w:r>
        <w:rPr>
          <w:rFonts w:hint="eastAsia" w:ascii="宋体" w:hAnsi="宋体" w:cs="宋体"/>
          <w:b/>
          <w:bCs/>
          <w:color w:val="auto"/>
          <w:kern w:val="0"/>
          <w:szCs w:val="21"/>
          <w:highlight w:val="none"/>
        </w:rPr>
        <w:t>13.1 分部分项工程验收</w:t>
      </w:r>
      <w:bookmarkEnd w:id="1858"/>
      <w:bookmarkEnd w:id="1859"/>
    </w:p>
    <w:p w14:paraId="2BE81BB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14:paraId="281E3FE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14:paraId="4363E402">
      <w:pPr>
        <w:widowControl/>
        <w:spacing w:line="360" w:lineRule="auto"/>
        <w:ind w:firstLine="422" w:firstLineChars="200"/>
        <w:jc w:val="left"/>
        <w:outlineLvl w:val="4"/>
        <w:rPr>
          <w:rFonts w:ascii="宋体" w:hAnsi="宋体" w:cs="宋体"/>
          <w:b/>
          <w:bCs/>
          <w:color w:val="auto"/>
          <w:kern w:val="0"/>
          <w:szCs w:val="21"/>
          <w:highlight w:val="none"/>
        </w:rPr>
      </w:pPr>
      <w:bookmarkStart w:id="1873" w:name="_Toc532375653"/>
      <w:bookmarkStart w:id="1874" w:name="_Toc532377390"/>
      <w:bookmarkStart w:id="1875" w:name="_Toc296503223"/>
      <w:bookmarkStart w:id="1876" w:name="_Toc297120523"/>
      <w:bookmarkStart w:id="1877" w:name="_Toc304295596"/>
      <w:bookmarkStart w:id="1878" w:name="_Toc292559933"/>
      <w:bookmarkStart w:id="1879" w:name="_Toc292559428"/>
      <w:bookmarkStart w:id="1880" w:name="_Toc312678056"/>
      <w:bookmarkStart w:id="1881" w:name="_Toc297048409"/>
      <w:bookmarkStart w:id="1882" w:name="_Toc296346724"/>
      <w:bookmarkStart w:id="1883" w:name="_Toc296891263"/>
      <w:bookmarkStart w:id="1884" w:name="_Toc296891051"/>
      <w:bookmarkStart w:id="1885" w:name="_Toc296944562"/>
      <w:bookmarkStart w:id="1886" w:name="_Toc296347222"/>
      <w:bookmarkStart w:id="1887" w:name="_Toc297123565"/>
      <w:bookmarkStart w:id="1888" w:name="_Toc300935016"/>
      <w:bookmarkStart w:id="1889" w:name="_Toc303539173"/>
      <w:bookmarkStart w:id="1890" w:name="_Toc297216224"/>
      <w:r>
        <w:rPr>
          <w:rFonts w:hint="eastAsia" w:ascii="宋体" w:hAnsi="宋体" w:cs="宋体"/>
          <w:b/>
          <w:bCs/>
          <w:color w:val="auto"/>
          <w:kern w:val="0"/>
          <w:szCs w:val="21"/>
          <w:highlight w:val="none"/>
        </w:rPr>
        <w:t>13.2 竣工验收</w:t>
      </w:r>
      <w:bookmarkEnd w:id="1873"/>
      <w:bookmarkEnd w:id="1874"/>
    </w:p>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p w14:paraId="37E8AA0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860"/>
    <w:p w14:paraId="64BF9D2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14:paraId="498FCFF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14:paraId="03C05A1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14:paraId="6C4ED36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14:paraId="0548E8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A7D551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14:paraId="7D3CC7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14:paraId="4FB239E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14:paraId="0D98036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承包人提供纸质版竣工图伍套，电子版竣工图伍套（刻光盘）</w:t>
      </w:r>
      <w:r>
        <w:rPr>
          <w:rFonts w:hint="eastAsia" w:ascii="宋体" w:hAnsi="宋体"/>
          <w:color w:val="auto"/>
          <w:szCs w:val="21"/>
          <w:highlight w:val="none"/>
        </w:rPr>
        <w:t>。</w:t>
      </w:r>
    </w:p>
    <w:bookmarkEnd w:id="1861"/>
    <w:p w14:paraId="715F390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862"/>
    <w:p w14:paraId="01F7EDE4">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14:paraId="09DA0146">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863"/>
    <w:p w14:paraId="47C49777">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14:paraId="2684C1EC">
      <w:pPr>
        <w:widowControl/>
        <w:spacing w:line="360" w:lineRule="auto"/>
        <w:ind w:firstLine="422" w:firstLineChars="200"/>
        <w:jc w:val="left"/>
        <w:outlineLvl w:val="4"/>
        <w:rPr>
          <w:rFonts w:ascii="宋体" w:hAnsi="宋体" w:cs="宋体"/>
          <w:b/>
          <w:bCs/>
          <w:color w:val="auto"/>
          <w:kern w:val="0"/>
          <w:szCs w:val="21"/>
          <w:highlight w:val="none"/>
        </w:rPr>
      </w:pPr>
      <w:bookmarkStart w:id="1891" w:name="_Toc532377391"/>
      <w:bookmarkStart w:id="1892" w:name="_Toc532375654"/>
      <w:r>
        <w:rPr>
          <w:rFonts w:hint="eastAsia" w:ascii="宋体" w:hAnsi="宋体" w:cs="宋体"/>
          <w:b/>
          <w:bCs/>
          <w:color w:val="auto"/>
          <w:kern w:val="0"/>
          <w:szCs w:val="21"/>
          <w:highlight w:val="none"/>
        </w:rPr>
        <w:t>13.3 工程试车</w:t>
      </w:r>
      <w:bookmarkEnd w:id="1891"/>
      <w:bookmarkEnd w:id="1892"/>
    </w:p>
    <w:p w14:paraId="71D42A4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14:paraId="611241C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34E7301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7A49F40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7FC37B18">
      <w:pPr>
        <w:widowControl/>
        <w:spacing w:line="360" w:lineRule="auto"/>
        <w:ind w:firstLine="422" w:firstLineChars="200"/>
        <w:jc w:val="left"/>
        <w:outlineLvl w:val="4"/>
        <w:rPr>
          <w:rFonts w:ascii="宋体" w:hAnsi="宋体" w:cs="宋体"/>
          <w:b/>
          <w:bCs/>
          <w:color w:val="auto"/>
          <w:kern w:val="0"/>
          <w:szCs w:val="21"/>
          <w:highlight w:val="none"/>
        </w:rPr>
      </w:pPr>
      <w:bookmarkStart w:id="1893" w:name="_Toc532375655"/>
      <w:bookmarkStart w:id="1894" w:name="_Toc532377392"/>
      <w:r>
        <w:rPr>
          <w:rFonts w:hint="eastAsia" w:ascii="宋体" w:hAnsi="宋体" w:cs="宋体"/>
          <w:b/>
          <w:bCs/>
          <w:color w:val="auto"/>
          <w:kern w:val="0"/>
          <w:szCs w:val="21"/>
          <w:highlight w:val="none"/>
        </w:rPr>
        <w:t>13.6 竣工退场</w:t>
      </w:r>
      <w:bookmarkEnd w:id="1893"/>
      <w:bookmarkEnd w:id="1894"/>
    </w:p>
    <w:p w14:paraId="4E48BC4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14:paraId="7F501AE1">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864"/>
    <w:p w14:paraId="4931A524">
      <w:pPr>
        <w:keepNext/>
        <w:keepLines/>
        <w:widowControl/>
        <w:spacing w:before="156" w:beforeLines="50" w:after="156" w:afterLines="50" w:line="360" w:lineRule="auto"/>
        <w:outlineLvl w:val="3"/>
        <w:rPr>
          <w:rFonts w:ascii="宋体" w:hAnsi="宋体" w:cs="宋体"/>
          <w:b/>
          <w:color w:val="auto"/>
          <w:szCs w:val="21"/>
          <w:highlight w:val="none"/>
        </w:rPr>
      </w:pPr>
      <w:bookmarkStart w:id="1895" w:name="_Toc351203646"/>
      <w:bookmarkStart w:id="1896" w:name="_Toc532377393"/>
      <w:bookmarkStart w:id="1897" w:name="_Toc532375656"/>
      <w:r>
        <w:rPr>
          <w:rFonts w:hint="eastAsia" w:ascii="宋体" w:hAnsi="宋体" w:cs="宋体"/>
          <w:b/>
          <w:bCs/>
          <w:color w:val="auto"/>
          <w:szCs w:val="21"/>
          <w:highlight w:val="none"/>
        </w:rPr>
        <w:t>14. 竣工结算</w:t>
      </w:r>
      <w:bookmarkEnd w:id="1895"/>
      <w:bookmarkEnd w:id="1896"/>
      <w:bookmarkEnd w:id="1897"/>
    </w:p>
    <w:p w14:paraId="0CAEFE69">
      <w:pPr>
        <w:widowControl/>
        <w:spacing w:line="360" w:lineRule="auto"/>
        <w:ind w:firstLine="422" w:firstLineChars="200"/>
        <w:jc w:val="left"/>
        <w:outlineLvl w:val="4"/>
        <w:rPr>
          <w:rFonts w:ascii="宋体" w:hAnsi="宋体" w:cs="宋体"/>
          <w:b/>
          <w:bCs/>
          <w:color w:val="auto"/>
          <w:kern w:val="0"/>
          <w:szCs w:val="21"/>
          <w:highlight w:val="none"/>
        </w:rPr>
      </w:pPr>
      <w:bookmarkStart w:id="1898" w:name="_Toc532377394"/>
      <w:bookmarkStart w:id="1899" w:name="_Toc532375657"/>
      <w:r>
        <w:rPr>
          <w:rFonts w:hint="eastAsia" w:ascii="宋体" w:hAnsi="宋体" w:cs="宋体"/>
          <w:b/>
          <w:bCs/>
          <w:color w:val="auto"/>
          <w:kern w:val="0"/>
          <w:szCs w:val="21"/>
          <w:highlight w:val="none"/>
        </w:rPr>
        <w:t>14.1 竣工结算申请</w:t>
      </w:r>
      <w:bookmarkEnd w:id="1898"/>
      <w:bookmarkEnd w:id="1899"/>
    </w:p>
    <w:p w14:paraId="5340DD44">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900"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经发包人要求，承包人仍未提交竣工结算资料时，发包人有权委托第三方进行审计，结算金额以审计结果为准，承包人对此无异议。</w:t>
      </w:r>
    </w:p>
    <w:p w14:paraId="546F163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14:paraId="7E2DAEA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14:paraId="0CDA463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14:paraId="22C354F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14:paraId="524C6F3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14:paraId="15BB7CE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14:paraId="593F9D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14:paraId="5B54A42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14:paraId="1528876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900"/>
    </w:p>
    <w:p w14:paraId="25BF6D27">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承包人承诺</w:t>
      </w:r>
      <w:r>
        <w:rPr>
          <w:rFonts w:ascii="宋体" w:hAnsi="宋体"/>
          <w:color w:val="auto"/>
          <w:szCs w:val="21"/>
          <w:highlight w:val="none"/>
        </w:rPr>
        <w:t>，</w:t>
      </w:r>
      <w:r>
        <w:rPr>
          <w:rFonts w:hint="eastAsia" w:ascii="宋体" w:hAnsi="宋体"/>
          <w:color w:val="auto"/>
          <w:szCs w:val="21"/>
          <w:highlight w:val="none"/>
        </w:rPr>
        <w:t>在</w:t>
      </w:r>
      <w:r>
        <w:rPr>
          <w:rFonts w:hint="eastAsia" w:ascii="宋体" w:hAnsi="宋体"/>
          <w:color w:val="auto"/>
          <w:szCs w:val="21"/>
          <w:highlight w:val="none"/>
          <w:lang w:eastAsia="zh-Hans"/>
        </w:rPr>
        <w:t>竣工结算</w:t>
      </w:r>
      <w:r>
        <w:rPr>
          <w:rFonts w:hint="eastAsia" w:ascii="宋体" w:hAnsi="宋体"/>
          <w:color w:val="auto"/>
          <w:szCs w:val="21"/>
          <w:highlight w:val="none"/>
        </w:rPr>
        <w:t>送审资料交接完成后：</w:t>
      </w:r>
    </w:p>
    <w:p w14:paraId="726956A7">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①在审价过程中不再增加任何结算资料，包括图纸、联系单、签证单、价格凭证等,如上述资料可能会导致工程结算价款增加，均视为承包人放弃该部分工程价款；</w:t>
      </w:r>
    </w:p>
    <w:p w14:paraId="31E5B0CC">
      <w:pPr>
        <w:spacing w:line="360" w:lineRule="auto"/>
        <w:ind w:right="105" w:rightChars="50" w:firstLine="420" w:firstLineChars="200"/>
        <w:jc w:val="left"/>
        <w:rPr>
          <w:color w:val="auto"/>
          <w:highlight w:val="none"/>
        </w:rPr>
      </w:pPr>
      <w:r>
        <w:rPr>
          <w:rFonts w:hint="eastAsia" w:ascii="宋体" w:hAnsi="宋体"/>
          <w:color w:val="auto"/>
          <w:szCs w:val="21"/>
          <w:highlight w:val="none"/>
        </w:rPr>
        <w:t>②在送审结算书中项目的工程量如发生变化，可作调整</w:t>
      </w:r>
      <w:r>
        <w:rPr>
          <w:rFonts w:ascii="宋体" w:hAnsi="宋体"/>
          <w:color w:val="auto"/>
          <w:szCs w:val="21"/>
          <w:highlight w:val="none"/>
        </w:rPr>
        <w:t>；</w:t>
      </w:r>
      <w:r>
        <w:rPr>
          <w:rFonts w:hint="eastAsia" w:ascii="宋体" w:hAnsi="宋体"/>
          <w:color w:val="auto"/>
          <w:szCs w:val="21"/>
          <w:highlight w:val="none"/>
        </w:rPr>
        <w:t>若</w:t>
      </w:r>
      <w:r>
        <w:rPr>
          <w:rFonts w:hint="eastAsia" w:ascii="宋体" w:hAnsi="宋体"/>
          <w:color w:val="auto"/>
          <w:szCs w:val="21"/>
          <w:highlight w:val="none"/>
          <w:lang w:eastAsia="zh-Hans"/>
        </w:rPr>
        <w:t>项目存在</w:t>
      </w:r>
      <w:r>
        <w:rPr>
          <w:rFonts w:hint="eastAsia" w:ascii="宋体" w:hAnsi="宋体"/>
          <w:color w:val="auto"/>
          <w:szCs w:val="21"/>
          <w:highlight w:val="none"/>
        </w:rPr>
        <w:t>遗漏，均视为施工单位放弃该部分工程价款，不作增加调整。</w:t>
      </w:r>
    </w:p>
    <w:p w14:paraId="5674409A">
      <w:pPr>
        <w:widowControl/>
        <w:spacing w:line="360" w:lineRule="auto"/>
        <w:ind w:firstLine="422" w:firstLineChars="200"/>
        <w:jc w:val="left"/>
        <w:outlineLvl w:val="4"/>
        <w:rPr>
          <w:rFonts w:ascii="宋体" w:hAnsi="宋体" w:cs="宋体"/>
          <w:b/>
          <w:bCs/>
          <w:color w:val="auto"/>
          <w:kern w:val="0"/>
          <w:szCs w:val="21"/>
          <w:highlight w:val="none"/>
        </w:rPr>
      </w:pPr>
      <w:bookmarkStart w:id="1901" w:name="_Toc532375658"/>
      <w:bookmarkStart w:id="1902" w:name="_Toc532377395"/>
      <w:r>
        <w:rPr>
          <w:rFonts w:hint="eastAsia" w:ascii="宋体" w:hAnsi="宋体" w:cs="宋体"/>
          <w:b/>
          <w:bCs/>
          <w:color w:val="auto"/>
          <w:kern w:val="0"/>
          <w:szCs w:val="21"/>
          <w:highlight w:val="none"/>
        </w:rPr>
        <w:t>14.2 竣工结算审核</w:t>
      </w:r>
      <w:bookmarkEnd w:id="1901"/>
      <w:bookmarkEnd w:id="1902"/>
    </w:p>
    <w:p w14:paraId="0221D06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14:paraId="771C73D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14:paraId="6C48DB22">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14:paraId="3083E1D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14.2.1.2计价原则</w:t>
      </w:r>
    </w:p>
    <w:p w14:paraId="67AF7F34">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14:paraId="581199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14:paraId="3E0605F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14:paraId="1B1DBA0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14:paraId="20E5DB62">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14:paraId="65EF1D52">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14:paraId="2C881DD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14:paraId="6CC2308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14:paraId="01D10AC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①已标价工程量清单范围内以项为计量单位的措施项目费（安全文明施工费除外）包干使用，但未实施的措施项目不予计算；不以项为计量单位的措施项目费按第14.2.1项〔竣工结算办理办法〕分部分项约定执行</w:t>
      </w:r>
      <w:r>
        <w:rPr>
          <w:rFonts w:hint="eastAsia" w:ascii="宋体" w:hAnsi="宋体"/>
          <w:color w:val="auto"/>
          <w:szCs w:val="21"/>
          <w:highlight w:val="none"/>
        </w:rPr>
        <w:t>。</w:t>
      </w:r>
    </w:p>
    <w:p w14:paraId="45BB4717">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14:paraId="36E1D117">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w:t>
      </w:r>
      <w:r>
        <w:rPr>
          <w:rFonts w:hint="eastAsia" w:ascii="宋体" w:hAnsi="宋体" w:cs="宋体"/>
          <w:color w:val="auto"/>
          <w:szCs w:val="21"/>
          <w:highlight w:val="none"/>
          <w:lang w:val="en-US" w:eastAsia="zh-CN"/>
        </w:rPr>
        <w:t>渝建管[2024]38号</w:t>
      </w:r>
      <w:r>
        <w:rPr>
          <w:rFonts w:hint="eastAsia" w:ascii="宋体" w:hAnsi="宋体"/>
          <w:color w:val="auto"/>
          <w:szCs w:val="21"/>
          <w:highlight w:val="none"/>
          <w:u w:val="single"/>
        </w:rPr>
        <w:t>）、《重庆市建设工程费用定额》（CQFYDE-2018）、《重庆市城乡建设委员会关于适用增值税新税率调整建设工程计价依据的通知》（渝建〔2019〕143号）的规定进行结算。未按《重庆市住房和城乡建设委员会关于调整建设施工现场形象品质提升安全文明施工费计取的通知》（渝建管〔2020〕97号）要求执行的扣除相应费用</w:t>
      </w:r>
      <w:r>
        <w:rPr>
          <w:rFonts w:hint="eastAsia" w:ascii="宋体" w:hAnsi="宋体"/>
          <w:color w:val="auto"/>
          <w:szCs w:val="21"/>
          <w:highlight w:val="none"/>
        </w:rPr>
        <w:t>。</w:t>
      </w:r>
    </w:p>
    <w:p w14:paraId="4014428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14:paraId="434272F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14:paraId="34C2B5A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14:paraId="3A3DE57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14:paraId="2359A29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14:paraId="3D2EFD8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14:paraId="3CED058E">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14:paraId="026041C6">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14:paraId="5AD4E43F">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17AE93C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14:paraId="2A8301A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14:paraId="64B58A20">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（6）奖励、罚金、违约金及其他费用：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14:paraId="4FEBF5E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14:paraId="6E2612EE">
      <w:pPr>
        <w:pStyle w:val="18"/>
        <w:ind w:firstLine="420" w:firstLineChars="200"/>
        <w:rPr>
          <w:color w:val="auto"/>
          <w:highlight w:val="non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6559CA7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14:paraId="3DABB0B3">
      <w:pPr>
        <w:tabs>
          <w:tab w:val="left" w:pos="711"/>
          <w:tab w:val="left" w:pos="2580"/>
        </w:tabs>
        <w:spacing w:line="360" w:lineRule="auto"/>
        <w:ind w:right="105" w:rightChars="50" w:firstLine="420" w:firstLineChars="200"/>
        <w:jc w:val="left"/>
        <w:textAlignment w:val="baseline"/>
        <w:rPr>
          <w:rFonts w:hint="eastAsia" w:ascii="宋体" w:hAnsi="宋体" w:eastAsia="宋体" w:cs="Times New Roman"/>
          <w:color w:val="auto"/>
          <w:szCs w:val="21"/>
          <w:highlight w:val="none"/>
          <w:u w:val="none"/>
        </w:rPr>
      </w:pPr>
      <w:bookmarkStart w:id="1903" w:name="_Hlk528660512"/>
      <w:r>
        <w:rPr>
          <w:rFonts w:hint="eastAsia" w:ascii="宋体" w:hAnsi="宋体" w:eastAsia="宋体" w:cs="Times New Roman"/>
          <w:color w:val="auto"/>
          <w:szCs w:val="21"/>
          <w:highlight w:val="none"/>
          <w:u w:val="none"/>
        </w:rPr>
        <w:t>以发包人会同跟审单位、监理人、承包人根据有效资料共同确定竣工结算金额，最终结算金额以发包人指定的第三人或重庆市南岸区财政局、重庆市南岸区审计局或其他国家行政机关、行政机关委托派出的三方机构审计结算确认的为准。</w:t>
      </w:r>
      <w:r>
        <w:rPr>
          <w:rFonts w:hint="eastAsia" w:ascii="宋体" w:hAnsi="宋体"/>
          <w:color w:val="auto"/>
          <w:szCs w:val="21"/>
          <w:highlight w:val="none"/>
          <w:u w:val="single"/>
        </w:rPr>
        <w:t>审减金额超过5%时，承包人承担5%以外的审减效益费。</w:t>
      </w:r>
    </w:p>
    <w:p w14:paraId="2E303271">
      <w:pPr>
        <w:tabs>
          <w:tab w:val="left" w:pos="711"/>
          <w:tab w:val="left" w:pos="2580"/>
        </w:tabs>
        <w:spacing w:line="360" w:lineRule="auto"/>
        <w:ind w:right="105" w:rightChars="50" w:firstLine="420" w:firstLineChars="200"/>
        <w:jc w:val="left"/>
        <w:textAlignment w:val="baseline"/>
        <w:rPr>
          <w:rFonts w:hint="eastAsia" w:ascii="宋体" w:hAnsi="宋体" w:eastAsia="宋体" w:cs="Times New Roman"/>
          <w:color w:val="auto"/>
          <w:szCs w:val="21"/>
          <w:highlight w:val="none"/>
          <w:u w:val="none"/>
        </w:rPr>
      </w:pPr>
    </w:p>
    <w:p w14:paraId="6DD26819">
      <w:pPr>
        <w:tabs>
          <w:tab w:val="left" w:pos="711"/>
          <w:tab w:val="left" w:pos="2580"/>
        </w:tabs>
        <w:spacing w:line="360" w:lineRule="auto"/>
        <w:ind w:right="105" w:rightChars="50" w:firstLine="420" w:firstLineChars="200"/>
        <w:jc w:val="left"/>
        <w:textAlignment w:val="baseline"/>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u w:val="none"/>
          <w:lang w:val="en-US" w:eastAsia="zh-CN"/>
        </w:rPr>
        <w:t>14.2.1.4 如本项目因非合同双方原因导致无法实施，合同双方根据合同结算原则按实际完成工作量进行结算，承包人自行承担相关风险，不得就此原因对发包人发起索赔。</w:t>
      </w:r>
    </w:p>
    <w:bookmarkEnd w:id="1903"/>
    <w:p w14:paraId="39370950">
      <w:pPr>
        <w:spacing w:line="360" w:lineRule="auto"/>
        <w:ind w:right="105" w:rightChars="50" w:firstLine="420" w:firstLineChars="200"/>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14.2.2 竣工结算审核期限</w:t>
      </w:r>
    </w:p>
    <w:p w14:paraId="5722FFB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不超过45日</w:t>
      </w:r>
      <w:r>
        <w:rPr>
          <w:rFonts w:hint="eastAsia" w:ascii="宋体" w:hAnsi="宋体"/>
          <w:color w:val="auto"/>
          <w:szCs w:val="21"/>
          <w:highlight w:val="none"/>
        </w:rPr>
        <w:t>。</w:t>
      </w:r>
    </w:p>
    <w:p w14:paraId="5307EE7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跟审人审核竣工付款申请单的期限：</w:t>
      </w:r>
      <w:r>
        <w:rPr>
          <w:rFonts w:hint="eastAsia" w:ascii="宋体" w:hAnsi="宋体"/>
          <w:color w:val="auto"/>
          <w:szCs w:val="21"/>
          <w:highlight w:val="none"/>
          <w:u w:val="single"/>
        </w:rPr>
        <w:t>不超过45日</w:t>
      </w:r>
      <w:r>
        <w:rPr>
          <w:rFonts w:hint="eastAsia" w:ascii="宋体" w:hAnsi="宋体"/>
          <w:color w:val="auto"/>
          <w:szCs w:val="21"/>
          <w:highlight w:val="none"/>
        </w:rPr>
        <w:t>。</w:t>
      </w:r>
    </w:p>
    <w:p w14:paraId="0257D6F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不超过45日</w:t>
      </w:r>
      <w:r>
        <w:rPr>
          <w:rFonts w:hint="eastAsia" w:ascii="宋体" w:hAnsi="宋体"/>
          <w:color w:val="auto"/>
          <w:szCs w:val="21"/>
          <w:highlight w:val="none"/>
        </w:rPr>
        <w:t>。</w:t>
      </w:r>
    </w:p>
    <w:p w14:paraId="58E4A6B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完成竣工付款申请单审核后60天内</w:t>
      </w:r>
      <w:r>
        <w:rPr>
          <w:rFonts w:hint="eastAsia" w:ascii="宋体" w:hAnsi="宋体"/>
          <w:color w:val="auto"/>
          <w:szCs w:val="21"/>
          <w:highlight w:val="none"/>
        </w:rPr>
        <w:t>。</w:t>
      </w:r>
    </w:p>
    <w:p w14:paraId="20BE0ED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14:paraId="674ADD25">
      <w:pPr>
        <w:widowControl/>
        <w:spacing w:line="360" w:lineRule="auto"/>
        <w:ind w:firstLine="422" w:firstLineChars="200"/>
        <w:jc w:val="left"/>
        <w:outlineLvl w:val="4"/>
        <w:rPr>
          <w:rFonts w:ascii="宋体" w:hAnsi="宋体" w:cs="宋体"/>
          <w:b/>
          <w:bCs/>
          <w:color w:val="auto"/>
          <w:kern w:val="0"/>
          <w:szCs w:val="21"/>
          <w:highlight w:val="none"/>
        </w:rPr>
      </w:pPr>
      <w:bookmarkStart w:id="1904" w:name="_Toc532375659"/>
      <w:bookmarkStart w:id="1905" w:name="_Toc532377396"/>
      <w:r>
        <w:rPr>
          <w:rFonts w:hint="eastAsia" w:ascii="宋体" w:hAnsi="宋体" w:cs="宋体"/>
          <w:b/>
          <w:bCs/>
          <w:color w:val="auto"/>
          <w:kern w:val="0"/>
          <w:szCs w:val="21"/>
          <w:highlight w:val="none"/>
        </w:rPr>
        <w:t>14.4 最终结清</w:t>
      </w:r>
      <w:bookmarkEnd w:id="1904"/>
      <w:bookmarkEnd w:id="1905"/>
    </w:p>
    <w:p w14:paraId="2E8032B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14:paraId="0B1086A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6份</w:t>
      </w:r>
      <w:r>
        <w:rPr>
          <w:rFonts w:hint="eastAsia" w:ascii="宋体" w:hAnsi="宋体"/>
          <w:color w:val="auto"/>
          <w:szCs w:val="21"/>
          <w:highlight w:val="none"/>
        </w:rPr>
        <w:t>。</w:t>
      </w:r>
    </w:p>
    <w:p w14:paraId="65E83FB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质保期终止证书颁发后14天内</w:t>
      </w:r>
      <w:r>
        <w:rPr>
          <w:rFonts w:hint="eastAsia" w:ascii="宋体" w:hAnsi="宋体"/>
          <w:color w:val="auto"/>
          <w:szCs w:val="21"/>
          <w:highlight w:val="none"/>
        </w:rPr>
        <w:t>。</w:t>
      </w:r>
    </w:p>
    <w:p w14:paraId="3AFCEF6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14:paraId="768AC91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14:paraId="508434D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14:paraId="26B209E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865"/>
    <w:bookmarkEnd w:id="1866"/>
    <w:bookmarkEnd w:id="1867"/>
    <w:bookmarkEnd w:id="1868"/>
    <w:bookmarkEnd w:id="1869"/>
    <w:bookmarkEnd w:id="1870"/>
    <w:bookmarkEnd w:id="1871"/>
    <w:bookmarkEnd w:id="1872"/>
    <w:p w14:paraId="37CFCA96">
      <w:pPr>
        <w:widowControl/>
        <w:spacing w:line="360" w:lineRule="auto"/>
        <w:ind w:firstLine="422" w:firstLineChars="200"/>
        <w:jc w:val="left"/>
        <w:outlineLvl w:val="4"/>
        <w:rPr>
          <w:rFonts w:ascii="宋体" w:hAnsi="宋体" w:cs="宋体"/>
          <w:b/>
          <w:bCs/>
          <w:color w:val="auto"/>
          <w:kern w:val="0"/>
          <w:szCs w:val="21"/>
          <w:highlight w:val="none"/>
        </w:rPr>
      </w:pPr>
      <w:bookmarkStart w:id="1906" w:name="_Toc532375660"/>
      <w:bookmarkStart w:id="1907" w:name="_Toc532377397"/>
      <w:r>
        <w:rPr>
          <w:rFonts w:hint="eastAsia" w:ascii="宋体" w:hAnsi="宋体" w:cs="宋体"/>
          <w:b/>
          <w:bCs/>
          <w:color w:val="auto"/>
          <w:kern w:val="0"/>
          <w:szCs w:val="21"/>
          <w:highlight w:val="none"/>
        </w:rPr>
        <w:t>14.5 逾期办理或不配合办理竣工结算的处理</w:t>
      </w:r>
      <w:bookmarkEnd w:id="1906"/>
      <w:bookmarkEnd w:id="1907"/>
    </w:p>
    <w:p w14:paraId="357D588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承包人认可前述结算金额</w:t>
      </w:r>
      <w:r>
        <w:rPr>
          <w:rFonts w:hint="eastAsia" w:ascii="宋体" w:hAnsi="宋体"/>
          <w:color w:val="auto"/>
          <w:szCs w:val="21"/>
          <w:highlight w:val="none"/>
        </w:rPr>
        <w:t>。</w:t>
      </w:r>
    </w:p>
    <w:p w14:paraId="5A2BA68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908" w:name="_Hlk529133622"/>
      <w:r>
        <w:rPr>
          <w:rFonts w:hint="eastAsia" w:ascii="宋体" w:hAnsi="宋体"/>
          <w:color w:val="auto"/>
          <w:szCs w:val="21"/>
          <w:highlight w:val="none"/>
        </w:rPr>
        <w:t>次书面催告仍未在限期内报送的</w:t>
      </w:r>
      <w:bookmarkEnd w:id="1908"/>
      <w:r>
        <w:rPr>
          <w:rFonts w:hint="eastAsia" w:ascii="宋体" w:hAnsi="宋体"/>
          <w:color w:val="auto"/>
          <w:szCs w:val="21"/>
          <w:highlight w:val="none"/>
        </w:rPr>
        <w:t>；</w:t>
      </w:r>
    </w:p>
    <w:p w14:paraId="38B24B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2252B8E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14:paraId="5647EB51">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1573"/>
    <w:bookmarkEnd w:id="1574"/>
    <w:bookmarkEnd w:id="1575"/>
    <w:bookmarkEnd w:id="1576"/>
    <w:bookmarkEnd w:id="1577"/>
    <w:bookmarkEnd w:id="1578"/>
    <w:bookmarkEnd w:id="1579"/>
    <w:bookmarkEnd w:id="1580"/>
    <w:p w14:paraId="5C1DCC09">
      <w:pPr>
        <w:keepNext/>
        <w:keepLines/>
        <w:widowControl/>
        <w:spacing w:before="156" w:beforeLines="50" w:after="156" w:afterLines="50" w:line="360" w:lineRule="auto"/>
        <w:outlineLvl w:val="3"/>
        <w:rPr>
          <w:rFonts w:ascii="宋体" w:hAnsi="宋体" w:cs="宋体"/>
          <w:b/>
          <w:color w:val="auto"/>
          <w:szCs w:val="21"/>
          <w:highlight w:val="none"/>
        </w:rPr>
      </w:pPr>
      <w:bookmarkStart w:id="1909" w:name="_Toc532377398"/>
      <w:bookmarkStart w:id="1910" w:name="_Toc351203647"/>
      <w:bookmarkStart w:id="1911" w:name="_Toc532375661"/>
      <w:bookmarkStart w:id="1912" w:name="_Toc267251483"/>
      <w:bookmarkStart w:id="1913" w:name="_Toc280868717"/>
      <w:bookmarkStart w:id="1914" w:name="_Toc280868718"/>
      <w:r>
        <w:rPr>
          <w:rFonts w:hint="eastAsia" w:ascii="宋体" w:hAnsi="宋体" w:cs="宋体"/>
          <w:b/>
          <w:bCs/>
          <w:color w:val="auto"/>
          <w:szCs w:val="21"/>
          <w:highlight w:val="none"/>
        </w:rPr>
        <w:t>15. 缺陷责任期与保修</w:t>
      </w:r>
      <w:bookmarkEnd w:id="1909"/>
      <w:bookmarkEnd w:id="1910"/>
      <w:bookmarkEnd w:id="1911"/>
    </w:p>
    <w:bookmarkEnd w:id="1912"/>
    <w:p w14:paraId="21760F8A">
      <w:pPr>
        <w:widowControl/>
        <w:spacing w:line="360" w:lineRule="auto"/>
        <w:ind w:firstLine="422" w:firstLineChars="200"/>
        <w:jc w:val="left"/>
        <w:outlineLvl w:val="4"/>
        <w:rPr>
          <w:rFonts w:ascii="宋体" w:hAnsi="宋体" w:cs="宋体"/>
          <w:b/>
          <w:bCs/>
          <w:color w:val="auto"/>
          <w:kern w:val="0"/>
          <w:szCs w:val="21"/>
          <w:highlight w:val="none"/>
        </w:rPr>
      </w:pPr>
      <w:bookmarkStart w:id="1915" w:name="_Toc532377399"/>
      <w:bookmarkStart w:id="1916" w:name="_Toc532375662"/>
      <w:r>
        <w:rPr>
          <w:rFonts w:hint="eastAsia" w:ascii="宋体" w:hAnsi="宋体" w:cs="宋体"/>
          <w:b/>
          <w:bCs/>
          <w:color w:val="auto"/>
          <w:kern w:val="0"/>
          <w:szCs w:val="21"/>
          <w:highlight w:val="none"/>
        </w:rPr>
        <w:t>15.3 质量保证金</w:t>
      </w:r>
      <w:bookmarkEnd w:id="1915"/>
      <w:bookmarkEnd w:id="1916"/>
    </w:p>
    <w:p w14:paraId="6D047F1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14:paraId="524797A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w:t>
      </w:r>
    </w:p>
    <w:p w14:paraId="17CC4BC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14:paraId="576F962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1）按招标文件载明的格式或发包人认可的格式向发包人提交不可撤销的见索即付银行保函</w:t>
      </w:r>
      <w:r>
        <w:rPr>
          <w:rFonts w:hint="eastAsia" w:ascii="宋体" w:hAnsi="宋体"/>
          <w:color w:val="auto"/>
          <w:szCs w:val="21"/>
          <w:highlight w:val="none"/>
        </w:rPr>
        <w:t>；</w:t>
      </w:r>
    </w:p>
    <w:p w14:paraId="062CF4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2）出具保函的银行级别：</w:t>
      </w:r>
      <w:r>
        <w:rPr>
          <w:rFonts w:hint="eastAsia" w:ascii="宋体" w:hAnsi="宋体"/>
          <w:color w:val="auto"/>
          <w:szCs w:val="21"/>
          <w:highlight w:val="none"/>
          <w:u w:val="single"/>
        </w:rPr>
        <w:t>地市级及以上国家政策性银行或股份制商业银行的支行或其上级银行</w:t>
      </w:r>
      <w:r>
        <w:rPr>
          <w:rFonts w:hint="eastAsia" w:ascii="宋体" w:hAnsi="宋体"/>
          <w:color w:val="auto"/>
          <w:szCs w:val="21"/>
          <w:highlight w:val="none"/>
        </w:rPr>
        <w:t>；</w:t>
      </w:r>
    </w:p>
    <w:p w14:paraId="12A40D4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FAAB3D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14:paraId="4C4EE6B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承包人提交质量保证金保函的，发包人应同时退还（若有）扣留的作为质量保证金的工程价款、履约担保；保函金额不得超过工程价款结算总额的3%</w:t>
      </w:r>
      <w:r>
        <w:rPr>
          <w:rFonts w:hint="eastAsia" w:ascii="宋体" w:hAnsi="宋体"/>
          <w:color w:val="auto"/>
          <w:szCs w:val="21"/>
          <w:highlight w:val="none"/>
        </w:rPr>
        <w:t>。</w:t>
      </w:r>
    </w:p>
    <w:p w14:paraId="3E8B77C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14:paraId="4415FCB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17F6B7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14:paraId="06CCFDA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w:t>
      </w:r>
    </w:p>
    <w:p w14:paraId="722E9F2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6F6D8A9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14:paraId="13FE1A4E">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（3）其他扣留方式：</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14:paraId="542FF75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14:paraId="19EF121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（1）在发包人颁发质保期终止证书之日起14天内无息退还。</w:t>
      </w:r>
    </w:p>
    <w:p w14:paraId="421A518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14:paraId="0FA6216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14:paraId="2C758F4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 年 / 月公布的5年期贷款市场报价利率支付利息</w:t>
      </w:r>
      <w:r>
        <w:rPr>
          <w:rFonts w:hint="eastAsia" w:ascii="宋体" w:hAnsi="宋体"/>
          <w:color w:val="auto"/>
          <w:szCs w:val="21"/>
          <w:highlight w:val="none"/>
        </w:rPr>
        <w:t>。</w:t>
      </w:r>
    </w:p>
    <w:p w14:paraId="7C52977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14:paraId="6D80FD06">
      <w:pPr>
        <w:widowControl/>
        <w:spacing w:line="360" w:lineRule="auto"/>
        <w:ind w:firstLine="422" w:firstLineChars="200"/>
        <w:jc w:val="left"/>
        <w:outlineLvl w:val="4"/>
        <w:rPr>
          <w:rFonts w:ascii="宋体" w:hAnsi="宋体" w:cs="宋体"/>
          <w:b/>
          <w:bCs/>
          <w:color w:val="auto"/>
          <w:kern w:val="0"/>
          <w:szCs w:val="21"/>
          <w:highlight w:val="none"/>
        </w:rPr>
      </w:pPr>
      <w:bookmarkStart w:id="1917" w:name="_Toc532377400"/>
      <w:bookmarkStart w:id="1918" w:name="_Toc532375663"/>
      <w:r>
        <w:rPr>
          <w:rFonts w:hint="eastAsia" w:ascii="宋体" w:hAnsi="宋体" w:cs="宋体"/>
          <w:b/>
          <w:bCs/>
          <w:color w:val="auto"/>
          <w:kern w:val="0"/>
          <w:szCs w:val="21"/>
          <w:highlight w:val="none"/>
        </w:rPr>
        <w:t>15.4 保修</w:t>
      </w:r>
      <w:bookmarkEnd w:id="1917"/>
      <w:bookmarkEnd w:id="1918"/>
    </w:p>
    <w:p w14:paraId="6FF5B70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14:paraId="6D3DD16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919" w:name="_Hlk524381274"/>
      <w:r>
        <w:rPr>
          <w:rFonts w:hint="eastAsia" w:ascii="宋体" w:hAnsi="宋体"/>
          <w:color w:val="auto"/>
          <w:szCs w:val="21"/>
          <w:highlight w:val="none"/>
        </w:rPr>
        <w:t>按照附件1《工程质量保修书》的规定执行。</w:t>
      </w:r>
      <w:bookmarkEnd w:id="1919"/>
    </w:p>
    <w:p w14:paraId="670A220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14:paraId="3293D1B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6小时内，最长不能超过12小时</w:t>
      </w:r>
      <w:r>
        <w:rPr>
          <w:rFonts w:hint="eastAsia" w:ascii="宋体" w:hAnsi="宋体"/>
          <w:color w:val="auto"/>
          <w:szCs w:val="21"/>
          <w:highlight w:val="none"/>
        </w:rPr>
        <w:t>。</w:t>
      </w:r>
    </w:p>
    <w:p w14:paraId="461A3261">
      <w:pPr>
        <w:keepNext/>
        <w:keepLines/>
        <w:widowControl/>
        <w:spacing w:before="156" w:beforeLines="50" w:after="156" w:afterLines="50" w:line="360" w:lineRule="auto"/>
        <w:outlineLvl w:val="3"/>
        <w:rPr>
          <w:rFonts w:ascii="宋体" w:hAnsi="宋体" w:cs="宋体"/>
          <w:b/>
          <w:color w:val="auto"/>
          <w:szCs w:val="21"/>
          <w:highlight w:val="none"/>
        </w:rPr>
      </w:pPr>
      <w:bookmarkStart w:id="1920" w:name="_Toc532377401"/>
      <w:bookmarkStart w:id="1921" w:name="_Toc351203648"/>
      <w:bookmarkStart w:id="1922" w:name="_Toc532375664"/>
      <w:r>
        <w:rPr>
          <w:rFonts w:hint="eastAsia" w:ascii="宋体" w:hAnsi="宋体" w:cs="宋体"/>
          <w:b/>
          <w:bCs/>
          <w:color w:val="auto"/>
          <w:szCs w:val="21"/>
          <w:highlight w:val="none"/>
        </w:rPr>
        <w:t>16. 违约</w:t>
      </w:r>
      <w:bookmarkEnd w:id="1920"/>
      <w:bookmarkEnd w:id="1921"/>
      <w:bookmarkEnd w:id="1922"/>
    </w:p>
    <w:p w14:paraId="0F87A749">
      <w:pPr>
        <w:widowControl/>
        <w:spacing w:line="360" w:lineRule="auto"/>
        <w:ind w:firstLine="422" w:firstLineChars="200"/>
        <w:jc w:val="left"/>
        <w:outlineLvl w:val="4"/>
        <w:rPr>
          <w:rFonts w:ascii="宋体" w:hAnsi="宋体" w:cs="宋体"/>
          <w:b/>
          <w:bCs/>
          <w:color w:val="auto"/>
          <w:kern w:val="0"/>
          <w:szCs w:val="21"/>
          <w:highlight w:val="none"/>
        </w:rPr>
      </w:pPr>
      <w:bookmarkStart w:id="1923" w:name="_Toc532377403"/>
      <w:r>
        <w:rPr>
          <w:rFonts w:hint="eastAsia" w:ascii="宋体" w:hAnsi="宋体" w:cs="宋体"/>
          <w:b/>
          <w:bCs/>
          <w:color w:val="auto"/>
          <w:kern w:val="0"/>
          <w:szCs w:val="21"/>
          <w:highlight w:val="none"/>
        </w:rPr>
        <w:t>16.2 承包人违约</w:t>
      </w:r>
      <w:bookmarkEnd w:id="1923"/>
    </w:p>
    <w:p w14:paraId="23F2FFF3">
      <w:pPr>
        <w:snapToGrid w:val="0"/>
        <w:spacing w:line="360" w:lineRule="auto"/>
        <w:ind w:firstLine="420" w:firstLineChars="200"/>
        <w:jc w:val="left"/>
        <w:rPr>
          <w:rFonts w:ascii="宋体" w:hAnsi="宋体" w:cs="Microsoft Sans Serif"/>
          <w:color w:val="auto"/>
          <w:kern w:val="0"/>
          <w:szCs w:val="21"/>
          <w:highlight w:val="none"/>
        </w:rPr>
      </w:pPr>
      <w:bookmarkStart w:id="1924" w:name="_Hlk524380579"/>
      <w:r>
        <w:rPr>
          <w:rFonts w:hint="eastAsia" w:ascii="宋体" w:hAnsi="宋体" w:cs="Microsoft Sans Serif"/>
          <w:color w:val="auto"/>
          <w:kern w:val="0"/>
          <w:szCs w:val="21"/>
          <w:highlight w:val="none"/>
        </w:rPr>
        <w:t>16.2.1 承包人违约的情形</w:t>
      </w:r>
    </w:p>
    <w:p w14:paraId="5BFB7B6D">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14:paraId="0D41223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14:paraId="0111D41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14:paraId="0C70A65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14:paraId="4C2C68C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14:paraId="6767C44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14:paraId="41CA26E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14:paraId="40179F9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14:paraId="1A0A579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14:paraId="00AA685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14:paraId="219DF3A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14:paraId="16B78E31">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14:paraId="316CA95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14:paraId="71A44BB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14:paraId="4846758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14:paraId="023FB21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14:paraId="7AD7B59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14:paraId="6FBA6D6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14:paraId="0773767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7）发包人有正当理由认为项目经理不称职/不履职/不满意，且承包人在约定时间内不予更换的；</w:t>
      </w:r>
    </w:p>
    <w:p w14:paraId="735E837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不按发包人要求从事本工程项目 </w:t>
      </w:r>
      <w:r>
        <w:rPr>
          <w:rFonts w:hint="eastAsia" w:ascii="宋体" w:hAnsi="宋体" w:cs="Microsoft Sans Serif"/>
          <w:color w:val="auto"/>
          <w:kern w:val="0"/>
          <w:szCs w:val="21"/>
          <w:highlight w:val="none"/>
        </w:rPr>
        <w:t>。</w:t>
      </w:r>
    </w:p>
    <w:p w14:paraId="5450134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14:paraId="29FD0E8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14:paraId="0C81F33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14:paraId="747956F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14:paraId="530FFFC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14:paraId="3EDD69E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14:paraId="2ED345C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不按发包人要求从事本工程项目 </w:t>
      </w:r>
      <w:r>
        <w:rPr>
          <w:rFonts w:hint="eastAsia" w:ascii="宋体" w:hAnsi="宋体" w:cs="Microsoft Sans Serif"/>
          <w:color w:val="auto"/>
          <w:kern w:val="0"/>
          <w:szCs w:val="21"/>
          <w:highlight w:val="none"/>
        </w:rPr>
        <w:t>。</w:t>
      </w:r>
    </w:p>
    <w:p w14:paraId="2CC9CB8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14:paraId="162BEA9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1）承包人未提交主要管理人员劳动合同和社会保险证明的；</w:t>
      </w:r>
    </w:p>
    <w:p w14:paraId="6FC5043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14:paraId="284B806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14:paraId="5DD2861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14:paraId="016BC8C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不按发包人要求从事本工程项目 </w:t>
      </w:r>
      <w:r>
        <w:rPr>
          <w:rFonts w:hint="eastAsia" w:ascii="宋体" w:hAnsi="宋体" w:cs="Microsoft Sans Serif"/>
          <w:color w:val="auto"/>
          <w:kern w:val="0"/>
          <w:szCs w:val="21"/>
          <w:highlight w:val="none"/>
        </w:rPr>
        <w:t>。</w:t>
      </w:r>
    </w:p>
    <w:p w14:paraId="219A33D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s="Microsoft Sans Serif"/>
          <w:color w:val="auto"/>
          <w:kern w:val="0"/>
          <w:szCs w:val="21"/>
          <w:highlight w:val="none"/>
          <w:u w:val="single"/>
        </w:rPr>
        <w:t xml:space="preserve"> 不按发包人要求、制度履行本工程项目。</w:t>
      </w:r>
    </w:p>
    <w:bookmarkEnd w:id="1924"/>
    <w:p w14:paraId="1942A3AF">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14:paraId="79236703">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14:paraId="018083E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5000</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不超过签约合同价的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3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lang w:val="zh-CN"/>
        </w:rPr>
        <w:t>。逾期7</w:t>
      </w:r>
      <w:r>
        <w:rPr>
          <w:rFonts w:hint="eastAsia" w:ascii="宋体" w:hAnsi="宋体" w:cs="Microsoft Sans Serif"/>
          <w:color w:val="auto"/>
          <w:kern w:val="0"/>
          <w:szCs w:val="21"/>
          <w:highlight w:val="none"/>
        </w:rPr>
        <w:t>天</w:t>
      </w:r>
      <w:r>
        <w:rPr>
          <w:rFonts w:hint="eastAsia" w:ascii="宋体" w:hAnsi="宋体" w:cs="Microsoft Sans Serif"/>
          <w:color w:val="auto"/>
          <w:kern w:val="0"/>
          <w:szCs w:val="21"/>
          <w:highlight w:val="none"/>
          <w:lang w:val="zh-CN"/>
        </w:rPr>
        <w:t>未提供履约担保、质量保证金，</w:t>
      </w:r>
      <w:r>
        <w:rPr>
          <w:rFonts w:hint="eastAsia" w:ascii="宋体" w:hAnsi="宋体" w:cs="Microsoft Sans Serif"/>
          <w:color w:val="auto"/>
          <w:kern w:val="0"/>
          <w:szCs w:val="21"/>
          <w:highlight w:val="none"/>
        </w:rPr>
        <w:t>发包人</w:t>
      </w:r>
      <w:r>
        <w:rPr>
          <w:rFonts w:hint="eastAsia" w:ascii="宋体" w:hAnsi="宋体" w:cs="Microsoft Sans Serif"/>
          <w:color w:val="auto"/>
          <w:kern w:val="0"/>
          <w:szCs w:val="21"/>
          <w:highlight w:val="none"/>
          <w:lang w:val="zh-CN"/>
        </w:rPr>
        <w:t>有权拒绝签订合同或选择解除合同，责任由承包人承担。</w:t>
      </w:r>
    </w:p>
    <w:p w14:paraId="54F16C6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10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rPr>
        <w:t>支付违约金，违法转/分包商应在7天内撤离出场。</w:t>
      </w:r>
    </w:p>
    <w:p w14:paraId="1C457AE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10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rPr>
        <w:t>支付违约金。</w:t>
      </w:r>
    </w:p>
    <w:p w14:paraId="0597FFF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10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rPr>
        <w:t>支付违约金。</w:t>
      </w:r>
    </w:p>
    <w:p w14:paraId="2705783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5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rPr>
        <w:t>支付违约金。</w:t>
      </w:r>
    </w:p>
    <w:p w14:paraId="24F0DD5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50000</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元/天</w:t>
      </w:r>
      <w:r>
        <w:rPr>
          <w:rFonts w:hint="eastAsia" w:ascii="宋体" w:hAnsi="宋体" w:cs="Microsoft Sans Serif"/>
          <w:color w:val="auto"/>
          <w:kern w:val="0"/>
          <w:szCs w:val="21"/>
          <w:highlight w:val="none"/>
        </w:rPr>
        <w:t>计算逾期竣工违约金，累计违约金上限：不超过签约合同价的3%</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14:paraId="4AB0140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2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rPr>
        <w:t>支付违约金。</w:t>
      </w:r>
    </w:p>
    <w:p w14:paraId="6E975C2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10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rPr>
        <w:t>支付违约金。</w:t>
      </w:r>
    </w:p>
    <w:p w14:paraId="10DC37E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5000</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元/次</w:t>
      </w:r>
      <w:r>
        <w:rPr>
          <w:rFonts w:hint="eastAsia" w:ascii="宋体" w:hAnsi="宋体" w:cs="Microsoft Sans Serif"/>
          <w:color w:val="auto"/>
          <w:kern w:val="0"/>
          <w:szCs w:val="21"/>
          <w:highlight w:val="none"/>
        </w:rPr>
        <w:t>支付违约金。</w:t>
      </w:r>
    </w:p>
    <w:p w14:paraId="18CC4AC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0.2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1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3C4E5FC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50000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元/台·次</w:t>
      </w:r>
      <w:r>
        <w:rPr>
          <w:rFonts w:hint="eastAsia" w:ascii="宋体" w:hAnsi="宋体" w:cs="Microsoft Sans Serif"/>
          <w:color w:val="auto"/>
          <w:kern w:val="0"/>
          <w:szCs w:val="21"/>
          <w:highlight w:val="none"/>
        </w:rPr>
        <w:t>支付违约金。</w:t>
      </w:r>
    </w:p>
    <w:p w14:paraId="36F39BE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4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‰/次</w:t>
      </w:r>
      <w:r>
        <w:rPr>
          <w:rFonts w:hint="eastAsia" w:ascii="宋体" w:hAnsi="宋体" w:cs="Microsoft Sans Serif"/>
          <w:color w:val="auto"/>
          <w:kern w:val="0"/>
          <w:szCs w:val="21"/>
          <w:highlight w:val="none"/>
        </w:rPr>
        <w:t>支付违约金（累计不超过签约合同价的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1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rPr>
        <w:t>%，详见附件</w:t>
      </w:r>
      <w:r>
        <w:rPr>
          <w:rFonts w:hint="eastAsia" w:ascii="宋体" w:hAnsi="宋体" w:cs="Microsoft Sans Serif"/>
          <w:color w:val="auto"/>
          <w:kern w:val="0"/>
          <w:szCs w:val="21"/>
          <w:highlight w:val="none"/>
          <w:lang w:val="en-US" w:eastAsia="zh-CN"/>
        </w:rPr>
        <w:t>相关</w:t>
      </w:r>
      <w:r>
        <w:rPr>
          <w:rFonts w:hint="eastAsia" w:ascii="宋体" w:hAnsi="宋体" w:cs="Microsoft Sans Serif"/>
          <w:color w:val="auto"/>
          <w:kern w:val="0"/>
          <w:szCs w:val="21"/>
          <w:highlight w:val="none"/>
        </w:rPr>
        <w:t>安全管理协议）。</w:t>
      </w:r>
    </w:p>
    <w:p w14:paraId="49A66C0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200000</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元/次</w:t>
      </w:r>
      <w:r>
        <w:rPr>
          <w:rFonts w:hint="eastAsia" w:ascii="宋体" w:hAnsi="宋体" w:cs="Microsoft Sans Serif"/>
          <w:color w:val="auto"/>
          <w:kern w:val="0"/>
          <w:szCs w:val="21"/>
          <w:highlight w:val="none"/>
        </w:rPr>
        <w:t>支付违约金</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同时，发包人有权选择将承包人欠付的工资支付并有权从应支付给承包人的工程款中扣除该部分工资</w:t>
      </w:r>
      <w:r>
        <w:rPr>
          <w:rFonts w:hint="eastAsia" w:ascii="宋体" w:hAnsi="宋体" w:cs="Microsoft Sans Serif"/>
          <w:color w:val="auto"/>
          <w:kern w:val="0"/>
          <w:szCs w:val="21"/>
          <w:highlight w:val="none"/>
        </w:rPr>
        <w:t>。</w:t>
      </w:r>
    </w:p>
    <w:p w14:paraId="04CC659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100000</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元/次</w:t>
      </w:r>
      <w:r>
        <w:rPr>
          <w:rFonts w:hint="eastAsia" w:ascii="宋体" w:hAnsi="宋体" w:cs="Microsoft Sans Serif"/>
          <w:color w:val="auto"/>
          <w:kern w:val="0"/>
          <w:szCs w:val="21"/>
          <w:highlight w:val="none"/>
        </w:rPr>
        <w:t>支付违约金。</w:t>
      </w:r>
    </w:p>
    <w:p w14:paraId="6801452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1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rPr>
        <w:t>支付违约金。</w:t>
      </w:r>
    </w:p>
    <w:p w14:paraId="77B5E2E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500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szCs w:val="21"/>
          <w:highlight w:val="none"/>
          <w:u w:val="single"/>
        </w:rPr>
        <w:t>元/天</w:t>
      </w:r>
      <w:r>
        <w:rPr>
          <w:rFonts w:hint="eastAsia" w:ascii="宋体" w:hAnsi="宋体" w:cs="Microsoft Sans Serif"/>
          <w:color w:val="auto"/>
          <w:szCs w:val="21"/>
          <w:highlight w:val="none"/>
        </w:rPr>
        <w:t>支付违约金。</w:t>
      </w:r>
    </w:p>
    <w:p w14:paraId="6DBB6AC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14:paraId="6C704333">
      <w:pPr>
        <w:snapToGrid w:val="0"/>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1000</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50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rPr>
        <w:t>支付违约金，并解除合同；项目经理被责令停止执业的，按签约合同价的</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1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%/人·次</w:t>
      </w:r>
      <w:r>
        <w:rPr>
          <w:rFonts w:hint="eastAsia" w:ascii="宋体" w:hAnsi="宋体" w:cs="Microsoft Sans Serif"/>
          <w:color w:val="auto"/>
          <w:kern w:val="0"/>
          <w:szCs w:val="21"/>
          <w:highlight w:val="none"/>
        </w:rPr>
        <w:t>支付违约金，累计不超过</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200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万</w:t>
      </w: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u w:val="single"/>
        </w:rPr>
        <w:t>同时，发包人有权解除本合同</w:t>
      </w:r>
      <w:r>
        <w:rPr>
          <w:rFonts w:hint="eastAsia" w:ascii="宋体" w:hAnsi="宋体" w:cs="Microsoft Sans Serif"/>
          <w:color w:val="auto"/>
          <w:kern w:val="0"/>
          <w:szCs w:val="21"/>
          <w:highlight w:val="none"/>
        </w:rPr>
        <w:t>。</w:t>
      </w:r>
    </w:p>
    <w:p w14:paraId="6E15C51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1000</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元/天·次</w:t>
      </w:r>
      <w:r>
        <w:rPr>
          <w:rFonts w:hint="eastAsia" w:ascii="宋体" w:hAnsi="宋体" w:cs="Microsoft Sans Serif"/>
          <w:color w:val="auto"/>
          <w:kern w:val="0"/>
          <w:szCs w:val="21"/>
          <w:highlight w:val="none"/>
        </w:rPr>
        <w:t>计算违约金；擅自更换主要技术负责人的，</w:t>
      </w:r>
      <w:r>
        <w:rPr>
          <w:rFonts w:hint="eastAsia" w:ascii="宋体" w:hAnsi="宋体" w:cs="Microsoft Sans Serif"/>
          <w:color w:val="auto"/>
          <w:kern w:val="0"/>
          <w:szCs w:val="21"/>
          <w:highlight w:val="none"/>
          <w:u w:val="single"/>
        </w:rPr>
        <w:t>发包人有权解除本合同。</w:t>
      </w:r>
    </w:p>
    <w:p w14:paraId="4A2E67A8">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 xml:space="preserve"> 500 </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元/天·次</w:t>
      </w:r>
      <w:r>
        <w:rPr>
          <w:rFonts w:hint="eastAsia" w:ascii="宋体" w:hAnsi="宋体" w:cs="Microsoft Sans Serif"/>
          <w:color w:val="auto"/>
          <w:kern w:val="0"/>
          <w:szCs w:val="21"/>
          <w:highlight w:val="none"/>
        </w:rPr>
        <w:t>计算违约金。</w:t>
      </w:r>
    </w:p>
    <w:p w14:paraId="0CBAE157">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（18）</w:t>
      </w:r>
      <w:r>
        <w:rPr>
          <w:rFonts w:hint="eastAsia" w:ascii="宋体" w:hAnsi="宋体" w:cs="Microsoft Sans Serif"/>
          <w:color w:val="auto"/>
          <w:kern w:val="0"/>
          <w:szCs w:val="21"/>
          <w:highlight w:val="none"/>
          <w:u w:val="single"/>
        </w:rPr>
        <w:t xml:space="preserve"> 不按发包人要求、制度履行本工程项目违约责任：根据具体情节，按</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lang w:val="en-US" w:eastAsia="zh-CN"/>
        </w:rPr>
        <w:t>10000</w:t>
      </w:r>
      <w:r>
        <w:rPr>
          <w:rFonts w:hint="eastAsia" w:ascii="宋体" w:hAnsi="宋体" w:cs="Microsoft Sans Serif"/>
          <w:color w:val="auto"/>
          <w:kern w:val="0"/>
          <w:szCs w:val="21"/>
          <w:highlight w:val="none"/>
          <w:u w:val="single"/>
          <w:lang w:eastAsia="zh-CN"/>
        </w:rPr>
        <w:t>】</w:t>
      </w:r>
      <w:r>
        <w:rPr>
          <w:rFonts w:hint="eastAsia" w:ascii="宋体" w:hAnsi="宋体" w:cs="Microsoft Sans Serif"/>
          <w:color w:val="auto"/>
          <w:kern w:val="0"/>
          <w:szCs w:val="21"/>
          <w:highlight w:val="none"/>
          <w:u w:val="single"/>
        </w:rPr>
        <w:t>元/次支付违约金。</w:t>
      </w:r>
    </w:p>
    <w:p w14:paraId="134006B0">
      <w:pPr>
        <w:snapToGrid w:val="0"/>
        <w:spacing w:line="360" w:lineRule="auto"/>
        <w:ind w:firstLine="420" w:firstLineChars="200"/>
        <w:jc w:val="left"/>
        <w:rPr>
          <w:rFonts w:ascii="宋体" w:hAnsi="宋体" w:cs="Microsoft Sans Serif"/>
          <w:color w:val="auto"/>
          <w:kern w:val="0"/>
          <w:szCs w:val="21"/>
          <w:highlight w:val="none"/>
        </w:rPr>
      </w:pPr>
      <w:bookmarkStart w:id="1925" w:name="_Hlk524380347"/>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14:paraId="37EEC82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14:paraId="6F68626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925"/>
    <w:p w14:paraId="6121CDA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14:paraId="2D6BDFA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lang w:val="en-US" w:eastAsia="zh-CN"/>
        </w:rPr>
        <w:t>出现下列承包人违约情形或其他条款约定的违约责任的，发包人有权解除本合同</w:t>
      </w:r>
      <w:r>
        <w:rPr>
          <w:rFonts w:hint="eastAsia" w:ascii="宋体" w:hAnsi="宋体" w:cs="Microsoft Sans Serif"/>
          <w:color w:val="auto"/>
          <w:kern w:val="0"/>
          <w:szCs w:val="21"/>
          <w:highlight w:val="none"/>
        </w:rPr>
        <w:t>：</w:t>
      </w:r>
    </w:p>
    <w:p w14:paraId="502DFF29">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（1）未按合同约定延迟提供履约担保、质量保证金超过</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14</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天的；</w:t>
      </w:r>
    </w:p>
    <w:p w14:paraId="31632FA2">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（2）未按合同约定购买保险且经催告后超过</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56 </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天的；</w:t>
      </w:r>
    </w:p>
    <w:p w14:paraId="045B971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（3）因承包人原因导致开工时间累计延误超过</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56 </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天的；</w:t>
      </w:r>
    </w:p>
    <w:p w14:paraId="0BAC54E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（4）因承包人原因导致工期延误超过</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56 </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天的；</w:t>
      </w:r>
    </w:p>
    <w:p w14:paraId="441CF048">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（5）发生第21.2款〔退出机制〕约定的情形的；</w:t>
      </w:r>
    </w:p>
    <w:p w14:paraId="7DD478B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（6）监理人发出整改通知后，承包人在监理人限定的期限内仍不纠正违约行为的；</w:t>
      </w:r>
    </w:p>
    <w:p w14:paraId="2C32B32C">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（7）承包人进入清算或者严重资不抵债且无法履行合同的；</w:t>
      </w:r>
    </w:p>
    <w:p w14:paraId="7B9CE2BD">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14:paraId="4E9CFBD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56</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天内仍未能补救该实质性违约的；</w:t>
      </w:r>
    </w:p>
    <w:p w14:paraId="3FC8EFD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（10）合</w:t>
      </w:r>
      <w:r>
        <w:rPr>
          <w:rFonts w:hint="eastAsia" w:ascii="宋体" w:hAnsi="宋体" w:cs="Microsoft Sans Serif"/>
          <w:color w:val="auto"/>
          <w:kern w:val="0"/>
          <w:szCs w:val="21"/>
          <w:highlight w:val="none"/>
          <w:u w:val="single"/>
        </w:rPr>
        <w:t>同约定的发包人有权解除合同的其他情形</w:t>
      </w:r>
      <w:r>
        <w:rPr>
          <w:rFonts w:hint="eastAsia" w:ascii="宋体" w:hAnsi="宋体" w:cs="Microsoft Sans Serif"/>
          <w:color w:val="auto"/>
          <w:kern w:val="0"/>
          <w:szCs w:val="21"/>
          <w:highlight w:val="none"/>
        </w:rPr>
        <w:t>。</w:t>
      </w:r>
    </w:p>
    <w:p w14:paraId="652D0CA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14:paraId="7E88D3A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56  </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天内完成估价、付款和清算，并按以下约定执行：</w:t>
      </w:r>
    </w:p>
    <w:p w14:paraId="0C330499">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w:t>
      </w:r>
      <w:r>
        <w:rPr>
          <w:rFonts w:hint="eastAsia" w:ascii="宋体" w:hAnsi="宋体" w:cs="Microsoft Sans Serif"/>
          <w:color w:val="auto"/>
          <w:kern w:val="0"/>
          <w:szCs w:val="21"/>
          <w:highlight w:val="none"/>
          <w:lang w:val="en-US" w:eastAsia="zh-CN"/>
        </w:rPr>
        <w:t>承包人</w:t>
      </w:r>
      <w:r>
        <w:rPr>
          <w:rFonts w:hint="eastAsia" w:ascii="宋体" w:hAnsi="宋体" w:cs="Microsoft Sans Serif"/>
          <w:color w:val="auto"/>
          <w:kern w:val="0"/>
          <w:szCs w:val="21"/>
          <w:highlight w:val="none"/>
        </w:rPr>
        <w:t>应妥善做好在建或已建工程、现场剩余材料和设备以及在建或已建工程和设备的技术及计经资料的保护和移交工作，按</w:t>
      </w:r>
      <w:r>
        <w:rPr>
          <w:rFonts w:hint="eastAsia" w:ascii="宋体" w:hAnsi="宋体" w:cs="Microsoft Sans Serif"/>
          <w:color w:val="auto"/>
          <w:kern w:val="0"/>
          <w:szCs w:val="21"/>
          <w:highlight w:val="none"/>
          <w:lang w:val="en-US" w:eastAsia="zh-CN"/>
        </w:rPr>
        <w:t>发包人</w:t>
      </w:r>
      <w:r>
        <w:rPr>
          <w:rFonts w:hint="eastAsia" w:ascii="宋体" w:hAnsi="宋体" w:cs="Microsoft Sans Serif"/>
          <w:color w:val="auto"/>
          <w:kern w:val="0"/>
          <w:szCs w:val="21"/>
          <w:highlight w:val="none"/>
        </w:rPr>
        <w:t>要求撤出施工场地。在交接手续办理完毕及撤离现场之前，</w:t>
      </w:r>
      <w:r>
        <w:rPr>
          <w:rFonts w:hint="eastAsia" w:ascii="宋体" w:hAnsi="宋体" w:cs="Microsoft Sans Serif"/>
          <w:color w:val="auto"/>
          <w:kern w:val="0"/>
          <w:szCs w:val="21"/>
          <w:highlight w:val="none"/>
          <w:lang w:val="en-US" w:eastAsia="zh-CN"/>
        </w:rPr>
        <w:t>承包人</w:t>
      </w:r>
      <w:r>
        <w:rPr>
          <w:rFonts w:hint="eastAsia" w:ascii="宋体" w:hAnsi="宋体" w:cs="Microsoft Sans Serif"/>
          <w:color w:val="auto"/>
          <w:kern w:val="0"/>
          <w:szCs w:val="21"/>
          <w:highlight w:val="none"/>
        </w:rPr>
        <w:t>仍应负责工程照管。</w:t>
      </w:r>
      <w:r>
        <w:rPr>
          <w:rFonts w:hint="eastAsia" w:ascii="宋体" w:hAnsi="宋体" w:cs="Microsoft Sans Serif"/>
          <w:color w:val="auto"/>
          <w:kern w:val="0"/>
          <w:szCs w:val="21"/>
          <w:highlight w:val="none"/>
          <w:lang w:val="en-US" w:eastAsia="zh-CN"/>
        </w:rPr>
        <w:t>承包人</w:t>
      </w:r>
      <w:r>
        <w:rPr>
          <w:rFonts w:hint="eastAsia" w:ascii="宋体" w:hAnsi="宋体" w:cs="Microsoft Sans Serif"/>
          <w:color w:val="auto"/>
          <w:kern w:val="0"/>
          <w:szCs w:val="21"/>
          <w:highlight w:val="none"/>
        </w:rPr>
        <w:t>移交工作完毕且</w:t>
      </w:r>
      <w:r>
        <w:rPr>
          <w:rFonts w:hint="eastAsia" w:ascii="宋体" w:hAnsi="宋体" w:cs="Microsoft Sans Serif"/>
          <w:color w:val="auto"/>
          <w:kern w:val="0"/>
          <w:szCs w:val="21"/>
          <w:highlight w:val="none"/>
          <w:lang w:val="en-US" w:eastAsia="zh-CN"/>
        </w:rPr>
        <w:t>承包人</w:t>
      </w:r>
      <w:r>
        <w:rPr>
          <w:rFonts w:hint="eastAsia" w:ascii="宋体" w:hAnsi="宋体" w:cs="Microsoft Sans Serif"/>
          <w:color w:val="auto"/>
          <w:kern w:val="0"/>
          <w:szCs w:val="21"/>
          <w:highlight w:val="none"/>
        </w:rPr>
        <w:t>人员全部撤离现场后，且根据合同</w:t>
      </w:r>
      <w:r>
        <w:rPr>
          <w:rFonts w:hint="eastAsia" w:ascii="宋体" w:hAnsi="宋体" w:cs="Microsoft Sans Serif"/>
          <w:color w:val="auto"/>
          <w:kern w:val="0"/>
          <w:szCs w:val="21"/>
          <w:highlight w:val="none"/>
          <w:lang w:val="en-US" w:eastAsia="zh-CN"/>
        </w:rPr>
        <w:t>承包人</w:t>
      </w:r>
      <w:r>
        <w:rPr>
          <w:rFonts w:hint="eastAsia" w:ascii="宋体" w:hAnsi="宋体" w:cs="Microsoft Sans Serif"/>
          <w:color w:val="auto"/>
          <w:kern w:val="0"/>
          <w:szCs w:val="21"/>
          <w:highlight w:val="none"/>
        </w:rPr>
        <w:t>已支付了</w:t>
      </w:r>
      <w:r>
        <w:rPr>
          <w:rFonts w:hint="eastAsia" w:ascii="宋体" w:hAnsi="宋体" w:cs="Microsoft Sans Serif"/>
          <w:color w:val="auto"/>
          <w:kern w:val="0"/>
          <w:szCs w:val="21"/>
          <w:highlight w:val="none"/>
          <w:lang w:val="en-US" w:eastAsia="zh-CN"/>
        </w:rPr>
        <w:t>发包人</w:t>
      </w:r>
      <w:r>
        <w:rPr>
          <w:rFonts w:hint="eastAsia" w:ascii="宋体" w:hAnsi="宋体" w:cs="Microsoft Sans Serif"/>
          <w:color w:val="auto"/>
          <w:kern w:val="0"/>
          <w:szCs w:val="21"/>
          <w:highlight w:val="none"/>
        </w:rPr>
        <w:t>蒙受的任何损失和违约金等全部费用后，</w:t>
      </w:r>
      <w:r>
        <w:rPr>
          <w:rFonts w:hint="eastAsia" w:ascii="宋体" w:hAnsi="宋体" w:cs="Microsoft Sans Serif"/>
          <w:color w:val="auto"/>
          <w:kern w:val="0"/>
          <w:szCs w:val="21"/>
          <w:highlight w:val="none"/>
          <w:lang w:val="en-US" w:eastAsia="zh-CN"/>
        </w:rPr>
        <w:t>发包人</w:t>
      </w:r>
      <w:r>
        <w:rPr>
          <w:rFonts w:hint="eastAsia" w:ascii="宋体" w:hAnsi="宋体" w:cs="Microsoft Sans Serif"/>
          <w:color w:val="auto"/>
          <w:kern w:val="0"/>
          <w:szCs w:val="21"/>
          <w:highlight w:val="none"/>
        </w:rPr>
        <w:t>可依据合同计价的约定，仅对</w:t>
      </w:r>
      <w:r>
        <w:rPr>
          <w:rFonts w:hint="eastAsia" w:ascii="宋体" w:hAnsi="宋体" w:cs="Microsoft Sans Serif"/>
          <w:color w:val="auto"/>
          <w:kern w:val="0"/>
          <w:szCs w:val="21"/>
          <w:highlight w:val="none"/>
          <w:lang w:val="en-US" w:eastAsia="zh-CN"/>
        </w:rPr>
        <w:t>承包人</w:t>
      </w:r>
      <w:r>
        <w:rPr>
          <w:rFonts w:hint="eastAsia" w:ascii="宋体" w:hAnsi="宋体" w:cs="Microsoft Sans Serif"/>
          <w:color w:val="auto"/>
          <w:kern w:val="0"/>
          <w:szCs w:val="21"/>
          <w:highlight w:val="none"/>
        </w:rPr>
        <w:t>已完合格的工程办理结算，</w:t>
      </w:r>
      <w:r>
        <w:rPr>
          <w:rFonts w:hint="eastAsia" w:ascii="宋体" w:hAnsi="宋体" w:cs="Microsoft Sans Serif"/>
          <w:color w:val="auto"/>
          <w:kern w:val="0"/>
          <w:szCs w:val="21"/>
          <w:highlight w:val="none"/>
          <w:lang w:val="en-US" w:eastAsia="zh-CN"/>
        </w:rPr>
        <w:t>按照承包人已完工合格部分参照本合同约定确定结算金额的70%支付工程款</w:t>
      </w:r>
      <w:r>
        <w:rPr>
          <w:rFonts w:hint="eastAsia" w:ascii="宋体" w:hAnsi="宋体" w:cs="Microsoft Sans Serif"/>
          <w:color w:val="auto"/>
          <w:kern w:val="0"/>
          <w:szCs w:val="21"/>
          <w:highlight w:val="none"/>
        </w:rPr>
        <w:t>；</w:t>
      </w:r>
    </w:p>
    <w:p w14:paraId="3E72381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14:paraId="13D4E958">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14:paraId="3AEC3E6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（4）合同解除后，承包人应按照发包人要求和监理人的指示完成现场的清理和撤离。逾期清理和撤离时，每逾期一天按</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2000</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元向发包人承担</w:t>
      </w:r>
      <w:r>
        <w:rPr>
          <w:rFonts w:hint="eastAsia" w:ascii="宋体" w:hAnsi="宋体" w:cs="Microsoft Sans Serif"/>
          <w:color w:val="auto"/>
          <w:kern w:val="0"/>
          <w:szCs w:val="21"/>
          <w:highlight w:val="none"/>
          <w:lang w:val="en-US" w:eastAsia="zh-CN"/>
        </w:rPr>
        <w:t>损失</w:t>
      </w:r>
      <w:r>
        <w:rPr>
          <w:rFonts w:hint="eastAsia" w:ascii="宋体" w:hAnsi="宋体" w:cs="Microsoft Sans Serif"/>
          <w:color w:val="auto"/>
          <w:kern w:val="0"/>
          <w:szCs w:val="21"/>
          <w:highlight w:val="none"/>
        </w:rPr>
        <w:t>。发包人有权强制清退，若现场留有承包人的物品，视为遗弃物，发包人有权任意处置，产生的一切费用由承包人承担。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w:t>
      </w:r>
      <w:r>
        <w:rPr>
          <w:rFonts w:hint="eastAsia" w:ascii="宋体" w:hAnsi="宋体" w:cs="Microsoft Sans Serif"/>
          <w:color w:val="auto"/>
          <w:kern w:val="0"/>
          <w:szCs w:val="21"/>
          <w:highlight w:val="none"/>
          <w:lang w:val="en-US" w:eastAsia="zh-CN"/>
        </w:rPr>
        <w:t>在承包人未逾期退场的情形下，</w:t>
      </w:r>
      <w:r>
        <w:rPr>
          <w:rFonts w:hint="eastAsia" w:ascii="宋体" w:hAnsi="宋体" w:cs="Microsoft Sans Serif"/>
          <w:color w:val="auto"/>
          <w:kern w:val="0"/>
          <w:szCs w:val="21"/>
          <w:highlight w:val="none"/>
        </w:rPr>
        <w:t>发包人继续使用承包人在施工现场的材料、设备、临时工程、承包人文件和由承包人或以其名义编制的其他文件的费用承担方式由双方协商确定</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若承包人已经逾期退场，则发包人有权无偿使用前述文件</w:t>
      </w:r>
      <w:r>
        <w:rPr>
          <w:rFonts w:hint="eastAsia" w:ascii="宋体" w:hAnsi="宋体" w:cs="Microsoft Sans Serif"/>
          <w:color w:val="auto"/>
          <w:kern w:val="0"/>
          <w:szCs w:val="21"/>
          <w:highlight w:val="none"/>
        </w:rPr>
        <w:t>；发包人继续使用的行为不免除或减轻承包人应承担的违约责任，也不影响发包人根据合同享有的索赔等权利</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发包人有权强制承包人退场，一切责任由承担人承担，承包人退场现状以发包人录制视听资料为准。</w:t>
      </w:r>
    </w:p>
    <w:p w14:paraId="7A9157F8">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     </w:t>
      </w:r>
      <w:r>
        <w:rPr>
          <w:rFonts w:hint="eastAsia" w:ascii="宋体" w:hAnsi="宋体" w:cs="Microsoft Sans Serif"/>
          <w:color w:val="auto"/>
          <w:kern w:val="0"/>
          <w:szCs w:val="21"/>
          <w:highlight w:val="none"/>
        </w:rPr>
        <w:t>。</w:t>
      </w:r>
    </w:p>
    <w:p w14:paraId="36BB10E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3BCDF022">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913"/>
    <w:bookmarkEnd w:id="1914"/>
    <w:p w14:paraId="7A1B8607">
      <w:pPr>
        <w:keepNext/>
        <w:keepLines/>
        <w:widowControl/>
        <w:spacing w:before="156" w:beforeLines="50" w:after="156" w:afterLines="50" w:line="360" w:lineRule="auto"/>
        <w:outlineLvl w:val="3"/>
        <w:rPr>
          <w:rFonts w:ascii="宋体" w:hAnsi="宋体" w:cs="宋体"/>
          <w:b/>
          <w:color w:val="auto"/>
          <w:szCs w:val="21"/>
          <w:highlight w:val="none"/>
        </w:rPr>
      </w:pPr>
      <w:bookmarkStart w:id="1926" w:name="_Toc532377404"/>
      <w:bookmarkStart w:id="1927" w:name="_Toc532375665"/>
      <w:bookmarkStart w:id="1928" w:name="_Toc351203649"/>
      <w:bookmarkStart w:id="1929" w:name="_Hlk528928440"/>
      <w:r>
        <w:rPr>
          <w:rFonts w:hint="eastAsia" w:ascii="宋体" w:hAnsi="宋体" w:cs="宋体"/>
          <w:b/>
          <w:bCs/>
          <w:color w:val="auto"/>
          <w:szCs w:val="21"/>
          <w:highlight w:val="none"/>
        </w:rPr>
        <w:t>17. 不可抗力</w:t>
      </w:r>
      <w:bookmarkEnd w:id="1926"/>
      <w:bookmarkEnd w:id="1927"/>
      <w:bookmarkEnd w:id="1928"/>
    </w:p>
    <w:p w14:paraId="62EFBDB9">
      <w:pPr>
        <w:widowControl/>
        <w:spacing w:line="360" w:lineRule="auto"/>
        <w:ind w:firstLine="422" w:firstLineChars="200"/>
        <w:jc w:val="left"/>
        <w:outlineLvl w:val="4"/>
        <w:rPr>
          <w:rFonts w:ascii="宋体" w:hAnsi="宋体" w:cs="宋体"/>
          <w:b/>
          <w:bCs/>
          <w:color w:val="auto"/>
          <w:kern w:val="0"/>
          <w:szCs w:val="21"/>
          <w:highlight w:val="none"/>
        </w:rPr>
      </w:pPr>
      <w:bookmarkStart w:id="1930" w:name="_Toc532375666"/>
      <w:bookmarkStart w:id="1931" w:name="_Toc532377405"/>
      <w:r>
        <w:rPr>
          <w:rFonts w:hint="eastAsia" w:ascii="宋体" w:hAnsi="宋体" w:cs="宋体"/>
          <w:b/>
          <w:bCs/>
          <w:color w:val="auto"/>
          <w:kern w:val="0"/>
          <w:szCs w:val="21"/>
          <w:highlight w:val="none"/>
        </w:rPr>
        <w:t>17.1 不可抗力的确认</w:t>
      </w:r>
      <w:bookmarkEnd w:id="1930"/>
      <w:bookmarkEnd w:id="1931"/>
    </w:p>
    <w:p w14:paraId="270BA0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932" w:name="_Hlk524379638"/>
    </w:p>
    <w:p w14:paraId="0BD489E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14:paraId="050485A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14:paraId="2107378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14:paraId="5B3CC38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14:paraId="14A17C0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932"/>
    </w:p>
    <w:p w14:paraId="62B1976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国家或重庆市发文认定的事件</w:t>
      </w:r>
      <w:r>
        <w:rPr>
          <w:rFonts w:hint="eastAsia" w:ascii="宋体" w:hAnsi="宋体"/>
          <w:color w:val="auto"/>
          <w:szCs w:val="21"/>
          <w:highlight w:val="none"/>
        </w:rPr>
        <w:t>。</w:t>
      </w:r>
    </w:p>
    <w:p w14:paraId="66E074E9">
      <w:pPr>
        <w:widowControl/>
        <w:spacing w:line="360" w:lineRule="auto"/>
        <w:ind w:firstLine="422" w:firstLineChars="200"/>
        <w:jc w:val="left"/>
        <w:outlineLvl w:val="4"/>
        <w:rPr>
          <w:rFonts w:ascii="宋体" w:hAnsi="宋体" w:cs="宋体"/>
          <w:b/>
          <w:bCs/>
          <w:color w:val="auto"/>
          <w:kern w:val="0"/>
          <w:szCs w:val="21"/>
          <w:highlight w:val="none"/>
        </w:rPr>
      </w:pPr>
      <w:bookmarkStart w:id="1933" w:name="_Toc532377406"/>
      <w:bookmarkStart w:id="1934" w:name="_Toc351203610"/>
      <w:bookmarkStart w:id="1935" w:name="_Toc532375667"/>
      <w:bookmarkStart w:id="1936" w:name="_Toc296503119"/>
      <w:bookmarkStart w:id="1937" w:name="_Toc337558826"/>
      <w:bookmarkStart w:id="1938" w:name="_Toc296346620"/>
      <w:r>
        <w:rPr>
          <w:rFonts w:hint="eastAsia" w:ascii="宋体" w:hAnsi="宋体" w:cs="宋体"/>
          <w:b/>
          <w:bCs/>
          <w:color w:val="auto"/>
          <w:kern w:val="0"/>
          <w:szCs w:val="21"/>
          <w:highlight w:val="none"/>
        </w:rPr>
        <w:t>17.3 不可抗力后果的承担</w:t>
      </w:r>
      <w:bookmarkEnd w:id="1933"/>
      <w:bookmarkEnd w:id="1934"/>
      <w:bookmarkEnd w:id="1935"/>
    </w:p>
    <w:bookmarkEnd w:id="1936"/>
    <w:bookmarkEnd w:id="1937"/>
    <w:bookmarkEnd w:id="1938"/>
    <w:p w14:paraId="7C8AC4C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14:paraId="3DAE6A4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14:paraId="7BA5CCD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14:paraId="08959BE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14:paraId="73B90CC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14:paraId="265B7A1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14:paraId="28ED804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14:paraId="51E7BD2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14:paraId="3302FEA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14:paraId="40FF6B9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836AA2C">
      <w:pPr>
        <w:widowControl/>
        <w:spacing w:line="360" w:lineRule="auto"/>
        <w:ind w:firstLine="422" w:firstLineChars="200"/>
        <w:jc w:val="left"/>
        <w:outlineLvl w:val="4"/>
        <w:rPr>
          <w:rFonts w:ascii="宋体" w:hAnsi="宋体" w:cs="宋体"/>
          <w:b/>
          <w:bCs/>
          <w:color w:val="auto"/>
          <w:kern w:val="0"/>
          <w:szCs w:val="21"/>
          <w:highlight w:val="none"/>
        </w:rPr>
      </w:pPr>
      <w:bookmarkStart w:id="1939" w:name="_Toc532377407"/>
      <w:bookmarkStart w:id="1940" w:name="_Toc532375668"/>
      <w:r>
        <w:rPr>
          <w:rFonts w:hint="eastAsia" w:ascii="宋体" w:hAnsi="宋体" w:cs="宋体"/>
          <w:b/>
          <w:bCs/>
          <w:color w:val="auto"/>
          <w:kern w:val="0"/>
          <w:szCs w:val="21"/>
          <w:highlight w:val="none"/>
        </w:rPr>
        <w:t>17.4 因不可抗力解除合同</w:t>
      </w:r>
      <w:bookmarkEnd w:id="1939"/>
      <w:bookmarkEnd w:id="1940"/>
    </w:p>
    <w:p w14:paraId="7936E2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14:paraId="2B753388">
      <w:pPr>
        <w:keepNext/>
        <w:keepLines/>
        <w:widowControl/>
        <w:spacing w:before="156" w:beforeLines="50" w:after="156" w:afterLines="50" w:line="360" w:lineRule="auto"/>
        <w:outlineLvl w:val="3"/>
        <w:rPr>
          <w:rFonts w:ascii="宋体" w:hAnsi="宋体" w:cs="宋体"/>
          <w:b/>
          <w:color w:val="auto"/>
          <w:szCs w:val="21"/>
          <w:highlight w:val="none"/>
        </w:rPr>
      </w:pPr>
      <w:bookmarkStart w:id="1941" w:name="_Toc532375669"/>
      <w:bookmarkStart w:id="1942" w:name="_Toc532377408"/>
      <w:bookmarkStart w:id="1943" w:name="_Toc351203650"/>
      <w:r>
        <w:rPr>
          <w:rFonts w:hint="eastAsia" w:ascii="宋体" w:hAnsi="宋体" w:cs="宋体"/>
          <w:b/>
          <w:bCs/>
          <w:color w:val="auto"/>
          <w:szCs w:val="21"/>
          <w:highlight w:val="none"/>
        </w:rPr>
        <w:t>18. 保险</w:t>
      </w:r>
      <w:bookmarkEnd w:id="1941"/>
      <w:bookmarkEnd w:id="1942"/>
      <w:bookmarkEnd w:id="1943"/>
    </w:p>
    <w:p w14:paraId="145647EE">
      <w:pPr>
        <w:widowControl/>
        <w:spacing w:line="360" w:lineRule="auto"/>
        <w:ind w:firstLine="422" w:firstLineChars="200"/>
        <w:jc w:val="left"/>
        <w:outlineLvl w:val="4"/>
        <w:rPr>
          <w:rFonts w:ascii="宋体" w:hAnsi="宋体" w:cs="宋体"/>
          <w:b/>
          <w:bCs/>
          <w:color w:val="auto"/>
          <w:kern w:val="0"/>
          <w:szCs w:val="21"/>
          <w:highlight w:val="none"/>
        </w:rPr>
      </w:pPr>
      <w:bookmarkStart w:id="1944" w:name="_Toc532375670"/>
      <w:bookmarkStart w:id="1945" w:name="_Toc532377409"/>
      <w:r>
        <w:rPr>
          <w:rFonts w:hint="eastAsia" w:ascii="宋体" w:hAnsi="宋体" w:cs="宋体"/>
          <w:b/>
          <w:bCs/>
          <w:color w:val="auto"/>
          <w:kern w:val="0"/>
          <w:szCs w:val="21"/>
          <w:highlight w:val="none"/>
        </w:rPr>
        <w:t>18.1 工程保险</w:t>
      </w:r>
      <w:bookmarkEnd w:id="1944"/>
      <w:bookmarkEnd w:id="1945"/>
    </w:p>
    <w:p w14:paraId="029C166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关于工程保险的特别约定：承包人应投保</w:t>
      </w:r>
      <w:r>
        <w:rPr>
          <w:rFonts w:hint="eastAsia" w:ascii="宋体" w:hAnsi="宋体"/>
          <w:color w:val="auto"/>
          <w:szCs w:val="21"/>
          <w:highlight w:val="none"/>
          <w:u w:val="single"/>
        </w:rPr>
        <w:t>建筑工程一切险或安装工程一切险</w:t>
      </w:r>
      <w:r>
        <w:rPr>
          <w:rFonts w:hint="eastAsia" w:ascii="宋体" w:hAnsi="宋体"/>
          <w:color w:val="auto"/>
          <w:szCs w:val="21"/>
          <w:highlight w:val="none"/>
        </w:rPr>
        <w:t>，投保产生的保险费和其他相关费用由承包人承担，包含在投标报价中。</w:t>
      </w:r>
    </w:p>
    <w:p w14:paraId="4AD4C423">
      <w:pPr>
        <w:widowControl/>
        <w:spacing w:line="360" w:lineRule="auto"/>
        <w:ind w:firstLine="422" w:firstLineChars="200"/>
        <w:jc w:val="left"/>
        <w:outlineLvl w:val="4"/>
        <w:rPr>
          <w:rFonts w:ascii="宋体" w:hAnsi="宋体" w:cs="宋体"/>
          <w:b/>
          <w:bCs/>
          <w:color w:val="auto"/>
          <w:kern w:val="0"/>
          <w:szCs w:val="21"/>
          <w:highlight w:val="none"/>
        </w:rPr>
      </w:pPr>
      <w:bookmarkStart w:id="1946" w:name="_Toc532377410"/>
      <w:bookmarkStart w:id="1947" w:name="_Toc532375671"/>
      <w:r>
        <w:rPr>
          <w:rFonts w:hint="eastAsia" w:ascii="宋体" w:hAnsi="宋体" w:cs="宋体"/>
          <w:b/>
          <w:bCs/>
          <w:color w:val="auto"/>
          <w:kern w:val="0"/>
          <w:szCs w:val="21"/>
          <w:highlight w:val="none"/>
        </w:rPr>
        <w:t>18.3 其他保险</w:t>
      </w:r>
      <w:bookmarkEnd w:id="1946"/>
      <w:bookmarkEnd w:id="1947"/>
    </w:p>
    <w:p w14:paraId="7465656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B04C72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是    </w:t>
      </w:r>
      <w:r>
        <w:rPr>
          <w:rFonts w:hint="eastAsia" w:ascii="宋体" w:hAnsi="宋体"/>
          <w:color w:val="auto"/>
          <w:szCs w:val="21"/>
          <w:highlight w:val="none"/>
        </w:rPr>
        <w:t>。</w:t>
      </w:r>
    </w:p>
    <w:p w14:paraId="2F94CE7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14:paraId="5AD3B3DC">
      <w:pPr>
        <w:widowControl/>
        <w:spacing w:line="360" w:lineRule="auto"/>
        <w:ind w:firstLine="422" w:firstLineChars="200"/>
        <w:jc w:val="left"/>
        <w:outlineLvl w:val="4"/>
        <w:rPr>
          <w:rFonts w:ascii="宋体" w:hAnsi="宋体" w:cs="宋体"/>
          <w:b/>
          <w:bCs/>
          <w:color w:val="auto"/>
          <w:kern w:val="0"/>
          <w:szCs w:val="21"/>
          <w:highlight w:val="none"/>
        </w:rPr>
      </w:pPr>
      <w:bookmarkStart w:id="1948" w:name="_Toc532375672"/>
      <w:bookmarkStart w:id="1949" w:name="_Toc532377411"/>
      <w:r>
        <w:rPr>
          <w:rFonts w:hint="eastAsia" w:ascii="宋体" w:hAnsi="宋体" w:cs="宋体"/>
          <w:b/>
          <w:bCs/>
          <w:color w:val="auto"/>
          <w:kern w:val="0"/>
          <w:szCs w:val="21"/>
          <w:highlight w:val="none"/>
        </w:rPr>
        <w:t>18.7 通知义务</w:t>
      </w:r>
      <w:bookmarkEnd w:id="1948"/>
      <w:bookmarkEnd w:id="1949"/>
    </w:p>
    <w:p w14:paraId="6C50078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0A7D70CC">
      <w:pPr>
        <w:widowControl/>
        <w:spacing w:line="360" w:lineRule="auto"/>
        <w:ind w:firstLine="422" w:firstLineChars="200"/>
        <w:jc w:val="left"/>
        <w:outlineLvl w:val="4"/>
        <w:rPr>
          <w:rFonts w:ascii="宋体" w:hAnsi="宋体" w:cs="宋体"/>
          <w:b/>
          <w:bCs/>
          <w:color w:val="auto"/>
          <w:kern w:val="0"/>
          <w:szCs w:val="21"/>
          <w:highlight w:val="none"/>
        </w:rPr>
      </w:pPr>
      <w:bookmarkStart w:id="1950" w:name="_Toc532377412"/>
      <w:bookmarkStart w:id="1951" w:name="_Toc532375673"/>
      <w:r>
        <w:rPr>
          <w:rFonts w:hint="eastAsia" w:ascii="宋体" w:hAnsi="宋体" w:cs="宋体"/>
          <w:b/>
          <w:bCs/>
          <w:color w:val="auto"/>
          <w:kern w:val="0"/>
          <w:szCs w:val="21"/>
          <w:highlight w:val="none"/>
        </w:rPr>
        <w:t>18.8 其他</w:t>
      </w:r>
      <w:bookmarkEnd w:id="1950"/>
      <w:bookmarkEnd w:id="1951"/>
    </w:p>
    <w:p w14:paraId="224075D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14:paraId="4F027F3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952" w:name="_Hlk524378346"/>
      <w:r>
        <w:rPr>
          <w:rFonts w:hint="eastAsia" w:ascii="宋体" w:hAnsi="宋体"/>
          <w:color w:val="auto"/>
          <w:szCs w:val="21"/>
          <w:highlight w:val="none"/>
        </w:rPr>
        <w:t>差额由承包人负责补足</w:t>
      </w:r>
      <w:bookmarkEnd w:id="1952"/>
      <w:r>
        <w:rPr>
          <w:rFonts w:hint="eastAsia" w:ascii="宋体" w:hAnsi="宋体"/>
          <w:color w:val="auto"/>
          <w:szCs w:val="21"/>
          <w:highlight w:val="none"/>
        </w:rPr>
        <w:t>。</w:t>
      </w:r>
    </w:p>
    <w:p w14:paraId="598279FF">
      <w:pPr>
        <w:keepNext/>
        <w:keepLines/>
        <w:widowControl/>
        <w:spacing w:before="156" w:beforeLines="50" w:after="156" w:afterLines="50" w:line="360" w:lineRule="auto"/>
        <w:outlineLvl w:val="3"/>
        <w:rPr>
          <w:rFonts w:ascii="宋体" w:hAnsi="宋体" w:cs="宋体"/>
          <w:b/>
          <w:color w:val="auto"/>
          <w:szCs w:val="21"/>
          <w:highlight w:val="none"/>
        </w:rPr>
      </w:pPr>
      <w:bookmarkStart w:id="1953" w:name="_Toc351203620"/>
      <w:bookmarkStart w:id="1954" w:name="_Toc532375674"/>
      <w:bookmarkStart w:id="1955" w:name="_Toc532377413"/>
      <w:bookmarkStart w:id="1956" w:name="_Toc296346641"/>
      <w:bookmarkStart w:id="1957" w:name="_Toc296503140"/>
      <w:bookmarkStart w:id="1958" w:name="_Toc337558835"/>
      <w:r>
        <w:rPr>
          <w:rFonts w:hint="eastAsia" w:ascii="宋体" w:hAnsi="宋体" w:cs="宋体"/>
          <w:b/>
          <w:bCs/>
          <w:color w:val="auto"/>
          <w:szCs w:val="21"/>
          <w:highlight w:val="none"/>
        </w:rPr>
        <w:t>19. 索赔</w:t>
      </w:r>
      <w:bookmarkEnd w:id="1953"/>
      <w:bookmarkEnd w:id="1954"/>
      <w:bookmarkEnd w:id="1955"/>
    </w:p>
    <w:bookmarkEnd w:id="1956"/>
    <w:bookmarkEnd w:id="1957"/>
    <w:bookmarkEnd w:id="1958"/>
    <w:p w14:paraId="0517EF78">
      <w:pPr>
        <w:widowControl/>
        <w:spacing w:line="360" w:lineRule="auto"/>
        <w:ind w:firstLine="422" w:firstLineChars="200"/>
        <w:jc w:val="left"/>
        <w:outlineLvl w:val="4"/>
        <w:rPr>
          <w:rFonts w:ascii="宋体" w:hAnsi="宋体" w:cs="宋体"/>
          <w:b/>
          <w:bCs/>
          <w:color w:val="auto"/>
          <w:kern w:val="0"/>
          <w:szCs w:val="21"/>
          <w:highlight w:val="none"/>
        </w:rPr>
      </w:pPr>
      <w:bookmarkStart w:id="1959" w:name="_Toc532377414"/>
      <w:bookmarkStart w:id="1960" w:name="_Toc532375675"/>
      <w:bookmarkStart w:id="1961" w:name="_Toc337558836"/>
      <w:bookmarkStart w:id="1962" w:name="_Toc296346642"/>
      <w:bookmarkStart w:id="1963" w:name="_Toc351203621"/>
      <w:bookmarkStart w:id="1964" w:name="_Toc296503141"/>
      <w:r>
        <w:rPr>
          <w:rFonts w:hint="eastAsia" w:ascii="宋体" w:hAnsi="宋体" w:cs="宋体"/>
          <w:b/>
          <w:bCs/>
          <w:color w:val="auto"/>
          <w:kern w:val="0"/>
          <w:szCs w:val="21"/>
          <w:highlight w:val="none"/>
        </w:rPr>
        <w:t>19.1 承包人的索赔</w:t>
      </w:r>
      <w:bookmarkEnd w:id="1959"/>
      <w:bookmarkEnd w:id="1960"/>
    </w:p>
    <w:p w14:paraId="1CF4B96E">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14:paraId="31B33D30">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13853767">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634025D2">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14:paraId="6DC53B3F">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14:paraId="7A817B0D">
      <w:pPr>
        <w:widowControl/>
        <w:spacing w:line="360" w:lineRule="auto"/>
        <w:ind w:firstLine="422" w:firstLineChars="200"/>
        <w:jc w:val="left"/>
        <w:outlineLvl w:val="4"/>
        <w:rPr>
          <w:rFonts w:ascii="宋体" w:hAnsi="宋体" w:cs="宋体"/>
          <w:b/>
          <w:bCs/>
          <w:color w:val="auto"/>
          <w:kern w:val="0"/>
          <w:szCs w:val="21"/>
          <w:highlight w:val="none"/>
        </w:rPr>
      </w:pPr>
      <w:bookmarkStart w:id="1965" w:name="_Toc532377415"/>
      <w:bookmarkStart w:id="1966" w:name="_Toc532375676"/>
      <w:r>
        <w:rPr>
          <w:rFonts w:hint="eastAsia" w:ascii="宋体" w:hAnsi="宋体" w:cs="宋体"/>
          <w:b/>
          <w:bCs/>
          <w:color w:val="auto"/>
          <w:kern w:val="0"/>
          <w:szCs w:val="21"/>
          <w:highlight w:val="none"/>
        </w:rPr>
        <w:t>19.2 对承包人索赔的处理</w:t>
      </w:r>
      <w:bookmarkEnd w:id="1965"/>
      <w:bookmarkEnd w:id="1966"/>
    </w:p>
    <w:p w14:paraId="727BA1D6">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14:paraId="6F419A30">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14:paraId="5F354E07">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14:paraId="31B17FE1">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14:paraId="4C6979A3">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14:paraId="28223D3C">
      <w:pPr>
        <w:widowControl/>
        <w:spacing w:line="360" w:lineRule="auto"/>
        <w:ind w:firstLine="422" w:firstLineChars="200"/>
        <w:jc w:val="left"/>
        <w:outlineLvl w:val="4"/>
        <w:rPr>
          <w:rFonts w:ascii="宋体" w:hAnsi="宋体" w:cs="宋体"/>
          <w:b/>
          <w:bCs/>
          <w:color w:val="auto"/>
          <w:kern w:val="0"/>
          <w:szCs w:val="21"/>
          <w:highlight w:val="none"/>
        </w:rPr>
      </w:pPr>
      <w:bookmarkStart w:id="1967" w:name="_Toc532377416"/>
      <w:bookmarkStart w:id="1968" w:name="_Toc532375677"/>
      <w:r>
        <w:rPr>
          <w:rFonts w:hint="eastAsia" w:ascii="宋体" w:hAnsi="宋体" w:cs="宋体"/>
          <w:b/>
          <w:bCs/>
          <w:color w:val="auto"/>
          <w:kern w:val="0"/>
          <w:szCs w:val="21"/>
          <w:highlight w:val="none"/>
        </w:rPr>
        <w:t>19.3发包人的索赔</w:t>
      </w:r>
      <w:bookmarkEnd w:id="1967"/>
      <w:bookmarkEnd w:id="1968"/>
    </w:p>
    <w:p w14:paraId="4EE32714">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14:paraId="310030B9">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69" w:name="_Hlk528652769"/>
      <w:r>
        <w:rPr>
          <w:rFonts w:hint="eastAsia" w:ascii="宋体" w:hAnsi="宋体"/>
          <w:color w:val="auto"/>
          <w:szCs w:val="21"/>
          <w:highlight w:val="none"/>
        </w:rPr>
        <w:t>通过监理人向承包人正式递交最终索赔报告</w:t>
      </w:r>
      <w:bookmarkEnd w:id="1969"/>
      <w:r>
        <w:rPr>
          <w:rFonts w:hint="eastAsia" w:ascii="宋体" w:hAnsi="宋体"/>
          <w:color w:val="auto"/>
          <w:szCs w:val="21"/>
          <w:highlight w:val="none"/>
        </w:rPr>
        <w:t>。</w:t>
      </w:r>
    </w:p>
    <w:p w14:paraId="7C5CA379">
      <w:pPr>
        <w:widowControl/>
        <w:spacing w:line="360" w:lineRule="auto"/>
        <w:ind w:firstLine="422" w:firstLineChars="200"/>
        <w:jc w:val="left"/>
        <w:outlineLvl w:val="4"/>
        <w:rPr>
          <w:rFonts w:ascii="宋体" w:hAnsi="宋体" w:cs="宋体"/>
          <w:b/>
          <w:bCs/>
          <w:color w:val="auto"/>
          <w:kern w:val="0"/>
          <w:szCs w:val="21"/>
          <w:highlight w:val="none"/>
        </w:rPr>
      </w:pPr>
      <w:bookmarkStart w:id="1970" w:name="_Toc532377417"/>
      <w:bookmarkStart w:id="1971" w:name="_Toc532375678"/>
      <w:r>
        <w:rPr>
          <w:rFonts w:hint="eastAsia" w:ascii="宋体" w:hAnsi="宋体" w:cs="宋体"/>
          <w:b/>
          <w:bCs/>
          <w:color w:val="auto"/>
          <w:kern w:val="0"/>
          <w:szCs w:val="21"/>
          <w:highlight w:val="none"/>
        </w:rPr>
        <w:t>19.4 对发包人索赔的处理</w:t>
      </w:r>
      <w:bookmarkEnd w:id="1970"/>
      <w:bookmarkEnd w:id="1971"/>
    </w:p>
    <w:p w14:paraId="248D313B">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137BAF39">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14:paraId="0054AB37">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18688571">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25B2C5FB">
      <w:pPr>
        <w:widowControl/>
        <w:spacing w:line="360" w:lineRule="auto"/>
        <w:ind w:firstLine="422" w:firstLineChars="200"/>
        <w:jc w:val="left"/>
        <w:outlineLvl w:val="4"/>
        <w:rPr>
          <w:rFonts w:ascii="宋体" w:hAnsi="宋体" w:cs="宋体"/>
          <w:b/>
          <w:bCs/>
          <w:color w:val="auto"/>
          <w:kern w:val="0"/>
          <w:szCs w:val="21"/>
          <w:highlight w:val="none"/>
        </w:rPr>
      </w:pPr>
      <w:bookmarkStart w:id="1972" w:name="_Toc532375679"/>
      <w:bookmarkStart w:id="1973" w:name="_Toc532377418"/>
      <w:bookmarkStart w:id="1974" w:name="_Hlk528928420"/>
      <w:r>
        <w:rPr>
          <w:rFonts w:hint="eastAsia" w:ascii="宋体" w:hAnsi="宋体" w:cs="宋体"/>
          <w:b/>
          <w:bCs/>
          <w:color w:val="auto"/>
          <w:kern w:val="0"/>
          <w:szCs w:val="21"/>
          <w:highlight w:val="none"/>
        </w:rPr>
        <w:t>19.5 提出索赔的期限</w:t>
      </w:r>
      <w:bookmarkEnd w:id="1972"/>
      <w:bookmarkEnd w:id="1973"/>
    </w:p>
    <w:p w14:paraId="441C0EB3">
      <w:pPr>
        <w:autoSpaceDE w:val="0"/>
        <w:autoSpaceDN w:val="0"/>
        <w:spacing w:line="360" w:lineRule="auto"/>
        <w:ind w:right="105" w:rightChars="50" w:firstLine="420" w:firstLineChars="200"/>
        <w:jc w:val="left"/>
        <w:rPr>
          <w:rFonts w:ascii="宋体" w:hAnsi="宋体"/>
          <w:color w:val="auto"/>
          <w:szCs w:val="21"/>
          <w:highlight w:val="none"/>
        </w:rPr>
      </w:pPr>
      <w:bookmarkStart w:id="1975"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961"/>
    <w:bookmarkEnd w:id="1962"/>
    <w:bookmarkEnd w:id="1963"/>
    <w:bookmarkEnd w:id="1964"/>
    <w:bookmarkEnd w:id="1974"/>
    <w:bookmarkEnd w:id="1975"/>
    <w:p w14:paraId="7BDA9DE1">
      <w:pPr>
        <w:keepNext/>
        <w:keepLines/>
        <w:widowControl/>
        <w:spacing w:before="156" w:beforeLines="50" w:after="156" w:afterLines="50" w:line="360" w:lineRule="auto"/>
        <w:outlineLvl w:val="3"/>
        <w:rPr>
          <w:rFonts w:ascii="宋体" w:hAnsi="宋体" w:cs="宋体"/>
          <w:b/>
          <w:color w:val="auto"/>
          <w:szCs w:val="21"/>
          <w:highlight w:val="none"/>
        </w:rPr>
      </w:pPr>
      <w:bookmarkStart w:id="1976" w:name="_Toc532377419"/>
      <w:bookmarkStart w:id="1977" w:name="_Toc351203651"/>
      <w:bookmarkStart w:id="1978" w:name="_Toc532375680"/>
      <w:r>
        <w:rPr>
          <w:rFonts w:hint="eastAsia" w:ascii="宋体" w:hAnsi="宋体" w:cs="宋体"/>
          <w:b/>
          <w:bCs/>
          <w:color w:val="auto"/>
          <w:szCs w:val="21"/>
          <w:highlight w:val="none"/>
        </w:rPr>
        <w:t>20. 争议解决</w:t>
      </w:r>
      <w:bookmarkEnd w:id="1976"/>
      <w:bookmarkEnd w:id="1977"/>
      <w:bookmarkEnd w:id="1978"/>
    </w:p>
    <w:p w14:paraId="36DE936C">
      <w:pPr>
        <w:widowControl/>
        <w:spacing w:line="360" w:lineRule="auto"/>
        <w:ind w:firstLine="422" w:firstLineChars="200"/>
        <w:jc w:val="left"/>
        <w:outlineLvl w:val="4"/>
        <w:rPr>
          <w:rFonts w:ascii="宋体" w:hAnsi="宋体" w:cs="宋体"/>
          <w:b/>
          <w:bCs/>
          <w:color w:val="auto"/>
          <w:kern w:val="0"/>
          <w:szCs w:val="21"/>
          <w:highlight w:val="none"/>
        </w:rPr>
      </w:pPr>
      <w:bookmarkStart w:id="1979" w:name="_Toc532375681"/>
      <w:bookmarkStart w:id="1980" w:name="_Toc532377420"/>
      <w:r>
        <w:rPr>
          <w:rFonts w:hint="eastAsia" w:ascii="宋体" w:hAnsi="宋体" w:cs="宋体"/>
          <w:b/>
          <w:bCs/>
          <w:color w:val="auto"/>
          <w:kern w:val="0"/>
          <w:szCs w:val="21"/>
          <w:highlight w:val="none"/>
        </w:rPr>
        <w:t>20.3 争议评审</w:t>
      </w:r>
      <w:bookmarkEnd w:id="1979"/>
      <w:bookmarkEnd w:id="1980"/>
    </w:p>
    <w:p w14:paraId="012737E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否      </w:t>
      </w:r>
      <w:r>
        <w:rPr>
          <w:rFonts w:hint="eastAsia" w:ascii="宋体" w:hAnsi="宋体"/>
          <w:color w:val="auto"/>
          <w:szCs w:val="21"/>
          <w:highlight w:val="none"/>
        </w:rPr>
        <w:t>。</w:t>
      </w:r>
    </w:p>
    <w:p w14:paraId="28564DDD">
      <w:pPr>
        <w:widowControl/>
        <w:spacing w:line="360" w:lineRule="auto"/>
        <w:ind w:firstLine="422" w:firstLineChars="200"/>
        <w:jc w:val="left"/>
        <w:outlineLvl w:val="4"/>
        <w:rPr>
          <w:rFonts w:ascii="宋体" w:hAnsi="宋体" w:cs="宋体"/>
          <w:b/>
          <w:bCs/>
          <w:color w:val="auto"/>
          <w:kern w:val="0"/>
          <w:szCs w:val="21"/>
          <w:highlight w:val="none"/>
        </w:rPr>
      </w:pPr>
      <w:bookmarkStart w:id="1981" w:name="_Toc532375682"/>
      <w:bookmarkStart w:id="1982" w:name="_Toc532377421"/>
      <w:r>
        <w:rPr>
          <w:rFonts w:hint="eastAsia" w:ascii="宋体" w:hAnsi="宋体" w:cs="宋体"/>
          <w:b/>
          <w:bCs/>
          <w:color w:val="auto"/>
          <w:kern w:val="0"/>
          <w:szCs w:val="21"/>
          <w:highlight w:val="none"/>
        </w:rPr>
        <w:t>20.4 仲裁或诉讼</w:t>
      </w:r>
      <w:bookmarkEnd w:id="1981"/>
      <w:bookmarkEnd w:id="1982"/>
    </w:p>
    <w:p w14:paraId="1030645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种方式解决：</w:t>
      </w:r>
    </w:p>
    <w:p w14:paraId="5212C401">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170EC321">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olor w:val="auto"/>
          <w:szCs w:val="21"/>
          <w:highlight w:val="none"/>
          <w:u w:val="single"/>
        </w:rPr>
        <w:t>工程所在地</w:t>
      </w:r>
      <w:r>
        <w:rPr>
          <w:rFonts w:ascii="宋体" w:hAnsi="宋体"/>
          <w:color w:val="auto"/>
          <w:szCs w:val="21"/>
          <w:highlight w:val="none"/>
          <w:u w:val="single"/>
        </w:rPr>
        <w:t xml:space="preserve">  </w:t>
      </w:r>
      <w:r>
        <w:rPr>
          <w:rFonts w:ascii="宋体" w:hAnsi="宋体"/>
          <w:color w:val="auto"/>
          <w:szCs w:val="21"/>
          <w:highlight w:val="none"/>
        </w:rPr>
        <w:t>人民法院起诉。</w:t>
      </w:r>
    </w:p>
    <w:p w14:paraId="4C90C4C3">
      <w:pPr>
        <w:keepNext/>
        <w:keepLines/>
        <w:widowControl/>
        <w:spacing w:before="156" w:beforeLines="50" w:after="156" w:afterLines="50" w:line="360" w:lineRule="auto"/>
        <w:outlineLvl w:val="3"/>
        <w:rPr>
          <w:rFonts w:ascii="宋体" w:hAnsi="宋体" w:cs="宋体"/>
          <w:b/>
          <w:color w:val="auto"/>
          <w:szCs w:val="21"/>
          <w:highlight w:val="none"/>
        </w:rPr>
      </w:pPr>
      <w:bookmarkStart w:id="1983" w:name="_Toc532375683"/>
      <w:bookmarkStart w:id="1984" w:name="_Toc532377422"/>
      <w:r>
        <w:rPr>
          <w:rFonts w:hint="eastAsia" w:ascii="宋体" w:hAnsi="宋体" w:cs="宋体"/>
          <w:b/>
          <w:bCs/>
          <w:color w:val="auto"/>
          <w:szCs w:val="21"/>
          <w:highlight w:val="none"/>
        </w:rPr>
        <w:t>21. 补充条款</w:t>
      </w:r>
      <w:bookmarkEnd w:id="1983"/>
      <w:bookmarkEnd w:id="1984"/>
    </w:p>
    <w:p w14:paraId="41564DDD">
      <w:pPr>
        <w:widowControl/>
        <w:spacing w:line="360" w:lineRule="auto"/>
        <w:ind w:firstLine="422" w:firstLineChars="200"/>
        <w:jc w:val="left"/>
        <w:outlineLvl w:val="4"/>
        <w:rPr>
          <w:rFonts w:ascii="宋体" w:hAnsi="宋体" w:cs="宋体"/>
          <w:b/>
          <w:bCs/>
          <w:color w:val="auto"/>
          <w:kern w:val="0"/>
          <w:szCs w:val="21"/>
          <w:highlight w:val="none"/>
        </w:rPr>
      </w:pPr>
      <w:bookmarkStart w:id="1985" w:name="_Toc532375684"/>
      <w:bookmarkStart w:id="1986" w:name="_Toc532377423"/>
      <w:r>
        <w:rPr>
          <w:rFonts w:hint="eastAsia" w:ascii="宋体" w:hAnsi="宋体" w:cs="宋体"/>
          <w:b/>
          <w:bCs/>
          <w:color w:val="auto"/>
          <w:kern w:val="0"/>
          <w:szCs w:val="21"/>
          <w:highlight w:val="none"/>
        </w:rPr>
        <w:t>21.1 退出机制</w:t>
      </w:r>
      <w:bookmarkEnd w:id="1985"/>
      <w:bookmarkEnd w:id="1986"/>
    </w:p>
    <w:p w14:paraId="68A8C1D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14:paraId="621CE56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14:paraId="15ED6322">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14:paraId="3481D3F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u w:val="single"/>
        </w:rPr>
        <w:t xml:space="preserve">因承包人原因造成两次人员伤亡的生产安全事故或工程质量事故的 </w:t>
      </w:r>
      <w:r>
        <w:rPr>
          <w:rFonts w:hint="eastAsia" w:ascii="宋体" w:hAnsi="宋体"/>
          <w:color w:val="auto"/>
          <w:kern w:val="0"/>
          <w:szCs w:val="21"/>
          <w:highlight w:val="none"/>
        </w:rPr>
        <w:t>。</w:t>
      </w:r>
    </w:p>
    <w:p w14:paraId="0FE872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14:paraId="07F2D8C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14:paraId="71D5707C">
      <w:pPr>
        <w:widowControl/>
        <w:spacing w:line="360" w:lineRule="auto"/>
        <w:ind w:firstLine="422" w:firstLineChars="200"/>
        <w:jc w:val="left"/>
        <w:outlineLvl w:val="4"/>
        <w:rPr>
          <w:rFonts w:ascii="宋体" w:hAnsi="宋体" w:cs="宋体"/>
          <w:b/>
          <w:bCs/>
          <w:color w:val="auto"/>
          <w:kern w:val="0"/>
          <w:szCs w:val="21"/>
          <w:highlight w:val="none"/>
        </w:rPr>
      </w:pPr>
      <w:bookmarkStart w:id="1987" w:name="_Toc532377424"/>
      <w:bookmarkStart w:id="1988" w:name="_Toc532375685"/>
      <w:r>
        <w:rPr>
          <w:rFonts w:hint="eastAsia" w:ascii="宋体" w:hAnsi="宋体" w:cs="宋体"/>
          <w:b/>
          <w:bCs/>
          <w:color w:val="auto"/>
          <w:kern w:val="0"/>
          <w:szCs w:val="21"/>
          <w:highlight w:val="none"/>
        </w:rPr>
        <w:t>21.2智慧工地</w:t>
      </w:r>
      <w:bookmarkEnd w:id="1987"/>
      <w:bookmarkEnd w:id="1988"/>
    </w:p>
    <w:p w14:paraId="1629AEA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工地建设可参照重庆市城乡建设委员会《关于印发“智慧工地”建设工作方案的通知》（渝建〔2017〕414号）的相关要求建设，此项费用已包含在合同价款中不另行计算。</w:t>
      </w:r>
      <w:bookmarkEnd w:id="1929"/>
    </w:p>
    <w:p w14:paraId="0D3564BB">
      <w:pPr>
        <w:widowControl/>
        <w:spacing w:line="360" w:lineRule="auto"/>
        <w:ind w:firstLine="422" w:firstLineChars="200"/>
        <w:jc w:val="left"/>
        <w:outlineLvl w:val="4"/>
        <w:rPr>
          <w:rFonts w:ascii="宋体" w:hAnsi="宋体" w:cs="宋体"/>
          <w:b/>
          <w:bCs/>
          <w:color w:val="auto"/>
          <w:kern w:val="0"/>
          <w:szCs w:val="21"/>
          <w:highlight w:val="none"/>
        </w:rPr>
      </w:pPr>
      <w:r>
        <w:rPr>
          <w:rFonts w:hint="eastAsia" w:ascii="宋体" w:hAnsi="宋体" w:cs="宋体"/>
          <w:b/>
          <w:bCs/>
          <w:color w:val="auto"/>
          <w:kern w:val="0"/>
          <w:szCs w:val="21"/>
          <w:highlight w:val="none"/>
        </w:rPr>
        <w:t>21.3其他补充条款</w:t>
      </w:r>
    </w:p>
    <w:p w14:paraId="33DCB0C0">
      <w:pPr>
        <w:spacing w:line="360" w:lineRule="auto"/>
        <w:ind w:right="105" w:rightChars="50" w:firstLine="420" w:firstLineChars="200"/>
        <w:jc w:val="left"/>
        <w:rPr>
          <w:color w:val="auto"/>
          <w:szCs w:val="21"/>
          <w:highlight w:val="none"/>
        </w:rPr>
      </w:pPr>
      <w:r>
        <w:rPr>
          <w:color w:val="auto"/>
          <w:szCs w:val="21"/>
          <w:highlight w:val="none"/>
        </w:rPr>
        <w:t>21.3.</w:t>
      </w:r>
      <w:r>
        <w:rPr>
          <w:rFonts w:hint="eastAsia"/>
          <w:color w:val="auto"/>
          <w:szCs w:val="21"/>
          <w:highlight w:val="none"/>
        </w:rPr>
        <w:t>1农民工工资</w:t>
      </w:r>
    </w:p>
    <w:p w14:paraId="2B74997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 主管部门备案。</w:t>
      </w:r>
    </w:p>
    <w:p w14:paraId="5F7C259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必须严格按照《劳动法》、《建设领域农民工工资支付管理暂行办法》劳社部发[2004]22号和《最低工资规定》等有关规定支付农民工工资，不得拖欠或克扣。承包人在施工过程中，必须按发包人要求提供民工花名册（建议增加和材料供应商、设备提供的相关支付证明），并按月付清民工的人工工资，同时及时支付材料供应商的工程材料款和机械设备租赁费用，否则发包人有权停止向承包人支付工程款。承包人应将工资直接发放给农民工本人，严禁发放给“包工头”或其他不具备用工主体资格的组织和个人。企业可委托银行发放农民工工资。</w:t>
      </w:r>
    </w:p>
    <w:p w14:paraId="6788737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（3）承包人应将工资按月直接发放给农民工本人，否则将视为承包人拖欠或克扣农民工工资，发包人有权在承包人的工程进度款中扣除相当于农民工工资部分的金额，代承包人支付给农民工本人。</w:t>
      </w:r>
    </w:p>
    <w:p w14:paraId="1DEDA34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每季度末施工总承包单位向建设行政主管部门报送项目部农民工花名册及工资发放情况。企业支付农民工工资应编制工资支付表，如实记录支付单位、支付时间、支付对象、支付数额等工资支付情况，并保存两年以上备查。</w:t>
      </w:r>
    </w:p>
    <w:p w14:paraId="7C8D699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承包人不得以任何理由为借口拖欠民工工资，若因承包人拖欠民工工资，导致民工集体上访、闹事（如拦马路等），干扰党政机关正常办公秩序及扰乱社会秩序等不良行为发生，造成较大不良社会影响，每发生一次，发包人惩扣承包人</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50000</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元/次 （人民币）的履约保证金，同时，每发生一次，除按上述规定给付违约金外，发包人可以把工程进度款支付的控制比例降低</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0.5  </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%,以此类推，最低降至</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60 </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w:t>
      </w:r>
    </w:p>
    <w:p w14:paraId="6AB2412A">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21.3.2</w:t>
      </w:r>
      <w:r>
        <w:rPr>
          <w:rFonts w:hint="eastAsia" w:ascii="宋体" w:hAnsi="宋体"/>
          <w:color w:val="auto"/>
          <w:szCs w:val="21"/>
          <w:highlight w:val="none"/>
        </w:rPr>
        <w:t>承包人应该按照现行有关安全文明施工要求，《重庆市建设工程安全文明施工费计取及使用管理规定》（渝建管〔2024〕38号）规定创建规范的施工现场，包括施工现场内的围挡、地面硬化、施工场地相邻的施工道路的维修、排水，宣传工作和标准化的现场管理标牌，费用含在合同包干价内。在上级职能部门、行政主管部门，发包人及监理单位的每月例行的安全文明检查中，达不到《建筑施工安全检查标准》（JQJ59-2011）合格标准，每发生一次承包人应承担违约金</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2000 </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元（人民币）。</w:t>
      </w:r>
    </w:p>
    <w:p w14:paraId="25A46BD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w:t>
      </w:r>
      <w:r>
        <w:rPr>
          <w:rFonts w:ascii="宋体" w:hAnsi="宋体"/>
          <w:color w:val="auto"/>
          <w:szCs w:val="21"/>
          <w:highlight w:val="none"/>
        </w:rPr>
        <w:t>3</w:t>
      </w:r>
      <w:r>
        <w:rPr>
          <w:rFonts w:hint="eastAsia" w:ascii="宋体" w:hAnsi="宋体"/>
          <w:color w:val="auto"/>
          <w:szCs w:val="21"/>
          <w:highlight w:val="none"/>
        </w:rPr>
        <w:t>承包人不严格按照《建筑工程质量管理条例》、 《工程建设标准强制性条文》执行。在施工中违反《工程建设标准强制性条文》的有关规定或不按照设计图纸、审核批准的施工组织设计和施工方案及现行施工验收规范和施工操作规程施工，经发包人或监理发现，应及时通知承包人，除了承包人立即纠正整改外，每发生一次视情节轻重，承包人应承担违约金</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5000 </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元（人民币）。</w:t>
      </w:r>
    </w:p>
    <w:p w14:paraId="627DBCC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w:t>
      </w:r>
      <w:r>
        <w:rPr>
          <w:rFonts w:ascii="宋体" w:hAnsi="宋体"/>
          <w:color w:val="auto"/>
          <w:szCs w:val="21"/>
          <w:highlight w:val="none"/>
        </w:rPr>
        <w:t>4</w:t>
      </w:r>
      <w:r>
        <w:rPr>
          <w:rFonts w:hint="eastAsia" w:ascii="宋体" w:hAnsi="宋体"/>
          <w:color w:val="auto"/>
          <w:szCs w:val="21"/>
          <w:highlight w:val="none"/>
        </w:rPr>
        <w:t>承包人施工中要严格按照设计图纸施工，严格执行国家现行的规范、验收标准组织施工，严格把质量关。承包人对个工序施工质量自检后，经监理、发包人、或质检站复查，发现还有分项、分部工程未能达到符合本项目有关的施工验收规范的规定，每发生一次处罚承包人违约金</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2000 </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元（人民币）。</w:t>
      </w:r>
    </w:p>
    <w:p w14:paraId="1D24EDF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w:t>
      </w:r>
      <w:r>
        <w:rPr>
          <w:rFonts w:ascii="宋体" w:hAnsi="宋体"/>
          <w:color w:val="auto"/>
          <w:szCs w:val="21"/>
          <w:highlight w:val="none"/>
        </w:rPr>
        <w:t>5</w:t>
      </w:r>
      <w:r>
        <w:rPr>
          <w:rFonts w:hint="eastAsia" w:ascii="宋体" w:hAnsi="宋体"/>
          <w:color w:val="auto"/>
          <w:szCs w:val="21"/>
          <w:highlight w:val="none"/>
        </w:rPr>
        <w:t>现场安全文明施工经安检站依据《建筑施工安全检查标准》（JQJ59-2011）检查，每发生一项不达标提出要求整改的，每项处罚承包人违约金</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2000 </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元。提出要求停工整改的，每发生一次，承包人应承担违约金</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5000</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元（人民币）。</w:t>
      </w:r>
    </w:p>
    <w:p w14:paraId="6065718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w:t>
      </w:r>
      <w:r>
        <w:rPr>
          <w:rFonts w:ascii="宋体" w:hAnsi="宋体"/>
          <w:color w:val="auto"/>
          <w:szCs w:val="21"/>
          <w:highlight w:val="none"/>
        </w:rPr>
        <w:t>6</w:t>
      </w:r>
      <w:r>
        <w:rPr>
          <w:rFonts w:hint="eastAsia" w:ascii="宋体" w:hAnsi="宋体"/>
          <w:color w:val="auto"/>
          <w:szCs w:val="21"/>
          <w:highlight w:val="none"/>
        </w:rPr>
        <w:t>承包人必须在发包人批准的作业范围内组织施工作业，超越发包人批准的作业范围所造成的一切损失和责任由承包人自行承担，工期不顺延。</w:t>
      </w:r>
    </w:p>
    <w:p w14:paraId="71EC765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21.3.7承包人的工程施工质量低劣，或因承包人原因造成较大及以上等级生产安全事故或工程质量事故，或在规定工期内没有完成全部工程，或因承包人发生债权债务纠纷或其他纠纷导致本工程无法正常施工，或因承包人原因造成两次人员伤亡的生产安全事故或工程质量事故，发包人有权无条件解除与承包人签订的工程承包合同。承包人从收到发包人发出的解除工程承包合同通知书和撤离施工现场书面通知书之日起</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7 </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天</w:t>
      </w:r>
      <w:r>
        <w:rPr>
          <w:rFonts w:hint="eastAsia" w:ascii="宋体" w:hAnsi="宋体"/>
          <w:color w:val="auto"/>
          <w:szCs w:val="21"/>
          <w:highlight w:val="none"/>
        </w:rPr>
        <w:t>内，必须无条件撤离施工现场，并自行承担撤离施工现场所引起的一切费用，对承包人所缴纳的履约保证金不予退还。</w:t>
      </w:r>
    </w:p>
    <w:p w14:paraId="77F302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21.3.8上一工序或上阶段工程必须经有关部门验收合格后方可进入下道工序或下阶段工程施工。未经验收便进入下道工序或下阶段工程施工，未造成质量安全问题的，每次支付违约金</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20000 </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元（人民币），造成质量安全问题每次支付违约金</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100000 </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元（人民币），累计达三次以上，按履约保证金的</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10 </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%向发包人支付违约金。</w:t>
      </w:r>
    </w:p>
    <w:p w14:paraId="2B476F5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21.3.9 工程质量约定为一次性通过竣工验收，若未能一次性通过，则承包人对发包人承担</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 50 </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万元的违约金。</w:t>
      </w:r>
    </w:p>
    <w:p w14:paraId="6D152FB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21.3.10投标人投标文件出现前后不一致的情况，如评标时未发现，在中标后发包人有权进行清标，按最有利于发包人的方式进行修正。</w:t>
      </w:r>
    </w:p>
    <w:p w14:paraId="29FF6B7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21.3.11本项目施工图和红线范围内发生的变更，承包人不得以任何理由拒绝实施。否则在履约保证金或进度款中等额扣除相应变更费用。</w:t>
      </w:r>
    </w:p>
    <w:p w14:paraId="61F28F8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21.3.12发包人不定期对承包人工程进行抽查，承包人应无任何理由按要求向发包人提供承包人项目的人工费、材料款支付的相关凭证，并提供查询。同时，发包人不以此费用的支付金额作为后期结算的依据。</w:t>
      </w:r>
    </w:p>
    <w:p w14:paraId="0BD0BE58">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 xml:space="preserve">21.3.13 </w:t>
      </w:r>
      <w:r>
        <w:rPr>
          <w:rFonts w:hint="eastAsia" w:ascii="宋体" w:hAnsi="宋体"/>
          <w:color w:val="auto"/>
          <w:szCs w:val="21"/>
          <w:highlight w:val="none"/>
        </w:rPr>
        <w:t>根据违约的轻重，约定承包人的违约行为和责任如下：</w:t>
      </w:r>
    </w:p>
    <w:p w14:paraId="35AF5F2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（1）工作纪律及职责：按发包人认可的管理制度执行，执行结果由发包人验收。</w:t>
      </w:r>
    </w:p>
    <w:p w14:paraId="3FF0D6D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（2）通报/督办类</w:t>
      </w:r>
    </w:p>
    <w:p w14:paraId="47F8EFE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做好项目的管理工作，若因质量、安全、环保等问题被区级及以上部门通报批评或督查，承担相应的管理责任和法律责任并承担给发包人造成的损失。若出现国家级通报批评或督查，发包人有权解除本合同。</w:t>
      </w:r>
    </w:p>
    <w:p w14:paraId="1ED0F87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（3）不利舆论类</w:t>
      </w:r>
    </w:p>
    <w:p w14:paraId="5D6A8DF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因承包人原因被大众网络、微博、博客、报刊等媒体报道产生负面影响，承包人应积极消除不良影响。若承包人不主动或不配合全咨人消除不良影响的一次支付违约金</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 xml:space="preserve">20000 </w:t>
      </w:r>
      <w:r>
        <w:rPr>
          <w:rFonts w:hint="eastAsia" w:ascii="宋体" w:hAnsi="宋体" w:cs="Microsoft Sans Serif"/>
          <w:color w:val="auto"/>
          <w:kern w:val="0"/>
          <w:szCs w:val="21"/>
          <w:highlight w:val="none"/>
          <w:lang w:eastAsia="zh-CN"/>
        </w:rPr>
        <w:t>】</w:t>
      </w:r>
      <w:r>
        <w:rPr>
          <w:rFonts w:hint="eastAsia" w:ascii="宋体" w:hAnsi="宋体"/>
          <w:color w:val="auto"/>
          <w:szCs w:val="21"/>
          <w:highlight w:val="none"/>
        </w:rPr>
        <w:t>元。不主动或不配合全咨人消除不良影响行为出现3次（含本数），发包人有权解除本合同。</w:t>
      </w:r>
    </w:p>
    <w:p w14:paraId="4E5F242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（4）其他</w:t>
      </w:r>
    </w:p>
    <w:p w14:paraId="650C46A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若发包人发现并有充分的证据证明承包人不能履行合同的义务和职责，或未能完成合同中规定的工作内容的，或者工作达不到合同规定的标准，发包人有权没收其提交的履约保证金，尚未支付的款项发包人有权不予支付，造成损失的承包人应承担相应的赔偿责任。</w:t>
      </w:r>
    </w:p>
    <w:p w14:paraId="3A9CC65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本合同未包含的违约事项，由双方按照现行法律法规等协商处理。</w:t>
      </w:r>
    </w:p>
    <w:p w14:paraId="5EF0BC4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3.1</w:t>
      </w:r>
      <w:r>
        <w:rPr>
          <w:rFonts w:hint="eastAsia" w:ascii="宋体" w:hAnsi="宋体"/>
          <w:color w:val="auto"/>
          <w:szCs w:val="21"/>
          <w:highlight w:val="none"/>
        </w:rPr>
        <w:t>4发包人如需剥离如分布式能源、充电桩、变配电等能采用招商引资、融资租赁或社会资金自行投入实施的项目或暂列金额相关项目，承包人应积极配合，不得以工程项目和工程量减少等因素提出索赔。</w:t>
      </w:r>
    </w:p>
    <w:p w14:paraId="53FEA193">
      <w:pPr>
        <w:spacing w:line="360" w:lineRule="auto"/>
        <w:ind w:right="105" w:rightChars="50" w:firstLine="420" w:firstLineChars="200"/>
        <w:jc w:val="left"/>
        <w:rPr>
          <w:rFonts w:hint="eastAsia" w:ascii="宋体" w:hAnsi="宋体"/>
          <w:color w:val="auto"/>
          <w:szCs w:val="21"/>
          <w:highlight w:val="none"/>
        </w:rPr>
      </w:pPr>
      <w:r>
        <w:rPr>
          <w:rFonts w:ascii="宋体" w:hAnsi="宋体"/>
          <w:color w:val="auto"/>
          <w:szCs w:val="21"/>
          <w:highlight w:val="none"/>
        </w:rPr>
        <w:t>21.3.1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双方一致确认下列通讯地址及联系方式为各方履行合同义务、解决合同争议时用于接收文件信函或司法机关（法院、仲裁机构）法律文书的唯一送达地址及联系方式：</w:t>
      </w:r>
    </w:p>
    <w:p w14:paraId="36E81CAB">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发包人</w:t>
      </w:r>
      <w:r>
        <w:rPr>
          <w:rFonts w:hint="eastAsia" w:ascii="宋体" w:hAnsi="宋体"/>
          <w:color w:val="auto"/>
          <w:szCs w:val="21"/>
          <w:highlight w:val="none"/>
        </w:rPr>
        <w:t>通讯地址：        ，收件人      ，联系电话：   。</w:t>
      </w:r>
    </w:p>
    <w:p w14:paraId="137F5DA2">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承包人</w:t>
      </w:r>
      <w:r>
        <w:rPr>
          <w:rFonts w:hint="eastAsia" w:ascii="宋体" w:hAnsi="宋体"/>
          <w:color w:val="auto"/>
          <w:szCs w:val="21"/>
          <w:highlight w:val="none"/>
        </w:rPr>
        <w:t>通讯地址：        ，收件人：    ，联系电话：    。</w:t>
      </w:r>
    </w:p>
    <w:p w14:paraId="570AAA48">
      <w:pPr>
        <w:spacing w:line="360" w:lineRule="auto"/>
        <w:ind w:right="105" w:rightChars="50"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双方一致确认按照上述地址送达相关文件的，自寄出三日后即视为已签收；送达文书被拒收或者退回的，均视为送达。任何一方如需变更上述送达地址的，应在变更后三个工作日内以书面形式将变更后的送达地址及联系方式以书面形式通知对方；未按前述约定方式变更的，上述送达地址及联系方式仍视为有效。在因本合同及本合同相关事宜发生诉讼/仲裁的情形下，上述约定的各方通信地址，同时作为各方的诉讼/仲裁文书送达地址，该通信地址用于接收诉讼/仲裁文书（包括但不限于传票、判决书、裁决书等法律文书）。法院/仲裁机构按该地址送达的，视为当事人签收，受送达人拒收或无人签收，不影响送达的效力</w:t>
      </w:r>
      <w:r>
        <w:rPr>
          <w:rFonts w:hint="eastAsia" w:ascii="宋体" w:hAnsi="宋体"/>
          <w:color w:val="auto"/>
          <w:szCs w:val="21"/>
          <w:highlight w:val="none"/>
          <w:lang w:eastAsia="zh-CN"/>
        </w:rPr>
        <w:t>。</w:t>
      </w:r>
    </w:p>
    <w:p w14:paraId="4ACFBA5D">
      <w:pPr>
        <w:spacing w:line="360" w:lineRule="auto"/>
        <w:ind w:right="105" w:rightChars="50"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若通讯地址为空白，则以国家企业信用信息公示系统查询住所作为通讯地址。</w:t>
      </w:r>
    </w:p>
    <w:p w14:paraId="739DFB2F">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21.3.16本合同履行过程中，在承包人无违约的情形下，发包人有权单方随时解除本合同且不承担任何违约责任，双方按照发包人通知解除之日的工程现状进行移交并按照合格部分进行结算，双方确认结算金额且发包人收到承包人开具的等额增值税专用发票后的60个工作日内支付款项，未结算或未收到发票，发包人有权拒绝付款，一切责任由承包人承担。</w:t>
      </w:r>
    </w:p>
    <w:p w14:paraId="6A14FA72">
      <w:pPr>
        <w:spacing w:line="360" w:lineRule="auto"/>
        <w:ind w:right="105" w:rightChars="50" w:firstLine="420" w:firstLineChars="200"/>
        <w:jc w:val="left"/>
        <w:rPr>
          <w:rFonts w:hint="eastAsia" w:ascii="仿宋_GB2312" w:hAnsi="宋体" w:eastAsia="仿宋_GB2312" w:cs="宋体"/>
          <w:color w:val="auto"/>
          <w:szCs w:val="21"/>
          <w:highlight w:val="none"/>
        </w:rPr>
      </w:pPr>
      <w:r>
        <w:rPr>
          <w:rFonts w:ascii="宋体" w:hAnsi="宋体"/>
          <w:color w:val="auto"/>
          <w:szCs w:val="21"/>
          <w:highlight w:val="none"/>
        </w:rPr>
        <w:t>21.3.1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 发包人对承包人的</w:t>
      </w:r>
      <w:r>
        <w:rPr>
          <w:rFonts w:hint="eastAsia" w:ascii="宋体" w:hAnsi="宋体"/>
          <w:color w:val="auto"/>
          <w:szCs w:val="21"/>
          <w:highlight w:val="none"/>
          <w:lang w:val="en-US" w:eastAsia="zh-CN"/>
        </w:rPr>
        <w:t>其他</w:t>
      </w:r>
      <w:r>
        <w:rPr>
          <w:rFonts w:hint="eastAsia" w:ascii="宋体" w:hAnsi="宋体"/>
          <w:color w:val="auto"/>
          <w:szCs w:val="21"/>
          <w:highlight w:val="none"/>
        </w:rPr>
        <w:t>实施要求</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p>
    <w:p w14:paraId="6B54A615">
      <w:pPr>
        <w:spacing w:line="360" w:lineRule="auto"/>
        <w:ind w:right="105" w:rightChars="50" w:firstLine="420" w:firstLineChars="200"/>
        <w:jc w:val="left"/>
        <w:rPr>
          <w:rFonts w:hint="eastAsia" w:ascii="仿宋_GB2312" w:hAnsi="宋体" w:eastAsia="仿宋_GB2312" w:cs="宋体"/>
          <w:color w:val="auto"/>
          <w:szCs w:val="21"/>
          <w:highlight w:val="none"/>
        </w:rPr>
      </w:pPr>
    </w:p>
    <w:p w14:paraId="297474BB">
      <w:pPr>
        <w:spacing w:line="400" w:lineRule="exact"/>
        <w:jc w:val="center"/>
        <w:rPr>
          <w:rFonts w:hint="eastAsia" w:ascii="宋体" w:hAnsi="宋体"/>
          <w:b/>
          <w:color w:val="auto"/>
          <w:sz w:val="28"/>
          <w:szCs w:val="28"/>
          <w:highlight w:val="none"/>
        </w:rPr>
      </w:pPr>
      <w:r>
        <w:rPr>
          <w:rFonts w:ascii="宋体" w:hAnsi="宋体"/>
          <w:b/>
          <w:color w:val="auto"/>
          <w:highlight w:val="none"/>
        </w:rPr>
        <w:br w:type="page"/>
      </w:r>
    </w:p>
    <w:p w14:paraId="73AF0292">
      <w:pPr>
        <w:spacing w:line="400" w:lineRule="exact"/>
        <w:jc w:val="center"/>
        <w:rPr>
          <w:rStyle w:val="194"/>
          <w:rFonts w:hint="eastAsia" w:ascii="宋体" w:hAnsi="宋体"/>
          <w:color w:val="auto"/>
          <w:highlight w:val="none"/>
        </w:rPr>
      </w:pPr>
    </w:p>
    <w:p w14:paraId="1C0296AC">
      <w:pPr>
        <w:pStyle w:val="3"/>
        <w:jc w:val="center"/>
        <w:rPr>
          <w:rFonts w:hint="eastAsia" w:ascii="宋体" w:hAnsi="宋体"/>
          <w:color w:val="auto"/>
          <w:highlight w:val="none"/>
        </w:rPr>
      </w:pPr>
      <w:bookmarkStart w:id="1989" w:name="_Toc29733"/>
      <w:bookmarkStart w:id="1990" w:name="_Toc31928"/>
      <w:r>
        <w:rPr>
          <w:rFonts w:ascii="宋体" w:hAnsi="宋体"/>
          <w:color w:val="auto"/>
          <w:highlight w:val="none"/>
        </w:rPr>
        <w:t xml:space="preserve">第三节 </w:t>
      </w:r>
      <w:r>
        <w:rPr>
          <w:rFonts w:hint="eastAsia" w:ascii="宋体" w:hAnsi="宋体"/>
          <w:color w:val="auto"/>
          <w:highlight w:val="none"/>
        </w:rPr>
        <w:t>合同附件格式</w:t>
      </w:r>
      <w:bookmarkEnd w:id="1989"/>
      <w:bookmarkEnd w:id="1990"/>
    </w:p>
    <w:p w14:paraId="2A5B133C">
      <w:pPr>
        <w:widowControl/>
        <w:jc w:val="center"/>
        <w:rPr>
          <w:rFonts w:hint="eastAsia" w:ascii="宋体" w:hAnsi="宋体"/>
          <w:color w:val="auto"/>
          <w:highlight w:val="none"/>
        </w:rPr>
      </w:pPr>
      <w:r>
        <w:rPr>
          <w:rFonts w:hint="eastAsia" w:ascii="宋体" w:hAnsi="宋体"/>
          <w:color w:val="auto"/>
          <w:highlight w:val="none"/>
        </w:rPr>
        <w:t>以下附件是本合同的有效组成部分。</w:t>
      </w:r>
    </w:p>
    <w:p w14:paraId="02FDBAF8">
      <w:pPr>
        <w:pStyle w:val="4"/>
        <w:jc w:val="center"/>
        <w:rPr>
          <w:rFonts w:hint="eastAsia" w:ascii="宋体" w:hAnsi="宋体" w:cs="黑体"/>
          <w:b w:val="0"/>
          <w:bCs w:val="0"/>
          <w:color w:val="auto"/>
          <w:highlight w:val="none"/>
        </w:rPr>
      </w:pPr>
      <w:bookmarkStart w:id="1991" w:name="_Toc534185765"/>
      <w:bookmarkStart w:id="1992" w:name="_Toc351203494"/>
      <w:bookmarkStart w:id="1993" w:name="_Toc509218786"/>
      <w:bookmarkStart w:id="1994" w:name="_Toc27983310"/>
      <w:bookmarkStart w:id="1995" w:name="_Toc467164257"/>
      <w:bookmarkStart w:id="1996" w:name="_Toc509390696"/>
      <w:bookmarkStart w:id="1997" w:name="_Toc335223531"/>
      <w:bookmarkStart w:id="1998" w:name="_Toc144974827"/>
      <w:bookmarkStart w:id="1999" w:name="_Toc240180916"/>
      <w:bookmarkStart w:id="2000" w:name="_Toc152045768"/>
      <w:bookmarkStart w:id="2001" w:name="_Toc152042547"/>
      <w:bookmarkStart w:id="2002" w:name="_Toc424558368"/>
      <w:bookmarkStart w:id="2003" w:name="_Toc424558728"/>
      <w:r>
        <w:rPr>
          <w:rFonts w:hint="eastAsia" w:ascii="宋体" w:hAnsi="宋体" w:cs="黑体"/>
          <w:b w:val="0"/>
          <w:bCs w:val="0"/>
          <w:color w:val="auto"/>
          <w:highlight w:val="none"/>
        </w:rPr>
        <w:br w:type="page"/>
      </w:r>
      <w:bookmarkStart w:id="2004" w:name="_Toc762"/>
      <w:bookmarkStart w:id="2005" w:name="_Toc4196"/>
      <w:bookmarkStart w:id="2006" w:name="_Toc12125"/>
      <w:bookmarkStart w:id="2007" w:name="_Toc31334"/>
      <w:bookmarkStart w:id="2008" w:name="_Toc57795991"/>
      <w:r>
        <w:rPr>
          <w:rFonts w:hint="eastAsia" w:ascii="宋体" w:hAnsi="宋体" w:cs="黑体"/>
          <w:b w:val="0"/>
          <w:bCs w:val="0"/>
          <w:color w:val="auto"/>
          <w:highlight w:val="none"/>
        </w:rPr>
        <w:t>附件一 合同协议书</w:t>
      </w:r>
      <w:bookmarkEnd w:id="1991"/>
      <w:bookmarkEnd w:id="1992"/>
      <w:bookmarkEnd w:id="1993"/>
      <w:bookmarkEnd w:id="1994"/>
      <w:bookmarkEnd w:id="2004"/>
      <w:bookmarkEnd w:id="2005"/>
      <w:bookmarkEnd w:id="2006"/>
      <w:bookmarkEnd w:id="2007"/>
      <w:bookmarkEnd w:id="2008"/>
    </w:p>
    <w:p w14:paraId="5AFA6B39">
      <w:pPr>
        <w:snapToGrid w:val="0"/>
        <w:spacing w:line="360" w:lineRule="auto"/>
        <w:ind w:firstLine="422" w:firstLineChars="200"/>
        <w:rPr>
          <w:rFonts w:hint="eastAsia" w:ascii="宋体" w:hAnsi="宋体"/>
          <w:b/>
          <w:color w:val="auto"/>
          <w:szCs w:val="21"/>
          <w:highlight w:val="none"/>
        </w:rPr>
      </w:pPr>
    </w:p>
    <w:p w14:paraId="53F04D37">
      <w:pPr>
        <w:snapToGrid w:val="0"/>
        <w:spacing w:line="360"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44CF09DA">
      <w:pPr>
        <w:snapToGrid w:val="0"/>
        <w:spacing w:line="360"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55B9C5FD">
      <w:pPr>
        <w:spacing w:line="360" w:lineRule="auto"/>
        <w:ind w:firstLine="420" w:firstLineChars="200"/>
        <w:rPr>
          <w:rFonts w:hint="eastAsia" w:ascii="宋体" w:hAnsi="宋体"/>
          <w:b/>
          <w:color w:val="auto"/>
          <w:szCs w:val="21"/>
          <w:highlight w:val="none"/>
          <w:u w:val="single"/>
        </w:rPr>
      </w:pPr>
      <w:r>
        <w:rPr>
          <w:rFonts w:hint="eastAsia" w:ascii="宋体" w:hAnsi="宋体"/>
          <w:color w:val="auto"/>
          <w:szCs w:val="21"/>
          <w:highlight w:val="none"/>
        </w:rPr>
        <w:t>根据《中华人民共和国民法典》、《中华人民共和国公路法》、《中华人民共和国建筑法》及有关法律、法规规定，遵循平等、自愿、公平和诚实信用的原则，双方就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14:paraId="52ED53ED">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一、工程概况</w:t>
      </w:r>
    </w:p>
    <w:p w14:paraId="75B97CD7">
      <w:pPr>
        <w:snapToGrid w:val="0"/>
        <w:spacing w:line="360" w:lineRule="auto"/>
        <w:ind w:firstLine="420" w:firstLineChars="200"/>
        <w:rPr>
          <w:rFonts w:hint="eastAsia"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7F74AD3">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4FE7146">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004C3E22">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7F85E92">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E50ADB4">
      <w:pPr>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824B01E">
      <w:pPr>
        <w:snapToGrid w:val="0"/>
        <w:spacing w:line="360" w:lineRule="auto"/>
        <w:ind w:firstLine="422" w:firstLineChars="200"/>
        <w:rPr>
          <w:rFonts w:hint="eastAsia" w:ascii="宋体" w:hAnsi="宋体"/>
          <w:b/>
          <w:color w:val="auto"/>
          <w:szCs w:val="21"/>
          <w:highlight w:val="none"/>
        </w:rPr>
      </w:pPr>
      <w:bookmarkStart w:id="2009" w:name="_Toc351203482"/>
      <w:bookmarkStart w:id="2010" w:name="_Toc532377167"/>
      <w:bookmarkStart w:id="2011" w:name="_Toc532375574"/>
      <w:r>
        <w:rPr>
          <w:rFonts w:hint="eastAsia" w:ascii="宋体" w:hAnsi="宋体"/>
          <w:b/>
          <w:color w:val="auto"/>
          <w:szCs w:val="21"/>
          <w:highlight w:val="none"/>
        </w:rPr>
        <w:t>二、合同工期</w:t>
      </w:r>
      <w:bookmarkEnd w:id="2009"/>
      <w:bookmarkEnd w:id="2010"/>
      <w:bookmarkEnd w:id="2011"/>
    </w:p>
    <w:p w14:paraId="1285425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日历</w:t>
      </w:r>
      <w:r>
        <w:rPr>
          <w:rFonts w:hint="eastAsia" w:ascii="宋体" w:hAnsi="宋体"/>
          <w:bCs/>
          <w:color w:val="auto"/>
          <w:szCs w:val="21"/>
          <w:highlight w:val="none"/>
        </w:rPr>
        <w:t>天。</w:t>
      </w:r>
    </w:p>
    <w:p w14:paraId="1D4FF75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14:paraId="1FD0099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计划交工日期：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日，实际交工日期以工程交工验收合格之日为准。</w:t>
      </w:r>
    </w:p>
    <w:p w14:paraId="0B0BAE0F">
      <w:pPr>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天。工期总日历天数与根据前述计划开交工日期计算的工期天数不一</w:t>
      </w:r>
      <w:r>
        <w:rPr>
          <w:rFonts w:hint="eastAsia" w:ascii="宋体" w:hAnsi="宋体"/>
          <w:color w:val="auto"/>
          <w:szCs w:val="21"/>
          <w:highlight w:val="none"/>
        </w:rPr>
        <w:t>致的，以工期总日历天数为准。</w:t>
      </w:r>
    </w:p>
    <w:p w14:paraId="5A2139A2">
      <w:pPr>
        <w:snapToGrid w:val="0"/>
        <w:spacing w:line="360" w:lineRule="auto"/>
        <w:ind w:firstLine="422" w:firstLineChars="200"/>
        <w:rPr>
          <w:rFonts w:hint="eastAsia" w:ascii="宋体" w:hAnsi="宋体"/>
          <w:b/>
          <w:color w:val="auto"/>
          <w:szCs w:val="21"/>
          <w:highlight w:val="none"/>
        </w:rPr>
      </w:pPr>
      <w:bookmarkStart w:id="2012" w:name="_Toc532377168"/>
      <w:bookmarkStart w:id="2013" w:name="_Toc532375575"/>
      <w:bookmarkStart w:id="2014" w:name="_Toc351203483"/>
      <w:r>
        <w:rPr>
          <w:rFonts w:hint="eastAsia" w:ascii="宋体" w:hAnsi="宋体"/>
          <w:b/>
          <w:color w:val="auto"/>
          <w:szCs w:val="21"/>
          <w:highlight w:val="none"/>
        </w:rPr>
        <w:t>三、质量标准</w:t>
      </w:r>
      <w:bookmarkEnd w:id="2012"/>
      <w:bookmarkEnd w:id="2013"/>
      <w:bookmarkEnd w:id="2014"/>
    </w:p>
    <w:p w14:paraId="47ACE0EE">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工程质量符合</w:t>
      </w:r>
      <w:r>
        <w:rPr>
          <w:rFonts w:hint="eastAsia" w:ascii="宋体" w:hAnsi="宋体"/>
          <w:bCs/>
          <w:color w:val="auto"/>
          <w:szCs w:val="21"/>
          <w:highlight w:val="none"/>
          <w:u w:val="single"/>
        </w:rPr>
        <w:t></w:t>
      </w:r>
      <w:r>
        <w:rPr>
          <w:rFonts w:hint="eastAsia" w:ascii="宋体" w:hAnsi="宋体"/>
          <w:bCs/>
          <w:color w:val="auto"/>
          <w:szCs w:val="21"/>
          <w:highlight w:val="none"/>
        </w:rPr>
        <w:t>标准。工程安全目标：</w:t>
      </w:r>
      <w:r>
        <w:rPr>
          <w:rFonts w:hint="eastAsia" w:ascii="宋体" w:hAnsi="宋体"/>
          <w:bCs/>
          <w:color w:val="auto"/>
          <w:szCs w:val="21"/>
          <w:highlight w:val="none"/>
          <w:u w:val="single"/>
        </w:rPr>
        <w:t></w:t>
      </w:r>
      <w:r>
        <w:rPr>
          <w:rFonts w:hint="eastAsia" w:ascii="宋体" w:hAnsi="宋体"/>
          <w:bCs/>
          <w:color w:val="auto"/>
          <w:szCs w:val="21"/>
          <w:highlight w:val="none"/>
        </w:rPr>
        <w:t xml:space="preserve">。 </w:t>
      </w:r>
    </w:p>
    <w:p w14:paraId="4E3DE593">
      <w:pPr>
        <w:snapToGrid w:val="0"/>
        <w:spacing w:line="360" w:lineRule="auto"/>
        <w:ind w:firstLine="422" w:firstLineChars="200"/>
        <w:rPr>
          <w:rFonts w:hint="eastAsia" w:ascii="宋体" w:hAnsi="宋体"/>
          <w:b/>
          <w:color w:val="auto"/>
          <w:szCs w:val="21"/>
          <w:highlight w:val="none"/>
        </w:rPr>
      </w:pPr>
      <w:bookmarkStart w:id="2015" w:name="_Toc532375576"/>
      <w:bookmarkStart w:id="2016" w:name="_Toc351203484"/>
      <w:bookmarkStart w:id="2017" w:name="_Toc532377169"/>
      <w:r>
        <w:rPr>
          <w:rFonts w:hint="eastAsia" w:ascii="宋体" w:hAnsi="宋体"/>
          <w:b/>
          <w:color w:val="auto"/>
          <w:szCs w:val="21"/>
          <w:highlight w:val="none"/>
        </w:rPr>
        <w:t>四、签约合同价与合同价格形式</w:t>
      </w:r>
      <w:bookmarkEnd w:id="2015"/>
      <w:bookmarkEnd w:id="2016"/>
      <w:bookmarkEnd w:id="2017"/>
    </w:p>
    <w:p w14:paraId="379D0D7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1.承包人投标函中承诺的中标价为：</w:t>
      </w:r>
    </w:p>
    <w:p w14:paraId="1F19AE7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37472C8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2.签约合同价为：</w:t>
      </w:r>
    </w:p>
    <w:p w14:paraId="4084F9D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48714DB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14:paraId="3DBEA664">
      <w:pPr>
        <w:snapToGrid w:val="0"/>
        <w:spacing w:line="360" w:lineRule="auto"/>
        <w:ind w:firstLine="422" w:firstLineChars="200"/>
        <w:rPr>
          <w:rFonts w:hint="eastAsia" w:ascii="宋体" w:hAnsi="宋体"/>
          <w:b/>
          <w:color w:val="auto"/>
          <w:szCs w:val="21"/>
          <w:highlight w:val="none"/>
        </w:rPr>
      </w:pPr>
      <w:bookmarkStart w:id="2018" w:name="_Toc351203485"/>
      <w:bookmarkStart w:id="2019" w:name="_Toc532377170"/>
      <w:bookmarkStart w:id="2020" w:name="_Toc532375577"/>
      <w:r>
        <w:rPr>
          <w:rFonts w:hint="eastAsia" w:ascii="宋体" w:hAnsi="宋体"/>
          <w:b/>
          <w:color w:val="auto"/>
          <w:szCs w:val="21"/>
          <w:highlight w:val="none"/>
        </w:rPr>
        <w:t>五、</w:t>
      </w:r>
      <w:bookmarkEnd w:id="2018"/>
      <w:r>
        <w:rPr>
          <w:rFonts w:hint="eastAsia" w:ascii="宋体" w:hAnsi="宋体"/>
          <w:b/>
          <w:color w:val="auto"/>
          <w:szCs w:val="21"/>
          <w:highlight w:val="none"/>
        </w:rPr>
        <w:t>项目经理及项目总工</w:t>
      </w:r>
      <w:bookmarkEnd w:id="2019"/>
      <w:bookmarkEnd w:id="2020"/>
    </w:p>
    <w:p w14:paraId="5602266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承包人投标文件中承诺的项目经理：</w:t>
      </w:r>
    </w:p>
    <w:p w14:paraId="2B88936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318C1A5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6DBEE8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1E5A5FE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承包人投标文件中承诺的项目总工：</w:t>
      </w:r>
    </w:p>
    <w:p w14:paraId="0C1CDC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A31051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559CADA0">
      <w:pPr>
        <w:pStyle w:val="18"/>
        <w:spacing w:line="360" w:lineRule="auto"/>
        <w:rPr>
          <w:rFonts w:hint="eastAsia"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6BDB966">
      <w:pPr>
        <w:snapToGrid w:val="0"/>
        <w:spacing w:line="360" w:lineRule="auto"/>
        <w:ind w:firstLine="422" w:firstLineChars="200"/>
        <w:rPr>
          <w:rFonts w:hint="eastAsia" w:ascii="宋体" w:hAnsi="宋体"/>
          <w:b/>
          <w:color w:val="auto"/>
          <w:szCs w:val="21"/>
          <w:highlight w:val="none"/>
        </w:rPr>
      </w:pPr>
      <w:bookmarkStart w:id="2021" w:name="_Toc532375578"/>
      <w:bookmarkStart w:id="2022" w:name="_Toc351203486"/>
      <w:bookmarkStart w:id="2023" w:name="_Toc532377171"/>
      <w:r>
        <w:rPr>
          <w:rFonts w:hint="eastAsia" w:ascii="宋体" w:hAnsi="宋体"/>
          <w:b/>
          <w:color w:val="auto"/>
          <w:szCs w:val="21"/>
          <w:highlight w:val="none"/>
        </w:rPr>
        <w:t>六、合同文件构成</w:t>
      </w:r>
      <w:bookmarkEnd w:id="2021"/>
      <w:bookmarkEnd w:id="2022"/>
      <w:bookmarkEnd w:id="2023"/>
    </w:p>
    <w:p w14:paraId="677E7BE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合同由以下文件构成：</w:t>
      </w:r>
    </w:p>
    <w:p w14:paraId="7A655FA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 xml:space="preserve">）本协议书及各种合同附件（含评标期间和合同谈判过程中的澄清文件和补充资料）； </w:t>
      </w:r>
    </w:p>
    <w:p w14:paraId="1E13961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 xml:space="preserve">）中标通知书； </w:t>
      </w:r>
    </w:p>
    <w:p w14:paraId="70718CC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 xml:space="preserve">）投标函及投标函附录； </w:t>
      </w:r>
    </w:p>
    <w:p w14:paraId="4F319BE2">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 xml:space="preserve">）专用合同条款； </w:t>
      </w:r>
    </w:p>
    <w:p w14:paraId="3D3609F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（5）通用合同条款； </w:t>
      </w:r>
    </w:p>
    <w:p w14:paraId="5D28180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（6）工程量清单计量规则； </w:t>
      </w:r>
    </w:p>
    <w:p w14:paraId="662F78B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（7）技术规范； </w:t>
      </w:r>
    </w:p>
    <w:p w14:paraId="46372E6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（8）图纸； </w:t>
      </w:r>
    </w:p>
    <w:p w14:paraId="4DFC973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（9）已标价工程量清单； </w:t>
      </w:r>
    </w:p>
    <w:p w14:paraId="6E41D25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（10）承包人有关人员、设备投入的承诺及投标文件中的施工组织设计； </w:t>
      </w:r>
    </w:p>
    <w:p w14:paraId="3F2606AA">
      <w:pPr>
        <w:spacing w:line="360" w:lineRule="auto"/>
        <w:ind w:firstLine="420" w:firstLineChars="200"/>
        <w:rPr>
          <w:rFonts w:hint="eastAsia" w:ascii="宋体" w:hAnsi="宋体"/>
          <w:bCs/>
          <w:color w:val="auto"/>
          <w:szCs w:val="21"/>
          <w:highlight w:val="none"/>
          <w:lang w:eastAsia="zh-CN"/>
        </w:rPr>
      </w:pPr>
      <w:r>
        <w:rPr>
          <w:rFonts w:hint="eastAsia" w:ascii="宋体" w:hAnsi="宋体"/>
          <w:bCs/>
          <w:color w:val="auto"/>
          <w:szCs w:val="21"/>
          <w:highlight w:val="none"/>
        </w:rPr>
        <w:t>（11）</w:t>
      </w:r>
      <w:r>
        <w:rPr>
          <w:rFonts w:hint="eastAsia" w:ascii="宋体" w:hAnsi="宋体"/>
          <w:color w:val="auto"/>
          <w:szCs w:val="21"/>
          <w:highlight w:val="none"/>
          <w:lang w:val="en-US" w:eastAsia="zh-CN"/>
        </w:rPr>
        <w:t>招标文件或比选文件（包括但不限于本工程的招标或比选文件、图纸、其他技术资料及招标人发出的对招标或比选文件所作的澄清、修改、补遗等资料）（若有）</w:t>
      </w:r>
      <w:r>
        <w:rPr>
          <w:rFonts w:hint="eastAsia" w:ascii="宋体" w:hAnsi="宋体"/>
          <w:bCs/>
          <w:color w:val="auto"/>
          <w:szCs w:val="21"/>
          <w:highlight w:val="none"/>
          <w:lang w:eastAsia="zh-CN"/>
        </w:rPr>
        <w:t>；</w:t>
      </w:r>
    </w:p>
    <w:p w14:paraId="6E308BF5">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12</w:t>
      </w:r>
      <w:r>
        <w:rPr>
          <w:rFonts w:hint="eastAsia" w:ascii="宋体" w:hAnsi="宋体"/>
          <w:bCs/>
          <w:color w:val="auto"/>
          <w:szCs w:val="21"/>
          <w:highlight w:val="none"/>
          <w:lang w:eastAsia="zh-CN"/>
        </w:rPr>
        <w:t>）</w:t>
      </w:r>
      <w:r>
        <w:rPr>
          <w:rFonts w:hint="eastAsia" w:ascii="宋体" w:hAnsi="宋体"/>
          <w:bCs/>
          <w:color w:val="auto"/>
          <w:szCs w:val="21"/>
          <w:highlight w:val="none"/>
        </w:rPr>
        <w:t>其他合同文件</w:t>
      </w:r>
      <w:r>
        <w:rPr>
          <w:rFonts w:hint="eastAsia" w:ascii="宋体" w:hAnsi="宋体"/>
          <w:bCs/>
          <w:color w:val="auto"/>
          <w:szCs w:val="21"/>
          <w:highlight w:val="none"/>
          <w:lang w:val="en-US" w:eastAsia="zh-CN"/>
        </w:rPr>
        <w:t>.</w:t>
      </w:r>
    </w:p>
    <w:p w14:paraId="5776232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6A3041D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14:paraId="585B0D21">
      <w:pPr>
        <w:snapToGrid w:val="0"/>
        <w:spacing w:line="360" w:lineRule="auto"/>
        <w:ind w:firstLine="422" w:firstLineChars="200"/>
        <w:rPr>
          <w:rFonts w:hint="eastAsia" w:ascii="宋体" w:hAnsi="宋体"/>
          <w:b/>
          <w:color w:val="auto"/>
          <w:szCs w:val="21"/>
          <w:highlight w:val="none"/>
        </w:rPr>
      </w:pPr>
      <w:bookmarkStart w:id="2024" w:name="_Toc351203487"/>
      <w:bookmarkStart w:id="2025" w:name="_Toc532377172"/>
      <w:bookmarkStart w:id="2026" w:name="_Toc532375579"/>
      <w:r>
        <w:rPr>
          <w:rFonts w:hint="eastAsia" w:ascii="宋体" w:hAnsi="宋体"/>
          <w:b/>
          <w:color w:val="auto"/>
          <w:szCs w:val="21"/>
          <w:highlight w:val="none"/>
        </w:rPr>
        <w:t>七、承诺</w:t>
      </w:r>
      <w:bookmarkEnd w:id="2024"/>
      <w:bookmarkEnd w:id="2025"/>
      <w:bookmarkEnd w:id="2026"/>
    </w:p>
    <w:p w14:paraId="3813890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607C8372">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14:paraId="23CB853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51C1FF18">
      <w:pPr>
        <w:snapToGrid w:val="0"/>
        <w:spacing w:line="360" w:lineRule="auto"/>
        <w:ind w:firstLine="422" w:firstLineChars="200"/>
        <w:rPr>
          <w:rFonts w:hint="eastAsia" w:ascii="宋体" w:hAnsi="宋体"/>
          <w:b/>
          <w:color w:val="auto"/>
          <w:szCs w:val="21"/>
          <w:highlight w:val="none"/>
        </w:rPr>
      </w:pPr>
      <w:bookmarkStart w:id="2027" w:name="_Toc351203488"/>
      <w:bookmarkStart w:id="2028" w:name="_Toc532375580"/>
      <w:bookmarkStart w:id="2029" w:name="_Toc532377173"/>
      <w:r>
        <w:rPr>
          <w:rFonts w:hint="eastAsia" w:ascii="宋体" w:hAnsi="宋体"/>
          <w:b/>
          <w:color w:val="auto"/>
          <w:szCs w:val="21"/>
          <w:highlight w:val="none"/>
        </w:rPr>
        <w:t>八、词语含义</w:t>
      </w:r>
      <w:bookmarkEnd w:id="2027"/>
      <w:bookmarkEnd w:id="2028"/>
      <w:bookmarkEnd w:id="2029"/>
    </w:p>
    <w:p w14:paraId="1A64287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0F704009">
      <w:pPr>
        <w:snapToGrid w:val="0"/>
        <w:spacing w:line="360" w:lineRule="auto"/>
        <w:ind w:firstLine="422" w:firstLineChars="200"/>
        <w:rPr>
          <w:rFonts w:hint="eastAsia" w:ascii="宋体" w:hAnsi="宋体"/>
          <w:b/>
          <w:color w:val="auto"/>
          <w:szCs w:val="21"/>
          <w:highlight w:val="none"/>
        </w:rPr>
      </w:pPr>
      <w:bookmarkStart w:id="2030" w:name="_Toc532375581"/>
      <w:bookmarkStart w:id="2031" w:name="_Toc532377174"/>
      <w:r>
        <w:rPr>
          <w:rFonts w:hint="eastAsia" w:ascii="宋体" w:hAnsi="宋体"/>
          <w:b/>
          <w:color w:val="auto"/>
          <w:szCs w:val="21"/>
          <w:highlight w:val="none"/>
        </w:rPr>
        <w:t>九、签订时间</w:t>
      </w:r>
      <w:bookmarkEnd w:id="2030"/>
      <w:bookmarkEnd w:id="2031"/>
    </w:p>
    <w:p w14:paraId="60554999">
      <w:pPr>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合同于</w:t>
      </w:r>
      <w:r>
        <w:rPr>
          <w:rFonts w:hint="eastAsia" w:ascii="宋体" w:hAnsi="宋体"/>
          <w:color w:val="auto"/>
          <w:szCs w:val="21"/>
          <w:highlight w:val="none"/>
          <w:u w:val="single"/>
        </w:rPr>
        <w:t xml:space="preserve">        </w:t>
      </w:r>
      <w:r>
        <w:rPr>
          <w:rFonts w:hint="eastAsia" w:ascii="宋体" w:hAnsi="宋体"/>
          <w:bCs/>
          <w:color w:val="auto"/>
          <w:szCs w:val="21"/>
          <w:highlight w:val="none"/>
        </w:rPr>
        <w:t>年</w:t>
      </w:r>
      <w:r>
        <w:rPr>
          <w:rFonts w:hint="eastAsia" w:ascii="宋体" w:hAnsi="宋体"/>
          <w:color w:val="auto"/>
          <w:szCs w:val="21"/>
          <w:highlight w:val="none"/>
          <w:u w:val="single"/>
        </w:rPr>
        <w:t xml:space="preserve">        </w:t>
      </w:r>
      <w:r>
        <w:rPr>
          <w:rFonts w:hint="eastAsia" w:ascii="宋体" w:hAnsi="宋体"/>
          <w:bCs/>
          <w:color w:val="auto"/>
          <w:szCs w:val="21"/>
          <w:highlight w:val="none"/>
        </w:rPr>
        <w:t>月</w:t>
      </w:r>
      <w:r>
        <w:rPr>
          <w:rFonts w:hint="eastAsia" w:ascii="宋体" w:hAnsi="宋体"/>
          <w:color w:val="auto"/>
          <w:szCs w:val="21"/>
          <w:highlight w:val="none"/>
          <w:u w:val="single"/>
        </w:rPr>
        <w:t xml:space="preserve">        </w:t>
      </w:r>
      <w:r>
        <w:rPr>
          <w:rFonts w:hint="eastAsia" w:ascii="宋体" w:hAnsi="宋体"/>
          <w:bCs/>
          <w:color w:val="auto"/>
          <w:szCs w:val="21"/>
          <w:highlight w:val="none"/>
        </w:rPr>
        <w:t>日签订</w:t>
      </w:r>
    </w:p>
    <w:p w14:paraId="42F5527E">
      <w:pPr>
        <w:snapToGrid w:val="0"/>
        <w:spacing w:line="360" w:lineRule="auto"/>
        <w:ind w:firstLine="422" w:firstLineChars="200"/>
        <w:rPr>
          <w:rFonts w:hint="eastAsia" w:ascii="宋体" w:hAnsi="宋体"/>
          <w:b/>
          <w:color w:val="auto"/>
          <w:szCs w:val="21"/>
          <w:highlight w:val="none"/>
        </w:rPr>
      </w:pPr>
      <w:bookmarkStart w:id="2032" w:name="_Toc351203489"/>
      <w:bookmarkStart w:id="2033" w:name="_Toc532377175"/>
      <w:bookmarkStart w:id="2034" w:name="_Toc532375582"/>
      <w:r>
        <w:rPr>
          <w:rFonts w:hint="eastAsia" w:ascii="宋体" w:hAnsi="宋体"/>
          <w:b/>
          <w:color w:val="auto"/>
          <w:szCs w:val="21"/>
          <w:highlight w:val="none"/>
        </w:rPr>
        <w:t>十、</w:t>
      </w:r>
      <w:bookmarkEnd w:id="2032"/>
      <w:bookmarkStart w:id="2035" w:name="_Toc351203490"/>
      <w:r>
        <w:rPr>
          <w:rFonts w:hint="eastAsia" w:ascii="宋体" w:hAnsi="宋体"/>
          <w:b/>
          <w:color w:val="auto"/>
          <w:szCs w:val="21"/>
          <w:highlight w:val="none"/>
        </w:rPr>
        <w:t>签订地点</w:t>
      </w:r>
      <w:bookmarkEnd w:id="2033"/>
      <w:bookmarkEnd w:id="2034"/>
      <w:bookmarkEnd w:id="2035"/>
    </w:p>
    <w:p w14:paraId="586A726E">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color w:val="auto"/>
          <w:szCs w:val="21"/>
          <w:highlight w:val="none"/>
          <w:u w:val="single"/>
        </w:rPr>
        <w:t xml:space="preserve">        </w:t>
      </w:r>
      <w:r>
        <w:rPr>
          <w:rFonts w:hint="eastAsia" w:ascii="宋体" w:hAnsi="宋体"/>
          <w:bCs/>
          <w:color w:val="auto"/>
          <w:szCs w:val="21"/>
          <w:highlight w:val="none"/>
        </w:rPr>
        <w:t>签订。</w:t>
      </w:r>
    </w:p>
    <w:p w14:paraId="06B4CAD1">
      <w:pPr>
        <w:snapToGrid w:val="0"/>
        <w:spacing w:line="360" w:lineRule="auto"/>
        <w:ind w:firstLine="422" w:firstLineChars="200"/>
        <w:rPr>
          <w:rFonts w:hint="eastAsia" w:ascii="宋体" w:hAnsi="宋体"/>
          <w:b/>
          <w:color w:val="auto"/>
          <w:szCs w:val="21"/>
          <w:highlight w:val="none"/>
        </w:rPr>
      </w:pPr>
      <w:bookmarkStart w:id="2036" w:name="_Toc532377176"/>
      <w:bookmarkStart w:id="2037" w:name="_Toc532375583"/>
      <w:bookmarkStart w:id="2038" w:name="_Toc351203491"/>
      <w:r>
        <w:rPr>
          <w:rFonts w:hint="eastAsia" w:ascii="宋体" w:hAnsi="宋体"/>
          <w:b/>
          <w:color w:val="auto"/>
          <w:szCs w:val="21"/>
          <w:highlight w:val="none"/>
        </w:rPr>
        <w:t>十一、补充协议</w:t>
      </w:r>
      <w:bookmarkEnd w:id="2036"/>
      <w:bookmarkEnd w:id="2037"/>
      <w:bookmarkEnd w:id="2038"/>
    </w:p>
    <w:p w14:paraId="60D57A22">
      <w:pPr>
        <w:spacing w:line="360" w:lineRule="auto"/>
        <w:ind w:firstLine="420" w:firstLineChars="200"/>
        <w:rPr>
          <w:rFonts w:hint="eastAsia"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78BB4BC1">
      <w:pPr>
        <w:snapToGrid w:val="0"/>
        <w:spacing w:line="360" w:lineRule="auto"/>
        <w:ind w:firstLine="422" w:firstLineChars="200"/>
        <w:rPr>
          <w:rFonts w:hint="eastAsia" w:ascii="宋体" w:hAnsi="宋体"/>
          <w:b/>
          <w:color w:val="auto"/>
          <w:szCs w:val="21"/>
          <w:highlight w:val="none"/>
        </w:rPr>
      </w:pPr>
      <w:bookmarkStart w:id="2039" w:name="_Toc532375584"/>
      <w:bookmarkStart w:id="2040" w:name="_Toc351203492"/>
      <w:bookmarkStart w:id="2041" w:name="_Toc532377177"/>
      <w:r>
        <w:rPr>
          <w:rFonts w:hint="eastAsia" w:ascii="宋体" w:hAnsi="宋体"/>
          <w:b/>
          <w:color w:val="auto"/>
          <w:szCs w:val="21"/>
          <w:highlight w:val="none"/>
        </w:rPr>
        <w:t>十二、合同生效</w:t>
      </w:r>
      <w:bookmarkEnd w:id="2039"/>
      <w:bookmarkEnd w:id="2040"/>
      <w:bookmarkEnd w:id="2041"/>
    </w:p>
    <w:p w14:paraId="4456306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合同在以下条件全部满足之后生效：</w:t>
      </w:r>
    </w:p>
    <w:p w14:paraId="398C0B61">
      <w:pPr>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4C9D5CE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14:paraId="4C0213D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6C0C820">
      <w:pPr>
        <w:snapToGrid w:val="0"/>
        <w:spacing w:line="360" w:lineRule="auto"/>
        <w:ind w:firstLine="422" w:firstLineChars="200"/>
        <w:rPr>
          <w:rFonts w:hint="eastAsia" w:ascii="宋体" w:hAnsi="宋体"/>
          <w:b/>
          <w:color w:val="auto"/>
          <w:szCs w:val="21"/>
          <w:highlight w:val="none"/>
        </w:rPr>
      </w:pPr>
      <w:bookmarkStart w:id="2042" w:name="_Toc532375585"/>
      <w:bookmarkStart w:id="2043" w:name="_Toc532377178"/>
      <w:bookmarkStart w:id="2044" w:name="_Toc351203493"/>
      <w:r>
        <w:rPr>
          <w:rFonts w:hint="eastAsia" w:ascii="宋体" w:hAnsi="宋体"/>
          <w:b/>
          <w:color w:val="auto"/>
          <w:szCs w:val="21"/>
          <w:highlight w:val="none"/>
        </w:rPr>
        <w:t>十三、合同份数</w:t>
      </w:r>
      <w:bookmarkEnd w:id="2042"/>
      <w:bookmarkEnd w:id="2043"/>
      <w:bookmarkEnd w:id="2044"/>
    </w:p>
    <w:p w14:paraId="2CCA2800">
      <w:pPr>
        <w:spacing w:line="360" w:lineRule="auto"/>
        <w:ind w:firstLine="420" w:firstLineChars="200"/>
        <w:rPr>
          <w:rFonts w:hint="eastAsia"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14:paraId="626D6090">
      <w:pPr>
        <w:adjustRightInd w:val="0"/>
        <w:spacing w:line="360" w:lineRule="auto"/>
        <w:ind w:firstLine="420" w:firstLineChars="200"/>
        <w:rPr>
          <w:rFonts w:hint="eastAsia" w:ascii="宋体" w:hAnsi="宋体"/>
          <w:snapToGrid w:val="0"/>
          <w:color w:val="auto"/>
          <w:kern w:val="0"/>
          <w:szCs w:val="21"/>
          <w:highlight w:val="none"/>
        </w:rPr>
      </w:pPr>
      <w:bookmarkStart w:id="2045" w:name="_Toc467689623"/>
    </w:p>
    <w:p w14:paraId="191E68FB">
      <w:pPr>
        <w:adjustRightIn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3EAE118B">
      <w:pPr>
        <w:adjustRightIn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36E3C95A">
      <w:pPr>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BB062F3">
      <w:pPr>
        <w:spacing w:line="360" w:lineRule="auto"/>
        <w:ind w:firstLine="420" w:firstLineChars="200"/>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8D0FBA4">
      <w:pPr>
        <w:spacing w:line="360" w:lineRule="auto"/>
        <w:ind w:firstLine="420" w:firstLineChars="200"/>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452839E">
      <w:pPr>
        <w:spacing w:line="360" w:lineRule="auto"/>
        <w:ind w:firstLine="420" w:firstLineChars="200"/>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C90115A">
      <w:pPr>
        <w:spacing w:line="360" w:lineRule="auto"/>
        <w:ind w:firstLine="420" w:firstLineChars="200"/>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DF67214">
      <w:pPr>
        <w:spacing w:line="360" w:lineRule="auto"/>
        <w:ind w:firstLine="420" w:firstLineChars="200"/>
        <w:rPr>
          <w:rFonts w:hint="eastAsia"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2832E93">
      <w:pPr>
        <w:spacing w:line="360" w:lineRule="auto"/>
        <w:rPr>
          <w:rFonts w:hint="eastAsia" w:ascii="宋体" w:hAnsi="宋体"/>
          <w:snapToGrid w:val="0"/>
          <w:color w:val="auto"/>
          <w:kern w:val="0"/>
          <w:szCs w:val="21"/>
          <w:highlight w:val="none"/>
        </w:rPr>
      </w:pPr>
    </w:p>
    <w:p w14:paraId="3D9E97EB">
      <w:pPr>
        <w:spacing w:line="360" w:lineRule="auto"/>
        <w:ind w:firstLine="420" w:firstLineChars="200"/>
        <w:rPr>
          <w:rFonts w:hint="eastAsia"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0836D609">
      <w:pPr>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3ABDCB92">
      <w:pPr>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E3771A3">
      <w:pPr>
        <w:spacing w:line="360" w:lineRule="auto"/>
        <w:ind w:firstLine="420" w:firstLineChars="200"/>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00F4CA3">
      <w:pPr>
        <w:spacing w:line="360" w:lineRule="auto"/>
        <w:ind w:firstLine="420" w:firstLineChars="200"/>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5FBDB8F">
      <w:pPr>
        <w:spacing w:line="360" w:lineRule="auto"/>
        <w:ind w:firstLine="420" w:firstLineChars="200"/>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A22EEB0">
      <w:pPr>
        <w:spacing w:line="360" w:lineRule="auto"/>
        <w:ind w:firstLine="420" w:firstLineChars="200"/>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92BCBF4">
      <w:pPr>
        <w:spacing w:line="360" w:lineRule="auto"/>
        <w:ind w:firstLine="420" w:firstLineChars="200"/>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03C0656">
      <w:pPr>
        <w:spacing w:line="360" w:lineRule="auto"/>
        <w:ind w:right="210"/>
        <w:jc w:val="right"/>
        <w:rPr>
          <w:rFonts w:hint="eastAsia" w:ascii="宋体" w:hAnsi="宋体"/>
          <w:snapToGrid w:val="0"/>
          <w:color w:val="auto"/>
          <w:kern w:val="0"/>
          <w:szCs w:val="21"/>
          <w:highlight w:val="none"/>
        </w:rPr>
      </w:pPr>
    </w:p>
    <w:p w14:paraId="49CC0202">
      <w:pPr>
        <w:spacing w:line="360" w:lineRule="auto"/>
        <w:jc w:val="righ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2045"/>
      <w:bookmarkStart w:id="2046" w:name="_Toc240180917"/>
      <w:bookmarkStart w:id="2047" w:name="_Toc335223532"/>
      <w:bookmarkStart w:id="2048" w:name="_Toc467164258"/>
      <w:bookmarkStart w:id="2049" w:name="_Toc424558369"/>
      <w:bookmarkStart w:id="2050" w:name="_Toc509390697"/>
      <w:bookmarkStart w:id="2051" w:name="_Toc424558729"/>
    </w:p>
    <w:p w14:paraId="3275EECE">
      <w:pPr>
        <w:spacing w:line="360" w:lineRule="auto"/>
        <w:jc w:val="right"/>
        <w:rPr>
          <w:rFonts w:hint="eastAsia" w:ascii="宋体" w:hAnsi="宋体" w:cs="黑体"/>
          <w:color w:val="auto"/>
          <w:sz w:val="32"/>
          <w:szCs w:val="32"/>
          <w:highlight w:val="none"/>
        </w:rPr>
      </w:pPr>
      <w:r>
        <w:rPr>
          <w:rFonts w:hint="eastAsia" w:ascii="宋体" w:hAnsi="宋体"/>
          <w:snapToGrid w:val="0"/>
          <w:color w:val="auto"/>
          <w:kern w:val="0"/>
          <w:szCs w:val="21"/>
          <w:highlight w:val="none"/>
        </w:rPr>
        <w:br w:type="page"/>
      </w:r>
    </w:p>
    <w:p w14:paraId="715713C6">
      <w:pPr>
        <w:pStyle w:val="4"/>
        <w:jc w:val="center"/>
        <w:rPr>
          <w:rFonts w:hint="eastAsia" w:ascii="宋体" w:hAnsi="宋体" w:cs="黑体"/>
          <w:b w:val="0"/>
          <w:bCs w:val="0"/>
          <w:color w:val="auto"/>
          <w:highlight w:val="none"/>
        </w:rPr>
      </w:pPr>
      <w:bookmarkStart w:id="2052" w:name="_Toc19967"/>
      <w:bookmarkStart w:id="2053" w:name="_Toc57795992"/>
      <w:bookmarkStart w:id="2054" w:name="_Toc25844"/>
      <w:bookmarkStart w:id="2055" w:name="_Toc19434"/>
      <w:bookmarkStart w:id="2056" w:name="_Toc25254"/>
      <w:r>
        <w:rPr>
          <w:rFonts w:hint="eastAsia" w:ascii="宋体" w:hAnsi="宋体" w:cs="黑体"/>
          <w:b w:val="0"/>
          <w:bCs w:val="0"/>
          <w:color w:val="auto"/>
          <w:highlight w:val="none"/>
        </w:rPr>
        <w:t>附件二 廉政合同</w:t>
      </w:r>
      <w:bookmarkEnd w:id="2046"/>
      <w:bookmarkEnd w:id="2047"/>
      <w:bookmarkEnd w:id="2048"/>
      <w:bookmarkEnd w:id="2049"/>
      <w:bookmarkEnd w:id="2050"/>
      <w:bookmarkEnd w:id="2051"/>
      <w:bookmarkEnd w:id="2052"/>
      <w:bookmarkEnd w:id="2053"/>
      <w:bookmarkEnd w:id="2054"/>
      <w:bookmarkEnd w:id="2055"/>
      <w:bookmarkEnd w:id="2056"/>
    </w:p>
    <w:p w14:paraId="349E82F3">
      <w:pPr>
        <w:snapToGrid w:val="0"/>
        <w:spacing w:line="360"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40126D08">
      <w:pPr>
        <w:snapToGrid w:val="0"/>
        <w:spacing w:line="360"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1DEDB40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Cs w:val="21"/>
          <w:highlight w:val="none"/>
          <w:u w:val="single"/>
          <w:lang w:bidi="ar"/>
        </w:rPr>
        <w:t>（项目名称）</w:t>
      </w:r>
      <w:r>
        <w:rPr>
          <w:rFonts w:hint="eastAsia" w:ascii="宋体" w:hAnsi="宋体" w:cs="宋体"/>
          <w:color w:val="auto"/>
          <w:highlight w:val="none"/>
          <w:lang w:bidi="ar"/>
        </w:rPr>
        <w:t>发包人</w:t>
      </w:r>
      <w:r>
        <w:rPr>
          <w:rFonts w:hint="eastAsia" w:ascii="宋体" w:hAnsi="宋体" w:cs="宋体"/>
          <w:color w:val="auto"/>
          <w:highlight w:val="none"/>
          <w:u w:val="single"/>
          <w:lang w:bidi="ar"/>
        </w:rPr>
        <w:t xml:space="preserve">（全称） </w:t>
      </w:r>
      <w:r>
        <w:rPr>
          <w:rFonts w:hint="eastAsia" w:ascii="宋体" w:hAnsi="宋体" w:cs="宋体"/>
          <w:color w:val="auto"/>
          <w:highlight w:val="none"/>
          <w:lang w:bidi="ar"/>
        </w:rPr>
        <w:t>与该项目</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标段施工单位</w:t>
      </w:r>
      <w:r>
        <w:rPr>
          <w:rFonts w:hint="eastAsia" w:ascii="宋体" w:hAnsi="宋体" w:cs="宋体"/>
          <w:color w:val="auto"/>
          <w:highlight w:val="none"/>
          <w:u w:val="single"/>
          <w:lang w:bidi="ar"/>
        </w:rPr>
        <w:t xml:space="preserve"> （全称）</w:t>
      </w:r>
      <w:r>
        <w:rPr>
          <w:rFonts w:hint="eastAsia" w:ascii="宋体" w:hAnsi="宋体" w:cs="宋体"/>
          <w:color w:val="auto"/>
          <w:highlight w:val="none"/>
          <w:lang w:bidi="ar"/>
        </w:rPr>
        <w:t>（以下称承包人），特订立如下合同。</w:t>
      </w:r>
    </w:p>
    <w:p w14:paraId="4321695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 发包人和承包人双方的权利和义务</w:t>
      </w:r>
    </w:p>
    <w:p w14:paraId="73D3B3F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（1）严格遵守党的政策规定和国家有关法律法规及交通运输部的有关规定。</w:t>
      </w:r>
    </w:p>
    <w:p w14:paraId="1BAB871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（2）严格执行</w:t>
      </w:r>
      <w:r>
        <w:rPr>
          <w:rFonts w:hint="eastAsia" w:ascii="宋体" w:hAnsi="宋体" w:cs="宋体"/>
          <w:color w:val="auto"/>
          <w:szCs w:val="21"/>
          <w:highlight w:val="none"/>
          <w:u w:val="single"/>
          <w:lang w:bidi="ar"/>
        </w:rPr>
        <w:t>（项目名称）（标段名称）</w:t>
      </w:r>
      <w:r>
        <w:rPr>
          <w:rFonts w:hint="eastAsia" w:ascii="宋体" w:hAnsi="宋体" w:cs="宋体"/>
          <w:color w:val="auto"/>
          <w:highlight w:val="none"/>
          <w:lang w:bidi="ar"/>
        </w:rPr>
        <w:t>的施工合同文件，自觉按合同办事。</w:t>
      </w:r>
    </w:p>
    <w:p w14:paraId="1E69283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（3）双方的业务活动坚持公开、公正、诚信、透明的原则（法律认定的商业秘密和合同文件另有规定除外），不得损害国家和集体利益，违反工程建设管理规章制度。</w:t>
      </w:r>
    </w:p>
    <w:p w14:paraId="433775D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（4）建立健全廉政制度，开展廉政教育，设立廉政告示牌，公布举报电话，监督并认真查处违法违纪行为。</w:t>
      </w:r>
    </w:p>
    <w:p w14:paraId="41B02F4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（5）发现对方在业务活动中有违反廉政规定的行为，有及时提醒对方纠正的权利和义务。</w:t>
      </w:r>
    </w:p>
    <w:p w14:paraId="1F130B9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（6）发现对方严重违反本合同义务条款的行为，有向其上级有关部门举报、建议给予处理并要求告知处理结果的权利。</w:t>
      </w:r>
    </w:p>
    <w:p w14:paraId="38B0744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 发包人的义务</w:t>
      </w:r>
    </w:p>
    <w:p w14:paraId="646A7CA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（1）发包人及其工作人员不得索要或接受承包人的礼金、有价证券和贵重物品，不得让承包人报销任何应由发包人或发包人工作人员支付的费用等。</w:t>
      </w:r>
    </w:p>
    <w:p w14:paraId="643CBB8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（2）发包人工作人员不得参加承包人安排的超标准宴请和娱乐活动；不得接受承包人提供的通讯工具、交通工具和高档办公用品等。</w:t>
      </w:r>
    </w:p>
    <w:p w14:paraId="08F21D7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（3）发包人及其工作人员不得要求或接受承包人为其住房装修、婚丧嫁娶活动、配偶子女的工作安排以及出国出境、旅游等提供方便等。</w:t>
      </w:r>
    </w:p>
    <w:p w14:paraId="4B61B47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（4）发包人工作人员及其配偶、子女不得参与从事与发包人工程有关的材料设备供应、工程分包、劳务等经济活动。</w:t>
      </w:r>
    </w:p>
    <w:p w14:paraId="7E54858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（5）发包人及其工作人员不得以任何理由向承包人推荐分包单位或推销材料，不得要求承包人购买合同规定外的材料和设备。</w:t>
      </w:r>
    </w:p>
    <w:p w14:paraId="0B937F8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（6）发包人工作人员要秉公办事，不准营私舞弊，不准利用职权从事各种个人有偿中介活动和安排个人施工队伍。</w:t>
      </w:r>
    </w:p>
    <w:p w14:paraId="348F749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 承包人义务</w:t>
      </w:r>
    </w:p>
    <w:p w14:paraId="7E79BBC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（1）承包人不得以任何理由向发包人及其工作人员行贿或赠礼金、有价证券、贵重礼品。</w:t>
      </w:r>
    </w:p>
    <w:p w14:paraId="1F26584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（2）承包人不得以任何名义为发包人及其工作人员报销应由发包人单位或个人支付的任何费用。</w:t>
      </w:r>
    </w:p>
    <w:p w14:paraId="1D1472A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（3）承包人不得以任何理由安排发包人工作人员参加超标准宴请及娱乐活动。</w:t>
      </w:r>
    </w:p>
    <w:p w14:paraId="3480587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（4）承包人不得为发包人和个人购置或提供通讯工具、交通工具和高档办公用品等。</w:t>
      </w:r>
    </w:p>
    <w:p w14:paraId="3ACEFCF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 违约责任</w:t>
      </w:r>
    </w:p>
    <w:p w14:paraId="31CA5B0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（1）发包人及其工作人员违反本合同第1、2条，按管理权限，依据有关规定给予党纪、政纪或组织处理，涉嫌犯罪的，移交司法机关追究刑事责任；给承包人造成经济损失的，应予以赔偿。</w:t>
      </w:r>
    </w:p>
    <w:p w14:paraId="3B120AB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（2）承包人及其工作人员违反本合同第1、3条，按管理权限，依据有关规定给予党纪、政纪或组织处理；给发包人单位造成损失的，应予以赔偿；情节严重的，发包人将上报交通工程建设主管部门。</w:t>
      </w:r>
    </w:p>
    <w:p w14:paraId="3E31975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 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0F870F4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6. 本合同有效期为发包人和承包人签署之日起至该工程项目竣工验收后止。</w:t>
      </w:r>
    </w:p>
    <w:p w14:paraId="4B615B7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7. 本合同作为</w:t>
      </w:r>
      <w:r>
        <w:rPr>
          <w:rFonts w:hint="eastAsia" w:ascii="宋体" w:hAnsi="宋体" w:cs="宋体"/>
          <w:color w:val="auto"/>
          <w:highlight w:val="none"/>
          <w:u w:val="single"/>
          <w:lang w:bidi="ar"/>
        </w:rPr>
        <w:t>　　</w:t>
      </w:r>
      <w:r>
        <w:rPr>
          <w:rFonts w:hint="eastAsia" w:ascii="宋体" w:hAnsi="宋体" w:cs="宋体"/>
          <w:color w:val="auto"/>
          <w:szCs w:val="21"/>
          <w:highlight w:val="none"/>
          <w:u w:val="single"/>
          <w:lang w:bidi="ar"/>
        </w:rPr>
        <w:t>（项目名称）　　</w:t>
      </w:r>
      <w:r>
        <w:rPr>
          <w:rFonts w:hint="eastAsia" w:ascii="宋体" w:hAnsi="宋体" w:cs="宋体"/>
          <w:color w:val="auto"/>
          <w:szCs w:val="21"/>
          <w:highlight w:val="none"/>
          <w:lang w:bidi="ar"/>
        </w:rPr>
        <w:t>标段施工</w:t>
      </w:r>
      <w:r>
        <w:rPr>
          <w:rFonts w:hint="eastAsia" w:ascii="宋体" w:hAnsi="宋体" w:cs="宋体"/>
          <w:color w:val="auto"/>
          <w:highlight w:val="none"/>
          <w:lang w:bidi="ar"/>
        </w:rPr>
        <w:t>合同的附件，与工程施工合同具有同等的法律效力，经合同双方签署立即生效。</w:t>
      </w:r>
    </w:p>
    <w:p w14:paraId="70FE2A0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8. 本合同一式四份，由发包人和承包人各执一份，送交发包人和承包人的监督单位各一份。</w:t>
      </w:r>
    </w:p>
    <w:p w14:paraId="619E89C2">
      <w:pPr>
        <w:spacing w:line="360" w:lineRule="auto"/>
        <w:rPr>
          <w:rFonts w:hint="eastAsia" w:ascii="宋体" w:hAnsi="宋体" w:cs="宋体"/>
          <w:color w:val="auto"/>
          <w:highlight w:val="none"/>
        </w:rPr>
      </w:pPr>
    </w:p>
    <w:p w14:paraId="1A17BB35">
      <w:pPr>
        <w:spacing w:line="360" w:lineRule="auto"/>
        <w:rPr>
          <w:rFonts w:hint="eastAsia" w:ascii="宋体" w:hAnsi="宋体" w:cs="宋体"/>
          <w:color w:val="auto"/>
          <w:highlight w:val="none"/>
        </w:rPr>
      </w:pPr>
      <w:r>
        <w:rPr>
          <w:rFonts w:hint="eastAsia" w:ascii="宋体" w:hAnsi="宋体" w:cs="宋体"/>
          <w:color w:val="auto"/>
          <w:highlight w:val="none"/>
          <w:lang w:bidi="ar"/>
        </w:rPr>
        <w:t>发包人：</w:t>
      </w:r>
      <w:r>
        <w:rPr>
          <w:rFonts w:hint="eastAsia" w:ascii="宋体" w:hAnsi="宋体" w:cs="宋体"/>
          <w:color w:val="auto"/>
          <w:highlight w:val="none"/>
          <w:u w:val="single"/>
          <w:lang w:bidi="ar"/>
        </w:rPr>
        <w:t xml:space="preserve"> （单位全称）（盖单位公章） </w:t>
      </w:r>
      <w:r>
        <w:rPr>
          <w:rFonts w:hint="eastAsia" w:ascii="宋体" w:hAnsi="宋体" w:cs="宋体"/>
          <w:color w:val="auto"/>
          <w:highlight w:val="none"/>
          <w:lang w:bidi="ar"/>
        </w:rPr>
        <w:t xml:space="preserve">               承包人： </w:t>
      </w:r>
      <w:r>
        <w:rPr>
          <w:rFonts w:hint="eastAsia" w:ascii="宋体" w:hAnsi="宋体" w:cs="宋体"/>
          <w:color w:val="auto"/>
          <w:highlight w:val="none"/>
          <w:u w:val="single"/>
          <w:lang w:bidi="ar"/>
        </w:rPr>
        <w:t xml:space="preserve"> （单位全称）（盖单位公章）</w:t>
      </w:r>
    </w:p>
    <w:p w14:paraId="1B75B107">
      <w:pPr>
        <w:spacing w:line="360" w:lineRule="auto"/>
        <w:ind w:left="2205" w:hanging="2205" w:hangingChars="1050"/>
        <w:rPr>
          <w:rFonts w:hint="eastAsia" w:ascii="宋体" w:hAnsi="宋体" w:cs="宋体"/>
          <w:color w:val="auto"/>
          <w:highlight w:val="none"/>
        </w:rPr>
      </w:pPr>
      <w:r>
        <w:rPr>
          <w:rFonts w:hint="eastAsia" w:ascii="宋体" w:hAnsi="宋体" w:cs="宋体"/>
          <w:color w:val="auto"/>
          <w:highlight w:val="none"/>
          <w:lang w:bidi="ar"/>
        </w:rPr>
        <w:t>法定代表人或其授权的代理人：</w:t>
      </w:r>
      <w:r>
        <w:rPr>
          <w:rFonts w:hint="eastAsia" w:ascii="宋体" w:hAnsi="宋体" w:cs="宋体"/>
          <w:color w:val="auto"/>
          <w:highlight w:val="none"/>
          <w:u w:val="single"/>
          <w:lang w:bidi="ar"/>
        </w:rPr>
        <w:t xml:space="preserve">（签名） </w:t>
      </w:r>
      <w:r>
        <w:rPr>
          <w:rFonts w:hint="eastAsia" w:ascii="宋体" w:hAnsi="宋体" w:cs="宋体"/>
          <w:color w:val="auto"/>
          <w:highlight w:val="none"/>
          <w:lang w:bidi="ar"/>
        </w:rPr>
        <w:t xml:space="preserve">    法定代表人或其授权的代理人：</w:t>
      </w:r>
      <w:r>
        <w:rPr>
          <w:rFonts w:hint="eastAsia" w:ascii="宋体" w:hAnsi="宋体" w:cs="宋体"/>
          <w:color w:val="auto"/>
          <w:highlight w:val="none"/>
          <w:u w:val="single"/>
          <w:lang w:bidi="ar"/>
        </w:rPr>
        <w:t>（签名）</w:t>
      </w:r>
      <w:r>
        <w:rPr>
          <w:rFonts w:hint="eastAsia" w:ascii="宋体" w:hAnsi="宋体" w:cs="宋体"/>
          <w:color w:val="auto"/>
          <w:highlight w:val="none"/>
          <w:lang w:bidi="ar"/>
        </w:rPr>
        <w:t xml:space="preserve">                        </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 </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   </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   年</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月</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日                 年</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月</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日</w:t>
      </w:r>
    </w:p>
    <w:p w14:paraId="0D152C0B">
      <w:pPr>
        <w:spacing w:line="360" w:lineRule="auto"/>
        <w:rPr>
          <w:rFonts w:hint="eastAsia" w:ascii="宋体" w:hAnsi="宋体" w:cs="宋体"/>
          <w:color w:val="auto"/>
          <w:highlight w:val="none"/>
        </w:rPr>
      </w:pPr>
    </w:p>
    <w:p w14:paraId="004754F4">
      <w:pPr>
        <w:spacing w:line="360" w:lineRule="auto"/>
        <w:rPr>
          <w:rFonts w:hint="eastAsia" w:ascii="宋体" w:hAnsi="宋体" w:cs="宋体"/>
          <w:color w:val="auto"/>
          <w:highlight w:val="none"/>
          <w:u w:val="single"/>
        </w:rPr>
      </w:pPr>
      <w:r>
        <w:rPr>
          <w:rFonts w:hint="eastAsia" w:ascii="宋体" w:hAnsi="宋体" w:cs="宋体"/>
          <w:color w:val="auto"/>
          <w:highlight w:val="none"/>
          <w:lang w:bidi="ar"/>
        </w:rPr>
        <w:t>发包人监督单位：</w:t>
      </w:r>
      <w:r>
        <w:rPr>
          <w:rFonts w:hint="eastAsia" w:ascii="宋体" w:hAnsi="宋体" w:cs="宋体"/>
          <w:color w:val="auto"/>
          <w:highlight w:val="none"/>
          <w:u w:val="single"/>
          <w:lang w:bidi="ar"/>
        </w:rPr>
        <w:t xml:space="preserve">（全称） （盖公章） </w:t>
      </w:r>
      <w:r>
        <w:rPr>
          <w:rFonts w:hint="eastAsia" w:ascii="宋体" w:hAnsi="宋体" w:cs="宋体"/>
          <w:color w:val="auto"/>
          <w:highlight w:val="none"/>
          <w:lang w:bidi="ar"/>
        </w:rPr>
        <w:t xml:space="preserve">             承包人监督单位：</w:t>
      </w:r>
      <w:r>
        <w:rPr>
          <w:rFonts w:hint="eastAsia" w:ascii="宋体" w:hAnsi="宋体" w:cs="宋体"/>
          <w:color w:val="auto"/>
          <w:highlight w:val="none"/>
          <w:u w:val="single"/>
          <w:lang w:bidi="ar"/>
        </w:rPr>
        <w:t xml:space="preserve">（全称） （盖公章） </w:t>
      </w:r>
    </w:p>
    <w:p w14:paraId="4B92B589">
      <w:pPr>
        <w:spacing w:line="360" w:lineRule="auto"/>
        <w:jc w:val="right"/>
        <w:rPr>
          <w:rFonts w:hint="eastAsia" w:ascii="宋体" w:hAnsi="宋体"/>
          <w:snapToGrid w:val="0"/>
          <w:color w:val="auto"/>
          <w:kern w:val="0"/>
          <w:szCs w:val="21"/>
          <w:highlight w:val="none"/>
        </w:rPr>
      </w:pPr>
    </w:p>
    <w:bookmarkEnd w:id="1995"/>
    <w:bookmarkEnd w:id="1996"/>
    <w:bookmarkEnd w:id="1997"/>
    <w:bookmarkEnd w:id="1998"/>
    <w:bookmarkEnd w:id="1999"/>
    <w:bookmarkEnd w:id="2000"/>
    <w:bookmarkEnd w:id="2001"/>
    <w:bookmarkEnd w:id="2002"/>
    <w:bookmarkEnd w:id="2003"/>
    <w:p w14:paraId="564B18A5">
      <w:pPr>
        <w:pStyle w:val="42"/>
        <w:keepNext/>
        <w:keepLines/>
        <w:tabs>
          <w:tab w:val="left" w:pos="420"/>
        </w:tabs>
        <w:spacing w:line="400" w:lineRule="exact"/>
        <w:jc w:val="center"/>
        <w:outlineLvl w:val="2"/>
        <w:rPr>
          <w:rFonts w:hint="eastAsia" w:ascii="宋体" w:hAnsi="宋体"/>
          <w:color w:val="auto"/>
          <w:sz w:val="32"/>
          <w:szCs w:val="32"/>
          <w:highlight w:val="none"/>
        </w:rPr>
      </w:pPr>
      <w:bookmarkStart w:id="2057" w:name="_Toc509390698"/>
      <w:bookmarkStart w:id="2058" w:name="_Toc424558370"/>
      <w:bookmarkStart w:id="2059" w:name="_Toc424558730"/>
      <w:bookmarkStart w:id="2060" w:name="_Toc335223533"/>
      <w:bookmarkStart w:id="2061" w:name="_Toc467164259"/>
      <w:bookmarkStart w:id="2062" w:name="_Toc240180918"/>
      <w:bookmarkStart w:id="2063" w:name="_Toc183589134"/>
      <w:bookmarkStart w:id="2064" w:name="_Toc182293837"/>
      <w:bookmarkStart w:id="2065" w:name="_Toc223335459"/>
      <w:r>
        <w:rPr>
          <w:rFonts w:ascii="宋体" w:hAnsi="宋体"/>
          <w:color w:val="auto"/>
          <w:sz w:val="21"/>
          <w:highlight w:val="none"/>
        </w:rPr>
        <w:br w:type="page"/>
      </w:r>
      <w:bookmarkStart w:id="2066" w:name="_Toc8264"/>
      <w:bookmarkStart w:id="2067" w:name="_Toc27329"/>
      <w:bookmarkStart w:id="2068" w:name="_Toc12774"/>
      <w:bookmarkStart w:id="2069" w:name="_Toc19579"/>
      <w:bookmarkStart w:id="2070" w:name="_Toc57795993"/>
      <w:r>
        <w:rPr>
          <w:rFonts w:hint="eastAsia" w:ascii="宋体" w:hAnsi="宋体" w:cs="黑体"/>
          <w:color w:val="auto"/>
          <w:sz w:val="32"/>
          <w:szCs w:val="32"/>
          <w:highlight w:val="none"/>
          <w:lang w:bidi="ar"/>
        </w:rPr>
        <w:t>附件三 安全生产合同</w:t>
      </w:r>
      <w:bookmarkEnd w:id="2057"/>
      <w:bookmarkEnd w:id="2058"/>
      <w:bookmarkEnd w:id="2059"/>
      <w:bookmarkEnd w:id="2060"/>
      <w:bookmarkEnd w:id="2061"/>
      <w:bookmarkEnd w:id="2062"/>
      <w:bookmarkEnd w:id="2066"/>
      <w:bookmarkEnd w:id="2067"/>
      <w:bookmarkEnd w:id="2068"/>
      <w:bookmarkEnd w:id="2069"/>
      <w:bookmarkEnd w:id="2070"/>
    </w:p>
    <w:bookmarkEnd w:id="2063"/>
    <w:bookmarkEnd w:id="2064"/>
    <w:bookmarkEnd w:id="2065"/>
    <w:p w14:paraId="19FD4BEF">
      <w:pPr>
        <w:jc w:val="center"/>
        <w:rPr>
          <w:rFonts w:hint="eastAsia" w:ascii="宋体" w:hAnsi="宋体" w:cs="宋体"/>
          <w:b/>
          <w:color w:val="auto"/>
          <w:sz w:val="32"/>
          <w:szCs w:val="32"/>
          <w:highlight w:val="none"/>
        </w:rPr>
      </w:pPr>
    </w:p>
    <w:p w14:paraId="2556C912">
      <w:pPr>
        <w:snapToGrid w:val="0"/>
        <w:spacing w:line="360"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0D6C88B1">
      <w:pPr>
        <w:snapToGrid w:val="0"/>
        <w:spacing w:line="360"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17C496E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为在</w:t>
      </w:r>
      <w:r>
        <w:rPr>
          <w:rFonts w:hint="eastAsia" w:ascii="宋体" w:hAnsi="宋体" w:cs="宋体"/>
          <w:color w:val="auto"/>
          <w:highlight w:val="none"/>
          <w:u w:val="single"/>
          <w:lang w:bidi="ar"/>
        </w:rPr>
        <w:t xml:space="preserve">         （项目名称）      </w:t>
      </w:r>
      <w:r>
        <w:rPr>
          <w:rFonts w:hint="eastAsia" w:ascii="宋体" w:hAnsi="宋体" w:cs="宋体"/>
          <w:color w:val="auto"/>
          <w:szCs w:val="21"/>
          <w:highlight w:val="none"/>
          <w:u w:val="single"/>
          <w:lang w:bidi="ar"/>
        </w:rPr>
        <w:t xml:space="preserve">    标段</w:t>
      </w:r>
      <w:r>
        <w:rPr>
          <w:rFonts w:hint="eastAsia" w:ascii="宋体" w:hAnsi="宋体" w:cs="宋体"/>
          <w:color w:val="auto"/>
          <w:highlight w:val="none"/>
          <w:lang w:bidi="ar"/>
        </w:rPr>
        <w:t>合同的实施过程中创造安全、高效的施工环境，切实搞好本项目的管理工作，本项目发包人</w:t>
      </w:r>
      <w:r>
        <w:rPr>
          <w:rFonts w:hint="eastAsia" w:ascii="宋体" w:hAnsi="宋体" w:cs="宋体"/>
          <w:color w:val="auto"/>
          <w:highlight w:val="none"/>
          <w:u w:val="single"/>
          <w:lang w:bidi="ar"/>
        </w:rPr>
        <w:t xml:space="preserve">      （全称）       </w:t>
      </w:r>
      <w:r>
        <w:rPr>
          <w:rFonts w:hint="eastAsia" w:ascii="宋体" w:hAnsi="宋体" w:cs="宋体"/>
          <w:color w:val="auto"/>
          <w:highlight w:val="none"/>
          <w:lang w:bidi="ar"/>
        </w:rPr>
        <w:t>（以下简称“发包人”）与承包人_</w:t>
      </w:r>
      <w:r>
        <w:rPr>
          <w:rFonts w:hint="eastAsia" w:ascii="宋体" w:hAnsi="宋体" w:cs="宋体"/>
          <w:color w:val="auto"/>
          <w:highlight w:val="none"/>
          <w:u w:val="single"/>
          <w:lang w:bidi="ar"/>
        </w:rPr>
        <w:t xml:space="preserve">   （全称）   </w:t>
      </w:r>
      <w:r>
        <w:rPr>
          <w:rFonts w:hint="eastAsia" w:ascii="宋体" w:hAnsi="宋体" w:cs="宋体"/>
          <w:color w:val="auto"/>
          <w:highlight w:val="none"/>
          <w:lang w:bidi="ar"/>
        </w:rPr>
        <w:t xml:space="preserve"> （以下简称“承包人”）特此签订安全生产合同。</w:t>
      </w:r>
    </w:p>
    <w:p w14:paraId="6BDE53B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1.、发包人职责</w:t>
      </w:r>
    </w:p>
    <w:p w14:paraId="4B3E82F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（1）严格遵守国家有关安全生产的法律法规，认真执行工程承包合同中的有关安全要求。</w:t>
      </w:r>
    </w:p>
    <w:p w14:paraId="38336F1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（2）按照“安全第一、预防为主”和坚持“管生产必须管理安全”的原则进行安全生产管理，做到生产与安全工作同时计划、布置、检查、总结和评比。</w:t>
      </w:r>
    </w:p>
    <w:p w14:paraId="283976A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（3）重要的安全设施必须坚持与主体工程“三同时”的原则，即：同时设计、审批，同时施工，同时验收，投入使用。</w:t>
      </w:r>
    </w:p>
    <w:p w14:paraId="3F89F8C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（4）定期召开安全生产调度会，及时传达中央及地方有关安全生产的精神。</w:t>
      </w:r>
    </w:p>
    <w:p w14:paraId="2B1AAE4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（5）组织对承包人施工现场安全生产检查，监督承包人及时处理发现的各种安全隐患。</w:t>
      </w:r>
    </w:p>
    <w:p w14:paraId="399CE9E1">
      <w:pPr>
        <w:spacing w:line="360" w:lineRule="auto"/>
        <w:ind w:firstLine="420" w:firstLineChars="200"/>
        <w:rPr>
          <w:rFonts w:hint="eastAsia" w:ascii="宋体" w:hAnsi="宋体" w:cs="宋体"/>
          <w:color w:val="auto"/>
          <w:highlight w:val="none"/>
        </w:rPr>
      </w:pPr>
      <w:bookmarkStart w:id="2071" w:name="_Toc424558371"/>
      <w:r>
        <w:rPr>
          <w:rFonts w:hint="eastAsia" w:ascii="宋体" w:hAnsi="宋体" w:cs="宋体"/>
          <w:color w:val="auto"/>
          <w:highlight w:val="none"/>
          <w:lang w:bidi="ar"/>
        </w:rPr>
        <w:t>2. 承包人职责</w:t>
      </w:r>
      <w:bookmarkEnd w:id="2071"/>
    </w:p>
    <w:p w14:paraId="53C541E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严格遵守《中华人民共和国安全生产法》、《建设工程安全生产管理条例》等国家有关安全生产的法律法规、《公路水运工程安全生产监督管理办法》、《公路工程施工安全技术规范》等有关安全生产的规定，认真执行工程承包合同中的有关安全要求。</w:t>
      </w:r>
    </w:p>
    <w:p w14:paraId="517DA9E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CEC209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9AA3B1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（4）承包人在任何时候都应采取各种合理的预防措施，防止员工发生违法、违禁、暴力或妨碍治安的行为。</w:t>
      </w:r>
    </w:p>
    <w:p w14:paraId="42AA723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FEDA2E5">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14:paraId="7A8EF405">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（7）操作人员上岗，必须按规定穿戴防护用品。施工负责人和安全检查员应随时检查劳动防护用品的穿戴情况，不按规定穿戴防护用品的人员不得上岗。</w:t>
      </w:r>
    </w:p>
    <w:p w14:paraId="593452EF">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（8）所有施工机具设备和高空作业的设备均应定期检查，并有安全员的签名记录，保证其经常处于完好状态；不合格的机具、设备和劳动保护用品严禁使用。</w:t>
      </w:r>
    </w:p>
    <w:p w14:paraId="475E830D">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（9）施工中采用新技术、新工艺、新设备、新材料时，必须制定相应的安全技术措施，施工现场必须具有相关的安全标志牌。</w:t>
      </w:r>
    </w:p>
    <w:p w14:paraId="0FD6569A">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10）承包人必须按照本工程项目特点，组织指定本工程实施中的生产安全事故应急救援预案；如果发生安全事故，应按照《国务院关于特大安全事故行政责任追究的规定》以及其它有关规定，及时上报有关部门，并坚持“四不放过”的原则，严肃处理相关责任人。</w:t>
      </w:r>
    </w:p>
    <w:p w14:paraId="2CC5135C">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（11）安全生产费用按照《企业安全生产费用提取和使用管理办法》的相关规定使用和管理。</w:t>
      </w:r>
    </w:p>
    <w:p w14:paraId="1F8479D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 违约责任</w:t>
      </w:r>
    </w:p>
    <w:p w14:paraId="38437A5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如因发包人或承包人违约造成安全事故，将依法追究责任。</w:t>
      </w:r>
    </w:p>
    <w:p w14:paraId="0FB8FC6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 本合同由双方法定代表人或起授权的代理人签署与加盖公章后生效，全部工程竣工验收后失效。</w:t>
      </w:r>
    </w:p>
    <w:p w14:paraId="46B8AA81">
      <w:pPr>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5.本合同正本二份，副本</w:t>
      </w:r>
      <w:r>
        <w:rPr>
          <w:rFonts w:hint="eastAsia" w:ascii="宋体" w:hAnsi="宋体" w:cs="宋体"/>
          <w:color w:val="auto"/>
          <w:highlight w:val="none"/>
          <w:u w:val="single"/>
          <w:lang w:bidi="ar"/>
        </w:rPr>
        <w:t>　　</w:t>
      </w:r>
      <w:r>
        <w:rPr>
          <w:rFonts w:hint="eastAsia" w:ascii="宋体" w:hAnsi="宋体" w:cs="宋体"/>
          <w:color w:val="auto"/>
          <w:highlight w:val="none"/>
          <w:lang w:bidi="ar"/>
        </w:rPr>
        <w:t>份，合同双方各执正本一份，副本</w:t>
      </w:r>
      <w:r>
        <w:rPr>
          <w:rFonts w:hint="eastAsia" w:ascii="宋体" w:hAnsi="宋体" w:cs="宋体"/>
          <w:color w:val="auto"/>
          <w:highlight w:val="none"/>
          <w:u w:val="single"/>
          <w:lang w:bidi="ar"/>
        </w:rPr>
        <w:t>　　</w:t>
      </w:r>
      <w:r>
        <w:rPr>
          <w:rFonts w:hint="eastAsia" w:ascii="宋体" w:hAnsi="宋体" w:cs="宋体"/>
          <w:color w:val="auto"/>
          <w:highlight w:val="none"/>
          <w:lang w:bidi="ar"/>
        </w:rPr>
        <w:t>份，当正本与副本不一致时，以正本为准。</w:t>
      </w:r>
    </w:p>
    <w:p w14:paraId="3571E697">
      <w:pPr>
        <w:spacing w:line="360" w:lineRule="auto"/>
        <w:ind w:firstLine="420" w:firstLineChars="200"/>
        <w:rPr>
          <w:rFonts w:hint="eastAsia" w:ascii="宋体" w:hAnsi="宋体" w:cs="宋体"/>
          <w:color w:val="auto"/>
          <w:highlight w:val="none"/>
          <w:lang w:bidi="ar"/>
        </w:rPr>
      </w:pPr>
    </w:p>
    <w:p w14:paraId="6DA7EC85">
      <w:pPr>
        <w:spacing w:line="360" w:lineRule="auto"/>
        <w:ind w:firstLine="420" w:firstLineChars="200"/>
        <w:rPr>
          <w:rFonts w:hint="eastAsia" w:ascii="宋体" w:hAnsi="宋体" w:cs="宋体"/>
          <w:color w:val="auto"/>
          <w:highlight w:val="none"/>
          <w:lang w:bidi="ar"/>
        </w:rPr>
      </w:pPr>
    </w:p>
    <w:p w14:paraId="5E2996F6">
      <w:pPr>
        <w:spacing w:line="360" w:lineRule="auto"/>
        <w:rPr>
          <w:rFonts w:hint="default" w:ascii="宋体" w:hAnsi="宋体" w:eastAsia="宋体" w:cs="宋体"/>
          <w:color w:val="auto"/>
          <w:highlight w:val="none"/>
          <w:u w:val="single"/>
          <w:lang w:val="en-US" w:eastAsia="zh-CN"/>
        </w:rPr>
      </w:pPr>
      <w:r>
        <w:rPr>
          <w:rFonts w:hint="eastAsia" w:ascii="宋体" w:hAnsi="宋体" w:cs="宋体"/>
          <w:color w:val="auto"/>
          <w:highlight w:val="none"/>
          <w:lang w:bidi="ar"/>
        </w:rPr>
        <w:t>发包人</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盖章</w:t>
      </w:r>
      <w:r>
        <w:rPr>
          <w:rFonts w:hint="eastAsia" w:ascii="宋体" w:hAnsi="宋体" w:cs="宋体"/>
          <w:color w:val="auto"/>
          <w:highlight w:val="none"/>
          <w:lang w:eastAsia="zh-CN" w:bidi="ar"/>
        </w:rPr>
        <w:t>）</w:t>
      </w:r>
      <w:r>
        <w:rPr>
          <w:rFonts w:hint="eastAsia" w:ascii="宋体" w:hAnsi="宋体" w:cs="宋体"/>
          <w:color w:val="auto"/>
          <w:highlight w:val="none"/>
          <w:lang w:bidi="ar"/>
        </w:rPr>
        <w:t>：</w:t>
      </w:r>
      <w:r>
        <w:rPr>
          <w:rFonts w:hint="eastAsia" w:ascii="宋体" w:hAnsi="宋体" w:cs="宋体"/>
          <w:color w:val="auto"/>
          <w:highlight w:val="none"/>
          <w:u w:val="single"/>
          <w:lang w:bidi="ar"/>
        </w:rPr>
        <w:t xml:space="preserve">    </w:t>
      </w:r>
      <w:r>
        <w:rPr>
          <w:rFonts w:hint="eastAsia" w:ascii="宋体" w:hAnsi="宋体" w:cs="宋体"/>
          <w:color w:val="auto"/>
          <w:highlight w:val="none"/>
          <w:u w:val="single"/>
          <w:lang w:val="en-US" w:eastAsia="zh-CN" w:bidi="ar"/>
        </w:rPr>
        <w:t xml:space="preserve">           </w:t>
      </w:r>
      <w:r>
        <w:rPr>
          <w:rFonts w:hint="eastAsia" w:ascii="宋体" w:hAnsi="宋体" w:cs="宋体"/>
          <w:color w:val="auto"/>
          <w:highlight w:val="none"/>
          <w:lang w:bidi="ar"/>
        </w:rPr>
        <w:t xml:space="preserve">              </w:t>
      </w:r>
      <w:r>
        <w:rPr>
          <w:rFonts w:hint="eastAsia" w:ascii="宋体" w:hAnsi="宋体" w:cs="宋体"/>
          <w:color w:val="auto"/>
          <w:highlight w:val="none"/>
          <w:u w:val="none"/>
          <w:lang w:val="en-US" w:eastAsia="zh-CN" w:bidi="ar"/>
        </w:rPr>
        <w:t xml:space="preserve">    </w:t>
      </w:r>
      <w:r>
        <w:rPr>
          <w:rFonts w:hint="eastAsia" w:ascii="宋体" w:hAnsi="宋体" w:cs="宋体"/>
          <w:color w:val="auto"/>
          <w:highlight w:val="none"/>
          <w:lang w:bidi="ar"/>
        </w:rPr>
        <w:t>承包人</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盖章</w:t>
      </w:r>
      <w:r>
        <w:rPr>
          <w:rFonts w:hint="eastAsia" w:ascii="宋体" w:hAnsi="宋体" w:cs="宋体"/>
          <w:color w:val="auto"/>
          <w:highlight w:val="none"/>
          <w:lang w:eastAsia="zh-CN" w:bidi="ar"/>
        </w:rPr>
        <w:t>）</w:t>
      </w:r>
      <w:r>
        <w:rPr>
          <w:rFonts w:hint="eastAsia" w:ascii="宋体" w:hAnsi="宋体" w:cs="宋体"/>
          <w:color w:val="auto"/>
          <w:highlight w:val="none"/>
          <w:lang w:bidi="ar"/>
        </w:rPr>
        <w:t>：</w:t>
      </w:r>
      <w:r>
        <w:rPr>
          <w:rFonts w:hint="eastAsia" w:ascii="宋体" w:hAnsi="宋体" w:cs="宋体"/>
          <w:color w:val="auto"/>
          <w:highlight w:val="none"/>
          <w:u w:val="single"/>
          <w:lang w:bidi="ar"/>
        </w:rPr>
        <w:t xml:space="preserve">    </w:t>
      </w:r>
      <w:r>
        <w:rPr>
          <w:rFonts w:hint="eastAsia" w:ascii="宋体" w:hAnsi="宋体" w:cs="宋体"/>
          <w:color w:val="auto"/>
          <w:highlight w:val="none"/>
          <w:u w:val="single"/>
          <w:lang w:val="en-US" w:eastAsia="zh-CN" w:bidi="ar"/>
        </w:rPr>
        <w:t xml:space="preserve">                       </w:t>
      </w:r>
    </w:p>
    <w:p w14:paraId="7C9143E4">
      <w:pPr>
        <w:spacing w:line="360" w:lineRule="auto"/>
        <w:rPr>
          <w:rFonts w:hint="eastAsia" w:ascii="宋体" w:hAnsi="宋体" w:cs="宋体"/>
          <w:color w:val="auto"/>
          <w:highlight w:val="none"/>
        </w:rPr>
      </w:pPr>
      <w:r>
        <w:rPr>
          <w:rFonts w:hint="eastAsia" w:ascii="宋体" w:hAnsi="宋体" w:cs="宋体"/>
          <w:color w:val="auto"/>
          <w:highlight w:val="none"/>
          <w:lang w:bidi="ar"/>
        </w:rPr>
        <w:t>法定代表人或其授权的代理人</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签名</w:t>
      </w:r>
      <w:r>
        <w:rPr>
          <w:rFonts w:hint="eastAsia" w:ascii="宋体" w:hAnsi="宋体" w:cs="宋体"/>
          <w:color w:val="auto"/>
          <w:highlight w:val="none"/>
          <w:lang w:eastAsia="zh-CN" w:bidi="ar"/>
        </w:rPr>
        <w:t>）</w:t>
      </w:r>
      <w:r>
        <w:rPr>
          <w:rFonts w:hint="eastAsia" w:ascii="宋体" w:hAnsi="宋体" w:cs="宋体"/>
          <w:color w:val="auto"/>
          <w:highlight w:val="none"/>
          <w:lang w:bidi="ar"/>
        </w:rPr>
        <w:t>：</w:t>
      </w:r>
      <w:r>
        <w:rPr>
          <w:rFonts w:hint="eastAsia" w:ascii="宋体" w:hAnsi="宋体" w:cs="宋体"/>
          <w:color w:val="auto"/>
          <w:highlight w:val="none"/>
          <w:u w:val="single"/>
          <w:lang w:val="en-US" w:eastAsia="zh-CN" w:bidi="ar"/>
        </w:rPr>
        <w:t xml:space="preserve">     </w:t>
      </w:r>
      <w:r>
        <w:rPr>
          <w:rFonts w:hint="eastAsia" w:ascii="宋体" w:hAnsi="宋体" w:cs="宋体"/>
          <w:color w:val="auto"/>
          <w:highlight w:val="none"/>
          <w:lang w:bidi="ar"/>
        </w:rPr>
        <w:t xml:space="preserve">        法定代表人或其授权的代理人</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签名</w:t>
      </w:r>
      <w:r>
        <w:rPr>
          <w:rFonts w:hint="eastAsia" w:ascii="宋体" w:hAnsi="宋体" w:cs="宋体"/>
          <w:color w:val="auto"/>
          <w:highlight w:val="none"/>
          <w:lang w:eastAsia="zh-CN" w:bidi="ar"/>
        </w:rPr>
        <w:t>）</w:t>
      </w:r>
      <w:r>
        <w:rPr>
          <w:rFonts w:hint="eastAsia" w:ascii="宋体" w:hAnsi="宋体" w:cs="宋体"/>
          <w:color w:val="auto"/>
          <w:highlight w:val="none"/>
          <w:lang w:bidi="ar"/>
        </w:rPr>
        <w:t>：</w:t>
      </w:r>
      <w:r>
        <w:rPr>
          <w:rFonts w:hint="eastAsia" w:ascii="宋体" w:hAnsi="宋体" w:cs="宋体"/>
          <w:color w:val="auto"/>
          <w:highlight w:val="none"/>
          <w:u w:val="single"/>
          <w:lang w:val="en-US" w:eastAsia="zh-CN" w:bidi="ar"/>
        </w:rPr>
        <w:t xml:space="preserve">   </w:t>
      </w:r>
      <w:r>
        <w:rPr>
          <w:rFonts w:hint="eastAsia" w:ascii="宋体" w:hAnsi="宋体" w:cs="宋体"/>
          <w:color w:val="auto"/>
          <w:highlight w:val="none"/>
          <w:lang w:bidi="ar"/>
        </w:rPr>
        <w:t xml:space="preserve">                             </w:t>
      </w:r>
    </w:p>
    <w:p w14:paraId="6BE66A93">
      <w:pPr>
        <w:spacing w:line="360" w:lineRule="auto"/>
        <w:ind w:firstLine="1260" w:firstLineChars="600"/>
        <w:rPr>
          <w:rFonts w:hint="eastAsia" w:ascii="宋体" w:hAnsi="宋体"/>
          <w:color w:val="auto"/>
          <w:highlight w:val="none"/>
        </w:rPr>
      </w:pPr>
      <w:r>
        <w:rPr>
          <w:rFonts w:ascii="宋体" w:hAnsi="宋体"/>
          <w:color w:val="auto"/>
          <w:highlight w:val="none"/>
          <w:u w:val="single"/>
          <w:lang w:bidi="ar"/>
        </w:rPr>
        <w:t xml:space="preserve">     </w:t>
      </w:r>
      <w:r>
        <w:rPr>
          <w:rFonts w:hint="eastAsia" w:ascii="宋体" w:hAnsi="宋体" w:cs="宋体"/>
          <w:color w:val="auto"/>
          <w:highlight w:val="none"/>
          <w:lang w:bidi="ar"/>
        </w:rPr>
        <w:t>月</w:t>
      </w:r>
      <w:r>
        <w:rPr>
          <w:rFonts w:ascii="宋体" w:hAnsi="宋体"/>
          <w:color w:val="auto"/>
          <w:highlight w:val="none"/>
          <w:u w:val="single"/>
          <w:lang w:bidi="ar"/>
        </w:rPr>
        <w:t xml:space="preserve">     </w:t>
      </w:r>
      <w:r>
        <w:rPr>
          <w:rFonts w:hint="eastAsia" w:ascii="宋体" w:hAnsi="宋体" w:cs="宋体"/>
          <w:color w:val="auto"/>
          <w:highlight w:val="none"/>
          <w:lang w:bidi="ar"/>
        </w:rPr>
        <w:t>日</w:t>
      </w:r>
      <w:r>
        <w:rPr>
          <w:rFonts w:ascii="宋体" w:hAnsi="宋体"/>
          <w:color w:val="auto"/>
          <w:highlight w:val="none"/>
          <w:lang w:bidi="ar"/>
        </w:rPr>
        <w:t xml:space="preserve">                                </w:t>
      </w:r>
      <w:r>
        <w:rPr>
          <w:rFonts w:ascii="宋体" w:hAnsi="宋体"/>
          <w:color w:val="auto"/>
          <w:highlight w:val="none"/>
          <w:u w:val="single"/>
          <w:lang w:bidi="ar"/>
        </w:rPr>
        <w:t xml:space="preserve">     </w:t>
      </w:r>
      <w:r>
        <w:rPr>
          <w:rFonts w:hint="eastAsia" w:ascii="宋体" w:hAnsi="宋体" w:cs="宋体"/>
          <w:color w:val="auto"/>
          <w:highlight w:val="none"/>
          <w:lang w:bidi="ar"/>
        </w:rPr>
        <w:t>年</w:t>
      </w:r>
      <w:r>
        <w:rPr>
          <w:rFonts w:ascii="宋体" w:hAnsi="宋体"/>
          <w:color w:val="auto"/>
          <w:highlight w:val="none"/>
          <w:u w:val="single"/>
          <w:lang w:bidi="ar"/>
        </w:rPr>
        <w:t xml:space="preserve">     </w:t>
      </w:r>
      <w:r>
        <w:rPr>
          <w:rFonts w:hint="eastAsia" w:ascii="宋体" w:hAnsi="宋体" w:cs="宋体"/>
          <w:color w:val="auto"/>
          <w:highlight w:val="none"/>
          <w:lang w:bidi="ar"/>
        </w:rPr>
        <w:t>月</w:t>
      </w:r>
      <w:r>
        <w:rPr>
          <w:rFonts w:ascii="宋体" w:hAnsi="宋体"/>
          <w:color w:val="auto"/>
          <w:highlight w:val="none"/>
          <w:u w:val="single"/>
          <w:lang w:bidi="ar"/>
        </w:rPr>
        <w:t xml:space="preserve">     </w:t>
      </w:r>
      <w:r>
        <w:rPr>
          <w:rFonts w:hint="eastAsia" w:ascii="宋体" w:hAnsi="宋体" w:cs="宋体"/>
          <w:color w:val="auto"/>
          <w:highlight w:val="none"/>
          <w:lang w:bidi="ar"/>
        </w:rPr>
        <w:t>日</w:t>
      </w:r>
    </w:p>
    <w:p w14:paraId="01938736">
      <w:pPr>
        <w:pStyle w:val="42"/>
        <w:keepNext/>
        <w:keepLines/>
        <w:tabs>
          <w:tab w:val="left" w:pos="420"/>
        </w:tabs>
        <w:spacing w:line="400" w:lineRule="exact"/>
        <w:jc w:val="center"/>
        <w:outlineLvl w:val="2"/>
        <w:rPr>
          <w:rFonts w:hint="eastAsia" w:ascii="宋体" w:hAnsi="宋体" w:cs="黑体"/>
          <w:color w:val="auto"/>
          <w:sz w:val="32"/>
          <w:szCs w:val="32"/>
          <w:highlight w:val="none"/>
          <w:lang w:bidi="ar"/>
        </w:rPr>
      </w:pPr>
      <w:r>
        <w:rPr>
          <w:rFonts w:ascii="宋体" w:hAnsi="宋体" w:cs="宋体"/>
          <w:color w:val="auto"/>
          <w:szCs w:val="20"/>
          <w:highlight w:val="none"/>
          <w:lang w:bidi="ar"/>
        </w:rPr>
        <w:br w:type="page"/>
      </w:r>
      <w:bookmarkStart w:id="2072" w:name="_Toc21366"/>
      <w:bookmarkStart w:id="2073" w:name="_Toc27769"/>
      <w:bookmarkStart w:id="2074" w:name="_Toc5086"/>
      <w:bookmarkStart w:id="2075" w:name="_Toc30020"/>
      <w:bookmarkStart w:id="2076" w:name="_Toc509390699"/>
      <w:bookmarkStart w:id="2077" w:name="_Toc57795994"/>
      <w:r>
        <w:rPr>
          <w:rFonts w:hint="eastAsia" w:ascii="宋体" w:hAnsi="宋体" w:cs="黑体"/>
          <w:color w:val="auto"/>
          <w:sz w:val="32"/>
          <w:szCs w:val="32"/>
          <w:highlight w:val="none"/>
          <w:lang w:bidi="ar"/>
        </w:rPr>
        <w:t>附件四 其他管理和技术人员最低要求</w:t>
      </w:r>
      <w:bookmarkEnd w:id="2072"/>
      <w:bookmarkEnd w:id="2073"/>
      <w:bookmarkEnd w:id="2074"/>
      <w:bookmarkEnd w:id="2075"/>
      <w:bookmarkEnd w:id="2076"/>
      <w:bookmarkEnd w:id="2077"/>
    </w:p>
    <w:p w14:paraId="13B6D532">
      <w:pPr>
        <w:rPr>
          <w:color w:val="auto"/>
          <w:highlight w:val="none"/>
        </w:rPr>
      </w:pPr>
    </w:p>
    <w:tbl>
      <w:tblPr>
        <w:tblStyle w:val="4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977"/>
      </w:tblGrid>
      <w:tr w14:paraId="276C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681DA9F1">
            <w:pPr>
              <w:spacing w:line="400" w:lineRule="exact"/>
              <w:jc w:val="center"/>
              <w:rPr>
                <w:rFonts w:hint="eastAsia" w:ascii="宋体" w:hAnsi="宋体"/>
                <w:color w:val="auto"/>
                <w:highlight w:val="none"/>
              </w:rPr>
            </w:pPr>
            <w:r>
              <w:rPr>
                <w:rFonts w:hint="eastAsia" w:ascii="宋体" w:hAnsi="宋体" w:cs="宋体"/>
                <w:color w:val="auto"/>
                <w:highlight w:val="none"/>
                <w:lang w:bidi="ar"/>
              </w:rPr>
              <w:t>人员</w:t>
            </w:r>
          </w:p>
        </w:tc>
        <w:tc>
          <w:tcPr>
            <w:tcW w:w="3118" w:type="dxa"/>
            <w:tcBorders>
              <w:top w:val="single" w:color="auto" w:sz="4" w:space="0"/>
              <w:left w:val="single" w:color="auto" w:sz="4" w:space="0"/>
              <w:bottom w:val="single" w:color="auto" w:sz="4" w:space="0"/>
              <w:right w:val="single" w:color="auto" w:sz="4" w:space="0"/>
            </w:tcBorders>
            <w:vAlign w:val="center"/>
          </w:tcPr>
          <w:p w14:paraId="550D7288">
            <w:pPr>
              <w:spacing w:line="400" w:lineRule="exact"/>
              <w:jc w:val="center"/>
              <w:rPr>
                <w:rFonts w:hint="eastAsia" w:ascii="宋体" w:hAnsi="宋体"/>
                <w:color w:val="auto"/>
                <w:highlight w:val="none"/>
              </w:rPr>
            </w:pPr>
            <w:r>
              <w:rPr>
                <w:rFonts w:hint="eastAsia" w:ascii="宋体" w:hAnsi="宋体" w:cs="宋体"/>
                <w:color w:val="auto"/>
                <w:highlight w:val="none"/>
                <w:lang w:bidi="ar"/>
              </w:rPr>
              <w:t>数量</w:t>
            </w:r>
          </w:p>
        </w:tc>
        <w:tc>
          <w:tcPr>
            <w:tcW w:w="2977" w:type="dxa"/>
            <w:tcBorders>
              <w:top w:val="single" w:color="auto" w:sz="4" w:space="0"/>
              <w:left w:val="single" w:color="auto" w:sz="4" w:space="0"/>
              <w:bottom w:val="single" w:color="auto" w:sz="4" w:space="0"/>
              <w:right w:val="single" w:color="auto" w:sz="4" w:space="0"/>
            </w:tcBorders>
            <w:vAlign w:val="center"/>
          </w:tcPr>
          <w:p w14:paraId="7FEFA3D1">
            <w:pPr>
              <w:spacing w:line="400" w:lineRule="exact"/>
              <w:jc w:val="center"/>
              <w:rPr>
                <w:rFonts w:hint="eastAsia" w:ascii="宋体" w:hAnsi="宋体"/>
                <w:color w:val="auto"/>
                <w:highlight w:val="none"/>
              </w:rPr>
            </w:pPr>
            <w:r>
              <w:rPr>
                <w:rFonts w:hint="eastAsia" w:ascii="宋体" w:hAnsi="宋体" w:cs="宋体"/>
                <w:color w:val="auto"/>
                <w:highlight w:val="none"/>
                <w:lang w:bidi="ar"/>
              </w:rPr>
              <w:t>资格要求</w:t>
            </w:r>
          </w:p>
        </w:tc>
      </w:tr>
      <w:tr w14:paraId="3F19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0BC3F27F">
            <w:pPr>
              <w:spacing w:line="400" w:lineRule="exact"/>
              <w:jc w:val="center"/>
              <w:rPr>
                <w:rFonts w:hint="eastAsia" w:ascii="宋体" w:hAnsi="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tcPr>
          <w:p w14:paraId="773A99D8">
            <w:pPr>
              <w:spacing w:line="400" w:lineRule="exact"/>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1E2CFE03">
            <w:pPr>
              <w:spacing w:line="400" w:lineRule="exact"/>
              <w:jc w:val="center"/>
              <w:rPr>
                <w:rFonts w:hint="eastAsia" w:ascii="宋体" w:hAnsi="宋体"/>
                <w:color w:val="auto"/>
                <w:highlight w:val="none"/>
              </w:rPr>
            </w:pPr>
          </w:p>
        </w:tc>
      </w:tr>
      <w:tr w14:paraId="2894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5251CFB4">
            <w:pPr>
              <w:spacing w:line="400" w:lineRule="exact"/>
              <w:jc w:val="center"/>
              <w:rPr>
                <w:rFonts w:hint="eastAsia" w:ascii="宋体" w:hAnsi="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tcPr>
          <w:p w14:paraId="279A03D5">
            <w:pPr>
              <w:spacing w:line="400" w:lineRule="exact"/>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5A91DB3E">
            <w:pPr>
              <w:spacing w:line="400" w:lineRule="exact"/>
              <w:jc w:val="center"/>
              <w:rPr>
                <w:rFonts w:hint="eastAsia" w:ascii="宋体" w:hAnsi="宋体"/>
                <w:color w:val="auto"/>
                <w:highlight w:val="none"/>
              </w:rPr>
            </w:pPr>
          </w:p>
        </w:tc>
      </w:tr>
      <w:tr w14:paraId="0CFF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E246C43">
            <w:pPr>
              <w:spacing w:line="400" w:lineRule="exact"/>
              <w:jc w:val="center"/>
              <w:rPr>
                <w:rFonts w:hint="eastAsia" w:ascii="宋体" w:hAnsi="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tcPr>
          <w:p w14:paraId="065A3610">
            <w:pPr>
              <w:spacing w:line="400" w:lineRule="exact"/>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4DD8B0B2">
            <w:pPr>
              <w:spacing w:line="400" w:lineRule="exact"/>
              <w:jc w:val="center"/>
              <w:rPr>
                <w:rFonts w:hint="eastAsia" w:ascii="宋体" w:hAnsi="宋体"/>
                <w:color w:val="auto"/>
                <w:highlight w:val="none"/>
              </w:rPr>
            </w:pPr>
          </w:p>
        </w:tc>
      </w:tr>
      <w:tr w14:paraId="10BC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E4FB199">
            <w:pPr>
              <w:spacing w:line="400" w:lineRule="exact"/>
              <w:jc w:val="center"/>
              <w:rPr>
                <w:rFonts w:hint="eastAsia" w:ascii="宋体" w:hAnsi="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tcPr>
          <w:p w14:paraId="125D0E35">
            <w:pPr>
              <w:spacing w:line="400" w:lineRule="exact"/>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16F6AFA5">
            <w:pPr>
              <w:spacing w:line="400" w:lineRule="exact"/>
              <w:jc w:val="center"/>
              <w:rPr>
                <w:rFonts w:hint="eastAsia" w:ascii="宋体" w:hAnsi="宋体"/>
                <w:color w:val="auto"/>
                <w:highlight w:val="none"/>
              </w:rPr>
            </w:pPr>
          </w:p>
        </w:tc>
      </w:tr>
      <w:tr w14:paraId="5BE3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D3900E1">
            <w:pPr>
              <w:spacing w:line="400" w:lineRule="exact"/>
              <w:jc w:val="center"/>
              <w:rPr>
                <w:rFonts w:hint="eastAsia" w:ascii="宋体" w:hAnsi="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tcPr>
          <w:p w14:paraId="4EE39B3E">
            <w:pPr>
              <w:spacing w:line="400" w:lineRule="exact"/>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0CC77BC2">
            <w:pPr>
              <w:spacing w:line="400" w:lineRule="exact"/>
              <w:jc w:val="center"/>
              <w:rPr>
                <w:rFonts w:hint="eastAsia" w:ascii="宋体" w:hAnsi="宋体"/>
                <w:color w:val="auto"/>
                <w:highlight w:val="none"/>
              </w:rPr>
            </w:pPr>
          </w:p>
        </w:tc>
      </w:tr>
      <w:tr w14:paraId="5DAD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0CB1DA6">
            <w:pPr>
              <w:spacing w:line="400" w:lineRule="exact"/>
              <w:jc w:val="center"/>
              <w:rPr>
                <w:rFonts w:hint="eastAsia" w:ascii="宋体" w:hAnsi="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tcPr>
          <w:p w14:paraId="4B3D3B20">
            <w:pPr>
              <w:spacing w:line="400" w:lineRule="exact"/>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071221F4">
            <w:pPr>
              <w:spacing w:line="400" w:lineRule="exact"/>
              <w:jc w:val="center"/>
              <w:rPr>
                <w:rFonts w:hint="eastAsia" w:ascii="宋体" w:hAnsi="宋体"/>
                <w:color w:val="auto"/>
                <w:highlight w:val="none"/>
              </w:rPr>
            </w:pPr>
          </w:p>
        </w:tc>
      </w:tr>
      <w:tr w14:paraId="37E9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5D6DEDA0">
            <w:pPr>
              <w:spacing w:line="400" w:lineRule="exact"/>
              <w:jc w:val="center"/>
              <w:rPr>
                <w:rFonts w:hint="eastAsia" w:ascii="宋体" w:hAnsi="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tcPr>
          <w:p w14:paraId="5D41FE6C">
            <w:pPr>
              <w:spacing w:line="400" w:lineRule="exact"/>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47CA5345">
            <w:pPr>
              <w:spacing w:line="400" w:lineRule="exact"/>
              <w:jc w:val="center"/>
              <w:rPr>
                <w:rFonts w:hint="eastAsia" w:ascii="宋体" w:hAnsi="宋体"/>
                <w:color w:val="auto"/>
                <w:highlight w:val="none"/>
              </w:rPr>
            </w:pPr>
          </w:p>
        </w:tc>
      </w:tr>
      <w:tr w14:paraId="4E01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0DA1D3AC">
            <w:pPr>
              <w:spacing w:line="400" w:lineRule="exact"/>
              <w:jc w:val="center"/>
              <w:rPr>
                <w:rFonts w:hint="eastAsia" w:ascii="宋体" w:hAnsi="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tcPr>
          <w:p w14:paraId="14422A54">
            <w:pPr>
              <w:spacing w:line="400" w:lineRule="exact"/>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495E9EE0">
            <w:pPr>
              <w:spacing w:line="400" w:lineRule="exact"/>
              <w:jc w:val="center"/>
              <w:rPr>
                <w:rFonts w:hint="eastAsia" w:ascii="宋体" w:hAnsi="宋体"/>
                <w:color w:val="auto"/>
                <w:highlight w:val="none"/>
              </w:rPr>
            </w:pPr>
          </w:p>
        </w:tc>
      </w:tr>
      <w:tr w14:paraId="21FF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43D39C0">
            <w:pPr>
              <w:spacing w:line="400" w:lineRule="exact"/>
              <w:jc w:val="center"/>
              <w:rPr>
                <w:rFonts w:hint="eastAsia" w:ascii="宋体" w:hAnsi="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tcPr>
          <w:p w14:paraId="2BDD5AA9">
            <w:pPr>
              <w:spacing w:line="400" w:lineRule="exact"/>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65EBCC0D">
            <w:pPr>
              <w:spacing w:line="400" w:lineRule="exact"/>
              <w:jc w:val="center"/>
              <w:rPr>
                <w:rFonts w:hint="eastAsia" w:ascii="宋体" w:hAnsi="宋体"/>
                <w:color w:val="auto"/>
                <w:highlight w:val="none"/>
              </w:rPr>
            </w:pPr>
          </w:p>
        </w:tc>
      </w:tr>
      <w:tr w14:paraId="012E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3303AF8">
            <w:pPr>
              <w:spacing w:line="400" w:lineRule="exact"/>
              <w:jc w:val="center"/>
              <w:rPr>
                <w:rFonts w:hint="eastAsia" w:ascii="宋体" w:hAnsi="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tcPr>
          <w:p w14:paraId="1C5343DE">
            <w:pPr>
              <w:spacing w:line="400" w:lineRule="exact"/>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415F5438">
            <w:pPr>
              <w:spacing w:line="400" w:lineRule="exact"/>
              <w:jc w:val="center"/>
              <w:rPr>
                <w:rFonts w:hint="eastAsia" w:ascii="宋体" w:hAnsi="宋体"/>
                <w:color w:val="auto"/>
                <w:highlight w:val="none"/>
              </w:rPr>
            </w:pPr>
          </w:p>
        </w:tc>
      </w:tr>
      <w:tr w14:paraId="0558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AA86D90">
            <w:pPr>
              <w:spacing w:line="400" w:lineRule="exact"/>
              <w:jc w:val="center"/>
              <w:rPr>
                <w:rFonts w:hint="eastAsia" w:ascii="宋体" w:hAnsi="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tcPr>
          <w:p w14:paraId="2A801504">
            <w:pPr>
              <w:spacing w:line="400" w:lineRule="exact"/>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0EB30875">
            <w:pPr>
              <w:spacing w:line="400" w:lineRule="exact"/>
              <w:jc w:val="center"/>
              <w:rPr>
                <w:rFonts w:hint="eastAsia" w:ascii="宋体" w:hAnsi="宋体"/>
                <w:color w:val="auto"/>
                <w:highlight w:val="none"/>
              </w:rPr>
            </w:pPr>
          </w:p>
        </w:tc>
      </w:tr>
      <w:tr w14:paraId="22E9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1EA800A">
            <w:pPr>
              <w:spacing w:line="400" w:lineRule="exact"/>
              <w:jc w:val="center"/>
              <w:rPr>
                <w:rFonts w:hint="eastAsia" w:ascii="宋体" w:hAnsi="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tcPr>
          <w:p w14:paraId="3C3EB907">
            <w:pPr>
              <w:spacing w:line="400" w:lineRule="exact"/>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4D4D20A0">
            <w:pPr>
              <w:spacing w:line="400" w:lineRule="exact"/>
              <w:jc w:val="center"/>
              <w:rPr>
                <w:rFonts w:hint="eastAsia" w:ascii="宋体" w:hAnsi="宋体"/>
                <w:color w:val="auto"/>
                <w:highlight w:val="none"/>
              </w:rPr>
            </w:pPr>
          </w:p>
        </w:tc>
      </w:tr>
    </w:tbl>
    <w:p w14:paraId="73F55B2A">
      <w:pPr>
        <w:autoSpaceDE w:val="0"/>
        <w:autoSpaceDN w:val="0"/>
        <w:adjustRightInd w:val="0"/>
        <w:jc w:val="left"/>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注：1、招标人应在招标文件中规定若投标人在所投标段中标需派驻的其他管理和技术人员（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r>
        <w:rPr>
          <w:rFonts w:ascii="宋体" w:hAnsi="宋体" w:cs="宋体"/>
          <w:color w:val="auto"/>
          <w:kern w:val="0"/>
          <w:sz w:val="18"/>
          <w:szCs w:val="18"/>
          <w:highlight w:val="none"/>
          <w:lang w:bidi="ar"/>
        </w:rPr>
        <w:t>2.</w:t>
      </w:r>
      <w:r>
        <w:rPr>
          <w:rFonts w:hint="eastAsia" w:ascii="宋体" w:hAnsi="宋体" w:cs="宋体"/>
          <w:color w:val="auto"/>
          <w:kern w:val="0"/>
          <w:sz w:val="18"/>
          <w:szCs w:val="18"/>
          <w:highlight w:val="none"/>
          <w:lang w:bidi="ar"/>
        </w:rPr>
        <w:t>本表不适用于已按资格预审文件或招标文件要求提供了其他管理和技术人员的特别复杂的特大桥梁和特长隧道项目主体工程以及其他有特殊要求的工程。</w:t>
      </w:r>
    </w:p>
    <w:p w14:paraId="26B742B6">
      <w:pPr>
        <w:pStyle w:val="42"/>
        <w:keepNext/>
        <w:keepLines/>
        <w:tabs>
          <w:tab w:val="left" w:pos="420"/>
        </w:tabs>
        <w:spacing w:line="400" w:lineRule="exact"/>
        <w:jc w:val="center"/>
        <w:outlineLvl w:val="2"/>
        <w:rPr>
          <w:rFonts w:hint="eastAsia" w:ascii="宋体" w:hAnsi="宋体" w:cs="黑体"/>
          <w:color w:val="auto"/>
          <w:sz w:val="32"/>
          <w:szCs w:val="32"/>
          <w:highlight w:val="none"/>
          <w:lang w:bidi="ar"/>
        </w:rPr>
      </w:pPr>
      <w:r>
        <w:rPr>
          <w:rFonts w:ascii="宋体" w:hAnsi="宋体" w:cs="宋体"/>
          <w:color w:val="auto"/>
          <w:szCs w:val="20"/>
          <w:highlight w:val="none"/>
          <w:lang w:bidi="ar"/>
        </w:rPr>
        <w:br w:type="page"/>
      </w:r>
      <w:bookmarkStart w:id="2078" w:name="_Toc14742"/>
      <w:bookmarkStart w:id="2079" w:name="_Toc22746"/>
      <w:bookmarkStart w:id="2080" w:name="_Toc31486"/>
      <w:bookmarkStart w:id="2081" w:name="_Toc509390700"/>
      <w:bookmarkStart w:id="2082" w:name="_Toc29460"/>
      <w:bookmarkStart w:id="2083" w:name="_Toc57795995"/>
      <w:r>
        <w:rPr>
          <w:rFonts w:hint="eastAsia" w:ascii="宋体" w:hAnsi="宋体" w:cs="黑体"/>
          <w:color w:val="auto"/>
          <w:sz w:val="32"/>
          <w:szCs w:val="32"/>
          <w:highlight w:val="none"/>
          <w:lang w:bidi="ar"/>
        </w:rPr>
        <w:t>附件五 主要机械设备和试验检测设备最低要求</w:t>
      </w:r>
      <w:bookmarkEnd w:id="2078"/>
      <w:bookmarkEnd w:id="2079"/>
      <w:bookmarkEnd w:id="2080"/>
      <w:bookmarkEnd w:id="2081"/>
      <w:bookmarkEnd w:id="2082"/>
      <w:bookmarkEnd w:id="2083"/>
    </w:p>
    <w:p w14:paraId="5F86FBAF">
      <w:pPr>
        <w:rPr>
          <w:color w:val="auto"/>
          <w:highlight w:val="none"/>
        </w:rPr>
      </w:pPr>
    </w:p>
    <w:tbl>
      <w:tblPr>
        <w:tblStyle w:val="4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977"/>
        <w:gridCol w:w="1417"/>
        <w:gridCol w:w="1701"/>
      </w:tblGrid>
      <w:tr w14:paraId="1CA3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587251EC">
            <w:pPr>
              <w:spacing w:line="360" w:lineRule="auto"/>
              <w:jc w:val="center"/>
              <w:rPr>
                <w:rFonts w:hint="eastAsia" w:ascii="宋体" w:hAnsi="宋体"/>
                <w:color w:val="auto"/>
                <w:highlight w:val="none"/>
              </w:rPr>
            </w:pPr>
            <w:r>
              <w:rPr>
                <w:rFonts w:hint="eastAsia" w:ascii="宋体" w:hAnsi="宋体" w:cs="宋体"/>
                <w:color w:val="auto"/>
                <w:highlight w:val="none"/>
                <w:lang w:bidi="ar"/>
              </w:rPr>
              <w:t>设备名称</w:t>
            </w:r>
          </w:p>
        </w:tc>
        <w:tc>
          <w:tcPr>
            <w:tcW w:w="2977" w:type="dxa"/>
            <w:tcBorders>
              <w:top w:val="single" w:color="auto" w:sz="4" w:space="0"/>
              <w:left w:val="single" w:color="auto" w:sz="4" w:space="0"/>
              <w:bottom w:val="single" w:color="auto" w:sz="4" w:space="0"/>
              <w:right w:val="single" w:color="auto" w:sz="4" w:space="0"/>
            </w:tcBorders>
            <w:vAlign w:val="center"/>
          </w:tcPr>
          <w:p w14:paraId="34BDB369">
            <w:pPr>
              <w:spacing w:line="360" w:lineRule="auto"/>
              <w:jc w:val="center"/>
              <w:rPr>
                <w:rFonts w:hint="eastAsia" w:ascii="宋体" w:hAnsi="宋体"/>
                <w:color w:val="auto"/>
                <w:highlight w:val="none"/>
              </w:rPr>
            </w:pPr>
            <w:r>
              <w:rPr>
                <w:rFonts w:hint="eastAsia" w:ascii="宋体" w:hAnsi="宋体" w:cs="宋体"/>
                <w:color w:val="auto"/>
                <w:highlight w:val="none"/>
                <w:lang w:bidi="ar"/>
              </w:rPr>
              <w:t>规格、功率及容量</w:t>
            </w:r>
          </w:p>
        </w:tc>
        <w:tc>
          <w:tcPr>
            <w:tcW w:w="1417" w:type="dxa"/>
            <w:tcBorders>
              <w:top w:val="single" w:color="auto" w:sz="4" w:space="0"/>
              <w:left w:val="single" w:color="auto" w:sz="4" w:space="0"/>
              <w:bottom w:val="single" w:color="auto" w:sz="4" w:space="0"/>
              <w:right w:val="single" w:color="auto" w:sz="4" w:space="0"/>
            </w:tcBorders>
            <w:vAlign w:val="center"/>
          </w:tcPr>
          <w:p w14:paraId="6C989377">
            <w:pPr>
              <w:spacing w:line="360" w:lineRule="auto"/>
              <w:jc w:val="center"/>
              <w:rPr>
                <w:rFonts w:hint="eastAsia" w:ascii="宋体" w:hAnsi="宋体"/>
                <w:color w:val="auto"/>
                <w:highlight w:val="none"/>
              </w:rPr>
            </w:pPr>
            <w:r>
              <w:rPr>
                <w:rFonts w:hint="eastAsia" w:ascii="宋体" w:hAnsi="宋体" w:cs="宋体"/>
                <w:color w:val="auto"/>
                <w:highlight w:val="none"/>
                <w:lang w:bidi="ar"/>
              </w:rPr>
              <w:t>单位</w:t>
            </w:r>
          </w:p>
        </w:tc>
        <w:tc>
          <w:tcPr>
            <w:tcW w:w="1701" w:type="dxa"/>
            <w:tcBorders>
              <w:top w:val="single" w:color="auto" w:sz="4" w:space="0"/>
              <w:left w:val="single" w:color="auto" w:sz="4" w:space="0"/>
              <w:bottom w:val="single" w:color="auto" w:sz="4" w:space="0"/>
              <w:right w:val="single" w:color="auto" w:sz="4" w:space="0"/>
            </w:tcBorders>
            <w:vAlign w:val="center"/>
          </w:tcPr>
          <w:p w14:paraId="345E31A5">
            <w:pPr>
              <w:spacing w:line="360" w:lineRule="auto"/>
              <w:jc w:val="center"/>
              <w:rPr>
                <w:rFonts w:hint="eastAsia" w:ascii="宋体" w:hAnsi="宋体"/>
                <w:color w:val="auto"/>
                <w:highlight w:val="none"/>
              </w:rPr>
            </w:pPr>
            <w:r>
              <w:rPr>
                <w:rFonts w:hint="eastAsia" w:ascii="宋体" w:hAnsi="宋体" w:cs="宋体"/>
                <w:color w:val="auto"/>
                <w:highlight w:val="none"/>
                <w:lang w:bidi="ar"/>
              </w:rPr>
              <w:t>最低数量要求</w:t>
            </w:r>
          </w:p>
        </w:tc>
      </w:tr>
      <w:tr w14:paraId="408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0A842A4">
            <w:pPr>
              <w:spacing w:line="360" w:lineRule="auto"/>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12116E77">
            <w:pPr>
              <w:spacing w:line="360" w:lineRule="auto"/>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1C77963">
            <w:pPr>
              <w:spacing w:line="360" w:lineRule="auto"/>
              <w:jc w:val="center"/>
              <w:rPr>
                <w:rFonts w:hint="eastAsia"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1C88A09C">
            <w:pPr>
              <w:spacing w:line="360" w:lineRule="auto"/>
              <w:jc w:val="center"/>
              <w:rPr>
                <w:rFonts w:hint="eastAsia" w:ascii="宋体" w:hAnsi="宋体"/>
                <w:color w:val="auto"/>
                <w:highlight w:val="none"/>
              </w:rPr>
            </w:pPr>
          </w:p>
        </w:tc>
      </w:tr>
      <w:tr w14:paraId="558E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B14DEBC">
            <w:pPr>
              <w:spacing w:line="360" w:lineRule="auto"/>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6AB1D844">
            <w:pPr>
              <w:spacing w:line="360" w:lineRule="auto"/>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3C2A037">
            <w:pPr>
              <w:spacing w:line="360" w:lineRule="auto"/>
              <w:jc w:val="center"/>
              <w:rPr>
                <w:rFonts w:hint="eastAsia"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1C892CF5">
            <w:pPr>
              <w:spacing w:line="360" w:lineRule="auto"/>
              <w:jc w:val="center"/>
              <w:rPr>
                <w:rFonts w:hint="eastAsia" w:ascii="宋体" w:hAnsi="宋体"/>
                <w:color w:val="auto"/>
                <w:highlight w:val="none"/>
              </w:rPr>
            </w:pPr>
          </w:p>
        </w:tc>
      </w:tr>
      <w:tr w14:paraId="13ED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5593709C">
            <w:pPr>
              <w:spacing w:line="360" w:lineRule="auto"/>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1453F54E">
            <w:pPr>
              <w:spacing w:line="360" w:lineRule="auto"/>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73F662A3">
            <w:pPr>
              <w:spacing w:line="360" w:lineRule="auto"/>
              <w:jc w:val="center"/>
              <w:rPr>
                <w:rFonts w:hint="eastAsia"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4E32F4FC">
            <w:pPr>
              <w:spacing w:line="360" w:lineRule="auto"/>
              <w:jc w:val="center"/>
              <w:rPr>
                <w:rFonts w:hint="eastAsia" w:ascii="宋体" w:hAnsi="宋体"/>
                <w:color w:val="auto"/>
                <w:highlight w:val="none"/>
              </w:rPr>
            </w:pPr>
          </w:p>
        </w:tc>
      </w:tr>
      <w:tr w14:paraId="65E2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108D7DA8">
            <w:pPr>
              <w:spacing w:line="360" w:lineRule="auto"/>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1F1A50B4">
            <w:pPr>
              <w:spacing w:line="360" w:lineRule="auto"/>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F96C57C">
            <w:pPr>
              <w:spacing w:line="360" w:lineRule="auto"/>
              <w:jc w:val="center"/>
              <w:rPr>
                <w:rFonts w:hint="eastAsia"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6622F372">
            <w:pPr>
              <w:spacing w:line="360" w:lineRule="auto"/>
              <w:jc w:val="center"/>
              <w:rPr>
                <w:rFonts w:hint="eastAsia" w:ascii="宋体" w:hAnsi="宋体"/>
                <w:color w:val="auto"/>
                <w:highlight w:val="none"/>
              </w:rPr>
            </w:pPr>
          </w:p>
        </w:tc>
      </w:tr>
      <w:tr w14:paraId="1AA0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5EE6341">
            <w:pPr>
              <w:spacing w:line="360" w:lineRule="auto"/>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15629161">
            <w:pPr>
              <w:spacing w:line="360" w:lineRule="auto"/>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16FE4C6">
            <w:pPr>
              <w:spacing w:line="360" w:lineRule="auto"/>
              <w:jc w:val="center"/>
              <w:rPr>
                <w:rFonts w:hint="eastAsia"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3CA82BB0">
            <w:pPr>
              <w:spacing w:line="360" w:lineRule="auto"/>
              <w:jc w:val="center"/>
              <w:rPr>
                <w:rFonts w:hint="eastAsia" w:ascii="宋体" w:hAnsi="宋体"/>
                <w:color w:val="auto"/>
                <w:highlight w:val="none"/>
              </w:rPr>
            </w:pPr>
          </w:p>
        </w:tc>
      </w:tr>
      <w:tr w14:paraId="47D3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81C2242">
            <w:pPr>
              <w:spacing w:line="360" w:lineRule="auto"/>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5A5B03F5">
            <w:pPr>
              <w:spacing w:line="360" w:lineRule="auto"/>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70B3C0DE">
            <w:pPr>
              <w:spacing w:line="360" w:lineRule="auto"/>
              <w:jc w:val="center"/>
              <w:rPr>
                <w:rFonts w:hint="eastAsia"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3AFAEFF2">
            <w:pPr>
              <w:spacing w:line="360" w:lineRule="auto"/>
              <w:jc w:val="center"/>
              <w:rPr>
                <w:rFonts w:hint="eastAsia" w:ascii="宋体" w:hAnsi="宋体"/>
                <w:color w:val="auto"/>
                <w:highlight w:val="none"/>
              </w:rPr>
            </w:pPr>
          </w:p>
        </w:tc>
      </w:tr>
      <w:tr w14:paraId="7BEC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968E68B">
            <w:pPr>
              <w:spacing w:line="360" w:lineRule="auto"/>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38613B49">
            <w:pPr>
              <w:spacing w:line="360" w:lineRule="auto"/>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52C42BA">
            <w:pPr>
              <w:spacing w:line="360" w:lineRule="auto"/>
              <w:jc w:val="center"/>
              <w:rPr>
                <w:rFonts w:hint="eastAsia"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0E089FEE">
            <w:pPr>
              <w:spacing w:line="360" w:lineRule="auto"/>
              <w:jc w:val="center"/>
              <w:rPr>
                <w:rFonts w:hint="eastAsia" w:ascii="宋体" w:hAnsi="宋体"/>
                <w:color w:val="auto"/>
                <w:highlight w:val="none"/>
              </w:rPr>
            </w:pPr>
          </w:p>
        </w:tc>
      </w:tr>
      <w:tr w14:paraId="0038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FF163BE">
            <w:pPr>
              <w:spacing w:line="360" w:lineRule="auto"/>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5A8C5001">
            <w:pPr>
              <w:spacing w:line="360" w:lineRule="auto"/>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53E62A5A">
            <w:pPr>
              <w:spacing w:line="360" w:lineRule="auto"/>
              <w:jc w:val="center"/>
              <w:rPr>
                <w:rFonts w:hint="eastAsia"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3FF39F6E">
            <w:pPr>
              <w:spacing w:line="360" w:lineRule="auto"/>
              <w:jc w:val="center"/>
              <w:rPr>
                <w:rFonts w:hint="eastAsia" w:ascii="宋体" w:hAnsi="宋体"/>
                <w:color w:val="auto"/>
                <w:highlight w:val="none"/>
              </w:rPr>
            </w:pPr>
          </w:p>
        </w:tc>
      </w:tr>
      <w:tr w14:paraId="1FE6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00398363">
            <w:pPr>
              <w:spacing w:line="360" w:lineRule="auto"/>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397210EF">
            <w:pPr>
              <w:spacing w:line="360" w:lineRule="auto"/>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680069DD">
            <w:pPr>
              <w:spacing w:line="360" w:lineRule="auto"/>
              <w:jc w:val="center"/>
              <w:rPr>
                <w:rFonts w:hint="eastAsia"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72EA41B0">
            <w:pPr>
              <w:spacing w:line="360" w:lineRule="auto"/>
              <w:jc w:val="center"/>
              <w:rPr>
                <w:rFonts w:hint="eastAsia" w:ascii="宋体" w:hAnsi="宋体"/>
                <w:color w:val="auto"/>
                <w:highlight w:val="none"/>
              </w:rPr>
            </w:pPr>
          </w:p>
        </w:tc>
      </w:tr>
      <w:tr w14:paraId="4756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83FE5CA">
            <w:pPr>
              <w:spacing w:line="360" w:lineRule="auto"/>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465F6FEB">
            <w:pPr>
              <w:spacing w:line="360" w:lineRule="auto"/>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565555D3">
            <w:pPr>
              <w:spacing w:line="360" w:lineRule="auto"/>
              <w:jc w:val="center"/>
              <w:rPr>
                <w:rFonts w:hint="eastAsia"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22CA561F">
            <w:pPr>
              <w:spacing w:line="360" w:lineRule="auto"/>
              <w:jc w:val="center"/>
              <w:rPr>
                <w:rFonts w:hint="eastAsia" w:ascii="宋体" w:hAnsi="宋体"/>
                <w:color w:val="auto"/>
                <w:highlight w:val="none"/>
              </w:rPr>
            </w:pPr>
          </w:p>
        </w:tc>
      </w:tr>
      <w:tr w14:paraId="3E1C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36839B9">
            <w:pPr>
              <w:spacing w:line="360" w:lineRule="auto"/>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307B51F0">
            <w:pPr>
              <w:spacing w:line="360" w:lineRule="auto"/>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60334F7">
            <w:pPr>
              <w:spacing w:line="360" w:lineRule="auto"/>
              <w:jc w:val="center"/>
              <w:rPr>
                <w:rFonts w:hint="eastAsia"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441393DD">
            <w:pPr>
              <w:spacing w:line="360" w:lineRule="auto"/>
              <w:jc w:val="center"/>
              <w:rPr>
                <w:rFonts w:hint="eastAsia" w:ascii="宋体" w:hAnsi="宋体"/>
                <w:color w:val="auto"/>
                <w:highlight w:val="none"/>
              </w:rPr>
            </w:pPr>
          </w:p>
        </w:tc>
      </w:tr>
      <w:tr w14:paraId="006F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1660133">
            <w:pPr>
              <w:spacing w:line="360" w:lineRule="auto"/>
              <w:jc w:val="center"/>
              <w:rPr>
                <w:rFonts w:hint="eastAsia" w:ascii="宋体" w:hAnsi="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tcPr>
          <w:p w14:paraId="2148F7C4">
            <w:pPr>
              <w:spacing w:line="360" w:lineRule="auto"/>
              <w:jc w:val="center"/>
              <w:rPr>
                <w:rFonts w:hint="eastAsia" w:ascii="宋体" w:hAnsi="宋体"/>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755E5CF">
            <w:pPr>
              <w:spacing w:line="360" w:lineRule="auto"/>
              <w:jc w:val="center"/>
              <w:rPr>
                <w:rFonts w:hint="eastAsia"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tcPr>
          <w:p w14:paraId="055DF43E">
            <w:pPr>
              <w:spacing w:line="360" w:lineRule="auto"/>
              <w:jc w:val="center"/>
              <w:rPr>
                <w:rFonts w:hint="eastAsia" w:ascii="宋体" w:hAnsi="宋体"/>
                <w:color w:val="auto"/>
                <w:highlight w:val="none"/>
              </w:rPr>
            </w:pPr>
          </w:p>
        </w:tc>
      </w:tr>
    </w:tbl>
    <w:p w14:paraId="57F1114A">
      <w:pPr>
        <w:autoSpaceDE w:val="0"/>
        <w:autoSpaceDN w:val="0"/>
        <w:adjustRightInd w:val="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注：招标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不允许更换。如中标人拟提供的设备数量和规格指标不满足本表要求，招标人应取消其中标资格。</w:t>
      </w: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本表不适用于已按资格预审文件或招标文件要求提供了主要机械设备和试验检测设备的特别复杂的特大桥梁和特长隧道项目主体工程以及其他有特殊要求的工程。</w:t>
      </w:r>
      <w:r>
        <w:rPr>
          <w:rFonts w:ascii="宋体" w:hAnsi="宋体" w:cs="宋体"/>
          <w:color w:val="auto"/>
          <w:szCs w:val="18"/>
          <w:highlight w:val="none"/>
          <w:lang w:bidi="ar"/>
        </w:rPr>
        <w:br w:type="page"/>
      </w:r>
      <w:r>
        <w:rPr>
          <w:rFonts w:hint="eastAsia" w:ascii="宋体" w:hAnsi="宋体" w:cs="宋体"/>
          <w:color w:val="auto"/>
          <w:kern w:val="0"/>
          <w:sz w:val="18"/>
          <w:szCs w:val="18"/>
          <w:highlight w:val="none"/>
        </w:rPr>
        <w:t xml:space="preserve"> </w:t>
      </w:r>
    </w:p>
    <w:p w14:paraId="56312092">
      <w:pPr>
        <w:pStyle w:val="42"/>
        <w:keepNext/>
        <w:keepLines/>
        <w:tabs>
          <w:tab w:val="left" w:pos="420"/>
        </w:tabs>
        <w:spacing w:line="400" w:lineRule="exact"/>
        <w:jc w:val="center"/>
        <w:outlineLvl w:val="2"/>
        <w:rPr>
          <w:rFonts w:hint="eastAsia" w:ascii="宋体" w:hAnsi="宋体" w:cs="宋体"/>
          <w:color w:val="auto"/>
          <w:highlight w:val="none"/>
        </w:rPr>
      </w:pPr>
      <w:bookmarkStart w:id="2084" w:name="_Toc19123"/>
      <w:bookmarkStart w:id="2085" w:name="_Toc57795996"/>
      <w:bookmarkStart w:id="2086" w:name="_Toc23100"/>
      <w:bookmarkStart w:id="2087" w:name="_Toc4758"/>
      <w:bookmarkStart w:id="2088" w:name="_Toc27124"/>
      <w:r>
        <w:rPr>
          <w:rFonts w:hint="eastAsia" w:ascii="宋体" w:hAnsi="宋体" w:cs="黑体"/>
          <w:color w:val="auto"/>
          <w:sz w:val="32"/>
          <w:szCs w:val="32"/>
          <w:highlight w:val="none"/>
          <w:lang w:bidi="ar"/>
        </w:rPr>
        <w:t>附件六 项目经理委任书</w:t>
      </w:r>
      <w:bookmarkEnd w:id="2084"/>
      <w:bookmarkEnd w:id="2085"/>
      <w:bookmarkEnd w:id="2086"/>
      <w:bookmarkEnd w:id="2087"/>
      <w:bookmarkEnd w:id="2088"/>
    </w:p>
    <w:p w14:paraId="35BB5A6E">
      <w:pPr>
        <w:rPr>
          <w:rFonts w:hint="eastAsia" w:ascii="宋体" w:hAnsi="宋体"/>
          <w:color w:val="auto"/>
          <w:szCs w:val="21"/>
          <w:highlight w:val="none"/>
          <w:u w:val="single"/>
        </w:rPr>
      </w:pPr>
    </w:p>
    <w:p w14:paraId="6F88FC2F">
      <w:pPr>
        <w:spacing w:line="360" w:lineRule="auto"/>
        <w:jc w:val="center"/>
        <w:rPr>
          <w:rFonts w:hint="eastAsia" w:ascii="宋体" w:hAnsi="宋体" w:cs="宋体"/>
          <w:color w:val="auto"/>
          <w:szCs w:val="21"/>
          <w:highlight w:val="none"/>
        </w:rPr>
      </w:pPr>
      <w:bookmarkStart w:id="2089" w:name="_Toc424558373"/>
      <w:r>
        <w:rPr>
          <w:rFonts w:hint="eastAsia" w:ascii="宋体" w:hAnsi="宋体" w:cs="宋体"/>
          <w:color w:val="auto"/>
          <w:szCs w:val="21"/>
          <w:highlight w:val="none"/>
          <w:lang w:bidi="ar"/>
        </w:rPr>
        <w:t>（承包人全称）</w:t>
      </w:r>
      <w:bookmarkEnd w:id="2089"/>
    </w:p>
    <w:p w14:paraId="753F8930">
      <w:pPr>
        <w:spacing w:line="360" w:lineRule="auto"/>
        <w:jc w:val="center"/>
        <w:rPr>
          <w:rFonts w:hint="eastAsia" w:ascii="宋体" w:hAnsi="宋体" w:cs="宋体"/>
          <w:color w:val="auto"/>
          <w:szCs w:val="20"/>
          <w:highlight w:val="none"/>
        </w:rPr>
      </w:pPr>
      <w:r>
        <w:rPr>
          <w:rFonts w:hint="eastAsia" w:ascii="宋体" w:hAnsi="宋体" w:cs="宋体"/>
          <w:color w:val="auto"/>
          <w:szCs w:val="21"/>
          <w:highlight w:val="none"/>
          <w:u w:val="single"/>
          <w:lang w:bidi="ar"/>
        </w:rPr>
        <w:t>（项目名称）（标段名称）</w:t>
      </w:r>
      <w:r>
        <w:rPr>
          <w:rFonts w:hint="eastAsia" w:ascii="宋体" w:hAnsi="宋体" w:cs="宋体"/>
          <w:color w:val="auto"/>
          <w:highlight w:val="none"/>
          <w:lang w:bidi="ar"/>
        </w:rPr>
        <w:t>合同项目经理委任书</w:t>
      </w:r>
    </w:p>
    <w:p w14:paraId="217EE8DB">
      <w:pPr>
        <w:spacing w:line="360" w:lineRule="auto"/>
        <w:rPr>
          <w:rFonts w:hint="eastAsia" w:ascii="宋体" w:hAnsi="宋体" w:cs="宋体"/>
          <w:color w:val="auto"/>
          <w:szCs w:val="21"/>
          <w:highlight w:val="none"/>
          <w:lang w:val="zh-CN"/>
        </w:rPr>
      </w:pPr>
    </w:p>
    <w:p w14:paraId="1CB7DB20">
      <w:pPr>
        <w:spacing w:line="360" w:lineRule="auto"/>
        <w:rPr>
          <w:rFonts w:hint="eastAsia" w:ascii="宋体" w:hAnsi="宋体" w:cs="宋体"/>
          <w:color w:val="auto"/>
          <w:szCs w:val="21"/>
          <w:highlight w:val="none"/>
          <w:lang w:val="zh-CN"/>
        </w:rPr>
      </w:pPr>
    </w:p>
    <w:p w14:paraId="545E0BA1">
      <w:pPr>
        <w:spacing w:line="360" w:lineRule="auto"/>
        <w:ind w:firstLine="315" w:firstLineChars="150"/>
        <w:rPr>
          <w:rFonts w:hint="eastAsia" w:ascii="宋体" w:hAnsi="宋体" w:cs="宋体"/>
          <w:color w:val="auto"/>
          <w:szCs w:val="21"/>
          <w:highlight w:val="none"/>
          <w:u w:val="single"/>
          <w:lang w:val="zh-CN"/>
        </w:rPr>
      </w:pPr>
      <w:r>
        <w:rPr>
          <w:rFonts w:hint="eastAsia" w:ascii="宋体" w:hAnsi="宋体" w:cs="宋体"/>
          <w:color w:val="auto"/>
          <w:szCs w:val="21"/>
          <w:highlight w:val="none"/>
          <w:u w:val="single"/>
          <w:lang w:val="zh-CN" w:bidi="ar"/>
        </w:rPr>
        <w:t>致（发包人全称）：</w:t>
      </w:r>
    </w:p>
    <w:p w14:paraId="36F0F163">
      <w:pPr>
        <w:spacing w:line="360" w:lineRule="auto"/>
        <w:ind w:firstLine="315" w:firstLineChars="150"/>
        <w:rPr>
          <w:rFonts w:hint="eastAsia" w:ascii="宋体" w:hAnsi="宋体" w:cs="宋体"/>
          <w:color w:val="auto"/>
          <w:szCs w:val="21"/>
          <w:highlight w:val="none"/>
          <w:lang w:val="zh-CN"/>
        </w:rPr>
      </w:pPr>
      <w:r>
        <w:rPr>
          <w:rFonts w:hint="eastAsia" w:ascii="宋体" w:hAnsi="宋体" w:cs="宋体"/>
          <w:color w:val="auto"/>
          <w:szCs w:val="21"/>
          <w:highlight w:val="none"/>
          <w:u w:val="single"/>
          <w:lang w:val="zh-CN" w:bidi="ar"/>
        </w:rPr>
        <w:t>（承包人全称）</w:t>
      </w:r>
      <w:r>
        <w:rPr>
          <w:rFonts w:hint="eastAsia" w:ascii="宋体" w:hAnsi="宋体" w:cs="宋体"/>
          <w:color w:val="auto"/>
          <w:szCs w:val="21"/>
          <w:highlight w:val="none"/>
          <w:lang w:val="zh-CN" w:bidi="ar"/>
        </w:rPr>
        <w:t>法定代表人</w:t>
      </w:r>
      <w:r>
        <w:rPr>
          <w:rFonts w:hint="eastAsia" w:ascii="宋体" w:hAnsi="宋体" w:cs="宋体"/>
          <w:color w:val="auto"/>
          <w:szCs w:val="21"/>
          <w:highlight w:val="none"/>
          <w:u w:val="single"/>
          <w:lang w:val="zh-CN" w:bidi="ar"/>
        </w:rPr>
        <w:t>（职务、姓名）</w:t>
      </w:r>
      <w:r>
        <w:rPr>
          <w:rFonts w:hint="eastAsia" w:ascii="宋体" w:hAnsi="宋体" w:cs="宋体"/>
          <w:color w:val="auto"/>
          <w:szCs w:val="21"/>
          <w:highlight w:val="none"/>
          <w:lang w:val="zh-CN" w:bidi="ar"/>
        </w:rPr>
        <w:t>代表本单位委任</w:t>
      </w:r>
      <w:r>
        <w:rPr>
          <w:rFonts w:hint="eastAsia" w:ascii="宋体" w:hAnsi="宋体" w:cs="宋体"/>
          <w:color w:val="auto"/>
          <w:szCs w:val="21"/>
          <w:highlight w:val="none"/>
          <w:u w:val="single"/>
          <w:lang w:val="zh-CN" w:bidi="ar"/>
        </w:rPr>
        <w:t>（职务、姓名）</w:t>
      </w:r>
      <w:r>
        <w:rPr>
          <w:rFonts w:hint="eastAsia" w:ascii="宋体" w:hAnsi="宋体" w:cs="宋体"/>
          <w:color w:val="auto"/>
          <w:szCs w:val="21"/>
          <w:highlight w:val="none"/>
          <w:lang w:val="zh-CN" w:bidi="ar"/>
        </w:rPr>
        <w:t>为</w:t>
      </w:r>
      <w:r>
        <w:rPr>
          <w:rFonts w:hint="eastAsia" w:ascii="宋体" w:hAnsi="宋体" w:cs="宋体"/>
          <w:color w:val="auto"/>
          <w:szCs w:val="21"/>
          <w:highlight w:val="none"/>
          <w:u w:val="single"/>
          <w:lang w:bidi="ar"/>
        </w:rPr>
        <w:t>（项目名称）（标段名称）</w:t>
      </w:r>
      <w:r>
        <w:rPr>
          <w:rFonts w:hint="eastAsia" w:ascii="宋体" w:hAnsi="宋体" w:cs="宋体"/>
          <w:color w:val="auto"/>
          <w:highlight w:val="none"/>
          <w:lang w:bidi="ar"/>
        </w:rPr>
        <w:t>合同</w:t>
      </w:r>
      <w:r>
        <w:rPr>
          <w:rFonts w:hint="eastAsia" w:ascii="宋体" w:hAnsi="宋体" w:cs="宋体"/>
          <w:color w:val="auto"/>
          <w:szCs w:val="21"/>
          <w:highlight w:val="none"/>
          <w:lang w:val="zh-CN" w:bidi="ar"/>
        </w:rPr>
        <w:t>的项目经理。凡本合同执行的有关技术、工程进度、现场管理、质量检验、结算与支付等方面工作，由</w:t>
      </w:r>
      <w:r>
        <w:rPr>
          <w:rFonts w:hint="eastAsia" w:ascii="宋体" w:hAnsi="宋体" w:cs="宋体"/>
          <w:color w:val="auto"/>
          <w:szCs w:val="21"/>
          <w:highlight w:val="none"/>
          <w:u w:val="single"/>
          <w:lang w:val="zh-CN" w:bidi="ar"/>
        </w:rPr>
        <w:t>（姓名）</w:t>
      </w:r>
      <w:r>
        <w:rPr>
          <w:rFonts w:hint="eastAsia" w:ascii="宋体" w:hAnsi="宋体" w:cs="宋体"/>
          <w:color w:val="auto"/>
          <w:szCs w:val="21"/>
          <w:highlight w:val="none"/>
          <w:lang w:val="zh-CN" w:bidi="ar"/>
        </w:rPr>
        <w:t>代表本单位全面负责。</w:t>
      </w:r>
    </w:p>
    <w:p w14:paraId="54692AE5">
      <w:pPr>
        <w:spacing w:line="360" w:lineRule="auto"/>
        <w:rPr>
          <w:rFonts w:hint="eastAsia" w:ascii="宋体" w:hAnsi="宋体" w:cs="宋体"/>
          <w:color w:val="auto"/>
          <w:szCs w:val="21"/>
          <w:highlight w:val="none"/>
          <w:lang w:val="zh-CN"/>
        </w:rPr>
      </w:pPr>
    </w:p>
    <w:p w14:paraId="619F7B6A">
      <w:pPr>
        <w:spacing w:line="360" w:lineRule="auto"/>
        <w:rPr>
          <w:rFonts w:hint="eastAsia" w:ascii="宋体" w:hAnsi="宋体" w:cs="宋体"/>
          <w:color w:val="auto"/>
          <w:szCs w:val="21"/>
          <w:highlight w:val="none"/>
          <w:lang w:val="zh-CN"/>
        </w:rPr>
      </w:pPr>
    </w:p>
    <w:p w14:paraId="3E4E84BF">
      <w:pPr>
        <w:spacing w:line="360" w:lineRule="auto"/>
        <w:rPr>
          <w:rFonts w:hint="eastAsia" w:ascii="宋体" w:hAnsi="宋体" w:cs="宋体"/>
          <w:color w:val="auto"/>
          <w:szCs w:val="21"/>
          <w:highlight w:val="none"/>
          <w:lang w:val="zh-CN"/>
        </w:rPr>
      </w:pPr>
    </w:p>
    <w:p w14:paraId="65477B29">
      <w:pPr>
        <w:spacing w:line="360" w:lineRule="auto"/>
        <w:rPr>
          <w:rFonts w:hint="eastAsia" w:ascii="宋体" w:hAnsi="宋体" w:cs="宋体"/>
          <w:color w:val="auto"/>
          <w:szCs w:val="21"/>
          <w:highlight w:val="none"/>
          <w:lang w:val="zh-CN"/>
        </w:rPr>
      </w:pPr>
    </w:p>
    <w:p w14:paraId="024CC3B1">
      <w:pPr>
        <w:spacing w:line="360" w:lineRule="auto"/>
        <w:rPr>
          <w:rFonts w:hint="eastAsia" w:ascii="宋体" w:hAnsi="宋体" w:cs="宋体"/>
          <w:color w:val="auto"/>
          <w:szCs w:val="21"/>
          <w:highlight w:val="none"/>
          <w:lang w:val="zh-CN"/>
        </w:rPr>
      </w:pPr>
    </w:p>
    <w:p w14:paraId="55FC1113">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lang w:val="zh-CN" w:bidi="ar"/>
        </w:rPr>
        <w:t xml:space="preserve">                                               承  包  人：</w:t>
      </w:r>
      <w:r>
        <w:rPr>
          <w:rFonts w:hint="eastAsia" w:ascii="宋体" w:hAnsi="宋体" w:cs="宋体"/>
          <w:color w:val="auto"/>
          <w:szCs w:val="21"/>
          <w:highlight w:val="none"/>
          <w:u w:val="single"/>
          <w:lang w:val="zh-CN" w:bidi="ar"/>
        </w:rPr>
        <w:t>（全称）   （盖</w:t>
      </w:r>
      <w:r>
        <w:rPr>
          <w:rFonts w:hint="eastAsia" w:ascii="宋体" w:hAnsi="宋体" w:cs="宋体"/>
          <w:color w:val="auto"/>
          <w:szCs w:val="21"/>
          <w:highlight w:val="none"/>
          <w:u w:val="single"/>
          <w:lang w:bidi="ar"/>
        </w:rPr>
        <w:t>单位公</w:t>
      </w:r>
      <w:r>
        <w:rPr>
          <w:rFonts w:hint="eastAsia" w:ascii="宋体" w:hAnsi="宋体" w:cs="宋体"/>
          <w:color w:val="auto"/>
          <w:szCs w:val="21"/>
          <w:highlight w:val="none"/>
          <w:u w:val="single"/>
          <w:lang w:val="zh-CN" w:bidi="ar"/>
        </w:rPr>
        <w:t>章）</w:t>
      </w:r>
      <w:r>
        <w:rPr>
          <w:rFonts w:hint="eastAsia" w:ascii="宋体" w:hAnsi="宋体" w:cs="宋体"/>
          <w:color w:val="auto"/>
          <w:szCs w:val="21"/>
          <w:highlight w:val="none"/>
          <w:u w:val="single"/>
          <w:lang w:bidi="ar"/>
        </w:rPr>
        <w:t xml:space="preserve"> </w:t>
      </w:r>
    </w:p>
    <w:p w14:paraId="4227F373">
      <w:pPr>
        <w:spacing w:line="360" w:lineRule="auto"/>
        <w:jc w:val="left"/>
        <w:rPr>
          <w:rFonts w:hint="eastAsia" w:ascii="宋体" w:hAnsi="宋体" w:cs="宋体"/>
          <w:color w:val="auto"/>
          <w:highlight w:val="none"/>
          <w:lang w:val="zh-CN"/>
        </w:rPr>
      </w:pPr>
      <w:r>
        <w:rPr>
          <w:rFonts w:hint="eastAsia" w:ascii="宋体" w:hAnsi="宋体" w:cs="宋体"/>
          <w:color w:val="auto"/>
          <w:szCs w:val="21"/>
          <w:highlight w:val="none"/>
          <w:lang w:val="zh-CN" w:bidi="ar"/>
        </w:rPr>
        <w:t xml:space="preserve">                                               法定代表人：</w:t>
      </w:r>
      <w:r>
        <w:rPr>
          <w:rFonts w:hint="eastAsia" w:ascii="宋体" w:hAnsi="宋体" w:cs="宋体"/>
          <w:color w:val="auto"/>
          <w:szCs w:val="21"/>
          <w:highlight w:val="none"/>
          <w:u w:val="single"/>
          <w:lang w:val="zh-CN" w:bidi="ar"/>
        </w:rPr>
        <w:t xml:space="preserve">     （签名）     </w:t>
      </w:r>
      <w:r>
        <w:rPr>
          <w:rFonts w:hint="eastAsia" w:ascii="宋体" w:hAnsi="宋体" w:cs="宋体"/>
          <w:color w:val="auto"/>
          <w:highlight w:val="none"/>
          <w:lang w:val="zh-CN" w:bidi="ar"/>
        </w:rPr>
        <w:t xml:space="preserve"> </w:t>
      </w:r>
    </w:p>
    <w:p w14:paraId="11B362B0">
      <w:pPr>
        <w:spacing w:line="360" w:lineRule="auto"/>
        <w:jc w:val="right"/>
        <w:rPr>
          <w:rFonts w:hint="eastAsia" w:ascii="宋体" w:hAnsi="宋体" w:cs="宋体"/>
          <w:color w:val="auto"/>
          <w:highlight w:val="none"/>
        </w:rPr>
      </w:pPr>
      <w:r>
        <w:rPr>
          <w:rFonts w:hint="eastAsia" w:ascii="宋体" w:hAnsi="宋体" w:cs="宋体"/>
          <w:color w:val="auto"/>
          <w:highlight w:val="none"/>
          <w:lang w:val="zh-CN" w:bidi="ar"/>
        </w:rPr>
        <w:t xml:space="preserve">                                               </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年</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月</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日</w:t>
      </w:r>
    </w:p>
    <w:p w14:paraId="29DDC099">
      <w:pPr>
        <w:spacing w:line="360" w:lineRule="auto"/>
        <w:jc w:val="left"/>
        <w:rPr>
          <w:rFonts w:hint="eastAsia" w:ascii="宋体" w:hAnsi="宋体" w:cs="宋体"/>
          <w:color w:val="auto"/>
          <w:highlight w:val="none"/>
        </w:rPr>
      </w:pPr>
    </w:p>
    <w:p w14:paraId="3B326C13">
      <w:pPr>
        <w:spacing w:line="360" w:lineRule="auto"/>
        <w:jc w:val="left"/>
        <w:rPr>
          <w:rFonts w:hint="eastAsia" w:ascii="宋体" w:hAnsi="宋体" w:cs="宋体"/>
          <w:color w:val="auto"/>
          <w:highlight w:val="none"/>
          <w:lang w:val="zh-CN"/>
        </w:rPr>
      </w:pPr>
      <w:r>
        <w:rPr>
          <w:rFonts w:hint="eastAsia" w:ascii="宋体" w:hAnsi="宋体" w:cs="宋体"/>
          <w:color w:val="auto"/>
          <w:highlight w:val="none"/>
          <w:lang w:bidi="ar"/>
        </w:rPr>
        <w:t>抄送：</w:t>
      </w:r>
      <w:r>
        <w:rPr>
          <w:rFonts w:hint="eastAsia" w:ascii="宋体" w:hAnsi="宋体" w:cs="宋体"/>
          <w:color w:val="auto"/>
          <w:highlight w:val="none"/>
          <w:u w:val="single"/>
          <w:lang w:bidi="ar"/>
        </w:rPr>
        <w:t>　　（监理人）　　</w:t>
      </w:r>
    </w:p>
    <w:p w14:paraId="1868DB1D">
      <w:pPr>
        <w:rPr>
          <w:rFonts w:hint="eastAsia" w:ascii="宋体" w:hAnsi="宋体"/>
          <w:color w:val="auto"/>
          <w:highlight w:val="none"/>
        </w:rPr>
      </w:pPr>
      <w:r>
        <w:rPr>
          <w:rFonts w:ascii="宋体" w:hAnsi="宋体"/>
          <w:color w:val="auto"/>
          <w:highlight w:val="none"/>
          <w:lang w:bidi="ar"/>
        </w:rPr>
        <w:br w:type="page"/>
      </w:r>
    </w:p>
    <w:p w14:paraId="09AAA295">
      <w:pPr>
        <w:pStyle w:val="42"/>
        <w:keepNext/>
        <w:keepLines/>
        <w:tabs>
          <w:tab w:val="left" w:pos="420"/>
        </w:tabs>
        <w:spacing w:line="400" w:lineRule="exact"/>
        <w:jc w:val="center"/>
        <w:outlineLvl w:val="2"/>
        <w:rPr>
          <w:rFonts w:hint="eastAsia" w:ascii="宋体" w:hAnsi="宋体" w:cs="宋体"/>
          <w:color w:val="auto"/>
          <w:highlight w:val="none"/>
        </w:rPr>
      </w:pPr>
      <w:bookmarkStart w:id="2090" w:name="_Toc424558734"/>
      <w:bookmarkStart w:id="2091" w:name="_Toc424558376"/>
      <w:bookmarkStart w:id="2092" w:name="_Toc335223537"/>
      <w:bookmarkStart w:id="2093" w:name="_Toc7256"/>
      <w:bookmarkStart w:id="2094" w:name="_Toc467164263"/>
      <w:bookmarkStart w:id="2095" w:name="_Toc18729"/>
      <w:bookmarkStart w:id="2096" w:name="_Toc509390702"/>
      <w:bookmarkStart w:id="2097" w:name="_Toc5469"/>
      <w:bookmarkStart w:id="2098" w:name="_Toc12086"/>
      <w:bookmarkStart w:id="2099" w:name="_Toc23430"/>
      <w:bookmarkStart w:id="2100" w:name="_Toc57795997"/>
      <w:r>
        <w:rPr>
          <w:rFonts w:hint="eastAsia" w:ascii="宋体" w:hAnsi="宋体" w:cs="黑体"/>
          <w:color w:val="auto"/>
          <w:sz w:val="32"/>
          <w:szCs w:val="32"/>
          <w:highlight w:val="none"/>
          <w:lang w:bidi="ar"/>
        </w:rPr>
        <w:t>附件七 履约</w:t>
      </w:r>
      <w:bookmarkEnd w:id="2090"/>
      <w:bookmarkEnd w:id="2091"/>
      <w:bookmarkEnd w:id="2092"/>
      <w:bookmarkEnd w:id="2093"/>
      <w:bookmarkEnd w:id="2094"/>
      <w:r>
        <w:rPr>
          <w:rFonts w:hint="eastAsia" w:ascii="宋体" w:hAnsi="宋体" w:cs="黑体"/>
          <w:color w:val="auto"/>
          <w:sz w:val="32"/>
          <w:szCs w:val="32"/>
          <w:highlight w:val="none"/>
          <w:lang w:bidi="ar"/>
        </w:rPr>
        <w:t>保证金格式</w:t>
      </w:r>
      <w:bookmarkEnd w:id="2095"/>
      <w:bookmarkEnd w:id="2096"/>
      <w:bookmarkEnd w:id="2097"/>
      <w:bookmarkEnd w:id="2098"/>
      <w:bookmarkEnd w:id="2099"/>
      <w:bookmarkEnd w:id="2100"/>
    </w:p>
    <w:p w14:paraId="722BE6B2">
      <w:pPr>
        <w:spacing w:line="400" w:lineRule="atLeast"/>
        <w:rPr>
          <w:rFonts w:hint="eastAsia" w:ascii="宋体" w:hAnsi="宋体" w:cs="宋体"/>
          <w:b/>
          <w:color w:val="auto"/>
          <w:sz w:val="24"/>
          <w:highlight w:val="none"/>
          <w:lang w:bidi="ar"/>
        </w:rPr>
      </w:pPr>
    </w:p>
    <w:p w14:paraId="193E4030">
      <w:pPr>
        <w:spacing w:line="360" w:lineRule="auto"/>
        <w:ind w:firstLine="420" w:firstLineChars="200"/>
        <w:jc w:val="center"/>
        <w:rPr>
          <w:rFonts w:hint="eastAsia" w:ascii="宋体" w:hAnsi="宋体"/>
          <w:color w:val="auto"/>
          <w:highlight w:val="none"/>
          <w:lang w:bidi="ar"/>
        </w:rPr>
      </w:pPr>
      <w:r>
        <w:rPr>
          <w:rFonts w:hint="eastAsia" w:ascii="宋体" w:hAnsi="宋体"/>
          <w:color w:val="auto"/>
          <w:highlight w:val="none"/>
          <w:lang w:bidi="ar"/>
        </w:rPr>
        <w:t>履约保函示范文本</w:t>
      </w:r>
    </w:p>
    <w:p w14:paraId="04313F4B">
      <w:pPr>
        <w:spacing w:line="360" w:lineRule="auto"/>
        <w:ind w:firstLine="420" w:firstLineChars="200"/>
        <w:rPr>
          <w:rFonts w:hint="eastAsia" w:ascii="宋体" w:hAnsi="宋体"/>
          <w:color w:val="auto"/>
          <w:highlight w:val="none"/>
          <w:u w:val="single"/>
          <w:lang w:bidi="ar"/>
        </w:rPr>
      </w:pPr>
    </w:p>
    <w:p w14:paraId="7055C928">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 xml:space="preserve">              （发包人名称）：</w:t>
      </w:r>
    </w:p>
    <w:p w14:paraId="2612E41E">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lang w:bidi="ar"/>
        </w:rPr>
        <w:t>鉴于</w:t>
      </w:r>
      <w:r>
        <w:rPr>
          <w:rFonts w:hint="eastAsia" w:ascii="宋体" w:hAnsi="宋体"/>
          <w:color w:val="auto"/>
          <w:highlight w:val="none"/>
          <w:u w:val="single"/>
          <w:lang w:bidi="ar"/>
        </w:rPr>
        <w:t xml:space="preserve">               （发包人名称，以下简称“发包人”）</w:t>
      </w:r>
      <w:r>
        <w:rPr>
          <w:rFonts w:hint="eastAsia" w:ascii="宋体" w:hAnsi="宋体"/>
          <w:color w:val="auto"/>
          <w:highlight w:val="none"/>
          <w:lang w:bidi="ar"/>
        </w:rPr>
        <w:t>接受</w:t>
      </w:r>
      <w:r>
        <w:rPr>
          <w:rFonts w:hint="eastAsia" w:ascii="宋体" w:hAnsi="宋体"/>
          <w:color w:val="auto"/>
          <w:highlight w:val="none"/>
          <w:u w:val="single"/>
          <w:lang w:bidi="ar"/>
        </w:rPr>
        <w:t xml:space="preserve">                 （承包人名称，以下简称“承包人”）</w:t>
      </w:r>
      <w:r>
        <w:rPr>
          <w:rFonts w:hint="eastAsia" w:ascii="宋体" w:hAnsi="宋体"/>
          <w:color w:val="auto"/>
          <w:highlight w:val="none"/>
          <w:lang w:bidi="ar"/>
        </w:rPr>
        <w:t>于</w:t>
      </w:r>
      <w:r>
        <w:rPr>
          <w:rFonts w:hint="eastAsia" w:ascii="宋体" w:hAnsi="宋体"/>
          <w:color w:val="auto"/>
          <w:highlight w:val="none"/>
          <w:u w:val="single"/>
          <w:lang w:bidi="ar"/>
        </w:rPr>
        <w:t xml:space="preserve">   </w:t>
      </w:r>
      <w:r>
        <w:rPr>
          <w:rFonts w:hint="eastAsia" w:ascii="宋体" w:hAnsi="宋体"/>
          <w:color w:val="auto"/>
          <w:highlight w:val="none"/>
          <w:lang w:bidi="ar"/>
        </w:rPr>
        <w:t>年</w:t>
      </w:r>
      <w:r>
        <w:rPr>
          <w:rFonts w:hint="eastAsia" w:ascii="宋体" w:hAnsi="宋体"/>
          <w:color w:val="auto"/>
          <w:highlight w:val="none"/>
          <w:u w:val="single"/>
          <w:lang w:bidi="ar"/>
        </w:rPr>
        <w:t xml:space="preserve">   </w:t>
      </w:r>
      <w:r>
        <w:rPr>
          <w:rFonts w:hint="eastAsia" w:ascii="宋体" w:hAnsi="宋体"/>
          <w:color w:val="auto"/>
          <w:highlight w:val="none"/>
          <w:lang w:bidi="ar"/>
        </w:rPr>
        <w:t>月</w:t>
      </w:r>
      <w:r>
        <w:rPr>
          <w:rFonts w:hint="eastAsia" w:ascii="宋体" w:hAnsi="宋体"/>
          <w:color w:val="auto"/>
          <w:highlight w:val="none"/>
          <w:u w:val="single"/>
          <w:lang w:bidi="ar"/>
        </w:rPr>
        <w:t xml:space="preserve">   </w:t>
      </w:r>
      <w:r>
        <w:rPr>
          <w:rFonts w:hint="eastAsia" w:ascii="宋体" w:hAnsi="宋体"/>
          <w:color w:val="auto"/>
          <w:highlight w:val="none"/>
          <w:lang w:bidi="ar"/>
        </w:rPr>
        <w:t xml:space="preserve">日参加 </w:t>
      </w:r>
      <w:r>
        <w:rPr>
          <w:rFonts w:hint="eastAsia" w:ascii="宋体" w:hAnsi="宋体"/>
          <w:color w:val="auto"/>
          <w:highlight w:val="none"/>
          <w:u w:val="single"/>
          <w:lang w:bidi="ar"/>
        </w:rPr>
        <w:t xml:space="preserve">          （项目名称）       标段施工</w:t>
      </w:r>
      <w:r>
        <w:rPr>
          <w:rFonts w:hint="eastAsia" w:ascii="宋体" w:hAnsi="宋体"/>
          <w:color w:val="auto"/>
          <w:highlight w:val="none"/>
          <w:lang w:bidi="ar"/>
        </w:rPr>
        <w:t>的投标。我方愿意无条件地、不可撤销地就承包人履行与你方订立的合同，向你方提供</w:t>
      </w:r>
      <w:r>
        <w:rPr>
          <w:rFonts w:hint="eastAsia" w:ascii="宋体" w:hAnsi="宋体"/>
          <w:color w:val="auto"/>
          <w:highlight w:val="none"/>
          <w:lang w:val="en-US" w:eastAsia="zh-CN" w:bidi="ar"/>
        </w:rPr>
        <w:t>连带责任保证</w:t>
      </w:r>
      <w:r>
        <w:rPr>
          <w:rFonts w:hint="eastAsia" w:ascii="宋体" w:hAnsi="宋体"/>
          <w:color w:val="auto"/>
          <w:highlight w:val="none"/>
          <w:lang w:bidi="ar"/>
        </w:rPr>
        <w:t>担保。</w:t>
      </w:r>
    </w:p>
    <w:p w14:paraId="3DC60B9F">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lang w:bidi="ar"/>
        </w:rPr>
        <w:t>一、担保金额人民币（大写）</w:t>
      </w:r>
      <w:r>
        <w:rPr>
          <w:rFonts w:hint="eastAsia" w:ascii="宋体" w:hAnsi="宋体"/>
          <w:color w:val="auto"/>
          <w:highlight w:val="none"/>
          <w:u w:val="single"/>
          <w:lang w:bidi="ar"/>
        </w:rPr>
        <w:t xml:space="preserve">           </w:t>
      </w:r>
      <w:r>
        <w:rPr>
          <w:rFonts w:hint="eastAsia" w:ascii="宋体" w:hAnsi="宋体"/>
          <w:color w:val="auto"/>
          <w:highlight w:val="none"/>
          <w:lang w:bidi="ar"/>
        </w:rPr>
        <w:t>元（¥</w:t>
      </w:r>
      <w:r>
        <w:rPr>
          <w:rFonts w:hint="eastAsia" w:ascii="宋体" w:hAnsi="宋体"/>
          <w:color w:val="auto"/>
          <w:highlight w:val="none"/>
          <w:u w:val="single"/>
          <w:lang w:bidi="ar"/>
        </w:rPr>
        <w:t xml:space="preserve">        </w:t>
      </w:r>
      <w:r>
        <w:rPr>
          <w:rFonts w:hint="eastAsia" w:ascii="宋体" w:hAnsi="宋体"/>
          <w:color w:val="auto"/>
          <w:highlight w:val="none"/>
          <w:lang w:bidi="ar"/>
        </w:rPr>
        <w:t>）。</w:t>
      </w:r>
    </w:p>
    <w:p w14:paraId="71B8997E">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lang w:bidi="ar"/>
        </w:rPr>
        <w:t>二、担保有效期为以下第</w:t>
      </w:r>
      <w:r>
        <w:rPr>
          <w:rFonts w:hint="eastAsia" w:ascii="宋体" w:hAnsi="宋体"/>
          <w:color w:val="auto"/>
          <w:highlight w:val="none"/>
          <w:u w:val="single"/>
          <w:lang w:bidi="ar"/>
        </w:rPr>
        <w:t xml:space="preserve">      </w:t>
      </w:r>
      <w:r>
        <w:rPr>
          <w:rFonts w:hint="eastAsia" w:ascii="宋体" w:hAnsi="宋体"/>
          <w:color w:val="auto"/>
          <w:highlight w:val="none"/>
          <w:lang w:bidi="ar"/>
        </w:rPr>
        <w:t>种：</w:t>
      </w:r>
    </w:p>
    <w:p w14:paraId="51E56298">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lang w:bidi="ar"/>
        </w:rPr>
        <w:t>（1）本担保自</w:t>
      </w:r>
      <w:r>
        <w:rPr>
          <w:rFonts w:hint="eastAsia" w:ascii="宋体" w:hAnsi="宋体"/>
          <w:color w:val="auto"/>
          <w:highlight w:val="none"/>
          <w:u w:val="single"/>
          <w:lang w:bidi="ar"/>
        </w:rPr>
        <w:t xml:space="preserve">      （生效日期）</w:t>
      </w:r>
      <w:r>
        <w:rPr>
          <w:rFonts w:hint="eastAsia" w:ascii="宋体" w:hAnsi="宋体"/>
          <w:color w:val="auto"/>
          <w:highlight w:val="none"/>
          <w:lang w:bidi="ar"/>
        </w:rPr>
        <w:t>之日起生效，至</w:t>
      </w:r>
      <w:r>
        <w:rPr>
          <w:rFonts w:hint="eastAsia" w:ascii="宋体" w:hAnsi="宋体"/>
          <w:color w:val="auto"/>
          <w:highlight w:val="none"/>
          <w:u w:val="single"/>
          <w:lang w:bidi="ar"/>
        </w:rPr>
        <w:t xml:space="preserve">      （失效日期）</w:t>
      </w:r>
      <w:r>
        <w:rPr>
          <w:rFonts w:hint="eastAsia" w:ascii="宋体" w:hAnsi="宋体"/>
          <w:color w:val="auto"/>
          <w:highlight w:val="none"/>
          <w:lang w:bidi="ar"/>
        </w:rPr>
        <w:t>之日失效。</w:t>
      </w:r>
    </w:p>
    <w:p w14:paraId="680449BE">
      <w:pPr>
        <w:spacing w:line="360" w:lineRule="auto"/>
        <w:ind w:firstLine="420" w:firstLineChars="200"/>
        <w:rPr>
          <w:rFonts w:hint="eastAsia" w:ascii="宋体" w:hAnsi="宋体"/>
          <w:color w:val="auto"/>
          <w:highlight w:val="none"/>
          <w:lang w:bidi="ar"/>
        </w:rPr>
      </w:pPr>
      <w:r>
        <w:rPr>
          <w:rFonts w:hint="eastAsia" w:ascii="宋体" w:hAnsi="宋体"/>
          <w:color w:val="auto"/>
          <w:highlight w:val="none"/>
          <w:lang w:bidi="ar"/>
        </w:rPr>
        <w:t>（2）本担保自发包人与承包人签订的合同生效之日起至发包人签发交工验收证书且承包人按照合同约定缴纳质量保证金之日止。</w:t>
      </w:r>
    </w:p>
    <w:p w14:paraId="078DE6C7">
      <w:pPr>
        <w:spacing w:line="360" w:lineRule="auto"/>
        <w:ind w:firstLine="420" w:firstLineChars="200"/>
        <w:rPr>
          <w:rFonts w:hint="default" w:ascii="宋体" w:hAnsi="宋体" w:eastAsia="宋体"/>
          <w:color w:val="auto"/>
          <w:highlight w:val="none"/>
          <w:lang w:val="en-US" w:eastAsia="zh-CN" w:bidi="ar"/>
        </w:rPr>
      </w:pPr>
      <w:r>
        <w:rPr>
          <w:rFonts w:hint="eastAsia" w:ascii="宋体" w:hAnsi="宋体"/>
          <w:color w:val="auto"/>
          <w:highlight w:val="none"/>
          <w:lang w:bidi="ar"/>
        </w:rPr>
        <w:t>三、在本担保有效期内，因承包人违反合同约定的义务给你方造成经济损失时，我方在收到你方以书面形式提出的在担保金额内的赔偿要求后，在7日内无条件支付，无须你方出具证明或陈述理由。</w:t>
      </w:r>
      <w:r>
        <w:rPr>
          <w:rFonts w:hint="eastAsia" w:ascii="宋体" w:hAnsi="宋体"/>
          <w:color w:val="auto"/>
          <w:highlight w:val="none"/>
          <w:lang w:val="en-US" w:eastAsia="zh-CN" w:bidi="ar"/>
        </w:rPr>
        <w:t>若发生争议，各方均有权向项目所在地有管辖权的人民法院提起诉讼。</w:t>
      </w:r>
    </w:p>
    <w:p w14:paraId="69DB1138">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lang w:bidi="ar"/>
        </w:rPr>
        <w:t>四、发包人和承包人按合同条款第15条变更合同时，无论我方是否收到该变更，我方承担本担保规定的义务不变。</w:t>
      </w:r>
    </w:p>
    <w:p w14:paraId="143082A3">
      <w:pPr>
        <w:spacing w:line="360" w:lineRule="auto"/>
        <w:ind w:firstLine="420" w:firstLineChars="200"/>
        <w:rPr>
          <w:rFonts w:hint="eastAsia" w:ascii="宋体" w:hAnsi="宋体"/>
          <w:color w:val="auto"/>
          <w:highlight w:val="none"/>
          <w:u w:val="single"/>
          <w:lang w:bidi="ar"/>
        </w:rPr>
      </w:pPr>
    </w:p>
    <w:p w14:paraId="24107345">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lang w:bidi="ar"/>
        </w:rPr>
        <w:t>担 保 人：</w:t>
      </w:r>
      <w:r>
        <w:rPr>
          <w:rFonts w:hint="eastAsia" w:ascii="宋体" w:hAnsi="宋体"/>
          <w:color w:val="auto"/>
          <w:highlight w:val="none"/>
          <w:u w:val="single"/>
          <w:lang w:bidi="ar"/>
        </w:rPr>
        <w:t xml:space="preserve">                               （盖单位章）</w:t>
      </w:r>
    </w:p>
    <w:p w14:paraId="2622DF8E">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lang w:bidi="ar"/>
        </w:rPr>
        <w:t>法定代表人或其委托代理人：</w:t>
      </w:r>
      <w:r>
        <w:rPr>
          <w:rFonts w:hint="eastAsia" w:ascii="宋体" w:hAnsi="宋体"/>
          <w:color w:val="auto"/>
          <w:highlight w:val="none"/>
          <w:u w:val="single"/>
          <w:lang w:bidi="ar"/>
        </w:rPr>
        <w:t xml:space="preserve">                   （签名）</w:t>
      </w:r>
    </w:p>
    <w:p w14:paraId="22E71AFC">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lang w:bidi="ar"/>
        </w:rPr>
        <w:t>地    址：</w:t>
      </w:r>
      <w:r>
        <w:rPr>
          <w:rFonts w:hint="eastAsia" w:ascii="宋体" w:hAnsi="宋体"/>
          <w:color w:val="auto"/>
          <w:highlight w:val="none"/>
          <w:u w:val="single"/>
          <w:lang w:bidi="ar"/>
        </w:rPr>
        <w:t xml:space="preserve">                                          </w:t>
      </w:r>
    </w:p>
    <w:p w14:paraId="17030B91">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lang w:bidi="ar"/>
        </w:rPr>
        <w:t>邮政编码：</w:t>
      </w:r>
      <w:r>
        <w:rPr>
          <w:rFonts w:hint="eastAsia" w:ascii="宋体" w:hAnsi="宋体"/>
          <w:color w:val="auto"/>
          <w:highlight w:val="none"/>
          <w:u w:val="single"/>
          <w:lang w:bidi="ar"/>
        </w:rPr>
        <w:t xml:space="preserve">                                          </w:t>
      </w:r>
    </w:p>
    <w:p w14:paraId="6ADF813B">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lang w:bidi="ar"/>
        </w:rPr>
        <w:t>电    话：</w:t>
      </w:r>
      <w:r>
        <w:rPr>
          <w:rFonts w:hint="eastAsia" w:ascii="宋体" w:hAnsi="宋体"/>
          <w:color w:val="auto"/>
          <w:highlight w:val="none"/>
          <w:u w:val="single"/>
          <w:lang w:bidi="ar"/>
        </w:rPr>
        <w:t xml:space="preserve">                                          </w:t>
      </w:r>
    </w:p>
    <w:p w14:paraId="1B6DA02F">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lang w:bidi="ar"/>
        </w:rPr>
        <w:t>传    真：</w:t>
      </w:r>
      <w:r>
        <w:rPr>
          <w:rFonts w:hint="eastAsia" w:ascii="宋体" w:hAnsi="宋体"/>
          <w:color w:val="auto"/>
          <w:highlight w:val="none"/>
          <w:u w:val="single"/>
          <w:lang w:bidi="ar"/>
        </w:rPr>
        <w:t xml:space="preserve">                                          </w:t>
      </w:r>
    </w:p>
    <w:p w14:paraId="57A6E657">
      <w:pPr>
        <w:spacing w:line="360" w:lineRule="auto"/>
        <w:ind w:firstLine="420" w:firstLineChars="200"/>
        <w:jc w:val="left"/>
        <w:rPr>
          <w:rFonts w:hint="eastAsia" w:ascii="宋体" w:hAnsi="宋体"/>
          <w:color w:val="auto"/>
          <w:highlight w:val="none"/>
          <w:lang w:bidi="ar"/>
        </w:rPr>
      </w:pPr>
      <w:r>
        <w:rPr>
          <w:rFonts w:hint="eastAsia" w:ascii="宋体" w:hAnsi="宋体"/>
          <w:color w:val="auto"/>
          <w:highlight w:val="none"/>
          <w:u w:val="single"/>
          <w:lang w:bidi="ar"/>
        </w:rPr>
        <w:t xml:space="preserve">     </w:t>
      </w:r>
      <w:r>
        <w:rPr>
          <w:rFonts w:hint="eastAsia" w:ascii="宋体" w:hAnsi="宋体"/>
          <w:color w:val="auto"/>
          <w:highlight w:val="none"/>
          <w:lang w:bidi="ar"/>
        </w:rPr>
        <w:t>年</w:t>
      </w:r>
      <w:r>
        <w:rPr>
          <w:rFonts w:hint="eastAsia" w:ascii="宋体" w:hAnsi="宋体"/>
          <w:color w:val="auto"/>
          <w:highlight w:val="none"/>
          <w:u w:val="single"/>
          <w:lang w:bidi="ar"/>
        </w:rPr>
        <w:t xml:space="preserve">     </w:t>
      </w:r>
      <w:r>
        <w:rPr>
          <w:rFonts w:hint="eastAsia" w:ascii="宋体" w:hAnsi="宋体"/>
          <w:color w:val="auto"/>
          <w:highlight w:val="none"/>
          <w:lang w:bidi="ar"/>
        </w:rPr>
        <w:t>月</w:t>
      </w:r>
      <w:r>
        <w:rPr>
          <w:rFonts w:hint="eastAsia" w:ascii="宋体" w:hAnsi="宋体"/>
          <w:color w:val="auto"/>
          <w:highlight w:val="none"/>
          <w:u w:val="single"/>
          <w:lang w:bidi="ar"/>
        </w:rPr>
        <w:t xml:space="preserve">     </w:t>
      </w:r>
      <w:r>
        <w:rPr>
          <w:rFonts w:hint="eastAsia" w:ascii="宋体" w:hAnsi="宋体"/>
          <w:color w:val="auto"/>
          <w:highlight w:val="none"/>
          <w:lang w:bidi="ar"/>
        </w:rPr>
        <w:t>日</w:t>
      </w:r>
    </w:p>
    <w:p w14:paraId="38DF8B72">
      <w:pPr>
        <w:spacing w:line="360" w:lineRule="auto"/>
        <w:ind w:firstLine="420" w:firstLineChars="200"/>
        <w:jc w:val="left"/>
        <w:rPr>
          <w:rFonts w:hint="eastAsia" w:ascii="宋体" w:hAnsi="宋体"/>
          <w:color w:val="auto"/>
          <w:highlight w:val="none"/>
          <w:lang w:bidi="ar"/>
        </w:rPr>
      </w:pPr>
    </w:p>
    <w:p w14:paraId="72F56735">
      <w:pPr>
        <w:spacing w:line="360" w:lineRule="auto"/>
        <w:ind w:firstLine="420" w:firstLineChars="200"/>
        <w:jc w:val="left"/>
        <w:rPr>
          <w:rFonts w:hint="eastAsia" w:ascii="宋体" w:hAnsi="宋体"/>
          <w:color w:val="auto"/>
          <w:highlight w:val="none"/>
        </w:rPr>
      </w:pPr>
      <w:r>
        <w:rPr>
          <w:rFonts w:hint="eastAsia" w:asciiTheme="minorEastAsia" w:hAnsiTheme="minorEastAsia" w:eastAsiaTheme="minorEastAsia" w:cstheme="minorEastAsia"/>
          <w:i/>
          <w:iCs/>
          <w:color w:val="auto"/>
          <w:szCs w:val="21"/>
          <w:highlight w:val="none"/>
        </w:rPr>
        <w:t>[提示：招标人可以根据项目实际情况，增加本保函在重庆本地的核验要求。]</w:t>
      </w:r>
    </w:p>
    <w:p w14:paraId="4B855171">
      <w:pPr>
        <w:spacing w:line="360" w:lineRule="auto"/>
        <w:ind w:left="420" w:hanging="420"/>
        <w:rPr>
          <w:rFonts w:hint="eastAsia" w:ascii="宋体" w:hAnsi="宋体"/>
          <w:color w:val="auto"/>
          <w:highlight w:val="none"/>
        </w:rPr>
      </w:pPr>
    </w:p>
    <w:p w14:paraId="54923930">
      <w:pPr>
        <w:spacing w:line="600" w:lineRule="exact"/>
        <w:ind w:firstLine="4678" w:firstLineChars="2228"/>
        <w:rPr>
          <w:rFonts w:hint="eastAsia" w:ascii="宋体" w:hAnsi="宋体"/>
          <w:color w:val="auto"/>
          <w:highlight w:val="none"/>
        </w:rPr>
      </w:pPr>
    </w:p>
    <w:p w14:paraId="08A8B7D0">
      <w:pPr>
        <w:spacing w:line="600" w:lineRule="exact"/>
        <w:jc w:val="center"/>
        <w:rPr>
          <w:rFonts w:hint="eastAsia" w:ascii="宋体" w:hAnsi="宋体" w:cs="宋体"/>
          <w:color w:val="auto"/>
          <w:highlight w:val="none"/>
        </w:rPr>
      </w:pPr>
      <w:bookmarkStart w:id="2101" w:name="_Toc144974833"/>
      <w:bookmarkStart w:id="2102" w:name="_Toc240180921"/>
      <w:bookmarkStart w:id="2103" w:name="_Toc424558374"/>
      <w:bookmarkStart w:id="2104" w:name="_Toc424558732"/>
      <w:bookmarkStart w:id="2105" w:name="_Toc152045771"/>
      <w:bookmarkStart w:id="2106" w:name="_Toc152042553"/>
      <w:bookmarkStart w:id="2107" w:name="_Toc509390703"/>
      <w:bookmarkStart w:id="2108" w:name="_Toc467164261"/>
      <w:bookmarkStart w:id="2109" w:name="_Toc335223535"/>
      <w:bookmarkStart w:id="2110" w:name="_Toc57795998"/>
      <w:r>
        <w:rPr>
          <w:rFonts w:hint="eastAsia" w:ascii="宋体" w:hAnsi="宋体" w:cs="黑体"/>
          <w:color w:val="auto"/>
          <w:sz w:val="32"/>
          <w:szCs w:val="32"/>
          <w:highlight w:val="none"/>
          <w:lang w:bidi="ar"/>
        </w:rPr>
        <w:br w:type="page"/>
      </w:r>
      <w:r>
        <w:rPr>
          <w:rFonts w:hint="eastAsia" w:ascii="宋体" w:hAnsi="宋体" w:cs="黑体"/>
          <w:color w:val="auto"/>
          <w:sz w:val="32"/>
          <w:szCs w:val="32"/>
          <w:highlight w:val="none"/>
          <w:lang w:bidi="ar"/>
        </w:rPr>
        <w:t>附件八 工程资金监管协议格式</w:t>
      </w:r>
    </w:p>
    <w:bookmarkEnd w:id="2101"/>
    <w:bookmarkEnd w:id="2102"/>
    <w:bookmarkEnd w:id="2103"/>
    <w:bookmarkEnd w:id="2104"/>
    <w:bookmarkEnd w:id="2105"/>
    <w:bookmarkEnd w:id="2106"/>
    <w:bookmarkEnd w:id="2107"/>
    <w:bookmarkEnd w:id="2108"/>
    <w:bookmarkEnd w:id="2109"/>
    <w:bookmarkEnd w:id="2110"/>
    <w:p w14:paraId="4BA06414">
      <w:pPr>
        <w:rPr>
          <w:rFonts w:hint="eastAsia" w:ascii="宋体" w:hAnsi="宋体"/>
          <w:color w:val="auto"/>
          <w:highlight w:val="none"/>
        </w:rPr>
      </w:pPr>
    </w:p>
    <w:p w14:paraId="632C31F9">
      <w:pPr>
        <w:spacing w:line="360" w:lineRule="auto"/>
        <w:rPr>
          <w:rFonts w:hint="eastAsia" w:ascii="宋体" w:hAnsi="宋体"/>
          <w:color w:val="auto"/>
          <w:highlight w:val="none"/>
        </w:rPr>
      </w:pPr>
      <w:r>
        <w:rPr>
          <w:rFonts w:ascii="宋体" w:hAnsi="宋体"/>
          <w:color w:val="auto"/>
          <w:highlight w:val="none"/>
          <w:lang w:bidi="ar"/>
        </w:rPr>
        <w:t xml:space="preserve">   （</w:t>
      </w:r>
      <w:r>
        <w:rPr>
          <w:rFonts w:hint="eastAsia" w:ascii="宋体" w:hAnsi="宋体" w:cs="宋体"/>
          <w:color w:val="auto"/>
          <w:highlight w:val="none"/>
          <w:lang w:bidi="ar"/>
        </w:rPr>
        <w:t>发包人与承包人签订合同协议书时应与发包人指定的银行签署工程资金监管协议</w:t>
      </w:r>
      <w:r>
        <w:rPr>
          <w:rFonts w:ascii="宋体" w:hAnsi="宋体"/>
          <w:color w:val="auto"/>
          <w:highlight w:val="none"/>
          <w:lang w:bidi="ar"/>
        </w:rPr>
        <w:t>，</w:t>
      </w:r>
      <w:r>
        <w:rPr>
          <w:rFonts w:hint="eastAsia" w:ascii="宋体" w:hAnsi="宋体" w:cs="宋体"/>
          <w:color w:val="auto"/>
          <w:highlight w:val="none"/>
          <w:lang w:bidi="ar"/>
        </w:rPr>
        <w:t>工程资金监管协议内容在保证本项目资金有效监管的前提下由三方共同商定</w:t>
      </w:r>
      <w:r>
        <w:rPr>
          <w:rFonts w:ascii="宋体" w:hAnsi="宋体"/>
          <w:color w:val="auto"/>
          <w:highlight w:val="none"/>
          <w:lang w:bidi="ar"/>
        </w:rPr>
        <w:t>）</w:t>
      </w:r>
    </w:p>
    <w:p w14:paraId="31860E13">
      <w:pPr>
        <w:spacing w:line="360" w:lineRule="auto"/>
        <w:jc w:val="center"/>
        <w:rPr>
          <w:rFonts w:hint="eastAsia" w:ascii="宋体" w:hAnsi="宋体" w:cs="黑体"/>
          <w:color w:val="auto"/>
          <w:sz w:val="28"/>
          <w:szCs w:val="28"/>
          <w:highlight w:val="none"/>
        </w:rPr>
      </w:pPr>
      <w:r>
        <w:rPr>
          <w:rFonts w:hint="eastAsia" w:ascii="宋体" w:hAnsi="宋体" w:cs="黑体"/>
          <w:color w:val="auto"/>
          <w:sz w:val="28"/>
          <w:szCs w:val="28"/>
          <w:highlight w:val="none"/>
          <w:lang w:bidi="ar"/>
        </w:rPr>
        <w:t>工程资金监管协议</w:t>
      </w:r>
    </w:p>
    <w:p w14:paraId="7ED6C8F6">
      <w:pPr>
        <w:spacing w:line="400" w:lineRule="atLeast"/>
        <w:rPr>
          <w:rFonts w:hint="eastAsia" w:ascii="宋体" w:hAnsi="宋体"/>
          <w:color w:val="auto"/>
          <w:highlight w:val="none"/>
        </w:rPr>
      </w:pPr>
      <w:bookmarkStart w:id="2111" w:name="_Toc272745017"/>
      <w:r>
        <w:rPr>
          <w:rFonts w:hint="eastAsia" w:ascii="宋体" w:hAnsi="宋体" w:cs="宋体"/>
          <w:color w:val="auto"/>
          <w:highlight w:val="none"/>
          <w:lang w:bidi="ar"/>
        </w:rPr>
        <w:t>发包人：</w:t>
      </w:r>
      <w:r>
        <w:rPr>
          <w:rFonts w:ascii="宋体" w:hAnsi="宋体"/>
          <w:color w:val="auto"/>
          <w:highlight w:val="none"/>
          <w:u w:val="single"/>
          <w:lang w:bidi="ar"/>
        </w:rPr>
        <w:t xml:space="preserve">                </w:t>
      </w:r>
      <w:r>
        <w:rPr>
          <w:rFonts w:hint="eastAsia" w:ascii="宋体" w:hAnsi="宋体" w:cs="宋体"/>
          <w:color w:val="auto"/>
          <w:highlight w:val="none"/>
          <w:lang w:bidi="ar"/>
        </w:rPr>
        <w:t>（以下简称</w:t>
      </w:r>
      <w:r>
        <w:rPr>
          <w:rFonts w:hint="eastAsia" w:ascii="宋体" w:hAnsi="宋体"/>
          <w:color w:val="auto"/>
          <w:highlight w:val="none"/>
          <w:lang w:bidi="ar"/>
        </w:rPr>
        <w:t>“</w:t>
      </w:r>
      <w:r>
        <w:rPr>
          <w:rFonts w:hint="eastAsia" w:ascii="宋体" w:hAnsi="宋体" w:cs="宋体"/>
          <w:color w:val="auto"/>
          <w:highlight w:val="none"/>
          <w:lang w:bidi="ar"/>
        </w:rPr>
        <w:t>甲方</w:t>
      </w:r>
      <w:r>
        <w:rPr>
          <w:rFonts w:hint="eastAsia" w:ascii="宋体" w:hAnsi="宋体"/>
          <w:color w:val="auto"/>
          <w:highlight w:val="none"/>
          <w:lang w:bidi="ar"/>
        </w:rPr>
        <w:t>”</w:t>
      </w:r>
      <w:r>
        <w:rPr>
          <w:rFonts w:hint="eastAsia" w:ascii="宋体" w:hAnsi="宋体" w:cs="宋体"/>
          <w:color w:val="auto"/>
          <w:highlight w:val="none"/>
          <w:lang w:bidi="ar"/>
        </w:rPr>
        <w:t>）</w:t>
      </w:r>
      <w:bookmarkEnd w:id="2111"/>
    </w:p>
    <w:p w14:paraId="10E8924F">
      <w:pPr>
        <w:spacing w:line="400" w:lineRule="exact"/>
        <w:jc w:val="left"/>
        <w:rPr>
          <w:rFonts w:hint="eastAsia" w:ascii="宋体" w:hAnsi="宋体"/>
          <w:color w:val="auto"/>
          <w:highlight w:val="none"/>
        </w:rPr>
      </w:pPr>
      <w:r>
        <w:rPr>
          <w:rFonts w:hint="eastAsia" w:ascii="宋体" w:hAnsi="宋体" w:cs="宋体"/>
          <w:color w:val="auto"/>
          <w:highlight w:val="none"/>
          <w:lang w:bidi="ar"/>
        </w:rPr>
        <w:t>承包人：</w:t>
      </w:r>
      <w:r>
        <w:rPr>
          <w:rFonts w:ascii="宋体" w:hAnsi="宋体"/>
          <w:color w:val="auto"/>
          <w:highlight w:val="none"/>
          <w:u w:val="single"/>
          <w:lang w:bidi="ar"/>
        </w:rPr>
        <w:t xml:space="preserve">                </w:t>
      </w:r>
      <w:r>
        <w:rPr>
          <w:rFonts w:hint="eastAsia" w:ascii="宋体" w:hAnsi="宋体" w:cs="宋体"/>
          <w:color w:val="auto"/>
          <w:highlight w:val="none"/>
          <w:lang w:bidi="ar"/>
        </w:rPr>
        <w:t>（以下简称</w:t>
      </w:r>
      <w:r>
        <w:rPr>
          <w:rFonts w:hint="eastAsia" w:ascii="宋体" w:hAnsi="宋体"/>
          <w:color w:val="auto"/>
          <w:highlight w:val="none"/>
          <w:lang w:bidi="ar"/>
        </w:rPr>
        <w:t>“</w:t>
      </w:r>
      <w:r>
        <w:rPr>
          <w:rFonts w:hint="eastAsia" w:ascii="宋体" w:hAnsi="宋体" w:cs="宋体"/>
          <w:color w:val="auto"/>
          <w:highlight w:val="none"/>
          <w:lang w:bidi="ar"/>
        </w:rPr>
        <w:t>乙方</w:t>
      </w:r>
      <w:r>
        <w:rPr>
          <w:rFonts w:hint="eastAsia" w:ascii="宋体" w:hAnsi="宋体"/>
          <w:color w:val="auto"/>
          <w:highlight w:val="none"/>
          <w:lang w:bidi="ar"/>
        </w:rPr>
        <w:t>”</w:t>
      </w:r>
      <w:r>
        <w:rPr>
          <w:rFonts w:hint="eastAsia" w:ascii="宋体" w:hAnsi="宋体" w:cs="宋体"/>
          <w:color w:val="auto"/>
          <w:highlight w:val="none"/>
          <w:lang w:bidi="ar"/>
        </w:rPr>
        <w:t>）</w:t>
      </w:r>
    </w:p>
    <w:p w14:paraId="4541ADCD">
      <w:pPr>
        <w:spacing w:line="400" w:lineRule="exact"/>
        <w:jc w:val="left"/>
        <w:rPr>
          <w:rFonts w:hint="eastAsia" w:ascii="宋体" w:hAnsi="宋体"/>
          <w:color w:val="auto"/>
          <w:highlight w:val="none"/>
        </w:rPr>
      </w:pPr>
      <w:r>
        <w:rPr>
          <w:rFonts w:hint="eastAsia" w:ascii="宋体" w:hAnsi="宋体" w:cs="宋体"/>
          <w:color w:val="auto"/>
          <w:highlight w:val="none"/>
          <w:lang w:bidi="ar"/>
        </w:rPr>
        <w:t>经办银行：</w:t>
      </w:r>
      <w:r>
        <w:rPr>
          <w:rFonts w:ascii="宋体" w:hAnsi="宋体"/>
          <w:bCs/>
          <w:color w:val="auto"/>
          <w:highlight w:val="none"/>
          <w:u w:val="single"/>
          <w:lang w:bidi="ar"/>
        </w:rPr>
        <w:t xml:space="preserve">               </w:t>
      </w:r>
      <w:r>
        <w:rPr>
          <w:rFonts w:hint="eastAsia" w:ascii="宋体" w:hAnsi="宋体" w:cs="宋体"/>
          <w:color w:val="auto"/>
          <w:highlight w:val="none"/>
          <w:lang w:bidi="ar"/>
        </w:rPr>
        <w:t>（以下简称</w:t>
      </w:r>
      <w:r>
        <w:rPr>
          <w:rFonts w:hint="eastAsia" w:ascii="宋体" w:hAnsi="宋体"/>
          <w:color w:val="auto"/>
          <w:highlight w:val="none"/>
          <w:lang w:bidi="ar"/>
        </w:rPr>
        <w:t>“</w:t>
      </w:r>
      <w:r>
        <w:rPr>
          <w:rFonts w:hint="eastAsia" w:ascii="宋体" w:hAnsi="宋体" w:cs="宋体"/>
          <w:color w:val="auto"/>
          <w:highlight w:val="none"/>
          <w:lang w:bidi="ar"/>
        </w:rPr>
        <w:t>丙方</w:t>
      </w:r>
      <w:r>
        <w:rPr>
          <w:rFonts w:hint="eastAsia" w:ascii="宋体" w:hAnsi="宋体"/>
          <w:color w:val="auto"/>
          <w:highlight w:val="none"/>
          <w:lang w:bidi="ar"/>
        </w:rPr>
        <w:t>”</w:t>
      </w:r>
      <w:r>
        <w:rPr>
          <w:rFonts w:hint="eastAsia" w:ascii="宋体" w:hAnsi="宋体" w:cs="宋体"/>
          <w:color w:val="auto"/>
          <w:highlight w:val="none"/>
          <w:lang w:bidi="ar"/>
        </w:rPr>
        <w:t>）</w:t>
      </w:r>
    </w:p>
    <w:p w14:paraId="03B567CB">
      <w:pPr>
        <w:spacing w:line="400" w:lineRule="atLeast"/>
        <w:ind w:firstLine="420" w:firstLineChars="200"/>
        <w:rPr>
          <w:rFonts w:hint="eastAsia" w:ascii="宋体" w:hAnsi="宋体"/>
          <w:color w:val="auto"/>
          <w:highlight w:val="none"/>
        </w:rPr>
      </w:pPr>
      <w:r>
        <w:rPr>
          <w:rFonts w:hint="eastAsia" w:ascii="宋体" w:hAnsi="宋体" w:cs="宋体"/>
          <w:color w:val="auto"/>
          <w:highlight w:val="none"/>
          <w:lang w:bidi="ar"/>
        </w:rPr>
        <w:t>为了促进</w:t>
      </w:r>
      <w:r>
        <w:rPr>
          <w:rFonts w:ascii="宋体" w:hAnsi="宋体"/>
          <w:color w:val="auto"/>
          <w:highlight w:val="none"/>
          <w:u w:val="single"/>
          <w:lang w:bidi="ar"/>
        </w:rPr>
        <w:t>（</w:t>
      </w:r>
      <w:r>
        <w:rPr>
          <w:rFonts w:hint="eastAsia" w:ascii="宋体" w:hAnsi="宋体" w:cs="宋体"/>
          <w:color w:val="auto"/>
          <w:highlight w:val="none"/>
          <w:u w:val="single"/>
          <w:lang w:bidi="ar"/>
        </w:rPr>
        <w:t>项目名称</w:t>
      </w:r>
      <w:r>
        <w:rPr>
          <w:rFonts w:ascii="宋体" w:hAnsi="宋体"/>
          <w:color w:val="auto"/>
          <w:highlight w:val="none"/>
          <w:u w:val="single"/>
          <w:lang w:bidi="ar"/>
        </w:rPr>
        <w:t>）</w:t>
      </w:r>
      <w:r>
        <w:rPr>
          <w:rFonts w:hint="eastAsia" w:ascii="宋体" w:hAnsi="宋体" w:cs="宋体"/>
          <w:color w:val="auto"/>
          <w:highlight w:val="none"/>
          <w:u w:val="single"/>
          <w:lang w:bidi="ar"/>
        </w:rPr>
        <w:t>（标段名称）</w:t>
      </w:r>
      <w:r>
        <w:rPr>
          <w:rFonts w:hint="eastAsia" w:ascii="宋体" w:hAnsi="宋体" w:cs="宋体"/>
          <w:color w:val="auto"/>
          <w:highlight w:val="none"/>
          <w:lang w:bidi="ar"/>
        </w:rPr>
        <w:t>的顺利实施，管好用好建设资金，确保工程资金专款专用，同时为承包人提供便捷有效的银行业务服务，根据</w:t>
      </w:r>
      <w:r>
        <w:rPr>
          <w:rFonts w:ascii="宋体" w:hAnsi="宋体"/>
          <w:color w:val="auto"/>
          <w:highlight w:val="none"/>
          <w:u w:val="single"/>
          <w:lang w:bidi="ar"/>
        </w:rPr>
        <w:t>（</w:t>
      </w:r>
      <w:r>
        <w:rPr>
          <w:rFonts w:hint="eastAsia" w:ascii="宋体" w:hAnsi="宋体" w:cs="宋体"/>
          <w:color w:val="auto"/>
          <w:highlight w:val="none"/>
          <w:u w:val="single"/>
          <w:lang w:bidi="ar"/>
        </w:rPr>
        <w:t>项目名称</w:t>
      </w:r>
      <w:r>
        <w:rPr>
          <w:rFonts w:ascii="宋体" w:hAnsi="宋体"/>
          <w:color w:val="auto"/>
          <w:highlight w:val="none"/>
          <w:u w:val="single"/>
          <w:lang w:bidi="ar"/>
        </w:rPr>
        <w:t>）</w:t>
      </w:r>
      <w:r>
        <w:rPr>
          <w:rFonts w:hint="eastAsia" w:ascii="宋体" w:hAnsi="宋体" w:cs="宋体"/>
          <w:color w:val="auto"/>
          <w:highlight w:val="none"/>
          <w:u w:val="single"/>
          <w:lang w:bidi="ar"/>
        </w:rPr>
        <w:t>（标段名称）</w:t>
      </w:r>
      <w:r>
        <w:rPr>
          <w:rFonts w:hint="eastAsia" w:ascii="宋体" w:hAnsi="宋体" w:cs="宋体"/>
          <w:color w:val="auto"/>
          <w:highlight w:val="none"/>
          <w:lang w:bidi="ar"/>
        </w:rPr>
        <w:t>合同条款有关规定，经甲、乙、丙三方协商，达成协议如下：</w:t>
      </w:r>
    </w:p>
    <w:p w14:paraId="615B93D0">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1. </w:t>
      </w:r>
      <w:r>
        <w:rPr>
          <w:rFonts w:hint="eastAsia" w:ascii="宋体" w:hAnsi="宋体" w:cs="宋体"/>
          <w:color w:val="auto"/>
          <w:highlight w:val="none"/>
          <w:lang w:bidi="ar"/>
        </w:rPr>
        <w:t>资金管理的内容</w:t>
      </w:r>
    </w:p>
    <w:p w14:paraId="11426DD4">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（1） </w:t>
      </w:r>
      <w:r>
        <w:rPr>
          <w:rFonts w:hint="eastAsia" w:ascii="宋体" w:hAnsi="宋体" w:cs="宋体"/>
          <w:color w:val="auto"/>
          <w:highlight w:val="none"/>
          <w:lang w:bidi="ar"/>
        </w:rPr>
        <w:t>乙方为完成</w:t>
      </w:r>
      <w:r>
        <w:rPr>
          <w:rFonts w:ascii="宋体" w:hAnsi="宋体"/>
          <w:color w:val="auto"/>
          <w:highlight w:val="none"/>
          <w:u w:val="single"/>
          <w:lang w:bidi="ar"/>
        </w:rPr>
        <w:t>（</w:t>
      </w:r>
      <w:r>
        <w:rPr>
          <w:rFonts w:hint="eastAsia" w:ascii="宋体" w:hAnsi="宋体" w:cs="宋体"/>
          <w:color w:val="auto"/>
          <w:highlight w:val="none"/>
          <w:u w:val="single"/>
          <w:lang w:bidi="ar"/>
        </w:rPr>
        <w:t>项目名称</w:t>
      </w:r>
      <w:r>
        <w:rPr>
          <w:rFonts w:ascii="宋体" w:hAnsi="宋体"/>
          <w:color w:val="auto"/>
          <w:highlight w:val="none"/>
          <w:u w:val="single"/>
          <w:lang w:bidi="ar"/>
        </w:rPr>
        <w:t>）</w:t>
      </w:r>
      <w:r>
        <w:rPr>
          <w:rFonts w:hint="eastAsia" w:ascii="宋体" w:hAnsi="宋体" w:cs="宋体"/>
          <w:color w:val="auto"/>
          <w:highlight w:val="none"/>
          <w:u w:val="single"/>
          <w:lang w:bidi="ar"/>
        </w:rPr>
        <w:t>（标段名称）</w:t>
      </w:r>
      <w:r>
        <w:rPr>
          <w:rFonts w:hint="eastAsia" w:ascii="宋体" w:hAnsi="宋体" w:cs="宋体"/>
          <w:color w:val="auto"/>
          <w:highlight w:val="none"/>
          <w:lang w:bidi="ar"/>
        </w:rPr>
        <w:t>工程成立的项目经理部在丙方开设基本结算户；</w:t>
      </w:r>
    </w:p>
    <w:p w14:paraId="3C7C1AA2">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（2） </w:t>
      </w:r>
      <w:r>
        <w:rPr>
          <w:rFonts w:hint="eastAsia" w:ascii="宋体" w:hAnsi="宋体" w:cs="宋体"/>
          <w:color w:val="auto"/>
          <w:highlight w:val="none"/>
          <w:lang w:bidi="ar"/>
        </w:rPr>
        <w:t>甲方应按合同规定将工程款（质量保证金除外）汇入乙方在丙方开设的账户；</w:t>
      </w:r>
    </w:p>
    <w:p w14:paraId="001690AC">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（3） </w:t>
      </w:r>
      <w:r>
        <w:rPr>
          <w:rFonts w:hint="eastAsia" w:ascii="宋体" w:hAnsi="宋体" w:cs="宋体"/>
          <w:color w:val="auto"/>
          <w:highlight w:val="none"/>
          <w:lang w:bidi="ar"/>
        </w:rPr>
        <w:t>乙方应将流动资金及甲方所拨付资金专项用于</w:t>
      </w:r>
      <w:r>
        <w:rPr>
          <w:rFonts w:ascii="宋体" w:hAnsi="宋体"/>
          <w:color w:val="auto"/>
          <w:highlight w:val="none"/>
          <w:u w:val="single"/>
          <w:lang w:bidi="ar"/>
        </w:rPr>
        <w:t>（</w:t>
      </w:r>
      <w:r>
        <w:rPr>
          <w:rFonts w:hint="eastAsia" w:ascii="宋体" w:hAnsi="宋体" w:cs="宋体"/>
          <w:color w:val="auto"/>
          <w:highlight w:val="none"/>
          <w:u w:val="single"/>
          <w:lang w:bidi="ar"/>
        </w:rPr>
        <w:t>项目名称</w:t>
      </w:r>
      <w:r>
        <w:rPr>
          <w:rFonts w:ascii="宋体" w:hAnsi="宋体"/>
          <w:color w:val="auto"/>
          <w:highlight w:val="none"/>
          <w:u w:val="single"/>
          <w:lang w:bidi="ar"/>
        </w:rPr>
        <w:t>）</w:t>
      </w:r>
      <w:r>
        <w:rPr>
          <w:rFonts w:hint="eastAsia" w:ascii="宋体" w:hAnsi="宋体" w:cs="宋体"/>
          <w:color w:val="auto"/>
          <w:highlight w:val="none"/>
          <w:u w:val="single"/>
          <w:lang w:bidi="ar"/>
        </w:rPr>
        <w:t>（标段名称）</w:t>
      </w:r>
      <w:r>
        <w:rPr>
          <w:rFonts w:hint="eastAsia" w:ascii="宋体" w:hAnsi="宋体" w:cs="宋体"/>
          <w:color w:val="auto"/>
          <w:highlight w:val="none"/>
          <w:lang w:bidi="ar"/>
        </w:rPr>
        <w:t>；</w:t>
      </w:r>
    </w:p>
    <w:p w14:paraId="7CB8C576">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（4） </w:t>
      </w:r>
      <w:r>
        <w:rPr>
          <w:rFonts w:hint="eastAsia" w:ascii="宋体" w:hAnsi="宋体" w:cs="宋体"/>
          <w:color w:val="auto"/>
          <w:highlight w:val="none"/>
          <w:lang w:bidi="ar"/>
        </w:rPr>
        <w:t>丙方应为乙方提供便捷有效的银行业务服务，并接受甲方委托对乙方在丙方开设的基本结算户资金使用情况进行监督。</w:t>
      </w:r>
    </w:p>
    <w:p w14:paraId="577C3BCD">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2. </w:t>
      </w:r>
      <w:r>
        <w:rPr>
          <w:rFonts w:hint="eastAsia" w:ascii="宋体" w:hAnsi="宋体" w:cs="宋体"/>
          <w:color w:val="auto"/>
          <w:highlight w:val="none"/>
          <w:lang w:bidi="ar"/>
        </w:rPr>
        <w:t>甲方的权责</w:t>
      </w:r>
    </w:p>
    <w:p w14:paraId="540EF95E">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（1） </w:t>
      </w:r>
      <w:r>
        <w:rPr>
          <w:rFonts w:hint="eastAsia" w:ascii="宋体" w:hAnsi="宋体" w:cs="宋体"/>
          <w:color w:val="auto"/>
          <w:highlight w:val="none"/>
          <w:lang w:bidi="ar"/>
        </w:rPr>
        <w:t>按照</w:t>
      </w:r>
      <w:r>
        <w:rPr>
          <w:rFonts w:ascii="宋体" w:hAnsi="宋体"/>
          <w:color w:val="auto"/>
          <w:highlight w:val="none"/>
          <w:u w:val="single"/>
          <w:lang w:bidi="ar"/>
        </w:rPr>
        <w:t>（</w:t>
      </w:r>
      <w:r>
        <w:rPr>
          <w:rFonts w:hint="eastAsia" w:ascii="宋体" w:hAnsi="宋体" w:cs="宋体"/>
          <w:color w:val="auto"/>
          <w:highlight w:val="none"/>
          <w:u w:val="single"/>
          <w:lang w:bidi="ar"/>
        </w:rPr>
        <w:t>项目名称</w:t>
      </w:r>
      <w:r>
        <w:rPr>
          <w:rFonts w:ascii="宋体" w:hAnsi="宋体"/>
          <w:color w:val="auto"/>
          <w:highlight w:val="none"/>
          <w:u w:val="single"/>
          <w:lang w:bidi="ar"/>
        </w:rPr>
        <w:t>）</w:t>
      </w:r>
      <w:r>
        <w:rPr>
          <w:rFonts w:hint="eastAsia" w:ascii="宋体" w:hAnsi="宋体" w:cs="宋体"/>
          <w:color w:val="auto"/>
          <w:highlight w:val="none"/>
          <w:u w:val="single"/>
          <w:lang w:bidi="ar"/>
        </w:rPr>
        <w:t>（标段名称）</w:t>
      </w:r>
      <w:r>
        <w:rPr>
          <w:rFonts w:hint="eastAsia" w:ascii="宋体" w:hAnsi="宋体" w:cs="宋体"/>
          <w:color w:val="auto"/>
          <w:highlight w:val="none"/>
          <w:lang w:bidi="ar"/>
        </w:rPr>
        <w:t>合同有关条款规定的时间和方式，向乙方支付工程款；</w:t>
      </w:r>
    </w:p>
    <w:p w14:paraId="5D817971">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（2） </w:t>
      </w:r>
      <w:r>
        <w:rPr>
          <w:rFonts w:hint="eastAsia" w:ascii="宋体" w:hAnsi="宋体" w:cs="宋体"/>
          <w:color w:val="auto"/>
          <w:highlight w:val="none"/>
          <w:lang w:bidi="ar"/>
        </w:rPr>
        <w:t>在发现乙方将本项目资金挪用、转移时，甲方有权中止工程支付，直至乙方改正为止；同时按次收取违约金</w:t>
      </w:r>
      <w:r>
        <w:rPr>
          <w:rFonts w:ascii="宋体" w:hAnsi="宋体"/>
          <w:color w:val="auto"/>
          <w:highlight w:val="none"/>
          <w:u w:val="single"/>
          <w:lang w:bidi="ar"/>
        </w:rPr>
        <w:t xml:space="preserve">     </w:t>
      </w:r>
      <w:r>
        <w:rPr>
          <w:rFonts w:hint="eastAsia" w:ascii="宋体" w:hAnsi="宋体" w:cs="宋体"/>
          <w:color w:val="auto"/>
          <w:highlight w:val="none"/>
          <w:lang w:bidi="ar"/>
        </w:rPr>
        <w:t>元。</w:t>
      </w:r>
    </w:p>
    <w:p w14:paraId="4B1CCC47">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（3） </w:t>
      </w:r>
      <w:r>
        <w:rPr>
          <w:rFonts w:hint="eastAsia" w:ascii="宋体" w:hAnsi="宋体" w:cs="宋体"/>
          <w:color w:val="auto"/>
          <w:highlight w:val="none"/>
          <w:lang w:bidi="ar"/>
        </w:rPr>
        <w:t>不定期审查丙方对乙方的资金使用监督情况，如丙方不能履行其责任，甲方有权随时终止本协议；</w:t>
      </w:r>
    </w:p>
    <w:p w14:paraId="0C4AEFAF">
      <w:pPr>
        <w:spacing w:line="400" w:lineRule="atLeast"/>
        <w:ind w:firstLine="420" w:firstLineChars="200"/>
        <w:rPr>
          <w:rFonts w:hint="eastAsia" w:ascii="宋体" w:hAnsi="宋体" w:cs="宋体"/>
          <w:color w:val="auto"/>
          <w:highlight w:val="none"/>
          <w:lang w:eastAsia="zh-CN" w:bidi="ar"/>
        </w:rPr>
      </w:pPr>
      <w:r>
        <w:rPr>
          <w:rFonts w:ascii="宋体" w:hAnsi="宋体"/>
          <w:color w:val="auto"/>
          <w:highlight w:val="none"/>
          <w:lang w:bidi="ar"/>
        </w:rPr>
        <w:t xml:space="preserve">（4） </w:t>
      </w:r>
      <w:r>
        <w:rPr>
          <w:rFonts w:hint="eastAsia" w:ascii="宋体" w:hAnsi="宋体" w:cs="宋体"/>
          <w:color w:val="auto"/>
          <w:highlight w:val="none"/>
          <w:lang w:bidi="ar"/>
        </w:rPr>
        <w:t>在乙、丙双方发生争议时，甲方应负责协调、解决</w:t>
      </w:r>
      <w:r>
        <w:rPr>
          <w:rFonts w:hint="eastAsia" w:ascii="宋体" w:hAnsi="宋体" w:cs="宋体"/>
          <w:color w:val="auto"/>
          <w:highlight w:val="none"/>
          <w:lang w:eastAsia="zh-CN" w:bidi="ar"/>
        </w:rPr>
        <w:t>；</w:t>
      </w:r>
    </w:p>
    <w:p w14:paraId="2AD58CAC">
      <w:pPr>
        <w:spacing w:line="400" w:lineRule="atLeast"/>
        <w:ind w:firstLine="420" w:firstLineChars="200"/>
        <w:rPr>
          <w:rFonts w:hint="eastAsia" w:ascii="宋体" w:hAnsi="宋体"/>
          <w:color w:val="auto"/>
          <w:highlight w:val="none"/>
        </w:rPr>
      </w:pP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5</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有权随时查询前述所约定的账户内款项使用情况，乙方或丙方阻碍甲方行使权利的，</w:t>
      </w:r>
      <w:r>
        <w:rPr>
          <w:rFonts w:hint="eastAsia" w:ascii="宋体" w:hAnsi="宋体" w:cs="宋体"/>
          <w:color w:val="auto"/>
          <w:highlight w:val="none"/>
          <w:lang w:bidi="ar"/>
        </w:rPr>
        <w:t>甲方有权随时终止</w:t>
      </w:r>
      <w:r>
        <w:rPr>
          <w:rFonts w:hint="eastAsia" w:ascii="宋体" w:hAnsi="宋体" w:cs="宋体"/>
          <w:color w:val="auto"/>
          <w:highlight w:val="none"/>
          <w:lang w:val="en-US" w:eastAsia="zh-CN" w:bidi="ar"/>
        </w:rPr>
        <w:t>甲方和乙方之间的分包合同关系</w:t>
      </w:r>
      <w:r>
        <w:rPr>
          <w:rFonts w:hint="eastAsia" w:ascii="宋体" w:hAnsi="宋体" w:cs="宋体"/>
          <w:color w:val="auto"/>
          <w:highlight w:val="none"/>
          <w:lang w:bidi="ar"/>
        </w:rPr>
        <w:t>。</w:t>
      </w:r>
    </w:p>
    <w:p w14:paraId="5D8263E5">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3. </w:t>
      </w:r>
      <w:r>
        <w:rPr>
          <w:rFonts w:hint="eastAsia" w:ascii="宋体" w:hAnsi="宋体" w:cs="宋体"/>
          <w:color w:val="auto"/>
          <w:highlight w:val="none"/>
          <w:lang w:bidi="ar"/>
        </w:rPr>
        <w:t>乙方的权责</w:t>
      </w:r>
    </w:p>
    <w:p w14:paraId="6E3F37FB">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（1） </w:t>
      </w:r>
      <w:r>
        <w:rPr>
          <w:rFonts w:hint="eastAsia" w:ascii="宋体" w:hAnsi="宋体" w:cs="宋体"/>
          <w:color w:val="auto"/>
          <w:highlight w:val="none"/>
          <w:lang w:bidi="ar"/>
        </w:rPr>
        <w:t>项目经理部成立以后，乙方应尽快在丙方开设基本结算户；</w:t>
      </w:r>
    </w:p>
    <w:p w14:paraId="0A5398B0">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（2） </w:t>
      </w:r>
      <w:r>
        <w:rPr>
          <w:rFonts w:hint="eastAsia" w:ascii="宋体" w:hAnsi="宋体" w:cs="宋体"/>
          <w:color w:val="auto"/>
          <w:highlight w:val="none"/>
          <w:lang w:bidi="ar"/>
        </w:rPr>
        <w:t>确保本项目资金专款专用，不发生挪用、转移资金的现象；保证不通过权益转让、抵押、担保承担债务等任何其他方式使用基本结算户的资金；</w:t>
      </w:r>
    </w:p>
    <w:p w14:paraId="44155F32">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（3） </w:t>
      </w:r>
      <w:r>
        <w:rPr>
          <w:rFonts w:hint="eastAsia" w:ascii="宋体" w:hAnsi="宋体" w:cs="宋体"/>
          <w:color w:val="auto"/>
          <w:highlight w:val="none"/>
          <w:lang w:bidi="ar"/>
        </w:rPr>
        <w:t>办理材料、设备等采购业务时，应将合同、协议和发票复印件送丙方备案；购买应急材料、设备时可先办理支付手续，但事后必须补备有关资料；</w:t>
      </w:r>
    </w:p>
    <w:p w14:paraId="02F1D10B">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（4） </w:t>
      </w:r>
      <w:r>
        <w:rPr>
          <w:rFonts w:hint="eastAsia" w:ascii="宋体" w:hAnsi="宋体" w:cs="宋体"/>
          <w:color w:val="auto"/>
          <w:highlight w:val="none"/>
          <w:lang w:bidi="ar"/>
        </w:rPr>
        <w:t>用银行转账支票办理支付款项时，必须将转账支票送交丙方，由丙方负责办理支票转付手续；</w:t>
      </w:r>
    </w:p>
    <w:p w14:paraId="11ED383D">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（5） </w:t>
      </w:r>
      <w:r>
        <w:rPr>
          <w:rFonts w:hint="eastAsia" w:ascii="宋体" w:hAnsi="宋体" w:cs="宋体"/>
          <w:color w:val="auto"/>
          <w:highlight w:val="none"/>
          <w:lang w:bidi="ar"/>
        </w:rPr>
        <w:t>向项目管理分部支付工程进度款时，应附甲方批准的文件；</w:t>
      </w:r>
    </w:p>
    <w:p w14:paraId="54933A34">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4. </w:t>
      </w:r>
      <w:r>
        <w:rPr>
          <w:rFonts w:hint="eastAsia" w:ascii="宋体" w:hAnsi="宋体" w:cs="宋体"/>
          <w:color w:val="auto"/>
          <w:highlight w:val="none"/>
          <w:lang w:bidi="ar"/>
        </w:rPr>
        <w:t>丙方的权责</w:t>
      </w:r>
    </w:p>
    <w:p w14:paraId="2F2CB6A8">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（1） </w:t>
      </w:r>
      <w:r>
        <w:rPr>
          <w:rFonts w:hint="eastAsia" w:ascii="宋体" w:hAnsi="宋体" w:cs="宋体"/>
          <w:color w:val="auto"/>
          <w:highlight w:val="none"/>
          <w:lang w:bidi="ar"/>
        </w:rPr>
        <w:t>成立</w:t>
      </w:r>
      <w:r>
        <w:rPr>
          <w:rFonts w:ascii="宋体" w:hAnsi="宋体"/>
          <w:color w:val="auto"/>
          <w:highlight w:val="none"/>
          <w:u w:val="single"/>
          <w:lang w:bidi="ar"/>
        </w:rPr>
        <w:t>（</w:t>
      </w:r>
      <w:r>
        <w:rPr>
          <w:rFonts w:hint="eastAsia" w:ascii="宋体" w:hAnsi="宋体" w:cs="宋体"/>
          <w:color w:val="auto"/>
          <w:highlight w:val="none"/>
          <w:u w:val="single"/>
          <w:lang w:bidi="ar"/>
        </w:rPr>
        <w:t>项目名称</w:t>
      </w:r>
      <w:r>
        <w:rPr>
          <w:rFonts w:ascii="宋体" w:hAnsi="宋体"/>
          <w:color w:val="auto"/>
          <w:highlight w:val="none"/>
          <w:u w:val="single"/>
          <w:lang w:bidi="ar"/>
        </w:rPr>
        <w:t>）</w:t>
      </w:r>
      <w:r>
        <w:rPr>
          <w:rFonts w:hint="eastAsia" w:ascii="宋体" w:hAnsi="宋体" w:cs="宋体"/>
          <w:color w:val="auto"/>
          <w:highlight w:val="none"/>
          <w:u w:val="single"/>
          <w:lang w:bidi="ar"/>
        </w:rPr>
        <w:t>（标段名称）</w:t>
      </w:r>
      <w:r>
        <w:rPr>
          <w:rFonts w:hint="eastAsia" w:ascii="宋体" w:hAnsi="宋体" w:cs="宋体"/>
          <w:color w:val="auto"/>
          <w:highlight w:val="none"/>
          <w:lang w:bidi="ar"/>
        </w:rPr>
        <w:t>工程资金管理服务小组，明确业务流程，提高工作效率，杜绝</w:t>
      </w:r>
      <w:r>
        <w:rPr>
          <w:rFonts w:hint="eastAsia" w:ascii="宋体" w:hAnsi="宋体"/>
          <w:color w:val="auto"/>
          <w:highlight w:val="none"/>
          <w:lang w:bidi="ar"/>
        </w:rPr>
        <w:t>“</w:t>
      </w:r>
      <w:r>
        <w:rPr>
          <w:rFonts w:hint="eastAsia" w:ascii="宋体" w:hAnsi="宋体" w:cs="宋体"/>
          <w:color w:val="auto"/>
          <w:highlight w:val="none"/>
          <w:lang w:bidi="ar"/>
        </w:rPr>
        <w:t>压票</w:t>
      </w:r>
      <w:r>
        <w:rPr>
          <w:rFonts w:hint="eastAsia" w:ascii="宋体" w:hAnsi="宋体"/>
          <w:color w:val="auto"/>
          <w:highlight w:val="none"/>
          <w:lang w:bidi="ar"/>
        </w:rPr>
        <w:t>”</w:t>
      </w:r>
      <w:r>
        <w:rPr>
          <w:rFonts w:hint="eastAsia" w:ascii="宋体" w:hAnsi="宋体" w:cs="宋体"/>
          <w:color w:val="auto"/>
          <w:highlight w:val="none"/>
          <w:lang w:bidi="ar"/>
        </w:rPr>
        <w:t>现象；</w:t>
      </w:r>
    </w:p>
    <w:p w14:paraId="616815BC">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（2） </w:t>
      </w:r>
      <w:r>
        <w:rPr>
          <w:rFonts w:hint="eastAsia" w:ascii="宋体" w:hAnsi="宋体" w:cs="宋体"/>
          <w:color w:val="auto"/>
          <w:highlight w:val="none"/>
          <w:lang w:bidi="ar"/>
        </w:rPr>
        <w:t>根据乙方提供的购货合同、协议和发票，检查其所购材料、设备是否用于</w:t>
      </w:r>
      <w:r>
        <w:rPr>
          <w:rFonts w:ascii="宋体" w:hAnsi="宋体"/>
          <w:color w:val="auto"/>
          <w:highlight w:val="none"/>
          <w:u w:val="single"/>
          <w:lang w:bidi="ar"/>
        </w:rPr>
        <w:t>（</w:t>
      </w:r>
      <w:r>
        <w:rPr>
          <w:rFonts w:hint="eastAsia" w:ascii="宋体" w:hAnsi="宋体" w:cs="宋体"/>
          <w:color w:val="auto"/>
          <w:highlight w:val="none"/>
          <w:u w:val="single"/>
          <w:lang w:bidi="ar"/>
        </w:rPr>
        <w:t>项目名称</w:t>
      </w:r>
      <w:r>
        <w:rPr>
          <w:rFonts w:ascii="宋体" w:hAnsi="宋体"/>
          <w:color w:val="auto"/>
          <w:highlight w:val="none"/>
          <w:u w:val="single"/>
          <w:lang w:bidi="ar"/>
        </w:rPr>
        <w:t>）</w:t>
      </w:r>
      <w:r>
        <w:rPr>
          <w:rFonts w:hint="eastAsia" w:ascii="宋体" w:hAnsi="宋体" w:cs="宋体"/>
          <w:color w:val="auto"/>
          <w:highlight w:val="none"/>
          <w:u w:val="single"/>
          <w:lang w:bidi="ar"/>
        </w:rPr>
        <w:t>（标段名称）</w:t>
      </w:r>
      <w:r>
        <w:rPr>
          <w:rFonts w:hint="eastAsia" w:ascii="宋体" w:hAnsi="宋体" w:cs="宋体"/>
          <w:color w:val="auto"/>
          <w:highlight w:val="none"/>
          <w:lang w:bidi="ar"/>
        </w:rPr>
        <w:t>工程建设，对本标段以外的购货款项，有权拒绝办理，并及时报告甲方；</w:t>
      </w:r>
    </w:p>
    <w:p w14:paraId="7116AACE">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（3） </w:t>
      </w:r>
      <w:r>
        <w:rPr>
          <w:rFonts w:hint="eastAsia" w:ascii="宋体" w:hAnsi="宋体" w:cs="宋体"/>
          <w:color w:val="auto"/>
          <w:highlight w:val="none"/>
          <w:lang w:bidi="ar"/>
        </w:rPr>
        <w:t>根据乙方与分包单位签订的合同及支付文件，检查其支付款项是否符合有关条件，向分包单位以外单位的支付有权拒绝办理，并及时报告甲方；</w:t>
      </w:r>
    </w:p>
    <w:p w14:paraId="0DA3950E">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（4） </w:t>
      </w:r>
      <w:r>
        <w:rPr>
          <w:rFonts w:hint="eastAsia" w:ascii="宋体" w:hAnsi="宋体" w:cs="宋体"/>
          <w:color w:val="auto"/>
          <w:highlight w:val="none"/>
          <w:lang w:bidi="ar"/>
        </w:rPr>
        <w:t>根据乙方提供的上级单位出具的转账通知等有关资料，办理管理费、机械设备及周转材料租赁摊销费等款项的支付；对超出转账通知等有关资料以外的支付，有权拒绝办理，并及时报告甲方；</w:t>
      </w:r>
    </w:p>
    <w:p w14:paraId="5799E312">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（5） </w:t>
      </w:r>
      <w:r>
        <w:rPr>
          <w:rFonts w:hint="eastAsia" w:ascii="宋体" w:hAnsi="宋体" w:cs="宋体"/>
          <w:color w:val="auto"/>
          <w:highlight w:val="none"/>
          <w:lang w:bidi="ar"/>
        </w:rPr>
        <w:t>定期将乙方前一个周期的支付情况，整理后书面报送甲方；乙方复印备案的材料一并送甲方。</w:t>
      </w:r>
    </w:p>
    <w:p w14:paraId="45A91117">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5. </w:t>
      </w:r>
      <w:r>
        <w:rPr>
          <w:rFonts w:hint="eastAsia" w:ascii="宋体" w:hAnsi="宋体" w:cs="宋体"/>
          <w:color w:val="auto"/>
          <w:highlight w:val="none"/>
          <w:lang w:bidi="ar"/>
        </w:rPr>
        <w:t>甲、乙、丙三方都应履行保密责任，不得将其他两方的业务情况透露给三方以外的其他单位或个人。</w:t>
      </w:r>
    </w:p>
    <w:p w14:paraId="02017A3F">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6. </w:t>
      </w:r>
      <w:r>
        <w:rPr>
          <w:rFonts w:hint="eastAsia" w:ascii="宋体" w:hAnsi="宋体" w:cs="宋体"/>
          <w:color w:val="auto"/>
          <w:highlight w:val="none"/>
          <w:lang w:bidi="ar"/>
        </w:rPr>
        <w:t>本协议有效期自乙方在丙方开户起，至工程交工验收甲方向乙方颁发交工验收证书后结束。</w:t>
      </w:r>
    </w:p>
    <w:p w14:paraId="0DBB8307">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7. </w:t>
      </w:r>
      <w:r>
        <w:rPr>
          <w:rFonts w:hint="eastAsia" w:ascii="宋体" w:hAnsi="宋体" w:cs="宋体"/>
          <w:color w:val="auto"/>
          <w:highlight w:val="none"/>
          <w:lang w:bidi="ar"/>
        </w:rPr>
        <w:t>本协议未尽事宜，由甲方牵头，三方协商解决。</w:t>
      </w:r>
    </w:p>
    <w:p w14:paraId="6D9E699A">
      <w:pPr>
        <w:spacing w:line="400" w:lineRule="atLeast"/>
        <w:ind w:firstLine="420" w:firstLineChars="200"/>
        <w:rPr>
          <w:rFonts w:hint="eastAsia" w:ascii="宋体" w:hAnsi="宋体"/>
          <w:color w:val="auto"/>
          <w:highlight w:val="none"/>
        </w:rPr>
      </w:pPr>
      <w:r>
        <w:rPr>
          <w:rFonts w:ascii="宋体" w:hAnsi="宋体"/>
          <w:color w:val="auto"/>
          <w:highlight w:val="none"/>
          <w:lang w:bidi="ar"/>
        </w:rPr>
        <w:t xml:space="preserve">8. </w:t>
      </w:r>
      <w:r>
        <w:rPr>
          <w:rFonts w:hint="eastAsia" w:ascii="宋体" w:hAnsi="宋体" w:cs="宋体"/>
          <w:color w:val="auto"/>
          <w:highlight w:val="none"/>
          <w:lang w:bidi="ar"/>
        </w:rPr>
        <w:t>本协议正本三份、副本</w:t>
      </w:r>
      <w:r>
        <w:rPr>
          <w:rFonts w:ascii="宋体" w:hAnsi="宋体"/>
          <w:color w:val="auto"/>
          <w:highlight w:val="none"/>
          <w:u w:val="single"/>
          <w:lang w:bidi="ar"/>
        </w:rPr>
        <w:t xml:space="preserve">  </w:t>
      </w:r>
      <w:r>
        <w:rPr>
          <w:rFonts w:hint="eastAsia" w:ascii="宋体" w:hAnsi="宋体" w:cs="宋体"/>
          <w:color w:val="auto"/>
          <w:highlight w:val="none"/>
          <w:lang w:bidi="ar"/>
        </w:rPr>
        <w:t>份。合同三方各执正本一份、副本</w:t>
      </w:r>
      <w:r>
        <w:rPr>
          <w:rFonts w:ascii="宋体" w:hAnsi="宋体"/>
          <w:color w:val="auto"/>
          <w:highlight w:val="none"/>
          <w:u w:val="single"/>
          <w:lang w:bidi="ar"/>
        </w:rPr>
        <w:t xml:space="preserve">  </w:t>
      </w:r>
      <w:r>
        <w:rPr>
          <w:rFonts w:hint="eastAsia" w:ascii="宋体" w:hAnsi="宋体" w:cs="宋体"/>
          <w:color w:val="auto"/>
          <w:highlight w:val="none"/>
          <w:lang w:bidi="ar"/>
        </w:rPr>
        <w:t>份，当正本与副本内容不一致时，以正本为准。</w:t>
      </w:r>
    </w:p>
    <w:p w14:paraId="7146236A">
      <w:pPr>
        <w:spacing w:line="400" w:lineRule="exact"/>
        <w:rPr>
          <w:rFonts w:hint="eastAsia" w:ascii="宋体" w:hAnsi="宋体" w:cs="宋体"/>
          <w:color w:val="auto"/>
          <w:highlight w:val="none"/>
          <w:lang w:bidi="ar"/>
        </w:rPr>
      </w:pPr>
    </w:p>
    <w:p w14:paraId="2AC99E0F">
      <w:pPr>
        <w:spacing w:line="400" w:lineRule="exact"/>
        <w:rPr>
          <w:rFonts w:hint="eastAsia" w:ascii="宋体" w:hAnsi="宋体"/>
          <w:color w:val="auto"/>
          <w:highlight w:val="none"/>
        </w:rPr>
      </w:pPr>
      <w:r>
        <w:rPr>
          <w:rFonts w:hint="eastAsia" w:ascii="宋体" w:hAnsi="宋体" w:cs="宋体"/>
          <w:color w:val="auto"/>
          <w:highlight w:val="none"/>
          <w:lang w:bidi="ar"/>
        </w:rPr>
        <w:t>发包人：</w:t>
      </w:r>
      <w:r>
        <w:rPr>
          <w:rFonts w:ascii="宋体" w:hAnsi="宋体"/>
          <w:color w:val="auto"/>
          <w:highlight w:val="none"/>
          <w:u w:val="single"/>
          <w:lang w:bidi="ar"/>
        </w:rPr>
        <w:t xml:space="preserve">               </w:t>
      </w:r>
      <w:r>
        <w:rPr>
          <w:rFonts w:ascii="宋体" w:hAnsi="宋体"/>
          <w:color w:val="auto"/>
          <w:highlight w:val="none"/>
          <w:lang w:bidi="ar"/>
        </w:rPr>
        <w:t>（</w:t>
      </w:r>
      <w:r>
        <w:rPr>
          <w:rFonts w:hint="eastAsia" w:ascii="宋体" w:hAnsi="宋体" w:cs="宋体"/>
          <w:color w:val="auto"/>
          <w:highlight w:val="none"/>
          <w:lang w:bidi="ar"/>
        </w:rPr>
        <w:t>盖单位公章</w:t>
      </w:r>
      <w:r>
        <w:rPr>
          <w:rFonts w:ascii="宋体" w:hAnsi="宋体"/>
          <w:color w:val="auto"/>
          <w:highlight w:val="none"/>
          <w:lang w:bidi="ar"/>
        </w:rPr>
        <w:t xml:space="preserve">）    </w:t>
      </w:r>
    </w:p>
    <w:p w14:paraId="13C1655E">
      <w:pPr>
        <w:spacing w:line="400" w:lineRule="exact"/>
        <w:rPr>
          <w:rFonts w:hint="eastAsia" w:ascii="宋体" w:hAnsi="宋体"/>
          <w:color w:val="auto"/>
          <w:highlight w:val="none"/>
        </w:rPr>
      </w:pPr>
      <w:r>
        <w:rPr>
          <w:rFonts w:hint="eastAsia" w:ascii="宋体" w:hAnsi="宋体" w:cs="宋体"/>
          <w:color w:val="auto"/>
          <w:highlight w:val="none"/>
          <w:lang w:bidi="ar"/>
        </w:rPr>
        <w:t>法定代表人或其委托代理人：</w:t>
      </w:r>
      <w:r>
        <w:rPr>
          <w:rFonts w:ascii="宋体" w:hAnsi="宋体"/>
          <w:color w:val="auto"/>
          <w:highlight w:val="none"/>
          <w:u w:val="single"/>
          <w:lang w:bidi="ar"/>
        </w:rPr>
        <w:t xml:space="preserve">    （</w:t>
      </w:r>
      <w:r>
        <w:rPr>
          <w:rFonts w:hint="eastAsia" w:ascii="宋体" w:hAnsi="宋体" w:cs="宋体"/>
          <w:color w:val="auto"/>
          <w:highlight w:val="none"/>
          <w:lang w:bidi="ar"/>
        </w:rPr>
        <w:t>签名</w:t>
      </w:r>
      <w:r>
        <w:rPr>
          <w:rFonts w:ascii="宋体" w:hAnsi="宋体"/>
          <w:color w:val="auto"/>
          <w:highlight w:val="none"/>
          <w:lang w:bidi="ar"/>
        </w:rPr>
        <w:t xml:space="preserve">）  </w:t>
      </w:r>
    </w:p>
    <w:p w14:paraId="7D5A784C">
      <w:pPr>
        <w:spacing w:line="400" w:lineRule="exact"/>
        <w:rPr>
          <w:rFonts w:hint="eastAsia" w:ascii="宋体" w:hAnsi="宋体"/>
          <w:bCs/>
          <w:color w:val="auto"/>
          <w:sz w:val="36"/>
          <w:highlight w:val="none"/>
        </w:rPr>
      </w:pPr>
      <w:r>
        <w:rPr>
          <w:rFonts w:ascii="宋体" w:hAnsi="宋体"/>
          <w:color w:val="auto"/>
          <w:highlight w:val="none"/>
          <w:u w:val="single"/>
          <w:lang w:bidi="ar"/>
        </w:rPr>
        <w:t xml:space="preserve">         </w:t>
      </w:r>
      <w:r>
        <w:rPr>
          <w:rFonts w:hint="eastAsia" w:ascii="宋体" w:hAnsi="宋体" w:cs="宋体"/>
          <w:color w:val="auto"/>
          <w:highlight w:val="none"/>
          <w:lang w:bidi="ar"/>
        </w:rPr>
        <w:t>年</w:t>
      </w:r>
      <w:r>
        <w:rPr>
          <w:rFonts w:ascii="宋体" w:hAnsi="宋体"/>
          <w:color w:val="auto"/>
          <w:highlight w:val="none"/>
          <w:u w:val="single"/>
          <w:lang w:bidi="ar"/>
        </w:rPr>
        <w:t xml:space="preserve">       </w:t>
      </w:r>
      <w:r>
        <w:rPr>
          <w:rFonts w:hint="eastAsia" w:ascii="宋体" w:hAnsi="宋体" w:cs="宋体"/>
          <w:color w:val="auto"/>
          <w:highlight w:val="none"/>
          <w:lang w:bidi="ar"/>
        </w:rPr>
        <w:t>月</w:t>
      </w:r>
      <w:r>
        <w:rPr>
          <w:rFonts w:ascii="宋体" w:hAnsi="宋体"/>
          <w:color w:val="auto"/>
          <w:highlight w:val="none"/>
          <w:lang w:bidi="ar"/>
        </w:rPr>
        <w:t xml:space="preserve"> </w:t>
      </w:r>
      <w:r>
        <w:rPr>
          <w:rFonts w:ascii="宋体" w:hAnsi="宋体"/>
          <w:color w:val="auto"/>
          <w:highlight w:val="none"/>
          <w:u w:val="single"/>
          <w:lang w:bidi="ar"/>
        </w:rPr>
        <w:t xml:space="preserve">    </w:t>
      </w:r>
      <w:r>
        <w:rPr>
          <w:rFonts w:ascii="宋体" w:hAnsi="宋体"/>
          <w:color w:val="auto"/>
          <w:highlight w:val="none"/>
          <w:lang w:bidi="ar"/>
        </w:rPr>
        <w:t xml:space="preserve"> </w:t>
      </w:r>
      <w:r>
        <w:rPr>
          <w:rFonts w:hint="eastAsia" w:ascii="宋体" w:hAnsi="宋体" w:cs="宋体"/>
          <w:color w:val="auto"/>
          <w:highlight w:val="none"/>
          <w:lang w:bidi="ar"/>
        </w:rPr>
        <w:t>日</w:t>
      </w:r>
      <w:r>
        <w:rPr>
          <w:rFonts w:ascii="宋体" w:hAnsi="宋体"/>
          <w:color w:val="auto"/>
          <w:highlight w:val="none"/>
          <w:lang w:bidi="ar"/>
        </w:rPr>
        <w:t xml:space="preserve">    </w:t>
      </w:r>
    </w:p>
    <w:p w14:paraId="12C601CF">
      <w:pPr>
        <w:spacing w:line="400" w:lineRule="exact"/>
        <w:rPr>
          <w:rFonts w:hint="eastAsia" w:ascii="宋体" w:hAnsi="宋体"/>
          <w:color w:val="auto"/>
          <w:highlight w:val="none"/>
        </w:rPr>
      </w:pPr>
    </w:p>
    <w:p w14:paraId="514021F6">
      <w:pPr>
        <w:spacing w:line="400" w:lineRule="exact"/>
        <w:rPr>
          <w:rFonts w:hint="eastAsia" w:ascii="宋体" w:hAnsi="宋体"/>
          <w:color w:val="auto"/>
          <w:highlight w:val="none"/>
        </w:rPr>
      </w:pPr>
      <w:r>
        <w:rPr>
          <w:rFonts w:hint="eastAsia" w:ascii="宋体" w:hAnsi="宋体" w:cs="宋体"/>
          <w:color w:val="auto"/>
          <w:highlight w:val="none"/>
          <w:lang w:bidi="ar"/>
        </w:rPr>
        <w:t>承包人：</w:t>
      </w:r>
      <w:r>
        <w:rPr>
          <w:rFonts w:ascii="宋体" w:hAnsi="宋体"/>
          <w:color w:val="auto"/>
          <w:highlight w:val="none"/>
          <w:u w:val="single"/>
          <w:lang w:bidi="ar"/>
        </w:rPr>
        <w:t xml:space="preserve">               </w:t>
      </w:r>
      <w:r>
        <w:rPr>
          <w:rFonts w:ascii="宋体" w:hAnsi="宋体"/>
          <w:color w:val="auto"/>
          <w:highlight w:val="none"/>
          <w:lang w:bidi="ar"/>
        </w:rPr>
        <w:t>（</w:t>
      </w:r>
      <w:r>
        <w:rPr>
          <w:rFonts w:hint="eastAsia" w:ascii="宋体" w:hAnsi="宋体" w:cs="宋体"/>
          <w:color w:val="auto"/>
          <w:highlight w:val="none"/>
          <w:lang w:bidi="ar"/>
        </w:rPr>
        <w:t>盖单位公章</w:t>
      </w:r>
      <w:r>
        <w:rPr>
          <w:rFonts w:ascii="宋体" w:hAnsi="宋体"/>
          <w:color w:val="auto"/>
          <w:highlight w:val="none"/>
          <w:lang w:bidi="ar"/>
        </w:rPr>
        <w:t xml:space="preserve">）    </w:t>
      </w:r>
    </w:p>
    <w:p w14:paraId="2463CA50">
      <w:pPr>
        <w:spacing w:line="400" w:lineRule="exact"/>
        <w:rPr>
          <w:rFonts w:hint="eastAsia" w:ascii="宋体" w:hAnsi="宋体"/>
          <w:color w:val="auto"/>
          <w:highlight w:val="none"/>
        </w:rPr>
      </w:pPr>
      <w:r>
        <w:rPr>
          <w:rFonts w:hint="eastAsia" w:ascii="宋体" w:hAnsi="宋体" w:cs="宋体"/>
          <w:color w:val="auto"/>
          <w:highlight w:val="none"/>
          <w:lang w:bidi="ar"/>
        </w:rPr>
        <w:t>法定代表人或其委托代理人：</w:t>
      </w:r>
      <w:r>
        <w:rPr>
          <w:rFonts w:ascii="宋体" w:hAnsi="宋体"/>
          <w:color w:val="auto"/>
          <w:highlight w:val="none"/>
          <w:u w:val="single"/>
          <w:lang w:bidi="ar"/>
        </w:rPr>
        <w:t xml:space="preserve">    （</w:t>
      </w:r>
      <w:r>
        <w:rPr>
          <w:rFonts w:hint="eastAsia" w:ascii="宋体" w:hAnsi="宋体" w:cs="宋体"/>
          <w:color w:val="auto"/>
          <w:highlight w:val="none"/>
          <w:lang w:bidi="ar"/>
        </w:rPr>
        <w:t>签名</w:t>
      </w:r>
      <w:r>
        <w:rPr>
          <w:rFonts w:ascii="宋体" w:hAnsi="宋体"/>
          <w:color w:val="auto"/>
          <w:highlight w:val="none"/>
          <w:lang w:bidi="ar"/>
        </w:rPr>
        <w:t xml:space="preserve">）  </w:t>
      </w:r>
    </w:p>
    <w:p w14:paraId="235520C7">
      <w:pPr>
        <w:spacing w:line="400" w:lineRule="exact"/>
        <w:rPr>
          <w:rFonts w:hint="eastAsia" w:ascii="宋体" w:hAnsi="宋体"/>
          <w:bCs/>
          <w:color w:val="auto"/>
          <w:sz w:val="36"/>
          <w:highlight w:val="none"/>
        </w:rPr>
      </w:pPr>
      <w:r>
        <w:rPr>
          <w:rFonts w:ascii="宋体" w:hAnsi="宋体"/>
          <w:color w:val="auto"/>
          <w:highlight w:val="none"/>
          <w:u w:val="single"/>
          <w:lang w:bidi="ar"/>
        </w:rPr>
        <w:t xml:space="preserve">         </w:t>
      </w:r>
      <w:r>
        <w:rPr>
          <w:rFonts w:hint="eastAsia" w:ascii="宋体" w:hAnsi="宋体" w:cs="宋体"/>
          <w:color w:val="auto"/>
          <w:highlight w:val="none"/>
          <w:lang w:bidi="ar"/>
        </w:rPr>
        <w:t>年</w:t>
      </w:r>
      <w:r>
        <w:rPr>
          <w:rFonts w:ascii="宋体" w:hAnsi="宋体"/>
          <w:color w:val="auto"/>
          <w:highlight w:val="none"/>
          <w:u w:val="single"/>
          <w:lang w:bidi="ar"/>
        </w:rPr>
        <w:t xml:space="preserve">       </w:t>
      </w:r>
      <w:r>
        <w:rPr>
          <w:rFonts w:hint="eastAsia" w:ascii="宋体" w:hAnsi="宋体" w:cs="宋体"/>
          <w:color w:val="auto"/>
          <w:highlight w:val="none"/>
          <w:lang w:bidi="ar"/>
        </w:rPr>
        <w:t>月</w:t>
      </w:r>
      <w:r>
        <w:rPr>
          <w:rFonts w:ascii="宋体" w:hAnsi="宋体"/>
          <w:color w:val="auto"/>
          <w:highlight w:val="none"/>
          <w:lang w:bidi="ar"/>
        </w:rPr>
        <w:t xml:space="preserve"> </w:t>
      </w:r>
      <w:r>
        <w:rPr>
          <w:rFonts w:ascii="宋体" w:hAnsi="宋体"/>
          <w:color w:val="auto"/>
          <w:highlight w:val="none"/>
          <w:u w:val="single"/>
          <w:lang w:bidi="ar"/>
        </w:rPr>
        <w:t xml:space="preserve">    </w:t>
      </w:r>
      <w:r>
        <w:rPr>
          <w:rFonts w:ascii="宋体" w:hAnsi="宋体"/>
          <w:color w:val="auto"/>
          <w:highlight w:val="none"/>
          <w:lang w:bidi="ar"/>
        </w:rPr>
        <w:t xml:space="preserve"> </w:t>
      </w:r>
      <w:r>
        <w:rPr>
          <w:rFonts w:hint="eastAsia" w:ascii="宋体" w:hAnsi="宋体" w:cs="宋体"/>
          <w:color w:val="auto"/>
          <w:highlight w:val="none"/>
          <w:lang w:bidi="ar"/>
        </w:rPr>
        <w:t>日</w:t>
      </w:r>
      <w:r>
        <w:rPr>
          <w:rFonts w:ascii="宋体" w:hAnsi="宋体"/>
          <w:color w:val="auto"/>
          <w:highlight w:val="none"/>
          <w:lang w:bidi="ar"/>
        </w:rPr>
        <w:t xml:space="preserve">    </w:t>
      </w:r>
    </w:p>
    <w:p w14:paraId="13D7313C">
      <w:pPr>
        <w:spacing w:line="400" w:lineRule="exact"/>
        <w:rPr>
          <w:rFonts w:hint="eastAsia" w:ascii="宋体" w:hAnsi="宋体"/>
          <w:color w:val="auto"/>
          <w:highlight w:val="none"/>
        </w:rPr>
      </w:pPr>
    </w:p>
    <w:p w14:paraId="41889474">
      <w:pPr>
        <w:spacing w:line="400" w:lineRule="exact"/>
        <w:rPr>
          <w:rFonts w:hint="eastAsia" w:ascii="宋体" w:hAnsi="宋体"/>
          <w:color w:val="auto"/>
          <w:highlight w:val="none"/>
        </w:rPr>
      </w:pPr>
      <w:r>
        <w:rPr>
          <w:rFonts w:hint="eastAsia" w:ascii="宋体" w:hAnsi="宋体" w:cs="宋体"/>
          <w:color w:val="auto"/>
          <w:highlight w:val="none"/>
          <w:lang w:bidi="ar"/>
        </w:rPr>
        <w:t>经办银行：</w:t>
      </w:r>
      <w:r>
        <w:rPr>
          <w:rFonts w:ascii="宋体" w:hAnsi="宋体"/>
          <w:color w:val="auto"/>
          <w:highlight w:val="none"/>
          <w:u w:val="single"/>
          <w:lang w:bidi="ar"/>
        </w:rPr>
        <w:t xml:space="preserve">               </w:t>
      </w:r>
      <w:r>
        <w:rPr>
          <w:rFonts w:ascii="宋体" w:hAnsi="宋体"/>
          <w:color w:val="auto"/>
          <w:highlight w:val="none"/>
          <w:lang w:bidi="ar"/>
        </w:rPr>
        <w:t>（</w:t>
      </w:r>
      <w:r>
        <w:rPr>
          <w:rFonts w:hint="eastAsia" w:ascii="宋体" w:hAnsi="宋体" w:cs="宋体"/>
          <w:color w:val="auto"/>
          <w:highlight w:val="none"/>
          <w:lang w:bidi="ar"/>
        </w:rPr>
        <w:t>盖单位公章</w:t>
      </w:r>
      <w:r>
        <w:rPr>
          <w:rFonts w:ascii="宋体" w:hAnsi="宋体"/>
          <w:color w:val="auto"/>
          <w:highlight w:val="none"/>
          <w:lang w:bidi="ar"/>
        </w:rPr>
        <w:t xml:space="preserve">）    </w:t>
      </w:r>
    </w:p>
    <w:p w14:paraId="2FB3EED3">
      <w:pPr>
        <w:spacing w:line="400" w:lineRule="exact"/>
        <w:rPr>
          <w:rFonts w:hint="eastAsia" w:ascii="宋体" w:hAnsi="宋体"/>
          <w:color w:val="auto"/>
          <w:highlight w:val="none"/>
        </w:rPr>
      </w:pPr>
      <w:r>
        <w:rPr>
          <w:rFonts w:hint="eastAsia" w:ascii="宋体" w:hAnsi="宋体" w:cs="宋体"/>
          <w:color w:val="auto"/>
          <w:highlight w:val="none"/>
          <w:lang w:bidi="ar"/>
        </w:rPr>
        <w:t>法定代表人或其委托代理人：</w:t>
      </w:r>
      <w:r>
        <w:rPr>
          <w:rFonts w:ascii="宋体" w:hAnsi="宋体"/>
          <w:color w:val="auto"/>
          <w:highlight w:val="none"/>
          <w:u w:val="single"/>
          <w:lang w:bidi="ar"/>
        </w:rPr>
        <w:t xml:space="preserve">    （</w:t>
      </w:r>
      <w:r>
        <w:rPr>
          <w:rFonts w:hint="eastAsia" w:ascii="宋体" w:hAnsi="宋体" w:cs="宋体"/>
          <w:color w:val="auto"/>
          <w:highlight w:val="none"/>
          <w:lang w:bidi="ar"/>
        </w:rPr>
        <w:t>签名</w:t>
      </w:r>
      <w:r>
        <w:rPr>
          <w:rFonts w:ascii="宋体" w:hAnsi="宋体"/>
          <w:color w:val="auto"/>
          <w:highlight w:val="none"/>
          <w:lang w:bidi="ar"/>
        </w:rPr>
        <w:t xml:space="preserve">）  </w:t>
      </w:r>
    </w:p>
    <w:p w14:paraId="24DDCF79">
      <w:pPr>
        <w:spacing w:line="400" w:lineRule="exact"/>
        <w:rPr>
          <w:rFonts w:hint="eastAsia" w:ascii="宋体" w:hAnsi="宋体"/>
          <w:color w:val="auto"/>
          <w:highlight w:val="none"/>
          <w:lang w:bidi="ar"/>
        </w:rPr>
      </w:pPr>
      <w:r>
        <w:rPr>
          <w:rFonts w:ascii="宋体" w:hAnsi="宋体"/>
          <w:color w:val="auto"/>
          <w:highlight w:val="none"/>
          <w:u w:val="single"/>
          <w:lang w:bidi="ar"/>
        </w:rPr>
        <w:t xml:space="preserve">         </w:t>
      </w:r>
      <w:r>
        <w:rPr>
          <w:rFonts w:hint="eastAsia" w:ascii="宋体" w:hAnsi="宋体" w:cs="宋体"/>
          <w:color w:val="auto"/>
          <w:highlight w:val="none"/>
          <w:lang w:bidi="ar"/>
        </w:rPr>
        <w:t>年</w:t>
      </w:r>
      <w:r>
        <w:rPr>
          <w:rFonts w:ascii="宋体" w:hAnsi="宋体"/>
          <w:color w:val="auto"/>
          <w:highlight w:val="none"/>
          <w:u w:val="single"/>
          <w:lang w:bidi="ar"/>
        </w:rPr>
        <w:t xml:space="preserve">       </w:t>
      </w:r>
      <w:r>
        <w:rPr>
          <w:rFonts w:hint="eastAsia" w:ascii="宋体" w:hAnsi="宋体" w:cs="宋体"/>
          <w:color w:val="auto"/>
          <w:highlight w:val="none"/>
          <w:lang w:bidi="ar"/>
        </w:rPr>
        <w:t>月</w:t>
      </w:r>
      <w:r>
        <w:rPr>
          <w:rFonts w:ascii="宋体" w:hAnsi="宋体"/>
          <w:color w:val="auto"/>
          <w:highlight w:val="none"/>
          <w:lang w:bidi="ar"/>
        </w:rPr>
        <w:t xml:space="preserve"> </w:t>
      </w:r>
      <w:r>
        <w:rPr>
          <w:rFonts w:ascii="宋体" w:hAnsi="宋体"/>
          <w:color w:val="auto"/>
          <w:highlight w:val="none"/>
          <w:u w:val="single"/>
          <w:lang w:bidi="ar"/>
        </w:rPr>
        <w:t xml:space="preserve">    </w:t>
      </w:r>
      <w:r>
        <w:rPr>
          <w:rFonts w:ascii="宋体" w:hAnsi="宋体"/>
          <w:color w:val="auto"/>
          <w:highlight w:val="none"/>
          <w:lang w:bidi="ar"/>
        </w:rPr>
        <w:t xml:space="preserve"> </w:t>
      </w:r>
      <w:r>
        <w:rPr>
          <w:rFonts w:hint="eastAsia" w:ascii="宋体" w:hAnsi="宋体" w:cs="宋体"/>
          <w:color w:val="auto"/>
          <w:highlight w:val="none"/>
          <w:lang w:bidi="ar"/>
        </w:rPr>
        <w:t>日</w:t>
      </w:r>
      <w:r>
        <w:rPr>
          <w:rFonts w:ascii="宋体" w:hAnsi="宋体"/>
          <w:color w:val="auto"/>
          <w:highlight w:val="none"/>
          <w:lang w:bidi="ar"/>
        </w:rPr>
        <w:t xml:space="preserve">    </w:t>
      </w:r>
    </w:p>
    <w:p w14:paraId="6C6D1EFC">
      <w:pPr>
        <w:spacing w:line="240" w:lineRule="auto"/>
        <w:rPr>
          <w:rFonts w:hint="eastAsia" w:ascii="宋体" w:hAnsi="宋体"/>
          <w:color w:val="auto"/>
          <w:highlight w:val="none"/>
          <w:lang w:bidi="ar"/>
        </w:rPr>
      </w:pPr>
      <w:r>
        <w:rPr>
          <w:rFonts w:ascii="宋体" w:hAnsi="宋体"/>
          <w:color w:val="auto"/>
          <w:highlight w:val="none"/>
          <w:lang w:bidi="ar"/>
        </w:rPr>
        <w:br w:type="page"/>
      </w:r>
    </w:p>
    <w:p w14:paraId="314A9512">
      <w:pPr>
        <w:spacing w:line="600" w:lineRule="exact"/>
        <w:jc w:val="center"/>
        <w:rPr>
          <w:rFonts w:hint="eastAsia" w:ascii="宋体" w:hAnsi="宋体" w:cs="黑体"/>
          <w:color w:val="auto"/>
          <w:sz w:val="32"/>
          <w:szCs w:val="32"/>
          <w:highlight w:val="none"/>
          <w:lang w:bidi="ar"/>
        </w:rPr>
      </w:pPr>
      <w:r>
        <w:rPr>
          <w:rFonts w:hint="eastAsia" w:ascii="宋体" w:hAnsi="宋体" w:cs="黑体"/>
          <w:color w:val="auto"/>
          <w:sz w:val="32"/>
          <w:szCs w:val="32"/>
          <w:highlight w:val="none"/>
          <w:lang w:bidi="ar"/>
        </w:rPr>
        <w:t>附件九 质量保证金保函（如有）</w:t>
      </w:r>
    </w:p>
    <w:p w14:paraId="1545A032">
      <w:pPr>
        <w:spacing w:line="360" w:lineRule="auto"/>
        <w:jc w:val="center"/>
        <w:textAlignment w:val="baseline"/>
        <w:rPr>
          <w:rFonts w:hint="eastAsia" w:asciiTheme="minorEastAsia" w:hAnsiTheme="minorEastAsia" w:eastAsiaTheme="minorEastAsia" w:cstheme="minorEastAsia"/>
          <w:color w:val="auto"/>
          <w:szCs w:val="21"/>
          <w:highlight w:val="none"/>
        </w:rPr>
      </w:pPr>
    </w:p>
    <w:p w14:paraId="2B1F4AAC">
      <w:pPr>
        <w:spacing w:line="360" w:lineRule="auto"/>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工程质量保函示范文本</w:t>
      </w:r>
    </w:p>
    <w:p w14:paraId="6A807E46">
      <w:pPr>
        <w:spacing w:line="360" w:lineRule="auto"/>
        <w:rPr>
          <w:rFonts w:hint="eastAsia" w:asciiTheme="minorEastAsia" w:hAnsiTheme="minorEastAsia" w:eastAsiaTheme="minorEastAsia" w:cstheme="minorEastAsia"/>
          <w:color w:val="auto"/>
          <w:szCs w:val="21"/>
          <w:highlight w:val="none"/>
        </w:rPr>
      </w:pPr>
    </w:p>
    <w:p w14:paraId="5E7942CE">
      <w:pPr>
        <w:widowControl/>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（发包人名称）：</w:t>
      </w:r>
    </w:p>
    <w:p w14:paraId="6D04D0F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（发包人名称，以下简称“发包人”）与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（承包人名称，以下简称“承包人”）于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标段（以下简称“本工程”）施工和有关事项协商一致共同签订《</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》（合同名称），</w:t>
      </w:r>
      <w:r>
        <w:rPr>
          <w:rFonts w:hint="eastAsia" w:asciiTheme="minorEastAsia" w:hAnsiTheme="minorEastAsia" w:eastAsiaTheme="minorEastAsia" w:cstheme="minorEastAsia"/>
          <w:color w:val="auto"/>
          <w:szCs w:val="21"/>
          <w:highlight w:val="none"/>
          <w:lang w:bidi="ar"/>
        </w:rPr>
        <w:t>我方愿意无条件地就承包人履行与你方订立的合同向你方提供不可撤销、不可转让的见索即付独立保函。</w:t>
      </w:r>
    </w:p>
    <w:p w14:paraId="6CD0B44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一、担保金额人民币（大写）</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 xml:space="preserve"> 元（</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1DA0ABB0">
      <w:pPr>
        <w:widowControl/>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r>
        <w:rPr>
          <w:rFonts w:hint="eastAsia" w:asciiTheme="minorEastAsia" w:hAnsiTheme="minorEastAsia" w:eastAsiaTheme="minorEastAsia" w:cstheme="minorEastAsia"/>
          <w:color w:val="auto"/>
          <w:kern w:val="0"/>
          <w:szCs w:val="21"/>
          <w:highlight w:val="none"/>
          <w:lang w:bidi="ar"/>
        </w:rPr>
        <w:t>担保有效期</w:t>
      </w:r>
      <w:r>
        <w:rPr>
          <w:rFonts w:hint="eastAsia" w:asciiTheme="minorEastAsia" w:hAnsiTheme="minorEastAsia" w:eastAsiaTheme="minorEastAsia" w:cstheme="minorEastAsia"/>
          <w:color w:val="auto"/>
          <w:szCs w:val="21"/>
          <w:highlight w:val="none"/>
        </w:rPr>
        <w:t>为以下第</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种：</w:t>
      </w:r>
    </w:p>
    <w:p w14:paraId="37E732B7">
      <w:pPr>
        <w:widowControl/>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（1）本担保自</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（生效日期）之日起生效，至</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（失效日期）之日失效。</w:t>
      </w:r>
    </w:p>
    <w:p w14:paraId="3B915DAA">
      <w:pPr>
        <w:widowControl/>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52C30BAA">
      <w:pPr>
        <w:widowControl/>
        <w:spacing w:line="360" w:lineRule="auto"/>
        <w:ind w:firstLine="420" w:firstLineChars="200"/>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三、在本担保有效期内，因</w:t>
      </w:r>
      <w:r>
        <w:rPr>
          <w:rFonts w:hint="eastAsia" w:asciiTheme="minorEastAsia" w:hAnsiTheme="minorEastAsia" w:eastAsiaTheme="minorEastAsia" w:cstheme="minorEastAsia"/>
          <w:color w:val="auto"/>
          <w:szCs w:val="21"/>
          <w:highlight w:val="none"/>
        </w:rPr>
        <w:t>承包人工程质量不符合合同约定</w:t>
      </w:r>
      <w:r>
        <w:rPr>
          <w:rFonts w:hint="eastAsia" w:asciiTheme="minorEastAsia" w:hAnsiTheme="minorEastAsia" w:eastAsiaTheme="minorEastAsia" w:cstheme="minorEastAsia"/>
          <w:color w:val="auto"/>
          <w:kern w:val="0"/>
          <w:szCs w:val="21"/>
          <w:highlight w:val="none"/>
          <w:lang w:bidi="ar"/>
        </w:rPr>
        <w:t>时，我方在收到你方以书面形式提出的在担保金额内的赔偿要求后，在7日内无条件支付，无须你方出具证明或陈述理由。</w:t>
      </w:r>
    </w:p>
    <w:p w14:paraId="1FA3487C">
      <w:pPr>
        <w:widowControl/>
        <w:spacing w:line="360" w:lineRule="auto"/>
        <w:ind w:firstLine="420" w:firstLineChars="200"/>
        <w:rPr>
          <w:rFonts w:hint="eastAsia" w:asciiTheme="minorEastAsia" w:hAnsiTheme="minorEastAsia" w:eastAsiaTheme="minorEastAsia" w:cstheme="minorEastAsia"/>
          <w:color w:val="auto"/>
          <w:kern w:val="0"/>
          <w:szCs w:val="21"/>
          <w:highlight w:val="none"/>
          <w:lang w:bidi="ar"/>
        </w:rPr>
      </w:pPr>
    </w:p>
    <w:p w14:paraId="56207AB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担 保 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（盖单位章）</w:t>
      </w:r>
    </w:p>
    <w:p w14:paraId="371084C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法定代表人或其委托代理人：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（签名）</w:t>
      </w:r>
    </w:p>
    <w:p w14:paraId="0FC21538">
      <w:pPr>
        <w:overflowPunct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地    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3B4B9CC">
      <w:pPr>
        <w:overflowPunct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67488047">
      <w:pPr>
        <w:overflowPunct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    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636E1455">
      <w:pPr>
        <w:overflowPunct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传    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110EFA57">
      <w:pPr>
        <w:pStyle w:val="18"/>
        <w:jc w:val="righ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年</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月</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日</w:t>
      </w:r>
    </w:p>
    <w:p w14:paraId="06A69FF2">
      <w:pPr>
        <w:pStyle w:val="18"/>
        <w:rPr>
          <w:rFonts w:hint="eastAsia" w:asciiTheme="minorEastAsia" w:hAnsiTheme="minorEastAsia" w:eastAsiaTheme="minorEastAsia" w:cstheme="minorEastAsia"/>
          <w:color w:val="auto"/>
          <w:szCs w:val="21"/>
          <w:highlight w:val="none"/>
          <w:lang w:bidi="ar"/>
        </w:rPr>
      </w:pPr>
    </w:p>
    <w:p w14:paraId="4152AD34">
      <w:pPr>
        <w:pStyle w:val="18"/>
        <w:ind w:firstLine="420" w:firstLineChars="200"/>
        <w:rPr>
          <w:color w:val="auto"/>
          <w:highlight w:val="none"/>
        </w:rPr>
      </w:pPr>
      <w:r>
        <w:rPr>
          <w:rFonts w:hint="eastAsia" w:asciiTheme="minorEastAsia" w:hAnsiTheme="minorEastAsia" w:eastAsiaTheme="minorEastAsia" w:cstheme="minorEastAsia"/>
          <w:i/>
          <w:iCs/>
          <w:color w:val="auto"/>
          <w:szCs w:val="21"/>
          <w:highlight w:val="none"/>
        </w:rPr>
        <w:t>[提示：招标人可以根据项目实际情况，增加本保函在重庆本地的核验要求。]</w:t>
      </w:r>
    </w:p>
    <w:p w14:paraId="1BCB76C4">
      <w:pPr>
        <w:rPr>
          <w:color w:val="auto"/>
          <w:highlight w:val="none"/>
        </w:rPr>
      </w:pPr>
    </w:p>
    <w:p w14:paraId="1502498C">
      <w:pPr>
        <w:pStyle w:val="18"/>
        <w:ind w:firstLine="420" w:firstLineChars="200"/>
        <w:rPr>
          <w:color w:val="auto"/>
          <w:highlight w:val="none"/>
        </w:rPr>
      </w:pPr>
    </w:p>
    <w:p w14:paraId="76C6AAAE">
      <w:pPr>
        <w:pStyle w:val="18"/>
        <w:rPr>
          <w:rFonts w:ascii="宋体" w:hAnsi="宋体"/>
          <w:color w:val="auto"/>
          <w:sz w:val="24"/>
          <w:highlight w:val="none"/>
        </w:rPr>
      </w:pPr>
    </w:p>
    <w:p w14:paraId="4CD0D579">
      <w:pPr>
        <w:pStyle w:val="18"/>
        <w:rPr>
          <w:rFonts w:ascii="宋体" w:hAnsi="宋体"/>
          <w:color w:val="auto"/>
          <w:sz w:val="24"/>
          <w:highlight w:val="none"/>
        </w:rPr>
      </w:pPr>
    </w:p>
    <w:bookmarkEnd w:id="688"/>
    <w:p w14:paraId="4D5CD057">
      <w:pPr>
        <w:spacing w:line="240" w:lineRule="exact"/>
        <w:rPr>
          <w:rFonts w:ascii="宋体" w:hAnsi="宋体"/>
          <w:color w:val="auto"/>
          <w:szCs w:val="20"/>
          <w:highlight w:val="none"/>
        </w:rPr>
      </w:pPr>
    </w:p>
    <w:p w14:paraId="75F69C24">
      <w:pPr>
        <w:spacing w:line="360" w:lineRule="auto"/>
        <w:ind w:firstLine="420" w:firstLineChars="200"/>
        <w:rPr>
          <w:rFonts w:ascii="宋体" w:hAnsi="宋体"/>
          <w:color w:val="auto"/>
          <w:szCs w:val="21"/>
          <w:highlight w:val="none"/>
        </w:rPr>
      </w:pPr>
    </w:p>
    <w:p w14:paraId="44A6FA6A">
      <w:pPr>
        <w:pStyle w:val="18"/>
        <w:rPr>
          <w:rFonts w:ascii="宋体" w:hAnsi="宋体"/>
          <w:color w:val="auto"/>
          <w:sz w:val="24"/>
          <w:highlight w:val="none"/>
        </w:rPr>
      </w:pPr>
    </w:p>
    <w:p w14:paraId="2029B37D">
      <w:pPr>
        <w:rPr>
          <w:rFonts w:ascii="宋体" w:hAnsi="宋体"/>
          <w:color w:val="auto"/>
          <w:sz w:val="24"/>
          <w:highlight w:val="none"/>
        </w:rPr>
      </w:pPr>
    </w:p>
    <w:p w14:paraId="363EAB7B">
      <w:pPr>
        <w:pStyle w:val="18"/>
        <w:rPr>
          <w:rFonts w:ascii="宋体" w:hAnsi="宋体"/>
          <w:color w:val="auto"/>
          <w:sz w:val="24"/>
          <w:highlight w:val="none"/>
        </w:rPr>
      </w:pPr>
    </w:p>
    <w:p w14:paraId="1682120E">
      <w:pPr>
        <w:rPr>
          <w:rFonts w:ascii="宋体" w:hAnsi="宋体"/>
          <w:color w:val="auto"/>
          <w:sz w:val="24"/>
          <w:highlight w:val="none"/>
        </w:rPr>
      </w:pPr>
    </w:p>
    <w:p w14:paraId="370AC5C4">
      <w:pPr>
        <w:pStyle w:val="18"/>
        <w:rPr>
          <w:rFonts w:ascii="宋体" w:hAnsi="宋体"/>
          <w:color w:val="auto"/>
          <w:sz w:val="24"/>
          <w:highlight w:val="none"/>
        </w:rPr>
      </w:pPr>
    </w:p>
    <w:p w14:paraId="0E6F52EF">
      <w:pPr>
        <w:rPr>
          <w:color w:val="auto"/>
          <w:highlight w:val="none"/>
        </w:rPr>
      </w:pPr>
    </w:p>
    <w:p w14:paraId="01E883EE">
      <w:pPr>
        <w:rPr>
          <w:rFonts w:ascii="宋体" w:hAnsi="宋体"/>
          <w:color w:val="auto"/>
          <w:sz w:val="24"/>
          <w:highlight w:val="none"/>
        </w:rPr>
      </w:pPr>
    </w:p>
    <w:p w14:paraId="3C585E61">
      <w:pPr>
        <w:pStyle w:val="18"/>
        <w:rPr>
          <w:color w:val="auto"/>
          <w:highlight w:val="none"/>
        </w:rPr>
      </w:pPr>
    </w:p>
    <w:p w14:paraId="70E72E87">
      <w:pPr>
        <w:pStyle w:val="2"/>
        <w:spacing w:before="0" w:after="0" w:line="360" w:lineRule="auto"/>
        <w:jc w:val="center"/>
        <w:rPr>
          <w:rFonts w:ascii="宋体" w:hAnsi="宋体"/>
          <w:color w:val="auto"/>
          <w:highlight w:val="none"/>
        </w:rPr>
      </w:pPr>
      <w:bookmarkStart w:id="2112" w:name="_Toc534185822"/>
      <w:bookmarkStart w:id="2113" w:name="_Toc16194"/>
      <w:bookmarkStart w:id="2114" w:name="_Toc57905910"/>
      <w:bookmarkStart w:id="2115" w:name="_Toc430530513"/>
      <w:bookmarkStart w:id="2116" w:name="_Toc287607855"/>
      <w:bookmarkStart w:id="2117" w:name="_Toc287620797"/>
      <w:bookmarkStart w:id="2118" w:name="_Toc509218843"/>
      <w:r>
        <w:rPr>
          <w:rFonts w:hint="eastAsia" w:ascii="宋体" w:hAnsi="宋体"/>
          <w:color w:val="auto"/>
          <w:highlight w:val="none"/>
        </w:rPr>
        <w:t>第五章  工程量清单</w:t>
      </w:r>
      <w:bookmarkEnd w:id="2112"/>
      <w:bookmarkEnd w:id="2113"/>
      <w:bookmarkEnd w:id="2114"/>
      <w:bookmarkEnd w:id="2115"/>
      <w:bookmarkEnd w:id="2116"/>
      <w:bookmarkEnd w:id="2117"/>
      <w:bookmarkEnd w:id="2118"/>
      <w:bookmarkStart w:id="2119" w:name="招标文件05章工程量清单01"/>
      <w:bookmarkEnd w:id="2119"/>
      <w:bookmarkStart w:id="2120" w:name="_Toc277082638"/>
      <w:bookmarkStart w:id="2121" w:name="_Toc287607856"/>
      <w:bookmarkStart w:id="2122" w:name="_Toc287620798"/>
      <w:bookmarkStart w:id="2123" w:name="_Toc430530514"/>
      <w:bookmarkStart w:id="2124" w:name="_Toc224103477"/>
    </w:p>
    <w:bookmarkEnd w:id="2120"/>
    <w:bookmarkEnd w:id="2121"/>
    <w:bookmarkEnd w:id="2122"/>
    <w:bookmarkEnd w:id="2123"/>
    <w:bookmarkEnd w:id="2124"/>
    <w:p w14:paraId="2EF45BCC">
      <w:pPr>
        <w:snapToGrid w:val="0"/>
        <w:spacing w:line="360" w:lineRule="auto"/>
        <w:jc w:val="center"/>
        <w:rPr>
          <w:rFonts w:ascii="宋体" w:hAnsi="宋体"/>
          <w:color w:val="auto"/>
          <w:sz w:val="24"/>
          <w:highlight w:val="none"/>
        </w:rPr>
      </w:pPr>
    </w:p>
    <w:p w14:paraId="0BCD6DAF">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s="宋体"/>
          <w:snapToGrid w:val="0"/>
          <w:color w:val="auto"/>
          <w:kern w:val="0"/>
          <w:szCs w:val="21"/>
          <w:highlight w:val="none"/>
          <w:u w:val="single"/>
        </w:rPr>
        <w:t>“行采家”（http://www.gec123.com）</w:t>
      </w:r>
      <w:r>
        <w:rPr>
          <w:rFonts w:hint="eastAsia" w:ascii="宋体" w:hAnsi="宋体"/>
          <w:color w:val="auto"/>
          <w:szCs w:val="20"/>
          <w:highlight w:val="none"/>
        </w:rPr>
        <w:t>下载。</w:t>
      </w:r>
    </w:p>
    <w:p w14:paraId="40650CA3">
      <w:pPr>
        <w:ind w:right="561"/>
        <w:rPr>
          <w:rFonts w:ascii="宋体" w:hAnsi="宋体"/>
          <w:color w:val="auto"/>
          <w:szCs w:val="21"/>
          <w:highlight w:val="none"/>
        </w:rPr>
      </w:pPr>
      <w:r>
        <w:rPr>
          <w:rFonts w:ascii="宋体" w:hAnsi="宋体"/>
          <w:color w:val="auto"/>
          <w:sz w:val="24"/>
          <w:highlight w:val="none"/>
        </w:rPr>
        <w:br w:type="page"/>
      </w:r>
    </w:p>
    <w:p w14:paraId="1A956C9A">
      <w:pPr>
        <w:pStyle w:val="2"/>
        <w:spacing w:before="0" w:after="0" w:line="360" w:lineRule="auto"/>
        <w:jc w:val="center"/>
        <w:rPr>
          <w:rFonts w:ascii="宋体" w:hAnsi="宋体"/>
          <w:color w:val="auto"/>
          <w:sz w:val="52"/>
          <w:szCs w:val="52"/>
          <w:highlight w:val="none"/>
        </w:rPr>
      </w:pPr>
      <w:bookmarkStart w:id="2125" w:name="_Toc13474"/>
      <w:bookmarkStart w:id="2126" w:name="_Toc509218844"/>
      <w:bookmarkStart w:id="2127" w:name="_Toc57905911"/>
      <w:bookmarkStart w:id="2128" w:name="_Toc534185823"/>
      <w:r>
        <w:rPr>
          <w:rFonts w:ascii="宋体" w:hAnsi="宋体"/>
          <w:color w:val="auto"/>
          <w:sz w:val="52"/>
          <w:szCs w:val="52"/>
          <w:highlight w:val="none"/>
        </w:rPr>
        <w:t>第 二 卷</w:t>
      </w:r>
      <w:bookmarkEnd w:id="2125"/>
      <w:bookmarkEnd w:id="2126"/>
      <w:bookmarkEnd w:id="2127"/>
      <w:bookmarkEnd w:id="2128"/>
    </w:p>
    <w:p w14:paraId="055DC65F">
      <w:pPr>
        <w:spacing w:line="360" w:lineRule="auto"/>
        <w:rPr>
          <w:rFonts w:ascii="宋体" w:hAnsi="宋体"/>
          <w:color w:val="auto"/>
          <w:szCs w:val="20"/>
          <w:highlight w:val="none"/>
        </w:rPr>
      </w:pPr>
      <w:r>
        <w:rPr>
          <w:rFonts w:ascii="宋体" w:hAnsi="宋体"/>
          <w:color w:val="auto"/>
          <w:szCs w:val="20"/>
          <w:highlight w:val="none"/>
        </w:rPr>
        <w:br w:type="page"/>
      </w:r>
    </w:p>
    <w:p w14:paraId="756FBFD4">
      <w:pPr>
        <w:pStyle w:val="2"/>
        <w:spacing w:line="360" w:lineRule="auto"/>
        <w:jc w:val="center"/>
        <w:rPr>
          <w:rFonts w:ascii="宋体" w:hAnsi="宋体"/>
          <w:color w:val="auto"/>
          <w:highlight w:val="none"/>
        </w:rPr>
      </w:pPr>
      <w:bookmarkStart w:id="2129" w:name="招标文件06章图纸"/>
      <w:bookmarkEnd w:id="2129"/>
      <w:bookmarkStart w:id="2130" w:name="_Toc534185825"/>
      <w:bookmarkStart w:id="2131" w:name="_Toc509218846"/>
      <w:bookmarkStart w:id="2132" w:name="_Toc430530519"/>
      <w:bookmarkStart w:id="2133" w:name="_Toc22154"/>
      <w:bookmarkStart w:id="2134" w:name="_Toc287620803"/>
      <w:bookmarkStart w:id="2135" w:name="_Toc287607861"/>
      <w:bookmarkStart w:id="2136" w:name="_Toc57905912"/>
      <w:r>
        <w:rPr>
          <w:rFonts w:hint="eastAsia" w:ascii="宋体" w:hAnsi="宋体"/>
          <w:color w:val="auto"/>
          <w:highlight w:val="none"/>
        </w:rPr>
        <w:t>第六章  图纸</w:t>
      </w:r>
      <w:bookmarkEnd w:id="2130"/>
      <w:bookmarkEnd w:id="2131"/>
      <w:bookmarkEnd w:id="2132"/>
      <w:bookmarkEnd w:id="2133"/>
      <w:bookmarkEnd w:id="2134"/>
      <w:bookmarkEnd w:id="2135"/>
      <w:bookmarkEnd w:id="2136"/>
    </w:p>
    <w:p w14:paraId="5F1DBD3F">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s="宋体"/>
          <w:snapToGrid w:val="0"/>
          <w:color w:val="auto"/>
          <w:kern w:val="0"/>
          <w:szCs w:val="21"/>
          <w:highlight w:val="none"/>
          <w:u w:val="single"/>
        </w:rPr>
        <w:t>“行采家”（http://www.gec123.com）</w:t>
      </w:r>
      <w:r>
        <w:rPr>
          <w:rFonts w:hint="eastAsia" w:ascii="宋体" w:hAnsi="宋体"/>
          <w:color w:val="auto"/>
          <w:szCs w:val="20"/>
          <w:highlight w:val="none"/>
        </w:rPr>
        <w:t>下载。</w:t>
      </w:r>
    </w:p>
    <w:p w14:paraId="35734940">
      <w:pPr>
        <w:spacing w:line="360" w:lineRule="auto"/>
        <w:rPr>
          <w:rFonts w:ascii="宋体" w:hAnsi="宋体"/>
          <w:color w:val="auto"/>
          <w:szCs w:val="20"/>
          <w:highlight w:val="none"/>
        </w:rPr>
      </w:pPr>
      <w:bookmarkStart w:id="2137" w:name="招标文件06章图纸01"/>
      <w:bookmarkEnd w:id="2137"/>
      <w:bookmarkStart w:id="2138" w:name="_Toc287620804"/>
      <w:bookmarkStart w:id="2139" w:name="_Toc430530520"/>
    </w:p>
    <w:bookmarkEnd w:id="2138"/>
    <w:bookmarkEnd w:id="2139"/>
    <w:p w14:paraId="3ACE82B1">
      <w:pPr>
        <w:spacing w:line="360" w:lineRule="auto"/>
        <w:rPr>
          <w:rFonts w:ascii="宋体" w:hAnsi="宋体"/>
          <w:color w:val="auto"/>
          <w:highlight w:val="none"/>
        </w:rPr>
      </w:pPr>
      <w:r>
        <w:rPr>
          <w:rFonts w:ascii="宋体" w:hAnsi="宋体"/>
          <w:color w:val="auto"/>
          <w:szCs w:val="20"/>
          <w:highlight w:val="none"/>
        </w:rPr>
        <w:br w:type="page"/>
      </w:r>
    </w:p>
    <w:p w14:paraId="44BA3DD9">
      <w:pPr>
        <w:pStyle w:val="2"/>
        <w:spacing w:before="0" w:after="0" w:line="360" w:lineRule="auto"/>
        <w:jc w:val="center"/>
        <w:rPr>
          <w:rFonts w:ascii="宋体" w:hAnsi="宋体"/>
          <w:color w:val="auto"/>
          <w:sz w:val="52"/>
          <w:szCs w:val="52"/>
          <w:highlight w:val="none"/>
        </w:rPr>
      </w:pPr>
      <w:bookmarkStart w:id="2140" w:name="_Toc57905913"/>
      <w:bookmarkStart w:id="2141" w:name="_Toc8804"/>
      <w:r>
        <w:rPr>
          <w:rFonts w:hint="eastAsia" w:ascii="宋体" w:hAnsi="宋体"/>
          <w:color w:val="auto"/>
          <w:sz w:val="52"/>
          <w:szCs w:val="52"/>
          <w:highlight w:val="none"/>
        </w:rPr>
        <w:t>第 三 卷</w:t>
      </w:r>
      <w:bookmarkEnd w:id="2140"/>
      <w:bookmarkEnd w:id="2141"/>
      <w:bookmarkStart w:id="2142" w:name="_Toc509218847"/>
      <w:bookmarkStart w:id="2143" w:name="_Toc536796850"/>
      <w:bookmarkStart w:id="2144" w:name="_Toc536621880"/>
      <w:bookmarkStart w:id="2145" w:name="_Toc536628344"/>
      <w:bookmarkStart w:id="2146" w:name="_Toc534185826"/>
      <w:bookmarkStart w:id="2147" w:name="_Toc13211764"/>
      <w:bookmarkStart w:id="2148" w:name="_Toc536619968"/>
      <w:bookmarkStart w:id="2149" w:name="_Toc13211206"/>
      <w:bookmarkStart w:id="2150" w:name="_Toc536796986"/>
      <w:bookmarkStart w:id="2151" w:name="_Toc536620100"/>
      <w:bookmarkStart w:id="2152" w:name="_Toc536797255"/>
      <w:bookmarkStart w:id="2153" w:name="_Toc13210772"/>
      <w:bookmarkStart w:id="2154" w:name="_Toc536797121"/>
      <w:bookmarkStart w:id="2155" w:name="_Toc536797390"/>
    </w:p>
    <w:bookmarkEnd w:id="2142"/>
    <w:p w14:paraId="40F9A923">
      <w:pPr>
        <w:rPr>
          <w:color w:val="auto"/>
          <w:highlight w:val="none"/>
        </w:rPr>
      </w:pPr>
      <w:r>
        <w:rPr>
          <w:color w:val="auto"/>
          <w:highlight w:val="none"/>
        </w:rPr>
        <w:br w:type="page"/>
      </w:r>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14:paraId="261A2AD4">
      <w:pPr>
        <w:pStyle w:val="2"/>
        <w:spacing w:line="360" w:lineRule="auto"/>
        <w:jc w:val="center"/>
        <w:rPr>
          <w:rFonts w:ascii="宋体" w:hAnsi="宋体"/>
          <w:color w:val="auto"/>
          <w:highlight w:val="none"/>
        </w:rPr>
      </w:pPr>
      <w:bookmarkStart w:id="2156" w:name="招标文件07章技术标准和要求"/>
      <w:bookmarkEnd w:id="2156"/>
      <w:bookmarkStart w:id="2157" w:name="_Toc17170"/>
      <w:bookmarkStart w:id="2158" w:name="_Toc57905914"/>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157"/>
      <w:bookmarkEnd w:id="2158"/>
      <w:bookmarkStart w:id="2159" w:name="招标文件07章技术标准和要求01"/>
      <w:bookmarkEnd w:id="2159"/>
      <w:bookmarkStart w:id="2160" w:name="_Toc287620808"/>
      <w:bookmarkStart w:id="2161" w:name="_Toc430530524"/>
    </w:p>
    <w:bookmarkEnd w:id="2160"/>
    <w:bookmarkEnd w:id="2161"/>
    <w:p w14:paraId="37E3F306">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rPr>
        <w:t>比选人</w:t>
      </w:r>
      <w:r>
        <w:rPr>
          <w:rFonts w:ascii="宋体" w:hAnsi="宋体"/>
          <w:color w:val="auto"/>
          <w:szCs w:val="21"/>
          <w:highlight w:val="none"/>
        </w:rPr>
        <w:t>根据招标项目的实际情况编写</w:t>
      </w:r>
      <w:r>
        <w:rPr>
          <w:rFonts w:hint="eastAsia" w:ascii="宋体" w:hAnsi="宋体"/>
          <w:color w:val="auto"/>
          <w:szCs w:val="21"/>
          <w:highlight w:val="none"/>
        </w:rPr>
        <w:t>（如有）。</w:t>
      </w:r>
    </w:p>
    <w:p w14:paraId="15EE57A8">
      <w:pPr>
        <w:spacing w:line="360" w:lineRule="auto"/>
        <w:rPr>
          <w:rFonts w:ascii="宋体" w:hAnsi="宋体"/>
          <w:color w:val="auto"/>
          <w:highlight w:val="none"/>
        </w:rPr>
      </w:pPr>
      <w:r>
        <w:rPr>
          <w:rFonts w:ascii="宋体" w:hAnsi="宋体"/>
          <w:color w:val="auto"/>
          <w:highlight w:val="none"/>
        </w:rPr>
        <w:br w:type="page"/>
      </w:r>
    </w:p>
    <w:p w14:paraId="6D0A51FF">
      <w:pPr>
        <w:pStyle w:val="2"/>
        <w:spacing w:before="0" w:after="0" w:line="360" w:lineRule="auto"/>
        <w:jc w:val="center"/>
        <w:rPr>
          <w:rFonts w:ascii="宋体" w:hAnsi="宋体"/>
          <w:color w:val="auto"/>
          <w:sz w:val="52"/>
          <w:szCs w:val="52"/>
          <w:highlight w:val="none"/>
        </w:rPr>
      </w:pPr>
      <w:bookmarkStart w:id="2162" w:name="_Toc509218849"/>
      <w:bookmarkStart w:id="2163" w:name="_Toc534185827"/>
      <w:bookmarkStart w:id="2164" w:name="_Toc57905915"/>
      <w:bookmarkStart w:id="2165" w:name="_Toc18822"/>
      <w:r>
        <w:rPr>
          <w:rFonts w:ascii="宋体" w:hAnsi="宋体"/>
          <w:color w:val="auto"/>
          <w:sz w:val="52"/>
          <w:szCs w:val="52"/>
          <w:highlight w:val="none"/>
        </w:rPr>
        <w:t>第 四 卷</w:t>
      </w:r>
      <w:bookmarkEnd w:id="2162"/>
      <w:bookmarkEnd w:id="2163"/>
      <w:bookmarkEnd w:id="2164"/>
      <w:bookmarkEnd w:id="2165"/>
      <w:bookmarkStart w:id="2166" w:name="_Toc536796989"/>
      <w:bookmarkStart w:id="2167" w:name="_Toc536619970"/>
      <w:bookmarkStart w:id="2168" w:name="_Toc536620102"/>
      <w:bookmarkStart w:id="2169" w:name="_Toc509218850"/>
      <w:bookmarkStart w:id="2170" w:name="_Toc536796853"/>
      <w:bookmarkStart w:id="2171" w:name="_Toc536797393"/>
      <w:bookmarkStart w:id="2172" w:name="_Toc13211767"/>
      <w:bookmarkStart w:id="2173" w:name="_Toc13210775"/>
      <w:bookmarkStart w:id="2174" w:name="_Toc13211209"/>
      <w:bookmarkStart w:id="2175" w:name="_Toc536797124"/>
      <w:bookmarkStart w:id="2176" w:name="_Toc536797258"/>
      <w:bookmarkStart w:id="2177" w:name="_Toc536621883"/>
      <w:bookmarkStart w:id="2178" w:name="_Toc536628347"/>
      <w:bookmarkStart w:id="2179" w:name="_Toc534185828"/>
    </w:p>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14:paraId="337FCB56">
      <w:pPr>
        <w:rPr>
          <w:color w:val="auto"/>
          <w:highlight w:val="none"/>
        </w:rPr>
      </w:pPr>
      <w:r>
        <w:rPr>
          <w:color w:val="auto"/>
          <w:highlight w:val="none"/>
        </w:rPr>
        <w:br w:type="page"/>
      </w:r>
      <w:bookmarkStart w:id="2180" w:name="招标文件08章投标文件格式"/>
      <w:bookmarkEnd w:id="2180"/>
      <w:bookmarkStart w:id="2181" w:name="_Toc287620812"/>
      <w:bookmarkStart w:id="2182" w:name="_Toc287607865"/>
    </w:p>
    <w:p w14:paraId="47EBEC51">
      <w:pPr>
        <w:pStyle w:val="2"/>
        <w:spacing w:line="360" w:lineRule="auto"/>
        <w:jc w:val="center"/>
        <w:rPr>
          <w:rFonts w:ascii="宋体" w:hAnsi="宋体"/>
          <w:color w:val="auto"/>
          <w:highlight w:val="none"/>
        </w:rPr>
      </w:pPr>
      <w:bookmarkStart w:id="2183" w:name="_Toc509218852"/>
      <w:bookmarkStart w:id="2184" w:name="_Toc534185829"/>
      <w:bookmarkStart w:id="2185" w:name="_Toc23843"/>
      <w:bookmarkStart w:id="2186" w:name="_Toc57905916"/>
      <w:bookmarkStart w:id="2187" w:name="_Toc430530528"/>
      <w:r>
        <w:rPr>
          <w:rFonts w:hint="eastAsia" w:ascii="宋体" w:hAnsi="宋体"/>
          <w:color w:val="auto"/>
          <w:highlight w:val="none"/>
        </w:rPr>
        <w:t>第八章  竞选文件格式</w:t>
      </w:r>
      <w:bookmarkEnd w:id="2181"/>
      <w:bookmarkEnd w:id="2182"/>
      <w:bookmarkEnd w:id="2183"/>
      <w:bookmarkEnd w:id="2184"/>
      <w:bookmarkEnd w:id="2185"/>
      <w:bookmarkEnd w:id="2186"/>
      <w:bookmarkEnd w:id="2187"/>
    </w:p>
    <w:p w14:paraId="453724EC">
      <w:pPr>
        <w:spacing w:line="360" w:lineRule="auto"/>
        <w:rPr>
          <w:rFonts w:ascii="宋体" w:hAnsi="宋体"/>
          <w:color w:val="auto"/>
          <w:sz w:val="32"/>
          <w:szCs w:val="32"/>
          <w:highlight w:val="none"/>
        </w:rPr>
      </w:pPr>
    </w:p>
    <w:p w14:paraId="27D13BA5">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2188" w:name="_Toc224103493"/>
      <w:r>
        <w:rPr>
          <w:rFonts w:hint="eastAsia" w:ascii="宋体" w:hAnsi="宋体"/>
          <w:color w:val="auto"/>
          <w:sz w:val="36"/>
          <w:szCs w:val="36"/>
          <w:highlight w:val="none"/>
        </w:rPr>
        <w:t>目  录</w:t>
      </w:r>
      <w:bookmarkEnd w:id="2188"/>
    </w:p>
    <w:p w14:paraId="382224C3">
      <w:pPr>
        <w:spacing w:line="360" w:lineRule="auto"/>
        <w:jc w:val="center"/>
        <w:rPr>
          <w:rFonts w:ascii="宋体" w:hAnsi="宋体"/>
          <w:color w:val="auto"/>
          <w:szCs w:val="20"/>
          <w:highlight w:val="none"/>
        </w:rPr>
      </w:pPr>
    </w:p>
    <w:p w14:paraId="6FA65C32">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694DFA19">
      <w:pPr>
        <w:spacing w:line="360" w:lineRule="auto"/>
        <w:ind w:firstLine="420" w:firstLineChars="200"/>
        <w:rPr>
          <w:rFonts w:ascii="宋体" w:hAnsi="宋体"/>
          <w:color w:val="auto"/>
          <w:highlight w:val="none"/>
        </w:rPr>
      </w:pPr>
      <w:r>
        <w:rPr>
          <w:rFonts w:hint="eastAsia" w:ascii="宋体" w:hAnsi="宋体"/>
          <w:color w:val="auto"/>
          <w:highlight w:val="none"/>
        </w:rPr>
        <w:t>（一）投标函</w:t>
      </w:r>
    </w:p>
    <w:p w14:paraId="4096E946">
      <w:pPr>
        <w:spacing w:line="360" w:lineRule="auto"/>
        <w:ind w:firstLine="420" w:firstLineChars="200"/>
        <w:rPr>
          <w:rFonts w:ascii="宋体" w:hAnsi="宋体"/>
          <w:color w:val="auto"/>
          <w:highlight w:val="none"/>
        </w:rPr>
      </w:pPr>
      <w:r>
        <w:rPr>
          <w:rFonts w:hint="eastAsia" w:ascii="宋体" w:hAnsi="宋体"/>
          <w:color w:val="auto"/>
          <w:highlight w:val="none"/>
        </w:rPr>
        <w:t>（二）投标函附录</w:t>
      </w:r>
    </w:p>
    <w:p w14:paraId="139BA808">
      <w:pPr>
        <w:spacing w:line="360" w:lineRule="auto"/>
        <w:ind w:firstLine="420" w:firstLineChars="200"/>
        <w:rPr>
          <w:rFonts w:ascii="宋体" w:hAnsi="宋体"/>
          <w:color w:val="auto"/>
          <w:highlight w:val="none"/>
        </w:rPr>
      </w:pPr>
      <w:r>
        <w:rPr>
          <w:rFonts w:hint="eastAsia" w:ascii="宋体" w:hAnsi="宋体"/>
          <w:color w:val="auto"/>
          <w:highlight w:val="none"/>
        </w:rPr>
        <w:t>（三）法定代表人身份证明或附有法定代表人身份证明的授权委托书</w:t>
      </w:r>
    </w:p>
    <w:p w14:paraId="4209AA7B">
      <w:pPr>
        <w:spacing w:line="360" w:lineRule="auto"/>
        <w:ind w:firstLine="420" w:firstLineChars="200"/>
        <w:rPr>
          <w:rFonts w:ascii="宋体" w:hAnsi="宋体"/>
          <w:color w:val="auto"/>
          <w:highlight w:val="none"/>
        </w:rPr>
      </w:pPr>
      <w:r>
        <w:rPr>
          <w:rFonts w:hint="eastAsia" w:ascii="宋体" w:hAnsi="宋体"/>
          <w:color w:val="auto"/>
          <w:highlight w:val="none"/>
        </w:rPr>
        <w:t>（四）低价风险担保提交承诺书（如有）</w:t>
      </w:r>
    </w:p>
    <w:p w14:paraId="55809120">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49A95F36">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63E135A8">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、技术部分</w:t>
      </w:r>
    </w:p>
    <w:p w14:paraId="57FD6CF0">
      <w:pPr>
        <w:spacing w:line="360" w:lineRule="auto"/>
        <w:ind w:firstLine="420" w:firstLineChars="200"/>
        <w:rPr>
          <w:rFonts w:ascii="宋体" w:hAnsi="宋体"/>
          <w:color w:val="auto"/>
          <w:highlight w:val="none"/>
        </w:rPr>
      </w:pPr>
      <w:r>
        <w:rPr>
          <w:rFonts w:hint="eastAsia" w:ascii="宋体" w:hAnsi="宋体"/>
          <w:color w:val="auto"/>
          <w:highlight w:val="none"/>
        </w:rPr>
        <w:t>技术方案</w:t>
      </w:r>
    </w:p>
    <w:p w14:paraId="4AB2192F">
      <w:pPr>
        <w:spacing w:line="360" w:lineRule="auto"/>
        <w:ind w:firstLine="420" w:firstLineChars="200"/>
        <w:rPr>
          <w:rFonts w:ascii="宋体" w:hAnsi="宋体"/>
          <w:color w:val="auto"/>
          <w:highlight w:val="none"/>
        </w:rPr>
      </w:pPr>
      <w:r>
        <w:rPr>
          <w:rFonts w:ascii="宋体" w:hAnsi="宋体"/>
          <w:color w:val="auto"/>
          <w:highlight w:val="none"/>
        </w:rPr>
        <w:t>附表一</w:t>
      </w:r>
      <w:r>
        <w:rPr>
          <w:rFonts w:hint="eastAsia" w:ascii="宋体" w:hAnsi="宋体"/>
          <w:color w:val="auto"/>
          <w:highlight w:val="none"/>
        </w:rPr>
        <w:t xml:space="preserve"> </w:t>
      </w:r>
      <w:r>
        <w:rPr>
          <w:rFonts w:ascii="宋体" w:hAnsi="宋体"/>
          <w:color w:val="auto"/>
          <w:highlight w:val="none"/>
        </w:rPr>
        <w:t>拟投入本标段的主要施工设备表</w:t>
      </w:r>
    </w:p>
    <w:p w14:paraId="17079A97">
      <w:pPr>
        <w:spacing w:line="360" w:lineRule="auto"/>
        <w:ind w:firstLine="420" w:firstLineChars="200"/>
        <w:rPr>
          <w:rFonts w:ascii="宋体" w:hAnsi="宋体"/>
          <w:color w:val="auto"/>
          <w:highlight w:val="none"/>
        </w:rPr>
      </w:pPr>
      <w:r>
        <w:rPr>
          <w:rFonts w:ascii="宋体" w:hAnsi="宋体"/>
          <w:color w:val="auto"/>
          <w:highlight w:val="none"/>
        </w:rPr>
        <w:t>附表二</w:t>
      </w:r>
      <w:r>
        <w:rPr>
          <w:rFonts w:hint="eastAsia" w:ascii="宋体" w:hAnsi="宋体"/>
          <w:color w:val="auto"/>
          <w:highlight w:val="none"/>
        </w:rPr>
        <w:t xml:space="preserve"> </w:t>
      </w:r>
      <w:r>
        <w:rPr>
          <w:rFonts w:ascii="宋体" w:hAnsi="宋体"/>
          <w:color w:val="auto"/>
          <w:highlight w:val="none"/>
        </w:rPr>
        <w:t>拟配备本标段的试验和检测仪器设备表</w:t>
      </w:r>
    </w:p>
    <w:p w14:paraId="64BD30AE">
      <w:pPr>
        <w:spacing w:line="360" w:lineRule="auto"/>
        <w:ind w:firstLine="420" w:firstLineChars="200"/>
        <w:rPr>
          <w:rFonts w:ascii="宋体" w:hAnsi="宋体"/>
          <w:color w:val="auto"/>
          <w:highlight w:val="none"/>
        </w:rPr>
      </w:pPr>
      <w:r>
        <w:rPr>
          <w:rFonts w:ascii="宋体" w:hAnsi="宋体"/>
          <w:color w:val="auto"/>
          <w:highlight w:val="none"/>
        </w:rPr>
        <w:t>附表三</w:t>
      </w:r>
      <w:r>
        <w:rPr>
          <w:rFonts w:hint="eastAsia" w:ascii="宋体" w:hAnsi="宋体"/>
          <w:color w:val="auto"/>
          <w:highlight w:val="none"/>
        </w:rPr>
        <w:t xml:space="preserve"> </w:t>
      </w:r>
      <w:r>
        <w:rPr>
          <w:rFonts w:ascii="宋体" w:hAnsi="宋体"/>
          <w:color w:val="auto"/>
          <w:highlight w:val="none"/>
        </w:rPr>
        <w:t>劳动力计划表</w:t>
      </w:r>
    </w:p>
    <w:p w14:paraId="41D664B4">
      <w:pPr>
        <w:spacing w:line="360" w:lineRule="auto"/>
        <w:ind w:firstLine="420" w:firstLineChars="200"/>
        <w:rPr>
          <w:rFonts w:ascii="宋体" w:hAnsi="宋体"/>
          <w:color w:val="auto"/>
          <w:highlight w:val="none"/>
        </w:rPr>
      </w:pPr>
      <w:r>
        <w:rPr>
          <w:rFonts w:ascii="宋体" w:hAnsi="宋体"/>
          <w:color w:val="auto"/>
          <w:highlight w:val="none"/>
        </w:rPr>
        <w:t>附表四</w:t>
      </w:r>
      <w:r>
        <w:rPr>
          <w:rFonts w:hint="eastAsia" w:ascii="宋体" w:hAnsi="宋体"/>
          <w:color w:val="auto"/>
          <w:highlight w:val="none"/>
        </w:rPr>
        <w:t xml:space="preserve"> </w:t>
      </w:r>
      <w:r>
        <w:rPr>
          <w:rFonts w:ascii="宋体" w:hAnsi="宋体"/>
          <w:color w:val="auto"/>
          <w:highlight w:val="none"/>
        </w:rPr>
        <w:t>计划开、竣工日期和施工进度网络图</w:t>
      </w:r>
    </w:p>
    <w:p w14:paraId="32C58075">
      <w:pPr>
        <w:spacing w:line="360" w:lineRule="auto"/>
        <w:ind w:firstLine="420" w:firstLineChars="200"/>
        <w:rPr>
          <w:rFonts w:ascii="宋体" w:hAnsi="宋体"/>
          <w:color w:val="auto"/>
          <w:highlight w:val="none"/>
        </w:rPr>
      </w:pPr>
      <w:r>
        <w:rPr>
          <w:rFonts w:ascii="宋体" w:hAnsi="宋体"/>
          <w:color w:val="auto"/>
          <w:highlight w:val="none"/>
        </w:rPr>
        <w:t>附表五</w:t>
      </w:r>
      <w:r>
        <w:rPr>
          <w:rFonts w:hint="eastAsia" w:ascii="宋体" w:hAnsi="宋体"/>
          <w:color w:val="auto"/>
          <w:highlight w:val="none"/>
        </w:rPr>
        <w:t xml:space="preserve"> </w:t>
      </w:r>
      <w:r>
        <w:rPr>
          <w:rFonts w:ascii="宋体" w:hAnsi="宋体"/>
          <w:color w:val="auto"/>
          <w:highlight w:val="none"/>
        </w:rPr>
        <w:t>施工总平面图</w:t>
      </w:r>
    </w:p>
    <w:p w14:paraId="0EA75991">
      <w:pPr>
        <w:spacing w:line="360" w:lineRule="auto"/>
        <w:ind w:firstLine="420" w:firstLineChars="200"/>
        <w:rPr>
          <w:rFonts w:ascii="宋体" w:hAnsi="宋体"/>
          <w:color w:val="auto"/>
          <w:highlight w:val="none"/>
        </w:rPr>
      </w:pPr>
      <w:r>
        <w:rPr>
          <w:rFonts w:ascii="宋体" w:hAnsi="宋体"/>
          <w:color w:val="auto"/>
          <w:highlight w:val="none"/>
        </w:rPr>
        <w:t>附表六</w:t>
      </w:r>
      <w:r>
        <w:rPr>
          <w:rFonts w:hint="eastAsia" w:ascii="宋体" w:hAnsi="宋体"/>
          <w:color w:val="auto"/>
          <w:highlight w:val="none"/>
        </w:rPr>
        <w:t xml:space="preserve"> </w:t>
      </w:r>
      <w:r>
        <w:rPr>
          <w:rFonts w:ascii="宋体" w:hAnsi="宋体"/>
          <w:color w:val="auto"/>
          <w:highlight w:val="none"/>
        </w:rPr>
        <w:t>临时用地表</w:t>
      </w:r>
    </w:p>
    <w:p w14:paraId="657C2500">
      <w:pPr>
        <w:spacing w:line="360" w:lineRule="auto"/>
        <w:rPr>
          <w:rFonts w:ascii="宋体" w:hAnsi="宋体"/>
          <w:b/>
          <w:color w:val="auto"/>
          <w:highlight w:val="none"/>
        </w:rPr>
      </w:pPr>
      <w:r>
        <w:rPr>
          <w:rFonts w:hint="eastAsia" w:ascii="宋体" w:hAnsi="宋体"/>
          <w:b/>
          <w:color w:val="auto"/>
          <w:highlight w:val="none"/>
        </w:rPr>
        <w:t>四</w:t>
      </w:r>
      <w:r>
        <w:rPr>
          <w:rFonts w:ascii="宋体" w:hAnsi="宋体"/>
          <w:b/>
          <w:color w:val="auto"/>
          <w:highlight w:val="none"/>
        </w:rPr>
        <w:t>、</w:t>
      </w:r>
      <w:r>
        <w:rPr>
          <w:rFonts w:hint="eastAsia" w:ascii="宋体" w:hAnsi="宋体"/>
          <w:b/>
          <w:color w:val="auto"/>
          <w:highlight w:val="none"/>
        </w:rPr>
        <w:t>资格审查部分</w:t>
      </w:r>
    </w:p>
    <w:p w14:paraId="48755F38">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2694A90A">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竞选人</w:t>
      </w:r>
      <w:r>
        <w:rPr>
          <w:rFonts w:ascii="宋体" w:hAnsi="宋体"/>
          <w:color w:val="auto"/>
          <w:highlight w:val="none"/>
        </w:rPr>
        <w:t>基本情况表</w:t>
      </w:r>
    </w:p>
    <w:p w14:paraId="57B8D82A">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0F8465D2">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3FB30FF3">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3D85EAAF">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2189" w:name="_Toc277082642"/>
      <w:bookmarkStart w:id="2190" w:name="_Toc224103494"/>
      <w:bookmarkStart w:id="2191" w:name="_Toc287620813"/>
      <w:bookmarkStart w:id="2192" w:name="_Toc287607866"/>
      <w:bookmarkStart w:id="2193" w:name="_Toc430530529"/>
    </w:p>
    <w:p w14:paraId="02BF252D">
      <w:pPr>
        <w:pStyle w:val="3"/>
        <w:spacing w:line="360" w:lineRule="auto"/>
        <w:jc w:val="center"/>
        <w:rPr>
          <w:rFonts w:ascii="宋体" w:hAnsi="宋体"/>
          <w:b w:val="0"/>
          <w:bCs w:val="0"/>
          <w:color w:val="auto"/>
          <w:sz w:val="44"/>
          <w:szCs w:val="44"/>
          <w:highlight w:val="none"/>
        </w:rPr>
      </w:pPr>
      <w:bookmarkStart w:id="2194" w:name="_Toc57905918"/>
      <w:bookmarkStart w:id="2195" w:name="_Toc19476"/>
      <w:r>
        <w:rPr>
          <w:rFonts w:hint="eastAsia" w:ascii="宋体" w:hAnsi="宋体"/>
          <w:b w:val="0"/>
          <w:bCs w:val="0"/>
          <w:color w:val="auto"/>
          <w:sz w:val="44"/>
          <w:szCs w:val="44"/>
          <w:highlight w:val="none"/>
        </w:rPr>
        <w:t>一、投标函部分</w:t>
      </w:r>
      <w:bookmarkEnd w:id="2189"/>
      <w:bookmarkEnd w:id="2190"/>
      <w:bookmarkEnd w:id="2191"/>
      <w:bookmarkEnd w:id="2192"/>
      <w:bookmarkEnd w:id="2193"/>
      <w:bookmarkEnd w:id="2194"/>
      <w:bookmarkEnd w:id="2195"/>
    </w:p>
    <w:p w14:paraId="7ED107DE">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1FB7186C">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73221D9F">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43FBFD2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87760A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792305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D0A991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B0CF20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5D7692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40324382">
      <w:pPr>
        <w:autoSpaceDE w:val="0"/>
        <w:autoSpaceDN w:val="0"/>
        <w:adjustRightInd w:val="0"/>
        <w:snapToGrid w:val="0"/>
        <w:spacing w:line="360" w:lineRule="auto"/>
        <w:jc w:val="left"/>
        <w:rPr>
          <w:rFonts w:ascii="宋体" w:hAnsi="宋体"/>
          <w:color w:val="auto"/>
          <w:kern w:val="0"/>
          <w:sz w:val="16"/>
          <w:szCs w:val="16"/>
          <w:highlight w:val="none"/>
        </w:rPr>
      </w:pPr>
    </w:p>
    <w:p w14:paraId="3C940478">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10BA5FE7">
      <w:pPr>
        <w:autoSpaceDE w:val="0"/>
        <w:autoSpaceDN w:val="0"/>
        <w:adjustRightInd w:val="0"/>
        <w:snapToGrid w:val="0"/>
        <w:spacing w:line="360" w:lineRule="auto"/>
        <w:jc w:val="left"/>
        <w:rPr>
          <w:rFonts w:ascii="宋体" w:hAnsi="宋体"/>
          <w:b/>
          <w:color w:val="auto"/>
          <w:kern w:val="0"/>
          <w:sz w:val="20"/>
          <w:szCs w:val="20"/>
          <w:highlight w:val="none"/>
        </w:rPr>
      </w:pPr>
    </w:p>
    <w:p w14:paraId="23303698">
      <w:pPr>
        <w:autoSpaceDE w:val="0"/>
        <w:autoSpaceDN w:val="0"/>
        <w:adjustRightInd w:val="0"/>
        <w:snapToGrid w:val="0"/>
        <w:spacing w:line="360" w:lineRule="auto"/>
        <w:jc w:val="left"/>
        <w:rPr>
          <w:rFonts w:ascii="宋体" w:hAnsi="宋体"/>
          <w:b/>
          <w:color w:val="auto"/>
          <w:kern w:val="0"/>
          <w:sz w:val="20"/>
          <w:szCs w:val="20"/>
          <w:highlight w:val="none"/>
        </w:rPr>
      </w:pPr>
    </w:p>
    <w:p w14:paraId="7A0C52E6">
      <w:pPr>
        <w:autoSpaceDE w:val="0"/>
        <w:autoSpaceDN w:val="0"/>
        <w:adjustRightInd w:val="0"/>
        <w:snapToGrid w:val="0"/>
        <w:spacing w:line="360" w:lineRule="auto"/>
        <w:jc w:val="left"/>
        <w:rPr>
          <w:rFonts w:ascii="宋体" w:hAnsi="宋体"/>
          <w:b/>
          <w:color w:val="auto"/>
          <w:kern w:val="0"/>
          <w:sz w:val="20"/>
          <w:szCs w:val="20"/>
          <w:highlight w:val="none"/>
        </w:rPr>
      </w:pPr>
    </w:p>
    <w:p w14:paraId="0069815F">
      <w:pPr>
        <w:autoSpaceDE w:val="0"/>
        <w:autoSpaceDN w:val="0"/>
        <w:adjustRightInd w:val="0"/>
        <w:snapToGrid w:val="0"/>
        <w:spacing w:line="360" w:lineRule="auto"/>
        <w:jc w:val="left"/>
        <w:rPr>
          <w:rFonts w:ascii="宋体" w:hAnsi="宋体"/>
          <w:b/>
          <w:color w:val="auto"/>
          <w:kern w:val="0"/>
          <w:sz w:val="20"/>
          <w:szCs w:val="20"/>
          <w:highlight w:val="none"/>
        </w:rPr>
      </w:pPr>
    </w:p>
    <w:p w14:paraId="296D4A3C">
      <w:pPr>
        <w:autoSpaceDE w:val="0"/>
        <w:autoSpaceDN w:val="0"/>
        <w:adjustRightInd w:val="0"/>
        <w:snapToGrid w:val="0"/>
        <w:spacing w:line="360" w:lineRule="auto"/>
        <w:jc w:val="left"/>
        <w:rPr>
          <w:rFonts w:ascii="宋体" w:hAnsi="宋体"/>
          <w:b/>
          <w:color w:val="auto"/>
          <w:kern w:val="0"/>
          <w:sz w:val="20"/>
          <w:szCs w:val="20"/>
          <w:highlight w:val="none"/>
        </w:rPr>
      </w:pPr>
    </w:p>
    <w:p w14:paraId="3543035C">
      <w:pPr>
        <w:autoSpaceDE w:val="0"/>
        <w:autoSpaceDN w:val="0"/>
        <w:adjustRightInd w:val="0"/>
        <w:snapToGrid w:val="0"/>
        <w:spacing w:line="360" w:lineRule="auto"/>
        <w:jc w:val="left"/>
        <w:rPr>
          <w:rFonts w:ascii="宋体" w:hAnsi="宋体"/>
          <w:b/>
          <w:color w:val="auto"/>
          <w:kern w:val="0"/>
          <w:sz w:val="20"/>
          <w:szCs w:val="20"/>
          <w:highlight w:val="none"/>
        </w:rPr>
      </w:pPr>
    </w:p>
    <w:p w14:paraId="4E9BF417">
      <w:pPr>
        <w:autoSpaceDE w:val="0"/>
        <w:autoSpaceDN w:val="0"/>
        <w:adjustRightInd w:val="0"/>
        <w:snapToGrid w:val="0"/>
        <w:spacing w:line="360" w:lineRule="auto"/>
        <w:jc w:val="left"/>
        <w:rPr>
          <w:rFonts w:ascii="宋体" w:hAnsi="宋体"/>
          <w:b/>
          <w:color w:val="auto"/>
          <w:kern w:val="0"/>
          <w:sz w:val="20"/>
          <w:szCs w:val="20"/>
          <w:highlight w:val="none"/>
        </w:rPr>
      </w:pPr>
    </w:p>
    <w:p w14:paraId="77C10745">
      <w:pPr>
        <w:autoSpaceDE w:val="0"/>
        <w:autoSpaceDN w:val="0"/>
        <w:adjustRightInd w:val="0"/>
        <w:snapToGrid w:val="0"/>
        <w:spacing w:line="360" w:lineRule="auto"/>
        <w:jc w:val="left"/>
        <w:rPr>
          <w:rFonts w:ascii="宋体" w:hAnsi="宋体"/>
          <w:b/>
          <w:color w:val="auto"/>
          <w:kern w:val="0"/>
          <w:sz w:val="20"/>
          <w:szCs w:val="20"/>
          <w:highlight w:val="none"/>
        </w:rPr>
      </w:pPr>
    </w:p>
    <w:p w14:paraId="0E200F9C">
      <w:pPr>
        <w:autoSpaceDE w:val="0"/>
        <w:autoSpaceDN w:val="0"/>
        <w:adjustRightInd w:val="0"/>
        <w:snapToGrid w:val="0"/>
        <w:spacing w:line="360" w:lineRule="auto"/>
        <w:jc w:val="left"/>
        <w:rPr>
          <w:rFonts w:ascii="宋体" w:hAnsi="宋体"/>
          <w:b/>
          <w:color w:val="auto"/>
          <w:kern w:val="0"/>
          <w:sz w:val="20"/>
          <w:szCs w:val="20"/>
          <w:highlight w:val="none"/>
        </w:rPr>
      </w:pPr>
    </w:p>
    <w:p w14:paraId="63050400">
      <w:pPr>
        <w:autoSpaceDE w:val="0"/>
        <w:autoSpaceDN w:val="0"/>
        <w:adjustRightInd w:val="0"/>
        <w:snapToGrid w:val="0"/>
        <w:spacing w:line="360" w:lineRule="auto"/>
        <w:jc w:val="left"/>
        <w:rPr>
          <w:rFonts w:ascii="宋体" w:hAnsi="宋体"/>
          <w:b/>
          <w:color w:val="auto"/>
          <w:kern w:val="0"/>
          <w:sz w:val="20"/>
          <w:szCs w:val="20"/>
          <w:highlight w:val="none"/>
        </w:rPr>
      </w:pPr>
    </w:p>
    <w:p w14:paraId="497E80EE">
      <w:pPr>
        <w:autoSpaceDE w:val="0"/>
        <w:autoSpaceDN w:val="0"/>
        <w:adjustRightInd w:val="0"/>
        <w:snapToGrid w:val="0"/>
        <w:spacing w:line="360" w:lineRule="auto"/>
        <w:jc w:val="left"/>
        <w:rPr>
          <w:rFonts w:ascii="宋体" w:hAnsi="宋体"/>
          <w:b/>
          <w:color w:val="auto"/>
          <w:kern w:val="0"/>
          <w:sz w:val="20"/>
          <w:szCs w:val="20"/>
          <w:highlight w:val="none"/>
        </w:rPr>
      </w:pPr>
    </w:p>
    <w:p w14:paraId="67065812">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5B8BBAD3">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16A80CF">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36DEBDC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1190FCDD">
      <w:pPr>
        <w:autoSpaceDE w:val="0"/>
        <w:autoSpaceDN w:val="0"/>
        <w:adjustRightInd w:val="0"/>
        <w:snapToGrid w:val="0"/>
        <w:spacing w:line="360" w:lineRule="auto"/>
        <w:jc w:val="left"/>
        <w:rPr>
          <w:rFonts w:ascii="宋体" w:hAnsi="宋体"/>
          <w:color w:val="auto"/>
          <w:kern w:val="0"/>
          <w:sz w:val="24"/>
          <w:szCs w:val="21"/>
          <w:highlight w:val="none"/>
        </w:rPr>
      </w:pPr>
    </w:p>
    <w:p w14:paraId="528FFF3A">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4D930F3A">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5275D523">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32A38E97">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低价风险担保提交承诺书（如有）</w:t>
      </w:r>
    </w:p>
    <w:p w14:paraId="7ED8BD3A">
      <w:pPr>
        <w:autoSpaceDE w:val="0"/>
        <w:autoSpaceDN w:val="0"/>
        <w:adjustRightInd w:val="0"/>
        <w:snapToGrid w:val="0"/>
        <w:spacing w:line="360" w:lineRule="auto"/>
        <w:jc w:val="left"/>
        <w:rPr>
          <w:rFonts w:ascii="宋体" w:hAnsi="宋体"/>
          <w:color w:val="auto"/>
          <w:w w:val="99"/>
          <w:kern w:val="0"/>
          <w:sz w:val="28"/>
          <w:szCs w:val="28"/>
          <w:highlight w:val="none"/>
        </w:rPr>
      </w:pPr>
    </w:p>
    <w:p w14:paraId="08B68756">
      <w:pPr>
        <w:pStyle w:val="4"/>
        <w:spacing w:before="0" w:after="0" w:line="400" w:lineRule="exact"/>
        <w:jc w:val="center"/>
        <w:rPr>
          <w:rFonts w:ascii="宋体" w:hAnsi="宋体"/>
          <w:b w:val="0"/>
          <w:color w:val="auto"/>
          <w:highlight w:val="none"/>
        </w:rPr>
      </w:pPr>
      <w:bookmarkStart w:id="2196" w:name="_Toc509218854"/>
      <w:bookmarkStart w:id="2197" w:name="_Toc534185831"/>
      <w:bookmarkStart w:id="2198" w:name="_Toc430530530"/>
      <w:bookmarkStart w:id="2199" w:name="_Toc224103495"/>
      <w:bookmarkStart w:id="2200" w:name="_Toc287620814"/>
      <w:bookmarkStart w:id="2201" w:name="_Toc277082643"/>
      <w:bookmarkStart w:id="2202" w:name="_Toc287607867"/>
      <w:r>
        <w:rPr>
          <w:rFonts w:ascii="宋体" w:hAnsi="宋体"/>
          <w:color w:val="auto"/>
          <w:highlight w:val="none"/>
        </w:rPr>
        <w:br w:type="page"/>
      </w:r>
      <w:bookmarkStart w:id="2203" w:name="_Toc26071"/>
      <w:bookmarkStart w:id="2204" w:name="_Toc57905919"/>
      <w:r>
        <w:rPr>
          <w:rFonts w:hint="eastAsia"/>
          <w:color w:val="auto"/>
          <w:highlight w:val="none"/>
        </w:rPr>
        <w:t>（一）投标函</w:t>
      </w:r>
      <w:bookmarkEnd w:id="2196"/>
      <w:bookmarkEnd w:id="2197"/>
      <w:bookmarkEnd w:id="2198"/>
      <w:bookmarkEnd w:id="2199"/>
      <w:bookmarkEnd w:id="2200"/>
      <w:bookmarkEnd w:id="2201"/>
      <w:bookmarkEnd w:id="2202"/>
      <w:bookmarkEnd w:id="2203"/>
      <w:bookmarkEnd w:id="2204"/>
    </w:p>
    <w:p w14:paraId="3357C22D">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02A151C4">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竞选总报价</w:t>
      </w:r>
      <w:r>
        <w:rPr>
          <w:rFonts w:ascii="宋体" w:hAnsi="宋体"/>
          <w:snapToGrid w:val="0"/>
          <w:color w:val="auto"/>
          <w:kern w:val="0"/>
          <w:szCs w:val="21"/>
          <w:highlight w:val="none"/>
        </w:rPr>
        <w:t>进行报价，其中</w:t>
      </w:r>
      <w:r>
        <w:rPr>
          <w:rFonts w:ascii="宋体" w:hAnsi="宋体"/>
          <w:snapToGrid w:val="0"/>
          <w:color w:val="auto"/>
          <w:kern w:val="0"/>
          <w:highlight w:val="none"/>
        </w:rPr>
        <w:t>安全</w:t>
      </w:r>
      <w:r>
        <w:rPr>
          <w:rFonts w:hint="eastAsia" w:ascii="宋体" w:hAnsi="宋体"/>
          <w:snapToGrid w:val="0"/>
          <w:color w:val="auto"/>
          <w:kern w:val="0"/>
          <w:highlight w:val="none"/>
          <w:lang w:val="en-US" w:eastAsia="zh-CN"/>
        </w:rPr>
        <w:t>生产</w:t>
      </w:r>
      <w:r>
        <w:rPr>
          <w:rFonts w:ascii="宋体" w:hAnsi="宋体"/>
          <w:snapToGrid w:val="0"/>
          <w:color w:val="auto"/>
          <w:kern w:val="0"/>
          <w:highlight w:val="none"/>
        </w:rPr>
        <w:t>费为人民币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达到竞选文件的要求</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rPr>
        <w:t>竞选文件的要求</w:t>
      </w:r>
      <w:r>
        <w:rPr>
          <w:rFonts w:ascii="宋体" w:hAnsi="宋体"/>
          <w:snapToGrid w:val="0"/>
          <w:color w:val="auto"/>
          <w:kern w:val="0"/>
          <w:szCs w:val="21"/>
          <w:highlight w:val="none"/>
        </w:rPr>
        <w:t>。</w:t>
      </w:r>
    </w:p>
    <w:p w14:paraId="3497ECCE">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响应竞选文件规定的投标有效期，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2920E50E">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36875DB6">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29014874">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2FF301B1">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7603DE9B">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规定向你方递交履约担保。</w:t>
      </w:r>
    </w:p>
    <w:p w14:paraId="30BB80CE">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581E63DB">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（5）我方承诺以不低于竞选文件第七章 技术标准和要求中所列的技术指标和参数要求完成全部合同工程。</w:t>
      </w:r>
    </w:p>
    <w:p w14:paraId="24609C68">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rPr>
        <w:t>竞选人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4FFC4982">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174B23F2">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0E2C58C7">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68DF6CD7">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A3D4A02">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5573B2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993C3D9">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B51D18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B9C8B0F">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6FB516E8">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106AF78">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78B74620">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1B4164CB">
      <w:pPr>
        <w:pStyle w:val="4"/>
        <w:jc w:val="center"/>
        <w:rPr>
          <w:rFonts w:ascii="宋体" w:hAnsi="宋体"/>
          <w:snapToGrid w:val="0"/>
          <w:color w:val="auto"/>
          <w:kern w:val="0"/>
          <w:szCs w:val="21"/>
          <w:highlight w:val="none"/>
        </w:rPr>
      </w:pPr>
      <w:bookmarkStart w:id="2205" w:name="_Toc430530531"/>
      <w:bookmarkStart w:id="2206" w:name="_Toc277082644"/>
      <w:bookmarkStart w:id="2207" w:name="_Toc287607868"/>
      <w:bookmarkStart w:id="2208" w:name="_Toc287620815"/>
      <w:bookmarkStart w:id="2209" w:name="_Toc224103496"/>
      <w:r>
        <w:rPr>
          <w:rFonts w:ascii="宋体" w:hAnsi="宋体"/>
          <w:color w:val="auto"/>
          <w:sz w:val="28"/>
          <w:highlight w:val="none"/>
        </w:rPr>
        <w:br w:type="page"/>
      </w:r>
      <w:bookmarkStart w:id="2210" w:name="_Toc30967"/>
      <w:bookmarkStart w:id="2211" w:name="_Toc509218855"/>
      <w:bookmarkStart w:id="2212" w:name="_Toc534185832"/>
      <w:bookmarkStart w:id="2213" w:name="_Toc57905920"/>
      <w:r>
        <w:rPr>
          <w:color w:val="auto"/>
          <w:highlight w:val="none"/>
        </w:rPr>
        <w:t>（二）投标函附录</w:t>
      </w:r>
      <w:bookmarkEnd w:id="2205"/>
      <w:bookmarkEnd w:id="2206"/>
      <w:bookmarkEnd w:id="2207"/>
      <w:bookmarkEnd w:id="2208"/>
      <w:bookmarkEnd w:id="2209"/>
      <w:bookmarkEnd w:id="2210"/>
      <w:bookmarkEnd w:id="2211"/>
      <w:bookmarkEnd w:id="2212"/>
      <w:bookmarkEnd w:id="2213"/>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23C269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77F9197">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49676660">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6618D15B">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0AB13CF3">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18B85646">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7E04FD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CC948EB">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03B684D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7B508999">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327EBDC2">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14:paraId="5E7C15BC">
            <w:pPr>
              <w:autoSpaceDE w:val="0"/>
              <w:autoSpaceDN w:val="0"/>
              <w:adjustRightInd w:val="0"/>
              <w:jc w:val="center"/>
              <w:rPr>
                <w:rFonts w:ascii="宋体" w:hAnsi="宋体"/>
                <w:snapToGrid w:val="0"/>
                <w:color w:val="auto"/>
                <w:kern w:val="0"/>
                <w:szCs w:val="21"/>
                <w:highlight w:val="none"/>
              </w:rPr>
            </w:pPr>
          </w:p>
        </w:tc>
      </w:tr>
      <w:tr w14:paraId="2E0B16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657B9B5">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70069C3F">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0F1C702E">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51184A1F">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52EBA191">
            <w:pPr>
              <w:autoSpaceDE w:val="0"/>
              <w:autoSpaceDN w:val="0"/>
              <w:adjustRightInd w:val="0"/>
              <w:jc w:val="center"/>
              <w:rPr>
                <w:rFonts w:ascii="宋体" w:hAnsi="宋体"/>
                <w:snapToGrid w:val="0"/>
                <w:color w:val="auto"/>
                <w:kern w:val="0"/>
                <w:szCs w:val="21"/>
                <w:highlight w:val="none"/>
              </w:rPr>
            </w:pPr>
          </w:p>
        </w:tc>
      </w:tr>
      <w:tr w14:paraId="41D8E9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FE1233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3BD9157">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19064FE2">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3D53EB70">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165BD805">
            <w:pPr>
              <w:autoSpaceDE w:val="0"/>
              <w:autoSpaceDN w:val="0"/>
              <w:adjustRightInd w:val="0"/>
              <w:jc w:val="center"/>
              <w:rPr>
                <w:rFonts w:ascii="宋体" w:hAnsi="宋体"/>
                <w:snapToGrid w:val="0"/>
                <w:color w:val="auto"/>
                <w:kern w:val="0"/>
                <w:szCs w:val="21"/>
                <w:highlight w:val="none"/>
              </w:rPr>
            </w:pPr>
          </w:p>
        </w:tc>
      </w:tr>
      <w:tr w14:paraId="31E22E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3DA8C5E">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36641FF8">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6B47176E">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5CFA39F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1C2F51E8">
            <w:pPr>
              <w:autoSpaceDE w:val="0"/>
              <w:autoSpaceDN w:val="0"/>
              <w:adjustRightInd w:val="0"/>
              <w:jc w:val="center"/>
              <w:rPr>
                <w:rFonts w:ascii="宋体" w:hAnsi="宋体"/>
                <w:snapToGrid w:val="0"/>
                <w:color w:val="auto"/>
                <w:kern w:val="0"/>
                <w:szCs w:val="21"/>
                <w:highlight w:val="none"/>
              </w:rPr>
            </w:pPr>
          </w:p>
        </w:tc>
      </w:tr>
      <w:tr w14:paraId="62FC60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29FAFCE">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1DC6DC6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7AE23CD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24D9EA79">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19FA957A">
            <w:pPr>
              <w:autoSpaceDE w:val="0"/>
              <w:autoSpaceDN w:val="0"/>
              <w:adjustRightInd w:val="0"/>
              <w:jc w:val="center"/>
              <w:rPr>
                <w:rFonts w:ascii="宋体" w:hAnsi="宋体"/>
                <w:snapToGrid w:val="0"/>
                <w:color w:val="auto"/>
                <w:kern w:val="0"/>
                <w:szCs w:val="21"/>
                <w:highlight w:val="none"/>
              </w:rPr>
            </w:pPr>
          </w:p>
        </w:tc>
      </w:tr>
    </w:tbl>
    <w:p w14:paraId="51F15ACA">
      <w:pPr>
        <w:spacing w:line="360" w:lineRule="auto"/>
        <w:rPr>
          <w:rFonts w:ascii="宋体" w:hAnsi="宋体"/>
          <w:snapToGrid w:val="0"/>
          <w:color w:val="auto"/>
          <w:w w:val="99"/>
          <w:highlight w:val="none"/>
        </w:rPr>
      </w:pPr>
    </w:p>
    <w:p w14:paraId="6BDE285E">
      <w:pPr>
        <w:spacing w:line="360" w:lineRule="auto"/>
        <w:rPr>
          <w:rFonts w:ascii="宋体" w:hAnsi="宋体"/>
          <w:snapToGrid w:val="0"/>
          <w:color w:val="auto"/>
          <w:highlight w:val="none"/>
        </w:rPr>
      </w:pPr>
    </w:p>
    <w:p w14:paraId="4632A1D7">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10BD2F2D">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4341F936">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42440F59">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60B57914">
      <w:pPr>
        <w:pStyle w:val="4"/>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2214" w:name="_Toc8650"/>
      <w:bookmarkStart w:id="2215" w:name="_Toc287607869"/>
      <w:bookmarkStart w:id="2216" w:name="_Toc430530532"/>
      <w:bookmarkStart w:id="2217" w:name="_Toc277082645"/>
      <w:bookmarkStart w:id="2218" w:name="_Toc224103497"/>
      <w:bookmarkStart w:id="2219" w:name="_Toc287620816"/>
      <w:bookmarkStart w:id="2220" w:name="_Toc57905921"/>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2214"/>
      <w:bookmarkEnd w:id="2215"/>
      <w:bookmarkEnd w:id="2216"/>
      <w:bookmarkEnd w:id="2217"/>
      <w:bookmarkEnd w:id="2218"/>
      <w:bookmarkEnd w:id="2219"/>
      <w:bookmarkEnd w:id="2220"/>
    </w:p>
    <w:p w14:paraId="0B9554CC">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7C606525">
      <w:pPr>
        <w:spacing w:line="480" w:lineRule="auto"/>
        <w:jc w:val="center"/>
        <w:rPr>
          <w:rFonts w:ascii="宋体" w:hAnsi="宋体"/>
          <w:color w:val="auto"/>
          <w:highlight w:val="none"/>
        </w:rPr>
      </w:pPr>
    </w:p>
    <w:p w14:paraId="5BE68E2E">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38692B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09975F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A4C23A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AD58676">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95092E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0AF967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3EC11D80">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8535E1D">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20E24519">
      <w:pPr>
        <w:pStyle w:val="18"/>
        <w:spacing w:after="0" w:line="360" w:lineRule="auto"/>
        <w:rPr>
          <w:rFonts w:ascii="宋体" w:hAnsi="宋体"/>
          <w:color w:val="auto"/>
          <w:szCs w:val="21"/>
          <w:highlight w:val="none"/>
        </w:rPr>
      </w:pPr>
    </w:p>
    <w:p w14:paraId="04EB665D">
      <w:pPr>
        <w:pStyle w:val="18"/>
        <w:spacing w:after="0" w:line="360" w:lineRule="auto"/>
        <w:rPr>
          <w:rFonts w:ascii="宋体" w:hAnsi="宋体"/>
          <w:color w:val="auto"/>
          <w:szCs w:val="21"/>
          <w:highlight w:val="none"/>
        </w:rPr>
      </w:pPr>
    </w:p>
    <w:p w14:paraId="2171AB49">
      <w:pPr>
        <w:pStyle w:val="18"/>
        <w:spacing w:after="0" w:line="360" w:lineRule="auto"/>
        <w:rPr>
          <w:rFonts w:ascii="宋体" w:hAnsi="宋体"/>
          <w:color w:val="auto"/>
          <w:szCs w:val="21"/>
          <w:highlight w:val="none"/>
        </w:rPr>
      </w:pPr>
    </w:p>
    <w:p w14:paraId="0BFBC27A">
      <w:pPr>
        <w:pStyle w:val="18"/>
        <w:spacing w:after="0" w:line="360" w:lineRule="auto"/>
        <w:rPr>
          <w:rFonts w:ascii="宋体" w:hAnsi="宋体"/>
          <w:color w:val="auto"/>
          <w:szCs w:val="21"/>
          <w:highlight w:val="none"/>
        </w:rPr>
      </w:pPr>
    </w:p>
    <w:p w14:paraId="7ADDBBBC">
      <w:pPr>
        <w:pStyle w:val="18"/>
        <w:spacing w:after="0" w:line="360" w:lineRule="auto"/>
        <w:rPr>
          <w:rFonts w:ascii="宋体" w:hAnsi="宋体"/>
          <w:color w:val="auto"/>
          <w:szCs w:val="21"/>
          <w:highlight w:val="none"/>
        </w:rPr>
      </w:pPr>
    </w:p>
    <w:p w14:paraId="441DA7AB">
      <w:pPr>
        <w:pStyle w:val="18"/>
        <w:spacing w:after="0" w:line="360" w:lineRule="auto"/>
        <w:rPr>
          <w:rFonts w:ascii="宋体" w:hAnsi="宋体"/>
          <w:color w:val="auto"/>
          <w:szCs w:val="21"/>
          <w:highlight w:val="none"/>
        </w:rPr>
      </w:pPr>
    </w:p>
    <w:p w14:paraId="14BFF929">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7659A1E">
      <w:pPr>
        <w:autoSpaceDE w:val="0"/>
        <w:autoSpaceDN w:val="0"/>
        <w:adjustRightInd w:val="0"/>
        <w:snapToGrid w:val="0"/>
        <w:spacing w:line="480" w:lineRule="auto"/>
        <w:jc w:val="left"/>
        <w:rPr>
          <w:rFonts w:ascii="宋体" w:hAnsi="宋体"/>
          <w:color w:val="auto"/>
          <w:kern w:val="0"/>
          <w:sz w:val="20"/>
          <w:szCs w:val="20"/>
          <w:highlight w:val="none"/>
        </w:rPr>
      </w:pPr>
    </w:p>
    <w:p w14:paraId="2BCDE28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3ABB137">
      <w:pPr>
        <w:autoSpaceDE w:val="0"/>
        <w:autoSpaceDN w:val="0"/>
        <w:adjustRightInd w:val="0"/>
        <w:snapToGrid w:val="0"/>
        <w:spacing w:line="360" w:lineRule="auto"/>
        <w:jc w:val="left"/>
        <w:rPr>
          <w:rFonts w:ascii="宋体" w:hAnsi="宋体"/>
          <w:color w:val="auto"/>
          <w:kern w:val="0"/>
          <w:highlight w:val="none"/>
        </w:rPr>
      </w:pPr>
    </w:p>
    <w:p w14:paraId="422336AC">
      <w:pPr>
        <w:autoSpaceDE w:val="0"/>
        <w:autoSpaceDN w:val="0"/>
        <w:adjustRightInd w:val="0"/>
        <w:snapToGrid w:val="0"/>
        <w:spacing w:line="360" w:lineRule="auto"/>
        <w:jc w:val="left"/>
        <w:rPr>
          <w:rFonts w:ascii="宋体" w:hAnsi="宋体"/>
          <w:color w:val="auto"/>
          <w:kern w:val="0"/>
          <w:highlight w:val="none"/>
        </w:rPr>
      </w:pPr>
    </w:p>
    <w:p w14:paraId="08DC3164">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3379A44E">
      <w:pPr>
        <w:autoSpaceDE w:val="0"/>
        <w:autoSpaceDN w:val="0"/>
        <w:adjustRightInd w:val="0"/>
        <w:snapToGrid w:val="0"/>
        <w:spacing w:line="360" w:lineRule="auto"/>
        <w:jc w:val="left"/>
        <w:rPr>
          <w:rFonts w:ascii="宋体" w:hAnsi="宋体"/>
          <w:color w:val="auto"/>
          <w:kern w:val="0"/>
          <w:highlight w:val="none"/>
        </w:rPr>
      </w:pPr>
    </w:p>
    <w:p w14:paraId="519E2D7B">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F26A6C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4070F4D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00B2D0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962F6B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1DD680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4FD8739">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B7D7B7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B60120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54249AF8">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0288E86">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C316C0E">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4C9B3470">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3C9D743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942FC3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055CE6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D97755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A642D2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B65978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43141E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B9EE17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1B3B8FF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6D518DEF">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6FFCEB0F">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485D8388">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EC8A826">
      <w:pPr>
        <w:spacing w:line="360" w:lineRule="auto"/>
        <w:ind w:firstLine="420" w:firstLineChars="200"/>
        <w:rPr>
          <w:rFonts w:ascii="宋体" w:hAnsi="宋体"/>
          <w:color w:val="auto"/>
          <w:highlight w:val="none"/>
        </w:rPr>
      </w:pPr>
      <w:r>
        <w:rPr>
          <w:rFonts w:ascii="宋体" w:hAnsi="宋体"/>
          <w:color w:val="auto"/>
          <w:highlight w:val="none"/>
        </w:rPr>
        <w:br w:type="page"/>
      </w:r>
    </w:p>
    <w:p w14:paraId="0F37323D">
      <w:pPr>
        <w:pStyle w:val="4"/>
        <w:spacing w:before="0" w:after="0" w:line="240" w:lineRule="auto"/>
        <w:jc w:val="center"/>
        <w:rPr>
          <w:rFonts w:ascii="宋体" w:hAnsi="宋体"/>
          <w:b w:val="0"/>
          <w:bCs w:val="0"/>
          <w:color w:val="auto"/>
          <w:highlight w:val="none"/>
        </w:rPr>
      </w:pPr>
      <w:bookmarkStart w:id="2221" w:name="_Toc287607870"/>
      <w:bookmarkStart w:id="2222" w:name="_Toc224103498"/>
      <w:bookmarkStart w:id="2223" w:name="_Toc287620817"/>
      <w:bookmarkStart w:id="2224" w:name="_Toc277082646"/>
      <w:bookmarkStart w:id="2225" w:name="_Toc57820651"/>
      <w:bookmarkStart w:id="2226" w:name="_Toc430530533"/>
      <w:bookmarkStart w:id="2227" w:name="_Toc430530534"/>
      <w:bookmarkStart w:id="2228" w:name="_Toc287620819"/>
      <w:bookmarkStart w:id="2229" w:name="_Toc224103500"/>
      <w:bookmarkStart w:id="2230" w:name="_Toc287607872"/>
      <w:r>
        <w:rPr>
          <w:rFonts w:ascii="宋体" w:hAnsi="宋体"/>
          <w:b w:val="0"/>
          <w:bCs w:val="0"/>
          <w:color w:val="auto"/>
          <w:highlight w:val="none"/>
        </w:rPr>
        <w:t>（四）</w:t>
      </w:r>
      <w:bookmarkEnd w:id="2221"/>
      <w:bookmarkEnd w:id="2222"/>
      <w:bookmarkEnd w:id="2223"/>
      <w:bookmarkEnd w:id="2224"/>
      <w:bookmarkStart w:id="2231" w:name="_Toc277082647"/>
      <w:bookmarkStart w:id="2232" w:name="_Toc287607871"/>
      <w:bookmarkStart w:id="2233" w:name="_Toc224103499"/>
      <w:bookmarkStart w:id="2234" w:name="_Toc287620818"/>
      <w:r>
        <w:rPr>
          <w:rFonts w:hint="eastAsia" w:ascii="宋体" w:hAnsi="宋体"/>
          <w:b w:val="0"/>
          <w:bCs w:val="0"/>
          <w:color w:val="auto"/>
          <w:highlight w:val="none"/>
        </w:rPr>
        <w:t>低价风险担保提交承诺书</w:t>
      </w:r>
      <w:bookmarkEnd w:id="2225"/>
    </w:p>
    <w:p w14:paraId="19A46B8C">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EA7A46A">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7FA1B86D">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9736234">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64363C3A">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2B5EBB21">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10B1F95F">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0D703A1E">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3CA78E7">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2DCE9E9">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39BE01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DEF7AED">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F8339E8">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w:t>
      </w:r>
      <w:r>
        <w:rPr>
          <w:rFonts w:ascii="宋体" w:hAnsi="宋体"/>
          <w:color w:val="auto"/>
          <w:kern w:val="0"/>
          <w:szCs w:val="21"/>
          <w:highlight w:val="none"/>
        </w:rPr>
        <w:t xml:space="preserve">  </w:t>
      </w:r>
      <w:r>
        <w:rPr>
          <w:rFonts w:hint="eastAsia" w:ascii="宋体" w:hAnsi="宋体"/>
          <w:color w:val="auto"/>
          <w:kern w:val="0"/>
          <w:szCs w:val="21"/>
          <w:highlight w:val="none"/>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7E9842C">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58942B4">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79E4F506">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6CE9B02F">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F5483DB">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475CC9AF">
      <w:pPr>
        <w:pStyle w:val="18"/>
        <w:rPr>
          <w:rFonts w:ascii="宋体" w:hAnsi="宋体"/>
          <w:snapToGrid w:val="0"/>
          <w:color w:val="auto"/>
          <w:kern w:val="0"/>
          <w:sz w:val="32"/>
          <w:szCs w:val="32"/>
          <w:highlight w:val="none"/>
        </w:rPr>
      </w:pPr>
      <w:r>
        <w:rPr>
          <w:rFonts w:ascii="宋体" w:hAnsi="宋体"/>
          <w:snapToGrid w:val="0"/>
          <w:color w:val="auto"/>
          <w:kern w:val="0"/>
          <w:sz w:val="32"/>
          <w:szCs w:val="32"/>
          <w:highlight w:val="none"/>
        </w:rPr>
        <w:br w:type="page"/>
      </w:r>
    </w:p>
    <w:bookmarkEnd w:id="2226"/>
    <w:bookmarkEnd w:id="2231"/>
    <w:bookmarkEnd w:id="2232"/>
    <w:bookmarkEnd w:id="2233"/>
    <w:bookmarkEnd w:id="2234"/>
    <w:p w14:paraId="4A3D764D">
      <w:pPr>
        <w:tabs>
          <w:tab w:val="left" w:pos="2580"/>
          <w:tab w:val="left" w:pos="5940"/>
        </w:tabs>
        <w:autoSpaceDE w:val="0"/>
        <w:autoSpaceDN w:val="0"/>
        <w:adjustRightInd w:val="0"/>
        <w:snapToGrid w:val="0"/>
        <w:spacing w:line="360" w:lineRule="auto"/>
        <w:jc w:val="left"/>
        <w:rPr>
          <w:rFonts w:ascii="宋体" w:hAnsi="宋体"/>
          <w:color w:val="auto"/>
          <w:highlight w:val="none"/>
        </w:rPr>
      </w:pPr>
    </w:p>
    <w:p w14:paraId="1A0E5DB5">
      <w:pPr>
        <w:pStyle w:val="3"/>
        <w:spacing w:line="360" w:lineRule="auto"/>
        <w:jc w:val="center"/>
        <w:rPr>
          <w:rFonts w:ascii="宋体" w:hAnsi="宋体"/>
          <w:b w:val="0"/>
          <w:bCs w:val="0"/>
          <w:color w:val="auto"/>
          <w:sz w:val="44"/>
          <w:szCs w:val="44"/>
          <w:highlight w:val="none"/>
        </w:rPr>
      </w:pPr>
      <w:bookmarkStart w:id="2235" w:name="_Toc57905924"/>
      <w:bookmarkStart w:id="2236" w:name="_Toc23891"/>
      <w:r>
        <w:rPr>
          <w:rFonts w:hint="eastAsia" w:ascii="宋体" w:hAnsi="宋体"/>
          <w:b w:val="0"/>
          <w:bCs w:val="0"/>
          <w:color w:val="auto"/>
          <w:sz w:val="44"/>
          <w:szCs w:val="44"/>
          <w:highlight w:val="none"/>
        </w:rPr>
        <w:t>二、经济部分</w:t>
      </w:r>
      <w:bookmarkEnd w:id="2227"/>
      <w:bookmarkEnd w:id="2228"/>
      <w:bookmarkEnd w:id="2229"/>
      <w:bookmarkEnd w:id="2230"/>
      <w:bookmarkEnd w:id="2235"/>
      <w:bookmarkEnd w:id="2236"/>
    </w:p>
    <w:p w14:paraId="3A651487">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2A917E41">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DE5A75B">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0BCDA8E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D70F2F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BC3A32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FC50A8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20C1289">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1D2039B">
      <w:pPr>
        <w:autoSpaceDE w:val="0"/>
        <w:autoSpaceDN w:val="0"/>
        <w:adjustRightInd w:val="0"/>
        <w:snapToGrid w:val="0"/>
        <w:spacing w:line="360" w:lineRule="auto"/>
        <w:jc w:val="left"/>
        <w:rPr>
          <w:rFonts w:ascii="宋体" w:hAnsi="宋体"/>
          <w:color w:val="auto"/>
          <w:kern w:val="0"/>
          <w:sz w:val="16"/>
          <w:szCs w:val="16"/>
          <w:highlight w:val="none"/>
        </w:rPr>
      </w:pPr>
    </w:p>
    <w:p w14:paraId="08BFAAF0">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6F4A592D">
      <w:pPr>
        <w:autoSpaceDE w:val="0"/>
        <w:autoSpaceDN w:val="0"/>
        <w:adjustRightInd w:val="0"/>
        <w:snapToGrid w:val="0"/>
        <w:spacing w:line="360" w:lineRule="auto"/>
        <w:jc w:val="left"/>
        <w:rPr>
          <w:rFonts w:ascii="宋体" w:hAnsi="宋体"/>
          <w:b/>
          <w:color w:val="auto"/>
          <w:kern w:val="0"/>
          <w:sz w:val="20"/>
          <w:szCs w:val="20"/>
          <w:highlight w:val="none"/>
        </w:rPr>
      </w:pPr>
    </w:p>
    <w:p w14:paraId="305BAD55">
      <w:pPr>
        <w:autoSpaceDE w:val="0"/>
        <w:autoSpaceDN w:val="0"/>
        <w:adjustRightInd w:val="0"/>
        <w:snapToGrid w:val="0"/>
        <w:spacing w:line="360" w:lineRule="auto"/>
        <w:jc w:val="left"/>
        <w:rPr>
          <w:rFonts w:ascii="宋体" w:hAnsi="宋体"/>
          <w:b/>
          <w:color w:val="auto"/>
          <w:kern w:val="0"/>
          <w:sz w:val="20"/>
          <w:szCs w:val="20"/>
          <w:highlight w:val="none"/>
        </w:rPr>
      </w:pPr>
    </w:p>
    <w:p w14:paraId="7F7BA0D9">
      <w:pPr>
        <w:autoSpaceDE w:val="0"/>
        <w:autoSpaceDN w:val="0"/>
        <w:adjustRightInd w:val="0"/>
        <w:snapToGrid w:val="0"/>
        <w:spacing w:line="360" w:lineRule="auto"/>
        <w:jc w:val="left"/>
        <w:rPr>
          <w:rFonts w:ascii="宋体" w:hAnsi="宋体"/>
          <w:b/>
          <w:color w:val="auto"/>
          <w:kern w:val="0"/>
          <w:sz w:val="20"/>
          <w:szCs w:val="20"/>
          <w:highlight w:val="none"/>
        </w:rPr>
      </w:pPr>
    </w:p>
    <w:p w14:paraId="2D61B3E6">
      <w:pPr>
        <w:autoSpaceDE w:val="0"/>
        <w:autoSpaceDN w:val="0"/>
        <w:adjustRightInd w:val="0"/>
        <w:snapToGrid w:val="0"/>
        <w:spacing w:line="360" w:lineRule="auto"/>
        <w:jc w:val="left"/>
        <w:rPr>
          <w:rFonts w:ascii="宋体" w:hAnsi="宋体"/>
          <w:b/>
          <w:color w:val="auto"/>
          <w:kern w:val="0"/>
          <w:sz w:val="20"/>
          <w:szCs w:val="20"/>
          <w:highlight w:val="none"/>
        </w:rPr>
      </w:pPr>
    </w:p>
    <w:p w14:paraId="444F237B">
      <w:pPr>
        <w:autoSpaceDE w:val="0"/>
        <w:autoSpaceDN w:val="0"/>
        <w:adjustRightInd w:val="0"/>
        <w:snapToGrid w:val="0"/>
        <w:spacing w:line="360" w:lineRule="auto"/>
        <w:jc w:val="left"/>
        <w:rPr>
          <w:rFonts w:ascii="宋体" w:hAnsi="宋体"/>
          <w:b/>
          <w:color w:val="auto"/>
          <w:kern w:val="0"/>
          <w:sz w:val="20"/>
          <w:szCs w:val="20"/>
          <w:highlight w:val="none"/>
        </w:rPr>
      </w:pPr>
    </w:p>
    <w:p w14:paraId="4877AEE2">
      <w:pPr>
        <w:autoSpaceDE w:val="0"/>
        <w:autoSpaceDN w:val="0"/>
        <w:adjustRightInd w:val="0"/>
        <w:snapToGrid w:val="0"/>
        <w:spacing w:line="360" w:lineRule="auto"/>
        <w:jc w:val="left"/>
        <w:rPr>
          <w:rFonts w:ascii="宋体" w:hAnsi="宋体"/>
          <w:b/>
          <w:color w:val="auto"/>
          <w:kern w:val="0"/>
          <w:sz w:val="20"/>
          <w:szCs w:val="20"/>
          <w:highlight w:val="none"/>
        </w:rPr>
      </w:pPr>
    </w:p>
    <w:p w14:paraId="157E7ADB">
      <w:pPr>
        <w:autoSpaceDE w:val="0"/>
        <w:autoSpaceDN w:val="0"/>
        <w:adjustRightInd w:val="0"/>
        <w:snapToGrid w:val="0"/>
        <w:spacing w:line="360" w:lineRule="auto"/>
        <w:jc w:val="left"/>
        <w:rPr>
          <w:rFonts w:ascii="宋体" w:hAnsi="宋体"/>
          <w:b/>
          <w:color w:val="auto"/>
          <w:kern w:val="0"/>
          <w:sz w:val="20"/>
          <w:szCs w:val="20"/>
          <w:highlight w:val="none"/>
        </w:rPr>
      </w:pPr>
    </w:p>
    <w:p w14:paraId="2D2A6B59">
      <w:pPr>
        <w:autoSpaceDE w:val="0"/>
        <w:autoSpaceDN w:val="0"/>
        <w:adjustRightInd w:val="0"/>
        <w:snapToGrid w:val="0"/>
        <w:spacing w:line="360" w:lineRule="auto"/>
        <w:jc w:val="left"/>
        <w:rPr>
          <w:rFonts w:ascii="宋体" w:hAnsi="宋体"/>
          <w:b/>
          <w:color w:val="auto"/>
          <w:kern w:val="0"/>
          <w:sz w:val="20"/>
          <w:szCs w:val="20"/>
          <w:highlight w:val="none"/>
        </w:rPr>
      </w:pPr>
    </w:p>
    <w:p w14:paraId="565C36BA">
      <w:pPr>
        <w:autoSpaceDE w:val="0"/>
        <w:autoSpaceDN w:val="0"/>
        <w:adjustRightInd w:val="0"/>
        <w:snapToGrid w:val="0"/>
        <w:spacing w:line="360" w:lineRule="auto"/>
        <w:jc w:val="left"/>
        <w:rPr>
          <w:rFonts w:ascii="宋体" w:hAnsi="宋体"/>
          <w:b/>
          <w:color w:val="auto"/>
          <w:kern w:val="0"/>
          <w:sz w:val="20"/>
          <w:szCs w:val="20"/>
          <w:highlight w:val="none"/>
        </w:rPr>
      </w:pPr>
    </w:p>
    <w:p w14:paraId="5B5DAFA7">
      <w:pPr>
        <w:autoSpaceDE w:val="0"/>
        <w:autoSpaceDN w:val="0"/>
        <w:adjustRightInd w:val="0"/>
        <w:snapToGrid w:val="0"/>
        <w:spacing w:line="360" w:lineRule="auto"/>
        <w:jc w:val="left"/>
        <w:rPr>
          <w:rFonts w:ascii="宋体" w:hAnsi="宋体"/>
          <w:b/>
          <w:color w:val="auto"/>
          <w:kern w:val="0"/>
          <w:sz w:val="20"/>
          <w:szCs w:val="20"/>
          <w:highlight w:val="none"/>
        </w:rPr>
      </w:pPr>
    </w:p>
    <w:p w14:paraId="41565CE5">
      <w:pPr>
        <w:autoSpaceDE w:val="0"/>
        <w:autoSpaceDN w:val="0"/>
        <w:adjustRightInd w:val="0"/>
        <w:snapToGrid w:val="0"/>
        <w:spacing w:line="360" w:lineRule="auto"/>
        <w:jc w:val="left"/>
        <w:rPr>
          <w:rFonts w:ascii="宋体" w:hAnsi="宋体"/>
          <w:b/>
          <w:color w:val="auto"/>
          <w:kern w:val="0"/>
          <w:sz w:val="20"/>
          <w:szCs w:val="20"/>
          <w:highlight w:val="none"/>
        </w:rPr>
      </w:pPr>
    </w:p>
    <w:p w14:paraId="4D6FAFF5">
      <w:pPr>
        <w:autoSpaceDE w:val="0"/>
        <w:autoSpaceDN w:val="0"/>
        <w:adjustRightInd w:val="0"/>
        <w:snapToGrid w:val="0"/>
        <w:spacing w:line="360" w:lineRule="auto"/>
        <w:jc w:val="left"/>
        <w:rPr>
          <w:rFonts w:ascii="宋体" w:hAnsi="宋体"/>
          <w:b/>
          <w:color w:val="auto"/>
          <w:kern w:val="0"/>
          <w:sz w:val="20"/>
          <w:szCs w:val="20"/>
          <w:highlight w:val="none"/>
        </w:rPr>
      </w:pPr>
    </w:p>
    <w:p w14:paraId="4AD04CD2">
      <w:pPr>
        <w:autoSpaceDE w:val="0"/>
        <w:autoSpaceDN w:val="0"/>
        <w:adjustRightInd w:val="0"/>
        <w:snapToGrid w:val="0"/>
        <w:spacing w:line="360" w:lineRule="auto"/>
        <w:jc w:val="left"/>
        <w:rPr>
          <w:rFonts w:ascii="宋体" w:hAnsi="宋体"/>
          <w:b/>
          <w:color w:val="auto"/>
          <w:kern w:val="0"/>
          <w:sz w:val="20"/>
          <w:szCs w:val="20"/>
          <w:highlight w:val="none"/>
        </w:rPr>
      </w:pPr>
    </w:p>
    <w:p w14:paraId="317D7329">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53D98F4">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6A6F40B">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BD5F1FC">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15E18B25">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10B3C220">
      <w:pPr>
        <w:autoSpaceDE w:val="0"/>
        <w:autoSpaceDN w:val="0"/>
        <w:adjustRightInd w:val="0"/>
        <w:snapToGrid w:val="0"/>
        <w:spacing w:line="360" w:lineRule="auto"/>
        <w:jc w:val="left"/>
        <w:rPr>
          <w:rFonts w:ascii="宋体" w:hAnsi="宋体"/>
          <w:color w:val="auto"/>
          <w:kern w:val="0"/>
          <w:szCs w:val="21"/>
          <w:highlight w:val="none"/>
        </w:rPr>
      </w:pPr>
    </w:p>
    <w:p w14:paraId="25FDFDEC">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竞选人</w:t>
      </w:r>
      <w:r>
        <w:rPr>
          <w:rFonts w:ascii="宋体" w:hAnsi="宋体"/>
          <w:i/>
          <w:iCs/>
          <w:color w:val="auto"/>
          <w:kern w:val="0"/>
          <w:szCs w:val="21"/>
          <w:highlight w:val="none"/>
        </w:rPr>
        <w:t>自行编制]</w:t>
      </w:r>
    </w:p>
    <w:p w14:paraId="2989CDF4">
      <w:pPr>
        <w:autoSpaceDE w:val="0"/>
        <w:autoSpaceDN w:val="0"/>
        <w:adjustRightInd w:val="0"/>
        <w:snapToGrid w:val="0"/>
        <w:spacing w:line="360" w:lineRule="auto"/>
        <w:jc w:val="left"/>
        <w:rPr>
          <w:rFonts w:ascii="宋体" w:hAnsi="宋体"/>
          <w:color w:val="auto"/>
          <w:w w:val="99"/>
          <w:kern w:val="0"/>
          <w:sz w:val="28"/>
          <w:szCs w:val="28"/>
          <w:highlight w:val="none"/>
        </w:rPr>
      </w:pPr>
    </w:p>
    <w:p w14:paraId="4A47C164">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2237" w:name="_Toc430530535"/>
      <w:bookmarkStart w:id="2238" w:name="_Toc287607873"/>
      <w:bookmarkStart w:id="2239" w:name="_Toc224103501"/>
      <w:bookmarkStart w:id="2240" w:name="_Toc287620820"/>
      <w:bookmarkStart w:id="2241" w:name="_Toc277082648"/>
    </w:p>
    <w:p w14:paraId="07CFEE06">
      <w:pPr>
        <w:pStyle w:val="4"/>
        <w:jc w:val="center"/>
        <w:rPr>
          <w:color w:val="auto"/>
          <w:highlight w:val="none"/>
        </w:rPr>
      </w:pPr>
      <w:bookmarkStart w:id="2242" w:name="_Toc28475"/>
      <w:bookmarkStart w:id="2243" w:name="_Toc57905925"/>
      <w:r>
        <w:rPr>
          <w:rFonts w:hint="eastAsia"/>
          <w:color w:val="auto"/>
          <w:highlight w:val="none"/>
        </w:rPr>
        <w:t>（一）已标价工程量清单</w:t>
      </w:r>
      <w:bookmarkEnd w:id="2237"/>
      <w:bookmarkEnd w:id="2238"/>
      <w:bookmarkEnd w:id="2239"/>
      <w:bookmarkEnd w:id="2240"/>
      <w:bookmarkEnd w:id="2241"/>
      <w:bookmarkEnd w:id="2242"/>
      <w:bookmarkEnd w:id="2243"/>
    </w:p>
    <w:p w14:paraId="363F6CE1">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3FDBE313">
      <w:pPr>
        <w:autoSpaceDE w:val="0"/>
        <w:autoSpaceDN w:val="0"/>
        <w:adjustRightInd w:val="0"/>
        <w:snapToGrid w:val="0"/>
        <w:spacing w:line="360" w:lineRule="auto"/>
        <w:jc w:val="left"/>
        <w:rPr>
          <w:rFonts w:ascii="宋体" w:hAnsi="宋体"/>
          <w:color w:val="auto"/>
          <w:kern w:val="0"/>
          <w:sz w:val="24"/>
          <w:szCs w:val="21"/>
          <w:highlight w:val="none"/>
        </w:rPr>
      </w:pPr>
      <w:bookmarkStart w:id="2244" w:name="_Toc224103502"/>
      <w:bookmarkStart w:id="2245" w:name="_Toc430530536"/>
      <w:bookmarkStart w:id="2246" w:name="_Toc287620821"/>
      <w:bookmarkStart w:id="2247" w:name="_Toc287607874"/>
      <w:r>
        <w:rPr>
          <w:rFonts w:ascii="宋体" w:hAnsi="宋体"/>
          <w:color w:val="auto"/>
          <w:highlight w:val="none"/>
        </w:rPr>
        <w:br w:type="page"/>
      </w:r>
    </w:p>
    <w:p w14:paraId="6C63254E">
      <w:pPr>
        <w:pStyle w:val="3"/>
        <w:spacing w:line="360" w:lineRule="auto"/>
        <w:jc w:val="center"/>
        <w:rPr>
          <w:rFonts w:ascii="宋体" w:hAnsi="宋体"/>
          <w:b w:val="0"/>
          <w:bCs w:val="0"/>
          <w:color w:val="auto"/>
          <w:sz w:val="44"/>
          <w:szCs w:val="44"/>
          <w:highlight w:val="none"/>
        </w:rPr>
      </w:pPr>
      <w:bookmarkStart w:id="2248" w:name="_Toc57905926"/>
      <w:bookmarkStart w:id="2249" w:name="_Toc29644"/>
      <w:r>
        <w:rPr>
          <w:rFonts w:hint="eastAsia" w:ascii="宋体" w:hAnsi="宋体"/>
          <w:b w:val="0"/>
          <w:bCs w:val="0"/>
          <w:color w:val="auto"/>
          <w:sz w:val="44"/>
          <w:szCs w:val="44"/>
          <w:highlight w:val="none"/>
        </w:rPr>
        <w:t>三、技术部分</w:t>
      </w:r>
      <w:bookmarkEnd w:id="2244"/>
      <w:bookmarkEnd w:id="2245"/>
      <w:bookmarkEnd w:id="2248"/>
      <w:bookmarkEnd w:id="2249"/>
    </w:p>
    <w:bookmarkEnd w:id="2246"/>
    <w:bookmarkEnd w:id="2247"/>
    <w:p w14:paraId="01BB60A2">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14:paraId="4E0C571A">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93C800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78AEA8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86906C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E60E8C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0DCE37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E75B1A6">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393A2CF1">
      <w:pPr>
        <w:autoSpaceDE w:val="0"/>
        <w:autoSpaceDN w:val="0"/>
        <w:adjustRightInd w:val="0"/>
        <w:snapToGrid w:val="0"/>
        <w:spacing w:line="360" w:lineRule="auto"/>
        <w:jc w:val="left"/>
        <w:rPr>
          <w:rFonts w:ascii="宋体" w:hAnsi="宋体"/>
          <w:color w:val="auto"/>
          <w:kern w:val="0"/>
          <w:sz w:val="16"/>
          <w:szCs w:val="16"/>
          <w:highlight w:val="none"/>
        </w:rPr>
      </w:pPr>
    </w:p>
    <w:p w14:paraId="00E7146A">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技术部分</w:t>
      </w:r>
    </w:p>
    <w:p w14:paraId="4C3610AE">
      <w:pPr>
        <w:autoSpaceDE w:val="0"/>
        <w:autoSpaceDN w:val="0"/>
        <w:adjustRightInd w:val="0"/>
        <w:snapToGrid w:val="0"/>
        <w:spacing w:line="360" w:lineRule="auto"/>
        <w:jc w:val="left"/>
        <w:rPr>
          <w:rFonts w:ascii="宋体" w:hAnsi="宋体"/>
          <w:b/>
          <w:color w:val="auto"/>
          <w:kern w:val="0"/>
          <w:sz w:val="20"/>
          <w:szCs w:val="20"/>
          <w:highlight w:val="none"/>
        </w:rPr>
      </w:pPr>
    </w:p>
    <w:p w14:paraId="188F8C24">
      <w:pPr>
        <w:autoSpaceDE w:val="0"/>
        <w:autoSpaceDN w:val="0"/>
        <w:adjustRightInd w:val="0"/>
        <w:snapToGrid w:val="0"/>
        <w:spacing w:line="360" w:lineRule="auto"/>
        <w:jc w:val="left"/>
        <w:rPr>
          <w:rFonts w:ascii="宋体" w:hAnsi="宋体"/>
          <w:b/>
          <w:color w:val="auto"/>
          <w:kern w:val="0"/>
          <w:sz w:val="20"/>
          <w:szCs w:val="20"/>
          <w:highlight w:val="none"/>
        </w:rPr>
      </w:pPr>
    </w:p>
    <w:p w14:paraId="7EA43ABF">
      <w:pPr>
        <w:autoSpaceDE w:val="0"/>
        <w:autoSpaceDN w:val="0"/>
        <w:adjustRightInd w:val="0"/>
        <w:snapToGrid w:val="0"/>
        <w:spacing w:line="360" w:lineRule="auto"/>
        <w:jc w:val="left"/>
        <w:rPr>
          <w:rFonts w:ascii="宋体" w:hAnsi="宋体"/>
          <w:b/>
          <w:color w:val="auto"/>
          <w:kern w:val="0"/>
          <w:sz w:val="20"/>
          <w:szCs w:val="20"/>
          <w:highlight w:val="none"/>
        </w:rPr>
      </w:pPr>
    </w:p>
    <w:p w14:paraId="241BB8F7">
      <w:pPr>
        <w:autoSpaceDE w:val="0"/>
        <w:autoSpaceDN w:val="0"/>
        <w:adjustRightInd w:val="0"/>
        <w:snapToGrid w:val="0"/>
        <w:spacing w:line="360" w:lineRule="auto"/>
        <w:jc w:val="left"/>
        <w:rPr>
          <w:rFonts w:ascii="宋体" w:hAnsi="宋体"/>
          <w:b/>
          <w:color w:val="auto"/>
          <w:kern w:val="0"/>
          <w:sz w:val="20"/>
          <w:szCs w:val="20"/>
          <w:highlight w:val="none"/>
        </w:rPr>
      </w:pPr>
    </w:p>
    <w:p w14:paraId="7200F4C4">
      <w:pPr>
        <w:autoSpaceDE w:val="0"/>
        <w:autoSpaceDN w:val="0"/>
        <w:adjustRightInd w:val="0"/>
        <w:snapToGrid w:val="0"/>
        <w:spacing w:line="360" w:lineRule="auto"/>
        <w:jc w:val="left"/>
        <w:rPr>
          <w:rFonts w:ascii="宋体" w:hAnsi="宋体"/>
          <w:b/>
          <w:color w:val="auto"/>
          <w:kern w:val="0"/>
          <w:sz w:val="20"/>
          <w:szCs w:val="20"/>
          <w:highlight w:val="none"/>
        </w:rPr>
      </w:pPr>
    </w:p>
    <w:p w14:paraId="5D0C08D9">
      <w:pPr>
        <w:autoSpaceDE w:val="0"/>
        <w:autoSpaceDN w:val="0"/>
        <w:adjustRightInd w:val="0"/>
        <w:snapToGrid w:val="0"/>
        <w:spacing w:line="360" w:lineRule="auto"/>
        <w:jc w:val="left"/>
        <w:rPr>
          <w:rFonts w:ascii="宋体" w:hAnsi="宋体"/>
          <w:b/>
          <w:color w:val="auto"/>
          <w:kern w:val="0"/>
          <w:sz w:val="20"/>
          <w:szCs w:val="20"/>
          <w:highlight w:val="none"/>
        </w:rPr>
      </w:pPr>
    </w:p>
    <w:p w14:paraId="1E829BEE">
      <w:pPr>
        <w:autoSpaceDE w:val="0"/>
        <w:autoSpaceDN w:val="0"/>
        <w:adjustRightInd w:val="0"/>
        <w:snapToGrid w:val="0"/>
        <w:spacing w:line="360" w:lineRule="auto"/>
        <w:jc w:val="left"/>
        <w:rPr>
          <w:rFonts w:ascii="宋体" w:hAnsi="宋体"/>
          <w:b/>
          <w:color w:val="auto"/>
          <w:kern w:val="0"/>
          <w:sz w:val="20"/>
          <w:szCs w:val="20"/>
          <w:highlight w:val="none"/>
        </w:rPr>
      </w:pPr>
    </w:p>
    <w:p w14:paraId="51E088AB">
      <w:pPr>
        <w:autoSpaceDE w:val="0"/>
        <w:autoSpaceDN w:val="0"/>
        <w:adjustRightInd w:val="0"/>
        <w:snapToGrid w:val="0"/>
        <w:spacing w:line="360" w:lineRule="auto"/>
        <w:jc w:val="left"/>
        <w:rPr>
          <w:rFonts w:ascii="宋体" w:hAnsi="宋体"/>
          <w:b/>
          <w:color w:val="auto"/>
          <w:kern w:val="0"/>
          <w:sz w:val="20"/>
          <w:szCs w:val="20"/>
          <w:highlight w:val="none"/>
        </w:rPr>
      </w:pPr>
    </w:p>
    <w:p w14:paraId="18882FE0">
      <w:pPr>
        <w:autoSpaceDE w:val="0"/>
        <w:autoSpaceDN w:val="0"/>
        <w:adjustRightInd w:val="0"/>
        <w:snapToGrid w:val="0"/>
        <w:spacing w:line="360" w:lineRule="auto"/>
        <w:jc w:val="left"/>
        <w:rPr>
          <w:rFonts w:ascii="宋体" w:hAnsi="宋体"/>
          <w:b/>
          <w:color w:val="auto"/>
          <w:kern w:val="0"/>
          <w:sz w:val="20"/>
          <w:szCs w:val="20"/>
          <w:highlight w:val="none"/>
        </w:rPr>
      </w:pPr>
    </w:p>
    <w:p w14:paraId="4CD29132">
      <w:pPr>
        <w:autoSpaceDE w:val="0"/>
        <w:autoSpaceDN w:val="0"/>
        <w:adjustRightInd w:val="0"/>
        <w:snapToGrid w:val="0"/>
        <w:spacing w:line="360" w:lineRule="auto"/>
        <w:jc w:val="left"/>
        <w:rPr>
          <w:rFonts w:ascii="宋体" w:hAnsi="宋体"/>
          <w:b/>
          <w:color w:val="auto"/>
          <w:kern w:val="0"/>
          <w:sz w:val="20"/>
          <w:szCs w:val="20"/>
          <w:highlight w:val="none"/>
        </w:rPr>
      </w:pPr>
    </w:p>
    <w:p w14:paraId="73C4EAEB">
      <w:pPr>
        <w:autoSpaceDE w:val="0"/>
        <w:autoSpaceDN w:val="0"/>
        <w:adjustRightInd w:val="0"/>
        <w:snapToGrid w:val="0"/>
        <w:spacing w:line="360" w:lineRule="auto"/>
        <w:jc w:val="left"/>
        <w:rPr>
          <w:rFonts w:ascii="宋体" w:hAnsi="宋体"/>
          <w:b/>
          <w:color w:val="auto"/>
          <w:kern w:val="0"/>
          <w:sz w:val="20"/>
          <w:szCs w:val="20"/>
          <w:highlight w:val="none"/>
        </w:rPr>
      </w:pPr>
    </w:p>
    <w:p w14:paraId="69BE7961">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291344E9">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0FFB871">
      <w:pPr>
        <w:autoSpaceDE w:val="0"/>
        <w:autoSpaceDN w:val="0"/>
        <w:adjustRightInd w:val="0"/>
        <w:snapToGrid w:val="0"/>
        <w:spacing w:line="360" w:lineRule="auto"/>
        <w:ind w:firstLine="554"/>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14:paraId="73701F4B">
      <w:pPr>
        <w:autoSpaceDE w:val="0"/>
        <w:autoSpaceDN w:val="0"/>
        <w:adjustRightInd w:val="0"/>
        <w:snapToGrid w:val="0"/>
        <w:spacing w:line="360" w:lineRule="auto"/>
        <w:ind w:firstLine="554"/>
        <w:jc w:val="center"/>
        <w:rPr>
          <w:rFonts w:ascii="宋体" w:hAnsi="宋体"/>
          <w:color w:val="auto"/>
          <w:w w:val="99"/>
          <w:kern w:val="0"/>
          <w:sz w:val="28"/>
          <w:szCs w:val="28"/>
          <w:highlight w:val="none"/>
        </w:rPr>
      </w:pPr>
    </w:p>
    <w:p w14:paraId="2F6536FD">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1EC76D01">
      <w:pPr>
        <w:autoSpaceDE w:val="0"/>
        <w:autoSpaceDN w:val="0"/>
        <w:adjustRightInd w:val="0"/>
        <w:snapToGrid w:val="0"/>
        <w:spacing w:line="360" w:lineRule="auto"/>
        <w:jc w:val="left"/>
        <w:rPr>
          <w:rFonts w:ascii="宋体" w:hAnsi="宋体"/>
          <w:color w:val="auto"/>
          <w:kern w:val="0"/>
          <w:sz w:val="32"/>
          <w:szCs w:val="32"/>
          <w:highlight w:val="none"/>
        </w:rPr>
      </w:pPr>
    </w:p>
    <w:p w14:paraId="3DF38681">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竞选人</w:t>
      </w:r>
      <w:r>
        <w:rPr>
          <w:rFonts w:ascii="宋体" w:hAnsi="宋体"/>
          <w:i/>
          <w:iCs/>
          <w:color w:val="auto"/>
          <w:kern w:val="0"/>
          <w:szCs w:val="21"/>
          <w:highlight w:val="none"/>
        </w:rPr>
        <w:t>自行编制]</w:t>
      </w:r>
    </w:p>
    <w:p w14:paraId="29AD04A7">
      <w:pPr>
        <w:autoSpaceDE w:val="0"/>
        <w:autoSpaceDN w:val="0"/>
        <w:adjustRightInd w:val="0"/>
        <w:snapToGrid w:val="0"/>
        <w:spacing w:line="360" w:lineRule="auto"/>
        <w:jc w:val="left"/>
        <w:rPr>
          <w:rFonts w:ascii="宋体" w:hAnsi="宋体"/>
          <w:color w:val="auto"/>
          <w:w w:val="99"/>
          <w:kern w:val="0"/>
          <w:sz w:val="28"/>
          <w:szCs w:val="28"/>
          <w:highlight w:val="none"/>
        </w:rPr>
      </w:pPr>
    </w:p>
    <w:p w14:paraId="1D62578F">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2250" w:name="_Toc299"/>
      <w:bookmarkStart w:id="2251" w:name="_Toc57905927"/>
      <w:r>
        <w:rPr>
          <w:rStyle w:val="193"/>
          <w:rFonts w:hint="eastAsia"/>
          <w:color w:val="auto"/>
          <w:highlight w:val="none"/>
        </w:rPr>
        <w:t>（一）技术方案</w:t>
      </w:r>
      <w:bookmarkEnd w:id="2250"/>
      <w:bookmarkEnd w:id="2251"/>
    </w:p>
    <w:p w14:paraId="12C340D9">
      <w:pPr>
        <w:autoSpaceDE w:val="0"/>
        <w:autoSpaceDN w:val="0"/>
        <w:adjustRightInd w:val="0"/>
        <w:snapToGrid w:val="0"/>
        <w:spacing w:line="360" w:lineRule="auto"/>
        <w:jc w:val="left"/>
        <w:rPr>
          <w:rFonts w:ascii="宋体" w:hAnsi="宋体"/>
          <w:color w:val="auto"/>
          <w:kern w:val="0"/>
          <w:sz w:val="12"/>
          <w:szCs w:val="12"/>
          <w:highlight w:val="none"/>
        </w:rPr>
      </w:pPr>
    </w:p>
    <w:p w14:paraId="1C539771">
      <w:pPr>
        <w:pStyle w:val="18"/>
        <w:spacing w:line="360" w:lineRule="auto"/>
        <w:ind w:firstLine="420" w:firstLineChars="200"/>
        <w:jc w:val="center"/>
        <w:rPr>
          <w:rFonts w:ascii="宋体" w:hAnsi="宋体"/>
          <w:i/>
          <w:color w:val="auto"/>
          <w:kern w:val="0"/>
          <w:szCs w:val="21"/>
          <w:highlight w:val="none"/>
        </w:rPr>
      </w:pPr>
      <w:r>
        <w:rPr>
          <w:rFonts w:hint="eastAsia" w:ascii="宋体" w:hAnsi="宋体"/>
          <w:i/>
          <w:color w:val="auto"/>
          <w:kern w:val="0"/>
          <w:szCs w:val="21"/>
          <w:highlight w:val="none"/>
        </w:rPr>
        <w:t>[提示：竞选人应根据竞选文件的要求编制技术方案]</w:t>
      </w:r>
    </w:p>
    <w:p w14:paraId="43E7418D">
      <w:pPr>
        <w:autoSpaceDE w:val="0"/>
        <w:autoSpaceDN w:val="0"/>
        <w:adjustRightInd w:val="0"/>
        <w:snapToGrid w:val="0"/>
        <w:spacing w:line="20" w:lineRule="exact"/>
        <w:jc w:val="left"/>
        <w:rPr>
          <w:rFonts w:ascii="宋体" w:hAnsi="宋体"/>
          <w:color w:val="auto"/>
          <w:kern w:val="0"/>
          <w:highlight w:val="none"/>
        </w:rPr>
      </w:pPr>
    </w:p>
    <w:p w14:paraId="2F9A0E99">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br w:type="page"/>
      </w:r>
    </w:p>
    <w:p w14:paraId="6A48720A">
      <w:pPr>
        <w:pStyle w:val="3"/>
        <w:spacing w:line="360" w:lineRule="auto"/>
        <w:jc w:val="center"/>
        <w:rPr>
          <w:rFonts w:ascii="宋体" w:hAnsi="宋体"/>
          <w:b w:val="0"/>
          <w:bCs w:val="0"/>
          <w:color w:val="auto"/>
          <w:sz w:val="44"/>
          <w:szCs w:val="44"/>
          <w:highlight w:val="none"/>
        </w:rPr>
      </w:pPr>
      <w:bookmarkStart w:id="2252" w:name="_Toc287620829"/>
      <w:bookmarkStart w:id="2253" w:name="_Toc287607882"/>
      <w:bookmarkStart w:id="2254" w:name="_Toc224103510"/>
      <w:bookmarkStart w:id="2255" w:name="_Toc277082656"/>
      <w:bookmarkStart w:id="2256" w:name="_Toc430530545"/>
      <w:bookmarkStart w:id="2257" w:name="_Toc27141"/>
      <w:bookmarkStart w:id="2258" w:name="_Toc57905928"/>
      <w:r>
        <w:rPr>
          <w:rFonts w:hint="eastAsia" w:ascii="宋体" w:hAnsi="宋体"/>
          <w:b w:val="0"/>
          <w:bCs w:val="0"/>
          <w:color w:val="auto"/>
          <w:sz w:val="44"/>
          <w:szCs w:val="44"/>
          <w:highlight w:val="none"/>
        </w:rPr>
        <w:t>四、</w:t>
      </w:r>
      <w:bookmarkEnd w:id="2252"/>
      <w:bookmarkEnd w:id="2253"/>
      <w:bookmarkEnd w:id="2254"/>
      <w:bookmarkEnd w:id="2255"/>
      <w:bookmarkEnd w:id="2256"/>
      <w:r>
        <w:rPr>
          <w:rFonts w:hint="eastAsia" w:ascii="宋体" w:hAnsi="宋体"/>
          <w:b w:val="0"/>
          <w:bCs w:val="0"/>
          <w:color w:val="auto"/>
          <w:sz w:val="44"/>
          <w:szCs w:val="44"/>
          <w:highlight w:val="none"/>
        </w:rPr>
        <w:t>资格审查部分</w:t>
      </w:r>
      <w:bookmarkEnd w:id="2257"/>
      <w:bookmarkEnd w:id="2258"/>
    </w:p>
    <w:p w14:paraId="171B689E">
      <w:pPr>
        <w:spacing w:line="360" w:lineRule="auto"/>
        <w:rPr>
          <w:rFonts w:ascii="宋体" w:hAnsi="宋体"/>
          <w:color w:val="auto"/>
          <w:sz w:val="32"/>
          <w:szCs w:val="32"/>
          <w:highlight w:val="none"/>
        </w:rPr>
      </w:pPr>
    </w:p>
    <w:p w14:paraId="5C8BE0CB">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2908406D">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1A237CF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35C89A1">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4690530">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4BD776D">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63C9895">
      <w:pPr>
        <w:autoSpaceDE w:val="0"/>
        <w:autoSpaceDN w:val="0"/>
        <w:adjustRightInd w:val="0"/>
        <w:snapToGrid w:val="0"/>
        <w:spacing w:line="360" w:lineRule="auto"/>
        <w:jc w:val="left"/>
        <w:rPr>
          <w:rFonts w:ascii="宋体" w:hAnsi="宋体"/>
          <w:color w:val="auto"/>
          <w:kern w:val="0"/>
          <w:sz w:val="16"/>
          <w:szCs w:val="16"/>
          <w:highlight w:val="none"/>
        </w:rPr>
      </w:pPr>
    </w:p>
    <w:p w14:paraId="5E497EE7">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61F1D65C">
      <w:pPr>
        <w:autoSpaceDE w:val="0"/>
        <w:autoSpaceDN w:val="0"/>
        <w:adjustRightInd w:val="0"/>
        <w:snapToGrid w:val="0"/>
        <w:spacing w:line="360" w:lineRule="auto"/>
        <w:jc w:val="left"/>
        <w:rPr>
          <w:rFonts w:ascii="宋体" w:hAnsi="宋体" w:cs="MingLiU"/>
          <w:color w:val="auto"/>
          <w:kern w:val="0"/>
          <w:sz w:val="20"/>
          <w:szCs w:val="20"/>
          <w:highlight w:val="none"/>
        </w:rPr>
      </w:pPr>
    </w:p>
    <w:p w14:paraId="4EEBFF2A">
      <w:pPr>
        <w:adjustRightInd w:val="0"/>
        <w:snapToGrid w:val="0"/>
        <w:spacing w:line="264" w:lineRule="auto"/>
        <w:rPr>
          <w:rFonts w:ascii="宋体" w:hAnsi="宋体"/>
          <w:color w:val="auto"/>
          <w:szCs w:val="21"/>
          <w:highlight w:val="none"/>
        </w:rPr>
      </w:pPr>
    </w:p>
    <w:p w14:paraId="6D1D2A02">
      <w:pPr>
        <w:autoSpaceDE w:val="0"/>
        <w:autoSpaceDN w:val="0"/>
        <w:adjustRightInd w:val="0"/>
        <w:snapToGrid w:val="0"/>
        <w:spacing w:line="360" w:lineRule="auto"/>
        <w:jc w:val="left"/>
        <w:rPr>
          <w:rFonts w:ascii="宋体" w:hAnsi="宋体" w:cs="MingLiU"/>
          <w:color w:val="auto"/>
          <w:kern w:val="0"/>
          <w:sz w:val="20"/>
          <w:szCs w:val="20"/>
          <w:highlight w:val="none"/>
        </w:rPr>
      </w:pPr>
    </w:p>
    <w:p w14:paraId="33E48EA1">
      <w:pPr>
        <w:autoSpaceDE w:val="0"/>
        <w:autoSpaceDN w:val="0"/>
        <w:adjustRightInd w:val="0"/>
        <w:snapToGrid w:val="0"/>
        <w:spacing w:line="360" w:lineRule="auto"/>
        <w:jc w:val="left"/>
        <w:rPr>
          <w:rFonts w:ascii="宋体" w:hAnsi="宋体" w:cs="MingLiU"/>
          <w:color w:val="auto"/>
          <w:kern w:val="0"/>
          <w:sz w:val="20"/>
          <w:szCs w:val="20"/>
          <w:highlight w:val="none"/>
        </w:rPr>
      </w:pPr>
    </w:p>
    <w:p w14:paraId="1C64E375">
      <w:pPr>
        <w:autoSpaceDE w:val="0"/>
        <w:autoSpaceDN w:val="0"/>
        <w:adjustRightInd w:val="0"/>
        <w:snapToGrid w:val="0"/>
        <w:spacing w:line="360" w:lineRule="auto"/>
        <w:jc w:val="left"/>
        <w:rPr>
          <w:rFonts w:ascii="宋体" w:hAnsi="宋体" w:cs="MingLiU"/>
          <w:color w:val="auto"/>
          <w:kern w:val="0"/>
          <w:sz w:val="20"/>
          <w:szCs w:val="20"/>
          <w:highlight w:val="none"/>
        </w:rPr>
      </w:pPr>
    </w:p>
    <w:p w14:paraId="2950533D">
      <w:pPr>
        <w:autoSpaceDE w:val="0"/>
        <w:autoSpaceDN w:val="0"/>
        <w:adjustRightInd w:val="0"/>
        <w:snapToGrid w:val="0"/>
        <w:spacing w:line="360" w:lineRule="auto"/>
        <w:jc w:val="left"/>
        <w:rPr>
          <w:rFonts w:ascii="宋体" w:hAnsi="宋体" w:cs="MingLiU"/>
          <w:color w:val="auto"/>
          <w:kern w:val="0"/>
          <w:sz w:val="20"/>
          <w:szCs w:val="20"/>
          <w:highlight w:val="none"/>
        </w:rPr>
      </w:pPr>
    </w:p>
    <w:p w14:paraId="43625B76">
      <w:pPr>
        <w:autoSpaceDE w:val="0"/>
        <w:autoSpaceDN w:val="0"/>
        <w:adjustRightInd w:val="0"/>
        <w:snapToGrid w:val="0"/>
        <w:spacing w:line="360" w:lineRule="auto"/>
        <w:jc w:val="left"/>
        <w:rPr>
          <w:rFonts w:ascii="宋体" w:hAnsi="宋体" w:cs="MingLiU"/>
          <w:color w:val="auto"/>
          <w:kern w:val="0"/>
          <w:sz w:val="20"/>
          <w:szCs w:val="20"/>
          <w:highlight w:val="none"/>
        </w:rPr>
      </w:pPr>
    </w:p>
    <w:p w14:paraId="4A5F3D4C">
      <w:pPr>
        <w:autoSpaceDE w:val="0"/>
        <w:autoSpaceDN w:val="0"/>
        <w:adjustRightInd w:val="0"/>
        <w:snapToGrid w:val="0"/>
        <w:spacing w:line="360" w:lineRule="auto"/>
        <w:jc w:val="left"/>
        <w:rPr>
          <w:rFonts w:ascii="宋体" w:hAnsi="宋体" w:cs="MingLiU"/>
          <w:color w:val="auto"/>
          <w:kern w:val="0"/>
          <w:sz w:val="20"/>
          <w:szCs w:val="20"/>
          <w:highlight w:val="none"/>
        </w:rPr>
      </w:pPr>
    </w:p>
    <w:p w14:paraId="6273BC4F">
      <w:pPr>
        <w:autoSpaceDE w:val="0"/>
        <w:autoSpaceDN w:val="0"/>
        <w:adjustRightInd w:val="0"/>
        <w:snapToGrid w:val="0"/>
        <w:spacing w:line="360" w:lineRule="auto"/>
        <w:jc w:val="left"/>
        <w:rPr>
          <w:rFonts w:ascii="宋体" w:hAnsi="宋体" w:cs="MingLiU"/>
          <w:color w:val="auto"/>
          <w:kern w:val="0"/>
          <w:sz w:val="20"/>
          <w:szCs w:val="20"/>
          <w:highlight w:val="none"/>
        </w:rPr>
      </w:pPr>
    </w:p>
    <w:p w14:paraId="06F49027">
      <w:pPr>
        <w:autoSpaceDE w:val="0"/>
        <w:autoSpaceDN w:val="0"/>
        <w:adjustRightInd w:val="0"/>
        <w:snapToGrid w:val="0"/>
        <w:spacing w:line="360" w:lineRule="auto"/>
        <w:jc w:val="left"/>
        <w:rPr>
          <w:rFonts w:ascii="宋体" w:hAnsi="宋体" w:cs="MingLiU"/>
          <w:color w:val="auto"/>
          <w:kern w:val="0"/>
          <w:sz w:val="20"/>
          <w:szCs w:val="20"/>
          <w:highlight w:val="none"/>
        </w:rPr>
      </w:pPr>
    </w:p>
    <w:p w14:paraId="1258E4C2">
      <w:pPr>
        <w:autoSpaceDE w:val="0"/>
        <w:autoSpaceDN w:val="0"/>
        <w:adjustRightInd w:val="0"/>
        <w:snapToGrid w:val="0"/>
        <w:spacing w:line="360" w:lineRule="auto"/>
        <w:jc w:val="left"/>
        <w:rPr>
          <w:rFonts w:ascii="宋体" w:hAnsi="宋体" w:cs="MingLiU"/>
          <w:color w:val="auto"/>
          <w:kern w:val="0"/>
          <w:sz w:val="20"/>
          <w:szCs w:val="20"/>
          <w:highlight w:val="none"/>
        </w:rPr>
      </w:pPr>
    </w:p>
    <w:p w14:paraId="48063931">
      <w:pPr>
        <w:autoSpaceDE w:val="0"/>
        <w:autoSpaceDN w:val="0"/>
        <w:adjustRightInd w:val="0"/>
        <w:snapToGrid w:val="0"/>
        <w:spacing w:line="360" w:lineRule="auto"/>
        <w:jc w:val="left"/>
        <w:rPr>
          <w:rFonts w:ascii="宋体" w:hAnsi="宋体" w:cs="MingLiU"/>
          <w:color w:val="auto"/>
          <w:kern w:val="0"/>
          <w:sz w:val="20"/>
          <w:szCs w:val="20"/>
          <w:highlight w:val="none"/>
        </w:rPr>
      </w:pPr>
    </w:p>
    <w:p w14:paraId="4986D84A">
      <w:pPr>
        <w:autoSpaceDE w:val="0"/>
        <w:autoSpaceDN w:val="0"/>
        <w:adjustRightInd w:val="0"/>
        <w:snapToGrid w:val="0"/>
        <w:spacing w:line="360" w:lineRule="auto"/>
        <w:jc w:val="left"/>
        <w:rPr>
          <w:rFonts w:ascii="宋体" w:hAnsi="宋体" w:cs="MingLiU"/>
          <w:color w:val="auto"/>
          <w:kern w:val="0"/>
          <w:sz w:val="20"/>
          <w:szCs w:val="20"/>
          <w:highlight w:val="none"/>
        </w:rPr>
      </w:pPr>
    </w:p>
    <w:p w14:paraId="1D294FA5">
      <w:pPr>
        <w:autoSpaceDE w:val="0"/>
        <w:autoSpaceDN w:val="0"/>
        <w:adjustRightInd w:val="0"/>
        <w:snapToGrid w:val="0"/>
        <w:spacing w:line="360" w:lineRule="auto"/>
        <w:jc w:val="left"/>
        <w:rPr>
          <w:rFonts w:ascii="宋体" w:hAnsi="宋体" w:cs="MingLiU"/>
          <w:color w:val="auto"/>
          <w:kern w:val="0"/>
          <w:sz w:val="20"/>
          <w:szCs w:val="20"/>
          <w:highlight w:val="none"/>
        </w:rPr>
      </w:pPr>
    </w:p>
    <w:p w14:paraId="5EF8F08B">
      <w:pPr>
        <w:autoSpaceDE w:val="0"/>
        <w:autoSpaceDN w:val="0"/>
        <w:adjustRightInd w:val="0"/>
        <w:snapToGrid w:val="0"/>
        <w:spacing w:line="360" w:lineRule="auto"/>
        <w:jc w:val="left"/>
        <w:rPr>
          <w:rFonts w:ascii="宋体" w:hAnsi="宋体" w:cs="MingLiU"/>
          <w:color w:val="auto"/>
          <w:kern w:val="0"/>
          <w:sz w:val="20"/>
          <w:szCs w:val="20"/>
          <w:highlight w:val="none"/>
        </w:rPr>
      </w:pPr>
    </w:p>
    <w:p w14:paraId="5EE3C310">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2FD4D69F">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AE00E44">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7363222">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41A8603A">
      <w:pPr>
        <w:spacing w:line="360" w:lineRule="auto"/>
        <w:jc w:val="center"/>
        <w:rPr>
          <w:rFonts w:ascii="宋体" w:hAnsi="宋体"/>
          <w:b/>
          <w:color w:val="auto"/>
          <w:kern w:val="0"/>
          <w:sz w:val="32"/>
          <w:szCs w:val="32"/>
          <w:highlight w:val="none"/>
        </w:rPr>
      </w:pPr>
    </w:p>
    <w:p w14:paraId="32AFA0BB">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6461DBA4">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竞选人</w:t>
      </w:r>
      <w:r>
        <w:rPr>
          <w:rFonts w:ascii="宋体" w:hAnsi="宋体"/>
          <w:color w:val="auto"/>
          <w:szCs w:val="21"/>
          <w:highlight w:val="none"/>
        </w:rPr>
        <w:t>基本情况表</w:t>
      </w:r>
    </w:p>
    <w:p w14:paraId="0DEB6C06">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281EA849">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0CA386F0">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1DAA49CF">
      <w:pPr>
        <w:spacing w:line="360" w:lineRule="auto"/>
        <w:ind w:firstLine="643" w:firstLineChars="200"/>
        <w:rPr>
          <w:rFonts w:ascii="宋体" w:hAnsi="宋体"/>
          <w:b/>
          <w:color w:val="auto"/>
          <w:kern w:val="0"/>
          <w:sz w:val="32"/>
          <w:szCs w:val="32"/>
          <w:highlight w:val="none"/>
        </w:rPr>
      </w:pPr>
    </w:p>
    <w:p w14:paraId="7DAEF439">
      <w:pPr>
        <w:pStyle w:val="4"/>
        <w:jc w:val="center"/>
        <w:rPr>
          <w:rFonts w:ascii="宋体" w:hAnsi="宋体"/>
          <w:snapToGrid w:val="0"/>
          <w:color w:val="auto"/>
          <w:kern w:val="0"/>
          <w:sz w:val="30"/>
          <w:szCs w:val="30"/>
          <w:highlight w:val="none"/>
        </w:rPr>
      </w:pPr>
      <w:r>
        <w:rPr>
          <w:rFonts w:ascii="宋体" w:hAnsi="宋体"/>
          <w:color w:val="auto"/>
          <w:highlight w:val="none"/>
        </w:rPr>
        <w:br w:type="page"/>
      </w:r>
      <w:bookmarkStart w:id="2259" w:name="_Toc5633"/>
      <w:bookmarkStart w:id="2260" w:name="_Toc57905929"/>
      <w:bookmarkStart w:id="2261" w:name="_Toc277082657"/>
      <w:bookmarkStart w:id="2262" w:name="_Toc287607883"/>
      <w:bookmarkStart w:id="2263" w:name="_Toc287620830"/>
      <w:bookmarkStart w:id="2264" w:name="_Toc430530546"/>
      <w:bookmarkStart w:id="2265" w:name="_Toc224103511"/>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2259"/>
      <w:bookmarkEnd w:id="2260"/>
    </w:p>
    <w:p w14:paraId="74BFEB5C">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4508E3B9">
      <w:pPr>
        <w:spacing w:line="480" w:lineRule="auto"/>
        <w:jc w:val="center"/>
        <w:rPr>
          <w:rFonts w:ascii="宋体" w:hAnsi="宋体"/>
          <w:color w:val="auto"/>
          <w:highlight w:val="none"/>
        </w:rPr>
      </w:pPr>
    </w:p>
    <w:p w14:paraId="1ABE9876">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8ECA1A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2E12160">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26F21F">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6819A4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1EEC8CE">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5F5ECDD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3F050F5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43833EFE">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768BAEA4">
      <w:pPr>
        <w:autoSpaceDE w:val="0"/>
        <w:autoSpaceDN w:val="0"/>
        <w:adjustRightInd w:val="0"/>
        <w:snapToGrid w:val="0"/>
        <w:spacing w:line="360" w:lineRule="auto"/>
        <w:jc w:val="left"/>
        <w:rPr>
          <w:rFonts w:ascii="宋体" w:hAnsi="宋体"/>
          <w:color w:val="auto"/>
          <w:szCs w:val="21"/>
          <w:highlight w:val="none"/>
        </w:rPr>
      </w:pPr>
    </w:p>
    <w:p w14:paraId="454F87D1">
      <w:pPr>
        <w:pStyle w:val="18"/>
        <w:spacing w:after="0" w:line="360" w:lineRule="auto"/>
        <w:rPr>
          <w:rFonts w:ascii="宋体" w:hAnsi="宋体"/>
          <w:color w:val="auto"/>
          <w:szCs w:val="21"/>
          <w:highlight w:val="none"/>
        </w:rPr>
      </w:pPr>
    </w:p>
    <w:p w14:paraId="3012DFA1">
      <w:pPr>
        <w:pStyle w:val="18"/>
        <w:spacing w:after="0" w:line="360" w:lineRule="auto"/>
        <w:rPr>
          <w:rFonts w:ascii="宋体" w:hAnsi="宋体"/>
          <w:color w:val="auto"/>
          <w:szCs w:val="21"/>
          <w:highlight w:val="none"/>
        </w:rPr>
      </w:pPr>
    </w:p>
    <w:p w14:paraId="231007C7">
      <w:pPr>
        <w:pStyle w:val="18"/>
        <w:spacing w:after="0" w:line="360" w:lineRule="auto"/>
        <w:rPr>
          <w:rFonts w:ascii="宋体" w:hAnsi="宋体"/>
          <w:color w:val="auto"/>
          <w:szCs w:val="21"/>
          <w:highlight w:val="none"/>
        </w:rPr>
      </w:pPr>
    </w:p>
    <w:p w14:paraId="5C2CCE73">
      <w:pPr>
        <w:pStyle w:val="18"/>
        <w:spacing w:after="0" w:line="360" w:lineRule="auto"/>
        <w:rPr>
          <w:rFonts w:ascii="宋体" w:hAnsi="宋体"/>
          <w:color w:val="auto"/>
          <w:szCs w:val="21"/>
          <w:highlight w:val="none"/>
        </w:rPr>
      </w:pPr>
    </w:p>
    <w:p w14:paraId="31021ECC">
      <w:pPr>
        <w:pStyle w:val="18"/>
        <w:spacing w:after="0" w:line="360" w:lineRule="auto"/>
        <w:rPr>
          <w:rFonts w:ascii="宋体" w:hAnsi="宋体"/>
          <w:color w:val="auto"/>
          <w:szCs w:val="21"/>
          <w:highlight w:val="none"/>
        </w:rPr>
      </w:pPr>
    </w:p>
    <w:p w14:paraId="51B0C933">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7FBB23BD">
      <w:pPr>
        <w:autoSpaceDE w:val="0"/>
        <w:autoSpaceDN w:val="0"/>
        <w:adjustRightInd w:val="0"/>
        <w:snapToGrid w:val="0"/>
        <w:spacing w:line="480" w:lineRule="auto"/>
        <w:jc w:val="left"/>
        <w:rPr>
          <w:rFonts w:ascii="宋体" w:hAnsi="宋体"/>
          <w:color w:val="auto"/>
          <w:kern w:val="0"/>
          <w:sz w:val="20"/>
          <w:szCs w:val="20"/>
          <w:highlight w:val="none"/>
        </w:rPr>
      </w:pPr>
    </w:p>
    <w:p w14:paraId="0EE93C5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F0E2CF2">
      <w:pPr>
        <w:autoSpaceDE w:val="0"/>
        <w:autoSpaceDN w:val="0"/>
        <w:adjustRightInd w:val="0"/>
        <w:snapToGrid w:val="0"/>
        <w:spacing w:line="360" w:lineRule="auto"/>
        <w:jc w:val="left"/>
        <w:rPr>
          <w:rFonts w:ascii="宋体" w:hAnsi="宋体"/>
          <w:color w:val="auto"/>
          <w:kern w:val="0"/>
          <w:highlight w:val="none"/>
        </w:rPr>
      </w:pPr>
    </w:p>
    <w:p w14:paraId="3695DF3D">
      <w:pPr>
        <w:autoSpaceDE w:val="0"/>
        <w:autoSpaceDN w:val="0"/>
        <w:adjustRightInd w:val="0"/>
        <w:snapToGrid w:val="0"/>
        <w:spacing w:line="360" w:lineRule="auto"/>
        <w:jc w:val="left"/>
        <w:rPr>
          <w:rFonts w:ascii="宋体" w:hAnsi="宋体"/>
          <w:color w:val="auto"/>
          <w:kern w:val="0"/>
          <w:highlight w:val="none"/>
        </w:rPr>
      </w:pPr>
    </w:p>
    <w:p w14:paraId="238A8416">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2261"/>
      <w:bookmarkEnd w:id="2262"/>
      <w:bookmarkEnd w:id="2263"/>
      <w:bookmarkEnd w:id="2264"/>
      <w:bookmarkEnd w:id="2265"/>
      <w:r>
        <w:rPr>
          <w:rFonts w:hint="eastAsia" w:ascii="宋体" w:hAnsi="宋体"/>
          <w:color w:val="auto"/>
          <w:kern w:val="0"/>
          <w:szCs w:val="21"/>
          <w:highlight w:val="none"/>
        </w:rPr>
        <w:t>。</w:t>
      </w:r>
    </w:p>
    <w:p w14:paraId="01709E9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53C6A7CC">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5636C87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005171A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58D63C1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0CB1DF1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924395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EEC53F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42C4C18">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3E67152">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A02E70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C33F40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420ECF11">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33D65B8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D2AC05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69A561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16FFE1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C328C4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4D007BC">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6F43D7D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1500FA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2648A284">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76E6ACE">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3328C6A7">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060B5025">
      <w:pPr>
        <w:pStyle w:val="4"/>
        <w:spacing w:before="0" w:after="0" w:line="240" w:lineRule="auto"/>
        <w:jc w:val="center"/>
        <w:rPr>
          <w:rFonts w:ascii="宋体" w:hAnsi="宋体"/>
          <w:color w:val="auto"/>
          <w:highlight w:val="none"/>
        </w:rPr>
      </w:pPr>
      <w:bookmarkStart w:id="2266" w:name="_Toc57905931"/>
      <w:bookmarkStart w:id="2267" w:name="_Toc277082659"/>
      <w:bookmarkStart w:id="2268" w:name="_Toc287607887"/>
      <w:r>
        <w:rPr>
          <w:rFonts w:hint="eastAsia" w:ascii="宋体" w:hAnsi="宋体"/>
          <w:b w:val="0"/>
          <w:bCs w:val="0"/>
          <w:color w:val="auto"/>
          <w:highlight w:val="none"/>
        </w:rPr>
        <w:t>（二）竞选人基本情况表</w:t>
      </w:r>
      <w:bookmarkEnd w:id="2266"/>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8ED66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E605C7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竞选人名称</w:t>
            </w:r>
          </w:p>
        </w:tc>
        <w:tc>
          <w:tcPr>
            <w:tcW w:w="7607" w:type="dxa"/>
            <w:gridSpan w:val="9"/>
            <w:vAlign w:val="center"/>
          </w:tcPr>
          <w:p w14:paraId="1C9290CA">
            <w:pPr>
              <w:autoSpaceDE w:val="0"/>
              <w:autoSpaceDN w:val="0"/>
              <w:adjustRightInd w:val="0"/>
              <w:snapToGrid w:val="0"/>
              <w:jc w:val="center"/>
              <w:rPr>
                <w:rFonts w:ascii="宋体" w:hAnsi="宋体"/>
                <w:color w:val="auto"/>
                <w:kern w:val="0"/>
                <w:szCs w:val="21"/>
                <w:highlight w:val="none"/>
              </w:rPr>
            </w:pPr>
          </w:p>
        </w:tc>
      </w:tr>
      <w:tr w14:paraId="022176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E3097D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7106148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CFBEF8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7D273BCA">
            <w:pPr>
              <w:autoSpaceDE w:val="0"/>
              <w:autoSpaceDN w:val="0"/>
              <w:adjustRightInd w:val="0"/>
              <w:snapToGrid w:val="0"/>
              <w:jc w:val="center"/>
              <w:rPr>
                <w:rFonts w:ascii="宋体" w:hAnsi="宋体"/>
                <w:color w:val="auto"/>
                <w:kern w:val="0"/>
                <w:szCs w:val="21"/>
                <w:highlight w:val="none"/>
              </w:rPr>
            </w:pPr>
          </w:p>
        </w:tc>
      </w:tr>
      <w:tr w14:paraId="08827F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6EFC338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287A9B8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2FFEC846">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4D3408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42DB71BF">
            <w:pPr>
              <w:autoSpaceDE w:val="0"/>
              <w:autoSpaceDN w:val="0"/>
              <w:adjustRightInd w:val="0"/>
              <w:snapToGrid w:val="0"/>
              <w:jc w:val="center"/>
              <w:rPr>
                <w:rFonts w:ascii="宋体" w:hAnsi="宋体"/>
                <w:color w:val="auto"/>
                <w:kern w:val="0"/>
                <w:szCs w:val="21"/>
                <w:highlight w:val="none"/>
              </w:rPr>
            </w:pPr>
          </w:p>
        </w:tc>
      </w:tr>
      <w:tr w14:paraId="6AB4C7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1A95A2A3">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3966EFBA">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178B139C">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5A71C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7065FD9F">
            <w:pPr>
              <w:autoSpaceDE w:val="0"/>
              <w:autoSpaceDN w:val="0"/>
              <w:adjustRightInd w:val="0"/>
              <w:snapToGrid w:val="0"/>
              <w:jc w:val="center"/>
              <w:rPr>
                <w:rFonts w:ascii="宋体" w:hAnsi="宋体"/>
                <w:color w:val="auto"/>
                <w:kern w:val="0"/>
                <w:szCs w:val="21"/>
                <w:highlight w:val="none"/>
              </w:rPr>
            </w:pPr>
          </w:p>
        </w:tc>
      </w:tr>
      <w:tr w14:paraId="546291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73046B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624BA07A">
            <w:pPr>
              <w:autoSpaceDE w:val="0"/>
              <w:autoSpaceDN w:val="0"/>
              <w:adjustRightInd w:val="0"/>
              <w:snapToGrid w:val="0"/>
              <w:jc w:val="center"/>
              <w:rPr>
                <w:rFonts w:ascii="宋体" w:hAnsi="宋体"/>
                <w:color w:val="auto"/>
                <w:kern w:val="0"/>
                <w:szCs w:val="21"/>
                <w:highlight w:val="none"/>
              </w:rPr>
            </w:pPr>
          </w:p>
        </w:tc>
      </w:tr>
      <w:tr w14:paraId="7F02D3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156F29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3B7D64E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7C1CD2EB">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B2059A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08B83783">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57E18D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7A2EA00">
            <w:pPr>
              <w:autoSpaceDE w:val="0"/>
              <w:autoSpaceDN w:val="0"/>
              <w:adjustRightInd w:val="0"/>
              <w:snapToGrid w:val="0"/>
              <w:jc w:val="center"/>
              <w:rPr>
                <w:rFonts w:ascii="宋体" w:hAnsi="宋体"/>
                <w:color w:val="auto"/>
                <w:kern w:val="0"/>
                <w:szCs w:val="21"/>
                <w:highlight w:val="none"/>
              </w:rPr>
            </w:pPr>
          </w:p>
        </w:tc>
      </w:tr>
      <w:tr w14:paraId="4B6405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715174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69AB93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0192B4A5">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2C5ED4C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3EEE56BC">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579DDA7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69BAB363">
            <w:pPr>
              <w:autoSpaceDE w:val="0"/>
              <w:autoSpaceDN w:val="0"/>
              <w:adjustRightInd w:val="0"/>
              <w:snapToGrid w:val="0"/>
              <w:jc w:val="center"/>
              <w:rPr>
                <w:rFonts w:ascii="宋体" w:hAnsi="宋体"/>
                <w:color w:val="auto"/>
                <w:kern w:val="0"/>
                <w:szCs w:val="21"/>
                <w:highlight w:val="none"/>
              </w:rPr>
            </w:pPr>
          </w:p>
        </w:tc>
      </w:tr>
      <w:tr w14:paraId="0C9AFF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858F0E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382C5BDC">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2F23A41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77676E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50E316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57D04713">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3D7B5E7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2030B7E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27AC85B7">
            <w:pPr>
              <w:autoSpaceDE w:val="0"/>
              <w:autoSpaceDN w:val="0"/>
              <w:adjustRightInd w:val="0"/>
              <w:snapToGrid w:val="0"/>
              <w:jc w:val="center"/>
              <w:rPr>
                <w:rFonts w:ascii="宋体" w:hAnsi="宋体"/>
                <w:color w:val="auto"/>
                <w:kern w:val="0"/>
                <w:szCs w:val="21"/>
                <w:highlight w:val="none"/>
              </w:rPr>
            </w:pPr>
          </w:p>
        </w:tc>
      </w:tr>
      <w:tr w14:paraId="090C6B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DAED8F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8DF182C">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31E196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AF7EA6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AE2AE8C">
            <w:pPr>
              <w:autoSpaceDE w:val="0"/>
              <w:autoSpaceDN w:val="0"/>
              <w:adjustRightInd w:val="0"/>
              <w:snapToGrid w:val="0"/>
              <w:jc w:val="center"/>
              <w:rPr>
                <w:rFonts w:ascii="宋体" w:hAnsi="宋体"/>
                <w:color w:val="auto"/>
                <w:kern w:val="0"/>
                <w:szCs w:val="21"/>
                <w:highlight w:val="none"/>
              </w:rPr>
            </w:pPr>
          </w:p>
        </w:tc>
      </w:tr>
      <w:tr w14:paraId="4CAA31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BD79D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2ABBA62C">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9CBBEA4">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B959D9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6A88A364">
            <w:pPr>
              <w:autoSpaceDE w:val="0"/>
              <w:autoSpaceDN w:val="0"/>
              <w:adjustRightInd w:val="0"/>
              <w:snapToGrid w:val="0"/>
              <w:jc w:val="center"/>
              <w:rPr>
                <w:rFonts w:ascii="宋体" w:hAnsi="宋体"/>
                <w:color w:val="auto"/>
                <w:kern w:val="0"/>
                <w:szCs w:val="21"/>
                <w:highlight w:val="none"/>
              </w:rPr>
            </w:pPr>
          </w:p>
        </w:tc>
      </w:tr>
      <w:tr w14:paraId="353903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C3F1D2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5AD9FEB7">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E66F614">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F3687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6A30FE9A">
            <w:pPr>
              <w:autoSpaceDE w:val="0"/>
              <w:autoSpaceDN w:val="0"/>
              <w:adjustRightInd w:val="0"/>
              <w:snapToGrid w:val="0"/>
              <w:jc w:val="center"/>
              <w:rPr>
                <w:rFonts w:ascii="宋体" w:hAnsi="宋体"/>
                <w:color w:val="auto"/>
                <w:kern w:val="0"/>
                <w:szCs w:val="21"/>
                <w:highlight w:val="none"/>
              </w:rPr>
            </w:pPr>
          </w:p>
        </w:tc>
      </w:tr>
      <w:tr w14:paraId="585AC7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A8BD61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3FADADE9">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72B2A2B">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C7A7C57">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59094649">
            <w:pPr>
              <w:autoSpaceDE w:val="0"/>
              <w:autoSpaceDN w:val="0"/>
              <w:adjustRightInd w:val="0"/>
              <w:snapToGrid w:val="0"/>
              <w:jc w:val="center"/>
              <w:rPr>
                <w:rFonts w:ascii="宋体" w:hAnsi="宋体"/>
                <w:color w:val="auto"/>
                <w:kern w:val="0"/>
                <w:szCs w:val="21"/>
                <w:highlight w:val="none"/>
              </w:rPr>
            </w:pPr>
          </w:p>
        </w:tc>
      </w:tr>
      <w:tr w14:paraId="361C3E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24B3A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76FE50DD">
            <w:pPr>
              <w:autoSpaceDE w:val="0"/>
              <w:autoSpaceDN w:val="0"/>
              <w:adjustRightInd w:val="0"/>
              <w:snapToGrid w:val="0"/>
              <w:jc w:val="center"/>
              <w:rPr>
                <w:rFonts w:ascii="宋体" w:hAnsi="宋体"/>
                <w:color w:val="auto"/>
                <w:kern w:val="0"/>
                <w:szCs w:val="21"/>
                <w:highlight w:val="none"/>
              </w:rPr>
            </w:pPr>
          </w:p>
        </w:tc>
      </w:tr>
      <w:tr w14:paraId="4D128E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8DCAF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6714FA73">
            <w:pPr>
              <w:autoSpaceDE w:val="0"/>
              <w:autoSpaceDN w:val="0"/>
              <w:adjustRightInd w:val="0"/>
              <w:snapToGrid w:val="0"/>
              <w:jc w:val="center"/>
              <w:rPr>
                <w:rFonts w:ascii="宋体" w:hAnsi="宋体"/>
                <w:color w:val="auto"/>
                <w:kern w:val="0"/>
                <w:szCs w:val="21"/>
                <w:highlight w:val="none"/>
              </w:rPr>
            </w:pPr>
          </w:p>
        </w:tc>
      </w:tr>
    </w:tbl>
    <w:p w14:paraId="052FFCDC">
      <w:pPr>
        <w:spacing w:line="360" w:lineRule="auto"/>
        <w:jc w:val="center"/>
        <w:rPr>
          <w:rFonts w:ascii="宋体" w:hAnsi="宋体"/>
          <w:color w:val="auto"/>
          <w:szCs w:val="21"/>
          <w:highlight w:val="none"/>
        </w:rPr>
      </w:pPr>
    </w:p>
    <w:p w14:paraId="4CE994CC">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2269" w:name="_Toc509218863"/>
      <w:bookmarkStart w:id="2270" w:name="_Toc534185840"/>
      <w:bookmarkStart w:id="2271" w:name="_Toc57905932"/>
      <w:r>
        <w:rPr>
          <w:rFonts w:hint="eastAsia" w:ascii="宋体" w:hAnsi="宋体"/>
          <w:b w:val="0"/>
          <w:bCs w:val="0"/>
          <w:color w:val="auto"/>
          <w:highlight w:val="none"/>
        </w:rPr>
        <w:t>（三）项目管理机构</w:t>
      </w:r>
      <w:bookmarkEnd w:id="2269"/>
      <w:bookmarkEnd w:id="2270"/>
      <w:bookmarkEnd w:id="2271"/>
    </w:p>
    <w:p w14:paraId="73257EC0">
      <w:pPr>
        <w:spacing w:line="360" w:lineRule="auto"/>
        <w:rPr>
          <w:rFonts w:ascii="宋体" w:hAnsi="宋体"/>
          <w:color w:val="auto"/>
          <w:highlight w:val="none"/>
        </w:rPr>
      </w:pPr>
    </w:p>
    <w:p w14:paraId="773123FA">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36C163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4E00B20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540C0C9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373F4F2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4B28DC9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7E91715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39EE67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548B4F1E">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66AA601C">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4AD9DEB2">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721A935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7A5E1CA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5A7469C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22277ED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0D9595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235C98CD">
            <w:pPr>
              <w:autoSpaceDE w:val="0"/>
              <w:autoSpaceDN w:val="0"/>
              <w:adjustRightInd w:val="0"/>
              <w:snapToGrid w:val="0"/>
              <w:jc w:val="left"/>
              <w:rPr>
                <w:rFonts w:ascii="宋体" w:hAnsi="宋体"/>
                <w:color w:val="auto"/>
                <w:kern w:val="0"/>
                <w:szCs w:val="21"/>
                <w:highlight w:val="none"/>
              </w:rPr>
            </w:pPr>
          </w:p>
        </w:tc>
      </w:tr>
      <w:tr w14:paraId="6042E3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60A47A3C">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704EC13C">
            <w:pPr>
              <w:autoSpaceDE w:val="0"/>
              <w:autoSpaceDN w:val="0"/>
              <w:adjustRightInd w:val="0"/>
              <w:snapToGrid w:val="0"/>
              <w:jc w:val="left"/>
              <w:rPr>
                <w:rFonts w:ascii="宋体" w:hAnsi="宋体"/>
                <w:color w:val="auto"/>
                <w:kern w:val="0"/>
                <w:szCs w:val="21"/>
                <w:highlight w:val="none"/>
              </w:rPr>
            </w:pPr>
          </w:p>
        </w:tc>
        <w:tc>
          <w:tcPr>
            <w:tcW w:w="776" w:type="dxa"/>
          </w:tcPr>
          <w:p w14:paraId="351E9616">
            <w:pPr>
              <w:autoSpaceDE w:val="0"/>
              <w:autoSpaceDN w:val="0"/>
              <w:adjustRightInd w:val="0"/>
              <w:snapToGrid w:val="0"/>
              <w:jc w:val="left"/>
              <w:rPr>
                <w:rFonts w:ascii="宋体" w:hAnsi="宋体"/>
                <w:color w:val="auto"/>
                <w:kern w:val="0"/>
                <w:szCs w:val="21"/>
                <w:highlight w:val="none"/>
              </w:rPr>
            </w:pPr>
          </w:p>
        </w:tc>
        <w:tc>
          <w:tcPr>
            <w:tcW w:w="1167" w:type="dxa"/>
          </w:tcPr>
          <w:p w14:paraId="2E637605">
            <w:pPr>
              <w:autoSpaceDE w:val="0"/>
              <w:autoSpaceDN w:val="0"/>
              <w:adjustRightInd w:val="0"/>
              <w:snapToGrid w:val="0"/>
              <w:jc w:val="left"/>
              <w:rPr>
                <w:rFonts w:ascii="宋体" w:hAnsi="宋体"/>
                <w:color w:val="auto"/>
                <w:kern w:val="0"/>
                <w:szCs w:val="21"/>
                <w:highlight w:val="none"/>
              </w:rPr>
            </w:pPr>
          </w:p>
        </w:tc>
        <w:tc>
          <w:tcPr>
            <w:tcW w:w="776" w:type="dxa"/>
          </w:tcPr>
          <w:p w14:paraId="0FC28EFB">
            <w:pPr>
              <w:autoSpaceDE w:val="0"/>
              <w:autoSpaceDN w:val="0"/>
              <w:adjustRightInd w:val="0"/>
              <w:snapToGrid w:val="0"/>
              <w:jc w:val="left"/>
              <w:rPr>
                <w:rFonts w:ascii="宋体" w:hAnsi="宋体"/>
                <w:color w:val="auto"/>
                <w:kern w:val="0"/>
                <w:szCs w:val="21"/>
                <w:highlight w:val="none"/>
              </w:rPr>
            </w:pPr>
          </w:p>
        </w:tc>
        <w:tc>
          <w:tcPr>
            <w:tcW w:w="778" w:type="dxa"/>
          </w:tcPr>
          <w:p w14:paraId="428A2C16">
            <w:pPr>
              <w:autoSpaceDE w:val="0"/>
              <w:autoSpaceDN w:val="0"/>
              <w:adjustRightInd w:val="0"/>
              <w:snapToGrid w:val="0"/>
              <w:jc w:val="left"/>
              <w:rPr>
                <w:rFonts w:ascii="宋体" w:hAnsi="宋体"/>
                <w:color w:val="auto"/>
                <w:kern w:val="0"/>
                <w:szCs w:val="21"/>
                <w:highlight w:val="none"/>
              </w:rPr>
            </w:pPr>
          </w:p>
        </w:tc>
        <w:tc>
          <w:tcPr>
            <w:tcW w:w="776" w:type="dxa"/>
          </w:tcPr>
          <w:p w14:paraId="2D36F9AA">
            <w:pPr>
              <w:autoSpaceDE w:val="0"/>
              <w:autoSpaceDN w:val="0"/>
              <w:adjustRightInd w:val="0"/>
              <w:snapToGrid w:val="0"/>
              <w:jc w:val="left"/>
              <w:rPr>
                <w:rFonts w:ascii="宋体" w:hAnsi="宋体"/>
                <w:color w:val="auto"/>
                <w:kern w:val="0"/>
                <w:szCs w:val="21"/>
                <w:highlight w:val="none"/>
              </w:rPr>
            </w:pPr>
          </w:p>
        </w:tc>
        <w:tc>
          <w:tcPr>
            <w:tcW w:w="2723" w:type="dxa"/>
          </w:tcPr>
          <w:p w14:paraId="0173C93E">
            <w:pPr>
              <w:autoSpaceDE w:val="0"/>
              <w:autoSpaceDN w:val="0"/>
              <w:adjustRightInd w:val="0"/>
              <w:snapToGrid w:val="0"/>
              <w:jc w:val="left"/>
              <w:rPr>
                <w:rFonts w:ascii="宋体" w:hAnsi="宋体"/>
                <w:color w:val="auto"/>
                <w:kern w:val="0"/>
                <w:szCs w:val="21"/>
                <w:highlight w:val="none"/>
              </w:rPr>
            </w:pPr>
          </w:p>
        </w:tc>
        <w:tc>
          <w:tcPr>
            <w:tcW w:w="896" w:type="dxa"/>
          </w:tcPr>
          <w:p w14:paraId="5E04C7A1">
            <w:pPr>
              <w:autoSpaceDE w:val="0"/>
              <w:autoSpaceDN w:val="0"/>
              <w:adjustRightInd w:val="0"/>
              <w:snapToGrid w:val="0"/>
              <w:jc w:val="left"/>
              <w:rPr>
                <w:rFonts w:ascii="宋体" w:hAnsi="宋体"/>
                <w:color w:val="auto"/>
                <w:kern w:val="0"/>
                <w:szCs w:val="21"/>
                <w:highlight w:val="none"/>
              </w:rPr>
            </w:pPr>
          </w:p>
        </w:tc>
      </w:tr>
      <w:tr w14:paraId="6169BF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0FDD4C99">
            <w:pPr>
              <w:autoSpaceDE w:val="0"/>
              <w:autoSpaceDN w:val="0"/>
              <w:adjustRightInd w:val="0"/>
              <w:snapToGrid w:val="0"/>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项目总工</w:t>
            </w:r>
          </w:p>
        </w:tc>
        <w:tc>
          <w:tcPr>
            <w:tcW w:w="734" w:type="dxa"/>
          </w:tcPr>
          <w:p w14:paraId="73B1DEF7">
            <w:pPr>
              <w:autoSpaceDE w:val="0"/>
              <w:autoSpaceDN w:val="0"/>
              <w:adjustRightInd w:val="0"/>
              <w:snapToGrid w:val="0"/>
              <w:jc w:val="left"/>
              <w:rPr>
                <w:rFonts w:ascii="宋体" w:hAnsi="宋体"/>
                <w:color w:val="auto"/>
                <w:kern w:val="0"/>
                <w:szCs w:val="21"/>
                <w:highlight w:val="none"/>
              </w:rPr>
            </w:pPr>
          </w:p>
        </w:tc>
        <w:tc>
          <w:tcPr>
            <w:tcW w:w="776" w:type="dxa"/>
          </w:tcPr>
          <w:p w14:paraId="1E3D2C13">
            <w:pPr>
              <w:autoSpaceDE w:val="0"/>
              <w:autoSpaceDN w:val="0"/>
              <w:adjustRightInd w:val="0"/>
              <w:snapToGrid w:val="0"/>
              <w:jc w:val="left"/>
              <w:rPr>
                <w:rFonts w:ascii="宋体" w:hAnsi="宋体"/>
                <w:color w:val="auto"/>
                <w:kern w:val="0"/>
                <w:szCs w:val="21"/>
                <w:highlight w:val="none"/>
              </w:rPr>
            </w:pPr>
          </w:p>
        </w:tc>
        <w:tc>
          <w:tcPr>
            <w:tcW w:w="1167" w:type="dxa"/>
          </w:tcPr>
          <w:p w14:paraId="219FA4DD">
            <w:pPr>
              <w:autoSpaceDE w:val="0"/>
              <w:autoSpaceDN w:val="0"/>
              <w:adjustRightInd w:val="0"/>
              <w:snapToGrid w:val="0"/>
              <w:jc w:val="left"/>
              <w:rPr>
                <w:rFonts w:ascii="宋体" w:hAnsi="宋体"/>
                <w:color w:val="auto"/>
                <w:kern w:val="0"/>
                <w:szCs w:val="21"/>
                <w:highlight w:val="none"/>
              </w:rPr>
            </w:pPr>
          </w:p>
        </w:tc>
        <w:tc>
          <w:tcPr>
            <w:tcW w:w="776" w:type="dxa"/>
          </w:tcPr>
          <w:p w14:paraId="11B81910">
            <w:pPr>
              <w:autoSpaceDE w:val="0"/>
              <w:autoSpaceDN w:val="0"/>
              <w:adjustRightInd w:val="0"/>
              <w:snapToGrid w:val="0"/>
              <w:jc w:val="left"/>
              <w:rPr>
                <w:rFonts w:ascii="宋体" w:hAnsi="宋体"/>
                <w:color w:val="auto"/>
                <w:kern w:val="0"/>
                <w:szCs w:val="21"/>
                <w:highlight w:val="none"/>
              </w:rPr>
            </w:pPr>
          </w:p>
        </w:tc>
        <w:tc>
          <w:tcPr>
            <w:tcW w:w="778" w:type="dxa"/>
          </w:tcPr>
          <w:p w14:paraId="55952F9A">
            <w:pPr>
              <w:autoSpaceDE w:val="0"/>
              <w:autoSpaceDN w:val="0"/>
              <w:adjustRightInd w:val="0"/>
              <w:snapToGrid w:val="0"/>
              <w:jc w:val="left"/>
              <w:rPr>
                <w:rFonts w:ascii="宋体" w:hAnsi="宋体"/>
                <w:color w:val="auto"/>
                <w:kern w:val="0"/>
                <w:szCs w:val="21"/>
                <w:highlight w:val="none"/>
              </w:rPr>
            </w:pPr>
          </w:p>
        </w:tc>
        <w:tc>
          <w:tcPr>
            <w:tcW w:w="776" w:type="dxa"/>
          </w:tcPr>
          <w:p w14:paraId="6FA26CCE">
            <w:pPr>
              <w:autoSpaceDE w:val="0"/>
              <w:autoSpaceDN w:val="0"/>
              <w:adjustRightInd w:val="0"/>
              <w:snapToGrid w:val="0"/>
              <w:jc w:val="left"/>
              <w:rPr>
                <w:rFonts w:ascii="宋体" w:hAnsi="宋体"/>
                <w:color w:val="auto"/>
                <w:kern w:val="0"/>
                <w:szCs w:val="21"/>
                <w:highlight w:val="none"/>
              </w:rPr>
            </w:pPr>
          </w:p>
        </w:tc>
        <w:tc>
          <w:tcPr>
            <w:tcW w:w="2723" w:type="dxa"/>
          </w:tcPr>
          <w:p w14:paraId="41C6A578">
            <w:pPr>
              <w:autoSpaceDE w:val="0"/>
              <w:autoSpaceDN w:val="0"/>
              <w:adjustRightInd w:val="0"/>
              <w:snapToGrid w:val="0"/>
              <w:jc w:val="left"/>
              <w:rPr>
                <w:rFonts w:ascii="宋体" w:hAnsi="宋体"/>
                <w:color w:val="auto"/>
                <w:kern w:val="0"/>
                <w:szCs w:val="21"/>
                <w:highlight w:val="none"/>
              </w:rPr>
            </w:pPr>
          </w:p>
        </w:tc>
        <w:tc>
          <w:tcPr>
            <w:tcW w:w="896" w:type="dxa"/>
          </w:tcPr>
          <w:p w14:paraId="0FDCFAB5">
            <w:pPr>
              <w:autoSpaceDE w:val="0"/>
              <w:autoSpaceDN w:val="0"/>
              <w:adjustRightInd w:val="0"/>
              <w:snapToGrid w:val="0"/>
              <w:jc w:val="left"/>
              <w:rPr>
                <w:rFonts w:ascii="宋体" w:hAnsi="宋体"/>
                <w:color w:val="auto"/>
                <w:kern w:val="0"/>
                <w:szCs w:val="21"/>
                <w:highlight w:val="none"/>
              </w:rPr>
            </w:pPr>
          </w:p>
        </w:tc>
      </w:tr>
      <w:tr w14:paraId="5E2C28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DB4F135">
            <w:pPr>
              <w:autoSpaceDE w:val="0"/>
              <w:autoSpaceDN w:val="0"/>
              <w:adjustRightInd w:val="0"/>
              <w:snapToGrid w:val="0"/>
              <w:jc w:val="left"/>
              <w:rPr>
                <w:rFonts w:ascii="宋体" w:hAnsi="宋体"/>
                <w:color w:val="auto"/>
                <w:kern w:val="0"/>
                <w:szCs w:val="21"/>
                <w:highlight w:val="none"/>
              </w:rPr>
            </w:pPr>
          </w:p>
        </w:tc>
        <w:tc>
          <w:tcPr>
            <w:tcW w:w="734" w:type="dxa"/>
          </w:tcPr>
          <w:p w14:paraId="119ACA62">
            <w:pPr>
              <w:autoSpaceDE w:val="0"/>
              <w:autoSpaceDN w:val="0"/>
              <w:adjustRightInd w:val="0"/>
              <w:snapToGrid w:val="0"/>
              <w:jc w:val="left"/>
              <w:rPr>
                <w:rFonts w:ascii="宋体" w:hAnsi="宋体"/>
                <w:color w:val="auto"/>
                <w:kern w:val="0"/>
                <w:szCs w:val="21"/>
                <w:highlight w:val="none"/>
              </w:rPr>
            </w:pPr>
          </w:p>
        </w:tc>
        <w:tc>
          <w:tcPr>
            <w:tcW w:w="776" w:type="dxa"/>
          </w:tcPr>
          <w:p w14:paraId="12902201">
            <w:pPr>
              <w:autoSpaceDE w:val="0"/>
              <w:autoSpaceDN w:val="0"/>
              <w:adjustRightInd w:val="0"/>
              <w:snapToGrid w:val="0"/>
              <w:jc w:val="left"/>
              <w:rPr>
                <w:rFonts w:ascii="宋体" w:hAnsi="宋体"/>
                <w:color w:val="auto"/>
                <w:kern w:val="0"/>
                <w:szCs w:val="21"/>
                <w:highlight w:val="none"/>
              </w:rPr>
            </w:pPr>
          </w:p>
        </w:tc>
        <w:tc>
          <w:tcPr>
            <w:tcW w:w="1167" w:type="dxa"/>
          </w:tcPr>
          <w:p w14:paraId="468D8D9A">
            <w:pPr>
              <w:autoSpaceDE w:val="0"/>
              <w:autoSpaceDN w:val="0"/>
              <w:adjustRightInd w:val="0"/>
              <w:snapToGrid w:val="0"/>
              <w:jc w:val="left"/>
              <w:rPr>
                <w:rFonts w:ascii="宋体" w:hAnsi="宋体"/>
                <w:color w:val="auto"/>
                <w:kern w:val="0"/>
                <w:szCs w:val="21"/>
                <w:highlight w:val="none"/>
              </w:rPr>
            </w:pPr>
          </w:p>
        </w:tc>
        <w:tc>
          <w:tcPr>
            <w:tcW w:w="776" w:type="dxa"/>
          </w:tcPr>
          <w:p w14:paraId="35E4DDA2">
            <w:pPr>
              <w:autoSpaceDE w:val="0"/>
              <w:autoSpaceDN w:val="0"/>
              <w:adjustRightInd w:val="0"/>
              <w:snapToGrid w:val="0"/>
              <w:jc w:val="left"/>
              <w:rPr>
                <w:rFonts w:ascii="宋体" w:hAnsi="宋体"/>
                <w:color w:val="auto"/>
                <w:kern w:val="0"/>
                <w:szCs w:val="21"/>
                <w:highlight w:val="none"/>
              </w:rPr>
            </w:pPr>
          </w:p>
        </w:tc>
        <w:tc>
          <w:tcPr>
            <w:tcW w:w="778" w:type="dxa"/>
          </w:tcPr>
          <w:p w14:paraId="5A577C71">
            <w:pPr>
              <w:autoSpaceDE w:val="0"/>
              <w:autoSpaceDN w:val="0"/>
              <w:adjustRightInd w:val="0"/>
              <w:snapToGrid w:val="0"/>
              <w:jc w:val="left"/>
              <w:rPr>
                <w:rFonts w:ascii="宋体" w:hAnsi="宋体"/>
                <w:color w:val="auto"/>
                <w:kern w:val="0"/>
                <w:szCs w:val="21"/>
                <w:highlight w:val="none"/>
              </w:rPr>
            </w:pPr>
          </w:p>
        </w:tc>
        <w:tc>
          <w:tcPr>
            <w:tcW w:w="776" w:type="dxa"/>
          </w:tcPr>
          <w:p w14:paraId="747E63BA">
            <w:pPr>
              <w:autoSpaceDE w:val="0"/>
              <w:autoSpaceDN w:val="0"/>
              <w:adjustRightInd w:val="0"/>
              <w:snapToGrid w:val="0"/>
              <w:jc w:val="left"/>
              <w:rPr>
                <w:rFonts w:ascii="宋体" w:hAnsi="宋体"/>
                <w:color w:val="auto"/>
                <w:kern w:val="0"/>
                <w:szCs w:val="21"/>
                <w:highlight w:val="none"/>
              </w:rPr>
            </w:pPr>
          </w:p>
        </w:tc>
        <w:tc>
          <w:tcPr>
            <w:tcW w:w="2723" w:type="dxa"/>
          </w:tcPr>
          <w:p w14:paraId="27320C2A">
            <w:pPr>
              <w:autoSpaceDE w:val="0"/>
              <w:autoSpaceDN w:val="0"/>
              <w:adjustRightInd w:val="0"/>
              <w:snapToGrid w:val="0"/>
              <w:jc w:val="left"/>
              <w:rPr>
                <w:rFonts w:ascii="宋体" w:hAnsi="宋体"/>
                <w:color w:val="auto"/>
                <w:kern w:val="0"/>
                <w:szCs w:val="21"/>
                <w:highlight w:val="none"/>
              </w:rPr>
            </w:pPr>
          </w:p>
        </w:tc>
        <w:tc>
          <w:tcPr>
            <w:tcW w:w="896" w:type="dxa"/>
          </w:tcPr>
          <w:p w14:paraId="5768A700">
            <w:pPr>
              <w:autoSpaceDE w:val="0"/>
              <w:autoSpaceDN w:val="0"/>
              <w:adjustRightInd w:val="0"/>
              <w:snapToGrid w:val="0"/>
              <w:jc w:val="left"/>
              <w:rPr>
                <w:rFonts w:ascii="宋体" w:hAnsi="宋体"/>
                <w:color w:val="auto"/>
                <w:kern w:val="0"/>
                <w:szCs w:val="21"/>
                <w:highlight w:val="none"/>
              </w:rPr>
            </w:pPr>
          </w:p>
        </w:tc>
      </w:tr>
      <w:tr w14:paraId="570007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3E7C69">
            <w:pPr>
              <w:autoSpaceDE w:val="0"/>
              <w:autoSpaceDN w:val="0"/>
              <w:adjustRightInd w:val="0"/>
              <w:snapToGrid w:val="0"/>
              <w:jc w:val="left"/>
              <w:rPr>
                <w:rFonts w:ascii="宋体" w:hAnsi="宋体"/>
                <w:color w:val="auto"/>
                <w:kern w:val="0"/>
                <w:szCs w:val="21"/>
                <w:highlight w:val="none"/>
              </w:rPr>
            </w:pPr>
          </w:p>
        </w:tc>
        <w:tc>
          <w:tcPr>
            <w:tcW w:w="734" w:type="dxa"/>
          </w:tcPr>
          <w:p w14:paraId="4BBE8391">
            <w:pPr>
              <w:autoSpaceDE w:val="0"/>
              <w:autoSpaceDN w:val="0"/>
              <w:adjustRightInd w:val="0"/>
              <w:snapToGrid w:val="0"/>
              <w:jc w:val="left"/>
              <w:rPr>
                <w:rFonts w:ascii="宋体" w:hAnsi="宋体"/>
                <w:color w:val="auto"/>
                <w:kern w:val="0"/>
                <w:szCs w:val="21"/>
                <w:highlight w:val="none"/>
              </w:rPr>
            </w:pPr>
          </w:p>
        </w:tc>
        <w:tc>
          <w:tcPr>
            <w:tcW w:w="776" w:type="dxa"/>
          </w:tcPr>
          <w:p w14:paraId="1D760DCC">
            <w:pPr>
              <w:autoSpaceDE w:val="0"/>
              <w:autoSpaceDN w:val="0"/>
              <w:adjustRightInd w:val="0"/>
              <w:snapToGrid w:val="0"/>
              <w:jc w:val="left"/>
              <w:rPr>
                <w:rFonts w:ascii="宋体" w:hAnsi="宋体"/>
                <w:color w:val="auto"/>
                <w:kern w:val="0"/>
                <w:szCs w:val="21"/>
                <w:highlight w:val="none"/>
              </w:rPr>
            </w:pPr>
          </w:p>
        </w:tc>
        <w:tc>
          <w:tcPr>
            <w:tcW w:w="1167" w:type="dxa"/>
          </w:tcPr>
          <w:p w14:paraId="50048F41">
            <w:pPr>
              <w:autoSpaceDE w:val="0"/>
              <w:autoSpaceDN w:val="0"/>
              <w:adjustRightInd w:val="0"/>
              <w:snapToGrid w:val="0"/>
              <w:jc w:val="left"/>
              <w:rPr>
                <w:rFonts w:ascii="宋体" w:hAnsi="宋体"/>
                <w:color w:val="auto"/>
                <w:kern w:val="0"/>
                <w:szCs w:val="21"/>
                <w:highlight w:val="none"/>
              </w:rPr>
            </w:pPr>
          </w:p>
        </w:tc>
        <w:tc>
          <w:tcPr>
            <w:tcW w:w="776" w:type="dxa"/>
          </w:tcPr>
          <w:p w14:paraId="1EA8167C">
            <w:pPr>
              <w:autoSpaceDE w:val="0"/>
              <w:autoSpaceDN w:val="0"/>
              <w:adjustRightInd w:val="0"/>
              <w:snapToGrid w:val="0"/>
              <w:jc w:val="left"/>
              <w:rPr>
                <w:rFonts w:ascii="宋体" w:hAnsi="宋体"/>
                <w:color w:val="auto"/>
                <w:kern w:val="0"/>
                <w:szCs w:val="21"/>
                <w:highlight w:val="none"/>
              </w:rPr>
            </w:pPr>
          </w:p>
        </w:tc>
        <w:tc>
          <w:tcPr>
            <w:tcW w:w="778" w:type="dxa"/>
          </w:tcPr>
          <w:p w14:paraId="3051A62E">
            <w:pPr>
              <w:autoSpaceDE w:val="0"/>
              <w:autoSpaceDN w:val="0"/>
              <w:adjustRightInd w:val="0"/>
              <w:snapToGrid w:val="0"/>
              <w:jc w:val="left"/>
              <w:rPr>
                <w:rFonts w:ascii="宋体" w:hAnsi="宋体"/>
                <w:color w:val="auto"/>
                <w:kern w:val="0"/>
                <w:szCs w:val="21"/>
                <w:highlight w:val="none"/>
              </w:rPr>
            </w:pPr>
          </w:p>
        </w:tc>
        <w:tc>
          <w:tcPr>
            <w:tcW w:w="776" w:type="dxa"/>
          </w:tcPr>
          <w:p w14:paraId="47965839">
            <w:pPr>
              <w:autoSpaceDE w:val="0"/>
              <w:autoSpaceDN w:val="0"/>
              <w:adjustRightInd w:val="0"/>
              <w:snapToGrid w:val="0"/>
              <w:jc w:val="left"/>
              <w:rPr>
                <w:rFonts w:ascii="宋体" w:hAnsi="宋体"/>
                <w:color w:val="auto"/>
                <w:kern w:val="0"/>
                <w:szCs w:val="21"/>
                <w:highlight w:val="none"/>
              </w:rPr>
            </w:pPr>
          </w:p>
        </w:tc>
        <w:tc>
          <w:tcPr>
            <w:tcW w:w="2723" w:type="dxa"/>
          </w:tcPr>
          <w:p w14:paraId="5F55602B">
            <w:pPr>
              <w:autoSpaceDE w:val="0"/>
              <w:autoSpaceDN w:val="0"/>
              <w:adjustRightInd w:val="0"/>
              <w:snapToGrid w:val="0"/>
              <w:jc w:val="left"/>
              <w:rPr>
                <w:rFonts w:ascii="宋体" w:hAnsi="宋体"/>
                <w:color w:val="auto"/>
                <w:kern w:val="0"/>
                <w:szCs w:val="21"/>
                <w:highlight w:val="none"/>
              </w:rPr>
            </w:pPr>
          </w:p>
        </w:tc>
        <w:tc>
          <w:tcPr>
            <w:tcW w:w="896" w:type="dxa"/>
          </w:tcPr>
          <w:p w14:paraId="2C4E1740">
            <w:pPr>
              <w:autoSpaceDE w:val="0"/>
              <w:autoSpaceDN w:val="0"/>
              <w:adjustRightInd w:val="0"/>
              <w:snapToGrid w:val="0"/>
              <w:jc w:val="left"/>
              <w:rPr>
                <w:rFonts w:ascii="宋体" w:hAnsi="宋体"/>
                <w:color w:val="auto"/>
                <w:kern w:val="0"/>
                <w:szCs w:val="21"/>
                <w:highlight w:val="none"/>
              </w:rPr>
            </w:pPr>
          </w:p>
        </w:tc>
      </w:tr>
      <w:tr w14:paraId="14690F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715732A">
            <w:pPr>
              <w:autoSpaceDE w:val="0"/>
              <w:autoSpaceDN w:val="0"/>
              <w:adjustRightInd w:val="0"/>
              <w:snapToGrid w:val="0"/>
              <w:jc w:val="left"/>
              <w:rPr>
                <w:rFonts w:ascii="宋体" w:hAnsi="宋体"/>
                <w:color w:val="auto"/>
                <w:kern w:val="0"/>
                <w:szCs w:val="21"/>
                <w:highlight w:val="none"/>
              </w:rPr>
            </w:pPr>
          </w:p>
        </w:tc>
        <w:tc>
          <w:tcPr>
            <w:tcW w:w="734" w:type="dxa"/>
          </w:tcPr>
          <w:p w14:paraId="5EDA4F59">
            <w:pPr>
              <w:autoSpaceDE w:val="0"/>
              <w:autoSpaceDN w:val="0"/>
              <w:adjustRightInd w:val="0"/>
              <w:snapToGrid w:val="0"/>
              <w:jc w:val="left"/>
              <w:rPr>
                <w:rFonts w:ascii="宋体" w:hAnsi="宋体"/>
                <w:color w:val="auto"/>
                <w:kern w:val="0"/>
                <w:szCs w:val="21"/>
                <w:highlight w:val="none"/>
              </w:rPr>
            </w:pPr>
          </w:p>
        </w:tc>
        <w:tc>
          <w:tcPr>
            <w:tcW w:w="776" w:type="dxa"/>
          </w:tcPr>
          <w:p w14:paraId="10F73576">
            <w:pPr>
              <w:autoSpaceDE w:val="0"/>
              <w:autoSpaceDN w:val="0"/>
              <w:adjustRightInd w:val="0"/>
              <w:snapToGrid w:val="0"/>
              <w:jc w:val="left"/>
              <w:rPr>
                <w:rFonts w:ascii="宋体" w:hAnsi="宋体"/>
                <w:color w:val="auto"/>
                <w:kern w:val="0"/>
                <w:szCs w:val="21"/>
                <w:highlight w:val="none"/>
              </w:rPr>
            </w:pPr>
          </w:p>
        </w:tc>
        <w:tc>
          <w:tcPr>
            <w:tcW w:w="1167" w:type="dxa"/>
          </w:tcPr>
          <w:p w14:paraId="580C21E1">
            <w:pPr>
              <w:autoSpaceDE w:val="0"/>
              <w:autoSpaceDN w:val="0"/>
              <w:adjustRightInd w:val="0"/>
              <w:snapToGrid w:val="0"/>
              <w:jc w:val="left"/>
              <w:rPr>
                <w:rFonts w:ascii="宋体" w:hAnsi="宋体"/>
                <w:color w:val="auto"/>
                <w:kern w:val="0"/>
                <w:szCs w:val="21"/>
                <w:highlight w:val="none"/>
              </w:rPr>
            </w:pPr>
          </w:p>
        </w:tc>
        <w:tc>
          <w:tcPr>
            <w:tcW w:w="776" w:type="dxa"/>
          </w:tcPr>
          <w:p w14:paraId="5C5DE875">
            <w:pPr>
              <w:autoSpaceDE w:val="0"/>
              <w:autoSpaceDN w:val="0"/>
              <w:adjustRightInd w:val="0"/>
              <w:snapToGrid w:val="0"/>
              <w:jc w:val="left"/>
              <w:rPr>
                <w:rFonts w:ascii="宋体" w:hAnsi="宋体"/>
                <w:color w:val="auto"/>
                <w:kern w:val="0"/>
                <w:szCs w:val="21"/>
                <w:highlight w:val="none"/>
              </w:rPr>
            </w:pPr>
          </w:p>
        </w:tc>
        <w:tc>
          <w:tcPr>
            <w:tcW w:w="778" w:type="dxa"/>
          </w:tcPr>
          <w:p w14:paraId="713E89B6">
            <w:pPr>
              <w:autoSpaceDE w:val="0"/>
              <w:autoSpaceDN w:val="0"/>
              <w:adjustRightInd w:val="0"/>
              <w:snapToGrid w:val="0"/>
              <w:jc w:val="left"/>
              <w:rPr>
                <w:rFonts w:ascii="宋体" w:hAnsi="宋体"/>
                <w:color w:val="auto"/>
                <w:kern w:val="0"/>
                <w:szCs w:val="21"/>
                <w:highlight w:val="none"/>
              </w:rPr>
            </w:pPr>
          </w:p>
        </w:tc>
        <w:tc>
          <w:tcPr>
            <w:tcW w:w="776" w:type="dxa"/>
          </w:tcPr>
          <w:p w14:paraId="43C80248">
            <w:pPr>
              <w:autoSpaceDE w:val="0"/>
              <w:autoSpaceDN w:val="0"/>
              <w:adjustRightInd w:val="0"/>
              <w:snapToGrid w:val="0"/>
              <w:jc w:val="left"/>
              <w:rPr>
                <w:rFonts w:ascii="宋体" w:hAnsi="宋体"/>
                <w:color w:val="auto"/>
                <w:kern w:val="0"/>
                <w:szCs w:val="21"/>
                <w:highlight w:val="none"/>
              </w:rPr>
            </w:pPr>
          </w:p>
        </w:tc>
        <w:tc>
          <w:tcPr>
            <w:tcW w:w="2723" w:type="dxa"/>
          </w:tcPr>
          <w:p w14:paraId="4BA12099">
            <w:pPr>
              <w:autoSpaceDE w:val="0"/>
              <w:autoSpaceDN w:val="0"/>
              <w:adjustRightInd w:val="0"/>
              <w:snapToGrid w:val="0"/>
              <w:jc w:val="left"/>
              <w:rPr>
                <w:rFonts w:ascii="宋体" w:hAnsi="宋体"/>
                <w:color w:val="auto"/>
                <w:kern w:val="0"/>
                <w:szCs w:val="21"/>
                <w:highlight w:val="none"/>
              </w:rPr>
            </w:pPr>
          </w:p>
        </w:tc>
        <w:tc>
          <w:tcPr>
            <w:tcW w:w="896" w:type="dxa"/>
          </w:tcPr>
          <w:p w14:paraId="25C8A56B">
            <w:pPr>
              <w:autoSpaceDE w:val="0"/>
              <w:autoSpaceDN w:val="0"/>
              <w:adjustRightInd w:val="0"/>
              <w:snapToGrid w:val="0"/>
              <w:jc w:val="left"/>
              <w:rPr>
                <w:rFonts w:ascii="宋体" w:hAnsi="宋体"/>
                <w:color w:val="auto"/>
                <w:kern w:val="0"/>
                <w:szCs w:val="21"/>
                <w:highlight w:val="none"/>
              </w:rPr>
            </w:pPr>
          </w:p>
        </w:tc>
      </w:tr>
      <w:tr w14:paraId="10E064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9AFCABF">
            <w:pPr>
              <w:autoSpaceDE w:val="0"/>
              <w:autoSpaceDN w:val="0"/>
              <w:adjustRightInd w:val="0"/>
              <w:snapToGrid w:val="0"/>
              <w:jc w:val="left"/>
              <w:rPr>
                <w:rFonts w:ascii="宋体" w:hAnsi="宋体"/>
                <w:color w:val="auto"/>
                <w:kern w:val="0"/>
                <w:szCs w:val="21"/>
                <w:highlight w:val="none"/>
              </w:rPr>
            </w:pPr>
          </w:p>
        </w:tc>
        <w:tc>
          <w:tcPr>
            <w:tcW w:w="734" w:type="dxa"/>
          </w:tcPr>
          <w:p w14:paraId="6710DC79">
            <w:pPr>
              <w:autoSpaceDE w:val="0"/>
              <w:autoSpaceDN w:val="0"/>
              <w:adjustRightInd w:val="0"/>
              <w:snapToGrid w:val="0"/>
              <w:jc w:val="left"/>
              <w:rPr>
                <w:rFonts w:ascii="宋体" w:hAnsi="宋体"/>
                <w:color w:val="auto"/>
                <w:kern w:val="0"/>
                <w:szCs w:val="21"/>
                <w:highlight w:val="none"/>
              </w:rPr>
            </w:pPr>
          </w:p>
        </w:tc>
        <w:tc>
          <w:tcPr>
            <w:tcW w:w="776" w:type="dxa"/>
          </w:tcPr>
          <w:p w14:paraId="219C30F8">
            <w:pPr>
              <w:autoSpaceDE w:val="0"/>
              <w:autoSpaceDN w:val="0"/>
              <w:adjustRightInd w:val="0"/>
              <w:snapToGrid w:val="0"/>
              <w:jc w:val="left"/>
              <w:rPr>
                <w:rFonts w:ascii="宋体" w:hAnsi="宋体"/>
                <w:color w:val="auto"/>
                <w:kern w:val="0"/>
                <w:szCs w:val="21"/>
                <w:highlight w:val="none"/>
              </w:rPr>
            </w:pPr>
          </w:p>
        </w:tc>
        <w:tc>
          <w:tcPr>
            <w:tcW w:w="1167" w:type="dxa"/>
          </w:tcPr>
          <w:p w14:paraId="746DCA71">
            <w:pPr>
              <w:autoSpaceDE w:val="0"/>
              <w:autoSpaceDN w:val="0"/>
              <w:adjustRightInd w:val="0"/>
              <w:snapToGrid w:val="0"/>
              <w:jc w:val="left"/>
              <w:rPr>
                <w:rFonts w:ascii="宋体" w:hAnsi="宋体"/>
                <w:color w:val="auto"/>
                <w:kern w:val="0"/>
                <w:szCs w:val="21"/>
                <w:highlight w:val="none"/>
              </w:rPr>
            </w:pPr>
          </w:p>
        </w:tc>
        <w:tc>
          <w:tcPr>
            <w:tcW w:w="776" w:type="dxa"/>
          </w:tcPr>
          <w:p w14:paraId="30425D2E">
            <w:pPr>
              <w:autoSpaceDE w:val="0"/>
              <w:autoSpaceDN w:val="0"/>
              <w:adjustRightInd w:val="0"/>
              <w:snapToGrid w:val="0"/>
              <w:jc w:val="left"/>
              <w:rPr>
                <w:rFonts w:ascii="宋体" w:hAnsi="宋体"/>
                <w:color w:val="auto"/>
                <w:kern w:val="0"/>
                <w:szCs w:val="21"/>
                <w:highlight w:val="none"/>
              </w:rPr>
            </w:pPr>
          </w:p>
        </w:tc>
        <w:tc>
          <w:tcPr>
            <w:tcW w:w="778" w:type="dxa"/>
          </w:tcPr>
          <w:p w14:paraId="6DAE6020">
            <w:pPr>
              <w:autoSpaceDE w:val="0"/>
              <w:autoSpaceDN w:val="0"/>
              <w:adjustRightInd w:val="0"/>
              <w:snapToGrid w:val="0"/>
              <w:jc w:val="left"/>
              <w:rPr>
                <w:rFonts w:ascii="宋体" w:hAnsi="宋体"/>
                <w:color w:val="auto"/>
                <w:kern w:val="0"/>
                <w:szCs w:val="21"/>
                <w:highlight w:val="none"/>
              </w:rPr>
            </w:pPr>
          </w:p>
        </w:tc>
        <w:tc>
          <w:tcPr>
            <w:tcW w:w="776" w:type="dxa"/>
          </w:tcPr>
          <w:p w14:paraId="257A6F4F">
            <w:pPr>
              <w:autoSpaceDE w:val="0"/>
              <w:autoSpaceDN w:val="0"/>
              <w:adjustRightInd w:val="0"/>
              <w:snapToGrid w:val="0"/>
              <w:jc w:val="left"/>
              <w:rPr>
                <w:rFonts w:ascii="宋体" w:hAnsi="宋体"/>
                <w:color w:val="auto"/>
                <w:kern w:val="0"/>
                <w:szCs w:val="21"/>
                <w:highlight w:val="none"/>
              </w:rPr>
            </w:pPr>
          </w:p>
        </w:tc>
        <w:tc>
          <w:tcPr>
            <w:tcW w:w="2723" w:type="dxa"/>
          </w:tcPr>
          <w:p w14:paraId="6364FCFF">
            <w:pPr>
              <w:autoSpaceDE w:val="0"/>
              <w:autoSpaceDN w:val="0"/>
              <w:adjustRightInd w:val="0"/>
              <w:snapToGrid w:val="0"/>
              <w:jc w:val="left"/>
              <w:rPr>
                <w:rFonts w:ascii="宋体" w:hAnsi="宋体"/>
                <w:color w:val="auto"/>
                <w:kern w:val="0"/>
                <w:szCs w:val="21"/>
                <w:highlight w:val="none"/>
              </w:rPr>
            </w:pPr>
          </w:p>
        </w:tc>
        <w:tc>
          <w:tcPr>
            <w:tcW w:w="896" w:type="dxa"/>
          </w:tcPr>
          <w:p w14:paraId="2515834C">
            <w:pPr>
              <w:autoSpaceDE w:val="0"/>
              <w:autoSpaceDN w:val="0"/>
              <w:adjustRightInd w:val="0"/>
              <w:snapToGrid w:val="0"/>
              <w:jc w:val="left"/>
              <w:rPr>
                <w:rFonts w:ascii="宋体" w:hAnsi="宋体"/>
                <w:color w:val="auto"/>
                <w:kern w:val="0"/>
                <w:szCs w:val="21"/>
                <w:highlight w:val="none"/>
              </w:rPr>
            </w:pPr>
          </w:p>
        </w:tc>
      </w:tr>
      <w:tr w14:paraId="0D17D1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5078A8">
            <w:pPr>
              <w:autoSpaceDE w:val="0"/>
              <w:autoSpaceDN w:val="0"/>
              <w:adjustRightInd w:val="0"/>
              <w:snapToGrid w:val="0"/>
              <w:jc w:val="left"/>
              <w:rPr>
                <w:rFonts w:ascii="宋体" w:hAnsi="宋体"/>
                <w:color w:val="auto"/>
                <w:kern w:val="0"/>
                <w:szCs w:val="21"/>
                <w:highlight w:val="none"/>
              </w:rPr>
            </w:pPr>
          </w:p>
        </w:tc>
        <w:tc>
          <w:tcPr>
            <w:tcW w:w="734" w:type="dxa"/>
          </w:tcPr>
          <w:p w14:paraId="45B95321">
            <w:pPr>
              <w:autoSpaceDE w:val="0"/>
              <w:autoSpaceDN w:val="0"/>
              <w:adjustRightInd w:val="0"/>
              <w:snapToGrid w:val="0"/>
              <w:jc w:val="left"/>
              <w:rPr>
                <w:rFonts w:ascii="宋体" w:hAnsi="宋体"/>
                <w:color w:val="auto"/>
                <w:kern w:val="0"/>
                <w:szCs w:val="21"/>
                <w:highlight w:val="none"/>
              </w:rPr>
            </w:pPr>
          </w:p>
        </w:tc>
        <w:tc>
          <w:tcPr>
            <w:tcW w:w="776" w:type="dxa"/>
          </w:tcPr>
          <w:p w14:paraId="690E98A4">
            <w:pPr>
              <w:autoSpaceDE w:val="0"/>
              <w:autoSpaceDN w:val="0"/>
              <w:adjustRightInd w:val="0"/>
              <w:snapToGrid w:val="0"/>
              <w:jc w:val="left"/>
              <w:rPr>
                <w:rFonts w:ascii="宋体" w:hAnsi="宋体"/>
                <w:color w:val="auto"/>
                <w:kern w:val="0"/>
                <w:szCs w:val="21"/>
                <w:highlight w:val="none"/>
              </w:rPr>
            </w:pPr>
          </w:p>
        </w:tc>
        <w:tc>
          <w:tcPr>
            <w:tcW w:w="1167" w:type="dxa"/>
          </w:tcPr>
          <w:p w14:paraId="47EF491A">
            <w:pPr>
              <w:autoSpaceDE w:val="0"/>
              <w:autoSpaceDN w:val="0"/>
              <w:adjustRightInd w:val="0"/>
              <w:snapToGrid w:val="0"/>
              <w:jc w:val="left"/>
              <w:rPr>
                <w:rFonts w:ascii="宋体" w:hAnsi="宋体"/>
                <w:color w:val="auto"/>
                <w:kern w:val="0"/>
                <w:szCs w:val="21"/>
                <w:highlight w:val="none"/>
              </w:rPr>
            </w:pPr>
          </w:p>
        </w:tc>
        <w:tc>
          <w:tcPr>
            <w:tcW w:w="776" w:type="dxa"/>
          </w:tcPr>
          <w:p w14:paraId="68764867">
            <w:pPr>
              <w:autoSpaceDE w:val="0"/>
              <w:autoSpaceDN w:val="0"/>
              <w:adjustRightInd w:val="0"/>
              <w:snapToGrid w:val="0"/>
              <w:jc w:val="left"/>
              <w:rPr>
                <w:rFonts w:ascii="宋体" w:hAnsi="宋体"/>
                <w:color w:val="auto"/>
                <w:kern w:val="0"/>
                <w:szCs w:val="21"/>
                <w:highlight w:val="none"/>
              </w:rPr>
            </w:pPr>
          </w:p>
        </w:tc>
        <w:tc>
          <w:tcPr>
            <w:tcW w:w="778" w:type="dxa"/>
          </w:tcPr>
          <w:p w14:paraId="0D0B143C">
            <w:pPr>
              <w:autoSpaceDE w:val="0"/>
              <w:autoSpaceDN w:val="0"/>
              <w:adjustRightInd w:val="0"/>
              <w:snapToGrid w:val="0"/>
              <w:jc w:val="left"/>
              <w:rPr>
                <w:rFonts w:ascii="宋体" w:hAnsi="宋体"/>
                <w:color w:val="auto"/>
                <w:kern w:val="0"/>
                <w:szCs w:val="21"/>
                <w:highlight w:val="none"/>
              </w:rPr>
            </w:pPr>
          </w:p>
        </w:tc>
        <w:tc>
          <w:tcPr>
            <w:tcW w:w="776" w:type="dxa"/>
          </w:tcPr>
          <w:p w14:paraId="410449B4">
            <w:pPr>
              <w:autoSpaceDE w:val="0"/>
              <w:autoSpaceDN w:val="0"/>
              <w:adjustRightInd w:val="0"/>
              <w:snapToGrid w:val="0"/>
              <w:jc w:val="left"/>
              <w:rPr>
                <w:rFonts w:ascii="宋体" w:hAnsi="宋体"/>
                <w:color w:val="auto"/>
                <w:kern w:val="0"/>
                <w:szCs w:val="21"/>
                <w:highlight w:val="none"/>
              </w:rPr>
            </w:pPr>
          </w:p>
        </w:tc>
        <w:tc>
          <w:tcPr>
            <w:tcW w:w="2723" w:type="dxa"/>
          </w:tcPr>
          <w:p w14:paraId="17FC6635">
            <w:pPr>
              <w:autoSpaceDE w:val="0"/>
              <w:autoSpaceDN w:val="0"/>
              <w:adjustRightInd w:val="0"/>
              <w:snapToGrid w:val="0"/>
              <w:jc w:val="left"/>
              <w:rPr>
                <w:rFonts w:ascii="宋体" w:hAnsi="宋体"/>
                <w:color w:val="auto"/>
                <w:kern w:val="0"/>
                <w:szCs w:val="21"/>
                <w:highlight w:val="none"/>
              </w:rPr>
            </w:pPr>
          </w:p>
        </w:tc>
        <w:tc>
          <w:tcPr>
            <w:tcW w:w="896" w:type="dxa"/>
          </w:tcPr>
          <w:p w14:paraId="175A395F">
            <w:pPr>
              <w:autoSpaceDE w:val="0"/>
              <w:autoSpaceDN w:val="0"/>
              <w:adjustRightInd w:val="0"/>
              <w:snapToGrid w:val="0"/>
              <w:jc w:val="left"/>
              <w:rPr>
                <w:rFonts w:ascii="宋体" w:hAnsi="宋体"/>
                <w:color w:val="auto"/>
                <w:kern w:val="0"/>
                <w:szCs w:val="21"/>
                <w:highlight w:val="none"/>
              </w:rPr>
            </w:pPr>
          </w:p>
        </w:tc>
      </w:tr>
      <w:tr w14:paraId="0B2D71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C708B89">
            <w:pPr>
              <w:autoSpaceDE w:val="0"/>
              <w:autoSpaceDN w:val="0"/>
              <w:adjustRightInd w:val="0"/>
              <w:snapToGrid w:val="0"/>
              <w:jc w:val="left"/>
              <w:rPr>
                <w:rFonts w:ascii="宋体" w:hAnsi="宋体"/>
                <w:color w:val="auto"/>
                <w:kern w:val="0"/>
                <w:szCs w:val="21"/>
                <w:highlight w:val="none"/>
              </w:rPr>
            </w:pPr>
          </w:p>
        </w:tc>
        <w:tc>
          <w:tcPr>
            <w:tcW w:w="734" w:type="dxa"/>
          </w:tcPr>
          <w:p w14:paraId="6599E87C">
            <w:pPr>
              <w:autoSpaceDE w:val="0"/>
              <w:autoSpaceDN w:val="0"/>
              <w:adjustRightInd w:val="0"/>
              <w:snapToGrid w:val="0"/>
              <w:jc w:val="left"/>
              <w:rPr>
                <w:rFonts w:ascii="宋体" w:hAnsi="宋体"/>
                <w:color w:val="auto"/>
                <w:kern w:val="0"/>
                <w:szCs w:val="21"/>
                <w:highlight w:val="none"/>
              </w:rPr>
            </w:pPr>
          </w:p>
        </w:tc>
        <w:tc>
          <w:tcPr>
            <w:tcW w:w="776" w:type="dxa"/>
          </w:tcPr>
          <w:p w14:paraId="059C0087">
            <w:pPr>
              <w:autoSpaceDE w:val="0"/>
              <w:autoSpaceDN w:val="0"/>
              <w:adjustRightInd w:val="0"/>
              <w:snapToGrid w:val="0"/>
              <w:jc w:val="left"/>
              <w:rPr>
                <w:rFonts w:ascii="宋体" w:hAnsi="宋体"/>
                <w:color w:val="auto"/>
                <w:kern w:val="0"/>
                <w:szCs w:val="21"/>
                <w:highlight w:val="none"/>
              </w:rPr>
            </w:pPr>
          </w:p>
        </w:tc>
        <w:tc>
          <w:tcPr>
            <w:tcW w:w="1167" w:type="dxa"/>
          </w:tcPr>
          <w:p w14:paraId="6F3B3E8D">
            <w:pPr>
              <w:autoSpaceDE w:val="0"/>
              <w:autoSpaceDN w:val="0"/>
              <w:adjustRightInd w:val="0"/>
              <w:snapToGrid w:val="0"/>
              <w:jc w:val="left"/>
              <w:rPr>
                <w:rFonts w:ascii="宋体" w:hAnsi="宋体"/>
                <w:color w:val="auto"/>
                <w:kern w:val="0"/>
                <w:szCs w:val="21"/>
                <w:highlight w:val="none"/>
              </w:rPr>
            </w:pPr>
          </w:p>
        </w:tc>
        <w:tc>
          <w:tcPr>
            <w:tcW w:w="776" w:type="dxa"/>
          </w:tcPr>
          <w:p w14:paraId="79527022">
            <w:pPr>
              <w:autoSpaceDE w:val="0"/>
              <w:autoSpaceDN w:val="0"/>
              <w:adjustRightInd w:val="0"/>
              <w:snapToGrid w:val="0"/>
              <w:jc w:val="left"/>
              <w:rPr>
                <w:rFonts w:ascii="宋体" w:hAnsi="宋体"/>
                <w:color w:val="auto"/>
                <w:kern w:val="0"/>
                <w:szCs w:val="21"/>
                <w:highlight w:val="none"/>
              </w:rPr>
            </w:pPr>
          </w:p>
        </w:tc>
        <w:tc>
          <w:tcPr>
            <w:tcW w:w="778" w:type="dxa"/>
          </w:tcPr>
          <w:p w14:paraId="068839F5">
            <w:pPr>
              <w:autoSpaceDE w:val="0"/>
              <w:autoSpaceDN w:val="0"/>
              <w:adjustRightInd w:val="0"/>
              <w:snapToGrid w:val="0"/>
              <w:jc w:val="left"/>
              <w:rPr>
                <w:rFonts w:ascii="宋体" w:hAnsi="宋体"/>
                <w:color w:val="auto"/>
                <w:kern w:val="0"/>
                <w:szCs w:val="21"/>
                <w:highlight w:val="none"/>
              </w:rPr>
            </w:pPr>
          </w:p>
        </w:tc>
        <w:tc>
          <w:tcPr>
            <w:tcW w:w="776" w:type="dxa"/>
          </w:tcPr>
          <w:p w14:paraId="6481D5C8">
            <w:pPr>
              <w:autoSpaceDE w:val="0"/>
              <w:autoSpaceDN w:val="0"/>
              <w:adjustRightInd w:val="0"/>
              <w:snapToGrid w:val="0"/>
              <w:jc w:val="left"/>
              <w:rPr>
                <w:rFonts w:ascii="宋体" w:hAnsi="宋体"/>
                <w:color w:val="auto"/>
                <w:kern w:val="0"/>
                <w:szCs w:val="21"/>
                <w:highlight w:val="none"/>
              </w:rPr>
            </w:pPr>
          </w:p>
        </w:tc>
        <w:tc>
          <w:tcPr>
            <w:tcW w:w="2723" w:type="dxa"/>
          </w:tcPr>
          <w:p w14:paraId="2604D557">
            <w:pPr>
              <w:autoSpaceDE w:val="0"/>
              <w:autoSpaceDN w:val="0"/>
              <w:adjustRightInd w:val="0"/>
              <w:snapToGrid w:val="0"/>
              <w:jc w:val="left"/>
              <w:rPr>
                <w:rFonts w:ascii="宋体" w:hAnsi="宋体"/>
                <w:color w:val="auto"/>
                <w:kern w:val="0"/>
                <w:szCs w:val="21"/>
                <w:highlight w:val="none"/>
              </w:rPr>
            </w:pPr>
          </w:p>
        </w:tc>
        <w:tc>
          <w:tcPr>
            <w:tcW w:w="896" w:type="dxa"/>
          </w:tcPr>
          <w:p w14:paraId="7871ED41">
            <w:pPr>
              <w:autoSpaceDE w:val="0"/>
              <w:autoSpaceDN w:val="0"/>
              <w:adjustRightInd w:val="0"/>
              <w:snapToGrid w:val="0"/>
              <w:jc w:val="left"/>
              <w:rPr>
                <w:rFonts w:ascii="宋体" w:hAnsi="宋体"/>
                <w:color w:val="auto"/>
                <w:kern w:val="0"/>
                <w:szCs w:val="21"/>
                <w:highlight w:val="none"/>
              </w:rPr>
            </w:pPr>
          </w:p>
        </w:tc>
      </w:tr>
      <w:tr w14:paraId="09FC44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7F3F251">
            <w:pPr>
              <w:autoSpaceDE w:val="0"/>
              <w:autoSpaceDN w:val="0"/>
              <w:adjustRightInd w:val="0"/>
              <w:snapToGrid w:val="0"/>
              <w:jc w:val="left"/>
              <w:rPr>
                <w:rFonts w:ascii="宋体" w:hAnsi="宋体"/>
                <w:color w:val="auto"/>
                <w:kern w:val="0"/>
                <w:szCs w:val="21"/>
                <w:highlight w:val="none"/>
              </w:rPr>
            </w:pPr>
          </w:p>
        </w:tc>
        <w:tc>
          <w:tcPr>
            <w:tcW w:w="734" w:type="dxa"/>
          </w:tcPr>
          <w:p w14:paraId="1722FD24">
            <w:pPr>
              <w:autoSpaceDE w:val="0"/>
              <w:autoSpaceDN w:val="0"/>
              <w:adjustRightInd w:val="0"/>
              <w:snapToGrid w:val="0"/>
              <w:jc w:val="left"/>
              <w:rPr>
                <w:rFonts w:ascii="宋体" w:hAnsi="宋体"/>
                <w:color w:val="auto"/>
                <w:kern w:val="0"/>
                <w:szCs w:val="21"/>
                <w:highlight w:val="none"/>
              </w:rPr>
            </w:pPr>
          </w:p>
        </w:tc>
        <w:tc>
          <w:tcPr>
            <w:tcW w:w="776" w:type="dxa"/>
          </w:tcPr>
          <w:p w14:paraId="1F4EFF82">
            <w:pPr>
              <w:autoSpaceDE w:val="0"/>
              <w:autoSpaceDN w:val="0"/>
              <w:adjustRightInd w:val="0"/>
              <w:snapToGrid w:val="0"/>
              <w:jc w:val="left"/>
              <w:rPr>
                <w:rFonts w:ascii="宋体" w:hAnsi="宋体"/>
                <w:color w:val="auto"/>
                <w:kern w:val="0"/>
                <w:szCs w:val="21"/>
                <w:highlight w:val="none"/>
              </w:rPr>
            </w:pPr>
          </w:p>
        </w:tc>
        <w:tc>
          <w:tcPr>
            <w:tcW w:w="1167" w:type="dxa"/>
          </w:tcPr>
          <w:p w14:paraId="647CA323">
            <w:pPr>
              <w:autoSpaceDE w:val="0"/>
              <w:autoSpaceDN w:val="0"/>
              <w:adjustRightInd w:val="0"/>
              <w:snapToGrid w:val="0"/>
              <w:jc w:val="left"/>
              <w:rPr>
                <w:rFonts w:ascii="宋体" w:hAnsi="宋体"/>
                <w:color w:val="auto"/>
                <w:kern w:val="0"/>
                <w:szCs w:val="21"/>
                <w:highlight w:val="none"/>
              </w:rPr>
            </w:pPr>
          </w:p>
        </w:tc>
        <w:tc>
          <w:tcPr>
            <w:tcW w:w="776" w:type="dxa"/>
          </w:tcPr>
          <w:p w14:paraId="4C6B8E48">
            <w:pPr>
              <w:autoSpaceDE w:val="0"/>
              <w:autoSpaceDN w:val="0"/>
              <w:adjustRightInd w:val="0"/>
              <w:snapToGrid w:val="0"/>
              <w:jc w:val="left"/>
              <w:rPr>
                <w:rFonts w:ascii="宋体" w:hAnsi="宋体"/>
                <w:color w:val="auto"/>
                <w:kern w:val="0"/>
                <w:szCs w:val="21"/>
                <w:highlight w:val="none"/>
              </w:rPr>
            </w:pPr>
          </w:p>
        </w:tc>
        <w:tc>
          <w:tcPr>
            <w:tcW w:w="778" w:type="dxa"/>
          </w:tcPr>
          <w:p w14:paraId="5960C4C3">
            <w:pPr>
              <w:autoSpaceDE w:val="0"/>
              <w:autoSpaceDN w:val="0"/>
              <w:adjustRightInd w:val="0"/>
              <w:snapToGrid w:val="0"/>
              <w:jc w:val="left"/>
              <w:rPr>
                <w:rFonts w:ascii="宋体" w:hAnsi="宋体"/>
                <w:color w:val="auto"/>
                <w:kern w:val="0"/>
                <w:szCs w:val="21"/>
                <w:highlight w:val="none"/>
              </w:rPr>
            </w:pPr>
          </w:p>
        </w:tc>
        <w:tc>
          <w:tcPr>
            <w:tcW w:w="776" w:type="dxa"/>
          </w:tcPr>
          <w:p w14:paraId="6519C865">
            <w:pPr>
              <w:autoSpaceDE w:val="0"/>
              <w:autoSpaceDN w:val="0"/>
              <w:adjustRightInd w:val="0"/>
              <w:snapToGrid w:val="0"/>
              <w:jc w:val="left"/>
              <w:rPr>
                <w:rFonts w:ascii="宋体" w:hAnsi="宋体"/>
                <w:color w:val="auto"/>
                <w:kern w:val="0"/>
                <w:szCs w:val="21"/>
                <w:highlight w:val="none"/>
              </w:rPr>
            </w:pPr>
          </w:p>
        </w:tc>
        <w:tc>
          <w:tcPr>
            <w:tcW w:w="2723" w:type="dxa"/>
          </w:tcPr>
          <w:p w14:paraId="607E3380">
            <w:pPr>
              <w:autoSpaceDE w:val="0"/>
              <w:autoSpaceDN w:val="0"/>
              <w:adjustRightInd w:val="0"/>
              <w:snapToGrid w:val="0"/>
              <w:jc w:val="left"/>
              <w:rPr>
                <w:rFonts w:ascii="宋体" w:hAnsi="宋体"/>
                <w:color w:val="auto"/>
                <w:kern w:val="0"/>
                <w:szCs w:val="21"/>
                <w:highlight w:val="none"/>
              </w:rPr>
            </w:pPr>
          </w:p>
        </w:tc>
        <w:tc>
          <w:tcPr>
            <w:tcW w:w="896" w:type="dxa"/>
          </w:tcPr>
          <w:p w14:paraId="24969E3E">
            <w:pPr>
              <w:autoSpaceDE w:val="0"/>
              <w:autoSpaceDN w:val="0"/>
              <w:adjustRightInd w:val="0"/>
              <w:snapToGrid w:val="0"/>
              <w:jc w:val="left"/>
              <w:rPr>
                <w:rFonts w:ascii="宋体" w:hAnsi="宋体"/>
                <w:color w:val="auto"/>
                <w:kern w:val="0"/>
                <w:szCs w:val="21"/>
                <w:highlight w:val="none"/>
              </w:rPr>
            </w:pPr>
          </w:p>
        </w:tc>
      </w:tr>
      <w:tr w14:paraId="691B4D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57C395B">
            <w:pPr>
              <w:autoSpaceDE w:val="0"/>
              <w:autoSpaceDN w:val="0"/>
              <w:adjustRightInd w:val="0"/>
              <w:snapToGrid w:val="0"/>
              <w:jc w:val="left"/>
              <w:rPr>
                <w:rFonts w:ascii="宋体" w:hAnsi="宋体"/>
                <w:color w:val="auto"/>
                <w:kern w:val="0"/>
                <w:szCs w:val="21"/>
                <w:highlight w:val="none"/>
              </w:rPr>
            </w:pPr>
          </w:p>
        </w:tc>
        <w:tc>
          <w:tcPr>
            <w:tcW w:w="734" w:type="dxa"/>
          </w:tcPr>
          <w:p w14:paraId="4B89C886">
            <w:pPr>
              <w:autoSpaceDE w:val="0"/>
              <w:autoSpaceDN w:val="0"/>
              <w:adjustRightInd w:val="0"/>
              <w:snapToGrid w:val="0"/>
              <w:jc w:val="left"/>
              <w:rPr>
                <w:rFonts w:ascii="宋体" w:hAnsi="宋体"/>
                <w:color w:val="auto"/>
                <w:kern w:val="0"/>
                <w:szCs w:val="21"/>
                <w:highlight w:val="none"/>
              </w:rPr>
            </w:pPr>
          </w:p>
        </w:tc>
        <w:tc>
          <w:tcPr>
            <w:tcW w:w="776" w:type="dxa"/>
          </w:tcPr>
          <w:p w14:paraId="681ABED6">
            <w:pPr>
              <w:autoSpaceDE w:val="0"/>
              <w:autoSpaceDN w:val="0"/>
              <w:adjustRightInd w:val="0"/>
              <w:snapToGrid w:val="0"/>
              <w:jc w:val="left"/>
              <w:rPr>
                <w:rFonts w:ascii="宋体" w:hAnsi="宋体"/>
                <w:color w:val="auto"/>
                <w:kern w:val="0"/>
                <w:szCs w:val="21"/>
                <w:highlight w:val="none"/>
              </w:rPr>
            </w:pPr>
          </w:p>
        </w:tc>
        <w:tc>
          <w:tcPr>
            <w:tcW w:w="1167" w:type="dxa"/>
          </w:tcPr>
          <w:p w14:paraId="28A07DD3">
            <w:pPr>
              <w:autoSpaceDE w:val="0"/>
              <w:autoSpaceDN w:val="0"/>
              <w:adjustRightInd w:val="0"/>
              <w:snapToGrid w:val="0"/>
              <w:jc w:val="left"/>
              <w:rPr>
                <w:rFonts w:ascii="宋体" w:hAnsi="宋体"/>
                <w:color w:val="auto"/>
                <w:kern w:val="0"/>
                <w:szCs w:val="21"/>
                <w:highlight w:val="none"/>
              </w:rPr>
            </w:pPr>
          </w:p>
        </w:tc>
        <w:tc>
          <w:tcPr>
            <w:tcW w:w="776" w:type="dxa"/>
          </w:tcPr>
          <w:p w14:paraId="69BF63A0">
            <w:pPr>
              <w:autoSpaceDE w:val="0"/>
              <w:autoSpaceDN w:val="0"/>
              <w:adjustRightInd w:val="0"/>
              <w:snapToGrid w:val="0"/>
              <w:jc w:val="left"/>
              <w:rPr>
                <w:rFonts w:ascii="宋体" w:hAnsi="宋体"/>
                <w:color w:val="auto"/>
                <w:kern w:val="0"/>
                <w:szCs w:val="21"/>
                <w:highlight w:val="none"/>
              </w:rPr>
            </w:pPr>
          </w:p>
        </w:tc>
        <w:tc>
          <w:tcPr>
            <w:tcW w:w="778" w:type="dxa"/>
          </w:tcPr>
          <w:p w14:paraId="09B084DE">
            <w:pPr>
              <w:autoSpaceDE w:val="0"/>
              <w:autoSpaceDN w:val="0"/>
              <w:adjustRightInd w:val="0"/>
              <w:snapToGrid w:val="0"/>
              <w:jc w:val="left"/>
              <w:rPr>
                <w:rFonts w:ascii="宋体" w:hAnsi="宋体"/>
                <w:color w:val="auto"/>
                <w:kern w:val="0"/>
                <w:szCs w:val="21"/>
                <w:highlight w:val="none"/>
              </w:rPr>
            </w:pPr>
          </w:p>
        </w:tc>
        <w:tc>
          <w:tcPr>
            <w:tcW w:w="776" w:type="dxa"/>
          </w:tcPr>
          <w:p w14:paraId="559EC709">
            <w:pPr>
              <w:autoSpaceDE w:val="0"/>
              <w:autoSpaceDN w:val="0"/>
              <w:adjustRightInd w:val="0"/>
              <w:snapToGrid w:val="0"/>
              <w:jc w:val="left"/>
              <w:rPr>
                <w:rFonts w:ascii="宋体" w:hAnsi="宋体"/>
                <w:color w:val="auto"/>
                <w:kern w:val="0"/>
                <w:szCs w:val="21"/>
                <w:highlight w:val="none"/>
              </w:rPr>
            </w:pPr>
          </w:p>
        </w:tc>
        <w:tc>
          <w:tcPr>
            <w:tcW w:w="2723" w:type="dxa"/>
          </w:tcPr>
          <w:p w14:paraId="625E89E7">
            <w:pPr>
              <w:autoSpaceDE w:val="0"/>
              <w:autoSpaceDN w:val="0"/>
              <w:adjustRightInd w:val="0"/>
              <w:snapToGrid w:val="0"/>
              <w:jc w:val="left"/>
              <w:rPr>
                <w:rFonts w:ascii="宋体" w:hAnsi="宋体"/>
                <w:color w:val="auto"/>
                <w:kern w:val="0"/>
                <w:szCs w:val="21"/>
                <w:highlight w:val="none"/>
              </w:rPr>
            </w:pPr>
          </w:p>
        </w:tc>
        <w:tc>
          <w:tcPr>
            <w:tcW w:w="896" w:type="dxa"/>
          </w:tcPr>
          <w:p w14:paraId="577EEC2A">
            <w:pPr>
              <w:autoSpaceDE w:val="0"/>
              <w:autoSpaceDN w:val="0"/>
              <w:adjustRightInd w:val="0"/>
              <w:snapToGrid w:val="0"/>
              <w:jc w:val="left"/>
              <w:rPr>
                <w:rFonts w:ascii="宋体" w:hAnsi="宋体"/>
                <w:color w:val="auto"/>
                <w:kern w:val="0"/>
                <w:szCs w:val="21"/>
                <w:highlight w:val="none"/>
              </w:rPr>
            </w:pPr>
          </w:p>
        </w:tc>
      </w:tr>
      <w:tr w14:paraId="440B54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7B7CF1F">
            <w:pPr>
              <w:autoSpaceDE w:val="0"/>
              <w:autoSpaceDN w:val="0"/>
              <w:adjustRightInd w:val="0"/>
              <w:snapToGrid w:val="0"/>
              <w:jc w:val="left"/>
              <w:rPr>
                <w:rFonts w:ascii="宋体" w:hAnsi="宋体"/>
                <w:color w:val="auto"/>
                <w:kern w:val="0"/>
                <w:szCs w:val="21"/>
                <w:highlight w:val="none"/>
              </w:rPr>
            </w:pPr>
          </w:p>
        </w:tc>
        <w:tc>
          <w:tcPr>
            <w:tcW w:w="734" w:type="dxa"/>
          </w:tcPr>
          <w:p w14:paraId="6F6072D2">
            <w:pPr>
              <w:autoSpaceDE w:val="0"/>
              <w:autoSpaceDN w:val="0"/>
              <w:adjustRightInd w:val="0"/>
              <w:snapToGrid w:val="0"/>
              <w:jc w:val="left"/>
              <w:rPr>
                <w:rFonts w:ascii="宋体" w:hAnsi="宋体"/>
                <w:color w:val="auto"/>
                <w:kern w:val="0"/>
                <w:szCs w:val="21"/>
                <w:highlight w:val="none"/>
              </w:rPr>
            </w:pPr>
          </w:p>
        </w:tc>
        <w:tc>
          <w:tcPr>
            <w:tcW w:w="776" w:type="dxa"/>
          </w:tcPr>
          <w:p w14:paraId="6D6009B7">
            <w:pPr>
              <w:autoSpaceDE w:val="0"/>
              <w:autoSpaceDN w:val="0"/>
              <w:adjustRightInd w:val="0"/>
              <w:snapToGrid w:val="0"/>
              <w:jc w:val="left"/>
              <w:rPr>
                <w:rFonts w:ascii="宋体" w:hAnsi="宋体"/>
                <w:color w:val="auto"/>
                <w:kern w:val="0"/>
                <w:szCs w:val="21"/>
                <w:highlight w:val="none"/>
              </w:rPr>
            </w:pPr>
          </w:p>
        </w:tc>
        <w:tc>
          <w:tcPr>
            <w:tcW w:w="1167" w:type="dxa"/>
          </w:tcPr>
          <w:p w14:paraId="7E574614">
            <w:pPr>
              <w:autoSpaceDE w:val="0"/>
              <w:autoSpaceDN w:val="0"/>
              <w:adjustRightInd w:val="0"/>
              <w:snapToGrid w:val="0"/>
              <w:jc w:val="left"/>
              <w:rPr>
                <w:rFonts w:ascii="宋体" w:hAnsi="宋体"/>
                <w:color w:val="auto"/>
                <w:kern w:val="0"/>
                <w:szCs w:val="21"/>
                <w:highlight w:val="none"/>
              </w:rPr>
            </w:pPr>
          </w:p>
        </w:tc>
        <w:tc>
          <w:tcPr>
            <w:tcW w:w="776" w:type="dxa"/>
          </w:tcPr>
          <w:p w14:paraId="6147B341">
            <w:pPr>
              <w:autoSpaceDE w:val="0"/>
              <w:autoSpaceDN w:val="0"/>
              <w:adjustRightInd w:val="0"/>
              <w:snapToGrid w:val="0"/>
              <w:jc w:val="left"/>
              <w:rPr>
                <w:rFonts w:ascii="宋体" w:hAnsi="宋体"/>
                <w:color w:val="auto"/>
                <w:kern w:val="0"/>
                <w:szCs w:val="21"/>
                <w:highlight w:val="none"/>
              </w:rPr>
            </w:pPr>
          </w:p>
        </w:tc>
        <w:tc>
          <w:tcPr>
            <w:tcW w:w="778" w:type="dxa"/>
          </w:tcPr>
          <w:p w14:paraId="429C7080">
            <w:pPr>
              <w:autoSpaceDE w:val="0"/>
              <w:autoSpaceDN w:val="0"/>
              <w:adjustRightInd w:val="0"/>
              <w:snapToGrid w:val="0"/>
              <w:jc w:val="left"/>
              <w:rPr>
                <w:rFonts w:ascii="宋体" w:hAnsi="宋体"/>
                <w:color w:val="auto"/>
                <w:kern w:val="0"/>
                <w:szCs w:val="21"/>
                <w:highlight w:val="none"/>
              </w:rPr>
            </w:pPr>
          </w:p>
        </w:tc>
        <w:tc>
          <w:tcPr>
            <w:tcW w:w="776" w:type="dxa"/>
          </w:tcPr>
          <w:p w14:paraId="36CD6E23">
            <w:pPr>
              <w:autoSpaceDE w:val="0"/>
              <w:autoSpaceDN w:val="0"/>
              <w:adjustRightInd w:val="0"/>
              <w:snapToGrid w:val="0"/>
              <w:jc w:val="left"/>
              <w:rPr>
                <w:rFonts w:ascii="宋体" w:hAnsi="宋体"/>
                <w:color w:val="auto"/>
                <w:kern w:val="0"/>
                <w:szCs w:val="21"/>
                <w:highlight w:val="none"/>
              </w:rPr>
            </w:pPr>
          </w:p>
        </w:tc>
        <w:tc>
          <w:tcPr>
            <w:tcW w:w="2723" w:type="dxa"/>
          </w:tcPr>
          <w:p w14:paraId="42515E03">
            <w:pPr>
              <w:autoSpaceDE w:val="0"/>
              <w:autoSpaceDN w:val="0"/>
              <w:adjustRightInd w:val="0"/>
              <w:snapToGrid w:val="0"/>
              <w:jc w:val="left"/>
              <w:rPr>
                <w:rFonts w:ascii="宋体" w:hAnsi="宋体"/>
                <w:color w:val="auto"/>
                <w:kern w:val="0"/>
                <w:szCs w:val="21"/>
                <w:highlight w:val="none"/>
              </w:rPr>
            </w:pPr>
          </w:p>
        </w:tc>
        <w:tc>
          <w:tcPr>
            <w:tcW w:w="896" w:type="dxa"/>
          </w:tcPr>
          <w:p w14:paraId="11B3CA4C">
            <w:pPr>
              <w:autoSpaceDE w:val="0"/>
              <w:autoSpaceDN w:val="0"/>
              <w:adjustRightInd w:val="0"/>
              <w:snapToGrid w:val="0"/>
              <w:jc w:val="left"/>
              <w:rPr>
                <w:rFonts w:ascii="宋体" w:hAnsi="宋体"/>
                <w:color w:val="auto"/>
                <w:kern w:val="0"/>
                <w:szCs w:val="21"/>
                <w:highlight w:val="none"/>
              </w:rPr>
            </w:pPr>
          </w:p>
        </w:tc>
      </w:tr>
      <w:tr w14:paraId="1968F4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B12E839">
            <w:pPr>
              <w:autoSpaceDE w:val="0"/>
              <w:autoSpaceDN w:val="0"/>
              <w:adjustRightInd w:val="0"/>
              <w:snapToGrid w:val="0"/>
              <w:jc w:val="left"/>
              <w:rPr>
                <w:rFonts w:ascii="宋体" w:hAnsi="宋体"/>
                <w:color w:val="auto"/>
                <w:kern w:val="0"/>
                <w:szCs w:val="21"/>
                <w:highlight w:val="none"/>
              </w:rPr>
            </w:pPr>
          </w:p>
        </w:tc>
        <w:tc>
          <w:tcPr>
            <w:tcW w:w="734" w:type="dxa"/>
          </w:tcPr>
          <w:p w14:paraId="698C6B78">
            <w:pPr>
              <w:autoSpaceDE w:val="0"/>
              <w:autoSpaceDN w:val="0"/>
              <w:adjustRightInd w:val="0"/>
              <w:snapToGrid w:val="0"/>
              <w:jc w:val="left"/>
              <w:rPr>
                <w:rFonts w:ascii="宋体" w:hAnsi="宋体"/>
                <w:color w:val="auto"/>
                <w:kern w:val="0"/>
                <w:szCs w:val="21"/>
                <w:highlight w:val="none"/>
              </w:rPr>
            </w:pPr>
          </w:p>
        </w:tc>
        <w:tc>
          <w:tcPr>
            <w:tcW w:w="776" w:type="dxa"/>
          </w:tcPr>
          <w:p w14:paraId="50214EC1">
            <w:pPr>
              <w:autoSpaceDE w:val="0"/>
              <w:autoSpaceDN w:val="0"/>
              <w:adjustRightInd w:val="0"/>
              <w:snapToGrid w:val="0"/>
              <w:jc w:val="left"/>
              <w:rPr>
                <w:rFonts w:ascii="宋体" w:hAnsi="宋体"/>
                <w:color w:val="auto"/>
                <w:kern w:val="0"/>
                <w:szCs w:val="21"/>
                <w:highlight w:val="none"/>
              </w:rPr>
            </w:pPr>
          </w:p>
        </w:tc>
        <w:tc>
          <w:tcPr>
            <w:tcW w:w="1167" w:type="dxa"/>
          </w:tcPr>
          <w:p w14:paraId="6B3BCDD4">
            <w:pPr>
              <w:autoSpaceDE w:val="0"/>
              <w:autoSpaceDN w:val="0"/>
              <w:adjustRightInd w:val="0"/>
              <w:snapToGrid w:val="0"/>
              <w:jc w:val="left"/>
              <w:rPr>
                <w:rFonts w:ascii="宋体" w:hAnsi="宋体"/>
                <w:color w:val="auto"/>
                <w:kern w:val="0"/>
                <w:szCs w:val="21"/>
                <w:highlight w:val="none"/>
              </w:rPr>
            </w:pPr>
          </w:p>
        </w:tc>
        <w:tc>
          <w:tcPr>
            <w:tcW w:w="776" w:type="dxa"/>
          </w:tcPr>
          <w:p w14:paraId="3003E241">
            <w:pPr>
              <w:autoSpaceDE w:val="0"/>
              <w:autoSpaceDN w:val="0"/>
              <w:adjustRightInd w:val="0"/>
              <w:snapToGrid w:val="0"/>
              <w:jc w:val="left"/>
              <w:rPr>
                <w:rFonts w:ascii="宋体" w:hAnsi="宋体"/>
                <w:color w:val="auto"/>
                <w:kern w:val="0"/>
                <w:szCs w:val="21"/>
                <w:highlight w:val="none"/>
              </w:rPr>
            </w:pPr>
          </w:p>
        </w:tc>
        <w:tc>
          <w:tcPr>
            <w:tcW w:w="778" w:type="dxa"/>
          </w:tcPr>
          <w:p w14:paraId="5A1EF36E">
            <w:pPr>
              <w:autoSpaceDE w:val="0"/>
              <w:autoSpaceDN w:val="0"/>
              <w:adjustRightInd w:val="0"/>
              <w:snapToGrid w:val="0"/>
              <w:jc w:val="left"/>
              <w:rPr>
                <w:rFonts w:ascii="宋体" w:hAnsi="宋体"/>
                <w:color w:val="auto"/>
                <w:kern w:val="0"/>
                <w:szCs w:val="21"/>
                <w:highlight w:val="none"/>
              </w:rPr>
            </w:pPr>
          </w:p>
        </w:tc>
        <w:tc>
          <w:tcPr>
            <w:tcW w:w="776" w:type="dxa"/>
          </w:tcPr>
          <w:p w14:paraId="4F0C2460">
            <w:pPr>
              <w:autoSpaceDE w:val="0"/>
              <w:autoSpaceDN w:val="0"/>
              <w:adjustRightInd w:val="0"/>
              <w:snapToGrid w:val="0"/>
              <w:jc w:val="left"/>
              <w:rPr>
                <w:rFonts w:ascii="宋体" w:hAnsi="宋体"/>
                <w:color w:val="auto"/>
                <w:kern w:val="0"/>
                <w:szCs w:val="21"/>
                <w:highlight w:val="none"/>
              </w:rPr>
            </w:pPr>
          </w:p>
        </w:tc>
        <w:tc>
          <w:tcPr>
            <w:tcW w:w="2723" w:type="dxa"/>
          </w:tcPr>
          <w:p w14:paraId="2A35F95F">
            <w:pPr>
              <w:autoSpaceDE w:val="0"/>
              <w:autoSpaceDN w:val="0"/>
              <w:adjustRightInd w:val="0"/>
              <w:snapToGrid w:val="0"/>
              <w:jc w:val="left"/>
              <w:rPr>
                <w:rFonts w:ascii="宋体" w:hAnsi="宋体"/>
                <w:color w:val="auto"/>
                <w:kern w:val="0"/>
                <w:szCs w:val="21"/>
                <w:highlight w:val="none"/>
              </w:rPr>
            </w:pPr>
          </w:p>
        </w:tc>
        <w:tc>
          <w:tcPr>
            <w:tcW w:w="896" w:type="dxa"/>
          </w:tcPr>
          <w:p w14:paraId="67C8A052">
            <w:pPr>
              <w:autoSpaceDE w:val="0"/>
              <w:autoSpaceDN w:val="0"/>
              <w:adjustRightInd w:val="0"/>
              <w:snapToGrid w:val="0"/>
              <w:jc w:val="left"/>
              <w:rPr>
                <w:rFonts w:ascii="宋体" w:hAnsi="宋体"/>
                <w:color w:val="auto"/>
                <w:kern w:val="0"/>
                <w:szCs w:val="21"/>
                <w:highlight w:val="none"/>
              </w:rPr>
            </w:pPr>
          </w:p>
        </w:tc>
      </w:tr>
      <w:tr w14:paraId="0610D2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941E17C">
            <w:pPr>
              <w:autoSpaceDE w:val="0"/>
              <w:autoSpaceDN w:val="0"/>
              <w:adjustRightInd w:val="0"/>
              <w:snapToGrid w:val="0"/>
              <w:jc w:val="left"/>
              <w:rPr>
                <w:rFonts w:ascii="宋体" w:hAnsi="宋体"/>
                <w:color w:val="auto"/>
                <w:kern w:val="0"/>
                <w:szCs w:val="21"/>
                <w:highlight w:val="none"/>
              </w:rPr>
            </w:pPr>
          </w:p>
        </w:tc>
        <w:tc>
          <w:tcPr>
            <w:tcW w:w="734" w:type="dxa"/>
          </w:tcPr>
          <w:p w14:paraId="3E1B7BA0">
            <w:pPr>
              <w:autoSpaceDE w:val="0"/>
              <w:autoSpaceDN w:val="0"/>
              <w:adjustRightInd w:val="0"/>
              <w:snapToGrid w:val="0"/>
              <w:jc w:val="left"/>
              <w:rPr>
                <w:rFonts w:ascii="宋体" w:hAnsi="宋体"/>
                <w:color w:val="auto"/>
                <w:kern w:val="0"/>
                <w:szCs w:val="21"/>
                <w:highlight w:val="none"/>
              </w:rPr>
            </w:pPr>
          </w:p>
        </w:tc>
        <w:tc>
          <w:tcPr>
            <w:tcW w:w="776" w:type="dxa"/>
          </w:tcPr>
          <w:p w14:paraId="17CA7D20">
            <w:pPr>
              <w:autoSpaceDE w:val="0"/>
              <w:autoSpaceDN w:val="0"/>
              <w:adjustRightInd w:val="0"/>
              <w:snapToGrid w:val="0"/>
              <w:jc w:val="left"/>
              <w:rPr>
                <w:rFonts w:ascii="宋体" w:hAnsi="宋体"/>
                <w:color w:val="auto"/>
                <w:kern w:val="0"/>
                <w:szCs w:val="21"/>
                <w:highlight w:val="none"/>
              </w:rPr>
            </w:pPr>
          </w:p>
        </w:tc>
        <w:tc>
          <w:tcPr>
            <w:tcW w:w="1167" w:type="dxa"/>
          </w:tcPr>
          <w:p w14:paraId="317B4B78">
            <w:pPr>
              <w:autoSpaceDE w:val="0"/>
              <w:autoSpaceDN w:val="0"/>
              <w:adjustRightInd w:val="0"/>
              <w:snapToGrid w:val="0"/>
              <w:jc w:val="left"/>
              <w:rPr>
                <w:rFonts w:ascii="宋体" w:hAnsi="宋体"/>
                <w:color w:val="auto"/>
                <w:kern w:val="0"/>
                <w:szCs w:val="21"/>
                <w:highlight w:val="none"/>
              </w:rPr>
            </w:pPr>
          </w:p>
        </w:tc>
        <w:tc>
          <w:tcPr>
            <w:tcW w:w="776" w:type="dxa"/>
          </w:tcPr>
          <w:p w14:paraId="66F000E2">
            <w:pPr>
              <w:autoSpaceDE w:val="0"/>
              <w:autoSpaceDN w:val="0"/>
              <w:adjustRightInd w:val="0"/>
              <w:snapToGrid w:val="0"/>
              <w:jc w:val="left"/>
              <w:rPr>
                <w:rFonts w:ascii="宋体" w:hAnsi="宋体"/>
                <w:color w:val="auto"/>
                <w:kern w:val="0"/>
                <w:szCs w:val="21"/>
                <w:highlight w:val="none"/>
              </w:rPr>
            </w:pPr>
          </w:p>
        </w:tc>
        <w:tc>
          <w:tcPr>
            <w:tcW w:w="778" w:type="dxa"/>
          </w:tcPr>
          <w:p w14:paraId="398B54F2">
            <w:pPr>
              <w:autoSpaceDE w:val="0"/>
              <w:autoSpaceDN w:val="0"/>
              <w:adjustRightInd w:val="0"/>
              <w:snapToGrid w:val="0"/>
              <w:jc w:val="left"/>
              <w:rPr>
                <w:rFonts w:ascii="宋体" w:hAnsi="宋体"/>
                <w:color w:val="auto"/>
                <w:kern w:val="0"/>
                <w:szCs w:val="21"/>
                <w:highlight w:val="none"/>
              </w:rPr>
            </w:pPr>
          </w:p>
        </w:tc>
        <w:tc>
          <w:tcPr>
            <w:tcW w:w="776" w:type="dxa"/>
          </w:tcPr>
          <w:p w14:paraId="1B8EDB49">
            <w:pPr>
              <w:autoSpaceDE w:val="0"/>
              <w:autoSpaceDN w:val="0"/>
              <w:adjustRightInd w:val="0"/>
              <w:snapToGrid w:val="0"/>
              <w:jc w:val="left"/>
              <w:rPr>
                <w:rFonts w:ascii="宋体" w:hAnsi="宋体"/>
                <w:color w:val="auto"/>
                <w:kern w:val="0"/>
                <w:szCs w:val="21"/>
                <w:highlight w:val="none"/>
              </w:rPr>
            </w:pPr>
          </w:p>
        </w:tc>
        <w:tc>
          <w:tcPr>
            <w:tcW w:w="2723" w:type="dxa"/>
          </w:tcPr>
          <w:p w14:paraId="0B7180BB">
            <w:pPr>
              <w:autoSpaceDE w:val="0"/>
              <w:autoSpaceDN w:val="0"/>
              <w:adjustRightInd w:val="0"/>
              <w:snapToGrid w:val="0"/>
              <w:jc w:val="left"/>
              <w:rPr>
                <w:rFonts w:ascii="宋体" w:hAnsi="宋体"/>
                <w:color w:val="auto"/>
                <w:kern w:val="0"/>
                <w:szCs w:val="21"/>
                <w:highlight w:val="none"/>
              </w:rPr>
            </w:pPr>
          </w:p>
        </w:tc>
        <w:tc>
          <w:tcPr>
            <w:tcW w:w="896" w:type="dxa"/>
          </w:tcPr>
          <w:p w14:paraId="49BBCCE1">
            <w:pPr>
              <w:autoSpaceDE w:val="0"/>
              <w:autoSpaceDN w:val="0"/>
              <w:adjustRightInd w:val="0"/>
              <w:snapToGrid w:val="0"/>
              <w:jc w:val="left"/>
              <w:rPr>
                <w:rFonts w:ascii="宋体" w:hAnsi="宋体"/>
                <w:color w:val="auto"/>
                <w:kern w:val="0"/>
                <w:szCs w:val="21"/>
                <w:highlight w:val="none"/>
              </w:rPr>
            </w:pPr>
          </w:p>
        </w:tc>
      </w:tr>
      <w:tr w14:paraId="555778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7DC125E">
            <w:pPr>
              <w:autoSpaceDE w:val="0"/>
              <w:autoSpaceDN w:val="0"/>
              <w:adjustRightInd w:val="0"/>
              <w:snapToGrid w:val="0"/>
              <w:jc w:val="left"/>
              <w:rPr>
                <w:rFonts w:ascii="宋体" w:hAnsi="宋体"/>
                <w:color w:val="auto"/>
                <w:kern w:val="0"/>
                <w:szCs w:val="21"/>
                <w:highlight w:val="none"/>
              </w:rPr>
            </w:pPr>
          </w:p>
        </w:tc>
        <w:tc>
          <w:tcPr>
            <w:tcW w:w="734" w:type="dxa"/>
          </w:tcPr>
          <w:p w14:paraId="499861DD">
            <w:pPr>
              <w:autoSpaceDE w:val="0"/>
              <w:autoSpaceDN w:val="0"/>
              <w:adjustRightInd w:val="0"/>
              <w:snapToGrid w:val="0"/>
              <w:jc w:val="left"/>
              <w:rPr>
                <w:rFonts w:ascii="宋体" w:hAnsi="宋体"/>
                <w:color w:val="auto"/>
                <w:kern w:val="0"/>
                <w:szCs w:val="21"/>
                <w:highlight w:val="none"/>
              </w:rPr>
            </w:pPr>
          </w:p>
        </w:tc>
        <w:tc>
          <w:tcPr>
            <w:tcW w:w="776" w:type="dxa"/>
          </w:tcPr>
          <w:p w14:paraId="7AFC0C5F">
            <w:pPr>
              <w:autoSpaceDE w:val="0"/>
              <w:autoSpaceDN w:val="0"/>
              <w:adjustRightInd w:val="0"/>
              <w:snapToGrid w:val="0"/>
              <w:jc w:val="left"/>
              <w:rPr>
                <w:rFonts w:ascii="宋体" w:hAnsi="宋体"/>
                <w:color w:val="auto"/>
                <w:kern w:val="0"/>
                <w:szCs w:val="21"/>
                <w:highlight w:val="none"/>
              </w:rPr>
            </w:pPr>
          </w:p>
        </w:tc>
        <w:tc>
          <w:tcPr>
            <w:tcW w:w="1167" w:type="dxa"/>
          </w:tcPr>
          <w:p w14:paraId="6670E206">
            <w:pPr>
              <w:autoSpaceDE w:val="0"/>
              <w:autoSpaceDN w:val="0"/>
              <w:adjustRightInd w:val="0"/>
              <w:snapToGrid w:val="0"/>
              <w:jc w:val="left"/>
              <w:rPr>
                <w:rFonts w:ascii="宋体" w:hAnsi="宋体"/>
                <w:color w:val="auto"/>
                <w:kern w:val="0"/>
                <w:szCs w:val="21"/>
                <w:highlight w:val="none"/>
              </w:rPr>
            </w:pPr>
          </w:p>
        </w:tc>
        <w:tc>
          <w:tcPr>
            <w:tcW w:w="776" w:type="dxa"/>
          </w:tcPr>
          <w:p w14:paraId="3416F518">
            <w:pPr>
              <w:autoSpaceDE w:val="0"/>
              <w:autoSpaceDN w:val="0"/>
              <w:adjustRightInd w:val="0"/>
              <w:snapToGrid w:val="0"/>
              <w:jc w:val="left"/>
              <w:rPr>
                <w:rFonts w:ascii="宋体" w:hAnsi="宋体"/>
                <w:color w:val="auto"/>
                <w:kern w:val="0"/>
                <w:szCs w:val="21"/>
                <w:highlight w:val="none"/>
              </w:rPr>
            </w:pPr>
          </w:p>
        </w:tc>
        <w:tc>
          <w:tcPr>
            <w:tcW w:w="778" w:type="dxa"/>
          </w:tcPr>
          <w:p w14:paraId="7FEFA17F">
            <w:pPr>
              <w:autoSpaceDE w:val="0"/>
              <w:autoSpaceDN w:val="0"/>
              <w:adjustRightInd w:val="0"/>
              <w:snapToGrid w:val="0"/>
              <w:jc w:val="left"/>
              <w:rPr>
                <w:rFonts w:ascii="宋体" w:hAnsi="宋体"/>
                <w:color w:val="auto"/>
                <w:kern w:val="0"/>
                <w:szCs w:val="21"/>
                <w:highlight w:val="none"/>
              </w:rPr>
            </w:pPr>
          </w:p>
        </w:tc>
        <w:tc>
          <w:tcPr>
            <w:tcW w:w="776" w:type="dxa"/>
          </w:tcPr>
          <w:p w14:paraId="12A23BDE">
            <w:pPr>
              <w:autoSpaceDE w:val="0"/>
              <w:autoSpaceDN w:val="0"/>
              <w:adjustRightInd w:val="0"/>
              <w:snapToGrid w:val="0"/>
              <w:jc w:val="left"/>
              <w:rPr>
                <w:rFonts w:ascii="宋体" w:hAnsi="宋体"/>
                <w:color w:val="auto"/>
                <w:kern w:val="0"/>
                <w:szCs w:val="21"/>
                <w:highlight w:val="none"/>
              </w:rPr>
            </w:pPr>
          </w:p>
        </w:tc>
        <w:tc>
          <w:tcPr>
            <w:tcW w:w="2723" w:type="dxa"/>
          </w:tcPr>
          <w:p w14:paraId="0272D311">
            <w:pPr>
              <w:autoSpaceDE w:val="0"/>
              <w:autoSpaceDN w:val="0"/>
              <w:adjustRightInd w:val="0"/>
              <w:snapToGrid w:val="0"/>
              <w:jc w:val="left"/>
              <w:rPr>
                <w:rFonts w:ascii="宋体" w:hAnsi="宋体"/>
                <w:color w:val="auto"/>
                <w:kern w:val="0"/>
                <w:szCs w:val="21"/>
                <w:highlight w:val="none"/>
              </w:rPr>
            </w:pPr>
          </w:p>
        </w:tc>
        <w:tc>
          <w:tcPr>
            <w:tcW w:w="896" w:type="dxa"/>
          </w:tcPr>
          <w:p w14:paraId="0B08010E">
            <w:pPr>
              <w:autoSpaceDE w:val="0"/>
              <w:autoSpaceDN w:val="0"/>
              <w:adjustRightInd w:val="0"/>
              <w:snapToGrid w:val="0"/>
              <w:jc w:val="left"/>
              <w:rPr>
                <w:rFonts w:ascii="宋体" w:hAnsi="宋体"/>
                <w:color w:val="auto"/>
                <w:kern w:val="0"/>
                <w:szCs w:val="21"/>
                <w:highlight w:val="none"/>
              </w:rPr>
            </w:pPr>
          </w:p>
        </w:tc>
      </w:tr>
      <w:tr w14:paraId="7A414D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CF5D76C">
            <w:pPr>
              <w:autoSpaceDE w:val="0"/>
              <w:autoSpaceDN w:val="0"/>
              <w:adjustRightInd w:val="0"/>
              <w:snapToGrid w:val="0"/>
              <w:jc w:val="left"/>
              <w:rPr>
                <w:rFonts w:ascii="宋体" w:hAnsi="宋体"/>
                <w:color w:val="auto"/>
                <w:kern w:val="0"/>
                <w:szCs w:val="21"/>
                <w:highlight w:val="none"/>
              </w:rPr>
            </w:pPr>
          </w:p>
        </w:tc>
        <w:tc>
          <w:tcPr>
            <w:tcW w:w="734" w:type="dxa"/>
          </w:tcPr>
          <w:p w14:paraId="10B010A1">
            <w:pPr>
              <w:autoSpaceDE w:val="0"/>
              <w:autoSpaceDN w:val="0"/>
              <w:adjustRightInd w:val="0"/>
              <w:snapToGrid w:val="0"/>
              <w:jc w:val="left"/>
              <w:rPr>
                <w:rFonts w:ascii="宋体" w:hAnsi="宋体"/>
                <w:color w:val="auto"/>
                <w:kern w:val="0"/>
                <w:szCs w:val="21"/>
                <w:highlight w:val="none"/>
              </w:rPr>
            </w:pPr>
          </w:p>
        </w:tc>
        <w:tc>
          <w:tcPr>
            <w:tcW w:w="776" w:type="dxa"/>
          </w:tcPr>
          <w:p w14:paraId="5521D20C">
            <w:pPr>
              <w:autoSpaceDE w:val="0"/>
              <w:autoSpaceDN w:val="0"/>
              <w:adjustRightInd w:val="0"/>
              <w:snapToGrid w:val="0"/>
              <w:jc w:val="left"/>
              <w:rPr>
                <w:rFonts w:ascii="宋体" w:hAnsi="宋体"/>
                <w:color w:val="auto"/>
                <w:kern w:val="0"/>
                <w:szCs w:val="21"/>
                <w:highlight w:val="none"/>
              </w:rPr>
            </w:pPr>
          </w:p>
        </w:tc>
        <w:tc>
          <w:tcPr>
            <w:tcW w:w="1167" w:type="dxa"/>
          </w:tcPr>
          <w:p w14:paraId="2B626D95">
            <w:pPr>
              <w:autoSpaceDE w:val="0"/>
              <w:autoSpaceDN w:val="0"/>
              <w:adjustRightInd w:val="0"/>
              <w:snapToGrid w:val="0"/>
              <w:jc w:val="left"/>
              <w:rPr>
                <w:rFonts w:ascii="宋体" w:hAnsi="宋体"/>
                <w:color w:val="auto"/>
                <w:kern w:val="0"/>
                <w:szCs w:val="21"/>
                <w:highlight w:val="none"/>
              </w:rPr>
            </w:pPr>
          </w:p>
        </w:tc>
        <w:tc>
          <w:tcPr>
            <w:tcW w:w="776" w:type="dxa"/>
          </w:tcPr>
          <w:p w14:paraId="7B5168EA">
            <w:pPr>
              <w:autoSpaceDE w:val="0"/>
              <w:autoSpaceDN w:val="0"/>
              <w:adjustRightInd w:val="0"/>
              <w:snapToGrid w:val="0"/>
              <w:jc w:val="left"/>
              <w:rPr>
                <w:rFonts w:ascii="宋体" w:hAnsi="宋体"/>
                <w:color w:val="auto"/>
                <w:kern w:val="0"/>
                <w:szCs w:val="21"/>
                <w:highlight w:val="none"/>
              </w:rPr>
            </w:pPr>
          </w:p>
        </w:tc>
        <w:tc>
          <w:tcPr>
            <w:tcW w:w="778" w:type="dxa"/>
          </w:tcPr>
          <w:p w14:paraId="3A54F924">
            <w:pPr>
              <w:autoSpaceDE w:val="0"/>
              <w:autoSpaceDN w:val="0"/>
              <w:adjustRightInd w:val="0"/>
              <w:snapToGrid w:val="0"/>
              <w:jc w:val="left"/>
              <w:rPr>
                <w:rFonts w:ascii="宋体" w:hAnsi="宋体"/>
                <w:color w:val="auto"/>
                <w:kern w:val="0"/>
                <w:szCs w:val="21"/>
                <w:highlight w:val="none"/>
              </w:rPr>
            </w:pPr>
          </w:p>
        </w:tc>
        <w:tc>
          <w:tcPr>
            <w:tcW w:w="776" w:type="dxa"/>
          </w:tcPr>
          <w:p w14:paraId="0D7ED5C9">
            <w:pPr>
              <w:autoSpaceDE w:val="0"/>
              <w:autoSpaceDN w:val="0"/>
              <w:adjustRightInd w:val="0"/>
              <w:snapToGrid w:val="0"/>
              <w:jc w:val="left"/>
              <w:rPr>
                <w:rFonts w:ascii="宋体" w:hAnsi="宋体"/>
                <w:color w:val="auto"/>
                <w:kern w:val="0"/>
                <w:szCs w:val="21"/>
                <w:highlight w:val="none"/>
              </w:rPr>
            </w:pPr>
          </w:p>
        </w:tc>
        <w:tc>
          <w:tcPr>
            <w:tcW w:w="2723" w:type="dxa"/>
          </w:tcPr>
          <w:p w14:paraId="1CD21C48">
            <w:pPr>
              <w:autoSpaceDE w:val="0"/>
              <w:autoSpaceDN w:val="0"/>
              <w:adjustRightInd w:val="0"/>
              <w:snapToGrid w:val="0"/>
              <w:jc w:val="left"/>
              <w:rPr>
                <w:rFonts w:ascii="宋体" w:hAnsi="宋体"/>
                <w:color w:val="auto"/>
                <w:kern w:val="0"/>
                <w:szCs w:val="21"/>
                <w:highlight w:val="none"/>
              </w:rPr>
            </w:pPr>
          </w:p>
        </w:tc>
        <w:tc>
          <w:tcPr>
            <w:tcW w:w="896" w:type="dxa"/>
          </w:tcPr>
          <w:p w14:paraId="03F08B09">
            <w:pPr>
              <w:autoSpaceDE w:val="0"/>
              <w:autoSpaceDN w:val="0"/>
              <w:adjustRightInd w:val="0"/>
              <w:snapToGrid w:val="0"/>
              <w:jc w:val="left"/>
              <w:rPr>
                <w:rFonts w:ascii="宋体" w:hAnsi="宋体"/>
                <w:color w:val="auto"/>
                <w:kern w:val="0"/>
                <w:szCs w:val="21"/>
                <w:highlight w:val="none"/>
              </w:rPr>
            </w:pPr>
          </w:p>
        </w:tc>
      </w:tr>
      <w:tr w14:paraId="4B5C01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894B3CA">
            <w:pPr>
              <w:autoSpaceDE w:val="0"/>
              <w:autoSpaceDN w:val="0"/>
              <w:adjustRightInd w:val="0"/>
              <w:snapToGrid w:val="0"/>
              <w:jc w:val="left"/>
              <w:rPr>
                <w:rFonts w:ascii="宋体" w:hAnsi="宋体"/>
                <w:color w:val="auto"/>
                <w:kern w:val="0"/>
                <w:szCs w:val="21"/>
                <w:highlight w:val="none"/>
              </w:rPr>
            </w:pPr>
          </w:p>
        </w:tc>
        <w:tc>
          <w:tcPr>
            <w:tcW w:w="734" w:type="dxa"/>
          </w:tcPr>
          <w:p w14:paraId="3D0F8386">
            <w:pPr>
              <w:autoSpaceDE w:val="0"/>
              <w:autoSpaceDN w:val="0"/>
              <w:adjustRightInd w:val="0"/>
              <w:snapToGrid w:val="0"/>
              <w:jc w:val="left"/>
              <w:rPr>
                <w:rFonts w:ascii="宋体" w:hAnsi="宋体"/>
                <w:color w:val="auto"/>
                <w:kern w:val="0"/>
                <w:szCs w:val="21"/>
                <w:highlight w:val="none"/>
              </w:rPr>
            </w:pPr>
          </w:p>
        </w:tc>
        <w:tc>
          <w:tcPr>
            <w:tcW w:w="776" w:type="dxa"/>
          </w:tcPr>
          <w:p w14:paraId="48BE6396">
            <w:pPr>
              <w:autoSpaceDE w:val="0"/>
              <w:autoSpaceDN w:val="0"/>
              <w:adjustRightInd w:val="0"/>
              <w:snapToGrid w:val="0"/>
              <w:jc w:val="left"/>
              <w:rPr>
                <w:rFonts w:ascii="宋体" w:hAnsi="宋体"/>
                <w:color w:val="auto"/>
                <w:kern w:val="0"/>
                <w:szCs w:val="21"/>
                <w:highlight w:val="none"/>
              </w:rPr>
            </w:pPr>
          </w:p>
        </w:tc>
        <w:tc>
          <w:tcPr>
            <w:tcW w:w="1167" w:type="dxa"/>
          </w:tcPr>
          <w:p w14:paraId="37365E10">
            <w:pPr>
              <w:autoSpaceDE w:val="0"/>
              <w:autoSpaceDN w:val="0"/>
              <w:adjustRightInd w:val="0"/>
              <w:snapToGrid w:val="0"/>
              <w:jc w:val="left"/>
              <w:rPr>
                <w:rFonts w:ascii="宋体" w:hAnsi="宋体"/>
                <w:color w:val="auto"/>
                <w:kern w:val="0"/>
                <w:szCs w:val="21"/>
                <w:highlight w:val="none"/>
              </w:rPr>
            </w:pPr>
          </w:p>
        </w:tc>
        <w:tc>
          <w:tcPr>
            <w:tcW w:w="776" w:type="dxa"/>
          </w:tcPr>
          <w:p w14:paraId="51E05F55">
            <w:pPr>
              <w:autoSpaceDE w:val="0"/>
              <w:autoSpaceDN w:val="0"/>
              <w:adjustRightInd w:val="0"/>
              <w:snapToGrid w:val="0"/>
              <w:jc w:val="left"/>
              <w:rPr>
                <w:rFonts w:ascii="宋体" w:hAnsi="宋体"/>
                <w:color w:val="auto"/>
                <w:kern w:val="0"/>
                <w:szCs w:val="21"/>
                <w:highlight w:val="none"/>
              </w:rPr>
            </w:pPr>
          </w:p>
        </w:tc>
        <w:tc>
          <w:tcPr>
            <w:tcW w:w="778" w:type="dxa"/>
          </w:tcPr>
          <w:p w14:paraId="458334ED">
            <w:pPr>
              <w:autoSpaceDE w:val="0"/>
              <w:autoSpaceDN w:val="0"/>
              <w:adjustRightInd w:val="0"/>
              <w:snapToGrid w:val="0"/>
              <w:jc w:val="left"/>
              <w:rPr>
                <w:rFonts w:ascii="宋体" w:hAnsi="宋体"/>
                <w:color w:val="auto"/>
                <w:kern w:val="0"/>
                <w:szCs w:val="21"/>
                <w:highlight w:val="none"/>
              </w:rPr>
            </w:pPr>
          </w:p>
        </w:tc>
        <w:tc>
          <w:tcPr>
            <w:tcW w:w="776" w:type="dxa"/>
          </w:tcPr>
          <w:p w14:paraId="6370ADC1">
            <w:pPr>
              <w:autoSpaceDE w:val="0"/>
              <w:autoSpaceDN w:val="0"/>
              <w:adjustRightInd w:val="0"/>
              <w:snapToGrid w:val="0"/>
              <w:jc w:val="left"/>
              <w:rPr>
                <w:rFonts w:ascii="宋体" w:hAnsi="宋体"/>
                <w:color w:val="auto"/>
                <w:kern w:val="0"/>
                <w:szCs w:val="21"/>
                <w:highlight w:val="none"/>
              </w:rPr>
            </w:pPr>
          </w:p>
        </w:tc>
        <w:tc>
          <w:tcPr>
            <w:tcW w:w="2723" w:type="dxa"/>
          </w:tcPr>
          <w:p w14:paraId="14EB6853">
            <w:pPr>
              <w:autoSpaceDE w:val="0"/>
              <w:autoSpaceDN w:val="0"/>
              <w:adjustRightInd w:val="0"/>
              <w:snapToGrid w:val="0"/>
              <w:jc w:val="left"/>
              <w:rPr>
                <w:rFonts w:ascii="宋体" w:hAnsi="宋体"/>
                <w:color w:val="auto"/>
                <w:kern w:val="0"/>
                <w:szCs w:val="21"/>
                <w:highlight w:val="none"/>
              </w:rPr>
            </w:pPr>
          </w:p>
        </w:tc>
        <w:tc>
          <w:tcPr>
            <w:tcW w:w="896" w:type="dxa"/>
          </w:tcPr>
          <w:p w14:paraId="3929A3C4">
            <w:pPr>
              <w:autoSpaceDE w:val="0"/>
              <w:autoSpaceDN w:val="0"/>
              <w:adjustRightInd w:val="0"/>
              <w:snapToGrid w:val="0"/>
              <w:jc w:val="left"/>
              <w:rPr>
                <w:rFonts w:ascii="宋体" w:hAnsi="宋体"/>
                <w:color w:val="auto"/>
                <w:kern w:val="0"/>
                <w:szCs w:val="21"/>
                <w:highlight w:val="none"/>
              </w:rPr>
            </w:pPr>
          </w:p>
        </w:tc>
      </w:tr>
      <w:tr w14:paraId="790FB0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A1B5D6E">
            <w:pPr>
              <w:autoSpaceDE w:val="0"/>
              <w:autoSpaceDN w:val="0"/>
              <w:adjustRightInd w:val="0"/>
              <w:snapToGrid w:val="0"/>
              <w:jc w:val="left"/>
              <w:rPr>
                <w:rFonts w:ascii="宋体" w:hAnsi="宋体"/>
                <w:color w:val="auto"/>
                <w:kern w:val="0"/>
                <w:szCs w:val="21"/>
                <w:highlight w:val="none"/>
              </w:rPr>
            </w:pPr>
          </w:p>
        </w:tc>
        <w:tc>
          <w:tcPr>
            <w:tcW w:w="734" w:type="dxa"/>
          </w:tcPr>
          <w:p w14:paraId="36D311E5">
            <w:pPr>
              <w:autoSpaceDE w:val="0"/>
              <w:autoSpaceDN w:val="0"/>
              <w:adjustRightInd w:val="0"/>
              <w:snapToGrid w:val="0"/>
              <w:jc w:val="left"/>
              <w:rPr>
                <w:rFonts w:ascii="宋体" w:hAnsi="宋体"/>
                <w:color w:val="auto"/>
                <w:kern w:val="0"/>
                <w:szCs w:val="21"/>
                <w:highlight w:val="none"/>
              </w:rPr>
            </w:pPr>
          </w:p>
        </w:tc>
        <w:tc>
          <w:tcPr>
            <w:tcW w:w="776" w:type="dxa"/>
          </w:tcPr>
          <w:p w14:paraId="573F28B7">
            <w:pPr>
              <w:autoSpaceDE w:val="0"/>
              <w:autoSpaceDN w:val="0"/>
              <w:adjustRightInd w:val="0"/>
              <w:snapToGrid w:val="0"/>
              <w:jc w:val="left"/>
              <w:rPr>
                <w:rFonts w:ascii="宋体" w:hAnsi="宋体"/>
                <w:color w:val="auto"/>
                <w:kern w:val="0"/>
                <w:szCs w:val="21"/>
                <w:highlight w:val="none"/>
              </w:rPr>
            </w:pPr>
          </w:p>
        </w:tc>
        <w:tc>
          <w:tcPr>
            <w:tcW w:w="1167" w:type="dxa"/>
          </w:tcPr>
          <w:p w14:paraId="053418AB">
            <w:pPr>
              <w:autoSpaceDE w:val="0"/>
              <w:autoSpaceDN w:val="0"/>
              <w:adjustRightInd w:val="0"/>
              <w:snapToGrid w:val="0"/>
              <w:jc w:val="left"/>
              <w:rPr>
                <w:rFonts w:ascii="宋体" w:hAnsi="宋体"/>
                <w:color w:val="auto"/>
                <w:kern w:val="0"/>
                <w:szCs w:val="21"/>
                <w:highlight w:val="none"/>
              </w:rPr>
            </w:pPr>
          </w:p>
        </w:tc>
        <w:tc>
          <w:tcPr>
            <w:tcW w:w="776" w:type="dxa"/>
          </w:tcPr>
          <w:p w14:paraId="610B5110">
            <w:pPr>
              <w:autoSpaceDE w:val="0"/>
              <w:autoSpaceDN w:val="0"/>
              <w:adjustRightInd w:val="0"/>
              <w:snapToGrid w:val="0"/>
              <w:jc w:val="left"/>
              <w:rPr>
                <w:rFonts w:ascii="宋体" w:hAnsi="宋体"/>
                <w:color w:val="auto"/>
                <w:kern w:val="0"/>
                <w:szCs w:val="21"/>
                <w:highlight w:val="none"/>
              </w:rPr>
            </w:pPr>
          </w:p>
        </w:tc>
        <w:tc>
          <w:tcPr>
            <w:tcW w:w="778" w:type="dxa"/>
          </w:tcPr>
          <w:p w14:paraId="4E5DCA87">
            <w:pPr>
              <w:autoSpaceDE w:val="0"/>
              <w:autoSpaceDN w:val="0"/>
              <w:adjustRightInd w:val="0"/>
              <w:snapToGrid w:val="0"/>
              <w:jc w:val="left"/>
              <w:rPr>
                <w:rFonts w:ascii="宋体" w:hAnsi="宋体"/>
                <w:color w:val="auto"/>
                <w:kern w:val="0"/>
                <w:szCs w:val="21"/>
                <w:highlight w:val="none"/>
              </w:rPr>
            </w:pPr>
          </w:p>
        </w:tc>
        <w:tc>
          <w:tcPr>
            <w:tcW w:w="776" w:type="dxa"/>
          </w:tcPr>
          <w:p w14:paraId="0DA59E0B">
            <w:pPr>
              <w:autoSpaceDE w:val="0"/>
              <w:autoSpaceDN w:val="0"/>
              <w:adjustRightInd w:val="0"/>
              <w:snapToGrid w:val="0"/>
              <w:jc w:val="left"/>
              <w:rPr>
                <w:rFonts w:ascii="宋体" w:hAnsi="宋体"/>
                <w:color w:val="auto"/>
                <w:kern w:val="0"/>
                <w:szCs w:val="21"/>
                <w:highlight w:val="none"/>
              </w:rPr>
            </w:pPr>
          </w:p>
        </w:tc>
        <w:tc>
          <w:tcPr>
            <w:tcW w:w="2723" w:type="dxa"/>
          </w:tcPr>
          <w:p w14:paraId="439881C0">
            <w:pPr>
              <w:autoSpaceDE w:val="0"/>
              <w:autoSpaceDN w:val="0"/>
              <w:adjustRightInd w:val="0"/>
              <w:snapToGrid w:val="0"/>
              <w:jc w:val="left"/>
              <w:rPr>
                <w:rFonts w:ascii="宋体" w:hAnsi="宋体"/>
                <w:color w:val="auto"/>
                <w:kern w:val="0"/>
                <w:szCs w:val="21"/>
                <w:highlight w:val="none"/>
              </w:rPr>
            </w:pPr>
          </w:p>
        </w:tc>
        <w:tc>
          <w:tcPr>
            <w:tcW w:w="896" w:type="dxa"/>
          </w:tcPr>
          <w:p w14:paraId="2DE589FB">
            <w:pPr>
              <w:autoSpaceDE w:val="0"/>
              <w:autoSpaceDN w:val="0"/>
              <w:adjustRightInd w:val="0"/>
              <w:snapToGrid w:val="0"/>
              <w:jc w:val="left"/>
              <w:rPr>
                <w:rFonts w:ascii="宋体" w:hAnsi="宋体"/>
                <w:color w:val="auto"/>
                <w:kern w:val="0"/>
                <w:szCs w:val="21"/>
                <w:highlight w:val="none"/>
              </w:rPr>
            </w:pPr>
          </w:p>
        </w:tc>
      </w:tr>
      <w:tr w14:paraId="4EDE3B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A9327B4">
            <w:pPr>
              <w:autoSpaceDE w:val="0"/>
              <w:autoSpaceDN w:val="0"/>
              <w:adjustRightInd w:val="0"/>
              <w:snapToGrid w:val="0"/>
              <w:jc w:val="left"/>
              <w:rPr>
                <w:rFonts w:ascii="宋体" w:hAnsi="宋体"/>
                <w:color w:val="auto"/>
                <w:kern w:val="0"/>
                <w:szCs w:val="21"/>
                <w:highlight w:val="none"/>
              </w:rPr>
            </w:pPr>
          </w:p>
        </w:tc>
        <w:tc>
          <w:tcPr>
            <w:tcW w:w="734" w:type="dxa"/>
          </w:tcPr>
          <w:p w14:paraId="2E605553">
            <w:pPr>
              <w:autoSpaceDE w:val="0"/>
              <w:autoSpaceDN w:val="0"/>
              <w:adjustRightInd w:val="0"/>
              <w:snapToGrid w:val="0"/>
              <w:jc w:val="left"/>
              <w:rPr>
                <w:rFonts w:ascii="宋体" w:hAnsi="宋体"/>
                <w:color w:val="auto"/>
                <w:kern w:val="0"/>
                <w:szCs w:val="21"/>
                <w:highlight w:val="none"/>
              </w:rPr>
            </w:pPr>
          </w:p>
        </w:tc>
        <w:tc>
          <w:tcPr>
            <w:tcW w:w="776" w:type="dxa"/>
          </w:tcPr>
          <w:p w14:paraId="12109CBA">
            <w:pPr>
              <w:autoSpaceDE w:val="0"/>
              <w:autoSpaceDN w:val="0"/>
              <w:adjustRightInd w:val="0"/>
              <w:snapToGrid w:val="0"/>
              <w:jc w:val="left"/>
              <w:rPr>
                <w:rFonts w:ascii="宋体" w:hAnsi="宋体"/>
                <w:color w:val="auto"/>
                <w:kern w:val="0"/>
                <w:szCs w:val="21"/>
                <w:highlight w:val="none"/>
              </w:rPr>
            </w:pPr>
          </w:p>
        </w:tc>
        <w:tc>
          <w:tcPr>
            <w:tcW w:w="1167" w:type="dxa"/>
          </w:tcPr>
          <w:p w14:paraId="0C8790C9">
            <w:pPr>
              <w:autoSpaceDE w:val="0"/>
              <w:autoSpaceDN w:val="0"/>
              <w:adjustRightInd w:val="0"/>
              <w:snapToGrid w:val="0"/>
              <w:jc w:val="left"/>
              <w:rPr>
                <w:rFonts w:ascii="宋体" w:hAnsi="宋体"/>
                <w:color w:val="auto"/>
                <w:kern w:val="0"/>
                <w:szCs w:val="21"/>
                <w:highlight w:val="none"/>
              </w:rPr>
            </w:pPr>
          </w:p>
        </w:tc>
        <w:tc>
          <w:tcPr>
            <w:tcW w:w="776" w:type="dxa"/>
          </w:tcPr>
          <w:p w14:paraId="351ABB07">
            <w:pPr>
              <w:autoSpaceDE w:val="0"/>
              <w:autoSpaceDN w:val="0"/>
              <w:adjustRightInd w:val="0"/>
              <w:snapToGrid w:val="0"/>
              <w:jc w:val="left"/>
              <w:rPr>
                <w:rFonts w:ascii="宋体" w:hAnsi="宋体"/>
                <w:color w:val="auto"/>
                <w:kern w:val="0"/>
                <w:szCs w:val="21"/>
                <w:highlight w:val="none"/>
              </w:rPr>
            </w:pPr>
          </w:p>
        </w:tc>
        <w:tc>
          <w:tcPr>
            <w:tcW w:w="778" w:type="dxa"/>
          </w:tcPr>
          <w:p w14:paraId="145C8872">
            <w:pPr>
              <w:autoSpaceDE w:val="0"/>
              <w:autoSpaceDN w:val="0"/>
              <w:adjustRightInd w:val="0"/>
              <w:snapToGrid w:val="0"/>
              <w:jc w:val="left"/>
              <w:rPr>
                <w:rFonts w:ascii="宋体" w:hAnsi="宋体"/>
                <w:color w:val="auto"/>
                <w:kern w:val="0"/>
                <w:szCs w:val="21"/>
                <w:highlight w:val="none"/>
              </w:rPr>
            </w:pPr>
          </w:p>
        </w:tc>
        <w:tc>
          <w:tcPr>
            <w:tcW w:w="776" w:type="dxa"/>
          </w:tcPr>
          <w:p w14:paraId="5382F164">
            <w:pPr>
              <w:autoSpaceDE w:val="0"/>
              <w:autoSpaceDN w:val="0"/>
              <w:adjustRightInd w:val="0"/>
              <w:snapToGrid w:val="0"/>
              <w:jc w:val="left"/>
              <w:rPr>
                <w:rFonts w:ascii="宋体" w:hAnsi="宋体"/>
                <w:color w:val="auto"/>
                <w:kern w:val="0"/>
                <w:szCs w:val="21"/>
                <w:highlight w:val="none"/>
              </w:rPr>
            </w:pPr>
          </w:p>
        </w:tc>
        <w:tc>
          <w:tcPr>
            <w:tcW w:w="2723" w:type="dxa"/>
          </w:tcPr>
          <w:p w14:paraId="615A94AF">
            <w:pPr>
              <w:autoSpaceDE w:val="0"/>
              <w:autoSpaceDN w:val="0"/>
              <w:adjustRightInd w:val="0"/>
              <w:snapToGrid w:val="0"/>
              <w:jc w:val="left"/>
              <w:rPr>
                <w:rFonts w:ascii="宋体" w:hAnsi="宋体"/>
                <w:color w:val="auto"/>
                <w:kern w:val="0"/>
                <w:szCs w:val="21"/>
                <w:highlight w:val="none"/>
              </w:rPr>
            </w:pPr>
          </w:p>
        </w:tc>
        <w:tc>
          <w:tcPr>
            <w:tcW w:w="896" w:type="dxa"/>
          </w:tcPr>
          <w:p w14:paraId="4456F161">
            <w:pPr>
              <w:autoSpaceDE w:val="0"/>
              <w:autoSpaceDN w:val="0"/>
              <w:adjustRightInd w:val="0"/>
              <w:snapToGrid w:val="0"/>
              <w:jc w:val="left"/>
              <w:rPr>
                <w:rFonts w:ascii="宋体" w:hAnsi="宋体"/>
                <w:color w:val="auto"/>
                <w:kern w:val="0"/>
                <w:szCs w:val="21"/>
                <w:highlight w:val="none"/>
              </w:rPr>
            </w:pPr>
          </w:p>
        </w:tc>
      </w:tr>
    </w:tbl>
    <w:p w14:paraId="4CB84C44">
      <w:pPr>
        <w:spacing w:line="20" w:lineRule="exact"/>
        <w:jc w:val="center"/>
        <w:rPr>
          <w:rFonts w:ascii="宋体" w:hAnsi="宋体"/>
          <w:color w:val="auto"/>
          <w:szCs w:val="21"/>
          <w:highlight w:val="none"/>
        </w:rPr>
      </w:pPr>
    </w:p>
    <w:p w14:paraId="35282C48">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w:t>
      </w:r>
      <w:r>
        <w:rPr>
          <w:rFonts w:hint="eastAsia" w:ascii="宋体" w:hAnsi="宋体"/>
          <w:color w:val="auto"/>
          <w:kern w:val="0"/>
          <w:szCs w:val="21"/>
          <w:highlight w:val="none"/>
          <w:lang w:val="en-US" w:eastAsia="zh-CN"/>
        </w:rPr>
        <w:t>项目总工</w:t>
      </w:r>
      <w:r>
        <w:rPr>
          <w:rFonts w:hint="eastAsia" w:ascii="宋体" w:hAnsi="宋体"/>
          <w:color w:val="auto"/>
          <w:szCs w:val="21"/>
          <w:highlight w:val="none"/>
        </w:rPr>
        <w:t>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项目经理及项目总工简历表</w:t>
      </w:r>
      <w:bookmarkEnd w:id="2267"/>
      <w:bookmarkEnd w:id="2268"/>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08A72B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7A5E980">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7C2D91E6">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676D9FE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4067250A">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69284DE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5EE2CB7B">
            <w:pPr>
              <w:autoSpaceDE w:val="0"/>
              <w:autoSpaceDN w:val="0"/>
              <w:adjustRightInd w:val="0"/>
              <w:snapToGrid w:val="0"/>
              <w:jc w:val="center"/>
              <w:rPr>
                <w:rFonts w:ascii="宋体" w:hAnsi="宋体"/>
                <w:color w:val="auto"/>
                <w:kern w:val="0"/>
                <w:szCs w:val="21"/>
                <w:highlight w:val="none"/>
              </w:rPr>
            </w:pPr>
          </w:p>
        </w:tc>
      </w:tr>
      <w:tr w14:paraId="2A8DD5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ED4818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761CAD30">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0EA5775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32D8DE36">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158480E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254FBC04">
            <w:pPr>
              <w:autoSpaceDE w:val="0"/>
              <w:autoSpaceDN w:val="0"/>
              <w:adjustRightInd w:val="0"/>
              <w:snapToGrid w:val="0"/>
              <w:jc w:val="center"/>
              <w:rPr>
                <w:rFonts w:ascii="宋体" w:hAnsi="宋体"/>
                <w:color w:val="auto"/>
                <w:kern w:val="0"/>
                <w:szCs w:val="21"/>
                <w:highlight w:val="none"/>
              </w:rPr>
            </w:pPr>
          </w:p>
        </w:tc>
      </w:tr>
      <w:tr w14:paraId="23F17B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5984B1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55C00AC3">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6EB1C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5552BAB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41CDB9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96DF46F">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384861A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69704A7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6756CD6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0A1768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67640E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263D21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93E398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1608CF8">
            <w:pPr>
              <w:autoSpaceDE w:val="0"/>
              <w:autoSpaceDN w:val="0"/>
              <w:adjustRightInd w:val="0"/>
              <w:snapToGrid w:val="0"/>
              <w:jc w:val="center"/>
              <w:rPr>
                <w:rFonts w:ascii="宋体" w:hAnsi="宋体"/>
                <w:color w:val="auto"/>
                <w:kern w:val="0"/>
                <w:szCs w:val="21"/>
                <w:highlight w:val="none"/>
              </w:rPr>
            </w:pPr>
          </w:p>
        </w:tc>
      </w:tr>
      <w:tr w14:paraId="1F7B6C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237865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0BF835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747B09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FFE0D95">
            <w:pPr>
              <w:autoSpaceDE w:val="0"/>
              <w:autoSpaceDN w:val="0"/>
              <w:adjustRightInd w:val="0"/>
              <w:snapToGrid w:val="0"/>
              <w:jc w:val="center"/>
              <w:rPr>
                <w:rFonts w:ascii="宋体" w:hAnsi="宋体"/>
                <w:color w:val="auto"/>
                <w:kern w:val="0"/>
                <w:szCs w:val="21"/>
                <w:highlight w:val="none"/>
              </w:rPr>
            </w:pPr>
          </w:p>
        </w:tc>
      </w:tr>
      <w:tr w14:paraId="1A8E62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4E65FE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F3BAD5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8DC7A3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9583E36">
            <w:pPr>
              <w:autoSpaceDE w:val="0"/>
              <w:autoSpaceDN w:val="0"/>
              <w:adjustRightInd w:val="0"/>
              <w:snapToGrid w:val="0"/>
              <w:jc w:val="center"/>
              <w:rPr>
                <w:rFonts w:ascii="宋体" w:hAnsi="宋体"/>
                <w:color w:val="auto"/>
                <w:kern w:val="0"/>
                <w:szCs w:val="21"/>
                <w:highlight w:val="none"/>
              </w:rPr>
            </w:pPr>
          </w:p>
        </w:tc>
      </w:tr>
      <w:tr w14:paraId="5AA67B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52DE6A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7322A0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8D8FDF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ABA56B0">
            <w:pPr>
              <w:autoSpaceDE w:val="0"/>
              <w:autoSpaceDN w:val="0"/>
              <w:adjustRightInd w:val="0"/>
              <w:snapToGrid w:val="0"/>
              <w:jc w:val="center"/>
              <w:rPr>
                <w:rFonts w:ascii="宋体" w:hAnsi="宋体"/>
                <w:color w:val="auto"/>
                <w:kern w:val="0"/>
                <w:szCs w:val="21"/>
                <w:highlight w:val="none"/>
              </w:rPr>
            </w:pPr>
          </w:p>
        </w:tc>
      </w:tr>
      <w:tr w14:paraId="47923B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402626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4AE105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89E543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0E4AA67">
            <w:pPr>
              <w:autoSpaceDE w:val="0"/>
              <w:autoSpaceDN w:val="0"/>
              <w:adjustRightInd w:val="0"/>
              <w:snapToGrid w:val="0"/>
              <w:jc w:val="center"/>
              <w:rPr>
                <w:rFonts w:ascii="宋体" w:hAnsi="宋体"/>
                <w:color w:val="auto"/>
                <w:kern w:val="0"/>
                <w:szCs w:val="21"/>
                <w:highlight w:val="none"/>
              </w:rPr>
            </w:pPr>
          </w:p>
        </w:tc>
      </w:tr>
      <w:tr w14:paraId="058050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E6C897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DF9006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AEAABA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E62493B">
            <w:pPr>
              <w:autoSpaceDE w:val="0"/>
              <w:autoSpaceDN w:val="0"/>
              <w:adjustRightInd w:val="0"/>
              <w:snapToGrid w:val="0"/>
              <w:jc w:val="center"/>
              <w:rPr>
                <w:rFonts w:ascii="宋体" w:hAnsi="宋体"/>
                <w:color w:val="auto"/>
                <w:kern w:val="0"/>
                <w:szCs w:val="21"/>
                <w:highlight w:val="none"/>
              </w:rPr>
            </w:pPr>
          </w:p>
        </w:tc>
      </w:tr>
      <w:tr w14:paraId="4789D7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4D34CC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6CE46B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1C0D4B2">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2CEBB3B">
            <w:pPr>
              <w:autoSpaceDE w:val="0"/>
              <w:autoSpaceDN w:val="0"/>
              <w:adjustRightInd w:val="0"/>
              <w:snapToGrid w:val="0"/>
              <w:jc w:val="center"/>
              <w:rPr>
                <w:rFonts w:ascii="宋体" w:hAnsi="宋体"/>
                <w:color w:val="auto"/>
                <w:kern w:val="0"/>
                <w:szCs w:val="21"/>
                <w:highlight w:val="none"/>
              </w:rPr>
            </w:pPr>
          </w:p>
        </w:tc>
      </w:tr>
      <w:tr w14:paraId="1BC7AC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3785A5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113A96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785895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3A3F626">
            <w:pPr>
              <w:autoSpaceDE w:val="0"/>
              <w:autoSpaceDN w:val="0"/>
              <w:adjustRightInd w:val="0"/>
              <w:snapToGrid w:val="0"/>
              <w:jc w:val="center"/>
              <w:rPr>
                <w:rFonts w:ascii="宋体" w:hAnsi="宋体"/>
                <w:color w:val="auto"/>
                <w:kern w:val="0"/>
                <w:szCs w:val="21"/>
                <w:highlight w:val="none"/>
              </w:rPr>
            </w:pPr>
          </w:p>
        </w:tc>
      </w:tr>
      <w:tr w14:paraId="0FC1F7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7D029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EB8521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8EEE2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10B98AB">
            <w:pPr>
              <w:autoSpaceDE w:val="0"/>
              <w:autoSpaceDN w:val="0"/>
              <w:adjustRightInd w:val="0"/>
              <w:snapToGrid w:val="0"/>
              <w:jc w:val="center"/>
              <w:rPr>
                <w:rFonts w:ascii="宋体" w:hAnsi="宋体"/>
                <w:color w:val="auto"/>
                <w:kern w:val="0"/>
                <w:szCs w:val="21"/>
                <w:highlight w:val="none"/>
              </w:rPr>
            </w:pPr>
          </w:p>
        </w:tc>
      </w:tr>
      <w:tr w14:paraId="109F6E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54A5E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D99452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3CE58D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8C63314">
            <w:pPr>
              <w:autoSpaceDE w:val="0"/>
              <w:autoSpaceDN w:val="0"/>
              <w:adjustRightInd w:val="0"/>
              <w:snapToGrid w:val="0"/>
              <w:jc w:val="center"/>
              <w:rPr>
                <w:rFonts w:ascii="宋体" w:hAnsi="宋体"/>
                <w:color w:val="auto"/>
                <w:kern w:val="0"/>
                <w:szCs w:val="21"/>
                <w:highlight w:val="none"/>
              </w:rPr>
            </w:pPr>
          </w:p>
        </w:tc>
      </w:tr>
      <w:tr w14:paraId="26A337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30863C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BE2D39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34557C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B42CC1B">
            <w:pPr>
              <w:autoSpaceDE w:val="0"/>
              <w:autoSpaceDN w:val="0"/>
              <w:adjustRightInd w:val="0"/>
              <w:snapToGrid w:val="0"/>
              <w:jc w:val="center"/>
              <w:rPr>
                <w:rFonts w:ascii="宋体" w:hAnsi="宋体"/>
                <w:color w:val="auto"/>
                <w:kern w:val="0"/>
                <w:szCs w:val="21"/>
                <w:highlight w:val="none"/>
              </w:rPr>
            </w:pPr>
          </w:p>
        </w:tc>
      </w:tr>
      <w:tr w14:paraId="586BE8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8FDE97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AE83A6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941D7A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4CAAB39">
            <w:pPr>
              <w:autoSpaceDE w:val="0"/>
              <w:autoSpaceDN w:val="0"/>
              <w:adjustRightInd w:val="0"/>
              <w:snapToGrid w:val="0"/>
              <w:jc w:val="center"/>
              <w:rPr>
                <w:rFonts w:ascii="宋体" w:hAnsi="宋体"/>
                <w:color w:val="auto"/>
                <w:kern w:val="0"/>
                <w:szCs w:val="21"/>
                <w:highlight w:val="none"/>
              </w:rPr>
            </w:pPr>
          </w:p>
        </w:tc>
      </w:tr>
      <w:tr w14:paraId="2995B9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993A42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939C4F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3F35FE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5119BC7">
            <w:pPr>
              <w:autoSpaceDE w:val="0"/>
              <w:autoSpaceDN w:val="0"/>
              <w:adjustRightInd w:val="0"/>
              <w:snapToGrid w:val="0"/>
              <w:jc w:val="center"/>
              <w:rPr>
                <w:rFonts w:ascii="宋体" w:hAnsi="宋体"/>
                <w:color w:val="auto"/>
                <w:kern w:val="0"/>
                <w:szCs w:val="21"/>
                <w:highlight w:val="none"/>
              </w:rPr>
            </w:pPr>
          </w:p>
        </w:tc>
      </w:tr>
    </w:tbl>
    <w:p w14:paraId="1778DDBA">
      <w:pPr>
        <w:spacing w:line="360" w:lineRule="auto"/>
        <w:rPr>
          <w:rFonts w:ascii="宋体" w:hAnsi="宋体"/>
          <w:color w:val="auto"/>
          <w:highlight w:val="none"/>
        </w:rPr>
      </w:pPr>
      <w:bookmarkStart w:id="2272" w:name="_Toc224103515"/>
    </w:p>
    <w:bookmarkEnd w:id="2272"/>
    <w:p w14:paraId="4676ADF8">
      <w:pPr>
        <w:pStyle w:val="4"/>
        <w:spacing w:before="0" w:after="0" w:line="360" w:lineRule="auto"/>
        <w:jc w:val="center"/>
        <w:rPr>
          <w:rFonts w:ascii="宋体" w:hAnsi="宋体"/>
          <w:b w:val="0"/>
          <w:color w:val="auto"/>
          <w:highlight w:val="none"/>
        </w:rPr>
      </w:pPr>
      <w:bookmarkStart w:id="2273" w:name="_Toc277082663"/>
      <w:bookmarkStart w:id="2274" w:name="_Toc224103520"/>
      <w:bookmarkStart w:id="2275" w:name="_Toc287620839"/>
      <w:bookmarkStart w:id="2276" w:name="_Toc430530552"/>
      <w:bookmarkStart w:id="2277" w:name="_Toc287607893"/>
      <w:bookmarkStart w:id="2278" w:name="_Toc57905935"/>
      <w:bookmarkStart w:id="2279" w:name="_Toc534185843"/>
      <w:bookmarkStart w:id="2280" w:name="_Toc509218866"/>
      <w:r>
        <w:rPr>
          <w:rFonts w:ascii="宋体" w:hAnsi="宋体"/>
          <w:b w:val="0"/>
          <w:color w:val="auto"/>
          <w:highlight w:val="none"/>
        </w:rPr>
        <w:t>（</w:t>
      </w:r>
      <w:r>
        <w:rPr>
          <w:rFonts w:hint="eastAsia" w:ascii="宋体" w:hAnsi="宋体"/>
          <w:b w:val="0"/>
          <w:color w:val="auto"/>
          <w:highlight w:val="none"/>
        </w:rPr>
        <w:t>四</w:t>
      </w:r>
      <w:r>
        <w:rPr>
          <w:rFonts w:ascii="宋体" w:hAnsi="宋体"/>
          <w:b w:val="0"/>
          <w:color w:val="auto"/>
          <w:highlight w:val="none"/>
        </w:rPr>
        <w:t>）</w:t>
      </w:r>
      <w:bookmarkEnd w:id="2273"/>
      <w:bookmarkEnd w:id="2274"/>
      <w:bookmarkEnd w:id="2275"/>
      <w:bookmarkEnd w:id="2276"/>
      <w:bookmarkEnd w:id="2277"/>
      <w:r>
        <w:rPr>
          <w:rFonts w:hint="eastAsia" w:ascii="宋体" w:hAnsi="宋体"/>
          <w:b w:val="0"/>
          <w:color w:val="auto"/>
          <w:highlight w:val="none"/>
        </w:rPr>
        <w:t>承诺</w:t>
      </w:r>
      <w:bookmarkEnd w:id="2278"/>
    </w:p>
    <w:p w14:paraId="1ADCDE62">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14:paraId="1220C22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（竞选人名称）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4B0096E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36255572">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3C07A0B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4F791B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5BDEDC2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4767873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6E96430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2、我公司拟派的项目经理按相关规定到岗履职和未被禁止参与投标。</w:t>
      </w:r>
    </w:p>
    <w:p w14:paraId="025FCCF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257ED62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3EDBDAC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72AAEA1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w:t>
      </w:r>
      <w:r>
        <w:rPr>
          <w:rFonts w:hint="eastAsia" w:ascii="宋体" w:hAnsi="宋体"/>
          <w:i/>
          <w:iCs/>
          <w:color w:val="auto"/>
          <w:szCs w:val="21"/>
          <w:highlight w:val="none"/>
        </w:rPr>
        <w:t>[提示：7～30日]</w:t>
      </w:r>
      <w:r>
        <w:rPr>
          <w:rFonts w:hint="eastAsia" w:ascii="宋体" w:hAnsi="宋体"/>
          <w:color w:val="auto"/>
          <w:szCs w:val="21"/>
          <w:highlight w:val="none"/>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竞选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708603F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6160D78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1E19302A">
      <w:pPr>
        <w:numPr>
          <w:ilvl w:val="0"/>
          <w:numId w:val="4"/>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14:paraId="46C6DDB1">
      <w:pPr>
        <w:numPr>
          <w:ilvl w:val="0"/>
          <w:numId w:val="4"/>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我公司严格按照第五章“工程量清单”的规定进行报价。招标文件中规定工程量清单不允许修改的内容不得修改。若出现差错，按招标文件第二章投标人须知前附表第3.2.9项规定的原则进行处理（或结算）</w:t>
      </w:r>
    </w:p>
    <w:p w14:paraId="134C804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5、我公司在资格审查部分中提供的相关证明材料真实有效，不存在弄虚作假情形。</w:t>
      </w:r>
      <w:r>
        <w:rPr>
          <w:rFonts w:hint="eastAsia" w:ascii="宋体" w:hAnsi="宋体"/>
          <w:color w:val="auto"/>
          <w:szCs w:val="21"/>
          <w:highlight w:val="none"/>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highlight w:val="none"/>
        </w:rPr>
        <w:t>。</w:t>
      </w:r>
    </w:p>
    <w:p w14:paraId="2E46AC6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6、我公司不存在第二章 竞选人须知第 1.4.3 项规定的任何一种情形。</w:t>
      </w:r>
    </w:p>
    <w:p w14:paraId="2F07496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7、我公司的竞选文件符合第二章 竞选人须知第 1.3.1 项的规定。</w:t>
      </w:r>
    </w:p>
    <w:p w14:paraId="141E3DB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8、我公司的竞选文件符合第四章 合同条款及格式规定，竞选文件中没有贵单位不能接受的条件。</w:t>
      </w:r>
    </w:p>
    <w:p w14:paraId="5255065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9、我公司的竞选文件符合第七章 技术标准和要求（如有）。</w:t>
      </w:r>
    </w:p>
    <w:p w14:paraId="0F9BE73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10、我公司接受竞选文件中关于“不平衡报价”的相关约定（如有）。</w:t>
      </w:r>
    </w:p>
    <w:p w14:paraId="05F6C72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11、我公司接受竞选文件中关于“不允许负数报价”的相关要求（如有）。</w:t>
      </w:r>
    </w:p>
    <w:p w14:paraId="72D56CD8">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2279"/>
    <w:bookmarkEnd w:id="2280"/>
    <w:p w14:paraId="1191DF23">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AFE4B8E">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5AF9B4B">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53C11281">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3C9ED9EE">
      <w:pPr>
        <w:rPr>
          <w:color w:val="auto"/>
          <w:highlight w:val="none"/>
        </w:rPr>
      </w:pPr>
      <w:r>
        <w:rPr>
          <w:color w:val="auto"/>
          <w:highlight w:val="none"/>
        </w:rPr>
        <w:br w:type="page"/>
      </w:r>
    </w:p>
    <w:p w14:paraId="09C59571">
      <w:pPr>
        <w:pStyle w:val="4"/>
        <w:spacing w:before="0" w:line="360" w:lineRule="auto"/>
        <w:jc w:val="center"/>
        <w:rPr>
          <w:rFonts w:ascii="宋体" w:hAnsi="宋体"/>
          <w:b w:val="0"/>
          <w:color w:val="auto"/>
          <w:highlight w:val="none"/>
        </w:rPr>
      </w:pPr>
      <w:bookmarkStart w:id="2281" w:name="_Toc57905936"/>
      <w:r>
        <w:rPr>
          <w:rFonts w:hint="eastAsia" w:ascii="宋体" w:hAnsi="宋体"/>
          <w:b w:val="0"/>
          <w:color w:val="auto"/>
          <w:highlight w:val="none"/>
        </w:rPr>
        <w:t>（五）其他资料</w:t>
      </w:r>
      <w:bookmarkEnd w:id="2281"/>
    </w:p>
    <w:bookmarkEnd w:id="684"/>
    <w:bookmarkEnd w:id="685"/>
    <w:bookmarkEnd w:id="686"/>
    <w:p w14:paraId="626B9A88">
      <w:pPr>
        <w:rPr>
          <w:rFonts w:ascii="宋体" w:hAnsi="宋体"/>
          <w:b/>
          <w:color w:val="auto"/>
          <w:highlight w:val="none"/>
        </w:rPr>
      </w:pPr>
    </w:p>
    <w:p w14:paraId="413E9594">
      <w:pPr>
        <w:rPr>
          <w:rFonts w:ascii="宋体" w:hAnsi="宋体"/>
          <w:b/>
          <w:color w:val="auto"/>
          <w:highlight w:val="none"/>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Emoji">
    <w:panose1 w:val="020B0502040204020203"/>
    <w:charset w:val="00"/>
    <w:family w:val="swiss"/>
    <w:pitch w:val="default"/>
    <w:sig w:usb0="00000001" w:usb1="02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DD781">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73ECF79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0378D">
    <w:pPr>
      <w:pStyle w:val="30"/>
      <w:jc w:val="center"/>
    </w:pPr>
    <w:r>
      <w:t xml:space="preserve">- </w:t>
    </w:r>
    <w:r>
      <w:fldChar w:fldCharType="begin"/>
    </w:r>
    <w:r>
      <w:instrText xml:space="preserve"> PAGE </w:instrText>
    </w:r>
    <w:r>
      <w:fldChar w:fldCharType="separate"/>
    </w:r>
    <w:r>
      <w:t>214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67DE">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51943FB1">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3D83D">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8F8E5"/>
    <w:multiLevelType w:val="singleLevel"/>
    <w:tmpl w:val="C7E8F8E5"/>
    <w:lvl w:ilvl="0" w:tentative="0">
      <w:start w:val="2"/>
      <w:numFmt w:val="decimal"/>
      <w:suff w:val="space"/>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16BA5CA7"/>
    <w:multiLevelType w:val="singleLevel"/>
    <w:tmpl w:val="16BA5CA7"/>
    <w:lvl w:ilvl="0" w:tentative="0">
      <w:start w:val="1"/>
      <w:numFmt w:val="decimal"/>
      <w:suff w:val="nothing"/>
      <w:lvlText w:val="（%1）"/>
      <w:lvlJc w:val="left"/>
    </w:lvl>
  </w:abstractNum>
  <w:abstractNum w:abstractNumId="3">
    <w:nsid w:val="5F471D00"/>
    <w:multiLevelType w:val="singleLevel"/>
    <w:tmpl w:val="5F471D00"/>
    <w:lvl w:ilvl="0" w:tentative="0">
      <w:start w:val="3"/>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OTk2YmZjZjk1ODc5MjY5ZjA2ZTRkM2U4ZGMwMmQ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57662"/>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0D4"/>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58B4"/>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584F"/>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1935"/>
    <w:rsid w:val="004422F3"/>
    <w:rsid w:val="004424D6"/>
    <w:rsid w:val="004426D5"/>
    <w:rsid w:val="00442B64"/>
    <w:rsid w:val="00442DC8"/>
    <w:rsid w:val="00443AA8"/>
    <w:rsid w:val="00444AFB"/>
    <w:rsid w:val="00444F38"/>
    <w:rsid w:val="00445781"/>
    <w:rsid w:val="00446890"/>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0C2"/>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677"/>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8C1"/>
    <w:rsid w:val="00513FA7"/>
    <w:rsid w:val="005145EB"/>
    <w:rsid w:val="005149CC"/>
    <w:rsid w:val="00514D8B"/>
    <w:rsid w:val="005158D4"/>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545"/>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97C"/>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3D64"/>
    <w:rsid w:val="006C6A2A"/>
    <w:rsid w:val="006C6FA3"/>
    <w:rsid w:val="006C7369"/>
    <w:rsid w:val="006C7791"/>
    <w:rsid w:val="006D09F4"/>
    <w:rsid w:val="006D0F43"/>
    <w:rsid w:val="006D134D"/>
    <w:rsid w:val="006D1589"/>
    <w:rsid w:val="006D1729"/>
    <w:rsid w:val="006D1920"/>
    <w:rsid w:val="006D1E11"/>
    <w:rsid w:val="006D4276"/>
    <w:rsid w:val="006D436B"/>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0850"/>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22E5"/>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3BC"/>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B1D"/>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B02"/>
    <w:rsid w:val="00983D97"/>
    <w:rsid w:val="00984380"/>
    <w:rsid w:val="0098535F"/>
    <w:rsid w:val="0098570A"/>
    <w:rsid w:val="00985785"/>
    <w:rsid w:val="0098653C"/>
    <w:rsid w:val="009865D9"/>
    <w:rsid w:val="00986B40"/>
    <w:rsid w:val="00986D20"/>
    <w:rsid w:val="00986D76"/>
    <w:rsid w:val="009877AF"/>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80C"/>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29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28"/>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46A"/>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6FE9"/>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B82"/>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4A"/>
    <w:rsid w:val="00CE6071"/>
    <w:rsid w:val="00CE7D13"/>
    <w:rsid w:val="00CF2621"/>
    <w:rsid w:val="00CF2ED6"/>
    <w:rsid w:val="00CF3926"/>
    <w:rsid w:val="00CF5A08"/>
    <w:rsid w:val="00CF7883"/>
    <w:rsid w:val="00D00EF0"/>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414"/>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1B40"/>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D6A9E"/>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7584"/>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42D"/>
    <w:rsid w:val="00EC66C4"/>
    <w:rsid w:val="00EC707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2D07"/>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2241BD"/>
    <w:rsid w:val="013F4369"/>
    <w:rsid w:val="020F7B7E"/>
    <w:rsid w:val="02197498"/>
    <w:rsid w:val="02931780"/>
    <w:rsid w:val="029B6737"/>
    <w:rsid w:val="029E16D8"/>
    <w:rsid w:val="02D3433D"/>
    <w:rsid w:val="02E501FA"/>
    <w:rsid w:val="02E7478A"/>
    <w:rsid w:val="03000A08"/>
    <w:rsid w:val="03454DED"/>
    <w:rsid w:val="03595555"/>
    <w:rsid w:val="03C545D6"/>
    <w:rsid w:val="046D5737"/>
    <w:rsid w:val="04717E20"/>
    <w:rsid w:val="04987D80"/>
    <w:rsid w:val="04DA0918"/>
    <w:rsid w:val="050E50E5"/>
    <w:rsid w:val="05772566"/>
    <w:rsid w:val="05AB059E"/>
    <w:rsid w:val="05DC71B6"/>
    <w:rsid w:val="063B3638"/>
    <w:rsid w:val="06665122"/>
    <w:rsid w:val="06C43DE0"/>
    <w:rsid w:val="06C64491"/>
    <w:rsid w:val="074A1FE5"/>
    <w:rsid w:val="077305E3"/>
    <w:rsid w:val="08030C77"/>
    <w:rsid w:val="080A52B6"/>
    <w:rsid w:val="0A93506B"/>
    <w:rsid w:val="0B9E48FD"/>
    <w:rsid w:val="0BB622A7"/>
    <w:rsid w:val="0C3E42BE"/>
    <w:rsid w:val="0D294161"/>
    <w:rsid w:val="0D4806BF"/>
    <w:rsid w:val="0DDE11F1"/>
    <w:rsid w:val="0E024D74"/>
    <w:rsid w:val="0E0B0A7A"/>
    <w:rsid w:val="0E484301"/>
    <w:rsid w:val="0E5F1249"/>
    <w:rsid w:val="0EB6385C"/>
    <w:rsid w:val="0EEC1973"/>
    <w:rsid w:val="0EF97BEC"/>
    <w:rsid w:val="0F3C50C9"/>
    <w:rsid w:val="0FA552F0"/>
    <w:rsid w:val="0FA7374C"/>
    <w:rsid w:val="102B5AE8"/>
    <w:rsid w:val="10611A0A"/>
    <w:rsid w:val="10623B71"/>
    <w:rsid w:val="10AC5059"/>
    <w:rsid w:val="112A4542"/>
    <w:rsid w:val="116D0F4A"/>
    <w:rsid w:val="1170203B"/>
    <w:rsid w:val="118A4AEB"/>
    <w:rsid w:val="12350842"/>
    <w:rsid w:val="126F4142"/>
    <w:rsid w:val="127A292F"/>
    <w:rsid w:val="1282121E"/>
    <w:rsid w:val="12B52E56"/>
    <w:rsid w:val="13012641"/>
    <w:rsid w:val="13CA01FD"/>
    <w:rsid w:val="13FD7A4B"/>
    <w:rsid w:val="146E3E3D"/>
    <w:rsid w:val="14DC6FEA"/>
    <w:rsid w:val="152F2422"/>
    <w:rsid w:val="153A3A64"/>
    <w:rsid w:val="15F36B10"/>
    <w:rsid w:val="15F67B8F"/>
    <w:rsid w:val="15F873A5"/>
    <w:rsid w:val="160F7356"/>
    <w:rsid w:val="161B669A"/>
    <w:rsid w:val="16CD33F4"/>
    <w:rsid w:val="16E1457B"/>
    <w:rsid w:val="16F26FDC"/>
    <w:rsid w:val="17721137"/>
    <w:rsid w:val="17E75995"/>
    <w:rsid w:val="18946E78"/>
    <w:rsid w:val="18DC3204"/>
    <w:rsid w:val="19380B2A"/>
    <w:rsid w:val="19450E59"/>
    <w:rsid w:val="19813FB0"/>
    <w:rsid w:val="19864EEB"/>
    <w:rsid w:val="19A90B8D"/>
    <w:rsid w:val="19DE460B"/>
    <w:rsid w:val="19E752AE"/>
    <w:rsid w:val="1A3D4C07"/>
    <w:rsid w:val="1B5A4D98"/>
    <w:rsid w:val="1B610368"/>
    <w:rsid w:val="1BA96B88"/>
    <w:rsid w:val="1BDC7544"/>
    <w:rsid w:val="1C6A496F"/>
    <w:rsid w:val="1D7B7A85"/>
    <w:rsid w:val="1DD063A3"/>
    <w:rsid w:val="1E3D10EF"/>
    <w:rsid w:val="1E54610B"/>
    <w:rsid w:val="1F125176"/>
    <w:rsid w:val="1F374DC3"/>
    <w:rsid w:val="1F532EA8"/>
    <w:rsid w:val="1FC55FF4"/>
    <w:rsid w:val="1FFE6BEE"/>
    <w:rsid w:val="20BA340F"/>
    <w:rsid w:val="20D71A81"/>
    <w:rsid w:val="210E1A59"/>
    <w:rsid w:val="216F7993"/>
    <w:rsid w:val="21825E03"/>
    <w:rsid w:val="21BB220E"/>
    <w:rsid w:val="221D5633"/>
    <w:rsid w:val="23231D7A"/>
    <w:rsid w:val="24863EAD"/>
    <w:rsid w:val="24A10DF8"/>
    <w:rsid w:val="25552D38"/>
    <w:rsid w:val="26C171CB"/>
    <w:rsid w:val="274A6F1E"/>
    <w:rsid w:val="27EA34B3"/>
    <w:rsid w:val="2805374C"/>
    <w:rsid w:val="28054429"/>
    <w:rsid w:val="281008CE"/>
    <w:rsid w:val="285A1251"/>
    <w:rsid w:val="286E52FC"/>
    <w:rsid w:val="288B4AC1"/>
    <w:rsid w:val="28CC03F4"/>
    <w:rsid w:val="296E3259"/>
    <w:rsid w:val="29AA1DB7"/>
    <w:rsid w:val="2ABB7DF2"/>
    <w:rsid w:val="2ADE448E"/>
    <w:rsid w:val="2BAF4AE6"/>
    <w:rsid w:val="2BB21A69"/>
    <w:rsid w:val="2BD902EC"/>
    <w:rsid w:val="2C361D24"/>
    <w:rsid w:val="2D7626DC"/>
    <w:rsid w:val="2DE175C3"/>
    <w:rsid w:val="2E135BB8"/>
    <w:rsid w:val="2E386092"/>
    <w:rsid w:val="2E433D29"/>
    <w:rsid w:val="2EB05786"/>
    <w:rsid w:val="2EE737A0"/>
    <w:rsid w:val="2EF21CAB"/>
    <w:rsid w:val="2F3841ED"/>
    <w:rsid w:val="2F465A34"/>
    <w:rsid w:val="2F58187C"/>
    <w:rsid w:val="2F5F5443"/>
    <w:rsid w:val="2FA07EE4"/>
    <w:rsid w:val="306635BB"/>
    <w:rsid w:val="307B65DC"/>
    <w:rsid w:val="30B1408E"/>
    <w:rsid w:val="30CE71F9"/>
    <w:rsid w:val="30EF67E5"/>
    <w:rsid w:val="310311E3"/>
    <w:rsid w:val="310A7113"/>
    <w:rsid w:val="31F4722E"/>
    <w:rsid w:val="320209E2"/>
    <w:rsid w:val="32120641"/>
    <w:rsid w:val="328D7DE2"/>
    <w:rsid w:val="32BA571C"/>
    <w:rsid w:val="32EE6C13"/>
    <w:rsid w:val="33602869"/>
    <w:rsid w:val="3370030A"/>
    <w:rsid w:val="344D3544"/>
    <w:rsid w:val="35DB1C68"/>
    <w:rsid w:val="35E277E4"/>
    <w:rsid w:val="35EC697A"/>
    <w:rsid w:val="36F4767F"/>
    <w:rsid w:val="37556CA1"/>
    <w:rsid w:val="37696C56"/>
    <w:rsid w:val="378418A7"/>
    <w:rsid w:val="37D54A07"/>
    <w:rsid w:val="383C102E"/>
    <w:rsid w:val="386709AA"/>
    <w:rsid w:val="387D642F"/>
    <w:rsid w:val="38D86C09"/>
    <w:rsid w:val="3919772A"/>
    <w:rsid w:val="39406294"/>
    <w:rsid w:val="39BD354F"/>
    <w:rsid w:val="39BF540B"/>
    <w:rsid w:val="39D3116A"/>
    <w:rsid w:val="3A231A4E"/>
    <w:rsid w:val="3A310809"/>
    <w:rsid w:val="3A7645E5"/>
    <w:rsid w:val="3AA01AB2"/>
    <w:rsid w:val="3ABF25F9"/>
    <w:rsid w:val="3AC705C2"/>
    <w:rsid w:val="3B3339E2"/>
    <w:rsid w:val="3B4130B9"/>
    <w:rsid w:val="3B6C3C70"/>
    <w:rsid w:val="3BBF0327"/>
    <w:rsid w:val="3C8A7AB5"/>
    <w:rsid w:val="3D4027C3"/>
    <w:rsid w:val="3D8118B8"/>
    <w:rsid w:val="3DB46376"/>
    <w:rsid w:val="3DFB39FD"/>
    <w:rsid w:val="3E287CA5"/>
    <w:rsid w:val="3E6A158B"/>
    <w:rsid w:val="3E971150"/>
    <w:rsid w:val="3ED16F9F"/>
    <w:rsid w:val="3ED95EA9"/>
    <w:rsid w:val="3EE94A45"/>
    <w:rsid w:val="3EFE309E"/>
    <w:rsid w:val="3F512870"/>
    <w:rsid w:val="3F6236D0"/>
    <w:rsid w:val="3F94702A"/>
    <w:rsid w:val="3FE06D3B"/>
    <w:rsid w:val="3FE2521F"/>
    <w:rsid w:val="40317A56"/>
    <w:rsid w:val="40D309FB"/>
    <w:rsid w:val="41092CBA"/>
    <w:rsid w:val="41762DB6"/>
    <w:rsid w:val="419B75A1"/>
    <w:rsid w:val="41D71CA1"/>
    <w:rsid w:val="41F145CF"/>
    <w:rsid w:val="420A743F"/>
    <w:rsid w:val="420E5181"/>
    <w:rsid w:val="42173EA7"/>
    <w:rsid w:val="4233454F"/>
    <w:rsid w:val="42A77BCB"/>
    <w:rsid w:val="43527DA5"/>
    <w:rsid w:val="43951785"/>
    <w:rsid w:val="43AC6A00"/>
    <w:rsid w:val="44201EC6"/>
    <w:rsid w:val="446454B9"/>
    <w:rsid w:val="44C42B6A"/>
    <w:rsid w:val="44DA46CB"/>
    <w:rsid w:val="44EE4B78"/>
    <w:rsid w:val="45093CD4"/>
    <w:rsid w:val="454D7023"/>
    <w:rsid w:val="457A080C"/>
    <w:rsid w:val="45913380"/>
    <w:rsid w:val="46B11C7C"/>
    <w:rsid w:val="46BC1F6E"/>
    <w:rsid w:val="46C316A4"/>
    <w:rsid w:val="46F07AD6"/>
    <w:rsid w:val="47501D98"/>
    <w:rsid w:val="4790424A"/>
    <w:rsid w:val="47E32C53"/>
    <w:rsid w:val="48826C2D"/>
    <w:rsid w:val="489573EB"/>
    <w:rsid w:val="48F0738F"/>
    <w:rsid w:val="49B36E27"/>
    <w:rsid w:val="49C01457"/>
    <w:rsid w:val="49CF100D"/>
    <w:rsid w:val="49DC28FF"/>
    <w:rsid w:val="4A4D183F"/>
    <w:rsid w:val="4A4D3D1A"/>
    <w:rsid w:val="4A9A409A"/>
    <w:rsid w:val="4AF83480"/>
    <w:rsid w:val="4B106B52"/>
    <w:rsid w:val="4B85051F"/>
    <w:rsid w:val="4C3B4DC5"/>
    <w:rsid w:val="4C806421"/>
    <w:rsid w:val="4CA0475B"/>
    <w:rsid w:val="4CA9593B"/>
    <w:rsid w:val="4CDF4A30"/>
    <w:rsid w:val="4D0E1A0D"/>
    <w:rsid w:val="4D450A84"/>
    <w:rsid w:val="4DB20C6E"/>
    <w:rsid w:val="4DF37AA0"/>
    <w:rsid w:val="4DFB11F6"/>
    <w:rsid w:val="4E094A4F"/>
    <w:rsid w:val="4E774DAA"/>
    <w:rsid w:val="4EF13B48"/>
    <w:rsid w:val="4EF75EC0"/>
    <w:rsid w:val="4FAC3645"/>
    <w:rsid w:val="4FB76013"/>
    <w:rsid w:val="503830A0"/>
    <w:rsid w:val="509C53B3"/>
    <w:rsid w:val="50CC6933"/>
    <w:rsid w:val="50EB36A6"/>
    <w:rsid w:val="515D758B"/>
    <w:rsid w:val="51B03467"/>
    <w:rsid w:val="524964D5"/>
    <w:rsid w:val="52D01FDF"/>
    <w:rsid w:val="52D80BEE"/>
    <w:rsid w:val="531D4BD1"/>
    <w:rsid w:val="535A7E01"/>
    <w:rsid w:val="53871CF9"/>
    <w:rsid w:val="538928D5"/>
    <w:rsid w:val="54175503"/>
    <w:rsid w:val="5447551F"/>
    <w:rsid w:val="546B2FB7"/>
    <w:rsid w:val="546B6E19"/>
    <w:rsid w:val="548254F0"/>
    <w:rsid w:val="5485514F"/>
    <w:rsid w:val="548D558B"/>
    <w:rsid w:val="549A6C2B"/>
    <w:rsid w:val="54B020C8"/>
    <w:rsid w:val="54C36344"/>
    <w:rsid w:val="54C47921"/>
    <w:rsid w:val="55082A65"/>
    <w:rsid w:val="55C33989"/>
    <w:rsid w:val="55C53EA6"/>
    <w:rsid w:val="565B7FD3"/>
    <w:rsid w:val="570061B5"/>
    <w:rsid w:val="575D3B60"/>
    <w:rsid w:val="57D07063"/>
    <w:rsid w:val="57D4668D"/>
    <w:rsid w:val="58D02C46"/>
    <w:rsid w:val="58F31C0A"/>
    <w:rsid w:val="59016536"/>
    <w:rsid w:val="590C29FE"/>
    <w:rsid w:val="59382F53"/>
    <w:rsid w:val="59A537CB"/>
    <w:rsid w:val="59E051FD"/>
    <w:rsid w:val="59F26FCA"/>
    <w:rsid w:val="5A2B7E5E"/>
    <w:rsid w:val="5AA07F40"/>
    <w:rsid w:val="5AEF03F5"/>
    <w:rsid w:val="5B071AB3"/>
    <w:rsid w:val="5B650D9F"/>
    <w:rsid w:val="5B7C4A30"/>
    <w:rsid w:val="5BDE0537"/>
    <w:rsid w:val="5BED4D57"/>
    <w:rsid w:val="5C166CB5"/>
    <w:rsid w:val="5C4731BB"/>
    <w:rsid w:val="5C55338C"/>
    <w:rsid w:val="5CE172C2"/>
    <w:rsid w:val="5D156F6C"/>
    <w:rsid w:val="5D1A4582"/>
    <w:rsid w:val="5D4D387D"/>
    <w:rsid w:val="5D6851F5"/>
    <w:rsid w:val="5D754FD6"/>
    <w:rsid w:val="5DBF0709"/>
    <w:rsid w:val="5DCA09A3"/>
    <w:rsid w:val="5E0458C7"/>
    <w:rsid w:val="5E531B97"/>
    <w:rsid w:val="5E8545C5"/>
    <w:rsid w:val="5F144DEA"/>
    <w:rsid w:val="5F3D7E25"/>
    <w:rsid w:val="5F534761"/>
    <w:rsid w:val="5F7E3018"/>
    <w:rsid w:val="5F9E593F"/>
    <w:rsid w:val="5FA17311"/>
    <w:rsid w:val="60341993"/>
    <w:rsid w:val="607448F1"/>
    <w:rsid w:val="60E549EE"/>
    <w:rsid w:val="60F1388E"/>
    <w:rsid w:val="61091824"/>
    <w:rsid w:val="61A67AA2"/>
    <w:rsid w:val="61A77079"/>
    <w:rsid w:val="621E2D67"/>
    <w:rsid w:val="62D6732E"/>
    <w:rsid w:val="63731F3D"/>
    <w:rsid w:val="638279B4"/>
    <w:rsid w:val="639C64A0"/>
    <w:rsid w:val="642372D3"/>
    <w:rsid w:val="64D460A8"/>
    <w:rsid w:val="651708B8"/>
    <w:rsid w:val="65454382"/>
    <w:rsid w:val="655D7FBE"/>
    <w:rsid w:val="65FF1E91"/>
    <w:rsid w:val="665C555F"/>
    <w:rsid w:val="67483644"/>
    <w:rsid w:val="67726D7B"/>
    <w:rsid w:val="67D31AEC"/>
    <w:rsid w:val="681F15E7"/>
    <w:rsid w:val="68867D02"/>
    <w:rsid w:val="688E42B7"/>
    <w:rsid w:val="68BB4E93"/>
    <w:rsid w:val="69232124"/>
    <w:rsid w:val="69272501"/>
    <w:rsid w:val="696A4AE4"/>
    <w:rsid w:val="6A236A13"/>
    <w:rsid w:val="6A2A1419"/>
    <w:rsid w:val="6A3218C4"/>
    <w:rsid w:val="6A4175F2"/>
    <w:rsid w:val="6A730939"/>
    <w:rsid w:val="6ABD617F"/>
    <w:rsid w:val="6AC25622"/>
    <w:rsid w:val="6AEC3960"/>
    <w:rsid w:val="6B30108F"/>
    <w:rsid w:val="6B5477F9"/>
    <w:rsid w:val="6B57195A"/>
    <w:rsid w:val="6B8320C0"/>
    <w:rsid w:val="6BD154CC"/>
    <w:rsid w:val="6CC92D08"/>
    <w:rsid w:val="6D8F2CDE"/>
    <w:rsid w:val="6E071562"/>
    <w:rsid w:val="6E8757F0"/>
    <w:rsid w:val="6E9F2B3A"/>
    <w:rsid w:val="6EE331AB"/>
    <w:rsid w:val="6F083740"/>
    <w:rsid w:val="6F2A4D2F"/>
    <w:rsid w:val="6FF60C20"/>
    <w:rsid w:val="7054253E"/>
    <w:rsid w:val="70642D99"/>
    <w:rsid w:val="70C31D6B"/>
    <w:rsid w:val="70F74CDB"/>
    <w:rsid w:val="71904B0C"/>
    <w:rsid w:val="71C73801"/>
    <w:rsid w:val="71E17DA1"/>
    <w:rsid w:val="7233601F"/>
    <w:rsid w:val="72964D8C"/>
    <w:rsid w:val="72C30000"/>
    <w:rsid w:val="74533F62"/>
    <w:rsid w:val="74891E24"/>
    <w:rsid w:val="751122B7"/>
    <w:rsid w:val="75161928"/>
    <w:rsid w:val="75745BF3"/>
    <w:rsid w:val="75D07391"/>
    <w:rsid w:val="75F96FD3"/>
    <w:rsid w:val="76C667BC"/>
    <w:rsid w:val="77646FC0"/>
    <w:rsid w:val="776F0CF3"/>
    <w:rsid w:val="785A7737"/>
    <w:rsid w:val="78DB67FF"/>
    <w:rsid w:val="78EF711B"/>
    <w:rsid w:val="78F151C1"/>
    <w:rsid w:val="79FE79DA"/>
    <w:rsid w:val="7A735C17"/>
    <w:rsid w:val="7A887546"/>
    <w:rsid w:val="7A8B0052"/>
    <w:rsid w:val="7AA71D7C"/>
    <w:rsid w:val="7AAD5FEE"/>
    <w:rsid w:val="7B7A6E08"/>
    <w:rsid w:val="7BC73B55"/>
    <w:rsid w:val="7BF9402F"/>
    <w:rsid w:val="7C0641F8"/>
    <w:rsid w:val="7C776EA4"/>
    <w:rsid w:val="7CDD6F81"/>
    <w:rsid w:val="7CF312BE"/>
    <w:rsid w:val="7D611688"/>
    <w:rsid w:val="7D9120E2"/>
    <w:rsid w:val="7DAD7713"/>
    <w:rsid w:val="7DED15B2"/>
    <w:rsid w:val="7E606CD7"/>
    <w:rsid w:val="7E695E0F"/>
    <w:rsid w:val="7E910D86"/>
    <w:rsid w:val="7F4B3A9B"/>
    <w:rsid w:val="7F78540D"/>
    <w:rsid w:val="7FBA0FC0"/>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4"/>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79"/>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2"/>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5"/>
    <w:autoRedefine/>
    <w:qFormat/>
    <w:uiPriority w:val="0"/>
    <w:pPr>
      <w:keepNext/>
      <w:keepLines/>
      <w:ind w:firstLine="200" w:firstLineChars="200"/>
      <w:outlineLvl w:val="5"/>
    </w:pPr>
    <w:rPr>
      <w:rFonts w:hAnsi="Arial"/>
    </w:rPr>
  </w:style>
  <w:style w:type="paragraph" w:styleId="9">
    <w:name w:val="heading 7"/>
    <w:basedOn w:val="1"/>
    <w:next w:val="1"/>
    <w:link w:val="272"/>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7"/>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8"/>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List 3"/>
    <w:basedOn w:val="1"/>
    <w:qFormat/>
    <w:uiPriority w:val="0"/>
    <w:pPr>
      <w:adjustRightInd w:val="0"/>
      <w:spacing w:line="312" w:lineRule="atLeast"/>
      <w:ind w:left="600" w:leftChars="400" w:hanging="200" w:hangingChars="200"/>
      <w:textAlignment w:val="baseline"/>
    </w:pPr>
    <w:rPr>
      <w:kern w:val="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4"/>
    <w:autoRedefine/>
    <w:qFormat/>
    <w:uiPriority w:val="0"/>
    <w:pPr>
      <w:shd w:val="clear" w:color="auto" w:fill="000080"/>
    </w:pPr>
  </w:style>
  <w:style w:type="paragraph" w:styleId="16">
    <w:name w:val="annotation text"/>
    <w:basedOn w:val="1"/>
    <w:link w:val="289"/>
    <w:autoRedefine/>
    <w:qFormat/>
    <w:uiPriority w:val="99"/>
    <w:pPr>
      <w:jc w:val="left"/>
    </w:pPr>
  </w:style>
  <w:style w:type="paragraph" w:styleId="17">
    <w:name w:val="Body Text 3"/>
    <w:basedOn w:val="1"/>
    <w:link w:val="308"/>
    <w:autoRedefine/>
    <w:qFormat/>
    <w:uiPriority w:val="0"/>
    <w:pPr>
      <w:spacing w:after="120"/>
    </w:pPr>
    <w:rPr>
      <w:sz w:val="16"/>
      <w:szCs w:val="16"/>
    </w:rPr>
  </w:style>
  <w:style w:type="paragraph" w:styleId="18">
    <w:name w:val="Body Text"/>
    <w:basedOn w:val="1"/>
    <w:next w:val="1"/>
    <w:link w:val="214"/>
    <w:autoRedefine/>
    <w:qFormat/>
    <w:uiPriority w:val="0"/>
    <w:pPr>
      <w:spacing w:after="120"/>
    </w:pPr>
  </w:style>
  <w:style w:type="paragraph" w:styleId="19">
    <w:name w:val="Body Text Indent"/>
    <w:basedOn w:val="1"/>
    <w:link w:val="269"/>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4"/>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57"/>
    <w:autoRedefine/>
    <w:qFormat/>
    <w:uiPriority w:val="0"/>
    <w:pPr>
      <w:ind w:left="100" w:leftChars="2500"/>
    </w:pPr>
  </w:style>
  <w:style w:type="paragraph" w:styleId="27">
    <w:name w:val="Body Text Indent 2"/>
    <w:basedOn w:val="1"/>
    <w:link w:val="271"/>
    <w:autoRedefine/>
    <w:qFormat/>
    <w:uiPriority w:val="0"/>
    <w:pPr>
      <w:widowControl/>
      <w:spacing w:line="480" w:lineRule="auto"/>
      <w:ind w:firstLine="560"/>
      <w:jc w:val="left"/>
    </w:pPr>
    <w:rPr>
      <w:kern w:val="0"/>
      <w:sz w:val="28"/>
    </w:rPr>
  </w:style>
  <w:style w:type="paragraph" w:styleId="28">
    <w:name w:val="endnote text"/>
    <w:basedOn w:val="1"/>
    <w:link w:val="181"/>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08"/>
    <w:autoRedefine/>
    <w:qFormat/>
    <w:uiPriority w:val="0"/>
    <w:rPr>
      <w:sz w:val="18"/>
      <w:szCs w:val="18"/>
    </w:rPr>
  </w:style>
  <w:style w:type="paragraph" w:styleId="30">
    <w:name w:val="footer"/>
    <w:basedOn w:val="1"/>
    <w:link w:val="196"/>
    <w:autoRedefine/>
    <w:qFormat/>
    <w:uiPriority w:val="0"/>
    <w:pPr>
      <w:tabs>
        <w:tab w:val="center" w:pos="4153"/>
        <w:tab w:val="right" w:pos="8306"/>
      </w:tabs>
      <w:snapToGrid w:val="0"/>
      <w:jc w:val="left"/>
    </w:pPr>
    <w:rPr>
      <w:sz w:val="18"/>
      <w:szCs w:val="18"/>
    </w:rPr>
  </w:style>
  <w:style w:type="paragraph" w:styleId="31">
    <w:name w:val="header"/>
    <w:basedOn w:val="1"/>
    <w:link w:val="236"/>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caps/>
      <w:sz w:val="20"/>
      <w:szCs w:val="20"/>
    </w:rPr>
  </w:style>
  <w:style w:type="paragraph" w:styleId="33">
    <w:name w:val="toc 4"/>
    <w:basedOn w:val="5"/>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1"/>
    <w:autoRedefine/>
    <w:qFormat/>
    <w:uiPriority w:val="0"/>
    <w:pPr>
      <w:widowControl/>
      <w:jc w:val="center"/>
    </w:pPr>
    <w:rPr>
      <w:kern w:val="0"/>
      <w:sz w:val="20"/>
      <w:u w:val="single"/>
      <w:lang w:eastAsia="en-US"/>
    </w:rPr>
  </w:style>
  <w:style w:type="paragraph" w:styleId="35">
    <w:name w:val="footnote text"/>
    <w:basedOn w:val="1"/>
    <w:link w:val="216"/>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68"/>
    <w:autoRedefine/>
    <w:qFormat/>
    <w:uiPriority w:val="0"/>
    <w:pPr>
      <w:spacing w:line="360" w:lineRule="auto"/>
      <w:ind w:firstLine="280" w:firstLineChars="100"/>
    </w:pPr>
    <w:rPr>
      <w:rFonts w:ascii="宋体" w:hAnsi="宋体"/>
      <w:sz w:val="28"/>
      <w:szCs w:val="28"/>
    </w:rPr>
  </w:style>
  <w:style w:type="paragraph" w:styleId="38">
    <w:name w:val="toc 2"/>
    <w:basedOn w:val="3"/>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4"/>
    <w:autoRedefine/>
    <w:qFormat/>
    <w:uiPriority w:val="0"/>
    <w:rPr>
      <w:i/>
      <w:iCs/>
      <w:sz w:val="26"/>
    </w:rPr>
  </w:style>
  <w:style w:type="paragraph" w:styleId="41">
    <w:name w:val="HTML Preformatted"/>
    <w:basedOn w:val="1"/>
    <w:link w:val="16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211"/>
    <w:autoRedefine/>
    <w:qFormat/>
    <w:uiPriority w:val="0"/>
    <w:pPr>
      <w:widowControl/>
      <w:jc w:val="center"/>
    </w:pPr>
    <w:rPr>
      <w:kern w:val="0"/>
      <w:sz w:val="20"/>
      <w:u w:val="single"/>
      <w:lang w:eastAsia="en-US"/>
    </w:rPr>
  </w:style>
  <w:style w:type="paragraph" w:styleId="45">
    <w:name w:val="annotation subject"/>
    <w:basedOn w:val="16"/>
    <w:next w:val="16"/>
    <w:link w:val="263"/>
    <w:autoRedefine/>
    <w:qFormat/>
    <w:uiPriority w:val="0"/>
    <w:rPr>
      <w:b/>
      <w:bCs/>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autoRedefine/>
    <w:qFormat/>
    <w:uiPriority w:val="99"/>
    <w:pPr>
      <w:ind w:firstLine="420" w:firstLineChars="200"/>
    </w:pPr>
    <w:rPr>
      <w:sz w:val="28"/>
      <w:szCs w:val="28"/>
    </w:rPr>
  </w:style>
  <w:style w:type="paragraph" w:customStyle="1" w:styleId="59">
    <w:name w:val="表格标题"/>
    <w:basedOn w:val="60"/>
    <w:autoRedefine/>
    <w:qFormat/>
    <w:uiPriority w:val="0"/>
  </w:style>
  <w:style w:type="paragraph" w:customStyle="1" w:styleId="60">
    <w:name w:val="表格内容"/>
    <w:basedOn w:val="1"/>
    <w:autoRedefine/>
    <w:qFormat/>
    <w:uiPriority w:val="0"/>
    <w:pPr>
      <w:suppressLineNumbers/>
      <w:suppressAutoHyphens/>
    </w:pPr>
  </w:style>
  <w:style w:type="paragraph" w:customStyle="1" w:styleId="61">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autoRedefine/>
    <w:qFormat/>
    <w:uiPriority w:val="0"/>
    <w:pPr>
      <w:spacing w:line="600" w:lineRule="exact"/>
      <w:ind w:firstLine="567"/>
    </w:pPr>
    <w:rPr>
      <w:rFonts w:ascii="Calibri" w:hAnsi="Calibri"/>
      <w:sz w:val="28"/>
    </w:rPr>
  </w:style>
  <w:style w:type="paragraph" w:customStyle="1" w:styleId="65">
    <w:name w:val="列出段落11"/>
    <w:basedOn w:val="1"/>
    <w:autoRedefine/>
    <w:qFormat/>
    <w:uiPriority w:val="0"/>
    <w:pPr>
      <w:ind w:firstLine="420" w:firstLineChars="200"/>
    </w:pPr>
    <w:rPr>
      <w:sz w:val="28"/>
      <w:szCs w:val="28"/>
    </w:rPr>
  </w:style>
  <w:style w:type="paragraph" w:customStyle="1" w:styleId="66">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autoRedefine/>
    <w:qFormat/>
    <w:uiPriority w:val="0"/>
  </w:style>
  <w:style w:type="paragraph" w:customStyle="1" w:styleId="68">
    <w:name w:val="WW-表格内容"/>
    <w:basedOn w:val="1"/>
    <w:autoRedefine/>
    <w:qFormat/>
    <w:uiPriority w:val="0"/>
    <w:pPr>
      <w:suppressLineNumbers/>
      <w:suppressAutoHyphens/>
    </w:pPr>
  </w:style>
  <w:style w:type="paragraph" w:customStyle="1" w:styleId="69">
    <w:name w:val="引用2"/>
    <w:basedOn w:val="1"/>
    <w:next w:val="1"/>
    <w:link w:val="300"/>
    <w:autoRedefine/>
    <w:qFormat/>
    <w:uiPriority w:val="0"/>
    <w:rPr>
      <w:i/>
      <w:iCs/>
      <w:color w:val="000000"/>
    </w:rPr>
  </w:style>
  <w:style w:type="paragraph" w:customStyle="1" w:styleId="70">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autoRedefine/>
    <w:qFormat/>
    <w:uiPriority w:val="0"/>
    <w:pPr>
      <w:spacing w:line="360" w:lineRule="auto"/>
      <w:ind w:firstLine="200" w:firstLineChars="200"/>
    </w:pPr>
    <w:rPr>
      <w:rFonts w:ascii="Tahoma" w:hAnsi="Tahoma"/>
      <w:sz w:val="24"/>
    </w:rPr>
  </w:style>
  <w:style w:type="paragraph" w:customStyle="1" w:styleId="73">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autoRedefine/>
    <w:qFormat/>
    <w:uiPriority w:val="0"/>
    <w:pPr>
      <w:widowControl/>
    </w:pPr>
    <w:rPr>
      <w:rFonts w:ascii="Calibri" w:hAnsi="Calibri" w:cs="宋体"/>
      <w:kern w:val="0"/>
      <w:szCs w:val="21"/>
    </w:rPr>
  </w:style>
  <w:style w:type="paragraph" w:customStyle="1" w:styleId="76">
    <w:name w:val="列出段落1"/>
    <w:basedOn w:val="1"/>
    <w:autoRedefine/>
    <w:qFormat/>
    <w:uiPriority w:val="0"/>
    <w:pPr>
      <w:ind w:firstLine="420" w:firstLineChars="200"/>
    </w:pPr>
    <w:rPr>
      <w:sz w:val="28"/>
      <w:szCs w:val="28"/>
    </w:rPr>
  </w:style>
  <w:style w:type="paragraph" w:customStyle="1" w:styleId="77">
    <w:name w:val="样式1"/>
    <w:basedOn w:val="1"/>
    <w:next w:val="5"/>
    <w:autoRedefine/>
    <w:qFormat/>
    <w:uiPriority w:val="0"/>
    <w:pPr>
      <w:spacing w:line="360" w:lineRule="auto"/>
      <w:ind w:firstLine="420" w:firstLineChars="200"/>
    </w:pPr>
    <w:rPr>
      <w:rFonts w:ascii="宋体" w:hAnsi="宋体"/>
      <w:szCs w:val="21"/>
    </w:rPr>
  </w:style>
  <w:style w:type="paragraph" w:customStyle="1" w:styleId="78">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80">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autoRedefine/>
    <w:qFormat/>
    <w:uiPriority w:val="29"/>
    <w:rPr>
      <w:i/>
      <w:iCs/>
      <w:color w:val="000000"/>
      <w:szCs w:val="20"/>
    </w:rPr>
  </w:style>
  <w:style w:type="paragraph" w:customStyle="1" w:styleId="82">
    <w:name w:val="表格文字"/>
    <w:basedOn w:val="1"/>
    <w:autoRedefine/>
    <w:qFormat/>
    <w:uiPriority w:val="0"/>
    <w:pPr>
      <w:adjustRightInd w:val="0"/>
      <w:spacing w:line="420" w:lineRule="atLeast"/>
      <w:jc w:val="left"/>
      <w:textAlignment w:val="baseline"/>
    </w:pPr>
    <w:rPr>
      <w:kern w:val="0"/>
      <w:szCs w:val="20"/>
    </w:rPr>
  </w:style>
  <w:style w:type="paragraph" w:customStyle="1" w:styleId="83">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autoRedefine/>
    <w:qFormat/>
    <w:uiPriority w:val="0"/>
    <w:pPr>
      <w:spacing w:line="360" w:lineRule="auto"/>
      <w:ind w:firstLine="200" w:firstLineChars="200"/>
    </w:pPr>
    <w:rPr>
      <w:rFonts w:ascii="宋体" w:hAnsi="Calibri"/>
      <w:sz w:val="24"/>
    </w:rPr>
  </w:style>
  <w:style w:type="paragraph" w:customStyle="1" w:styleId="87">
    <w:name w:val="标题4"/>
    <w:basedOn w:val="3"/>
    <w:next w:val="21"/>
    <w:link w:val="243"/>
    <w:autoRedefine/>
    <w:qFormat/>
    <w:uiPriority w:val="0"/>
    <w:pPr>
      <w:spacing w:line="413" w:lineRule="auto"/>
    </w:pPr>
    <w:rPr>
      <w:rFonts w:ascii="Arial" w:hAnsi="Arial"/>
      <w:kern w:val="0"/>
      <w:sz w:val="24"/>
    </w:rPr>
  </w:style>
  <w:style w:type="paragraph" w:customStyle="1" w:styleId="88">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autoRedefine/>
    <w:qFormat/>
    <w:uiPriority w:val="0"/>
    <w:pPr>
      <w:widowControl/>
      <w:spacing w:after="160" w:line="240" w:lineRule="exact"/>
      <w:jc w:val="left"/>
    </w:pPr>
    <w:rPr>
      <w:rFonts w:ascii="Calibri" w:hAnsi="Calibri"/>
      <w:szCs w:val="20"/>
    </w:rPr>
  </w:style>
  <w:style w:type="paragraph" w:customStyle="1" w:styleId="96">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autoRedefine/>
    <w:qFormat/>
    <w:uiPriority w:val="0"/>
    <w:pPr>
      <w:widowControl/>
      <w:spacing w:after="120"/>
    </w:pPr>
    <w:rPr>
      <w:kern w:val="0"/>
      <w:szCs w:val="21"/>
    </w:rPr>
  </w:style>
  <w:style w:type="paragraph" w:customStyle="1" w:styleId="10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autoRedefine/>
    <w:qFormat/>
    <w:uiPriority w:val="0"/>
    <w:rPr>
      <w:i/>
      <w:iCs/>
      <w:color w:val="000000"/>
      <w:szCs w:val="22"/>
    </w:rPr>
  </w:style>
  <w:style w:type="paragraph" w:customStyle="1" w:styleId="10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8">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autoRedefine/>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autoRedefine/>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2"/>
    <w:next w:val="1"/>
    <w:autoRedefine/>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4"/>
    <w:link w:val="165"/>
    <w:autoRedefine/>
    <w:qFormat/>
    <w:uiPriority w:val="0"/>
    <w:pPr>
      <w:spacing w:line="413" w:lineRule="auto"/>
    </w:pPr>
    <w:rPr>
      <w:rFonts w:ascii="Arial" w:hAnsi="Arial"/>
      <w:kern w:val="0"/>
      <w:sz w:val="24"/>
    </w:rPr>
  </w:style>
  <w:style w:type="paragraph" w:customStyle="1" w:styleId="117">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autoRedefine/>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autoRedefine/>
    <w:qFormat/>
    <w:uiPriority w:val="0"/>
    <w:rPr>
      <w:rFonts w:ascii="Calibri" w:hAnsi="Calibri"/>
    </w:rPr>
  </w:style>
  <w:style w:type="paragraph" w:customStyle="1" w:styleId="121">
    <w:name w:val="_Style 87"/>
    <w:basedOn w:val="1"/>
    <w:autoRedefine/>
    <w:qFormat/>
    <w:uiPriority w:val="99"/>
    <w:pPr>
      <w:ind w:firstLine="420" w:firstLineChars="200"/>
    </w:pPr>
    <w:rPr>
      <w:rFonts w:ascii="Calibri" w:hAnsi="Calibri"/>
      <w:sz w:val="28"/>
      <w:szCs w:val="28"/>
    </w:rPr>
  </w:style>
  <w:style w:type="paragraph" w:customStyle="1" w:styleId="122">
    <w:name w:val="自定样式1"/>
    <w:basedOn w:val="1"/>
    <w:autoRedefine/>
    <w:qFormat/>
    <w:uiPriority w:val="0"/>
    <w:pPr>
      <w:suppressAutoHyphens/>
      <w:jc w:val="center"/>
    </w:pPr>
    <w:rPr>
      <w:rFonts w:ascii="宋体" w:hAnsi="宋体"/>
      <w:color w:val="000000"/>
      <w:sz w:val="18"/>
    </w:rPr>
  </w:style>
  <w:style w:type="paragraph" w:customStyle="1" w:styleId="123">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autoRedefine/>
    <w:qFormat/>
    <w:uiPriority w:val="0"/>
  </w:style>
  <w:style w:type="paragraph" w:customStyle="1" w:styleId="125">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autoRedefine/>
    <w:qFormat/>
    <w:uiPriority w:val="34"/>
    <w:pPr>
      <w:ind w:firstLine="420" w:firstLineChars="200"/>
    </w:pPr>
    <w:rPr>
      <w:rFonts w:ascii="Calibri" w:hAnsi="Calibri"/>
    </w:rPr>
  </w:style>
  <w:style w:type="paragraph" w:customStyle="1" w:styleId="127">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autoRedefine/>
    <w:qFormat/>
    <w:uiPriority w:val="0"/>
    <w:pPr>
      <w:spacing w:line="0" w:lineRule="atLeast"/>
    </w:pPr>
    <w:rPr>
      <w:rFonts w:ascii="Calibri" w:hAnsi="Calibri"/>
      <w:b/>
      <w:snapToGrid w:val="0"/>
      <w:szCs w:val="20"/>
    </w:rPr>
  </w:style>
  <w:style w:type="paragraph" w:customStyle="1" w:styleId="129">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autoRedefine/>
    <w:qFormat/>
    <w:uiPriority w:val="0"/>
  </w:style>
  <w:style w:type="paragraph" w:customStyle="1" w:styleId="133">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35">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autoRedefine/>
    <w:qFormat/>
    <w:uiPriority w:val="0"/>
  </w:style>
  <w:style w:type="paragraph" w:customStyle="1" w:styleId="137">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autoRedefine/>
    <w:qFormat/>
    <w:uiPriority w:val="99"/>
    <w:rPr>
      <w:kern w:val="2"/>
      <w:sz w:val="21"/>
      <w:szCs w:val="24"/>
    </w:rPr>
  </w:style>
  <w:style w:type="character" w:customStyle="1" w:styleId="143">
    <w:name w:val="尾注文本 Char1"/>
    <w:autoRedefine/>
    <w:qFormat/>
    <w:uiPriority w:val="0"/>
    <w:rPr>
      <w:rFonts w:ascii="Arial" w:hAnsi="Arial" w:cs="Arial"/>
      <w:szCs w:val="24"/>
      <w:lang w:eastAsia="en-US"/>
    </w:rPr>
  </w:style>
  <w:style w:type="character" w:customStyle="1" w:styleId="144">
    <w:name w:val="脚注文本 Char"/>
    <w:autoRedefine/>
    <w:qFormat/>
    <w:uiPriority w:val="0"/>
    <w:rPr>
      <w:rFonts w:ascii="Arial" w:hAnsi="Arial" w:eastAsia="宋体" w:cs="Arial"/>
      <w:sz w:val="18"/>
      <w:szCs w:val="18"/>
      <w:lang w:eastAsia="en-US"/>
    </w:rPr>
  </w:style>
  <w:style w:type="character" w:customStyle="1" w:styleId="145">
    <w:name w:val="Char Char17"/>
    <w:autoRedefine/>
    <w:qFormat/>
    <w:uiPriority w:val="0"/>
    <w:rPr>
      <w:kern w:val="2"/>
      <w:sz w:val="26"/>
      <w:szCs w:val="24"/>
    </w:rPr>
  </w:style>
  <w:style w:type="character" w:customStyle="1" w:styleId="146">
    <w:name w:val="副标题 Char1"/>
    <w:autoRedefine/>
    <w:qFormat/>
    <w:uiPriority w:val="0"/>
    <w:rPr>
      <w:szCs w:val="24"/>
      <w:u w:val="single"/>
      <w:lang w:eastAsia="en-US"/>
    </w:rPr>
  </w:style>
  <w:style w:type="character" w:customStyle="1" w:styleId="147">
    <w:name w:val="标题 Char1"/>
    <w:autoRedefine/>
    <w:qFormat/>
    <w:uiPriority w:val="10"/>
    <w:rPr>
      <w:szCs w:val="24"/>
      <w:u w:val="single"/>
      <w:lang w:eastAsia="en-US"/>
    </w:rPr>
  </w:style>
  <w:style w:type="character" w:customStyle="1" w:styleId="148">
    <w:name w:val="Char Char24"/>
    <w:autoRedefine/>
    <w:qFormat/>
    <w:uiPriority w:val="0"/>
    <w:rPr>
      <w:b/>
      <w:bCs/>
      <w:kern w:val="44"/>
      <w:sz w:val="44"/>
      <w:szCs w:val="44"/>
    </w:rPr>
  </w:style>
  <w:style w:type="character" w:customStyle="1" w:styleId="149">
    <w:name w:val="批注主题 Char"/>
    <w:autoRedefine/>
    <w:qFormat/>
    <w:uiPriority w:val="0"/>
    <w:rPr>
      <w:rFonts w:ascii="宋体" w:hAnsi="宋体" w:eastAsia="宋体"/>
      <w:kern w:val="2"/>
      <w:sz w:val="24"/>
      <w:szCs w:val="28"/>
      <w:lang w:val="en-US" w:eastAsia="zh-CN" w:bidi="ar-SA"/>
    </w:rPr>
  </w:style>
  <w:style w:type="character" w:customStyle="1" w:styleId="150">
    <w:name w:val="引用 Char1"/>
    <w:link w:val="81"/>
    <w:autoRedefine/>
    <w:qFormat/>
    <w:uiPriority w:val="29"/>
    <w:rPr>
      <w:i/>
      <w:iCs/>
      <w:color w:val="000000"/>
      <w:kern w:val="2"/>
      <w:sz w:val="21"/>
    </w:rPr>
  </w:style>
  <w:style w:type="character" w:customStyle="1" w:styleId="151">
    <w:name w:val="Char Char23"/>
    <w:autoRedefine/>
    <w:qFormat/>
    <w:uiPriority w:val="0"/>
    <w:rPr>
      <w:rFonts w:ascii="Cambria" w:hAnsi="Cambria" w:eastAsia="宋体" w:cs="Times New Roman"/>
      <w:b/>
      <w:bCs/>
      <w:kern w:val="2"/>
      <w:sz w:val="32"/>
      <w:szCs w:val="32"/>
    </w:rPr>
  </w:style>
  <w:style w:type="character" w:customStyle="1" w:styleId="152">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3">
    <w:name w:val="标题 9 Char1"/>
    <w:autoRedefine/>
    <w:qFormat/>
    <w:uiPriority w:val="0"/>
    <w:rPr>
      <w:rFonts w:ascii="Times New Roman" w:hAnsi="Times New Roman" w:eastAsia="仿宋_GB2312" w:cs="Times New Roman"/>
      <w:sz w:val="30"/>
      <w:szCs w:val="20"/>
    </w:rPr>
  </w:style>
  <w:style w:type="character" w:customStyle="1" w:styleId="154">
    <w:name w:val="正文文本 Char1"/>
    <w:autoRedefine/>
    <w:qFormat/>
    <w:uiPriority w:val="0"/>
    <w:rPr>
      <w:kern w:val="2"/>
      <w:sz w:val="21"/>
      <w:szCs w:val="22"/>
    </w:rPr>
  </w:style>
  <w:style w:type="character" w:customStyle="1" w:styleId="155">
    <w:name w:val="引用 Char2"/>
    <w:autoRedefine/>
    <w:qFormat/>
    <w:uiPriority w:val="99"/>
    <w:rPr>
      <w:i/>
      <w:iCs/>
      <w:color w:val="000000"/>
      <w:kern w:val="2"/>
      <w:sz w:val="21"/>
      <w:szCs w:val="24"/>
    </w:rPr>
  </w:style>
  <w:style w:type="character" w:customStyle="1" w:styleId="156">
    <w:name w:val="正文文本 Char3"/>
    <w:autoRedefine/>
    <w:semiHidden/>
    <w:qFormat/>
    <w:uiPriority w:val="99"/>
    <w:rPr>
      <w:rFonts w:ascii="Calibri" w:hAnsi="Calibri" w:eastAsia="宋体" w:cs="Times New Roman"/>
      <w:szCs w:val="24"/>
    </w:rPr>
  </w:style>
  <w:style w:type="character" w:customStyle="1" w:styleId="157">
    <w:name w:val="日期 字符"/>
    <w:link w:val="26"/>
    <w:autoRedefine/>
    <w:qFormat/>
    <w:uiPriority w:val="0"/>
    <w:rPr>
      <w:rFonts w:eastAsia="宋体"/>
      <w:kern w:val="2"/>
      <w:sz w:val="21"/>
      <w:szCs w:val="24"/>
      <w:lang w:val="en-US" w:eastAsia="zh-CN" w:bidi="ar-SA"/>
    </w:rPr>
  </w:style>
  <w:style w:type="character" w:customStyle="1" w:styleId="158">
    <w:name w:val="标题 2 Char"/>
    <w:autoRedefine/>
    <w:qFormat/>
    <w:uiPriority w:val="0"/>
    <w:rPr>
      <w:rFonts w:ascii="仿宋_GB2312" w:hAnsi="Calibri" w:eastAsia="仿宋_GB2312" w:cs="Times New Roman"/>
      <w:b/>
      <w:spacing w:val="1"/>
      <w:w w:val="99"/>
      <w:kern w:val="0"/>
      <w:sz w:val="28"/>
      <w:szCs w:val="32"/>
    </w:rPr>
  </w:style>
  <w:style w:type="character" w:customStyle="1" w:styleId="159">
    <w:name w:val="标题 7 Char"/>
    <w:autoRedefine/>
    <w:qFormat/>
    <w:uiPriority w:val="0"/>
    <w:rPr>
      <w:rFonts w:ascii="Calibri" w:hAnsi="Calibri" w:eastAsia="宋体" w:cs="Times New Roman"/>
      <w:b/>
      <w:bCs/>
      <w:sz w:val="24"/>
      <w:szCs w:val="24"/>
    </w:rPr>
  </w:style>
  <w:style w:type="character" w:customStyle="1" w:styleId="160">
    <w:name w:val="批注框文本 Char1"/>
    <w:autoRedefine/>
    <w:qFormat/>
    <w:uiPriority w:val="0"/>
    <w:rPr>
      <w:kern w:val="2"/>
      <w:sz w:val="18"/>
      <w:szCs w:val="18"/>
    </w:rPr>
  </w:style>
  <w:style w:type="character" w:customStyle="1" w:styleId="161">
    <w:name w:val="日期 Char1"/>
    <w:autoRedefine/>
    <w:qFormat/>
    <w:uiPriority w:val="0"/>
    <w:rPr>
      <w:kern w:val="2"/>
      <w:sz w:val="21"/>
      <w:szCs w:val="22"/>
    </w:rPr>
  </w:style>
  <w:style w:type="character" w:customStyle="1" w:styleId="162">
    <w:name w:val="_Style 171"/>
    <w:autoRedefine/>
    <w:qFormat/>
    <w:uiPriority w:val="0"/>
    <w:rPr>
      <w:b/>
      <w:bCs/>
      <w:i/>
      <w:iCs/>
      <w:color w:val="4F81BD"/>
    </w:rPr>
  </w:style>
  <w:style w:type="character" w:customStyle="1" w:styleId="163">
    <w:name w:val="Char Char22"/>
    <w:autoRedefine/>
    <w:qFormat/>
    <w:uiPriority w:val="0"/>
    <w:rPr>
      <w:b/>
      <w:bCs/>
      <w:kern w:val="2"/>
      <w:sz w:val="32"/>
      <w:szCs w:val="32"/>
    </w:rPr>
  </w:style>
  <w:style w:type="character" w:customStyle="1" w:styleId="164">
    <w:name w:val="标题 6 Char1"/>
    <w:autoRedefine/>
    <w:qFormat/>
    <w:uiPriority w:val="0"/>
    <w:rPr>
      <w:rFonts w:ascii="Times New Roman" w:hAnsi="Arial" w:eastAsia="仿宋_GB2312" w:cs="Times New Roman"/>
      <w:sz w:val="30"/>
      <w:szCs w:val="20"/>
    </w:rPr>
  </w:style>
  <w:style w:type="character" w:customStyle="1" w:styleId="165">
    <w:name w:val="标题5 Char Char"/>
    <w:link w:val="116"/>
    <w:autoRedefine/>
    <w:qFormat/>
    <w:uiPriority w:val="0"/>
    <w:rPr>
      <w:rFonts w:ascii="Arial" w:hAnsi="Arial"/>
      <w:b/>
      <w:bCs/>
      <w:sz w:val="24"/>
      <w:szCs w:val="32"/>
      <w:lang w:bidi="ar-SA"/>
    </w:rPr>
  </w:style>
  <w:style w:type="character" w:customStyle="1" w:styleId="166">
    <w:name w:val="正文文本缩进 Char1"/>
    <w:autoRedefine/>
    <w:qFormat/>
    <w:uiPriority w:val="0"/>
    <w:rPr>
      <w:kern w:val="2"/>
      <w:sz w:val="21"/>
      <w:szCs w:val="24"/>
    </w:rPr>
  </w:style>
  <w:style w:type="character" w:customStyle="1" w:styleId="167">
    <w:name w:val="标题 4 Char1"/>
    <w:autoRedefine/>
    <w:qFormat/>
    <w:uiPriority w:val="0"/>
    <w:rPr>
      <w:rFonts w:ascii="宋体" w:hAnsi="宋体" w:eastAsia="宋体" w:cs="宋体"/>
      <w:b/>
      <w:bCs/>
      <w:sz w:val="24"/>
      <w:szCs w:val="24"/>
    </w:rPr>
  </w:style>
  <w:style w:type="character" w:customStyle="1" w:styleId="168">
    <w:name w:val="尾注文本 Char"/>
    <w:autoRedefine/>
    <w:qFormat/>
    <w:uiPriority w:val="0"/>
    <w:rPr>
      <w:kern w:val="2"/>
      <w:sz w:val="21"/>
      <w:szCs w:val="24"/>
    </w:rPr>
  </w:style>
  <w:style w:type="character" w:customStyle="1" w:styleId="169">
    <w:name w:val="HTML 预设格式 字符"/>
    <w:link w:val="41"/>
    <w:autoRedefine/>
    <w:qFormat/>
    <w:uiPriority w:val="0"/>
    <w:rPr>
      <w:rFonts w:ascii="宋体" w:hAnsi="宋体" w:eastAsia="宋体" w:cs="宋体"/>
      <w:color w:val="000000"/>
      <w:sz w:val="24"/>
      <w:szCs w:val="24"/>
      <w:lang w:val="en-US" w:eastAsia="zh-CN" w:bidi="ar-SA"/>
    </w:rPr>
  </w:style>
  <w:style w:type="character" w:customStyle="1" w:styleId="170">
    <w:name w:val="尾注文本 Char2"/>
    <w:autoRedefine/>
    <w:semiHidden/>
    <w:qFormat/>
    <w:uiPriority w:val="99"/>
    <w:rPr>
      <w:rFonts w:ascii="Calibri" w:hAnsi="Calibri" w:eastAsia="宋体" w:cs="Times New Roman"/>
      <w:szCs w:val="24"/>
    </w:rPr>
  </w:style>
  <w:style w:type="character" w:customStyle="1" w:styleId="171">
    <w:name w:val="明显强调1"/>
    <w:autoRedefine/>
    <w:qFormat/>
    <w:uiPriority w:val="0"/>
    <w:rPr>
      <w:b/>
      <w:bCs/>
      <w:i/>
      <w:iCs/>
      <w:color w:val="4F81BD"/>
    </w:rPr>
  </w:style>
  <w:style w:type="character" w:customStyle="1" w:styleId="172">
    <w:name w:val="正文文本 Char"/>
    <w:autoRedefine/>
    <w:qFormat/>
    <w:uiPriority w:val="0"/>
    <w:rPr>
      <w:sz w:val="26"/>
      <w:szCs w:val="24"/>
    </w:rPr>
  </w:style>
  <w:style w:type="character" w:customStyle="1" w:styleId="173">
    <w:name w:val="脚注文本 Char2"/>
    <w:autoRedefine/>
    <w:semiHidden/>
    <w:qFormat/>
    <w:uiPriority w:val="99"/>
    <w:rPr>
      <w:rFonts w:ascii="Calibri" w:hAnsi="Calibri" w:eastAsia="宋体" w:cs="Times New Roman"/>
      <w:sz w:val="18"/>
      <w:szCs w:val="18"/>
    </w:rPr>
  </w:style>
  <w:style w:type="character" w:customStyle="1" w:styleId="174">
    <w:name w:val="正文文本 2 Char1"/>
    <w:autoRedefine/>
    <w:semiHidden/>
    <w:qFormat/>
    <w:uiPriority w:val="99"/>
    <w:rPr>
      <w:rFonts w:ascii="Calibri" w:hAnsi="Calibri" w:eastAsia="宋体" w:cs="Times New Roman"/>
      <w:szCs w:val="24"/>
    </w:rPr>
  </w:style>
  <w:style w:type="character" w:customStyle="1" w:styleId="175">
    <w:name w:val="_Style 248"/>
    <w:autoRedefine/>
    <w:qFormat/>
    <w:uiPriority w:val="0"/>
    <w:rPr>
      <w:b/>
      <w:bCs/>
      <w:smallCaps/>
      <w:spacing w:val="5"/>
    </w:rPr>
  </w:style>
  <w:style w:type="character" w:customStyle="1" w:styleId="176">
    <w:name w:val="明显引用 Char3"/>
    <w:autoRedefine/>
    <w:qFormat/>
    <w:uiPriority w:val="30"/>
    <w:rPr>
      <w:rFonts w:ascii="Calibri" w:hAnsi="Calibri" w:eastAsia="宋体" w:cs="Times New Roman"/>
      <w:b/>
      <w:bCs/>
      <w:i/>
      <w:iCs/>
      <w:color w:val="4F81BD"/>
      <w:szCs w:val="24"/>
    </w:rPr>
  </w:style>
  <w:style w:type="character" w:customStyle="1" w:styleId="177">
    <w:name w:val="_Style 254"/>
    <w:autoRedefine/>
    <w:qFormat/>
    <w:uiPriority w:val="0"/>
    <w:rPr>
      <w:b/>
      <w:bCs/>
      <w:smallCaps/>
      <w:color w:val="C0504D"/>
      <w:spacing w:val="5"/>
      <w:u w:val="single"/>
    </w:rPr>
  </w:style>
  <w:style w:type="character" w:customStyle="1" w:styleId="178">
    <w:name w:val="正文文本缩进 Char2"/>
    <w:autoRedefine/>
    <w:semiHidden/>
    <w:qFormat/>
    <w:uiPriority w:val="99"/>
    <w:rPr>
      <w:rFonts w:ascii="Calibri" w:hAnsi="Calibri" w:eastAsia="宋体" w:cs="Times New Roman"/>
      <w:szCs w:val="24"/>
    </w:rPr>
  </w:style>
  <w:style w:type="character" w:customStyle="1" w:styleId="179">
    <w:name w:val="标题 4 字符"/>
    <w:link w:val="5"/>
    <w:autoRedefine/>
    <w:qFormat/>
    <w:uiPriority w:val="0"/>
    <w:rPr>
      <w:rFonts w:ascii="宋体" w:hAnsi="宋体" w:eastAsia="宋体" w:cs="宋体"/>
      <w:b/>
      <w:bCs/>
      <w:sz w:val="24"/>
      <w:szCs w:val="24"/>
      <w:lang w:val="en-US" w:eastAsia="zh-CN" w:bidi="ar-SA"/>
    </w:rPr>
  </w:style>
  <w:style w:type="character" w:customStyle="1" w:styleId="180">
    <w:name w:val="正文文本缩进 3 Char"/>
    <w:autoRedefine/>
    <w:qFormat/>
    <w:uiPriority w:val="0"/>
    <w:rPr>
      <w:kern w:val="2"/>
      <w:sz w:val="16"/>
      <w:szCs w:val="16"/>
    </w:rPr>
  </w:style>
  <w:style w:type="character" w:customStyle="1" w:styleId="181">
    <w:name w:val="尾注文本 字符"/>
    <w:link w:val="28"/>
    <w:autoRedefine/>
    <w:qFormat/>
    <w:uiPriority w:val="0"/>
    <w:rPr>
      <w:rFonts w:ascii="Arial" w:hAnsi="Arial" w:eastAsia="宋体" w:cs="Arial"/>
      <w:szCs w:val="24"/>
      <w:lang w:val="en-US" w:eastAsia="en-US" w:bidi="ar-SA"/>
    </w:rPr>
  </w:style>
  <w:style w:type="character" w:customStyle="1" w:styleId="182">
    <w:name w:val="引用 Char3"/>
    <w:autoRedefine/>
    <w:qFormat/>
    <w:uiPriority w:val="29"/>
    <w:rPr>
      <w:rFonts w:ascii="Calibri" w:hAnsi="Calibri" w:eastAsia="宋体" w:cs="Times New Roman"/>
      <w:i/>
      <w:iCs/>
      <w:color w:val="000000"/>
      <w:szCs w:val="24"/>
    </w:rPr>
  </w:style>
  <w:style w:type="character" w:customStyle="1" w:styleId="183">
    <w:name w:val="Char Char32"/>
    <w:autoRedefine/>
    <w:qFormat/>
    <w:uiPriority w:val="0"/>
    <w:rPr>
      <w:rFonts w:ascii="仿宋_GB2312" w:eastAsia="仿宋_GB2312" w:cs="MingLiU"/>
      <w:b/>
      <w:spacing w:val="1"/>
      <w:w w:val="99"/>
      <w:sz w:val="28"/>
      <w:szCs w:val="32"/>
    </w:rPr>
  </w:style>
  <w:style w:type="character" w:customStyle="1" w:styleId="184">
    <w:name w:val="日期 Char"/>
    <w:autoRedefine/>
    <w:qFormat/>
    <w:uiPriority w:val="0"/>
    <w:rPr>
      <w:rFonts w:eastAsia="宋体"/>
      <w:szCs w:val="24"/>
    </w:rPr>
  </w:style>
  <w:style w:type="character" w:customStyle="1" w:styleId="185">
    <w:name w:val="页脚 Char"/>
    <w:autoRedefine/>
    <w:qFormat/>
    <w:uiPriority w:val="0"/>
    <w:rPr>
      <w:sz w:val="18"/>
      <w:szCs w:val="18"/>
    </w:rPr>
  </w:style>
  <w:style w:type="character" w:customStyle="1" w:styleId="186">
    <w:name w:val="style121"/>
    <w:autoRedefine/>
    <w:qFormat/>
    <w:uiPriority w:val="0"/>
    <w:rPr>
      <w:rFonts w:hint="eastAsia" w:ascii="宋体" w:hAnsi="宋体" w:eastAsia="宋体"/>
      <w:sz w:val="18"/>
      <w:szCs w:val="18"/>
    </w:rPr>
  </w:style>
  <w:style w:type="character" w:customStyle="1" w:styleId="187">
    <w:name w:val="ss16"/>
    <w:autoRedefine/>
    <w:qFormat/>
    <w:uiPriority w:val="0"/>
    <w:rPr>
      <w:rFonts w:hint="eastAsia" w:ascii="宋体" w:hAnsi="宋体" w:eastAsia="宋体"/>
      <w:color w:val="000000"/>
      <w:sz w:val="9"/>
      <w:szCs w:val="9"/>
    </w:rPr>
  </w:style>
  <w:style w:type="character" w:customStyle="1" w:styleId="188">
    <w:name w:val="textcontents"/>
    <w:autoRedefine/>
    <w:qFormat/>
    <w:uiPriority w:val="0"/>
    <w:rPr>
      <w:rFonts w:cs="Times New Roman"/>
    </w:rPr>
  </w:style>
  <w:style w:type="character" w:customStyle="1" w:styleId="189">
    <w:name w:val="14t1"/>
    <w:autoRedefine/>
    <w:qFormat/>
    <w:uiPriority w:val="0"/>
    <w:rPr>
      <w:rFonts w:hint="eastAsia" w:ascii="宋体" w:hAnsi="宋体" w:eastAsia="宋体"/>
      <w:sz w:val="11"/>
      <w:szCs w:val="11"/>
    </w:rPr>
  </w:style>
  <w:style w:type="character" w:customStyle="1" w:styleId="190">
    <w:name w:val="不明显参考1"/>
    <w:autoRedefine/>
    <w:qFormat/>
    <w:uiPriority w:val="0"/>
    <w:rPr>
      <w:smallCaps/>
      <w:color w:val="C0504D"/>
      <w:u w:val="single"/>
    </w:rPr>
  </w:style>
  <w:style w:type="character" w:customStyle="1" w:styleId="191">
    <w:name w:val="unnamed1"/>
    <w:basedOn w:val="48"/>
    <w:autoRedefine/>
    <w:qFormat/>
    <w:uiPriority w:val="0"/>
  </w:style>
  <w:style w:type="character" w:customStyle="1" w:styleId="192">
    <w:name w:val="批注主题 Char3"/>
    <w:autoRedefine/>
    <w:semiHidden/>
    <w:qFormat/>
    <w:uiPriority w:val="99"/>
    <w:rPr>
      <w:rFonts w:ascii="Calibri" w:hAnsi="Calibri" w:eastAsia="宋体" w:cs="Times New Roman"/>
      <w:b/>
      <w:bCs/>
      <w:szCs w:val="24"/>
    </w:rPr>
  </w:style>
  <w:style w:type="character" w:customStyle="1" w:styleId="193">
    <w:name w:val="标题 3 字符"/>
    <w:link w:val="4"/>
    <w:autoRedefine/>
    <w:qFormat/>
    <w:uiPriority w:val="0"/>
    <w:rPr>
      <w:rFonts w:eastAsia="宋体"/>
      <w:b/>
      <w:bCs/>
      <w:kern w:val="2"/>
      <w:sz w:val="32"/>
      <w:szCs w:val="32"/>
      <w:lang w:val="en-US" w:eastAsia="zh-CN" w:bidi="ar-SA"/>
    </w:rPr>
  </w:style>
  <w:style w:type="character" w:customStyle="1" w:styleId="194">
    <w:name w:val="标题 2 字符"/>
    <w:link w:val="3"/>
    <w:autoRedefine/>
    <w:qFormat/>
    <w:uiPriority w:val="0"/>
    <w:rPr>
      <w:rFonts w:ascii="Cambria" w:hAnsi="Cambria" w:eastAsia="宋体"/>
      <w:b/>
      <w:bCs/>
      <w:kern w:val="2"/>
      <w:sz w:val="32"/>
      <w:szCs w:val="32"/>
      <w:lang w:val="en-US" w:eastAsia="zh-CN" w:bidi="ar-SA"/>
    </w:rPr>
  </w:style>
  <w:style w:type="character" w:customStyle="1" w:styleId="195">
    <w:name w:val="标题 6 字符"/>
    <w:link w:val="7"/>
    <w:autoRedefine/>
    <w:qFormat/>
    <w:uiPriority w:val="0"/>
    <w:rPr>
      <w:rFonts w:hAnsi="Arial" w:eastAsia="仿宋_GB2312"/>
      <w:sz w:val="30"/>
      <w:lang w:val="en-US" w:eastAsia="zh-CN" w:bidi="ar-SA"/>
    </w:rPr>
  </w:style>
  <w:style w:type="character" w:customStyle="1" w:styleId="196">
    <w:name w:val="页脚 字符"/>
    <w:link w:val="30"/>
    <w:autoRedefine/>
    <w:qFormat/>
    <w:uiPriority w:val="0"/>
    <w:rPr>
      <w:rFonts w:eastAsia="宋体"/>
      <w:kern w:val="2"/>
      <w:sz w:val="18"/>
      <w:szCs w:val="18"/>
      <w:lang w:val="en-US" w:eastAsia="zh-CN" w:bidi="ar-SA"/>
    </w:rPr>
  </w:style>
  <w:style w:type="character" w:customStyle="1" w:styleId="197">
    <w:name w:val="引用 Char4"/>
    <w:link w:val="102"/>
    <w:autoRedefine/>
    <w:qFormat/>
    <w:uiPriority w:val="0"/>
    <w:rPr>
      <w:i/>
      <w:iCs/>
      <w:color w:val="000000"/>
      <w:kern w:val="2"/>
      <w:sz w:val="21"/>
      <w:szCs w:val="22"/>
      <w:lang w:bidi="ar-SA"/>
    </w:rPr>
  </w:style>
  <w:style w:type="character" w:customStyle="1" w:styleId="198">
    <w:name w:val="标题 9 字符"/>
    <w:link w:val="11"/>
    <w:autoRedefine/>
    <w:qFormat/>
    <w:uiPriority w:val="0"/>
    <w:rPr>
      <w:rFonts w:eastAsia="仿宋_GB2312"/>
      <w:sz w:val="30"/>
      <w:lang w:val="en-US" w:eastAsia="zh-CN" w:bidi="ar-SA"/>
    </w:rPr>
  </w:style>
  <w:style w:type="character" w:customStyle="1" w:styleId="199">
    <w:name w:val="标题 3 Char"/>
    <w:autoRedefine/>
    <w:qFormat/>
    <w:uiPriority w:val="0"/>
    <w:rPr>
      <w:rFonts w:ascii="仿宋_GB2312" w:hAnsi="Calibri" w:eastAsia="仿宋_GB2312" w:cs="Times New Roman"/>
      <w:b/>
      <w:kern w:val="0"/>
      <w:sz w:val="24"/>
      <w:szCs w:val="28"/>
    </w:rPr>
  </w:style>
  <w:style w:type="character" w:customStyle="1" w:styleId="200">
    <w:name w:val="批注文字 Char2"/>
    <w:autoRedefine/>
    <w:qFormat/>
    <w:uiPriority w:val="0"/>
    <w:rPr>
      <w:rFonts w:ascii="Calibri" w:hAnsi="Calibri" w:eastAsia="宋体" w:cs="Times New Roman"/>
      <w:szCs w:val="24"/>
    </w:rPr>
  </w:style>
  <w:style w:type="character" w:customStyle="1" w:styleId="201">
    <w:name w:val="normaltext1"/>
    <w:autoRedefine/>
    <w:qFormat/>
    <w:uiPriority w:val="0"/>
    <w:rPr>
      <w:rFonts w:hint="default" w:ascii="ˎ̥" w:hAnsi="ˎ̥"/>
      <w:sz w:val="9"/>
      <w:szCs w:val="9"/>
    </w:rPr>
  </w:style>
  <w:style w:type="character" w:customStyle="1" w:styleId="202">
    <w:name w:val="ca-141"/>
    <w:autoRedefine/>
    <w:qFormat/>
    <w:uiPriority w:val="0"/>
    <w:rPr>
      <w:rFonts w:hint="eastAsia" w:ascii="仿宋_GB2312" w:eastAsia="仿宋_GB2312"/>
      <w:sz w:val="21"/>
      <w:szCs w:val="21"/>
    </w:rPr>
  </w:style>
  <w:style w:type="character" w:customStyle="1" w:styleId="203">
    <w:name w:val="main_tdbg_7601"/>
    <w:autoRedefine/>
    <w:qFormat/>
    <w:uiPriority w:val="0"/>
    <w:rPr>
      <w:sz w:val="14"/>
      <w:szCs w:val="14"/>
    </w:rPr>
  </w:style>
  <w:style w:type="character" w:customStyle="1" w:styleId="204">
    <w:name w:val="文档结构图 字符"/>
    <w:link w:val="15"/>
    <w:autoRedefine/>
    <w:qFormat/>
    <w:uiPriority w:val="0"/>
    <w:rPr>
      <w:rFonts w:eastAsia="宋体"/>
      <w:kern w:val="2"/>
      <w:sz w:val="21"/>
      <w:szCs w:val="24"/>
      <w:lang w:val="en-US" w:eastAsia="zh-CN" w:bidi="ar-SA"/>
    </w:rPr>
  </w:style>
  <w:style w:type="character" w:customStyle="1" w:styleId="205">
    <w:name w:val="批注框文本 Char3"/>
    <w:autoRedefine/>
    <w:semiHidden/>
    <w:qFormat/>
    <w:uiPriority w:val="99"/>
    <w:rPr>
      <w:rFonts w:ascii="Calibri" w:hAnsi="Calibri" w:eastAsia="宋体" w:cs="Times New Roman"/>
      <w:sz w:val="18"/>
      <w:szCs w:val="18"/>
    </w:rPr>
  </w:style>
  <w:style w:type="character" w:customStyle="1" w:styleId="206">
    <w:name w:val="Char Char9"/>
    <w:autoRedefine/>
    <w:qFormat/>
    <w:locked/>
    <w:uiPriority w:val="0"/>
    <w:rPr>
      <w:rFonts w:ascii="仿宋_GB2312" w:eastAsia="仿宋_GB2312" w:cs="MingLiU"/>
      <w:b/>
      <w:sz w:val="24"/>
      <w:szCs w:val="28"/>
      <w:lang w:val="en-US" w:eastAsia="zh-CN" w:bidi="ar-SA"/>
    </w:rPr>
  </w:style>
  <w:style w:type="character" w:customStyle="1" w:styleId="207">
    <w:name w:val="title11"/>
    <w:autoRedefine/>
    <w:qFormat/>
    <w:uiPriority w:val="0"/>
    <w:rPr>
      <w:b/>
      <w:bCs/>
      <w:color w:val="FFFFFF"/>
      <w:sz w:val="11"/>
      <w:szCs w:val="11"/>
    </w:rPr>
  </w:style>
  <w:style w:type="character" w:customStyle="1" w:styleId="208">
    <w:name w:val="批注框文本 字符"/>
    <w:link w:val="29"/>
    <w:autoRedefine/>
    <w:qFormat/>
    <w:uiPriority w:val="0"/>
    <w:rPr>
      <w:rFonts w:eastAsia="宋体"/>
      <w:kern w:val="2"/>
      <w:sz w:val="18"/>
      <w:szCs w:val="18"/>
      <w:lang w:val="en-US" w:eastAsia="zh-CN" w:bidi="ar-SA"/>
    </w:rPr>
  </w:style>
  <w:style w:type="character" w:customStyle="1" w:styleId="209">
    <w:name w:val="标题 8 Char1"/>
    <w:autoRedefine/>
    <w:qFormat/>
    <w:uiPriority w:val="0"/>
    <w:rPr>
      <w:rFonts w:ascii="Times New Roman" w:hAnsi="Arial" w:eastAsia="仿宋_GB2312" w:cs="Times New Roman"/>
      <w:sz w:val="30"/>
      <w:szCs w:val="20"/>
    </w:rPr>
  </w:style>
  <w:style w:type="character" w:customStyle="1" w:styleId="210">
    <w:name w:val="标题 Char2"/>
    <w:autoRedefine/>
    <w:qFormat/>
    <w:uiPriority w:val="10"/>
    <w:rPr>
      <w:rFonts w:ascii="Cambria" w:hAnsi="Cambria" w:eastAsia="宋体" w:cs="Times New Roman"/>
      <w:b/>
      <w:bCs/>
      <w:sz w:val="32"/>
      <w:szCs w:val="32"/>
    </w:rPr>
  </w:style>
  <w:style w:type="character" w:customStyle="1" w:styleId="211">
    <w:name w:val="标题 字符"/>
    <w:link w:val="44"/>
    <w:autoRedefine/>
    <w:qFormat/>
    <w:uiPriority w:val="0"/>
    <w:rPr>
      <w:rFonts w:eastAsia="宋体"/>
      <w:szCs w:val="24"/>
      <w:u w:val="single"/>
      <w:lang w:val="en-US" w:eastAsia="en-US" w:bidi="ar-SA"/>
    </w:rPr>
  </w:style>
  <w:style w:type="character" w:customStyle="1" w:styleId="212">
    <w:name w:val="批注主题 Char1"/>
    <w:autoRedefine/>
    <w:qFormat/>
    <w:uiPriority w:val="0"/>
    <w:rPr>
      <w:b/>
      <w:bCs/>
      <w:kern w:val="2"/>
      <w:sz w:val="21"/>
      <w:szCs w:val="22"/>
    </w:rPr>
  </w:style>
  <w:style w:type="character" w:customStyle="1" w:styleId="213">
    <w:name w:val="副标题 Char"/>
    <w:autoRedefine/>
    <w:qFormat/>
    <w:uiPriority w:val="0"/>
    <w:rPr>
      <w:rFonts w:ascii="Cambria" w:hAnsi="Cambria" w:eastAsia="宋体" w:cs="Times New Roman"/>
      <w:b/>
      <w:bCs/>
      <w:kern w:val="28"/>
      <w:sz w:val="32"/>
      <w:szCs w:val="32"/>
    </w:rPr>
  </w:style>
  <w:style w:type="character" w:customStyle="1" w:styleId="214">
    <w:name w:val="正文文本 字符"/>
    <w:link w:val="18"/>
    <w:autoRedefine/>
    <w:qFormat/>
    <w:uiPriority w:val="0"/>
    <w:rPr>
      <w:rFonts w:eastAsia="宋体"/>
      <w:kern w:val="2"/>
      <w:sz w:val="21"/>
      <w:szCs w:val="24"/>
      <w:lang w:val="en-US" w:eastAsia="zh-CN" w:bidi="ar-SA"/>
    </w:rPr>
  </w:style>
  <w:style w:type="character" w:customStyle="1" w:styleId="215">
    <w:name w:val="纯文本 Char1"/>
    <w:autoRedefine/>
    <w:qFormat/>
    <w:uiPriority w:val="0"/>
    <w:rPr>
      <w:rFonts w:ascii="宋体" w:hAnsi="Courier New" w:cs="Courier New"/>
      <w:kern w:val="2"/>
      <w:sz w:val="21"/>
      <w:szCs w:val="21"/>
    </w:rPr>
  </w:style>
  <w:style w:type="character" w:customStyle="1" w:styleId="216">
    <w:name w:val="脚注文本 字符"/>
    <w:link w:val="35"/>
    <w:autoRedefine/>
    <w:qFormat/>
    <w:uiPriority w:val="0"/>
    <w:rPr>
      <w:rFonts w:ascii="Arial" w:hAnsi="Arial" w:eastAsia="宋体" w:cs="Arial"/>
      <w:sz w:val="18"/>
      <w:szCs w:val="18"/>
      <w:lang w:val="en-US" w:eastAsia="en-US" w:bidi="ar-SA"/>
    </w:rPr>
  </w:style>
  <w:style w:type="character" w:customStyle="1" w:styleId="217">
    <w:name w:val="标题 2 Char1"/>
    <w:autoRedefine/>
    <w:qFormat/>
    <w:uiPriority w:val="0"/>
    <w:rPr>
      <w:rFonts w:ascii="Cambria" w:hAnsi="Cambria" w:eastAsia="宋体" w:cs="Times New Roman"/>
      <w:b/>
      <w:bCs/>
      <w:kern w:val="2"/>
      <w:sz w:val="32"/>
      <w:szCs w:val="32"/>
    </w:rPr>
  </w:style>
  <w:style w:type="character" w:customStyle="1" w:styleId="218">
    <w:name w:val="脚注文本 Char1"/>
    <w:autoRedefine/>
    <w:qFormat/>
    <w:uiPriority w:val="0"/>
    <w:rPr>
      <w:rFonts w:ascii="Arial" w:hAnsi="Arial" w:cs="Arial"/>
      <w:sz w:val="18"/>
      <w:szCs w:val="18"/>
      <w:lang w:eastAsia="en-US"/>
    </w:rPr>
  </w:style>
  <w:style w:type="character" w:customStyle="1" w:styleId="219">
    <w:name w:val="HTML 预设格式 Char2"/>
    <w:autoRedefine/>
    <w:semiHidden/>
    <w:qFormat/>
    <w:uiPriority w:val="99"/>
    <w:rPr>
      <w:rFonts w:ascii="Courier New" w:hAnsi="Courier New" w:eastAsia="宋体" w:cs="Courier New"/>
      <w:sz w:val="20"/>
      <w:szCs w:val="20"/>
    </w:rPr>
  </w:style>
  <w:style w:type="character" w:customStyle="1" w:styleId="220">
    <w:name w:val="标题 8 Char"/>
    <w:autoRedefine/>
    <w:qFormat/>
    <w:uiPriority w:val="0"/>
    <w:rPr>
      <w:rFonts w:ascii="Arial" w:hAnsi="Arial" w:eastAsia="黑体" w:cs="Times New Roman"/>
      <w:sz w:val="24"/>
      <w:szCs w:val="24"/>
    </w:rPr>
  </w:style>
  <w:style w:type="character" w:customStyle="1" w:styleId="221">
    <w:name w:val="s3"/>
    <w:autoRedefine/>
    <w:qFormat/>
    <w:uiPriority w:val="0"/>
  </w:style>
  <w:style w:type="character" w:customStyle="1" w:styleId="222">
    <w:name w:val="标题 4 Char"/>
    <w:autoRedefine/>
    <w:qFormat/>
    <w:uiPriority w:val="0"/>
    <w:rPr>
      <w:rFonts w:ascii="仿宋_GB2312" w:hAnsi="Calibri" w:eastAsia="仿宋_GB2312" w:cs="Times New Roman"/>
      <w:b/>
      <w:kern w:val="0"/>
      <w:sz w:val="24"/>
      <w:szCs w:val="28"/>
    </w:rPr>
  </w:style>
  <w:style w:type="character" w:customStyle="1" w:styleId="223">
    <w:name w:val="正文文本缩进 2 Char"/>
    <w:autoRedefine/>
    <w:qFormat/>
    <w:uiPriority w:val="0"/>
    <w:rPr>
      <w:kern w:val="2"/>
      <w:sz w:val="21"/>
      <w:szCs w:val="24"/>
    </w:rPr>
  </w:style>
  <w:style w:type="character" w:customStyle="1" w:styleId="224">
    <w:name w:val="style21"/>
    <w:autoRedefine/>
    <w:qFormat/>
    <w:uiPriority w:val="0"/>
    <w:rPr>
      <w:b/>
      <w:bCs/>
      <w:sz w:val="28"/>
      <w:szCs w:val="28"/>
    </w:rPr>
  </w:style>
  <w:style w:type="character" w:customStyle="1" w:styleId="225">
    <w:name w:val="正文文本缩进 2 Char2"/>
    <w:autoRedefine/>
    <w:semiHidden/>
    <w:qFormat/>
    <w:uiPriority w:val="99"/>
    <w:rPr>
      <w:rFonts w:ascii="Calibri" w:hAnsi="Calibri" w:eastAsia="宋体" w:cs="Times New Roman"/>
      <w:szCs w:val="24"/>
    </w:rPr>
  </w:style>
  <w:style w:type="character" w:customStyle="1" w:styleId="226">
    <w:name w:val="ht1"/>
    <w:autoRedefine/>
    <w:qFormat/>
    <w:uiPriority w:val="0"/>
    <w:rPr>
      <w:rFonts w:ascii="黑体" w:eastAsia="黑体"/>
      <w:b/>
      <w:bCs/>
    </w:rPr>
  </w:style>
  <w:style w:type="character" w:customStyle="1" w:styleId="227">
    <w:name w:val="文档结构图 Char3"/>
    <w:autoRedefine/>
    <w:semiHidden/>
    <w:qFormat/>
    <w:uiPriority w:val="99"/>
    <w:rPr>
      <w:rFonts w:ascii="宋体" w:hAnsi="Calibri" w:eastAsia="宋体" w:cs="Times New Roman"/>
      <w:sz w:val="18"/>
      <w:szCs w:val="18"/>
    </w:rPr>
  </w:style>
  <w:style w:type="character" w:customStyle="1" w:styleId="228">
    <w:name w:val="书籍标题1"/>
    <w:autoRedefine/>
    <w:qFormat/>
    <w:uiPriority w:val="0"/>
    <w:rPr>
      <w:b/>
      <w:bCs/>
      <w:smallCaps/>
      <w:spacing w:val="5"/>
    </w:rPr>
  </w:style>
  <w:style w:type="character" w:customStyle="1" w:styleId="229">
    <w:name w:val="标题 7 Char1"/>
    <w:autoRedefine/>
    <w:qFormat/>
    <w:uiPriority w:val="0"/>
    <w:rPr>
      <w:rFonts w:ascii="Times New Roman" w:hAnsi="Times New Roman" w:eastAsia="仿宋_GB2312" w:cs="Times New Roman"/>
      <w:sz w:val="30"/>
      <w:szCs w:val="20"/>
    </w:rPr>
  </w:style>
  <w:style w:type="character" w:customStyle="1" w:styleId="230">
    <w:name w:val="明显引用 Char2"/>
    <w:autoRedefine/>
    <w:qFormat/>
    <w:uiPriority w:val="99"/>
    <w:rPr>
      <w:b/>
      <w:bCs/>
      <w:i/>
      <w:iCs/>
      <w:color w:val="4F81BD"/>
      <w:kern w:val="2"/>
      <w:sz w:val="21"/>
      <w:szCs w:val="24"/>
    </w:rPr>
  </w:style>
  <w:style w:type="character" w:customStyle="1" w:styleId="231">
    <w:name w:val="不明显强调1"/>
    <w:autoRedefine/>
    <w:qFormat/>
    <w:uiPriority w:val="0"/>
    <w:rPr>
      <w:i/>
      <w:iCs/>
      <w:color w:val="808080"/>
    </w:rPr>
  </w:style>
  <w:style w:type="character" w:customStyle="1" w:styleId="232">
    <w:name w:val="普通文字 Char Char2"/>
    <w:autoRedefine/>
    <w:qFormat/>
    <w:uiPriority w:val="0"/>
    <w:rPr>
      <w:rFonts w:ascii="宋体" w:hAnsi="Courier New"/>
      <w:kern w:val="2"/>
      <w:sz w:val="28"/>
      <w:szCs w:val="28"/>
    </w:rPr>
  </w:style>
  <w:style w:type="character" w:customStyle="1" w:styleId="233">
    <w:name w:val="标题 6 Char"/>
    <w:autoRedefine/>
    <w:qFormat/>
    <w:uiPriority w:val="0"/>
    <w:rPr>
      <w:rFonts w:ascii="Arial" w:hAnsi="Arial" w:eastAsia="黑体" w:cs="Times New Roman"/>
      <w:b/>
      <w:bCs/>
      <w:sz w:val="24"/>
      <w:szCs w:val="24"/>
    </w:rPr>
  </w:style>
  <w:style w:type="character" w:customStyle="1" w:styleId="234">
    <w:name w:val="l1"/>
    <w:basedOn w:val="48"/>
    <w:autoRedefine/>
    <w:qFormat/>
    <w:uiPriority w:val="0"/>
  </w:style>
  <w:style w:type="character" w:customStyle="1" w:styleId="235">
    <w:name w:val="未处理的提及1"/>
    <w:autoRedefine/>
    <w:unhideWhenUsed/>
    <w:qFormat/>
    <w:uiPriority w:val="99"/>
    <w:rPr>
      <w:color w:val="808080"/>
      <w:shd w:val="clear" w:color="auto" w:fill="E6E6E6"/>
    </w:rPr>
  </w:style>
  <w:style w:type="character" w:customStyle="1" w:styleId="236">
    <w:name w:val="页眉 字符"/>
    <w:link w:val="31"/>
    <w:autoRedefine/>
    <w:qFormat/>
    <w:uiPriority w:val="0"/>
    <w:rPr>
      <w:rFonts w:eastAsia="宋体"/>
      <w:kern w:val="2"/>
      <w:sz w:val="18"/>
      <w:szCs w:val="18"/>
      <w:lang w:val="en-US" w:eastAsia="zh-CN" w:bidi="ar-SA"/>
    </w:rPr>
  </w:style>
  <w:style w:type="character" w:customStyle="1" w:styleId="237">
    <w:name w:val="Char Char35"/>
    <w:autoRedefine/>
    <w:qFormat/>
    <w:uiPriority w:val="0"/>
    <w:rPr>
      <w:rFonts w:ascii="仿宋_GB2312" w:eastAsia="仿宋_GB2312" w:cs="MingLiU"/>
      <w:b/>
      <w:sz w:val="24"/>
      <w:szCs w:val="28"/>
    </w:rPr>
  </w:style>
  <w:style w:type="character" w:customStyle="1" w:styleId="238">
    <w:name w:val="Char Char11"/>
    <w:autoRedefine/>
    <w:qFormat/>
    <w:locked/>
    <w:uiPriority w:val="0"/>
    <w:rPr>
      <w:rFonts w:eastAsia="黑体"/>
      <w:kern w:val="2"/>
      <w:sz w:val="44"/>
      <w:szCs w:val="44"/>
      <w:lang w:val="en-US" w:eastAsia="zh-CN" w:bidi="ar-SA"/>
    </w:rPr>
  </w:style>
  <w:style w:type="character" w:customStyle="1" w:styleId="239">
    <w:name w:val="style31"/>
    <w:autoRedefine/>
    <w:qFormat/>
    <w:uiPriority w:val="0"/>
    <w:rPr>
      <w:sz w:val="10"/>
      <w:szCs w:val="10"/>
    </w:rPr>
  </w:style>
  <w:style w:type="character" w:customStyle="1" w:styleId="240">
    <w:name w:val="0d1471"/>
    <w:autoRedefine/>
    <w:qFormat/>
    <w:uiPriority w:val="0"/>
    <w:rPr>
      <w:color w:val="000000"/>
      <w:sz w:val="11"/>
      <w:szCs w:val="11"/>
      <w:u w:val="none"/>
    </w:rPr>
  </w:style>
  <w:style w:type="character" w:customStyle="1" w:styleId="241">
    <w:name w:val="标题 9 Char"/>
    <w:autoRedefine/>
    <w:qFormat/>
    <w:uiPriority w:val="0"/>
    <w:rPr>
      <w:rFonts w:ascii="Arial" w:hAnsi="Arial" w:eastAsia="黑体" w:cs="Times New Roman"/>
      <w:szCs w:val="21"/>
    </w:rPr>
  </w:style>
  <w:style w:type="character" w:customStyle="1" w:styleId="242">
    <w:name w:val="标题 3 Char1"/>
    <w:autoRedefine/>
    <w:qFormat/>
    <w:uiPriority w:val="0"/>
    <w:rPr>
      <w:rFonts w:ascii="Times New Roman" w:hAnsi="Times New Roman" w:eastAsia="宋体" w:cs="Times New Roman"/>
      <w:b/>
      <w:bCs/>
      <w:kern w:val="2"/>
      <w:sz w:val="32"/>
      <w:szCs w:val="32"/>
    </w:rPr>
  </w:style>
  <w:style w:type="character" w:customStyle="1" w:styleId="243">
    <w:name w:val="标题4 Char Char"/>
    <w:link w:val="87"/>
    <w:autoRedefine/>
    <w:qFormat/>
    <w:uiPriority w:val="0"/>
    <w:rPr>
      <w:rFonts w:ascii="Arial" w:hAnsi="Arial"/>
      <w:b/>
      <w:bCs/>
      <w:sz w:val="24"/>
      <w:szCs w:val="32"/>
      <w:lang w:bidi="ar-SA"/>
    </w:rPr>
  </w:style>
  <w:style w:type="character" w:customStyle="1" w:styleId="244">
    <w:name w:val="标题 5 Char1"/>
    <w:autoRedefine/>
    <w:qFormat/>
    <w:uiPriority w:val="0"/>
    <w:rPr>
      <w:rFonts w:ascii="宋体" w:hAnsi="宋体" w:eastAsia="宋体" w:cs="宋体"/>
      <w:b/>
      <w:bCs/>
      <w:sz w:val="20"/>
      <w:szCs w:val="20"/>
    </w:rPr>
  </w:style>
  <w:style w:type="character" w:customStyle="1" w:styleId="245">
    <w:name w:val="正文文本缩进 3 Char1"/>
    <w:autoRedefine/>
    <w:qFormat/>
    <w:uiPriority w:val="0"/>
    <w:rPr>
      <w:rFonts w:ascii="宋体" w:hAnsi="宋体"/>
      <w:kern w:val="2"/>
      <w:sz w:val="28"/>
      <w:szCs w:val="28"/>
    </w:rPr>
  </w:style>
  <w:style w:type="character" w:customStyle="1" w:styleId="246">
    <w:name w:val="Char Char33"/>
    <w:autoRedefine/>
    <w:qFormat/>
    <w:uiPriority w:val="0"/>
    <w:rPr>
      <w:rFonts w:ascii="仿宋_GB2312" w:eastAsia="仿宋_GB2312" w:cs="MingLiU"/>
      <w:b/>
      <w:sz w:val="24"/>
      <w:szCs w:val="28"/>
    </w:rPr>
  </w:style>
  <w:style w:type="character" w:customStyle="1" w:styleId="247">
    <w:name w:val="批注文字 Char1"/>
    <w:autoRedefine/>
    <w:qFormat/>
    <w:uiPriority w:val="99"/>
    <w:rPr>
      <w:rFonts w:ascii="Times New Roman" w:hAnsi="Times New Roman" w:eastAsia="宋体" w:cs="Times New Roman"/>
      <w:szCs w:val="24"/>
    </w:rPr>
  </w:style>
  <w:style w:type="character" w:customStyle="1" w:styleId="248">
    <w:name w:val="正文文本 3 Char1"/>
    <w:autoRedefine/>
    <w:qFormat/>
    <w:uiPriority w:val="0"/>
    <w:rPr>
      <w:kern w:val="2"/>
      <w:sz w:val="16"/>
      <w:szCs w:val="16"/>
    </w:rPr>
  </w:style>
  <w:style w:type="character" w:customStyle="1" w:styleId="249">
    <w:name w:val="页眉 Char"/>
    <w:autoRedefine/>
    <w:qFormat/>
    <w:uiPriority w:val="0"/>
    <w:rPr>
      <w:sz w:val="18"/>
      <w:szCs w:val="18"/>
    </w:rPr>
  </w:style>
  <w:style w:type="character" w:customStyle="1" w:styleId="250">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1">
    <w:name w:val="color_red1"/>
    <w:autoRedefine/>
    <w:qFormat/>
    <w:uiPriority w:val="0"/>
    <w:rPr>
      <w:color w:val="FA0004"/>
    </w:rPr>
  </w:style>
  <w:style w:type="character" w:customStyle="1" w:styleId="252">
    <w:name w:val="批注主题 Char2"/>
    <w:autoRedefine/>
    <w:qFormat/>
    <w:uiPriority w:val="99"/>
    <w:rPr>
      <w:b/>
      <w:bCs/>
      <w:kern w:val="2"/>
      <w:sz w:val="21"/>
      <w:szCs w:val="24"/>
    </w:rPr>
  </w:style>
  <w:style w:type="character" w:customStyle="1" w:styleId="253">
    <w:name w:val="Char Char34"/>
    <w:autoRedefine/>
    <w:qFormat/>
    <w:uiPriority w:val="0"/>
    <w:rPr>
      <w:rFonts w:ascii="仿宋_GB2312" w:eastAsia="仿宋_GB2312" w:cs="MingLiU"/>
      <w:b/>
      <w:spacing w:val="1"/>
      <w:w w:val="99"/>
      <w:sz w:val="28"/>
      <w:szCs w:val="32"/>
    </w:rPr>
  </w:style>
  <w:style w:type="character" w:customStyle="1" w:styleId="254">
    <w:name w:val="标题 1 Char"/>
    <w:autoRedefine/>
    <w:qFormat/>
    <w:uiPriority w:val="0"/>
    <w:rPr>
      <w:rFonts w:ascii="Times New Roman" w:hAnsi="Times New Roman" w:eastAsia="宋体" w:cs="Times New Roman"/>
      <w:b/>
      <w:bCs/>
      <w:kern w:val="44"/>
      <w:sz w:val="44"/>
      <w:szCs w:val="44"/>
    </w:rPr>
  </w:style>
  <w:style w:type="character" w:customStyle="1" w:styleId="255">
    <w:name w:val="docpro"/>
    <w:basedOn w:val="48"/>
    <w:autoRedefine/>
    <w:qFormat/>
    <w:uiPriority w:val="0"/>
  </w:style>
  <w:style w:type="character" w:customStyle="1" w:styleId="256">
    <w:name w:val="正文文本 3 Char"/>
    <w:autoRedefine/>
    <w:qFormat/>
    <w:uiPriority w:val="0"/>
    <w:rPr>
      <w:kern w:val="2"/>
      <w:sz w:val="16"/>
      <w:szCs w:val="16"/>
    </w:rPr>
  </w:style>
  <w:style w:type="character" w:customStyle="1" w:styleId="257">
    <w:name w:val="标题 5 Char"/>
    <w:autoRedefine/>
    <w:qFormat/>
    <w:uiPriority w:val="0"/>
    <w:rPr>
      <w:rFonts w:ascii="Calibri" w:hAnsi="Calibri" w:eastAsia="宋体" w:cs="Times New Roman"/>
      <w:b/>
      <w:bCs/>
      <w:sz w:val="28"/>
      <w:szCs w:val="28"/>
    </w:rPr>
  </w:style>
  <w:style w:type="character" w:customStyle="1" w:styleId="258">
    <w:name w:val="style161"/>
    <w:autoRedefine/>
    <w:qFormat/>
    <w:uiPriority w:val="0"/>
    <w:rPr>
      <w:b/>
      <w:bCs/>
      <w:color w:val="333333"/>
    </w:rPr>
  </w:style>
  <w:style w:type="character" w:customStyle="1" w:styleId="259">
    <w:name w:val="文档结构图 Char2"/>
    <w:autoRedefine/>
    <w:qFormat/>
    <w:uiPriority w:val="99"/>
    <w:rPr>
      <w:kern w:val="2"/>
      <w:sz w:val="21"/>
      <w:szCs w:val="24"/>
      <w:shd w:val="clear" w:color="auto" w:fill="000080"/>
    </w:rPr>
  </w:style>
  <w:style w:type="character" w:customStyle="1" w:styleId="260">
    <w:name w:val="页脚 Char1"/>
    <w:autoRedefine/>
    <w:semiHidden/>
    <w:qFormat/>
    <w:uiPriority w:val="99"/>
    <w:rPr>
      <w:kern w:val="2"/>
      <w:sz w:val="18"/>
      <w:szCs w:val="18"/>
    </w:rPr>
  </w:style>
  <w:style w:type="character" w:customStyle="1" w:styleId="261">
    <w:name w:val="日期 Char2"/>
    <w:autoRedefine/>
    <w:qFormat/>
    <w:uiPriority w:val="99"/>
    <w:rPr>
      <w:kern w:val="2"/>
      <w:sz w:val="21"/>
      <w:szCs w:val="24"/>
    </w:rPr>
  </w:style>
  <w:style w:type="character" w:customStyle="1" w:styleId="262">
    <w:name w:val="HTML 预设格式 Char"/>
    <w:autoRedefine/>
    <w:qFormat/>
    <w:uiPriority w:val="0"/>
    <w:rPr>
      <w:rFonts w:ascii="宋体" w:hAnsi="宋体" w:eastAsia="宋体" w:cs="宋体"/>
      <w:color w:val="000000"/>
      <w:sz w:val="24"/>
      <w:szCs w:val="24"/>
    </w:rPr>
  </w:style>
  <w:style w:type="character" w:customStyle="1" w:styleId="263">
    <w:name w:val="批注主题 字符"/>
    <w:link w:val="45"/>
    <w:autoRedefine/>
    <w:qFormat/>
    <w:uiPriority w:val="0"/>
    <w:rPr>
      <w:rFonts w:eastAsia="宋体"/>
      <w:b/>
      <w:bCs/>
      <w:kern w:val="2"/>
      <w:sz w:val="21"/>
      <w:szCs w:val="24"/>
      <w:lang w:val="en-US" w:eastAsia="zh-CN" w:bidi="ar-SA"/>
    </w:rPr>
  </w:style>
  <w:style w:type="character" w:customStyle="1" w:styleId="264">
    <w:name w:val="正文文本 2 字符"/>
    <w:link w:val="40"/>
    <w:autoRedefine/>
    <w:qFormat/>
    <w:uiPriority w:val="0"/>
    <w:rPr>
      <w:i/>
      <w:iCs/>
      <w:kern w:val="2"/>
      <w:sz w:val="26"/>
      <w:szCs w:val="24"/>
    </w:rPr>
  </w:style>
  <w:style w:type="character" w:customStyle="1" w:styleId="265">
    <w:name w:val="批注框文本 Char"/>
    <w:autoRedefine/>
    <w:qFormat/>
    <w:uiPriority w:val="0"/>
    <w:rPr>
      <w:sz w:val="18"/>
      <w:szCs w:val="18"/>
    </w:rPr>
  </w:style>
  <w:style w:type="character" w:customStyle="1" w:styleId="266">
    <w:name w:val="文档结构图 Char"/>
    <w:autoRedefine/>
    <w:qFormat/>
    <w:uiPriority w:val="0"/>
    <w:rPr>
      <w:rFonts w:ascii="宋体"/>
      <w:kern w:val="2"/>
      <w:sz w:val="18"/>
      <w:szCs w:val="18"/>
    </w:rPr>
  </w:style>
  <w:style w:type="character" w:customStyle="1" w:styleId="267">
    <w:name w:val="标题 8 字符"/>
    <w:link w:val="10"/>
    <w:autoRedefine/>
    <w:qFormat/>
    <w:uiPriority w:val="0"/>
    <w:rPr>
      <w:rFonts w:hAnsi="Arial" w:eastAsia="仿宋_GB2312"/>
      <w:sz w:val="30"/>
      <w:lang w:val="en-US" w:eastAsia="zh-CN" w:bidi="ar-SA"/>
    </w:rPr>
  </w:style>
  <w:style w:type="character" w:customStyle="1" w:styleId="268">
    <w:name w:val="正文文本缩进 3 字符"/>
    <w:link w:val="37"/>
    <w:autoRedefine/>
    <w:qFormat/>
    <w:uiPriority w:val="0"/>
    <w:rPr>
      <w:rFonts w:ascii="宋体" w:hAnsi="宋体" w:eastAsia="宋体"/>
      <w:kern w:val="2"/>
      <w:sz w:val="28"/>
      <w:szCs w:val="28"/>
      <w:lang w:val="en-US" w:eastAsia="zh-CN" w:bidi="ar-SA"/>
    </w:rPr>
  </w:style>
  <w:style w:type="character" w:customStyle="1" w:styleId="269">
    <w:name w:val="正文文本缩进 字符"/>
    <w:link w:val="19"/>
    <w:autoRedefine/>
    <w:qFormat/>
    <w:uiPriority w:val="0"/>
    <w:rPr>
      <w:rFonts w:eastAsia="宋体"/>
      <w:kern w:val="2"/>
      <w:sz w:val="21"/>
      <w:szCs w:val="24"/>
      <w:lang w:val="en-US" w:eastAsia="zh-CN" w:bidi="ar-SA"/>
    </w:rPr>
  </w:style>
  <w:style w:type="character" w:customStyle="1" w:styleId="270">
    <w:name w:val="_Style 196"/>
    <w:autoRedefine/>
    <w:qFormat/>
    <w:uiPriority w:val="0"/>
    <w:rPr>
      <w:i/>
      <w:iCs/>
      <w:color w:val="808080"/>
    </w:rPr>
  </w:style>
  <w:style w:type="character" w:customStyle="1" w:styleId="271">
    <w:name w:val="正文文本缩进 2 字符"/>
    <w:link w:val="27"/>
    <w:autoRedefine/>
    <w:qFormat/>
    <w:uiPriority w:val="0"/>
    <w:rPr>
      <w:rFonts w:eastAsia="宋体"/>
      <w:sz w:val="28"/>
      <w:szCs w:val="24"/>
      <w:lang w:val="en-US" w:eastAsia="zh-CN" w:bidi="ar-SA"/>
    </w:rPr>
  </w:style>
  <w:style w:type="character" w:customStyle="1" w:styleId="272">
    <w:name w:val="标题 7 字符"/>
    <w:link w:val="9"/>
    <w:autoRedefine/>
    <w:qFormat/>
    <w:uiPriority w:val="0"/>
    <w:rPr>
      <w:rFonts w:eastAsia="仿宋_GB2312"/>
      <w:sz w:val="30"/>
      <w:lang w:val="en-US" w:eastAsia="zh-CN" w:bidi="ar-SA"/>
    </w:rPr>
  </w:style>
  <w:style w:type="character" w:customStyle="1" w:styleId="273">
    <w:name w:val="Char Char13"/>
    <w:autoRedefine/>
    <w:qFormat/>
    <w:uiPriority w:val="0"/>
    <w:rPr>
      <w:kern w:val="2"/>
      <w:sz w:val="18"/>
      <w:szCs w:val="18"/>
    </w:rPr>
  </w:style>
  <w:style w:type="character" w:customStyle="1" w:styleId="274">
    <w:name w:val="正文文本缩进 2 Char1"/>
    <w:autoRedefine/>
    <w:qFormat/>
    <w:uiPriority w:val="0"/>
    <w:rPr>
      <w:sz w:val="28"/>
      <w:szCs w:val="24"/>
    </w:rPr>
  </w:style>
  <w:style w:type="character" w:customStyle="1" w:styleId="275">
    <w:name w:val="Char Char21"/>
    <w:autoRedefine/>
    <w:qFormat/>
    <w:uiPriority w:val="0"/>
    <w:rPr>
      <w:rFonts w:ascii="宋体" w:hAnsi="宋体" w:cs="宋体"/>
      <w:b/>
      <w:bCs/>
      <w:sz w:val="24"/>
      <w:szCs w:val="24"/>
    </w:rPr>
  </w:style>
  <w:style w:type="character" w:customStyle="1" w:styleId="276">
    <w:name w:val="文档结构图 Char1"/>
    <w:autoRedefine/>
    <w:qFormat/>
    <w:uiPriority w:val="0"/>
    <w:rPr>
      <w:rFonts w:ascii="宋体"/>
      <w:kern w:val="2"/>
      <w:sz w:val="18"/>
      <w:szCs w:val="18"/>
    </w:rPr>
  </w:style>
  <w:style w:type="character" w:customStyle="1" w:styleId="277">
    <w:name w:val="标题 Char"/>
    <w:autoRedefine/>
    <w:qFormat/>
    <w:uiPriority w:val="0"/>
    <w:rPr>
      <w:rFonts w:ascii="Cambria" w:hAnsi="Cambria" w:eastAsia="宋体" w:cs="Times New Roman"/>
      <w:b/>
      <w:bCs/>
      <w:kern w:val="2"/>
      <w:sz w:val="32"/>
      <w:szCs w:val="32"/>
    </w:rPr>
  </w:style>
  <w:style w:type="character" w:customStyle="1" w:styleId="278">
    <w:name w:val="_Style 275"/>
    <w:autoRedefine/>
    <w:qFormat/>
    <w:uiPriority w:val="0"/>
    <w:rPr>
      <w:smallCaps/>
      <w:color w:val="C0504D"/>
      <w:u w:val="single"/>
    </w:rPr>
  </w:style>
  <w:style w:type="character" w:customStyle="1" w:styleId="279">
    <w:name w:val="Char Char12"/>
    <w:autoRedefine/>
    <w:qFormat/>
    <w:uiPriority w:val="0"/>
    <w:rPr>
      <w:rFonts w:eastAsia="黑体"/>
      <w:kern w:val="2"/>
      <w:sz w:val="44"/>
      <w:szCs w:val="44"/>
      <w:lang w:val="en-US" w:eastAsia="zh-CN" w:bidi="ar-SA"/>
    </w:rPr>
  </w:style>
  <w:style w:type="character" w:customStyle="1" w:styleId="280">
    <w:name w:val="明显参考1"/>
    <w:autoRedefine/>
    <w:qFormat/>
    <w:uiPriority w:val="0"/>
    <w:rPr>
      <w:b/>
      <w:bCs/>
      <w:smallCaps/>
      <w:color w:val="C0504D"/>
      <w:spacing w:val="5"/>
      <w:u w:val="single"/>
    </w:rPr>
  </w:style>
  <w:style w:type="character" w:customStyle="1" w:styleId="281">
    <w:name w:val="Char Char36"/>
    <w:autoRedefine/>
    <w:qFormat/>
    <w:uiPriority w:val="0"/>
    <w:rPr>
      <w:rFonts w:ascii="仿宋_GB2312" w:eastAsia="仿宋_GB2312" w:cs="MingLiU"/>
      <w:b/>
      <w:sz w:val="24"/>
      <w:szCs w:val="28"/>
    </w:rPr>
  </w:style>
  <w:style w:type="character" w:customStyle="1" w:styleId="282">
    <w:name w:val="批注框文本 Char2"/>
    <w:autoRedefine/>
    <w:qFormat/>
    <w:uiPriority w:val="99"/>
    <w:rPr>
      <w:kern w:val="2"/>
      <w:sz w:val="18"/>
      <w:szCs w:val="18"/>
    </w:rPr>
  </w:style>
  <w:style w:type="character" w:customStyle="1" w:styleId="283">
    <w:name w:val="subhead1"/>
    <w:autoRedefine/>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autoRedefine/>
    <w:semiHidden/>
    <w:qFormat/>
    <w:uiPriority w:val="99"/>
    <w:rPr>
      <w:rFonts w:ascii="Calibri" w:hAnsi="Calibri" w:eastAsia="宋体" w:cs="Times New Roman"/>
      <w:sz w:val="16"/>
      <w:szCs w:val="16"/>
    </w:rPr>
  </w:style>
  <w:style w:type="character" w:customStyle="1" w:styleId="285">
    <w:name w:val="纯文本 Char"/>
    <w:autoRedefine/>
    <w:qFormat/>
    <w:uiPriority w:val="0"/>
    <w:rPr>
      <w:rFonts w:ascii="宋体" w:hAnsi="Courier New"/>
      <w:sz w:val="28"/>
      <w:szCs w:val="28"/>
    </w:rPr>
  </w:style>
  <w:style w:type="character" w:customStyle="1" w:styleId="286">
    <w:name w:val="纯文本 Char2"/>
    <w:autoRedefine/>
    <w:semiHidden/>
    <w:qFormat/>
    <w:uiPriority w:val="99"/>
    <w:rPr>
      <w:rFonts w:ascii="宋体" w:hAnsi="Courier New" w:eastAsia="宋体" w:cs="Courier New"/>
      <w:szCs w:val="21"/>
    </w:rPr>
  </w:style>
  <w:style w:type="character" w:customStyle="1" w:styleId="287">
    <w:name w:val="页眉 Char1"/>
    <w:autoRedefine/>
    <w:semiHidden/>
    <w:qFormat/>
    <w:uiPriority w:val="99"/>
    <w:rPr>
      <w:kern w:val="2"/>
      <w:sz w:val="18"/>
      <w:szCs w:val="18"/>
    </w:rPr>
  </w:style>
  <w:style w:type="character" w:customStyle="1" w:styleId="288">
    <w:name w:val="Char Char14"/>
    <w:autoRedefine/>
    <w:qFormat/>
    <w:uiPriority w:val="0"/>
    <w:rPr>
      <w:kern w:val="2"/>
      <w:sz w:val="18"/>
      <w:szCs w:val="18"/>
    </w:rPr>
  </w:style>
  <w:style w:type="character" w:customStyle="1" w:styleId="289">
    <w:name w:val="批注文字 字符"/>
    <w:link w:val="16"/>
    <w:autoRedefine/>
    <w:qFormat/>
    <w:uiPriority w:val="99"/>
    <w:rPr>
      <w:rFonts w:eastAsia="宋体"/>
      <w:kern w:val="2"/>
      <w:sz w:val="21"/>
      <w:szCs w:val="24"/>
      <w:lang w:val="en-US" w:eastAsia="zh-CN" w:bidi="ar-SA"/>
    </w:rPr>
  </w:style>
  <w:style w:type="character" w:customStyle="1" w:styleId="290">
    <w:name w:val="批注文字 Char Char"/>
    <w:autoRedefine/>
    <w:qFormat/>
    <w:uiPriority w:val="0"/>
    <w:rPr>
      <w:rFonts w:ascii="宋体" w:hAnsi="Times New Roman" w:eastAsia="宋体" w:cs="Times New Roman"/>
      <w:sz w:val="28"/>
      <w:szCs w:val="20"/>
    </w:rPr>
  </w:style>
  <w:style w:type="character" w:customStyle="1" w:styleId="291">
    <w:name w:val="标题 1 Char1"/>
    <w:autoRedefine/>
    <w:qFormat/>
    <w:uiPriority w:val="0"/>
    <w:rPr>
      <w:rFonts w:ascii="Times New Roman" w:hAnsi="Times New Roman" w:eastAsia="宋体" w:cs="Times New Roman"/>
      <w:b/>
      <w:bCs/>
      <w:kern w:val="44"/>
      <w:sz w:val="44"/>
      <w:szCs w:val="44"/>
    </w:rPr>
  </w:style>
  <w:style w:type="character" w:customStyle="1" w:styleId="292">
    <w:name w:val="标题 5 字符"/>
    <w:link w:val="6"/>
    <w:autoRedefine/>
    <w:qFormat/>
    <w:uiPriority w:val="0"/>
    <w:rPr>
      <w:rFonts w:ascii="宋体" w:hAnsi="宋体" w:eastAsia="宋体" w:cs="宋体"/>
      <w:b/>
      <w:bCs/>
      <w:lang w:val="en-US" w:eastAsia="zh-CN" w:bidi="ar-SA"/>
    </w:rPr>
  </w:style>
  <w:style w:type="character" w:customStyle="1" w:styleId="293">
    <w:name w:val="手改 Char Char"/>
    <w:autoRedefine/>
    <w:qFormat/>
    <w:uiPriority w:val="0"/>
    <w:rPr>
      <w:kern w:val="2"/>
      <w:sz w:val="21"/>
      <w:szCs w:val="24"/>
    </w:rPr>
  </w:style>
  <w:style w:type="character" w:customStyle="1" w:styleId="294">
    <w:name w:val="标题 1 字符"/>
    <w:link w:val="2"/>
    <w:autoRedefine/>
    <w:qFormat/>
    <w:uiPriority w:val="0"/>
    <w:rPr>
      <w:rFonts w:eastAsia="宋体"/>
      <w:b/>
      <w:bCs/>
      <w:kern w:val="44"/>
      <w:sz w:val="44"/>
      <w:szCs w:val="44"/>
      <w:lang w:val="en-US" w:eastAsia="zh-CN" w:bidi="ar-SA"/>
    </w:rPr>
  </w:style>
  <w:style w:type="character" w:customStyle="1" w:styleId="295">
    <w:name w:val="intel3"/>
    <w:basedOn w:val="48"/>
    <w:autoRedefine/>
    <w:qFormat/>
    <w:uiPriority w:val="0"/>
  </w:style>
  <w:style w:type="character" w:customStyle="1" w:styleId="296">
    <w:name w:val="副标题 Char2"/>
    <w:autoRedefine/>
    <w:qFormat/>
    <w:uiPriority w:val="11"/>
    <w:rPr>
      <w:rFonts w:ascii="Cambria" w:hAnsi="Cambria" w:eastAsia="宋体" w:cs="Times New Roman"/>
      <w:b/>
      <w:bCs/>
      <w:kern w:val="28"/>
      <w:sz w:val="32"/>
      <w:szCs w:val="32"/>
    </w:rPr>
  </w:style>
  <w:style w:type="character" w:customStyle="1" w:styleId="297">
    <w:name w:val="明显引用 Char4"/>
    <w:link w:val="118"/>
    <w:autoRedefine/>
    <w:qFormat/>
    <w:uiPriority w:val="0"/>
    <w:rPr>
      <w:b/>
      <w:bCs/>
      <w:i/>
      <w:iCs/>
      <w:color w:val="4F81BD"/>
      <w:kern w:val="2"/>
      <w:sz w:val="21"/>
      <w:szCs w:val="22"/>
      <w:lang w:bidi="ar-SA"/>
    </w:rPr>
  </w:style>
  <w:style w:type="character" w:customStyle="1" w:styleId="298">
    <w:name w:val="明显引用 Char1"/>
    <w:link w:val="111"/>
    <w:autoRedefine/>
    <w:qFormat/>
    <w:uiPriority w:val="30"/>
    <w:rPr>
      <w:b/>
      <w:bCs/>
      <w:i/>
      <w:iCs/>
      <w:color w:val="4F81BD"/>
      <w:kern w:val="2"/>
      <w:sz w:val="21"/>
    </w:rPr>
  </w:style>
  <w:style w:type="character" w:customStyle="1" w:styleId="299">
    <w:name w:val="HTML 预设格式 Char1"/>
    <w:autoRedefine/>
    <w:qFormat/>
    <w:uiPriority w:val="0"/>
    <w:rPr>
      <w:rFonts w:ascii="宋体" w:hAnsi="宋体" w:cs="宋体"/>
      <w:color w:val="000000"/>
      <w:sz w:val="24"/>
      <w:szCs w:val="24"/>
    </w:rPr>
  </w:style>
  <w:style w:type="character" w:customStyle="1" w:styleId="300">
    <w:name w:val="引用 Char"/>
    <w:link w:val="69"/>
    <w:autoRedefine/>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4"/>
    <w:autoRedefine/>
    <w:qFormat/>
    <w:uiPriority w:val="0"/>
    <w:rPr>
      <w:rFonts w:eastAsia="宋体"/>
      <w:szCs w:val="24"/>
      <w:u w:val="single"/>
      <w:lang w:val="en-US" w:eastAsia="en-US" w:bidi="ar-SA"/>
    </w:rPr>
  </w:style>
  <w:style w:type="character" w:customStyle="1" w:styleId="302">
    <w:name w:val="ITTHEADER1 Char"/>
    <w:autoRedefine/>
    <w:qFormat/>
    <w:uiPriority w:val="0"/>
    <w:rPr>
      <w:rFonts w:eastAsia="黑体"/>
      <w:kern w:val="2"/>
      <w:sz w:val="44"/>
      <w:szCs w:val="44"/>
      <w:lang w:val="en-US" w:eastAsia="zh-CN" w:bidi="ar-SA"/>
    </w:rPr>
  </w:style>
  <w:style w:type="character" w:customStyle="1" w:styleId="303">
    <w:name w:val="日期 Char3"/>
    <w:autoRedefine/>
    <w:semiHidden/>
    <w:qFormat/>
    <w:uiPriority w:val="99"/>
    <w:rPr>
      <w:rFonts w:ascii="Calibri" w:hAnsi="Calibri" w:eastAsia="宋体" w:cs="Times New Roman"/>
      <w:szCs w:val="24"/>
    </w:rPr>
  </w:style>
  <w:style w:type="character" w:customStyle="1" w:styleId="304">
    <w:name w:val="纯文本 字符"/>
    <w:link w:val="24"/>
    <w:autoRedefine/>
    <w:qFormat/>
    <w:uiPriority w:val="0"/>
    <w:rPr>
      <w:rFonts w:ascii="宋体" w:hAnsi="Courier New" w:eastAsia="宋体" w:cs="Courier New"/>
      <w:kern w:val="2"/>
      <w:sz w:val="21"/>
      <w:szCs w:val="21"/>
      <w:lang w:val="en-US" w:eastAsia="zh-CN" w:bidi="ar-SA"/>
    </w:rPr>
  </w:style>
  <w:style w:type="character" w:customStyle="1" w:styleId="305">
    <w:name w:val="批注文字 Char"/>
    <w:autoRedefine/>
    <w:qFormat/>
    <w:uiPriority w:val="0"/>
    <w:rPr>
      <w:rFonts w:ascii="Times New Roman" w:hAnsi="Times New Roman" w:eastAsia="宋体" w:cs="Times New Roman"/>
      <w:kern w:val="2"/>
      <w:sz w:val="21"/>
      <w:szCs w:val="24"/>
    </w:rPr>
  </w:style>
  <w:style w:type="character" w:customStyle="1" w:styleId="306">
    <w:name w:val="Section Char"/>
    <w:autoRedefine/>
    <w:qFormat/>
    <w:uiPriority w:val="0"/>
    <w:rPr>
      <w:rFonts w:ascii="仿宋_GB2312" w:eastAsia="仿宋_GB2312" w:cs="MingLiU"/>
      <w:b/>
      <w:sz w:val="24"/>
      <w:szCs w:val="28"/>
      <w:lang w:val="en-US" w:eastAsia="zh-CN" w:bidi="ar-SA"/>
    </w:rPr>
  </w:style>
  <w:style w:type="character" w:customStyle="1" w:styleId="307">
    <w:name w:val="正文文本 3 Char2"/>
    <w:autoRedefine/>
    <w:semiHidden/>
    <w:qFormat/>
    <w:uiPriority w:val="99"/>
    <w:rPr>
      <w:rFonts w:ascii="Calibri" w:hAnsi="Calibri" w:eastAsia="宋体" w:cs="Times New Roman"/>
      <w:sz w:val="16"/>
      <w:szCs w:val="16"/>
    </w:rPr>
  </w:style>
  <w:style w:type="character" w:customStyle="1" w:styleId="308">
    <w:name w:val="正文文本 3 字符"/>
    <w:link w:val="17"/>
    <w:autoRedefine/>
    <w:qFormat/>
    <w:uiPriority w:val="0"/>
    <w:rPr>
      <w:rFonts w:eastAsia="宋体"/>
      <w:kern w:val="2"/>
      <w:sz w:val="16"/>
      <w:szCs w:val="16"/>
      <w:lang w:val="en-US" w:eastAsia="zh-CN" w:bidi="ar-SA"/>
    </w:rPr>
  </w:style>
  <w:style w:type="character" w:customStyle="1" w:styleId="309">
    <w:name w:val="普通文字 Char Char1"/>
    <w:autoRedefine/>
    <w:qFormat/>
    <w:uiPriority w:val="0"/>
    <w:rPr>
      <w:rFonts w:ascii="宋体" w:hAnsi="Courier New"/>
      <w:kern w:val="2"/>
      <w:sz w:val="28"/>
      <w:szCs w:val="28"/>
    </w:rPr>
  </w:style>
  <w:style w:type="character" w:customStyle="1" w:styleId="310">
    <w:name w:val="正文文本缩进 Char"/>
    <w:autoRedefine/>
    <w:qFormat/>
    <w:uiPriority w:val="0"/>
    <w:rPr>
      <w:rFonts w:ascii="黑体" w:hAnsi="宋体" w:eastAsia="黑体"/>
      <w:color w:val="000000"/>
      <w:sz w:val="28"/>
      <w:szCs w:val="32"/>
    </w:rPr>
  </w:style>
  <w:style w:type="character" w:customStyle="1" w:styleId="311">
    <w:name w:val="font161"/>
    <w:autoRedefine/>
    <w:qFormat/>
    <w:uiPriority w:val="0"/>
    <w:rPr>
      <w:b/>
      <w:bCs/>
      <w:sz w:val="32"/>
      <w:szCs w:val="32"/>
    </w:rPr>
  </w:style>
  <w:style w:type="paragraph" w:customStyle="1" w:styleId="312">
    <w:name w:val="列表段落2"/>
    <w:basedOn w:val="1"/>
    <w:autoRedefine/>
    <w:qFormat/>
    <w:uiPriority w:val="99"/>
    <w:pPr>
      <w:ind w:firstLine="420" w:firstLineChars="200"/>
    </w:pPr>
    <w:rPr>
      <w:sz w:val="28"/>
      <w:szCs w:val="28"/>
    </w:rPr>
  </w:style>
  <w:style w:type="paragraph" w:customStyle="1" w:styleId="313">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14">
    <w:name w:val="NormalCharacter"/>
    <w:autoRedefine/>
    <w:semiHidden/>
    <w:qFormat/>
    <w:uiPriority w:val="0"/>
  </w:style>
  <w:style w:type="paragraph" w:customStyle="1" w:styleId="315">
    <w:name w:val="Body text|2"/>
    <w:basedOn w:val="1"/>
    <w:autoRedefine/>
    <w:qFormat/>
    <w:uiPriority w:val="0"/>
    <w:pPr>
      <w:spacing w:after="280"/>
      <w:jc w:val="center"/>
    </w:pPr>
    <w:rPr>
      <w:rFonts w:ascii="宋体" w:hAnsi="宋体" w:cs="宋体"/>
      <w:sz w:val="42"/>
      <w:szCs w:val="42"/>
      <w:lang w:val="zh-TW" w:eastAsia="zh-TW"/>
    </w:rPr>
  </w:style>
  <w:style w:type="paragraph" w:customStyle="1" w:styleId="316">
    <w:name w:val="Body text|1"/>
    <w:basedOn w:val="1"/>
    <w:autoRedefine/>
    <w:qFormat/>
    <w:uiPriority w:val="0"/>
    <w:pPr>
      <w:spacing w:after="480" w:line="480" w:lineRule="auto"/>
      <w:ind w:firstLine="400"/>
      <w:jc w:val="left"/>
    </w:pPr>
    <w:rPr>
      <w:rFonts w:ascii="宋体" w:hAnsi="宋体" w:cs="宋体"/>
      <w:sz w:val="26"/>
      <w:szCs w:val="26"/>
      <w:lang w:val="zh-TW" w:eastAsia="zh-TW"/>
    </w:rPr>
  </w:style>
  <w:style w:type="paragraph" w:customStyle="1" w:styleId="317">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203</Pages>
  <Words>974</Words>
  <Characters>1218</Characters>
  <Lines>1134</Lines>
  <Paragraphs>319</Paragraphs>
  <TotalTime>20</TotalTime>
  <ScaleCrop>false</ScaleCrop>
  <LinksUpToDate>false</LinksUpToDate>
  <CharactersWithSpaces>1483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123</cp:lastModifiedBy>
  <cp:lastPrinted>2020-08-27T03:13:00Z</cp:lastPrinted>
  <dcterms:modified xsi:type="dcterms:W3CDTF">2025-09-18T10:28:07Z</dcterms:modified>
  <dc:title>第一卷</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F81283DB84DE4843A5E42992FDF6DB5E_13</vt:lpwstr>
  </property>
  <property fmtid="{D5CDD505-2E9C-101B-9397-08002B2CF9AE}" pid="4" name="KSOTemplateDocerSaveRecord">
    <vt:lpwstr>eyJoZGlkIjoiMzdlOTk2YmZjZjk1ODc5MjY5ZjA2ZTRkM2U4ZGMwMmQiLCJ1c2VySWQiOiIyOTIwNjkxNDIifQ==</vt:lpwstr>
  </property>
</Properties>
</file>