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4C83F">
      <w:pPr>
        <w:pStyle w:val="2"/>
        <w:spacing w:before="240" w:after="120"/>
        <w:ind w:left="0" w:leftChars="0" w:firstLine="0" w:firstLineChars="0"/>
        <w:jc w:val="both"/>
        <w:rPr>
          <w:rFonts w:hint="eastAsia" w:ascii="宋体" w:hAnsi="宋体" w:eastAsia="宋体" w:cs="宋体"/>
          <w:color w:val="auto"/>
          <w:sz w:val="36"/>
          <w:szCs w:val="36"/>
          <w:highlight w:val="none"/>
          <w:lang w:eastAsia="zh-CN"/>
        </w:rPr>
      </w:pPr>
      <w:bookmarkStart w:id="0" w:name="_Toc30027"/>
      <w:bookmarkStart w:id="1" w:name="_Toc13690"/>
      <w:bookmarkStart w:id="2" w:name="_Toc18651"/>
      <w:bookmarkStart w:id="3" w:name="_Toc5125"/>
      <w:r>
        <w:rPr>
          <w:rFonts w:hint="eastAsia" w:ascii="宋体" w:hAnsi="宋体" w:eastAsia="宋体" w:cs="宋体"/>
          <w:color w:val="auto"/>
          <w:sz w:val="36"/>
          <w:szCs w:val="36"/>
          <w:highlight w:val="none"/>
        </w:rPr>
        <w:t>项目名称：</w:t>
      </w:r>
      <w:bookmarkEnd w:id="0"/>
      <w:bookmarkEnd w:id="1"/>
      <w:bookmarkEnd w:id="2"/>
      <w:r>
        <w:rPr>
          <w:rFonts w:hint="eastAsia" w:ascii="宋体" w:hAnsi="宋体" w:eastAsia="宋体" w:cs="宋体"/>
          <w:color w:val="auto"/>
          <w:sz w:val="36"/>
          <w:szCs w:val="36"/>
          <w:highlight w:val="none"/>
          <w:lang w:eastAsia="zh-CN"/>
        </w:rPr>
        <w:t>珊瑚鲁能小学2026年秋季学生课桌椅采购项目</w:t>
      </w:r>
      <w:bookmarkEnd w:id="3"/>
    </w:p>
    <w:p w14:paraId="4022BC1A">
      <w:pPr>
        <w:pStyle w:val="2"/>
        <w:spacing w:before="240" w:after="120"/>
        <w:ind w:firstLine="0" w:firstLineChars="0"/>
        <w:rPr>
          <w:rFonts w:hint="eastAsia" w:ascii="宋体" w:hAnsi="宋体" w:eastAsia="宋体" w:cs="宋体"/>
          <w:color w:val="auto"/>
          <w:sz w:val="21"/>
          <w:szCs w:val="21"/>
          <w:highlight w:val="none"/>
        </w:rPr>
      </w:pPr>
    </w:p>
    <w:p w14:paraId="0F971986">
      <w:pPr>
        <w:rPr>
          <w:rFonts w:hint="eastAsia" w:ascii="宋体" w:hAnsi="宋体" w:eastAsia="宋体" w:cs="宋体"/>
          <w:color w:val="auto"/>
          <w:sz w:val="21"/>
          <w:szCs w:val="21"/>
          <w:highlight w:val="none"/>
        </w:rPr>
      </w:pPr>
    </w:p>
    <w:p w14:paraId="32BAE89F">
      <w:pPr>
        <w:spacing w:line="700" w:lineRule="exact"/>
        <w:ind w:left="420" w:leftChars="200" w:firstLine="0" w:firstLineChars="0"/>
        <w:jc w:val="center"/>
        <w:rPr>
          <w:rFonts w:hint="eastAsia" w:ascii="宋体" w:hAnsi="宋体" w:eastAsia="宋体" w:cs="宋体"/>
          <w:color w:val="auto"/>
          <w:sz w:val="21"/>
          <w:szCs w:val="21"/>
          <w:highlight w:val="none"/>
        </w:rPr>
      </w:pPr>
    </w:p>
    <w:p w14:paraId="72040005">
      <w:pPr>
        <w:spacing w:line="700" w:lineRule="exact"/>
        <w:ind w:left="420" w:leftChars="200" w:firstLine="0" w:firstLineChars="0"/>
        <w:jc w:val="center"/>
        <w:rPr>
          <w:rFonts w:hint="eastAsia" w:ascii="宋体" w:hAnsi="宋体" w:eastAsia="宋体" w:cs="宋体"/>
          <w:color w:val="auto"/>
          <w:sz w:val="21"/>
          <w:szCs w:val="21"/>
          <w:highlight w:val="none"/>
        </w:rPr>
      </w:pPr>
    </w:p>
    <w:p w14:paraId="477AE56B">
      <w:pPr>
        <w:pStyle w:val="11"/>
        <w:rPr>
          <w:rFonts w:hint="eastAsia" w:ascii="宋体" w:hAnsi="宋体" w:eastAsia="宋体" w:cs="宋体"/>
          <w:color w:val="auto"/>
          <w:sz w:val="21"/>
          <w:szCs w:val="21"/>
          <w:highlight w:val="none"/>
        </w:rPr>
      </w:pPr>
    </w:p>
    <w:p w14:paraId="50C0028D">
      <w:pPr>
        <w:spacing w:line="700" w:lineRule="exact"/>
        <w:ind w:left="420" w:leftChars="200" w:firstLine="0" w:firstLineChars="0"/>
        <w:jc w:val="center"/>
        <w:rPr>
          <w:rFonts w:hint="eastAsia" w:ascii="宋体" w:hAnsi="宋体" w:eastAsia="宋体" w:cs="宋体"/>
          <w:color w:val="auto"/>
          <w:sz w:val="44"/>
          <w:szCs w:val="44"/>
          <w:highlight w:val="none"/>
        </w:rPr>
      </w:pPr>
      <w:bookmarkStart w:id="4" w:name="_Toc23902"/>
      <w:bookmarkStart w:id="5" w:name="_Toc8862"/>
      <w:r>
        <w:rPr>
          <w:rFonts w:hint="eastAsia" w:ascii="宋体" w:hAnsi="宋体" w:eastAsia="宋体" w:cs="宋体"/>
          <w:b/>
          <w:bCs/>
          <w:color w:val="auto"/>
          <w:sz w:val="44"/>
          <w:szCs w:val="44"/>
          <w:highlight w:val="none"/>
        </w:rPr>
        <w:t>竞争性比选文件</w:t>
      </w:r>
      <w:bookmarkEnd w:id="4"/>
      <w:bookmarkEnd w:id="5"/>
    </w:p>
    <w:p w14:paraId="712EBC67">
      <w:pPr>
        <w:spacing w:line="700" w:lineRule="exact"/>
        <w:ind w:left="420" w:leftChars="200" w:firstLine="0" w:firstLineChars="0"/>
        <w:jc w:val="center"/>
        <w:rPr>
          <w:rFonts w:hint="eastAsia" w:ascii="宋体" w:hAnsi="宋体" w:eastAsia="宋体" w:cs="宋体"/>
          <w:color w:val="auto"/>
          <w:sz w:val="21"/>
          <w:szCs w:val="21"/>
          <w:highlight w:val="none"/>
        </w:rPr>
      </w:pPr>
    </w:p>
    <w:p w14:paraId="28FEABD0">
      <w:pPr>
        <w:spacing w:line="700" w:lineRule="exact"/>
        <w:ind w:left="420" w:leftChars="200" w:firstLine="0" w:firstLineChars="0"/>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项目执行编号：Z</w:t>
      </w:r>
      <w:r>
        <w:rPr>
          <w:rFonts w:hint="eastAsia" w:ascii="宋体" w:hAnsi="宋体" w:eastAsia="宋体" w:cs="宋体"/>
          <w:color w:val="auto"/>
          <w:sz w:val="28"/>
          <w:szCs w:val="28"/>
          <w:highlight w:val="none"/>
          <w:lang w:val="en-US" w:eastAsia="zh-CN"/>
        </w:rPr>
        <w:t>L</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2026072801</w:t>
      </w:r>
    </w:p>
    <w:p w14:paraId="4D120FB9">
      <w:pPr>
        <w:pStyle w:val="12"/>
        <w:ind w:firstLine="1320"/>
        <w:rPr>
          <w:rFonts w:hint="eastAsia" w:ascii="宋体" w:hAnsi="宋体" w:eastAsia="宋体" w:cs="宋体"/>
          <w:color w:val="auto"/>
          <w:sz w:val="21"/>
          <w:szCs w:val="21"/>
          <w:highlight w:val="none"/>
        </w:rPr>
      </w:pPr>
    </w:p>
    <w:p w14:paraId="48F1F8C9">
      <w:pPr>
        <w:pStyle w:val="12"/>
        <w:ind w:firstLine="1320"/>
        <w:rPr>
          <w:rFonts w:hint="eastAsia" w:ascii="宋体" w:hAnsi="宋体" w:eastAsia="宋体" w:cs="宋体"/>
          <w:color w:val="auto"/>
          <w:sz w:val="21"/>
          <w:szCs w:val="21"/>
          <w:highlight w:val="none"/>
        </w:rPr>
      </w:pPr>
    </w:p>
    <w:p w14:paraId="05E202ED">
      <w:pPr>
        <w:spacing w:line="700" w:lineRule="exact"/>
        <w:ind w:left="420" w:leftChars="200" w:firstLine="0" w:firstLineChars="0"/>
        <w:rPr>
          <w:rFonts w:hint="eastAsia" w:ascii="宋体" w:hAnsi="宋体" w:eastAsia="宋体" w:cs="宋体"/>
          <w:color w:val="auto"/>
          <w:sz w:val="21"/>
          <w:szCs w:val="21"/>
          <w:highlight w:val="none"/>
        </w:rPr>
      </w:pPr>
    </w:p>
    <w:p w14:paraId="4A96F1A6">
      <w:pPr>
        <w:pStyle w:val="11"/>
        <w:ind w:firstLine="1080"/>
        <w:rPr>
          <w:rFonts w:hint="eastAsia" w:ascii="宋体" w:hAnsi="宋体" w:eastAsia="宋体" w:cs="宋体"/>
          <w:color w:val="auto"/>
          <w:sz w:val="21"/>
          <w:szCs w:val="21"/>
          <w:highlight w:val="none"/>
        </w:rPr>
      </w:pPr>
    </w:p>
    <w:p w14:paraId="1BC145F3">
      <w:pPr>
        <w:pStyle w:val="11"/>
        <w:ind w:firstLine="0" w:firstLineChars="0"/>
        <w:rPr>
          <w:rFonts w:hint="eastAsia" w:ascii="宋体" w:hAnsi="宋体" w:eastAsia="宋体" w:cs="宋体"/>
          <w:color w:val="auto"/>
          <w:sz w:val="21"/>
          <w:szCs w:val="21"/>
          <w:highlight w:val="none"/>
        </w:rPr>
      </w:pPr>
    </w:p>
    <w:p w14:paraId="60A52A2E">
      <w:pPr>
        <w:pStyle w:val="22"/>
        <w:ind w:left="210" w:right="-191"/>
        <w:rPr>
          <w:rFonts w:hint="eastAsia" w:ascii="宋体" w:hAnsi="宋体" w:eastAsia="宋体" w:cs="宋体"/>
          <w:color w:val="auto"/>
          <w:sz w:val="21"/>
          <w:szCs w:val="21"/>
          <w:highlight w:val="none"/>
        </w:rPr>
      </w:pPr>
    </w:p>
    <w:p w14:paraId="0434CC25">
      <w:pPr>
        <w:rPr>
          <w:rFonts w:hint="eastAsia"/>
        </w:rPr>
      </w:pPr>
    </w:p>
    <w:p w14:paraId="3B501BAD">
      <w:pPr>
        <w:spacing w:line="700" w:lineRule="exact"/>
        <w:ind w:left="420" w:leftChars="200" w:firstLine="0" w:firstLineChars="0"/>
        <w:rPr>
          <w:rFonts w:hint="eastAsia" w:ascii="宋体" w:hAnsi="宋体" w:eastAsia="宋体" w:cs="宋体"/>
          <w:color w:val="auto"/>
          <w:sz w:val="30"/>
          <w:szCs w:val="30"/>
          <w:highlight w:val="none"/>
          <w:lang w:eastAsia="zh-CN"/>
        </w:rPr>
      </w:pPr>
      <w:bookmarkStart w:id="6" w:name="_Toc24991"/>
      <w:bookmarkStart w:id="7" w:name="_Toc15826"/>
      <w:r>
        <w:rPr>
          <w:rFonts w:hint="eastAsia" w:ascii="宋体" w:hAnsi="宋体" w:eastAsia="宋体" w:cs="宋体"/>
          <w:color w:val="auto"/>
          <w:spacing w:val="315"/>
          <w:kern w:val="0"/>
          <w:sz w:val="30"/>
          <w:szCs w:val="30"/>
          <w:highlight w:val="none"/>
          <w:fitText w:val="2160" w:id="1884302896"/>
        </w:rPr>
        <w:t>采购</w:t>
      </w:r>
      <w:r>
        <w:rPr>
          <w:rFonts w:hint="eastAsia" w:ascii="宋体" w:hAnsi="宋体" w:eastAsia="宋体" w:cs="宋体"/>
          <w:color w:val="auto"/>
          <w:spacing w:val="0"/>
          <w:kern w:val="0"/>
          <w:sz w:val="30"/>
          <w:szCs w:val="30"/>
          <w:highlight w:val="none"/>
          <w:fitText w:val="2160" w:id="1884302896"/>
        </w:rPr>
        <w:t>人</w:t>
      </w:r>
      <w:r>
        <w:rPr>
          <w:rFonts w:hint="eastAsia" w:ascii="宋体" w:hAnsi="宋体" w:eastAsia="宋体" w:cs="宋体"/>
          <w:color w:val="auto"/>
          <w:sz w:val="30"/>
          <w:szCs w:val="30"/>
          <w:highlight w:val="none"/>
        </w:rPr>
        <w:t>：</w:t>
      </w:r>
      <w:bookmarkEnd w:id="6"/>
      <w:bookmarkEnd w:id="7"/>
      <w:r>
        <w:rPr>
          <w:rFonts w:hint="eastAsia" w:ascii="宋体" w:hAnsi="宋体" w:eastAsia="宋体" w:cs="宋体"/>
          <w:color w:val="auto"/>
          <w:sz w:val="30"/>
          <w:szCs w:val="30"/>
          <w:highlight w:val="none"/>
          <w:lang w:eastAsia="zh-CN"/>
        </w:rPr>
        <w:t>重庆市南岸区珊瑚鲁能小学校</w:t>
      </w:r>
    </w:p>
    <w:p w14:paraId="0B428415">
      <w:pPr>
        <w:spacing w:line="700" w:lineRule="exact"/>
        <w:ind w:left="420" w:leftChars="200" w:firstLine="0" w:firstLineChars="0"/>
        <w:rPr>
          <w:rFonts w:hint="eastAsia" w:ascii="宋体" w:hAnsi="宋体" w:eastAsia="宋体" w:cs="宋体"/>
          <w:color w:val="auto"/>
          <w:sz w:val="30"/>
          <w:szCs w:val="30"/>
          <w:highlight w:val="none"/>
          <w:lang w:eastAsia="zh-CN"/>
        </w:rPr>
      </w:pPr>
      <w:r>
        <w:rPr>
          <w:rFonts w:hint="eastAsia" w:ascii="宋体" w:hAnsi="宋体" w:eastAsia="宋体" w:cs="宋体"/>
          <w:color w:val="auto"/>
          <w:spacing w:val="36"/>
          <w:kern w:val="0"/>
          <w:sz w:val="30"/>
          <w:szCs w:val="30"/>
          <w:highlight w:val="none"/>
          <w:fitText w:val="2160" w:id="2048791569"/>
        </w:rPr>
        <w:t>采购代理机</w:t>
      </w:r>
      <w:r>
        <w:rPr>
          <w:rFonts w:hint="eastAsia" w:ascii="宋体" w:hAnsi="宋体" w:eastAsia="宋体" w:cs="宋体"/>
          <w:color w:val="auto"/>
          <w:spacing w:val="0"/>
          <w:kern w:val="0"/>
          <w:sz w:val="30"/>
          <w:szCs w:val="30"/>
          <w:highlight w:val="none"/>
          <w:fitText w:val="2160" w:id="2048791569"/>
        </w:rPr>
        <w:t>构</w:t>
      </w:r>
      <w:r>
        <w:rPr>
          <w:rFonts w:hint="eastAsia" w:ascii="宋体" w:hAnsi="宋体" w:eastAsia="宋体" w:cs="宋体"/>
          <w:color w:val="auto"/>
          <w:sz w:val="30"/>
          <w:szCs w:val="30"/>
          <w:highlight w:val="none"/>
        </w:rPr>
        <w:t>：</w:t>
      </w:r>
      <w:r>
        <w:rPr>
          <w:rFonts w:hint="eastAsia" w:ascii="宋体" w:hAnsi="宋体" w:eastAsia="宋体" w:cs="宋体"/>
          <w:color w:val="auto"/>
          <w:sz w:val="30"/>
          <w:szCs w:val="30"/>
          <w:highlight w:val="none"/>
          <w:lang w:eastAsia="zh-CN"/>
        </w:rPr>
        <w:t>重庆志良项目管理有限公司</w:t>
      </w:r>
    </w:p>
    <w:p w14:paraId="11D1D101">
      <w:pPr>
        <w:rPr>
          <w:rFonts w:hint="eastAsia" w:ascii="宋体" w:hAnsi="宋体" w:eastAsia="宋体" w:cs="宋体"/>
          <w:color w:val="auto"/>
          <w:sz w:val="21"/>
          <w:szCs w:val="21"/>
          <w:highlight w:val="none"/>
        </w:rPr>
      </w:pPr>
    </w:p>
    <w:p w14:paraId="19ACD610">
      <w:pPr>
        <w:rPr>
          <w:rFonts w:hint="eastAsia" w:ascii="宋体" w:hAnsi="宋体" w:eastAsia="宋体" w:cs="宋体"/>
          <w:color w:val="auto"/>
          <w:sz w:val="21"/>
          <w:szCs w:val="21"/>
          <w:highlight w:val="none"/>
        </w:rPr>
      </w:pPr>
    </w:p>
    <w:p w14:paraId="5E207DAE">
      <w:pPr>
        <w:spacing w:line="700" w:lineRule="exact"/>
        <w:ind w:left="420" w:leftChars="200" w:firstLine="0" w:firstLineChars="0"/>
        <w:jc w:val="center"/>
        <w:rPr>
          <w:rFonts w:hint="eastAsia" w:ascii="宋体" w:hAnsi="宋体" w:eastAsia="宋体" w:cs="宋体"/>
          <w:color w:val="auto"/>
          <w:sz w:val="30"/>
          <w:szCs w:val="30"/>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134" w:right="1191" w:bottom="1134" w:left="1304" w:header="964" w:footer="992" w:gutter="0"/>
          <w:pgNumType w:fmt="numberInDash" w:start="1"/>
          <w:cols w:space="720" w:num="1"/>
          <w:titlePg/>
          <w:docGrid w:linePitch="312" w:charSpace="0"/>
        </w:sectPr>
      </w:pPr>
      <w:r>
        <w:rPr>
          <w:rFonts w:hint="eastAsia" w:ascii="宋体" w:hAnsi="宋体" w:eastAsia="宋体" w:cs="宋体"/>
          <w:color w:val="auto"/>
          <w:sz w:val="30"/>
          <w:szCs w:val="30"/>
          <w:highlight w:val="none"/>
        </w:rPr>
        <w:t>二〇二</w:t>
      </w:r>
      <w:r>
        <w:rPr>
          <w:rFonts w:hint="eastAsia" w:ascii="宋体" w:hAnsi="宋体" w:eastAsia="宋体" w:cs="宋体"/>
          <w:color w:val="auto"/>
          <w:sz w:val="30"/>
          <w:szCs w:val="30"/>
          <w:highlight w:val="none"/>
          <w:lang w:val="en-US" w:eastAsia="zh-CN"/>
        </w:rPr>
        <w:t>六</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lang w:val="en-US" w:eastAsia="zh-CN"/>
        </w:rPr>
        <w:t>七</w:t>
      </w:r>
      <w:r>
        <w:rPr>
          <w:rFonts w:hint="eastAsia" w:ascii="宋体" w:hAnsi="宋体" w:eastAsia="宋体" w:cs="宋体"/>
          <w:color w:val="auto"/>
          <w:sz w:val="30"/>
          <w:szCs w:val="30"/>
          <w:highlight w:val="none"/>
        </w:rPr>
        <w:t>月</w:t>
      </w:r>
    </w:p>
    <w:p w14:paraId="2C6E0864">
      <w:pPr>
        <w:ind w:firstLine="0" w:firstLineChars="0"/>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目  录</w:t>
      </w:r>
    </w:p>
    <w:p w14:paraId="14449FAD">
      <w:pPr>
        <w:rPr>
          <w:rFonts w:hint="eastAsia" w:ascii="宋体" w:hAnsi="宋体" w:eastAsia="宋体" w:cs="宋体"/>
          <w:color w:val="auto"/>
          <w:sz w:val="21"/>
          <w:szCs w:val="21"/>
          <w:highlight w:val="none"/>
        </w:rPr>
      </w:pPr>
    </w:p>
    <w:p w14:paraId="1EB70BED">
      <w:pPr>
        <w:pStyle w:val="20"/>
        <w:tabs>
          <w:tab w:val="right" w:leader="dot" w:pos="9412"/>
          <w:tab w:val="clear" w:pos="605"/>
          <w:tab w:val="clear" w:pos="1260"/>
          <w:tab w:val="clear" w:pos="1685"/>
          <w:tab w:val="clear" w:pos="8400"/>
        </w:tabs>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TOC \o "1-1" \h \u </w:instrText>
      </w:r>
      <w:r>
        <w:rPr>
          <w:rFonts w:hint="eastAsia" w:ascii="宋体" w:hAnsi="宋体" w:eastAsia="宋体" w:cs="宋体"/>
          <w:color w:val="auto"/>
          <w:sz w:val="21"/>
          <w:szCs w:val="21"/>
          <w:highlight w:val="none"/>
        </w:rPr>
        <w:fldChar w:fldCharType="separate"/>
      </w:r>
    </w:p>
    <w:p w14:paraId="139A578F">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_Toc4918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 xml:space="preserve">第一篇  </w:t>
      </w:r>
      <w:r>
        <w:rPr>
          <w:rFonts w:hint="eastAsia" w:ascii="宋体" w:hAnsi="宋体" w:eastAsia="宋体" w:cs="宋体"/>
          <w:bCs/>
          <w:sz w:val="28"/>
          <w:szCs w:val="28"/>
          <w:highlight w:val="none"/>
          <w:lang w:val="en-US" w:eastAsia="zh-CN"/>
        </w:rPr>
        <w:t>比选</w:t>
      </w:r>
      <w:r>
        <w:rPr>
          <w:rFonts w:hint="eastAsia" w:ascii="宋体" w:hAnsi="宋体" w:eastAsia="宋体" w:cs="宋体"/>
          <w:bCs/>
          <w:sz w:val="28"/>
          <w:szCs w:val="28"/>
          <w:highlight w:val="none"/>
        </w:rPr>
        <w:t>邀请书</w:t>
      </w:r>
      <w:r>
        <w:rPr>
          <w:sz w:val="28"/>
          <w:szCs w:val="28"/>
        </w:rPr>
        <w:tab/>
      </w:r>
      <w:r>
        <w:rPr>
          <w:sz w:val="28"/>
          <w:szCs w:val="28"/>
        </w:rPr>
        <w:fldChar w:fldCharType="begin"/>
      </w:r>
      <w:r>
        <w:rPr>
          <w:sz w:val="28"/>
          <w:szCs w:val="28"/>
        </w:rPr>
        <w:instrText xml:space="preserve"> PAGEREF _Toc4918 \h </w:instrText>
      </w:r>
      <w:r>
        <w:rPr>
          <w:sz w:val="28"/>
          <w:szCs w:val="28"/>
        </w:rPr>
        <w:fldChar w:fldCharType="separate"/>
      </w:r>
      <w:r>
        <w:rPr>
          <w:sz w:val="28"/>
          <w:szCs w:val="28"/>
        </w:rPr>
        <w:t>- 3 -</w:t>
      </w:r>
      <w:r>
        <w:rPr>
          <w:sz w:val="28"/>
          <w:szCs w:val="28"/>
        </w:rPr>
        <w:fldChar w:fldCharType="end"/>
      </w:r>
      <w:r>
        <w:rPr>
          <w:rFonts w:hint="eastAsia" w:ascii="宋体" w:hAnsi="宋体" w:eastAsia="宋体" w:cs="宋体"/>
          <w:color w:val="auto"/>
          <w:sz w:val="28"/>
          <w:szCs w:val="28"/>
          <w:highlight w:val="none"/>
        </w:rPr>
        <w:fldChar w:fldCharType="end"/>
      </w:r>
    </w:p>
    <w:p w14:paraId="274B1762">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_Toc31300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 xml:space="preserve">第二篇 </w:t>
      </w:r>
      <w:r>
        <w:rPr>
          <w:rFonts w:hint="eastAsia" w:ascii="宋体" w:hAnsi="宋体" w:eastAsia="宋体" w:cs="宋体"/>
          <w:bCs/>
          <w:sz w:val="28"/>
          <w:szCs w:val="28"/>
          <w:highlight w:val="none"/>
        </w:rPr>
        <w:t>项目</w:t>
      </w:r>
      <w:r>
        <w:rPr>
          <w:rFonts w:hint="eastAsia" w:ascii="宋体" w:hAnsi="宋体" w:eastAsia="宋体" w:cs="宋体"/>
          <w:bCs/>
          <w:sz w:val="28"/>
          <w:szCs w:val="28"/>
          <w:highlight w:val="none"/>
          <w:lang w:val="en-US" w:eastAsia="zh-CN"/>
        </w:rPr>
        <w:t>技术（</w:t>
      </w:r>
      <w:r>
        <w:rPr>
          <w:rFonts w:hint="eastAsia" w:ascii="宋体" w:hAnsi="宋体" w:eastAsia="宋体" w:cs="宋体"/>
          <w:bCs/>
          <w:sz w:val="28"/>
          <w:szCs w:val="28"/>
          <w:highlight w:val="none"/>
        </w:rPr>
        <w:t>服务</w:t>
      </w:r>
      <w:r>
        <w:rPr>
          <w:rFonts w:hint="eastAsia" w:ascii="宋体" w:hAnsi="宋体" w:eastAsia="宋体" w:cs="宋体"/>
          <w:bCs/>
          <w:sz w:val="28"/>
          <w:szCs w:val="28"/>
          <w:highlight w:val="none"/>
          <w:lang w:val="en-US" w:eastAsia="zh-CN"/>
        </w:rPr>
        <w:t>）</w:t>
      </w:r>
      <w:r>
        <w:rPr>
          <w:rFonts w:hint="eastAsia" w:ascii="宋体" w:hAnsi="宋体" w:eastAsia="宋体" w:cs="宋体"/>
          <w:bCs/>
          <w:sz w:val="28"/>
          <w:szCs w:val="28"/>
          <w:highlight w:val="none"/>
        </w:rPr>
        <w:t>需求</w:t>
      </w:r>
      <w:r>
        <w:rPr>
          <w:sz w:val="28"/>
          <w:szCs w:val="28"/>
        </w:rPr>
        <w:tab/>
      </w:r>
      <w:r>
        <w:rPr>
          <w:sz w:val="28"/>
          <w:szCs w:val="28"/>
        </w:rPr>
        <w:fldChar w:fldCharType="begin"/>
      </w:r>
      <w:r>
        <w:rPr>
          <w:sz w:val="28"/>
          <w:szCs w:val="28"/>
        </w:rPr>
        <w:instrText xml:space="preserve"> PAGEREF _Toc31300 \h </w:instrText>
      </w:r>
      <w:r>
        <w:rPr>
          <w:sz w:val="28"/>
          <w:szCs w:val="28"/>
        </w:rPr>
        <w:fldChar w:fldCharType="separate"/>
      </w:r>
      <w:r>
        <w:rPr>
          <w:sz w:val="28"/>
          <w:szCs w:val="28"/>
        </w:rPr>
        <w:t>- 5 -</w:t>
      </w:r>
      <w:r>
        <w:rPr>
          <w:sz w:val="28"/>
          <w:szCs w:val="28"/>
        </w:rPr>
        <w:fldChar w:fldCharType="end"/>
      </w:r>
      <w:r>
        <w:rPr>
          <w:rFonts w:hint="eastAsia" w:ascii="宋体" w:hAnsi="宋体" w:eastAsia="宋体" w:cs="宋体"/>
          <w:color w:val="auto"/>
          <w:sz w:val="28"/>
          <w:szCs w:val="28"/>
          <w:highlight w:val="none"/>
        </w:rPr>
        <w:fldChar w:fldCharType="end"/>
      </w:r>
    </w:p>
    <w:p w14:paraId="2635F405">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_Toc13991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第三篇 项目商务需求</w:t>
      </w:r>
      <w:r>
        <w:rPr>
          <w:sz w:val="28"/>
          <w:szCs w:val="28"/>
        </w:rPr>
        <w:tab/>
      </w:r>
      <w:r>
        <w:rPr>
          <w:sz w:val="28"/>
          <w:szCs w:val="28"/>
        </w:rPr>
        <w:fldChar w:fldCharType="begin"/>
      </w:r>
      <w:r>
        <w:rPr>
          <w:sz w:val="28"/>
          <w:szCs w:val="28"/>
        </w:rPr>
        <w:instrText xml:space="preserve"> PAGEREF _Toc13991 \h </w:instrText>
      </w:r>
      <w:r>
        <w:rPr>
          <w:sz w:val="28"/>
          <w:szCs w:val="28"/>
        </w:rPr>
        <w:fldChar w:fldCharType="separate"/>
      </w:r>
      <w:r>
        <w:rPr>
          <w:sz w:val="28"/>
          <w:szCs w:val="28"/>
        </w:rPr>
        <w:t>- 8 -</w:t>
      </w:r>
      <w:r>
        <w:rPr>
          <w:sz w:val="28"/>
          <w:szCs w:val="28"/>
        </w:rPr>
        <w:fldChar w:fldCharType="end"/>
      </w:r>
      <w:r>
        <w:rPr>
          <w:rFonts w:hint="eastAsia" w:ascii="宋体" w:hAnsi="宋体" w:eastAsia="宋体" w:cs="宋体"/>
          <w:color w:val="auto"/>
          <w:sz w:val="28"/>
          <w:szCs w:val="28"/>
          <w:highlight w:val="none"/>
        </w:rPr>
        <w:fldChar w:fldCharType="end"/>
      </w:r>
    </w:p>
    <w:p w14:paraId="173F6E96">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_Toc3719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第四篇  比选程序及方法、评审标准、无效响应和采购终止</w:t>
      </w:r>
      <w:r>
        <w:rPr>
          <w:sz w:val="28"/>
          <w:szCs w:val="28"/>
        </w:rPr>
        <w:tab/>
      </w:r>
      <w:r>
        <w:rPr>
          <w:sz w:val="28"/>
          <w:szCs w:val="28"/>
        </w:rPr>
        <w:fldChar w:fldCharType="begin"/>
      </w:r>
      <w:r>
        <w:rPr>
          <w:sz w:val="28"/>
          <w:szCs w:val="28"/>
        </w:rPr>
        <w:instrText xml:space="preserve"> PAGEREF _Toc3719 \h </w:instrText>
      </w:r>
      <w:r>
        <w:rPr>
          <w:sz w:val="28"/>
          <w:szCs w:val="28"/>
        </w:rPr>
        <w:fldChar w:fldCharType="separate"/>
      </w:r>
      <w:r>
        <w:rPr>
          <w:sz w:val="28"/>
          <w:szCs w:val="28"/>
        </w:rPr>
        <w:t>- 10 -</w:t>
      </w:r>
      <w:r>
        <w:rPr>
          <w:sz w:val="28"/>
          <w:szCs w:val="28"/>
        </w:rPr>
        <w:fldChar w:fldCharType="end"/>
      </w:r>
      <w:r>
        <w:rPr>
          <w:rFonts w:hint="eastAsia" w:ascii="宋体" w:hAnsi="宋体" w:eastAsia="宋体" w:cs="宋体"/>
          <w:color w:val="auto"/>
          <w:sz w:val="28"/>
          <w:szCs w:val="28"/>
          <w:highlight w:val="none"/>
        </w:rPr>
        <w:fldChar w:fldCharType="end"/>
      </w:r>
    </w:p>
    <w:p w14:paraId="12FAAB05">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_Toc31418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第五篇  供应商须知</w:t>
      </w:r>
      <w:r>
        <w:rPr>
          <w:sz w:val="28"/>
          <w:szCs w:val="28"/>
        </w:rPr>
        <w:tab/>
      </w:r>
      <w:r>
        <w:rPr>
          <w:sz w:val="28"/>
          <w:szCs w:val="28"/>
        </w:rPr>
        <w:fldChar w:fldCharType="begin"/>
      </w:r>
      <w:r>
        <w:rPr>
          <w:sz w:val="28"/>
          <w:szCs w:val="28"/>
        </w:rPr>
        <w:instrText xml:space="preserve"> PAGEREF _Toc31418 \h </w:instrText>
      </w:r>
      <w:r>
        <w:rPr>
          <w:sz w:val="28"/>
          <w:szCs w:val="28"/>
        </w:rPr>
        <w:fldChar w:fldCharType="separate"/>
      </w:r>
      <w:r>
        <w:rPr>
          <w:sz w:val="28"/>
          <w:szCs w:val="28"/>
        </w:rPr>
        <w:t>- 15 -</w:t>
      </w:r>
      <w:r>
        <w:rPr>
          <w:sz w:val="28"/>
          <w:szCs w:val="28"/>
        </w:rPr>
        <w:fldChar w:fldCharType="end"/>
      </w:r>
      <w:r>
        <w:rPr>
          <w:rFonts w:hint="eastAsia" w:ascii="宋体" w:hAnsi="宋体" w:eastAsia="宋体" w:cs="宋体"/>
          <w:color w:val="auto"/>
          <w:sz w:val="28"/>
          <w:szCs w:val="28"/>
          <w:highlight w:val="none"/>
        </w:rPr>
        <w:fldChar w:fldCharType="end"/>
      </w:r>
    </w:p>
    <w:p w14:paraId="5F70D265">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_Toc18908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第六篇  采购合同（样本仅供参考）</w:t>
      </w:r>
      <w:r>
        <w:rPr>
          <w:sz w:val="28"/>
          <w:szCs w:val="28"/>
        </w:rPr>
        <w:tab/>
      </w:r>
      <w:r>
        <w:rPr>
          <w:sz w:val="28"/>
          <w:szCs w:val="28"/>
        </w:rPr>
        <w:fldChar w:fldCharType="begin"/>
      </w:r>
      <w:r>
        <w:rPr>
          <w:sz w:val="28"/>
          <w:szCs w:val="28"/>
        </w:rPr>
        <w:instrText xml:space="preserve"> PAGEREF _Toc18908 \h </w:instrText>
      </w:r>
      <w:r>
        <w:rPr>
          <w:sz w:val="28"/>
          <w:szCs w:val="28"/>
        </w:rPr>
        <w:fldChar w:fldCharType="separate"/>
      </w:r>
      <w:r>
        <w:rPr>
          <w:sz w:val="28"/>
          <w:szCs w:val="28"/>
        </w:rPr>
        <w:t>- 19 -</w:t>
      </w:r>
      <w:r>
        <w:rPr>
          <w:sz w:val="28"/>
          <w:szCs w:val="28"/>
        </w:rPr>
        <w:fldChar w:fldCharType="end"/>
      </w:r>
      <w:r>
        <w:rPr>
          <w:rFonts w:hint="eastAsia" w:ascii="宋体" w:hAnsi="宋体" w:eastAsia="宋体" w:cs="宋体"/>
          <w:color w:val="auto"/>
          <w:sz w:val="28"/>
          <w:szCs w:val="28"/>
          <w:highlight w:val="none"/>
        </w:rPr>
        <w:fldChar w:fldCharType="end"/>
      </w:r>
    </w:p>
    <w:p w14:paraId="1ABCEF25">
      <w:pPr>
        <w:pStyle w:val="20"/>
        <w:tabs>
          <w:tab w:val="right" w:leader="dot" w:pos="9412"/>
          <w:tab w:val="clear" w:pos="605"/>
          <w:tab w:val="clear" w:pos="1260"/>
          <w:tab w:val="clear" w:pos="1685"/>
          <w:tab w:val="clear" w:pos="8400"/>
        </w:tabs>
        <w:spacing w:line="480" w:lineRule="auto"/>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_Toc5048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第七篇  响应文件编制要求</w:t>
      </w:r>
      <w:r>
        <w:rPr>
          <w:sz w:val="28"/>
          <w:szCs w:val="28"/>
        </w:rPr>
        <w:tab/>
      </w:r>
      <w:r>
        <w:rPr>
          <w:sz w:val="28"/>
          <w:szCs w:val="28"/>
        </w:rPr>
        <w:fldChar w:fldCharType="begin"/>
      </w:r>
      <w:r>
        <w:rPr>
          <w:sz w:val="28"/>
          <w:szCs w:val="28"/>
        </w:rPr>
        <w:instrText xml:space="preserve"> PAGEREF _Toc5048 \h </w:instrText>
      </w:r>
      <w:r>
        <w:rPr>
          <w:sz w:val="28"/>
          <w:szCs w:val="28"/>
        </w:rPr>
        <w:fldChar w:fldCharType="separate"/>
      </w:r>
      <w:r>
        <w:rPr>
          <w:sz w:val="28"/>
          <w:szCs w:val="28"/>
        </w:rPr>
        <w:t>- 21 -</w:t>
      </w:r>
      <w:r>
        <w:rPr>
          <w:sz w:val="28"/>
          <w:szCs w:val="28"/>
        </w:rPr>
        <w:fldChar w:fldCharType="end"/>
      </w:r>
      <w:r>
        <w:rPr>
          <w:rFonts w:hint="eastAsia" w:ascii="宋体" w:hAnsi="宋体" w:eastAsia="宋体" w:cs="宋体"/>
          <w:color w:val="auto"/>
          <w:sz w:val="28"/>
          <w:szCs w:val="28"/>
          <w:highlight w:val="none"/>
        </w:rPr>
        <w:fldChar w:fldCharType="end"/>
      </w:r>
    </w:p>
    <w:p w14:paraId="0AB6F7E8">
      <w:pPr>
        <w:pStyle w:val="20"/>
        <w:tabs>
          <w:tab w:val="right" w:leader="dot" w:pos="9412"/>
          <w:tab w:val="clear" w:pos="605"/>
          <w:tab w:val="clear" w:pos="1260"/>
          <w:tab w:val="clear" w:pos="1685"/>
          <w:tab w:val="clear" w:pos="8400"/>
        </w:tabs>
      </w:pPr>
    </w:p>
    <w:p w14:paraId="52705235">
      <w:pP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fldChar w:fldCharType="end"/>
      </w:r>
    </w:p>
    <w:p w14:paraId="3A0E90D3">
      <w:pPr>
        <w:pStyle w:val="20"/>
        <w:ind w:firstLine="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694C0F3">
      <w:pPr>
        <w:pStyle w:val="2"/>
        <w:spacing w:before="240" w:after="602" w:afterLines="251"/>
        <w:ind w:firstLine="0" w:firstLineChars="0"/>
        <w:rPr>
          <w:rFonts w:hint="eastAsia" w:ascii="宋体" w:hAnsi="宋体" w:eastAsia="宋体" w:cs="宋体"/>
          <w:b/>
          <w:bCs/>
          <w:color w:val="auto"/>
          <w:sz w:val="32"/>
          <w:szCs w:val="32"/>
          <w:highlight w:val="none"/>
        </w:rPr>
      </w:pPr>
      <w:bookmarkStart w:id="8" w:name="_Toc17828"/>
      <w:bookmarkStart w:id="9" w:name="_Toc4918"/>
      <w:r>
        <w:rPr>
          <w:rFonts w:hint="eastAsia" w:ascii="宋体" w:hAnsi="宋体" w:eastAsia="宋体" w:cs="宋体"/>
          <w:b/>
          <w:bCs/>
          <w:color w:val="auto"/>
          <w:sz w:val="32"/>
          <w:szCs w:val="32"/>
          <w:highlight w:val="none"/>
        </w:rPr>
        <w:t xml:space="preserve">第一篇  </w:t>
      </w:r>
      <w:r>
        <w:rPr>
          <w:rFonts w:hint="eastAsia" w:ascii="宋体" w:hAnsi="宋体" w:eastAsia="宋体" w:cs="宋体"/>
          <w:b/>
          <w:bCs/>
          <w:color w:val="auto"/>
          <w:sz w:val="32"/>
          <w:szCs w:val="32"/>
          <w:highlight w:val="none"/>
          <w:lang w:val="en-US" w:eastAsia="zh-CN"/>
        </w:rPr>
        <w:t>比选</w:t>
      </w:r>
      <w:r>
        <w:rPr>
          <w:rFonts w:hint="eastAsia" w:ascii="宋体" w:hAnsi="宋体" w:eastAsia="宋体" w:cs="宋体"/>
          <w:b/>
          <w:bCs/>
          <w:color w:val="auto"/>
          <w:sz w:val="32"/>
          <w:szCs w:val="32"/>
          <w:highlight w:val="none"/>
        </w:rPr>
        <w:t>邀请书</w:t>
      </w:r>
      <w:bookmarkEnd w:id="8"/>
      <w:bookmarkEnd w:id="9"/>
    </w:p>
    <w:p w14:paraId="5968BB4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重庆志良项目管理有限公司</w:t>
      </w:r>
      <w:r>
        <w:rPr>
          <w:rFonts w:hint="eastAsia" w:ascii="宋体" w:hAnsi="宋体" w:eastAsia="宋体" w:cs="宋体"/>
          <w:color w:val="auto"/>
          <w:sz w:val="21"/>
          <w:szCs w:val="21"/>
          <w:highlight w:val="none"/>
        </w:rPr>
        <w:t>(以下简称：采购代理机构)受</w:t>
      </w:r>
      <w:r>
        <w:rPr>
          <w:rFonts w:hint="eastAsia" w:ascii="宋体" w:hAnsi="宋体" w:eastAsia="宋体" w:cs="宋体"/>
          <w:color w:val="auto"/>
          <w:sz w:val="21"/>
          <w:szCs w:val="21"/>
          <w:highlight w:val="none"/>
          <w:u w:val="single"/>
          <w:lang w:eastAsia="zh-CN"/>
        </w:rPr>
        <w:t>重庆市南岸区珊瑚鲁能小学校</w:t>
      </w:r>
      <w:r>
        <w:rPr>
          <w:rFonts w:hint="eastAsia" w:ascii="宋体" w:hAnsi="宋体" w:eastAsia="宋体" w:cs="宋体"/>
          <w:color w:val="auto"/>
          <w:sz w:val="21"/>
          <w:szCs w:val="21"/>
          <w:highlight w:val="none"/>
        </w:rPr>
        <w:t>（以下简称：采购人）的委托，对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珊瑚鲁能小学2026年秋季学生课桌椅采购项目</w:t>
      </w:r>
      <w:r>
        <w:rPr>
          <w:rFonts w:hint="eastAsia" w:ascii="宋体" w:hAnsi="宋体" w:eastAsia="宋体" w:cs="宋体"/>
          <w:color w:val="auto"/>
          <w:sz w:val="21"/>
          <w:szCs w:val="21"/>
          <w:highlight w:val="none"/>
        </w:rPr>
        <w:t>项目进行竞争性比选。欢迎有资格的供应商前来参加比选。</w:t>
      </w:r>
    </w:p>
    <w:p w14:paraId="21E4B68F">
      <w:pPr>
        <w:pStyle w:val="3"/>
        <w:spacing w:line="400" w:lineRule="exact"/>
        <w:ind w:firstLine="422" w:firstLineChars="200"/>
        <w:outlineLvl w:val="1"/>
        <w:rPr>
          <w:rFonts w:hint="eastAsia" w:ascii="宋体" w:hAnsi="宋体" w:eastAsia="宋体" w:cs="宋体"/>
          <w:b/>
          <w:color w:val="auto"/>
          <w:sz w:val="21"/>
          <w:szCs w:val="21"/>
          <w:highlight w:val="none"/>
        </w:rPr>
      </w:pPr>
      <w:bookmarkStart w:id="10" w:name="_Toc6759"/>
      <w:bookmarkStart w:id="11" w:name="_Toc32290"/>
      <w:bookmarkStart w:id="12" w:name="_Toc29922"/>
      <w:bookmarkStart w:id="13" w:name="_Toc32753"/>
      <w:r>
        <w:rPr>
          <w:rFonts w:hint="eastAsia" w:ascii="宋体" w:hAnsi="宋体" w:eastAsia="宋体" w:cs="宋体"/>
          <w:b/>
          <w:color w:val="auto"/>
          <w:sz w:val="21"/>
          <w:szCs w:val="21"/>
          <w:highlight w:val="none"/>
        </w:rPr>
        <w:t>一、比选内容</w:t>
      </w:r>
      <w:bookmarkEnd w:id="10"/>
      <w:bookmarkEnd w:id="11"/>
      <w:bookmarkEnd w:id="12"/>
      <w:bookmarkEnd w:id="13"/>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1913"/>
        <w:gridCol w:w="2313"/>
        <w:gridCol w:w="1635"/>
      </w:tblGrid>
      <w:tr w14:paraId="327C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2" w:hRule="atLeast"/>
          <w:jc w:val="center"/>
        </w:trPr>
        <w:tc>
          <w:tcPr>
            <w:tcW w:w="1954" w:type="pct"/>
            <w:vAlign w:val="center"/>
          </w:tcPr>
          <w:p w14:paraId="5E3C4EC9">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w:t>
            </w:r>
          </w:p>
        </w:tc>
        <w:tc>
          <w:tcPr>
            <w:tcW w:w="993" w:type="pct"/>
            <w:vAlign w:val="center"/>
          </w:tcPr>
          <w:p w14:paraId="4AA74FC2">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最高限价（元）</w:t>
            </w:r>
          </w:p>
        </w:tc>
        <w:tc>
          <w:tcPr>
            <w:tcW w:w="1201" w:type="pct"/>
            <w:vAlign w:val="center"/>
          </w:tcPr>
          <w:p w14:paraId="45DADA4C">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成交供应商</w:t>
            </w:r>
          </w:p>
          <w:p w14:paraId="77F56854">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数量（名）</w:t>
            </w:r>
          </w:p>
        </w:tc>
        <w:tc>
          <w:tcPr>
            <w:tcW w:w="849" w:type="pct"/>
            <w:vAlign w:val="center"/>
          </w:tcPr>
          <w:p w14:paraId="1CB04CBD">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tc>
      </w:tr>
      <w:tr w14:paraId="1551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954" w:type="pct"/>
            <w:vAlign w:val="center"/>
          </w:tcPr>
          <w:p w14:paraId="73845D74">
            <w:pPr>
              <w:pStyle w:val="3"/>
              <w:spacing w:line="400" w:lineRule="exact"/>
              <w:ind w:firstLine="420" w:firstLineChars="200"/>
              <w:jc w:val="center"/>
              <w:outlineLvl w:val="1"/>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珊瑚鲁能小学2026年秋季学生课桌椅采购项目</w:t>
            </w:r>
          </w:p>
        </w:tc>
        <w:tc>
          <w:tcPr>
            <w:tcW w:w="993" w:type="pct"/>
            <w:vAlign w:val="center"/>
          </w:tcPr>
          <w:p w14:paraId="38020E6C">
            <w:pPr>
              <w:pStyle w:val="3"/>
              <w:spacing w:line="400" w:lineRule="exact"/>
              <w:ind w:firstLine="420" w:firstLineChars="200"/>
              <w:jc w:val="center"/>
              <w:outlineLvl w:val="1"/>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65520.00</w:t>
            </w:r>
          </w:p>
        </w:tc>
        <w:tc>
          <w:tcPr>
            <w:tcW w:w="1201" w:type="pct"/>
            <w:vAlign w:val="center"/>
          </w:tcPr>
          <w:p w14:paraId="3207C30B">
            <w:pPr>
              <w:pStyle w:val="3"/>
              <w:spacing w:line="400" w:lineRule="exact"/>
              <w:ind w:firstLine="420" w:firstLineChars="200"/>
              <w:jc w:val="center"/>
              <w:outlineLvl w:val="1"/>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p>
        </w:tc>
        <w:tc>
          <w:tcPr>
            <w:tcW w:w="849" w:type="pct"/>
            <w:vAlign w:val="center"/>
          </w:tcPr>
          <w:p w14:paraId="67BBE5D3">
            <w:pPr>
              <w:pStyle w:val="3"/>
              <w:spacing w:line="400" w:lineRule="exact"/>
              <w:ind w:firstLine="420" w:firstLineChars="200"/>
              <w:jc w:val="center"/>
              <w:outlineLvl w:val="1"/>
              <w:rPr>
                <w:rFonts w:hint="eastAsia" w:ascii="宋体" w:hAnsi="宋体" w:eastAsia="宋体" w:cs="宋体"/>
                <w:b w:val="0"/>
                <w:bCs/>
                <w:color w:val="auto"/>
                <w:sz w:val="21"/>
                <w:szCs w:val="21"/>
                <w:highlight w:val="none"/>
              </w:rPr>
            </w:pPr>
          </w:p>
        </w:tc>
      </w:tr>
    </w:tbl>
    <w:p w14:paraId="3F1B0ADE">
      <w:pPr>
        <w:pStyle w:val="3"/>
        <w:spacing w:line="400" w:lineRule="exact"/>
        <w:ind w:firstLine="422" w:firstLineChars="200"/>
        <w:outlineLvl w:val="1"/>
        <w:rPr>
          <w:rFonts w:hint="eastAsia" w:ascii="宋体" w:hAnsi="宋体" w:eastAsia="宋体" w:cs="宋体"/>
          <w:b/>
          <w:color w:val="auto"/>
          <w:sz w:val="21"/>
          <w:szCs w:val="21"/>
          <w:highlight w:val="none"/>
        </w:rPr>
      </w:pPr>
      <w:bookmarkStart w:id="14" w:name="_Toc15306"/>
      <w:bookmarkStart w:id="15" w:name="_Toc23289"/>
      <w:bookmarkStart w:id="16" w:name="_Toc32587"/>
      <w:bookmarkStart w:id="17" w:name="_Toc10329"/>
      <w:r>
        <w:rPr>
          <w:rFonts w:hint="eastAsia" w:ascii="宋体" w:hAnsi="宋体" w:eastAsia="宋体" w:cs="宋体"/>
          <w:b/>
          <w:color w:val="auto"/>
          <w:sz w:val="21"/>
          <w:szCs w:val="21"/>
          <w:highlight w:val="none"/>
        </w:rPr>
        <w:t>二、资金来源</w:t>
      </w:r>
      <w:bookmarkEnd w:id="14"/>
      <w:bookmarkEnd w:id="15"/>
      <w:bookmarkEnd w:id="16"/>
      <w:bookmarkEnd w:id="17"/>
    </w:p>
    <w:p w14:paraId="0B7CBB6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财政资金。</w:t>
      </w:r>
    </w:p>
    <w:p w14:paraId="4B2DD5E0">
      <w:pPr>
        <w:pStyle w:val="3"/>
        <w:spacing w:line="400" w:lineRule="exact"/>
        <w:ind w:firstLine="422" w:firstLineChars="200"/>
        <w:outlineLvl w:val="1"/>
        <w:rPr>
          <w:rFonts w:hint="eastAsia" w:ascii="宋体" w:hAnsi="宋体" w:eastAsia="宋体" w:cs="宋体"/>
          <w:b/>
          <w:color w:val="auto"/>
          <w:sz w:val="21"/>
          <w:szCs w:val="21"/>
          <w:highlight w:val="none"/>
        </w:rPr>
      </w:pPr>
      <w:bookmarkStart w:id="18" w:name="_Toc5412"/>
      <w:bookmarkStart w:id="19" w:name="_Toc11707"/>
      <w:bookmarkStart w:id="20" w:name="_Toc757"/>
      <w:bookmarkStart w:id="21" w:name="_Toc27532"/>
      <w:r>
        <w:rPr>
          <w:rFonts w:hint="eastAsia" w:ascii="宋体" w:hAnsi="宋体" w:eastAsia="宋体" w:cs="宋体"/>
          <w:b/>
          <w:color w:val="auto"/>
          <w:sz w:val="21"/>
          <w:szCs w:val="21"/>
          <w:highlight w:val="none"/>
        </w:rPr>
        <w:t>三、供应商资格条件</w:t>
      </w:r>
      <w:bookmarkEnd w:id="18"/>
      <w:bookmarkEnd w:id="19"/>
      <w:bookmarkEnd w:id="20"/>
      <w:bookmarkEnd w:id="21"/>
    </w:p>
    <w:p w14:paraId="3872D77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（一）基本资格条件</w:t>
      </w:r>
    </w:p>
    <w:p w14:paraId="5C21BE6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满足《中华人民共和国政府采购法》第二十二条规定。</w:t>
      </w:r>
    </w:p>
    <w:p w14:paraId="6E7F9494">
      <w:pPr>
        <w:ind w:firstLine="7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（二）落实政府采购政策需满足的资格要求：</w:t>
      </w:r>
      <w:r>
        <w:rPr>
          <w:rFonts w:hint="eastAsia" w:ascii="宋体" w:hAnsi="宋体" w:eastAsia="宋体" w:cs="宋体"/>
          <w:color w:val="auto"/>
          <w:sz w:val="21"/>
          <w:szCs w:val="21"/>
          <w:highlight w:val="none"/>
          <w:lang w:val="en-US" w:eastAsia="zh-CN"/>
        </w:rPr>
        <w:t>无。</w:t>
      </w:r>
    </w:p>
    <w:p w14:paraId="41AA446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特定资格条件：</w:t>
      </w:r>
      <w:bookmarkStart w:id="22" w:name="_Toc38532846"/>
      <w:bookmarkStart w:id="23" w:name="_Toc9978"/>
      <w:bookmarkStart w:id="24" w:name="_Toc5726"/>
      <w:bookmarkStart w:id="25" w:name="_Toc8033"/>
      <w:bookmarkStart w:id="26" w:name="_Toc8408"/>
      <w:bookmarkStart w:id="27" w:name="_Toc31712"/>
      <w:bookmarkStart w:id="28" w:name="_Toc23850"/>
      <w:bookmarkStart w:id="29" w:name="_Toc24065"/>
      <w:r>
        <w:rPr>
          <w:rFonts w:hint="eastAsia" w:ascii="宋体" w:hAnsi="宋体" w:eastAsia="宋体" w:cs="宋体"/>
          <w:color w:val="auto"/>
          <w:sz w:val="21"/>
          <w:szCs w:val="21"/>
          <w:highlight w:val="none"/>
          <w:lang w:val="en-US" w:eastAsia="zh-CN"/>
        </w:rPr>
        <w:t>无</w:t>
      </w:r>
      <w:r>
        <w:rPr>
          <w:rFonts w:hint="eastAsia" w:ascii="宋体" w:hAnsi="宋体" w:eastAsia="宋体" w:cs="宋体"/>
          <w:color w:val="auto"/>
          <w:sz w:val="21"/>
          <w:szCs w:val="21"/>
          <w:highlight w:val="none"/>
        </w:rPr>
        <w:t>。</w:t>
      </w:r>
    </w:p>
    <w:p w14:paraId="49A73FA1">
      <w:pPr>
        <w:pStyle w:val="3"/>
        <w:spacing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四、比选有关说明</w:t>
      </w:r>
      <w:bookmarkEnd w:id="22"/>
      <w:bookmarkEnd w:id="23"/>
      <w:bookmarkEnd w:id="24"/>
      <w:bookmarkEnd w:id="25"/>
      <w:bookmarkEnd w:id="26"/>
      <w:bookmarkEnd w:id="27"/>
      <w:bookmarkEnd w:id="28"/>
      <w:bookmarkEnd w:id="29"/>
      <w:bookmarkStart w:id="30" w:name="_Toc373860294"/>
    </w:p>
    <w:bookmarkEnd w:id="30"/>
    <w:p w14:paraId="3040E007">
      <w:pPr>
        <w:snapToGrid w:val="0"/>
        <w:ind w:firstLine="420" w:firstLineChars="200"/>
        <w:outlineLvl w:val="9"/>
        <w:rPr>
          <w:rFonts w:hint="eastAsia" w:ascii="宋体" w:hAnsi="宋体" w:eastAsia="宋体" w:cs="宋体"/>
          <w:color w:val="auto"/>
          <w:sz w:val="21"/>
          <w:szCs w:val="21"/>
          <w:highlight w:val="none"/>
        </w:rPr>
      </w:pPr>
      <w:bookmarkStart w:id="31" w:name="_Toc514962184"/>
      <w:bookmarkStart w:id="32" w:name="_Toc13180"/>
      <w:bookmarkStart w:id="33" w:name="_Toc24294"/>
      <w:bookmarkStart w:id="34" w:name="_Toc15454"/>
      <w:bookmarkStart w:id="35" w:name="_Toc28125"/>
      <w:bookmarkStart w:id="36" w:name="_Toc6160"/>
      <w:bookmarkStart w:id="37" w:name="_Toc298"/>
      <w:bookmarkStart w:id="38" w:name="_Toc5490"/>
      <w:bookmarkStart w:id="39" w:name="_Toc28185"/>
      <w:bookmarkStart w:id="40" w:name="_Toc30387"/>
      <w:r>
        <w:rPr>
          <w:rFonts w:hint="eastAsia" w:ascii="宋体" w:hAnsi="宋体" w:eastAsia="宋体" w:cs="宋体"/>
          <w:color w:val="auto"/>
          <w:sz w:val="21"/>
          <w:szCs w:val="21"/>
          <w:highlight w:val="none"/>
        </w:rPr>
        <w:t>（一）供应商应通过“行采家”平台（https://www.gec123.com）进行注册，成为行采家平台供应商。</w:t>
      </w:r>
    </w:p>
    <w:p w14:paraId="43DF2C88">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（二）凡有意参加的供应商，请在“行采家”平台下载本项目比选文件以及图纸、补遗等开标前公布的所有项目资料，无论供应商领取或下载与否，均视为已知晓所有比选内容。</w:t>
      </w:r>
    </w:p>
    <w:p w14:paraId="2A1D8983">
      <w:pPr>
        <w:snapToGrid w:val="0"/>
        <w:ind w:firstLine="420" w:firstLineChars="200"/>
        <w:outlineLvl w:val="9"/>
        <w:rPr>
          <w:rFonts w:hint="eastAsia" w:ascii="宋体" w:hAnsi="宋体" w:eastAsia="宋体" w:cs="宋体"/>
          <w:color w:val="FF0000"/>
          <w:sz w:val="21"/>
          <w:szCs w:val="21"/>
          <w:highlight w:val="none"/>
        </w:rPr>
      </w:pPr>
      <w:r>
        <w:rPr>
          <w:rFonts w:hint="eastAsia" w:ascii="宋体" w:hAnsi="宋体" w:eastAsia="宋体" w:cs="宋体"/>
          <w:color w:val="auto"/>
          <w:sz w:val="21"/>
          <w:szCs w:val="21"/>
          <w:highlight w:val="none"/>
        </w:rPr>
        <w:t>（三））比选文件提供期限：</w:t>
      </w:r>
    </w:p>
    <w:p w14:paraId="22BB3724">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1.比选文件提供期限：202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29</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日至202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日17:00。</w:t>
      </w:r>
    </w:p>
    <w:p w14:paraId="20175D34">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2.比选文件的获取</w:t>
      </w:r>
    </w:p>
    <w:p w14:paraId="67B08FD4">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在文件提供期限内，供应商须将《比选文件发售登记表》（加盖供应商公章）扫描后发送至</w:t>
      </w:r>
      <w:r>
        <w:rPr>
          <w:rFonts w:hint="eastAsia" w:ascii="宋体" w:hAnsi="宋体" w:eastAsia="宋体" w:cs="宋体"/>
          <w:color w:val="auto"/>
          <w:sz w:val="21"/>
          <w:szCs w:val="21"/>
          <w:highlight w:val="none"/>
          <w:lang w:val="en-US" w:eastAsia="zh-CN"/>
        </w:rPr>
        <w:t>460662276</w:t>
      </w:r>
      <w:r>
        <w:rPr>
          <w:rFonts w:hint="eastAsia" w:ascii="宋体" w:hAnsi="宋体" w:eastAsia="宋体" w:cs="宋体"/>
          <w:color w:val="auto"/>
          <w:sz w:val="21"/>
          <w:szCs w:val="21"/>
          <w:highlight w:val="none"/>
        </w:rPr>
        <w:t>@qq.com或到代理机构递交纸质件，按要求发送邮箱或递交纸质件的供应商方才报名成功。（通过邮件递交登记表的供应商，邮件主题为：项目名称+供应商名称名称）</w:t>
      </w:r>
    </w:p>
    <w:p w14:paraId="7198BDD8">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3.比选文件工本费：人民币</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00元/份，缴后不退。由供应商在比选文件提供期限内缴纳。未缴纳工本费视为未依法获取比选文件，其响应文件将被拒收。</w:t>
      </w:r>
    </w:p>
    <w:p w14:paraId="7FC39286">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比选地点：</w:t>
      </w:r>
      <w:r>
        <w:rPr>
          <w:rFonts w:hint="eastAsia" w:ascii="宋体" w:hAnsi="宋体" w:eastAsia="宋体" w:cs="宋体"/>
          <w:color w:val="auto"/>
          <w:sz w:val="21"/>
          <w:szCs w:val="21"/>
          <w:highlight w:val="none"/>
          <w:lang w:eastAsia="zh-CN"/>
        </w:rPr>
        <w:t>重庆市南岸区珊瑚鲁能小学校</w:t>
      </w:r>
      <w:r>
        <w:rPr>
          <w:rFonts w:hint="eastAsia" w:ascii="宋体" w:hAnsi="宋体" w:eastAsia="宋体" w:cs="宋体"/>
          <w:color w:val="auto"/>
          <w:sz w:val="21"/>
          <w:szCs w:val="21"/>
          <w:highlight w:val="none"/>
        </w:rPr>
        <w:t>会议室。</w:t>
      </w:r>
    </w:p>
    <w:p w14:paraId="0CD926FA">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（五）比选响应文件递交开始、截止时间：202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北京时间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1B907E3">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（六）比选时间：202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北京时间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27E68C1">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（七）线上报价</w:t>
      </w:r>
    </w:p>
    <w:p w14:paraId="631ACDC5">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线上报价时间：截止时间：202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0（北京时间）</w:t>
      </w:r>
    </w:p>
    <w:p w14:paraId="56BA0141">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2.线上报价要求：按本项目规定的时间在行采家https://www.gec123.com进行网上报价及上传比选申请文件，未在规定时间内进行网上报价及上传响应文件的将失去竞标资格。</w:t>
      </w:r>
    </w:p>
    <w:p w14:paraId="336F0973">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供应商在行采家https://www.gec123.com的网上需上传盖章签字后的完整比选申请文件（PDF格式）一份。</w:t>
      </w:r>
    </w:p>
    <w:p w14:paraId="2E090D39">
      <w:pPr>
        <w:snapToGrid w:val="0"/>
        <w:ind w:firstLine="420" w:firstLineChars="200"/>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如线上与线下响应文件不一致，采购人将以线下响应文件正本资料作为评审依据</w:t>
      </w:r>
      <w:r>
        <w:rPr>
          <w:rFonts w:hint="eastAsia" w:ascii="宋体" w:hAnsi="宋体" w:eastAsia="宋体" w:cs="宋体"/>
          <w:color w:val="auto"/>
          <w:sz w:val="21"/>
          <w:szCs w:val="21"/>
          <w:highlight w:val="none"/>
          <w:lang w:eastAsia="zh-CN"/>
        </w:rPr>
        <w:t>。</w:t>
      </w:r>
    </w:p>
    <w:p w14:paraId="69BF48C1">
      <w:pPr>
        <w:snapToGrid w:val="0"/>
        <w:ind w:firstLine="420" w:firstLineChars="200"/>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纸质比选申请文件逾期送达的或者未送达指定地点的比选文件，招标代理机构不予受理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将失去竞标资格。</w:t>
      </w:r>
    </w:p>
    <w:p w14:paraId="139C4705">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供应商须满足以下</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种要件，其响应文件才被接受：</w:t>
      </w:r>
    </w:p>
    <w:p w14:paraId="15BC0523">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1.缴纳了比选文件工本费、递交了《比选文件发售登记表》获取比选文件的；</w:t>
      </w:r>
    </w:p>
    <w:p w14:paraId="1C68640B">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2.按时</w:t>
      </w:r>
      <w:r>
        <w:rPr>
          <w:rFonts w:hint="eastAsia" w:ascii="宋体" w:hAnsi="宋体" w:eastAsia="宋体" w:cs="宋体"/>
          <w:color w:val="auto"/>
          <w:sz w:val="21"/>
          <w:szCs w:val="21"/>
          <w:highlight w:val="none"/>
          <w:lang w:val="en-US" w:eastAsia="zh-CN"/>
        </w:rPr>
        <w:t>上传网上响应文件，按时</w:t>
      </w:r>
      <w:r>
        <w:rPr>
          <w:rFonts w:hint="eastAsia" w:ascii="宋体" w:hAnsi="宋体" w:eastAsia="宋体" w:cs="宋体"/>
          <w:color w:val="auto"/>
          <w:sz w:val="21"/>
          <w:szCs w:val="21"/>
          <w:highlight w:val="none"/>
        </w:rPr>
        <w:t>递交</w:t>
      </w:r>
      <w:r>
        <w:rPr>
          <w:rFonts w:hint="eastAsia" w:ascii="宋体" w:hAnsi="宋体" w:eastAsia="宋体" w:cs="宋体"/>
          <w:color w:val="auto"/>
          <w:sz w:val="21"/>
          <w:szCs w:val="21"/>
          <w:highlight w:val="none"/>
          <w:lang w:val="en-US" w:eastAsia="zh-CN"/>
        </w:rPr>
        <w:t>线下纸质</w:t>
      </w:r>
      <w:r>
        <w:rPr>
          <w:rFonts w:hint="eastAsia" w:ascii="宋体" w:hAnsi="宋体" w:eastAsia="宋体" w:cs="宋体"/>
          <w:color w:val="auto"/>
          <w:sz w:val="21"/>
          <w:szCs w:val="21"/>
          <w:highlight w:val="none"/>
        </w:rPr>
        <w:t>响应文件的。</w:t>
      </w:r>
    </w:p>
    <w:p w14:paraId="257D560C">
      <w:pPr>
        <w:pStyle w:val="3"/>
        <w:spacing w:afterAutospacing="0"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五、比选保证金</w:t>
      </w:r>
      <w:bookmarkEnd w:id="31"/>
      <w:bookmarkEnd w:id="32"/>
      <w:bookmarkEnd w:id="33"/>
      <w:bookmarkEnd w:id="34"/>
      <w:bookmarkEnd w:id="35"/>
      <w:bookmarkEnd w:id="36"/>
    </w:p>
    <w:p w14:paraId="39CACC3C">
      <w:pPr>
        <w:snapToGrid w:val="0"/>
        <w:spacing w:beforeAutospacing="0" w:afterAutospacing="0"/>
        <w:ind w:firstLine="840" w:firstLineChars="400"/>
        <w:outlineLvl w:val="9"/>
        <w:rPr>
          <w:rFonts w:hint="eastAsia" w:ascii="宋体" w:hAnsi="宋体" w:eastAsia="宋体" w:cs="宋体"/>
          <w:color w:val="auto"/>
          <w:sz w:val="21"/>
          <w:szCs w:val="21"/>
          <w:highlight w:val="none"/>
          <w:lang w:val="en-US" w:eastAsia="zh-CN"/>
        </w:rPr>
      </w:pPr>
      <w:bookmarkStart w:id="41" w:name="_Toc6004"/>
      <w:bookmarkStart w:id="42" w:name="_Toc27075"/>
      <w:bookmarkStart w:id="43" w:name="_Toc22250"/>
      <w:bookmarkStart w:id="44" w:name="_Toc20517"/>
      <w:r>
        <w:rPr>
          <w:rFonts w:hint="eastAsia" w:ascii="宋体" w:hAnsi="宋体" w:eastAsia="宋体" w:cs="宋体"/>
          <w:color w:val="auto"/>
          <w:sz w:val="21"/>
          <w:szCs w:val="21"/>
          <w:highlight w:val="none"/>
          <w:lang w:val="en-US" w:eastAsia="zh-CN"/>
        </w:rPr>
        <w:t>无。</w:t>
      </w:r>
    </w:p>
    <w:p w14:paraId="09132A34">
      <w:pPr>
        <w:pStyle w:val="3"/>
        <w:spacing w:beforeAutospacing="0"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六、投标有关规定</w:t>
      </w:r>
      <w:bookmarkEnd w:id="41"/>
      <w:bookmarkEnd w:id="42"/>
      <w:bookmarkEnd w:id="43"/>
      <w:bookmarkEnd w:id="44"/>
    </w:p>
    <w:p w14:paraId="3F46C1A5">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1.法定代表人为同一个人的两个及两个以上法人，母公司、全资子公司及其控股公司，不得对同一项目同时进行投标，否则均为无效投标。</w:t>
      </w:r>
    </w:p>
    <w:p w14:paraId="187F9C9E">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2.本项目的比选文件、补遗文件（如果有）一律在“行采家”网站（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http://www</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 gecl23.com)上发布，请各供应商注意下载；无论供应商下载与否，均视同供应商已知晓本项目比选文件、补遗文件（如果有）的内容。</w:t>
      </w:r>
    </w:p>
    <w:p w14:paraId="72A8211A">
      <w:pPr>
        <w:snapToGrid w:val="0"/>
        <w:ind w:firstLine="420" w:firstLineChars="200"/>
        <w:outlineLvl w:val="9"/>
        <w:rPr>
          <w:rFonts w:hint="eastAsia" w:ascii="宋体" w:hAnsi="宋体" w:eastAsia="宋体" w:cs="宋体"/>
          <w:color w:val="auto"/>
          <w:sz w:val="21"/>
          <w:szCs w:val="21"/>
          <w:highlight w:val="none"/>
        </w:rPr>
      </w:pPr>
      <w:bookmarkStart w:id="45" w:name="_Toc2859"/>
      <w:bookmarkStart w:id="46" w:name="_Toc26844"/>
      <w:r>
        <w:rPr>
          <w:rFonts w:hint="eastAsia" w:ascii="宋体" w:hAnsi="宋体" w:eastAsia="宋体" w:cs="宋体"/>
          <w:color w:val="auto"/>
          <w:sz w:val="21"/>
          <w:szCs w:val="21"/>
          <w:highlight w:val="none"/>
        </w:rPr>
        <w:t>3.超过投标截止时间递交的投标文件，恕不接收。</w:t>
      </w:r>
      <w:bookmarkEnd w:id="45"/>
      <w:bookmarkEnd w:id="46"/>
    </w:p>
    <w:p w14:paraId="370ADC21">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4.投标费用：无论投标结果如何，供应商参与本项目投标的所有费用均应由供应商自行承担。</w:t>
      </w:r>
    </w:p>
    <w:p w14:paraId="36ABB73B">
      <w:pPr>
        <w:snapToGrid w:val="0"/>
        <w:ind w:firstLine="420" w:firstLineChars="200"/>
        <w:outlineLvl w:val="9"/>
        <w:rPr>
          <w:rFonts w:hint="eastAsia" w:ascii="宋体" w:hAnsi="宋体" w:eastAsia="宋体" w:cs="宋体"/>
          <w:color w:val="auto"/>
          <w:sz w:val="21"/>
          <w:szCs w:val="21"/>
          <w:highlight w:val="none"/>
        </w:rPr>
      </w:pPr>
      <w:bookmarkStart w:id="47" w:name="_Toc15994"/>
      <w:bookmarkStart w:id="48" w:name="_Toc8441"/>
      <w:r>
        <w:rPr>
          <w:rFonts w:hint="eastAsia" w:ascii="宋体" w:hAnsi="宋体" w:eastAsia="宋体" w:cs="宋体"/>
          <w:color w:val="auto"/>
          <w:sz w:val="21"/>
          <w:szCs w:val="21"/>
          <w:highlight w:val="none"/>
        </w:rPr>
        <w:t>5.本项目不接受联合体参与投标，否则为无效投标。</w:t>
      </w:r>
      <w:bookmarkEnd w:id="47"/>
      <w:bookmarkEnd w:id="48"/>
    </w:p>
    <w:p w14:paraId="74A112B8">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6.供应商须是自行提供服务，不得将服务项目进行任何形式的分包、转包，否则为无效投标。</w:t>
      </w:r>
      <w:bookmarkStart w:id="49" w:name="_Toc12724"/>
      <w:bookmarkStart w:id="50" w:name="_Toc18135"/>
      <w:bookmarkStart w:id="51" w:name="_Toc21960"/>
    </w:p>
    <w:p w14:paraId="62581733">
      <w:pPr>
        <w:pStyle w:val="3"/>
        <w:spacing w:line="400" w:lineRule="exact"/>
        <w:ind w:firstLine="422" w:firstLineChars="200"/>
        <w:outlineLvl w:val="1"/>
        <w:rPr>
          <w:rFonts w:hint="eastAsia" w:ascii="宋体" w:hAnsi="宋体" w:eastAsia="宋体" w:cs="宋体"/>
          <w:b/>
          <w:color w:val="auto"/>
          <w:sz w:val="21"/>
          <w:szCs w:val="21"/>
          <w:highlight w:val="none"/>
        </w:rPr>
      </w:pPr>
      <w:bookmarkStart w:id="52" w:name="_Toc2964"/>
      <w:r>
        <w:rPr>
          <w:rFonts w:hint="eastAsia" w:ascii="宋体" w:hAnsi="宋体" w:eastAsia="宋体" w:cs="宋体"/>
          <w:b/>
          <w:color w:val="auto"/>
          <w:sz w:val="21"/>
          <w:szCs w:val="21"/>
          <w:highlight w:val="none"/>
        </w:rPr>
        <w:t>七、联系方式</w:t>
      </w:r>
      <w:bookmarkEnd w:id="49"/>
      <w:bookmarkEnd w:id="50"/>
      <w:bookmarkEnd w:id="51"/>
      <w:bookmarkEnd w:id="52"/>
    </w:p>
    <w:p w14:paraId="687EF131">
      <w:pPr>
        <w:snapToGrid w:val="0"/>
        <w:ind w:firstLine="420" w:firstLineChars="200"/>
        <w:rPr>
          <w:rFonts w:hint="eastAsia" w:ascii="宋体" w:hAnsi="宋体" w:eastAsia="宋体" w:cs="宋体"/>
          <w:color w:val="auto"/>
          <w:sz w:val="21"/>
          <w:szCs w:val="21"/>
          <w:highlight w:val="none"/>
          <w:lang w:eastAsia="zh-CN"/>
        </w:rPr>
      </w:pPr>
      <w:bookmarkStart w:id="53" w:name="_Toc9464"/>
      <w:bookmarkStart w:id="54" w:name="_Toc26311"/>
      <w:r>
        <w:rPr>
          <w:rFonts w:hint="eastAsia" w:ascii="宋体" w:hAnsi="宋体" w:eastAsia="宋体" w:cs="宋体"/>
          <w:color w:val="auto"/>
          <w:sz w:val="21"/>
          <w:szCs w:val="21"/>
          <w:highlight w:val="none"/>
        </w:rPr>
        <w:t>采购人：</w:t>
      </w:r>
      <w:bookmarkEnd w:id="53"/>
      <w:bookmarkEnd w:id="54"/>
      <w:bookmarkStart w:id="55" w:name="_Toc4885"/>
      <w:r>
        <w:rPr>
          <w:rFonts w:hint="eastAsia" w:ascii="宋体" w:hAnsi="宋体" w:eastAsia="宋体" w:cs="宋体"/>
          <w:color w:val="auto"/>
          <w:sz w:val="21"/>
          <w:szCs w:val="21"/>
          <w:highlight w:val="none"/>
          <w:lang w:eastAsia="zh-CN"/>
        </w:rPr>
        <w:t>重庆市南岸区珊瑚鲁能小学校</w:t>
      </w:r>
    </w:p>
    <w:p w14:paraId="68F7D3B1">
      <w:pPr>
        <w:snapToGrid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cs="宋体"/>
          <w:color w:val="auto"/>
          <w:sz w:val="21"/>
          <w:szCs w:val="21"/>
          <w:highlight w:val="none"/>
          <w:lang w:val="en-US" w:eastAsia="zh-CN"/>
        </w:rPr>
        <w:t>冉</w:t>
      </w:r>
      <w:r>
        <w:rPr>
          <w:rFonts w:hint="eastAsia" w:ascii="宋体" w:hAnsi="宋体" w:eastAsia="宋体" w:cs="宋体"/>
          <w:color w:val="auto"/>
          <w:sz w:val="21"/>
          <w:szCs w:val="21"/>
          <w:highlight w:val="none"/>
          <w:lang w:val="en-US" w:eastAsia="zh-CN"/>
        </w:rPr>
        <w:t>老师</w:t>
      </w:r>
    </w:p>
    <w:p w14:paraId="068126EA">
      <w:pPr>
        <w:snapToGrid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023-81392728</w:t>
      </w:r>
    </w:p>
    <w:p w14:paraId="23BE8AEB">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址：重庆市南岸区茶园新区天文大道17号</w:t>
      </w:r>
    </w:p>
    <w:p w14:paraId="5FE41DC7">
      <w:pPr>
        <w:snapToGrid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w:t>
      </w:r>
      <w:r>
        <w:rPr>
          <w:rFonts w:hint="eastAsia" w:ascii="宋体" w:hAnsi="宋体" w:eastAsia="宋体" w:cs="宋体"/>
          <w:color w:val="auto"/>
          <w:sz w:val="21"/>
          <w:szCs w:val="21"/>
          <w:highlight w:val="none"/>
          <w:lang w:eastAsia="zh-CN"/>
        </w:rPr>
        <w:t>重庆志良项目管理有限公司</w:t>
      </w:r>
    </w:p>
    <w:p w14:paraId="4D575547">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侯</w:t>
      </w:r>
      <w:r>
        <w:rPr>
          <w:rFonts w:hint="eastAsia" w:ascii="宋体" w:hAnsi="宋体" w:eastAsia="宋体" w:cs="宋体"/>
          <w:color w:val="auto"/>
          <w:sz w:val="21"/>
          <w:szCs w:val="21"/>
          <w:highlight w:val="none"/>
        </w:rPr>
        <w:t>老师</w:t>
      </w:r>
    </w:p>
    <w:p w14:paraId="2A6F538B">
      <w:pPr>
        <w:snapToGrid w:val="0"/>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cs="宋体"/>
          <w:color w:val="auto"/>
          <w:sz w:val="21"/>
          <w:szCs w:val="21"/>
          <w:highlight w:val="none"/>
          <w:lang w:val="en-US" w:eastAsia="zh-CN"/>
        </w:rPr>
        <w:t>023-65656539</w:t>
      </w:r>
    </w:p>
    <w:p w14:paraId="644C3C40">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eastAsia="zh-CN"/>
        </w:rPr>
        <w:t>重庆市沙坪坝区大学城中路38号附77号</w:t>
      </w:r>
      <w:bookmarkEnd w:id="55"/>
      <w:r>
        <w:rPr>
          <w:rFonts w:hint="eastAsia" w:ascii="宋体" w:hAnsi="宋体" w:eastAsia="宋体" w:cs="宋体"/>
          <w:color w:val="auto"/>
          <w:sz w:val="21"/>
          <w:szCs w:val="21"/>
          <w:highlight w:val="none"/>
        </w:rPr>
        <w:br w:type="page"/>
      </w:r>
      <w:bookmarkEnd w:id="37"/>
      <w:bookmarkEnd w:id="38"/>
      <w:bookmarkEnd w:id="39"/>
    </w:p>
    <w:p w14:paraId="5BB046C1">
      <w:pPr>
        <w:pStyle w:val="2"/>
        <w:spacing w:before="240" w:after="602" w:afterLines="251"/>
        <w:ind w:firstLine="0" w:firstLineChars="0"/>
        <w:rPr>
          <w:rFonts w:hint="eastAsia" w:ascii="宋体" w:hAnsi="宋体" w:eastAsia="宋体" w:cs="宋体"/>
          <w:b/>
          <w:bCs/>
          <w:color w:val="auto"/>
          <w:sz w:val="32"/>
          <w:szCs w:val="32"/>
          <w:highlight w:val="none"/>
        </w:rPr>
      </w:pPr>
      <w:bookmarkStart w:id="56" w:name="_Toc3420"/>
      <w:bookmarkStart w:id="57" w:name="_Toc31300"/>
      <w:r>
        <w:rPr>
          <w:rFonts w:hint="eastAsia" w:ascii="宋体" w:hAnsi="宋体" w:eastAsia="宋体" w:cs="宋体"/>
          <w:b/>
          <w:bCs/>
          <w:color w:val="auto"/>
          <w:sz w:val="32"/>
          <w:szCs w:val="32"/>
          <w:highlight w:val="none"/>
          <w:lang w:val="en-US" w:eastAsia="zh-CN"/>
        </w:rPr>
        <w:t xml:space="preserve">第二篇 </w:t>
      </w:r>
      <w:r>
        <w:rPr>
          <w:rFonts w:hint="eastAsia" w:ascii="宋体" w:hAnsi="宋体" w:eastAsia="宋体" w:cs="宋体"/>
          <w:b/>
          <w:bCs/>
          <w:color w:val="auto"/>
          <w:sz w:val="32"/>
          <w:szCs w:val="32"/>
          <w:highlight w:val="none"/>
        </w:rPr>
        <w:t>项目</w:t>
      </w:r>
      <w:r>
        <w:rPr>
          <w:rFonts w:hint="eastAsia" w:ascii="宋体" w:hAnsi="宋体" w:eastAsia="宋体" w:cs="宋体"/>
          <w:b/>
          <w:bCs/>
          <w:color w:val="auto"/>
          <w:sz w:val="32"/>
          <w:szCs w:val="32"/>
          <w:highlight w:val="none"/>
          <w:lang w:val="en-US" w:eastAsia="zh-CN"/>
        </w:rPr>
        <w:t>技术（</w:t>
      </w:r>
      <w:r>
        <w:rPr>
          <w:rFonts w:hint="eastAsia" w:ascii="宋体" w:hAnsi="宋体" w:eastAsia="宋体" w:cs="宋体"/>
          <w:b/>
          <w:bCs/>
          <w:color w:val="auto"/>
          <w:sz w:val="32"/>
          <w:szCs w:val="32"/>
          <w:highlight w:val="none"/>
        </w:rPr>
        <w:t>服务</w:t>
      </w:r>
      <w:r>
        <w:rPr>
          <w:rFonts w:hint="eastAsia" w:ascii="宋体" w:hAnsi="宋体" w:eastAsia="宋体" w:cs="宋体"/>
          <w:b/>
          <w:bCs/>
          <w:color w:val="auto"/>
          <w:sz w:val="32"/>
          <w:szCs w:val="32"/>
          <w:highlight w:val="none"/>
          <w:lang w:val="en-US" w:eastAsia="zh-CN"/>
        </w:rPr>
        <w:t>）</w:t>
      </w:r>
      <w:r>
        <w:rPr>
          <w:rFonts w:hint="eastAsia" w:ascii="宋体" w:hAnsi="宋体" w:eastAsia="宋体" w:cs="宋体"/>
          <w:b/>
          <w:bCs/>
          <w:color w:val="auto"/>
          <w:sz w:val="32"/>
          <w:szCs w:val="32"/>
          <w:highlight w:val="none"/>
        </w:rPr>
        <w:t>需求</w:t>
      </w:r>
      <w:bookmarkEnd w:id="56"/>
      <w:bookmarkEnd w:id="57"/>
    </w:p>
    <w:p w14:paraId="6281153B">
      <w:pPr>
        <w:pStyle w:val="3"/>
        <w:spacing w:line="400" w:lineRule="exact"/>
        <w:ind w:firstLine="422" w:firstLineChars="200"/>
        <w:outlineLvl w:val="1"/>
        <w:rPr>
          <w:rFonts w:hint="eastAsia" w:ascii="宋体" w:hAnsi="宋体" w:eastAsia="宋体" w:cs="宋体"/>
          <w:b/>
          <w:color w:val="auto"/>
          <w:sz w:val="21"/>
          <w:szCs w:val="21"/>
          <w:highlight w:val="none"/>
        </w:rPr>
      </w:pPr>
      <w:bookmarkStart w:id="58" w:name="_Toc76462325"/>
      <w:bookmarkStart w:id="59" w:name="_Toc9035"/>
      <w:bookmarkStart w:id="60" w:name="_Toc846"/>
      <w:bookmarkStart w:id="61" w:name="_Toc5962"/>
      <w:bookmarkStart w:id="62" w:name="_Toc26627"/>
      <w:bookmarkStart w:id="63" w:name="_Toc12358"/>
      <w:bookmarkStart w:id="64" w:name="_Toc18345"/>
      <w:bookmarkStart w:id="65" w:name="_Toc29681"/>
      <w:r>
        <w:rPr>
          <w:rFonts w:hint="eastAsia" w:ascii="宋体" w:hAnsi="宋体" w:eastAsia="宋体" w:cs="宋体"/>
          <w:b/>
          <w:color w:val="auto"/>
          <w:sz w:val="21"/>
          <w:szCs w:val="21"/>
          <w:highlight w:val="none"/>
        </w:rPr>
        <w:t>一、项目基本概况介绍</w:t>
      </w:r>
      <w:bookmarkEnd w:id="58"/>
      <w:bookmarkEnd w:id="59"/>
      <w:bookmarkEnd w:id="60"/>
      <w:bookmarkEnd w:id="61"/>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1"/>
        <w:gridCol w:w="2887"/>
        <w:gridCol w:w="1084"/>
      </w:tblGrid>
      <w:tr w14:paraId="36DA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936" w:type="pct"/>
            <w:noWrap w:val="0"/>
            <w:vAlign w:val="center"/>
          </w:tcPr>
          <w:p w14:paraId="3CE2B5F4">
            <w:pPr>
              <w:snapToGrid w:val="0"/>
              <w:spacing w:line="400" w:lineRule="exact"/>
              <w:ind w:left="0" w:leftChars="0" w:firstLine="0" w:firstLineChars="0"/>
              <w:jc w:val="center"/>
              <w:rPr>
                <w:rFonts w:hint="eastAsia" w:ascii="宋体" w:hAnsi="宋体" w:eastAsia="宋体" w:cs="宋体"/>
                <w:color w:val="auto"/>
                <w:sz w:val="21"/>
                <w:szCs w:val="21"/>
                <w:highlight w:val="none"/>
                <w:lang w:val="en-US" w:eastAsia="zh-CN"/>
              </w:rPr>
            </w:pPr>
            <w:bookmarkStart w:id="66" w:name="_Toc8676"/>
            <w:bookmarkStart w:id="67" w:name="_Toc23735"/>
            <w:r>
              <w:rPr>
                <w:rFonts w:hint="eastAsia" w:ascii="宋体" w:hAnsi="宋体" w:eastAsia="宋体" w:cs="宋体"/>
                <w:color w:val="auto"/>
                <w:sz w:val="21"/>
                <w:szCs w:val="21"/>
                <w:highlight w:val="none"/>
                <w:lang w:val="en-US" w:eastAsia="zh-CN"/>
              </w:rPr>
              <w:t>采购标的</w:t>
            </w:r>
          </w:p>
        </w:tc>
        <w:tc>
          <w:tcPr>
            <w:tcW w:w="1500" w:type="pct"/>
            <w:noWrap w:val="0"/>
            <w:vAlign w:val="center"/>
          </w:tcPr>
          <w:p w14:paraId="28F768A7">
            <w:pPr>
              <w:snapToGrid w:val="0"/>
              <w:spacing w:line="400" w:lineRule="exact"/>
              <w:ind w:left="0" w:leftChars="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数量</w:t>
            </w:r>
          </w:p>
        </w:tc>
        <w:tc>
          <w:tcPr>
            <w:tcW w:w="563" w:type="pct"/>
            <w:noWrap w:val="0"/>
            <w:vAlign w:val="center"/>
          </w:tcPr>
          <w:p w14:paraId="6BE4E990">
            <w:pPr>
              <w:snapToGrid w:val="0"/>
              <w:spacing w:line="400" w:lineRule="exact"/>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r>
      <w:tr w14:paraId="07EE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2936" w:type="pct"/>
            <w:noWrap w:val="0"/>
            <w:vAlign w:val="center"/>
          </w:tcPr>
          <w:p w14:paraId="2BED7070">
            <w:pPr>
              <w:snapToGrid w:val="0"/>
              <w:spacing w:line="400" w:lineRule="exact"/>
              <w:ind w:firstLine="420" w:firstLineChars="20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珊瑚鲁能小学2026年秋季学生课桌椅采购</w:t>
            </w:r>
          </w:p>
        </w:tc>
        <w:tc>
          <w:tcPr>
            <w:tcW w:w="1500" w:type="pct"/>
            <w:noWrap w:val="0"/>
            <w:vAlign w:val="center"/>
          </w:tcPr>
          <w:p w14:paraId="1660D01E">
            <w:pPr>
              <w:snapToGrid w:val="0"/>
              <w:spacing w:line="400" w:lineRule="exact"/>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1批</w:t>
            </w:r>
          </w:p>
        </w:tc>
        <w:tc>
          <w:tcPr>
            <w:tcW w:w="563" w:type="pct"/>
            <w:noWrap w:val="0"/>
            <w:vAlign w:val="center"/>
          </w:tcPr>
          <w:p w14:paraId="75AE834C">
            <w:pPr>
              <w:snapToGrid w:val="0"/>
              <w:spacing w:line="400" w:lineRule="exact"/>
              <w:ind w:firstLine="420" w:firstLineChars="200"/>
              <w:jc w:val="center"/>
              <w:rPr>
                <w:rFonts w:hint="eastAsia" w:ascii="宋体" w:hAnsi="宋体" w:eastAsia="宋体" w:cs="宋体"/>
                <w:color w:val="auto"/>
                <w:sz w:val="21"/>
                <w:szCs w:val="21"/>
                <w:highlight w:val="none"/>
                <w:lang w:val="en-US" w:eastAsia="zh-CN"/>
              </w:rPr>
            </w:pPr>
          </w:p>
        </w:tc>
      </w:tr>
      <w:bookmarkEnd w:id="66"/>
      <w:bookmarkEnd w:id="67"/>
    </w:tbl>
    <w:p w14:paraId="4E0AD7E2">
      <w:pPr>
        <w:pStyle w:val="3"/>
        <w:spacing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二、项目技术需求</w:t>
      </w:r>
      <w:bookmarkEnd w:id="62"/>
      <w:bookmarkEnd w:id="63"/>
    </w:p>
    <w:tbl>
      <w:tblPr>
        <w:tblStyle w:val="28"/>
        <w:tblW w:w="103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2"/>
        <w:gridCol w:w="452"/>
        <w:gridCol w:w="471"/>
        <w:gridCol w:w="1728"/>
        <w:gridCol w:w="897"/>
        <w:gridCol w:w="4089"/>
        <w:gridCol w:w="500"/>
        <w:gridCol w:w="651"/>
        <w:gridCol w:w="730"/>
        <w:gridCol w:w="359"/>
      </w:tblGrid>
      <w:tr w14:paraId="1F6E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11574F">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珊瑚鲁能小学2026年秋季学生课桌椅采购项目</w:t>
            </w:r>
          </w:p>
        </w:tc>
      </w:tr>
      <w:tr w14:paraId="08171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52" w:type="dxa"/>
            <w:tcBorders>
              <w:top w:val="single" w:color="000000" w:sz="4" w:space="0"/>
              <w:left w:val="single" w:color="000000" w:sz="4" w:space="0"/>
              <w:bottom w:val="single" w:color="auto" w:sz="4" w:space="0"/>
              <w:right w:val="single" w:color="000000" w:sz="4" w:space="0"/>
            </w:tcBorders>
            <w:shd w:val="clear" w:color="auto" w:fill="auto"/>
            <w:vAlign w:val="center"/>
          </w:tcPr>
          <w:p w14:paraId="0D841D18">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452" w:type="dxa"/>
            <w:tcBorders>
              <w:top w:val="single" w:color="000000" w:sz="4" w:space="0"/>
              <w:left w:val="single" w:color="000000" w:sz="4" w:space="0"/>
              <w:bottom w:val="single" w:color="auto" w:sz="4" w:space="0"/>
              <w:right w:val="single" w:color="000000" w:sz="4" w:space="0"/>
            </w:tcBorders>
            <w:shd w:val="clear" w:color="auto" w:fill="auto"/>
            <w:vAlign w:val="center"/>
          </w:tcPr>
          <w:p w14:paraId="261E9C24">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使用</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房间</w:t>
            </w:r>
          </w:p>
        </w:tc>
        <w:tc>
          <w:tcPr>
            <w:tcW w:w="471" w:type="dxa"/>
            <w:tcBorders>
              <w:top w:val="single" w:color="000000" w:sz="4" w:space="0"/>
              <w:left w:val="single" w:color="000000" w:sz="4" w:space="0"/>
              <w:bottom w:val="single" w:color="auto" w:sz="4" w:space="0"/>
              <w:right w:val="single" w:color="000000" w:sz="4" w:space="0"/>
            </w:tcBorders>
            <w:shd w:val="clear" w:color="auto" w:fill="auto"/>
            <w:vAlign w:val="center"/>
          </w:tcPr>
          <w:p w14:paraId="3DAB0220">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品名</w:t>
            </w:r>
          </w:p>
        </w:tc>
        <w:tc>
          <w:tcPr>
            <w:tcW w:w="1728" w:type="dxa"/>
            <w:tcBorders>
              <w:top w:val="single" w:color="000000" w:sz="4" w:space="0"/>
              <w:left w:val="single" w:color="000000" w:sz="4" w:space="0"/>
              <w:bottom w:val="single" w:color="auto" w:sz="4" w:space="0"/>
              <w:right w:val="single" w:color="000000" w:sz="4" w:space="0"/>
            </w:tcBorders>
            <w:shd w:val="clear" w:color="auto" w:fill="auto"/>
            <w:vAlign w:val="center"/>
          </w:tcPr>
          <w:p w14:paraId="742F28B2">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产品参考图片</w:t>
            </w:r>
          </w:p>
        </w:tc>
        <w:tc>
          <w:tcPr>
            <w:tcW w:w="897" w:type="dxa"/>
            <w:tcBorders>
              <w:top w:val="single" w:color="000000" w:sz="4" w:space="0"/>
              <w:left w:val="single" w:color="000000" w:sz="4" w:space="0"/>
              <w:bottom w:val="single" w:color="auto" w:sz="4" w:space="0"/>
              <w:right w:val="single" w:color="000000" w:sz="4" w:space="0"/>
            </w:tcBorders>
            <w:shd w:val="clear" w:color="auto" w:fill="auto"/>
            <w:vAlign w:val="center"/>
          </w:tcPr>
          <w:p w14:paraId="5B1D19BB">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规格/mm</w:t>
            </w:r>
          </w:p>
        </w:tc>
        <w:tc>
          <w:tcPr>
            <w:tcW w:w="4089" w:type="dxa"/>
            <w:tcBorders>
              <w:top w:val="single" w:color="000000" w:sz="4" w:space="0"/>
              <w:left w:val="single" w:color="000000" w:sz="4" w:space="0"/>
              <w:bottom w:val="single" w:color="auto" w:sz="4" w:space="0"/>
              <w:right w:val="single" w:color="000000" w:sz="4" w:space="0"/>
            </w:tcBorders>
            <w:shd w:val="clear" w:color="auto" w:fill="auto"/>
            <w:vAlign w:val="center"/>
          </w:tcPr>
          <w:p w14:paraId="3E4A9B5F">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材质说明</w:t>
            </w:r>
          </w:p>
        </w:tc>
        <w:tc>
          <w:tcPr>
            <w:tcW w:w="500" w:type="dxa"/>
            <w:tcBorders>
              <w:top w:val="single" w:color="000000" w:sz="4" w:space="0"/>
              <w:left w:val="single" w:color="000000" w:sz="4" w:space="0"/>
              <w:bottom w:val="single" w:color="auto" w:sz="4" w:space="0"/>
              <w:right w:val="single" w:color="000000" w:sz="4" w:space="0"/>
            </w:tcBorders>
            <w:shd w:val="clear" w:color="auto" w:fill="auto"/>
            <w:vAlign w:val="center"/>
          </w:tcPr>
          <w:p w14:paraId="32F2159E">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44E0C795">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单价(元)</w:t>
            </w:r>
          </w:p>
        </w:tc>
        <w:tc>
          <w:tcPr>
            <w:tcW w:w="730" w:type="dxa"/>
            <w:tcBorders>
              <w:top w:val="single" w:color="000000" w:sz="4" w:space="0"/>
              <w:left w:val="single" w:color="000000" w:sz="4" w:space="0"/>
              <w:bottom w:val="single" w:color="auto" w:sz="4" w:space="0"/>
              <w:right w:val="single" w:color="000000" w:sz="4" w:space="0"/>
            </w:tcBorders>
            <w:shd w:val="clear" w:color="auto" w:fill="auto"/>
            <w:vAlign w:val="center"/>
          </w:tcPr>
          <w:p w14:paraId="21D67F86">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合价(元)</w:t>
            </w:r>
          </w:p>
        </w:tc>
        <w:tc>
          <w:tcPr>
            <w:tcW w:w="359" w:type="dxa"/>
            <w:tcBorders>
              <w:top w:val="single" w:color="000000" w:sz="4" w:space="0"/>
              <w:left w:val="single" w:color="000000" w:sz="4" w:space="0"/>
              <w:bottom w:val="single" w:color="auto" w:sz="4" w:space="0"/>
              <w:right w:val="single" w:color="000000" w:sz="4" w:space="0"/>
            </w:tcBorders>
            <w:shd w:val="clear" w:color="auto" w:fill="auto"/>
            <w:vAlign w:val="center"/>
          </w:tcPr>
          <w:p w14:paraId="2CE0EDAE">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5DC7C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50D76D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DAD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教室</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FC66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课桌椅</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944C">
            <w:pPr>
              <w:ind w:left="0" w:leftChars="0" w:firstLine="0" w:firstLineChars="0"/>
              <w:jc w:val="both"/>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inline distT="0" distB="0" distL="114300" distR="114300">
                  <wp:extent cx="1012190" cy="1174750"/>
                  <wp:effectExtent l="0" t="0" r="16510" b="6350"/>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embed="rId14"/>
                          <a:stretch>
                            <a:fillRect/>
                          </a:stretch>
                        </pic:blipFill>
                        <pic:spPr>
                          <a:xfrm>
                            <a:off x="0" y="0"/>
                            <a:ext cx="1012190" cy="1174750"/>
                          </a:xfrm>
                          <a:prstGeom prst="rect">
                            <a:avLst/>
                          </a:prstGeom>
                          <a:noFill/>
                          <a:ln>
                            <a:noFill/>
                          </a:ln>
                        </pic:spPr>
                      </pic:pic>
                    </a:graphicData>
                  </a:graphic>
                </wp:inline>
              </w:drawing>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708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课桌：600*400*（670~760）mm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课椅：415*400*（380~440）mm</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F4E3">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1、桌面：规格为600*400*25mm,材质采用E1级25mm厚饰面多层实木板，四周采用ABS塑料一次注塑成型。桌面长直边带笔槽，两端呈圆弧形。</w:t>
            </w:r>
          </w:p>
          <w:p w14:paraId="3154DDE4">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2、课斗：采用聚丙烯（PP）塑料一次注塑成型，净空长440*宽340*高150mm，塑料厚度4mm厚，表面光滑，耐腐蚀，抗老化，室内使用保质10年。课斗前端下凹，形成笔盒。斗下拉换采用20*20*1.0mm方管。</w:t>
            </w:r>
          </w:p>
          <w:p w14:paraId="57888FF6">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3、桌/椅立脚：采用50*25*1.2mm与40*20*1.2mm椭圆管，大管套小管。后端触地处胶套采用聚丙烯（PP）一次注塑成型，外形似三角形，尺寸为160*87*87mm，中间开槽宽度为26mm，底部带有加强筋，结构稳固。前端加装塑料脚套，采用聚丙烯（PP）塑料一次注塑成型，外形尺寸为100*60*60mm，底部设计有两个长31mm*26mm（最短宽度）/31mm（最长宽度）脚垫，减少胶套与地面直接接触，更加耐用、使用寿命长,底部带有加强筋。立脚前后端胶套底部加装调节脚，能够有效减少地面不平造成的课桌摇晃。</w:t>
            </w:r>
          </w:p>
          <w:p w14:paraId="42DB5903">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4、50*25与40*20连接处胶套：采用ABS塑料注塑一次成型，内壁带摩擦条，可增强与小管内壁之间的摩擦力，越用越紧。</w:t>
            </w:r>
          </w:p>
          <w:p w14:paraId="7A782914">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5、桌/椅拉换：采用40*20mm、壁厚1.0mm椭圆管。</w:t>
            </w:r>
          </w:p>
          <w:p w14:paraId="1171CBE6">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6、座背板：采用聚丙烯塑料一次注塑成型，材质绿色环保，无异味。靠背尺寸405*300mm、椅面尺寸415*400mm，符合人体功效学设计。靠背依据人体脊椎曲线精心研究打造，中间内陷，两侧包裹；椅面采取轮廓化设计，正中间内陷，如此可分散上身垂直重量，减轻臀部及腰椎的压力。坐板前端采用符合人体工学波浪式设计，借此可无形中矫正坐姿进而能让大腿内侧得到分散式的支撑，以降低因久坐造成的不适与疼痛。靠背与坐板带透气孔，具透气舒适美观防滑功能。</w:t>
            </w:r>
          </w:p>
          <w:p w14:paraId="4C41C4F7">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7、椅架：采用40*20*1.2mm椭圆管弯曲成型。</w:t>
            </w:r>
          </w:p>
          <w:p w14:paraId="76F67D27">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8、升降方式：多级螺丝孔位调节升降，课桌每级升降高度为30mm，课椅每级升降高度为20mm。</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25A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C95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468</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4E6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65520 </w:t>
            </w:r>
          </w:p>
        </w:tc>
        <w:tc>
          <w:tcPr>
            <w:tcW w:w="359" w:type="dxa"/>
            <w:vMerge w:val="restart"/>
            <w:tcBorders>
              <w:top w:val="single" w:color="000000" w:sz="4" w:space="0"/>
              <w:left w:val="single" w:color="000000" w:sz="4" w:space="0"/>
              <w:right w:val="single" w:color="auto" w:sz="4" w:space="0"/>
            </w:tcBorders>
            <w:shd w:val="clear" w:color="auto" w:fill="auto"/>
            <w:vAlign w:val="center"/>
          </w:tcPr>
          <w:p w14:paraId="131CDA07">
            <w:pPr>
              <w:jc w:val="center"/>
              <w:rPr>
                <w:rFonts w:hint="eastAsia" w:ascii="宋体" w:hAnsi="宋体" w:eastAsia="宋体" w:cs="宋体"/>
                <w:i w:val="0"/>
                <w:iCs w:val="0"/>
                <w:color w:val="000000"/>
                <w:sz w:val="21"/>
                <w:szCs w:val="21"/>
                <w:u w:val="none"/>
              </w:rPr>
            </w:pPr>
          </w:p>
        </w:tc>
      </w:tr>
      <w:tr w14:paraId="2EB76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8" w:hRule="atLeast"/>
          <w:jc w:val="center"/>
        </w:trPr>
        <w:tc>
          <w:tcPr>
            <w:tcW w:w="9970" w:type="dxa"/>
            <w:gridSpan w:val="9"/>
            <w:tcBorders>
              <w:top w:val="single" w:color="000000" w:sz="4" w:space="0"/>
              <w:left w:val="single" w:color="auto" w:sz="4" w:space="0"/>
              <w:bottom w:val="single" w:color="auto" w:sz="4" w:space="0"/>
              <w:right w:val="single" w:color="000000" w:sz="4" w:space="0"/>
            </w:tcBorders>
            <w:shd w:val="clear" w:color="auto" w:fill="auto"/>
            <w:noWrap/>
            <w:vAlign w:val="center"/>
          </w:tcPr>
          <w:p w14:paraId="5BA3F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备注：审核费用为全费用综合单价包干，已包含人工费、材料费、机械费、管理费、利润、措施费、运费、材料保管费、规费、税金</w:t>
            </w:r>
          </w:p>
        </w:tc>
        <w:tc>
          <w:tcPr>
            <w:tcW w:w="359"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14:paraId="1F80A3F1">
            <w:pPr>
              <w:jc w:val="center"/>
              <w:rPr>
                <w:rFonts w:hint="eastAsia" w:ascii="宋体" w:hAnsi="宋体" w:eastAsia="宋体" w:cs="宋体"/>
                <w:i w:val="0"/>
                <w:iCs w:val="0"/>
                <w:color w:val="000000"/>
                <w:sz w:val="21"/>
                <w:szCs w:val="21"/>
                <w:u w:val="none"/>
              </w:rPr>
            </w:pPr>
          </w:p>
        </w:tc>
      </w:tr>
    </w:tbl>
    <w:p w14:paraId="2564AE5B">
      <w:pPr>
        <w:numPr>
          <w:ilvl w:val="0"/>
          <w:numId w:val="0"/>
        </w:numPr>
        <w:wordWrap w:val="0"/>
        <w:spacing w:line="360" w:lineRule="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三、质量要求</w:t>
      </w:r>
    </w:p>
    <w:p w14:paraId="4EEABD8C">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供应商提供产品的技术标准需达到或超过国家现行标准，应保证产品质量符合行业标准和国家相关规定。如未达标，供应商应无偿调换，因此发生的相关费用由供应商自负，并承担因此而造成的采购人损失。</w:t>
      </w:r>
    </w:p>
    <w:p w14:paraId="51493A10">
      <w:pPr>
        <w:numPr>
          <w:ilvl w:val="0"/>
          <w:numId w:val="0"/>
        </w:numPr>
        <w:wordWrap w:val="0"/>
        <w:spacing w:line="360" w:lineRule="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四、安装要求</w:t>
      </w:r>
    </w:p>
    <w:p w14:paraId="3C66AD0F">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成交供应商须按采购人的要求进行安装调试，安装调试完成后，须经采购人验收合格，验收前的管护责任由成交供应商负责。成交供应商安装完成后须清理安装场地的一切遗留垃圾。</w:t>
      </w:r>
    </w:p>
    <w:p w14:paraId="62E8A403">
      <w:pPr>
        <w:numPr>
          <w:ilvl w:val="0"/>
          <w:numId w:val="0"/>
        </w:numPr>
        <w:wordWrap w:val="0"/>
        <w:spacing w:line="360" w:lineRule="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五、安全要求</w:t>
      </w:r>
    </w:p>
    <w:p w14:paraId="6270541D">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成交供应商应遵守安全生产的有关管理规定，严格按照安全标准组织实施，采取必要的安全防护措施，消除隐患。在实施过程中由于成交供应商管理或安全措施不力造成周边环境破坏或事故责任和因此发生的费用，由成交供应商承担。成交供应商负责进入现场实施人员及财物安全，发生任何伤亡事故与采购人无关，成交供应商自行解决并承担相应的法律责任和财产损失。如因实施导致第三人人身、财产损失由成交供应商承担赔偿责任。</w:t>
      </w:r>
    </w:p>
    <w:bookmarkEnd w:id="64"/>
    <w:bookmarkEnd w:id="65"/>
    <w:p w14:paraId="114BFBB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B045600">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68" w:name="_Toc19641"/>
      <w:bookmarkStart w:id="69" w:name="_Toc13991"/>
      <w:r>
        <w:rPr>
          <w:rFonts w:hint="eastAsia" w:ascii="宋体" w:hAnsi="宋体" w:eastAsia="宋体" w:cs="宋体"/>
          <w:b/>
          <w:bCs/>
          <w:color w:val="auto"/>
          <w:sz w:val="32"/>
          <w:szCs w:val="32"/>
          <w:highlight w:val="none"/>
          <w:lang w:val="en-US" w:eastAsia="zh-CN"/>
        </w:rPr>
        <w:t>第三篇 项目商务需求</w:t>
      </w:r>
      <w:bookmarkEnd w:id="40"/>
      <w:bookmarkEnd w:id="68"/>
      <w:bookmarkEnd w:id="69"/>
    </w:p>
    <w:p w14:paraId="60641284">
      <w:pPr>
        <w:pStyle w:val="3"/>
        <w:spacing w:line="400" w:lineRule="exact"/>
        <w:ind w:firstLine="422" w:firstLineChars="200"/>
        <w:outlineLvl w:val="1"/>
        <w:rPr>
          <w:rFonts w:hint="eastAsia" w:ascii="宋体" w:hAnsi="宋体" w:eastAsia="宋体" w:cs="宋体"/>
          <w:b/>
          <w:color w:val="auto"/>
          <w:sz w:val="21"/>
          <w:szCs w:val="21"/>
          <w:highlight w:val="none"/>
        </w:rPr>
      </w:pPr>
      <w:bookmarkStart w:id="70" w:name="_Toc32586"/>
      <w:bookmarkStart w:id="71" w:name="_Toc4554"/>
      <w:bookmarkStart w:id="72" w:name="_Toc24518"/>
      <w:bookmarkStart w:id="73" w:name="_Toc28855"/>
      <w:bookmarkStart w:id="74" w:name="_Toc30191"/>
      <w:bookmarkStart w:id="75" w:name="_Toc12789059"/>
      <w:bookmarkStart w:id="76" w:name="_Toc11641055"/>
      <w:r>
        <w:rPr>
          <w:rFonts w:hint="eastAsia" w:ascii="宋体" w:hAnsi="宋体" w:eastAsia="宋体" w:cs="宋体"/>
          <w:b/>
          <w:color w:val="auto"/>
          <w:sz w:val="21"/>
          <w:szCs w:val="21"/>
          <w:highlight w:val="none"/>
        </w:rPr>
        <w:t>一、服务时间、地点及验收方式</w:t>
      </w:r>
      <w:bookmarkEnd w:id="70"/>
      <w:bookmarkEnd w:id="71"/>
      <w:bookmarkEnd w:id="72"/>
      <w:bookmarkEnd w:id="73"/>
      <w:bookmarkEnd w:id="74"/>
    </w:p>
    <w:p w14:paraId="7A274DF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（一）服务地点：采购人指定地点。</w:t>
      </w:r>
    </w:p>
    <w:p w14:paraId="50E6A172">
      <w:pPr>
        <w:ind w:firstLine="72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（二）服务期限：</w:t>
      </w:r>
      <w:r>
        <w:rPr>
          <w:rFonts w:hint="eastAsia" w:ascii="宋体" w:hAnsi="宋体" w:eastAsia="宋体" w:cs="宋体"/>
          <w:color w:val="auto"/>
          <w:sz w:val="21"/>
          <w:szCs w:val="21"/>
          <w:highlight w:val="none"/>
          <w:lang w:val="en-US" w:eastAsia="zh-CN"/>
        </w:rPr>
        <w:t>采购合同签订后20日历天内完成交货及安装调试。</w:t>
      </w:r>
    </w:p>
    <w:p w14:paraId="3ACC6C8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（三）验收方式</w:t>
      </w:r>
    </w:p>
    <w:p w14:paraId="4696C8C5">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（1）在货物到达使用单位后，成交供应商应在3天内派技术人员到达现场，在采购人技术人员在场的情况下开箱清点货物，组织安装、调试，并承担因此发生的一切费用。</w:t>
      </w:r>
    </w:p>
    <w:p w14:paraId="24B8D730">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（2）成交供应商应保证货物到达采购人所在地完好无损，如有缺漏、损坏，由供应商负责调换、补齐或赔偿。</w:t>
      </w:r>
    </w:p>
    <w:p w14:paraId="01F4A54A">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（3）采购人或其委托的质量检测部门对货物进行验收，签订验收报告；若验收不合格需要整改的，成交供应商需无偿整改直至合格。验收合格条件如下：</w:t>
      </w:r>
    </w:p>
    <w:p w14:paraId="7872B008">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①产品技术参数与采购合同一致，性能指标达到规定的标准。</w:t>
      </w:r>
    </w:p>
    <w:p w14:paraId="3C9143C1">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②货物技术资料、装箱单、合格证等资料齐全。</w:t>
      </w:r>
    </w:p>
    <w:p w14:paraId="775E7FF8">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③在规定时间内完成交货并验收，并经采购人确认。</w:t>
      </w:r>
    </w:p>
    <w:p w14:paraId="06790940">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④采购人随机抽取的样品检测结果为合格。</w:t>
      </w:r>
    </w:p>
    <w:p w14:paraId="01E0C5E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（4）产品在用户掌握使用技术要领，使用符合要求后，才作为最终验收。</w:t>
      </w:r>
    </w:p>
    <w:p w14:paraId="2EDA3079">
      <w:pPr>
        <w:pStyle w:val="3"/>
        <w:spacing w:line="400" w:lineRule="exact"/>
        <w:ind w:firstLine="422" w:firstLineChars="200"/>
        <w:outlineLvl w:val="1"/>
        <w:rPr>
          <w:rFonts w:hint="eastAsia" w:ascii="宋体" w:hAnsi="宋体" w:eastAsia="宋体" w:cs="宋体"/>
          <w:b/>
          <w:color w:val="auto"/>
          <w:sz w:val="21"/>
          <w:szCs w:val="21"/>
          <w:highlight w:val="none"/>
        </w:rPr>
      </w:pPr>
      <w:bookmarkStart w:id="77" w:name="_Toc28580"/>
      <w:bookmarkStart w:id="78" w:name="_Toc20006"/>
      <w:bookmarkStart w:id="79" w:name="_Toc27093"/>
      <w:bookmarkStart w:id="80" w:name="_Toc4044"/>
      <w:r>
        <w:rPr>
          <w:rFonts w:hint="eastAsia" w:ascii="宋体" w:hAnsi="宋体" w:eastAsia="宋体" w:cs="宋体"/>
          <w:b/>
          <w:color w:val="auto"/>
          <w:sz w:val="21"/>
          <w:szCs w:val="21"/>
          <w:highlight w:val="none"/>
        </w:rPr>
        <w:t>二、服务质量要求</w:t>
      </w:r>
      <w:bookmarkEnd w:id="77"/>
      <w:bookmarkEnd w:id="78"/>
      <w:bookmarkEnd w:id="79"/>
    </w:p>
    <w:p w14:paraId="0AD90636">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1、供应商所供产品名称、规格、数量、质量要求、生产企业与比选文件</w:t>
      </w:r>
      <w:r>
        <w:rPr>
          <w:rFonts w:hint="eastAsia" w:ascii="宋体" w:hAnsi="宋体" w:eastAsia="宋体" w:cs="宋体"/>
          <w:color w:val="auto"/>
          <w:sz w:val="21"/>
          <w:szCs w:val="21"/>
          <w:highlight w:val="none"/>
          <w:lang w:val="en-US" w:eastAsia="zh-Hans"/>
        </w:rPr>
        <w:t>要求</w:t>
      </w:r>
      <w:r>
        <w:rPr>
          <w:rFonts w:hint="eastAsia" w:ascii="宋体" w:hAnsi="宋体" w:eastAsia="宋体" w:cs="宋体"/>
          <w:color w:val="auto"/>
          <w:sz w:val="21"/>
          <w:szCs w:val="21"/>
          <w:highlight w:val="none"/>
          <w:lang w:val="en-US" w:eastAsia="zh-CN"/>
        </w:rPr>
        <w:t xml:space="preserve">相符。 </w:t>
      </w:r>
    </w:p>
    <w:p w14:paraId="200E83EC">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1.1.项目验收合格之日起，提供不低于一年的免费质保期。供应商的质量保证期承诺优于上述质保年限的，按供应商实际承诺执行。</w:t>
      </w:r>
    </w:p>
    <w:p w14:paraId="29DA982B">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1.2产品属于国家规定“三包”范围的，其产品质量保证期不得低于“三包”规定。</w:t>
      </w:r>
    </w:p>
    <w:p w14:paraId="1BA4E6D2">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1.3成交供应商须免费提供现场技术培训与技术支持。</w:t>
      </w:r>
    </w:p>
    <w:p w14:paraId="10078E1B">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用户遇到紧急故障（如系统瘫痪）或使用及技术问题，电话咨询不能解决的，成交供应商或制造商应在4小时内采取相应响应措施；无法在12小时内解决的，应在24小时内派出专业人员进行技术支持。软件问题在24小时内解决。硬件问题如需更换在5个工作日内到货，到货后24小时内完成安装调试。如需寄回进行维修，15个工作日之内完成，到货后48小时内完成安装调试。</w:t>
      </w:r>
    </w:p>
    <w:p w14:paraId="138C05B8">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2.质保期外服务要求</w:t>
      </w:r>
    </w:p>
    <w:p w14:paraId="119BA764">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2.1质量保证期过后，成交供应商应同样提供免费电话咨询服务，并应承诺提供产品上门维护服务。</w:t>
      </w:r>
    </w:p>
    <w:p w14:paraId="573F874A">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2.2质量保证期过后，采购人需要继续由原成交供应商提供售后服务的，成交供应商应以优惠价格提供售后服务。</w:t>
      </w:r>
    </w:p>
    <w:p w14:paraId="445848DD">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3.备品备件及易损件</w:t>
      </w:r>
    </w:p>
    <w:p w14:paraId="0AC837AD">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供应商售后服务中，维修使用的备品备件及易损件应为原厂配件，未经采购人同意不得使用非原厂配件。</w:t>
      </w:r>
    </w:p>
    <w:p w14:paraId="242FFA65">
      <w:pPr>
        <w:pStyle w:val="3"/>
        <w:spacing w:line="400" w:lineRule="exact"/>
        <w:ind w:firstLine="422" w:firstLineChars="200"/>
        <w:outlineLvl w:val="1"/>
        <w:rPr>
          <w:rFonts w:hint="eastAsia" w:ascii="宋体" w:hAnsi="宋体" w:eastAsia="宋体" w:cs="宋体"/>
          <w:b/>
          <w:color w:val="auto"/>
          <w:sz w:val="21"/>
          <w:szCs w:val="21"/>
          <w:highlight w:val="none"/>
        </w:rPr>
      </w:pPr>
      <w:bookmarkStart w:id="81" w:name="_Toc18966"/>
      <w:bookmarkStart w:id="82" w:name="_Toc29988"/>
      <w:bookmarkStart w:id="83" w:name="_Toc24135"/>
      <w:r>
        <w:rPr>
          <w:rFonts w:hint="eastAsia" w:ascii="宋体" w:hAnsi="宋体" w:eastAsia="宋体" w:cs="宋体"/>
          <w:b/>
          <w:color w:val="auto"/>
          <w:sz w:val="21"/>
          <w:szCs w:val="21"/>
          <w:highlight w:val="none"/>
        </w:rPr>
        <w:t>三、报价要求</w:t>
      </w:r>
      <w:bookmarkEnd w:id="80"/>
      <w:bookmarkEnd w:id="81"/>
      <w:bookmarkEnd w:id="82"/>
      <w:bookmarkEnd w:id="83"/>
    </w:p>
    <w:p w14:paraId="0E1E5C22">
      <w:pPr>
        <w:ind w:firstLine="720"/>
        <w:rPr>
          <w:rFonts w:hint="eastAsia" w:ascii="宋体" w:hAnsi="宋体" w:eastAsia="宋体" w:cs="宋体"/>
          <w:color w:val="auto"/>
          <w:sz w:val="21"/>
          <w:szCs w:val="21"/>
          <w:highlight w:val="none"/>
          <w:lang w:val="en-US" w:eastAsia="zh-CN"/>
        </w:rPr>
      </w:pPr>
      <w:bookmarkStart w:id="84" w:name="_Toc27978"/>
      <w:bookmarkStart w:id="85" w:name="_Toc21743"/>
      <w:bookmarkStart w:id="86" w:name="_Toc29157"/>
      <w:bookmarkStart w:id="87" w:name="_Toc30582"/>
      <w:r>
        <w:rPr>
          <w:rFonts w:hint="eastAsia" w:ascii="宋体" w:hAnsi="宋体" w:eastAsia="宋体" w:cs="宋体"/>
          <w:color w:val="auto"/>
          <w:sz w:val="21"/>
          <w:szCs w:val="21"/>
          <w:highlight w:val="none"/>
          <w:lang w:val="en-US" w:eastAsia="zh-CN"/>
        </w:rPr>
        <w:t>1、供应商须就全部货物进行响应报价，不得拆分响应报价或只响应其中部分内容，否则作无效响应处理。</w:t>
      </w:r>
    </w:p>
    <w:p w14:paraId="119C8323">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报价须为人民币报价，包括但不限于：全部货物费、设备费、辅助材料、安装、调试、人工、机械、包装、装卸、仓储、运输及人员保险、各种税费等，供货并完成安装及售后的全部内容等完成本项目供货安装服务的一切费用。因成交供应商自身原因造成漏报、少报皆由其自行承担责任，采购人不再补偿。</w:t>
      </w:r>
      <w:bookmarkEnd w:id="84"/>
    </w:p>
    <w:p w14:paraId="47299514">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3、本项目为交钥匙工程，供应商的响应报价包含了采购人现有场地条件下，进行设施设备的安装调试达到可使用状态。</w:t>
      </w:r>
    </w:p>
    <w:p w14:paraId="2FBC03B6">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4、本项目采购最高限价为人民币：65520.00元 ，供应商的响应总报价及单价超过最高限价的作无效响应处理。</w:t>
      </w:r>
    </w:p>
    <w:p w14:paraId="7139EAE7">
      <w:pPr>
        <w:pStyle w:val="3"/>
        <w:spacing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结算及付款方式</w:t>
      </w:r>
      <w:bookmarkEnd w:id="85"/>
      <w:bookmarkEnd w:id="86"/>
      <w:bookmarkEnd w:id="87"/>
      <w:bookmarkStart w:id="88" w:name="_Toc18652"/>
      <w:bookmarkStart w:id="89" w:name="_Toc27504"/>
      <w:bookmarkStart w:id="90" w:name="_Toc17314"/>
      <w:bookmarkStart w:id="91" w:name="_Toc31242"/>
    </w:p>
    <w:p w14:paraId="6452B57E">
      <w:pPr>
        <w:pageBreakBefore w:val="0"/>
        <w:widowControl w:val="0"/>
        <w:kinsoku/>
        <w:wordWrap/>
        <w:overflowPunct/>
        <w:topLinePunct w:val="0"/>
        <w:autoSpaceDE/>
        <w:autoSpaceDN/>
        <w:bidi w:val="0"/>
        <w:spacing w:line="360" w:lineRule="auto"/>
        <w:ind w:firstLine="420" w:firstLineChars="200"/>
        <w:textAlignment w:val="auto"/>
        <w:rPr>
          <w:rFonts w:hint="default" w:ascii="宋体" w:hAnsi="宋体" w:eastAsia="宋体" w:cs="宋体"/>
          <w:color w:val="auto"/>
          <w:sz w:val="21"/>
          <w:szCs w:val="21"/>
          <w:highlight w:val="yellow"/>
          <w:lang w:val="en-US" w:eastAsia="zh-CN"/>
        </w:rPr>
      </w:pPr>
      <w:bookmarkStart w:id="92" w:name="_Toc9780"/>
      <w:r>
        <w:rPr>
          <w:rFonts w:hint="default" w:ascii="宋体" w:hAnsi="宋体" w:eastAsia="宋体" w:cs="宋体"/>
          <w:color w:val="auto"/>
          <w:sz w:val="21"/>
          <w:szCs w:val="21"/>
          <w:highlight w:val="none"/>
          <w:lang w:val="en-US" w:eastAsia="zh-CN"/>
        </w:rPr>
        <w:t>1、本项目验收合格后，采购人收到</w:t>
      </w:r>
      <w:r>
        <w:rPr>
          <w:rFonts w:hint="eastAsia" w:ascii="宋体" w:hAnsi="宋体" w:eastAsia="宋体" w:cs="宋体"/>
          <w:color w:val="auto"/>
          <w:sz w:val="21"/>
          <w:szCs w:val="21"/>
          <w:highlight w:val="none"/>
          <w:lang w:val="en-US" w:eastAsia="zh-CN"/>
        </w:rPr>
        <w:t>成交供应商开具的足额</w:t>
      </w:r>
      <w:r>
        <w:rPr>
          <w:rFonts w:hint="default" w:ascii="宋体" w:hAnsi="宋体" w:eastAsia="宋体" w:cs="宋体"/>
          <w:color w:val="auto"/>
          <w:sz w:val="21"/>
          <w:szCs w:val="21"/>
          <w:highlight w:val="none"/>
          <w:lang w:val="en-US" w:eastAsia="zh-CN"/>
        </w:rPr>
        <w:t>发票后五个工作日内支付该项目款的100%。</w:t>
      </w:r>
    </w:p>
    <w:p w14:paraId="54863928">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2、成交供应商按采购合同交货，经验收合格后采购人出具项目验收报告。因质量不合格和售后服务未履行合同等而造成的后果由成交供应商全权负责，采购人拒绝付款。</w:t>
      </w:r>
      <w:bookmarkEnd w:id="92"/>
    </w:p>
    <w:p w14:paraId="502780DC">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五、知识产权</w:t>
      </w:r>
      <w:bookmarkEnd w:id="88"/>
      <w:bookmarkEnd w:id="89"/>
      <w:bookmarkEnd w:id="90"/>
      <w:bookmarkEnd w:id="91"/>
      <w:r>
        <w:rPr>
          <w:rFonts w:hint="eastAsia" w:ascii="宋体" w:hAnsi="宋体" w:eastAsia="宋体" w:cs="宋体"/>
          <w:b/>
          <w:color w:val="auto"/>
          <w:sz w:val="21"/>
          <w:szCs w:val="21"/>
          <w:highlight w:val="none"/>
          <w:lang w:val="en-US" w:eastAsia="zh-CN"/>
        </w:rPr>
        <w:t xml:space="preserve"> </w:t>
      </w:r>
      <w:bookmarkStart w:id="93" w:name="_Toc31985"/>
    </w:p>
    <w:bookmarkEnd w:id="93"/>
    <w:p w14:paraId="16875F1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6258207D">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94" w:name="_Toc18074"/>
      <w:bookmarkStart w:id="95" w:name="_Toc31547030"/>
      <w:bookmarkStart w:id="96" w:name="_Toc31395"/>
      <w:bookmarkStart w:id="97" w:name="_Toc486932367"/>
      <w:bookmarkStart w:id="98" w:name="_Toc10090"/>
      <w:bookmarkStart w:id="99" w:name="_Toc11071760"/>
      <w:bookmarkStart w:id="100" w:name="_Toc3035"/>
      <w:bookmarkStart w:id="101" w:name="_Toc344475125"/>
      <w:r>
        <w:rPr>
          <w:rFonts w:hint="eastAsia" w:ascii="宋体" w:hAnsi="宋体" w:eastAsia="宋体" w:cs="宋体"/>
          <w:b/>
          <w:color w:val="auto"/>
          <w:sz w:val="21"/>
          <w:szCs w:val="21"/>
          <w:highlight w:val="none"/>
          <w:lang w:val="en-US" w:eastAsia="zh-CN"/>
        </w:rPr>
        <w:t>六、其他</w:t>
      </w:r>
      <w:bookmarkEnd w:id="94"/>
      <w:bookmarkEnd w:id="95"/>
      <w:bookmarkEnd w:id="96"/>
      <w:bookmarkEnd w:id="97"/>
      <w:bookmarkEnd w:id="98"/>
      <w:bookmarkEnd w:id="99"/>
      <w:bookmarkEnd w:id="100"/>
    </w:p>
    <w:bookmarkEnd w:id="101"/>
    <w:p w14:paraId="69E3568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1.如国家相关法律法规发生变化，则按新的法律法规执行；因外部或其他不可抗力等因素，项目服务不能履行，双方协商解决。</w:t>
      </w:r>
    </w:p>
    <w:p w14:paraId="517AF08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2．如果出现违约情况，则按照《中华共和国民法典》、《劳动合同法》等法律法规处理，违约责任方向未违约方支付相应违约赔偿金。</w:t>
      </w:r>
    </w:p>
    <w:p w14:paraId="7469439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3．其他未尽事宜由供需双方在采购合同中详细约定。</w:t>
      </w:r>
    </w:p>
    <w:p w14:paraId="05525FE2">
      <w:pPr>
        <w:rPr>
          <w:rFonts w:hint="eastAsia" w:ascii="宋体" w:hAnsi="宋体" w:eastAsia="宋体" w:cs="宋体"/>
          <w:color w:val="auto"/>
          <w:sz w:val="21"/>
          <w:szCs w:val="21"/>
          <w:highlight w:val="none"/>
        </w:rPr>
      </w:pPr>
    </w:p>
    <w:bookmarkEnd w:id="75"/>
    <w:bookmarkEnd w:id="76"/>
    <w:p w14:paraId="44350FC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42AB4BB7">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102" w:name="_Toc3719"/>
      <w:bookmarkStart w:id="103" w:name="_Toc18048"/>
      <w:r>
        <w:rPr>
          <w:rFonts w:hint="eastAsia" w:ascii="宋体" w:hAnsi="宋体" w:eastAsia="宋体" w:cs="宋体"/>
          <w:b/>
          <w:bCs/>
          <w:color w:val="auto"/>
          <w:sz w:val="32"/>
          <w:szCs w:val="32"/>
          <w:highlight w:val="none"/>
          <w:lang w:val="en-US" w:eastAsia="zh-CN"/>
        </w:rPr>
        <w:t>第四篇  比选程序及方法、评审标准、无效响应和采购终止</w:t>
      </w:r>
      <w:bookmarkEnd w:id="102"/>
      <w:bookmarkEnd w:id="103"/>
    </w:p>
    <w:p w14:paraId="40848013">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04" w:name="_Toc15616"/>
      <w:bookmarkStart w:id="105" w:name="_Toc25076"/>
      <w:bookmarkStart w:id="106" w:name="_Toc73632179"/>
      <w:bookmarkStart w:id="107" w:name="_Toc492721015"/>
      <w:bookmarkStart w:id="108" w:name="_Toc20602"/>
      <w:bookmarkStart w:id="109" w:name="_Toc2655"/>
      <w:bookmarkStart w:id="110" w:name="_Toc267320057"/>
      <w:r>
        <w:rPr>
          <w:rFonts w:hint="eastAsia" w:ascii="宋体" w:hAnsi="宋体" w:eastAsia="宋体" w:cs="宋体"/>
          <w:b/>
          <w:color w:val="auto"/>
          <w:sz w:val="21"/>
          <w:szCs w:val="21"/>
          <w:highlight w:val="none"/>
          <w:lang w:val="en-US" w:eastAsia="zh-CN"/>
        </w:rPr>
        <w:t>一、资格审查</w:t>
      </w:r>
      <w:bookmarkEnd w:id="104"/>
      <w:bookmarkEnd w:id="105"/>
      <w:bookmarkEnd w:id="106"/>
      <w:bookmarkEnd w:id="107"/>
      <w:bookmarkEnd w:id="108"/>
      <w:bookmarkEnd w:id="109"/>
    </w:p>
    <w:p w14:paraId="3632358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依据政府采购相关法律法规规定,由采购人对响应文件中的资格证明文件进行审查。资格审查资料表如下：</w:t>
      </w:r>
    </w:p>
    <w:tbl>
      <w:tblPr>
        <w:tblStyle w:val="2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388"/>
        <w:gridCol w:w="4714"/>
      </w:tblGrid>
      <w:tr w14:paraId="0DB9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3F3BCFE9">
            <w:pPr>
              <w:spacing w:line="24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097" w:type="dxa"/>
            <w:gridSpan w:val="2"/>
            <w:tcBorders>
              <w:top w:val="single" w:color="auto" w:sz="4" w:space="0"/>
              <w:left w:val="single" w:color="auto" w:sz="4" w:space="0"/>
              <w:bottom w:val="single" w:color="auto" w:sz="4" w:space="0"/>
              <w:right w:val="single" w:color="auto" w:sz="4" w:space="0"/>
            </w:tcBorders>
            <w:vAlign w:val="center"/>
          </w:tcPr>
          <w:p w14:paraId="74A3F801">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检查因素</w:t>
            </w:r>
          </w:p>
        </w:tc>
        <w:tc>
          <w:tcPr>
            <w:tcW w:w="4714" w:type="dxa"/>
            <w:tcBorders>
              <w:top w:val="single" w:color="auto" w:sz="4" w:space="0"/>
              <w:left w:val="single" w:color="auto" w:sz="4" w:space="0"/>
              <w:bottom w:val="single" w:color="auto" w:sz="4" w:space="0"/>
              <w:right w:val="single" w:color="auto" w:sz="4" w:space="0"/>
            </w:tcBorders>
            <w:vAlign w:val="center"/>
          </w:tcPr>
          <w:p w14:paraId="516E40D0">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检查内容</w:t>
            </w:r>
          </w:p>
        </w:tc>
      </w:tr>
      <w:tr w14:paraId="55B7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trPr>
        <w:tc>
          <w:tcPr>
            <w:tcW w:w="817" w:type="dxa"/>
            <w:vMerge w:val="restart"/>
            <w:vAlign w:val="center"/>
          </w:tcPr>
          <w:p w14:paraId="19070251">
            <w:pPr>
              <w:spacing w:line="24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p>
        </w:tc>
        <w:tc>
          <w:tcPr>
            <w:tcW w:w="709" w:type="dxa"/>
            <w:vMerge w:val="restart"/>
            <w:vAlign w:val="center"/>
          </w:tcPr>
          <w:p w14:paraId="3CF08C68">
            <w:pPr>
              <w:spacing w:line="240" w:lineRule="auto"/>
              <w:ind w:firstLine="7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《中华人民共和国政府采购法》第二十二条规定</w:t>
            </w:r>
          </w:p>
        </w:tc>
        <w:tc>
          <w:tcPr>
            <w:tcW w:w="3388" w:type="dxa"/>
            <w:vAlign w:val="center"/>
          </w:tcPr>
          <w:p w14:paraId="73474759">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1.具有独立承担民事责任的能力</w:t>
            </w:r>
          </w:p>
        </w:tc>
        <w:tc>
          <w:tcPr>
            <w:tcW w:w="4714" w:type="dxa"/>
            <w:vAlign w:val="center"/>
          </w:tcPr>
          <w:p w14:paraId="10890BCF">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1.供应商法人营业执照（副本）或事业单位法人证书（副本）或个体工商户营业执照或有效的自然人身份证明或社会团体法人登记证书（提供复印件）。 </w:t>
            </w:r>
          </w:p>
          <w:p w14:paraId="7496BC05">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2.供应商法定代表人身份证明和法定代表人授权代表委托书。</w:t>
            </w:r>
          </w:p>
        </w:tc>
      </w:tr>
      <w:tr w14:paraId="2F5C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17" w:type="dxa"/>
            <w:vMerge w:val="continue"/>
            <w:vAlign w:val="center"/>
          </w:tcPr>
          <w:p w14:paraId="0CCC7A5E">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1B7F25BE">
            <w:pPr>
              <w:spacing w:line="240" w:lineRule="auto"/>
              <w:ind w:firstLine="720"/>
              <w:rPr>
                <w:rFonts w:hint="eastAsia" w:ascii="宋体" w:hAnsi="宋体" w:eastAsia="宋体" w:cs="宋体"/>
                <w:color w:val="auto"/>
                <w:sz w:val="21"/>
                <w:szCs w:val="21"/>
                <w:highlight w:val="none"/>
                <w:lang w:val="zh-CN"/>
              </w:rPr>
            </w:pPr>
          </w:p>
        </w:tc>
        <w:tc>
          <w:tcPr>
            <w:tcW w:w="3388" w:type="dxa"/>
            <w:vAlign w:val="center"/>
          </w:tcPr>
          <w:p w14:paraId="77D7A956">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具有良好的商业信誉和健全的财务会计制度</w:t>
            </w:r>
          </w:p>
        </w:tc>
        <w:tc>
          <w:tcPr>
            <w:tcW w:w="4714" w:type="dxa"/>
            <w:vMerge w:val="restart"/>
            <w:vAlign w:val="center"/>
          </w:tcPr>
          <w:p w14:paraId="278834BD">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供应商提供“基本资格条件承诺函”（详见第七篇）</w:t>
            </w:r>
          </w:p>
        </w:tc>
      </w:tr>
      <w:tr w14:paraId="3A2D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817" w:type="dxa"/>
            <w:vMerge w:val="continue"/>
            <w:vAlign w:val="center"/>
          </w:tcPr>
          <w:p w14:paraId="7A08CF22">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3EFF5080">
            <w:pPr>
              <w:spacing w:line="240" w:lineRule="auto"/>
              <w:ind w:firstLine="720"/>
              <w:rPr>
                <w:rFonts w:hint="eastAsia" w:ascii="宋体" w:hAnsi="宋体" w:eastAsia="宋体" w:cs="宋体"/>
                <w:color w:val="auto"/>
                <w:sz w:val="21"/>
                <w:szCs w:val="21"/>
                <w:highlight w:val="none"/>
                <w:lang w:val="zh-CN"/>
              </w:rPr>
            </w:pPr>
          </w:p>
        </w:tc>
        <w:tc>
          <w:tcPr>
            <w:tcW w:w="3388" w:type="dxa"/>
            <w:vAlign w:val="center"/>
          </w:tcPr>
          <w:p w14:paraId="63C00FCC">
            <w:pPr>
              <w:spacing w:line="240" w:lineRule="auto"/>
              <w:ind w:firstLine="7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3.具有履行合同所必需的设备和专业技术能力</w:t>
            </w:r>
          </w:p>
        </w:tc>
        <w:tc>
          <w:tcPr>
            <w:tcW w:w="4714" w:type="dxa"/>
            <w:vMerge w:val="continue"/>
            <w:vAlign w:val="center"/>
          </w:tcPr>
          <w:p w14:paraId="5A2AE205">
            <w:pPr>
              <w:spacing w:line="240" w:lineRule="auto"/>
              <w:ind w:firstLine="720"/>
              <w:rPr>
                <w:rFonts w:hint="eastAsia" w:ascii="宋体" w:hAnsi="宋体" w:eastAsia="宋体" w:cs="宋体"/>
                <w:color w:val="auto"/>
                <w:sz w:val="21"/>
                <w:szCs w:val="21"/>
                <w:highlight w:val="none"/>
              </w:rPr>
            </w:pPr>
          </w:p>
        </w:tc>
      </w:tr>
      <w:tr w14:paraId="7DBA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817" w:type="dxa"/>
            <w:vMerge w:val="continue"/>
            <w:vAlign w:val="center"/>
          </w:tcPr>
          <w:p w14:paraId="07AAF630">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44B346A9">
            <w:pPr>
              <w:spacing w:line="240" w:lineRule="auto"/>
              <w:ind w:firstLine="720"/>
              <w:rPr>
                <w:rFonts w:hint="eastAsia" w:ascii="宋体" w:hAnsi="宋体" w:eastAsia="宋体" w:cs="宋体"/>
                <w:color w:val="auto"/>
                <w:sz w:val="21"/>
                <w:szCs w:val="21"/>
                <w:highlight w:val="none"/>
                <w:lang w:val="zh-CN"/>
              </w:rPr>
            </w:pPr>
          </w:p>
        </w:tc>
        <w:tc>
          <w:tcPr>
            <w:tcW w:w="3388" w:type="dxa"/>
            <w:vAlign w:val="center"/>
          </w:tcPr>
          <w:p w14:paraId="2CAA9637">
            <w:pPr>
              <w:spacing w:line="240" w:lineRule="auto"/>
              <w:ind w:firstLine="7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4.有依法缴纳税收和社会保障金的良好记录</w:t>
            </w:r>
          </w:p>
        </w:tc>
        <w:tc>
          <w:tcPr>
            <w:tcW w:w="4714" w:type="dxa"/>
            <w:vMerge w:val="continue"/>
            <w:vAlign w:val="center"/>
          </w:tcPr>
          <w:p w14:paraId="27518723">
            <w:pPr>
              <w:spacing w:line="240" w:lineRule="auto"/>
              <w:ind w:firstLine="720"/>
              <w:rPr>
                <w:rFonts w:hint="eastAsia" w:ascii="宋体" w:hAnsi="宋体" w:eastAsia="宋体" w:cs="宋体"/>
                <w:color w:val="auto"/>
                <w:sz w:val="21"/>
                <w:szCs w:val="21"/>
                <w:highlight w:val="none"/>
              </w:rPr>
            </w:pPr>
          </w:p>
        </w:tc>
      </w:tr>
      <w:tr w14:paraId="4208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817" w:type="dxa"/>
            <w:vMerge w:val="continue"/>
            <w:vAlign w:val="center"/>
          </w:tcPr>
          <w:p w14:paraId="6444262F">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2579D109">
            <w:pPr>
              <w:spacing w:line="240" w:lineRule="auto"/>
              <w:ind w:firstLine="720"/>
              <w:rPr>
                <w:rFonts w:hint="eastAsia" w:ascii="宋体" w:hAnsi="宋体" w:eastAsia="宋体" w:cs="宋体"/>
                <w:color w:val="auto"/>
                <w:sz w:val="21"/>
                <w:szCs w:val="21"/>
                <w:highlight w:val="none"/>
                <w:lang w:val="zh-CN"/>
              </w:rPr>
            </w:pPr>
          </w:p>
        </w:tc>
        <w:tc>
          <w:tcPr>
            <w:tcW w:w="3388" w:type="dxa"/>
            <w:vAlign w:val="center"/>
          </w:tcPr>
          <w:p w14:paraId="4D5518B1">
            <w:pPr>
              <w:spacing w:line="240" w:lineRule="auto"/>
              <w:ind w:firstLine="7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5.参加政府采购活动前三年内，在经营活动中没有重大违法记录（注②）</w:t>
            </w:r>
          </w:p>
        </w:tc>
        <w:tc>
          <w:tcPr>
            <w:tcW w:w="4714" w:type="dxa"/>
            <w:vMerge w:val="continue"/>
            <w:vAlign w:val="center"/>
          </w:tcPr>
          <w:p w14:paraId="54A110A5">
            <w:pPr>
              <w:spacing w:line="240" w:lineRule="auto"/>
              <w:ind w:firstLine="720"/>
              <w:rPr>
                <w:rFonts w:hint="eastAsia" w:ascii="宋体" w:hAnsi="宋体" w:eastAsia="宋体" w:cs="宋体"/>
                <w:color w:val="auto"/>
                <w:sz w:val="21"/>
                <w:szCs w:val="21"/>
                <w:highlight w:val="none"/>
              </w:rPr>
            </w:pPr>
          </w:p>
        </w:tc>
      </w:tr>
      <w:tr w14:paraId="79C4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17" w:type="dxa"/>
            <w:vMerge w:val="continue"/>
            <w:vAlign w:val="center"/>
          </w:tcPr>
          <w:p w14:paraId="5A7DB812">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240B8007">
            <w:pPr>
              <w:spacing w:line="240" w:lineRule="auto"/>
              <w:ind w:firstLine="720"/>
              <w:rPr>
                <w:rFonts w:hint="eastAsia" w:ascii="宋体" w:hAnsi="宋体" w:eastAsia="宋体" w:cs="宋体"/>
                <w:color w:val="auto"/>
                <w:sz w:val="21"/>
                <w:szCs w:val="21"/>
                <w:highlight w:val="none"/>
              </w:rPr>
            </w:pPr>
          </w:p>
        </w:tc>
        <w:tc>
          <w:tcPr>
            <w:tcW w:w="3388" w:type="dxa"/>
            <w:vAlign w:val="center"/>
          </w:tcPr>
          <w:p w14:paraId="683B5F30">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6.法律、行政法规规定的其他条件</w:t>
            </w:r>
          </w:p>
        </w:tc>
        <w:tc>
          <w:tcPr>
            <w:tcW w:w="4714" w:type="dxa"/>
            <w:vAlign w:val="center"/>
          </w:tcPr>
          <w:p w14:paraId="48BF9BB0">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3DF1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7" w:type="dxa"/>
            <w:vAlign w:val="center"/>
          </w:tcPr>
          <w:p w14:paraId="057AB80D">
            <w:pPr>
              <w:spacing w:line="24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p>
        </w:tc>
        <w:tc>
          <w:tcPr>
            <w:tcW w:w="4097" w:type="dxa"/>
            <w:gridSpan w:val="2"/>
            <w:vAlign w:val="center"/>
          </w:tcPr>
          <w:p w14:paraId="4FF38F48">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7.本项目的特定资格要求</w:t>
            </w:r>
          </w:p>
        </w:tc>
        <w:tc>
          <w:tcPr>
            <w:tcW w:w="4714" w:type="dxa"/>
            <w:vAlign w:val="center"/>
          </w:tcPr>
          <w:p w14:paraId="4DCC9EB6">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详见第一篇三、（二）特定资格要求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tc>
      </w:tr>
    </w:tbl>
    <w:p w14:paraId="7886F8D3">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1 \* GB3 \* MERGEFORMAT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供应商按“三证合一”登记制度办理营业执照的，组织机构代码证和税务登记证以供应商所提供的法人营业执照（副本）复印件为准。</w:t>
      </w:r>
    </w:p>
    <w:p w14:paraId="6D04AB77">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2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②</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供应商应对所提供的全部资料的真实性负责，如提供虚假材料，一经查实，将取消比选资格或成交资格，并按照《政府采购法》及相关法律法规的规定进行处理。</w:t>
      </w:r>
    </w:p>
    <w:p w14:paraId="6732D4F6">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11" w:name="_Toc29439"/>
      <w:bookmarkStart w:id="112" w:name="_Toc27745"/>
      <w:bookmarkStart w:id="113" w:name="_Toc10042"/>
      <w:bookmarkStart w:id="114" w:name="_Toc492721016"/>
      <w:bookmarkStart w:id="115" w:name="_Toc3842"/>
      <w:bookmarkStart w:id="116" w:name="_Toc73632180"/>
      <w:r>
        <w:rPr>
          <w:rFonts w:hint="eastAsia" w:ascii="宋体" w:hAnsi="宋体" w:eastAsia="宋体" w:cs="宋体"/>
          <w:b/>
          <w:color w:val="auto"/>
          <w:sz w:val="21"/>
          <w:szCs w:val="21"/>
          <w:highlight w:val="none"/>
          <w:lang w:val="en-US" w:eastAsia="zh-CN"/>
        </w:rPr>
        <w:t>二、评审方法</w:t>
      </w:r>
      <w:bookmarkEnd w:id="111"/>
      <w:bookmarkEnd w:id="112"/>
      <w:bookmarkEnd w:id="113"/>
      <w:bookmarkEnd w:id="114"/>
      <w:bookmarkEnd w:id="115"/>
      <w:bookmarkEnd w:id="116"/>
    </w:p>
    <w:p w14:paraId="2420CE64">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本项目采用综合评分法进行评审。</w:t>
      </w:r>
    </w:p>
    <w:p w14:paraId="199A90D2">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分法，是指响应文件满足比选文件全部实质性要求且按照评审因素的量化指标评审得分最高的供应商为成交供应商的评审方法。供应商总得分为价格、商务、服务等评定因素分别按照相应权重值计算分项得分后相加，满分为100分。</w:t>
      </w:r>
    </w:p>
    <w:p w14:paraId="59B28E7F">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（一）符合性审查</w:t>
      </w:r>
    </w:p>
    <w:p w14:paraId="32117F8B">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评审小组应当对符合资格的供应商的响应文件进行符合性审查，以确定其是否满足竞争性比选文件的实质性要求。符合性审查资料表如下：</w:t>
      </w:r>
    </w:p>
    <w:tbl>
      <w:tblPr>
        <w:tblStyle w:val="28"/>
        <w:tblW w:w="9468"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542"/>
        <w:gridCol w:w="1809"/>
        <w:gridCol w:w="5409"/>
      </w:tblGrid>
      <w:tr w14:paraId="1191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 w:hRule="atLeast"/>
        </w:trPr>
        <w:tc>
          <w:tcPr>
            <w:tcW w:w="708" w:type="dxa"/>
            <w:vAlign w:val="center"/>
          </w:tcPr>
          <w:p w14:paraId="6456D66E">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351" w:type="dxa"/>
            <w:gridSpan w:val="2"/>
            <w:vAlign w:val="center"/>
          </w:tcPr>
          <w:p w14:paraId="726D191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409" w:type="dxa"/>
            <w:vAlign w:val="center"/>
          </w:tcPr>
          <w:p w14:paraId="5E6987F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3B3E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08" w:type="dxa"/>
            <w:vMerge w:val="restart"/>
            <w:vAlign w:val="center"/>
          </w:tcPr>
          <w:p w14:paraId="21EAE4E0">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42" w:type="dxa"/>
            <w:vMerge w:val="restart"/>
            <w:vAlign w:val="center"/>
          </w:tcPr>
          <w:p w14:paraId="4B5B1926">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有效性审查</w:t>
            </w:r>
          </w:p>
        </w:tc>
        <w:tc>
          <w:tcPr>
            <w:tcW w:w="1809" w:type="dxa"/>
            <w:vAlign w:val="center"/>
          </w:tcPr>
          <w:p w14:paraId="00E0B45B">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响应文件签署</w:t>
            </w:r>
          </w:p>
        </w:tc>
        <w:tc>
          <w:tcPr>
            <w:tcW w:w="5409" w:type="dxa"/>
            <w:vAlign w:val="center"/>
          </w:tcPr>
          <w:p w14:paraId="4773A99A">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响应文件上法定代表人或其授权代表人的签字齐全。</w:t>
            </w:r>
          </w:p>
        </w:tc>
      </w:tr>
      <w:tr w14:paraId="10AB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08" w:type="dxa"/>
            <w:vMerge w:val="continue"/>
            <w:vAlign w:val="center"/>
          </w:tcPr>
          <w:p w14:paraId="5F76B79D">
            <w:pPr>
              <w:ind w:firstLine="720"/>
              <w:rPr>
                <w:rFonts w:hint="eastAsia" w:ascii="宋体" w:hAnsi="宋体" w:eastAsia="宋体" w:cs="宋体"/>
                <w:color w:val="auto"/>
                <w:sz w:val="21"/>
                <w:szCs w:val="21"/>
                <w:highlight w:val="none"/>
              </w:rPr>
            </w:pPr>
          </w:p>
        </w:tc>
        <w:tc>
          <w:tcPr>
            <w:tcW w:w="1542" w:type="dxa"/>
            <w:vMerge w:val="continue"/>
            <w:vAlign w:val="center"/>
          </w:tcPr>
          <w:p w14:paraId="686EE6A9">
            <w:pPr>
              <w:ind w:firstLine="720"/>
              <w:rPr>
                <w:rFonts w:hint="eastAsia" w:ascii="宋体" w:hAnsi="宋体" w:eastAsia="宋体" w:cs="宋体"/>
                <w:color w:val="auto"/>
                <w:sz w:val="21"/>
                <w:szCs w:val="21"/>
                <w:highlight w:val="none"/>
              </w:rPr>
            </w:pPr>
          </w:p>
        </w:tc>
        <w:tc>
          <w:tcPr>
            <w:tcW w:w="1809" w:type="dxa"/>
            <w:vAlign w:val="center"/>
          </w:tcPr>
          <w:p w14:paraId="0193DF6E">
            <w:pPr>
              <w:ind w:firstLine="0" w:firstLineChars="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参选</w:t>
            </w:r>
            <w:r>
              <w:rPr>
                <w:rFonts w:hint="eastAsia" w:ascii="宋体" w:hAnsi="宋体" w:eastAsia="宋体" w:cs="宋体"/>
                <w:color w:val="auto"/>
                <w:sz w:val="21"/>
                <w:szCs w:val="21"/>
                <w:highlight w:val="none"/>
                <w:lang w:val="zh-CN"/>
              </w:rPr>
              <w:t>方案</w:t>
            </w:r>
          </w:p>
        </w:tc>
        <w:tc>
          <w:tcPr>
            <w:tcW w:w="5409" w:type="dxa"/>
            <w:vAlign w:val="center"/>
          </w:tcPr>
          <w:p w14:paraId="20EF2002">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只能有一个方案参选。</w:t>
            </w:r>
          </w:p>
        </w:tc>
      </w:tr>
      <w:tr w14:paraId="63DA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8" w:type="dxa"/>
            <w:vMerge w:val="continue"/>
            <w:vAlign w:val="center"/>
          </w:tcPr>
          <w:p w14:paraId="23C62136">
            <w:pPr>
              <w:ind w:firstLine="720"/>
              <w:rPr>
                <w:rFonts w:hint="eastAsia" w:ascii="宋体" w:hAnsi="宋体" w:eastAsia="宋体" w:cs="宋体"/>
                <w:color w:val="auto"/>
                <w:sz w:val="21"/>
                <w:szCs w:val="21"/>
                <w:highlight w:val="none"/>
              </w:rPr>
            </w:pPr>
          </w:p>
        </w:tc>
        <w:tc>
          <w:tcPr>
            <w:tcW w:w="1542" w:type="dxa"/>
            <w:vMerge w:val="continue"/>
            <w:vAlign w:val="center"/>
          </w:tcPr>
          <w:p w14:paraId="02F4E20F">
            <w:pPr>
              <w:ind w:firstLine="720"/>
              <w:rPr>
                <w:rFonts w:hint="eastAsia" w:ascii="宋体" w:hAnsi="宋体" w:eastAsia="宋体" w:cs="宋体"/>
                <w:color w:val="auto"/>
                <w:sz w:val="21"/>
                <w:szCs w:val="21"/>
                <w:highlight w:val="none"/>
              </w:rPr>
            </w:pPr>
          </w:p>
        </w:tc>
        <w:tc>
          <w:tcPr>
            <w:tcW w:w="1809" w:type="dxa"/>
            <w:vAlign w:val="center"/>
          </w:tcPr>
          <w:p w14:paraId="07911595">
            <w:pPr>
              <w:ind w:firstLine="0" w:firstLineChars="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报价唯一</w:t>
            </w:r>
          </w:p>
        </w:tc>
        <w:tc>
          <w:tcPr>
            <w:tcW w:w="5409" w:type="dxa"/>
            <w:vAlign w:val="center"/>
          </w:tcPr>
          <w:p w14:paraId="63F5B2D5">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只能在采购预算范围内报价，</w:t>
            </w:r>
            <w:r>
              <w:rPr>
                <w:rFonts w:hint="eastAsia" w:ascii="宋体" w:hAnsi="宋体" w:eastAsia="宋体" w:cs="宋体"/>
                <w:color w:val="auto"/>
                <w:sz w:val="21"/>
                <w:szCs w:val="21"/>
                <w:highlight w:val="none"/>
              </w:rPr>
              <w:t>只能有一个有效报价，不得提交选择性报价。</w:t>
            </w:r>
          </w:p>
        </w:tc>
      </w:tr>
      <w:tr w14:paraId="4F4F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8" w:type="dxa"/>
            <w:vMerge w:val="restart"/>
            <w:vAlign w:val="center"/>
          </w:tcPr>
          <w:p w14:paraId="51D2EFF8">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42" w:type="dxa"/>
            <w:vMerge w:val="restart"/>
            <w:vAlign w:val="center"/>
          </w:tcPr>
          <w:p w14:paraId="244CED7D">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完整性审查</w:t>
            </w:r>
          </w:p>
        </w:tc>
        <w:tc>
          <w:tcPr>
            <w:tcW w:w="1809" w:type="dxa"/>
            <w:vAlign w:val="center"/>
          </w:tcPr>
          <w:p w14:paraId="363F9992">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响应文件份数</w:t>
            </w:r>
          </w:p>
        </w:tc>
        <w:tc>
          <w:tcPr>
            <w:tcW w:w="5409" w:type="dxa"/>
            <w:vAlign w:val="center"/>
          </w:tcPr>
          <w:p w14:paraId="40F3429E">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响应文件正、副本、</w:t>
            </w:r>
            <w:r>
              <w:rPr>
                <w:rFonts w:hint="eastAsia" w:ascii="宋体" w:hAnsi="宋体" w:eastAsia="宋体" w:cs="宋体"/>
                <w:color w:val="auto"/>
                <w:sz w:val="21"/>
                <w:szCs w:val="21"/>
                <w:highlight w:val="none"/>
              </w:rPr>
              <w:t>电子文档</w:t>
            </w:r>
            <w:r>
              <w:rPr>
                <w:rFonts w:hint="eastAsia" w:ascii="宋体" w:hAnsi="宋体" w:eastAsia="宋体" w:cs="宋体"/>
                <w:color w:val="auto"/>
                <w:sz w:val="21"/>
                <w:szCs w:val="21"/>
                <w:highlight w:val="none"/>
                <w:lang w:val="zh-CN"/>
              </w:rPr>
              <w:t>数量符合比选文件要求。</w:t>
            </w:r>
          </w:p>
        </w:tc>
      </w:tr>
      <w:tr w14:paraId="6708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8" w:type="dxa"/>
            <w:vMerge w:val="continue"/>
            <w:vAlign w:val="center"/>
          </w:tcPr>
          <w:p w14:paraId="36072AE3">
            <w:pPr>
              <w:ind w:firstLine="720"/>
              <w:rPr>
                <w:rFonts w:hint="eastAsia" w:ascii="宋体" w:hAnsi="宋体" w:eastAsia="宋体" w:cs="宋体"/>
                <w:color w:val="auto"/>
                <w:sz w:val="21"/>
                <w:szCs w:val="21"/>
                <w:highlight w:val="none"/>
              </w:rPr>
            </w:pPr>
          </w:p>
        </w:tc>
        <w:tc>
          <w:tcPr>
            <w:tcW w:w="1542" w:type="dxa"/>
            <w:vMerge w:val="continue"/>
            <w:vAlign w:val="center"/>
          </w:tcPr>
          <w:p w14:paraId="4C051F1B">
            <w:pPr>
              <w:ind w:firstLine="720"/>
              <w:rPr>
                <w:rFonts w:hint="eastAsia" w:ascii="宋体" w:hAnsi="宋体" w:eastAsia="宋体" w:cs="宋体"/>
                <w:color w:val="auto"/>
                <w:sz w:val="21"/>
                <w:szCs w:val="21"/>
                <w:highlight w:val="none"/>
              </w:rPr>
            </w:pPr>
          </w:p>
        </w:tc>
        <w:tc>
          <w:tcPr>
            <w:tcW w:w="1809" w:type="dxa"/>
            <w:vAlign w:val="center"/>
          </w:tcPr>
          <w:p w14:paraId="7B872413">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响应文件格式</w:t>
            </w:r>
          </w:p>
        </w:tc>
        <w:tc>
          <w:tcPr>
            <w:tcW w:w="5409" w:type="dxa"/>
            <w:vAlign w:val="center"/>
          </w:tcPr>
          <w:p w14:paraId="0A7FE1DE">
            <w:pP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响应文件</w:t>
            </w:r>
            <w:r>
              <w:rPr>
                <w:rFonts w:hint="eastAsia" w:ascii="宋体" w:hAnsi="宋体" w:eastAsia="宋体" w:cs="宋体"/>
                <w:color w:val="auto"/>
                <w:sz w:val="21"/>
                <w:szCs w:val="21"/>
                <w:highlight w:val="none"/>
              </w:rPr>
              <w:t>格式符合比选文件要求。</w:t>
            </w:r>
          </w:p>
        </w:tc>
      </w:tr>
      <w:tr w14:paraId="003B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8" w:type="dxa"/>
            <w:vMerge w:val="restart"/>
            <w:vAlign w:val="center"/>
          </w:tcPr>
          <w:p w14:paraId="57387A58">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42" w:type="dxa"/>
            <w:vMerge w:val="restart"/>
            <w:vAlign w:val="center"/>
          </w:tcPr>
          <w:p w14:paraId="2CBA609B">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w:t>
            </w:r>
          </w:p>
        </w:tc>
        <w:tc>
          <w:tcPr>
            <w:tcW w:w="1809" w:type="dxa"/>
            <w:vAlign w:val="center"/>
          </w:tcPr>
          <w:p w14:paraId="0518DD99">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响应文件内容</w:t>
            </w:r>
          </w:p>
        </w:tc>
        <w:tc>
          <w:tcPr>
            <w:tcW w:w="5409" w:type="dxa"/>
            <w:vAlign w:val="center"/>
          </w:tcPr>
          <w:p w14:paraId="25F9EE68">
            <w:pP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本比选文件第二篇规定的比选内容作出响应</w:t>
            </w:r>
          </w:p>
        </w:tc>
      </w:tr>
      <w:tr w14:paraId="7924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08" w:type="dxa"/>
            <w:vMerge w:val="continue"/>
            <w:vAlign w:val="center"/>
          </w:tcPr>
          <w:p w14:paraId="10FF6350">
            <w:pPr>
              <w:ind w:firstLine="720"/>
              <w:rPr>
                <w:rFonts w:hint="eastAsia" w:ascii="宋体" w:hAnsi="宋体" w:eastAsia="宋体" w:cs="宋体"/>
                <w:color w:val="auto"/>
                <w:sz w:val="21"/>
                <w:szCs w:val="21"/>
                <w:highlight w:val="none"/>
              </w:rPr>
            </w:pPr>
          </w:p>
        </w:tc>
        <w:tc>
          <w:tcPr>
            <w:tcW w:w="1542" w:type="dxa"/>
            <w:vMerge w:val="continue"/>
            <w:vAlign w:val="center"/>
          </w:tcPr>
          <w:p w14:paraId="3091B1A8">
            <w:pPr>
              <w:ind w:firstLine="720"/>
              <w:rPr>
                <w:rFonts w:hint="eastAsia" w:ascii="宋体" w:hAnsi="宋体" w:eastAsia="宋体" w:cs="宋体"/>
                <w:color w:val="auto"/>
                <w:sz w:val="21"/>
                <w:szCs w:val="21"/>
                <w:highlight w:val="none"/>
              </w:rPr>
            </w:pPr>
          </w:p>
        </w:tc>
        <w:tc>
          <w:tcPr>
            <w:tcW w:w="1809" w:type="dxa"/>
            <w:vAlign w:val="center"/>
          </w:tcPr>
          <w:p w14:paraId="605947B6">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响应文件内容</w:t>
            </w:r>
          </w:p>
        </w:tc>
        <w:tc>
          <w:tcPr>
            <w:tcW w:w="5409" w:type="dxa"/>
            <w:vAlign w:val="center"/>
          </w:tcPr>
          <w:p w14:paraId="5C2100AF">
            <w:pP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本比选文件第三篇规定的比选内容作出响应</w:t>
            </w:r>
          </w:p>
        </w:tc>
      </w:tr>
      <w:tr w14:paraId="164E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08" w:type="dxa"/>
            <w:vAlign w:val="center"/>
          </w:tcPr>
          <w:p w14:paraId="7AB2DC87">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42" w:type="dxa"/>
            <w:vAlign w:val="center"/>
          </w:tcPr>
          <w:p w14:paraId="3AC31543">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比选有效期</w:t>
            </w:r>
          </w:p>
        </w:tc>
        <w:tc>
          <w:tcPr>
            <w:tcW w:w="1809" w:type="dxa"/>
            <w:vAlign w:val="center"/>
          </w:tcPr>
          <w:p w14:paraId="69138CAB">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响应文件内容</w:t>
            </w:r>
          </w:p>
        </w:tc>
        <w:tc>
          <w:tcPr>
            <w:tcW w:w="5409" w:type="dxa"/>
            <w:vAlign w:val="center"/>
          </w:tcPr>
          <w:p w14:paraId="2E087A74">
            <w:pP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参选有效期为参选截止日期后九十天</w:t>
            </w:r>
          </w:p>
        </w:tc>
      </w:tr>
    </w:tbl>
    <w:p w14:paraId="5A5419C6">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澄清有关问题。对响应文件中含义不明确、同类问题表述不一致或者有明显文字和计算错误的内容，评审小组可以书面形式（应当由评审小组成员签字）要求供应商作出必要澄清、说明或者纠正。供应商的澄清、说明或者补正应当采用书面形式，由其法定代表人或法定代表人授权代表签字，其澄清的内容不得超出比选文件的范围或者改变比选文件的实质性内容。</w:t>
      </w:r>
    </w:p>
    <w:p w14:paraId="676DAC26">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（三）比较与评价。按竞争性比选文件中规定的评审方法和标准，对资格审查和符合性审查合格的响应文件分别进行商务、价格评分。</w:t>
      </w:r>
    </w:p>
    <w:p w14:paraId="75722B3B">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评审小组各成员独立对每个有效供应商（通过资格审查、</w:t>
      </w:r>
      <w:r>
        <w:rPr>
          <w:rFonts w:hint="eastAsia" w:ascii="宋体" w:hAnsi="宋体" w:eastAsia="宋体" w:cs="宋体"/>
          <w:color w:val="auto"/>
          <w:kern w:val="0"/>
          <w:sz w:val="21"/>
          <w:szCs w:val="21"/>
          <w:highlight w:val="none"/>
        </w:rPr>
        <w:t>符合性审查的供应商</w:t>
      </w:r>
      <w:r>
        <w:rPr>
          <w:rFonts w:hint="eastAsia" w:ascii="宋体" w:hAnsi="宋体" w:eastAsia="宋体" w:cs="宋体"/>
          <w:color w:val="auto"/>
          <w:sz w:val="21"/>
          <w:szCs w:val="21"/>
          <w:highlight w:val="none"/>
        </w:rPr>
        <w:t>）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37F1792F">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（四）推荐成交候选人名单。</w:t>
      </w:r>
    </w:p>
    <w:p w14:paraId="45C2D891">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评审后得分由高到低的排列顺序推荐综合得分排名前三的供应商为本包（项目）成交候选人，排名第一的为第一成交候选人。若供应商的评审得分相同的，按照报价得分由高到低的顺序排序推荐；评审得分且报价得分相同的，按照商务得分由高到低的顺序排序推荐；评审得分且最后商务得分相同的，按照服务得分由高到低的顺序排序推荐；服务得分相同的，则采取采购人抽签确定排序。</w:t>
      </w:r>
    </w:p>
    <w:p w14:paraId="5EFAFA02">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17" w:name="_Toc24428"/>
      <w:bookmarkStart w:id="118" w:name="_Toc15796"/>
      <w:bookmarkStart w:id="119" w:name="_Toc26881"/>
      <w:r>
        <w:rPr>
          <w:rFonts w:hint="eastAsia" w:ascii="宋体" w:hAnsi="宋体" w:eastAsia="宋体" w:cs="宋体"/>
          <w:b/>
          <w:color w:val="auto"/>
          <w:sz w:val="21"/>
          <w:szCs w:val="21"/>
          <w:highlight w:val="none"/>
          <w:lang w:val="en-US" w:eastAsia="zh-CN"/>
        </w:rPr>
        <w:t>三、评审标准</w:t>
      </w:r>
      <w:bookmarkEnd w:id="117"/>
      <w:bookmarkEnd w:id="118"/>
      <w:bookmarkEnd w:id="119"/>
    </w:p>
    <w:p w14:paraId="5D55F591">
      <w:pPr>
        <w:pStyle w:val="11"/>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（一）评审标准</w:t>
      </w:r>
    </w:p>
    <w:bookmarkEnd w:id="110"/>
    <w:tbl>
      <w:tblPr>
        <w:tblStyle w:val="28"/>
        <w:tblpPr w:leftFromText="180" w:rightFromText="180" w:vertAnchor="text" w:horzAnchor="page" w:tblpX="1288" w:tblpY="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992"/>
        <w:gridCol w:w="1276"/>
        <w:gridCol w:w="3858"/>
        <w:gridCol w:w="2968"/>
      </w:tblGrid>
      <w:tr w14:paraId="4A79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1EB19C9">
            <w:pPr>
              <w:keepLines/>
              <w:widowControl/>
              <w:spacing w:line="360" w:lineRule="auto"/>
              <w:ind w:left="0" w:leftChars="0" w:firstLine="0" w:firstLineChars="0"/>
              <w:jc w:val="both"/>
              <w:rPr>
                <w:rFonts w:hint="eastAsia" w:ascii="宋体" w:hAnsi="宋体" w:eastAsia="宋体" w:cs="宋体"/>
                <w:b/>
                <w:sz w:val="21"/>
                <w:szCs w:val="21"/>
              </w:rPr>
            </w:pPr>
            <w:bookmarkStart w:id="120" w:name="_Toc439685496"/>
            <w:bookmarkStart w:id="121" w:name="_Toc1598"/>
            <w:r>
              <w:rPr>
                <w:rFonts w:hint="eastAsia" w:ascii="宋体" w:hAnsi="宋体" w:eastAsia="宋体" w:cs="宋体"/>
                <w:b/>
                <w:sz w:val="21"/>
                <w:szCs w:val="21"/>
              </w:rPr>
              <w:t>序号</w:t>
            </w:r>
          </w:p>
        </w:tc>
        <w:tc>
          <w:tcPr>
            <w:tcW w:w="992" w:type="dxa"/>
            <w:vAlign w:val="center"/>
          </w:tcPr>
          <w:p w14:paraId="39106265">
            <w:pPr>
              <w:keepLines/>
              <w:widowControl/>
              <w:spacing w:line="360" w:lineRule="auto"/>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评分因素及权重</w:t>
            </w:r>
          </w:p>
        </w:tc>
        <w:tc>
          <w:tcPr>
            <w:tcW w:w="1276" w:type="dxa"/>
            <w:vAlign w:val="center"/>
          </w:tcPr>
          <w:p w14:paraId="72251D52">
            <w:pPr>
              <w:keepLines/>
              <w:widowControl/>
              <w:spacing w:line="360" w:lineRule="auto"/>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分值</w:t>
            </w:r>
          </w:p>
        </w:tc>
        <w:tc>
          <w:tcPr>
            <w:tcW w:w="3858" w:type="dxa"/>
            <w:vAlign w:val="center"/>
          </w:tcPr>
          <w:p w14:paraId="47B7E807">
            <w:pPr>
              <w:keepLines/>
              <w:widowControl/>
              <w:spacing w:line="360" w:lineRule="auto"/>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评分标准</w:t>
            </w:r>
          </w:p>
        </w:tc>
        <w:tc>
          <w:tcPr>
            <w:tcW w:w="2968" w:type="dxa"/>
            <w:vAlign w:val="center"/>
          </w:tcPr>
          <w:p w14:paraId="52391DE2">
            <w:pPr>
              <w:keepLines/>
              <w:widowControl/>
              <w:spacing w:line="360" w:lineRule="auto"/>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说明</w:t>
            </w:r>
          </w:p>
        </w:tc>
      </w:tr>
      <w:tr w14:paraId="3C56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999D01A">
            <w:pPr>
              <w:keepLines/>
              <w:widowControl/>
              <w:spacing w:line="360" w:lineRule="auto"/>
              <w:ind w:firstLine="28"/>
              <w:jc w:val="center"/>
              <w:rPr>
                <w:rFonts w:hint="eastAsia" w:ascii="宋体" w:hAnsi="宋体" w:eastAsia="宋体" w:cs="宋体"/>
                <w:sz w:val="21"/>
                <w:szCs w:val="21"/>
              </w:rPr>
            </w:pPr>
            <w:r>
              <w:rPr>
                <w:rFonts w:hint="eastAsia" w:ascii="宋体" w:hAnsi="宋体" w:eastAsia="宋体" w:cs="宋体"/>
                <w:sz w:val="21"/>
                <w:szCs w:val="21"/>
              </w:rPr>
              <w:t>1</w:t>
            </w:r>
          </w:p>
        </w:tc>
        <w:tc>
          <w:tcPr>
            <w:tcW w:w="992" w:type="dxa"/>
            <w:vAlign w:val="center"/>
          </w:tcPr>
          <w:p w14:paraId="774A54FA">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投标报价（40%）</w:t>
            </w:r>
          </w:p>
        </w:tc>
        <w:tc>
          <w:tcPr>
            <w:tcW w:w="1276" w:type="dxa"/>
            <w:vAlign w:val="center"/>
          </w:tcPr>
          <w:p w14:paraId="5EEB8588">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40分</w:t>
            </w:r>
          </w:p>
        </w:tc>
        <w:tc>
          <w:tcPr>
            <w:tcW w:w="3858" w:type="dxa"/>
            <w:vAlign w:val="center"/>
          </w:tcPr>
          <w:p w14:paraId="587447EE">
            <w:pPr>
              <w:keepLines/>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有效的投标报价中的最低价为评标基准价，其价格分为满分。其他投标人的价格分统一按照下列公式计算：</w:t>
            </w:r>
          </w:p>
          <w:p w14:paraId="3146D8AF">
            <w:pPr>
              <w:keepLines/>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投标报价得分＝（评标基准价/投标报价）×价格权重×100。</w:t>
            </w:r>
          </w:p>
        </w:tc>
        <w:tc>
          <w:tcPr>
            <w:tcW w:w="2968" w:type="dxa"/>
            <w:vAlign w:val="center"/>
          </w:tcPr>
          <w:p w14:paraId="5ED9218E">
            <w:pPr>
              <w:keepLines/>
              <w:widowControl/>
              <w:spacing w:line="360" w:lineRule="auto"/>
              <w:jc w:val="center"/>
              <w:rPr>
                <w:rFonts w:hint="eastAsia" w:ascii="宋体" w:hAnsi="宋体" w:eastAsia="宋体" w:cs="宋体"/>
                <w:sz w:val="21"/>
                <w:szCs w:val="21"/>
              </w:rPr>
            </w:pPr>
          </w:p>
        </w:tc>
      </w:tr>
      <w:tr w14:paraId="683F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4" w:type="dxa"/>
            <w:vMerge w:val="restart"/>
            <w:vAlign w:val="center"/>
          </w:tcPr>
          <w:p w14:paraId="7C4A81E6">
            <w:pPr>
              <w:keepLines/>
              <w:widowControl/>
              <w:spacing w:line="360" w:lineRule="auto"/>
              <w:ind w:firstLine="28"/>
              <w:jc w:val="center"/>
              <w:rPr>
                <w:rFonts w:hint="eastAsia" w:ascii="宋体" w:hAnsi="宋体" w:eastAsia="宋体" w:cs="宋体"/>
                <w:sz w:val="21"/>
                <w:szCs w:val="21"/>
              </w:rPr>
            </w:pPr>
            <w:r>
              <w:rPr>
                <w:rFonts w:hint="eastAsia" w:ascii="宋体" w:hAnsi="宋体" w:eastAsia="宋体" w:cs="宋体"/>
                <w:sz w:val="21"/>
                <w:szCs w:val="21"/>
              </w:rPr>
              <w:t>2</w:t>
            </w:r>
          </w:p>
        </w:tc>
        <w:tc>
          <w:tcPr>
            <w:tcW w:w="992" w:type="dxa"/>
            <w:vMerge w:val="restart"/>
            <w:vAlign w:val="center"/>
          </w:tcPr>
          <w:p w14:paraId="5B356CB4">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技术</w:t>
            </w:r>
            <w:r>
              <w:rPr>
                <w:rFonts w:hint="eastAsia" w:ascii="宋体" w:hAnsi="宋体" w:eastAsia="宋体" w:cs="宋体"/>
                <w:sz w:val="21"/>
                <w:szCs w:val="21"/>
                <w:lang w:eastAsia="zh-CN"/>
              </w:rPr>
              <w:t>部分</w:t>
            </w:r>
            <w:r>
              <w:rPr>
                <w:rFonts w:hint="eastAsia" w:ascii="宋体" w:hAnsi="宋体" w:eastAsia="宋体" w:cs="宋体"/>
                <w:sz w:val="21"/>
                <w:szCs w:val="21"/>
              </w:rPr>
              <w:t>（50%）</w:t>
            </w:r>
          </w:p>
        </w:tc>
        <w:tc>
          <w:tcPr>
            <w:tcW w:w="1276" w:type="dxa"/>
            <w:vMerge w:val="restart"/>
            <w:vAlign w:val="center"/>
          </w:tcPr>
          <w:p w14:paraId="71F3EE68">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服务方案</w:t>
            </w:r>
          </w:p>
          <w:p w14:paraId="6367BD9A">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50</w:t>
            </w:r>
            <w:r>
              <w:rPr>
                <w:rFonts w:hint="eastAsia" w:ascii="宋体" w:hAnsi="宋体" w:eastAsia="宋体" w:cs="宋体"/>
                <w:sz w:val="21"/>
                <w:szCs w:val="21"/>
              </w:rPr>
              <w:t>分）</w:t>
            </w:r>
          </w:p>
        </w:tc>
        <w:tc>
          <w:tcPr>
            <w:tcW w:w="3858" w:type="dxa"/>
            <w:vAlign w:val="center"/>
          </w:tcPr>
          <w:p w14:paraId="01459170">
            <w:pPr>
              <w:keepNext w:val="0"/>
              <w:keepLines w:val="0"/>
              <w:widowControl/>
              <w:numPr>
                <w:ilvl w:val="0"/>
                <w:numId w:val="1"/>
              </w:numPr>
              <w:suppressLineNumbers w:val="0"/>
              <w:spacing w:before="0" w:beforeAutospacing="0" w:after="0" w:afterAutospacing="0" w:line="360" w:lineRule="auto"/>
              <w:ind w:left="0" w:leftChars="0" w:right="0" w:firstLine="0" w:firstLineChars="0"/>
              <w:jc w:val="left"/>
              <w:outlineLvl w:val="9"/>
              <w:rPr>
                <w:rFonts w:hint="eastAsia" w:ascii="宋体" w:hAnsi="宋体" w:eastAsia="宋体" w:cs="宋体"/>
                <w:sz w:val="21"/>
                <w:szCs w:val="21"/>
                <w:lang w:val="en-US" w:eastAsia="zh-CN"/>
              </w:rPr>
            </w:pPr>
            <w:r>
              <w:rPr>
                <w:rFonts w:hint="eastAsia" w:ascii="宋体" w:hAnsi="宋体" w:eastAsia="宋体" w:cs="宋体"/>
                <w:sz w:val="21"/>
                <w:szCs w:val="21"/>
              </w:rPr>
              <w:t>实施</w:t>
            </w:r>
            <w:r>
              <w:rPr>
                <w:rFonts w:hint="eastAsia" w:ascii="宋体" w:hAnsi="宋体" w:eastAsia="宋体" w:cs="宋体"/>
                <w:sz w:val="21"/>
                <w:szCs w:val="21"/>
                <w:lang w:val="en-US" w:eastAsia="zh-CN"/>
              </w:rPr>
              <w:t>方案（</w:t>
            </w:r>
            <w:r>
              <w:rPr>
                <w:rFonts w:hint="eastAsia" w:ascii="宋体" w:hAnsi="宋体" w:eastAsia="宋体" w:cs="宋体"/>
                <w:sz w:val="21"/>
                <w:szCs w:val="21"/>
              </w:rPr>
              <w:t>10分</w:t>
            </w:r>
            <w:r>
              <w:rPr>
                <w:rFonts w:hint="eastAsia" w:ascii="宋体" w:hAnsi="宋体" w:eastAsia="宋体" w:cs="宋体"/>
                <w:sz w:val="21"/>
                <w:szCs w:val="21"/>
                <w:lang w:val="en-US" w:eastAsia="zh-CN"/>
              </w:rPr>
              <w:t>）</w:t>
            </w:r>
          </w:p>
          <w:p w14:paraId="11CB5302">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供应商根据项目需求提供针对本项目的实施方案，方案包含不限于</w:t>
            </w:r>
            <w:r>
              <w:rPr>
                <w:rFonts w:hint="eastAsia" w:ascii="宋体" w:hAnsi="宋体" w:eastAsia="宋体" w:cs="宋体"/>
                <w:kern w:val="2"/>
                <w:sz w:val="21"/>
                <w:szCs w:val="21"/>
                <w:lang w:val="en-US" w:eastAsia="zh-CN" w:bidi="ar-SA"/>
              </w:rPr>
              <w:t>①投标人须针对本项目编制专项</w:t>
            </w:r>
            <w:r>
              <w:rPr>
                <w:rFonts w:hint="eastAsia" w:ascii="宋体" w:hAnsi="宋体" w:eastAsia="宋体" w:cs="宋体"/>
                <w:sz w:val="21"/>
                <w:szCs w:val="21"/>
                <w:lang w:val="en-US" w:eastAsia="zh-CN"/>
              </w:rPr>
              <w:t>方案；②对本项目供货周期；③配送时效保障；④安装调试等内容，对方案内容进行评分。</w:t>
            </w:r>
          </w:p>
          <w:p w14:paraId="44B7DF12">
            <w:pPr>
              <w:keepLines/>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zh-TW" w:eastAsia="zh-CN"/>
              </w:rPr>
              <w:t>方案</w:t>
            </w:r>
            <w:r>
              <w:rPr>
                <w:rFonts w:hint="eastAsia" w:ascii="宋体" w:hAnsi="宋体" w:eastAsia="宋体" w:cs="宋体"/>
                <w:sz w:val="21"/>
                <w:szCs w:val="21"/>
                <w:lang w:val="en-US" w:eastAsia="zh-CN"/>
              </w:rPr>
              <w:t>完整包含以上内容且描述清晰合理，可实施性强的得10分，每有一项缺项扣2.5分，每有一处瑕疵的扣1分，扣完为止。</w:t>
            </w:r>
          </w:p>
        </w:tc>
        <w:tc>
          <w:tcPr>
            <w:tcW w:w="2968" w:type="dxa"/>
            <w:vMerge w:val="restart"/>
            <w:vAlign w:val="center"/>
          </w:tcPr>
          <w:p w14:paraId="3320C943">
            <w:pPr>
              <w:keepNext w:val="0"/>
              <w:keepLines w:val="0"/>
              <w:pageBreakBefore w:val="0"/>
              <w:numPr>
                <w:ilvl w:val="0"/>
                <w:numId w:val="0"/>
              </w:numPr>
              <w:shd w:val="clear"/>
              <w:kinsoku/>
              <w:overflowPunct/>
              <w:topLinePunct w:val="0"/>
              <w:autoSpaceDE/>
              <w:autoSpaceDN/>
              <w:bidi w:val="0"/>
              <w:adjustRightInd/>
              <w:spacing w:line="240" w:lineRule="auto"/>
              <w:ind w:left="0" w:leftChars="0" w:firstLine="210"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方案格式由</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自拟。方案编制应精简凝练，不得出现重复啰嗦、泛泛而谈的无效表述，杜绝程式化</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套话、无实质内容的虚写，紧扣</w:t>
            </w:r>
            <w:r>
              <w:rPr>
                <w:rFonts w:hint="eastAsia" w:ascii="宋体" w:hAnsi="宋体" w:eastAsia="宋体" w:cs="宋体"/>
                <w:color w:val="auto"/>
                <w:sz w:val="21"/>
                <w:szCs w:val="21"/>
                <w:highlight w:val="none"/>
                <w:lang w:val="en-US" w:eastAsia="zh-CN"/>
              </w:rPr>
              <w:t>采购需求</w:t>
            </w:r>
            <w:r>
              <w:rPr>
                <w:rFonts w:hint="eastAsia" w:ascii="宋体" w:hAnsi="宋体" w:eastAsia="宋体" w:cs="宋体"/>
                <w:color w:val="auto"/>
                <w:sz w:val="21"/>
                <w:szCs w:val="21"/>
                <w:highlight w:val="none"/>
              </w:rPr>
              <w:t>事项列明具体思路、举措与依据。</w:t>
            </w:r>
          </w:p>
          <w:p w14:paraId="789A3CA8">
            <w:pPr>
              <w:keepNext w:val="0"/>
              <w:keepLines w:val="0"/>
              <w:pageBreakBefore w:val="0"/>
              <w:widowControl w:val="0"/>
              <w:numPr>
                <w:ilvl w:val="0"/>
                <w:numId w:val="0"/>
              </w:numPr>
              <w:shd w:val="clear"/>
              <w:kinsoku/>
              <w:wordWrap/>
              <w:overflowPunct/>
              <w:topLinePunct w:val="0"/>
              <w:autoSpaceDE/>
              <w:autoSpaceDN/>
              <w:bidi w:val="0"/>
              <w:adjustRightInd/>
              <w:spacing w:line="240" w:lineRule="auto"/>
              <w:ind w:left="0" w:leftChars="0" w:firstLine="210"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lang w:val="en-US" w:eastAsia="zh-CN" w:bidi="ar-SA"/>
              </w:rPr>
              <w:t>2、</w:t>
            </w:r>
            <w:r>
              <w:rPr>
                <w:rFonts w:hint="eastAsia" w:ascii="宋体" w:hAnsi="宋体" w:cs="宋体"/>
                <w:color w:val="auto"/>
                <w:sz w:val="21"/>
                <w:szCs w:val="21"/>
                <w:highlight w:val="none"/>
                <w:lang w:val="en-US" w:eastAsia="zh-CN"/>
              </w:rPr>
              <w:t>评审小组</w:t>
            </w:r>
            <w:r>
              <w:rPr>
                <w:rFonts w:hint="eastAsia" w:ascii="宋体" w:hAnsi="宋体" w:eastAsia="宋体" w:cs="宋体"/>
                <w:color w:val="auto"/>
                <w:sz w:val="21"/>
                <w:szCs w:val="21"/>
                <w:highlight w:val="none"/>
                <w:lang w:val="en-US" w:eastAsia="zh-CN"/>
              </w:rPr>
              <w:t>根据投标</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的服务方案进行独立评审打分。投标</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的得分取所有</w:t>
            </w:r>
            <w:r>
              <w:rPr>
                <w:rFonts w:hint="eastAsia" w:ascii="宋体" w:hAnsi="宋体" w:cs="宋体"/>
                <w:color w:val="auto"/>
                <w:sz w:val="21"/>
                <w:szCs w:val="21"/>
                <w:highlight w:val="none"/>
                <w:lang w:val="en-US" w:eastAsia="zh-CN"/>
              </w:rPr>
              <w:t>评审小组</w:t>
            </w:r>
            <w:r>
              <w:rPr>
                <w:rFonts w:hint="eastAsia" w:ascii="宋体" w:hAnsi="宋体" w:eastAsia="宋体" w:cs="宋体"/>
                <w:color w:val="auto"/>
                <w:sz w:val="21"/>
                <w:szCs w:val="21"/>
                <w:highlight w:val="none"/>
                <w:lang w:val="en-US" w:eastAsia="zh-CN"/>
              </w:rPr>
              <w:t>成员打分的算术平均值（按四舍五入保留两位小数）。</w:t>
            </w:r>
          </w:p>
          <w:p w14:paraId="13B8A8FC">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本项内容中所称的“瑕疵”</w:t>
            </w:r>
            <w:r>
              <w:rPr>
                <w:rFonts w:hint="eastAsia" w:ascii="宋体" w:hAnsi="宋体" w:eastAsia="宋体" w:cs="宋体"/>
                <w:color w:val="auto"/>
                <w:sz w:val="21"/>
                <w:szCs w:val="21"/>
                <w:highlight w:val="none"/>
                <w:lang w:val="en-US" w:eastAsia="zh-CN"/>
              </w:rPr>
              <w:t>包括但不限于</w:t>
            </w:r>
            <w:r>
              <w:rPr>
                <w:rFonts w:hint="eastAsia" w:ascii="宋体" w:hAnsi="宋体" w:eastAsia="宋体" w:cs="宋体"/>
                <w:color w:val="auto"/>
                <w:sz w:val="21"/>
                <w:szCs w:val="21"/>
                <w:highlight w:val="none"/>
              </w:rPr>
              <w:t>：</w:t>
            </w:r>
          </w:p>
          <w:p w14:paraId="05975EC7">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未深刻理解项目要求，导致方案内容表述简单空洞</w:t>
            </w:r>
            <w:r>
              <w:rPr>
                <w:rFonts w:hint="eastAsia" w:ascii="宋体" w:hAnsi="宋体" w:eastAsia="宋体" w:cs="宋体"/>
                <w:color w:val="auto"/>
                <w:sz w:val="21"/>
                <w:szCs w:val="21"/>
                <w:highlight w:val="none"/>
                <w:lang w:eastAsia="zh-CN"/>
              </w:rPr>
              <w:t>；</w:t>
            </w:r>
          </w:p>
          <w:p w14:paraId="7BEBA891">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方案内容缺项、内容表述不完整或缺少关键分析点；</w:t>
            </w:r>
          </w:p>
          <w:p w14:paraId="7EE2238F">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方案内容表述前后矛盾、无连贯性；</w:t>
            </w:r>
          </w:p>
          <w:p w14:paraId="237B4D40">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内容存在逻辑漏洞、常识错误；</w:t>
            </w:r>
          </w:p>
          <w:p w14:paraId="02B725DC">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）方案内容不具有先进思路或时效性低下或安全性低或缺乏稳定可靠的相关保障措施、流程或进度或不合理、不具有可行性或具体措施不适用本项目特性或非专门针对本项目制定；</w:t>
            </w:r>
          </w:p>
          <w:p w14:paraId="539EAA7D">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）方案中提出的措施举措不利于本项目目标的实现；</w:t>
            </w:r>
          </w:p>
          <w:p w14:paraId="037A85A3">
            <w:pPr>
              <w:keepNext w:val="0"/>
              <w:keepLines w:val="0"/>
              <w:suppressLineNumbers w:val="0"/>
              <w:snapToGrid w:val="0"/>
              <w:spacing w:before="0" w:beforeAutospacing="0" w:after="0" w:afterAutospacing="0" w:line="240" w:lineRule="auto"/>
              <w:ind w:left="0" w:right="0"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）现有技术条件下不可能出现的情形。</w:t>
            </w:r>
          </w:p>
          <w:p w14:paraId="3964BA12">
            <w:pPr>
              <w:keepNext w:val="0"/>
              <w:keepLines w:val="0"/>
              <w:suppressLineNumbers w:val="0"/>
              <w:snapToGrid w:val="0"/>
              <w:spacing w:before="0" w:beforeAutospacing="0" w:after="0" w:afterAutospacing="0" w:line="240" w:lineRule="auto"/>
              <w:ind w:left="0" w:right="0" w:firstLine="420" w:firstLineChars="200"/>
              <w:outlineLvl w:val="9"/>
              <w:rPr>
                <w:rFonts w:hint="eastAsia" w:ascii="宋体" w:hAnsi="宋体" w:eastAsia="宋体" w:cs="宋体"/>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8）长篇累述，重复、</w:t>
            </w:r>
            <w:r>
              <w:rPr>
                <w:rFonts w:hint="eastAsia" w:ascii="宋体" w:hAnsi="宋体" w:eastAsia="宋体" w:cs="宋体"/>
                <w:color w:val="auto"/>
                <w:sz w:val="21"/>
                <w:szCs w:val="21"/>
                <w:highlight w:val="none"/>
              </w:rPr>
              <w:t>程式化</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无实质内容的虚写</w:t>
            </w:r>
            <w:r>
              <w:rPr>
                <w:rFonts w:hint="eastAsia" w:ascii="宋体" w:hAnsi="宋体" w:eastAsia="宋体" w:cs="宋体"/>
                <w:color w:val="auto"/>
                <w:sz w:val="21"/>
                <w:szCs w:val="21"/>
                <w:highlight w:val="none"/>
                <w:lang w:eastAsia="zh-CN"/>
              </w:rPr>
              <w:t>。</w:t>
            </w:r>
          </w:p>
        </w:tc>
      </w:tr>
      <w:tr w14:paraId="09C7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534" w:type="dxa"/>
            <w:vMerge w:val="continue"/>
            <w:vAlign w:val="center"/>
          </w:tcPr>
          <w:p w14:paraId="73BD22AC">
            <w:pPr>
              <w:keepLines/>
              <w:widowControl/>
              <w:spacing w:line="360" w:lineRule="auto"/>
              <w:ind w:firstLine="420" w:firstLineChars="200"/>
              <w:rPr>
                <w:rFonts w:hint="eastAsia" w:ascii="宋体" w:hAnsi="宋体" w:eastAsia="宋体" w:cs="宋体"/>
                <w:sz w:val="21"/>
                <w:szCs w:val="21"/>
              </w:rPr>
            </w:pPr>
          </w:p>
        </w:tc>
        <w:tc>
          <w:tcPr>
            <w:tcW w:w="992" w:type="dxa"/>
            <w:vMerge w:val="continue"/>
            <w:vAlign w:val="center"/>
          </w:tcPr>
          <w:p w14:paraId="3DA19D59">
            <w:pPr>
              <w:keepLines/>
              <w:widowControl/>
              <w:spacing w:line="360" w:lineRule="auto"/>
              <w:ind w:firstLine="420" w:firstLineChars="200"/>
              <w:rPr>
                <w:rFonts w:hint="eastAsia" w:ascii="宋体" w:hAnsi="宋体" w:eastAsia="宋体" w:cs="宋体"/>
                <w:sz w:val="21"/>
                <w:szCs w:val="21"/>
              </w:rPr>
            </w:pPr>
          </w:p>
        </w:tc>
        <w:tc>
          <w:tcPr>
            <w:tcW w:w="1276" w:type="dxa"/>
            <w:vMerge w:val="continue"/>
            <w:vAlign w:val="center"/>
          </w:tcPr>
          <w:p w14:paraId="33D0B52D">
            <w:pPr>
              <w:keepLines/>
              <w:widowControl/>
              <w:spacing w:line="360" w:lineRule="auto"/>
              <w:ind w:firstLine="420" w:firstLineChars="200"/>
              <w:rPr>
                <w:rFonts w:hint="eastAsia" w:ascii="宋体" w:hAnsi="宋体" w:eastAsia="宋体" w:cs="宋体"/>
                <w:sz w:val="21"/>
                <w:szCs w:val="21"/>
              </w:rPr>
            </w:pPr>
          </w:p>
        </w:tc>
        <w:tc>
          <w:tcPr>
            <w:tcW w:w="3858" w:type="dxa"/>
            <w:vAlign w:val="center"/>
          </w:tcPr>
          <w:p w14:paraId="1328E72E">
            <w:pPr>
              <w:keepNext w:val="0"/>
              <w:keepLines w:val="0"/>
              <w:widowControl/>
              <w:numPr>
                <w:ilvl w:val="0"/>
                <w:numId w:val="1"/>
              </w:numPr>
              <w:suppressLineNumbers w:val="0"/>
              <w:spacing w:before="0" w:beforeAutospacing="0" w:after="0" w:afterAutospacing="0" w:line="360" w:lineRule="auto"/>
              <w:ind w:left="0" w:leftChars="0" w:right="0" w:firstLine="0" w:firstLineChars="0"/>
              <w:jc w:val="left"/>
              <w:outlineLvl w:val="9"/>
              <w:rPr>
                <w:rFonts w:hint="eastAsia" w:ascii="宋体" w:hAnsi="宋体" w:eastAsia="宋体" w:cs="宋体"/>
                <w:sz w:val="21"/>
                <w:szCs w:val="21"/>
                <w:lang w:eastAsia="zh-CN"/>
              </w:rPr>
            </w:pPr>
            <w:r>
              <w:rPr>
                <w:rFonts w:hint="eastAsia" w:ascii="宋体" w:hAnsi="宋体" w:eastAsia="宋体" w:cs="宋体"/>
                <w:sz w:val="21"/>
                <w:szCs w:val="21"/>
              </w:rPr>
              <w:t>质量保障方案（</w:t>
            </w:r>
            <w:r>
              <w:rPr>
                <w:rFonts w:hint="eastAsia" w:ascii="宋体" w:hAnsi="宋体" w:eastAsia="宋体" w:cs="宋体"/>
                <w:sz w:val="21"/>
                <w:szCs w:val="21"/>
                <w:lang w:val="en-US" w:eastAsia="zh-CN"/>
              </w:rPr>
              <w:t>20</w:t>
            </w:r>
            <w:r>
              <w:rPr>
                <w:rFonts w:hint="eastAsia" w:ascii="宋体" w:hAnsi="宋体" w:eastAsia="宋体" w:cs="宋体"/>
                <w:sz w:val="21"/>
                <w:szCs w:val="21"/>
              </w:rPr>
              <w:t>分）</w:t>
            </w:r>
          </w:p>
          <w:p w14:paraId="2227ECE6">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制定覆盖本项目质量管控保障方案，包含但不限于：</w:t>
            </w:r>
          </w:p>
          <w:p w14:paraId="59253375">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上游原厂货源管控，出厂合格证、第三方检测报告核验机制；②仓储分区、防潮、防锈、防挤压存储管理制度；③到货现场抽样验收、数量核对、外观质检入库流程；④不合格、破损退换、补货、溯源追责管控流程。</w:t>
            </w:r>
          </w:p>
          <w:p w14:paraId="3E195038">
            <w:pPr>
              <w:keepLines/>
              <w:widowControl/>
              <w:spacing w:line="360" w:lineRule="auto"/>
              <w:ind w:firstLine="420" w:firstLineChars="200"/>
              <w:rPr>
                <w:rFonts w:hint="eastAsia" w:ascii="宋体" w:hAnsi="宋体" w:eastAsia="宋体" w:cs="宋体"/>
                <w:sz w:val="21"/>
                <w:szCs w:val="21"/>
                <w:lang w:val="zh-TW"/>
              </w:rPr>
            </w:pPr>
            <w:r>
              <w:rPr>
                <w:rFonts w:hint="eastAsia" w:ascii="宋体" w:hAnsi="宋体" w:eastAsia="宋体" w:cs="宋体"/>
                <w:sz w:val="21"/>
                <w:szCs w:val="21"/>
                <w:lang w:val="zh-TW"/>
              </w:rPr>
              <w:t>方案完整包含以上内容且描述清晰合理，可实施性强的得</w:t>
            </w:r>
            <w:r>
              <w:rPr>
                <w:rFonts w:hint="eastAsia" w:ascii="宋体" w:hAnsi="宋体" w:eastAsia="宋体" w:cs="宋体"/>
                <w:sz w:val="21"/>
                <w:szCs w:val="21"/>
                <w:lang w:val="en-US" w:eastAsia="zh-CN"/>
              </w:rPr>
              <w:t>20</w:t>
            </w:r>
            <w:r>
              <w:rPr>
                <w:rFonts w:hint="eastAsia" w:ascii="宋体" w:hAnsi="宋体" w:eastAsia="宋体" w:cs="宋体"/>
                <w:sz w:val="21"/>
                <w:szCs w:val="21"/>
                <w:lang w:val="zh-TW"/>
              </w:rPr>
              <w:t>分，每有一项缺项扣</w:t>
            </w:r>
            <w:r>
              <w:rPr>
                <w:rFonts w:hint="eastAsia" w:ascii="宋体" w:hAnsi="宋体" w:eastAsia="宋体" w:cs="宋体"/>
                <w:sz w:val="21"/>
                <w:szCs w:val="21"/>
                <w:lang w:val="en-US" w:eastAsia="zh-CN"/>
              </w:rPr>
              <w:t>5</w:t>
            </w:r>
            <w:r>
              <w:rPr>
                <w:rFonts w:hint="eastAsia" w:ascii="宋体" w:hAnsi="宋体" w:eastAsia="宋体" w:cs="宋体"/>
                <w:sz w:val="21"/>
                <w:szCs w:val="21"/>
                <w:lang w:val="zh-TW"/>
              </w:rPr>
              <w:t>分，每有一处</w:t>
            </w:r>
            <w:r>
              <w:rPr>
                <w:rFonts w:hint="eastAsia" w:ascii="宋体" w:hAnsi="宋体" w:eastAsia="宋体" w:cs="宋体"/>
                <w:sz w:val="21"/>
                <w:szCs w:val="21"/>
                <w:lang w:val="en-US" w:eastAsia="zh-CN"/>
              </w:rPr>
              <w:t>瑕疵</w:t>
            </w:r>
            <w:r>
              <w:rPr>
                <w:rFonts w:hint="eastAsia" w:ascii="宋体" w:hAnsi="宋体" w:eastAsia="宋体" w:cs="宋体"/>
                <w:sz w:val="21"/>
                <w:szCs w:val="21"/>
                <w:lang w:val="zh-TW"/>
              </w:rPr>
              <w:t>的扣1分，扣完为止。</w:t>
            </w:r>
          </w:p>
        </w:tc>
        <w:tc>
          <w:tcPr>
            <w:tcW w:w="2968" w:type="dxa"/>
            <w:vMerge w:val="continue"/>
            <w:vAlign w:val="center"/>
          </w:tcPr>
          <w:p w14:paraId="0A9E5B18">
            <w:pPr>
              <w:keepLines/>
              <w:widowControl/>
              <w:spacing w:line="360" w:lineRule="auto"/>
              <w:ind w:firstLine="420" w:firstLineChars="200"/>
              <w:rPr>
                <w:rFonts w:hint="eastAsia" w:ascii="宋体" w:hAnsi="宋体" w:eastAsia="宋体" w:cs="宋体"/>
                <w:sz w:val="21"/>
                <w:szCs w:val="21"/>
                <w:lang w:val="zh-TW"/>
              </w:rPr>
            </w:pPr>
          </w:p>
        </w:tc>
      </w:tr>
      <w:tr w14:paraId="41C9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5" w:hRule="atLeast"/>
        </w:trPr>
        <w:tc>
          <w:tcPr>
            <w:tcW w:w="534" w:type="dxa"/>
            <w:vMerge w:val="continue"/>
            <w:vAlign w:val="center"/>
          </w:tcPr>
          <w:p w14:paraId="283F82D1">
            <w:pPr>
              <w:keepLines/>
              <w:widowControl/>
              <w:spacing w:line="360" w:lineRule="auto"/>
              <w:ind w:firstLine="420" w:firstLineChars="200"/>
              <w:rPr>
                <w:rFonts w:hint="eastAsia" w:ascii="宋体" w:hAnsi="宋体" w:eastAsia="宋体" w:cs="宋体"/>
                <w:sz w:val="21"/>
                <w:szCs w:val="21"/>
                <w:lang w:val="zh-TW"/>
              </w:rPr>
            </w:pPr>
          </w:p>
        </w:tc>
        <w:tc>
          <w:tcPr>
            <w:tcW w:w="992" w:type="dxa"/>
            <w:vMerge w:val="continue"/>
            <w:vAlign w:val="center"/>
          </w:tcPr>
          <w:p w14:paraId="31A02AED">
            <w:pPr>
              <w:keepLines/>
              <w:widowControl/>
              <w:spacing w:line="360" w:lineRule="auto"/>
              <w:ind w:firstLine="420" w:firstLineChars="200"/>
              <w:rPr>
                <w:rFonts w:hint="eastAsia" w:ascii="宋体" w:hAnsi="宋体" w:eastAsia="宋体" w:cs="宋体"/>
                <w:sz w:val="21"/>
                <w:szCs w:val="21"/>
                <w:lang w:val="zh-TW"/>
              </w:rPr>
            </w:pPr>
          </w:p>
        </w:tc>
        <w:tc>
          <w:tcPr>
            <w:tcW w:w="1276" w:type="dxa"/>
            <w:vMerge w:val="continue"/>
            <w:vAlign w:val="center"/>
          </w:tcPr>
          <w:p w14:paraId="607653B0">
            <w:pPr>
              <w:keepLines/>
              <w:widowControl/>
              <w:spacing w:line="360" w:lineRule="auto"/>
              <w:ind w:firstLine="420" w:firstLineChars="200"/>
              <w:rPr>
                <w:rFonts w:hint="eastAsia" w:ascii="宋体" w:hAnsi="宋体" w:eastAsia="宋体" w:cs="宋体"/>
                <w:sz w:val="21"/>
                <w:szCs w:val="21"/>
                <w:lang w:val="zh-TW"/>
              </w:rPr>
            </w:pPr>
          </w:p>
        </w:tc>
        <w:tc>
          <w:tcPr>
            <w:tcW w:w="3858" w:type="dxa"/>
            <w:vAlign w:val="center"/>
          </w:tcPr>
          <w:p w14:paraId="3BEB3E70">
            <w:pPr>
              <w:keepNext w:val="0"/>
              <w:keepLines w:val="0"/>
              <w:widowControl/>
              <w:numPr>
                <w:ilvl w:val="0"/>
                <w:numId w:val="1"/>
              </w:numPr>
              <w:suppressLineNumbers w:val="0"/>
              <w:spacing w:before="0" w:beforeAutospacing="0" w:after="0" w:afterAutospacing="0" w:line="360" w:lineRule="auto"/>
              <w:ind w:left="0" w:leftChars="0" w:right="0" w:firstLine="0" w:firstLineChars="0"/>
              <w:jc w:val="left"/>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售后服务方案（20分）</w:t>
            </w:r>
          </w:p>
          <w:p w14:paraId="353C03E5">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供应商针对本项目制定售后服务方案，包含但不限于：</w:t>
            </w:r>
          </w:p>
          <w:p w14:paraId="4C572ABE">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本项目专属售后对接团队、岗位职责、分工机制；②各产品法定质保期限、破损包换、质量问题赔付细则；③现场售后上门响应时限、现场处置流程；④供货断供、批量质量缺陷、工期延误突发事件应急处置预案等。</w:t>
            </w:r>
          </w:p>
          <w:p w14:paraId="142D58F7">
            <w:pPr>
              <w:keepLines/>
              <w:widowControl/>
              <w:spacing w:line="360" w:lineRule="auto"/>
              <w:ind w:firstLine="420" w:firstLineChars="200"/>
              <w:rPr>
                <w:rFonts w:hint="eastAsia" w:ascii="宋体" w:hAnsi="宋体" w:eastAsia="宋体" w:cs="宋体"/>
                <w:sz w:val="21"/>
                <w:szCs w:val="21"/>
                <w:lang w:val="zh-TW"/>
              </w:rPr>
            </w:pPr>
            <w:r>
              <w:rPr>
                <w:rFonts w:hint="eastAsia" w:ascii="宋体" w:hAnsi="宋体" w:eastAsia="宋体" w:cs="宋体"/>
                <w:sz w:val="21"/>
                <w:szCs w:val="21"/>
                <w:lang w:val="zh-TW" w:eastAsia="zh-CN"/>
              </w:rPr>
              <w:t>方案</w:t>
            </w:r>
            <w:r>
              <w:rPr>
                <w:rFonts w:hint="eastAsia" w:ascii="宋体" w:hAnsi="宋体" w:eastAsia="宋体" w:cs="宋体"/>
                <w:sz w:val="21"/>
                <w:szCs w:val="21"/>
                <w:lang w:val="en-US" w:eastAsia="zh-CN"/>
              </w:rPr>
              <w:t>完整包含以上内容且描述清晰合理，可实施性强的得20分，每有一项缺项扣5分，每有一处瑕疵的扣1分，扣完为止。</w:t>
            </w:r>
          </w:p>
        </w:tc>
        <w:tc>
          <w:tcPr>
            <w:tcW w:w="2968" w:type="dxa"/>
            <w:vMerge w:val="continue"/>
            <w:vAlign w:val="center"/>
          </w:tcPr>
          <w:p w14:paraId="263BE948">
            <w:pPr>
              <w:keepLines/>
              <w:widowControl/>
              <w:spacing w:line="360" w:lineRule="auto"/>
              <w:ind w:firstLine="420" w:firstLineChars="200"/>
              <w:rPr>
                <w:rFonts w:hint="eastAsia" w:ascii="宋体" w:hAnsi="宋体" w:eastAsia="宋体" w:cs="宋体"/>
                <w:sz w:val="21"/>
                <w:szCs w:val="21"/>
                <w:lang w:val="zh-TW"/>
              </w:rPr>
            </w:pPr>
          </w:p>
        </w:tc>
      </w:tr>
      <w:tr w14:paraId="0E83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534" w:type="dxa"/>
            <w:vAlign w:val="center"/>
          </w:tcPr>
          <w:p w14:paraId="31104CAC">
            <w:pPr>
              <w:keepLines/>
              <w:widowControl/>
              <w:spacing w:line="360" w:lineRule="auto"/>
              <w:ind w:firstLine="28"/>
              <w:jc w:val="center"/>
              <w:rPr>
                <w:rFonts w:hint="eastAsia" w:ascii="宋体" w:hAnsi="宋体" w:eastAsia="宋体" w:cs="宋体"/>
                <w:sz w:val="21"/>
                <w:szCs w:val="21"/>
              </w:rPr>
            </w:pPr>
            <w:r>
              <w:rPr>
                <w:rFonts w:hint="eastAsia" w:ascii="宋体" w:hAnsi="宋体" w:eastAsia="宋体" w:cs="宋体"/>
                <w:sz w:val="21"/>
                <w:szCs w:val="21"/>
              </w:rPr>
              <w:t>3</w:t>
            </w:r>
          </w:p>
        </w:tc>
        <w:tc>
          <w:tcPr>
            <w:tcW w:w="992" w:type="dxa"/>
            <w:vAlign w:val="center"/>
          </w:tcPr>
          <w:p w14:paraId="584BB0EF">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商务部分（10%）</w:t>
            </w:r>
          </w:p>
        </w:tc>
        <w:tc>
          <w:tcPr>
            <w:tcW w:w="1276" w:type="dxa"/>
            <w:vAlign w:val="center"/>
          </w:tcPr>
          <w:p w14:paraId="08B6A740">
            <w:pPr>
              <w:keepLines/>
              <w:widowControl/>
              <w:spacing w:line="360" w:lineRule="auto"/>
              <w:ind w:left="0" w:leftChars="0" w:firstLine="0" w:firstLineChars="0"/>
              <w:jc w:val="center"/>
              <w:rPr>
                <w:rFonts w:hint="eastAsia" w:ascii="宋体" w:hAnsi="宋体" w:eastAsia="宋体" w:cs="宋体"/>
                <w:bCs/>
                <w:sz w:val="21"/>
                <w:szCs w:val="21"/>
              </w:rPr>
            </w:pPr>
            <w:r>
              <w:rPr>
                <w:rFonts w:hint="eastAsia" w:ascii="宋体" w:hAnsi="宋体" w:eastAsia="宋体" w:cs="宋体"/>
                <w:bCs/>
                <w:sz w:val="21"/>
                <w:szCs w:val="21"/>
              </w:rPr>
              <w:t>业绩</w:t>
            </w:r>
          </w:p>
          <w:p w14:paraId="312F7E70">
            <w:pPr>
              <w:keepLines/>
              <w:widowControl/>
              <w:spacing w:line="36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bCs/>
                <w:sz w:val="21"/>
                <w:szCs w:val="21"/>
              </w:rPr>
              <w:t>（10分）</w:t>
            </w:r>
          </w:p>
          <w:p w14:paraId="23209DC8">
            <w:pPr>
              <w:keepLines/>
              <w:widowControl/>
              <w:spacing w:line="360" w:lineRule="auto"/>
              <w:ind w:firstLine="28"/>
              <w:jc w:val="center"/>
              <w:rPr>
                <w:rFonts w:hint="eastAsia" w:ascii="宋体" w:hAnsi="宋体" w:eastAsia="宋体" w:cs="宋体"/>
                <w:sz w:val="21"/>
                <w:szCs w:val="21"/>
              </w:rPr>
            </w:pPr>
          </w:p>
        </w:tc>
        <w:tc>
          <w:tcPr>
            <w:tcW w:w="3858" w:type="dxa"/>
            <w:vAlign w:val="center"/>
          </w:tcPr>
          <w:p w14:paraId="474EDBD1">
            <w:pPr>
              <w:keepLines/>
              <w:widowControl/>
              <w:spacing w:line="360" w:lineRule="auto"/>
              <w:rPr>
                <w:rFonts w:hint="eastAsia" w:ascii="宋体" w:hAnsi="宋体" w:eastAsia="宋体" w:cs="宋体"/>
                <w:color w:val="0000FF"/>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年1月1日至</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以合同签订时间为准</w:t>
            </w:r>
            <w:r>
              <w:rPr>
                <w:rFonts w:hint="eastAsia" w:ascii="宋体" w:hAnsi="宋体" w:eastAsia="宋体" w:cs="宋体"/>
                <w:sz w:val="21"/>
                <w:szCs w:val="21"/>
                <w:lang w:eastAsia="zh-CN"/>
              </w:rPr>
              <w:t>）</w:t>
            </w:r>
            <w:r>
              <w:rPr>
                <w:rFonts w:hint="eastAsia" w:ascii="宋体" w:hAnsi="宋体" w:eastAsia="宋体" w:cs="宋体"/>
                <w:sz w:val="21"/>
                <w:szCs w:val="21"/>
              </w:rPr>
              <w:t>至本项目报价截止前，供应商有类似</w:t>
            </w:r>
            <w:r>
              <w:rPr>
                <w:rFonts w:hint="eastAsia" w:ascii="宋体" w:hAnsi="宋体" w:eastAsia="宋体" w:cs="宋体"/>
                <w:sz w:val="21"/>
                <w:szCs w:val="21"/>
                <w:lang w:val="en-US" w:eastAsia="zh-CN"/>
              </w:rPr>
              <w:t>课座椅供货</w:t>
            </w:r>
            <w:r>
              <w:rPr>
                <w:rFonts w:hint="eastAsia" w:ascii="宋体" w:hAnsi="宋体" w:eastAsia="宋体" w:cs="宋体"/>
                <w:sz w:val="21"/>
                <w:szCs w:val="21"/>
              </w:rPr>
              <w:t>的业绩合同，提供一个业绩合同得5分，本项最多得10分。未提供或者不符合要求的不得分。</w:t>
            </w:r>
          </w:p>
        </w:tc>
        <w:tc>
          <w:tcPr>
            <w:tcW w:w="2968" w:type="dxa"/>
            <w:vAlign w:val="center"/>
          </w:tcPr>
          <w:p w14:paraId="7D27F9B9">
            <w:pPr>
              <w:keepLines/>
              <w:widowControl/>
              <w:spacing w:line="360" w:lineRule="auto"/>
              <w:rPr>
                <w:rFonts w:hint="eastAsia" w:ascii="宋体" w:hAnsi="宋体" w:eastAsia="宋体" w:cs="宋体"/>
                <w:b/>
                <w:bCs/>
                <w:sz w:val="21"/>
                <w:szCs w:val="21"/>
              </w:rPr>
            </w:pPr>
            <w:r>
              <w:rPr>
                <w:rFonts w:hint="eastAsia" w:ascii="宋体" w:hAnsi="宋体" w:eastAsia="宋体" w:cs="宋体"/>
                <w:sz w:val="21"/>
                <w:szCs w:val="21"/>
              </w:rPr>
              <w:t>提供相关证明材料并加盖投标人公章，未提供或不符合要求的不得分。</w:t>
            </w:r>
          </w:p>
        </w:tc>
      </w:tr>
    </w:tbl>
    <w:p w14:paraId="6E731D6A">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评审小组认为投标供应商的报价明显低于其他通过符合性审查投标供应商的报价，有可能影响服务质量或者不能诚信履约的，应当要求其在评标现场合理的时间内（通知发出后30分钟内）提供书面说明，必要时提交相关证明材料；</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不能证明其报价合理性的，评标委员会应当将其作为无效投标处理。</w:t>
      </w:r>
    </w:p>
    <w:p w14:paraId="513C56BB">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22" w:name="_Toc32723"/>
      <w:bookmarkStart w:id="123" w:name="_Toc12890"/>
      <w:bookmarkStart w:id="124" w:name="_Toc31065"/>
      <w:r>
        <w:rPr>
          <w:rFonts w:hint="eastAsia" w:ascii="宋体" w:hAnsi="宋体" w:eastAsia="宋体" w:cs="宋体"/>
          <w:b/>
          <w:color w:val="auto"/>
          <w:sz w:val="21"/>
          <w:szCs w:val="21"/>
          <w:highlight w:val="none"/>
          <w:lang w:val="en-US" w:eastAsia="zh-CN"/>
        </w:rPr>
        <w:t>四、无效响应</w:t>
      </w:r>
      <w:bookmarkEnd w:id="120"/>
      <w:bookmarkEnd w:id="121"/>
      <w:bookmarkEnd w:id="122"/>
      <w:bookmarkEnd w:id="123"/>
      <w:bookmarkEnd w:id="124"/>
    </w:p>
    <w:p w14:paraId="12D81B14">
      <w:pPr>
        <w:ind w:firstLine="720"/>
        <w:rPr>
          <w:rFonts w:hint="eastAsia" w:ascii="宋体" w:hAnsi="宋体" w:eastAsia="宋体" w:cs="宋体"/>
          <w:color w:val="auto"/>
          <w:sz w:val="21"/>
          <w:szCs w:val="21"/>
          <w:highlight w:val="none"/>
        </w:rPr>
      </w:pPr>
      <w:bookmarkStart w:id="125" w:name="_Toc439685497"/>
      <w:r>
        <w:rPr>
          <w:rFonts w:hint="eastAsia" w:ascii="宋体" w:hAnsi="宋体" w:eastAsia="宋体" w:cs="宋体"/>
          <w:color w:val="auto"/>
          <w:sz w:val="21"/>
          <w:szCs w:val="21"/>
          <w:highlight w:val="none"/>
        </w:rPr>
        <w:t>供应商发生以下条款情况之一者，视为无效响应，其响应文件将被拒绝：</w:t>
      </w:r>
    </w:p>
    <w:p w14:paraId="07938B4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（一）供应商不符合规定的基本资格条件或特定资格条件的；</w:t>
      </w:r>
    </w:p>
    <w:p w14:paraId="4252374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（二）供应商的法定代表人或其授权代表未参加比选；</w:t>
      </w:r>
    </w:p>
    <w:p w14:paraId="671F392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（三）供应商未按照比选文件的要求缴纳比选保证金；</w:t>
      </w:r>
    </w:p>
    <w:p w14:paraId="33E0FE1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（四）供应商所提交的响应文件不按第七篇“响应文件编制要求”规定签字、盖章；</w:t>
      </w:r>
    </w:p>
    <w:p w14:paraId="597F84A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（五）供应商的报价超过采购预算的；</w:t>
      </w:r>
    </w:p>
    <w:p w14:paraId="0C11CB0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（六）单位负责人为同一人或者存在直接控股、管理关系的不同供应商，参加同一合同项下的政府采购活动的；</w:t>
      </w:r>
    </w:p>
    <w:p w14:paraId="21A6676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（七）为采购项目提供整体设计、规范编制或者项目管理、监理、检测等服务的供应商，再参加该采购项目的其他采购活动；</w:t>
      </w:r>
    </w:p>
    <w:p w14:paraId="07DA3D3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（八）所提供的产品不符合必须强制执行的国家标准的；</w:t>
      </w:r>
    </w:p>
    <w:p w14:paraId="5A6BAD3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（九）供应商的服务时间、服务质保期及比选有效期不满足比选文件要求的；</w:t>
      </w:r>
    </w:p>
    <w:p w14:paraId="6FE1EED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（十）供应商响应文件内容有与国家现行法律法规相违背的内容，或附有采购人无法接受的条件。</w:t>
      </w:r>
    </w:p>
    <w:p w14:paraId="4994038C">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26" w:name="_Toc701"/>
      <w:bookmarkStart w:id="127" w:name="_Toc24121"/>
      <w:bookmarkStart w:id="128" w:name="_Toc8149"/>
      <w:bookmarkStart w:id="129" w:name="_Toc15493"/>
      <w:r>
        <w:rPr>
          <w:rFonts w:hint="eastAsia" w:ascii="宋体" w:hAnsi="宋体" w:eastAsia="宋体" w:cs="宋体"/>
          <w:b/>
          <w:color w:val="auto"/>
          <w:sz w:val="21"/>
          <w:szCs w:val="21"/>
          <w:highlight w:val="none"/>
          <w:lang w:val="en-US" w:eastAsia="zh-CN"/>
        </w:rPr>
        <w:t>五、采购终止</w:t>
      </w:r>
      <w:bookmarkEnd w:id="125"/>
      <w:bookmarkEnd w:id="126"/>
      <w:bookmarkEnd w:id="127"/>
      <w:bookmarkEnd w:id="128"/>
      <w:bookmarkEnd w:id="129"/>
    </w:p>
    <w:p w14:paraId="4E58E51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出现下列情形之一的，采购人或者采购代理机构应当终止比选采购活动，发布项目终止公告并说明原因，重新开展采购活动：</w:t>
      </w:r>
    </w:p>
    <w:p w14:paraId="435A0F1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1.供应商报价均超过采购预算，采购人不能支付的；</w:t>
      </w:r>
    </w:p>
    <w:p w14:paraId="71015D09">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2.出现影响采购公正的违法、违规行为的；</w:t>
      </w:r>
    </w:p>
    <w:p w14:paraId="5C5B1C4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3.因重大变故，采购任务取消的；</w:t>
      </w:r>
    </w:p>
    <w:p w14:paraId="2E57B85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4.在采购过程中符合竞争要求的供应商或者报价未超过采购预算的供应商不足三家的。</w:t>
      </w:r>
    </w:p>
    <w:p w14:paraId="76489DF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AE06F22">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130" w:name="_Toc31418"/>
      <w:bookmarkStart w:id="131" w:name="_Toc20572"/>
      <w:r>
        <w:rPr>
          <w:rFonts w:hint="eastAsia" w:ascii="宋体" w:hAnsi="宋体" w:eastAsia="宋体" w:cs="宋体"/>
          <w:b/>
          <w:bCs/>
          <w:color w:val="auto"/>
          <w:sz w:val="32"/>
          <w:szCs w:val="32"/>
          <w:highlight w:val="none"/>
          <w:lang w:val="en-US" w:eastAsia="zh-CN"/>
        </w:rPr>
        <w:t>第五篇  供应商须知</w:t>
      </w:r>
      <w:bookmarkEnd w:id="130"/>
      <w:bookmarkEnd w:id="131"/>
    </w:p>
    <w:p w14:paraId="6F144EEE">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32" w:name="_Toc23125"/>
      <w:bookmarkStart w:id="133" w:name="_Toc439685499"/>
      <w:bookmarkStart w:id="134" w:name="_Toc342913389"/>
      <w:bookmarkStart w:id="135" w:name="_Toc3546"/>
      <w:bookmarkStart w:id="136" w:name="_Toc27692"/>
      <w:bookmarkStart w:id="137" w:name="_Toc18496"/>
      <w:r>
        <w:rPr>
          <w:rFonts w:hint="eastAsia" w:ascii="宋体" w:hAnsi="宋体" w:eastAsia="宋体" w:cs="宋体"/>
          <w:b/>
          <w:color w:val="auto"/>
          <w:sz w:val="21"/>
          <w:szCs w:val="21"/>
          <w:highlight w:val="none"/>
          <w:lang w:val="en-US" w:eastAsia="zh-CN"/>
        </w:rPr>
        <w:t>一、供应商比选</w:t>
      </w:r>
      <w:bookmarkEnd w:id="132"/>
      <w:bookmarkEnd w:id="133"/>
      <w:bookmarkEnd w:id="134"/>
      <w:r>
        <w:rPr>
          <w:rFonts w:hint="eastAsia" w:ascii="宋体" w:hAnsi="宋体" w:eastAsia="宋体" w:cs="宋体"/>
          <w:b/>
          <w:color w:val="auto"/>
          <w:sz w:val="21"/>
          <w:szCs w:val="21"/>
          <w:highlight w:val="none"/>
          <w:lang w:val="en-US" w:eastAsia="zh-CN"/>
        </w:rPr>
        <w:t>须知</w:t>
      </w:r>
      <w:bookmarkEnd w:id="135"/>
      <w:bookmarkEnd w:id="136"/>
      <w:bookmarkEnd w:id="137"/>
    </w:p>
    <w:p w14:paraId="7924E9A8">
      <w:pPr>
        <w:pStyle w:val="40"/>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为非政府采购项目，为采购人自主采购服务，本比选文件符合采购人实际需求，不适用《中华人民共和国政府采购法》及其实施条例的有关规定，由采购人按照公开、公平、公正、高效廉洁的原则自行组织实施。</w:t>
      </w:r>
    </w:p>
    <w:p w14:paraId="1824D323">
      <w:pPr>
        <w:pStyle w:val="40"/>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2.参与比选的供应商应对本项目比选文件仔细阅读并对采购人需求、现场情况进行了解，采购人不因成交供应商的任何理由提高结算比例及不额外支付任何费用。</w:t>
      </w:r>
    </w:p>
    <w:p w14:paraId="57C497FE">
      <w:pPr>
        <w:pStyle w:val="40"/>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3.参与比选的供应商应承担其编制响应文件与递交响应文件所涉及的一切费用，不论比选结果如何，采购人在任何情况下无义务也无责任承担这些费用。</w:t>
      </w:r>
    </w:p>
    <w:p w14:paraId="2C07C08B">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38" w:name="_Toc439685500"/>
      <w:bookmarkStart w:id="139" w:name="_Toc342913391"/>
      <w:bookmarkStart w:id="140" w:name="_Toc12045"/>
      <w:bookmarkStart w:id="141" w:name="_Toc27406"/>
      <w:bookmarkStart w:id="142" w:name="_Toc4058"/>
      <w:bookmarkStart w:id="143" w:name="_Toc9721"/>
      <w:r>
        <w:rPr>
          <w:rFonts w:hint="eastAsia" w:ascii="宋体" w:hAnsi="宋体" w:eastAsia="宋体" w:cs="宋体"/>
          <w:b/>
          <w:color w:val="auto"/>
          <w:sz w:val="21"/>
          <w:szCs w:val="21"/>
          <w:highlight w:val="none"/>
          <w:lang w:val="en-US" w:eastAsia="zh-CN"/>
        </w:rPr>
        <w:t>二、</w:t>
      </w:r>
      <w:bookmarkEnd w:id="138"/>
      <w:bookmarkEnd w:id="139"/>
      <w:r>
        <w:rPr>
          <w:rFonts w:hint="eastAsia" w:ascii="宋体" w:hAnsi="宋体" w:eastAsia="宋体" w:cs="宋体"/>
          <w:b/>
          <w:color w:val="auto"/>
          <w:sz w:val="21"/>
          <w:szCs w:val="21"/>
          <w:highlight w:val="none"/>
          <w:lang w:val="en-US" w:eastAsia="zh-CN"/>
        </w:rPr>
        <w:t>比选文件</w:t>
      </w:r>
      <w:bookmarkEnd w:id="140"/>
      <w:bookmarkEnd w:id="141"/>
      <w:bookmarkEnd w:id="142"/>
      <w:bookmarkEnd w:id="143"/>
    </w:p>
    <w:p w14:paraId="40726319">
      <w:pPr>
        <w:ind w:firstLine="720"/>
        <w:rPr>
          <w:rFonts w:hint="eastAsia" w:ascii="宋体" w:hAnsi="宋体" w:eastAsia="宋体" w:cs="宋体"/>
          <w:color w:val="auto"/>
          <w:sz w:val="21"/>
          <w:szCs w:val="21"/>
          <w:highlight w:val="none"/>
        </w:rPr>
      </w:pPr>
      <w:bookmarkStart w:id="144" w:name="_Toc439685501"/>
      <w:bookmarkStart w:id="145" w:name="_Toc102227318"/>
      <w:bookmarkStart w:id="146" w:name="_Toc179714297"/>
      <w:bookmarkStart w:id="147" w:name="_Toc342913392"/>
      <w:r>
        <w:rPr>
          <w:rFonts w:hint="eastAsia" w:ascii="宋体" w:hAnsi="宋体" w:eastAsia="宋体" w:cs="宋体"/>
          <w:color w:val="auto"/>
          <w:sz w:val="21"/>
          <w:szCs w:val="21"/>
          <w:highlight w:val="none"/>
        </w:rPr>
        <w:t>（一）比选文件由采购邀请书、项目服务需求、项目商务需求、比选程序及方法、评审标准、无效响应和采购终止、供应商须知、合同草案条款、响应文件编制要求七部分组成。</w:t>
      </w:r>
    </w:p>
    <w:p w14:paraId="7F507E4F">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（二）采购人或采购代理机构所作的一切有效的书面通知、修改及补充，都是比选文件不可分割的部分。</w:t>
      </w:r>
    </w:p>
    <w:p w14:paraId="4E0AA0C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（三）比选文件的解释</w:t>
      </w:r>
    </w:p>
    <w:p w14:paraId="08C794F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如对比选文件有疑问，必须以书面形式在比选文件发布之日起第四个工作日的12：00前向采购人或采购代理机构要求澄清，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bookmarkStart w:id="148" w:name="_Toc318159160"/>
      <w:bookmarkStart w:id="149" w:name="_Toc318159349"/>
      <w:bookmarkStart w:id="150" w:name="_Toc318166429"/>
      <w:bookmarkStart w:id="151" w:name="_Toc318159780"/>
    </w:p>
    <w:p w14:paraId="6BA9AB6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（四）评审的依据为比选文件和响应文件（含有效的书面承诺）。比选小组判断响应文件对比选文件的响应，仅基于响应文件本身而不靠外部证据。</w:t>
      </w:r>
    </w:p>
    <w:bookmarkEnd w:id="148"/>
    <w:bookmarkEnd w:id="149"/>
    <w:bookmarkEnd w:id="150"/>
    <w:bookmarkEnd w:id="151"/>
    <w:p w14:paraId="6722788B">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52" w:name="_Toc23962"/>
      <w:bookmarkStart w:id="153" w:name="_Toc24772"/>
      <w:bookmarkStart w:id="154" w:name="_Toc398"/>
      <w:bookmarkStart w:id="155" w:name="_Toc13592"/>
      <w:r>
        <w:rPr>
          <w:rFonts w:hint="eastAsia" w:ascii="宋体" w:hAnsi="宋体" w:eastAsia="宋体" w:cs="宋体"/>
          <w:b/>
          <w:color w:val="auto"/>
          <w:sz w:val="21"/>
          <w:szCs w:val="21"/>
          <w:highlight w:val="none"/>
          <w:lang w:val="en-US" w:eastAsia="zh-CN"/>
        </w:rPr>
        <w:t>三、比选要求</w:t>
      </w:r>
      <w:bookmarkEnd w:id="144"/>
      <w:bookmarkEnd w:id="145"/>
      <w:bookmarkEnd w:id="146"/>
      <w:bookmarkEnd w:id="147"/>
      <w:bookmarkEnd w:id="152"/>
      <w:bookmarkEnd w:id="153"/>
      <w:bookmarkEnd w:id="154"/>
      <w:bookmarkEnd w:id="155"/>
    </w:p>
    <w:p w14:paraId="307767C1">
      <w:pPr>
        <w:ind w:firstLine="720"/>
        <w:rPr>
          <w:rFonts w:hint="eastAsia" w:ascii="宋体" w:hAnsi="宋体" w:eastAsia="宋体" w:cs="宋体"/>
          <w:color w:val="auto"/>
          <w:sz w:val="21"/>
          <w:szCs w:val="21"/>
          <w:highlight w:val="none"/>
        </w:rPr>
      </w:pPr>
      <w:bookmarkStart w:id="156" w:name="_Toc439685502"/>
      <w:r>
        <w:rPr>
          <w:rFonts w:hint="eastAsia" w:ascii="宋体" w:hAnsi="宋体" w:eastAsia="宋体" w:cs="宋体"/>
          <w:color w:val="auto"/>
          <w:sz w:val="21"/>
          <w:szCs w:val="21"/>
          <w:highlight w:val="none"/>
        </w:rPr>
        <w:t>（一）响应文件</w:t>
      </w:r>
    </w:p>
    <w:p w14:paraId="6FD4293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1.供应商应当按照比选文件的要求编制响应文件，并对比选文件提出的要求和条件作出实质性响应，响应文件原则上采用软面订本，同时应编制完整的页码、目录。</w:t>
      </w:r>
    </w:p>
    <w:p w14:paraId="393EBFA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2.响应文件组成</w:t>
      </w:r>
    </w:p>
    <w:p w14:paraId="374A85C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40FB6B5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（二）联合体</w:t>
      </w:r>
    </w:p>
    <w:p w14:paraId="085234C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本项目不接受联合体比选。</w:t>
      </w:r>
    </w:p>
    <w:p w14:paraId="54BFDBB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（三）比选有效期：响应文件及有关承诺文件有效期为提交响应文件截止时间起90天。</w:t>
      </w:r>
    </w:p>
    <w:p w14:paraId="5C0FA4BF">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（四）修正错误</w:t>
      </w:r>
    </w:p>
    <w:p w14:paraId="5F301E6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1.若供应商所递交的响应文件中的价格出现大写金额和小写金额不一致的错误，以大写金额修正为准。</w:t>
      </w:r>
    </w:p>
    <w:p w14:paraId="540A7E2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2.比选小组按上述修正错误的原则及方法修正供应商的报价，供应商同意并签字确认后，修正后的报价对供应商具有约束作用。如果供应商不接受修正后的价格，将失去成为成交供应商的资格。</w:t>
      </w:r>
    </w:p>
    <w:p w14:paraId="31957A6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（五）提交响应文件的份数和签署</w:t>
      </w:r>
    </w:p>
    <w:p w14:paraId="51DE501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采用线上报价线下评审的方式，供应商按采购文件要求进行线上报价。线上报价时上传加盖公章后的完整的响应文件电子档一份（响应文件须签字盖章后扫描成一个PDF格式文件上传），文件内容应清晰、无涂改，若因上传文件未按格式要求或内容模糊、无法打开、不完整等导致无法进行评审的，由评审小组做无效响应处理。</w:t>
      </w:r>
    </w:p>
    <w:p w14:paraId="2DFF6D0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纸质响应文件递交要求：响应文件一式</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份，其中正本一份，副本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份；副本可为正本的复印件，应与正本一致，如出现不一致情况以正本为准。须与网上上传盖章响应文件内容一致，若不一致以网上上传的盖章响应文件为准。</w:t>
      </w:r>
    </w:p>
    <w:p w14:paraId="4E02188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.在响应文件中，正本必须按第七篇响应文件编制要求签字、盖章，副本可为正本的复印件，应与正本一致，如出现不一致情况以正本为准。</w:t>
      </w:r>
    </w:p>
    <w:p w14:paraId="4174A54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w:t>
      </w:r>
      <w:r>
        <w:rPr>
          <w:rFonts w:hint="eastAsia" w:ascii="宋体" w:hAnsi="宋体" w:eastAsia="宋体" w:cs="宋体"/>
          <w:color w:val="auto"/>
          <w:sz w:val="21"/>
          <w:szCs w:val="21"/>
          <w:highlight w:val="none"/>
          <w:lang w:val="en-US" w:eastAsia="zh-CN"/>
        </w:rPr>
        <w:t>纸质</w:t>
      </w:r>
      <w:r>
        <w:rPr>
          <w:rFonts w:hint="eastAsia" w:ascii="宋体" w:hAnsi="宋体" w:eastAsia="宋体" w:cs="宋体"/>
          <w:color w:val="auto"/>
          <w:sz w:val="21"/>
          <w:szCs w:val="21"/>
          <w:highlight w:val="none"/>
        </w:rPr>
        <w:t>响应文件的递交</w:t>
      </w:r>
    </w:p>
    <w:p w14:paraId="32F5564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1.响应文件的密封与标记</w:t>
      </w:r>
    </w:p>
    <w:p w14:paraId="08FBD88F">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1.1响应文件装入密封袋。密封袋上注明项目编号、项目名称、供应商名称、“正本”、“副本”字样。密封袋的封口应加盖供应商公章或法人授权代表签字并有字样：202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  月   日  时  分（北京时间）前不得开启的密封条。</w:t>
      </w:r>
    </w:p>
    <w:p w14:paraId="40AF959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响应文件未按要求密封的，采购人或采购代理机构有权不予接收。</w:t>
      </w:r>
    </w:p>
    <w:p w14:paraId="2B0B22D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2.响应文件递交截止时间：参阅采购邀请书。超过递交截止时间的响应文件不予接收。</w:t>
      </w:r>
    </w:p>
    <w:p w14:paraId="6545640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3.响应文件语言：简体中文</w:t>
      </w:r>
    </w:p>
    <w:p w14:paraId="321B686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（七）供应商参与人员</w:t>
      </w:r>
    </w:p>
    <w:p w14:paraId="608083D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各个供应商可派1-2名代表参与比选，至少1人应为法定代表人或具有法定代表人授权委托书的授权代表。</w:t>
      </w:r>
    </w:p>
    <w:p w14:paraId="3D4FB6B0">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57" w:name="_Toc7812"/>
      <w:bookmarkStart w:id="158" w:name="_Toc939"/>
      <w:bookmarkStart w:id="159" w:name="_Toc8012"/>
      <w:bookmarkStart w:id="160" w:name="_Toc2080"/>
      <w:r>
        <w:rPr>
          <w:rFonts w:hint="eastAsia" w:ascii="宋体" w:hAnsi="宋体" w:eastAsia="宋体" w:cs="宋体"/>
          <w:b/>
          <w:color w:val="auto"/>
          <w:sz w:val="21"/>
          <w:szCs w:val="21"/>
          <w:highlight w:val="none"/>
          <w:lang w:val="en-US" w:eastAsia="zh-CN"/>
        </w:rPr>
        <w:t>四、成交供应商的确认和变更</w:t>
      </w:r>
      <w:bookmarkEnd w:id="156"/>
      <w:bookmarkEnd w:id="157"/>
      <w:bookmarkEnd w:id="158"/>
      <w:bookmarkEnd w:id="159"/>
      <w:bookmarkEnd w:id="160"/>
    </w:p>
    <w:p w14:paraId="36204C04">
      <w:pPr>
        <w:ind w:firstLine="720"/>
        <w:rPr>
          <w:rFonts w:hint="eastAsia" w:ascii="宋体" w:hAnsi="宋体" w:eastAsia="宋体" w:cs="宋体"/>
          <w:color w:val="auto"/>
          <w:sz w:val="21"/>
          <w:szCs w:val="21"/>
          <w:highlight w:val="none"/>
        </w:rPr>
      </w:pPr>
      <w:bookmarkStart w:id="161" w:name="_Toc102227321"/>
      <w:bookmarkStart w:id="162" w:name="_Toc439685503"/>
      <w:bookmarkStart w:id="163" w:name="_Toc342913395"/>
      <w:r>
        <w:rPr>
          <w:rFonts w:hint="eastAsia" w:ascii="宋体" w:hAnsi="宋体" w:eastAsia="宋体" w:cs="宋体"/>
          <w:color w:val="auto"/>
          <w:sz w:val="21"/>
          <w:szCs w:val="21"/>
          <w:highlight w:val="none"/>
        </w:rPr>
        <w:t>（一）成交供应商的确认</w:t>
      </w:r>
    </w:p>
    <w:p w14:paraId="1010F34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1、采购代理机构应当在评审结束后2个工作日内将评审报告送采购人确认。</w:t>
      </w:r>
    </w:p>
    <w:p w14:paraId="7551724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2、采购人应当自收到评标报告之日起5个工作日内按评标报告推荐的成交候选人顺序确定成交人。</w:t>
      </w:r>
    </w:p>
    <w:p w14:paraId="509A3AA7">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3.采购人或者采购代理机构应当自成交人确定之日起2个工作日内，在行采家网上公告中标结果。中标公告期限为1个工作日。</w:t>
      </w:r>
    </w:p>
    <w:p w14:paraId="47C8F44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（二）成交供应商的变更</w:t>
      </w:r>
    </w:p>
    <w:p w14:paraId="035133C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交供应商拒绝签订采购合同的，采购人可以按照评审报告推荐的成交供应商顺序，确定排名下一位的候选人为成交供应商，也可以重新开展采购活动。拒绝签订采购合同的成交供应商不得参加对该项目重新开展的采购活动。</w:t>
      </w:r>
    </w:p>
    <w:p w14:paraId="5D3CDC5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2.成交供应商无充分理由放弃成交的，采购人将会同采购代理机构把相关情况报部门，财政部门将根据相关法律法规的规定对违规供应商进行处罚。</w:t>
      </w:r>
    </w:p>
    <w:p w14:paraId="02DD0D03">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64" w:name="_Toc28501"/>
      <w:bookmarkStart w:id="165" w:name="_Toc15875"/>
      <w:bookmarkStart w:id="166" w:name="_Toc10407"/>
      <w:bookmarkStart w:id="167" w:name="_Toc10054"/>
      <w:r>
        <w:rPr>
          <w:rFonts w:hint="eastAsia" w:ascii="宋体" w:hAnsi="宋体" w:eastAsia="宋体" w:cs="宋体"/>
          <w:b/>
          <w:color w:val="auto"/>
          <w:sz w:val="21"/>
          <w:szCs w:val="21"/>
          <w:highlight w:val="none"/>
          <w:lang w:val="en-US" w:eastAsia="zh-CN"/>
        </w:rPr>
        <w:t>五、成交通知</w:t>
      </w:r>
      <w:bookmarkEnd w:id="161"/>
      <w:bookmarkEnd w:id="162"/>
      <w:bookmarkEnd w:id="163"/>
      <w:bookmarkEnd w:id="164"/>
      <w:bookmarkEnd w:id="165"/>
      <w:bookmarkEnd w:id="166"/>
      <w:bookmarkEnd w:id="167"/>
    </w:p>
    <w:p w14:paraId="7548E0B0">
      <w:pPr>
        <w:ind w:firstLine="720"/>
        <w:rPr>
          <w:rFonts w:hint="eastAsia" w:ascii="宋体" w:hAnsi="宋体" w:eastAsia="宋体" w:cs="宋体"/>
          <w:color w:val="auto"/>
          <w:sz w:val="21"/>
          <w:szCs w:val="21"/>
          <w:highlight w:val="none"/>
        </w:rPr>
      </w:pPr>
      <w:bookmarkStart w:id="168" w:name="_Toc439685504"/>
      <w:r>
        <w:rPr>
          <w:rFonts w:hint="eastAsia" w:ascii="宋体" w:hAnsi="宋体" w:eastAsia="宋体" w:cs="宋体"/>
          <w:color w:val="auto"/>
          <w:sz w:val="21"/>
          <w:szCs w:val="21"/>
          <w:highlight w:val="none"/>
        </w:rPr>
        <w:t>（一）成交供应商确定后，采购代理机构将在</w:t>
      </w:r>
      <w:r>
        <w:rPr>
          <w:rFonts w:hint="eastAsia" w:ascii="宋体" w:hAnsi="宋体" w:eastAsia="宋体" w:cs="宋体"/>
          <w:color w:val="auto"/>
          <w:kern w:val="0"/>
          <w:sz w:val="21"/>
          <w:szCs w:val="21"/>
          <w:highlight w:val="none"/>
        </w:rPr>
        <w:t>行采家（https://www.gec123.com/）</w:t>
      </w:r>
      <w:r>
        <w:rPr>
          <w:rFonts w:hint="eastAsia" w:ascii="宋体" w:hAnsi="宋体" w:eastAsia="宋体" w:cs="宋体"/>
          <w:color w:val="auto"/>
          <w:sz w:val="21"/>
          <w:szCs w:val="21"/>
          <w:highlight w:val="none"/>
        </w:rPr>
        <w:t>上发布成交结果公告。</w:t>
      </w:r>
    </w:p>
    <w:p w14:paraId="07E0AD6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（二）结果公告发出同时，采购代理机构将以书面形式发出《成交通知书》。《成交通知书》一经发出即发生法律效力。</w:t>
      </w:r>
    </w:p>
    <w:p w14:paraId="51696E1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（三）《成交通知书》将作为签订合同及结算的依据。</w:t>
      </w:r>
    </w:p>
    <w:p w14:paraId="54B10CC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（四）如有供应商对成交结果提出质疑的，在质疑处理完毕后发出成交通知书。</w:t>
      </w:r>
    </w:p>
    <w:p w14:paraId="2743C60C">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69" w:name="_Toc8450"/>
      <w:bookmarkStart w:id="170" w:name="_Toc12099"/>
      <w:bookmarkStart w:id="171" w:name="_Toc29908"/>
      <w:bookmarkStart w:id="172" w:name="_Toc4581"/>
      <w:r>
        <w:rPr>
          <w:rFonts w:hint="eastAsia" w:ascii="宋体" w:hAnsi="宋体" w:eastAsia="宋体" w:cs="宋体"/>
          <w:b/>
          <w:color w:val="auto"/>
          <w:sz w:val="21"/>
          <w:szCs w:val="21"/>
          <w:highlight w:val="none"/>
          <w:lang w:val="en-US" w:eastAsia="zh-CN"/>
        </w:rPr>
        <w:t>六、关于质疑和投诉</w:t>
      </w:r>
      <w:bookmarkEnd w:id="168"/>
      <w:bookmarkEnd w:id="169"/>
      <w:bookmarkEnd w:id="170"/>
      <w:bookmarkEnd w:id="171"/>
      <w:bookmarkEnd w:id="172"/>
    </w:p>
    <w:p w14:paraId="6E118416">
      <w:pPr>
        <w:ind w:firstLine="720"/>
        <w:rPr>
          <w:rFonts w:hint="eastAsia" w:ascii="宋体" w:hAnsi="宋体" w:eastAsia="宋体" w:cs="宋体"/>
          <w:color w:val="auto"/>
          <w:sz w:val="21"/>
          <w:szCs w:val="21"/>
          <w:highlight w:val="none"/>
        </w:rPr>
      </w:pPr>
      <w:bookmarkStart w:id="173" w:name="_Toc15510"/>
      <w:bookmarkStart w:id="174" w:name="_Toc102227322"/>
      <w:bookmarkStart w:id="175" w:name="_Toc342913396"/>
      <w:bookmarkStart w:id="176" w:name="_Toc439685507"/>
      <w:r>
        <w:rPr>
          <w:rFonts w:hint="eastAsia" w:ascii="宋体" w:hAnsi="宋体" w:eastAsia="宋体" w:cs="宋体"/>
          <w:color w:val="auto"/>
          <w:sz w:val="21"/>
          <w:szCs w:val="21"/>
          <w:highlight w:val="none"/>
        </w:rPr>
        <w:t>(一）质疑内容、时限</w:t>
      </w:r>
      <w:bookmarkEnd w:id="173"/>
    </w:p>
    <w:p w14:paraId="3105360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1.供应商对比选文件如有异议，必须以书面形式在比选文件发布之日起第四个工作日的12：00前以书面形式向釆购代理机构提出质疑，并附相关证明材料。</w:t>
      </w:r>
    </w:p>
    <w:p w14:paraId="2FF5A18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2.供应商对中标结果有异议的，应当在成交结果公示发布之日起一个工作日内以书面形式向购代理机构提出质疑，并附相关证明材料。</w:t>
      </w:r>
    </w:p>
    <w:p w14:paraId="7D417CDE">
      <w:pPr>
        <w:ind w:firstLine="720"/>
        <w:rPr>
          <w:rFonts w:hint="eastAsia" w:ascii="宋体" w:hAnsi="宋体" w:eastAsia="宋体" w:cs="宋体"/>
          <w:color w:val="auto"/>
          <w:sz w:val="21"/>
          <w:szCs w:val="21"/>
          <w:highlight w:val="none"/>
        </w:rPr>
      </w:pPr>
      <w:bookmarkStart w:id="177" w:name="_Toc21323"/>
      <w:r>
        <w:rPr>
          <w:rFonts w:hint="eastAsia" w:ascii="宋体" w:hAnsi="宋体" w:eastAsia="宋体" w:cs="宋体"/>
          <w:color w:val="auto"/>
          <w:sz w:val="21"/>
          <w:szCs w:val="21"/>
          <w:highlight w:val="none"/>
        </w:rPr>
        <w:t>(二）质疑答复时限</w:t>
      </w:r>
      <w:bookmarkEnd w:id="177"/>
    </w:p>
    <w:p w14:paraId="54605AE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采购代理机构在收到供应商书面质疑后三个工作日内，对质疑内容作出答复。</w:t>
      </w:r>
    </w:p>
    <w:p w14:paraId="0F8BBB9E">
      <w:pPr>
        <w:ind w:firstLine="720"/>
        <w:rPr>
          <w:rFonts w:hint="eastAsia" w:ascii="宋体" w:hAnsi="宋体" w:eastAsia="宋体" w:cs="宋体"/>
          <w:color w:val="auto"/>
          <w:sz w:val="21"/>
          <w:szCs w:val="21"/>
          <w:highlight w:val="none"/>
        </w:rPr>
      </w:pPr>
      <w:bookmarkStart w:id="178" w:name="_Toc17454"/>
      <w:r>
        <w:rPr>
          <w:rFonts w:hint="eastAsia" w:ascii="宋体" w:hAnsi="宋体" w:eastAsia="宋体" w:cs="宋体"/>
          <w:color w:val="auto"/>
          <w:sz w:val="21"/>
          <w:szCs w:val="21"/>
          <w:highlight w:val="none"/>
        </w:rPr>
        <w:t>(三）质疑答复方式</w:t>
      </w:r>
      <w:bookmarkEnd w:id="178"/>
    </w:p>
    <w:p w14:paraId="7EA9474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采购代理机构将以书面形式对质疑答复内容进行答复。</w:t>
      </w:r>
    </w:p>
    <w:p w14:paraId="3F1F84EB">
      <w:pPr>
        <w:ind w:firstLine="720"/>
        <w:rPr>
          <w:rFonts w:hint="eastAsia" w:ascii="宋体" w:hAnsi="宋体" w:eastAsia="宋体" w:cs="宋体"/>
          <w:color w:val="auto"/>
          <w:sz w:val="21"/>
          <w:szCs w:val="21"/>
          <w:highlight w:val="none"/>
        </w:rPr>
      </w:pPr>
      <w:bookmarkStart w:id="179" w:name="_Toc5103"/>
      <w:r>
        <w:rPr>
          <w:rFonts w:hint="eastAsia" w:ascii="宋体" w:hAnsi="宋体" w:eastAsia="宋体" w:cs="宋体"/>
          <w:color w:val="auto"/>
          <w:sz w:val="21"/>
          <w:szCs w:val="21"/>
          <w:highlight w:val="none"/>
        </w:rPr>
        <w:t>(四）不予受理或暂缓受理</w:t>
      </w:r>
      <w:bookmarkEnd w:id="179"/>
    </w:p>
    <w:p w14:paraId="373B126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1.质疑有下列情形之一的，不予受理：</w:t>
      </w:r>
    </w:p>
    <w:p w14:paraId="703DA38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1.1质疑供应商未参与投标活动的；</w:t>
      </w:r>
    </w:p>
    <w:p w14:paraId="07B74F0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1.2质疑供应商参与了投标活动后，再对比选文件内容提出质疑的；</w:t>
      </w:r>
    </w:p>
    <w:p w14:paraId="1E5FA96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1.3质疑超过比选文件规定期限的；</w:t>
      </w:r>
    </w:p>
    <w:p w14:paraId="56F33A99">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1.4对同一事项重复质疑的。</w:t>
      </w:r>
    </w:p>
    <w:p w14:paraId="4C1BD96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2.质疑有下列情形之一的，应暂不受理并告知供应商补充材料。供应商及时补充材料的，应予受理；逾期未补充的，不予受理：</w:t>
      </w:r>
    </w:p>
    <w:p w14:paraId="6370D5E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2.1质疑书内容不属于本项目采购内容的；</w:t>
      </w:r>
    </w:p>
    <w:p w14:paraId="7ACAFEA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2.2质疑书提供的依据或证明材料不全的；</w:t>
      </w:r>
    </w:p>
    <w:p w14:paraId="5898DAB5">
      <w:pPr>
        <w:ind w:firstLine="720"/>
        <w:rPr>
          <w:rFonts w:hint="eastAsia" w:ascii="宋体" w:hAnsi="宋体" w:eastAsia="宋体" w:cs="宋体"/>
          <w:color w:val="auto"/>
          <w:sz w:val="21"/>
          <w:szCs w:val="21"/>
          <w:highlight w:val="none"/>
        </w:rPr>
      </w:pPr>
      <w:bookmarkStart w:id="180" w:name="_Toc14619"/>
      <w:r>
        <w:rPr>
          <w:rFonts w:hint="eastAsia" w:ascii="宋体" w:hAnsi="宋体" w:eastAsia="宋体" w:cs="宋体"/>
          <w:color w:val="auto"/>
          <w:sz w:val="21"/>
          <w:szCs w:val="21"/>
          <w:highlight w:val="none"/>
        </w:rPr>
        <w:t>(五）投诉</w:t>
      </w:r>
      <w:bookmarkEnd w:id="180"/>
    </w:p>
    <w:p w14:paraId="7B0B43D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1.供应商对购代理机构的答复不满意或者购代理机构未在规定时间内答复的，可在答复期满后五个工作日内，向采购人投诉。</w:t>
      </w:r>
    </w:p>
    <w:p w14:paraId="7A378DF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2.在提出投诉时，应附送相关证明材料。投诉书及证明材料为外文的，应同时提供其中文译本；中文与外文意思不一致的，以中文为准。</w:t>
      </w:r>
    </w:p>
    <w:p w14:paraId="404F03F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确定受理投诉后，采购人自受理投诉之日起三十个工作日内对投诉事项做出处理决定，并将投诉处理决定书送达投诉人、被投诉人和其他与投诉处理决定有利害关系的相关当事人，同时在行采家上公告投诉处理决定书。</w:t>
      </w:r>
    </w:p>
    <w:p w14:paraId="32571715">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81" w:name="_Toc7142"/>
      <w:bookmarkStart w:id="182" w:name="_Toc15106"/>
      <w:bookmarkStart w:id="183" w:name="_Toc28332"/>
      <w:bookmarkStart w:id="184" w:name="_Toc2845"/>
      <w:r>
        <w:rPr>
          <w:rFonts w:hint="eastAsia" w:ascii="宋体" w:hAnsi="宋体" w:eastAsia="宋体" w:cs="宋体"/>
          <w:b/>
          <w:color w:val="auto"/>
          <w:sz w:val="21"/>
          <w:szCs w:val="21"/>
          <w:highlight w:val="none"/>
          <w:lang w:val="en-US" w:eastAsia="zh-CN"/>
        </w:rPr>
        <w:t>七、采购代理服务费</w:t>
      </w:r>
      <w:bookmarkEnd w:id="181"/>
      <w:bookmarkEnd w:id="182"/>
      <w:bookmarkEnd w:id="183"/>
      <w:bookmarkEnd w:id="184"/>
    </w:p>
    <w:p w14:paraId="521D54FF">
      <w:pPr>
        <w:wordWrap w:val="0"/>
        <w:spacing w:line="360" w:lineRule="auto"/>
        <w:ind w:firstLine="480"/>
        <w:rPr>
          <w:rFonts w:hint="eastAsia" w:ascii="宋体" w:hAnsi="宋体" w:eastAsia="宋体" w:cs="宋体"/>
          <w:sz w:val="21"/>
          <w:szCs w:val="21"/>
          <w:highlight w:val="none"/>
        </w:rPr>
      </w:pPr>
      <w:bookmarkStart w:id="185" w:name="_Toc30898"/>
      <w:bookmarkStart w:id="186" w:name="_Toc4517"/>
      <w:bookmarkStart w:id="187" w:name="_Toc20094"/>
      <w:bookmarkStart w:id="188" w:name="_Toc15694"/>
      <w:bookmarkStart w:id="189" w:name="_Toc32236"/>
      <w:bookmarkStart w:id="190" w:name="_Toc345318310"/>
      <w:bookmarkStart w:id="191" w:name="_Toc1788"/>
      <w:bookmarkStart w:id="192" w:name="_Toc9407"/>
      <w:bookmarkStart w:id="193" w:name="_Toc11283"/>
      <w:bookmarkStart w:id="194" w:name="_Toc1150"/>
      <w:bookmarkStart w:id="195" w:name="_Toc23674"/>
      <w:bookmarkStart w:id="196" w:name="_Toc21345"/>
      <w:bookmarkStart w:id="197" w:name="_Toc15547"/>
      <w:bookmarkStart w:id="198" w:name="_Toc27824"/>
      <w:bookmarkStart w:id="199" w:name="_Toc13008"/>
      <w:bookmarkStart w:id="200" w:name="_Toc75793533"/>
      <w:bookmarkStart w:id="201" w:name="_Toc21795"/>
      <w:bookmarkStart w:id="202" w:name="_Toc27355"/>
      <w:bookmarkStart w:id="203" w:name="_Toc31483"/>
      <w:bookmarkStart w:id="204" w:name="_Toc18481"/>
      <w:bookmarkStart w:id="205" w:name="_Toc343881212"/>
      <w:bookmarkStart w:id="206" w:name="_Toc429584878"/>
      <w:bookmarkStart w:id="207" w:name="_Toc342983494"/>
      <w:bookmarkStart w:id="208" w:name="_Toc1827"/>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采购代理服务费：本项目代理服务费</w:t>
      </w:r>
      <w:bookmarkEnd w:id="185"/>
      <w:bookmarkEnd w:id="186"/>
      <w:r>
        <w:rPr>
          <w:rFonts w:hint="eastAsia" w:ascii="宋体" w:hAnsi="宋体" w:eastAsia="宋体" w:cs="宋体"/>
          <w:sz w:val="21"/>
          <w:szCs w:val="21"/>
          <w:highlight w:val="none"/>
        </w:rPr>
        <w:t>按固定金额</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000.00元收取，由</w:t>
      </w:r>
      <w:r>
        <w:rPr>
          <w:rFonts w:hint="eastAsia" w:cs="宋体"/>
          <w:sz w:val="21"/>
          <w:szCs w:val="21"/>
          <w:highlight w:val="none"/>
          <w:lang w:val="en-US" w:eastAsia="zh-CN"/>
        </w:rPr>
        <w:t>采购人</w:t>
      </w:r>
      <w:bookmarkStart w:id="309" w:name="_GoBack"/>
      <w:bookmarkEnd w:id="309"/>
      <w:r>
        <w:rPr>
          <w:rFonts w:hint="eastAsia" w:ascii="宋体" w:hAnsi="宋体" w:eastAsia="宋体" w:cs="宋体"/>
          <w:sz w:val="21"/>
          <w:szCs w:val="21"/>
          <w:highlight w:val="none"/>
        </w:rPr>
        <w:t>一次性支付。</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0E241250">
      <w:pPr>
        <w:wordWrap w:val="0"/>
        <w:spacing w:line="360" w:lineRule="auto"/>
        <w:ind w:firstLine="480"/>
        <w:rPr>
          <w:rFonts w:ascii="宋体" w:hAnsi="宋体" w:cs="宋体"/>
          <w:sz w:val="21"/>
          <w:szCs w:val="21"/>
          <w:highlight w:val="none"/>
        </w:rPr>
      </w:pPr>
      <w:r>
        <w:rPr>
          <w:rFonts w:hint="eastAsia" w:ascii="宋体" w:hAnsi="宋体" w:cs="宋体"/>
          <w:sz w:val="21"/>
          <w:szCs w:val="21"/>
          <w:highlight w:val="none"/>
        </w:rPr>
        <w:t>2、采购代理服务费缴纳账号：</w:t>
      </w:r>
    </w:p>
    <w:p w14:paraId="4D4CF5F1">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户  名：</w:t>
      </w:r>
      <w:r>
        <w:rPr>
          <w:rFonts w:hint="eastAsia" w:ascii="宋体" w:hAnsi="宋体" w:eastAsia="宋体" w:cs="宋体"/>
          <w:sz w:val="21"/>
          <w:szCs w:val="21"/>
          <w:highlight w:val="none"/>
          <w:lang w:eastAsia="zh-CN"/>
        </w:rPr>
        <w:t>重庆志良项目管理有限公司</w:t>
      </w:r>
      <w:r>
        <w:rPr>
          <w:rFonts w:hint="eastAsia" w:ascii="宋体" w:hAnsi="宋体" w:eastAsia="宋体" w:cs="宋体"/>
          <w:sz w:val="21"/>
          <w:szCs w:val="21"/>
          <w:highlight w:val="none"/>
        </w:rPr>
        <w:t xml:space="preserve"> </w:t>
      </w:r>
    </w:p>
    <w:p w14:paraId="654FB7E9">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开户行：中国光大银行股份有限公司重庆大渡口支行</w:t>
      </w:r>
    </w:p>
    <w:p w14:paraId="0F0572B0">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帐  号：39430180808393936</w:t>
      </w:r>
    </w:p>
    <w:p w14:paraId="667B0D74">
      <w:pPr>
        <w:pStyle w:val="14"/>
        <w:rPr>
          <w:rFonts w:hint="eastAsia"/>
        </w:rPr>
      </w:pPr>
      <w:r>
        <w:rPr>
          <w:rFonts w:hint="eastAsia" w:ascii="宋体" w:hAnsi="宋体" w:eastAsia="宋体" w:cs="宋体"/>
          <w:sz w:val="21"/>
          <w:szCs w:val="21"/>
          <w:highlight w:val="none"/>
        </w:rPr>
        <w:t>备    注：项目名称+代理费</w:t>
      </w:r>
    </w:p>
    <w:p w14:paraId="4A52A8B5">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209" w:name="_Toc28965"/>
      <w:bookmarkStart w:id="210" w:name="_Toc21891"/>
      <w:bookmarkStart w:id="211" w:name="_Toc19894"/>
      <w:bookmarkStart w:id="212" w:name="_Toc2970"/>
      <w:r>
        <w:rPr>
          <w:rFonts w:hint="eastAsia" w:ascii="宋体" w:hAnsi="宋体" w:eastAsia="宋体" w:cs="宋体"/>
          <w:b/>
          <w:color w:val="auto"/>
          <w:sz w:val="21"/>
          <w:szCs w:val="21"/>
          <w:highlight w:val="none"/>
          <w:lang w:val="en-US" w:eastAsia="zh-CN"/>
        </w:rPr>
        <w:t>八、签订</w:t>
      </w:r>
      <w:bookmarkEnd w:id="174"/>
      <w:r>
        <w:rPr>
          <w:rFonts w:hint="eastAsia" w:ascii="宋体" w:hAnsi="宋体" w:eastAsia="宋体" w:cs="宋体"/>
          <w:b/>
          <w:color w:val="auto"/>
          <w:sz w:val="21"/>
          <w:szCs w:val="21"/>
          <w:highlight w:val="none"/>
          <w:lang w:val="en-US" w:eastAsia="zh-CN"/>
        </w:rPr>
        <w:t>合同</w:t>
      </w:r>
      <w:bookmarkEnd w:id="175"/>
      <w:bookmarkEnd w:id="176"/>
      <w:bookmarkEnd w:id="209"/>
      <w:bookmarkEnd w:id="210"/>
      <w:bookmarkEnd w:id="211"/>
      <w:bookmarkEnd w:id="212"/>
    </w:p>
    <w:p w14:paraId="601EFB1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（一）采购人与成交供应商应当在成交通知书发出之日起10日内，按照竞争性比选文件确定的合同文本以及采购标的、服务内容、采购金额、采购数量、服务要求等事项签订采购合同。</w:t>
      </w:r>
    </w:p>
    <w:p w14:paraId="1F92E12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（二）比选文件、成交供应商的响应文件及有效承诺文件等，均为签订合同的依据。</w:t>
      </w:r>
    </w:p>
    <w:p w14:paraId="60D408B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（三）如成交供应商放弃成交项目或在签订合同时擅自改变成交状态的，采购人将按照相关法律法规处理。</w:t>
      </w:r>
    </w:p>
    <w:p w14:paraId="415FC1E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采购人不得向成交供应商提出超出比选文件以外的任何要求作为签订合同的条件，不得与成交供应商订立背离比选确定的合同文本以及采购标的、规格型号、采购金额、采购数量、服务和服务要求等实质性内容的协议。</w:t>
      </w:r>
    </w:p>
    <w:p w14:paraId="119F92B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（五）除不可抗力等因素外，成交通知书发出后，采购人改变成交结果，或者成交供应商拒绝签订采购合同的，应当承担相应的法律责任。</w:t>
      </w:r>
    </w:p>
    <w:p w14:paraId="37C65F9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1CB51DD">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213" w:name="_Toc18908"/>
      <w:r>
        <w:rPr>
          <w:rFonts w:hint="eastAsia" w:ascii="宋体" w:hAnsi="宋体" w:eastAsia="宋体" w:cs="宋体"/>
          <w:b/>
          <w:bCs/>
          <w:color w:val="auto"/>
          <w:sz w:val="32"/>
          <w:szCs w:val="32"/>
          <w:highlight w:val="none"/>
          <w:lang w:val="en-US" w:eastAsia="zh-CN"/>
        </w:rPr>
        <w:t>第六篇  采购合同（样本仅供参考）</w:t>
      </w:r>
      <w:bookmarkEnd w:id="213"/>
    </w:p>
    <w:p w14:paraId="4E589C8F">
      <w:pPr>
        <w:spacing w:line="500" w:lineRule="exact"/>
        <w:jc w:val="center"/>
        <w:rPr>
          <w:rFonts w:hint="eastAsia" w:ascii="方正仿宋_GBK" w:eastAsia="方正仿宋_GBK"/>
          <w:b/>
          <w:sz w:val="44"/>
          <w:highlight w:val="none"/>
        </w:rPr>
      </w:pPr>
      <w:bookmarkStart w:id="214" w:name="_Toc16264"/>
      <w:r>
        <w:rPr>
          <w:rFonts w:hint="eastAsia" w:ascii="方正仿宋_GBK" w:eastAsia="方正仿宋_GBK"/>
          <w:b/>
          <w:sz w:val="44"/>
          <w:highlight w:val="none"/>
        </w:rPr>
        <w:t>重庆市政府采购合同</w:t>
      </w:r>
    </w:p>
    <w:p w14:paraId="6BFDDE8D">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（项目号：     ）</w:t>
      </w:r>
    </w:p>
    <w:p w14:paraId="51397D89">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甲方（需方）：___________________________      计价单位：____________</w:t>
      </w:r>
    </w:p>
    <w:p w14:paraId="268F27E8">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乙方（供方）：___________________________      计量单位：_____________</w:t>
      </w:r>
    </w:p>
    <w:p w14:paraId="54F06F00">
      <w:pPr>
        <w:wordWrap w:val="0"/>
        <w:spacing w:line="360" w:lineRule="auto"/>
        <w:ind w:firstLine="480"/>
        <w:rPr>
          <w:rFonts w:hint="eastAsia" w:ascii="宋体" w:hAnsi="宋体" w:eastAsia="宋体" w:cs="宋体"/>
          <w:sz w:val="21"/>
          <w:szCs w:val="21"/>
          <w:highlight w:val="none"/>
        </w:rPr>
      </w:pPr>
    </w:p>
    <w:p w14:paraId="4F96E313">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经双方协商一致，达成以下购销合同：</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250F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0FC4A541">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w:t>
            </w:r>
          </w:p>
        </w:tc>
        <w:tc>
          <w:tcPr>
            <w:tcW w:w="984" w:type="dxa"/>
            <w:noWrap w:val="0"/>
            <w:vAlign w:val="center"/>
          </w:tcPr>
          <w:p w14:paraId="537D601F">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数量</w:t>
            </w:r>
          </w:p>
        </w:tc>
        <w:tc>
          <w:tcPr>
            <w:tcW w:w="1298" w:type="dxa"/>
            <w:gridSpan w:val="2"/>
            <w:noWrap w:val="0"/>
            <w:vAlign w:val="center"/>
          </w:tcPr>
          <w:p w14:paraId="2E2F23AB">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综合单价</w:t>
            </w:r>
          </w:p>
        </w:tc>
        <w:tc>
          <w:tcPr>
            <w:tcW w:w="1134" w:type="dxa"/>
            <w:noWrap w:val="0"/>
            <w:vAlign w:val="center"/>
          </w:tcPr>
          <w:p w14:paraId="1FB81B9E">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总价</w:t>
            </w:r>
          </w:p>
        </w:tc>
        <w:tc>
          <w:tcPr>
            <w:tcW w:w="1559" w:type="dxa"/>
            <w:noWrap w:val="0"/>
            <w:vAlign w:val="center"/>
          </w:tcPr>
          <w:p w14:paraId="3A1331C3">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服务时间</w:t>
            </w:r>
          </w:p>
        </w:tc>
        <w:tc>
          <w:tcPr>
            <w:tcW w:w="1567" w:type="dxa"/>
            <w:noWrap w:val="0"/>
            <w:vAlign w:val="center"/>
          </w:tcPr>
          <w:p w14:paraId="6D75F147">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服务地点</w:t>
            </w:r>
          </w:p>
        </w:tc>
      </w:tr>
      <w:tr w14:paraId="1B6D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574B973B">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984" w:type="dxa"/>
            <w:noWrap w:val="0"/>
            <w:vAlign w:val="center"/>
          </w:tcPr>
          <w:p w14:paraId="4CE7B73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298" w:type="dxa"/>
            <w:gridSpan w:val="2"/>
            <w:noWrap w:val="0"/>
            <w:vAlign w:val="center"/>
          </w:tcPr>
          <w:p w14:paraId="2C1A72C9">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134" w:type="dxa"/>
            <w:noWrap w:val="0"/>
            <w:vAlign w:val="center"/>
          </w:tcPr>
          <w:p w14:paraId="0F966E9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559" w:type="dxa"/>
            <w:noWrap w:val="0"/>
            <w:vAlign w:val="center"/>
          </w:tcPr>
          <w:p w14:paraId="4BBD2F4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567" w:type="dxa"/>
            <w:noWrap w:val="0"/>
            <w:vAlign w:val="center"/>
          </w:tcPr>
          <w:p w14:paraId="7A38A8D7">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r>
      <w:tr w14:paraId="72A5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1664225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984" w:type="dxa"/>
            <w:noWrap w:val="0"/>
            <w:vAlign w:val="center"/>
          </w:tcPr>
          <w:p w14:paraId="63B9FA6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298" w:type="dxa"/>
            <w:gridSpan w:val="2"/>
            <w:noWrap w:val="0"/>
            <w:vAlign w:val="center"/>
          </w:tcPr>
          <w:p w14:paraId="33A6BDFD">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134" w:type="dxa"/>
            <w:noWrap w:val="0"/>
            <w:vAlign w:val="center"/>
          </w:tcPr>
          <w:p w14:paraId="5D494882">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559" w:type="dxa"/>
            <w:noWrap w:val="0"/>
            <w:vAlign w:val="center"/>
          </w:tcPr>
          <w:p w14:paraId="124B143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567" w:type="dxa"/>
            <w:noWrap w:val="0"/>
            <w:vAlign w:val="center"/>
          </w:tcPr>
          <w:p w14:paraId="70AB0D48">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r>
      <w:tr w14:paraId="15D9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6ABFF3BB">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合计人民币（小写）：</w:t>
            </w:r>
          </w:p>
        </w:tc>
      </w:tr>
      <w:tr w14:paraId="248F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2F9E3B8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合计人民币（大写）：</w:t>
            </w:r>
          </w:p>
        </w:tc>
      </w:tr>
      <w:tr w14:paraId="0765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noWrap w:val="0"/>
            <w:vAlign w:val="top"/>
          </w:tcPr>
          <w:p w14:paraId="08D0A81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一、服务要求</w:t>
            </w:r>
          </w:p>
        </w:tc>
      </w:tr>
      <w:tr w14:paraId="6C67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noWrap w:val="0"/>
            <w:vAlign w:val="top"/>
          </w:tcPr>
          <w:p w14:paraId="2FD29C42">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二、考核方式</w:t>
            </w:r>
          </w:p>
        </w:tc>
      </w:tr>
      <w:tr w14:paraId="1854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noWrap w:val="0"/>
            <w:vAlign w:val="top"/>
          </w:tcPr>
          <w:p w14:paraId="548CE420">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三、付款方式：</w:t>
            </w:r>
          </w:p>
          <w:p w14:paraId="12353FC0">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r>
      <w:tr w14:paraId="6CA6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noWrap w:val="0"/>
            <w:vAlign w:val="top"/>
          </w:tcPr>
          <w:p w14:paraId="02337E3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X、履约保证金</w:t>
            </w:r>
            <w:r>
              <w:rPr>
                <w:rFonts w:hint="default" w:ascii="宋体" w:hAnsi="宋体" w:eastAsia="宋体" w:cs="宋体"/>
                <w:sz w:val="21"/>
                <w:szCs w:val="21"/>
                <w:highlight w:val="none"/>
              </w:rPr>
              <w:t>：</w:t>
            </w:r>
          </w:p>
        </w:tc>
      </w:tr>
      <w:tr w14:paraId="40D1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7B7CD908">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四、违约责任：</w:t>
            </w:r>
          </w:p>
          <w:p w14:paraId="72142953">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按《中华人民共和国民法典》、《中华人民共和国政府采购法》执行，或按双方约定。</w:t>
            </w:r>
          </w:p>
        </w:tc>
      </w:tr>
      <w:tr w14:paraId="0353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007A276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五、其他约定事项：</w:t>
            </w:r>
          </w:p>
          <w:p w14:paraId="3AFB07D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1.采购文件及其澄清文件、响应文件和承诺是本合同不可分割的部分。</w:t>
            </w:r>
          </w:p>
          <w:p w14:paraId="5E84A252">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2.本合同如发生争议由双方协商解决，协商不成向需方所在人民法院提请诉讼。</w:t>
            </w:r>
          </w:p>
          <w:p w14:paraId="2951CB3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3.本合同一式__份， 需方__份，供方__份，具同等法律效力。</w:t>
            </w:r>
          </w:p>
          <w:p w14:paraId="08437ADC">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4.其他：</w:t>
            </w:r>
          </w:p>
        </w:tc>
      </w:tr>
      <w:tr w14:paraId="7480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noWrap w:val="0"/>
            <w:vAlign w:val="top"/>
          </w:tcPr>
          <w:p w14:paraId="32104518">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需方：</w:t>
            </w:r>
          </w:p>
          <w:p w14:paraId="57170841">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p>
          <w:p w14:paraId="559754BC">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联系电话：</w:t>
            </w:r>
          </w:p>
          <w:p w14:paraId="229F1B24">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授权代表：</w:t>
            </w:r>
          </w:p>
        </w:tc>
        <w:tc>
          <w:tcPr>
            <w:tcW w:w="4984" w:type="dxa"/>
            <w:gridSpan w:val="5"/>
            <w:noWrap w:val="0"/>
            <w:vAlign w:val="top"/>
          </w:tcPr>
          <w:p w14:paraId="12CC076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供方：</w:t>
            </w:r>
          </w:p>
          <w:p w14:paraId="04E0DFF1">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p>
          <w:p w14:paraId="36FFEA79">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p>
          <w:p w14:paraId="7EBFF9A0">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p>
          <w:p w14:paraId="1B8B03E6">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p>
          <w:p w14:paraId="7C3C71FC">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p>
          <w:p w14:paraId="0363967B">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授权代表：</w:t>
            </w:r>
          </w:p>
          <w:p w14:paraId="10E04299">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（本栏请用计算机打印以便于准确付款）</w:t>
            </w:r>
          </w:p>
        </w:tc>
      </w:tr>
      <w:tr w14:paraId="034F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3E138EB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p w14:paraId="67AD0AE4">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p w14:paraId="2ADB2F7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r>
    </w:tbl>
    <w:p w14:paraId="0704C450">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签约时间：           年   月   日      签约地点：</w:t>
      </w:r>
    </w:p>
    <w:p w14:paraId="52A64FBE">
      <w:pPr>
        <w:spacing w:line="360" w:lineRule="auto"/>
        <w:jc w:val="center"/>
        <w:outlineLvl w:val="9"/>
        <w:rPr>
          <w:rFonts w:hint="eastAsia" w:ascii="宋体" w:hAnsi="宋体" w:eastAsia="宋体" w:cs="宋体"/>
          <w:b/>
          <w:szCs w:val="28"/>
          <w:highlight w:val="none"/>
        </w:rPr>
      </w:pPr>
    </w:p>
    <w:p w14:paraId="375138CB">
      <w:pPr>
        <w:tabs>
          <w:tab w:val="left" w:pos="3360"/>
          <w:tab w:val="clear" w:pos="605"/>
        </w:tabs>
        <w:ind w:firstLine="0" w:firstLineChars="0"/>
        <w:jc w:val="both"/>
        <w:rPr>
          <w:rFonts w:hint="eastAsia" w:ascii="宋体" w:hAnsi="宋体" w:eastAsia="宋体" w:cs="宋体"/>
          <w:color w:val="auto"/>
          <w:kern w:val="0"/>
          <w:sz w:val="21"/>
          <w:szCs w:val="21"/>
          <w:highlight w:val="none"/>
        </w:rPr>
      </w:pPr>
    </w:p>
    <w:p w14:paraId="6FA57290">
      <w:pPr>
        <w:ind w:firstLine="1320"/>
        <w:rPr>
          <w:rFonts w:hint="eastAsia" w:ascii="宋体" w:hAnsi="宋体" w:eastAsia="宋体" w:cs="宋体"/>
          <w:color w:val="auto"/>
          <w:kern w:val="0"/>
          <w:sz w:val="21"/>
          <w:szCs w:val="21"/>
          <w:highlight w:val="none"/>
        </w:rPr>
      </w:pPr>
      <w:bookmarkStart w:id="215" w:name="_Toc11319"/>
      <w:r>
        <w:rPr>
          <w:rFonts w:hint="eastAsia" w:ascii="宋体" w:hAnsi="宋体" w:eastAsia="宋体" w:cs="宋体"/>
          <w:color w:val="auto"/>
          <w:kern w:val="0"/>
          <w:sz w:val="21"/>
          <w:szCs w:val="21"/>
          <w:highlight w:val="none"/>
        </w:rPr>
        <w:br w:type="page"/>
      </w:r>
    </w:p>
    <w:bookmarkEnd w:id="215"/>
    <w:p w14:paraId="695FF4FF">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216" w:name="_Toc5048"/>
      <w:r>
        <w:rPr>
          <w:rFonts w:hint="eastAsia" w:ascii="宋体" w:hAnsi="宋体" w:eastAsia="宋体" w:cs="宋体"/>
          <w:b/>
          <w:bCs/>
          <w:color w:val="auto"/>
          <w:sz w:val="32"/>
          <w:szCs w:val="32"/>
          <w:highlight w:val="none"/>
          <w:lang w:val="en-US" w:eastAsia="zh-CN"/>
        </w:rPr>
        <w:t>第七篇  响应文件编制要求</w:t>
      </w:r>
      <w:bookmarkEnd w:id="214"/>
      <w:bookmarkEnd w:id="216"/>
    </w:p>
    <w:p w14:paraId="2146C57D">
      <w:pPr>
        <w:ind w:firstLine="723"/>
        <w:rPr>
          <w:rStyle w:val="42"/>
          <w:rFonts w:hint="eastAsia" w:ascii="宋体" w:hAnsi="宋体" w:eastAsia="宋体" w:cs="宋体"/>
          <w:b/>
          <w:bCs/>
          <w:color w:val="auto"/>
          <w:sz w:val="21"/>
          <w:szCs w:val="21"/>
          <w:highlight w:val="none"/>
        </w:rPr>
      </w:pPr>
      <w:bookmarkStart w:id="217" w:name="_Toc17728"/>
      <w:r>
        <w:rPr>
          <w:rStyle w:val="42"/>
          <w:rFonts w:hint="eastAsia" w:ascii="宋体" w:hAnsi="宋体" w:eastAsia="宋体" w:cs="宋体"/>
          <w:b/>
          <w:bCs/>
          <w:color w:val="auto"/>
          <w:sz w:val="21"/>
          <w:szCs w:val="21"/>
          <w:highlight w:val="none"/>
        </w:rPr>
        <w:t>封面格式</w:t>
      </w:r>
    </w:p>
    <w:bookmarkEnd w:id="217"/>
    <w:p w14:paraId="331300A3">
      <w:pPr>
        <w:ind w:firstLine="723"/>
        <w:rPr>
          <w:rFonts w:hint="eastAsia" w:ascii="宋体" w:hAnsi="宋体" w:eastAsia="宋体" w:cs="宋体"/>
          <w:color w:val="auto"/>
          <w:sz w:val="21"/>
          <w:szCs w:val="21"/>
          <w:highlight w:val="none"/>
        </w:rPr>
      </w:pPr>
      <w:bookmarkStart w:id="218" w:name="_Toc13901"/>
      <w:bookmarkStart w:id="219" w:name="_Toc17949"/>
      <w:bookmarkStart w:id="220" w:name="_Toc19075"/>
      <w:r>
        <w:rPr>
          <w:rStyle w:val="42"/>
          <w:rFonts w:hint="eastAsia" w:ascii="宋体" w:hAnsi="宋体" w:eastAsia="宋体" w:cs="宋体"/>
          <w:b/>
          <w:bCs/>
          <w:color w:val="auto"/>
          <w:sz w:val="21"/>
          <w:szCs w:val="21"/>
          <w:highlight w:val="none"/>
        </w:rPr>
        <w:t>一、经济部分</w:t>
      </w:r>
      <w:bookmarkEnd w:id="218"/>
      <w:bookmarkEnd w:id="219"/>
      <w:bookmarkEnd w:id="220"/>
    </w:p>
    <w:p w14:paraId="7B0C37D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（一）比选报价函</w:t>
      </w:r>
    </w:p>
    <w:p w14:paraId="1EC7300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（二）明细报价表  </w:t>
      </w:r>
    </w:p>
    <w:p w14:paraId="5A89B523">
      <w:pPr>
        <w:ind w:firstLine="723"/>
        <w:rPr>
          <w:rStyle w:val="42"/>
          <w:rFonts w:hint="eastAsia" w:ascii="宋体" w:hAnsi="宋体" w:eastAsia="宋体" w:cs="宋体"/>
          <w:b/>
          <w:bCs/>
          <w:color w:val="auto"/>
          <w:sz w:val="21"/>
          <w:szCs w:val="21"/>
          <w:highlight w:val="none"/>
        </w:rPr>
      </w:pPr>
      <w:bookmarkStart w:id="221" w:name="_Toc25204"/>
      <w:bookmarkStart w:id="222" w:name="_Toc12331"/>
      <w:bookmarkStart w:id="223" w:name="_Toc18091"/>
      <w:r>
        <w:rPr>
          <w:rStyle w:val="42"/>
          <w:rFonts w:hint="eastAsia" w:ascii="宋体" w:hAnsi="宋体" w:eastAsia="宋体" w:cs="宋体"/>
          <w:b/>
          <w:bCs/>
          <w:color w:val="auto"/>
          <w:sz w:val="21"/>
          <w:szCs w:val="21"/>
          <w:highlight w:val="none"/>
        </w:rPr>
        <w:t>二、</w:t>
      </w:r>
      <w:r>
        <w:rPr>
          <w:rStyle w:val="42"/>
          <w:rFonts w:hint="eastAsia" w:ascii="宋体" w:hAnsi="宋体" w:eastAsia="宋体" w:cs="宋体"/>
          <w:b/>
          <w:bCs/>
          <w:color w:val="auto"/>
          <w:sz w:val="21"/>
          <w:szCs w:val="21"/>
          <w:highlight w:val="none"/>
          <w:lang w:val="en-US" w:eastAsia="zh-CN"/>
        </w:rPr>
        <w:t>技术（</w:t>
      </w:r>
      <w:r>
        <w:rPr>
          <w:rStyle w:val="42"/>
          <w:rFonts w:hint="eastAsia" w:ascii="宋体" w:hAnsi="宋体" w:eastAsia="宋体" w:cs="宋体"/>
          <w:b/>
          <w:bCs/>
          <w:color w:val="auto"/>
          <w:sz w:val="21"/>
          <w:szCs w:val="21"/>
          <w:highlight w:val="none"/>
        </w:rPr>
        <w:t>服务</w:t>
      </w:r>
      <w:r>
        <w:rPr>
          <w:rStyle w:val="42"/>
          <w:rFonts w:hint="eastAsia" w:ascii="宋体" w:hAnsi="宋体" w:eastAsia="宋体" w:cs="宋体"/>
          <w:b/>
          <w:bCs/>
          <w:color w:val="auto"/>
          <w:sz w:val="21"/>
          <w:szCs w:val="21"/>
          <w:highlight w:val="none"/>
          <w:lang w:val="en-US" w:eastAsia="zh-CN"/>
        </w:rPr>
        <w:t>）</w:t>
      </w:r>
      <w:r>
        <w:rPr>
          <w:rStyle w:val="42"/>
          <w:rFonts w:hint="eastAsia" w:ascii="宋体" w:hAnsi="宋体" w:eastAsia="宋体" w:cs="宋体"/>
          <w:b/>
          <w:bCs/>
          <w:color w:val="auto"/>
          <w:sz w:val="21"/>
          <w:szCs w:val="21"/>
          <w:highlight w:val="none"/>
        </w:rPr>
        <w:t>部分</w:t>
      </w:r>
      <w:bookmarkEnd w:id="221"/>
      <w:bookmarkEnd w:id="222"/>
    </w:p>
    <w:bookmarkEnd w:id="223"/>
    <w:p w14:paraId="6FF6D59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（一）项目服务需求响应偏离表</w:t>
      </w:r>
    </w:p>
    <w:p w14:paraId="6B6C951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（二）结合项目服务需求提供技术服务方案（格式自定）</w:t>
      </w:r>
    </w:p>
    <w:p w14:paraId="3FA1473C">
      <w:pPr>
        <w:ind w:firstLine="723"/>
        <w:rPr>
          <w:rStyle w:val="42"/>
          <w:rFonts w:hint="eastAsia" w:ascii="宋体" w:hAnsi="宋体" w:eastAsia="宋体" w:cs="宋体"/>
          <w:b/>
          <w:bCs/>
          <w:color w:val="auto"/>
          <w:sz w:val="21"/>
          <w:szCs w:val="21"/>
          <w:highlight w:val="none"/>
        </w:rPr>
      </w:pPr>
      <w:bookmarkStart w:id="224" w:name="_Toc264"/>
      <w:bookmarkStart w:id="225" w:name="_Toc18461"/>
      <w:bookmarkStart w:id="226" w:name="_Toc205"/>
      <w:r>
        <w:rPr>
          <w:rStyle w:val="42"/>
          <w:rFonts w:hint="eastAsia" w:ascii="宋体" w:hAnsi="宋体" w:eastAsia="宋体" w:cs="宋体"/>
          <w:b/>
          <w:bCs/>
          <w:color w:val="auto"/>
          <w:sz w:val="21"/>
          <w:szCs w:val="21"/>
          <w:highlight w:val="none"/>
        </w:rPr>
        <w:t>三、商务部分</w:t>
      </w:r>
      <w:bookmarkEnd w:id="224"/>
      <w:bookmarkEnd w:id="225"/>
    </w:p>
    <w:bookmarkEnd w:id="226"/>
    <w:p w14:paraId="2936B09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（一）商务响应偏离表</w:t>
      </w:r>
    </w:p>
    <w:p w14:paraId="3220C0D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（二）其它优惠承诺（格式自定）</w:t>
      </w:r>
    </w:p>
    <w:p w14:paraId="2D92858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（三）商务评审资料</w:t>
      </w:r>
    </w:p>
    <w:p w14:paraId="6919067F">
      <w:pPr>
        <w:ind w:firstLine="723"/>
        <w:rPr>
          <w:rStyle w:val="42"/>
          <w:rFonts w:hint="eastAsia" w:ascii="宋体" w:hAnsi="宋体" w:eastAsia="宋体" w:cs="宋体"/>
          <w:b/>
          <w:bCs/>
          <w:color w:val="auto"/>
          <w:sz w:val="21"/>
          <w:szCs w:val="21"/>
          <w:highlight w:val="none"/>
        </w:rPr>
      </w:pPr>
      <w:bookmarkStart w:id="227" w:name="_Toc5554"/>
      <w:bookmarkStart w:id="228" w:name="_Toc20117"/>
      <w:bookmarkStart w:id="229" w:name="_Toc3912"/>
      <w:r>
        <w:rPr>
          <w:rStyle w:val="42"/>
          <w:rFonts w:hint="eastAsia" w:ascii="宋体" w:hAnsi="宋体" w:eastAsia="宋体" w:cs="宋体"/>
          <w:b/>
          <w:bCs/>
          <w:color w:val="auto"/>
          <w:sz w:val="21"/>
          <w:szCs w:val="21"/>
          <w:highlight w:val="none"/>
        </w:rPr>
        <w:t>四、资格条件及其他</w:t>
      </w:r>
      <w:bookmarkEnd w:id="227"/>
      <w:bookmarkEnd w:id="228"/>
    </w:p>
    <w:bookmarkEnd w:id="229"/>
    <w:p w14:paraId="001B256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（一）供应商法人营业执照（副本）或事业单位法人证书（副本）或个体工商户营业执照或有效的自然人身份证明或社会团体法人登记证书（提供复印件加盖供应商公章）</w:t>
      </w:r>
    </w:p>
    <w:p w14:paraId="2C76D68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（二）特定资格条件</w:t>
      </w:r>
    </w:p>
    <w:p w14:paraId="660FF6E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按特定资格条件要求提供相应的资质证书或其他证明材料。</w:t>
      </w:r>
    </w:p>
    <w:p w14:paraId="0D7F83D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（三）法定代表人身份证明书/法定代表人授权委托书（格式）</w:t>
      </w:r>
    </w:p>
    <w:p w14:paraId="6FF2728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（四）基本资格条件承诺函</w:t>
      </w:r>
    </w:p>
    <w:p w14:paraId="431F81B3">
      <w:pPr>
        <w:ind w:firstLine="723"/>
        <w:rPr>
          <w:rFonts w:hint="eastAsia" w:ascii="宋体" w:hAnsi="宋体" w:eastAsia="宋体" w:cs="宋体"/>
          <w:color w:val="auto"/>
          <w:sz w:val="21"/>
          <w:szCs w:val="21"/>
          <w:highlight w:val="none"/>
        </w:rPr>
      </w:pPr>
      <w:bookmarkStart w:id="230" w:name="_Toc25846"/>
      <w:bookmarkStart w:id="231" w:name="_Toc4901"/>
      <w:bookmarkStart w:id="232" w:name="_Toc29552"/>
      <w:r>
        <w:rPr>
          <w:rStyle w:val="42"/>
          <w:rFonts w:hint="eastAsia" w:ascii="宋体" w:hAnsi="宋体" w:eastAsia="宋体" w:cs="宋体"/>
          <w:b/>
          <w:bCs/>
          <w:color w:val="auto"/>
          <w:sz w:val="21"/>
          <w:szCs w:val="21"/>
          <w:highlight w:val="none"/>
        </w:rPr>
        <w:t>五、其他资料</w:t>
      </w:r>
      <w:bookmarkEnd w:id="230"/>
      <w:bookmarkEnd w:id="231"/>
      <w:bookmarkEnd w:id="232"/>
    </w:p>
    <w:p w14:paraId="2ABF8AC4">
      <w:pPr>
        <w:rPr>
          <w:rFonts w:hint="eastAsia" w:ascii="宋体" w:hAnsi="宋体" w:eastAsia="宋体" w:cs="宋体"/>
          <w:color w:val="auto"/>
          <w:sz w:val="21"/>
          <w:szCs w:val="21"/>
          <w:highlight w:val="none"/>
        </w:rPr>
      </w:pPr>
      <w:bookmarkStart w:id="233" w:name="_Toc29716"/>
      <w:bookmarkStart w:id="234" w:name="_Toc12936"/>
      <w:r>
        <w:rPr>
          <w:rFonts w:hint="eastAsia" w:ascii="宋体" w:hAnsi="宋体" w:eastAsia="宋体" w:cs="宋体"/>
          <w:color w:val="auto"/>
          <w:sz w:val="21"/>
          <w:szCs w:val="21"/>
          <w:highlight w:val="none"/>
        </w:rPr>
        <w:t>（一）其他与项目有关的资料</w:t>
      </w:r>
      <w:r>
        <w:rPr>
          <w:rFonts w:hint="eastAsia" w:ascii="宋体" w:hAnsi="宋体" w:eastAsia="宋体" w:cs="宋体"/>
          <w:color w:val="auto"/>
          <w:sz w:val="21"/>
          <w:szCs w:val="21"/>
          <w:highlight w:val="none"/>
        </w:rPr>
        <w:br w:type="page"/>
      </w:r>
      <w:bookmarkEnd w:id="233"/>
      <w:bookmarkEnd w:id="234"/>
      <w:bookmarkStart w:id="235" w:name="_Toc429584884"/>
    </w:p>
    <w:p w14:paraId="113B59C6">
      <w:pPr>
        <w:pStyle w:val="3"/>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封面格式</w:t>
      </w:r>
    </w:p>
    <w:p w14:paraId="2CEFA8DE">
      <w:pPr>
        <w:rPr>
          <w:rFonts w:hint="eastAsia" w:ascii="宋体" w:hAnsi="宋体" w:eastAsia="宋体" w:cs="宋体"/>
          <w:color w:val="auto"/>
          <w:sz w:val="21"/>
          <w:szCs w:val="21"/>
          <w:highlight w:val="none"/>
        </w:rPr>
      </w:pPr>
    </w:p>
    <w:p w14:paraId="012E1F60">
      <w:pPr>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pacing w:val="0"/>
          <w:kern w:val="0"/>
          <w:sz w:val="32"/>
          <w:szCs w:val="32"/>
          <w:highlight w:val="none"/>
          <w:fitText w:val="1920" w:id="1790717138"/>
        </w:rPr>
        <w:t>项目执行编号</w:t>
      </w:r>
      <w:r>
        <w:rPr>
          <w:rFonts w:hint="eastAsia" w:ascii="宋体" w:hAnsi="宋体" w:eastAsia="宋体" w:cs="宋体"/>
          <w:color w:val="auto"/>
          <w:sz w:val="32"/>
          <w:szCs w:val="32"/>
          <w:highlight w:val="none"/>
        </w:rPr>
        <w:t>:</w:t>
      </w:r>
    </w:p>
    <w:p w14:paraId="6176475E">
      <w:pPr>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pacing w:val="106"/>
          <w:kern w:val="0"/>
          <w:sz w:val="32"/>
          <w:szCs w:val="32"/>
          <w:highlight w:val="none"/>
          <w:fitText w:val="1920" w:id="2127589251"/>
        </w:rPr>
        <w:t>项目名</w:t>
      </w:r>
      <w:r>
        <w:rPr>
          <w:rFonts w:hint="eastAsia" w:ascii="宋体" w:hAnsi="宋体" w:eastAsia="宋体" w:cs="宋体"/>
          <w:color w:val="auto"/>
          <w:spacing w:val="2"/>
          <w:kern w:val="0"/>
          <w:sz w:val="32"/>
          <w:szCs w:val="32"/>
          <w:highlight w:val="none"/>
          <w:fitText w:val="1920" w:id="2127589251"/>
        </w:rPr>
        <w:t>称</w:t>
      </w:r>
      <w:r>
        <w:rPr>
          <w:rFonts w:hint="eastAsia" w:ascii="宋体" w:hAnsi="宋体" w:eastAsia="宋体" w:cs="宋体"/>
          <w:color w:val="auto"/>
          <w:sz w:val="32"/>
          <w:szCs w:val="32"/>
          <w:highlight w:val="none"/>
        </w:rPr>
        <w:t>：</w:t>
      </w:r>
    </w:p>
    <w:p w14:paraId="119CC269">
      <w:pPr>
        <w:pStyle w:val="11"/>
        <w:rPr>
          <w:rFonts w:hint="eastAsia" w:ascii="宋体" w:hAnsi="宋体" w:eastAsia="宋体" w:cs="宋体"/>
          <w:color w:val="auto"/>
          <w:sz w:val="21"/>
          <w:szCs w:val="21"/>
          <w:highlight w:val="none"/>
        </w:rPr>
      </w:pPr>
    </w:p>
    <w:p w14:paraId="45DAEC3E">
      <w:pPr>
        <w:rPr>
          <w:rFonts w:hint="eastAsia" w:ascii="宋体" w:hAnsi="宋体" w:eastAsia="宋体" w:cs="宋体"/>
          <w:color w:val="auto"/>
          <w:sz w:val="21"/>
          <w:szCs w:val="21"/>
          <w:highlight w:val="none"/>
        </w:rPr>
      </w:pPr>
    </w:p>
    <w:p w14:paraId="7AA5E5E7">
      <w:pPr>
        <w:ind w:firstLine="2160"/>
        <w:rPr>
          <w:rFonts w:hint="eastAsia" w:ascii="宋体" w:hAnsi="宋体" w:eastAsia="宋体" w:cs="宋体"/>
          <w:color w:val="auto"/>
          <w:sz w:val="21"/>
          <w:szCs w:val="21"/>
          <w:highlight w:val="none"/>
        </w:rPr>
      </w:pPr>
      <w:bookmarkStart w:id="236" w:name="_Toc8678"/>
      <w:bookmarkStart w:id="237" w:name="_Toc10490"/>
    </w:p>
    <w:p w14:paraId="4971D7E3">
      <w:pPr>
        <w:ind w:firstLine="2160"/>
        <w:rPr>
          <w:rFonts w:hint="eastAsia" w:ascii="宋体" w:hAnsi="宋体" w:eastAsia="宋体" w:cs="宋体"/>
          <w:color w:val="auto"/>
          <w:sz w:val="21"/>
          <w:szCs w:val="21"/>
          <w:highlight w:val="none"/>
        </w:rPr>
      </w:pPr>
    </w:p>
    <w:p w14:paraId="2F73FACE">
      <w:pPr>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84"/>
          <w:szCs w:val="84"/>
          <w:highlight w:val="none"/>
        </w:rPr>
        <w:t>响应文件</w:t>
      </w:r>
      <w:bookmarkEnd w:id="236"/>
      <w:bookmarkEnd w:id="237"/>
    </w:p>
    <w:p w14:paraId="0F69746D">
      <w:pPr>
        <w:rPr>
          <w:rFonts w:hint="eastAsia" w:ascii="宋体" w:hAnsi="宋体" w:eastAsia="宋体" w:cs="宋体"/>
          <w:color w:val="auto"/>
          <w:sz w:val="21"/>
          <w:szCs w:val="21"/>
          <w:highlight w:val="none"/>
        </w:rPr>
      </w:pPr>
    </w:p>
    <w:p w14:paraId="5BA426EE">
      <w:pPr>
        <w:rPr>
          <w:rFonts w:hint="eastAsia" w:ascii="宋体" w:hAnsi="宋体" w:eastAsia="宋体" w:cs="宋体"/>
          <w:color w:val="auto"/>
          <w:sz w:val="21"/>
          <w:szCs w:val="21"/>
          <w:highlight w:val="none"/>
        </w:rPr>
      </w:pPr>
    </w:p>
    <w:p w14:paraId="43764E2E">
      <w:pPr>
        <w:rPr>
          <w:rFonts w:hint="eastAsia" w:ascii="宋体" w:hAnsi="宋体" w:eastAsia="宋体" w:cs="宋体"/>
          <w:color w:val="auto"/>
          <w:sz w:val="21"/>
          <w:szCs w:val="21"/>
          <w:highlight w:val="none"/>
        </w:rPr>
      </w:pPr>
    </w:p>
    <w:p w14:paraId="2CA20CC2">
      <w:pPr>
        <w:pStyle w:val="11"/>
        <w:rPr>
          <w:rFonts w:hint="eastAsia" w:ascii="宋体" w:hAnsi="宋体" w:eastAsia="宋体" w:cs="宋体"/>
          <w:color w:val="auto"/>
          <w:sz w:val="21"/>
          <w:szCs w:val="21"/>
          <w:highlight w:val="none"/>
        </w:rPr>
      </w:pPr>
    </w:p>
    <w:p w14:paraId="5FD04458">
      <w:pPr>
        <w:pStyle w:val="22"/>
        <w:ind w:left="210" w:right="-191"/>
        <w:rPr>
          <w:rFonts w:hint="eastAsia" w:ascii="宋体" w:hAnsi="宋体" w:eastAsia="宋体" w:cs="宋体"/>
          <w:color w:val="auto"/>
          <w:sz w:val="21"/>
          <w:szCs w:val="21"/>
          <w:highlight w:val="none"/>
        </w:rPr>
      </w:pPr>
    </w:p>
    <w:p w14:paraId="53DAC3F3">
      <w:pPr>
        <w:rPr>
          <w:rFonts w:hint="eastAsia" w:ascii="宋体" w:hAnsi="宋体" w:eastAsia="宋体" w:cs="宋体"/>
          <w:color w:val="auto"/>
          <w:sz w:val="21"/>
          <w:szCs w:val="21"/>
          <w:highlight w:val="none"/>
        </w:rPr>
      </w:pPr>
    </w:p>
    <w:p w14:paraId="0A9C3545">
      <w:pPr>
        <w:pStyle w:val="11"/>
        <w:rPr>
          <w:rFonts w:hint="eastAsia" w:ascii="宋体" w:hAnsi="宋体" w:eastAsia="宋体" w:cs="宋体"/>
          <w:color w:val="auto"/>
          <w:sz w:val="21"/>
          <w:szCs w:val="21"/>
          <w:highlight w:val="none"/>
        </w:rPr>
      </w:pPr>
    </w:p>
    <w:p w14:paraId="25B45270">
      <w:pPr>
        <w:rPr>
          <w:rFonts w:hint="eastAsia" w:ascii="宋体" w:hAnsi="宋体" w:eastAsia="宋体" w:cs="宋体"/>
          <w:color w:val="auto"/>
          <w:sz w:val="21"/>
          <w:szCs w:val="21"/>
          <w:highlight w:val="none"/>
        </w:rPr>
      </w:pPr>
    </w:p>
    <w:p w14:paraId="11CB5946">
      <w:pPr>
        <w:ind w:firstLine="8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供应商（公章）：</w:t>
      </w:r>
    </w:p>
    <w:p w14:paraId="412C89F4">
      <w:pPr>
        <w:ind w:firstLine="840"/>
        <w:rPr>
          <w:rFonts w:hint="eastAsia" w:ascii="宋体" w:hAnsi="宋体" w:eastAsia="宋体" w:cs="宋体"/>
          <w:color w:val="auto"/>
          <w:sz w:val="30"/>
          <w:szCs w:val="30"/>
          <w:highlight w:val="none"/>
        </w:rPr>
      </w:pPr>
      <w:bookmarkStart w:id="238" w:name="_Toc13414"/>
      <w:bookmarkStart w:id="239" w:name="_Toc20763"/>
      <w:r>
        <w:rPr>
          <w:rFonts w:hint="eastAsia" w:ascii="宋体" w:hAnsi="宋体" w:eastAsia="宋体" w:cs="宋体"/>
          <w:color w:val="auto"/>
          <w:sz w:val="30"/>
          <w:szCs w:val="30"/>
          <w:highlight w:val="none"/>
        </w:rPr>
        <w:t>地址：</w:t>
      </w:r>
      <w:bookmarkEnd w:id="238"/>
      <w:bookmarkEnd w:id="239"/>
    </w:p>
    <w:p w14:paraId="64B51FF8">
      <w:pPr>
        <w:ind w:firstLine="840"/>
        <w:rPr>
          <w:rFonts w:hint="eastAsia" w:ascii="宋体" w:hAnsi="宋体" w:eastAsia="宋体" w:cs="宋体"/>
          <w:color w:val="auto"/>
          <w:sz w:val="30"/>
          <w:szCs w:val="30"/>
          <w:highlight w:val="none"/>
        </w:rPr>
      </w:pPr>
      <w:bookmarkStart w:id="240" w:name="_Toc31471"/>
      <w:bookmarkStart w:id="241" w:name="_Toc26634"/>
      <w:r>
        <w:rPr>
          <w:rFonts w:hint="eastAsia" w:ascii="宋体" w:hAnsi="宋体" w:eastAsia="宋体" w:cs="宋体"/>
          <w:color w:val="auto"/>
          <w:sz w:val="30"/>
          <w:szCs w:val="30"/>
          <w:highlight w:val="none"/>
        </w:rPr>
        <w:t>法定代表人或授权代表（签字）：</w:t>
      </w:r>
      <w:bookmarkEnd w:id="240"/>
      <w:bookmarkEnd w:id="241"/>
    </w:p>
    <w:p w14:paraId="13984E21">
      <w:pPr>
        <w:pStyle w:val="9"/>
        <w:ind w:firstLine="8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联系电话：</w:t>
      </w:r>
    </w:p>
    <w:p w14:paraId="54FA0414">
      <w:pPr>
        <w:ind w:firstLine="840"/>
        <w:jc w:val="center"/>
        <w:rPr>
          <w:rFonts w:hint="eastAsia" w:ascii="宋体" w:hAnsi="宋体" w:eastAsia="宋体" w:cs="宋体"/>
          <w:color w:val="auto"/>
          <w:sz w:val="21"/>
          <w:szCs w:val="21"/>
          <w:highlight w:val="none"/>
        </w:rPr>
      </w:pPr>
      <w:r>
        <w:rPr>
          <w:rFonts w:hint="eastAsia" w:ascii="宋体" w:hAnsi="宋体" w:eastAsia="宋体" w:cs="宋体"/>
          <w:color w:val="auto"/>
          <w:sz w:val="30"/>
          <w:szCs w:val="30"/>
          <w:highlight w:val="none"/>
        </w:rPr>
        <w:t>二〇二</w:t>
      </w:r>
      <w:r>
        <w:rPr>
          <w:rFonts w:hint="eastAsia" w:ascii="宋体" w:hAnsi="宋体" w:eastAsia="宋体" w:cs="宋体"/>
          <w:color w:val="auto"/>
          <w:sz w:val="30"/>
          <w:szCs w:val="30"/>
          <w:highlight w:val="none"/>
          <w:lang w:val="en-US" w:eastAsia="zh-CN"/>
        </w:rPr>
        <w:t>五</w:t>
      </w:r>
      <w:r>
        <w:rPr>
          <w:rFonts w:hint="eastAsia" w:ascii="宋体" w:hAnsi="宋体" w:eastAsia="宋体" w:cs="宋体"/>
          <w:color w:val="auto"/>
          <w:sz w:val="30"/>
          <w:szCs w:val="30"/>
          <w:highlight w:val="none"/>
        </w:rPr>
        <w:t>年   月   日</w:t>
      </w:r>
    </w:p>
    <w:p w14:paraId="167B670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32D8BEF">
      <w:pPr>
        <w:ind w:firstLine="723"/>
        <w:rPr>
          <w:rStyle w:val="42"/>
          <w:rFonts w:hint="eastAsia" w:ascii="宋体" w:hAnsi="宋体" w:eastAsia="宋体" w:cs="宋体"/>
          <w:b/>
          <w:bCs/>
          <w:color w:val="auto"/>
          <w:sz w:val="21"/>
          <w:szCs w:val="21"/>
          <w:highlight w:val="none"/>
        </w:rPr>
        <w:sectPr>
          <w:headerReference r:id="rId11" w:type="default"/>
          <w:footerReference r:id="rId12" w:type="default"/>
          <w:type w:val="nextColumn"/>
          <w:pgSz w:w="11907" w:h="16840"/>
          <w:pgMar w:top="1134" w:right="1191" w:bottom="1134" w:left="1304" w:header="851" w:footer="992" w:gutter="0"/>
          <w:pgNumType w:fmt="numberInDash"/>
          <w:cols w:space="720" w:num="1"/>
          <w:docGrid w:linePitch="380" w:charSpace="-5735"/>
        </w:sectPr>
      </w:pPr>
    </w:p>
    <w:p w14:paraId="1DE1243F">
      <w:pPr>
        <w:pStyle w:val="3"/>
        <w:bidi w:val="0"/>
        <w:ind w:left="0" w:leftChars="0" w:firstLine="0" w:firstLineChars="0"/>
        <w:jc w:val="center"/>
        <w:rPr>
          <w:rFonts w:hint="eastAsia" w:ascii="宋体" w:hAnsi="宋体" w:eastAsia="宋体" w:cs="宋体"/>
          <w:color w:val="auto"/>
          <w:sz w:val="21"/>
          <w:szCs w:val="21"/>
          <w:highlight w:val="none"/>
        </w:rPr>
      </w:pPr>
      <w:bookmarkStart w:id="242" w:name="_Toc9430"/>
      <w:bookmarkStart w:id="243" w:name="_Toc29385"/>
      <w:bookmarkStart w:id="244" w:name="_Toc2005"/>
      <w:r>
        <w:rPr>
          <w:rFonts w:hint="eastAsia" w:ascii="宋体" w:hAnsi="宋体" w:eastAsia="宋体" w:cs="宋体"/>
          <w:color w:val="auto"/>
          <w:sz w:val="21"/>
          <w:szCs w:val="21"/>
          <w:highlight w:val="none"/>
        </w:rPr>
        <w:t>目</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录</w:t>
      </w:r>
      <w:bookmarkEnd w:id="242"/>
      <w:bookmarkEnd w:id="243"/>
      <w:bookmarkEnd w:id="244"/>
    </w:p>
    <w:p w14:paraId="61383B48">
      <w:pPr>
        <w:ind w:firstLine="723"/>
        <w:rPr>
          <w:rStyle w:val="42"/>
          <w:rFonts w:hint="eastAsia" w:ascii="宋体" w:hAnsi="宋体" w:eastAsia="宋体" w:cs="宋体"/>
          <w:b/>
          <w:bCs/>
          <w:color w:val="auto"/>
          <w:sz w:val="21"/>
          <w:szCs w:val="21"/>
          <w:highlight w:val="none"/>
        </w:rPr>
      </w:pPr>
    </w:p>
    <w:p w14:paraId="7C57A46B">
      <w:pPr>
        <w:ind w:firstLine="720"/>
        <w:rPr>
          <w:rStyle w:val="42"/>
          <w:rFonts w:hint="eastAsia" w:ascii="宋体" w:hAnsi="宋体" w:eastAsia="宋体" w:cs="宋体"/>
          <w:color w:val="auto"/>
          <w:sz w:val="21"/>
          <w:szCs w:val="21"/>
          <w:highlight w:val="none"/>
        </w:rPr>
        <w:sectPr>
          <w:pgSz w:w="11907" w:h="16840"/>
          <w:pgMar w:top="1134" w:right="1191" w:bottom="1134" w:left="1304" w:header="851" w:footer="992" w:gutter="0"/>
          <w:pgNumType w:fmt="numberInDash"/>
          <w:cols w:space="720" w:num="1"/>
          <w:docGrid w:linePitch="380" w:charSpace="-5735"/>
        </w:sectPr>
      </w:pPr>
      <w:bookmarkStart w:id="245" w:name="_Toc15968"/>
      <w:r>
        <w:rPr>
          <w:rStyle w:val="42"/>
          <w:rFonts w:hint="eastAsia" w:ascii="宋体" w:hAnsi="宋体" w:eastAsia="宋体" w:cs="宋体"/>
          <w:color w:val="auto"/>
          <w:sz w:val="21"/>
          <w:szCs w:val="21"/>
          <w:highlight w:val="none"/>
        </w:rPr>
        <w:t>（格式自拟）</w:t>
      </w:r>
    </w:p>
    <w:bookmarkEnd w:id="245"/>
    <w:p w14:paraId="57B298A1">
      <w:pPr>
        <w:pStyle w:val="3"/>
        <w:bidi w:val="0"/>
        <w:rPr>
          <w:rFonts w:hint="eastAsia" w:ascii="宋体" w:hAnsi="宋体" w:eastAsia="宋体" w:cs="宋体"/>
          <w:color w:val="auto"/>
          <w:sz w:val="21"/>
          <w:szCs w:val="21"/>
          <w:highlight w:val="none"/>
        </w:rPr>
      </w:pPr>
      <w:bookmarkStart w:id="246" w:name="_Toc6183"/>
      <w:bookmarkStart w:id="247" w:name="_Toc23706"/>
      <w:bookmarkStart w:id="248" w:name="_Toc6903"/>
      <w:r>
        <w:rPr>
          <w:rStyle w:val="42"/>
          <w:rFonts w:hint="eastAsia" w:ascii="宋体" w:hAnsi="宋体" w:eastAsia="宋体" w:cs="宋体"/>
          <w:b/>
          <w:bCs/>
          <w:color w:val="auto"/>
          <w:sz w:val="21"/>
          <w:szCs w:val="21"/>
          <w:highlight w:val="none"/>
        </w:rPr>
        <w:t>一、经济</w:t>
      </w:r>
      <w:bookmarkEnd w:id="235"/>
      <w:r>
        <w:rPr>
          <w:rStyle w:val="42"/>
          <w:rFonts w:hint="eastAsia" w:ascii="宋体" w:hAnsi="宋体" w:eastAsia="宋体" w:cs="宋体"/>
          <w:b/>
          <w:bCs/>
          <w:color w:val="auto"/>
          <w:sz w:val="21"/>
          <w:szCs w:val="21"/>
          <w:highlight w:val="none"/>
        </w:rPr>
        <w:t>部分</w:t>
      </w:r>
      <w:bookmarkEnd w:id="246"/>
      <w:bookmarkEnd w:id="247"/>
      <w:bookmarkEnd w:id="248"/>
    </w:p>
    <w:p w14:paraId="7996355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比选报价函</w:t>
      </w:r>
    </w:p>
    <w:p w14:paraId="12888D0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cr/>
      </w:r>
      <w:r>
        <w:rPr>
          <w:rFonts w:hint="eastAsia" w:ascii="宋体" w:hAnsi="宋体" w:eastAsia="宋体" w:cs="宋体"/>
          <w:color w:val="auto"/>
          <w:sz w:val="21"/>
          <w:szCs w:val="21"/>
          <w:highlight w:val="none"/>
        </w:rPr>
        <w:t> </w:t>
      </w:r>
    </w:p>
    <w:p w14:paraId="1B96A09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（采购人名称）：</w:t>
      </w:r>
    </w:p>
    <w:p w14:paraId="7C9C1F1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我方收到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（项目名称）的竞争性比选文件，经详细研究，决定参加该项目的比选。</w:t>
      </w:r>
    </w:p>
    <w:p w14:paraId="0C61ABD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1、愿意按照竞争性比选文件中的一切要求，提供本项目的服务，报价为人民币大写：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；人民币小写：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1A095183">
      <w:pP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2、我方现提交的响应文件为：响应文件正本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份，副本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val="en-US" w:eastAsia="zh-CN"/>
        </w:rPr>
        <w:t>上传网上</w:t>
      </w:r>
      <w:r>
        <w:rPr>
          <w:rFonts w:hint="eastAsia" w:ascii="宋体" w:hAnsi="宋体" w:eastAsia="宋体" w:cs="宋体"/>
          <w:color w:val="auto"/>
          <w:sz w:val="21"/>
          <w:szCs w:val="21"/>
          <w:highlight w:val="none"/>
        </w:rPr>
        <w:t>电子文档</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p>
    <w:p w14:paraId="7288C73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3、我方承诺：本次竞争性比选的有效期为90天。</w:t>
      </w:r>
    </w:p>
    <w:p w14:paraId="04502EE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4、我方完全理解和接受贵方竞争性比选文件的一切规定和要求及评审办法。</w:t>
      </w:r>
    </w:p>
    <w:p w14:paraId="132503C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5、在整个竞争性比选过程中，我方若有违规行为，接受按照《中华人民共和国政府采购法》及其实施条例等规定给予惩罚。</w:t>
      </w:r>
    </w:p>
    <w:p w14:paraId="0E0DCBC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6、我方若成为成交供应商，将按照最终竞争性比选结果签订合同，并且严格履行合同义务。本报价函将成为合同不可分割的一部分，与合同具有同等的法律效力。</w:t>
      </w:r>
    </w:p>
    <w:p w14:paraId="42500BE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7、我方理解，最低报价不是成交的唯一条件。</w:t>
      </w:r>
    </w:p>
    <w:p w14:paraId="13E6737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8、我方未为采购项目提供项目管理、监理、检测等服务。</w:t>
      </w:r>
    </w:p>
    <w:p w14:paraId="0AE96DF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9、若我方成为成交供应商，同意按照本采购文件规定缴纳代理服务费。</w:t>
      </w:r>
    </w:p>
    <w:p w14:paraId="382B366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10.本承诺函将成为合同不可分割的一部分，与合同具有同等的法律效力。。</w:t>
      </w:r>
    </w:p>
    <w:p w14:paraId="6CD2D951">
      <w:pPr>
        <w:rPr>
          <w:rFonts w:hint="eastAsia" w:ascii="宋体" w:hAnsi="宋体" w:eastAsia="宋体" w:cs="宋体"/>
          <w:color w:val="auto"/>
          <w:sz w:val="21"/>
          <w:szCs w:val="21"/>
          <w:highlight w:val="none"/>
        </w:rPr>
      </w:pPr>
    </w:p>
    <w:p w14:paraId="6FE7F8B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w:t>
      </w:r>
    </w:p>
    <w:p w14:paraId="313CEA0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p>
    <w:p w14:paraId="08EB0A4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                                             传真：</w:t>
      </w:r>
    </w:p>
    <w:p w14:paraId="3BF50ED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网址：                                             邮编：</w:t>
      </w:r>
    </w:p>
    <w:p w14:paraId="4346526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p w14:paraId="7BD3F129">
      <w:pPr>
        <w:rPr>
          <w:rFonts w:hint="eastAsia" w:ascii="宋体" w:hAnsi="宋体" w:eastAsia="宋体" w:cs="宋体"/>
          <w:color w:val="auto"/>
          <w:sz w:val="21"/>
          <w:szCs w:val="21"/>
          <w:highlight w:val="none"/>
        </w:rPr>
      </w:pPr>
    </w:p>
    <w:p w14:paraId="0CD7B77F">
      <w:pPr>
        <w:rPr>
          <w:rStyle w:val="42"/>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年   月   日</w:t>
      </w:r>
      <w:bookmarkStart w:id="249" w:name="_Toc342913421"/>
      <w:bookmarkStart w:id="250" w:name="_Toc439685512"/>
      <w:bookmarkStart w:id="251" w:name="_Toc313888362"/>
      <w:bookmarkStart w:id="252" w:name="_Toc313008358"/>
      <w:bookmarkStart w:id="253" w:name="_Toc429584885"/>
    </w:p>
    <w:p w14:paraId="709DA8E0">
      <w:pPr>
        <w:ind w:firstLine="632"/>
        <w:rPr>
          <w:rStyle w:val="42"/>
          <w:rFonts w:hint="eastAsia" w:ascii="宋体" w:hAnsi="宋体" w:eastAsia="宋体" w:cs="宋体"/>
          <w:b/>
          <w:bCs/>
          <w:color w:val="auto"/>
          <w:sz w:val="21"/>
          <w:szCs w:val="21"/>
          <w:highlight w:val="none"/>
        </w:rPr>
        <w:sectPr>
          <w:pgSz w:w="11907" w:h="16840"/>
          <w:pgMar w:top="1134" w:right="1191" w:bottom="1134" w:left="1304" w:header="851" w:footer="992" w:gutter="0"/>
          <w:pgNumType w:fmt="numberInDash"/>
          <w:cols w:space="720" w:num="1"/>
          <w:docGrid w:linePitch="380" w:charSpace="-5735"/>
        </w:sectPr>
      </w:pPr>
      <w:r>
        <w:rPr>
          <w:rStyle w:val="42"/>
          <w:rFonts w:hint="eastAsia" w:ascii="宋体" w:hAnsi="宋体" w:eastAsia="宋体" w:cs="宋体"/>
          <w:b/>
          <w:bCs/>
          <w:color w:val="auto"/>
          <w:sz w:val="21"/>
          <w:szCs w:val="21"/>
          <w:highlight w:val="none"/>
        </w:rPr>
        <w:br w:type="page"/>
      </w:r>
    </w:p>
    <w:p w14:paraId="0EC0F02D">
      <w:pPr>
        <w:numPr>
          <w:ilvl w:val="0"/>
          <w:numId w:val="2"/>
        </w:numPr>
        <w:snapToGrid w:val="0"/>
        <w:spacing w:line="480" w:lineRule="exac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分项报价明细表</w:t>
      </w:r>
    </w:p>
    <w:p w14:paraId="39880016">
      <w:pPr>
        <w:pStyle w:val="14"/>
        <w:numPr>
          <w:ilvl w:val="0"/>
          <w:numId w:val="0"/>
        </w:numPr>
        <w:ind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明细报价表</w:t>
      </w:r>
    </w:p>
    <w:p w14:paraId="49E9D90F">
      <w:pPr>
        <w:rPr>
          <w:rFonts w:hint="eastAsia" w:ascii="宋体" w:hAnsi="宋体" w:eastAsia="宋体" w:cs="宋体"/>
          <w:color w:val="auto"/>
          <w:sz w:val="21"/>
          <w:szCs w:val="21"/>
          <w:highlight w:val="none"/>
        </w:rPr>
      </w:pPr>
    </w:p>
    <w:p w14:paraId="49843CEC">
      <w:pPr>
        <w:pStyle w:val="14"/>
        <w:rPr>
          <w:rFonts w:hint="eastAsia" w:ascii="宋体" w:hAnsi="宋体" w:eastAsia="宋体" w:cs="宋体"/>
          <w:color w:val="auto"/>
          <w:sz w:val="21"/>
          <w:szCs w:val="21"/>
          <w:highlight w:val="none"/>
        </w:rPr>
      </w:pPr>
    </w:p>
    <w:p w14:paraId="3E0C12B1">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                                                   单位：元</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665"/>
        <w:gridCol w:w="2583"/>
        <w:gridCol w:w="1053"/>
        <w:gridCol w:w="1051"/>
        <w:gridCol w:w="1052"/>
        <w:gridCol w:w="1055"/>
      </w:tblGrid>
      <w:tr w14:paraId="24EC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418" w:type="pct"/>
            <w:noWrap w:val="0"/>
            <w:vAlign w:val="center"/>
          </w:tcPr>
          <w:p w14:paraId="41CBF843">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96" w:type="pct"/>
            <w:noWrap w:val="0"/>
            <w:vAlign w:val="center"/>
          </w:tcPr>
          <w:p w14:paraId="67F9B490">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岗位</w:t>
            </w:r>
            <w:r>
              <w:rPr>
                <w:rFonts w:hint="eastAsia" w:ascii="宋体" w:hAnsi="宋体" w:eastAsia="宋体" w:cs="宋体"/>
                <w:color w:val="auto"/>
                <w:sz w:val="21"/>
                <w:szCs w:val="21"/>
                <w:highlight w:val="none"/>
              </w:rPr>
              <w:t>名称</w:t>
            </w:r>
          </w:p>
        </w:tc>
        <w:tc>
          <w:tcPr>
            <w:tcW w:w="1373" w:type="pct"/>
            <w:noWrap w:val="0"/>
            <w:vAlign w:val="center"/>
          </w:tcPr>
          <w:p w14:paraId="017E239F">
            <w:pPr>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项目内容</w:t>
            </w:r>
          </w:p>
        </w:tc>
        <w:tc>
          <w:tcPr>
            <w:tcW w:w="577" w:type="pct"/>
            <w:noWrap w:val="0"/>
            <w:vAlign w:val="center"/>
          </w:tcPr>
          <w:p w14:paraId="0295F281">
            <w:pPr>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w:t>
            </w:r>
          </w:p>
        </w:tc>
        <w:tc>
          <w:tcPr>
            <w:tcW w:w="577" w:type="pct"/>
            <w:noWrap w:val="0"/>
            <w:vAlign w:val="center"/>
          </w:tcPr>
          <w:p w14:paraId="611606D3">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77" w:type="pct"/>
            <w:noWrap w:val="0"/>
            <w:vAlign w:val="center"/>
          </w:tcPr>
          <w:p w14:paraId="3BABEE21">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577" w:type="pct"/>
            <w:noWrap w:val="0"/>
            <w:vAlign w:val="center"/>
          </w:tcPr>
          <w:p w14:paraId="349FE82C">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r>
      <w:tr w14:paraId="1786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3E24BAEF">
            <w:pPr>
              <w:jc w:val="center"/>
              <w:rPr>
                <w:rFonts w:hint="eastAsia" w:ascii="宋体" w:hAnsi="宋体" w:eastAsia="宋体" w:cs="宋体"/>
                <w:color w:val="auto"/>
                <w:sz w:val="21"/>
                <w:szCs w:val="21"/>
                <w:highlight w:val="none"/>
              </w:rPr>
            </w:pPr>
            <w:bookmarkStart w:id="254" w:name="_Toc6101"/>
            <w:bookmarkStart w:id="255" w:name="_Toc21630"/>
            <w:r>
              <w:rPr>
                <w:rFonts w:hint="eastAsia" w:ascii="宋体" w:hAnsi="宋体" w:eastAsia="宋体" w:cs="宋体"/>
                <w:color w:val="auto"/>
                <w:sz w:val="21"/>
                <w:szCs w:val="21"/>
                <w:highlight w:val="none"/>
              </w:rPr>
              <w:t>1</w:t>
            </w:r>
            <w:bookmarkEnd w:id="254"/>
            <w:bookmarkEnd w:id="255"/>
          </w:p>
        </w:tc>
        <w:tc>
          <w:tcPr>
            <w:tcW w:w="896" w:type="pct"/>
            <w:noWrap w:val="0"/>
            <w:vAlign w:val="center"/>
          </w:tcPr>
          <w:p w14:paraId="35B37CE3">
            <w:pPr>
              <w:jc w:val="center"/>
              <w:rPr>
                <w:rFonts w:hint="eastAsia" w:ascii="宋体" w:hAnsi="宋体" w:eastAsia="宋体" w:cs="宋体"/>
                <w:color w:val="auto"/>
                <w:sz w:val="21"/>
                <w:szCs w:val="21"/>
                <w:highlight w:val="none"/>
              </w:rPr>
            </w:pPr>
          </w:p>
        </w:tc>
        <w:tc>
          <w:tcPr>
            <w:tcW w:w="1373" w:type="pct"/>
            <w:noWrap w:val="0"/>
            <w:vAlign w:val="center"/>
          </w:tcPr>
          <w:p w14:paraId="7A9BE822">
            <w:pPr>
              <w:jc w:val="center"/>
              <w:rPr>
                <w:rFonts w:hint="eastAsia" w:ascii="宋体" w:hAnsi="宋体" w:eastAsia="宋体" w:cs="宋体"/>
                <w:color w:val="auto"/>
                <w:sz w:val="21"/>
                <w:szCs w:val="21"/>
                <w:highlight w:val="none"/>
              </w:rPr>
            </w:pPr>
          </w:p>
        </w:tc>
        <w:tc>
          <w:tcPr>
            <w:tcW w:w="577" w:type="pct"/>
            <w:noWrap w:val="0"/>
            <w:vAlign w:val="center"/>
          </w:tcPr>
          <w:p w14:paraId="1A3751BF">
            <w:pPr>
              <w:jc w:val="center"/>
              <w:rPr>
                <w:rFonts w:hint="eastAsia" w:ascii="宋体" w:hAnsi="宋体" w:eastAsia="宋体" w:cs="宋体"/>
                <w:color w:val="auto"/>
                <w:sz w:val="21"/>
                <w:szCs w:val="21"/>
                <w:highlight w:val="none"/>
              </w:rPr>
            </w:pPr>
          </w:p>
        </w:tc>
        <w:tc>
          <w:tcPr>
            <w:tcW w:w="577" w:type="pct"/>
            <w:noWrap w:val="0"/>
            <w:vAlign w:val="center"/>
          </w:tcPr>
          <w:p w14:paraId="142AB45F">
            <w:pPr>
              <w:jc w:val="center"/>
              <w:rPr>
                <w:rFonts w:hint="eastAsia" w:ascii="宋体" w:hAnsi="宋体" w:eastAsia="宋体" w:cs="宋体"/>
                <w:color w:val="auto"/>
                <w:sz w:val="21"/>
                <w:szCs w:val="21"/>
                <w:highlight w:val="none"/>
              </w:rPr>
            </w:pPr>
          </w:p>
        </w:tc>
        <w:tc>
          <w:tcPr>
            <w:tcW w:w="577" w:type="pct"/>
            <w:noWrap w:val="0"/>
            <w:vAlign w:val="center"/>
          </w:tcPr>
          <w:p w14:paraId="6EDE08C3">
            <w:pPr>
              <w:jc w:val="center"/>
              <w:rPr>
                <w:rFonts w:hint="eastAsia" w:ascii="宋体" w:hAnsi="宋体" w:eastAsia="宋体" w:cs="宋体"/>
                <w:color w:val="auto"/>
                <w:sz w:val="21"/>
                <w:szCs w:val="21"/>
                <w:highlight w:val="none"/>
              </w:rPr>
            </w:pPr>
          </w:p>
        </w:tc>
        <w:tc>
          <w:tcPr>
            <w:tcW w:w="577" w:type="pct"/>
            <w:noWrap w:val="0"/>
            <w:vAlign w:val="center"/>
          </w:tcPr>
          <w:p w14:paraId="28B03CEB">
            <w:pPr>
              <w:jc w:val="center"/>
              <w:rPr>
                <w:rFonts w:hint="eastAsia" w:ascii="宋体" w:hAnsi="宋体" w:eastAsia="宋体" w:cs="宋体"/>
                <w:color w:val="auto"/>
                <w:sz w:val="21"/>
                <w:szCs w:val="21"/>
                <w:highlight w:val="none"/>
              </w:rPr>
            </w:pPr>
          </w:p>
        </w:tc>
      </w:tr>
      <w:tr w14:paraId="06C3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74E0D597">
            <w:pPr>
              <w:jc w:val="center"/>
              <w:rPr>
                <w:rFonts w:hint="eastAsia" w:ascii="宋体" w:hAnsi="宋体" w:eastAsia="宋体" w:cs="宋体"/>
                <w:color w:val="auto"/>
                <w:sz w:val="21"/>
                <w:szCs w:val="21"/>
                <w:highlight w:val="none"/>
              </w:rPr>
            </w:pPr>
            <w:bookmarkStart w:id="256" w:name="_Toc927"/>
            <w:bookmarkStart w:id="257" w:name="_Toc19711"/>
            <w:r>
              <w:rPr>
                <w:rFonts w:hint="eastAsia" w:ascii="宋体" w:hAnsi="宋体" w:eastAsia="宋体" w:cs="宋体"/>
                <w:color w:val="auto"/>
                <w:sz w:val="21"/>
                <w:szCs w:val="21"/>
                <w:highlight w:val="none"/>
              </w:rPr>
              <w:t>2</w:t>
            </w:r>
            <w:bookmarkEnd w:id="256"/>
            <w:bookmarkEnd w:id="257"/>
          </w:p>
        </w:tc>
        <w:tc>
          <w:tcPr>
            <w:tcW w:w="896" w:type="pct"/>
            <w:noWrap w:val="0"/>
            <w:vAlign w:val="center"/>
          </w:tcPr>
          <w:p w14:paraId="2AACD731">
            <w:pPr>
              <w:jc w:val="center"/>
              <w:rPr>
                <w:rFonts w:hint="eastAsia" w:ascii="宋体" w:hAnsi="宋体" w:eastAsia="宋体" w:cs="宋体"/>
                <w:color w:val="auto"/>
                <w:sz w:val="21"/>
                <w:szCs w:val="21"/>
                <w:highlight w:val="none"/>
              </w:rPr>
            </w:pPr>
          </w:p>
        </w:tc>
        <w:tc>
          <w:tcPr>
            <w:tcW w:w="1373" w:type="pct"/>
            <w:noWrap w:val="0"/>
            <w:vAlign w:val="center"/>
          </w:tcPr>
          <w:p w14:paraId="30CECC98">
            <w:pPr>
              <w:jc w:val="center"/>
              <w:rPr>
                <w:rFonts w:hint="eastAsia" w:ascii="宋体" w:hAnsi="宋体" w:eastAsia="宋体" w:cs="宋体"/>
                <w:color w:val="auto"/>
                <w:sz w:val="21"/>
                <w:szCs w:val="21"/>
                <w:highlight w:val="none"/>
              </w:rPr>
            </w:pPr>
          </w:p>
        </w:tc>
        <w:tc>
          <w:tcPr>
            <w:tcW w:w="577" w:type="pct"/>
            <w:noWrap w:val="0"/>
            <w:vAlign w:val="center"/>
          </w:tcPr>
          <w:p w14:paraId="643CF6C6">
            <w:pPr>
              <w:jc w:val="center"/>
              <w:rPr>
                <w:rFonts w:hint="eastAsia" w:ascii="宋体" w:hAnsi="宋体" w:eastAsia="宋体" w:cs="宋体"/>
                <w:color w:val="auto"/>
                <w:sz w:val="21"/>
                <w:szCs w:val="21"/>
                <w:highlight w:val="none"/>
              </w:rPr>
            </w:pPr>
          </w:p>
        </w:tc>
        <w:tc>
          <w:tcPr>
            <w:tcW w:w="577" w:type="pct"/>
            <w:noWrap w:val="0"/>
            <w:vAlign w:val="center"/>
          </w:tcPr>
          <w:p w14:paraId="586BC9B6">
            <w:pPr>
              <w:jc w:val="center"/>
              <w:rPr>
                <w:rFonts w:hint="eastAsia" w:ascii="宋体" w:hAnsi="宋体" w:eastAsia="宋体" w:cs="宋体"/>
                <w:color w:val="auto"/>
                <w:sz w:val="21"/>
                <w:szCs w:val="21"/>
                <w:highlight w:val="none"/>
              </w:rPr>
            </w:pPr>
          </w:p>
        </w:tc>
        <w:tc>
          <w:tcPr>
            <w:tcW w:w="577" w:type="pct"/>
            <w:noWrap w:val="0"/>
            <w:vAlign w:val="center"/>
          </w:tcPr>
          <w:p w14:paraId="04A203DE">
            <w:pPr>
              <w:jc w:val="center"/>
              <w:rPr>
                <w:rFonts w:hint="eastAsia" w:ascii="宋体" w:hAnsi="宋体" w:eastAsia="宋体" w:cs="宋体"/>
                <w:color w:val="auto"/>
                <w:sz w:val="21"/>
                <w:szCs w:val="21"/>
                <w:highlight w:val="none"/>
              </w:rPr>
            </w:pPr>
          </w:p>
        </w:tc>
        <w:tc>
          <w:tcPr>
            <w:tcW w:w="577" w:type="pct"/>
            <w:noWrap w:val="0"/>
            <w:vAlign w:val="center"/>
          </w:tcPr>
          <w:p w14:paraId="2A83DEEF">
            <w:pPr>
              <w:jc w:val="center"/>
              <w:rPr>
                <w:rFonts w:hint="eastAsia" w:ascii="宋体" w:hAnsi="宋体" w:eastAsia="宋体" w:cs="宋体"/>
                <w:color w:val="auto"/>
                <w:sz w:val="21"/>
                <w:szCs w:val="21"/>
                <w:highlight w:val="none"/>
              </w:rPr>
            </w:pPr>
          </w:p>
        </w:tc>
      </w:tr>
      <w:tr w14:paraId="4E3F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31ABF526">
            <w:pPr>
              <w:jc w:val="center"/>
              <w:rPr>
                <w:rFonts w:hint="eastAsia" w:ascii="宋体" w:hAnsi="宋体" w:eastAsia="宋体" w:cs="宋体"/>
                <w:color w:val="auto"/>
                <w:sz w:val="21"/>
                <w:szCs w:val="21"/>
                <w:highlight w:val="none"/>
              </w:rPr>
            </w:pPr>
            <w:bookmarkStart w:id="258" w:name="_Toc27203"/>
            <w:bookmarkStart w:id="259" w:name="_Toc4064"/>
            <w:r>
              <w:rPr>
                <w:rFonts w:hint="eastAsia" w:ascii="宋体" w:hAnsi="宋体" w:eastAsia="宋体" w:cs="宋体"/>
                <w:color w:val="auto"/>
                <w:sz w:val="21"/>
                <w:szCs w:val="21"/>
                <w:highlight w:val="none"/>
              </w:rPr>
              <w:t>3</w:t>
            </w:r>
            <w:bookmarkEnd w:id="258"/>
            <w:bookmarkEnd w:id="259"/>
          </w:p>
        </w:tc>
        <w:tc>
          <w:tcPr>
            <w:tcW w:w="896" w:type="pct"/>
            <w:noWrap w:val="0"/>
            <w:vAlign w:val="center"/>
          </w:tcPr>
          <w:p w14:paraId="55711499">
            <w:pPr>
              <w:jc w:val="center"/>
              <w:rPr>
                <w:rFonts w:hint="eastAsia" w:ascii="宋体" w:hAnsi="宋体" w:eastAsia="宋体" w:cs="宋体"/>
                <w:color w:val="auto"/>
                <w:sz w:val="21"/>
                <w:szCs w:val="21"/>
                <w:highlight w:val="none"/>
              </w:rPr>
            </w:pPr>
          </w:p>
        </w:tc>
        <w:tc>
          <w:tcPr>
            <w:tcW w:w="1373" w:type="pct"/>
            <w:noWrap w:val="0"/>
            <w:vAlign w:val="center"/>
          </w:tcPr>
          <w:p w14:paraId="533F5C10">
            <w:pPr>
              <w:jc w:val="center"/>
              <w:rPr>
                <w:rFonts w:hint="eastAsia" w:ascii="宋体" w:hAnsi="宋体" w:eastAsia="宋体" w:cs="宋体"/>
                <w:color w:val="auto"/>
                <w:sz w:val="21"/>
                <w:szCs w:val="21"/>
                <w:highlight w:val="none"/>
              </w:rPr>
            </w:pPr>
          </w:p>
        </w:tc>
        <w:tc>
          <w:tcPr>
            <w:tcW w:w="577" w:type="pct"/>
            <w:noWrap w:val="0"/>
            <w:vAlign w:val="center"/>
          </w:tcPr>
          <w:p w14:paraId="371D329D">
            <w:pPr>
              <w:jc w:val="center"/>
              <w:rPr>
                <w:rFonts w:hint="eastAsia" w:ascii="宋体" w:hAnsi="宋体" w:eastAsia="宋体" w:cs="宋体"/>
                <w:color w:val="auto"/>
                <w:sz w:val="21"/>
                <w:szCs w:val="21"/>
                <w:highlight w:val="none"/>
              </w:rPr>
            </w:pPr>
          </w:p>
        </w:tc>
        <w:tc>
          <w:tcPr>
            <w:tcW w:w="577" w:type="pct"/>
            <w:noWrap w:val="0"/>
            <w:vAlign w:val="center"/>
          </w:tcPr>
          <w:p w14:paraId="3FDDE62D">
            <w:pPr>
              <w:jc w:val="center"/>
              <w:rPr>
                <w:rFonts w:hint="eastAsia" w:ascii="宋体" w:hAnsi="宋体" w:eastAsia="宋体" w:cs="宋体"/>
                <w:color w:val="auto"/>
                <w:sz w:val="21"/>
                <w:szCs w:val="21"/>
                <w:highlight w:val="none"/>
              </w:rPr>
            </w:pPr>
          </w:p>
        </w:tc>
        <w:tc>
          <w:tcPr>
            <w:tcW w:w="577" w:type="pct"/>
            <w:noWrap w:val="0"/>
            <w:vAlign w:val="center"/>
          </w:tcPr>
          <w:p w14:paraId="5F8D996F">
            <w:pPr>
              <w:jc w:val="center"/>
              <w:rPr>
                <w:rFonts w:hint="eastAsia" w:ascii="宋体" w:hAnsi="宋体" w:eastAsia="宋体" w:cs="宋体"/>
                <w:color w:val="auto"/>
                <w:sz w:val="21"/>
                <w:szCs w:val="21"/>
                <w:highlight w:val="none"/>
              </w:rPr>
            </w:pPr>
          </w:p>
        </w:tc>
        <w:tc>
          <w:tcPr>
            <w:tcW w:w="577" w:type="pct"/>
            <w:noWrap w:val="0"/>
            <w:vAlign w:val="center"/>
          </w:tcPr>
          <w:p w14:paraId="18E0C2B1">
            <w:pPr>
              <w:jc w:val="center"/>
              <w:rPr>
                <w:rFonts w:hint="eastAsia" w:ascii="宋体" w:hAnsi="宋体" w:eastAsia="宋体" w:cs="宋体"/>
                <w:color w:val="auto"/>
                <w:sz w:val="21"/>
                <w:szCs w:val="21"/>
                <w:highlight w:val="none"/>
              </w:rPr>
            </w:pPr>
          </w:p>
        </w:tc>
      </w:tr>
      <w:tr w14:paraId="4BAD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36471AE5">
            <w:pPr>
              <w:jc w:val="center"/>
              <w:rPr>
                <w:rFonts w:hint="eastAsia" w:ascii="宋体" w:hAnsi="宋体" w:eastAsia="宋体" w:cs="宋体"/>
                <w:color w:val="auto"/>
                <w:sz w:val="21"/>
                <w:szCs w:val="21"/>
                <w:highlight w:val="none"/>
              </w:rPr>
            </w:pPr>
            <w:bookmarkStart w:id="260" w:name="_Toc18331"/>
            <w:bookmarkStart w:id="261" w:name="_Toc3165"/>
            <w:r>
              <w:rPr>
                <w:rFonts w:hint="eastAsia" w:ascii="宋体" w:hAnsi="宋体" w:eastAsia="宋体" w:cs="宋体"/>
                <w:color w:val="auto"/>
                <w:sz w:val="21"/>
                <w:szCs w:val="21"/>
                <w:highlight w:val="none"/>
              </w:rPr>
              <w:t>4</w:t>
            </w:r>
            <w:bookmarkEnd w:id="260"/>
            <w:bookmarkEnd w:id="261"/>
          </w:p>
        </w:tc>
        <w:tc>
          <w:tcPr>
            <w:tcW w:w="896" w:type="pct"/>
            <w:noWrap w:val="0"/>
            <w:vAlign w:val="center"/>
          </w:tcPr>
          <w:p w14:paraId="6C4F891C">
            <w:pPr>
              <w:jc w:val="center"/>
              <w:rPr>
                <w:rFonts w:hint="eastAsia" w:ascii="宋体" w:hAnsi="宋体" w:eastAsia="宋体" w:cs="宋体"/>
                <w:color w:val="auto"/>
                <w:sz w:val="21"/>
                <w:szCs w:val="21"/>
                <w:highlight w:val="none"/>
              </w:rPr>
            </w:pPr>
          </w:p>
        </w:tc>
        <w:tc>
          <w:tcPr>
            <w:tcW w:w="1373" w:type="pct"/>
            <w:noWrap w:val="0"/>
            <w:vAlign w:val="center"/>
          </w:tcPr>
          <w:p w14:paraId="08A33D96">
            <w:pPr>
              <w:jc w:val="center"/>
              <w:rPr>
                <w:rFonts w:hint="eastAsia" w:ascii="宋体" w:hAnsi="宋体" w:eastAsia="宋体" w:cs="宋体"/>
                <w:color w:val="auto"/>
                <w:sz w:val="21"/>
                <w:szCs w:val="21"/>
                <w:highlight w:val="none"/>
              </w:rPr>
            </w:pPr>
          </w:p>
        </w:tc>
        <w:tc>
          <w:tcPr>
            <w:tcW w:w="577" w:type="pct"/>
            <w:noWrap w:val="0"/>
            <w:vAlign w:val="center"/>
          </w:tcPr>
          <w:p w14:paraId="1DC18C7F">
            <w:pPr>
              <w:jc w:val="center"/>
              <w:rPr>
                <w:rFonts w:hint="eastAsia" w:ascii="宋体" w:hAnsi="宋体" w:eastAsia="宋体" w:cs="宋体"/>
                <w:color w:val="auto"/>
                <w:sz w:val="21"/>
                <w:szCs w:val="21"/>
                <w:highlight w:val="none"/>
              </w:rPr>
            </w:pPr>
          </w:p>
        </w:tc>
        <w:tc>
          <w:tcPr>
            <w:tcW w:w="577" w:type="pct"/>
            <w:noWrap w:val="0"/>
            <w:vAlign w:val="center"/>
          </w:tcPr>
          <w:p w14:paraId="02CFDA5C">
            <w:pPr>
              <w:jc w:val="center"/>
              <w:rPr>
                <w:rFonts w:hint="eastAsia" w:ascii="宋体" w:hAnsi="宋体" w:eastAsia="宋体" w:cs="宋体"/>
                <w:color w:val="auto"/>
                <w:sz w:val="21"/>
                <w:szCs w:val="21"/>
                <w:highlight w:val="none"/>
              </w:rPr>
            </w:pPr>
          </w:p>
        </w:tc>
        <w:tc>
          <w:tcPr>
            <w:tcW w:w="577" w:type="pct"/>
            <w:noWrap w:val="0"/>
            <w:vAlign w:val="center"/>
          </w:tcPr>
          <w:p w14:paraId="1C0AE9C1">
            <w:pPr>
              <w:jc w:val="center"/>
              <w:rPr>
                <w:rFonts w:hint="eastAsia" w:ascii="宋体" w:hAnsi="宋体" w:eastAsia="宋体" w:cs="宋体"/>
                <w:color w:val="auto"/>
                <w:sz w:val="21"/>
                <w:szCs w:val="21"/>
                <w:highlight w:val="none"/>
              </w:rPr>
            </w:pPr>
          </w:p>
        </w:tc>
        <w:tc>
          <w:tcPr>
            <w:tcW w:w="577" w:type="pct"/>
            <w:noWrap w:val="0"/>
            <w:vAlign w:val="center"/>
          </w:tcPr>
          <w:p w14:paraId="064D12BC">
            <w:pPr>
              <w:jc w:val="center"/>
              <w:rPr>
                <w:rFonts w:hint="eastAsia" w:ascii="宋体" w:hAnsi="宋体" w:eastAsia="宋体" w:cs="宋体"/>
                <w:color w:val="auto"/>
                <w:sz w:val="21"/>
                <w:szCs w:val="21"/>
                <w:highlight w:val="none"/>
              </w:rPr>
            </w:pPr>
          </w:p>
        </w:tc>
      </w:tr>
      <w:tr w14:paraId="22C8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34E36B38">
            <w:pPr>
              <w:jc w:val="center"/>
              <w:rPr>
                <w:rFonts w:hint="eastAsia" w:ascii="宋体" w:hAnsi="宋体" w:eastAsia="宋体" w:cs="宋体"/>
                <w:color w:val="auto"/>
                <w:sz w:val="21"/>
                <w:szCs w:val="21"/>
                <w:highlight w:val="none"/>
              </w:rPr>
            </w:pPr>
            <w:bookmarkStart w:id="262" w:name="_Toc10395"/>
            <w:bookmarkStart w:id="263" w:name="_Toc3543"/>
            <w:r>
              <w:rPr>
                <w:rFonts w:hint="eastAsia" w:ascii="宋体" w:hAnsi="宋体" w:eastAsia="宋体" w:cs="宋体"/>
                <w:color w:val="auto"/>
                <w:sz w:val="21"/>
                <w:szCs w:val="21"/>
                <w:highlight w:val="none"/>
              </w:rPr>
              <w:t>5</w:t>
            </w:r>
            <w:bookmarkEnd w:id="262"/>
            <w:bookmarkEnd w:id="263"/>
          </w:p>
        </w:tc>
        <w:tc>
          <w:tcPr>
            <w:tcW w:w="896" w:type="pct"/>
            <w:noWrap w:val="0"/>
            <w:vAlign w:val="center"/>
          </w:tcPr>
          <w:p w14:paraId="5D356993">
            <w:pPr>
              <w:jc w:val="center"/>
              <w:rPr>
                <w:rFonts w:hint="eastAsia" w:ascii="宋体" w:hAnsi="宋体" w:eastAsia="宋体" w:cs="宋体"/>
                <w:color w:val="auto"/>
                <w:sz w:val="21"/>
                <w:szCs w:val="21"/>
                <w:highlight w:val="none"/>
              </w:rPr>
            </w:pPr>
          </w:p>
        </w:tc>
        <w:tc>
          <w:tcPr>
            <w:tcW w:w="1373" w:type="pct"/>
            <w:noWrap w:val="0"/>
            <w:vAlign w:val="center"/>
          </w:tcPr>
          <w:p w14:paraId="6D192AF8">
            <w:pPr>
              <w:jc w:val="center"/>
              <w:rPr>
                <w:rFonts w:hint="eastAsia" w:ascii="宋体" w:hAnsi="宋体" w:eastAsia="宋体" w:cs="宋体"/>
                <w:color w:val="auto"/>
                <w:sz w:val="21"/>
                <w:szCs w:val="21"/>
                <w:highlight w:val="none"/>
              </w:rPr>
            </w:pPr>
          </w:p>
        </w:tc>
        <w:tc>
          <w:tcPr>
            <w:tcW w:w="577" w:type="pct"/>
            <w:noWrap w:val="0"/>
            <w:vAlign w:val="center"/>
          </w:tcPr>
          <w:p w14:paraId="5DEAF08E">
            <w:pPr>
              <w:jc w:val="center"/>
              <w:rPr>
                <w:rFonts w:hint="eastAsia" w:ascii="宋体" w:hAnsi="宋体" w:eastAsia="宋体" w:cs="宋体"/>
                <w:color w:val="auto"/>
                <w:sz w:val="21"/>
                <w:szCs w:val="21"/>
                <w:highlight w:val="none"/>
              </w:rPr>
            </w:pPr>
          </w:p>
        </w:tc>
        <w:tc>
          <w:tcPr>
            <w:tcW w:w="577" w:type="pct"/>
            <w:noWrap w:val="0"/>
            <w:vAlign w:val="center"/>
          </w:tcPr>
          <w:p w14:paraId="2B4102D7">
            <w:pPr>
              <w:jc w:val="center"/>
              <w:rPr>
                <w:rFonts w:hint="eastAsia" w:ascii="宋体" w:hAnsi="宋体" w:eastAsia="宋体" w:cs="宋体"/>
                <w:color w:val="auto"/>
                <w:sz w:val="21"/>
                <w:szCs w:val="21"/>
                <w:highlight w:val="none"/>
              </w:rPr>
            </w:pPr>
          </w:p>
        </w:tc>
        <w:tc>
          <w:tcPr>
            <w:tcW w:w="577" w:type="pct"/>
            <w:noWrap w:val="0"/>
            <w:vAlign w:val="center"/>
          </w:tcPr>
          <w:p w14:paraId="37E1B37B">
            <w:pPr>
              <w:jc w:val="center"/>
              <w:rPr>
                <w:rFonts w:hint="eastAsia" w:ascii="宋体" w:hAnsi="宋体" w:eastAsia="宋体" w:cs="宋体"/>
                <w:color w:val="auto"/>
                <w:sz w:val="21"/>
                <w:szCs w:val="21"/>
                <w:highlight w:val="none"/>
              </w:rPr>
            </w:pPr>
          </w:p>
        </w:tc>
        <w:tc>
          <w:tcPr>
            <w:tcW w:w="577" w:type="pct"/>
            <w:noWrap w:val="0"/>
            <w:vAlign w:val="center"/>
          </w:tcPr>
          <w:p w14:paraId="0D9A28D9">
            <w:pPr>
              <w:jc w:val="center"/>
              <w:rPr>
                <w:rFonts w:hint="eastAsia" w:ascii="宋体" w:hAnsi="宋体" w:eastAsia="宋体" w:cs="宋体"/>
                <w:color w:val="auto"/>
                <w:sz w:val="21"/>
                <w:szCs w:val="21"/>
                <w:highlight w:val="none"/>
              </w:rPr>
            </w:pPr>
          </w:p>
        </w:tc>
      </w:tr>
      <w:tr w14:paraId="5306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73F0C58C">
            <w:pPr>
              <w:jc w:val="center"/>
              <w:rPr>
                <w:rFonts w:hint="eastAsia" w:ascii="宋体" w:hAnsi="宋体" w:eastAsia="宋体" w:cs="宋体"/>
                <w:color w:val="auto"/>
                <w:sz w:val="21"/>
                <w:szCs w:val="21"/>
                <w:highlight w:val="none"/>
              </w:rPr>
            </w:pPr>
            <w:bookmarkStart w:id="264" w:name="_Toc26437"/>
            <w:bookmarkStart w:id="265" w:name="_Toc32372"/>
            <w:r>
              <w:rPr>
                <w:rFonts w:hint="eastAsia" w:ascii="宋体" w:hAnsi="宋体" w:eastAsia="宋体" w:cs="宋体"/>
                <w:color w:val="auto"/>
                <w:sz w:val="21"/>
                <w:szCs w:val="21"/>
                <w:highlight w:val="none"/>
              </w:rPr>
              <w:t>6</w:t>
            </w:r>
            <w:bookmarkEnd w:id="264"/>
            <w:bookmarkEnd w:id="265"/>
          </w:p>
        </w:tc>
        <w:tc>
          <w:tcPr>
            <w:tcW w:w="896" w:type="pct"/>
            <w:noWrap w:val="0"/>
            <w:vAlign w:val="center"/>
          </w:tcPr>
          <w:p w14:paraId="456C3547">
            <w:pPr>
              <w:jc w:val="center"/>
              <w:rPr>
                <w:rFonts w:hint="eastAsia" w:ascii="宋体" w:hAnsi="宋体" w:eastAsia="宋体" w:cs="宋体"/>
                <w:color w:val="auto"/>
                <w:sz w:val="21"/>
                <w:szCs w:val="21"/>
                <w:highlight w:val="none"/>
              </w:rPr>
            </w:pPr>
          </w:p>
        </w:tc>
        <w:tc>
          <w:tcPr>
            <w:tcW w:w="1373" w:type="pct"/>
            <w:noWrap w:val="0"/>
            <w:vAlign w:val="center"/>
          </w:tcPr>
          <w:p w14:paraId="263D57F6">
            <w:pPr>
              <w:jc w:val="center"/>
              <w:rPr>
                <w:rFonts w:hint="eastAsia" w:ascii="宋体" w:hAnsi="宋体" w:eastAsia="宋体" w:cs="宋体"/>
                <w:color w:val="auto"/>
                <w:sz w:val="21"/>
                <w:szCs w:val="21"/>
                <w:highlight w:val="none"/>
              </w:rPr>
            </w:pPr>
          </w:p>
        </w:tc>
        <w:tc>
          <w:tcPr>
            <w:tcW w:w="577" w:type="pct"/>
            <w:noWrap w:val="0"/>
            <w:vAlign w:val="center"/>
          </w:tcPr>
          <w:p w14:paraId="3DE1E9FA">
            <w:pPr>
              <w:jc w:val="center"/>
              <w:rPr>
                <w:rFonts w:hint="eastAsia" w:ascii="宋体" w:hAnsi="宋体" w:eastAsia="宋体" w:cs="宋体"/>
                <w:color w:val="auto"/>
                <w:sz w:val="21"/>
                <w:szCs w:val="21"/>
                <w:highlight w:val="none"/>
              </w:rPr>
            </w:pPr>
          </w:p>
        </w:tc>
        <w:tc>
          <w:tcPr>
            <w:tcW w:w="577" w:type="pct"/>
            <w:noWrap w:val="0"/>
            <w:vAlign w:val="center"/>
          </w:tcPr>
          <w:p w14:paraId="70DCDFFF">
            <w:pPr>
              <w:jc w:val="center"/>
              <w:rPr>
                <w:rFonts w:hint="eastAsia" w:ascii="宋体" w:hAnsi="宋体" w:eastAsia="宋体" w:cs="宋体"/>
                <w:color w:val="auto"/>
                <w:sz w:val="21"/>
                <w:szCs w:val="21"/>
                <w:highlight w:val="none"/>
              </w:rPr>
            </w:pPr>
          </w:p>
        </w:tc>
        <w:tc>
          <w:tcPr>
            <w:tcW w:w="577" w:type="pct"/>
            <w:noWrap w:val="0"/>
            <w:vAlign w:val="center"/>
          </w:tcPr>
          <w:p w14:paraId="5C58A26C">
            <w:pPr>
              <w:jc w:val="center"/>
              <w:rPr>
                <w:rFonts w:hint="eastAsia" w:ascii="宋体" w:hAnsi="宋体" w:eastAsia="宋体" w:cs="宋体"/>
                <w:color w:val="auto"/>
                <w:sz w:val="21"/>
                <w:szCs w:val="21"/>
                <w:highlight w:val="none"/>
              </w:rPr>
            </w:pPr>
          </w:p>
        </w:tc>
        <w:tc>
          <w:tcPr>
            <w:tcW w:w="577" w:type="pct"/>
            <w:noWrap w:val="0"/>
            <w:vAlign w:val="center"/>
          </w:tcPr>
          <w:p w14:paraId="01D43462">
            <w:pPr>
              <w:jc w:val="center"/>
              <w:rPr>
                <w:rFonts w:hint="eastAsia" w:ascii="宋体" w:hAnsi="宋体" w:eastAsia="宋体" w:cs="宋体"/>
                <w:color w:val="auto"/>
                <w:sz w:val="21"/>
                <w:szCs w:val="21"/>
                <w:highlight w:val="none"/>
              </w:rPr>
            </w:pPr>
          </w:p>
        </w:tc>
      </w:tr>
      <w:tr w14:paraId="23ED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7D88F7D6">
            <w:pPr>
              <w:jc w:val="center"/>
              <w:rPr>
                <w:rFonts w:hint="eastAsia" w:ascii="宋体" w:hAnsi="宋体" w:eastAsia="宋体" w:cs="宋体"/>
                <w:color w:val="auto"/>
                <w:sz w:val="21"/>
                <w:szCs w:val="21"/>
                <w:highlight w:val="none"/>
              </w:rPr>
            </w:pPr>
            <w:bookmarkStart w:id="266" w:name="_Toc7711"/>
            <w:bookmarkStart w:id="267" w:name="_Toc16840"/>
            <w:r>
              <w:rPr>
                <w:rFonts w:hint="eastAsia" w:ascii="宋体" w:hAnsi="宋体" w:eastAsia="宋体" w:cs="宋体"/>
                <w:color w:val="auto"/>
                <w:sz w:val="21"/>
                <w:szCs w:val="21"/>
                <w:highlight w:val="none"/>
              </w:rPr>
              <w:t>7</w:t>
            </w:r>
            <w:bookmarkEnd w:id="266"/>
            <w:bookmarkEnd w:id="267"/>
          </w:p>
        </w:tc>
        <w:tc>
          <w:tcPr>
            <w:tcW w:w="896" w:type="pct"/>
            <w:noWrap w:val="0"/>
            <w:vAlign w:val="center"/>
          </w:tcPr>
          <w:p w14:paraId="01EA99A4">
            <w:pPr>
              <w:jc w:val="center"/>
              <w:rPr>
                <w:rFonts w:hint="eastAsia" w:ascii="宋体" w:hAnsi="宋体" w:eastAsia="宋体" w:cs="宋体"/>
                <w:color w:val="auto"/>
                <w:sz w:val="21"/>
                <w:szCs w:val="21"/>
                <w:highlight w:val="none"/>
              </w:rPr>
            </w:pPr>
          </w:p>
        </w:tc>
        <w:tc>
          <w:tcPr>
            <w:tcW w:w="1373" w:type="pct"/>
            <w:noWrap w:val="0"/>
            <w:vAlign w:val="center"/>
          </w:tcPr>
          <w:p w14:paraId="710D440E">
            <w:pPr>
              <w:jc w:val="center"/>
              <w:rPr>
                <w:rFonts w:hint="eastAsia" w:ascii="宋体" w:hAnsi="宋体" w:eastAsia="宋体" w:cs="宋体"/>
                <w:color w:val="auto"/>
                <w:sz w:val="21"/>
                <w:szCs w:val="21"/>
                <w:highlight w:val="none"/>
              </w:rPr>
            </w:pPr>
          </w:p>
        </w:tc>
        <w:tc>
          <w:tcPr>
            <w:tcW w:w="577" w:type="pct"/>
            <w:noWrap w:val="0"/>
            <w:vAlign w:val="center"/>
          </w:tcPr>
          <w:p w14:paraId="6B2BBE30">
            <w:pPr>
              <w:jc w:val="center"/>
              <w:rPr>
                <w:rFonts w:hint="eastAsia" w:ascii="宋体" w:hAnsi="宋体" w:eastAsia="宋体" w:cs="宋体"/>
                <w:color w:val="auto"/>
                <w:sz w:val="21"/>
                <w:szCs w:val="21"/>
                <w:highlight w:val="none"/>
              </w:rPr>
            </w:pPr>
          </w:p>
        </w:tc>
        <w:tc>
          <w:tcPr>
            <w:tcW w:w="577" w:type="pct"/>
            <w:noWrap w:val="0"/>
            <w:vAlign w:val="center"/>
          </w:tcPr>
          <w:p w14:paraId="5095D67D">
            <w:pPr>
              <w:jc w:val="center"/>
              <w:rPr>
                <w:rFonts w:hint="eastAsia" w:ascii="宋体" w:hAnsi="宋体" w:eastAsia="宋体" w:cs="宋体"/>
                <w:color w:val="auto"/>
                <w:sz w:val="21"/>
                <w:szCs w:val="21"/>
                <w:highlight w:val="none"/>
              </w:rPr>
            </w:pPr>
          </w:p>
        </w:tc>
        <w:tc>
          <w:tcPr>
            <w:tcW w:w="577" w:type="pct"/>
            <w:noWrap w:val="0"/>
            <w:vAlign w:val="center"/>
          </w:tcPr>
          <w:p w14:paraId="7B78FF56">
            <w:pPr>
              <w:jc w:val="center"/>
              <w:rPr>
                <w:rFonts w:hint="eastAsia" w:ascii="宋体" w:hAnsi="宋体" w:eastAsia="宋体" w:cs="宋体"/>
                <w:color w:val="auto"/>
                <w:sz w:val="21"/>
                <w:szCs w:val="21"/>
                <w:highlight w:val="none"/>
              </w:rPr>
            </w:pPr>
          </w:p>
        </w:tc>
        <w:tc>
          <w:tcPr>
            <w:tcW w:w="577" w:type="pct"/>
            <w:noWrap w:val="0"/>
            <w:vAlign w:val="center"/>
          </w:tcPr>
          <w:p w14:paraId="5409C7A4">
            <w:pPr>
              <w:jc w:val="center"/>
              <w:rPr>
                <w:rFonts w:hint="eastAsia" w:ascii="宋体" w:hAnsi="宋体" w:eastAsia="宋体" w:cs="宋体"/>
                <w:color w:val="auto"/>
                <w:sz w:val="21"/>
                <w:szCs w:val="21"/>
                <w:highlight w:val="none"/>
              </w:rPr>
            </w:pPr>
          </w:p>
        </w:tc>
      </w:tr>
      <w:tr w14:paraId="2D93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6A7D166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896" w:type="pct"/>
            <w:noWrap w:val="0"/>
            <w:vAlign w:val="center"/>
          </w:tcPr>
          <w:p w14:paraId="3FAC0695">
            <w:pPr>
              <w:jc w:val="center"/>
              <w:rPr>
                <w:rFonts w:hint="eastAsia" w:ascii="宋体" w:hAnsi="宋体" w:eastAsia="宋体" w:cs="宋体"/>
                <w:color w:val="auto"/>
                <w:sz w:val="21"/>
                <w:szCs w:val="21"/>
                <w:highlight w:val="none"/>
              </w:rPr>
            </w:pPr>
          </w:p>
        </w:tc>
        <w:tc>
          <w:tcPr>
            <w:tcW w:w="1373" w:type="pct"/>
            <w:noWrap w:val="0"/>
            <w:vAlign w:val="center"/>
          </w:tcPr>
          <w:p w14:paraId="0428B064">
            <w:pPr>
              <w:jc w:val="center"/>
              <w:rPr>
                <w:rFonts w:hint="eastAsia" w:ascii="宋体" w:hAnsi="宋体" w:eastAsia="宋体" w:cs="宋体"/>
                <w:color w:val="auto"/>
                <w:sz w:val="21"/>
                <w:szCs w:val="21"/>
                <w:highlight w:val="none"/>
              </w:rPr>
            </w:pPr>
          </w:p>
        </w:tc>
        <w:tc>
          <w:tcPr>
            <w:tcW w:w="577" w:type="pct"/>
            <w:noWrap w:val="0"/>
            <w:vAlign w:val="center"/>
          </w:tcPr>
          <w:p w14:paraId="4DC2BD42">
            <w:pPr>
              <w:jc w:val="center"/>
              <w:rPr>
                <w:rFonts w:hint="eastAsia" w:ascii="宋体" w:hAnsi="宋体" w:eastAsia="宋体" w:cs="宋体"/>
                <w:color w:val="auto"/>
                <w:sz w:val="21"/>
                <w:szCs w:val="21"/>
                <w:highlight w:val="none"/>
              </w:rPr>
            </w:pPr>
          </w:p>
        </w:tc>
        <w:tc>
          <w:tcPr>
            <w:tcW w:w="577" w:type="pct"/>
            <w:noWrap w:val="0"/>
            <w:vAlign w:val="center"/>
          </w:tcPr>
          <w:p w14:paraId="139D36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77" w:type="pct"/>
            <w:noWrap w:val="0"/>
            <w:vAlign w:val="center"/>
          </w:tcPr>
          <w:p w14:paraId="468AD117">
            <w:pPr>
              <w:jc w:val="center"/>
              <w:rPr>
                <w:rFonts w:hint="eastAsia" w:ascii="宋体" w:hAnsi="宋体" w:eastAsia="宋体" w:cs="宋体"/>
                <w:color w:val="auto"/>
                <w:sz w:val="21"/>
                <w:szCs w:val="21"/>
                <w:highlight w:val="none"/>
              </w:rPr>
            </w:pPr>
          </w:p>
        </w:tc>
        <w:tc>
          <w:tcPr>
            <w:tcW w:w="577" w:type="pct"/>
            <w:noWrap w:val="0"/>
            <w:vAlign w:val="center"/>
          </w:tcPr>
          <w:p w14:paraId="440E7B08">
            <w:pPr>
              <w:jc w:val="center"/>
              <w:rPr>
                <w:rFonts w:hint="eastAsia" w:ascii="宋体" w:hAnsi="宋体" w:eastAsia="宋体" w:cs="宋体"/>
                <w:color w:val="auto"/>
                <w:sz w:val="21"/>
                <w:szCs w:val="21"/>
                <w:highlight w:val="none"/>
              </w:rPr>
            </w:pPr>
          </w:p>
        </w:tc>
      </w:tr>
      <w:tr w14:paraId="170D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5A9FBF9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896" w:type="pct"/>
            <w:noWrap w:val="0"/>
            <w:vAlign w:val="center"/>
          </w:tcPr>
          <w:p w14:paraId="7CBB17E9">
            <w:pPr>
              <w:jc w:val="center"/>
              <w:rPr>
                <w:rFonts w:hint="eastAsia" w:ascii="宋体" w:hAnsi="宋体" w:eastAsia="宋体" w:cs="宋体"/>
                <w:color w:val="auto"/>
                <w:sz w:val="21"/>
                <w:szCs w:val="21"/>
                <w:highlight w:val="none"/>
              </w:rPr>
            </w:pPr>
          </w:p>
        </w:tc>
        <w:tc>
          <w:tcPr>
            <w:tcW w:w="1373" w:type="pct"/>
            <w:noWrap w:val="0"/>
            <w:vAlign w:val="center"/>
          </w:tcPr>
          <w:p w14:paraId="562541D9">
            <w:pPr>
              <w:jc w:val="center"/>
              <w:rPr>
                <w:rFonts w:hint="eastAsia" w:ascii="宋体" w:hAnsi="宋体" w:eastAsia="宋体" w:cs="宋体"/>
                <w:color w:val="auto"/>
                <w:sz w:val="21"/>
                <w:szCs w:val="21"/>
                <w:highlight w:val="none"/>
              </w:rPr>
            </w:pPr>
          </w:p>
        </w:tc>
        <w:tc>
          <w:tcPr>
            <w:tcW w:w="577" w:type="pct"/>
            <w:noWrap w:val="0"/>
            <w:vAlign w:val="center"/>
          </w:tcPr>
          <w:p w14:paraId="7069CC4A">
            <w:pPr>
              <w:jc w:val="center"/>
              <w:rPr>
                <w:rFonts w:hint="eastAsia" w:ascii="宋体" w:hAnsi="宋体" w:eastAsia="宋体" w:cs="宋体"/>
                <w:color w:val="auto"/>
                <w:sz w:val="21"/>
                <w:szCs w:val="21"/>
                <w:highlight w:val="none"/>
              </w:rPr>
            </w:pPr>
          </w:p>
        </w:tc>
        <w:tc>
          <w:tcPr>
            <w:tcW w:w="577" w:type="pct"/>
            <w:noWrap w:val="0"/>
            <w:vAlign w:val="center"/>
          </w:tcPr>
          <w:p w14:paraId="0C8F2E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77" w:type="pct"/>
            <w:noWrap w:val="0"/>
            <w:vAlign w:val="center"/>
          </w:tcPr>
          <w:p w14:paraId="2E9EE482">
            <w:pPr>
              <w:jc w:val="center"/>
              <w:rPr>
                <w:rFonts w:hint="eastAsia" w:ascii="宋体" w:hAnsi="宋体" w:eastAsia="宋体" w:cs="宋体"/>
                <w:color w:val="auto"/>
                <w:sz w:val="21"/>
                <w:szCs w:val="21"/>
                <w:highlight w:val="none"/>
              </w:rPr>
            </w:pPr>
          </w:p>
        </w:tc>
        <w:tc>
          <w:tcPr>
            <w:tcW w:w="577" w:type="pct"/>
            <w:noWrap w:val="0"/>
            <w:vAlign w:val="center"/>
          </w:tcPr>
          <w:p w14:paraId="2A9D6BF7">
            <w:pPr>
              <w:jc w:val="center"/>
              <w:rPr>
                <w:rFonts w:hint="eastAsia" w:ascii="宋体" w:hAnsi="宋体" w:eastAsia="宋体" w:cs="宋体"/>
                <w:color w:val="auto"/>
                <w:sz w:val="21"/>
                <w:szCs w:val="21"/>
                <w:highlight w:val="none"/>
              </w:rPr>
            </w:pPr>
          </w:p>
        </w:tc>
      </w:tr>
      <w:tr w14:paraId="5C39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0CB8C8D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896" w:type="pct"/>
            <w:noWrap w:val="0"/>
            <w:vAlign w:val="center"/>
          </w:tcPr>
          <w:p w14:paraId="30E148C0">
            <w:pPr>
              <w:jc w:val="center"/>
              <w:rPr>
                <w:rFonts w:hint="eastAsia" w:ascii="宋体" w:hAnsi="宋体" w:eastAsia="宋体" w:cs="宋体"/>
                <w:color w:val="auto"/>
                <w:sz w:val="21"/>
                <w:szCs w:val="21"/>
                <w:highlight w:val="none"/>
              </w:rPr>
            </w:pPr>
          </w:p>
        </w:tc>
        <w:tc>
          <w:tcPr>
            <w:tcW w:w="1373" w:type="pct"/>
            <w:noWrap w:val="0"/>
            <w:vAlign w:val="center"/>
          </w:tcPr>
          <w:p w14:paraId="247A5F99">
            <w:pPr>
              <w:jc w:val="center"/>
              <w:rPr>
                <w:rFonts w:hint="eastAsia" w:ascii="宋体" w:hAnsi="宋体" w:eastAsia="宋体" w:cs="宋体"/>
                <w:color w:val="auto"/>
                <w:sz w:val="21"/>
                <w:szCs w:val="21"/>
                <w:highlight w:val="none"/>
              </w:rPr>
            </w:pPr>
          </w:p>
        </w:tc>
        <w:tc>
          <w:tcPr>
            <w:tcW w:w="577" w:type="pct"/>
            <w:noWrap w:val="0"/>
            <w:vAlign w:val="center"/>
          </w:tcPr>
          <w:p w14:paraId="08E00EA0">
            <w:pPr>
              <w:jc w:val="center"/>
              <w:rPr>
                <w:rFonts w:hint="eastAsia" w:ascii="宋体" w:hAnsi="宋体" w:eastAsia="宋体" w:cs="宋体"/>
                <w:color w:val="auto"/>
                <w:sz w:val="21"/>
                <w:szCs w:val="21"/>
                <w:highlight w:val="none"/>
              </w:rPr>
            </w:pPr>
          </w:p>
        </w:tc>
        <w:tc>
          <w:tcPr>
            <w:tcW w:w="577" w:type="pct"/>
            <w:noWrap w:val="0"/>
            <w:vAlign w:val="center"/>
          </w:tcPr>
          <w:p w14:paraId="2BC361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77" w:type="pct"/>
            <w:noWrap w:val="0"/>
            <w:vAlign w:val="center"/>
          </w:tcPr>
          <w:p w14:paraId="14CE67D6">
            <w:pPr>
              <w:jc w:val="center"/>
              <w:rPr>
                <w:rFonts w:hint="eastAsia" w:ascii="宋体" w:hAnsi="宋体" w:eastAsia="宋体" w:cs="宋体"/>
                <w:color w:val="auto"/>
                <w:sz w:val="21"/>
                <w:szCs w:val="21"/>
                <w:highlight w:val="none"/>
              </w:rPr>
            </w:pPr>
          </w:p>
        </w:tc>
        <w:tc>
          <w:tcPr>
            <w:tcW w:w="577" w:type="pct"/>
            <w:noWrap w:val="0"/>
            <w:vAlign w:val="center"/>
          </w:tcPr>
          <w:p w14:paraId="1CF95631">
            <w:pPr>
              <w:jc w:val="center"/>
              <w:rPr>
                <w:rFonts w:hint="eastAsia" w:ascii="宋体" w:hAnsi="宋体" w:eastAsia="宋体" w:cs="宋体"/>
                <w:color w:val="auto"/>
                <w:sz w:val="21"/>
                <w:szCs w:val="21"/>
                <w:highlight w:val="none"/>
              </w:rPr>
            </w:pPr>
          </w:p>
        </w:tc>
      </w:tr>
      <w:tr w14:paraId="3E50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1797FA58">
            <w:pPr>
              <w:jc w:val="center"/>
              <w:rPr>
                <w:rFonts w:hint="eastAsia" w:ascii="宋体" w:hAnsi="宋体" w:eastAsia="宋体" w:cs="宋体"/>
                <w:color w:val="auto"/>
                <w:sz w:val="21"/>
                <w:szCs w:val="21"/>
                <w:highlight w:val="none"/>
              </w:rPr>
            </w:pPr>
          </w:p>
        </w:tc>
        <w:tc>
          <w:tcPr>
            <w:tcW w:w="896" w:type="pct"/>
            <w:noWrap w:val="0"/>
            <w:vAlign w:val="center"/>
          </w:tcPr>
          <w:p w14:paraId="1B909727">
            <w:pPr>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合计（元）</w:t>
            </w:r>
          </w:p>
        </w:tc>
        <w:tc>
          <w:tcPr>
            <w:tcW w:w="1951" w:type="pct"/>
            <w:gridSpan w:val="2"/>
            <w:noWrap w:val="0"/>
            <w:vAlign w:val="center"/>
          </w:tcPr>
          <w:p w14:paraId="237F683C">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大写：</w:t>
            </w:r>
          </w:p>
        </w:tc>
        <w:tc>
          <w:tcPr>
            <w:tcW w:w="1733" w:type="pct"/>
            <w:gridSpan w:val="3"/>
            <w:noWrap w:val="0"/>
            <w:vAlign w:val="center"/>
          </w:tcPr>
          <w:p w14:paraId="6040A42F">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小写：</w:t>
            </w:r>
          </w:p>
        </w:tc>
      </w:tr>
    </w:tbl>
    <w:p w14:paraId="4E2B2865">
      <w:pPr>
        <w:rPr>
          <w:rFonts w:hint="eastAsia" w:ascii="宋体" w:hAnsi="宋体" w:eastAsia="宋体" w:cs="宋体"/>
          <w:color w:val="auto"/>
          <w:sz w:val="21"/>
          <w:szCs w:val="21"/>
          <w:highlight w:val="none"/>
        </w:rPr>
      </w:pPr>
    </w:p>
    <w:p w14:paraId="53914E89">
      <w:pPr>
        <w:rPr>
          <w:rFonts w:hint="eastAsia" w:ascii="宋体" w:hAnsi="宋体" w:eastAsia="宋体" w:cs="宋体"/>
          <w:color w:val="auto"/>
          <w:sz w:val="21"/>
          <w:szCs w:val="21"/>
          <w:highlight w:val="none"/>
        </w:rPr>
      </w:pPr>
    </w:p>
    <w:p w14:paraId="71D5F4A1">
      <w:pPr>
        <w:snapToGrid w:val="0"/>
        <w:ind w:firstLine="420" w:firstLineChars="200"/>
        <w:rPr>
          <w:rFonts w:hint="eastAsia" w:ascii="宋体" w:hAnsi="宋体" w:eastAsia="宋体" w:cs="宋体"/>
          <w:color w:val="auto"/>
          <w:sz w:val="21"/>
          <w:szCs w:val="21"/>
          <w:highlight w:val="none"/>
        </w:rPr>
      </w:pPr>
    </w:p>
    <w:p w14:paraId="63F23AD7">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注：1、请供应商完整填写本表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不得高于</w:t>
      </w:r>
      <w:r>
        <w:rPr>
          <w:rFonts w:hint="eastAsia" w:ascii="宋体" w:hAnsi="宋体" w:eastAsia="宋体" w:cs="宋体"/>
          <w:color w:val="auto"/>
          <w:sz w:val="21"/>
          <w:szCs w:val="21"/>
          <w:highlight w:val="none"/>
          <w:lang w:val="en-US" w:eastAsia="zh-CN"/>
        </w:rPr>
        <w:t>最高</w:t>
      </w:r>
      <w:r>
        <w:rPr>
          <w:rFonts w:hint="eastAsia" w:ascii="宋体" w:hAnsi="宋体" w:eastAsia="宋体" w:cs="宋体"/>
          <w:color w:val="auto"/>
          <w:sz w:val="21"/>
          <w:szCs w:val="21"/>
          <w:highlight w:val="none"/>
        </w:rPr>
        <w:t>限价；</w:t>
      </w:r>
    </w:p>
    <w:p w14:paraId="2522C06B">
      <w:pPr>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2、该表可扩展</w:t>
      </w:r>
      <w:bookmarkStart w:id="268" w:name="OLE_LINK2"/>
      <w:bookmarkStart w:id="269" w:name="OLE_LINK1"/>
      <w:r>
        <w:rPr>
          <w:rFonts w:hint="eastAsia" w:ascii="宋体" w:hAnsi="宋体" w:eastAsia="宋体" w:cs="宋体"/>
          <w:color w:val="auto"/>
          <w:sz w:val="21"/>
          <w:szCs w:val="21"/>
          <w:highlight w:val="none"/>
        </w:rPr>
        <w:t>，并逐页签字或盖章。</w:t>
      </w:r>
      <w:bookmarkEnd w:id="268"/>
      <w:bookmarkEnd w:id="269"/>
    </w:p>
    <w:p w14:paraId="16FBF987">
      <w:pPr>
        <w:snapToGrid w:val="0"/>
        <w:spacing w:line="4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E978344">
      <w:pPr>
        <w:snapToGrid w:val="0"/>
        <w:spacing w:line="4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                           法定代表人或法定代表人授权代表：</w:t>
      </w:r>
    </w:p>
    <w:p w14:paraId="1C671AED">
      <w:pPr>
        <w:snapToGrid w:val="0"/>
        <w:spacing w:line="4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（供应商公章）                               （签字或盖章）</w:t>
      </w:r>
    </w:p>
    <w:p w14:paraId="0CAFD113">
      <w:pPr>
        <w:snapToGrid w:val="0"/>
        <w:spacing w:line="480" w:lineRule="exact"/>
        <w:ind w:firstLine="210" w:firstLineChars="100"/>
        <w:rPr>
          <w:rFonts w:hint="eastAsia" w:ascii="宋体" w:hAnsi="宋体" w:eastAsia="宋体" w:cs="宋体"/>
          <w:color w:val="auto"/>
          <w:sz w:val="21"/>
          <w:szCs w:val="21"/>
          <w:highlight w:val="none"/>
        </w:rPr>
      </w:pPr>
    </w:p>
    <w:p w14:paraId="581F37C7">
      <w:pPr>
        <w:snapToGrid w:val="0"/>
        <w:spacing w:line="4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3CEA33FD">
      <w:pPr>
        <w:ind w:firstLine="632"/>
        <w:rPr>
          <w:rStyle w:val="42"/>
          <w:rFonts w:hint="eastAsia" w:ascii="宋体" w:hAnsi="宋体" w:eastAsia="宋体" w:cs="宋体"/>
          <w:b/>
          <w:bCs/>
          <w:color w:val="auto"/>
          <w:sz w:val="21"/>
          <w:szCs w:val="21"/>
          <w:highlight w:val="none"/>
        </w:rPr>
        <w:sectPr>
          <w:pgSz w:w="11907" w:h="16840"/>
          <w:pgMar w:top="1134" w:right="1191" w:bottom="1134" w:left="1304" w:header="851" w:footer="992" w:gutter="0"/>
          <w:pgNumType w:fmt="numberInDash"/>
          <w:cols w:space="720" w:num="1"/>
          <w:docGrid w:linePitch="380" w:charSpace="-5735"/>
        </w:sectPr>
      </w:pPr>
    </w:p>
    <w:p w14:paraId="0F9685A4">
      <w:pPr>
        <w:ind w:firstLine="632"/>
        <w:rPr>
          <w:rStyle w:val="42"/>
          <w:rFonts w:hint="eastAsia" w:ascii="宋体" w:hAnsi="宋体" w:eastAsia="宋体" w:cs="宋体"/>
          <w:b/>
          <w:bCs/>
          <w:color w:val="auto"/>
          <w:sz w:val="21"/>
          <w:szCs w:val="21"/>
          <w:highlight w:val="none"/>
        </w:rPr>
      </w:pPr>
    </w:p>
    <w:p w14:paraId="5C5149D6">
      <w:pPr>
        <w:pStyle w:val="3"/>
        <w:bidi w:val="0"/>
        <w:rPr>
          <w:rStyle w:val="42"/>
          <w:rFonts w:hint="eastAsia" w:ascii="宋体" w:hAnsi="宋体" w:eastAsia="宋体" w:cs="宋体"/>
          <w:b/>
          <w:bCs/>
          <w:color w:val="auto"/>
          <w:sz w:val="21"/>
          <w:szCs w:val="21"/>
          <w:highlight w:val="none"/>
        </w:rPr>
      </w:pPr>
      <w:bookmarkStart w:id="270" w:name="_Toc24687"/>
      <w:bookmarkStart w:id="271" w:name="_Toc15767"/>
      <w:bookmarkStart w:id="272" w:name="_Toc32075"/>
      <w:r>
        <w:rPr>
          <w:rStyle w:val="42"/>
          <w:rFonts w:hint="eastAsia" w:ascii="宋体" w:hAnsi="宋体" w:eastAsia="宋体" w:cs="宋体"/>
          <w:b/>
          <w:bCs/>
          <w:color w:val="auto"/>
          <w:sz w:val="21"/>
          <w:szCs w:val="21"/>
          <w:highlight w:val="none"/>
        </w:rPr>
        <w:t>二、</w:t>
      </w:r>
      <w:r>
        <w:rPr>
          <w:rStyle w:val="42"/>
          <w:rFonts w:hint="eastAsia" w:ascii="宋体" w:hAnsi="宋体" w:eastAsia="宋体" w:cs="宋体"/>
          <w:b/>
          <w:bCs/>
          <w:color w:val="auto"/>
          <w:sz w:val="21"/>
          <w:szCs w:val="21"/>
          <w:highlight w:val="none"/>
          <w:lang w:val="en-US" w:eastAsia="zh-CN"/>
        </w:rPr>
        <w:t>技术（</w:t>
      </w:r>
      <w:r>
        <w:rPr>
          <w:rStyle w:val="42"/>
          <w:rFonts w:hint="eastAsia" w:ascii="宋体" w:hAnsi="宋体" w:eastAsia="宋体" w:cs="宋体"/>
          <w:b/>
          <w:bCs/>
          <w:color w:val="auto"/>
          <w:sz w:val="21"/>
          <w:szCs w:val="21"/>
          <w:highlight w:val="none"/>
        </w:rPr>
        <w:t>服务</w:t>
      </w:r>
      <w:r>
        <w:rPr>
          <w:rStyle w:val="42"/>
          <w:rFonts w:hint="eastAsia" w:ascii="宋体" w:hAnsi="宋体" w:eastAsia="宋体" w:cs="宋体"/>
          <w:b/>
          <w:bCs/>
          <w:color w:val="auto"/>
          <w:sz w:val="21"/>
          <w:szCs w:val="21"/>
          <w:highlight w:val="none"/>
          <w:lang w:val="en-US" w:eastAsia="zh-CN"/>
        </w:rPr>
        <w:t>）</w:t>
      </w:r>
      <w:r>
        <w:rPr>
          <w:rStyle w:val="42"/>
          <w:rFonts w:hint="eastAsia" w:ascii="宋体" w:hAnsi="宋体" w:eastAsia="宋体" w:cs="宋体"/>
          <w:b/>
          <w:bCs/>
          <w:color w:val="auto"/>
          <w:sz w:val="21"/>
          <w:szCs w:val="21"/>
          <w:highlight w:val="none"/>
        </w:rPr>
        <w:t>部分</w:t>
      </w:r>
      <w:bookmarkEnd w:id="270"/>
      <w:bookmarkEnd w:id="271"/>
    </w:p>
    <w:bookmarkEnd w:id="272"/>
    <w:p w14:paraId="358A7FC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（一）项目服务需求响应偏离表</w:t>
      </w:r>
    </w:p>
    <w:p w14:paraId="1D55728E">
      <w:pPr>
        <w:ind w:firstLine="72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项目服务需求响应偏离表</w:t>
      </w:r>
    </w:p>
    <w:p w14:paraId="721862F6">
      <w:pPr>
        <w:ind w:firstLine="720"/>
        <w:rPr>
          <w:rFonts w:hint="eastAsia" w:ascii="宋体" w:hAnsi="宋体" w:eastAsia="宋体" w:cs="宋体"/>
          <w:color w:val="auto"/>
          <w:sz w:val="21"/>
          <w:szCs w:val="21"/>
          <w:highlight w:val="none"/>
        </w:rPr>
      </w:pPr>
    </w:p>
    <w:p w14:paraId="2C996C1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项目编号：         </w:t>
      </w:r>
    </w:p>
    <w:p w14:paraId="14D521A7">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项目名称：                </w:t>
      </w:r>
    </w:p>
    <w:tbl>
      <w:tblPr>
        <w:tblStyle w:val="28"/>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2724"/>
        <w:gridCol w:w="2521"/>
        <w:gridCol w:w="1701"/>
      </w:tblGrid>
      <w:tr w14:paraId="3036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358" w:type="dxa"/>
            <w:vAlign w:val="center"/>
          </w:tcPr>
          <w:p w14:paraId="4F78AEFA">
            <w:pPr>
              <w:pStyle w:val="17"/>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 号</w:t>
            </w:r>
          </w:p>
        </w:tc>
        <w:tc>
          <w:tcPr>
            <w:tcW w:w="2724" w:type="dxa"/>
            <w:vAlign w:val="center"/>
          </w:tcPr>
          <w:p w14:paraId="63DD8635">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项目服务需求</w:t>
            </w:r>
          </w:p>
        </w:tc>
        <w:tc>
          <w:tcPr>
            <w:tcW w:w="2521" w:type="dxa"/>
            <w:vAlign w:val="center"/>
          </w:tcPr>
          <w:p w14:paraId="447293D8">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响应情况</w:t>
            </w:r>
          </w:p>
        </w:tc>
        <w:tc>
          <w:tcPr>
            <w:tcW w:w="1701" w:type="dxa"/>
            <w:vAlign w:val="center"/>
          </w:tcPr>
          <w:p w14:paraId="7A9E9138">
            <w:pPr>
              <w:pStyle w:val="17"/>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差异说明</w:t>
            </w:r>
          </w:p>
        </w:tc>
      </w:tr>
      <w:tr w14:paraId="68D0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58" w:type="dxa"/>
            <w:vAlign w:val="center"/>
          </w:tcPr>
          <w:p w14:paraId="2338319C">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24" w:type="dxa"/>
            <w:vAlign w:val="center"/>
          </w:tcPr>
          <w:p w14:paraId="3DD3E9C4">
            <w:pPr>
              <w:pStyle w:val="17"/>
              <w:ind w:firstLine="720"/>
              <w:rPr>
                <w:rFonts w:hint="eastAsia" w:ascii="宋体" w:hAnsi="宋体" w:eastAsia="宋体" w:cs="宋体"/>
                <w:color w:val="auto"/>
                <w:sz w:val="21"/>
                <w:szCs w:val="21"/>
                <w:highlight w:val="none"/>
              </w:rPr>
            </w:pPr>
          </w:p>
        </w:tc>
        <w:tc>
          <w:tcPr>
            <w:tcW w:w="2521" w:type="dxa"/>
            <w:vAlign w:val="center"/>
          </w:tcPr>
          <w:p w14:paraId="05BBD19C">
            <w:pPr>
              <w:pStyle w:val="17"/>
              <w:ind w:firstLine="720"/>
              <w:rPr>
                <w:rFonts w:hint="eastAsia" w:ascii="宋体" w:hAnsi="宋体" w:eastAsia="宋体" w:cs="宋体"/>
                <w:color w:val="auto"/>
                <w:sz w:val="21"/>
                <w:szCs w:val="21"/>
                <w:highlight w:val="none"/>
              </w:rPr>
            </w:pPr>
          </w:p>
        </w:tc>
        <w:tc>
          <w:tcPr>
            <w:tcW w:w="1701" w:type="dxa"/>
            <w:vAlign w:val="center"/>
          </w:tcPr>
          <w:p w14:paraId="1164F324">
            <w:pPr>
              <w:pStyle w:val="17"/>
              <w:ind w:firstLine="720"/>
              <w:rPr>
                <w:rFonts w:hint="eastAsia" w:ascii="宋体" w:hAnsi="宋体" w:eastAsia="宋体" w:cs="宋体"/>
                <w:color w:val="auto"/>
                <w:sz w:val="21"/>
                <w:szCs w:val="21"/>
                <w:highlight w:val="none"/>
              </w:rPr>
            </w:pPr>
          </w:p>
        </w:tc>
      </w:tr>
      <w:tr w14:paraId="6834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58" w:type="dxa"/>
            <w:vAlign w:val="center"/>
          </w:tcPr>
          <w:p w14:paraId="1BE62829">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724" w:type="dxa"/>
            <w:vAlign w:val="center"/>
          </w:tcPr>
          <w:p w14:paraId="679F5B6C">
            <w:pPr>
              <w:pStyle w:val="17"/>
              <w:ind w:firstLine="720"/>
              <w:rPr>
                <w:rFonts w:hint="eastAsia" w:ascii="宋体" w:hAnsi="宋体" w:eastAsia="宋体" w:cs="宋体"/>
                <w:color w:val="auto"/>
                <w:sz w:val="21"/>
                <w:szCs w:val="21"/>
                <w:highlight w:val="none"/>
              </w:rPr>
            </w:pPr>
          </w:p>
        </w:tc>
        <w:tc>
          <w:tcPr>
            <w:tcW w:w="2521" w:type="dxa"/>
            <w:vAlign w:val="center"/>
          </w:tcPr>
          <w:p w14:paraId="678336B8">
            <w:pPr>
              <w:pStyle w:val="17"/>
              <w:ind w:firstLine="720"/>
              <w:rPr>
                <w:rFonts w:hint="eastAsia" w:ascii="宋体" w:hAnsi="宋体" w:eastAsia="宋体" w:cs="宋体"/>
                <w:color w:val="auto"/>
                <w:sz w:val="21"/>
                <w:szCs w:val="21"/>
                <w:highlight w:val="none"/>
              </w:rPr>
            </w:pPr>
          </w:p>
        </w:tc>
        <w:tc>
          <w:tcPr>
            <w:tcW w:w="1701" w:type="dxa"/>
            <w:vAlign w:val="center"/>
          </w:tcPr>
          <w:p w14:paraId="2FD70DAE">
            <w:pPr>
              <w:pStyle w:val="17"/>
              <w:ind w:firstLine="720"/>
              <w:rPr>
                <w:rFonts w:hint="eastAsia" w:ascii="宋体" w:hAnsi="宋体" w:eastAsia="宋体" w:cs="宋体"/>
                <w:color w:val="auto"/>
                <w:sz w:val="21"/>
                <w:szCs w:val="21"/>
                <w:highlight w:val="none"/>
              </w:rPr>
            </w:pPr>
          </w:p>
        </w:tc>
      </w:tr>
      <w:tr w14:paraId="4CAA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4720AEE7">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724" w:type="dxa"/>
            <w:vAlign w:val="center"/>
          </w:tcPr>
          <w:p w14:paraId="4BE2B121">
            <w:pPr>
              <w:pStyle w:val="17"/>
              <w:ind w:firstLine="720"/>
              <w:rPr>
                <w:rFonts w:hint="eastAsia" w:ascii="宋体" w:hAnsi="宋体" w:eastAsia="宋体" w:cs="宋体"/>
                <w:color w:val="auto"/>
                <w:sz w:val="21"/>
                <w:szCs w:val="21"/>
                <w:highlight w:val="none"/>
              </w:rPr>
            </w:pPr>
          </w:p>
        </w:tc>
        <w:tc>
          <w:tcPr>
            <w:tcW w:w="2521" w:type="dxa"/>
            <w:vAlign w:val="center"/>
          </w:tcPr>
          <w:p w14:paraId="52B21754">
            <w:pPr>
              <w:pStyle w:val="17"/>
              <w:ind w:firstLine="720"/>
              <w:rPr>
                <w:rFonts w:hint="eastAsia" w:ascii="宋体" w:hAnsi="宋体" w:eastAsia="宋体" w:cs="宋体"/>
                <w:color w:val="auto"/>
                <w:sz w:val="21"/>
                <w:szCs w:val="21"/>
                <w:highlight w:val="none"/>
              </w:rPr>
            </w:pPr>
          </w:p>
        </w:tc>
        <w:tc>
          <w:tcPr>
            <w:tcW w:w="1701" w:type="dxa"/>
            <w:vAlign w:val="center"/>
          </w:tcPr>
          <w:p w14:paraId="1535D147">
            <w:pPr>
              <w:pStyle w:val="17"/>
              <w:ind w:firstLine="720"/>
              <w:rPr>
                <w:rFonts w:hint="eastAsia" w:ascii="宋体" w:hAnsi="宋体" w:eastAsia="宋体" w:cs="宋体"/>
                <w:color w:val="auto"/>
                <w:sz w:val="21"/>
                <w:szCs w:val="21"/>
                <w:highlight w:val="none"/>
              </w:rPr>
            </w:pPr>
          </w:p>
        </w:tc>
      </w:tr>
      <w:tr w14:paraId="18FC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3BD313B0">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724" w:type="dxa"/>
            <w:vAlign w:val="center"/>
          </w:tcPr>
          <w:p w14:paraId="2BA70C66">
            <w:pPr>
              <w:pStyle w:val="17"/>
              <w:ind w:firstLine="720"/>
              <w:rPr>
                <w:rFonts w:hint="eastAsia" w:ascii="宋体" w:hAnsi="宋体" w:eastAsia="宋体" w:cs="宋体"/>
                <w:color w:val="auto"/>
                <w:sz w:val="21"/>
                <w:szCs w:val="21"/>
                <w:highlight w:val="none"/>
              </w:rPr>
            </w:pPr>
          </w:p>
        </w:tc>
        <w:tc>
          <w:tcPr>
            <w:tcW w:w="2521" w:type="dxa"/>
            <w:vAlign w:val="center"/>
          </w:tcPr>
          <w:p w14:paraId="42936724">
            <w:pPr>
              <w:pStyle w:val="17"/>
              <w:ind w:firstLine="720"/>
              <w:rPr>
                <w:rFonts w:hint="eastAsia" w:ascii="宋体" w:hAnsi="宋体" w:eastAsia="宋体" w:cs="宋体"/>
                <w:color w:val="auto"/>
                <w:sz w:val="21"/>
                <w:szCs w:val="21"/>
                <w:highlight w:val="none"/>
              </w:rPr>
            </w:pPr>
          </w:p>
        </w:tc>
        <w:tc>
          <w:tcPr>
            <w:tcW w:w="1701" w:type="dxa"/>
            <w:vAlign w:val="center"/>
          </w:tcPr>
          <w:p w14:paraId="2BE8B1DC">
            <w:pPr>
              <w:pStyle w:val="17"/>
              <w:ind w:firstLine="720"/>
              <w:rPr>
                <w:rFonts w:hint="eastAsia" w:ascii="宋体" w:hAnsi="宋体" w:eastAsia="宋体" w:cs="宋体"/>
                <w:color w:val="auto"/>
                <w:sz w:val="21"/>
                <w:szCs w:val="21"/>
                <w:highlight w:val="none"/>
              </w:rPr>
            </w:pPr>
          </w:p>
        </w:tc>
      </w:tr>
      <w:tr w14:paraId="0149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1B714DCC">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724" w:type="dxa"/>
            <w:vAlign w:val="center"/>
          </w:tcPr>
          <w:p w14:paraId="64C25AAE">
            <w:pPr>
              <w:pStyle w:val="17"/>
              <w:ind w:firstLine="720"/>
              <w:rPr>
                <w:rFonts w:hint="eastAsia" w:ascii="宋体" w:hAnsi="宋体" w:eastAsia="宋体" w:cs="宋体"/>
                <w:color w:val="auto"/>
                <w:sz w:val="21"/>
                <w:szCs w:val="21"/>
                <w:highlight w:val="none"/>
              </w:rPr>
            </w:pPr>
          </w:p>
        </w:tc>
        <w:tc>
          <w:tcPr>
            <w:tcW w:w="2521" w:type="dxa"/>
            <w:vAlign w:val="center"/>
          </w:tcPr>
          <w:p w14:paraId="0F1DC1AC">
            <w:pPr>
              <w:pStyle w:val="17"/>
              <w:ind w:firstLine="720"/>
              <w:rPr>
                <w:rFonts w:hint="eastAsia" w:ascii="宋体" w:hAnsi="宋体" w:eastAsia="宋体" w:cs="宋体"/>
                <w:color w:val="auto"/>
                <w:sz w:val="21"/>
                <w:szCs w:val="21"/>
                <w:highlight w:val="none"/>
              </w:rPr>
            </w:pPr>
          </w:p>
        </w:tc>
        <w:tc>
          <w:tcPr>
            <w:tcW w:w="1701" w:type="dxa"/>
            <w:vAlign w:val="center"/>
          </w:tcPr>
          <w:p w14:paraId="039B8BA6">
            <w:pPr>
              <w:pStyle w:val="17"/>
              <w:ind w:firstLine="720"/>
              <w:rPr>
                <w:rFonts w:hint="eastAsia" w:ascii="宋体" w:hAnsi="宋体" w:eastAsia="宋体" w:cs="宋体"/>
                <w:color w:val="auto"/>
                <w:sz w:val="21"/>
                <w:szCs w:val="21"/>
                <w:highlight w:val="none"/>
              </w:rPr>
            </w:pPr>
          </w:p>
        </w:tc>
      </w:tr>
      <w:tr w14:paraId="11E2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6D733C88">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724" w:type="dxa"/>
            <w:vAlign w:val="center"/>
          </w:tcPr>
          <w:p w14:paraId="78E60FC9">
            <w:pPr>
              <w:pStyle w:val="17"/>
              <w:ind w:firstLine="720"/>
              <w:rPr>
                <w:rFonts w:hint="eastAsia" w:ascii="宋体" w:hAnsi="宋体" w:eastAsia="宋体" w:cs="宋体"/>
                <w:color w:val="auto"/>
                <w:sz w:val="21"/>
                <w:szCs w:val="21"/>
                <w:highlight w:val="none"/>
              </w:rPr>
            </w:pPr>
          </w:p>
        </w:tc>
        <w:tc>
          <w:tcPr>
            <w:tcW w:w="2521" w:type="dxa"/>
            <w:vAlign w:val="center"/>
          </w:tcPr>
          <w:p w14:paraId="2CF88A6E">
            <w:pPr>
              <w:pStyle w:val="17"/>
              <w:ind w:firstLine="720"/>
              <w:rPr>
                <w:rFonts w:hint="eastAsia" w:ascii="宋体" w:hAnsi="宋体" w:eastAsia="宋体" w:cs="宋体"/>
                <w:color w:val="auto"/>
                <w:sz w:val="21"/>
                <w:szCs w:val="21"/>
                <w:highlight w:val="none"/>
              </w:rPr>
            </w:pPr>
          </w:p>
        </w:tc>
        <w:tc>
          <w:tcPr>
            <w:tcW w:w="1701" w:type="dxa"/>
            <w:vAlign w:val="center"/>
          </w:tcPr>
          <w:p w14:paraId="55E373E7">
            <w:pPr>
              <w:pStyle w:val="17"/>
              <w:ind w:firstLine="720"/>
              <w:rPr>
                <w:rFonts w:hint="eastAsia" w:ascii="宋体" w:hAnsi="宋体" w:eastAsia="宋体" w:cs="宋体"/>
                <w:color w:val="auto"/>
                <w:sz w:val="21"/>
                <w:szCs w:val="21"/>
                <w:highlight w:val="none"/>
              </w:rPr>
            </w:pPr>
          </w:p>
        </w:tc>
      </w:tr>
      <w:tr w14:paraId="79AA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31857385">
            <w:pPr>
              <w:pStyle w:val="17"/>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724" w:type="dxa"/>
            <w:vAlign w:val="center"/>
          </w:tcPr>
          <w:p w14:paraId="67AD700F">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521" w:type="dxa"/>
            <w:vAlign w:val="center"/>
          </w:tcPr>
          <w:p w14:paraId="03B0D8E1">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701" w:type="dxa"/>
            <w:vAlign w:val="center"/>
          </w:tcPr>
          <w:p w14:paraId="327CD2A8">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bl>
    <w:p w14:paraId="13E22439">
      <w:pPr>
        <w:pStyle w:val="17"/>
        <w:ind w:firstLine="720"/>
        <w:rPr>
          <w:rFonts w:hint="eastAsia" w:ascii="宋体" w:hAnsi="宋体" w:eastAsia="宋体" w:cs="宋体"/>
          <w:color w:val="auto"/>
          <w:sz w:val="21"/>
          <w:szCs w:val="21"/>
          <w:highlight w:val="none"/>
        </w:rPr>
      </w:pPr>
    </w:p>
    <w:p w14:paraId="659466D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                                      法定代表人授权代表：</w:t>
      </w:r>
    </w:p>
    <w:p w14:paraId="093B030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                               （签字或盖章）</w:t>
      </w:r>
    </w:p>
    <w:p w14:paraId="37F0F09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14B067C">
      <w:pPr>
        <w:ind w:firstLine="72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264481E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D38B0B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1.本表即为对本项目“二、项目服务需求”中所列条款逐条进行比较和响应；</w:t>
      </w:r>
    </w:p>
    <w:p w14:paraId="72DF697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2.该表必须按照项目服务需求逐条如实填写，该表可扩展，并逐页签字或盖章；</w:t>
      </w:r>
    </w:p>
    <w:p w14:paraId="7FDDDB09">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3.根据响应情况在“差异说明”项填写正偏离或负偏离及原因，完全符合的填写“无差异”。</w:t>
      </w:r>
    </w:p>
    <w:p w14:paraId="7D28DC2E">
      <w:pPr>
        <w:ind w:firstLine="72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4.未按要求进行实质性响应的，该供应商将失去成为成交供应商的资格，仅保留其合格供应商的身份。</w:t>
      </w:r>
    </w:p>
    <w:p w14:paraId="2393D0E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8C272C0">
      <w:pPr>
        <w:rPr>
          <w:rFonts w:hint="eastAsia" w:ascii="宋体" w:hAnsi="宋体" w:eastAsia="宋体" w:cs="宋体"/>
          <w:color w:val="auto"/>
          <w:sz w:val="21"/>
          <w:szCs w:val="21"/>
          <w:highlight w:val="none"/>
        </w:rPr>
      </w:pPr>
    </w:p>
    <w:p w14:paraId="56B9367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（二）技术服务方案（格式自定）</w:t>
      </w:r>
    </w:p>
    <w:p w14:paraId="1A6B8A3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AA213AF">
      <w:pPr>
        <w:pStyle w:val="3"/>
        <w:bidi w:val="0"/>
        <w:rPr>
          <w:rStyle w:val="42"/>
          <w:rFonts w:hint="eastAsia" w:ascii="宋体" w:hAnsi="宋体" w:eastAsia="宋体" w:cs="宋体"/>
          <w:b/>
          <w:bCs/>
          <w:color w:val="auto"/>
          <w:sz w:val="21"/>
          <w:szCs w:val="21"/>
          <w:highlight w:val="none"/>
        </w:rPr>
      </w:pPr>
      <w:bookmarkStart w:id="273" w:name="_Toc22338"/>
      <w:bookmarkStart w:id="274" w:name="_Toc16067"/>
      <w:bookmarkStart w:id="275" w:name="_Toc9805"/>
      <w:r>
        <w:rPr>
          <w:rStyle w:val="42"/>
          <w:rFonts w:hint="eastAsia" w:ascii="宋体" w:hAnsi="宋体" w:eastAsia="宋体" w:cs="宋体"/>
          <w:b/>
          <w:bCs/>
          <w:color w:val="auto"/>
          <w:sz w:val="21"/>
          <w:szCs w:val="21"/>
          <w:highlight w:val="none"/>
        </w:rPr>
        <w:t>三、商务部分</w:t>
      </w:r>
      <w:bookmarkEnd w:id="249"/>
      <w:bookmarkEnd w:id="250"/>
      <w:bookmarkEnd w:id="251"/>
      <w:bookmarkEnd w:id="252"/>
      <w:bookmarkEnd w:id="273"/>
      <w:bookmarkEnd w:id="274"/>
    </w:p>
    <w:bookmarkEnd w:id="275"/>
    <w:p w14:paraId="26D9E0C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（一）商务响应偏离表</w:t>
      </w:r>
    </w:p>
    <w:p w14:paraId="0F91726A">
      <w:pPr>
        <w:ind w:firstLine="72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商务响应偏离表</w:t>
      </w:r>
    </w:p>
    <w:p w14:paraId="59DEF57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项目编号：         </w:t>
      </w:r>
    </w:p>
    <w:p w14:paraId="597CCA5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项目名称：              </w:t>
      </w:r>
    </w:p>
    <w:tbl>
      <w:tblPr>
        <w:tblStyle w:val="28"/>
        <w:tblW w:w="8932" w:type="dxa"/>
        <w:tblInd w:w="6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3179"/>
        <w:gridCol w:w="2434"/>
        <w:gridCol w:w="2355"/>
      </w:tblGrid>
      <w:tr w14:paraId="2129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964" w:type="dxa"/>
            <w:vAlign w:val="center"/>
          </w:tcPr>
          <w:p w14:paraId="236AAD0B">
            <w:pPr>
              <w:ind w:firstLine="0" w:firstLineChars="0"/>
              <w:rPr>
                <w:rFonts w:hint="eastAsia" w:ascii="宋体" w:hAnsi="宋体" w:eastAsia="宋体" w:cs="宋体"/>
                <w:color w:val="auto"/>
                <w:sz w:val="21"/>
                <w:szCs w:val="21"/>
                <w:highlight w:val="none"/>
              </w:rPr>
            </w:pPr>
            <w:bookmarkStart w:id="276" w:name="_Toc19091"/>
            <w:bookmarkStart w:id="277" w:name="_Toc13139"/>
            <w:r>
              <w:rPr>
                <w:rFonts w:hint="eastAsia" w:ascii="宋体" w:hAnsi="宋体" w:eastAsia="宋体" w:cs="宋体"/>
                <w:color w:val="auto"/>
                <w:sz w:val="21"/>
                <w:szCs w:val="21"/>
                <w:highlight w:val="none"/>
              </w:rPr>
              <w:t>序号</w:t>
            </w:r>
            <w:bookmarkEnd w:id="276"/>
            <w:bookmarkEnd w:id="277"/>
          </w:p>
        </w:tc>
        <w:tc>
          <w:tcPr>
            <w:tcW w:w="3179" w:type="dxa"/>
            <w:vAlign w:val="center"/>
          </w:tcPr>
          <w:p w14:paraId="4E7D3F2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项目商务需求</w:t>
            </w:r>
          </w:p>
        </w:tc>
        <w:tc>
          <w:tcPr>
            <w:tcW w:w="2434" w:type="dxa"/>
            <w:vAlign w:val="center"/>
          </w:tcPr>
          <w:p w14:paraId="35EBE7C6">
            <w:pPr>
              <w:ind w:firstLine="720"/>
              <w:rPr>
                <w:rFonts w:hint="eastAsia" w:ascii="宋体" w:hAnsi="宋体" w:eastAsia="宋体" w:cs="宋体"/>
                <w:color w:val="auto"/>
                <w:sz w:val="21"/>
                <w:szCs w:val="21"/>
                <w:highlight w:val="none"/>
              </w:rPr>
            </w:pPr>
            <w:bookmarkStart w:id="278" w:name="_Toc19557"/>
            <w:bookmarkStart w:id="279" w:name="_Toc29132"/>
            <w:r>
              <w:rPr>
                <w:rFonts w:hint="eastAsia" w:ascii="宋体" w:hAnsi="宋体" w:eastAsia="宋体" w:cs="宋体"/>
                <w:color w:val="auto"/>
                <w:sz w:val="21"/>
                <w:szCs w:val="21"/>
                <w:highlight w:val="none"/>
              </w:rPr>
              <w:t>响应情况</w:t>
            </w:r>
            <w:bookmarkEnd w:id="278"/>
            <w:bookmarkEnd w:id="279"/>
          </w:p>
        </w:tc>
        <w:tc>
          <w:tcPr>
            <w:tcW w:w="2355" w:type="dxa"/>
            <w:vAlign w:val="center"/>
          </w:tcPr>
          <w:p w14:paraId="36276A67">
            <w:pPr>
              <w:ind w:firstLine="720"/>
              <w:rPr>
                <w:rFonts w:hint="eastAsia" w:ascii="宋体" w:hAnsi="宋体" w:eastAsia="宋体" w:cs="宋体"/>
                <w:color w:val="auto"/>
                <w:sz w:val="21"/>
                <w:szCs w:val="21"/>
                <w:highlight w:val="none"/>
              </w:rPr>
            </w:pPr>
            <w:bookmarkStart w:id="280" w:name="_Toc22623"/>
            <w:bookmarkStart w:id="281" w:name="_Toc8072"/>
            <w:r>
              <w:rPr>
                <w:rFonts w:hint="eastAsia" w:ascii="宋体" w:hAnsi="宋体" w:eastAsia="宋体" w:cs="宋体"/>
                <w:color w:val="auto"/>
                <w:sz w:val="21"/>
                <w:szCs w:val="21"/>
                <w:highlight w:val="none"/>
              </w:rPr>
              <w:t>偏离说明</w:t>
            </w:r>
            <w:bookmarkEnd w:id="280"/>
            <w:bookmarkEnd w:id="281"/>
          </w:p>
        </w:tc>
      </w:tr>
      <w:tr w14:paraId="35C2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57A75FD8">
            <w:pPr>
              <w:ind w:firstLine="720"/>
              <w:rPr>
                <w:rFonts w:hint="eastAsia" w:ascii="宋体" w:hAnsi="宋体" w:eastAsia="宋体" w:cs="宋体"/>
                <w:color w:val="auto"/>
                <w:sz w:val="21"/>
                <w:szCs w:val="21"/>
                <w:highlight w:val="none"/>
              </w:rPr>
            </w:pPr>
          </w:p>
        </w:tc>
        <w:tc>
          <w:tcPr>
            <w:tcW w:w="3179" w:type="dxa"/>
            <w:vAlign w:val="center"/>
          </w:tcPr>
          <w:p w14:paraId="4B14B636">
            <w:pPr>
              <w:ind w:firstLine="720"/>
              <w:rPr>
                <w:rFonts w:hint="eastAsia" w:ascii="宋体" w:hAnsi="宋体" w:eastAsia="宋体" w:cs="宋体"/>
                <w:color w:val="auto"/>
                <w:sz w:val="21"/>
                <w:szCs w:val="21"/>
                <w:highlight w:val="none"/>
              </w:rPr>
            </w:pPr>
          </w:p>
        </w:tc>
        <w:tc>
          <w:tcPr>
            <w:tcW w:w="2434" w:type="dxa"/>
            <w:vAlign w:val="center"/>
          </w:tcPr>
          <w:p w14:paraId="749F202A">
            <w:pPr>
              <w:ind w:firstLine="720"/>
              <w:rPr>
                <w:rFonts w:hint="eastAsia" w:ascii="宋体" w:hAnsi="宋体" w:eastAsia="宋体" w:cs="宋体"/>
                <w:color w:val="auto"/>
                <w:sz w:val="21"/>
                <w:szCs w:val="21"/>
                <w:highlight w:val="none"/>
              </w:rPr>
            </w:pPr>
          </w:p>
        </w:tc>
        <w:tc>
          <w:tcPr>
            <w:tcW w:w="2355" w:type="dxa"/>
            <w:vAlign w:val="center"/>
          </w:tcPr>
          <w:p w14:paraId="17A1D057">
            <w:pPr>
              <w:ind w:firstLine="720"/>
              <w:rPr>
                <w:rFonts w:hint="eastAsia" w:ascii="宋体" w:hAnsi="宋体" w:eastAsia="宋体" w:cs="宋体"/>
                <w:color w:val="auto"/>
                <w:sz w:val="21"/>
                <w:szCs w:val="21"/>
                <w:highlight w:val="none"/>
              </w:rPr>
            </w:pPr>
          </w:p>
        </w:tc>
      </w:tr>
      <w:tr w14:paraId="1195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7A47ADF8">
            <w:pPr>
              <w:ind w:firstLine="720"/>
              <w:rPr>
                <w:rFonts w:hint="eastAsia" w:ascii="宋体" w:hAnsi="宋体" w:eastAsia="宋体" w:cs="宋体"/>
                <w:color w:val="auto"/>
                <w:sz w:val="21"/>
                <w:szCs w:val="21"/>
                <w:highlight w:val="none"/>
              </w:rPr>
            </w:pPr>
          </w:p>
        </w:tc>
        <w:tc>
          <w:tcPr>
            <w:tcW w:w="3179" w:type="dxa"/>
            <w:vAlign w:val="center"/>
          </w:tcPr>
          <w:p w14:paraId="2AEA0565">
            <w:pPr>
              <w:ind w:firstLine="720"/>
              <w:rPr>
                <w:rFonts w:hint="eastAsia" w:ascii="宋体" w:hAnsi="宋体" w:eastAsia="宋体" w:cs="宋体"/>
                <w:color w:val="auto"/>
                <w:sz w:val="21"/>
                <w:szCs w:val="21"/>
                <w:highlight w:val="none"/>
              </w:rPr>
            </w:pPr>
          </w:p>
        </w:tc>
        <w:tc>
          <w:tcPr>
            <w:tcW w:w="2434" w:type="dxa"/>
            <w:vAlign w:val="center"/>
          </w:tcPr>
          <w:p w14:paraId="6EDDC8BC">
            <w:pPr>
              <w:ind w:firstLine="720"/>
              <w:rPr>
                <w:rFonts w:hint="eastAsia" w:ascii="宋体" w:hAnsi="宋体" w:eastAsia="宋体" w:cs="宋体"/>
                <w:color w:val="auto"/>
                <w:sz w:val="21"/>
                <w:szCs w:val="21"/>
                <w:highlight w:val="none"/>
              </w:rPr>
            </w:pPr>
          </w:p>
        </w:tc>
        <w:tc>
          <w:tcPr>
            <w:tcW w:w="2355" w:type="dxa"/>
            <w:vAlign w:val="center"/>
          </w:tcPr>
          <w:p w14:paraId="4D6AB45B">
            <w:pPr>
              <w:ind w:firstLine="720"/>
              <w:rPr>
                <w:rFonts w:hint="eastAsia" w:ascii="宋体" w:hAnsi="宋体" w:eastAsia="宋体" w:cs="宋体"/>
                <w:color w:val="auto"/>
                <w:sz w:val="21"/>
                <w:szCs w:val="21"/>
                <w:highlight w:val="none"/>
              </w:rPr>
            </w:pPr>
          </w:p>
        </w:tc>
      </w:tr>
      <w:tr w14:paraId="3D70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3D1E3205">
            <w:pPr>
              <w:ind w:firstLine="720"/>
              <w:rPr>
                <w:rFonts w:hint="eastAsia" w:ascii="宋体" w:hAnsi="宋体" w:eastAsia="宋体" w:cs="宋体"/>
                <w:color w:val="auto"/>
                <w:sz w:val="21"/>
                <w:szCs w:val="21"/>
                <w:highlight w:val="none"/>
              </w:rPr>
            </w:pPr>
          </w:p>
        </w:tc>
        <w:tc>
          <w:tcPr>
            <w:tcW w:w="3179" w:type="dxa"/>
            <w:vAlign w:val="center"/>
          </w:tcPr>
          <w:p w14:paraId="4A71CEE5">
            <w:pPr>
              <w:ind w:firstLine="720"/>
              <w:rPr>
                <w:rFonts w:hint="eastAsia" w:ascii="宋体" w:hAnsi="宋体" w:eastAsia="宋体" w:cs="宋体"/>
                <w:color w:val="auto"/>
                <w:sz w:val="21"/>
                <w:szCs w:val="21"/>
                <w:highlight w:val="none"/>
              </w:rPr>
            </w:pPr>
          </w:p>
        </w:tc>
        <w:tc>
          <w:tcPr>
            <w:tcW w:w="2434" w:type="dxa"/>
            <w:vAlign w:val="center"/>
          </w:tcPr>
          <w:p w14:paraId="0B1B024F">
            <w:pPr>
              <w:ind w:firstLine="720"/>
              <w:rPr>
                <w:rFonts w:hint="eastAsia" w:ascii="宋体" w:hAnsi="宋体" w:eastAsia="宋体" w:cs="宋体"/>
                <w:color w:val="auto"/>
                <w:sz w:val="21"/>
                <w:szCs w:val="21"/>
                <w:highlight w:val="none"/>
              </w:rPr>
            </w:pPr>
          </w:p>
        </w:tc>
        <w:tc>
          <w:tcPr>
            <w:tcW w:w="2355" w:type="dxa"/>
            <w:vAlign w:val="center"/>
          </w:tcPr>
          <w:p w14:paraId="26343F62">
            <w:pPr>
              <w:ind w:firstLine="720"/>
              <w:rPr>
                <w:rFonts w:hint="eastAsia" w:ascii="宋体" w:hAnsi="宋体" w:eastAsia="宋体" w:cs="宋体"/>
                <w:color w:val="auto"/>
                <w:sz w:val="21"/>
                <w:szCs w:val="21"/>
                <w:highlight w:val="none"/>
              </w:rPr>
            </w:pPr>
          </w:p>
        </w:tc>
      </w:tr>
      <w:tr w14:paraId="6083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182BD435">
            <w:pPr>
              <w:ind w:firstLine="720"/>
              <w:rPr>
                <w:rFonts w:hint="eastAsia" w:ascii="宋体" w:hAnsi="宋体" w:eastAsia="宋体" w:cs="宋体"/>
                <w:color w:val="auto"/>
                <w:sz w:val="21"/>
                <w:szCs w:val="21"/>
                <w:highlight w:val="none"/>
              </w:rPr>
            </w:pPr>
          </w:p>
        </w:tc>
        <w:tc>
          <w:tcPr>
            <w:tcW w:w="3179" w:type="dxa"/>
            <w:vAlign w:val="center"/>
          </w:tcPr>
          <w:p w14:paraId="6478AB80">
            <w:pPr>
              <w:ind w:firstLine="720"/>
              <w:rPr>
                <w:rFonts w:hint="eastAsia" w:ascii="宋体" w:hAnsi="宋体" w:eastAsia="宋体" w:cs="宋体"/>
                <w:color w:val="auto"/>
                <w:sz w:val="21"/>
                <w:szCs w:val="21"/>
                <w:highlight w:val="none"/>
              </w:rPr>
            </w:pPr>
          </w:p>
        </w:tc>
        <w:tc>
          <w:tcPr>
            <w:tcW w:w="2434" w:type="dxa"/>
            <w:vAlign w:val="center"/>
          </w:tcPr>
          <w:p w14:paraId="04583AD3">
            <w:pPr>
              <w:ind w:firstLine="720"/>
              <w:rPr>
                <w:rFonts w:hint="eastAsia" w:ascii="宋体" w:hAnsi="宋体" w:eastAsia="宋体" w:cs="宋体"/>
                <w:color w:val="auto"/>
                <w:sz w:val="21"/>
                <w:szCs w:val="21"/>
                <w:highlight w:val="none"/>
              </w:rPr>
            </w:pPr>
          </w:p>
        </w:tc>
        <w:tc>
          <w:tcPr>
            <w:tcW w:w="2355" w:type="dxa"/>
            <w:vAlign w:val="center"/>
          </w:tcPr>
          <w:p w14:paraId="47D564A7">
            <w:pPr>
              <w:ind w:firstLine="720"/>
              <w:rPr>
                <w:rFonts w:hint="eastAsia" w:ascii="宋体" w:hAnsi="宋体" w:eastAsia="宋体" w:cs="宋体"/>
                <w:color w:val="auto"/>
                <w:sz w:val="21"/>
                <w:szCs w:val="21"/>
                <w:highlight w:val="none"/>
              </w:rPr>
            </w:pPr>
          </w:p>
        </w:tc>
      </w:tr>
      <w:tr w14:paraId="3FBA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24D86D05">
            <w:pPr>
              <w:ind w:firstLine="720"/>
              <w:rPr>
                <w:rFonts w:hint="eastAsia" w:ascii="宋体" w:hAnsi="宋体" w:eastAsia="宋体" w:cs="宋体"/>
                <w:color w:val="auto"/>
                <w:sz w:val="21"/>
                <w:szCs w:val="21"/>
                <w:highlight w:val="none"/>
              </w:rPr>
            </w:pPr>
          </w:p>
        </w:tc>
        <w:tc>
          <w:tcPr>
            <w:tcW w:w="3179" w:type="dxa"/>
            <w:vAlign w:val="center"/>
          </w:tcPr>
          <w:p w14:paraId="1DDB29AB">
            <w:pPr>
              <w:ind w:firstLine="720"/>
              <w:rPr>
                <w:rFonts w:hint="eastAsia" w:ascii="宋体" w:hAnsi="宋体" w:eastAsia="宋体" w:cs="宋体"/>
                <w:color w:val="auto"/>
                <w:sz w:val="21"/>
                <w:szCs w:val="21"/>
                <w:highlight w:val="none"/>
              </w:rPr>
            </w:pPr>
          </w:p>
        </w:tc>
        <w:tc>
          <w:tcPr>
            <w:tcW w:w="2434" w:type="dxa"/>
            <w:vAlign w:val="center"/>
          </w:tcPr>
          <w:p w14:paraId="7BDA3838">
            <w:pPr>
              <w:ind w:firstLine="720"/>
              <w:rPr>
                <w:rFonts w:hint="eastAsia" w:ascii="宋体" w:hAnsi="宋体" w:eastAsia="宋体" w:cs="宋体"/>
                <w:color w:val="auto"/>
                <w:sz w:val="21"/>
                <w:szCs w:val="21"/>
                <w:highlight w:val="none"/>
              </w:rPr>
            </w:pPr>
          </w:p>
        </w:tc>
        <w:tc>
          <w:tcPr>
            <w:tcW w:w="2355" w:type="dxa"/>
            <w:vAlign w:val="center"/>
          </w:tcPr>
          <w:p w14:paraId="7DABB7E6">
            <w:pPr>
              <w:ind w:firstLine="720"/>
              <w:rPr>
                <w:rFonts w:hint="eastAsia" w:ascii="宋体" w:hAnsi="宋体" w:eastAsia="宋体" w:cs="宋体"/>
                <w:color w:val="auto"/>
                <w:sz w:val="21"/>
                <w:szCs w:val="21"/>
                <w:highlight w:val="none"/>
              </w:rPr>
            </w:pPr>
          </w:p>
        </w:tc>
      </w:tr>
      <w:tr w14:paraId="7F86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7F482D84">
            <w:pPr>
              <w:ind w:firstLine="720"/>
              <w:rPr>
                <w:rFonts w:hint="eastAsia" w:ascii="宋体" w:hAnsi="宋体" w:eastAsia="宋体" w:cs="宋体"/>
                <w:color w:val="auto"/>
                <w:sz w:val="21"/>
                <w:szCs w:val="21"/>
                <w:highlight w:val="none"/>
              </w:rPr>
            </w:pPr>
          </w:p>
        </w:tc>
        <w:tc>
          <w:tcPr>
            <w:tcW w:w="3179" w:type="dxa"/>
            <w:vAlign w:val="center"/>
          </w:tcPr>
          <w:p w14:paraId="0F072787">
            <w:pPr>
              <w:ind w:firstLine="720"/>
              <w:rPr>
                <w:rFonts w:hint="eastAsia" w:ascii="宋体" w:hAnsi="宋体" w:eastAsia="宋体" w:cs="宋体"/>
                <w:color w:val="auto"/>
                <w:sz w:val="21"/>
                <w:szCs w:val="21"/>
                <w:highlight w:val="none"/>
              </w:rPr>
            </w:pPr>
          </w:p>
        </w:tc>
        <w:tc>
          <w:tcPr>
            <w:tcW w:w="2434" w:type="dxa"/>
            <w:vAlign w:val="center"/>
          </w:tcPr>
          <w:p w14:paraId="20842236">
            <w:pPr>
              <w:ind w:firstLine="720"/>
              <w:rPr>
                <w:rFonts w:hint="eastAsia" w:ascii="宋体" w:hAnsi="宋体" w:eastAsia="宋体" w:cs="宋体"/>
                <w:color w:val="auto"/>
                <w:sz w:val="21"/>
                <w:szCs w:val="21"/>
                <w:highlight w:val="none"/>
              </w:rPr>
            </w:pPr>
          </w:p>
        </w:tc>
        <w:tc>
          <w:tcPr>
            <w:tcW w:w="2355" w:type="dxa"/>
            <w:vAlign w:val="center"/>
          </w:tcPr>
          <w:p w14:paraId="082145FD">
            <w:pPr>
              <w:ind w:firstLine="720"/>
              <w:rPr>
                <w:rFonts w:hint="eastAsia" w:ascii="宋体" w:hAnsi="宋体" w:eastAsia="宋体" w:cs="宋体"/>
                <w:color w:val="auto"/>
                <w:sz w:val="21"/>
                <w:szCs w:val="21"/>
                <w:highlight w:val="none"/>
              </w:rPr>
            </w:pPr>
          </w:p>
        </w:tc>
      </w:tr>
    </w:tbl>
    <w:p w14:paraId="6FE4FAB7">
      <w:pPr>
        <w:ind w:firstLine="720"/>
        <w:rPr>
          <w:rFonts w:hint="eastAsia" w:ascii="宋体" w:hAnsi="宋体" w:eastAsia="宋体" w:cs="宋体"/>
          <w:color w:val="auto"/>
          <w:sz w:val="21"/>
          <w:szCs w:val="21"/>
          <w:highlight w:val="none"/>
        </w:rPr>
      </w:pPr>
    </w:p>
    <w:p w14:paraId="3E733E1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                                             法人授权代表：</w:t>
      </w:r>
    </w:p>
    <w:p w14:paraId="6621925B">
      <w:pPr>
        <w:ind w:firstLine="720"/>
        <w:rPr>
          <w:rFonts w:hint="eastAsia" w:ascii="宋体" w:hAnsi="宋体" w:eastAsia="宋体" w:cs="宋体"/>
          <w:color w:val="auto"/>
          <w:sz w:val="21"/>
          <w:szCs w:val="21"/>
          <w:highlight w:val="none"/>
        </w:rPr>
      </w:pPr>
    </w:p>
    <w:p w14:paraId="30F8880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                                      （签字或盖章）</w:t>
      </w:r>
    </w:p>
    <w:p w14:paraId="49871549">
      <w:pPr>
        <w:ind w:firstLine="72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5E4879D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D76412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1.本表即为对本项目“三、项目商务需求”中所列条款逐条进行比较和响应；</w:t>
      </w:r>
    </w:p>
    <w:p w14:paraId="5CAD990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2.该表必须按照项目服务需求逐条如实填写，该表可扩展，并逐页签字或盖章；</w:t>
      </w:r>
    </w:p>
    <w:p w14:paraId="0AD3AB89">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3.根据响应情况在“差异说明”项填写正偏离或负偏离及原因，完全符合的填写“无差异”。</w:t>
      </w:r>
    </w:p>
    <w:p w14:paraId="7568570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4.未按要求进行实质性响应的，该供应商将失去成为成交供应商的资格，仅保留其合格供应商的身份。</w:t>
      </w:r>
    </w:p>
    <w:p w14:paraId="3EDF5A1F">
      <w:pPr>
        <w:rPr>
          <w:rFonts w:hint="eastAsia" w:ascii="宋体" w:hAnsi="宋体" w:eastAsia="宋体" w:cs="宋体"/>
          <w:color w:val="auto"/>
          <w:sz w:val="21"/>
          <w:szCs w:val="21"/>
          <w:highlight w:val="none"/>
        </w:rPr>
      </w:pPr>
    </w:p>
    <w:p w14:paraId="1991221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FD69DF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（二）其它优惠承诺（格式自定）</w:t>
      </w:r>
    </w:p>
    <w:p w14:paraId="1777922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12ED8A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（三）商务评审资料</w:t>
      </w:r>
    </w:p>
    <w:p w14:paraId="5D3978F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8EB3045">
      <w:pPr>
        <w:rPr>
          <w:rFonts w:hint="eastAsia" w:ascii="宋体" w:hAnsi="宋体" w:eastAsia="宋体" w:cs="宋体"/>
          <w:color w:val="auto"/>
          <w:sz w:val="21"/>
          <w:szCs w:val="21"/>
          <w:highlight w:val="none"/>
        </w:rPr>
        <w:sectPr>
          <w:pgSz w:w="11907" w:h="16840"/>
          <w:pgMar w:top="1134" w:right="1191" w:bottom="1134" w:left="1304" w:header="851" w:footer="992" w:gutter="0"/>
          <w:pgNumType w:fmt="numberInDash"/>
          <w:cols w:space="720" w:num="1"/>
          <w:docGrid w:linePitch="380" w:charSpace="-5735"/>
        </w:sectPr>
      </w:pPr>
    </w:p>
    <w:bookmarkEnd w:id="253"/>
    <w:p w14:paraId="387E2519">
      <w:pPr>
        <w:pStyle w:val="3"/>
        <w:bidi w:val="0"/>
        <w:rPr>
          <w:rStyle w:val="42"/>
          <w:rFonts w:hint="eastAsia" w:ascii="宋体" w:hAnsi="宋体" w:eastAsia="宋体" w:cs="宋体"/>
          <w:b/>
          <w:bCs/>
          <w:color w:val="auto"/>
          <w:sz w:val="21"/>
          <w:szCs w:val="21"/>
          <w:highlight w:val="none"/>
        </w:rPr>
      </w:pPr>
      <w:bookmarkStart w:id="282" w:name="_Toc313888363"/>
      <w:bookmarkStart w:id="283" w:name="_Toc313008359"/>
      <w:bookmarkStart w:id="284" w:name="_Toc1974"/>
      <w:bookmarkStart w:id="285" w:name="_Toc506310400"/>
      <w:bookmarkStart w:id="286" w:name="_Toc342913422"/>
      <w:bookmarkStart w:id="287" w:name="_Toc8430"/>
      <w:bookmarkStart w:id="288" w:name="_Toc21105"/>
      <w:r>
        <w:rPr>
          <w:rStyle w:val="42"/>
          <w:rFonts w:hint="eastAsia" w:ascii="宋体" w:hAnsi="宋体" w:eastAsia="宋体" w:cs="宋体"/>
          <w:b/>
          <w:bCs/>
          <w:color w:val="auto"/>
          <w:sz w:val="21"/>
          <w:szCs w:val="21"/>
          <w:highlight w:val="none"/>
        </w:rPr>
        <w:t>四、资格条件及其他</w:t>
      </w:r>
      <w:bookmarkEnd w:id="282"/>
      <w:bookmarkEnd w:id="283"/>
      <w:bookmarkEnd w:id="284"/>
      <w:bookmarkEnd w:id="285"/>
      <w:bookmarkEnd w:id="286"/>
      <w:bookmarkEnd w:id="287"/>
    </w:p>
    <w:bookmarkEnd w:id="288"/>
    <w:p w14:paraId="5A61F94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（一）供应商法人营业执照（副本）或事业单位法人证书（副本）或个体工商户营业执照或有效的自然人身份证明或社会团体法人登记证书（提供复印件加盖供应商公章）</w:t>
      </w:r>
    </w:p>
    <w:p w14:paraId="7BA55C94">
      <w:pPr>
        <w:rPr>
          <w:rFonts w:hint="eastAsia" w:ascii="宋体" w:hAnsi="宋体" w:eastAsia="宋体" w:cs="宋体"/>
          <w:color w:val="auto"/>
          <w:sz w:val="21"/>
          <w:szCs w:val="21"/>
          <w:highlight w:val="none"/>
        </w:rPr>
      </w:pPr>
    </w:p>
    <w:p w14:paraId="11DD8BA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B43897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（二）特定资格条件（如有）</w:t>
      </w:r>
    </w:p>
    <w:p w14:paraId="68FD877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按特定资格条件要求提供相应的资质证书或其他证明材料。</w:t>
      </w:r>
    </w:p>
    <w:p w14:paraId="614326DD">
      <w:pPr>
        <w:rPr>
          <w:rFonts w:hint="eastAsia" w:ascii="宋体" w:hAnsi="宋体" w:eastAsia="宋体" w:cs="宋体"/>
          <w:color w:val="auto"/>
          <w:sz w:val="21"/>
          <w:szCs w:val="21"/>
          <w:highlight w:val="none"/>
        </w:rPr>
      </w:pPr>
    </w:p>
    <w:p w14:paraId="6836DA6D">
      <w:pPr>
        <w:rPr>
          <w:rFonts w:hint="eastAsia" w:ascii="宋体" w:hAnsi="宋体" w:eastAsia="宋体" w:cs="宋体"/>
          <w:color w:val="auto"/>
          <w:sz w:val="21"/>
          <w:szCs w:val="21"/>
          <w:highlight w:val="none"/>
        </w:rPr>
      </w:pPr>
    </w:p>
    <w:p w14:paraId="1B668841">
      <w:pPr>
        <w:rPr>
          <w:rFonts w:hint="eastAsia" w:ascii="宋体" w:hAnsi="宋体" w:eastAsia="宋体" w:cs="宋体"/>
          <w:color w:val="auto"/>
          <w:sz w:val="21"/>
          <w:szCs w:val="21"/>
          <w:highlight w:val="none"/>
        </w:rPr>
      </w:pPr>
    </w:p>
    <w:p w14:paraId="4785D45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（三）法定代表人授权委托书（格式）/法定代表人（格式）</w:t>
      </w:r>
    </w:p>
    <w:p w14:paraId="7431012C">
      <w:pPr>
        <w:tabs>
          <w:tab w:val="left" w:pos="6300"/>
          <w:tab w:val="clear" w:pos="605"/>
        </w:tabs>
        <w:snapToGrid w:val="0"/>
        <w:spacing w:line="500" w:lineRule="exact"/>
        <w:ind w:firstLine="720"/>
        <w:rPr>
          <w:rFonts w:hint="eastAsia" w:ascii="宋体" w:hAnsi="宋体" w:eastAsia="宋体" w:cs="宋体"/>
          <w:color w:val="auto"/>
          <w:sz w:val="21"/>
          <w:szCs w:val="21"/>
          <w:highlight w:val="none"/>
        </w:rPr>
      </w:pPr>
    </w:p>
    <w:p w14:paraId="1706EBD3">
      <w:pPr>
        <w:tabs>
          <w:tab w:val="left" w:pos="6300"/>
          <w:tab w:val="clear" w:pos="605"/>
        </w:tabs>
        <w:snapToGrid w:val="0"/>
        <w:spacing w:line="520" w:lineRule="exact"/>
        <w:ind w:firstLine="723"/>
        <w:jc w:val="center"/>
        <w:outlineLvl w:val="9"/>
        <w:rPr>
          <w:rFonts w:hint="eastAsia" w:ascii="宋体" w:hAnsi="宋体" w:eastAsia="宋体" w:cs="宋体"/>
          <w:b/>
          <w:bCs/>
          <w:color w:val="auto"/>
          <w:sz w:val="21"/>
          <w:szCs w:val="21"/>
          <w:highlight w:val="none"/>
        </w:rPr>
      </w:pPr>
      <w:bookmarkStart w:id="289" w:name="_Toc10138"/>
      <w:bookmarkStart w:id="290" w:name="_Toc3891"/>
      <w:bookmarkStart w:id="291" w:name="_Toc8756"/>
      <w:bookmarkStart w:id="292" w:name="_Toc22913"/>
      <w:bookmarkStart w:id="293" w:name="_Toc10653"/>
      <w:bookmarkStart w:id="294" w:name="_Toc8418"/>
      <w:r>
        <w:rPr>
          <w:rFonts w:hint="eastAsia" w:ascii="宋体" w:hAnsi="宋体" w:eastAsia="宋体" w:cs="宋体"/>
          <w:b/>
          <w:bCs/>
          <w:color w:val="auto"/>
          <w:sz w:val="21"/>
          <w:szCs w:val="21"/>
          <w:highlight w:val="none"/>
        </w:rPr>
        <w:t>法定代表人授权委托书</w:t>
      </w:r>
      <w:bookmarkEnd w:id="289"/>
      <w:bookmarkEnd w:id="290"/>
      <w:bookmarkEnd w:id="291"/>
      <w:bookmarkEnd w:id="292"/>
      <w:bookmarkEnd w:id="293"/>
      <w:bookmarkEnd w:id="294"/>
    </w:p>
    <w:p w14:paraId="7F91B46C">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（采购人名称）：</w:t>
      </w:r>
    </w:p>
    <w:p w14:paraId="13C38AF9">
      <w:pPr>
        <w:tabs>
          <w:tab w:val="left" w:pos="6300"/>
          <w:tab w:val="clear" w:pos="605"/>
        </w:tabs>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（法定代表人名称）是</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（供应商名称）的法定代表人，特授权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（被授权人姓名及身份证代码）电话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代表我单位全权办理上述项目的比选、签约等具体工作，并签署全部有关文件、协议及合同。</w:t>
      </w:r>
    </w:p>
    <w:p w14:paraId="4FB7301F">
      <w:pPr>
        <w:tabs>
          <w:tab w:val="left" w:pos="6300"/>
          <w:tab w:val="clear" w:pos="605"/>
        </w:tabs>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我单位对被授权人的签字负全部责任。</w:t>
      </w:r>
    </w:p>
    <w:p w14:paraId="41BE01E8">
      <w:pPr>
        <w:tabs>
          <w:tab w:val="left" w:pos="6300"/>
          <w:tab w:val="clear" w:pos="605"/>
        </w:tabs>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在撤消授权的书面通知以前，本授权书一直有效。被授权人在授权书有效期内签署的所有文件不因授权的撤消而失效。</w:t>
      </w:r>
    </w:p>
    <w:p w14:paraId="315C09A8">
      <w:pPr>
        <w:tabs>
          <w:tab w:val="left" w:pos="6300"/>
          <w:tab w:val="clear" w:pos="605"/>
        </w:tabs>
        <w:snapToGrid w:val="0"/>
        <w:spacing w:line="420" w:lineRule="exact"/>
        <w:rPr>
          <w:rFonts w:hint="eastAsia" w:ascii="宋体" w:hAnsi="宋体" w:eastAsia="宋体" w:cs="宋体"/>
          <w:color w:val="auto"/>
          <w:sz w:val="21"/>
          <w:szCs w:val="21"/>
          <w:highlight w:val="none"/>
        </w:rPr>
      </w:pPr>
    </w:p>
    <w:p w14:paraId="32EB4CD8">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                                 法定代表人：</w:t>
      </w:r>
    </w:p>
    <w:p w14:paraId="07EFDA02">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                             （签字或盖章）</w:t>
      </w:r>
    </w:p>
    <w:p w14:paraId="178B228C">
      <w:pPr>
        <w:tabs>
          <w:tab w:val="left" w:pos="6300"/>
          <w:tab w:val="clear" w:pos="605"/>
        </w:tabs>
        <w:snapToGrid w:val="0"/>
        <w:spacing w:line="420" w:lineRule="exact"/>
        <w:rPr>
          <w:rFonts w:hint="eastAsia" w:ascii="宋体" w:hAnsi="宋体" w:eastAsia="宋体" w:cs="宋体"/>
          <w:color w:val="auto"/>
          <w:sz w:val="21"/>
          <w:szCs w:val="21"/>
          <w:highlight w:val="none"/>
        </w:rPr>
      </w:pPr>
    </w:p>
    <w:p w14:paraId="4FB90197">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（附：被授权人身份证正反面复印件）</w:t>
      </w:r>
    </w:p>
    <w:p w14:paraId="077EE88F">
      <w:pPr>
        <w:tabs>
          <w:tab w:val="left" w:pos="6300"/>
          <w:tab w:val="clear" w:pos="605"/>
        </w:tabs>
        <w:snapToGrid w:val="0"/>
        <w:spacing w:line="420" w:lineRule="exact"/>
        <w:rPr>
          <w:rFonts w:hint="eastAsia" w:ascii="宋体" w:hAnsi="宋体" w:eastAsia="宋体" w:cs="宋体"/>
          <w:color w:val="auto"/>
          <w:sz w:val="21"/>
          <w:szCs w:val="21"/>
          <w:highlight w:val="none"/>
        </w:rPr>
      </w:pPr>
    </w:p>
    <w:p w14:paraId="2AAC5C3D">
      <w:pPr>
        <w:tabs>
          <w:tab w:val="left" w:pos="6300"/>
          <w:tab w:val="clear" w:pos="605"/>
        </w:tabs>
        <w:snapToGrid w:val="0"/>
        <w:spacing w:line="420" w:lineRule="exact"/>
        <w:ind w:right="48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供应商名称（公章）</w:t>
      </w:r>
    </w:p>
    <w:p w14:paraId="315B6308">
      <w:pPr>
        <w:tabs>
          <w:tab w:val="left" w:pos="6300"/>
          <w:tab w:val="clear" w:pos="605"/>
        </w:tabs>
        <w:snapToGrid w:val="0"/>
        <w:spacing w:line="420" w:lineRule="exact"/>
        <w:ind w:right="48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9F2FFB4">
      <w:pPr>
        <w:tabs>
          <w:tab w:val="left" w:pos="6300"/>
          <w:tab w:val="clear" w:pos="605"/>
        </w:tabs>
        <w:snapToGrid w:val="0"/>
        <w:spacing w:line="420" w:lineRule="exact"/>
        <w:ind w:right="-1"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1A484F0B">
      <w:pPr>
        <w:tabs>
          <w:tab w:val="left" w:pos="6300"/>
          <w:tab w:val="clear" w:pos="605"/>
        </w:tabs>
        <w:snapToGrid w:val="0"/>
        <w:spacing w:line="420" w:lineRule="exact"/>
        <w:ind w:firstLine="723"/>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法定代表人证明</w:t>
      </w:r>
    </w:p>
    <w:p w14:paraId="630D2ABE">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（采购人名称）：</w:t>
      </w:r>
    </w:p>
    <w:p w14:paraId="0B2D9B63">
      <w:pPr>
        <w:tabs>
          <w:tab w:val="left" w:pos="6300"/>
          <w:tab w:val="clear" w:pos="605"/>
        </w:tabs>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（法定代表人名称及身份证代码）是</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（供应商名称）的法定代表人，特授权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代表我单位全权办理上述项目的比选、签约等具体工作，并签署全部有关文件、协议及合同。签字负全部责任。</w:t>
      </w:r>
    </w:p>
    <w:p w14:paraId="6FAEC8B4">
      <w:pPr>
        <w:tabs>
          <w:tab w:val="left" w:pos="6300"/>
          <w:tab w:val="clear" w:pos="605"/>
        </w:tabs>
        <w:snapToGrid w:val="0"/>
        <w:spacing w:line="420" w:lineRule="exact"/>
        <w:rPr>
          <w:rFonts w:hint="eastAsia" w:ascii="宋体" w:hAnsi="宋体" w:eastAsia="宋体" w:cs="宋体"/>
          <w:color w:val="auto"/>
          <w:sz w:val="21"/>
          <w:szCs w:val="21"/>
          <w:highlight w:val="none"/>
        </w:rPr>
      </w:pPr>
    </w:p>
    <w:p w14:paraId="1F5693E2">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法定代表人（签字或盖章）：                          供应商名称（公章）</w:t>
      </w:r>
    </w:p>
    <w:p w14:paraId="57740D8E">
      <w:pPr>
        <w:tabs>
          <w:tab w:val="left" w:pos="6300"/>
          <w:tab w:val="clear" w:pos="605"/>
        </w:tabs>
        <w:snapToGrid w:val="0"/>
        <w:spacing w:line="420" w:lineRule="exact"/>
        <w:ind w:right="36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A38F33B">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（附：法定代表人身份证正反面复印件）</w:t>
      </w:r>
    </w:p>
    <w:p w14:paraId="15D7CE77">
      <w:pPr>
        <w:spacing w:line="420" w:lineRule="exact"/>
        <w:ind w:firstLine="720"/>
        <w:rPr>
          <w:rFonts w:hint="eastAsia" w:ascii="宋体" w:hAnsi="宋体" w:eastAsia="宋体" w:cs="宋体"/>
          <w:color w:val="auto"/>
          <w:sz w:val="21"/>
          <w:szCs w:val="21"/>
          <w:highlight w:val="none"/>
        </w:rPr>
      </w:pPr>
    </w:p>
    <w:p w14:paraId="13186F45">
      <w:pPr>
        <w:spacing w:line="420" w:lineRule="exact"/>
        <w:ind w:firstLine="720"/>
        <w:rPr>
          <w:rFonts w:hint="eastAsia" w:ascii="宋体" w:hAnsi="宋体" w:eastAsia="宋体" w:cs="宋体"/>
          <w:color w:val="auto"/>
          <w:sz w:val="21"/>
          <w:szCs w:val="21"/>
          <w:highlight w:val="none"/>
        </w:rPr>
      </w:pPr>
    </w:p>
    <w:p w14:paraId="2B715AD9">
      <w:pPr>
        <w:spacing w:line="420" w:lineRule="exact"/>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36B6F3D3">
      <w:pPr>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（注：法定代表人参加比选的，只须附法定代表人身份证明，授权代表参加比选的须附法定代表人身份证明及法定代表人授权委托书）</w:t>
      </w:r>
    </w:p>
    <w:p w14:paraId="23B4B9F3">
      <w:pPr>
        <w:ind w:firstLine="63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br w:type="page"/>
      </w:r>
    </w:p>
    <w:p w14:paraId="674E600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（四）基本资格条件承诺函</w:t>
      </w:r>
    </w:p>
    <w:p w14:paraId="44C650E5">
      <w:pPr>
        <w:rPr>
          <w:rFonts w:hint="eastAsia" w:ascii="宋体" w:hAnsi="宋体" w:eastAsia="宋体" w:cs="宋体"/>
          <w:color w:val="auto"/>
          <w:sz w:val="21"/>
          <w:szCs w:val="21"/>
          <w:highlight w:val="none"/>
        </w:rPr>
      </w:pPr>
    </w:p>
    <w:p w14:paraId="071A3A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基本资格条件承诺函</w:t>
      </w:r>
    </w:p>
    <w:p w14:paraId="14321543">
      <w:pPr>
        <w:rPr>
          <w:rFonts w:hint="eastAsia" w:ascii="宋体" w:hAnsi="宋体" w:eastAsia="宋体" w:cs="宋体"/>
          <w:color w:val="auto"/>
          <w:sz w:val="21"/>
          <w:szCs w:val="21"/>
          <w:highlight w:val="none"/>
        </w:rPr>
      </w:pPr>
    </w:p>
    <w:p w14:paraId="60666D9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（采购人名称）：</w:t>
      </w:r>
    </w:p>
    <w:p w14:paraId="5486901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（供应商名称）郑重承诺：</w:t>
      </w:r>
    </w:p>
    <w:p w14:paraId="4953C86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1.我方具有良好的商业信誉和健全的财务会计制度，具有履行合同所必需的设备和专业技术能力，具</w:t>
      </w:r>
      <w:r>
        <w:rPr>
          <w:rFonts w:hint="eastAsia" w:ascii="宋体" w:hAnsi="宋体" w:eastAsia="宋体" w:cs="宋体"/>
          <w:color w:val="auto"/>
          <w:sz w:val="21"/>
          <w:szCs w:val="21"/>
          <w:highlight w:val="none"/>
          <w:lang w:val="zh-CN"/>
        </w:rPr>
        <w:t>有依法缴纳税收和社会保障金的良好记录</w:t>
      </w:r>
      <w:r>
        <w:rPr>
          <w:rFonts w:hint="eastAsia" w:ascii="宋体" w:hAnsi="宋体" w:eastAsia="宋体" w:cs="宋体"/>
          <w:color w:val="auto"/>
          <w:sz w:val="21"/>
          <w:szCs w:val="21"/>
          <w:highlight w:val="none"/>
        </w:rPr>
        <w:t>，参加本项目采购活动前三年内无重大违法活动记录。</w:t>
      </w:r>
    </w:p>
    <w:p w14:paraId="2E3D15A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2.我方未列入在信用中国网站（www.creditchina.gov.cn）“失信被执行人”、“重大税收违法案件当事人名单”中，也未列入中国政府采购网（www.ccgp.gov.cn）“政府采购严重违法失信行为记录名单”中。</w:t>
      </w:r>
    </w:p>
    <w:p w14:paraId="78738A0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3.我方在采购项目评审（评标）环节结束后，随时接受采购人、采购代理机构的检查验证，配合提供相关证明材料，证明符合《中华人民共和国政府采购法》规定的供应商基本资格条件。</w:t>
      </w:r>
    </w:p>
    <w:p w14:paraId="0382B51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我方对以上承诺负全部法律责任。</w:t>
      </w:r>
    </w:p>
    <w:p w14:paraId="4868F92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7E2B6545">
      <w:pPr>
        <w:rPr>
          <w:rFonts w:hint="eastAsia" w:ascii="宋体" w:hAnsi="宋体" w:eastAsia="宋体" w:cs="宋体"/>
          <w:color w:val="auto"/>
          <w:sz w:val="21"/>
          <w:szCs w:val="21"/>
          <w:highlight w:val="none"/>
        </w:rPr>
      </w:pPr>
    </w:p>
    <w:p w14:paraId="61D8FDED">
      <w:pPr>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w:t>
      </w:r>
    </w:p>
    <w:p w14:paraId="5C9262A9">
      <w:pPr>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76DFC701">
      <w:pPr>
        <w:rPr>
          <w:rFonts w:hint="eastAsia" w:ascii="宋体" w:hAnsi="宋体" w:eastAsia="宋体" w:cs="宋体"/>
          <w:color w:val="auto"/>
          <w:sz w:val="21"/>
          <w:szCs w:val="21"/>
          <w:highlight w:val="none"/>
        </w:rPr>
      </w:pPr>
    </w:p>
    <w:p w14:paraId="01E27ADC">
      <w:pPr>
        <w:rPr>
          <w:rFonts w:hint="eastAsia" w:ascii="宋体" w:hAnsi="宋体" w:eastAsia="宋体" w:cs="宋体"/>
          <w:color w:val="auto"/>
          <w:sz w:val="21"/>
          <w:szCs w:val="21"/>
          <w:highlight w:val="none"/>
        </w:rPr>
      </w:pPr>
    </w:p>
    <w:p w14:paraId="68900962">
      <w:pPr>
        <w:rPr>
          <w:rFonts w:hint="eastAsia" w:ascii="宋体" w:hAnsi="宋体" w:eastAsia="宋体" w:cs="宋体"/>
          <w:color w:val="auto"/>
          <w:sz w:val="21"/>
          <w:szCs w:val="21"/>
          <w:highlight w:val="none"/>
        </w:rPr>
      </w:pPr>
    </w:p>
    <w:p w14:paraId="78C4EF09">
      <w:pPr>
        <w:rPr>
          <w:rFonts w:hint="eastAsia" w:ascii="宋体" w:hAnsi="宋体" w:eastAsia="宋体" w:cs="宋体"/>
          <w:color w:val="auto"/>
          <w:sz w:val="21"/>
          <w:szCs w:val="21"/>
          <w:highlight w:val="none"/>
        </w:rPr>
      </w:pPr>
    </w:p>
    <w:p w14:paraId="3613157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CB4E9F2">
      <w:pPr>
        <w:pStyle w:val="3"/>
        <w:bidi w:val="0"/>
        <w:rPr>
          <w:rFonts w:hint="eastAsia" w:ascii="宋体" w:hAnsi="宋体" w:eastAsia="宋体" w:cs="宋体"/>
          <w:color w:val="auto"/>
          <w:sz w:val="21"/>
          <w:szCs w:val="21"/>
          <w:highlight w:val="none"/>
        </w:rPr>
      </w:pPr>
      <w:bookmarkStart w:id="295" w:name="_Toc8934"/>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其他</w:t>
      </w:r>
      <w:bookmarkEnd w:id="295"/>
    </w:p>
    <w:p w14:paraId="74AB676E">
      <w:pPr>
        <w:spacing w:line="360" w:lineRule="auto"/>
        <w:ind w:firstLine="840" w:firstLineChars="400"/>
        <w:rPr>
          <w:rFonts w:hint="eastAsia" w:ascii="宋体" w:hAnsi="宋体" w:eastAsia="宋体" w:cs="宋体"/>
          <w:color w:val="auto"/>
          <w:sz w:val="21"/>
          <w:szCs w:val="21"/>
        </w:rPr>
      </w:pPr>
      <w:bookmarkStart w:id="296" w:name="_Toc9307"/>
      <w:bookmarkStart w:id="297" w:name="_Toc30892"/>
      <w:bookmarkStart w:id="298" w:name="_Toc13721"/>
      <w:bookmarkStart w:id="299" w:name="_Toc13208"/>
      <w:bookmarkStart w:id="300" w:name="_Toc15359"/>
      <w:bookmarkStart w:id="301" w:name="_Toc7657"/>
      <w:bookmarkStart w:id="302" w:name="_Toc25245"/>
      <w:r>
        <w:rPr>
          <w:rFonts w:hint="eastAsia" w:ascii="宋体" w:hAnsi="宋体" w:eastAsia="宋体" w:cs="宋体"/>
          <w:color w:val="auto"/>
          <w:sz w:val="21"/>
          <w:szCs w:val="21"/>
        </w:rPr>
        <w:t>其他与项目评标有关的资料（自附）</w:t>
      </w:r>
    </w:p>
    <w:p w14:paraId="45EB4A09">
      <w:pPr>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br w:type="page"/>
      </w:r>
    </w:p>
    <w:p w14:paraId="1042107A">
      <w:pPr>
        <w:pStyle w:val="2"/>
        <w:ind w:firstLine="0" w:firstLineChars="0"/>
        <w:jc w:val="left"/>
        <w:rPr>
          <w:rFonts w:hint="eastAsia" w:ascii="宋体" w:hAnsi="宋体" w:eastAsia="宋体" w:cs="宋体"/>
          <w:b/>
          <w:bCs/>
          <w:color w:val="auto"/>
          <w:sz w:val="21"/>
          <w:szCs w:val="21"/>
          <w:highlight w:val="none"/>
        </w:rPr>
      </w:pPr>
      <w:bookmarkStart w:id="303" w:name="_Toc30989"/>
      <w:r>
        <w:rPr>
          <w:rFonts w:hint="eastAsia" w:ascii="宋体" w:hAnsi="宋体" w:eastAsia="宋体" w:cs="宋体"/>
          <w:b/>
          <w:bCs/>
          <w:color w:val="auto"/>
          <w:sz w:val="21"/>
          <w:szCs w:val="21"/>
          <w:highlight w:val="none"/>
          <w:lang w:val="zh-CN"/>
        </w:rPr>
        <w:t>附件1：</w:t>
      </w:r>
      <w:bookmarkEnd w:id="296"/>
      <w:bookmarkEnd w:id="297"/>
      <w:bookmarkEnd w:id="298"/>
      <w:bookmarkEnd w:id="299"/>
      <w:bookmarkEnd w:id="300"/>
      <w:bookmarkEnd w:id="301"/>
      <w:bookmarkEnd w:id="302"/>
      <w:bookmarkEnd w:id="303"/>
    </w:p>
    <w:p w14:paraId="517ECEA5">
      <w:pPr>
        <w:pStyle w:val="3"/>
        <w:spacing w:line="520" w:lineRule="exact"/>
        <w:ind w:firstLine="0" w:firstLineChars="0"/>
        <w:jc w:val="center"/>
        <w:rPr>
          <w:rFonts w:hint="eastAsia" w:ascii="宋体" w:hAnsi="宋体" w:eastAsia="宋体" w:cs="宋体"/>
          <w:color w:val="auto"/>
          <w:sz w:val="21"/>
          <w:szCs w:val="21"/>
          <w:highlight w:val="none"/>
        </w:rPr>
      </w:pPr>
      <w:bookmarkStart w:id="304" w:name="_Toc9153"/>
      <w:bookmarkStart w:id="305" w:name="_Toc30676"/>
      <w:bookmarkStart w:id="306" w:name="_Toc2957"/>
      <w:bookmarkStart w:id="307" w:name="_Toc22703"/>
      <w:bookmarkStart w:id="308" w:name="_Toc16415"/>
      <w:r>
        <w:rPr>
          <w:rFonts w:hint="eastAsia" w:ascii="宋体" w:hAnsi="宋体" w:eastAsia="宋体" w:cs="宋体"/>
          <w:color w:val="auto"/>
          <w:sz w:val="30"/>
          <w:szCs w:val="30"/>
          <w:highlight w:val="none"/>
        </w:rPr>
        <w:t>比选文件发售登记表</w:t>
      </w:r>
      <w:bookmarkEnd w:id="304"/>
      <w:bookmarkEnd w:id="305"/>
      <w:bookmarkEnd w:id="306"/>
      <w:bookmarkEnd w:id="307"/>
      <w:bookmarkEnd w:id="308"/>
    </w:p>
    <w:p w14:paraId="08CA5DDF">
      <w:pPr>
        <w:spacing w:line="520" w:lineRule="exact"/>
        <w:rPr>
          <w:rFonts w:hint="eastAsia" w:ascii="宋体" w:hAnsi="宋体" w:eastAsia="宋体" w:cs="宋体"/>
          <w:color w:val="auto"/>
          <w:sz w:val="21"/>
          <w:szCs w:val="21"/>
          <w:highlight w:val="none"/>
        </w:rPr>
      </w:pPr>
    </w:p>
    <w:tbl>
      <w:tblPr>
        <w:tblStyle w:val="2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2886"/>
        <w:gridCol w:w="567"/>
        <w:gridCol w:w="333"/>
        <w:gridCol w:w="3121"/>
      </w:tblGrid>
      <w:tr w14:paraId="2837BC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621" w:type="dxa"/>
            <w:noWrap/>
            <w:vAlign w:val="center"/>
          </w:tcPr>
          <w:p w14:paraId="567FE3E4">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907" w:type="dxa"/>
            <w:gridSpan w:val="4"/>
            <w:noWrap/>
            <w:vAlign w:val="center"/>
          </w:tcPr>
          <w:p w14:paraId="03567E4B">
            <w:pPr>
              <w:spacing w:line="520" w:lineRule="exact"/>
              <w:ind w:firstLine="660"/>
              <w:rPr>
                <w:rFonts w:hint="eastAsia" w:ascii="宋体" w:hAnsi="宋体" w:eastAsia="宋体" w:cs="宋体"/>
                <w:color w:val="auto"/>
                <w:sz w:val="21"/>
                <w:szCs w:val="21"/>
                <w:highlight w:val="none"/>
              </w:rPr>
            </w:pPr>
          </w:p>
        </w:tc>
      </w:tr>
      <w:tr w14:paraId="608E84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jc w:val="center"/>
        </w:trPr>
        <w:tc>
          <w:tcPr>
            <w:tcW w:w="1621" w:type="dxa"/>
            <w:noWrap/>
            <w:vAlign w:val="center"/>
          </w:tcPr>
          <w:p w14:paraId="7D3E5F4E">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p>
        </w:tc>
        <w:tc>
          <w:tcPr>
            <w:tcW w:w="6907" w:type="dxa"/>
            <w:gridSpan w:val="4"/>
            <w:noWrap/>
            <w:vAlign w:val="bottom"/>
          </w:tcPr>
          <w:p w14:paraId="5CDB3509">
            <w:pPr>
              <w:spacing w:line="520" w:lineRule="exact"/>
              <w:ind w:right="600" w:firstLine="66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w:t>
            </w:r>
          </w:p>
        </w:tc>
      </w:tr>
      <w:tr w14:paraId="7BD276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621" w:type="dxa"/>
            <w:noWrap/>
            <w:vAlign w:val="center"/>
          </w:tcPr>
          <w:p w14:paraId="56760BE9">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2886" w:type="dxa"/>
            <w:noWrap/>
            <w:vAlign w:val="center"/>
          </w:tcPr>
          <w:p w14:paraId="09B3BB3F">
            <w:pPr>
              <w:spacing w:line="520" w:lineRule="exact"/>
              <w:ind w:firstLine="660"/>
              <w:rPr>
                <w:rFonts w:hint="eastAsia" w:ascii="宋体" w:hAnsi="宋体" w:eastAsia="宋体" w:cs="宋体"/>
                <w:color w:val="auto"/>
                <w:sz w:val="21"/>
                <w:szCs w:val="21"/>
                <w:highlight w:val="none"/>
              </w:rPr>
            </w:pPr>
          </w:p>
        </w:tc>
        <w:tc>
          <w:tcPr>
            <w:tcW w:w="900" w:type="dxa"/>
            <w:gridSpan w:val="2"/>
            <w:noWrap/>
            <w:vAlign w:val="center"/>
          </w:tcPr>
          <w:p w14:paraId="4F230BF2">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w:t>
            </w:r>
          </w:p>
        </w:tc>
        <w:tc>
          <w:tcPr>
            <w:tcW w:w="3121" w:type="dxa"/>
            <w:noWrap/>
            <w:vAlign w:val="center"/>
          </w:tcPr>
          <w:p w14:paraId="0E8E1543">
            <w:pPr>
              <w:spacing w:line="520" w:lineRule="exact"/>
              <w:ind w:firstLine="660"/>
              <w:rPr>
                <w:rFonts w:hint="eastAsia" w:ascii="宋体" w:hAnsi="宋体" w:eastAsia="宋体" w:cs="宋体"/>
                <w:color w:val="auto"/>
                <w:sz w:val="21"/>
                <w:szCs w:val="21"/>
                <w:highlight w:val="none"/>
              </w:rPr>
            </w:pPr>
          </w:p>
        </w:tc>
      </w:tr>
      <w:tr w14:paraId="3A86E7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621" w:type="dxa"/>
            <w:noWrap/>
            <w:vAlign w:val="center"/>
          </w:tcPr>
          <w:p w14:paraId="54214057">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办公电话</w:t>
            </w:r>
          </w:p>
        </w:tc>
        <w:tc>
          <w:tcPr>
            <w:tcW w:w="2886" w:type="dxa"/>
            <w:noWrap/>
            <w:vAlign w:val="center"/>
          </w:tcPr>
          <w:p w14:paraId="1AAE3F2C">
            <w:pPr>
              <w:spacing w:line="520" w:lineRule="exact"/>
              <w:ind w:firstLine="660"/>
              <w:rPr>
                <w:rFonts w:hint="eastAsia" w:ascii="宋体" w:hAnsi="宋体" w:eastAsia="宋体" w:cs="宋体"/>
                <w:color w:val="auto"/>
                <w:sz w:val="21"/>
                <w:szCs w:val="21"/>
                <w:highlight w:val="none"/>
              </w:rPr>
            </w:pPr>
          </w:p>
        </w:tc>
        <w:tc>
          <w:tcPr>
            <w:tcW w:w="900" w:type="dxa"/>
            <w:gridSpan w:val="2"/>
            <w:noWrap/>
            <w:vAlign w:val="center"/>
          </w:tcPr>
          <w:p w14:paraId="29BA2E3D">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tc>
        <w:tc>
          <w:tcPr>
            <w:tcW w:w="3121" w:type="dxa"/>
            <w:noWrap/>
            <w:vAlign w:val="center"/>
          </w:tcPr>
          <w:p w14:paraId="668C96ED">
            <w:pPr>
              <w:spacing w:line="520" w:lineRule="exact"/>
              <w:ind w:firstLine="660"/>
              <w:rPr>
                <w:rFonts w:hint="eastAsia" w:ascii="宋体" w:hAnsi="宋体" w:eastAsia="宋体" w:cs="宋体"/>
                <w:color w:val="auto"/>
                <w:sz w:val="21"/>
                <w:szCs w:val="21"/>
                <w:highlight w:val="none"/>
              </w:rPr>
            </w:pPr>
          </w:p>
        </w:tc>
      </w:tr>
      <w:tr w14:paraId="69D8D7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621" w:type="dxa"/>
            <w:noWrap/>
            <w:vAlign w:val="center"/>
          </w:tcPr>
          <w:p w14:paraId="6479634B">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E-mail</w:t>
            </w:r>
          </w:p>
        </w:tc>
        <w:tc>
          <w:tcPr>
            <w:tcW w:w="6907" w:type="dxa"/>
            <w:gridSpan w:val="4"/>
            <w:noWrap/>
            <w:vAlign w:val="center"/>
          </w:tcPr>
          <w:p w14:paraId="1FE330EE">
            <w:pPr>
              <w:spacing w:line="520" w:lineRule="exact"/>
              <w:ind w:firstLine="660"/>
              <w:rPr>
                <w:rFonts w:hint="eastAsia" w:ascii="宋体" w:hAnsi="宋体" w:eastAsia="宋体" w:cs="宋体"/>
                <w:color w:val="auto"/>
                <w:sz w:val="21"/>
                <w:szCs w:val="21"/>
                <w:highlight w:val="none"/>
              </w:rPr>
            </w:pPr>
          </w:p>
        </w:tc>
      </w:tr>
      <w:tr w14:paraId="6B44DB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621" w:type="dxa"/>
            <w:noWrap/>
            <w:vAlign w:val="center"/>
          </w:tcPr>
          <w:p w14:paraId="3ED1314E">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c>
          <w:tcPr>
            <w:tcW w:w="6907" w:type="dxa"/>
            <w:gridSpan w:val="4"/>
            <w:noWrap/>
            <w:vAlign w:val="center"/>
          </w:tcPr>
          <w:p w14:paraId="7A5D6050">
            <w:pPr>
              <w:spacing w:line="520" w:lineRule="exact"/>
              <w:ind w:firstLine="660"/>
              <w:rPr>
                <w:rFonts w:hint="eastAsia" w:ascii="宋体" w:hAnsi="宋体" w:eastAsia="宋体" w:cs="宋体"/>
                <w:color w:val="auto"/>
                <w:sz w:val="21"/>
                <w:szCs w:val="21"/>
                <w:highlight w:val="none"/>
              </w:rPr>
            </w:pPr>
          </w:p>
        </w:tc>
      </w:tr>
      <w:tr w14:paraId="716518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21" w:type="dxa"/>
            <w:noWrap/>
            <w:vAlign w:val="center"/>
          </w:tcPr>
          <w:p w14:paraId="4B9BAEDE">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购买时间</w:t>
            </w:r>
          </w:p>
        </w:tc>
        <w:tc>
          <w:tcPr>
            <w:tcW w:w="6907" w:type="dxa"/>
            <w:gridSpan w:val="4"/>
            <w:noWrap/>
            <w:vAlign w:val="center"/>
          </w:tcPr>
          <w:p w14:paraId="2E90504B">
            <w:pPr>
              <w:spacing w:line="520" w:lineRule="exact"/>
              <w:ind w:firstLine="66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tc>
      </w:tr>
      <w:tr w14:paraId="491B56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1621" w:type="dxa"/>
            <w:noWrap/>
            <w:vAlign w:val="center"/>
          </w:tcPr>
          <w:p w14:paraId="4E630224">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比选文件售价</w:t>
            </w:r>
          </w:p>
        </w:tc>
        <w:tc>
          <w:tcPr>
            <w:tcW w:w="6907" w:type="dxa"/>
            <w:gridSpan w:val="4"/>
            <w:noWrap/>
            <w:vAlign w:val="center"/>
          </w:tcPr>
          <w:p w14:paraId="4755FEC3">
            <w:pPr>
              <w:spacing w:line="520" w:lineRule="exact"/>
              <w:ind w:firstLine="66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00元/份（售后不退）。</w:t>
            </w:r>
          </w:p>
        </w:tc>
      </w:tr>
      <w:tr w14:paraId="3314CD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8" w:hRule="atLeast"/>
          <w:jc w:val="center"/>
        </w:trPr>
        <w:tc>
          <w:tcPr>
            <w:tcW w:w="1621" w:type="dxa"/>
            <w:noWrap/>
            <w:vAlign w:val="center"/>
          </w:tcPr>
          <w:p w14:paraId="38E3BFDC">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3453" w:type="dxa"/>
            <w:gridSpan w:val="2"/>
            <w:noWrap/>
            <w:vAlign w:val="center"/>
          </w:tcPr>
          <w:p w14:paraId="14442002">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sz w:val="21"/>
                <w:szCs w:val="21"/>
              </w:rPr>
              <w:drawing>
                <wp:inline distT="0" distB="0" distL="114300" distR="114300">
                  <wp:extent cx="1548765" cy="1755775"/>
                  <wp:effectExtent l="0" t="0" r="13335"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1548765" cy="1755775"/>
                          </a:xfrm>
                          <a:prstGeom prst="rect">
                            <a:avLst/>
                          </a:prstGeom>
                          <a:noFill/>
                          <a:ln>
                            <a:noFill/>
                          </a:ln>
                        </pic:spPr>
                      </pic:pic>
                    </a:graphicData>
                  </a:graphic>
                </wp:inline>
              </w:drawing>
            </w:r>
          </w:p>
        </w:tc>
        <w:tc>
          <w:tcPr>
            <w:tcW w:w="3454" w:type="dxa"/>
            <w:gridSpan w:val="2"/>
            <w:noWrap/>
            <w:vAlign w:val="center"/>
          </w:tcPr>
          <w:p w14:paraId="148CB257">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bidi="ar"/>
              </w:rPr>
              <w:t>1.为方便供应商报名，可用二维码进行转账支付。</w:t>
            </w:r>
          </w:p>
          <w:p w14:paraId="74A25D4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2.扫描二维码后的相关信息请按要求完整填写。</w:t>
            </w:r>
          </w:p>
          <w:p w14:paraId="13E0D33F">
            <w:pPr>
              <w:tabs>
                <w:tab w:val="left" w:pos="490"/>
              </w:tabs>
              <w:spacing w:line="520" w:lineRule="exact"/>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3.比选文件发售登记表盖章件可删除备注行内容。</w:t>
            </w:r>
            <w:r>
              <w:rPr>
                <w:rFonts w:hint="eastAsia" w:ascii="宋体" w:hAnsi="宋体" w:eastAsia="宋体" w:cs="宋体"/>
                <w:color w:val="auto"/>
                <w:sz w:val="21"/>
                <w:szCs w:val="21"/>
                <w:highlight w:val="none"/>
              </w:rPr>
              <w:tab/>
            </w:r>
          </w:p>
        </w:tc>
      </w:tr>
    </w:tbl>
    <w:p w14:paraId="40267C52">
      <w:pPr>
        <w:pStyle w:val="11"/>
        <w:ind w:firstLine="0" w:firstLineChars="0"/>
        <w:rPr>
          <w:rFonts w:hint="eastAsia" w:ascii="宋体" w:hAnsi="宋体" w:eastAsia="宋体" w:cs="宋体"/>
          <w:color w:val="auto"/>
          <w:sz w:val="21"/>
          <w:szCs w:val="21"/>
          <w:highlight w:val="none"/>
        </w:rPr>
      </w:pPr>
    </w:p>
    <w:sectPr>
      <w:pgSz w:w="11906" w:h="16838"/>
      <w:pgMar w:top="1134" w:right="1134" w:bottom="1134" w:left="1134"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0"/>
      </w:pPr>
      <w:r>
        <w:separator/>
      </w:r>
    </w:p>
  </w:endnote>
  <w:endnote w:type="continuationSeparator" w:id="1">
    <w:p>
      <w:pPr>
        <w:spacing w:line="240" w:lineRule="auto"/>
        <w:ind w:firstLine="6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43420A34-03DA-4E4D-B39B-165290B802CE}"/>
  </w:font>
  <w:font w:name="Arial Unicode MS">
    <w:altName w:val="Arial"/>
    <w:panose1 w:val="020B0604020202020204"/>
    <w:charset w:val="00"/>
    <w:family w:val="roman"/>
    <w:pitch w:val="default"/>
    <w:sig w:usb0="00000000" w:usb1="00000000" w:usb2="00000000" w:usb3="00000000" w:csb0="000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A00002BF" w:usb1="38CF7CFA" w:usb2="00082016" w:usb3="00000000" w:csb0="00040001" w:csb1="00000000"/>
    <w:embedRegular r:id="rId2" w:fontKey="{FC7DDF03-73AA-4EE3-9DFC-25A174472CAA}"/>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2BA94">
    <w:pPr>
      <w:pStyle w:val="18"/>
      <w:ind w:firstLine="54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E620D8">
                          <w:pPr>
                            <w:pStyle w:val="18"/>
                            <w:ind w:firstLine="540"/>
                            <w:jc w:val="center"/>
                          </w:pPr>
                          <w:r>
                            <w:fldChar w:fldCharType="begin"/>
                          </w:r>
                          <w:r>
                            <w:rPr>
                              <w:rStyle w:val="31"/>
                              <w:sz w:val="24"/>
                            </w:rPr>
                            <w:instrText xml:space="preserve"> PAGE </w:instrText>
                          </w:r>
                          <w:r>
                            <w:fldChar w:fldCharType="separate"/>
                          </w:r>
                          <w:r>
                            <w:rPr>
                              <w:rStyle w:val="31"/>
                              <w:sz w:val="24"/>
                            </w:rPr>
                            <w:t>- 20 -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7E620D8">
                    <w:pPr>
                      <w:pStyle w:val="18"/>
                      <w:ind w:firstLine="540"/>
                      <w:jc w:val="center"/>
                    </w:pPr>
                    <w:r>
                      <w:fldChar w:fldCharType="begin"/>
                    </w:r>
                    <w:r>
                      <w:rPr>
                        <w:rStyle w:val="31"/>
                        <w:sz w:val="24"/>
                      </w:rPr>
                      <w:instrText xml:space="preserve"> PAGE </w:instrText>
                    </w:r>
                    <w:r>
                      <w:fldChar w:fldCharType="separate"/>
                    </w:r>
                    <w:r>
                      <w:rPr>
                        <w:rStyle w:val="31"/>
                        <w:sz w:val="24"/>
                      </w:rPr>
                      <w:t>- 20 -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39CA7">
    <w:pPr>
      <w:pStyle w:val="18"/>
      <w:ind w:firstLine="540"/>
      <w:rPr>
        <w:rStyle w:val="31"/>
      </w:rPr>
    </w:pPr>
    <w:r>
      <w:fldChar w:fldCharType="begin"/>
    </w:r>
    <w:r>
      <w:rPr>
        <w:rStyle w:val="31"/>
      </w:rPr>
      <w:instrText xml:space="preserve">PAGE  </w:instrText>
    </w:r>
    <w:r>
      <w:fldChar w:fldCharType="end"/>
    </w:r>
  </w:p>
  <w:p w14:paraId="2B3D5C1B">
    <w:pPr>
      <w:pStyle w:val="18"/>
      <w:ind w:firstLine="5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763D9">
    <w:pPr>
      <w:pStyle w:val="18"/>
      <w:ind w:firstLine="540"/>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4853D8C">
                          <w:pPr>
                            <w:pStyle w:val="18"/>
                            <w:ind w:firstLine="54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Eb63XJAQAAk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KjnUB6zo4n24gylDCpPcoQWbviSEDdnV89VVNUQmaXO5Xq3XJRku6WxOCKd4eB4A43vlLUtB&#10;zYHalt0Up48Yx6vzlVTNuLQ6f6uNGU/TTpFojsRSFIf9MLHd++ZMKmnoCbzz8I2znlpec0cTzpn5&#10;4MjRNB1zAHOwnwPhJD2s+cgLw7tjpPKZWyo2Vpg4UKuyumms0iw8zvOth19p+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8RvrdckBAACSAwAADgAAAAAAAAABACAAAAAfAQAAZHJzL2Uyb0Rv&#10;Yy54bWxQSwUGAAAAAAYABgBZAQAAWgUAAAAA&#10;">
              <v:fill on="f" focussize="0,0"/>
              <v:stroke on="f"/>
              <v:imagedata o:title=""/>
              <o:lock v:ext="edit" aspectratio="f"/>
              <v:textbox inset="0mm,0mm,0mm,0mm" style="mso-fit-shape-to-text:t;">
                <w:txbxContent>
                  <w:p w14:paraId="24853D8C">
                    <w:pPr>
                      <w:pStyle w:val="18"/>
                      <w:ind w:firstLine="54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1EBA4">
    <w:pPr>
      <w:pStyle w:val="18"/>
      <w:tabs>
        <w:tab w:val="clear" w:pos="605"/>
      </w:tabs>
      <w:ind w:firstLine="54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3BEAA17">
                          <w:pPr>
                            <w:snapToGrid w:val="0"/>
                            <w:ind w:firstLine="54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18</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GpC43M0BAACnAwAADgAAAAAAAAABACAAAAAeAQAAZHJzL2Uy&#10;b0RvYy54bWxQSwUGAAAAAAYABgBZAQAAXQUAAAAA&#10;">
              <v:fill on="f" focussize="0,0"/>
              <v:stroke on="f"/>
              <v:imagedata o:title=""/>
              <o:lock v:ext="edit" aspectratio="f"/>
              <v:textbox inset="0mm,0mm,0mm,0mm" style="mso-fit-shape-to-text:t;">
                <w:txbxContent>
                  <w:p w14:paraId="23BEAA17">
                    <w:pPr>
                      <w:snapToGrid w:val="0"/>
                      <w:ind w:firstLine="54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18</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30"/>
      </w:pPr>
      <w:r>
        <w:separator/>
      </w:r>
    </w:p>
  </w:footnote>
  <w:footnote w:type="continuationSeparator" w:id="1">
    <w:p>
      <w:pPr>
        <w:spacing w:line="360" w:lineRule="auto"/>
        <w:ind w:firstLine="63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F9748">
    <w:pPr>
      <w:pStyle w:val="19"/>
      <w:ind w:firstLine="540"/>
      <w:rPr>
        <w:szCs w:val="24"/>
      </w:rPr>
    </w:pPr>
    <w:r>
      <w:rPr>
        <w:rFonts w:hint="eastAsia"/>
      </w:rPr>
      <w:drawing>
        <wp:inline distT="0" distB="0" distL="0" distR="0">
          <wp:extent cx="249555" cy="213995"/>
          <wp:effectExtent l="0" t="0" r="16510" b="14605"/>
          <wp:docPr id="4097" name="图片 1" descr="LOGO"/>
          <wp:cNvGraphicFramePr/>
          <a:graphic xmlns:a="http://schemas.openxmlformats.org/drawingml/2006/main">
            <a:graphicData uri="http://schemas.openxmlformats.org/drawingml/2006/picture">
              <pic:pic xmlns:pic="http://schemas.openxmlformats.org/drawingml/2006/picture">
                <pic:nvPicPr>
                  <pic:cNvPr id="4097" name="图片 1" descr="LOGO"/>
                  <pic:cNvPicPr/>
                </pic:nvPicPr>
                <pic:blipFill>
                  <a:blip r:embed="rId1" cstate="print"/>
                  <a:srcRect/>
                  <a:stretch>
                    <a:fillRect/>
                  </a:stretch>
                </pic:blipFill>
                <pic:spPr>
                  <a:xfrm>
                    <a:off x="0" y="0"/>
                    <a:ext cx="250189" cy="213995"/>
                  </a:xfrm>
                  <a:prstGeom prst="rect">
                    <a:avLst/>
                  </a:prstGeom>
                  <a:ln>
                    <a:noFill/>
                  </a:ln>
                </pic:spPr>
              </pic:pic>
            </a:graphicData>
          </a:graphic>
        </wp:inline>
      </w:drawing>
    </w:r>
    <w:r>
      <w:rPr>
        <w:rFonts w:hint="eastAsia" w:ascii="仿宋" w:hAnsi="仿宋" w:eastAsia="仿宋"/>
        <w:lang w:eastAsia="zh-CN"/>
      </w:rPr>
      <w:t>重庆志良项目管理有限公司</w:t>
    </w:r>
    <w:r>
      <w:rPr>
        <w:rFonts w:hint="eastAsia"/>
      </w:rPr>
      <w:t xml:space="preserve">                                           </w:t>
    </w:r>
    <w:r>
      <w:rPr>
        <w:rFonts w:hint="eastAsia" w:ascii="仿宋" w:hAnsi="仿宋" w:eastAsia="仿宋" w:cs="仿宋"/>
      </w:rPr>
      <w:t>竞争性比选文件</w:t>
    </w:r>
    <w:r>
      <w:rPr>
        <w:rFonts w:hint="eastAsia"/>
        <w:szCs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AA319">
    <w:pPr>
      <w:pStyle w:val="19"/>
      <w:ind w:firstLine="5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396A3">
    <w:pPr>
      <w:pStyle w:val="19"/>
      <w:ind w:firstLine="0" w:firstLineChars="0"/>
      <w:jc w:val="both"/>
    </w:pPr>
    <w:r>
      <w:rPr>
        <w:rFonts w:hint="eastAsia" w:ascii="仿宋" w:hAnsi="仿宋" w:eastAsia="仿宋"/>
        <w:lang w:eastAsia="zh-CN"/>
      </w:rPr>
      <w:t>重庆志良项目管理有限公司</w:t>
    </w:r>
    <w:r>
      <w:rPr>
        <w:rFonts w:hint="eastAsia"/>
      </w:rPr>
      <w:t xml:space="preserve">                                              </w:t>
    </w:r>
    <w:r>
      <w:rPr>
        <w:rFonts w:hint="eastAsia"/>
        <w:lang w:val="en-US" w:eastAsia="zh-CN"/>
      </w:rPr>
      <w:t xml:space="preserve">              </w:t>
    </w:r>
    <w:r>
      <w:rPr>
        <w:rFonts w:hint="eastAsia"/>
      </w:rPr>
      <w:t xml:space="preserve">     </w:t>
    </w:r>
    <w:r>
      <w:rPr>
        <w:rFonts w:hint="eastAsia" w:ascii="仿宋" w:hAnsi="仿宋" w:eastAsia="仿宋" w:cs="仿宋"/>
      </w:rPr>
      <w:t>竞争性比选文件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21FFC">
    <w:pPr>
      <w:pStyle w:val="19"/>
      <w:ind w:firstLine="0" w:firstLineChars="0"/>
      <w:jc w:val="both"/>
    </w:pPr>
    <w:r>
      <w:rPr>
        <w:rFonts w:hint="eastAsia" w:ascii="仿宋" w:hAnsi="仿宋" w:eastAsia="仿宋"/>
        <w:lang w:eastAsia="zh-CN"/>
      </w:rPr>
      <w:t>重庆志良项目管理有限公司</w:t>
    </w:r>
    <w:r>
      <w:rPr>
        <w:rFonts w:hint="eastAsia"/>
      </w:rPr>
      <w:t xml:space="preserve">                                       </w:t>
    </w:r>
    <w:r>
      <w:rPr>
        <w:rFonts w:hint="eastAsia"/>
        <w:lang w:val="en-US" w:eastAsia="zh-CN"/>
      </w:rPr>
      <w:t xml:space="preserve">           </w:t>
    </w:r>
    <w:r>
      <w:rPr>
        <w:rFonts w:hint="eastAsia"/>
      </w:rPr>
      <w:t xml:space="preserve">            </w:t>
    </w:r>
    <w:r>
      <w:rPr>
        <w:rFonts w:hint="eastAsia" w:ascii="仿宋" w:hAnsi="仿宋" w:eastAsia="仿宋" w:cs="仿宋"/>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rPr>
        <w:rFonts w:hint="eastAsia"/>
      </w:rPr>
    </w:lvl>
  </w:abstractNum>
  <w:abstractNum w:abstractNumId="1">
    <w:nsid w:val="3B256F05"/>
    <w:multiLevelType w:val="singleLevel"/>
    <w:tmpl w:val="3B256F05"/>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M5MzljMDhmN2U0OGY3MDQ1MDYwNGJiNDMwZmZjNzcifQ=="/>
  </w:docVars>
  <w:rsids>
    <w:rsidRoot w:val="006D104A"/>
    <w:rsid w:val="00535DFE"/>
    <w:rsid w:val="00564D0A"/>
    <w:rsid w:val="006D104A"/>
    <w:rsid w:val="00936215"/>
    <w:rsid w:val="009D52A1"/>
    <w:rsid w:val="009E7FF8"/>
    <w:rsid w:val="00C819F0"/>
    <w:rsid w:val="00D4709A"/>
    <w:rsid w:val="00D610EE"/>
    <w:rsid w:val="00FB4E61"/>
    <w:rsid w:val="00FE0042"/>
    <w:rsid w:val="016E779E"/>
    <w:rsid w:val="048414A9"/>
    <w:rsid w:val="05B26CB2"/>
    <w:rsid w:val="06E36DBB"/>
    <w:rsid w:val="06F3181D"/>
    <w:rsid w:val="08FC0E5C"/>
    <w:rsid w:val="0ADB4762"/>
    <w:rsid w:val="0B8F6C54"/>
    <w:rsid w:val="0BBB242F"/>
    <w:rsid w:val="0E56100F"/>
    <w:rsid w:val="0EEF7F78"/>
    <w:rsid w:val="10014FAA"/>
    <w:rsid w:val="11134811"/>
    <w:rsid w:val="11721CA8"/>
    <w:rsid w:val="15716861"/>
    <w:rsid w:val="18B72C9D"/>
    <w:rsid w:val="18B74DA0"/>
    <w:rsid w:val="18F02060"/>
    <w:rsid w:val="19C31523"/>
    <w:rsid w:val="1C730FDE"/>
    <w:rsid w:val="1CC950A2"/>
    <w:rsid w:val="1D8D60CF"/>
    <w:rsid w:val="20014A49"/>
    <w:rsid w:val="20702711"/>
    <w:rsid w:val="2444710E"/>
    <w:rsid w:val="25E40DB9"/>
    <w:rsid w:val="2800381F"/>
    <w:rsid w:val="292766AC"/>
    <w:rsid w:val="2AA42CAA"/>
    <w:rsid w:val="2B9C2341"/>
    <w:rsid w:val="2C210A56"/>
    <w:rsid w:val="2CA84CD4"/>
    <w:rsid w:val="2F8C5603"/>
    <w:rsid w:val="32CC52A7"/>
    <w:rsid w:val="336B25B7"/>
    <w:rsid w:val="33784CD4"/>
    <w:rsid w:val="33BD0399"/>
    <w:rsid w:val="34637732"/>
    <w:rsid w:val="34EA39B0"/>
    <w:rsid w:val="36E17D28"/>
    <w:rsid w:val="37B5409A"/>
    <w:rsid w:val="37B564F7"/>
    <w:rsid w:val="38A74091"/>
    <w:rsid w:val="39C80763"/>
    <w:rsid w:val="39F51749"/>
    <w:rsid w:val="3A1C460B"/>
    <w:rsid w:val="3A1D7BCB"/>
    <w:rsid w:val="3A6164C2"/>
    <w:rsid w:val="3BA40D5C"/>
    <w:rsid w:val="3C170956"/>
    <w:rsid w:val="3CF968F4"/>
    <w:rsid w:val="3E0E3097"/>
    <w:rsid w:val="3E353EED"/>
    <w:rsid w:val="400E649C"/>
    <w:rsid w:val="43A51B15"/>
    <w:rsid w:val="44D75CFE"/>
    <w:rsid w:val="466C2476"/>
    <w:rsid w:val="47B257E7"/>
    <w:rsid w:val="483B3AEE"/>
    <w:rsid w:val="48DD765B"/>
    <w:rsid w:val="4950607F"/>
    <w:rsid w:val="4D72619C"/>
    <w:rsid w:val="4E600B13"/>
    <w:rsid w:val="4EB726FD"/>
    <w:rsid w:val="4F9A2425"/>
    <w:rsid w:val="4FB31116"/>
    <w:rsid w:val="514A7858"/>
    <w:rsid w:val="51B020AA"/>
    <w:rsid w:val="52397FF8"/>
    <w:rsid w:val="52DA0D07"/>
    <w:rsid w:val="530A54F1"/>
    <w:rsid w:val="53C438F2"/>
    <w:rsid w:val="53CE651E"/>
    <w:rsid w:val="53F8359B"/>
    <w:rsid w:val="55AF412E"/>
    <w:rsid w:val="57A4759C"/>
    <w:rsid w:val="58027C9C"/>
    <w:rsid w:val="5A317807"/>
    <w:rsid w:val="5A864198"/>
    <w:rsid w:val="5B296730"/>
    <w:rsid w:val="5B4876F8"/>
    <w:rsid w:val="5C632A4B"/>
    <w:rsid w:val="65535956"/>
    <w:rsid w:val="679F491B"/>
    <w:rsid w:val="680114D7"/>
    <w:rsid w:val="685E7B2C"/>
    <w:rsid w:val="687B17E6"/>
    <w:rsid w:val="6AB029CA"/>
    <w:rsid w:val="6B0276CA"/>
    <w:rsid w:val="6BE446D9"/>
    <w:rsid w:val="6E4B447B"/>
    <w:rsid w:val="6EDC5B3C"/>
    <w:rsid w:val="6FAD7666"/>
    <w:rsid w:val="6FE211E6"/>
    <w:rsid w:val="6FF86C1E"/>
    <w:rsid w:val="72214BF5"/>
    <w:rsid w:val="72874010"/>
    <w:rsid w:val="73F05BE5"/>
    <w:rsid w:val="75420A4B"/>
    <w:rsid w:val="77430916"/>
    <w:rsid w:val="784F55D0"/>
    <w:rsid w:val="799E55ED"/>
    <w:rsid w:val="79AB25AE"/>
    <w:rsid w:val="7E6C4DA7"/>
    <w:rsid w:val="7F8D48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605"/>
      </w:tabs>
      <w:spacing w:line="360" w:lineRule="auto"/>
      <w:ind w:firstLine="630" w:firstLineChars="300"/>
    </w:pPr>
    <w:rPr>
      <w:rFonts w:ascii="宋体" w:hAnsi="宋体" w:eastAsia="宋体" w:cs="宋体"/>
      <w:kern w:val="2"/>
      <w:sz w:val="21"/>
      <w:szCs w:val="21"/>
      <w:lang w:val="en-US" w:eastAsia="zh-CN" w:bidi="ar-SA"/>
    </w:rPr>
  </w:style>
  <w:style w:type="paragraph" w:styleId="2">
    <w:name w:val="heading 1"/>
    <w:basedOn w:val="1"/>
    <w:next w:val="1"/>
    <w:qFormat/>
    <w:uiPriority w:val="0"/>
    <w:pPr>
      <w:keepNext/>
      <w:tabs>
        <w:tab w:val="left" w:pos="3360"/>
      </w:tabs>
      <w:snapToGrid w:val="0"/>
      <w:spacing w:before="312" w:beforeLines="100" w:after="156" w:afterLines="50" w:line="800" w:lineRule="atLeast"/>
      <w:jc w:val="center"/>
      <w:outlineLvl w:val="0"/>
    </w:pPr>
    <w:rPr>
      <w:rFonts w:eastAsia="黑体"/>
      <w:sz w:val="44"/>
    </w:rPr>
  </w:style>
  <w:style w:type="paragraph" w:styleId="3">
    <w:name w:val="heading 2"/>
    <w:basedOn w:val="1"/>
    <w:next w:val="4"/>
    <w:link w:val="42"/>
    <w:qFormat/>
    <w:uiPriority w:val="0"/>
    <w:pPr>
      <w:keepNext/>
      <w:keepLines/>
      <w:adjustRightInd w:val="0"/>
      <w:snapToGrid w:val="0"/>
      <w:outlineLvl w:val="1"/>
    </w:pPr>
  </w:style>
  <w:style w:type="paragraph" w:styleId="6">
    <w:name w:val="heading 3"/>
    <w:basedOn w:val="1"/>
    <w:next w:val="1"/>
    <w:link w:val="43"/>
    <w:qFormat/>
    <w:uiPriority w:val="0"/>
    <w:pPr>
      <w:keepNext/>
      <w:keepLines/>
      <w:spacing w:before="260" w:after="260" w:line="413" w:lineRule="auto"/>
      <w:jc w:val="center"/>
      <w:outlineLvl w:val="2"/>
    </w:pPr>
    <w:rPr>
      <w:b/>
      <w:sz w:val="44"/>
    </w:rPr>
  </w:style>
  <w:style w:type="paragraph" w:styleId="7">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4">
    <w:name w:val="标准正文"/>
    <w:basedOn w:val="5"/>
    <w:qFormat/>
    <w:uiPriority w:val="0"/>
    <w:pPr>
      <w:tabs>
        <w:tab w:val="left" w:pos="605"/>
      </w:tabs>
      <w:spacing w:before="60" w:after="60" w:line="360" w:lineRule="auto"/>
      <w:ind w:left="0" w:firstLine="482"/>
    </w:pPr>
    <w:rPr>
      <w:rFonts w:ascii="Arial" w:hAnsi="Arial"/>
      <w:sz w:val="24"/>
    </w:rPr>
  </w:style>
  <w:style w:type="paragraph" w:customStyle="1" w:styleId="5">
    <w:name w:val="Body Text Indent1"/>
    <w:basedOn w:val="1"/>
    <w:qFormat/>
    <w:uiPriority w:val="0"/>
    <w:pPr>
      <w:spacing w:line="700" w:lineRule="exact"/>
      <w:ind w:left="960"/>
    </w:pPr>
    <w:rPr>
      <w:sz w:val="44"/>
    </w:rPr>
  </w:style>
  <w:style w:type="paragraph" w:styleId="8">
    <w:name w:val="Normal Indent"/>
    <w:basedOn w:val="1"/>
    <w:qFormat/>
    <w:uiPriority w:val="0"/>
    <w:pPr>
      <w:adjustRightInd w:val="0"/>
      <w:snapToGrid w:val="0"/>
      <w:ind w:firstLine="420"/>
    </w:pPr>
    <w:rPr>
      <w:sz w:val="24"/>
    </w:rPr>
  </w:style>
  <w:style w:type="paragraph" w:styleId="9">
    <w:name w:val="toa heading"/>
    <w:basedOn w:val="1"/>
    <w:next w:val="1"/>
    <w:qFormat/>
    <w:uiPriority w:val="0"/>
    <w:pPr>
      <w:spacing w:before="120"/>
    </w:pPr>
    <w:rPr>
      <w:rFonts w:ascii="Arial" w:hAnsi="Arial"/>
      <w:sz w:val="24"/>
    </w:rPr>
  </w:style>
  <w:style w:type="paragraph" w:styleId="10">
    <w:name w:val="annotation text"/>
    <w:basedOn w:val="1"/>
    <w:link w:val="44"/>
    <w:qFormat/>
    <w:uiPriority w:val="0"/>
  </w:style>
  <w:style w:type="paragraph" w:styleId="11">
    <w:name w:val="Body Text"/>
    <w:basedOn w:val="1"/>
    <w:next w:val="1"/>
    <w:autoRedefine/>
    <w:qFormat/>
    <w:uiPriority w:val="0"/>
  </w:style>
  <w:style w:type="paragraph" w:styleId="12">
    <w:name w:val="Body Text Indent"/>
    <w:basedOn w:val="1"/>
    <w:next w:val="13"/>
    <w:autoRedefine/>
    <w:qFormat/>
    <w:uiPriority w:val="0"/>
    <w:pPr>
      <w:spacing w:line="700" w:lineRule="exact"/>
      <w:ind w:left="960"/>
    </w:pPr>
    <w:rPr>
      <w:sz w:val="44"/>
    </w:rPr>
  </w:style>
  <w:style w:type="paragraph" w:styleId="13">
    <w:name w:val="envelope return"/>
    <w:basedOn w:val="1"/>
    <w:unhideWhenUsed/>
    <w:qFormat/>
    <w:uiPriority w:val="99"/>
    <w:pPr>
      <w:snapToGrid w:val="0"/>
    </w:pPr>
    <w:rPr>
      <w:rFonts w:ascii="Arial" w:hAnsi="Arial"/>
    </w:rPr>
  </w:style>
  <w:style w:type="paragraph" w:styleId="14">
    <w:name w:val="Plain Text"/>
    <w:basedOn w:val="1"/>
    <w:next w:val="1"/>
    <w:autoRedefine/>
    <w:qFormat/>
    <w:uiPriority w:val="0"/>
    <w:rPr>
      <w:rFonts w:hAnsi="Courier New"/>
      <w:kern w:val="0"/>
      <w:sz w:val="20"/>
      <w:szCs w:val="20"/>
    </w:rPr>
  </w:style>
  <w:style w:type="paragraph" w:styleId="15">
    <w:name w:val="Date"/>
    <w:basedOn w:val="1"/>
    <w:next w:val="1"/>
    <w:autoRedefine/>
    <w:qFormat/>
    <w:uiPriority w:val="0"/>
  </w:style>
  <w:style w:type="paragraph" w:styleId="16">
    <w:name w:val="Body Text Indent 2"/>
    <w:basedOn w:val="1"/>
    <w:qFormat/>
    <w:uiPriority w:val="99"/>
    <w:pPr>
      <w:snapToGrid w:val="0"/>
      <w:spacing w:line="560" w:lineRule="atLeast"/>
      <w:ind w:firstLine="540"/>
    </w:pPr>
  </w:style>
  <w:style w:type="paragraph" w:styleId="17">
    <w:name w:val="Balloon Text"/>
    <w:basedOn w:val="1"/>
    <w:autoRedefine/>
    <w:qFormat/>
    <w:uiPriority w:val="99"/>
    <w:rPr>
      <w:sz w:val="18"/>
      <w:szCs w:val="18"/>
    </w:rPr>
  </w:style>
  <w:style w:type="paragraph" w:styleId="18">
    <w:name w:val="footer"/>
    <w:basedOn w:val="1"/>
    <w:qFormat/>
    <w:uiPriority w:val="0"/>
    <w:pPr>
      <w:tabs>
        <w:tab w:val="center" w:pos="4153"/>
        <w:tab w:val="right" w:pos="8306"/>
      </w:tabs>
      <w:snapToGrid w:val="0"/>
    </w:pPr>
    <w:rPr>
      <w:sz w:val="18"/>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pPr>
      <w:tabs>
        <w:tab w:val="left" w:pos="1260"/>
        <w:tab w:val="left" w:pos="1685"/>
        <w:tab w:val="right" w:leader="dot" w:pos="8400"/>
      </w:tabs>
      <w:spacing w:line="320" w:lineRule="exact"/>
      <w:ind w:firstLine="280" w:firstLineChars="100"/>
    </w:pPr>
  </w:style>
  <w:style w:type="paragraph" w:styleId="21">
    <w:name w:val="table of figures"/>
    <w:basedOn w:val="1"/>
    <w:next w:val="1"/>
    <w:semiHidden/>
    <w:qFormat/>
    <w:uiPriority w:val="0"/>
    <w:pPr>
      <w:ind w:left="560" w:hanging="560"/>
    </w:pPr>
    <w:rPr>
      <w:smallCaps/>
      <w:sz w:val="20"/>
    </w:rPr>
  </w:style>
  <w:style w:type="paragraph" w:styleId="22">
    <w:name w:val="toc 2"/>
    <w:basedOn w:val="1"/>
    <w:next w:val="1"/>
    <w:autoRedefine/>
    <w:qFormat/>
    <w:uiPriority w:val="39"/>
    <w:pPr>
      <w:tabs>
        <w:tab w:val="right" w:leader="dot" w:pos="8400"/>
      </w:tabs>
      <w:spacing w:line="440" w:lineRule="exact"/>
      <w:ind w:left="280" w:leftChars="100" w:right="-91" w:rightChars="-91"/>
    </w:pPr>
  </w:style>
  <w:style w:type="paragraph" w:styleId="23">
    <w:name w:val="Normal (Web)"/>
    <w:basedOn w:val="1"/>
    <w:qFormat/>
    <w:uiPriority w:val="0"/>
    <w:pPr>
      <w:widowControl/>
      <w:spacing w:before="100" w:beforeAutospacing="1" w:after="100" w:afterAutospacing="1"/>
    </w:pPr>
    <w:rPr>
      <w:rFonts w:ascii="Arial Unicode MS" w:hAnsi="Arial Unicode MS" w:eastAsia="Arial Unicode MS"/>
      <w:kern w:val="0"/>
      <w:sz w:val="24"/>
    </w:rPr>
  </w:style>
  <w:style w:type="paragraph" w:styleId="24">
    <w:name w:val="Title"/>
    <w:basedOn w:val="1"/>
    <w:next w:val="1"/>
    <w:autoRedefine/>
    <w:qFormat/>
    <w:uiPriority w:val="0"/>
    <w:pPr>
      <w:widowControl/>
      <w:jc w:val="center"/>
    </w:pPr>
    <w:rPr>
      <w:rFonts w:ascii="Arial" w:hAnsi="Arial"/>
      <w:b/>
      <w:smallCaps/>
      <w:kern w:val="28"/>
      <w:sz w:val="36"/>
      <w:lang w:eastAsia="en-US"/>
    </w:rPr>
  </w:style>
  <w:style w:type="paragraph" w:styleId="25">
    <w:name w:val="annotation subject"/>
    <w:basedOn w:val="10"/>
    <w:next w:val="10"/>
    <w:link w:val="45"/>
    <w:autoRedefine/>
    <w:qFormat/>
    <w:uiPriority w:val="0"/>
    <w:rPr>
      <w:b/>
      <w:bCs/>
    </w:rPr>
  </w:style>
  <w:style w:type="paragraph" w:styleId="26">
    <w:name w:val="Body Text First Indent"/>
    <w:basedOn w:val="11"/>
    <w:next w:val="1"/>
    <w:qFormat/>
    <w:uiPriority w:val="0"/>
    <w:pPr>
      <w:ind w:firstLine="420"/>
    </w:pPr>
    <w:rPr>
      <w:sz w:val="24"/>
    </w:rPr>
  </w:style>
  <w:style w:type="paragraph" w:styleId="27">
    <w:name w:val="Body Text First Indent 2"/>
    <w:basedOn w:val="12"/>
    <w:next w:val="26"/>
    <w:qFormat/>
    <w:uiPriority w:val="0"/>
    <w:pPr>
      <w:spacing w:after="120" w:line="240" w:lineRule="auto"/>
      <w:ind w:left="420" w:leftChars="200" w:firstLine="420" w:firstLineChars="200"/>
    </w:p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basedOn w:val="30"/>
    <w:autoRedefine/>
    <w:qFormat/>
    <w:uiPriority w:val="0"/>
  </w:style>
  <w:style w:type="character" w:styleId="32">
    <w:name w:val="Hyperlink"/>
    <w:autoRedefine/>
    <w:qFormat/>
    <w:uiPriority w:val="99"/>
    <w:rPr>
      <w:color w:val="0000FF"/>
      <w:u w:val="single"/>
    </w:rPr>
  </w:style>
  <w:style w:type="character" w:styleId="33">
    <w:name w:val="annotation reference"/>
    <w:basedOn w:val="30"/>
    <w:autoRedefine/>
    <w:qFormat/>
    <w:uiPriority w:val="0"/>
    <w:rPr>
      <w:sz w:val="21"/>
      <w:szCs w:val="21"/>
    </w:rPr>
  </w:style>
  <w:style w:type="paragraph" w:customStyle="1" w:styleId="34">
    <w:name w:val="正文1"/>
    <w:basedOn w:val="8"/>
    <w:qFormat/>
    <w:uiPriority w:val="0"/>
    <w:pPr>
      <w:spacing w:line="300" w:lineRule="auto"/>
      <w:ind w:firstLine="200" w:firstLineChars="200"/>
    </w:pPr>
    <w:rPr>
      <w:sz w:val="24"/>
    </w:rPr>
  </w:style>
  <w:style w:type="paragraph" w:customStyle="1" w:styleId="3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6">
    <w:name w:val="样式 宋体 五号 行距: 单倍行距"/>
    <w:basedOn w:val="1"/>
    <w:autoRedefine/>
    <w:qFormat/>
    <w:uiPriority w:val="0"/>
    <w:pPr>
      <w:adjustRightInd w:val="0"/>
    </w:pPr>
    <w:rPr>
      <w:kern w:val="0"/>
    </w:rPr>
  </w:style>
  <w:style w:type="paragraph" w:customStyle="1" w:styleId="37">
    <w:name w:val="目录 83"/>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38">
    <w:name w:val="目录 53"/>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9">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0">
    <w:name w:val="1"/>
    <w:basedOn w:val="1"/>
    <w:autoRedefine/>
    <w:qFormat/>
    <w:uiPriority w:val="0"/>
    <w:rPr>
      <w:rFonts w:ascii="Tahoma" w:hAnsi="Tahoma"/>
      <w:sz w:val="24"/>
    </w:rPr>
  </w:style>
  <w:style w:type="paragraph" w:customStyle="1" w:styleId="41">
    <w:name w:val="标书正文1"/>
    <w:basedOn w:val="1"/>
    <w:next w:val="11"/>
    <w:autoRedefine/>
    <w:qFormat/>
    <w:uiPriority w:val="0"/>
    <w:pPr>
      <w:spacing w:line="520" w:lineRule="exact"/>
      <w:ind w:firstLine="640" w:firstLineChars="200"/>
    </w:pPr>
  </w:style>
  <w:style w:type="character" w:customStyle="1" w:styleId="42">
    <w:name w:val="标题 2 字符"/>
    <w:link w:val="3"/>
    <w:autoRedefine/>
    <w:qFormat/>
    <w:uiPriority w:val="0"/>
    <w:rPr>
      <w:rFonts w:ascii="宋体" w:hAnsi="宋体"/>
    </w:rPr>
  </w:style>
  <w:style w:type="character" w:customStyle="1" w:styleId="43">
    <w:name w:val="标题 3 字符"/>
    <w:link w:val="6"/>
    <w:qFormat/>
    <w:uiPriority w:val="0"/>
    <w:rPr>
      <w:b/>
      <w:sz w:val="44"/>
    </w:rPr>
  </w:style>
  <w:style w:type="character" w:customStyle="1" w:styleId="44">
    <w:name w:val="批注文字 字符"/>
    <w:basedOn w:val="30"/>
    <w:link w:val="10"/>
    <w:qFormat/>
    <w:uiPriority w:val="0"/>
    <w:rPr>
      <w:rFonts w:ascii="等线" w:hAnsi="等线" w:eastAsia="等线"/>
      <w:kern w:val="2"/>
      <w:sz w:val="21"/>
      <w:szCs w:val="22"/>
    </w:rPr>
  </w:style>
  <w:style w:type="character" w:customStyle="1" w:styleId="45">
    <w:name w:val="批注主题 字符"/>
    <w:basedOn w:val="44"/>
    <w:link w:val="25"/>
    <w:qFormat/>
    <w:uiPriority w:val="0"/>
    <w:rPr>
      <w:rFonts w:ascii="等线" w:hAnsi="等线" w:eastAsia="等线"/>
      <w:b/>
      <w:bCs/>
      <w:kern w:val="2"/>
      <w:sz w:val="21"/>
      <w:szCs w:val="22"/>
    </w:rPr>
  </w:style>
  <w:style w:type="paragraph" w:customStyle="1" w:styleId="46">
    <w:name w:val="正文 A"/>
    <w:qFormat/>
    <w:uiPriority w:val="0"/>
    <w:pPr>
      <w:widowControl w:val="0"/>
      <w:jc w:val="both"/>
    </w:pPr>
    <w:rPr>
      <w:rFonts w:ascii="Times New Roman" w:hAnsi="Times New Roman" w:eastAsia="Arial Unicode MS" w:cs="Arial Unicode MS"/>
      <w:color w:val="000000"/>
      <w:kern w:val="2"/>
      <w:sz w:val="28"/>
      <w:szCs w:val="28"/>
      <w:u w:color="000000"/>
      <w:lang w:val="en-US" w:eastAsia="zh-CN" w:bidi="ar-SA"/>
    </w:rPr>
  </w:style>
  <w:style w:type="paragraph" w:customStyle="1" w:styleId="47">
    <w:name w:val="无间隔1"/>
    <w:qFormat/>
    <w:uiPriority w:val="1"/>
    <w:pPr>
      <w:jc w:val="both"/>
    </w:pPr>
    <w:rPr>
      <w:rFonts w:ascii="Times New Roman" w:hAnsi="Times New Roman" w:eastAsia="Times New Roman" w:cs="Times New Roman"/>
      <w:lang w:val="en-US" w:eastAsia="zh-CN" w:bidi="ar-SA"/>
    </w:rPr>
  </w:style>
  <w:style w:type="paragraph" w:styleId="48">
    <w:name w:val="List Paragraph"/>
    <w:basedOn w:val="1"/>
    <w:qFormat/>
    <w:uiPriority w:val="99"/>
    <w:pPr>
      <w:ind w:firstLine="420" w:firstLineChars="200"/>
    </w:pPr>
  </w:style>
  <w:style w:type="paragraph" w:customStyle="1" w:styleId="49">
    <w:name w:val="WPSOffice手动目录 1"/>
    <w:qFormat/>
    <w:uiPriority w:val="0"/>
    <w:rPr>
      <w:rFonts w:ascii="Times New Roman" w:hAnsi="Times New Roman" w:eastAsia="宋体" w:cs="Times New Roman"/>
      <w:lang w:val="en-US" w:eastAsia="zh-CN" w:bidi="ar-SA"/>
    </w:rPr>
  </w:style>
  <w:style w:type="character" w:customStyle="1" w:styleId="50">
    <w:name w:val="font21"/>
    <w:basedOn w:val="30"/>
    <w:qFormat/>
    <w:uiPriority w:val="0"/>
    <w:rPr>
      <w:rFonts w:hint="eastAsia" w:ascii="方正仿宋_GBK" w:hAnsi="方正仿宋_GBK" w:eastAsia="方正仿宋_GBK" w:cs="方正仿宋_GBK"/>
      <w:color w:val="000000"/>
      <w:sz w:val="22"/>
      <w:szCs w:val="22"/>
      <w:u w:val="none"/>
    </w:rPr>
  </w:style>
  <w:style w:type="character" w:customStyle="1" w:styleId="51">
    <w:name w:val="font01"/>
    <w:basedOn w:val="30"/>
    <w:qFormat/>
    <w:uiPriority w:val="0"/>
    <w:rPr>
      <w:rFonts w:hint="eastAsia" w:ascii="宋体" w:hAnsi="宋体" w:eastAsia="宋体" w:cs="宋体"/>
      <w:color w:val="000000"/>
      <w:sz w:val="22"/>
      <w:szCs w:val="22"/>
      <w:u w:val="none"/>
    </w:rPr>
  </w:style>
  <w:style w:type="paragraph" w:customStyle="1" w:styleId="52">
    <w:name w:val="图例"/>
    <w:basedOn w:val="1"/>
    <w:qFormat/>
    <w:uiPriority w:val="0"/>
    <w:pPr>
      <w:spacing w:before="120" w:after="120"/>
      <w:jc w:val="center"/>
    </w:pPr>
    <w:rPr>
      <w:rFonts w:eastAsia="仿宋_GB2312"/>
      <w:b/>
      <w:sz w:val="24"/>
    </w:rPr>
  </w:style>
  <w:style w:type="paragraph" w:customStyle="1" w:styleId="53">
    <w:name w:val="样式 正文首行缩进 + 首行缩进:  2 字符1 Char Char"/>
    <w:basedOn w:val="1"/>
    <w:qFormat/>
    <w:uiPriority w:val="0"/>
    <w:pPr>
      <w:adjustRightInd w:val="0"/>
      <w:spacing w:line="400" w:lineRule="exact"/>
      <w:ind w:firstLine="480" w:firstLineChars="200"/>
      <w:textAlignment w:val="baseline"/>
    </w:pPr>
    <w:rPr>
      <w:rFonts w:eastAsia="仿宋_GB2312"/>
      <w:color w:val="000000"/>
      <w:sz w:val="26"/>
    </w:rPr>
  </w:style>
  <w:style w:type="paragraph" w:customStyle="1" w:styleId="54">
    <w:name w:val="BodyText"/>
    <w:basedOn w:val="1"/>
    <w:next w:val="55"/>
    <w:qFormat/>
    <w:uiPriority w:val="0"/>
    <w:pPr>
      <w:spacing w:after="200" w:line="276" w:lineRule="auto"/>
      <w:textAlignment w:val="baseline"/>
    </w:pPr>
  </w:style>
  <w:style w:type="paragraph" w:customStyle="1" w:styleId="55">
    <w:name w:val="BodyText1I"/>
    <w:basedOn w:val="54"/>
    <w:qFormat/>
    <w:uiPriority w:val="0"/>
    <w:pPr>
      <w:spacing w:after="0"/>
    </w:pPr>
    <w:rPr>
      <w:kern w:val="0"/>
    </w:rPr>
  </w:style>
  <w:style w:type="paragraph" w:styleId="56">
    <w:name w:val="No Spacing"/>
    <w:qFormat/>
    <w:uiPriority w:val="1"/>
    <w:pPr>
      <w:widowControl w:val="0"/>
      <w:jc w:val="both"/>
    </w:pPr>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12119</Words>
  <Characters>12780</Characters>
  <Lines>191</Lines>
  <Paragraphs>53</Paragraphs>
  <TotalTime>6</TotalTime>
  <ScaleCrop>false</ScaleCrop>
  <LinksUpToDate>false</LinksUpToDate>
  <CharactersWithSpaces>13229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2022-06-20T08:39:00Z</dcterms:created>
  <dc:creator>Administrator</dc:creator>
  <cp:lastModifiedBy>一叶知秋</cp:lastModifiedBy>
  <cp:lastPrinted>2021-07-14T11:22:00Z</cp:lastPrinted>
  <dcterms:modified xsi:type="dcterms:W3CDTF">2026-07-30T02:16:23Z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3FAA2E53487642B9A96C001FE9247D32_13</vt:lpwstr>
  </property>
  <property fmtid="{D5CDD505-2E9C-101B-9397-08002B2CF9AE}" pid="4" name="KSOTemplateDocerSaveRecord">
    <vt:lpwstr>eyJoZGlkIjoiOTNmODYwY2I5ODVlYThiZGM2NTA0ZjYxYzhjYjRiYjUiLCJ1c2VySWQiOiI1NDM4NTA0OTkifQ==</vt:lpwstr>
  </property>
</Properties>
</file>