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both"/>
        <w:rPr>
          <w:rFonts w:ascii="宋体" w:hAnsi="宋体" w:cs="宋体"/>
          <w:b/>
          <w:bCs/>
          <w:color w:val="auto"/>
          <w:sz w:val="48"/>
          <w:szCs w:val="48"/>
          <w:highlight w:val="none"/>
        </w:rPr>
      </w:pPr>
      <w:bookmarkStart w:id="0" w:name="_Toc2127"/>
      <w:bookmarkStart w:id="1" w:name="_Toc31370"/>
      <w:bookmarkStart w:id="2" w:name="_Toc17591"/>
      <w:bookmarkStart w:id="3" w:name="_Toc31917"/>
      <w:bookmarkStart w:id="4" w:name="_Toc19609"/>
      <w:bookmarkStart w:id="5" w:name="_Toc16779"/>
      <w:bookmarkStart w:id="6" w:name="_Toc7408"/>
      <w:bookmarkStart w:id="7" w:name="_Toc30988"/>
    </w:p>
    <w:p>
      <w:pPr>
        <w:spacing w:line="720" w:lineRule="auto"/>
        <w:jc w:val="center"/>
        <w:rPr>
          <w:rFonts w:ascii="宋体" w:hAnsi="宋体" w:cs="宋体"/>
          <w:b/>
          <w:bCs/>
          <w:color w:val="auto"/>
          <w:sz w:val="48"/>
          <w:szCs w:val="48"/>
          <w:highlight w:val="none"/>
        </w:rPr>
      </w:pPr>
    </w:p>
    <w:bookmarkEnd w:id="0"/>
    <w:bookmarkEnd w:id="1"/>
    <w:bookmarkEnd w:id="2"/>
    <w:bookmarkEnd w:id="3"/>
    <w:bookmarkEnd w:id="4"/>
    <w:bookmarkEnd w:id="5"/>
    <w:bookmarkEnd w:id="6"/>
    <w:bookmarkEnd w:id="7"/>
    <w:p>
      <w:pPr>
        <w:spacing w:line="720" w:lineRule="auto"/>
        <w:jc w:val="center"/>
        <w:rPr>
          <w:rFonts w:hint="default" w:ascii="华文中宋" w:hAnsi="华文中宋" w:eastAsia="华文中宋" w:cs="华文中宋"/>
          <w:bCs/>
          <w:color w:val="auto"/>
          <w:sz w:val="48"/>
          <w:szCs w:val="48"/>
          <w:highlight w:val="none"/>
          <w:lang w:val="en-US" w:eastAsia="zh-CN"/>
        </w:rPr>
      </w:pPr>
      <w:r>
        <w:rPr>
          <w:rFonts w:hint="eastAsia" w:ascii="华文中宋" w:hAnsi="华文中宋" w:eastAsia="华文中宋" w:cs="华文中宋"/>
          <w:bCs/>
          <w:color w:val="auto"/>
          <w:sz w:val="48"/>
          <w:szCs w:val="48"/>
          <w:highlight w:val="none"/>
        </w:rPr>
        <w:t>重庆市</w:t>
      </w:r>
      <w:r>
        <w:rPr>
          <w:rFonts w:hint="eastAsia" w:ascii="华文中宋" w:hAnsi="华文中宋" w:eastAsia="华文中宋" w:cs="华文中宋"/>
          <w:bCs/>
          <w:color w:val="auto"/>
          <w:sz w:val="48"/>
          <w:szCs w:val="48"/>
          <w:highlight w:val="none"/>
          <w:lang w:val="en-US" w:eastAsia="zh-CN"/>
        </w:rPr>
        <w:t>沙坪坝区人民医院</w:t>
      </w:r>
    </w:p>
    <w:p>
      <w:pPr>
        <w:jc w:val="center"/>
        <w:rPr>
          <w:rFonts w:hint="eastAsia" w:ascii="华文中宋" w:hAnsi="华文中宋" w:eastAsia="华文中宋" w:cs="华文中宋"/>
          <w:bCs/>
          <w:color w:val="auto"/>
          <w:sz w:val="84"/>
          <w:szCs w:val="84"/>
          <w:highlight w:val="none"/>
        </w:rPr>
      </w:pPr>
      <w:r>
        <w:rPr>
          <w:rFonts w:hint="eastAsia" w:ascii="华文中宋" w:hAnsi="华文中宋" w:eastAsia="华文中宋" w:cs="华文中宋"/>
          <w:bCs/>
          <w:color w:val="auto"/>
          <w:sz w:val="84"/>
          <w:szCs w:val="84"/>
          <w:highlight w:val="none"/>
        </w:rPr>
        <w:t>网上竞采文件</w:t>
      </w:r>
    </w:p>
    <w:p>
      <w:pPr>
        <w:spacing w:line="72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w:t>
      </w:r>
      <w:r>
        <w:rPr>
          <w:rFonts w:hint="eastAsia" w:ascii="宋体" w:hAnsi="宋体" w:cs="宋体"/>
          <w:b/>
          <w:bCs/>
          <w:color w:val="auto"/>
          <w:sz w:val="52"/>
          <w:szCs w:val="52"/>
          <w:highlight w:val="none"/>
          <w:lang w:val="en-US" w:eastAsia="zh-CN"/>
        </w:rPr>
        <w:t>最低价</w:t>
      </w:r>
      <w:r>
        <w:rPr>
          <w:rFonts w:hint="eastAsia" w:ascii="宋体" w:hAnsi="宋体" w:cs="宋体"/>
          <w:b/>
          <w:bCs/>
          <w:color w:val="auto"/>
          <w:sz w:val="52"/>
          <w:szCs w:val="52"/>
          <w:highlight w:val="none"/>
        </w:rPr>
        <w:t>评审法）</w:t>
      </w:r>
    </w:p>
    <w:p>
      <w:pPr>
        <w:rPr>
          <w:rFonts w:ascii="宋体" w:hAnsi="宋体" w:cs="宋体"/>
          <w:color w:val="auto"/>
          <w:sz w:val="32"/>
          <w:highlight w:val="none"/>
        </w:rPr>
      </w:pPr>
    </w:p>
    <w:p>
      <w:pPr>
        <w:spacing w:line="480" w:lineRule="auto"/>
        <w:ind w:firstLine="723" w:firstLineChars="200"/>
        <w:rPr>
          <w:rFonts w:ascii="宋体" w:hAnsi="宋体" w:cs="宋体"/>
          <w:b/>
          <w:color w:val="auto"/>
          <w:sz w:val="36"/>
          <w:szCs w:val="30"/>
          <w:highlight w:val="none"/>
        </w:rPr>
      </w:pPr>
    </w:p>
    <w:p>
      <w:pPr>
        <w:spacing w:line="480" w:lineRule="auto"/>
        <w:ind w:firstLine="723" w:firstLineChars="200"/>
        <w:rPr>
          <w:rFonts w:hint="eastAsia" w:ascii="宋体" w:hAnsi="宋体"/>
          <w:bCs/>
          <w:snapToGrid w:val="0"/>
          <w:color w:val="auto"/>
          <w:kern w:val="0"/>
          <w:sz w:val="36"/>
          <w:szCs w:val="36"/>
          <w:highlight w:val="none"/>
          <w:lang w:val="en-US" w:eastAsia="zh-CN"/>
        </w:rPr>
      </w:pPr>
      <w:r>
        <w:rPr>
          <w:rFonts w:hint="eastAsia" w:ascii="宋体" w:hAnsi="宋体" w:cs="宋体"/>
          <w:b/>
          <w:color w:val="auto"/>
          <w:sz w:val="36"/>
          <w:szCs w:val="30"/>
          <w:highlight w:val="none"/>
        </w:rPr>
        <w:t>项目名称：</w:t>
      </w:r>
      <w:r>
        <w:rPr>
          <w:rFonts w:hint="eastAsia" w:ascii="宋体" w:hAnsi="宋体" w:cs="宋体"/>
          <w:b/>
          <w:color w:val="auto"/>
          <w:sz w:val="36"/>
          <w:szCs w:val="30"/>
          <w:highlight w:val="none"/>
          <w:lang w:val="en-US" w:eastAsia="zh-CN"/>
        </w:rPr>
        <w:t xml:space="preserve"> </w:t>
      </w:r>
      <w:r>
        <w:rPr>
          <w:rFonts w:hint="eastAsia" w:ascii="宋体" w:hAnsi="宋体"/>
          <w:bCs/>
          <w:snapToGrid w:val="0"/>
          <w:color w:val="auto"/>
          <w:kern w:val="0"/>
          <w:sz w:val="36"/>
          <w:szCs w:val="36"/>
          <w:highlight w:val="none"/>
          <w:lang w:val="en-US" w:eastAsia="zh-CN"/>
        </w:rPr>
        <w:t>重庆市沙坪坝区人民医院</w:t>
      </w:r>
    </w:p>
    <w:p>
      <w:pPr>
        <w:spacing w:line="480" w:lineRule="auto"/>
        <w:ind w:firstLine="2880" w:firstLineChars="800"/>
        <w:rPr>
          <w:rFonts w:hint="default" w:ascii="宋体" w:hAnsi="宋体" w:eastAsia="宋体"/>
          <w:bCs/>
          <w:snapToGrid w:val="0"/>
          <w:color w:val="auto"/>
          <w:kern w:val="0"/>
          <w:sz w:val="36"/>
          <w:szCs w:val="36"/>
          <w:highlight w:val="none"/>
          <w:lang w:val="en-US" w:eastAsia="zh-CN"/>
        </w:rPr>
      </w:pPr>
      <w:r>
        <w:rPr>
          <w:rFonts w:hint="eastAsia" w:ascii="宋体" w:hAnsi="宋体" w:eastAsia="宋体"/>
          <w:bCs/>
          <w:snapToGrid w:val="0"/>
          <w:color w:val="auto"/>
          <w:kern w:val="0"/>
          <w:sz w:val="36"/>
          <w:szCs w:val="36"/>
          <w:highlight w:val="none"/>
          <w:lang w:val="en-US" w:eastAsia="zh-CN"/>
        </w:rPr>
        <w:t>DRG临床（费用）路径管理系统</w:t>
      </w:r>
    </w:p>
    <w:p>
      <w:pPr>
        <w:ind w:firstLine="723" w:firstLineChars="200"/>
        <w:rPr>
          <w:rFonts w:hint="default"/>
          <w:color w:val="auto"/>
          <w:highlight w:val="none"/>
          <w:lang w:val="en-US"/>
        </w:rPr>
      </w:pPr>
      <w:r>
        <w:rPr>
          <w:rFonts w:hint="eastAsia" w:ascii="宋体" w:hAnsi="宋体" w:cs="宋体"/>
          <w:b/>
          <w:color w:val="auto"/>
          <w:sz w:val="36"/>
          <w:szCs w:val="30"/>
          <w:highlight w:val="none"/>
        </w:rPr>
        <w:t>项目计划号：</w:t>
      </w:r>
      <w:r>
        <w:rPr>
          <w:rFonts w:hint="eastAsia" w:ascii="宋体" w:hAnsi="宋体"/>
          <w:bCs/>
          <w:snapToGrid w:val="0"/>
          <w:color w:val="auto"/>
          <w:kern w:val="0"/>
          <w:sz w:val="36"/>
          <w:szCs w:val="36"/>
          <w:highlight w:val="none"/>
        </w:rPr>
        <w:t>YN202</w:t>
      </w:r>
      <w:r>
        <w:rPr>
          <w:rFonts w:hint="eastAsia" w:ascii="宋体" w:hAnsi="宋体"/>
          <w:bCs/>
          <w:snapToGrid w:val="0"/>
          <w:color w:val="auto"/>
          <w:kern w:val="0"/>
          <w:sz w:val="36"/>
          <w:szCs w:val="36"/>
          <w:highlight w:val="none"/>
          <w:lang w:val="en-US" w:eastAsia="zh-CN"/>
        </w:rPr>
        <w:t>5</w:t>
      </w:r>
      <w:r>
        <w:rPr>
          <w:rFonts w:hint="eastAsia" w:ascii="宋体" w:hAnsi="宋体"/>
          <w:bCs/>
          <w:snapToGrid w:val="0"/>
          <w:color w:val="auto"/>
          <w:kern w:val="0"/>
          <w:sz w:val="36"/>
          <w:szCs w:val="36"/>
          <w:highlight w:val="none"/>
        </w:rPr>
        <w:t>H</w:t>
      </w:r>
      <w:r>
        <w:rPr>
          <w:rFonts w:hint="eastAsia" w:ascii="宋体" w:hAnsi="宋体"/>
          <w:bCs/>
          <w:snapToGrid w:val="0"/>
          <w:color w:val="auto"/>
          <w:kern w:val="0"/>
          <w:sz w:val="36"/>
          <w:szCs w:val="36"/>
          <w:highlight w:val="none"/>
          <w:lang w:val="en-US" w:eastAsia="zh-CN"/>
        </w:rPr>
        <w:t>17</w:t>
      </w:r>
      <w:r>
        <w:rPr>
          <w:rFonts w:hint="eastAsia" w:ascii="宋体" w:hAnsi="宋体"/>
          <w:bCs/>
          <w:snapToGrid w:val="0"/>
          <w:color w:val="auto"/>
          <w:kern w:val="0"/>
          <w:sz w:val="36"/>
          <w:szCs w:val="36"/>
          <w:highlight w:val="none"/>
        </w:rPr>
        <w:t>-</w:t>
      </w:r>
      <w:r>
        <w:rPr>
          <w:rFonts w:hint="eastAsia" w:ascii="宋体" w:hAnsi="宋体"/>
          <w:bCs/>
          <w:snapToGrid w:val="0"/>
          <w:color w:val="auto"/>
          <w:kern w:val="0"/>
          <w:sz w:val="36"/>
          <w:szCs w:val="36"/>
          <w:highlight w:val="none"/>
          <w:lang w:val="en-US" w:eastAsia="zh-CN"/>
        </w:rPr>
        <w:t>139638</w:t>
      </w:r>
    </w:p>
    <w:p>
      <w:pPr>
        <w:spacing w:line="360" w:lineRule="auto"/>
        <w:ind w:firstLine="723" w:firstLineChars="200"/>
        <w:rPr>
          <w:rFonts w:ascii="宋体" w:hAnsi="宋体" w:cs="宋体"/>
          <w:b/>
          <w:color w:val="auto"/>
          <w:sz w:val="36"/>
          <w:highlight w:val="none"/>
        </w:rPr>
      </w:pPr>
      <w:r>
        <w:rPr>
          <w:rFonts w:hint="eastAsia" w:ascii="宋体" w:hAnsi="宋体" w:cs="宋体"/>
          <w:b/>
          <w:color w:val="auto"/>
          <w:sz w:val="36"/>
          <w:highlight w:val="none"/>
        </w:rPr>
        <w:t>采购人：重庆市沙坪坝区人民医院</w:t>
      </w:r>
    </w:p>
    <w:p>
      <w:pPr>
        <w:spacing w:line="360" w:lineRule="auto"/>
        <w:ind w:firstLine="2891" w:firstLineChars="800"/>
        <w:jc w:val="both"/>
        <w:rPr>
          <w:rFonts w:ascii="宋体" w:hAnsi="宋体" w:cs="宋体"/>
          <w:b/>
          <w:color w:val="auto"/>
          <w:sz w:val="36"/>
          <w:szCs w:val="36"/>
          <w:highlight w:val="none"/>
        </w:rPr>
      </w:pPr>
      <w:r>
        <w:rPr>
          <w:rFonts w:hint="eastAsia"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 xml:space="preserve">年 </w:t>
      </w:r>
      <w:r>
        <w:rPr>
          <w:rFonts w:hint="eastAsia" w:ascii="宋体" w:hAnsi="宋体" w:cs="宋体"/>
          <w:b/>
          <w:color w:val="auto"/>
          <w:sz w:val="36"/>
          <w:szCs w:val="36"/>
          <w:highlight w:val="none"/>
          <w:lang w:val="en-US" w:eastAsia="zh-CN"/>
        </w:rPr>
        <w:t>6</w:t>
      </w:r>
      <w:r>
        <w:rPr>
          <w:rFonts w:hint="eastAsia" w:ascii="宋体" w:hAnsi="宋体" w:cs="宋体"/>
          <w:b/>
          <w:color w:val="auto"/>
          <w:sz w:val="36"/>
          <w:szCs w:val="36"/>
          <w:highlight w:val="none"/>
        </w:rPr>
        <w:t>月</w:t>
      </w:r>
      <w:bookmarkStart w:id="100" w:name="_GoBack"/>
      <w:bookmarkEnd w:id="100"/>
    </w:p>
    <w:p>
      <w:pPr>
        <w:spacing w:line="360" w:lineRule="auto"/>
        <w:jc w:val="center"/>
        <w:rPr>
          <w:rFonts w:ascii="微软雅黑" w:hAnsi="华文中宋" w:eastAsia="微软雅黑"/>
          <w:color w:val="auto"/>
          <w:sz w:val="44"/>
          <w:szCs w:val="44"/>
          <w:highlight w:val="none"/>
        </w:rPr>
      </w:pPr>
    </w:p>
    <w:p>
      <w:pPr>
        <w:spacing w:line="360" w:lineRule="auto"/>
        <w:jc w:val="center"/>
        <w:rPr>
          <w:rFonts w:ascii="微软雅黑" w:hAnsi="华文中宋" w:eastAsia="微软雅黑"/>
          <w:color w:val="auto"/>
          <w:sz w:val="44"/>
          <w:szCs w:val="44"/>
          <w:highlight w:val="none"/>
        </w:rPr>
      </w:pPr>
    </w:p>
    <w:p>
      <w:pPr>
        <w:pStyle w:val="2"/>
      </w:pPr>
    </w:p>
    <w:p>
      <w:pPr>
        <w:spacing w:line="360" w:lineRule="auto"/>
        <w:jc w:val="center"/>
        <w:rPr>
          <w:rFonts w:ascii="微软雅黑" w:hAnsi="华文中宋" w:eastAsia="微软雅黑"/>
          <w:color w:val="auto"/>
          <w:sz w:val="44"/>
          <w:szCs w:val="44"/>
          <w:highlight w:val="none"/>
        </w:rPr>
      </w:pPr>
      <w:r>
        <w:rPr>
          <w:rFonts w:hint="eastAsia" w:ascii="微软雅黑" w:hAnsi="华文中宋" w:eastAsia="微软雅黑"/>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"_Toc24060" </w:instrText>
      </w:r>
      <w:r>
        <w:rPr>
          <w:color w:val="auto"/>
          <w:highlight w:val="none"/>
        </w:rPr>
        <w:fldChar w:fldCharType="separate"/>
      </w:r>
      <w:r>
        <w:rPr>
          <w:rFonts w:hint="eastAsia"/>
          <w:color w:val="auto"/>
          <w:highlight w:val="none"/>
        </w:rPr>
        <w:t>第一篇  竞价采购公告</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color w:val="auto"/>
          <w:highlight w:val="none"/>
        </w:rPr>
      </w:pPr>
      <w:r>
        <w:rPr>
          <w:color w:val="auto"/>
          <w:highlight w:val="none"/>
        </w:rPr>
        <w:fldChar w:fldCharType="begin"/>
      </w:r>
      <w:r>
        <w:rPr>
          <w:color w:val="auto"/>
          <w:highlight w:val="none"/>
        </w:rPr>
        <w:instrText xml:space="preserve"> HYPERLINK \l "_Toc2011" </w:instrText>
      </w:r>
      <w:r>
        <w:rPr>
          <w:color w:val="auto"/>
          <w:highlight w:val="none"/>
        </w:rPr>
        <w:fldChar w:fldCharType="separate"/>
      </w:r>
      <w:r>
        <w:rPr>
          <w:rFonts w:hint="eastAsia"/>
          <w:color w:val="auto"/>
          <w:highlight w:val="none"/>
        </w:rPr>
        <w:t>第二篇  采购项目需求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color w:val="auto"/>
          <w:highlight w:val="none"/>
        </w:rPr>
        <w:fldChar w:fldCharType="begin"/>
      </w:r>
      <w:r>
        <w:rPr>
          <w:color w:val="auto"/>
          <w:highlight w:val="none"/>
        </w:rPr>
        <w:instrText xml:space="preserve"> HYPERLINK \l "_Toc17673" </w:instrText>
      </w:r>
      <w:r>
        <w:rPr>
          <w:color w:val="auto"/>
          <w:highlight w:val="none"/>
        </w:rPr>
        <w:fldChar w:fldCharType="separate"/>
      </w:r>
      <w:r>
        <w:rPr>
          <w:rFonts w:hint="eastAsia"/>
          <w:color w:val="auto"/>
          <w:highlight w:val="none"/>
        </w:rPr>
        <w:t>第三篇  项目商务需求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eastAsia="宋体"/>
          <w:color w:val="auto"/>
          <w:highlight w:val="none"/>
          <w:lang w:eastAsia="zh-CN"/>
        </w:rPr>
      </w:pPr>
      <w:r>
        <w:rPr>
          <w:rFonts w:hint="eastAsia"/>
          <w:color w:val="auto"/>
          <w:highlight w:val="none"/>
        </w:rPr>
        <w:t>第</w:t>
      </w:r>
      <w:r>
        <w:rPr>
          <w:rFonts w:hint="eastAsia"/>
          <w:color w:val="auto"/>
          <w:highlight w:val="none"/>
          <w:lang w:val="en-US" w:eastAsia="zh-CN"/>
        </w:rPr>
        <w:t>四篇</w:t>
      </w:r>
      <w:r>
        <w:rPr>
          <w:rFonts w:hint="eastAsia"/>
          <w:color w:val="auto"/>
          <w:highlight w:val="none"/>
        </w:rPr>
        <w:t xml:space="preserve">  合同主要条款和格式合同</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"_Toc25600" </w:instrText>
      </w:r>
      <w:r>
        <w:rPr>
          <w:rFonts w:hint="eastAsia"/>
          <w:color w:val="auto"/>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篇  响应文件格式要求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ascii="宋体" w:hAnsi="宋体"/>
          <w:color w:val="auto"/>
          <w:sz w:val="30"/>
          <w:szCs w:val="30"/>
          <w:highlight w:val="none"/>
        </w:rPr>
        <w:sectPr>
          <w:footerReference r:id="rId3" w:type="default"/>
          <w:pgSz w:w="11907" w:h="16840"/>
          <w:pgMar w:top="1440" w:right="1559" w:bottom="1440" w:left="1560" w:header="993" w:footer="992" w:gutter="0"/>
          <w:pgNumType w:fmt="numberInDash" w:start="1"/>
          <w:cols w:space="720" w:num="1"/>
          <w:titlePg/>
          <w:docGrid w:type="lines" w:linePitch="380" w:charSpace="-5735"/>
        </w:sectPr>
      </w:pPr>
      <w:r>
        <w:rPr>
          <w:rFonts w:hint="eastAsia"/>
          <w:color w:val="auto"/>
          <w:highlight w:val="none"/>
        </w:rPr>
        <w:fldChar w:fldCharType="end"/>
      </w:r>
    </w:p>
    <w:p>
      <w:pPr>
        <w:pStyle w:val="4"/>
        <w:jc w:val="center"/>
        <w:rPr>
          <w:rFonts w:ascii="宋体" w:hAnsi="宋体" w:cs="仿宋_GB2312"/>
          <w:color w:val="auto"/>
          <w:sz w:val="36"/>
          <w:szCs w:val="36"/>
          <w:highlight w:val="none"/>
        </w:rPr>
      </w:pPr>
      <w:bookmarkStart w:id="8" w:name="_Toc152480139"/>
      <w:bookmarkStart w:id="9" w:name="_Toc24060"/>
      <w:bookmarkStart w:id="10" w:name="_Toc109056840"/>
      <w:bookmarkStart w:id="11" w:name="_Toc4745"/>
      <w:bookmarkStart w:id="12" w:name="_Toc1363"/>
      <w:bookmarkStart w:id="13" w:name="_Toc7648"/>
      <w:bookmarkStart w:id="14" w:name="_Toc12680"/>
      <w:bookmarkStart w:id="15" w:name="_Toc521661359"/>
      <w:r>
        <w:rPr>
          <w:rFonts w:hint="eastAsia" w:ascii="宋体" w:hAnsi="宋体" w:cs="仿宋_GB2312"/>
          <w:color w:val="auto"/>
          <w:sz w:val="36"/>
          <w:szCs w:val="36"/>
          <w:highlight w:val="none"/>
        </w:rPr>
        <w:t xml:space="preserve">第一篇  </w:t>
      </w:r>
      <w:bookmarkEnd w:id="8"/>
      <w:r>
        <w:rPr>
          <w:rFonts w:hint="eastAsia" w:ascii="宋体" w:hAnsi="宋体" w:cs="仿宋_GB2312"/>
          <w:color w:val="auto"/>
          <w:sz w:val="36"/>
          <w:szCs w:val="36"/>
          <w:highlight w:val="none"/>
        </w:rPr>
        <w:t>竞价采购公告</w:t>
      </w:r>
      <w:bookmarkEnd w:id="9"/>
      <w:bookmarkEnd w:id="10"/>
    </w:p>
    <w:p>
      <w:pPr>
        <w:pStyle w:val="5"/>
        <w:spacing w:before="0" w:after="0" w:line="312" w:lineRule="auto"/>
        <w:jc w:val="left"/>
        <w:rPr>
          <w:rFonts w:ascii="宋体" w:hAnsi="宋体" w:cs="宋体"/>
          <w:color w:val="auto"/>
          <w:sz w:val="30"/>
          <w:szCs w:val="30"/>
          <w:highlight w:val="none"/>
        </w:rPr>
      </w:pPr>
      <w:bookmarkStart w:id="16" w:name="_Toc8905"/>
      <w:r>
        <w:rPr>
          <w:rFonts w:hint="eastAsia" w:ascii="宋体" w:hAnsi="宋体" w:cs="宋体"/>
          <w:color w:val="auto"/>
          <w:sz w:val="30"/>
          <w:szCs w:val="30"/>
          <w:highlight w:val="none"/>
        </w:rPr>
        <w:t>一、竞价采购内容</w:t>
      </w:r>
      <w:bookmarkEnd w:id="16"/>
    </w:p>
    <w:tbl>
      <w:tblPr>
        <w:tblStyle w:val="5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1545"/>
        <w:gridCol w:w="1464"/>
        <w:gridCol w:w="135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19"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54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最高限价</w:t>
            </w:r>
          </w:p>
        </w:tc>
        <w:tc>
          <w:tcPr>
            <w:tcW w:w="1464"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单位</w:t>
            </w:r>
          </w:p>
        </w:tc>
        <w:tc>
          <w:tcPr>
            <w:tcW w:w="1352"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2947"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3319"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重庆市沙坪坝区人民医院</w:t>
            </w:r>
          </w:p>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DRG费用路径管理系统服务</w:t>
            </w:r>
          </w:p>
          <w:p>
            <w:pPr>
              <w:widowControl/>
              <w:spacing w:line="360" w:lineRule="auto"/>
              <w:ind w:firstLine="240" w:firstLineChars="100"/>
              <w:jc w:val="center"/>
              <w:rPr>
                <w:rFonts w:hint="default" w:ascii="宋体" w:hAnsi="宋体" w:cs="宋体"/>
                <w:color w:val="auto"/>
                <w:kern w:val="0"/>
                <w:sz w:val="24"/>
                <w:szCs w:val="24"/>
                <w:highlight w:val="none"/>
                <w:lang w:val="en-US"/>
              </w:rPr>
            </w:pPr>
          </w:p>
        </w:tc>
        <w:tc>
          <w:tcPr>
            <w:tcW w:w="154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 xml:space="preserve"> </w:t>
            </w:r>
          </w:p>
          <w:p>
            <w:pPr>
              <w:widowControl/>
              <w:jc w:val="center"/>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195000元</w:t>
            </w:r>
          </w:p>
          <w:p>
            <w:pPr>
              <w:widowControl/>
              <w:jc w:val="left"/>
              <w:rPr>
                <w:rFonts w:hint="default" w:ascii="宋体" w:hAnsi="宋体" w:eastAsia="宋体" w:cs="宋体"/>
                <w:color w:val="auto"/>
                <w:kern w:val="0"/>
                <w:sz w:val="21"/>
                <w:szCs w:val="21"/>
                <w:highlight w:val="none"/>
                <w:lang w:val="en-US" w:eastAsia="zh-CN"/>
              </w:rPr>
            </w:pPr>
          </w:p>
        </w:tc>
        <w:tc>
          <w:tcPr>
            <w:tcW w:w="1464"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1套</w:t>
            </w:r>
          </w:p>
        </w:tc>
        <w:tc>
          <w:tcPr>
            <w:tcW w:w="1352"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自筹</w:t>
            </w:r>
          </w:p>
        </w:tc>
        <w:tc>
          <w:tcPr>
            <w:tcW w:w="2947"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人民币报价：</w:t>
            </w:r>
            <w:r>
              <w:rPr>
                <w:rFonts w:hint="eastAsia" w:ascii="宋体" w:hAnsi="宋体" w:eastAsia="宋体" w:cs="宋体"/>
                <w:kern w:val="0"/>
                <w:sz w:val="22"/>
                <w:szCs w:val="22"/>
                <w:lang w:val="en-US" w:eastAsia="zh-CN" w:bidi="ar"/>
              </w:rPr>
              <w:t>费用包含：</w:t>
            </w:r>
            <w:r>
              <w:rPr>
                <w:rFonts w:hint="eastAsia" w:ascii="宋体" w:hAnsi="宋体" w:eastAsia="宋体" w:cs="宋体"/>
                <w:color w:val="auto"/>
                <w:kern w:val="0"/>
                <w:sz w:val="22"/>
                <w:szCs w:val="22"/>
                <w:lang w:eastAsia="zh-CN" w:bidi="ar"/>
              </w:rPr>
              <w:t>软件系统</w:t>
            </w:r>
            <w:r>
              <w:rPr>
                <w:rFonts w:hint="eastAsia" w:ascii="宋体" w:hAnsi="宋体" w:eastAsia="宋体" w:cs="宋体"/>
                <w:color w:val="auto"/>
                <w:kern w:val="0"/>
                <w:sz w:val="22"/>
                <w:szCs w:val="22"/>
                <w:lang w:bidi="ar"/>
              </w:rPr>
              <w:t>费、</w:t>
            </w:r>
            <w:r>
              <w:rPr>
                <w:rFonts w:hint="eastAsia" w:ascii="宋体" w:hAnsi="宋体" w:eastAsia="宋体" w:cs="宋体"/>
                <w:color w:val="auto"/>
                <w:kern w:val="0"/>
                <w:sz w:val="22"/>
                <w:szCs w:val="22"/>
                <w:lang w:eastAsia="zh-CN" w:bidi="ar"/>
              </w:rPr>
              <w:t>及系统集成费</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接口费、</w:t>
            </w:r>
            <w:r>
              <w:rPr>
                <w:rFonts w:hint="eastAsia" w:ascii="宋体" w:hAnsi="宋体" w:eastAsia="宋体" w:cs="宋体"/>
                <w:color w:val="auto"/>
                <w:kern w:val="0"/>
                <w:sz w:val="22"/>
                <w:szCs w:val="22"/>
                <w:lang w:bidi="ar"/>
              </w:rPr>
              <w:t>人工费、通讯费、培训费、各种应纳的税费等</w:t>
            </w:r>
            <w:r>
              <w:rPr>
                <w:rFonts w:hint="eastAsia" w:ascii="宋体" w:hAnsi="宋体" w:eastAsia="宋体" w:cs="宋体"/>
                <w:color w:val="auto"/>
                <w:kern w:val="0"/>
                <w:sz w:val="22"/>
                <w:szCs w:val="22"/>
                <w:lang w:eastAsia="zh-CN" w:bidi="ar"/>
              </w:rPr>
              <w:t>。</w:t>
            </w:r>
          </w:p>
        </w:tc>
      </w:tr>
    </w:tbl>
    <w:p>
      <w:pPr>
        <w:pStyle w:val="5"/>
        <w:spacing w:before="0" w:after="0" w:line="360" w:lineRule="auto"/>
        <w:rPr>
          <w:rFonts w:ascii="宋体" w:hAnsi="宋体" w:cs="宋体"/>
          <w:b w:val="0"/>
          <w:bCs/>
          <w:color w:val="auto"/>
          <w:sz w:val="30"/>
          <w:szCs w:val="30"/>
          <w:highlight w:val="none"/>
        </w:rPr>
      </w:pPr>
      <w:bookmarkStart w:id="17" w:name="_Toc32699"/>
      <w:r>
        <w:rPr>
          <w:rFonts w:hint="eastAsia" w:ascii="宋体" w:hAnsi="宋体" w:cs="宋体"/>
          <w:color w:val="auto"/>
          <w:sz w:val="30"/>
          <w:szCs w:val="30"/>
          <w:highlight w:val="none"/>
        </w:rPr>
        <w:t>二、竞价资格条件</w:t>
      </w:r>
      <w:bookmarkEnd w:id="17"/>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w:t>
      </w:r>
      <w:r>
        <w:rPr>
          <w:rFonts w:hint="eastAsia" w:ascii="宋体" w:hAnsi="宋体" w:cs="仿宋_GB2312"/>
          <w:color w:val="auto"/>
          <w:sz w:val="24"/>
          <w:szCs w:val="24"/>
          <w:highlight w:val="none"/>
          <w:lang w:val="en-US" w:eastAsia="zh-CN"/>
        </w:rPr>
        <w:t>基本</w:t>
      </w:r>
      <w:r>
        <w:rPr>
          <w:rFonts w:hint="eastAsia" w:ascii="宋体" w:hAnsi="宋体" w:cs="仿宋_GB2312"/>
          <w:color w:val="auto"/>
          <w:sz w:val="24"/>
          <w:szCs w:val="24"/>
          <w:highlight w:val="none"/>
        </w:rPr>
        <w:t>资格条件</w:t>
      </w:r>
    </w:p>
    <w:p>
      <w:pPr>
        <w:snapToGrid w:val="0"/>
        <w:spacing w:line="360" w:lineRule="auto"/>
        <w:ind w:firstLine="480" w:firstLineChars="200"/>
      </w:pPr>
      <w:r>
        <w:rPr>
          <w:rFonts w:hint="eastAsia" w:ascii="宋体" w:hAnsi="宋体" w:eastAsia="宋体" w:cs="仿宋_GB2312"/>
          <w:color w:val="auto"/>
          <w:sz w:val="24"/>
          <w:szCs w:val="24"/>
          <w:highlight w:val="none"/>
          <w:lang w:val="en-US" w:eastAsia="zh-CN"/>
        </w:rPr>
        <w:t>1.</w:t>
      </w:r>
      <w:r>
        <w:rPr>
          <w:rFonts w:hint="eastAsia" w:ascii="宋体" w:hAnsi="宋体" w:eastAsia="宋体" w:cs="仿宋_GB2312"/>
          <w:color w:val="auto"/>
          <w:sz w:val="24"/>
          <w:szCs w:val="24"/>
          <w:highlight w:val="none"/>
        </w:rPr>
        <w:t>具备《政府采购法》第二十二条规定的条件；</w:t>
      </w:r>
    </w:p>
    <w:p>
      <w:pPr>
        <w:snapToGrid w:val="0"/>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eastAsia="宋体" w:cs="仿宋_GB2312"/>
          <w:color w:val="auto"/>
          <w:sz w:val="24"/>
          <w:szCs w:val="24"/>
          <w:highlight w:val="none"/>
        </w:rPr>
        <w:t>具有独立承担民事责任的能力；</w:t>
      </w:r>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提供</w:t>
      </w:r>
      <w:r>
        <w:rPr>
          <w:rFonts w:hint="eastAsia" w:ascii="宋体" w:hAnsi="宋体" w:eastAsia="宋体" w:cs="仿宋_GB2312"/>
          <w:color w:val="auto"/>
          <w:sz w:val="24"/>
          <w:szCs w:val="24"/>
          <w:highlight w:val="none"/>
        </w:rPr>
        <w:t>供应商法人营业执照（三证合一）复印件；供应商法定代表人身份证明</w:t>
      </w:r>
      <w:r>
        <w:rPr>
          <w:rFonts w:hint="eastAsia" w:ascii="宋体" w:hAnsi="宋体" w:cs="仿宋_GB2312"/>
          <w:color w:val="auto"/>
          <w:sz w:val="24"/>
          <w:szCs w:val="24"/>
          <w:highlight w:val="none"/>
          <w:lang w:val="en-US" w:eastAsia="zh-CN"/>
        </w:rPr>
        <w:t>或</w:t>
      </w:r>
      <w:r>
        <w:rPr>
          <w:rFonts w:hint="eastAsia" w:ascii="宋体" w:hAnsi="宋体" w:eastAsia="宋体" w:cs="仿宋_GB2312"/>
          <w:color w:val="auto"/>
          <w:sz w:val="24"/>
          <w:szCs w:val="24"/>
          <w:highlight w:val="none"/>
        </w:rPr>
        <w:t>法定代表人授权代表委托书；</w:t>
      </w:r>
    </w:p>
    <w:p>
      <w:pPr>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供应商以书面形式提供规定格式的《基本资格条件承诺函》</w:t>
      </w:r>
      <w:r>
        <w:rPr>
          <w:rFonts w:hint="eastAsia" w:ascii="宋体" w:hAnsi="宋体" w:cs="宋体"/>
          <w:color w:val="auto"/>
          <w:kern w:val="2"/>
          <w:sz w:val="24"/>
          <w:szCs w:val="24"/>
          <w:highlight w:val="none"/>
          <w:lang w:val="en-US" w:eastAsia="zh-CN" w:bidi="ar-SA"/>
        </w:rPr>
        <w:t>。</w:t>
      </w:r>
    </w:p>
    <w:p>
      <w:pPr>
        <w:snapToGrid w:val="0"/>
        <w:spacing w:line="360" w:lineRule="auto"/>
        <w:ind w:firstLine="480"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 xml:space="preserve">（二）特定资格条件 </w:t>
      </w:r>
    </w:p>
    <w:p>
      <w:pPr>
        <w:numPr>
          <w:ilvl w:val="0"/>
          <w:numId w:val="0"/>
        </w:numPr>
        <w:snapToGrid w:val="0"/>
        <w:spacing w:line="360" w:lineRule="auto"/>
        <w:ind w:firstLine="1200" w:firstLineChars="500"/>
        <w:rPr>
          <w:rFonts w:hint="eastAsia" w:ascii="宋体" w:hAnsi="宋体" w:eastAsia="宋体" w:cs="宋体"/>
          <w:color w:val="auto"/>
          <w:kern w:val="2"/>
          <w:sz w:val="24"/>
          <w:szCs w:val="24"/>
          <w:highlight w:val="none"/>
          <w:lang w:val="en-US" w:eastAsia="zh-CN" w:bidi="ar-SA"/>
        </w:rPr>
      </w:pPr>
      <w:bookmarkStart w:id="18" w:name="OLE_LINK2"/>
      <w:bookmarkStart w:id="19" w:name="_Toc107392563"/>
      <w:bookmarkStart w:id="20" w:name="_Toc21511"/>
      <w:r>
        <w:rPr>
          <w:rFonts w:hint="eastAsia" w:ascii="宋体" w:hAnsi="宋体" w:cs="宋体"/>
          <w:color w:val="auto"/>
          <w:kern w:val="2"/>
          <w:sz w:val="24"/>
          <w:szCs w:val="24"/>
          <w:highlight w:val="none"/>
          <w:lang w:val="en-US" w:eastAsia="zh-CN" w:bidi="ar-SA"/>
        </w:rPr>
        <w:t>无</w:t>
      </w:r>
      <w:r>
        <w:rPr>
          <w:rFonts w:hint="eastAsia" w:ascii="宋体" w:hAnsi="宋体" w:eastAsia="宋体" w:cs="宋体"/>
          <w:color w:val="auto"/>
          <w:kern w:val="2"/>
          <w:sz w:val="24"/>
          <w:szCs w:val="24"/>
          <w:highlight w:val="none"/>
          <w:lang w:val="en-US" w:eastAsia="zh-CN" w:bidi="ar-SA"/>
        </w:rPr>
        <w:t>。</w:t>
      </w:r>
    </w:p>
    <w:bookmarkEnd w:id="18"/>
    <w:p>
      <w:pPr>
        <w:pStyle w:val="5"/>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三、</w:t>
      </w:r>
      <w:bookmarkEnd w:id="19"/>
      <w:r>
        <w:rPr>
          <w:rFonts w:hint="eastAsia" w:ascii="宋体" w:hAnsi="宋体" w:cs="宋体"/>
          <w:color w:val="auto"/>
          <w:sz w:val="30"/>
          <w:szCs w:val="30"/>
          <w:highlight w:val="none"/>
        </w:rPr>
        <w:t>竞价有关说明</w:t>
      </w:r>
      <w:bookmarkEnd w:id="20"/>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资料下载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eastAsia="宋体" w:cs="仿宋_GB2312"/>
          <w:color w:val="auto"/>
          <w:sz w:val="24"/>
          <w:szCs w:val="24"/>
          <w:highlight w:val="none"/>
        </w:rPr>
        <w:t>凡有意参加竞采的供应商，请于公告发布之日起至报名截止时间之前，请在“行采家”平台（https://www.gec123.com）进行注册并下载查看</w:t>
      </w:r>
      <w:r>
        <w:rPr>
          <w:rFonts w:hint="eastAsia" w:ascii="宋体" w:hAnsi="宋体" w:cs="仿宋_GB2312"/>
          <w:color w:val="auto"/>
          <w:sz w:val="24"/>
          <w:szCs w:val="24"/>
          <w:highlight w:val="none"/>
        </w:rPr>
        <w:t>本项目竞采文件以及变更公告等采购前公布的所有项目资料，无论供应商下载查看与否，均视为已知晓所有采购实质性要求内容。</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响应文件上传要求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供应商须按本项目规定时间在</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行采家</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平台（https://www.gec123.com）</w:t>
      </w:r>
      <w:r>
        <w:rPr>
          <w:rFonts w:hint="eastAsia" w:ascii="宋体" w:hAnsi="宋体" w:cs="仿宋_GB2312"/>
          <w:color w:val="auto"/>
          <w:sz w:val="24"/>
          <w:szCs w:val="24"/>
          <w:highlight w:val="none"/>
        </w:rPr>
        <w:t>报名并按要求上传响应文件，未按要求提供的视为无效供应商。</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无论竞采结果如何，供应商参与本项目的所有费用均自行承担。</w:t>
      </w:r>
    </w:p>
    <w:p>
      <w:pPr>
        <w:snapToGrid w:val="0"/>
        <w:spacing w:line="360" w:lineRule="auto"/>
        <w:rPr>
          <w:rFonts w:hint="eastAsia" w:ascii="宋体" w:hAnsi="宋体" w:cs="仿宋_GB2312"/>
          <w:color w:val="auto"/>
          <w:sz w:val="24"/>
          <w:szCs w:val="24"/>
          <w:highlight w:val="none"/>
        </w:rPr>
      </w:pPr>
      <w:bookmarkStart w:id="21" w:name="_Toc3624"/>
      <w:bookmarkStart w:id="22" w:name="_Toc109056844"/>
      <w:bookmarkStart w:id="23" w:name="_Toc101345639"/>
      <w:r>
        <w:rPr>
          <w:rFonts w:hint="eastAsia" w:ascii="宋体" w:hAnsi="宋体" w:eastAsia="宋体" w:cs="宋体"/>
          <w:b/>
          <w:color w:val="auto"/>
          <w:kern w:val="2"/>
          <w:sz w:val="30"/>
          <w:szCs w:val="30"/>
          <w:highlight w:val="none"/>
          <w:lang w:val="en-US" w:eastAsia="zh-CN" w:bidi="ar-SA"/>
        </w:rPr>
        <w:t>四、供应商提交响应文件</w:t>
      </w:r>
      <w:bookmarkEnd w:id="21"/>
      <w:bookmarkEnd w:id="22"/>
      <w:bookmarkEnd w:id="23"/>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供应商线上报名、报价时需上传盖鲜章后的电子文档一份。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供应商在系统中的报价与响应文件中的报价不一致时</w:t>
      </w:r>
      <w:r>
        <w:rPr>
          <w:rFonts w:ascii="宋体" w:hAnsi="宋体" w:cs="仿宋_GB2312"/>
          <w:color w:val="auto"/>
          <w:sz w:val="24"/>
          <w:szCs w:val="24"/>
          <w:highlight w:val="none"/>
        </w:rPr>
        <w:t>，</w:t>
      </w:r>
      <w:r>
        <w:rPr>
          <w:rFonts w:hint="eastAsia" w:ascii="宋体" w:hAnsi="宋体" w:cs="仿宋_GB2312"/>
          <w:color w:val="auto"/>
          <w:sz w:val="24"/>
          <w:szCs w:val="24"/>
          <w:highlight w:val="none"/>
        </w:rPr>
        <w:t>采购人将以系统中供应商的报价作为评判依据。</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3</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供应商只能有一个有效报价，供应商只能以自己单位名义提交响应文件。</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4.供应商制作的响应文件电子文档，须按照要求制作，规定签字、盖章的地方必须按规定签字、盖章，上传的文件需字迹清晰，未按要求制作响应文件的作废标处理。</w:t>
      </w:r>
    </w:p>
    <w:p>
      <w:pPr>
        <w:pStyle w:val="5"/>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五、报价要求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1.报价开始时间、报价截止时间、有效报价家数均以公告内容为准。</w:t>
      </w:r>
    </w:p>
    <w:p>
      <w:pPr>
        <w:snapToGrid w:val="0"/>
        <w:spacing w:line="360" w:lineRule="auto"/>
        <w:ind w:firstLine="480" w:firstLineChars="200"/>
        <w:rPr>
          <w:rFonts w:hint="eastAsia" w:ascii="宋体" w:hAnsi="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2.本次报价为包干价，包含但不限于：软件系统费、及系统集成费、接口费、人工费、通讯费、培训费、等各种应纳的税费等所有费用。</w:t>
      </w:r>
      <w:r>
        <w:rPr>
          <w:rFonts w:hint="eastAsia" w:ascii="宋体" w:hAnsi="宋体" w:cs="仿宋_GB2312"/>
          <w:color w:val="auto"/>
          <w:sz w:val="24"/>
          <w:szCs w:val="24"/>
          <w:highlight w:val="none"/>
          <w:lang w:val="en-US" w:eastAsia="zh-CN"/>
        </w:rPr>
        <w:t>因成</w:t>
      </w:r>
      <w:bookmarkStart w:id="24" w:name="OLE_LINK23"/>
      <w:r>
        <w:rPr>
          <w:rFonts w:hint="eastAsia" w:ascii="宋体" w:hAnsi="宋体" w:cs="仿宋_GB2312"/>
          <w:color w:val="auto"/>
          <w:sz w:val="24"/>
          <w:szCs w:val="24"/>
          <w:highlight w:val="none"/>
          <w:lang w:val="en-US" w:eastAsia="zh-CN"/>
        </w:rPr>
        <w:t>交供应商</w:t>
      </w:r>
      <w:bookmarkEnd w:id="24"/>
      <w:r>
        <w:rPr>
          <w:rFonts w:hint="eastAsia" w:ascii="宋体" w:hAnsi="宋体" w:cs="仿宋_GB2312"/>
          <w:color w:val="auto"/>
          <w:sz w:val="24"/>
          <w:szCs w:val="24"/>
          <w:highlight w:val="none"/>
          <w:lang w:val="en-US" w:eastAsia="zh-CN"/>
        </w:rPr>
        <w:t>自身原因造成漏报、少报皆由其自行承担责任，采购人不再补偿。</w:t>
      </w:r>
    </w:p>
    <w:p>
      <w:pPr>
        <w:pStyle w:val="5"/>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六、评选方法</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最低价评审法。采购人在符合审查的供应商中，手动确认报价</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折扣率</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最低的成为成交供应商。如供应商报价相同，则按出价时间先的为成交供应商。如报价</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折扣率</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、报价时间均相同，由采购人随机确定成交供应商。</w:t>
      </w:r>
    </w:p>
    <w:p>
      <w:pPr>
        <w:pStyle w:val="5"/>
        <w:spacing w:before="0" w:after="0" w:line="360" w:lineRule="auto"/>
        <w:rPr>
          <w:rFonts w:ascii="宋体" w:hAnsi="宋体" w:cs="宋体"/>
          <w:color w:val="auto"/>
          <w:sz w:val="30"/>
          <w:szCs w:val="30"/>
          <w:highlight w:val="none"/>
        </w:rPr>
      </w:pPr>
      <w:bookmarkStart w:id="25" w:name="_Toc4452"/>
      <w:r>
        <w:rPr>
          <w:rFonts w:hint="eastAsia" w:ascii="宋体" w:hAnsi="宋体" w:cs="宋体"/>
          <w:color w:val="auto"/>
          <w:sz w:val="30"/>
          <w:szCs w:val="30"/>
          <w:highlight w:val="none"/>
        </w:rPr>
        <w:t>七、竞价有关规定</w:t>
      </w:r>
      <w:bookmarkEnd w:id="25"/>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单位负责人为同一人或者存在直接控股、管理关系的不同供应商，不得参加同一合同项下的政府采购活动，否则均为无效响应。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rPr>
        <w:t>本项目的补遗文件（如果有）一律在“行采家”平台（https://www.gec123.com）上发布</w:t>
      </w:r>
      <w:r>
        <w:rPr>
          <w:rFonts w:hint="eastAsia" w:ascii="宋体" w:hAnsi="宋体" w:cs="仿宋_GB2312"/>
          <w:color w:val="auto"/>
          <w:sz w:val="24"/>
          <w:szCs w:val="24"/>
          <w:highlight w:val="none"/>
        </w:rPr>
        <w:t>，请各供应商注意下载；无论供应商下载与否，均视同供应商已知晓本项目补遗文件（如果有）的内容。</w:t>
      </w:r>
    </w:p>
    <w:p>
      <w:pPr>
        <w:pStyle w:val="5"/>
        <w:spacing w:before="0" w:after="0" w:line="360" w:lineRule="auto"/>
        <w:rPr>
          <w:rFonts w:ascii="宋体" w:hAnsi="宋体" w:cs="宋体"/>
          <w:color w:val="auto"/>
          <w:sz w:val="24"/>
          <w:szCs w:val="24"/>
          <w:highlight w:val="none"/>
        </w:rPr>
      </w:pPr>
      <w:bookmarkStart w:id="26" w:name="_Toc28045"/>
      <w:bookmarkStart w:id="27" w:name="_Toc109056847"/>
      <w:r>
        <w:rPr>
          <w:rFonts w:hint="eastAsia" w:ascii="宋体" w:hAnsi="宋体" w:cs="宋体"/>
          <w:color w:val="auto"/>
          <w:sz w:val="30"/>
          <w:szCs w:val="30"/>
          <w:highlight w:val="none"/>
        </w:rPr>
        <w:t>八、联系方式</w:t>
      </w:r>
      <w:bookmarkEnd w:id="26"/>
      <w:bookmarkEnd w:id="27"/>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采购人：重庆市沙坪坝区人民医院</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联系人：</w:t>
      </w:r>
      <w:r>
        <w:rPr>
          <w:rFonts w:hint="eastAsia" w:ascii="宋体" w:hAnsi="宋体" w:cs="仿宋_GB2312"/>
          <w:color w:val="auto"/>
          <w:sz w:val="24"/>
          <w:szCs w:val="24"/>
          <w:highlight w:val="none"/>
          <w:lang w:val="en-US" w:eastAsia="zh-CN"/>
        </w:rPr>
        <w:t>阮</w:t>
      </w:r>
      <w:r>
        <w:rPr>
          <w:rFonts w:hint="eastAsia" w:ascii="宋体" w:hAnsi="宋体" w:cs="仿宋_GB2312"/>
          <w:color w:val="auto"/>
          <w:sz w:val="24"/>
          <w:szCs w:val="24"/>
          <w:highlight w:val="none"/>
        </w:rPr>
        <w:t>老师</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电  话：65542556</w:t>
      </w:r>
    </w:p>
    <w:p>
      <w:pPr>
        <w:snapToGrid w:val="0"/>
        <w:spacing w:line="360" w:lineRule="auto"/>
        <w:ind w:firstLine="480" w:firstLineChars="200"/>
        <w:rPr>
          <w:rFonts w:ascii="宋体" w:hAnsi="宋体" w:cs="仿宋_GB2312"/>
          <w:color w:val="auto"/>
          <w:sz w:val="24"/>
          <w:szCs w:val="24"/>
          <w:highlight w:val="none"/>
        </w:rPr>
      </w:pPr>
      <w:r>
        <w:rPr>
          <w:rFonts w:ascii="宋体" w:hAnsi="宋体" w:cs="仿宋_GB2312"/>
          <w:color w:val="auto"/>
          <w:sz w:val="24"/>
          <w:szCs w:val="24"/>
          <w:highlight w:val="none"/>
        </w:rPr>
        <w:t>地  址：</w:t>
      </w:r>
      <w:r>
        <w:rPr>
          <w:rFonts w:hint="eastAsia" w:ascii="宋体" w:hAnsi="宋体" w:cs="仿宋_GB2312"/>
          <w:color w:val="auto"/>
          <w:sz w:val="24"/>
          <w:szCs w:val="24"/>
          <w:highlight w:val="none"/>
        </w:rPr>
        <w:t>重庆市沙坪坝区井口街道嘉朗路2号</w:t>
      </w:r>
    </w:p>
    <w:p>
      <w:pPr>
        <w:pStyle w:val="3"/>
        <w:spacing w:line="360" w:lineRule="auto"/>
        <w:rPr>
          <w:rFonts w:hAnsi="宋体"/>
          <w:color w:val="auto"/>
          <w:sz w:val="24"/>
          <w:szCs w:val="24"/>
          <w:highlight w:val="none"/>
        </w:rPr>
        <w:sectPr>
          <w:footerReference r:id="rId4" w:type="default"/>
          <w:pgSz w:w="11907" w:h="16840"/>
          <w:pgMar w:top="1440" w:right="1275" w:bottom="1440" w:left="1560" w:header="964" w:footer="992" w:gutter="0"/>
          <w:pgNumType w:fmt="numberInDash"/>
          <w:cols w:space="720" w:num="1"/>
          <w:docGrid w:type="linesAndChars" w:linePitch="312" w:charSpace="0"/>
        </w:sectPr>
      </w:pPr>
      <w:bookmarkStart w:id="28" w:name="_Toc102227313"/>
      <w:bookmarkStart w:id="29" w:name="_Toc376349875"/>
      <w:bookmarkStart w:id="30" w:name="_Toc152480141"/>
    </w:p>
    <w:bookmarkEnd w:id="28"/>
    <w:bookmarkEnd w:id="29"/>
    <w:bookmarkEnd w:id="30"/>
    <w:p>
      <w:pPr>
        <w:pStyle w:val="4"/>
        <w:numPr>
          <w:ilvl w:val="0"/>
          <w:numId w:val="12"/>
        </w:numPr>
        <w:jc w:val="center"/>
        <w:rPr>
          <w:rFonts w:hint="eastAsia"/>
          <w:color w:val="auto"/>
          <w:sz w:val="36"/>
          <w:szCs w:val="36"/>
          <w:highlight w:val="none"/>
        </w:rPr>
      </w:pPr>
      <w:bookmarkStart w:id="31" w:name="_Toc2011"/>
      <w:r>
        <w:rPr>
          <w:rFonts w:hint="eastAsia"/>
          <w:color w:val="auto"/>
          <w:sz w:val="36"/>
          <w:szCs w:val="36"/>
          <w:highlight w:val="none"/>
        </w:rPr>
        <w:t xml:space="preserve"> 采购项目需求</w:t>
      </w:r>
      <w:bookmarkEnd w:id="31"/>
    </w:p>
    <w:p>
      <w:pPr>
        <w:spacing w:line="440" w:lineRule="exact"/>
      </w:pPr>
      <w:r>
        <w:rPr>
          <w:rFonts w:hint="eastAsia" w:ascii="宋体" w:hAnsi="宋体"/>
          <w:b/>
          <w:bCs/>
          <w:sz w:val="24"/>
          <w:szCs w:val="24"/>
          <w:highlight w:val="none"/>
        </w:rPr>
        <w:t>注：本篇项目技术需求为符合性审查中的实质性要求，响应文件若不满足按无效竞采处理。</w:t>
      </w:r>
    </w:p>
    <w:p>
      <w:pPr>
        <w:pStyle w:val="5"/>
        <w:spacing w:before="0" w:after="0" w:line="360" w:lineRule="auto"/>
        <w:rPr>
          <w:rFonts w:hint="default" w:ascii="宋体" w:hAnsi="宋体" w:cs="宋体"/>
          <w:color w:val="auto"/>
          <w:sz w:val="30"/>
          <w:szCs w:val="30"/>
          <w:highlight w:val="none"/>
          <w:lang w:val="en-US" w:eastAsia="zh-CN"/>
        </w:rPr>
      </w:pPr>
      <w:bookmarkStart w:id="32" w:name="_Toc8898"/>
      <w:r>
        <w:rPr>
          <w:rFonts w:hint="eastAsia" w:ascii="宋体" w:hAnsi="宋体" w:cs="宋体"/>
          <w:color w:val="auto"/>
          <w:sz w:val="30"/>
          <w:szCs w:val="30"/>
          <w:highlight w:val="none"/>
        </w:rPr>
        <w:t>一、项目</w:t>
      </w:r>
      <w:bookmarkEnd w:id="32"/>
      <w:r>
        <w:rPr>
          <w:rFonts w:hint="eastAsia" w:ascii="宋体" w:hAnsi="宋体" w:cs="宋体"/>
          <w:color w:val="auto"/>
          <w:sz w:val="30"/>
          <w:szCs w:val="30"/>
          <w:highlight w:val="none"/>
          <w:lang w:val="en-US" w:eastAsia="zh-CN"/>
        </w:rPr>
        <w:t>概况</w:t>
      </w:r>
    </w:p>
    <w:p>
      <w:pPr>
        <w:pStyle w:val="5"/>
        <w:numPr>
          <w:ilvl w:val="0"/>
          <w:numId w:val="0"/>
        </w:numPr>
        <w:spacing w:before="0" w:after="0" w:line="360" w:lineRule="auto"/>
        <w:ind w:firstLine="480" w:firstLineChars="200"/>
        <w:rPr>
          <w:rFonts w:hint="eastAsia" w:ascii="宋体" w:hAnsi="宋体" w:eastAsia="宋体" w:cs="Times New Roman"/>
          <w:b w:val="0"/>
          <w:color w:val="auto"/>
          <w:kern w:val="2"/>
          <w:sz w:val="24"/>
          <w:highlight w:val="none"/>
          <w:lang w:val="en-US" w:eastAsia="zh-CN" w:bidi="ar-SA"/>
        </w:rPr>
      </w:pPr>
      <w:bookmarkStart w:id="33" w:name="_Toc367099332"/>
      <w:r>
        <w:rPr>
          <w:rFonts w:hint="eastAsia" w:ascii="宋体" w:hAnsi="宋体" w:eastAsia="宋体" w:cs="Times New Roman"/>
          <w:b w:val="0"/>
          <w:color w:val="auto"/>
          <w:kern w:val="2"/>
          <w:sz w:val="24"/>
          <w:highlight w:val="none"/>
          <w:lang w:val="en-US" w:eastAsia="zh-CN" w:bidi="ar-SA"/>
        </w:rPr>
        <w:t>根据重庆市DRG付费管理要求，医保严查低标准住院、服务不足等行为。我院将在现有DRG系统上新增</w:t>
      </w:r>
      <w:r>
        <w:rPr>
          <w:rFonts w:hint="default" w:ascii="宋体" w:hAnsi="宋体" w:eastAsia="宋体" w:cs="Times New Roman"/>
          <w:b w:val="0"/>
          <w:color w:val="auto"/>
          <w:kern w:val="2"/>
          <w:sz w:val="24"/>
          <w:highlight w:val="none"/>
          <w:lang w:val="en-US" w:eastAsia="zh-CN" w:bidi="ar-SA"/>
        </w:rPr>
        <w:t>费用路径管理功能，建立病组费用知识库，智能监测违规并优化诊疗成本，提升管理效率</w:t>
      </w:r>
      <w:r>
        <w:rPr>
          <w:rFonts w:hint="eastAsia" w:ascii="宋体" w:hAnsi="宋体" w:eastAsia="宋体" w:cs="Times New Roman"/>
          <w:b w:val="0"/>
          <w:color w:val="auto"/>
          <w:kern w:val="2"/>
          <w:sz w:val="24"/>
          <w:highlight w:val="none"/>
          <w:lang w:val="en-US" w:eastAsia="zh-CN" w:bidi="ar-SA"/>
        </w:rPr>
        <w:t>。</w:t>
      </w:r>
      <w:bookmarkEnd w:id="33"/>
    </w:p>
    <w:p>
      <w:pPr>
        <w:pStyle w:val="5"/>
        <w:numPr>
          <w:ilvl w:val="0"/>
          <w:numId w:val="13"/>
        </w:numPr>
        <w:spacing w:before="0" w:after="0" w:line="360" w:lineRule="auto"/>
        <w:rPr>
          <w:rFonts w:hint="eastAsia" w:ascii="宋体" w:hAnsi="宋体" w:cs="宋体"/>
          <w:color w:val="auto"/>
          <w:sz w:val="30"/>
          <w:szCs w:val="30"/>
          <w:highlight w:val="none"/>
          <w:lang w:val="en-US" w:eastAsia="zh-CN"/>
        </w:rPr>
      </w:pPr>
      <w:bookmarkStart w:id="34" w:name="_Toc1885"/>
      <w:bookmarkStart w:id="35" w:name="_Toc9969"/>
      <w:bookmarkStart w:id="36" w:name="_Toc32748"/>
      <w:bookmarkStart w:id="37" w:name="_Toc109056861"/>
      <w:r>
        <w:rPr>
          <w:rFonts w:hint="eastAsia" w:ascii="宋体" w:hAnsi="宋体" w:eastAsia="宋体" w:cs="宋体"/>
          <w:color w:val="auto"/>
          <w:sz w:val="30"/>
          <w:szCs w:val="30"/>
          <w:highlight w:val="none"/>
          <w:lang w:val="en-US" w:eastAsia="zh-CN"/>
        </w:rPr>
        <w:t>服务标准</w:t>
      </w:r>
      <w:r>
        <w:rPr>
          <w:rFonts w:hint="eastAsia" w:ascii="宋体" w:hAnsi="宋体" w:cs="宋体"/>
          <w:color w:val="auto"/>
          <w:sz w:val="30"/>
          <w:szCs w:val="30"/>
          <w:highlight w:val="none"/>
          <w:lang w:val="en-US" w:eastAsia="zh-CN"/>
        </w:rPr>
        <w:t>及要求</w:t>
      </w:r>
    </w:p>
    <w:tbl>
      <w:tblPr>
        <w:tblStyle w:val="5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62"/>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一级</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菜单</w:t>
            </w: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1" w:firstLineChars="20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二级</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1" w:firstLineChars="20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菜单</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1" w:firstLineChars="20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合规诊疗模板设计</w:t>
            </w:r>
          </w:p>
        </w:tc>
        <w:tc>
          <w:tcPr>
            <w:tcW w:w="1862"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方案模板生成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采用“病组+病种”组合模板，数据由本院历史大数据和临床路径数据通过算法自动生成，系统具备模板自动监测异常项目的能力。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诊疗方案模板在计算机自动生成后，可由科室主任快速审核生效，实现医疗质量和医保费用的双重管理。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系统能通过模板项目明细，自动生成模板费用和各项收入占比，支持通过调整模板，产生病组目标标杆。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系统支持上传word、PDF、TXT等形式的临床路径表单或诊疗方案模板，方便临床参考。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一键调价</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由于药品、耗材价格经常发生变动，系统支持“一键调价”，实现便捷维护。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模板合理性分析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根据医保飞检经验和日常监管要求，在用户保存模板时，对模板合理性进行分析。例如，超适应症，非常规检验、检查的项目，却在不合适的模板中出现；重复检查核查，例如糖化血红蛋白测定:需有限糖尿病基础检查指标异常，且短期内不能重复检查。过度检查核查，模板里面的两种项目，一般情况二选一，同一次住院都使用不合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模板复制/对比</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系统支持不同模板项目明细的快捷比对，以借鉴参考模板的优点内容；系统支持从一个模板复制生成另一个新的模板。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模板导入/导出</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系统支持外部模板的导入；也支持把现有模板导出。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pStyle w:val="56"/>
              <w:rPr>
                <w:rFonts w:hint="eastAsia" w:ascii="宋体" w:hAnsi="宋体" w:eastAsia="宋体" w:cs="宋体"/>
                <w:sz w:val="18"/>
                <w:szCs w:val="18"/>
                <w:lang w:val="en-US" w:eastAsia="zh-CN"/>
              </w:rPr>
            </w:pPr>
          </w:p>
          <w:p>
            <w:pPr>
              <w:pStyle w:val="56"/>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事中诊疗方案评价与推荐</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预分组服务</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系统能自动提取医生首页诊断信息，对预实施手术、操作的患者，科学指引医生入对组；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提供医生DRG分组小工具，医生可以测试不同组合下的分组结果；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超支提醒</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若当前病例使用的费用总和预计将超出预分DRG组的医保支付价格，则给予超额警示，减少医院有可能存在的亏损风险。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在院/出院诊疗评价</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可以对医生诊疗合理性，进行事中（在院/出院）评价：</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1）临床路径必做而未做的项目（有降低入院指针和治疗不充分风险）；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2）超出诊疗范围的项目（有过度医疗风险，医保稽查风险）；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3）不符合医保管控要求的项目（有医保稽查风险）；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4）非最佳选择的项目（辅助用药、非必要检查，成本浪费风险）；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5）重复项目（例如脑梗死临床路径指南中，颅脑CT和颅脑MRI二选一，结果2种都同时做了）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主诊药品类别对比</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服务不足是医保DRG支付下，稽查的重点之一。将标准诊疗方案的药品，分类为核心药品和辅助药品，对实际无核心药品的病例，和核心药品远小于标准诊疗方案的，进行甄别并提醒。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在院病人入院情况查询</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时查看各科室在院病人入院率、费用超标情况、重复入院病例、费用结构需优化的病例、违规项目较多病例、违反核心治疗病例、并发症消耗过大病例、诊断依据不足病例、疑似入组错误等；方便医保科干预临床做出及时调整，从环节上减少医保风险，并及时优化诊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360" w:firstLineChars="200"/>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lang w:val="en-US" w:eastAsia="zh-CN"/>
              </w:rPr>
              <w:t>医保结算清单辅助质控</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360" w:firstLineChars="200"/>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从疾病“资源消耗”角度去辅助医保结算清单编码的准确性，例如：满足进入先期分组条件，却未入先期分组；应该入外科组，却入到了内科组；应该将化疗作为主要诊断，却把某恶性肿瘤作为了主要诊断；错误的把资源消耗少的诊断当作了主要诊断；根据指南，主要诊断成立依据不足；使用无创呼吸机，却记账为了有创呼吸机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医疗费用最优方案运营</w:t>
            </w: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项目成本维护</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根据收入比例法，初始化人力成本、药品成本、计费耗材成本、不计费耗材成本、固定资产折旧、其他成本。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病组盈亏分析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分别从DRG盈亏角度，成本角度的四象限图：分析本院/科室的战略病组、优势病组、劣势病组、关注病组。</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从DRG病组角度分析病组成本。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科室盈亏分析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分别从DRG盈亏角度，成本角度的四象限图：分析战略科室、优势科室、劣势科室、关注科室。</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从科室角度分析科室成本。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成本控制成效分析</w:t>
            </w:r>
          </w:p>
        </w:tc>
        <w:tc>
          <w:tcPr>
            <w:tcW w:w="6612" w:type="dxa"/>
            <w:noWrap w:val="0"/>
            <w:vAlign w:val="center"/>
          </w:tcPr>
          <w:p>
            <w:pPr>
              <w:pStyle w:val="26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从成本角度，按月分析盈亏趋势。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病组标准成本与实际成本对比分析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通过诊疗方案模板可以获得病组标准成本，通过实际成本与标准成本比较，找出差异因素，不断优化诊疗方案和实际运营效果。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pStyle w:val="5"/>
              <w:keepNext w:val="0"/>
              <w:keepLines w:val="0"/>
              <w:widowControl/>
              <w:suppressLineNumbers w:val="0"/>
              <w:shd w:val="clear" w:fill="FFFFFF"/>
              <w:spacing w:before="0" w:beforeAutospacing="0" w:after="118" w:afterAutospacing="0" w:line="13" w:lineRule="atLeast"/>
              <w:ind w:left="0" w:right="0" w:firstLine="0"/>
              <w:rPr>
                <w:rFonts w:ascii="Segoe UI" w:hAnsi="Segoe UI" w:eastAsia="Segoe UI" w:cs="Segoe UI"/>
                <w:b/>
                <w:bCs/>
                <w:i w:val="0"/>
                <w:iCs w:val="0"/>
                <w:caps w:val="0"/>
                <w:color w:val="404040"/>
                <w:spacing w:val="0"/>
                <w:sz w:val="15"/>
                <w:szCs w:val="15"/>
              </w:rPr>
            </w:pPr>
            <w:r>
              <w:rPr>
                <w:rFonts w:hint="default" w:ascii="宋体" w:hAnsi="宋体" w:eastAsia="宋体" w:cs="宋体"/>
                <w:b w:val="0"/>
                <w:kern w:val="2"/>
                <w:sz w:val="18"/>
                <w:szCs w:val="18"/>
                <w:lang w:val="en-US" w:eastAsia="zh-CN" w:bidi="ar-SA"/>
              </w:rPr>
              <w:t>临床路径模板优化与执行质量分析</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14"/>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临床路径模板持续优化机制，建立基于大数据分析的模板质量评估体系，通过量化指标主动识别模板缺陷（如项目设置合理性、流程完整性等），为临床路径的迭代更新提供数据支撑。</w:t>
            </w:r>
          </w:p>
          <w:p>
            <w:pPr>
              <w:keepNext w:val="0"/>
              <w:keepLines w:val="0"/>
              <w:pageBreakBefore w:val="0"/>
              <w:widowControl w:val="0"/>
              <w:numPr>
                <w:ilvl w:val="0"/>
                <w:numId w:val="14"/>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诊疗规范执行监测，通过对必查项目（如脑梗死患者的"同型半胱氨酸"检测）执行率的统计分析，发现临床诊疗过程中的共性偏差问题，为医疗质量改进提供针对性依据。</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3、诊疗方案执行效能评估，构建多维度评估模型，客观评价医务科制定的标准化诊疗方案在临床实践中的执行情况，识别执行偏差环节，促进诊疗行为规范化。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DRG结算情况</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从科室、病组、患者维度，统计DRG结算后的实际盈亏情况，包括：DRG支付标准金额、基金支付比例、项目结算基金支付、医保基金DRG支付、医保范围内金额、DRG盈亏。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病组费用结构</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1、对病组进行精准剖析，通过不同消耗指数全方位了解医院病组结构情况。</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2、支持数据下钻（病组--科室及医生--患者--患者诊疗详情），从源头抓问题。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病组亏损查询</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系统能分析DRG组亏损的真实原因：病组结构不合理；并发症消耗太大；过度医疗等。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病组风险分析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剖析预测本院病组风险：包括降低入院指征、主要诊断违反核心治疗、费用极低、治疗不足等风险病案的分析。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重点疾病分析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可以对科室重点关注的病组，进行医生费用结构的横向比较，深入到具体收费项目的比较，能够快速发现引起医生费用超支的真正原因。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手术室开单费用专项统计</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大数据统计，评估手术室费用在DRG病组中的分布情况，识别费用偏离合理区间的病例。针对费用异常病例，结合临床路径与手术室资源配置情况，精准分析费用超标动因（如耗材使用差异、手术时长异常或临床诊疗方案调整等）。</w:t>
            </w:r>
          </w:p>
          <w:p>
            <w:pPr>
              <w:pStyle w:val="23"/>
              <w:ind w:firstLine="360" w:firstLineChars="200"/>
              <w:rPr>
                <w:rFonts w:hint="eastAsia"/>
                <w:lang w:val="en-US" w:eastAsia="zh-CN"/>
              </w:rPr>
            </w:pPr>
            <w:r>
              <w:rPr>
                <w:rFonts w:hint="eastAsia" w:ascii="宋体" w:hAnsi="宋体" w:eastAsia="宋体" w:cs="宋体"/>
                <w:kern w:val="2"/>
                <w:sz w:val="18"/>
                <w:szCs w:val="18"/>
                <w:lang w:val="en-US" w:eastAsia="zh-CN" w:bidi="ar-SA"/>
              </w:rPr>
              <w:t>基于分析结果，制定针对性改进措施，包括手术室流程优化、耗材管理精细化及临床路径标准化，以实现费用管控与医疗质量的平衡。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诊疗风控评估</w:t>
            </w: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有盈余风险的病例评估</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内置以下核心质控规则，自动抓取：</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1、住院天数过短：低于标杆床日的一半（含）。</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2、主要诊断依据不足：主要诊断必须的关键检查和核心治疗未做，可能有治疗不足的嫌疑。</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3、其他诊断依据不足：医保要求没有资源消耗的其他诊断不要上传，因为这些诊断有可能高套分组，虚高了医保支付标准。</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4、漏记高值耗材：是否本该住院产生的费用，转嫁到了门诊收费。</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5、降低入院指征病例。</w:t>
            </w:r>
          </w:p>
          <w:p>
            <w:pPr>
              <w:pStyle w:val="23"/>
              <w:rPr>
                <w:rFonts w:hint="default"/>
                <w:lang w:val="en-US" w:eastAsia="zh-CN"/>
              </w:rPr>
            </w:pPr>
            <w:r>
              <w:rPr>
                <w:rFonts w:hint="eastAsia" w:ascii="宋体" w:hAnsi="宋体" w:eastAsia="宋体" w:cs="宋体"/>
                <w:sz w:val="18"/>
                <w:szCs w:val="18"/>
                <w:lang w:val="en-US" w:eastAsia="zh-CN"/>
              </w:rPr>
              <w:t xml:space="preserve">    6、服务不足（服务不足包含必做而未做的项目较多，或者核心治疗占比不足）的病例。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有过度医疗风险的病例评估</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内置以下核心质控规则，自动抓取：</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1、因并发症消耗过大引起的费用超标。</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2、住院天数过长：高于标杆床日2倍（含）。</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3、违反核心治疗：医保要求花费最多的作为主要诊断，而系统发现某一个其他诊断的花费，远远大于了主要诊断。</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4、清单校验失败：这部分病例入组错误，很可能是引起费用超标的一个重要原因。</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5、违规项目较多引起的费用超标。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过度诊疗分析</w:t>
            </w:r>
          </w:p>
        </w:tc>
        <w:tc>
          <w:tcPr>
            <w:tcW w:w="6612" w:type="dxa"/>
            <w:noWrap w:val="0"/>
            <w:vAlign w:val="center"/>
          </w:tcPr>
          <w:p>
            <w:pPr>
              <w:pStyle w:val="51"/>
              <w:keepNext w:val="0"/>
              <w:keepLines w:val="0"/>
              <w:widowControl/>
              <w:suppressLineNumbers w:val="0"/>
              <w:shd w:val="clear" w:fill="FFFFFF"/>
              <w:spacing w:before="118" w:beforeAutospacing="0" w:after="118" w:afterAutospacing="0" w:line="245" w:lineRule="atLeast"/>
              <w:ind w:left="0" w:right="0" w:firstLine="360" w:firstLineChars="20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系统</w:t>
            </w:r>
            <w:r>
              <w:rPr>
                <w:rFonts w:hint="eastAsia" w:ascii="宋体" w:hAnsi="宋体" w:eastAsia="宋体" w:cs="宋体"/>
                <w:kern w:val="2"/>
                <w:sz w:val="18"/>
                <w:szCs w:val="18"/>
                <w:lang w:val="en-US" w:eastAsia="zh-CN" w:bidi="ar-SA"/>
              </w:rPr>
              <w:t>能自动</w:t>
            </w:r>
            <w:r>
              <w:rPr>
                <w:rFonts w:hint="default" w:ascii="宋体" w:hAnsi="宋体" w:eastAsia="宋体" w:cs="宋体"/>
                <w:kern w:val="2"/>
                <w:sz w:val="18"/>
                <w:szCs w:val="18"/>
                <w:lang w:val="en-US" w:eastAsia="zh-CN" w:bidi="ar-SA"/>
              </w:rPr>
              <w:t>梳理超范围</w:t>
            </w:r>
            <w:r>
              <w:rPr>
                <w:rFonts w:hint="eastAsia" w:ascii="宋体" w:hAnsi="宋体" w:eastAsia="宋体" w:cs="宋体"/>
                <w:kern w:val="2"/>
                <w:sz w:val="18"/>
                <w:szCs w:val="18"/>
                <w:lang w:val="en-US" w:eastAsia="zh-CN" w:bidi="ar-SA"/>
              </w:rPr>
              <w:t>（过度）</w:t>
            </w:r>
            <w:r>
              <w:rPr>
                <w:rFonts w:hint="default" w:ascii="宋体" w:hAnsi="宋体" w:eastAsia="宋体" w:cs="宋体"/>
                <w:kern w:val="2"/>
                <w:sz w:val="18"/>
                <w:szCs w:val="18"/>
                <w:lang w:val="en-US" w:eastAsia="zh-CN" w:bidi="ar-SA"/>
              </w:rPr>
              <w:t>诊疗的共性特征及影响因素，并结合临床实际需求，制定针对性改进措施。通过数据驱动的精细化运营管理，持续优化诊疗方案，提升医疗质量，确保在合理控费的同时，保障患者诊疗的安全性与有效性。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高频漏检项目分析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SA"/>
              </w:rPr>
              <w:t>系统具备</w:t>
            </w:r>
            <w:r>
              <w:rPr>
                <w:rFonts w:hint="default" w:ascii="宋体" w:hAnsi="宋体" w:eastAsia="宋体" w:cs="宋体"/>
                <w:kern w:val="2"/>
                <w:sz w:val="18"/>
                <w:szCs w:val="18"/>
                <w:lang w:val="en-US" w:eastAsia="zh-CN" w:bidi="ar-SA"/>
              </w:rPr>
              <w:t>基于院内大数据分析技术，对高频漏检项目进行系统性回溯研究，深入分析其成因（如临床依从性不足、流程管理疏漏或患者个体化因素等），并建立智能化监测预警机制。通过数据驱动的管理优化，规范诊疗行为，确保必查项目的有效执行，从而提升DRG入组精准度、保障医疗质量，并强化成本管控效能。</w:t>
            </w:r>
          </w:p>
        </w:tc>
      </w:tr>
    </w:tbl>
    <w:p>
      <w:pPr>
        <w:numPr>
          <w:ilvl w:val="0"/>
          <w:numId w:val="0"/>
        </w:numPr>
        <w:rPr>
          <w:rFonts w:hint="default"/>
          <w:lang w:val="en-US" w:eastAsia="zh-CN"/>
        </w:rPr>
      </w:pPr>
    </w:p>
    <w:bookmarkEnd w:id="34"/>
    <w:bookmarkEnd w:id="35"/>
    <w:bookmarkEnd w:id="36"/>
    <w:bookmarkEnd w:id="37"/>
    <w:p>
      <w:pPr>
        <w:spacing w:line="360" w:lineRule="auto"/>
        <w:ind w:firstLine="480" w:firstLineChars="200"/>
        <w:jc w:val="left"/>
        <w:rPr>
          <w:rFonts w:hint="eastAsia" w:ascii="宋体" w:hAnsi="宋体" w:cs="Times New Roman"/>
          <w:color w:val="auto"/>
          <w:sz w:val="24"/>
          <w:highlight w:val="none"/>
          <w:lang w:val="en-US" w:eastAsia="zh-CN"/>
        </w:rPr>
      </w:pPr>
      <w:bookmarkStart w:id="38" w:name="_Toc17673"/>
      <w:bookmarkStart w:id="39" w:name="_Toc109056862"/>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rPr>
          <w:rFonts w:hint="eastAsia"/>
        </w:rPr>
      </w:pPr>
    </w:p>
    <w:p>
      <w:pPr>
        <w:pStyle w:val="23"/>
        <w:rPr>
          <w:rFonts w:hint="eastAsia"/>
        </w:rPr>
      </w:pPr>
    </w:p>
    <w:p>
      <w:pPr>
        <w:rPr>
          <w:rFonts w:hint="eastAsia"/>
        </w:rPr>
      </w:pPr>
    </w:p>
    <w:p>
      <w:pPr>
        <w:pStyle w:val="23"/>
        <w:rPr>
          <w:rFonts w:hint="eastAsia"/>
        </w:rPr>
      </w:pPr>
    </w:p>
    <w:p>
      <w:pPr>
        <w:pStyle w:val="4"/>
        <w:numPr>
          <w:ilvl w:val="0"/>
          <w:numId w:val="12"/>
        </w:numPr>
        <w:jc w:val="center"/>
        <w:rPr>
          <w:rFonts w:hint="eastAsia" w:cs="Times New Roman"/>
          <w:color w:val="auto"/>
          <w:sz w:val="36"/>
          <w:szCs w:val="36"/>
          <w:highlight w:val="none"/>
        </w:rPr>
      </w:pPr>
      <w:r>
        <w:rPr>
          <w:rFonts w:hint="eastAsia" w:cs="Times New Roman"/>
          <w:color w:val="auto"/>
          <w:sz w:val="36"/>
          <w:szCs w:val="36"/>
          <w:highlight w:val="none"/>
        </w:rPr>
        <w:t>项目商务需求</w:t>
      </w:r>
      <w:bookmarkEnd w:id="38"/>
      <w:bookmarkEnd w:id="39"/>
    </w:p>
    <w:p>
      <w:pPr>
        <w:spacing w:line="360" w:lineRule="auto"/>
        <w:rPr>
          <w:rFonts w:ascii="宋体" w:hAnsi="宋体" w:cs="宋体"/>
          <w:color w:val="auto"/>
          <w:sz w:val="24"/>
          <w:szCs w:val="24"/>
          <w:highlight w:val="none"/>
        </w:rPr>
      </w:pPr>
      <w:bookmarkStart w:id="40" w:name="_Toc29474"/>
      <w:bookmarkStart w:id="41" w:name="_Toc487204789"/>
      <w:bookmarkStart w:id="42" w:name="_Toc344475120"/>
      <w:r>
        <w:rPr>
          <w:rFonts w:hint="eastAsia" w:ascii="宋体" w:hAnsi="宋体"/>
          <w:b/>
          <w:bCs/>
          <w:color w:val="auto"/>
          <w:sz w:val="24"/>
          <w:szCs w:val="24"/>
          <w:highlight w:val="none"/>
        </w:rPr>
        <w:t>注：本篇项目商务需求为符合性审查中的实质性要求，响应文件若不满足按无效竞采处理。</w:t>
      </w:r>
    </w:p>
    <w:bookmarkEnd w:id="40"/>
    <w:bookmarkEnd w:id="41"/>
    <w:bookmarkEnd w:id="42"/>
    <w:p>
      <w:pPr>
        <w:pStyle w:val="5"/>
        <w:numPr>
          <w:ilvl w:val="0"/>
          <w:numId w:val="15"/>
        </w:numPr>
        <w:spacing w:before="0" w:after="0" w:line="360" w:lineRule="auto"/>
        <w:rPr>
          <w:rFonts w:hint="eastAsia" w:ascii="宋体" w:hAnsi="宋体" w:cs="宋体"/>
          <w:color w:val="auto"/>
          <w:sz w:val="30"/>
          <w:szCs w:val="30"/>
          <w:highlight w:val="none"/>
        </w:rPr>
      </w:pPr>
      <w:bookmarkStart w:id="43" w:name="_Toc109056863"/>
      <w:bookmarkStart w:id="44" w:name="_Toc17300"/>
      <w:r>
        <w:rPr>
          <w:rFonts w:hint="eastAsia" w:ascii="宋体" w:hAnsi="宋体" w:cs="宋体"/>
          <w:color w:val="auto"/>
          <w:sz w:val="30"/>
          <w:szCs w:val="30"/>
          <w:highlight w:val="none"/>
        </w:rPr>
        <w:t>服务时间</w:t>
      </w:r>
      <w:bookmarkEnd w:id="43"/>
      <w:bookmarkEnd w:id="44"/>
      <w:bookmarkStart w:id="45" w:name="_Toc109056864"/>
      <w:bookmarkStart w:id="46" w:name="_Toc67"/>
    </w:p>
    <w:p>
      <w:pPr>
        <w:pStyle w:val="5"/>
        <w:numPr>
          <w:ilvl w:val="0"/>
          <w:numId w:val="0"/>
        </w:numPr>
        <w:spacing w:before="0" w:after="0" w:line="360" w:lineRule="auto"/>
        <w:ind w:firstLine="220" w:firstLineChars="100"/>
        <w:rPr>
          <w:rFonts w:hint="eastAsia" w:ascii="宋体" w:hAnsi="宋体" w:eastAsia="宋体" w:cs="宋体"/>
          <w:b w:val="0"/>
          <w:iCs/>
          <w:color w:val="auto"/>
          <w:kern w:val="2"/>
          <w:sz w:val="22"/>
          <w:szCs w:val="22"/>
          <w:lang w:val="en-US" w:eastAsia="zh-CN" w:bidi="ar-SA"/>
        </w:rPr>
      </w:pPr>
      <w:r>
        <w:rPr>
          <w:rFonts w:hint="eastAsia" w:ascii="宋体" w:hAnsi="宋体" w:eastAsia="宋体" w:cs="宋体"/>
          <w:b w:val="0"/>
          <w:iCs/>
          <w:color w:val="auto"/>
          <w:kern w:val="2"/>
          <w:sz w:val="22"/>
          <w:szCs w:val="22"/>
          <w:lang w:val="en-US" w:eastAsia="zh-Hans" w:bidi="ar-SA"/>
        </w:rPr>
        <w:t>期限：自合同签订之日起</w:t>
      </w:r>
      <w:r>
        <w:rPr>
          <w:rFonts w:hint="eastAsia" w:ascii="宋体" w:hAnsi="宋体" w:eastAsia="宋体" w:cs="宋体"/>
          <w:b w:val="0"/>
          <w:iCs/>
          <w:color w:val="auto"/>
          <w:kern w:val="2"/>
          <w:sz w:val="22"/>
          <w:szCs w:val="22"/>
          <w:lang w:val="en-US" w:eastAsia="zh-CN" w:bidi="ar-SA"/>
        </w:rPr>
        <w:t>1</w:t>
      </w:r>
      <w:r>
        <w:rPr>
          <w:rFonts w:hint="eastAsia" w:ascii="宋体" w:hAnsi="宋体" w:eastAsia="宋体" w:cs="宋体"/>
          <w:b w:val="0"/>
          <w:iCs/>
          <w:color w:val="auto"/>
          <w:kern w:val="2"/>
          <w:sz w:val="22"/>
          <w:szCs w:val="22"/>
          <w:lang w:val="en-US" w:eastAsia="zh-Hans" w:bidi="ar-SA"/>
        </w:rPr>
        <w:t>个月内交货并完成安装调试，</w:t>
      </w:r>
    </w:p>
    <w:p>
      <w:pPr>
        <w:pStyle w:val="5"/>
        <w:numPr>
          <w:ilvl w:val="0"/>
          <w:numId w:val="0"/>
        </w:numPr>
        <w:spacing w:before="0" w:after="0" w:line="360" w:lineRule="auto"/>
        <w:ind w:firstLine="220" w:firstLineChars="100"/>
        <w:rPr>
          <w:rFonts w:hint="eastAsia" w:ascii="宋体" w:hAnsi="宋体" w:eastAsia="宋体" w:cs="宋体"/>
          <w:b w:val="0"/>
          <w:iCs/>
          <w:color w:val="auto"/>
          <w:kern w:val="2"/>
          <w:sz w:val="22"/>
          <w:szCs w:val="22"/>
          <w:lang w:val="en-US" w:eastAsia="zh-CN" w:bidi="ar-SA"/>
        </w:rPr>
      </w:pPr>
      <w:r>
        <w:rPr>
          <w:rFonts w:hint="eastAsia" w:ascii="宋体" w:hAnsi="宋体" w:eastAsia="宋体" w:cs="宋体"/>
          <w:b w:val="0"/>
          <w:iCs/>
          <w:color w:val="auto"/>
          <w:kern w:val="2"/>
          <w:sz w:val="22"/>
          <w:szCs w:val="22"/>
          <w:lang w:val="en-US" w:eastAsia="zh-CN" w:bidi="ar-SA"/>
        </w:rPr>
        <w:t>确保：</w:t>
      </w:r>
      <w:r>
        <w:rPr>
          <w:rFonts w:hint="default" w:ascii="宋体" w:hAnsi="宋体" w:eastAsia="宋体" w:cs="宋体"/>
          <w:b w:val="0"/>
          <w:iCs/>
          <w:color w:val="auto"/>
          <w:kern w:val="2"/>
          <w:sz w:val="22"/>
          <w:szCs w:val="22"/>
          <w:lang w:val="en-US" w:eastAsia="zh-Hans" w:bidi="ar-SA"/>
        </w:rPr>
        <w:t>核心功能模块运行完整率≥9</w:t>
      </w:r>
      <w:r>
        <w:rPr>
          <w:rFonts w:hint="eastAsia" w:ascii="宋体" w:hAnsi="宋体" w:eastAsia="宋体" w:cs="宋体"/>
          <w:b w:val="0"/>
          <w:iCs/>
          <w:color w:val="auto"/>
          <w:kern w:val="2"/>
          <w:sz w:val="22"/>
          <w:szCs w:val="22"/>
          <w:lang w:val="en-US" w:eastAsia="zh-CN" w:bidi="ar-SA"/>
        </w:rPr>
        <w:t>5</w:t>
      </w:r>
      <w:r>
        <w:rPr>
          <w:rFonts w:hint="default" w:ascii="宋体" w:hAnsi="宋体" w:eastAsia="宋体" w:cs="宋体"/>
          <w:b w:val="0"/>
          <w:iCs/>
          <w:color w:val="auto"/>
          <w:kern w:val="2"/>
          <w:sz w:val="22"/>
          <w:szCs w:val="22"/>
          <w:lang w:val="en-US" w:eastAsia="zh-Hans" w:bidi="ar-SA"/>
        </w:rPr>
        <w:t>%</w:t>
      </w:r>
      <w:r>
        <w:rPr>
          <w:rFonts w:hint="eastAsia" w:ascii="宋体" w:hAnsi="宋体" w:eastAsia="宋体" w:cs="宋体"/>
          <w:b w:val="0"/>
          <w:iCs/>
          <w:color w:val="auto"/>
          <w:kern w:val="2"/>
          <w:sz w:val="22"/>
          <w:szCs w:val="22"/>
          <w:lang w:val="en-US" w:eastAsia="zh-CN" w:bidi="ar-SA"/>
        </w:rPr>
        <w:t>；</w:t>
      </w:r>
      <w:r>
        <w:rPr>
          <w:rFonts w:hint="default" w:ascii="宋体" w:hAnsi="宋体" w:eastAsia="宋体" w:cs="宋体"/>
          <w:b w:val="0"/>
          <w:iCs/>
          <w:color w:val="auto"/>
          <w:kern w:val="2"/>
          <w:sz w:val="22"/>
          <w:szCs w:val="22"/>
          <w:lang w:val="en-US" w:eastAsia="zh-Hans" w:bidi="ar-SA"/>
        </w:rPr>
        <w:t>系统响应时间≤3秒</w:t>
      </w:r>
      <w:r>
        <w:rPr>
          <w:rFonts w:hint="eastAsia" w:ascii="宋体" w:hAnsi="宋体" w:eastAsia="宋体" w:cs="宋体"/>
          <w:b w:val="0"/>
          <w:iCs/>
          <w:color w:val="auto"/>
          <w:kern w:val="2"/>
          <w:sz w:val="22"/>
          <w:szCs w:val="22"/>
          <w:lang w:val="en-US" w:eastAsia="zh-CN" w:bidi="ar-SA"/>
        </w:rPr>
        <w:t>；</w:t>
      </w:r>
      <w:r>
        <w:rPr>
          <w:rFonts w:hint="default" w:ascii="宋体" w:hAnsi="宋体" w:eastAsia="宋体" w:cs="宋体"/>
          <w:b w:val="0"/>
          <w:iCs/>
          <w:color w:val="auto"/>
          <w:kern w:val="2"/>
          <w:sz w:val="22"/>
          <w:szCs w:val="22"/>
          <w:lang w:val="en-US" w:eastAsia="zh-Hans" w:bidi="ar-SA"/>
        </w:rPr>
        <w:t>与医院现有HIS系统数据对接准确率</w:t>
      </w:r>
      <w:r>
        <w:rPr>
          <w:rFonts w:hint="eastAsia" w:ascii="宋体" w:hAnsi="宋体" w:eastAsia="宋体" w:cs="宋体"/>
          <w:b w:val="0"/>
          <w:iCs/>
          <w:color w:val="auto"/>
          <w:kern w:val="2"/>
          <w:sz w:val="22"/>
          <w:szCs w:val="22"/>
          <w:lang w:val="en-US" w:eastAsia="zh-CN" w:bidi="ar-SA"/>
        </w:rPr>
        <w:t>100%</w:t>
      </w:r>
      <w:r>
        <w:rPr>
          <w:rFonts w:hint="eastAsia" w:ascii="宋体" w:hAnsi="宋体" w:cs="宋体"/>
          <w:b w:val="0"/>
          <w:iCs/>
          <w:color w:val="auto"/>
          <w:kern w:val="2"/>
          <w:sz w:val="22"/>
          <w:szCs w:val="22"/>
          <w:lang w:val="en-US" w:eastAsia="zh-CN" w:bidi="ar-SA"/>
        </w:rPr>
        <w:t>。</w:t>
      </w:r>
    </w:p>
    <w:p>
      <w:pPr>
        <w:pStyle w:val="5"/>
        <w:numPr>
          <w:ilvl w:val="0"/>
          <w:numId w:val="0"/>
        </w:numPr>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二、服务地点</w:t>
      </w:r>
      <w:bookmarkEnd w:id="45"/>
      <w:bookmarkEnd w:id="46"/>
    </w:p>
    <w:p>
      <w:pPr>
        <w:pStyle w:val="69"/>
        <w:spacing w:line="360" w:lineRule="auto"/>
        <w:ind w:left="0" w:firstLine="560"/>
        <w:rPr>
          <w:rFonts w:hint="eastAsia" w:ascii="宋体" w:hAnsi="宋体" w:eastAsia="宋体" w:cs="方正仿宋_GBK"/>
          <w:b w:val="0"/>
          <w:color w:val="auto"/>
          <w:kern w:val="2"/>
          <w:sz w:val="24"/>
          <w:szCs w:val="24"/>
          <w:highlight w:val="none"/>
          <w:lang w:val="en-US" w:eastAsia="zh-CN" w:bidi="ar-SA"/>
        </w:rPr>
      </w:pPr>
      <w:bookmarkStart w:id="47" w:name="_Toc31604"/>
      <w:bookmarkStart w:id="48" w:name="_Toc109056865"/>
      <w:r>
        <w:rPr>
          <w:rFonts w:hint="eastAsia" w:ascii="宋体" w:hAnsi="宋体" w:eastAsia="宋体" w:cs="宋体"/>
          <w:iCs/>
          <w:color w:val="auto"/>
          <w:sz w:val="22"/>
          <w:szCs w:val="22"/>
        </w:rPr>
        <w:t>重庆市沙坪坝区人民医院新院区、三峡</w:t>
      </w:r>
      <w:r>
        <w:rPr>
          <w:rFonts w:hint="eastAsia" w:ascii="宋体" w:hAnsi="宋体" w:eastAsia="宋体" w:cs="宋体"/>
          <w:iCs/>
          <w:color w:val="auto"/>
          <w:sz w:val="22"/>
          <w:szCs w:val="22"/>
          <w:lang w:val="en-US" w:eastAsia="zh-CN"/>
        </w:rPr>
        <w:t>广场</w:t>
      </w:r>
      <w:r>
        <w:rPr>
          <w:rFonts w:hint="eastAsia" w:ascii="宋体" w:hAnsi="宋体" w:eastAsia="宋体" w:cs="宋体"/>
          <w:iCs/>
          <w:color w:val="auto"/>
          <w:sz w:val="22"/>
          <w:szCs w:val="22"/>
        </w:rPr>
        <w:t>院区</w:t>
      </w:r>
      <w:r>
        <w:rPr>
          <w:rFonts w:hint="eastAsia"/>
          <w:color w:val="auto"/>
          <w:sz w:val="24"/>
          <w:szCs w:val="24"/>
          <w:lang w:val="en-US" w:eastAsia="zh-CN"/>
        </w:rPr>
        <w:t>。</w:t>
      </w:r>
    </w:p>
    <w:bookmarkEnd w:id="47"/>
    <w:bookmarkEnd w:id="48"/>
    <w:p>
      <w:pPr>
        <w:pStyle w:val="5"/>
        <w:spacing w:before="0" w:after="0" w:line="360" w:lineRule="auto"/>
        <w:rPr>
          <w:rFonts w:ascii="宋体" w:hAnsi="宋体" w:cs="宋体"/>
          <w:color w:val="auto"/>
          <w:sz w:val="30"/>
          <w:szCs w:val="30"/>
          <w:highlight w:val="none"/>
        </w:rPr>
      </w:pPr>
      <w:bookmarkStart w:id="49" w:name="_Toc109056866"/>
      <w:bookmarkStart w:id="50" w:name="_Toc10134"/>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w:t>
      </w:r>
      <w:bookmarkEnd w:id="49"/>
      <w:bookmarkStart w:id="51" w:name="_Toc109056867"/>
      <w:r>
        <w:rPr>
          <w:rFonts w:hint="eastAsia" w:ascii="宋体" w:hAnsi="宋体" w:cs="宋体"/>
          <w:color w:val="auto"/>
          <w:sz w:val="30"/>
          <w:szCs w:val="30"/>
          <w:highlight w:val="none"/>
        </w:rPr>
        <w:t>付款方式</w:t>
      </w:r>
      <w:bookmarkEnd w:id="50"/>
      <w:bookmarkEnd w:id="51"/>
    </w:p>
    <w:p>
      <w:pPr>
        <w:spacing w:line="500" w:lineRule="exact"/>
        <w:ind w:firstLine="440" w:firstLineChars="200"/>
        <w:rPr>
          <w:rFonts w:hint="eastAsia" w:ascii="Times New Roman" w:hAnsi="Times New Roman" w:eastAsia="宋体" w:cs="Times New Roman"/>
          <w:b w:val="0"/>
          <w:color w:val="auto"/>
          <w:sz w:val="24"/>
          <w:szCs w:val="24"/>
          <w:lang w:val="en-US" w:eastAsia="zh-CN" w:bidi="ar-SA"/>
        </w:rPr>
      </w:pPr>
      <w:bookmarkStart w:id="52" w:name="_Toc30139"/>
      <w:bookmarkStart w:id="53" w:name="_Toc109056868"/>
      <w:r>
        <w:rPr>
          <w:rFonts w:hint="eastAsia" w:ascii="宋体" w:hAnsi="宋体" w:eastAsia="宋体" w:cs="宋体"/>
          <w:iCs/>
          <w:color w:val="auto"/>
          <w:sz w:val="22"/>
          <w:szCs w:val="22"/>
          <w:lang w:val="en-US" w:eastAsia="zh-CN"/>
        </w:rPr>
        <w:t>项目验收合格后10个工作日内，采购人向中标人支付至合同总额的95%。质保期满10个工作日内，支付5%的尾款。</w:t>
      </w:r>
    </w:p>
    <w:p>
      <w:pPr>
        <w:pStyle w:val="5"/>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四、服务验收标准</w:t>
      </w:r>
    </w:p>
    <w:p>
      <w:pPr>
        <w:spacing w:line="500" w:lineRule="exact"/>
        <w:rPr>
          <w:rFonts w:hint="eastAsia" w:ascii="宋体" w:hAnsi="宋体" w:eastAsia="宋体" w:cs="宋体"/>
          <w:iCs/>
          <w:color w:val="auto"/>
          <w:sz w:val="22"/>
          <w:szCs w:val="22"/>
        </w:rPr>
      </w:pPr>
      <w:r>
        <w:rPr>
          <w:rFonts w:hint="eastAsia" w:ascii="宋体" w:hAnsi="宋体" w:cs="宋体"/>
          <w:iCs/>
          <w:color w:val="auto"/>
          <w:sz w:val="22"/>
          <w:szCs w:val="22"/>
          <w:lang w:val="en-US" w:eastAsia="zh-CN"/>
        </w:rPr>
        <w:t>4</w:t>
      </w:r>
      <w:r>
        <w:rPr>
          <w:rFonts w:hint="eastAsia" w:ascii="宋体" w:hAnsi="宋体" w:eastAsia="宋体" w:cs="宋体"/>
          <w:iCs/>
          <w:color w:val="auto"/>
          <w:sz w:val="22"/>
          <w:szCs w:val="22"/>
        </w:rPr>
        <w:t>.1成交供应商应提供完备的技术资料，并派遣专业技术人员进行现场安装调试。验收合格条件如下：</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（1）技术参数与采购合同一致，性能指标达到规定的标准。</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（2）技术资料齐全。提供完备的技术资料和相关实施文档资料。</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（3）在期间所出现的问题</w:t>
      </w:r>
      <w:r>
        <w:rPr>
          <w:rFonts w:hint="eastAsia" w:ascii="宋体" w:hAnsi="宋体" w:eastAsia="宋体" w:cs="宋体"/>
          <w:iCs/>
          <w:color w:val="auto"/>
          <w:sz w:val="22"/>
          <w:szCs w:val="22"/>
          <w:lang w:eastAsia="zh-CN"/>
        </w:rPr>
        <w:t>，</w:t>
      </w:r>
      <w:r>
        <w:rPr>
          <w:rFonts w:hint="eastAsia" w:ascii="宋体" w:hAnsi="宋体" w:eastAsia="宋体" w:cs="宋体"/>
          <w:iCs/>
          <w:color w:val="auto"/>
          <w:sz w:val="22"/>
          <w:szCs w:val="22"/>
          <w:lang w:val="en-US" w:eastAsia="zh-CN"/>
        </w:rPr>
        <w:t>48小时内</w:t>
      </w:r>
      <w:r>
        <w:rPr>
          <w:rFonts w:hint="eastAsia" w:ascii="宋体" w:hAnsi="宋体" w:eastAsia="宋体" w:cs="宋体"/>
          <w:iCs/>
          <w:color w:val="auto"/>
          <w:sz w:val="22"/>
          <w:szCs w:val="22"/>
        </w:rPr>
        <w:t>得到解决，并运行正常。</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（4）在规定时间内完成交货并验收，并经甲方单位确认。</w:t>
      </w:r>
    </w:p>
    <w:p>
      <w:pPr>
        <w:spacing w:line="500" w:lineRule="exact"/>
        <w:rPr>
          <w:rFonts w:hint="eastAsia"/>
        </w:rPr>
      </w:pPr>
      <w:r>
        <w:rPr>
          <w:rFonts w:hint="eastAsia" w:ascii="宋体" w:hAnsi="宋体" w:eastAsia="宋体" w:cs="宋体"/>
          <w:iCs/>
          <w:color w:val="auto"/>
          <w:sz w:val="22"/>
          <w:szCs w:val="22"/>
        </w:rPr>
        <w:t>（5）系统运行（含试运行）时间达到</w:t>
      </w:r>
      <w:r>
        <w:rPr>
          <w:rFonts w:hint="eastAsia" w:ascii="宋体" w:hAnsi="宋体" w:eastAsia="宋体" w:cs="宋体"/>
          <w:iCs/>
          <w:color w:val="auto"/>
          <w:sz w:val="22"/>
          <w:szCs w:val="22"/>
          <w:lang w:val="en-US" w:eastAsia="zh-CN"/>
        </w:rPr>
        <w:t>一</w:t>
      </w:r>
      <w:r>
        <w:rPr>
          <w:rFonts w:hint="eastAsia" w:ascii="宋体" w:hAnsi="宋体" w:eastAsia="宋体" w:cs="宋体"/>
          <w:iCs/>
          <w:color w:val="auto"/>
          <w:sz w:val="22"/>
          <w:szCs w:val="22"/>
        </w:rPr>
        <w:t>个月，且无未解决的一级缺陷问题</w:t>
      </w:r>
      <w:r>
        <w:rPr>
          <w:rFonts w:hint="eastAsia" w:ascii="宋体" w:hAnsi="宋体" w:eastAsia="宋体" w:cs="宋体"/>
          <w:iCs/>
          <w:color w:val="auto"/>
          <w:sz w:val="22"/>
          <w:szCs w:val="22"/>
          <w:lang w:eastAsia="zh-CN"/>
        </w:rPr>
        <w:t>（</w:t>
      </w:r>
      <w:r>
        <w:rPr>
          <w:rFonts w:hint="eastAsia" w:ascii="宋体" w:hAnsi="宋体" w:eastAsia="宋体" w:cs="宋体"/>
          <w:iCs/>
          <w:color w:val="auto"/>
          <w:sz w:val="22"/>
          <w:szCs w:val="22"/>
        </w:rPr>
        <w:t>一级缺陷</w:t>
      </w:r>
      <w:r>
        <w:rPr>
          <w:rFonts w:hint="default" w:ascii="宋体" w:hAnsi="宋体" w:eastAsia="宋体" w:cs="宋体"/>
          <w:iCs/>
          <w:color w:val="auto"/>
          <w:sz w:val="22"/>
          <w:szCs w:val="22"/>
        </w:rPr>
        <w:t>：导致诊疗业务中断、数据丢失或严重安全隐患的故障</w:t>
      </w:r>
      <w:r>
        <w:rPr>
          <w:rFonts w:hint="eastAsia" w:ascii="宋体" w:hAnsi="宋体" w:eastAsia="宋体" w:cs="宋体"/>
          <w:iCs/>
          <w:color w:val="auto"/>
          <w:sz w:val="22"/>
          <w:szCs w:val="22"/>
          <w:lang w:eastAsia="zh-CN"/>
        </w:rPr>
        <w:t>）</w:t>
      </w:r>
      <w:r>
        <w:rPr>
          <w:rFonts w:hint="eastAsia" w:ascii="宋体" w:hAnsi="宋体" w:eastAsia="宋体" w:cs="宋体"/>
          <w:iCs/>
          <w:color w:val="auto"/>
          <w:sz w:val="22"/>
          <w:szCs w:val="22"/>
        </w:rPr>
        <w:t>，</w:t>
      </w:r>
      <w:r>
        <w:rPr>
          <w:rFonts w:hint="default" w:ascii="宋体" w:hAnsi="宋体" w:eastAsia="宋体" w:cs="宋体"/>
          <w:iCs/>
          <w:color w:val="auto"/>
          <w:sz w:val="22"/>
          <w:szCs w:val="22"/>
        </w:rPr>
        <w:t>核心业务模块可用性≥99%（单次故障时长≤</w:t>
      </w:r>
      <w:r>
        <w:rPr>
          <w:rFonts w:hint="eastAsia" w:ascii="宋体" w:hAnsi="宋体" w:eastAsia="宋体" w:cs="宋体"/>
          <w:iCs/>
          <w:color w:val="auto"/>
          <w:sz w:val="22"/>
          <w:szCs w:val="22"/>
          <w:lang w:val="en-US" w:eastAsia="zh-CN"/>
        </w:rPr>
        <w:t>6</w:t>
      </w:r>
      <w:r>
        <w:rPr>
          <w:rFonts w:hint="default" w:ascii="宋体" w:hAnsi="宋体" w:eastAsia="宋体" w:cs="宋体"/>
          <w:iCs/>
          <w:color w:val="auto"/>
          <w:sz w:val="22"/>
          <w:szCs w:val="22"/>
        </w:rPr>
        <w:t>0分钟）</w:t>
      </w:r>
      <w:r>
        <w:rPr>
          <w:rFonts w:hint="eastAsia" w:ascii="宋体" w:hAnsi="宋体" w:eastAsia="宋体" w:cs="宋体"/>
          <w:iCs/>
          <w:color w:val="auto"/>
          <w:sz w:val="22"/>
          <w:szCs w:val="22"/>
          <w:lang w:val="en-US" w:eastAsia="zh-CN"/>
        </w:rPr>
        <w:t>;</w:t>
      </w:r>
      <w:r>
        <w:rPr>
          <w:rFonts w:hint="eastAsia" w:ascii="宋体" w:hAnsi="宋体" w:eastAsia="宋体" w:cs="宋体"/>
          <w:iCs/>
          <w:color w:val="auto"/>
          <w:sz w:val="22"/>
          <w:szCs w:val="22"/>
        </w:rPr>
        <w:t>乙方可提交验收申请，经甲方批准后组织验收。</w:t>
      </w:r>
    </w:p>
    <w:p>
      <w:pPr>
        <w:spacing w:line="500" w:lineRule="exact"/>
        <w:rPr>
          <w:rFonts w:hint="eastAsia" w:ascii="宋体" w:hAnsi="宋体" w:eastAsia="宋体" w:cs="宋体"/>
          <w:iCs/>
          <w:color w:val="auto"/>
          <w:sz w:val="22"/>
          <w:szCs w:val="22"/>
        </w:rPr>
      </w:pPr>
      <w:r>
        <w:rPr>
          <w:rFonts w:hint="eastAsia" w:ascii="宋体" w:hAnsi="宋体" w:cs="宋体"/>
          <w:iCs/>
          <w:color w:val="auto"/>
          <w:sz w:val="22"/>
          <w:szCs w:val="22"/>
          <w:lang w:val="en-US" w:eastAsia="zh-CN"/>
        </w:rPr>
        <w:t>4</w:t>
      </w:r>
      <w:r>
        <w:rPr>
          <w:rFonts w:hint="eastAsia" w:ascii="宋体" w:hAnsi="宋体" w:eastAsia="宋体" w:cs="宋体"/>
          <w:iCs/>
          <w:color w:val="auto"/>
          <w:sz w:val="22"/>
          <w:szCs w:val="22"/>
        </w:rPr>
        <w:t>.2产品在安装调试并试运行符合要求、运行稳定后再进入验收。</w:t>
      </w:r>
    </w:p>
    <w:p>
      <w:pPr>
        <w:spacing w:line="500" w:lineRule="exact"/>
        <w:rPr>
          <w:rFonts w:hint="eastAsia" w:ascii="宋体" w:hAnsi="宋体" w:eastAsia="宋体" w:cs="宋体"/>
          <w:iCs/>
          <w:color w:val="auto"/>
          <w:sz w:val="22"/>
          <w:szCs w:val="22"/>
        </w:rPr>
      </w:pPr>
      <w:r>
        <w:rPr>
          <w:rFonts w:hint="eastAsia" w:ascii="宋体" w:hAnsi="宋体" w:cs="宋体"/>
          <w:iCs/>
          <w:color w:val="auto"/>
          <w:sz w:val="22"/>
          <w:szCs w:val="22"/>
          <w:lang w:val="en-US" w:eastAsia="zh-CN"/>
        </w:rPr>
        <w:t>4</w:t>
      </w:r>
      <w:r>
        <w:rPr>
          <w:rFonts w:hint="eastAsia" w:ascii="宋体" w:hAnsi="宋体" w:eastAsia="宋体" w:cs="宋体"/>
          <w:iCs/>
          <w:color w:val="auto"/>
          <w:sz w:val="22"/>
          <w:szCs w:val="22"/>
        </w:rPr>
        <w:t>.3成交供应商提供的产品未达到招标文件规定要求，如验收未达到合格标准，由成交供应商自行进行整改直至合格，整改发生的一切费用由成交供应商承担。且对采购人造成损失的，由成交供应商承担一切责任，并赔偿所造成的损失。</w:t>
      </w:r>
    </w:p>
    <w:p>
      <w:pPr>
        <w:spacing w:line="500" w:lineRule="exact"/>
        <w:ind w:firstLine="440" w:firstLineChars="200"/>
        <w:rPr>
          <w:rFonts w:hint="eastAsia" w:ascii="宋体" w:hAnsi="宋体" w:eastAsia="宋体" w:cs="宋体"/>
          <w:iCs/>
          <w:color w:val="auto"/>
          <w:sz w:val="22"/>
          <w:szCs w:val="22"/>
          <w:lang w:val="en-US" w:eastAsia="zh-CN"/>
        </w:rPr>
      </w:pPr>
    </w:p>
    <w:p>
      <w:pPr>
        <w:pStyle w:val="5"/>
        <w:spacing w:before="0" w:after="0" w:line="360" w:lineRule="auto"/>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五、</w:t>
      </w:r>
      <w:bookmarkEnd w:id="52"/>
      <w:bookmarkEnd w:id="53"/>
      <w:r>
        <w:rPr>
          <w:rFonts w:hint="eastAsia" w:ascii="宋体" w:hAnsi="宋体" w:cs="宋体"/>
          <w:color w:val="auto"/>
          <w:sz w:val="30"/>
          <w:szCs w:val="30"/>
          <w:highlight w:val="none"/>
          <w:lang w:val="en-US" w:eastAsia="zh-CN"/>
        </w:rPr>
        <w:t>人员配备</w:t>
      </w:r>
    </w:p>
    <w:p>
      <w:pPr>
        <w:pStyle w:val="5"/>
        <w:spacing w:before="0" w:after="0" w:line="360" w:lineRule="auto"/>
        <w:ind w:firstLine="240" w:firstLineChars="100"/>
        <w:rPr>
          <w:rFonts w:hint="eastAsia" w:ascii="宋体" w:hAnsi="宋体" w:eastAsia="宋体" w:cs="方正仿宋_GBK"/>
          <w:b w:val="0"/>
          <w:color w:val="auto"/>
          <w:kern w:val="2"/>
          <w:sz w:val="24"/>
          <w:szCs w:val="24"/>
          <w:highlight w:val="none"/>
          <w:lang w:val="en-US" w:eastAsia="zh-CN" w:bidi="ar-SA"/>
        </w:rPr>
      </w:pPr>
      <w:bookmarkStart w:id="54" w:name="_Toc344475123"/>
      <w:bookmarkStart w:id="55" w:name="_Toc403569793"/>
      <w:bookmarkStart w:id="56" w:name="_Toc109056869"/>
      <w:bookmarkStart w:id="57" w:name="_Toc20636"/>
      <w:r>
        <w:rPr>
          <w:rFonts w:hint="eastAsia" w:ascii="宋体" w:hAnsi="宋体" w:eastAsia="宋体" w:cs="方正仿宋_GBK"/>
          <w:b w:val="0"/>
          <w:color w:val="auto"/>
          <w:kern w:val="2"/>
          <w:sz w:val="24"/>
          <w:szCs w:val="24"/>
          <w:highlight w:val="none"/>
          <w:lang w:val="en-US" w:eastAsia="zh-CN" w:bidi="ar-SA"/>
        </w:rPr>
        <w:t>指派至少1名具有医疗信息化项目经验的项目经理全程驻场实施，负责协调安装、调试、培训及验收工作，直至系统正式上线并稳定运行。</w:t>
      </w:r>
    </w:p>
    <w:p>
      <w:pPr>
        <w:pStyle w:val="5"/>
        <w:spacing w:before="0" w:after="0"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六、售后要求</w:t>
      </w:r>
    </w:p>
    <w:p>
      <w:pPr>
        <w:pStyle w:val="5"/>
        <w:spacing w:before="0" w:after="0" w:line="360" w:lineRule="auto"/>
        <w:ind w:firstLine="240" w:firstLineChars="100"/>
        <w:rPr>
          <w:rFonts w:hint="default"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验收合格后质保期1年。质保期内提供7*24小时服务，售后响应时间≤2小时，远程不能解决时，要求在24小时内到达现场进行维护。</w:t>
      </w:r>
    </w:p>
    <w:p>
      <w:pPr>
        <w:pStyle w:val="5"/>
        <w:numPr>
          <w:ilvl w:val="0"/>
          <w:numId w:val="0"/>
        </w:numPr>
        <w:spacing w:before="0" w:after="0" w:line="360" w:lineRule="auto"/>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七、</w:t>
      </w:r>
      <w:r>
        <w:rPr>
          <w:rFonts w:hint="eastAsia" w:ascii="宋体" w:hAnsi="宋体" w:eastAsia="宋体" w:cs="宋体"/>
          <w:color w:val="auto"/>
          <w:sz w:val="30"/>
          <w:szCs w:val="30"/>
          <w:highlight w:val="none"/>
          <w:lang w:val="en-US" w:eastAsia="zh-CN"/>
        </w:rPr>
        <w:t>业绩要求</w:t>
      </w:r>
    </w:p>
    <w:p>
      <w:pPr>
        <w:pStyle w:val="5"/>
        <w:spacing w:before="0" w:after="0" w:line="360" w:lineRule="auto"/>
        <w:ind w:firstLine="240" w:firstLineChars="100"/>
        <w:rPr>
          <w:rFonts w:hint="default"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投标人至少提供一例与本项目类似的业绩证明，提供2022年01月01日起类似项目业绩合同案例证明材料。（投标人或投标产品制造商的业绩均可）</w:t>
      </w:r>
    </w:p>
    <w:p>
      <w:pPr>
        <w:pStyle w:val="5"/>
        <w:spacing w:before="0" w:after="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八、</w:t>
      </w:r>
      <w:r>
        <w:rPr>
          <w:rFonts w:hint="eastAsia" w:ascii="宋体" w:hAnsi="宋体" w:cs="宋体"/>
          <w:color w:val="auto"/>
          <w:sz w:val="30"/>
          <w:szCs w:val="30"/>
          <w:highlight w:val="none"/>
        </w:rPr>
        <w:t>知识产权</w:t>
      </w:r>
      <w:bookmarkEnd w:id="54"/>
      <w:bookmarkEnd w:id="55"/>
      <w:bookmarkEnd w:id="56"/>
      <w:bookmarkEnd w:id="57"/>
    </w:p>
    <w:p>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（注：若涉及软件开发等服务类项目知识产权的，知识产权归采购人所有）。</w:t>
      </w:r>
    </w:p>
    <w:p>
      <w:pPr>
        <w:pStyle w:val="5"/>
        <w:numPr>
          <w:ilvl w:val="0"/>
          <w:numId w:val="0"/>
        </w:numPr>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九、安全条款</w:t>
      </w:r>
    </w:p>
    <w:p>
      <w:pPr>
        <w:snapToGrid w:val="0"/>
        <w:spacing w:line="360" w:lineRule="auto"/>
        <w:ind w:firstLine="540"/>
        <w:rPr>
          <w:rFonts w:hint="eastAsia" w:ascii="宋体" w:hAnsi="宋体" w:eastAsia="宋体" w:cs="方正仿宋_GBK"/>
          <w:color w:val="auto"/>
          <w:sz w:val="24"/>
          <w:szCs w:val="24"/>
          <w:highlight w:val="none"/>
        </w:rPr>
      </w:pPr>
      <w:bookmarkStart w:id="58" w:name="_Toc30747"/>
      <w:bookmarkStart w:id="59" w:name="_Toc403569795"/>
      <w:bookmarkStart w:id="60" w:name="_Toc109056871"/>
      <w:r>
        <w:rPr>
          <w:rFonts w:hint="eastAsia" w:ascii="宋体" w:hAnsi="宋体" w:eastAsia="宋体" w:cs="方正仿宋_GBK"/>
          <w:color w:val="auto"/>
          <w:sz w:val="24"/>
          <w:szCs w:val="24"/>
          <w:highlight w:val="none"/>
        </w:rPr>
        <w:t>(1)承建方提供系统全生命周期内的安全保证，系统上线前不能存在高危安全漏洞、不得设置后门程序或者恶意程序，同时需配合甲方完成等保、安全检查发现问题的整改,并且对于上级网络安全主管部门下发通报的系统安全漏洞要在使用方提出后规定时间内解决。</w:t>
      </w:r>
    </w:p>
    <w:p>
      <w:pPr>
        <w:snapToGrid w:val="0"/>
        <w:spacing w:line="360" w:lineRule="auto"/>
        <w:ind w:firstLine="540"/>
        <w:rPr>
          <w:rFonts w:hint="eastAsia"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w:t>
      </w:r>
      <w:r>
        <w:rPr>
          <w:rFonts w:hint="eastAsia" w:ascii="宋体" w:hAnsi="宋体" w:eastAsia="宋体" w:cs="方正仿宋_GBK"/>
          <w:color w:val="auto"/>
          <w:sz w:val="24"/>
          <w:szCs w:val="24"/>
          <w:highlight w:val="none"/>
          <w:lang w:val="en-US" w:eastAsia="zh-CN"/>
        </w:rPr>
        <w:t>2</w:t>
      </w:r>
      <w:r>
        <w:rPr>
          <w:rFonts w:hint="eastAsia" w:ascii="宋体" w:hAnsi="宋体" w:eastAsia="宋体" w:cs="方正仿宋_GBK"/>
          <w:color w:val="auto"/>
          <w:sz w:val="24"/>
          <w:szCs w:val="24"/>
          <w:highlight w:val="none"/>
        </w:rPr>
        <w:t>)登录界面实行强密码策略，定期更换密码，严禁使用弱口令。</w:t>
      </w:r>
    </w:p>
    <w:p>
      <w:pPr>
        <w:pStyle w:val="5"/>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十、</w:t>
      </w:r>
      <w:bookmarkStart w:id="61" w:name="_Toc344475125"/>
      <w:r>
        <w:rPr>
          <w:rFonts w:hint="eastAsia" w:ascii="宋体" w:hAnsi="宋体" w:cs="宋体"/>
          <w:color w:val="auto"/>
          <w:sz w:val="30"/>
          <w:szCs w:val="30"/>
          <w:highlight w:val="none"/>
          <w:lang w:val="en-US" w:eastAsia="zh-CN"/>
        </w:rPr>
        <w:t>其他</w:t>
      </w:r>
      <w:bookmarkEnd w:id="58"/>
      <w:bookmarkEnd w:id="59"/>
      <w:bookmarkEnd w:id="60"/>
    </w:p>
    <w:bookmarkEnd w:id="61"/>
    <w:p>
      <w:pPr>
        <w:widowControl/>
        <w:spacing w:line="360" w:lineRule="auto"/>
        <w:ind w:firstLine="470" w:firstLineChars="196"/>
        <w:jc w:val="left"/>
        <w:rPr>
          <w:rFonts w:ascii="方正仿宋_GBK" w:hAnsi="方正仿宋_GBK" w:eastAsia="方正仿宋_GBK" w:cs="方正仿宋_GBK"/>
          <w:color w:val="auto"/>
          <w:sz w:val="32"/>
          <w:szCs w:val="32"/>
          <w:highlight w:val="none"/>
        </w:rPr>
      </w:pPr>
      <w:r>
        <w:rPr>
          <w:rFonts w:hint="eastAsia" w:ascii="宋体" w:hAnsi="宋体" w:cs="方正仿宋_GBK"/>
          <w:color w:val="auto"/>
          <w:sz w:val="24"/>
          <w:szCs w:val="24"/>
          <w:highlight w:val="none"/>
        </w:rPr>
        <w:t>其他未尽事宜由供需双方在采购合同中详细约定。</w:t>
      </w:r>
    </w:p>
    <w:p>
      <w:pPr>
        <w:pStyle w:val="32"/>
        <w:rPr>
          <w:color w:val="auto"/>
          <w:highlight w:val="none"/>
        </w:rPr>
      </w:pPr>
    </w:p>
    <w:p>
      <w:pPr>
        <w:widowControl/>
        <w:shd w:val="clear" w:color="auto" w:fill="FFFFFF"/>
        <w:spacing w:line="400" w:lineRule="atLeast"/>
        <w:rPr>
          <w:rFonts w:ascii="宋体" w:hAnsi="宋体" w:cs="宋体"/>
          <w:color w:val="auto"/>
          <w:kern w:val="0"/>
          <w:sz w:val="30"/>
          <w:szCs w:val="30"/>
          <w:highlight w:val="none"/>
        </w:rPr>
      </w:pPr>
    </w:p>
    <w:p>
      <w:pPr>
        <w:pStyle w:val="56"/>
        <w:rPr>
          <w:color w:val="auto"/>
          <w:kern w:val="0"/>
          <w:highlight w:val="none"/>
        </w:rPr>
      </w:pPr>
    </w:p>
    <w:p>
      <w:pPr>
        <w:rPr>
          <w:color w:val="auto"/>
          <w:kern w:val="0"/>
          <w:highlight w:val="none"/>
        </w:rPr>
      </w:pPr>
      <w:r>
        <w:rPr>
          <w:rFonts w:ascii="宋体" w:hAnsi="宋体" w:cs="宋体"/>
          <w:color w:val="auto"/>
          <w:kern w:val="0"/>
          <w:sz w:val="30"/>
          <w:szCs w:val="30"/>
          <w:highlight w:val="none"/>
        </w:rPr>
        <w:br w:type="page"/>
      </w:r>
    </w:p>
    <w:p>
      <w:pPr>
        <w:pStyle w:val="4"/>
        <w:spacing w:line="360" w:lineRule="auto"/>
        <w:ind w:firstLine="1928" w:firstLineChars="600"/>
        <w:jc w:val="both"/>
        <w:rPr>
          <w:rStyle w:val="70"/>
          <w:rFonts w:hint="eastAsia" w:ascii="宋体" w:hAnsi="宋体" w:cs="宋体"/>
          <w:b/>
          <w:color w:val="auto"/>
          <w:highlight w:val="none"/>
        </w:rPr>
      </w:pPr>
      <w:r>
        <w:rPr>
          <w:rStyle w:val="70"/>
          <w:rFonts w:hint="eastAsia" w:ascii="宋体" w:hAnsi="宋体" w:cs="宋体"/>
          <w:b/>
          <w:color w:val="auto"/>
          <w:highlight w:val="none"/>
        </w:rPr>
        <w:t>第</w:t>
      </w:r>
      <w:r>
        <w:rPr>
          <w:rStyle w:val="70"/>
          <w:rFonts w:hint="eastAsia" w:ascii="宋体" w:hAnsi="宋体" w:cs="宋体"/>
          <w:b/>
          <w:color w:val="auto"/>
          <w:highlight w:val="none"/>
          <w:lang w:val="en-US" w:eastAsia="zh-CN"/>
        </w:rPr>
        <w:t>四篇</w:t>
      </w:r>
      <w:r>
        <w:rPr>
          <w:rStyle w:val="70"/>
          <w:rFonts w:hint="eastAsia" w:ascii="宋体" w:hAnsi="宋体" w:cs="宋体"/>
          <w:b/>
          <w:color w:val="auto"/>
          <w:highlight w:val="none"/>
        </w:rPr>
        <w:t xml:space="preserve"> 合同主要条款和格式合同（样本）</w:t>
      </w:r>
    </w:p>
    <w:p>
      <w:pPr>
        <w:pStyle w:val="4"/>
        <w:spacing w:before="0" w:after="0" w:line="240" w:lineRule="auto"/>
        <w:ind w:firstLine="482"/>
        <w:rPr>
          <w:rFonts w:ascii="Times New Roman" w:hAnsi="Times New Roman" w:eastAsia="仿宋"/>
          <w:sz w:val="24"/>
          <w:highlight w:val="none"/>
        </w:rPr>
      </w:pPr>
      <w:r>
        <w:rPr>
          <w:rFonts w:ascii="Times New Roman" w:hAnsi="Times New Roman" w:eastAsia="仿宋"/>
          <w:sz w:val="24"/>
          <w:highlight w:val="none"/>
        </w:rPr>
        <w:t>一、合同主要条款</w:t>
      </w:r>
    </w:p>
    <w:p>
      <w:pPr>
        <w:snapToGrid w:val="0"/>
        <w:spacing w:line="400" w:lineRule="exact"/>
        <w:ind w:firstLine="560" w:firstLineChars="200"/>
        <w:outlineLvl w:val="0"/>
        <w:rPr>
          <w:rFonts w:eastAsia="仿宋"/>
          <w:bCs/>
          <w:highlight w:val="none"/>
        </w:rPr>
      </w:pPr>
      <w:r>
        <w:rPr>
          <w:rFonts w:eastAsia="仿宋"/>
          <w:bCs/>
          <w:highlight w:val="none"/>
        </w:rPr>
        <w:t>1.定义</w:t>
      </w:r>
    </w:p>
    <w:p>
      <w:pPr>
        <w:snapToGrid w:val="0"/>
        <w:spacing w:line="400" w:lineRule="exact"/>
        <w:ind w:firstLine="560" w:firstLineChars="200"/>
        <w:outlineLvl w:val="0"/>
        <w:rPr>
          <w:rFonts w:eastAsia="仿宋"/>
          <w:bCs/>
          <w:highlight w:val="none"/>
        </w:rPr>
      </w:pPr>
      <w:r>
        <w:rPr>
          <w:rFonts w:eastAsia="仿宋"/>
          <w:bCs/>
          <w:highlight w:val="none"/>
        </w:rPr>
        <w:t>1.1甲方（需方）即采购人，</w:t>
      </w:r>
      <w:r>
        <w:rPr>
          <w:rFonts w:hint="eastAsia" w:eastAsia="仿宋"/>
          <w:bCs/>
          <w:highlight w:val="none"/>
        </w:rPr>
        <w:t>重庆市沙坪坝区人民医院。</w:t>
      </w:r>
    </w:p>
    <w:p>
      <w:pPr>
        <w:snapToGrid w:val="0"/>
        <w:spacing w:line="400" w:lineRule="exact"/>
        <w:ind w:firstLine="560" w:firstLineChars="200"/>
        <w:outlineLvl w:val="0"/>
        <w:rPr>
          <w:rFonts w:eastAsia="仿宋"/>
          <w:bCs/>
          <w:highlight w:val="none"/>
        </w:rPr>
      </w:pPr>
      <w:r>
        <w:rPr>
          <w:rFonts w:eastAsia="仿宋"/>
          <w:bCs/>
          <w:highlight w:val="none"/>
        </w:rPr>
        <w:t>1.2乙方（供方）即中标供应商，是指中标后提供合同货物和服务的自然人、法人及其他组织。</w:t>
      </w:r>
    </w:p>
    <w:p>
      <w:pPr>
        <w:snapToGrid w:val="0"/>
        <w:spacing w:line="400" w:lineRule="exact"/>
        <w:ind w:firstLine="560" w:firstLineChars="200"/>
        <w:outlineLvl w:val="0"/>
        <w:rPr>
          <w:rFonts w:eastAsia="仿宋"/>
          <w:bCs/>
          <w:highlight w:val="none"/>
        </w:rPr>
      </w:pPr>
      <w:r>
        <w:rPr>
          <w:rFonts w:eastAsia="仿宋"/>
          <w:bCs/>
          <w:highlight w:val="none"/>
        </w:rPr>
        <w:t>1.3合同是指由甲乙双方按照</w:t>
      </w:r>
      <w:r>
        <w:rPr>
          <w:rFonts w:hint="eastAsia" w:eastAsia="仿宋"/>
          <w:bCs/>
          <w:highlight w:val="none"/>
        </w:rPr>
        <w:t>采购</w:t>
      </w:r>
      <w:r>
        <w:rPr>
          <w:rFonts w:eastAsia="仿宋"/>
          <w:bCs/>
          <w:highlight w:val="none"/>
        </w:rPr>
        <w:t>文件和投标文件的实质性内容，通过协商一致达成的书面协议。</w:t>
      </w:r>
    </w:p>
    <w:p>
      <w:pPr>
        <w:snapToGrid w:val="0"/>
        <w:spacing w:line="400" w:lineRule="exact"/>
        <w:ind w:firstLine="560" w:firstLineChars="200"/>
        <w:outlineLvl w:val="0"/>
        <w:rPr>
          <w:rFonts w:eastAsia="仿宋"/>
          <w:bCs/>
          <w:highlight w:val="none"/>
        </w:rPr>
      </w:pPr>
      <w:r>
        <w:rPr>
          <w:rFonts w:eastAsia="仿宋"/>
          <w:bCs/>
          <w:highlight w:val="none"/>
        </w:rPr>
        <w:t>1.4合同价格指以中标价格为依据，在供方全面履行合同义务后，需方应支付给供方的金额。</w:t>
      </w:r>
    </w:p>
    <w:p>
      <w:pPr>
        <w:snapToGrid w:val="0"/>
        <w:spacing w:line="400" w:lineRule="exact"/>
        <w:ind w:firstLine="560" w:firstLineChars="200"/>
        <w:outlineLvl w:val="0"/>
        <w:rPr>
          <w:rFonts w:eastAsia="仿宋"/>
          <w:bCs/>
          <w:highlight w:val="none"/>
        </w:rPr>
      </w:pPr>
      <w:r>
        <w:rPr>
          <w:rFonts w:eastAsia="仿宋"/>
          <w:bCs/>
          <w:highlight w:val="none"/>
        </w:rPr>
        <w:t>1.5技术资料是指合同货物及其相关的设计、制造、监造、检验、验收等文件（包括图纸、各种文字说明、标准）。</w:t>
      </w:r>
    </w:p>
    <w:p>
      <w:pPr>
        <w:snapToGrid w:val="0"/>
        <w:spacing w:line="400" w:lineRule="exact"/>
        <w:ind w:firstLine="560" w:firstLineChars="200"/>
        <w:outlineLvl w:val="0"/>
        <w:rPr>
          <w:rFonts w:eastAsia="仿宋"/>
          <w:bCs/>
          <w:highlight w:val="none"/>
        </w:rPr>
      </w:pPr>
      <w:r>
        <w:rPr>
          <w:rFonts w:eastAsia="仿宋"/>
          <w:bCs/>
          <w:highlight w:val="none"/>
        </w:rPr>
        <w:t>2.货物内容</w:t>
      </w:r>
    </w:p>
    <w:p>
      <w:pPr>
        <w:snapToGrid w:val="0"/>
        <w:spacing w:line="400" w:lineRule="exact"/>
        <w:ind w:firstLine="560" w:firstLineChars="200"/>
        <w:outlineLvl w:val="0"/>
        <w:rPr>
          <w:rFonts w:eastAsia="仿宋"/>
          <w:bCs/>
          <w:highlight w:val="none"/>
        </w:rPr>
      </w:pPr>
      <w:r>
        <w:rPr>
          <w:rFonts w:eastAsia="仿宋"/>
          <w:bCs/>
          <w:highlight w:val="none"/>
        </w:rPr>
        <w:t>合同包括以下内容：货物名称、型号规格、数量（单位）等内容。</w:t>
      </w:r>
    </w:p>
    <w:p>
      <w:pPr>
        <w:snapToGrid w:val="0"/>
        <w:spacing w:line="400" w:lineRule="exact"/>
        <w:ind w:firstLine="560" w:firstLineChars="200"/>
        <w:outlineLvl w:val="0"/>
        <w:rPr>
          <w:rFonts w:eastAsia="仿宋"/>
          <w:bCs/>
          <w:highlight w:val="none"/>
        </w:rPr>
      </w:pPr>
      <w:r>
        <w:rPr>
          <w:rFonts w:eastAsia="仿宋"/>
          <w:bCs/>
          <w:highlight w:val="none"/>
        </w:rPr>
        <w:t>3.合同价格</w:t>
      </w:r>
    </w:p>
    <w:p>
      <w:pPr>
        <w:snapToGrid w:val="0"/>
        <w:spacing w:line="400" w:lineRule="exact"/>
        <w:ind w:firstLine="560" w:firstLineChars="200"/>
        <w:outlineLvl w:val="0"/>
        <w:rPr>
          <w:rFonts w:eastAsia="仿宋"/>
          <w:bCs/>
          <w:highlight w:val="none"/>
        </w:rPr>
      </w:pPr>
      <w:r>
        <w:rPr>
          <w:rFonts w:eastAsia="仿宋"/>
          <w:bCs/>
          <w:highlight w:val="none"/>
        </w:rPr>
        <w:t>3.1合同价格即合同总价。</w:t>
      </w:r>
    </w:p>
    <w:p>
      <w:pPr>
        <w:snapToGrid w:val="0"/>
        <w:spacing w:line="400" w:lineRule="exact"/>
        <w:ind w:firstLine="560" w:firstLineChars="200"/>
        <w:outlineLvl w:val="0"/>
        <w:rPr>
          <w:rFonts w:eastAsia="仿宋"/>
          <w:bCs/>
          <w:highlight w:val="none"/>
        </w:rPr>
      </w:pPr>
      <w:r>
        <w:rPr>
          <w:rFonts w:eastAsia="仿宋"/>
          <w:bCs/>
          <w:highlight w:val="none"/>
        </w:rPr>
        <w:t>3.2合同价格包括合同货物、技术资料、合同货物的税费、运杂费、保险费、包装费、装卸费及与货物有关的供方应纳的税费，所有税费由乙方负担。</w:t>
      </w:r>
    </w:p>
    <w:p>
      <w:pPr>
        <w:snapToGrid w:val="0"/>
        <w:spacing w:line="400" w:lineRule="exact"/>
        <w:ind w:firstLine="560" w:firstLineChars="200"/>
        <w:outlineLvl w:val="0"/>
        <w:rPr>
          <w:rFonts w:eastAsia="仿宋"/>
          <w:bCs/>
          <w:highlight w:val="none"/>
        </w:rPr>
      </w:pPr>
      <w:r>
        <w:rPr>
          <w:rFonts w:eastAsia="仿宋"/>
          <w:bCs/>
          <w:highlight w:val="none"/>
        </w:rPr>
        <w:t>3.3合同货物单价为不变价。</w:t>
      </w:r>
    </w:p>
    <w:p>
      <w:pPr>
        <w:snapToGrid w:val="0"/>
        <w:spacing w:line="400" w:lineRule="exact"/>
        <w:ind w:firstLine="560" w:firstLineChars="200"/>
        <w:outlineLvl w:val="0"/>
        <w:rPr>
          <w:rFonts w:eastAsia="仿宋"/>
          <w:bCs/>
          <w:highlight w:val="none"/>
        </w:rPr>
      </w:pPr>
      <w:r>
        <w:rPr>
          <w:rFonts w:eastAsia="仿宋"/>
          <w:bCs/>
          <w:highlight w:val="none"/>
        </w:rPr>
        <w:t>4.转包或分包</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4.1本合同范围的货物，应由乙方直接供应，不得转让他人供应</w:t>
      </w:r>
      <w:r>
        <w:rPr>
          <w:rFonts w:hint="eastAsia" w:eastAsia="仿宋"/>
          <w:bCs/>
          <w:highlight w:val="none"/>
          <w:lang w:eastAsia="zh-CN"/>
        </w:rPr>
        <w:t>。</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4.2非经甲方书面同意，乙方不得将本合同范围的货物全部或部分分包给他人供应</w:t>
      </w:r>
      <w:r>
        <w:rPr>
          <w:rFonts w:hint="eastAsia" w:eastAsia="仿宋"/>
          <w:bCs/>
          <w:highlight w:val="none"/>
          <w:lang w:eastAsia="zh-CN"/>
        </w:rPr>
        <w:t>。</w:t>
      </w:r>
    </w:p>
    <w:p>
      <w:pPr>
        <w:snapToGrid w:val="0"/>
        <w:spacing w:line="400" w:lineRule="exact"/>
        <w:ind w:firstLine="560" w:firstLineChars="200"/>
        <w:outlineLvl w:val="0"/>
        <w:rPr>
          <w:rFonts w:eastAsia="仿宋"/>
          <w:bCs/>
          <w:highlight w:val="none"/>
        </w:rPr>
      </w:pPr>
      <w:r>
        <w:rPr>
          <w:rFonts w:eastAsia="仿宋"/>
          <w:bCs/>
          <w:highlight w:val="none"/>
        </w:rPr>
        <w:t>4.3如有转让和未经甲方同意的分包行为，甲方有权解除合同，没收履约保证金并追究乙方的违约责任。</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5.质量保证及售后服务</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5.1乙方应按</w:t>
      </w:r>
      <w:r>
        <w:rPr>
          <w:rFonts w:hint="eastAsia" w:ascii="Times New Roman" w:hAnsi="Times New Roman" w:eastAsia="仿宋"/>
          <w:sz w:val="24"/>
          <w:highlight w:val="none"/>
        </w:rPr>
        <w:t>采购</w:t>
      </w:r>
      <w:r>
        <w:rPr>
          <w:rFonts w:ascii="Times New Roman" w:hAnsi="Times New Roman" w:eastAsia="仿宋"/>
          <w:sz w:val="24"/>
          <w:highlight w:val="none"/>
        </w:rPr>
        <w:t>文件规定的货物性能、技术要求、质量标准向甲方提供未经使用的全新产品。</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5.2乙方提供的货物在质保期内因货物本身的质量问题发生故障，乙方应负责免费更换。对达不到技术要求者，根据实际情况，经双方协商，可按以下办法处理：</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5.2.1更换：由乙方承担所发生的全部费用。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5.2.2贬值处理：由甲乙双方合议定价。</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5.2.3退货处理：乙方应退还甲方支付的合同款，同时应承担该货物的直接费用（运输、保险、检验、货款利息及银行手续费等）。</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5.3如在使用过程中发生质量问题，乙方应按</w:t>
      </w:r>
      <w:r>
        <w:rPr>
          <w:rFonts w:hint="eastAsia" w:ascii="Times New Roman" w:hAnsi="Times New Roman" w:eastAsia="仿宋"/>
          <w:sz w:val="24"/>
          <w:highlight w:val="none"/>
        </w:rPr>
        <w:t>采购文件中所提</w:t>
      </w:r>
      <w:r>
        <w:rPr>
          <w:rFonts w:ascii="Times New Roman" w:hAnsi="Times New Roman" w:eastAsia="仿宋"/>
          <w:sz w:val="24"/>
          <w:highlight w:val="none"/>
        </w:rPr>
        <w:t>要求处理。</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5.4在质保期内，乙方应对货物出现的质量及安全问题负责处理解决并承担一切费用。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w:t>
      </w:r>
      <w:r>
        <w:rPr>
          <w:rFonts w:hint="eastAsia" w:ascii="Times New Roman" w:hAnsi="Times New Roman" w:eastAsia="仿宋"/>
          <w:sz w:val="24"/>
          <w:highlight w:val="none"/>
        </w:rPr>
        <w:t>采购文件所提要求</w:t>
      </w:r>
      <w:r>
        <w:rPr>
          <w:rFonts w:ascii="Times New Roman" w:hAnsi="Times New Roman" w:eastAsia="仿宋"/>
          <w:sz w:val="24"/>
          <w:highlight w:val="none"/>
        </w:rPr>
        <w:t>处理。</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w:t>
      </w:r>
      <w:r>
        <w:rPr>
          <w:rFonts w:hint="eastAsia" w:ascii="Times New Roman" w:hAnsi="Times New Roman" w:eastAsia="仿宋"/>
          <w:sz w:val="24"/>
          <w:highlight w:val="none"/>
        </w:rPr>
        <w:t>采购文件</w:t>
      </w:r>
      <w:r>
        <w:rPr>
          <w:rFonts w:ascii="Times New Roman" w:hAnsi="Times New Roman" w:eastAsia="仿宋"/>
          <w:sz w:val="24"/>
          <w:highlight w:val="none"/>
        </w:rPr>
        <w:t>中关于付款方式的约定。</w:t>
      </w:r>
    </w:p>
    <w:p>
      <w:pPr>
        <w:pStyle w:val="32"/>
        <w:numPr>
          <w:ilvl w:val="0"/>
          <w:numId w:val="16"/>
        </w:numPr>
        <w:spacing w:line="400" w:lineRule="exact"/>
        <w:ind w:left="0" w:leftChars="0" w:firstLine="468" w:firstLineChars="0"/>
        <w:rPr>
          <w:rFonts w:ascii="Times New Roman" w:hAnsi="Times New Roman" w:eastAsia="仿宋"/>
          <w:sz w:val="24"/>
          <w:highlight w:val="none"/>
        </w:rPr>
      </w:pPr>
      <w:r>
        <w:rPr>
          <w:rFonts w:ascii="Times New Roman" w:hAnsi="Times New Roman" w:eastAsia="仿宋"/>
          <w:sz w:val="24"/>
          <w:highlight w:val="none"/>
        </w:rPr>
        <w:t>验收</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7.1供方应随货物提供合格证和质量证明文件，如是国外进口的货物还须提供入关证明。</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7.2货物验收</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7.3货物验收报告应由需方、供方经办人签字，并加盖双方公章，以此作为支付凭据。</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供方对货物与合同要求不符负有责任，并且需方已于规定交货内和质量保证期内提出索赔，供方应按需方同意的下述一种或多种方法解决索赔事宜。</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8.2根据货物的疵劣和受损程度以及需方遭受损失的金额，经双方同意降低货物价格。</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10.合同争议的解决</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10.1当事人友好协商达成一致</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10.2在60天内当事人协商不能达成协议的，可提请采购人当地人民法院提请诉讼。</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11.违约责任</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按《中华人民共和国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》有关条款，或由供需双方约定。</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12.合同生效及其它</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12.1合同生效及其效力应符合《中华人民共和国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》有关规定。</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12.2合同应经当事人法定代表人或委托代理人签字，加盖双方合同专用章或公章。</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12.3合同所包括附件，是合同不可分割的一部分，具有同等法法律效力。</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12.5本合同条件未尽事宜由供需双方共同协商确定。</w:t>
      </w:r>
    </w:p>
    <w:p>
      <w:pPr>
        <w:pStyle w:val="32"/>
        <w:spacing w:line="400" w:lineRule="exact"/>
        <w:ind w:firstLine="480" w:firstLineChars="200"/>
        <w:rPr>
          <w:rFonts w:ascii="Times New Roman" w:hAnsi="Times New Roman" w:eastAsia="仿宋" w:cs="Times New Roman"/>
          <w:sz w:val="24"/>
          <w:highlight w:val="none"/>
        </w:rPr>
        <w:sectPr>
          <w:headerReference r:id="rId5" w:type="default"/>
          <w:footerReference r:id="rId6" w:type="default"/>
          <w:pgSz w:w="11907" w:h="16840"/>
          <w:pgMar w:top="1134" w:right="1191" w:bottom="1134" w:left="1304" w:header="709" w:footer="544" w:gutter="0"/>
          <w:pgNumType w:fmt="numberInDash"/>
          <w:cols w:space="720" w:num="1"/>
          <w:docGrid w:linePitch="312" w:charSpace="0"/>
        </w:sectPr>
      </w:pPr>
    </w:p>
    <w:p>
      <w:pPr>
        <w:pStyle w:val="4"/>
        <w:spacing w:line="500" w:lineRule="exact"/>
        <w:ind w:firstLine="482" w:firstLineChars="200"/>
        <w:rPr>
          <w:rFonts w:ascii="Times New Roman" w:hAnsi="Times New Roman" w:eastAsia="仿宋"/>
          <w:sz w:val="24"/>
          <w:highlight w:val="none"/>
        </w:rPr>
      </w:pPr>
      <w:bookmarkStart w:id="62" w:name="_Toc277084871"/>
      <w:bookmarkStart w:id="63" w:name="_Toc493506317"/>
      <w:bookmarkStart w:id="64" w:name="_Toc285722713"/>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62"/>
      <w:bookmarkEnd w:id="63"/>
      <w:bookmarkEnd w:id="64"/>
    </w:p>
    <w:p>
      <w:pPr>
        <w:spacing w:line="500" w:lineRule="exact"/>
        <w:ind w:firstLine="883"/>
        <w:jc w:val="center"/>
        <w:rPr>
          <w:rFonts w:eastAsia="仿宋"/>
          <w:b/>
          <w:sz w:val="44"/>
          <w:highlight w:val="none"/>
        </w:rPr>
      </w:pPr>
      <w:r>
        <w:rPr>
          <w:rFonts w:eastAsia="仿宋"/>
          <w:b/>
          <w:sz w:val="44"/>
          <w:highlight w:val="none"/>
        </w:rPr>
        <w:t>重庆市</w:t>
      </w:r>
      <w:r>
        <w:rPr>
          <w:rFonts w:hint="eastAsia" w:eastAsia="仿宋"/>
          <w:b/>
          <w:sz w:val="44"/>
          <w:highlight w:val="none"/>
        </w:rPr>
        <w:t>沙坪坝区人民医院</w:t>
      </w:r>
    </w:p>
    <w:p>
      <w:pPr>
        <w:spacing w:line="500" w:lineRule="exact"/>
        <w:ind w:firstLine="883"/>
        <w:jc w:val="center"/>
        <w:rPr>
          <w:rFonts w:eastAsia="仿宋"/>
          <w:b/>
          <w:sz w:val="44"/>
          <w:highlight w:val="none"/>
        </w:rPr>
      </w:pPr>
      <w:r>
        <w:rPr>
          <w:rFonts w:eastAsia="仿宋"/>
          <w:b/>
          <w:sz w:val="44"/>
          <w:highlight w:val="none"/>
        </w:rPr>
        <w:t>采购合同</w:t>
      </w:r>
    </w:p>
    <w:p>
      <w:pPr>
        <w:spacing w:line="500" w:lineRule="exact"/>
        <w:ind w:firstLine="480"/>
        <w:jc w:val="center"/>
        <w:rPr>
          <w:rFonts w:eastAsia="仿宋"/>
          <w:highlight w:val="none"/>
        </w:rPr>
      </w:pPr>
      <w:r>
        <w:rPr>
          <w:rFonts w:eastAsia="仿宋"/>
          <w:highlight w:val="none"/>
        </w:rPr>
        <w:t>（项目号：     ）</w:t>
      </w:r>
    </w:p>
    <w:p>
      <w:pPr>
        <w:spacing w:line="500" w:lineRule="exact"/>
        <w:ind w:firstLine="480"/>
        <w:rPr>
          <w:rFonts w:eastAsia="仿宋"/>
          <w:highlight w:val="none"/>
        </w:rPr>
      </w:pPr>
      <w:r>
        <w:rPr>
          <w:rFonts w:eastAsia="仿宋"/>
          <w:highlight w:val="none"/>
        </w:rPr>
        <w:t xml:space="preserve">甲方（需方）：___________________________     </w:t>
      </w:r>
    </w:p>
    <w:p>
      <w:pPr>
        <w:spacing w:line="500" w:lineRule="exact"/>
        <w:ind w:firstLine="480"/>
        <w:rPr>
          <w:rFonts w:eastAsia="仿宋"/>
          <w:highlight w:val="none"/>
        </w:rPr>
      </w:pPr>
      <w:r>
        <w:rPr>
          <w:rFonts w:eastAsia="仿宋"/>
          <w:highlight w:val="none"/>
        </w:rPr>
        <w:t xml:space="preserve">乙方（供方）：___________________________       </w:t>
      </w:r>
    </w:p>
    <w:p>
      <w:pPr>
        <w:spacing w:line="500" w:lineRule="exact"/>
        <w:ind w:firstLine="560" w:firstLineChars="200"/>
        <w:rPr>
          <w:rFonts w:eastAsia="仿宋"/>
          <w:bCs/>
          <w:highlight w:val="none"/>
        </w:rPr>
      </w:pPr>
      <w:r>
        <w:rPr>
          <w:rFonts w:eastAsia="仿宋"/>
          <w:bCs/>
          <w:highlight w:val="none"/>
        </w:rPr>
        <w:t>甲乙双方根据   年   月  日沙坪坝区</w:t>
      </w:r>
      <w:r>
        <w:rPr>
          <w:rFonts w:hint="eastAsia" w:eastAsia="仿宋"/>
          <w:bCs/>
          <w:highlight w:val="none"/>
        </w:rPr>
        <w:t>人民医院</w:t>
      </w:r>
      <w:r>
        <w:rPr>
          <w:rFonts w:eastAsia="仿宋"/>
          <w:bCs/>
          <w:highlight w:val="none"/>
        </w:rPr>
        <w:t>采购项目（项目名称）</w:t>
      </w:r>
      <w:r>
        <w:rPr>
          <w:rFonts w:hint="eastAsia" w:eastAsia="仿宋"/>
          <w:bCs/>
          <w:highlight w:val="none"/>
        </w:rPr>
        <w:t>计划号(</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lang w:val="en-US" w:eastAsia="zh-CN"/>
        </w:rPr>
        <w:t>采购及响应</w:t>
      </w:r>
      <w:r>
        <w:rPr>
          <w:rFonts w:eastAsia="仿宋"/>
          <w:bCs/>
          <w:highlight w:val="none"/>
        </w:rPr>
        <w:t>文件，经协商一致订立本合同，供双方共同遵守：</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highlight w:val="none"/>
              </w:rPr>
            </w:pPr>
            <w:r>
              <w:rPr>
                <w:rFonts w:eastAsia="仿宋"/>
                <w:sz w:val="21"/>
                <w:szCs w:val="21"/>
                <w:highlight w:val="none"/>
              </w:rPr>
              <w:t>商品名称</w:t>
            </w:r>
          </w:p>
        </w:tc>
        <w:tc>
          <w:tcPr>
            <w:tcW w:w="1958" w:type="dxa"/>
            <w:vAlign w:val="center"/>
          </w:tcPr>
          <w:p>
            <w:pPr>
              <w:spacing w:line="240" w:lineRule="atLeast"/>
              <w:ind w:firstLine="420"/>
              <w:jc w:val="both"/>
              <w:rPr>
                <w:rFonts w:eastAsia="仿宋"/>
                <w:sz w:val="21"/>
                <w:szCs w:val="21"/>
                <w:highlight w:val="none"/>
              </w:rPr>
            </w:pPr>
            <w:r>
              <w:rPr>
                <w:rFonts w:eastAsia="仿宋"/>
                <w:sz w:val="21"/>
                <w:szCs w:val="21"/>
                <w:highlight w:val="none"/>
              </w:rPr>
              <w:t>规格型号</w:t>
            </w:r>
          </w:p>
        </w:tc>
        <w:tc>
          <w:tcPr>
            <w:tcW w:w="645" w:type="dxa"/>
            <w:vAlign w:val="center"/>
          </w:tcPr>
          <w:p>
            <w:pPr>
              <w:spacing w:line="240" w:lineRule="atLeast"/>
              <w:jc w:val="center"/>
              <w:rPr>
                <w:rFonts w:eastAsia="仿宋"/>
                <w:sz w:val="21"/>
                <w:szCs w:val="21"/>
                <w:highlight w:val="none"/>
              </w:rPr>
            </w:pPr>
            <w:r>
              <w:rPr>
                <w:rFonts w:eastAsia="仿宋"/>
                <w:sz w:val="21"/>
                <w:szCs w:val="21"/>
                <w:highlight w:val="none"/>
              </w:rPr>
              <w:t>数量</w:t>
            </w:r>
          </w:p>
        </w:tc>
        <w:tc>
          <w:tcPr>
            <w:tcW w:w="945" w:type="dxa"/>
            <w:gridSpan w:val="2"/>
            <w:vAlign w:val="center"/>
          </w:tcPr>
          <w:p>
            <w:pPr>
              <w:spacing w:line="240" w:lineRule="atLeast"/>
              <w:jc w:val="center"/>
              <w:rPr>
                <w:rFonts w:hint="default" w:eastAsia="仿宋"/>
                <w:sz w:val="21"/>
                <w:szCs w:val="21"/>
                <w:highlight w:val="none"/>
                <w:lang w:val="en-US" w:eastAsia="zh-CN"/>
              </w:rPr>
            </w:pPr>
            <w:r>
              <w:rPr>
                <w:rFonts w:hint="eastAsia" w:eastAsia="仿宋"/>
                <w:sz w:val="21"/>
                <w:szCs w:val="21"/>
                <w:highlight w:val="none"/>
                <w:lang w:val="en-US" w:eastAsia="zh-CN"/>
              </w:rPr>
              <w:t>单位</w:t>
            </w:r>
          </w:p>
        </w:tc>
        <w:tc>
          <w:tcPr>
            <w:tcW w:w="1095" w:type="dxa"/>
            <w:vAlign w:val="center"/>
          </w:tcPr>
          <w:p>
            <w:pPr>
              <w:spacing w:line="240" w:lineRule="atLeast"/>
              <w:jc w:val="center"/>
              <w:rPr>
                <w:rFonts w:eastAsia="仿宋"/>
                <w:sz w:val="21"/>
                <w:szCs w:val="21"/>
                <w:highlight w:val="none"/>
              </w:rPr>
            </w:pPr>
            <w:r>
              <w:rPr>
                <w:rFonts w:eastAsia="仿宋"/>
                <w:sz w:val="21"/>
                <w:szCs w:val="21"/>
                <w:highlight w:val="none"/>
              </w:rPr>
              <w:t>综合单价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870" w:type="dxa"/>
            <w:vAlign w:val="center"/>
          </w:tcPr>
          <w:p>
            <w:pPr>
              <w:spacing w:line="240" w:lineRule="atLeast"/>
              <w:jc w:val="center"/>
              <w:rPr>
                <w:rFonts w:hint="default" w:eastAsia="仿宋"/>
                <w:sz w:val="21"/>
                <w:szCs w:val="21"/>
                <w:highlight w:val="none"/>
                <w:lang w:val="en-US" w:eastAsia="zh-CN"/>
              </w:rPr>
            </w:pPr>
            <w:r>
              <w:rPr>
                <w:rFonts w:eastAsia="仿宋"/>
                <w:sz w:val="21"/>
                <w:szCs w:val="21"/>
                <w:highlight w:val="none"/>
              </w:rPr>
              <w:t>总价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1203" w:type="dxa"/>
            <w:vAlign w:val="center"/>
          </w:tcPr>
          <w:p>
            <w:pPr>
              <w:spacing w:line="240" w:lineRule="atLeast"/>
              <w:jc w:val="center"/>
              <w:rPr>
                <w:rFonts w:eastAsia="仿宋"/>
                <w:sz w:val="21"/>
                <w:szCs w:val="21"/>
                <w:highlight w:val="none"/>
              </w:rPr>
            </w:pPr>
            <w:r>
              <w:rPr>
                <w:rFonts w:eastAsia="仿宋"/>
                <w:sz w:val="21"/>
                <w:szCs w:val="21"/>
                <w:highlight w:val="none"/>
              </w:rPr>
              <w:t>交货时间</w:t>
            </w:r>
          </w:p>
        </w:tc>
        <w:tc>
          <w:tcPr>
            <w:tcW w:w="1582" w:type="dxa"/>
            <w:vAlign w:val="center"/>
          </w:tcPr>
          <w:p>
            <w:pPr>
              <w:spacing w:line="240" w:lineRule="atLeast"/>
              <w:jc w:val="center"/>
              <w:rPr>
                <w:rFonts w:eastAsia="仿宋"/>
                <w:sz w:val="21"/>
                <w:szCs w:val="21"/>
                <w:highlight w:val="none"/>
              </w:rPr>
            </w:pPr>
            <w:r>
              <w:rPr>
                <w:rFonts w:eastAsia="仿宋"/>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一、质量要求和技术标准。供方提供的商品必须是全新，完全符合国家有关技术标准，供方</w:t>
            </w:r>
            <w:r>
              <w:rPr>
                <w:rFonts w:hint="eastAsia" w:eastAsia="仿宋"/>
                <w:sz w:val="21"/>
                <w:szCs w:val="21"/>
                <w:highlight w:val="none"/>
                <w:lang w:val="en-US" w:eastAsia="zh-CN"/>
              </w:rPr>
              <w:t>对</w:t>
            </w:r>
            <w:r>
              <w:rPr>
                <w:rFonts w:eastAsia="仿宋"/>
                <w:sz w:val="21"/>
                <w:szCs w:val="21"/>
                <w:highlight w:val="none"/>
              </w:rPr>
              <w:t>质量保证及售后服务承诺如下：</w:t>
            </w:r>
          </w:p>
          <w:p>
            <w:pPr>
              <w:spacing w:line="240" w:lineRule="atLeast"/>
              <w:ind w:firstLine="420"/>
              <w:rPr>
                <w:rFonts w:eastAsia="仿宋"/>
                <w:sz w:val="21"/>
                <w:szCs w:val="21"/>
                <w:highlight w:val="none"/>
              </w:rPr>
            </w:pPr>
            <w:r>
              <w:rPr>
                <w:rFonts w:eastAsia="仿宋"/>
                <w:sz w:val="21"/>
                <w:szCs w:val="21"/>
                <w:highlight w:val="none"/>
              </w:rPr>
              <w:t>1、质保期限：</w:t>
            </w:r>
          </w:p>
          <w:p>
            <w:pPr>
              <w:spacing w:line="240" w:lineRule="atLeast"/>
              <w:ind w:firstLine="420"/>
              <w:rPr>
                <w:rFonts w:eastAsia="仿宋"/>
                <w:sz w:val="21"/>
                <w:szCs w:val="21"/>
                <w:highlight w:val="none"/>
              </w:rPr>
            </w:pPr>
            <w:r>
              <w:rPr>
                <w:rFonts w:eastAsia="仿宋"/>
                <w:sz w:val="21"/>
                <w:szCs w:val="21"/>
                <w:highlight w:val="none"/>
              </w:rPr>
              <w:t>2、</w:t>
            </w:r>
            <w:r>
              <w:rPr>
                <w:rFonts w:hint="eastAsia" w:eastAsia="仿宋"/>
                <w:sz w:val="21"/>
                <w:szCs w:val="21"/>
                <w:highlight w:val="none"/>
                <w:lang w:val="en-US" w:eastAsia="zh-CN"/>
              </w:rPr>
              <w:t>质保</w:t>
            </w:r>
            <w:r>
              <w:rPr>
                <w:rFonts w:eastAsia="仿宋"/>
                <w:sz w:val="21"/>
                <w:szCs w:val="21"/>
                <w:highlight w:val="none"/>
              </w:rPr>
              <w:t>范围：</w:t>
            </w:r>
          </w:p>
          <w:p>
            <w:pPr>
              <w:spacing w:line="240" w:lineRule="atLeast"/>
              <w:ind w:firstLine="420"/>
              <w:rPr>
                <w:rFonts w:eastAsia="仿宋"/>
                <w:sz w:val="21"/>
                <w:szCs w:val="21"/>
                <w:highlight w:val="none"/>
              </w:rPr>
            </w:pPr>
            <w:r>
              <w:rPr>
                <w:rFonts w:eastAsia="仿宋"/>
                <w:sz w:val="21"/>
                <w:szCs w:val="21"/>
                <w:highlight w:val="none"/>
              </w:rPr>
              <w:t>3、服务措施：</w:t>
            </w:r>
          </w:p>
          <w:p>
            <w:pPr>
              <w:spacing w:line="240" w:lineRule="atLeast"/>
              <w:ind w:firstLine="420"/>
              <w:rPr>
                <w:rFonts w:eastAsia="仿宋"/>
                <w:sz w:val="21"/>
                <w:szCs w:val="21"/>
                <w:highlight w:val="none"/>
              </w:rPr>
            </w:pPr>
            <w:r>
              <w:rPr>
                <w:rFonts w:eastAsia="仿宋"/>
                <w:sz w:val="21"/>
                <w:szCs w:val="21"/>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四、验收标准、方法：</w:t>
            </w:r>
          </w:p>
          <w:p>
            <w:pPr>
              <w:spacing w:line="240" w:lineRule="atLeast"/>
              <w:ind w:firstLine="420"/>
              <w:rPr>
                <w:rFonts w:eastAsia="仿宋"/>
                <w:sz w:val="21"/>
                <w:szCs w:val="21"/>
                <w:highlight w:val="none"/>
              </w:rPr>
            </w:pPr>
            <w:r>
              <w:rPr>
                <w:rFonts w:eastAsia="仿宋"/>
                <w:sz w:val="21"/>
                <w:szCs w:val="21"/>
                <w:highlight w:val="none"/>
              </w:rPr>
              <w:t>如</w:t>
            </w:r>
            <w:r>
              <w:rPr>
                <w:rFonts w:hint="eastAsia" w:eastAsia="仿宋"/>
                <w:sz w:val="21"/>
                <w:szCs w:val="21"/>
                <w:highlight w:val="none"/>
                <w:lang w:val="en-US" w:eastAsia="zh-CN"/>
              </w:rPr>
              <w:t>对验收结果</w:t>
            </w:r>
            <w:r>
              <w:rPr>
                <w:rFonts w:eastAsia="仿宋"/>
                <w:sz w:val="21"/>
                <w:szCs w:val="21"/>
                <w:highlight w:val="none"/>
              </w:rPr>
              <w:t>有异议，请于      日内</w:t>
            </w:r>
            <w:r>
              <w:rPr>
                <w:rFonts w:hint="eastAsia" w:eastAsia="仿宋"/>
                <w:sz w:val="21"/>
                <w:szCs w:val="21"/>
                <w:highlight w:val="none"/>
                <w:lang w:val="en-US" w:eastAsia="zh-CN"/>
              </w:rPr>
              <w:t>向甲方书面</w:t>
            </w:r>
            <w:r>
              <w:rPr>
                <w:rFonts w:eastAsia="仿宋"/>
                <w:sz w:val="21"/>
                <w:szCs w:val="21"/>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五、付款方式：</w:t>
            </w:r>
          </w:p>
          <w:p>
            <w:pPr>
              <w:pStyle w:val="34"/>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六、违约责任：</w:t>
            </w:r>
          </w:p>
          <w:p>
            <w:pPr>
              <w:spacing w:line="240" w:lineRule="atLeast"/>
              <w:ind w:firstLine="420"/>
              <w:rPr>
                <w:rFonts w:eastAsia="仿宋"/>
                <w:sz w:val="21"/>
                <w:szCs w:val="21"/>
                <w:highlight w:val="none"/>
              </w:rPr>
            </w:pPr>
            <w:r>
              <w:rPr>
                <w:rFonts w:eastAsia="仿宋"/>
                <w:sz w:val="21"/>
                <w:szCs w:val="21"/>
                <w:highlight w:val="none"/>
              </w:rPr>
              <w:t>按《中华人民共和国民法</w:t>
            </w:r>
            <w:r>
              <w:rPr>
                <w:rFonts w:hint="eastAsia" w:eastAsia="仿宋"/>
                <w:sz w:val="21"/>
                <w:szCs w:val="21"/>
                <w:highlight w:val="none"/>
              </w:rPr>
              <w:t>典</w:t>
            </w:r>
            <w:r>
              <w:rPr>
                <w:rFonts w:eastAsia="仿宋"/>
                <w:sz w:val="21"/>
                <w:szCs w:val="21"/>
                <w:highlight w:val="none"/>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七、其他约定事项：</w:t>
            </w:r>
          </w:p>
          <w:p>
            <w:pPr>
              <w:spacing w:line="240" w:lineRule="atLeast"/>
              <w:ind w:firstLine="420"/>
              <w:rPr>
                <w:rFonts w:hint="eastAsia" w:eastAsia="仿宋"/>
                <w:sz w:val="21"/>
                <w:szCs w:val="21"/>
                <w:highlight w:val="none"/>
                <w:lang w:eastAsia="zh-CN"/>
              </w:rPr>
            </w:pPr>
            <w:r>
              <w:rPr>
                <w:rFonts w:eastAsia="仿宋"/>
                <w:sz w:val="21"/>
                <w:szCs w:val="21"/>
                <w:highlight w:val="none"/>
              </w:rPr>
              <w:t>1.</w:t>
            </w:r>
            <w:r>
              <w:rPr>
                <w:rFonts w:hint="eastAsia" w:eastAsia="仿宋"/>
                <w:sz w:val="21"/>
                <w:szCs w:val="21"/>
                <w:highlight w:val="none"/>
              </w:rPr>
              <w:t>采购</w:t>
            </w:r>
            <w:r>
              <w:rPr>
                <w:rFonts w:eastAsia="仿宋"/>
                <w:sz w:val="21"/>
                <w:szCs w:val="21"/>
                <w:highlight w:val="none"/>
              </w:rPr>
              <w:t>文件及其补遗文件、</w:t>
            </w:r>
            <w:r>
              <w:rPr>
                <w:rFonts w:hint="eastAsia" w:eastAsia="仿宋"/>
                <w:sz w:val="21"/>
                <w:szCs w:val="21"/>
                <w:highlight w:val="none"/>
                <w:lang w:val="en-US" w:eastAsia="zh-CN"/>
              </w:rPr>
              <w:t>响应</w:t>
            </w:r>
            <w:r>
              <w:rPr>
                <w:rFonts w:eastAsia="仿宋"/>
                <w:sz w:val="21"/>
                <w:szCs w:val="21"/>
                <w:highlight w:val="none"/>
              </w:rPr>
              <w:t>文件和承诺是本合同不可分割的部分</w:t>
            </w:r>
            <w:r>
              <w:rPr>
                <w:rFonts w:hint="eastAsia" w:eastAsia="仿宋"/>
                <w:sz w:val="21"/>
                <w:szCs w:val="21"/>
                <w:highlight w:val="none"/>
                <w:lang w:eastAsia="zh-CN"/>
              </w:rPr>
              <w:t>。</w:t>
            </w:r>
          </w:p>
          <w:p>
            <w:pPr>
              <w:spacing w:line="240" w:lineRule="atLeast"/>
              <w:ind w:firstLine="420"/>
              <w:rPr>
                <w:rFonts w:hint="default" w:eastAsia="仿宋"/>
                <w:sz w:val="21"/>
                <w:szCs w:val="21"/>
                <w:highlight w:val="none"/>
                <w:lang w:val="en-US" w:eastAsia="zh-CN"/>
              </w:rPr>
            </w:pPr>
            <w:r>
              <w:rPr>
                <w:rFonts w:hint="eastAsia" w:eastAsia="仿宋"/>
                <w:sz w:val="21"/>
                <w:szCs w:val="21"/>
                <w:highlight w:val="none"/>
                <w:lang w:val="en-US" w:eastAsia="zh-CN"/>
              </w:rPr>
              <w:t>2.本合同不得分包或转包。</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3</w:t>
            </w:r>
            <w:r>
              <w:rPr>
                <w:rFonts w:eastAsia="仿宋"/>
                <w:sz w:val="21"/>
                <w:szCs w:val="21"/>
                <w:highlight w:val="none"/>
              </w:rPr>
              <w:t>.本合同如发生争议由双方协商解决，协商不成向</w:t>
            </w:r>
            <w:r>
              <w:rPr>
                <w:rFonts w:hint="eastAsia" w:eastAsia="仿宋"/>
                <w:sz w:val="21"/>
                <w:szCs w:val="21"/>
                <w:highlight w:val="none"/>
                <w:lang w:val="en-US" w:eastAsia="zh-CN"/>
              </w:rPr>
              <w:t>需方</w:t>
            </w:r>
            <w:r>
              <w:rPr>
                <w:rFonts w:eastAsia="仿宋"/>
                <w:sz w:val="21"/>
                <w:szCs w:val="21"/>
                <w:highlight w:val="none"/>
              </w:rPr>
              <w:t>所在人民法院提请诉讼。</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4</w:t>
            </w:r>
            <w:r>
              <w:rPr>
                <w:rFonts w:eastAsia="仿宋"/>
                <w:sz w:val="21"/>
                <w:szCs w:val="21"/>
                <w:highlight w:val="none"/>
              </w:rPr>
              <w:t>.本合同一式__份， 需方__份，供方__份，具备同等法律效力。</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5</w:t>
            </w:r>
            <w:r>
              <w:rPr>
                <w:rFonts w:eastAsia="仿宋"/>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highlight w:val="none"/>
              </w:rPr>
            </w:pPr>
            <w:r>
              <w:rPr>
                <w:rFonts w:eastAsia="仿宋"/>
                <w:sz w:val="21"/>
                <w:szCs w:val="21"/>
                <w:highlight w:val="none"/>
              </w:rPr>
              <w:t>需方：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联系电话：</w:t>
            </w:r>
          </w:p>
          <w:p>
            <w:pPr>
              <w:spacing w:line="240" w:lineRule="atLeast"/>
              <w:ind w:firstLine="420"/>
              <w:rPr>
                <w:rFonts w:eastAsia="仿宋"/>
                <w:sz w:val="21"/>
                <w:szCs w:val="21"/>
                <w:highlight w:val="none"/>
              </w:rPr>
            </w:pPr>
            <w:r>
              <w:rPr>
                <w:rFonts w:eastAsia="仿宋"/>
                <w:sz w:val="21"/>
                <w:szCs w:val="21"/>
                <w:highlight w:val="none"/>
              </w:rPr>
              <w:t>授权代表：</w:t>
            </w:r>
          </w:p>
        </w:tc>
        <w:tc>
          <w:tcPr>
            <w:tcW w:w="5267" w:type="dxa"/>
            <w:gridSpan w:val="5"/>
          </w:tcPr>
          <w:p>
            <w:pPr>
              <w:spacing w:line="240" w:lineRule="atLeast"/>
              <w:ind w:firstLine="420"/>
              <w:rPr>
                <w:rFonts w:eastAsia="仿宋"/>
                <w:sz w:val="21"/>
                <w:szCs w:val="21"/>
                <w:highlight w:val="none"/>
              </w:rPr>
            </w:pPr>
            <w:r>
              <w:rPr>
                <w:rFonts w:eastAsia="仿宋"/>
                <w:sz w:val="21"/>
                <w:szCs w:val="21"/>
                <w:highlight w:val="none"/>
              </w:rPr>
              <w:t>供方：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电话：</w:t>
            </w:r>
          </w:p>
          <w:p>
            <w:pPr>
              <w:spacing w:line="240" w:lineRule="atLeast"/>
              <w:ind w:firstLine="420"/>
              <w:rPr>
                <w:rFonts w:eastAsia="仿宋"/>
                <w:sz w:val="21"/>
                <w:szCs w:val="21"/>
                <w:highlight w:val="none"/>
              </w:rPr>
            </w:pPr>
            <w:r>
              <w:rPr>
                <w:rFonts w:eastAsia="仿宋"/>
                <w:sz w:val="21"/>
                <w:szCs w:val="21"/>
                <w:highlight w:val="none"/>
              </w:rPr>
              <w:t>传真：</w:t>
            </w:r>
          </w:p>
          <w:p>
            <w:pPr>
              <w:spacing w:line="240" w:lineRule="atLeast"/>
              <w:ind w:firstLine="420"/>
              <w:rPr>
                <w:rFonts w:eastAsia="仿宋"/>
                <w:sz w:val="21"/>
                <w:szCs w:val="21"/>
                <w:highlight w:val="none"/>
              </w:rPr>
            </w:pPr>
            <w:r>
              <w:rPr>
                <w:rFonts w:eastAsia="仿宋"/>
                <w:sz w:val="21"/>
                <w:szCs w:val="21"/>
                <w:highlight w:val="none"/>
              </w:rPr>
              <w:t>开户银行：</w:t>
            </w:r>
          </w:p>
          <w:p>
            <w:pPr>
              <w:spacing w:line="240" w:lineRule="atLeast"/>
              <w:ind w:firstLine="420"/>
              <w:rPr>
                <w:rFonts w:eastAsia="仿宋"/>
                <w:sz w:val="21"/>
                <w:szCs w:val="21"/>
                <w:highlight w:val="none"/>
              </w:rPr>
            </w:pPr>
            <w:r>
              <w:rPr>
                <w:rFonts w:eastAsia="仿宋"/>
                <w:sz w:val="21"/>
                <w:szCs w:val="21"/>
                <w:highlight w:val="none"/>
              </w:rPr>
              <w:t>账号：</w:t>
            </w:r>
          </w:p>
          <w:p>
            <w:pPr>
              <w:spacing w:line="240" w:lineRule="atLeast"/>
              <w:ind w:firstLine="420"/>
              <w:rPr>
                <w:rFonts w:eastAsia="仿宋"/>
                <w:sz w:val="21"/>
                <w:szCs w:val="21"/>
                <w:highlight w:val="none"/>
              </w:rPr>
            </w:pPr>
            <w:r>
              <w:rPr>
                <w:rFonts w:eastAsia="仿宋"/>
                <w:sz w:val="21"/>
                <w:szCs w:val="21"/>
                <w:highlight w:val="none"/>
              </w:rPr>
              <w:t>授权代表：</w:t>
            </w:r>
          </w:p>
          <w:p>
            <w:pPr>
              <w:widowControl/>
              <w:spacing w:line="240" w:lineRule="atLeast"/>
              <w:ind w:firstLine="420"/>
              <w:jc w:val="left"/>
              <w:rPr>
                <w:rFonts w:eastAsia="仿宋"/>
                <w:sz w:val="21"/>
                <w:szCs w:val="21"/>
                <w:highlight w:val="none"/>
              </w:rPr>
            </w:pPr>
          </w:p>
          <w:p>
            <w:pPr>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备注：</w:t>
            </w:r>
          </w:p>
          <w:p>
            <w:pPr>
              <w:spacing w:line="240" w:lineRule="atLeast"/>
              <w:ind w:firstLine="420"/>
              <w:rPr>
                <w:rFonts w:eastAsia="仿宋"/>
                <w:sz w:val="21"/>
                <w:szCs w:val="21"/>
                <w:highlight w:val="none"/>
              </w:rPr>
            </w:pPr>
          </w:p>
          <w:p>
            <w:pPr>
              <w:spacing w:line="240" w:lineRule="atLeast"/>
              <w:ind w:firstLine="420"/>
              <w:rPr>
                <w:rFonts w:eastAsia="仿宋"/>
                <w:sz w:val="21"/>
                <w:szCs w:val="21"/>
                <w:highlight w:val="none"/>
              </w:rPr>
            </w:pPr>
          </w:p>
        </w:tc>
      </w:tr>
    </w:tbl>
    <w:p>
      <w:pPr>
        <w:spacing w:line="500" w:lineRule="exact"/>
        <w:ind w:firstLine="560" w:firstLineChars="200"/>
        <w:rPr>
          <w:rFonts w:eastAsia="仿宋"/>
          <w:highlight w:val="none"/>
        </w:rPr>
      </w:pPr>
      <w:r>
        <w:rPr>
          <w:rFonts w:eastAsia="仿宋"/>
          <w:highlight w:val="none"/>
        </w:rPr>
        <w:t>签约时间：           年   月   日      签约地点：</w:t>
      </w:r>
    </w:p>
    <w:p>
      <w:pPr>
        <w:pStyle w:val="3"/>
        <w:tabs>
          <w:tab w:val="left" w:pos="3360"/>
        </w:tabs>
        <w:spacing w:line="500" w:lineRule="exact"/>
        <w:ind w:firstLine="482"/>
        <w:rPr>
          <w:rFonts w:eastAsia="方正仿宋_GBK"/>
          <w:bCs/>
          <w:sz w:val="24"/>
          <w:highlight w:val="none"/>
        </w:rPr>
      </w:pPr>
    </w:p>
    <w:p>
      <w:pPr>
        <w:spacing w:line="560" w:lineRule="exact"/>
        <w:ind w:firstLine="480"/>
        <w:rPr>
          <w:rFonts w:eastAsia="仿宋"/>
          <w:b/>
          <w:kern w:val="0"/>
          <w:highlight w:val="none"/>
        </w:rPr>
      </w:pPr>
      <w:r>
        <w:rPr>
          <w:rFonts w:eastAsia="方正仿宋_GBK"/>
          <w:highlight w:val="none"/>
        </w:rPr>
        <w:br w:type="page"/>
      </w:r>
      <w:r>
        <w:rPr>
          <w:rFonts w:hint="eastAsia" w:eastAsia="仿宋"/>
          <w:b/>
          <w:kern w:val="0"/>
          <w:highlight w:val="none"/>
        </w:rPr>
        <w:t>三、廉政合同（格式）</w:t>
      </w:r>
    </w:p>
    <w:p>
      <w:pPr>
        <w:spacing w:line="500" w:lineRule="exact"/>
        <w:ind w:firstLine="883"/>
        <w:jc w:val="center"/>
        <w:rPr>
          <w:rFonts w:eastAsia="仿宋"/>
          <w:b/>
          <w:sz w:val="44"/>
          <w:highlight w:val="none"/>
        </w:rPr>
      </w:pPr>
      <w:r>
        <w:rPr>
          <w:rFonts w:hint="eastAsia" w:eastAsia="仿宋"/>
          <w:b/>
          <w:sz w:val="44"/>
          <w:highlight w:val="none"/>
        </w:rPr>
        <w:t>重庆市沙坪坝区人民医院</w:t>
      </w:r>
    </w:p>
    <w:p>
      <w:pPr>
        <w:spacing w:line="500" w:lineRule="exact"/>
        <w:ind w:firstLine="883"/>
        <w:jc w:val="center"/>
        <w:rPr>
          <w:rFonts w:eastAsia="仿宋"/>
          <w:b/>
          <w:sz w:val="44"/>
          <w:highlight w:val="none"/>
        </w:rPr>
      </w:pPr>
      <w:r>
        <w:rPr>
          <w:rFonts w:hint="eastAsia" w:eastAsia="仿宋"/>
          <w:b/>
          <w:sz w:val="44"/>
          <w:highlight w:val="none"/>
        </w:rPr>
        <w:t>廉政合同</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乙方：                      </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4．甲方工作人员及其配偶、子女不得以任何形式或名义索要、接受乙方的现金、有价证券、支付凭证和其他馈赠礼品</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5．甲方工作人员及其配偶、子女不得以任何形式或者名义接受乙方的宴请、请钓、旅游、健身和其他娱乐活动</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6．甲方工作人员及其配偶、子女不得以打“业务牌”等形式变相接受乙方的钱物</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7．甲方工作人员及其配偶、子女不得在乙方报销应由个人支付的费用或领取报酬</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二、甲乙双方的违约责任：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负 责 人：                       负 责 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签订时间：                       签订时间：</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23"/>
        <w:ind w:firstLine="880"/>
        <w:rPr>
          <w:rFonts w:ascii="方正黑体_GBK" w:hAnsi="方正黑体_GBK" w:eastAsia="方正黑体_GBK" w:cs="方正黑体_GBK"/>
          <w:kern w:val="44"/>
          <w:sz w:val="44"/>
          <w:highlight w:val="none"/>
        </w:rPr>
      </w:pPr>
    </w:p>
    <w:p>
      <w:pPr>
        <w:pStyle w:val="48"/>
        <w:ind w:firstLine="480"/>
        <w:rPr>
          <w:highlight w:val="none"/>
        </w:rPr>
      </w:pPr>
    </w:p>
    <w:p>
      <w:pPr>
        <w:spacing w:line="560" w:lineRule="exact"/>
        <w:ind w:firstLine="880"/>
        <w:jc w:val="center"/>
        <w:rPr>
          <w:rFonts w:ascii="方正黑体_GBK" w:hAnsi="方正黑体_GBK" w:eastAsia="方正黑体_GBK" w:cs="方正黑体_GBK"/>
          <w:color w:val="auto"/>
          <w:kern w:val="44"/>
          <w:sz w:val="44"/>
          <w:highlight w:val="none"/>
        </w:rPr>
      </w:pPr>
    </w:p>
    <w:p>
      <w:pPr>
        <w:pStyle w:val="23"/>
        <w:ind w:firstLine="880"/>
        <w:rPr>
          <w:rFonts w:ascii="方正黑体_GBK" w:hAnsi="方正黑体_GBK" w:eastAsia="方正黑体_GBK" w:cs="方正黑体_GBK"/>
          <w:color w:val="auto"/>
          <w:kern w:val="44"/>
          <w:sz w:val="44"/>
          <w:highlight w:val="none"/>
        </w:rPr>
      </w:pPr>
    </w:p>
    <w:p>
      <w:pPr>
        <w:spacing w:line="560" w:lineRule="exact"/>
        <w:jc w:val="both"/>
        <w:rPr>
          <w:rFonts w:ascii="方正黑体_GBK" w:hAnsi="方正黑体_GBK" w:eastAsia="方正黑体_GBK" w:cs="方正黑体_GBK"/>
          <w:color w:val="auto"/>
          <w:kern w:val="44"/>
          <w:sz w:val="44"/>
          <w:highlight w:val="none"/>
        </w:rPr>
      </w:pPr>
    </w:p>
    <w:p>
      <w:pPr>
        <w:pStyle w:val="4"/>
        <w:spacing w:line="360" w:lineRule="auto"/>
        <w:jc w:val="center"/>
        <w:rPr>
          <w:rFonts w:ascii="宋体" w:hAnsi="宋体" w:cs="宋体"/>
          <w:b w:val="0"/>
          <w:color w:val="auto"/>
          <w:highlight w:val="none"/>
        </w:rPr>
      </w:pPr>
      <w:bookmarkStart w:id="65" w:name="_Toc109056873"/>
      <w:bookmarkStart w:id="66" w:name="_Toc25600"/>
      <w:r>
        <w:rPr>
          <w:rFonts w:hint="eastAsia" w:ascii="宋体" w:hAnsi="宋体" w:cs="宋体"/>
          <w:color w:val="auto"/>
          <w:highlight w:val="none"/>
        </w:rPr>
        <w:t>第</w:t>
      </w:r>
      <w:r>
        <w:rPr>
          <w:rFonts w:hint="eastAsia" w:ascii="宋体" w:hAnsi="宋体" w:cs="宋体"/>
          <w:color w:val="auto"/>
          <w:highlight w:val="none"/>
          <w:lang w:val="en-US" w:eastAsia="zh-CN"/>
        </w:rPr>
        <w:t>五</w:t>
      </w:r>
      <w:r>
        <w:rPr>
          <w:rFonts w:hint="eastAsia" w:ascii="宋体" w:hAnsi="宋体" w:cs="宋体"/>
          <w:color w:val="auto"/>
          <w:highlight w:val="none"/>
        </w:rPr>
        <w:t>篇  响应文件格式要求</w:t>
      </w:r>
    </w:p>
    <w:bookmarkEnd w:id="11"/>
    <w:bookmarkEnd w:id="12"/>
    <w:bookmarkEnd w:id="13"/>
    <w:bookmarkEnd w:id="14"/>
    <w:bookmarkEnd w:id="15"/>
    <w:bookmarkEnd w:id="65"/>
    <w:bookmarkEnd w:id="66"/>
    <w:p>
      <w:pPr>
        <w:ind w:firstLine="1920" w:firstLineChars="400"/>
        <w:jc w:val="both"/>
        <w:rPr>
          <w:rFonts w:ascii="微软雅黑" w:hAnsi="宋体" w:eastAsia="微软雅黑" w:cs="宋体"/>
          <w:color w:val="auto"/>
          <w:sz w:val="48"/>
          <w:szCs w:val="48"/>
          <w:highlight w:val="none"/>
        </w:rPr>
      </w:pPr>
      <w:r>
        <w:rPr>
          <w:rFonts w:hint="eastAsia" w:ascii="微软雅黑" w:hAnsi="宋体" w:eastAsia="微软雅黑" w:cs="宋体"/>
          <w:color w:val="auto"/>
          <w:sz w:val="48"/>
          <w:szCs w:val="48"/>
          <w:highlight w:val="none"/>
        </w:rPr>
        <w:t>重庆市沙坪坝区人民医院</w:t>
      </w:r>
    </w:p>
    <w:p>
      <w:pPr>
        <w:jc w:val="center"/>
        <w:rPr>
          <w:rFonts w:ascii="微软雅黑" w:hAnsi="宋体" w:eastAsia="微软雅黑" w:cs="宋体"/>
          <w:color w:val="auto"/>
          <w:sz w:val="48"/>
          <w:szCs w:val="48"/>
          <w:highlight w:val="none"/>
          <w:u w:val="single"/>
        </w:rPr>
      </w:pPr>
    </w:p>
    <w:p>
      <w:pPr>
        <w:jc w:val="center"/>
        <w:rPr>
          <w:rFonts w:ascii="微软雅黑" w:hAnsi="宋体" w:eastAsia="微软雅黑" w:cs="宋体"/>
          <w:i/>
          <w:color w:val="auto"/>
          <w:sz w:val="48"/>
          <w:szCs w:val="48"/>
          <w:highlight w:val="none"/>
          <w:u w:val="single"/>
        </w:rPr>
      </w:pPr>
      <w:r>
        <w:rPr>
          <w:rFonts w:hint="eastAsia" w:ascii="微软雅黑" w:hAnsi="宋体" w:eastAsia="微软雅黑" w:cs="宋体"/>
          <w:i/>
          <w:color w:val="auto"/>
          <w:sz w:val="48"/>
          <w:szCs w:val="48"/>
          <w:highlight w:val="none"/>
          <w:u w:val="single"/>
        </w:rPr>
        <w:t>项目名称</w:t>
      </w:r>
    </w:p>
    <w:p>
      <w:pPr>
        <w:spacing w:line="480" w:lineRule="auto"/>
        <w:rPr>
          <w:rFonts w:ascii="宋体" w:hAnsi="宋体" w:cs="宋体"/>
          <w:b/>
          <w:bCs/>
          <w:color w:val="auto"/>
          <w:sz w:val="120"/>
          <w:szCs w:val="120"/>
          <w:highlight w:val="none"/>
        </w:rPr>
      </w:pPr>
    </w:p>
    <w:p>
      <w:pPr>
        <w:spacing w:line="480" w:lineRule="auto"/>
        <w:jc w:val="center"/>
        <w:rPr>
          <w:rFonts w:ascii="微软雅黑" w:hAnsi="宋体" w:eastAsia="微软雅黑" w:cs="宋体"/>
          <w:b/>
          <w:bCs/>
          <w:color w:val="auto"/>
          <w:sz w:val="84"/>
          <w:szCs w:val="84"/>
          <w:highlight w:val="none"/>
        </w:rPr>
      </w:pPr>
      <w:r>
        <w:rPr>
          <w:rFonts w:hint="eastAsia" w:ascii="微软雅黑" w:hAnsi="宋体" w:eastAsia="微软雅黑" w:cs="宋体"/>
          <w:b/>
          <w:bCs/>
          <w:color w:val="auto"/>
          <w:sz w:val="84"/>
          <w:szCs w:val="84"/>
          <w:highlight w:val="none"/>
        </w:rPr>
        <w:t>响 应 文 件</w:t>
      </w:r>
    </w:p>
    <w:p>
      <w:pPr>
        <w:spacing w:line="480" w:lineRule="auto"/>
        <w:ind w:firstLine="361" w:firstLineChars="100"/>
        <w:rPr>
          <w:rFonts w:ascii="宋体" w:hAnsi="宋体" w:cs="宋体"/>
          <w:b/>
          <w:color w:val="auto"/>
          <w:sz w:val="36"/>
          <w:highlight w:val="none"/>
        </w:rPr>
      </w:pPr>
    </w:p>
    <w:p>
      <w:pPr>
        <w:spacing w:line="480" w:lineRule="auto"/>
        <w:ind w:firstLine="361" w:firstLineChars="100"/>
        <w:rPr>
          <w:rFonts w:ascii="宋体" w:hAnsi="宋体" w:cs="宋体"/>
          <w:b/>
          <w:color w:val="auto"/>
          <w:sz w:val="36"/>
          <w:highlight w:val="none"/>
        </w:rPr>
      </w:pPr>
    </w:p>
    <w:p>
      <w:pPr>
        <w:spacing w:line="480" w:lineRule="auto"/>
        <w:ind w:firstLine="1800" w:firstLineChars="498"/>
        <w:rPr>
          <w:rFonts w:ascii="宋体" w:hAnsi="宋体" w:cs="宋体"/>
          <w:b/>
          <w:color w:val="auto"/>
          <w:sz w:val="36"/>
          <w:highlight w:val="none"/>
          <w:u w:val="none"/>
        </w:rPr>
      </w:pPr>
      <w:r>
        <w:rPr>
          <w:rFonts w:hint="eastAsia" w:ascii="宋体" w:hAnsi="宋体" w:cs="宋体"/>
          <w:b/>
          <w:color w:val="auto"/>
          <w:sz w:val="36"/>
          <w:highlight w:val="none"/>
        </w:rPr>
        <w:t>供应商：</w:t>
      </w:r>
      <w:r>
        <w:rPr>
          <w:rFonts w:hint="eastAsia" w:ascii="宋体" w:hAnsi="宋体" w:cs="宋体"/>
          <w:b/>
          <w:color w:val="auto"/>
          <w:sz w:val="36"/>
          <w:highlight w:val="none"/>
          <w:u w:val="single"/>
        </w:rPr>
        <w:t xml:space="preserve">                </w:t>
      </w:r>
      <w:r>
        <w:rPr>
          <w:rFonts w:hint="eastAsia" w:ascii="宋体" w:hAnsi="宋体" w:cs="宋体"/>
          <w:b/>
          <w:color w:val="auto"/>
          <w:sz w:val="36"/>
          <w:highlight w:val="none"/>
          <w:u w:val="single"/>
          <w:lang w:val="en-US" w:eastAsia="zh-CN"/>
        </w:rPr>
        <w:t xml:space="preserve"> </w:t>
      </w:r>
      <w:r>
        <w:rPr>
          <w:rFonts w:hint="eastAsia" w:ascii="宋体" w:hAnsi="宋体" w:cs="宋体"/>
          <w:b/>
          <w:color w:val="auto"/>
          <w:sz w:val="36"/>
          <w:highlight w:val="none"/>
          <w:u w:val="single"/>
        </w:rPr>
        <w:t xml:space="preserve">  </w:t>
      </w:r>
      <w:bookmarkStart w:id="67" w:name="OLE_LINK31"/>
      <w:r>
        <w:rPr>
          <w:rFonts w:hint="eastAsia" w:ascii="宋体" w:hAnsi="宋体" w:cs="宋体"/>
          <w:b/>
          <w:color w:val="auto"/>
          <w:sz w:val="36"/>
          <w:highlight w:val="none"/>
          <w:u w:val="none"/>
        </w:rPr>
        <w:t>(盖</w:t>
      </w:r>
      <w:r>
        <w:rPr>
          <w:rFonts w:hint="eastAsia" w:ascii="宋体" w:hAnsi="宋体" w:cs="宋体"/>
          <w:b/>
          <w:color w:val="auto"/>
          <w:sz w:val="36"/>
          <w:highlight w:val="none"/>
          <w:u w:val="none"/>
          <w:lang w:val="en-US" w:eastAsia="zh-CN"/>
        </w:rPr>
        <w:t>公</w:t>
      </w:r>
      <w:r>
        <w:rPr>
          <w:rFonts w:hint="eastAsia" w:ascii="宋体" w:hAnsi="宋体" w:cs="宋体"/>
          <w:b/>
          <w:color w:val="auto"/>
          <w:sz w:val="36"/>
          <w:highlight w:val="none"/>
          <w:u w:val="none"/>
        </w:rPr>
        <w:t>章)</w:t>
      </w:r>
    </w:p>
    <w:bookmarkEnd w:id="67"/>
    <w:p>
      <w:pPr>
        <w:spacing w:line="480" w:lineRule="auto"/>
        <w:jc w:val="center"/>
        <w:rPr>
          <w:rFonts w:ascii="宋体" w:hAnsi="宋体" w:cs="宋体"/>
          <w:b/>
          <w:color w:val="auto"/>
          <w:sz w:val="40"/>
          <w:szCs w:val="32"/>
          <w:highlight w:val="none"/>
        </w:rPr>
      </w:pPr>
      <w:r>
        <w:rPr>
          <w:rFonts w:hint="eastAsia" w:ascii="宋体" w:hAnsi="宋体" w:cs="宋体"/>
          <w:b/>
          <w:color w:val="auto"/>
          <w:sz w:val="40"/>
          <w:szCs w:val="32"/>
          <w:highlight w:val="none"/>
        </w:rPr>
        <w:t>202</w:t>
      </w:r>
      <w:r>
        <w:rPr>
          <w:rFonts w:hint="eastAsia" w:ascii="宋体" w:hAnsi="宋体" w:cs="宋体"/>
          <w:b/>
          <w:color w:val="auto"/>
          <w:sz w:val="40"/>
          <w:szCs w:val="32"/>
          <w:highlight w:val="none"/>
          <w:lang w:val="en-US" w:eastAsia="zh-CN"/>
        </w:rPr>
        <w:t>5</w:t>
      </w:r>
      <w:r>
        <w:rPr>
          <w:rFonts w:hint="eastAsia" w:ascii="宋体" w:hAnsi="宋体" w:cs="宋体"/>
          <w:b/>
          <w:color w:val="auto"/>
          <w:sz w:val="40"/>
          <w:szCs w:val="32"/>
          <w:highlight w:val="none"/>
        </w:rPr>
        <w:t>年  月  日</w:t>
      </w:r>
    </w:p>
    <w:p>
      <w:pPr>
        <w:spacing w:line="360" w:lineRule="auto"/>
        <w:jc w:val="center"/>
        <w:rPr>
          <w:rFonts w:ascii="微软雅黑" w:eastAsia="微软雅黑"/>
          <w:color w:val="auto"/>
          <w:sz w:val="32"/>
          <w:szCs w:val="32"/>
          <w:highlight w:val="none"/>
        </w:rPr>
      </w:pPr>
      <w:r>
        <w:rPr>
          <w:color w:val="auto"/>
          <w:highlight w:val="none"/>
        </w:rPr>
        <w:br w:type="page"/>
      </w:r>
      <w:r>
        <w:rPr>
          <w:rFonts w:hint="eastAsia" w:ascii="宋体" w:hAnsi="宋体"/>
          <w:b/>
          <w:bCs/>
          <w:color w:val="auto"/>
          <w:sz w:val="32"/>
          <w:szCs w:val="32"/>
          <w:highlight w:val="none"/>
        </w:rPr>
        <w:t>目  录</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一、经济部分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ind w:firstLine="480" w:firstLineChars="200"/>
        <w:rPr>
          <w:color w:val="auto"/>
          <w:highlight w:val="none"/>
        </w:rPr>
      </w:pPr>
      <w:r>
        <w:rPr>
          <w:rFonts w:hint="eastAsia" w:ascii="宋体" w:hAnsi="宋体"/>
          <w:color w:val="auto"/>
          <w:sz w:val="24"/>
          <w:szCs w:val="24"/>
          <w:highlight w:val="none"/>
        </w:rPr>
        <w:t>（二）明细报价表</w:t>
      </w:r>
    </w:p>
    <w:p>
      <w:pPr>
        <w:spacing w:line="360" w:lineRule="auto"/>
        <w:rPr>
          <w:rFonts w:ascii="宋体" w:hAnsi="宋体"/>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需求</w:t>
      </w:r>
      <w:r>
        <w:rPr>
          <w:rFonts w:hint="eastAsia" w:ascii="宋体" w:hAnsi="宋体"/>
          <w:b/>
          <w:bCs/>
          <w:color w:val="auto"/>
          <w:sz w:val="24"/>
          <w:szCs w:val="24"/>
          <w:highlight w:val="none"/>
        </w:rPr>
        <w:t>服务部分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（一）响应偏离表</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三、商务部分</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lang w:eastAsia="zh-CN"/>
        </w:rPr>
        <w:t>）</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四、资格条件及其他</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（一）营业执照（副本）或事业单位法人证书（副本）复印件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（二）组织机构代码证复印件</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说明：供应商按“三证合一”登记制度办理营业执照的，组织机构代码证、税务登记证（副本）以供应商所提供的法人营业执照（副本）复印件为准。</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（三）法定代表人身份证明书（格式）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（四）法定代表人授权委托书（格式）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说明：（三）、（四）项二选一</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（五）</w:t>
      </w:r>
      <w:r>
        <w:rPr>
          <w:rFonts w:hint="eastAsia" w:ascii="宋体" w:hAnsi="宋体"/>
          <w:color w:val="auto"/>
          <w:sz w:val="24"/>
          <w:szCs w:val="24"/>
          <w:highlight w:val="none"/>
        </w:rPr>
        <w:t>基本资格条件承诺函</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（六）</w:t>
      </w:r>
      <w:r>
        <w:rPr>
          <w:rFonts w:hint="eastAsia" w:ascii="宋体" w:hAnsi="宋体"/>
          <w:color w:val="auto"/>
          <w:sz w:val="24"/>
          <w:szCs w:val="24"/>
          <w:highlight w:val="none"/>
          <w:lang w:val="en-US" w:eastAsia="zh-CN"/>
        </w:rPr>
        <w:t>购销诚信及不参与围标串标承诺书（格式）</w:t>
      </w:r>
    </w:p>
    <w:p>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五、其他应提供的资料</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业绩等资料的复印件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pPr>
        <w:rPr>
          <w:rFonts w:hint="eastAsia" w:ascii="宋体" w:hAnsi="宋体"/>
          <w:color w:val="auto"/>
          <w:sz w:val="24"/>
          <w:szCs w:val="24"/>
          <w:highlight w:val="none"/>
        </w:rPr>
      </w:pPr>
      <w:bookmarkStart w:id="68" w:name="_Toc11918"/>
      <w:bookmarkStart w:id="69" w:name="_Toc487204797"/>
      <w:bookmarkStart w:id="70" w:name="_Toc486585240"/>
      <w:bookmarkStart w:id="71" w:name="_Toc109056874"/>
      <w:bookmarkStart w:id="72" w:name="_Toc14854"/>
      <w:bookmarkStart w:id="73" w:name="_Toc486608277"/>
      <w:r>
        <w:rPr>
          <w:rFonts w:hint="eastAsia" w:ascii="宋体" w:hAnsi="宋体"/>
          <w:color w:val="auto"/>
          <w:sz w:val="24"/>
          <w:szCs w:val="24"/>
          <w:highlight w:val="none"/>
        </w:rPr>
        <w:br w:type="page"/>
      </w:r>
    </w:p>
    <w:p>
      <w:pPr>
        <w:pStyle w:val="5"/>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t>一、经济部分</w:t>
      </w:r>
      <w:bookmarkEnd w:id="68"/>
      <w:bookmarkEnd w:id="69"/>
      <w:bookmarkEnd w:id="70"/>
      <w:bookmarkEnd w:id="71"/>
      <w:bookmarkEnd w:id="72"/>
      <w:bookmarkEnd w:id="73"/>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报价函</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的竞采文件，经详细研究，决定参加该项目的竞采。</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1.愿意按照竞采文件中的一切要求，提供本项目的商品及服务，报价为人民币大写：</w:t>
      </w:r>
      <w:bookmarkStart w:id="74" w:name="OLE_LINK28"/>
      <w:r>
        <w:rPr>
          <w:rFonts w:hint="eastAsia" w:ascii="宋体" w:hAnsi="宋体"/>
          <w:color w:val="auto"/>
          <w:sz w:val="24"/>
          <w:szCs w:val="24"/>
          <w:highlight w:val="none"/>
          <w:u w:val="single"/>
        </w:rPr>
        <w:t xml:space="preserve"> </w:t>
      </w:r>
      <w:bookmarkEnd w:id="74"/>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；人民币小写：</w:t>
      </w:r>
      <w:bookmarkStart w:id="75" w:name="OLE_LINK29"/>
      <w:r>
        <w:rPr>
          <w:rFonts w:hint="eastAsia" w:ascii="宋体" w:hAnsi="宋体"/>
          <w:color w:val="auto"/>
          <w:sz w:val="24"/>
          <w:szCs w:val="24"/>
          <w:highlight w:val="none"/>
          <w:u w:val="single"/>
          <w:lang w:val="en-US" w:eastAsia="zh-CN"/>
        </w:rPr>
        <w:t xml:space="preserve">  </w:t>
      </w:r>
      <w:bookmarkEnd w:id="75"/>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元。</w:t>
      </w:r>
    </w:p>
    <w:p>
      <w:pPr>
        <w:spacing w:line="360" w:lineRule="auto"/>
        <w:ind w:firstLine="480" w:firstLineChars="200"/>
        <w:rPr>
          <w:rStyle w:val="65"/>
          <w:rFonts w:ascii="仿宋_GB2312" w:hAnsi="仿宋_GB2312" w:eastAsia="仿宋_GB2312" w:cs="仿宋_GB2312"/>
          <w:iCs/>
          <w:color w:val="auto"/>
          <w:sz w:val="32"/>
          <w:szCs w:val="32"/>
          <w:highlight w:val="none"/>
        </w:rPr>
      </w:pPr>
      <w:bookmarkStart w:id="76" w:name="OLE_LINK25"/>
      <w:r>
        <w:rPr>
          <w:rFonts w:hint="eastAsia" w:ascii="宋体" w:hAnsi="宋体"/>
          <w:color w:val="auto"/>
          <w:sz w:val="24"/>
          <w:szCs w:val="24"/>
          <w:highlight w:val="none"/>
        </w:rPr>
        <w:t>2.我方现提交的响应文件为：</w:t>
      </w:r>
      <w:r>
        <w:rPr>
          <w:rFonts w:hint="eastAsia" w:ascii="宋体" w:hAnsi="宋体"/>
          <w:iCs/>
          <w:color w:val="auto"/>
          <w:sz w:val="24"/>
          <w:szCs w:val="24"/>
          <w:highlight w:val="none"/>
        </w:rPr>
        <w:t>响应文件正本</w:t>
      </w:r>
      <w:bookmarkStart w:id="77" w:name="OLE_LINK30"/>
      <w:r>
        <w:rPr>
          <w:rFonts w:hint="eastAsia" w:ascii="宋体" w:hAnsi="宋体"/>
          <w:i w:val="0"/>
          <w:iCs/>
          <w:color w:val="auto"/>
          <w:sz w:val="24"/>
          <w:szCs w:val="24"/>
          <w:highlight w:val="none"/>
          <w:u w:val="single"/>
        </w:rPr>
        <w:t>壹</w:t>
      </w:r>
      <w:bookmarkEnd w:id="77"/>
      <w:r>
        <w:rPr>
          <w:rFonts w:hint="eastAsia" w:ascii="宋体" w:hAnsi="宋体"/>
          <w:iCs/>
          <w:color w:val="auto"/>
          <w:sz w:val="24"/>
          <w:szCs w:val="24"/>
          <w:highlight w:val="none"/>
        </w:rPr>
        <w:t>份。</w:t>
      </w:r>
      <w:bookmarkEnd w:id="76"/>
    </w:p>
    <w:p>
      <w:pPr>
        <w:tabs>
          <w:tab w:val="left" w:pos="6300"/>
        </w:tabs>
        <w:snapToGrid w:val="0"/>
        <w:spacing w:line="360" w:lineRule="auto"/>
        <w:ind w:firstLine="480" w:firstLineChars="200"/>
        <w:rPr>
          <w:rFonts w:ascii="宋体" w:hAnsi="宋体"/>
          <w:i/>
          <w:color w:val="auto"/>
          <w:sz w:val="24"/>
          <w:szCs w:val="24"/>
          <w:highlight w:val="none"/>
        </w:rPr>
      </w:pPr>
      <w:r>
        <w:rPr>
          <w:rFonts w:hint="eastAsia" w:ascii="宋体" w:hAnsi="宋体"/>
          <w:color w:val="auto"/>
          <w:sz w:val="24"/>
          <w:szCs w:val="24"/>
          <w:highlight w:val="none"/>
        </w:rPr>
        <w:t>3. 我方承诺：本次竞采报价的有效期为</w:t>
      </w:r>
      <w:r>
        <w:rPr>
          <w:rFonts w:hint="eastAsia" w:ascii="宋体" w:hAnsi="宋体"/>
          <w:b w:val="0"/>
          <w:bCs w:val="0"/>
          <w:i w:val="0"/>
          <w:iCs/>
          <w:color w:val="auto"/>
          <w:sz w:val="24"/>
          <w:szCs w:val="24"/>
          <w:highlight w:val="none"/>
          <w:u w:val="none"/>
        </w:rPr>
        <w:t>90</w:t>
      </w:r>
      <w:r>
        <w:rPr>
          <w:rFonts w:hint="eastAsia" w:ascii="宋体" w:hAnsi="宋体"/>
          <w:i w:val="0"/>
          <w:iCs/>
          <w:color w:val="auto"/>
          <w:sz w:val="24"/>
          <w:szCs w:val="24"/>
          <w:highlight w:val="none"/>
        </w:rPr>
        <w:t>天</w:t>
      </w:r>
      <w:r>
        <w:rPr>
          <w:rFonts w:hint="eastAsia" w:ascii="宋体" w:hAnsi="宋体"/>
          <w:i/>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4.我方完全理解和接受贵方竞采文件的一切规定和要求及竞采评审办法。</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5.在整个竞采过程中</w:t>
      </w:r>
      <w:bookmarkStart w:id="78" w:name="OLE_LINK26"/>
      <w:r>
        <w:rPr>
          <w:rFonts w:hint="eastAsia" w:ascii="宋体" w:hAnsi="宋体"/>
          <w:color w:val="auto"/>
          <w:sz w:val="24"/>
          <w:szCs w:val="24"/>
          <w:highlight w:val="none"/>
        </w:rPr>
        <w:t>，我方若有违规行为</w:t>
      </w:r>
      <w:bookmarkEnd w:id="78"/>
      <w:r>
        <w:rPr>
          <w:rFonts w:hint="eastAsia" w:ascii="宋体" w:hAnsi="宋体"/>
          <w:color w:val="auto"/>
          <w:sz w:val="24"/>
          <w:szCs w:val="24"/>
          <w:highlight w:val="none"/>
        </w:rPr>
        <w:t>，接受按照《中华人民共和国政府采购法》和《竞采文件》之规定给予惩罚。</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6.我方若成为成交供应商，将按照最终竞采结果签订合同，并且严格履行合同义务。本承诺函将成为合同不可分割的一部分，与合同具有同等的法律效力。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7.我方同意按竞采文件规定，交纳竞采文件要求的保证金。如果我方成为成交供应商，保证在接到成交通知书后，向采购代理机构交纳竞采文件规定的采购代理服务费。</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9.我方理解，最低报价不是成交的唯一条件。</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firstLine="570"/>
        <w:rPr>
          <w:rFonts w:ascii="宋体" w:hAnsi="宋体"/>
          <w:color w:val="auto"/>
          <w:sz w:val="24"/>
          <w:szCs w:val="24"/>
          <w:highlight w:val="none"/>
        </w:rPr>
      </w:pPr>
      <w:bookmarkStart w:id="79" w:name="OLE_LINK27"/>
      <w:r>
        <w:rPr>
          <w:rFonts w:hint="eastAsia" w:ascii="宋体" w:hAnsi="宋体"/>
          <w:color w:val="auto"/>
          <w:sz w:val="24"/>
          <w:szCs w:val="24"/>
          <w:highlight w:val="none"/>
        </w:rPr>
        <w:t>地址：</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电话：                传真：</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网址：                邮编：</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联系人：</w:t>
      </w:r>
    </w:p>
    <w:bookmarkEnd w:id="79"/>
    <w:p>
      <w:pPr>
        <w:snapToGrid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pStyle w:val="56"/>
        <w:rPr>
          <w:color w:val="auto"/>
          <w:highlight w:val="none"/>
        </w:rPr>
      </w:pPr>
    </w:p>
    <w:p>
      <w:pPr>
        <w:rPr>
          <w:rFonts w:ascii="宋体" w:hAnsi="宋体"/>
          <w:color w:val="auto"/>
          <w:sz w:val="24"/>
          <w:szCs w:val="24"/>
          <w:highlight w:val="none"/>
        </w:rPr>
      </w:pPr>
    </w:p>
    <w:p>
      <w:pPr>
        <w:pStyle w:val="56"/>
        <w:rPr>
          <w:color w:val="auto"/>
          <w:highlight w:val="none"/>
        </w:rPr>
      </w:pPr>
    </w:p>
    <w:p>
      <w:pPr>
        <w:rPr>
          <w:rFonts w:ascii="宋体" w:hAnsi="宋体"/>
          <w:color w:val="auto"/>
          <w:sz w:val="24"/>
          <w:szCs w:val="24"/>
          <w:highlight w:val="none"/>
        </w:rPr>
      </w:pPr>
    </w:p>
    <w:p>
      <w:pPr>
        <w:tabs>
          <w:tab w:val="left" w:pos="2895"/>
        </w:tabs>
        <w:spacing w:line="380" w:lineRule="exact"/>
        <w:rPr>
          <w:rFonts w:ascii="宋体" w:hAnsi="宋体" w:eastAsia="仿宋_GB2312"/>
          <w:color w:val="auto"/>
          <w:sz w:val="24"/>
          <w:highlight w:val="none"/>
        </w:rPr>
      </w:pPr>
    </w:p>
    <w:p>
      <w:pPr>
        <w:tabs>
          <w:tab w:val="left" w:pos="2895"/>
        </w:tabs>
        <w:spacing w:line="380" w:lineRule="exact"/>
        <w:rPr>
          <w:rFonts w:ascii="宋体" w:hAnsi="宋体"/>
          <w:color w:val="auto"/>
          <w:sz w:val="24"/>
          <w:szCs w:val="24"/>
          <w:highlight w:val="none"/>
        </w:rPr>
      </w:pPr>
      <w:r>
        <w:rPr>
          <w:rFonts w:hint="eastAsia" w:ascii="宋体" w:hAnsi="宋体"/>
          <w:color w:val="auto"/>
          <w:sz w:val="24"/>
          <w:szCs w:val="24"/>
          <w:highlight w:val="none"/>
        </w:rPr>
        <w:t>（二）明细报价表</w:t>
      </w:r>
    </w:p>
    <w:p>
      <w:pPr>
        <w:pStyle w:val="5"/>
        <w:spacing w:before="0" w:after="0" w:line="360" w:lineRule="auto"/>
        <w:jc w:val="center"/>
        <w:rPr>
          <w:rFonts w:ascii="仿宋_GB2312" w:hAnsi="仿宋_GB2312" w:eastAsia="仿宋_GB2312" w:cs="仿宋_GB2312"/>
          <w:color w:val="auto"/>
          <w:szCs w:val="32"/>
          <w:highlight w:val="none"/>
        </w:rPr>
      </w:pPr>
      <w:r>
        <w:rPr>
          <w:rFonts w:hint="eastAsia" w:ascii="宋体" w:hAnsi="宋体"/>
          <w:color w:val="auto"/>
          <w:szCs w:val="32"/>
          <w:highlight w:val="none"/>
        </w:rPr>
        <w:t>明细报价表</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8"/>
        <w:tblpPr w:leftFromText="180" w:rightFromText="180" w:vertAnchor="text" w:tblpXSpec="center" w:tblpY="1"/>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73"/>
        <w:gridCol w:w="1904"/>
        <w:gridCol w:w="180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989"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1973"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项目名称</w:t>
            </w:r>
          </w:p>
        </w:tc>
        <w:tc>
          <w:tcPr>
            <w:tcW w:w="1904" w:type="dxa"/>
            <w:noWrap/>
            <w:vAlign w:val="center"/>
          </w:tcPr>
          <w:p>
            <w:pPr>
              <w:widowControl/>
              <w:jc w:val="center"/>
              <w:textAlignment w:val="center"/>
              <w:rPr>
                <w:rFonts w:hint="default"/>
                <w:lang w:val="en-US" w:eastAsia="zh-CN"/>
              </w:rPr>
            </w:pPr>
            <w:r>
              <w:rPr>
                <w:rFonts w:hint="eastAsia" w:ascii="宋体" w:hAnsi="宋体" w:cs="宋体"/>
                <w:b/>
                <w:color w:val="000000"/>
                <w:kern w:val="0"/>
                <w:sz w:val="24"/>
                <w:szCs w:val="24"/>
                <w:highlight w:val="none"/>
                <w:lang w:val="en-US" w:eastAsia="zh-CN"/>
              </w:rPr>
              <w:t>数量</w:t>
            </w:r>
          </w:p>
        </w:tc>
        <w:tc>
          <w:tcPr>
            <w:tcW w:w="1800"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供应商报价</w:t>
            </w:r>
            <w:r>
              <w:rPr>
                <w:rFonts w:hint="eastAsia" w:ascii="宋体" w:hAnsi="宋体" w:eastAsia="宋体" w:cs="宋体"/>
                <w:b/>
                <w:color w:val="000000"/>
                <w:kern w:val="0"/>
                <w:sz w:val="24"/>
                <w:szCs w:val="24"/>
                <w:highlight w:val="none"/>
                <w:lang w:val="en-US" w:eastAsia="zh-CN"/>
              </w:rPr>
              <w:t xml:space="preserve">               </w:t>
            </w:r>
            <w:r>
              <w:rPr>
                <w:rFonts w:hint="eastAsia" w:ascii="宋体" w:hAnsi="宋体" w:eastAsia="宋体" w:cs="宋体"/>
                <w:b/>
                <w:color w:val="000000"/>
                <w:kern w:val="0"/>
                <w:sz w:val="24"/>
                <w:szCs w:val="24"/>
                <w:highlight w:val="none"/>
              </w:rPr>
              <w:t>（含税价）</w:t>
            </w:r>
          </w:p>
        </w:tc>
        <w:tc>
          <w:tcPr>
            <w:tcW w:w="1806" w:type="dxa"/>
            <w:noWrap/>
            <w:vAlign w:val="center"/>
          </w:tcPr>
          <w:p>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989" w:type="dxa"/>
            <w:noWrap/>
            <w:vAlign w:val="center"/>
          </w:tcPr>
          <w:p>
            <w:pPr>
              <w:tabs>
                <w:tab w:val="left" w:pos="6300"/>
              </w:tabs>
              <w:snapToGrid w:val="0"/>
              <w:spacing w:line="360" w:lineRule="auto"/>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1</w:t>
            </w:r>
          </w:p>
          <w:p>
            <w:pPr>
              <w:tabs>
                <w:tab w:val="left" w:pos="6300"/>
              </w:tabs>
              <w:snapToGrid w:val="0"/>
              <w:spacing w:line="360" w:lineRule="auto"/>
              <w:ind w:firstLine="240" w:firstLineChars="100"/>
              <w:jc w:val="both"/>
              <w:rPr>
                <w:rFonts w:hint="eastAsia" w:ascii="宋体" w:hAnsi="宋体"/>
                <w:color w:val="auto"/>
                <w:sz w:val="24"/>
                <w:szCs w:val="24"/>
                <w:highlight w:val="none"/>
                <w:lang w:val="en-US" w:eastAsia="zh-CN"/>
              </w:rPr>
            </w:pPr>
          </w:p>
        </w:tc>
        <w:tc>
          <w:tcPr>
            <w:tcW w:w="1973" w:type="dxa"/>
            <w:noWrap/>
            <w:vAlign w:val="center"/>
          </w:tcPr>
          <w:p>
            <w:pPr>
              <w:snapToGrid w:val="0"/>
              <w:spacing w:line="240" w:lineRule="auto"/>
              <w:jc w:val="center"/>
              <w:rPr>
                <w:rFonts w:hint="eastAsia" w:ascii="宋体" w:hAnsi="宋体" w:eastAsia="宋体" w:cs="宋体"/>
                <w:kern w:val="0"/>
                <w:sz w:val="22"/>
                <w:szCs w:val="22"/>
                <w:lang w:val="en-US" w:eastAsia="zh-CN" w:bidi="ar"/>
              </w:rPr>
            </w:pPr>
          </w:p>
          <w:p>
            <w:pPr>
              <w:snapToGrid w:val="0"/>
              <w:spacing w:line="240" w:lineRule="auto"/>
              <w:jc w:val="center"/>
              <w:rPr>
                <w:rFonts w:hint="eastAsia" w:ascii="宋体" w:hAnsi="宋体" w:eastAsia="宋体" w:cs="宋体"/>
                <w:kern w:val="0"/>
                <w:sz w:val="22"/>
                <w:szCs w:val="22"/>
                <w:lang w:val="en-US" w:eastAsia="zh-CN" w:bidi="ar"/>
              </w:rPr>
            </w:pPr>
          </w:p>
          <w:p>
            <w:pPr>
              <w:tabs>
                <w:tab w:val="left" w:pos="6300"/>
              </w:tabs>
              <w:snapToGrid w:val="0"/>
              <w:spacing w:line="360" w:lineRule="auto"/>
              <w:jc w:val="center"/>
              <w:rPr>
                <w:rFonts w:hint="default" w:ascii="宋体" w:hAnsi="宋体"/>
                <w:color w:val="auto"/>
                <w:sz w:val="24"/>
                <w:szCs w:val="24"/>
                <w:highlight w:val="none"/>
                <w:lang w:val="en-US"/>
              </w:rPr>
            </w:pPr>
          </w:p>
        </w:tc>
        <w:tc>
          <w:tcPr>
            <w:tcW w:w="1904"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0"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6" w:type="dxa"/>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89" w:type="dxa"/>
            <w:noWrap/>
            <w:vAlign w:val="center"/>
          </w:tcPr>
          <w:p>
            <w:pPr>
              <w:tabs>
                <w:tab w:val="left" w:pos="6300"/>
              </w:tabs>
              <w:snapToGrid w:val="0"/>
              <w:spacing w:line="360" w:lineRule="auto"/>
              <w:ind w:firstLine="240" w:firstLineChars="1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合计</w:t>
            </w:r>
          </w:p>
        </w:tc>
        <w:tc>
          <w:tcPr>
            <w:tcW w:w="7483" w:type="dxa"/>
            <w:gridSpan w:val="4"/>
            <w:noWrap/>
            <w:vAlign w:val="center"/>
          </w:tcPr>
          <w:p>
            <w:pPr>
              <w:tabs>
                <w:tab w:val="left" w:pos="6300"/>
              </w:tabs>
              <w:snapToGrid w:val="0"/>
              <w:spacing w:line="360" w:lineRule="auto"/>
              <w:jc w:val="both"/>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小写：                大写：</w:t>
            </w:r>
          </w:p>
        </w:tc>
      </w:tr>
    </w:tbl>
    <w:p>
      <w:pPr>
        <w:tabs>
          <w:tab w:val="left" w:pos="6300"/>
        </w:tabs>
        <w:snapToGrid w:val="0"/>
        <w:spacing w:line="360" w:lineRule="auto"/>
        <w:rPr>
          <w:rFonts w:hint="eastAsia"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填写要求：</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供应商应完整填写本表，并逐页盖章。</w:t>
      </w:r>
    </w:p>
    <w:p>
      <w:pPr>
        <w:tabs>
          <w:tab w:val="left" w:pos="6300"/>
        </w:tabs>
        <w:snapToGrid w:val="0"/>
        <w:spacing w:line="360" w:lineRule="auto"/>
        <w:ind w:firstLine="480" w:firstLineChars="200"/>
        <w:rPr>
          <w:rFonts w:hint="eastAsia" w:ascii="宋体" w:hAnsi="宋体" w:cs="Times New Roman"/>
          <w:color w:val="auto"/>
          <w:sz w:val="24"/>
          <w:szCs w:val="24"/>
          <w:highlight w:val="none"/>
          <w:lang w:val="en-US" w:eastAsia="zh-CN"/>
        </w:rPr>
      </w:pPr>
      <w:r>
        <w:rPr>
          <w:rFonts w:hint="eastAsia" w:ascii="宋体" w:hAnsi="宋体"/>
          <w:color w:val="auto"/>
          <w:sz w:val="24"/>
          <w:szCs w:val="24"/>
          <w:highlight w:val="none"/>
          <w:lang w:val="en-US" w:eastAsia="zh-CN"/>
        </w:rPr>
        <w:t>2.本项目</w:t>
      </w:r>
      <w:r>
        <w:rPr>
          <w:rFonts w:hint="eastAsia" w:ascii="宋体" w:hAnsi="宋体" w:cs="Times New Roman"/>
          <w:color w:val="auto"/>
          <w:sz w:val="24"/>
          <w:szCs w:val="24"/>
          <w:highlight w:val="none"/>
          <w:lang w:val="en-US" w:eastAsia="zh-CN"/>
        </w:rPr>
        <w:t>最高限价不超过195000元，报价超过最高限价为无效报价。</w:t>
      </w:r>
    </w:p>
    <w:p>
      <w:pPr>
        <w:pStyle w:val="23"/>
        <w:rPr>
          <w:rFonts w:hint="default"/>
          <w:lang w:val="en-US" w:eastAsia="zh-CN"/>
        </w:rPr>
      </w:pPr>
    </w:p>
    <w:p>
      <w:pPr>
        <w:rPr>
          <w:color w:val="auto"/>
          <w:highlight w:val="none"/>
        </w:rPr>
      </w:pPr>
    </w:p>
    <w:p>
      <w:pPr>
        <w:spacing w:line="380" w:lineRule="exact"/>
        <w:jc w:val="right"/>
        <w:rPr>
          <w:color w:val="auto"/>
          <w:highlight w:val="none"/>
        </w:rPr>
      </w:pPr>
    </w:p>
    <w:p>
      <w:pPr>
        <w:spacing w:line="380" w:lineRule="exact"/>
        <w:jc w:val="right"/>
        <w:rPr>
          <w:color w:val="auto"/>
          <w:highlight w:val="none"/>
        </w:rPr>
      </w:pPr>
    </w:p>
    <w:p>
      <w:pPr>
        <w:spacing w:line="380" w:lineRule="exact"/>
        <w:jc w:val="both"/>
        <w:rPr>
          <w:rFonts w:ascii="宋体" w:hAnsi="宋体"/>
          <w:color w:val="auto"/>
          <w:sz w:val="24"/>
          <w:szCs w:val="24"/>
          <w:highlight w:val="none"/>
        </w:rPr>
      </w:pPr>
    </w:p>
    <w:p>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供应商名称（公章）：</w:t>
      </w:r>
    </w:p>
    <w:p>
      <w:pPr>
        <w:spacing w:line="380" w:lineRule="exact"/>
        <w:ind w:right="480" w:firstLine="6480" w:firstLineChars="2700"/>
        <w:jc w:val="both"/>
        <w:rPr>
          <w:rFonts w:ascii="宋体" w:hAnsi="宋体"/>
          <w:color w:val="auto"/>
          <w:sz w:val="24"/>
          <w:szCs w:val="24"/>
          <w:highlight w:val="none"/>
        </w:rPr>
      </w:pPr>
      <w:r>
        <w:rPr>
          <w:rFonts w:hint="eastAsia" w:ascii="宋体" w:hAnsi="宋体"/>
          <w:color w:val="auto"/>
          <w:sz w:val="24"/>
          <w:szCs w:val="24"/>
          <w:highlight w:val="none"/>
        </w:rPr>
        <w:t>年    月    日</w:t>
      </w: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pStyle w:val="5"/>
        <w:numPr>
          <w:ilvl w:val="0"/>
          <w:numId w:val="17"/>
        </w:numPr>
        <w:spacing w:before="0" w:after="0"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需求</w:t>
      </w:r>
      <w:r>
        <w:rPr>
          <w:rFonts w:hint="eastAsia" w:ascii="宋体" w:hAnsi="宋体"/>
          <w:color w:val="auto"/>
          <w:sz w:val="24"/>
          <w:szCs w:val="24"/>
          <w:highlight w:val="none"/>
        </w:rPr>
        <w:t>服务部分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响应偏离表</w:t>
      </w:r>
    </w:p>
    <w:p>
      <w:pPr>
        <w:spacing w:line="360" w:lineRule="auto"/>
        <w:ind w:firstLine="360" w:firstLineChars="150"/>
        <w:rPr>
          <w:rFonts w:ascii="宋体" w:hAnsi="宋体"/>
          <w:color w:val="auto"/>
          <w:sz w:val="24"/>
          <w:szCs w:val="24"/>
          <w:highlight w:val="none"/>
        </w:rPr>
      </w:pPr>
      <w:r>
        <w:rPr>
          <w:rFonts w:hint="eastAsia" w:ascii="宋体" w:hAnsi="宋体" w:cs="宋体"/>
          <w:color w:val="auto"/>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65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采购需求</w:t>
            </w:r>
          </w:p>
        </w:tc>
        <w:tc>
          <w:tcPr>
            <w:tcW w:w="2759"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响应情况</w:t>
            </w:r>
          </w:p>
        </w:tc>
        <w:tc>
          <w:tcPr>
            <w:tcW w:w="2067"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bl>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采购需求”中所列服务要求进行比较和响应；</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pPr>
        <w:pStyle w:val="5"/>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80" w:name="_Toc486608279"/>
      <w:bookmarkStart w:id="81" w:name="_Toc487204799"/>
      <w:bookmarkStart w:id="82" w:name="_Toc16872"/>
      <w:bookmarkStart w:id="83" w:name="_Toc17029"/>
      <w:bookmarkStart w:id="84" w:name="_Toc486585242"/>
      <w:bookmarkStart w:id="85" w:name="_Toc109056876"/>
      <w:r>
        <w:rPr>
          <w:rFonts w:hint="eastAsia" w:ascii="宋体" w:hAnsi="宋体"/>
          <w:color w:val="auto"/>
          <w:sz w:val="24"/>
          <w:szCs w:val="24"/>
          <w:highlight w:val="none"/>
        </w:rPr>
        <w:t>三、商务部分</w:t>
      </w:r>
      <w:bookmarkEnd w:id="80"/>
      <w:bookmarkEnd w:id="81"/>
      <w:bookmarkEnd w:id="82"/>
      <w:bookmarkEnd w:id="83"/>
      <w:bookmarkEnd w:id="84"/>
      <w:bookmarkEnd w:id="85"/>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商务响应偏离表</w:t>
      </w:r>
    </w:p>
    <w:p>
      <w:pPr>
        <w:spacing w:line="360" w:lineRule="auto"/>
        <w:rPr>
          <w:rFonts w:ascii="宋体" w:hAnsi="宋体"/>
          <w:color w:val="auto"/>
          <w:sz w:val="24"/>
          <w:szCs w:val="24"/>
          <w:highlight w:val="none"/>
        </w:rPr>
      </w:pPr>
      <w:r>
        <w:rPr>
          <w:rFonts w:hint="eastAsia" w:ascii="宋体" w:hAnsi="宋体" w:cs="宋体"/>
          <w:color w:val="auto"/>
          <w:sz w:val="24"/>
          <w:highlight w:val="none"/>
        </w:rPr>
        <w:t>项目名称：</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对于竞采文件的商务要求，如有任何偏离请如实填写下表：</w:t>
      </w:r>
    </w:p>
    <w:tbl>
      <w:tblPr>
        <w:tblStyle w:val="58"/>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179"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商务需求</w:t>
            </w:r>
          </w:p>
        </w:tc>
        <w:tc>
          <w:tcPr>
            <w:tcW w:w="2434"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响应情况</w:t>
            </w:r>
          </w:p>
        </w:tc>
        <w:tc>
          <w:tcPr>
            <w:tcW w:w="2355" w:type="dxa"/>
            <w:noWrap/>
            <w:vAlign w:val="center"/>
          </w:tcPr>
          <w:p>
            <w:pPr>
              <w:jc w:val="center"/>
              <w:rPr>
                <w:rFonts w:ascii="宋体" w:hAnsi="宋体"/>
                <w:color w:val="auto"/>
                <w:sz w:val="24"/>
                <w:szCs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bl>
    <w:p>
      <w:pPr>
        <w:spacing w:line="500" w:lineRule="exact"/>
        <w:ind w:firstLine="600" w:firstLineChars="250"/>
        <w:rPr>
          <w:rFonts w:ascii="宋体" w:hAnsi="宋体" w:cs="宋体"/>
          <w:color w:val="auto"/>
          <w:sz w:val="24"/>
          <w:highlight w:val="none"/>
        </w:rPr>
      </w:pPr>
    </w:p>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56"/>
        <w:rPr>
          <w:color w:val="auto"/>
          <w:highlight w:val="none"/>
        </w:rPr>
      </w:pPr>
    </w:p>
    <w:p>
      <w:pPr>
        <w:rPr>
          <w:color w:val="auto"/>
          <w:highlight w:val="none"/>
        </w:rPr>
      </w:pP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项目商务需求”中所列服务要求进行比较和响应；</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p>
    <w:p>
      <w:pPr>
        <w:tabs>
          <w:tab w:val="left" w:pos="6300"/>
        </w:tabs>
        <w:snapToGrid w:val="0"/>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br w:type="page"/>
      </w:r>
    </w:p>
    <w:p>
      <w:pPr>
        <w:spacing w:line="380" w:lineRule="exact"/>
        <w:rPr>
          <w:rFonts w:ascii="宋体" w:hAnsi="宋体"/>
          <w:color w:val="auto"/>
          <w:highlight w:val="none"/>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格式自定）</w:t>
      </w:r>
    </w:p>
    <w:p>
      <w:pPr>
        <w:pStyle w:val="5"/>
        <w:spacing w:before="0" w:after="0" w:line="360" w:lineRule="auto"/>
        <w:rPr>
          <w:rFonts w:ascii="宋体" w:hAnsi="宋体"/>
          <w:color w:val="auto"/>
          <w:sz w:val="24"/>
          <w:szCs w:val="24"/>
          <w:highlight w:val="none"/>
        </w:rPr>
      </w:pPr>
      <w:r>
        <w:rPr>
          <w:rFonts w:hint="eastAsia" w:ascii="宋体" w:hAnsi="宋体"/>
          <w:b w:val="0"/>
          <w:color w:val="auto"/>
          <w:sz w:val="24"/>
          <w:szCs w:val="24"/>
          <w:highlight w:val="none"/>
        </w:rPr>
        <w:br w:type="page"/>
      </w:r>
      <w:bookmarkStart w:id="86" w:name="_Toc486608280"/>
      <w:bookmarkStart w:id="87" w:name="_Toc487204800"/>
      <w:bookmarkStart w:id="88" w:name="_Toc109056877"/>
      <w:bookmarkStart w:id="89" w:name="_Toc486585243"/>
      <w:bookmarkStart w:id="90" w:name="_Toc23557"/>
      <w:bookmarkStart w:id="91" w:name="_Toc8290"/>
      <w:bookmarkStart w:id="92" w:name="_Toc24070"/>
      <w:r>
        <w:rPr>
          <w:rFonts w:hint="eastAsia" w:ascii="宋体" w:hAnsi="宋体"/>
          <w:color w:val="auto"/>
          <w:sz w:val="24"/>
          <w:szCs w:val="24"/>
          <w:highlight w:val="none"/>
        </w:rPr>
        <w:t>四、资格条件及其他</w:t>
      </w:r>
      <w:bookmarkEnd w:id="86"/>
      <w:bookmarkEnd w:id="87"/>
      <w:bookmarkEnd w:id="88"/>
      <w:bookmarkEnd w:id="89"/>
      <w:bookmarkEnd w:id="90"/>
      <w:bookmarkEnd w:id="91"/>
      <w:bookmarkEnd w:id="92"/>
    </w:p>
    <w:p>
      <w:pPr>
        <w:tabs>
          <w:tab w:val="left" w:pos="6300"/>
        </w:tabs>
        <w:snapToGrid w:val="0"/>
        <w:spacing w:line="360" w:lineRule="auto"/>
        <w:ind w:firstLine="57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（一）营业执照（副本）或事业单位法人证书（副本）复印件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（二）组织机构代码证复印件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说明：供应商按“三证合一”登记制度办理营业执照的，组织机构代码证、税务登记证（副本）以供应商所提供的法人营业执照（副本）复印件为准。</w:t>
      </w:r>
    </w:p>
    <w:p>
      <w:pPr>
        <w:tabs>
          <w:tab w:val="left" w:pos="6300"/>
        </w:tabs>
        <w:snapToGrid w:val="0"/>
        <w:spacing w:line="380" w:lineRule="exact"/>
        <w:ind w:firstLine="570"/>
        <w:rPr>
          <w:rFonts w:ascii="宋体" w:hAnsi="宋体"/>
          <w:color w:val="auto"/>
          <w:sz w:val="24"/>
          <w:szCs w:val="24"/>
          <w:highlight w:val="none"/>
        </w:rPr>
      </w:pPr>
    </w:p>
    <w:p>
      <w:pPr>
        <w:pStyle w:val="5"/>
        <w:spacing w:before="0" w:after="0" w:line="360" w:lineRule="auto"/>
        <w:rPr>
          <w:rFonts w:ascii="宋体" w:hAnsi="宋体"/>
          <w:i/>
          <w:color w:val="auto"/>
          <w:sz w:val="24"/>
          <w:szCs w:val="24"/>
          <w:highlight w:val="none"/>
          <w:u w:val="single"/>
        </w:rPr>
      </w:pPr>
      <w:r>
        <w:rPr>
          <w:rFonts w:hint="eastAsia" w:ascii="宋体" w:hAnsi="宋体"/>
          <w:color w:val="auto"/>
          <w:sz w:val="24"/>
          <w:szCs w:val="24"/>
          <w:highlight w:val="none"/>
        </w:rPr>
        <w:br w:type="page"/>
      </w:r>
      <w:r>
        <w:rPr>
          <w:rFonts w:hint="eastAsia" w:ascii="宋体" w:hAnsi="宋体"/>
          <w:b w:val="0"/>
          <w:color w:val="auto"/>
          <w:sz w:val="24"/>
          <w:szCs w:val="24"/>
          <w:highlight w:val="none"/>
        </w:rPr>
        <w:t>（三）法定代表人身份证明书（格式）/法定代表人授权委托书（格式）（二选一）</w:t>
      </w:r>
    </w:p>
    <w:p>
      <w:pPr>
        <w:widowControl/>
        <w:spacing w:line="360" w:lineRule="auto"/>
        <w:jc w:val="left"/>
        <w:rPr>
          <w:rFonts w:ascii="宋体" w:hAnsi="宋体"/>
          <w:color w:val="auto"/>
          <w:sz w:val="24"/>
          <w:szCs w:val="24"/>
          <w:highlight w:val="none"/>
        </w:rPr>
      </w:pP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法定代表人身份证明书</w:t>
      </w:r>
    </w:p>
    <w:p>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（法定代表人名称及身份证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的法定代表人，电话</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008" w:firstLineChars="2087"/>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（附：法定代表人身份证双面复印件或扫描件）</w:t>
      </w: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br w:type="column"/>
      </w: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法定代表人授权委托书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left="476" w:leftChars="170"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供应商法定代表人名称）</w:t>
      </w:r>
      <w:r>
        <w:rPr>
          <w:rFonts w:hint="eastAsia" w:ascii="宋体" w:hAnsi="宋体"/>
          <w:color w:val="auto"/>
          <w:sz w:val="24"/>
          <w:szCs w:val="24"/>
          <w:highlight w:val="none"/>
        </w:rPr>
        <w:t>是</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的法定代表人，特授权</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被授权人姓名及身份证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代表我单位全权办理上述项目的竞采、签约等具体工作，并签署全部有关文件、协议及合同。</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被授权人：                                   供应商法定代表人：</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（签字或盖章）                              （签字或盖章）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（附：被授权人、法定代表人身份证正反面复印件）</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pPr>
        <w:pStyle w:val="23"/>
        <w:rPr>
          <w:rFonts w:ascii="宋体" w:hAnsi="宋体"/>
          <w:color w:val="auto"/>
          <w:sz w:val="24"/>
          <w:szCs w:val="24"/>
          <w:highlight w:val="none"/>
        </w:rPr>
      </w:pPr>
    </w:p>
    <w:p>
      <w:pPr>
        <w:pStyle w:val="23"/>
        <w:rPr>
          <w:rFonts w:ascii="宋体" w:hAnsi="宋体"/>
          <w:color w:val="auto"/>
          <w:sz w:val="24"/>
          <w:szCs w:val="24"/>
          <w:highlight w:val="none"/>
        </w:rPr>
      </w:pPr>
    </w:p>
    <w:p>
      <w:pPr>
        <w:pStyle w:val="23"/>
        <w:rPr>
          <w:rFonts w:ascii="宋体" w:hAnsi="宋体"/>
          <w:color w:val="auto"/>
          <w:sz w:val="24"/>
          <w:szCs w:val="24"/>
          <w:highlight w:val="none"/>
        </w:rPr>
      </w:pPr>
    </w:p>
    <w:p>
      <w:pPr>
        <w:pStyle w:val="23"/>
        <w:rPr>
          <w:rFonts w:ascii="宋体" w:hAnsi="宋体"/>
          <w:color w:val="auto"/>
          <w:sz w:val="24"/>
          <w:szCs w:val="24"/>
          <w:highlight w:val="none"/>
        </w:rPr>
      </w:pPr>
    </w:p>
    <w:p>
      <w:pPr>
        <w:pStyle w:val="24"/>
        <w:rPr>
          <w:color w:val="auto"/>
          <w:highlight w:val="none"/>
        </w:rPr>
      </w:pPr>
    </w:p>
    <w:p>
      <w:pPr>
        <w:pStyle w:val="24"/>
        <w:rPr>
          <w:color w:val="auto"/>
          <w:highlight w:val="none"/>
        </w:rPr>
      </w:pPr>
    </w:p>
    <w:p>
      <w:pPr>
        <w:pStyle w:val="24"/>
        <w:rPr>
          <w:color w:val="auto"/>
          <w:highlight w:val="none"/>
        </w:rPr>
      </w:pPr>
    </w:p>
    <w:p>
      <w:pPr>
        <w:tabs>
          <w:tab w:val="left" w:pos="6300"/>
        </w:tabs>
        <w:snapToGrid w:val="0"/>
        <w:spacing w:line="360" w:lineRule="auto"/>
        <w:rPr>
          <w:color w:val="auto"/>
          <w:sz w:val="4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（四）基本资格条件承诺函</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500" w:lineRule="exact"/>
        <w:jc w:val="center"/>
        <w:rPr>
          <w:rFonts w:ascii="宋体" w:hAnsi="宋体"/>
          <w:b/>
          <w:color w:val="auto"/>
          <w:highlight w:val="none"/>
        </w:rPr>
      </w:pPr>
      <w:r>
        <w:rPr>
          <w:rFonts w:hint="eastAsia" w:ascii="宋体" w:hAnsi="宋体"/>
          <w:b/>
          <w:color w:val="auto"/>
          <w:highlight w:val="none"/>
        </w:rPr>
        <w:t>基本资格条件承诺函</w:t>
      </w:r>
    </w:p>
    <w:p>
      <w:pPr>
        <w:tabs>
          <w:tab w:val="left" w:pos="6300"/>
        </w:tabs>
        <w:snapToGrid w:val="0"/>
        <w:spacing w:line="5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highlight w:val="none"/>
        </w:rPr>
        <w:t>：</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（供应商名称）郑重承诺：</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我方对以上承诺负全部法律责任。</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right="424" w:firstLine="570"/>
        <w:jc w:val="right"/>
        <w:rPr>
          <w:rFonts w:ascii="宋体" w:hAnsi="宋体"/>
          <w:color w:val="auto"/>
          <w:sz w:val="24"/>
          <w:highlight w:val="none"/>
        </w:rPr>
      </w:pPr>
      <w:r>
        <w:rPr>
          <w:rFonts w:hint="eastAsia" w:ascii="宋体" w:hAnsi="宋体"/>
          <w:color w:val="auto"/>
          <w:sz w:val="24"/>
          <w:highlight w:val="none"/>
        </w:rPr>
        <w:t>（供应商公章）</w:t>
      </w:r>
    </w:p>
    <w:p>
      <w:pPr>
        <w:tabs>
          <w:tab w:val="left" w:pos="6300"/>
        </w:tabs>
        <w:snapToGrid w:val="0"/>
        <w:spacing w:line="500" w:lineRule="exact"/>
        <w:ind w:right="480" w:firstLine="570"/>
        <w:jc w:val="right"/>
        <w:rPr>
          <w:rFonts w:ascii="宋体" w:hAnsi="宋体"/>
          <w:color w:val="auto"/>
          <w:sz w:val="24"/>
          <w:highlight w:val="none"/>
        </w:rPr>
      </w:pPr>
      <w:r>
        <w:rPr>
          <w:rFonts w:hint="eastAsia" w:ascii="宋体" w:hAnsi="宋体"/>
          <w:color w:val="auto"/>
          <w:sz w:val="24"/>
          <w:highlight w:val="none"/>
        </w:rPr>
        <w:t>年   月   日</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br w:type="page"/>
      </w:r>
    </w:p>
    <w:p>
      <w:pPr>
        <w:numPr>
          <w:ilvl w:val="0"/>
          <w:numId w:val="18"/>
        </w:num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购销诚信及不参与围标串标承诺书（格式）</w:t>
      </w:r>
    </w:p>
    <w:p>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pPr>
        <w:ind w:firstLine="480"/>
        <w:rPr>
          <w:color w:val="auto"/>
          <w:highlight w:val="none"/>
        </w:rPr>
      </w:pPr>
    </w:p>
    <w:p>
      <w:pPr>
        <w:spacing w:line="560" w:lineRule="exact"/>
        <w:ind w:firstLine="560"/>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重庆市沙坪坝区人民医院</w:t>
      </w:r>
      <w:r>
        <w:rPr>
          <w:rFonts w:ascii="方正仿宋_GBK" w:eastAsia="方正仿宋_GBK"/>
          <w:b/>
          <w:bCs/>
          <w:color w:val="auto"/>
          <w:sz w:val="28"/>
          <w:szCs w:val="28"/>
          <w:highlight w:val="none"/>
        </w:rPr>
        <w:t>:</w:t>
      </w:r>
    </w:p>
    <w:p>
      <w:pPr>
        <w:spacing w:line="560" w:lineRule="exact"/>
        <w:ind w:left="426" w:leftChars="152" w:firstLine="280" w:firstLineChars="1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我单位参加贵单位(项目名称)的竞标，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现我单位法定代表人/授权委托人对以下事项作出承诺:</w:t>
      </w:r>
    </w:p>
    <w:p>
      <w:pPr>
        <w:numPr>
          <w:ilvl w:val="0"/>
          <w:numId w:val="19"/>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pPr>
        <w:numPr>
          <w:ilvl w:val="0"/>
          <w:numId w:val="19"/>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在本项目招投标活动中与招标人、与其它投标人均不存在关联关系。我单位和我本人在本项目招投标活动中，未参与围标、串标。</w:t>
      </w:r>
    </w:p>
    <w:p>
      <w:pPr>
        <w:numPr>
          <w:ilvl w:val="0"/>
          <w:numId w:val="19"/>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pPr>
        <w:numPr>
          <w:ilvl w:val="0"/>
          <w:numId w:val="19"/>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val="en-US" w:eastAsia="zh-CN"/>
        </w:rPr>
        <w:t xml:space="preserve"> </w:t>
      </w:r>
      <w:r>
        <w:rPr>
          <w:rFonts w:hint="eastAsia" w:ascii="方正仿宋_GBK" w:eastAsia="方正仿宋_GBK"/>
          <w:color w:val="auto"/>
          <w:sz w:val="28"/>
          <w:szCs w:val="28"/>
          <w:highlight w:val="none"/>
        </w:rPr>
        <w:t>65542551。</w:t>
      </w:r>
    </w:p>
    <w:p>
      <w:pPr>
        <w:numPr>
          <w:ilvl w:val="0"/>
          <w:numId w:val="19"/>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年内不参</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pPr>
        <w:numPr>
          <w:ilvl w:val="0"/>
          <w:numId w:val="0"/>
        </w:numPr>
        <w:snapToGrid w:val="0"/>
        <w:spacing w:line="360" w:lineRule="auto"/>
        <w:rPr>
          <w:rFonts w:hint="eastAsia" w:ascii="宋体" w:hAnsi="宋体"/>
          <w:color w:val="auto"/>
          <w:sz w:val="24"/>
          <w:szCs w:val="24"/>
          <w:highlight w:val="none"/>
          <w:lang w:val="en-US" w:eastAsia="zh-CN"/>
        </w:rPr>
      </w:pPr>
    </w:p>
    <w:p>
      <w:pPr>
        <w:numPr>
          <w:ilvl w:val="0"/>
          <w:numId w:val="0"/>
        </w:numPr>
        <w:snapToGrid w:val="0"/>
        <w:spacing w:line="360" w:lineRule="auto"/>
        <w:rPr>
          <w:rFonts w:hint="eastAsia" w:ascii="宋体" w:hAnsi="宋体"/>
          <w:color w:val="auto"/>
          <w:sz w:val="24"/>
          <w:szCs w:val="24"/>
          <w:highlight w:val="none"/>
          <w:lang w:val="en-US" w:eastAsia="zh-CN"/>
        </w:rPr>
      </w:pPr>
    </w:p>
    <w:p>
      <w:pPr>
        <w:pStyle w:val="5"/>
        <w:spacing w:before="0" w:after="0" w:line="360" w:lineRule="auto"/>
        <w:rPr>
          <w:rFonts w:hint="eastAsia" w:ascii="宋体" w:hAnsi="宋体" w:cs="仿宋_GB2312"/>
          <w:color w:val="auto"/>
          <w:sz w:val="24"/>
          <w:szCs w:val="24"/>
          <w:highlight w:val="none"/>
          <w:lang w:val="en-US" w:eastAsia="zh-CN"/>
        </w:rPr>
      </w:pPr>
      <w:bookmarkStart w:id="93" w:name="_Toc487204801"/>
      <w:bookmarkStart w:id="94" w:name="_Toc29032"/>
      <w:bookmarkStart w:id="95" w:name="_Toc5759"/>
      <w:bookmarkStart w:id="96" w:name="_Toc486585244"/>
      <w:bookmarkStart w:id="97" w:name="_Toc486608281"/>
      <w:bookmarkStart w:id="98" w:name="_Toc109056878"/>
      <w:bookmarkStart w:id="99" w:name="_Toc11824"/>
      <w:r>
        <w:rPr>
          <w:rFonts w:ascii="宋体" w:hAnsi="宋体" w:cs="宋体"/>
          <w:color w:val="auto"/>
          <w:sz w:val="24"/>
          <w:szCs w:val="24"/>
          <w:highlight w:val="none"/>
        </w:rPr>
        <w:t>五</w:t>
      </w:r>
      <w:r>
        <w:rPr>
          <w:rFonts w:hint="eastAsia" w:ascii="宋体" w:hAnsi="宋体" w:cs="宋体"/>
          <w:color w:val="auto"/>
          <w:sz w:val="24"/>
          <w:szCs w:val="24"/>
          <w:highlight w:val="none"/>
        </w:rPr>
        <w:t>、</w:t>
      </w:r>
      <w:r>
        <w:rPr>
          <w:rFonts w:hint="eastAsia" w:ascii="宋体" w:hAnsi="宋体"/>
          <w:color w:val="auto"/>
          <w:sz w:val="24"/>
          <w:szCs w:val="24"/>
          <w:highlight w:val="none"/>
        </w:rPr>
        <w:t>其他应提供的资料</w:t>
      </w:r>
      <w:bookmarkEnd w:id="93"/>
      <w:bookmarkEnd w:id="94"/>
      <w:bookmarkEnd w:id="95"/>
      <w:bookmarkEnd w:id="96"/>
      <w:bookmarkEnd w:id="97"/>
      <w:bookmarkEnd w:id="98"/>
      <w:bookmarkEnd w:id="99"/>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特定资格证书等资料的复印件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pPr>
        <w:spacing w:line="360" w:lineRule="auto"/>
        <w:rPr>
          <w:rFonts w:hint="default" w:ascii="宋体" w:hAnsi="宋体" w:eastAsia="宋体" w:cs="宋体"/>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color w:val="auto"/>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widowControl/>
        <w:ind w:firstLine="2880" w:firstLineChars="1200"/>
        <w:jc w:val="both"/>
        <w:rPr>
          <w:rFonts w:hint="eastAsia" w:eastAsia="宋体"/>
          <w:color w:val="auto"/>
          <w:highlight w:val="none"/>
          <w:lang w:val="en-US" w:eastAsia="zh-CN"/>
        </w:rPr>
      </w:pPr>
      <w:r>
        <w:rPr>
          <w:rFonts w:hint="eastAsia" w:ascii="宋体" w:hAnsi="宋体"/>
          <w:color w:val="auto"/>
          <w:sz w:val="24"/>
          <w:szCs w:val="24"/>
          <w:highlight w:val="none"/>
        </w:rPr>
        <w:t>（结束</w:t>
      </w:r>
      <w:r>
        <w:rPr>
          <w:rFonts w:hint="eastAsia" w:ascii="宋体" w:hAnsi="宋体"/>
          <w:color w:val="auto"/>
          <w:sz w:val="24"/>
          <w:szCs w:val="24"/>
          <w:highlight w:val="none"/>
          <w:lang w:eastAsia="zh-CN"/>
        </w:rPr>
        <w:t>）</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96EF51-CE75-4B97-A5F3-AC1B7DD187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embedRegular r:id="rId2" w:fontKey="{E55E96BE-45E6-4CAB-9FA8-B822254BA4E7}"/>
  </w:font>
  <w:font w:name="微软雅黑">
    <w:panose1 w:val="020B0503020204020204"/>
    <w:charset w:val="86"/>
    <w:family w:val="swiss"/>
    <w:pitch w:val="default"/>
    <w:sig w:usb0="80000287" w:usb1="2ACF3C50" w:usb2="00000016" w:usb3="00000000" w:csb0="0004001F" w:csb1="00000000"/>
    <w:embedRegular r:id="rId3" w:fontKey="{8721BA73-C9BA-4833-B8FD-10F552AD027B}"/>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57A94A42-8B37-4A34-A776-4D6FA76CD3BB}"/>
  </w:font>
  <w:font w:name="Segoe UI">
    <w:panose1 w:val="020B0502040204020203"/>
    <w:charset w:val="00"/>
    <w:family w:val="auto"/>
    <w:pitch w:val="default"/>
    <w:sig w:usb0="E4002EFF" w:usb1="C000E47F" w:usb2="00000009" w:usb3="00000000" w:csb0="200001FF" w:csb1="00000000"/>
    <w:embedRegular r:id="rId5" w:fontKey="{40CC8989-9DEE-4758-B3A5-08B9C276AE33}"/>
  </w:font>
  <w:font w:name="方正仿宋_GBK">
    <w:panose1 w:val="03000509000000000000"/>
    <w:charset w:val="86"/>
    <w:family w:val="script"/>
    <w:pitch w:val="default"/>
    <w:sig w:usb0="00000001" w:usb1="080E0000" w:usb2="00000000" w:usb3="00000000" w:csb0="00040000" w:csb1="00000000"/>
    <w:embedRegular r:id="rId6" w:fontKey="{D7A33FF5-3BB4-4764-984C-E29650301CF4}"/>
  </w:font>
  <w:font w:name="仿宋">
    <w:panose1 w:val="02010609060101010101"/>
    <w:charset w:val="86"/>
    <w:family w:val="modern"/>
    <w:pitch w:val="default"/>
    <w:sig w:usb0="800002BF" w:usb1="38CF7CFA" w:usb2="00000016" w:usb3="00000000" w:csb0="00040001" w:csb1="00000000"/>
    <w:embedRegular r:id="rId7" w:fontKey="{C5F20B2A-1A88-4C97-A459-9B2BF30636C4}"/>
  </w:font>
  <w:font w:name="方正黑体_GBK">
    <w:panose1 w:val="03000509000000000000"/>
    <w:charset w:val="86"/>
    <w:family w:val="script"/>
    <w:pitch w:val="default"/>
    <w:sig w:usb0="00000001" w:usb1="080E0000" w:usb2="00000000" w:usb3="00000000" w:csb0="00040000" w:csb1="00000000"/>
    <w:embedRegular r:id="rId8" w:fontKey="{AB43F9AA-AB62-4316-A41F-B4C31A8FC747}"/>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v:textbox>
            </v:shape>
          </w:pict>
        </mc:Fallback>
      </mc:AlternateContent>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A5518"/>
    <w:multiLevelType w:val="singleLevel"/>
    <w:tmpl w:val="D2CA5518"/>
    <w:lvl w:ilvl="0" w:tentative="0">
      <w:start w:val="1"/>
      <w:numFmt w:val="decimal"/>
      <w:suff w:val="space"/>
      <w:lvlText w:val="%1."/>
      <w:lvlJc w:val="left"/>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00000001"/>
    <w:multiLevelType w:val="multilevel"/>
    <w:tmpl w:val="00000001"/>
    <w:lvl w:ilvl="0" w:tentative="0">
      <w:start w:val="1"/>
      <w:numFmt w:val="bullet"/>
      <w:pStyle w:val="2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5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51"/>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8ED9C5"/>
    <w:multiLevelType w:val="singleLevel"/>
    <w:tmpl w:val="1A8ED9C5"/>
    <w:lvl w:ilvl="0" w:tentative="0">
      <w:start w:val="2"/>
      <w:numFmt w:val="chineseCounting"/>
      <w:suff w:val="nothing"/>
      <w:lvlText w:val="%1、"/>
      <w:lvlJc w:val="left"/>
      <w:rPr>
        <w:rFonts w:hint="eastAsia"/>
      </w:rPr>
    </w:lvl>
  </w:abstractNum>
  <w:abstractNum w:abstractNumId="14">
    <w:nsid w:val="2A931892"/>
    <w:multiLevelType w:val="singleLevel"/>
    <w:tmpl w:val="2A931892"/>
    <w:lvl w:ilvl="0" w:tentative="0">
      <w:start w:val="5"/>
      <w:numFmt w:val="chineseCounting"/>
      <w:suff w:val="nothing"/>
      <w:lvlText w:val="（%1）"/>
      <w:lvlJc w:val="left"/>
      <w:rPr>
        <w:rFonts w:hint="eastAsia"/>
      </w:rPr>
    </w:lvl>
  </w:abstractNum>
  <w:abstractNum w:abstractNumId="15">
    <w:nsid w:val="323CF6C7"/>
    <w:multiLevelType w:val="singleLevel"/>
    <w:tmpl w:val="323CF6C7"/>
    <w:lvl w:ilvl="0" w:tentative="0">
      <w:start w:val="1"/>
      <w:numFmt w:val="chineseCounting"/>
      <w:suff w:val="nothing"/>
      <w:lvlText w:val="%1、"/>
      <w:lvlJc w:val="left"/>
      <w:rPr>
        <w:rFonts w:hint="eastAsia"/>
      </w:rPr>
    </w:lvl>
  </w:abstractNum>
  <w:abstractNum w:abstractNumId="16">
    <w:nsid w:val="40244B0D"/>
    <w:multiLevelType w:val="singleLevel"/>
    <w:tmpl w:val="40244B0D"/>
    <w:lvl w:ilvl="0" w:tentative="0">
      <w:start w:val="2"/>
      <w:numFmt w:val="chineseCounting"/>
      <w:suff w:val="space"/>
      <w:lvlText w:val="第%1篇"/>
      <w:lvlJc w:val="left"/>
      <w:rPr>
        <w:rFonts w:hint="eastAsia"/>
      </w:rPr>
    </w:lvl>
  </w:abstractNum>
  <w:abstractNum w:abstractNumId="17">
    <w:nsid w:val="5B8A94E3"/>
    <w:multiLevelType w:val="singleLevel"/>
    <w:tmpl w:val="5B8A94E3"/>
    <w:lvl w:ilvl="0" w:tentative="0">
      <w:start w:val="2"/>
      <w:numFmt w:val="chineseCounting"/>
      <w:suff w:val="nothing"/>
      <w:lvlText w:val="%1、"/>
      <w:lvlJc w:val="left"/>
      <w:rPr>
        <w:rFonts w:hint="eastAsia"/>
      </w:rPr>
    </w:lvl>
  </w:abstractNum>
  <w:abstractNum w:abstractNumId="18">
    <w:nsid w:val="6E0356E2"/>
    <w:multiLevelType w:val="singleLevel"/>
    <w:tmpl w:val="6E0356E2"/>
    <w:lvl w:ilvl="0" w:tentative="0">
      <w:start w:val="1"/>
      <w:numFmt w:val="decimal"/>
      <w:suff w:val="nothing"/>
      <w:lvlText w:val="%1、"/>
      <w:lvlJc w:val="left"/>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16"/>
  </w:num>
  <w:num w:numId="13">
    <w:abstractNumId w:val="17"/>
  </w:num>
  <w:num w:numId="14">
    <w:abstractNumId w:val="18"/>
  </w:num>
  <w:num w:numId="15">
    <w:abstractNumId w:val="15"/>
  </w:num>
  <w:num w:numId="16">
    <w:abstractNumId w:val="0"/>
  </w:num>
  <w:num w:numId="17">
    <w:abstractNumId w:val="1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72A27"/>
    <w:rsid w:val="00000CB7"/>
    <w:rsid w:val="00001BE6"/>
    <w:rsid w:val="000144C9"/>
    <w:rsid w:val="000158CD"/>
    <w:rsid w:val="0002088C"/>
    <w:rsid w:val="00033DAB"/>
    <w:rsid w:val="000342CA"/>
    <w:rsid w:val="00034EC0"/>
    <w:rsid w:val="0003521F"/>
    <w:rsid w:val="000370BC"/>
    <w:rsid w:val="00042D13"/>
    <w:rsid w:val="00056A6E"/>
    <w:rsid w:val="0008422C"/>
    <w:rsid w:val="00084C93"/>
    <w:rsid w:val="000D2325"/>
    <w:rsid w:val="000D4A9A"/>
    <w:rsid w:val="000E232C"/>
    <w:rsid w:val="000E3326"/>
    <w:rsid w:val="000E4E99"/>
    <w:rsid w:val="000F6342"/>
    <w:rsid w:val="0011647C"/>
    <w:rsid w:val="00116BB6"/>
    <w:rsid w:val="00117275"/>
    <w:rsid w:val="001173E3"/>
    <w:rsid w:val="00125861"/>
    <w:rsid w:val="00127357"/>
    <w:rsid w:val="001306AD"/>
    <w:rsid w:val="001435CF"/>
    <w:rsid w:val="001445A2"/>
    <w:rsid w:val="0015070D"/>
    <w:rsid w:val="00154D7F"/>
    <w:rsid w:val="0015525F"/>
    <w:rsid w:val="00165915"/>
    <w:rsid w:val="00166EEA"/>
    <w:rsid w:val="00172A27"/>
    <w:rsid w:val="001747D9"/>
    <w:rsid w:val="001765E3"/>
    <w:rsid w:val="001829E7"/>
    <w:rsid w:val="0018401C"/>
    <w:rsid w:val="00192985"/>
    <w:rsid w:val="001A3E64"/>
    <w:rsid w:val="001B6192"/>
    <w:rsid w:val="001D1795"/>
    <w:rsid w:val="001E1D88"/>
    <w:rsid w:val="001F74AE"/>
    <w:rsid w:val="001F7E25"/>
    <w:rsid w:val="002076F9"/>
    <w:rsid w:val="002122FC"/>
    <w:rsid w:val="0021327B"/>
    <w:rsid w:val="0021595A"/>
    <w:rsid w:val="00223B9B"/>
    <w:rsid w:val="0022691C"/>
    <w:rsid w:val="00226A1A"/>
    <w:rsid w:val="002370D1"/>
    <w:rsid w:val="00242E94"/>
    <w:rsid w:val="00244F72"/>
    <w:rsid w:val="00247028"/>
    <w:rsid w:val="002676F5"/>
    <w:rsid w:val="00293CF4"/>
    <w:rsid w:val="00297EC4"/>
    <w:rsid w:val="002B0676"/>
    <w:rsid w:val="002B1855"/>
    <w:rsid w:val="002B3D0B"/>
    <w:rsid w:val="002B7850"/>
    <w:rsid w:val="002C7EDF"/>
    <w:rsid w:val="002F2847"/>
    <w:rsid w:val="002F49F7"/>
    <w:rsid w:val="002F5C86"/>
    <w:rsid w:val="00304CFC"/>
    <w:rsid w:val="00313FC6"/>
    <w:rsid w:val="00314FE1"/>
    <w:rsid w:val="00316DF3"/>
    <w:rsid w:val="00330491"/>
    <w:rsid w:val="003332D6"/>
    <w:rsid w:val="0033562A"/>
    <w:rsid w:val="003453EB"/>
    <w:rsid w:val="003609C0"/>
    <w:rsid w:val="003876E3"/>
    <w:rsid w:val="003878EB"/>
    <w:rsid w:val="003A0967"/>
    <w:rsid w:val="003B48D3"/>
    <w:rsid w:val="003C4008"/>
    <w:rsid w:val="003D7E49"/>
    <w:rsid w:val="003E5A82"/>
    <w:rsid w:val="003E65C6"/>
    <w:rsid w:val="003E69B4"/>
    <w:rsid w:val="003E7CAB"/>
    <w:rsid w:val="003F7078"/>
    <w:rsid w:val="00415960"/>
    <w:rsid w:val="00421287"/>
    <w:rsid w:val="00427FE7"/>
    <w:rsid w:val="0043243B"/>
    <w:rsid w:val="00435AE4"/>
    <w:rsid w:val="004452DC"/>
    <w:rsid w:val="0044680D"/>
    <w:rsid w:val="004529B0"/>
    <w:rsid w:val="00460545"/>
    <w:rsid w:val="00493794"/>
    <w:rsid w:val="004954F4"/>
    <w:rsid w:val="00495D1A"/>
    <w:rsid w:val="0049754E"/>
    <w:rsid w:val="004A1198"/>
    <w:rsid w:val="004A2061"/>
    <w:rsid w:val="004A6CE1"/>
    <w:rsid w:val="004B49A1"/>
    <w:rsid w:val="004B4D5B"/>
    <w:rsid w:val="004C55B8"/>
    <w:rsid w:val="004F61A5"/>
    <w:rsid w:val="004F6895"/>
    <w:rsid w:val="00507899"/>
    <w:rsid w:val="005106F8"/>
    <w:rsid w:val="0051449D"/>
    <w:rsid w:val="00521F48"/>
    <w:rsid w:val="00531162"/>
    <w:rsid w:val="00537A61"/>
    <w:rsid w:val="00544AC9"/>
    <w:rsid w:val="00544D3C"/>
    <w:rsid w:val="0055266E"/>
    <w:rsid w:val="0055762B"/>
    <w:rsid w:val="00562F84"/>
    <w:rsid w:val="00580744"/>
    <w:rsid w:val="005C530A"/>
    <w:rsid w:val="005C7A84"/>
    <w:rsid w:val="005F22A3"/>
    <w:rsid w:val="005F4EEC"/>
    <w:rsid w:val="00625F79"/>
    <w:rsid w:val="00631BA3"/>
    <w:rsid w:val="00635D2A"/>
    <w:rsid w:val="00641E35"/>
    <w:rsid w:val="00643888"/>
    <w:rsid w:val="006452FB"/>
    <w:rsid w:val="0065313C"/>
    <w:rsid w:val="00664DC0"/>
    <w:rsid w:val="00665D64"/>
    <w:rsid w:val="00667DF3"/>
    <w:rsid w:val="00675CDE"/>
    <w:rsid w:val="006802F3"/>
    <w:rsid w:val="006A2801"/>
    <w:rsid w:val="006A3401"/>
    <w:rsid w:val="006C353F"/>
    <w:rsid w:val="006C7CD3"/>
    <w:rsid w:val="006F03B7"/>
    <w:rsid w:val="006F18E5"/>
    <w:rsid w:val="00723BC4"/>
    <w:rsid w:val="00731090"/>
    <w:rsid w:val="00740A2B"/>
    <w:rsid w:val="007442A0"/>
    <w:rsid w:val="00755658"/>
    <w:rsid w:val="00764963"/>
    <w:rsid w:val="00773049"/>
    <w:rsid w:val="00774094"/>
    <w:rsid w:val="00791D34"/>
    <w:rsid w:val="0079209F"/>
    <w:rsid w:val="00794A8C"/>
    <w:rsid w:val="007A3A16"/>
    <w:rsid w:val="007D4AD1"/>
    <w:rsid w:val="007D57AF"/>
    <w:rsid w:val="007E13BD"/>
    <w:rsid w:val="007E1AC4"/>
    <w:rsid w:val="007E1D36"/>
    <w:rsid w:val="007E4932"/>
    <w:rsid w:val="007F2A53"/>
    <w:rsid w:val="00847E86"/>
    <w:rsid w:val="00854CC0"/>
    <w:rsid w:val="00854ED3"/>
    <w:rsid w:val="00862D8A"/>
    <w:rsid w:val="008702E6"/>
    <w:rsid w:val="00872901"/>
    <w:rsid w:val="008825DA"/>
    <w:rsid w:val="00894E75"/>
    <w:rsid w:val="008B4EC5"/>
    <w:rsid w:val="008D65A0"/>
    <w:rsid w:val="008F3680"/>
    <w:rsid w:val="0090191A"/>
    <w:rsid w:val="00901EAE"/>
    <w:rsid w:val="00917500"/>
    <w:rsid w:val="009261F0"/>
    <w:rsid w:val="009302D1"/>
    <w:rsid w:val="00936181"/>
    <w:rsid w:val="00936197"/>
    <w:rsid w:val="00940646"/>
    <w:rsid w:val="009415FC"/>
    <w:rsid w:val="00947C77"/>
    <w:rsid w:val="009570EF"/>
    <w:rsid w:val="009577C8"/>
    <w:rsid w:val="00962AED"/>
    <w:rsid w:val="009710AF"/>
    <w:rsid w:val="00971605"/>
    <w:rsid w:val="0097589B"/>
    <w:rsid w:val="0099661F"/>
    <w:rsid w:val="0099728C"/>
    <w:rsid w:val="009A317C"/>
    <w:rsid w:val="009A770F"/>
    <w:rsid w:val="009A7FB5"/>
    <w:rsid w:val="009B4011"/>
    <w:rsid w:val="009B5C25"/>
    <w:rsid w:val="009C25EB"/>
    <w:rsid w:val="009C273F"/>
    <w:rsid w:val="009E62CD"/>
    <w:rsid w:val="009E7DEA"/>
    <w:rsid w:val="00A06259"/>
    <w:rsid w:val="00A22866"/>
    <w:rsid w:val="00A236CD"/>
    <w:rsid w:val="00A3078D"/>
    <w:rsid w:val="00A56F1E"/>
    <w:rsid w:val="00A614CD"/>
    <w:rsid w:val="00A9133B"/>
    <w:rsid w:val="00AC755D"/>
    <w:rsid w:val="00AF3E34"/>
    <w:rsid w:val="00B000A7"/>
    <w:rsid w:val="00B01F29"/>
    <w:rsid w:val="00B3337A"/>
    <w:rsid w:val="00B43355"/>
    <w:rsid w:val="00B47F90"/>
    <w:rsid w:val="00B60CC0"/>
    <w:rsid w:val="00B60F1F"/>
    <w:rsid w:val="00B64BB4"/>
    <w:rsid w:val="00B708E0"/>
    <w:rsid w:val="00B730A8"/>
    <w:rsid w:val="00B81BB0"/>
    <w:rsid w:val="00B96107"/>
    <w:rsid w:val="00BA1F2C"/>
    <w:rsid w:val="00BB3E0F"/>
    <w:rsid w:val="00BB3F7A"/>
    <w:rsid w:val="00BC3818"/>
    <w:rsid w:val="00BC4CA6"/>
    <w:rsid w:val="00BD478F"/>
    <w:rsid w:val="00BD5A39"/>
    <w:rsid w:val="00BF11FF"/>
    <w:rsid w:val="00BF23A8"/>
    <w:rsid w:val="00BF771D"/>
    <w:rsid w:val="00C14479"/>
    <w:rsid w:val="00C172F8"/>
    <w:rsid w:val="00C3392A"/>
    <w:rsid w:val="00C34570"/>
    <w:rsid w:val="00C77F24"/>
    <w:rsid w:val="00C83661"/>
    <w:rsid w:val="00C909A2"/>
    <w:rsid w:val="00C93DFC"/>
    <w:rsid w:val="00C97381"/>
    <w:rsid w:val="00C9763A"/>
    <w:rsid w:val="00CB395B"/>
    <w:rsid w:val="00CC0270"/>
    <w:rsid w:val="00CC15A7"/>
    <w:rsid w:val="00CC1A6D"/>
    <w:rsid w:val="00CC4F85"/>
    <w:rsid w:val="00CD1788"/>
    <w:rsid w:val="00CD410E"/>
    <w:rsid w:val="00CD444E"/>
    <w:rsid w:val="00CF2DB5"/>
    <w:rsid w:val="00D21D58"/>
    <w:rsid w:val="00D226A5"/>
    <w:rsid w:val="00D2377C"/>
    <w:rsid w:val="00D24A98"/>
    <w:rsid w:val="00D40159"/>
    <w:rsid w:val="00D858CC"/>
    <w:rsid w:val="00D97E6E"/>
    <w:rsid w:val="00DA4850"/>
    <w:rsid w:val="00DE7FE9"/>
    <w:rsid w:val="00DF02E6"/>
    <w:rsid w:val="00E11069"/>
    <w:rsid w:val="00E2740B"/>
    <w:rsid w:val="00E31CA0"/>
    <w:rsid w:val="00E40564"/>
    <w:rsid w:val="00E45B7C"/>
    <w:rsid w:val="00E46A0A"/>
    <w:rsid w:val="00E54E2D"/>
    <w:rsid w:val="00E670E8"/>
    <w:rsid w:val="00E8319F"/>
    <w:rsid w:val="00E863F1"/>
    <w:rsid w:val="00E90390"/>
    <w:rsid w:val="00E94448"/>
    <w:rsid w:val="00ED3028"/>
    <w:rsid w:val="00ED4377"/>
    <w:rsid w:val="00ED6923"/>
    <w:rsid w:val="00F0383A"/>
    <w:rsid w:val="00F10101"/>
    <w:rsid w:val="00F13D33"/>
    <w:rsid w:val="00F271A4"/>
    <w:rsid w:val="00F31FEE"/>
    <w:rsid w:val="00F45131"/>
    <w:rsid w:val="00F51272"/>
    <w:rsid w:val="00F91500"/>
    <w:rsid w:val="00FC7767"/>
    <w:rsid w:val="00FD14FB"/>
    <w:rsid w:val="00FD2836"/>
    <w:rsid w:val="00FD7019"/>
    <w:rsid w:val="0136557F"/>
    <w:rsid w:val="015123B9"/>
    <w:rsid w:val="018F6A3E"/>
    <w:rsid w:val="01AA1AC9"/>
    <w:rsid w:val="01BD1DC8"/>
    <w:rsid w:val="01BE5948"/>
    <w:rsid w:val="01C40DDD"/>
    <w:rsid w:val="023A109F"/>
    <w:rsid w:val="0241242E"/>
    <w:rsid w:val="024141DC"/>
    <w:rsid w:val="02467A44"/>
    <w:rsid w:val="026B1259"/>
    <w:rsid w:val="02792FA2"/>
    <w:rsid w:val="027A5940"/>
    <w:rsid w:val="02A227A1"/>
    <w:rsid w:val="02A4476B"/>
    <w:rsid w:val="02C626AC"/>
    <w:rsid w:val="02E173A6"/>
    <w:rsid w:val="03157416"/>
    <w:rsid w:val="038A790C"/>
    <w:rsid w:val="03903C1F"/>
    <w:rsid w:val="03A013D6"/>
    <w:rsid w:val="04114082"/>
    <w:rsid w:val="04137DFA"/>
    <w:rsid w:val="04206073"/>
    <w:rsid w:val="042F62B6"/>
    <w:rsid w:val="04440306"/>
    <w:rsid w:val="04616D20"/>
    <w:rsid w:val="04BB7326"/>
    <w:rsid w:val="04C25116"/>
    <w:rsid w:val="04E23427"/>
    <w:rsid w:val="04FC0439"/>
    <w:rsid w:val="051A0D14"/>
    <w:rsid w:val="051E517E"/>
    <w:rsid w:val="05451F76"/>
    <w:rsid w:val="05464EB7"/>
    <w:rsid w:val="055F2BCB"/>
    <w:rsid w:val="0563090D"/>
    <w:rsid w:val="0571302A"/>
    <w:rsid w:val="05720B50"/>
    <w:rsid w:val="05946D18"/>
    <w:rsid w:val="05DD7E9B"/>
    <w:rsid w:val="05E65CDA"/>
    <w:rsid w:val="06135E8F"/>
    <w:rsid w:val="063400E4"/>
    <w:rsid w:val="063E0A32"/>
    <w:rsid w:val="063F6C84"/>
    <w:rsid w:val="065010E9"/>
    <w:rsid w:val="06A26ADE"/>
    <w:rsid w:val="06C63DFD"/>
    <w:rsid w:val="06DF2215"/>
    <w:rsid w:val="06E64DDF"/>
    <w:rsid w:val="06E94E42"/>
    <w:rsid w:val="06F537E7"/>
    <w:rsid w:val="07036AE8"/>
    <w:rsid w:val="070A2FBC"/>
    <w:rsid w:val="07224ECF"/>
    <w:rsid w:val="07603356"/>
    <w:rsid w:val="07610150"/>
    <w:rsid w:val="0768220B"/>
    <w:rsid w:val="07A64AE1"/>
    <w:rsid w:val="07BF498F"/>
    <w:rsid w:val="07C459E8"/>
    <w:rsid w:val="07C907C2"/>
    <w:rsid w:val="07D96C64"/>
    <w:rsid w:val="07DC0503"/>
    <w:rsid w:val="07E37AE3"/>
    <w:rsid w:val="08123F24"/>
    <w:rsid w:val="081C29AC"/>
    <w:rsid w:val="08253C58"/>
    <w:rsid w:val="08297BEC"/>
    <w:rsid w:val="089B03BE"/>
    <w:rsid w:val="08D37B58"/>
    <w:rsid w:val="08EB6C4F"/>
    <w:rsid w:val="08ED3546"/>
    <w:rsid w:val="096B7D90"/>
    <w:rsid w:val="09776735"/>
    <w:rsid w:val="098B0B6B"/>
    <w:rsid w:val="09992B4F"/>
    <w:rsid w:val="099C619C"/>
    <w:rsid w:val="09BD2588"/>
    <w:rsid w:val="09C37BCC"/>
    <w:rsid w:val="09CB04E3"/>
    <w:rsid w:val="09DC7CA8"/>
    <w:rsid w:val="09F16BC1"/>
    <w:rsid w:val="0A193C90"/>
    <w:rsid w:val="0A1B7A08"/>
    <w:rsid w:val="0A23066B"/>
    <w:rsid w:val="0A4505E1"/>
    <w:rsid w:val="0A79472F"/>
    <w:rsid w:val="0AB6328D"/>
    <w:rsid w:val="0AC37758"/>
    <w:rsid w:val="0AD41965"/>
    <w:rsid w:val="0AD731CB"/>
    <w:rsid w:val="0AD83203"/>
    <w:rsid w:val="0ADB7197"/>
    <w:rsid w:val="0AE47DFA"/>
    <w:rsid w:val="0B114967"/>
    <w:rsid w:val="0B353632"/>
    <w:rsid w:val="0B3F7726"/>
    <w:rsid w:val="0B6251C3"/>
    <w:rsid w:val="0B6C7DF0"/>
    <w:rsid w:val="0B8F08F0"/>
    <w:rsid w:val="0BAA1613"/>
    <w:rsid w:val="0BCD4D32"/>
    <w:rsid w:val="0C3B1C9C"/>
    <w:rsid w:val="0C65191B"/>
    <w:rsid w:val="0C8439FE"/>
    <w:rsid w:val="0C8D77F1"/>
    <w:rsid w:val="0CA041F5"/>
    <w:rsid w:val="0CA07B74"/>
    <w:rsid w:val="0CA16A1C"/>
    <w:rsid w:val="0CB67574"/>
    <w:rsid w:val="0CF064DB"/>
    <w:rsid w:val="0CF73795"/>
    <w:rsid w:val="0D501777"/>
    <w:rsid w:val="0D560856"/>
    <w:rsid w:val="0D645222"/>
    <w:rsid w:val="0D705975"/>
    <w:rsid w:val="0DB461AA"/>
    <w:rsid w:val="0DDF2F7F"/>
    <w:rsid w:val="0DEB76F2"/>
    <w:rsid w:val="0E2855A5"/>
    <w:rsid w:val="0E4F1A2E"/>
    <w:rsid w:val="0E715E49"/>
    <w:rsid w:val="0E7B2823"/>
    <w:rsid w:val="0E8042DE"/>
    <w:rsid w:val="0E903DF5"/>
    <w:rsid w:val="0E9071C2"/>
    <w:rsid w:val="0ED308B1"/>
    <w:rsid w:val="0EFE3F6B"/>
    <w:rsid w:val="0F3F5F47"/>
    <w:rsid w:val="0F5372FC"/>
    <w:rsid w:val="0F706100"/>
    <w:rsid w:val="0F9022FF"/>
    <w:rsid w:val="0F9B0CA3"/>
    <w:rsid w:val="0F9F0794"/>
    <w:rsid w:val="0FA349AA"/>
    <w:rsid w:val="0FAD1102"/>
    <w:rsid w:val="0FDA17CC"/>
    <w:rsid w:val="0FF30ADF"/>
    <w:rsid w:val="100F756A"/>
    <w:rsid w:val="101E0686"/>
    <w:rsid w:val="102F1671"/>
    <w:rsid w:val="103C5FE2"/>
    <w:rsid w:val="105477D0"/>
    <w:rsid w:val="10711E1A"/>
    <w:rsid w:val="10BE733F"/>
    <w:rsid w:val="10BF1855"/>
    <w:rsid w:val="10E741A0"/>
    <w:rsid w:val="10F22B45"/>
    <w:rsid w:val="10F37D4C"/>
    <w:rsid w:val="10F93ED3"/>
    <w:rsid w:val="11074842"/>
    <w:rsid w:val="112828AD"/>
    <w:rsid w:val="115455AE"/>
    <w:rsid w:val="11823EC9"/>
    <w:rsid w:val="118B5473"/>
    <w:rsid w:val="11E12F1A"/>
    <w:rsid w:val="11E20E0C"/>
    <w:rsid w:val="127B54E8"/>
    <w:rsid w:val="128A572B"/>
    <w:rsid w:val="12900868"/>
    <w:rsid w:val="12B5191A"/>
    <w:rsid w:val="12B96010"/>
    <w:rsid w:val="12BE76D1"/>
    <w:rsid w:val="12CD5618"/>
    <w:rsid w:val="12EB3CF0"/>
    <w:rsid w:val="132711CC"/>
    <w:rsid w:val="13291396"/>
    <w:rsid w:val="13345697"/>
    <w:rsid w:val="135F0495"/>
    <w:rsid w:val="138B6DB2"/>
    <w:rsid w:val="13A7786B"/>
    <w:rsid w:val="13B22621"/>
    <w:rsid w:val="14101C60"/>
    <w:rsid w:val="14255A82"/>
    <w:rsid w:val="14333BA0"/>
    <w:rsid w:val="143811B7"/>
    <w:rsid w:val="143F60A1"/>
    <w:rsid w:val="145558C5"/>
    <w:rsid w:val="145D29CB"/>
    <w:rsid w:val="14643D5A"/>
    <w:rsid w:val="14C447F8"/>
    <w:rsid w:val="14C667C2"/>
    <w:rsid w:val="14FD4F34"/>
    <w:rsid w:val="15023C9F"/>
    <w:rsid w:val="1505553D"/>
    <w:rsid w:val="15241408"/>
    <w:rsid w:val="152D239E"/>
    <w:rsid w:val="153263E2"/>
    <w:rsid w:val="154F67B8"/>
    <w:rsid w:val="15681628"/>
    <w:rsid w:val="158A77F0"/>
    <w:rsid w:val="15A209C8"/>
    <w:rsid w:val="15B14D7D"/>
    <w:rsid w:val="15CE3B81"/>
    <w:rsid w:val="15DA0777"/>
    <w:rsid w:val="15DB004C"/>
    <w:rsid w:val="15DC1BCD"/>
    <w:rsid w:val="1606156C"/>
    <w:rsid w:val="161377E5"/>
    <w:rsid w:val="16414353"/>
    <w:rsid w:val="16557DFE"/>
    <w:rsid w:val="16585B40"/>
    <w:rsid w:val="16685D83"/>
    <w:rsid w:val="16BA1538"/>
    <w:rsid w:val="16EB2510"/>
    <w:rsid w:val="17013AE2"/>
    <w:rsid w:val="1712299E"/>
    <w:rsid w:val="17190E2C"/>
    <w:rsid w:val="17262EF2"/>
    <w:rsid w:val="1740285C"/>
    <w:rsid w:val="17966920"/>
    <w:rsid w:val="179B7A92"/>
    <w:rsid w:val="179D1A5D"/>
    <w:rsid w:val="17BF135D"/>
    <w:rsid w:val="17D3547E"/>
    <w:rsid w:val="18023FB5"/>
    <w:rsid w:val="186F2E9A"/>
    <w:rsid w:val="18A46E1B"/>
    <w:rsid w:val="18B84674"/>
    <w:rsid w:val="18CB25F9"/>
    <w:rsid w:val="18D72D45"/>
    <w:rsid w:val="18F7519C"/>
    <w:rsid w:val="18FE715D"/>
    <w:rsid w:val="196D36B1"/>
    <w:rsid w:val="197B7B7C"/>
    <w:rsid w:val="199D3F96"/>
    <w:rsid w:val="19A31CEF"/>
    <w:rsid w:val="19D43730"/>
    <w:rsid w:val="19E576EB"/>
    <w:rsid w:val="19E73463"/>
    <w:rsid w:val="19EF40C6"/>
    <w:rsid w:val="19F618F8"/>
    <w:rsid w:val="19F711CD"/>
    <w:rsid w:val="1A116732"/>
    <w:rsid w:val="1A2E2E40"/>
    <w:rsid w:val="1A50725A"/>
    <w:rsid w:val="1A587EBD"/>
    <w:rsid w:val="1A626F8D"/>
    <w:rsid w:val="1A676352"/>
    <w:rsid w:val="1A7867B1"/>
    <w:rsid w:val="1A864A2A"/>
    <w:rsid w:val="1A954C6D"/>
    <w:rsid w:val="1ACC4407"/>
    <w:rsid w:val="1AD35795"/>
    <w:rsid w:val="1AF04599"/>
    <w:rsid w:val="1B041B0D"/>
    <w:rsid w:val="1B574618"/>
    <w:rsid w:val="1B65257F"/>
    <w:rsid w:val="1B75684C"/>
    <w:rsid w:val="1B79458F"/>
    <w:rsid w:val="1B7E7DF7"/>
    <w:rsid w:val="1B8371BB"/>
    <w:rsid w:val="1B8F790E"/>
    <w:rsid w:val="1BA57132"/>
    <w:rsid w:val="1BFE2CE6"/>
    <w:rsid w:val="1C0E01AF"/>
    <w:rsid w:val="1C1C4F1A"/>
    <w:rsid w:val="1C204D87"/>
    <w:rsid w:val="1C4E77C9"/>
    <w:rsid w:val="1C9F1DD3"/>
    <w:rsid w:val="1CB735C0"/>
    <w:rsid w:val="1CBB2985"/>
    <w:rsid w:val="1CDD0B4D"/>
    <w:rsid w:val="1CDD28FB"/>
    <w:rsid w:val="1D0165EA"/>
    <w:rsid w:val="1D0B7468"/>
    <w:rsid w:val="1D1C1676"/>
    <w:rsid w:val="1D1F1166"/>
    <w:rsid w:val="1D271DC8"/>
    <w:rsid w:val="1D3102EB"/>
    <w:rsid w:val="1D594678"/>
    <w:rsid w:val="1D646B79"/>
    <w:rsid w:val="1D9631E7"/>
    <w:rsid w:val="1DB93368"/>
    <w:rsid w:val="1DBA476B"/>
    <w:rsid w:val="1DD97567"/>
    <w:rsid w:val="1DE657E0"/>
    <w:rsid w:val="1DED6B6E"/>
    <w:rsid w:val="1E032872"/>
    <w:rsid w:val="1E1B192D"/>
    <w:rsid w:val="1E731769"/>
    <w:rsid w:val="1E8C6387"/>
    <w:rsid w:val="1E95700C"/>
    <w:rsid w:val="1ED41446"/>
    <w:rsid w:val="1EDB2E6A"/>
    <w:rsid w:val="1EF87EC0"/>
    <w:rsid w:val="1F2472DD"/>
    <w:rsid w:val="1F525822"/>
    <w:rsid w:val="1F536EA5"/>
    <w:rsid w:val="1F9000F9"/>
    <w:rsid w:val="1F9A4AD4"/>
    <w:rsid w:val="1FA0658E"/>
    <w:rsid w:val="1FC3227C"/>
    <w:rsid w:val="1FE44BAC"/>
    <w:rsid w:val="1FEB532F"/>
    <w:rsid w:val="20112FE8"/>
    <w:rsid w:val="201E5705"/>
    <w:rsid w:val="2027280B"/>
    <w:rsid w:val="20541126"/>
    <w:rsid w:val="20607ACB"/>
    <w:rsid w:val="2076109D"/>
    <w:rsid w:val="208A4B48"/>
    <w:rsid w:val="208E4638"/>
    <w:rsid w:val="20915419"/>
    <w:rsid w:val="20970C3F"/>
    <w:rsid w:val="20F36B91"/>
    <w:rsid w:val="21042B4C"/>
    <w:rsid w:val="211B01B7"/>
    <w:rsid w:val="211F50E3"/>
    <w:rsid w:val="21380A48"/>
    <w:rsid w:val="21535882"/>
    <w:rsid w:val="215C64E4"/>
    <w:rsid w:val="21BF0821"/>
    <w:rsid w:val="21E87D78"/>
    <w:rsid w:val="21F7445F"/>
    <w:rsid w:val="21FC1A76"/>
    <w:rsid w:val="22007FFE"/>
    <w:rsid w:val="220F17A9"/>
    <w:rsid w:val="223A281C"/>
    <w:rsid w:val="22482F0D"/>
    <w:rsid w:val="224E3432"/>
    <w:rsid w:val="22673393"/>
    <w:rsid w:val="22993768"/>
    <w:rsid w:val="231921B3"/>
    <w:rsid w:val="231F5A1C"/>
    <w:rsid w:val="23706277"/>
    <w:rsid w:val="237D2742"/>
    <w:rsid w:val="2392443F"/>
    <w:rsid w:val="23A44173"/>
    <w:rsid w:val="23AB2E4B"/>
    <w:rsid w:val="23B5012E"/>
    <w:rsid w:val="23C245F9"/>
    <w:rsid w:val="240115C5"/>
    <w:rsid w:val="240864B0"/>
    <w:rsid w:val="240D3AC6"/>
    <w:rsid w:val="2417526A"/>
    <w:rsid w:val="2435126F"/>
    <w:rsid w:val="243E0123"/>
    <w:rsid w:val="243E6375"/>
    <w:rsid w:val="246062EC"/>
    <w:rsid w:val="248875F1"/>
    <w:rsid w:val="249D7540"/>
    <w:rsid w:val="24A2516C"/>
    <w:rsid w:val="24C30629"/>
    <w:rsid w:val="24D44C08"/>
    <w:rsid w:val="250637EA"/>
    <w:rsid w:val="252E0198"/>
    <w:rsid w:val="25453733"/>
    <w:rsid w:val="256D3757"/>
    <w:rsid w:val="25C24D84"/>
    <w:rsid w:val="25C603D0"/>
    <w:rsid w:val="25CD6D96"/>
    <w:rsid w:val="25D52D09"/>
    <w:rsid w:val="25D56865"/>
    <w:rsid w:val="25DA0320"/>
    <w:rsid w:val="25DC7BF4"/>
    <w:rsid w:val="25DF76E4"/>
    <w:rsid w:val="26064C71"/>
    <w:rsid w:val="2628108B"/>
    <w:rsid w:val="265A6D6B"/>
    <w:rsid w:val="266F6CBA"/>
    <w:rsid w:val="268C786C"/>
    <w:rsid w:val="26997893"/>
    <w:rsid w:val="26C03072"/>
    <w:rsid w:val="26C4383F"/>
    <w:rsid w:val="26F64CE5"/>
    <w:rsid w:val="26F96584"/>
    <w:rsid w:val="270C4AA5"/>
    <w:rsid w:val="27174C5C"/>
    <w:rsid w:val="271E5FEA"/>
    <w:rsid w:val="274A3BA2"/>
    <w:rsid w:val="279D392A"/>
    <w:rsid w:val="27B96D49"/>
    <w:rsid w:val="27DA4607"/>
    <w:rsid w:val="28173165"/>
    <w:rsid w:val="283F50A3"/>
    <w:rsid w:val="284973A6"/>
    <w:rsid w:val="28793E20"/>
    <w:rsid w:val="289522DC"/>
    <w:rsid w:val="289E74C9"/>
    <w:rsid w:val="28C01A4F"/>
    <w:rsid w:val="28FD67FF"/>
    <w:rsid w:val="290F6532"/>
    <w:rsid w:val="2916341D"/>
    <w:rsid w:val="292F2731"/>
    <w:rsid w:val="29397B6A"/>
    <w:rsid w:val="294E0E09"/>
    <w:rsid w:val="29617B35"/>
    <w:rsid w:val="29734590"/>
    <w:rsid w:val="29BD1AEA"/>
    <w:rsid w:val="29C7713C"/>
    <w:rsid w:val="29D60DFE"/>
    <w:rsid w:val="29FD638B"/>
    <w:rsid w:val="2A070FB7"/>
    <w:rsid w:val="2A135BAE"/>
    <w:rsid w:val="2A3049B2"/>
    <w:rsid w:val="2A39664F"/>
    <w:rsid w:val="2A3F69A3"/>
    <w:rsid w:val="2A6E7289"/>
    <w:rsid w:val="2A8404C2"/>
    <w:rsid w:val="2A9A00C1"/>
    <w:rsid w:val="2ACB0237"/>
    <w:rsid w:val="2AD85DB3"/>
    <w:rsid w:val="2ADC2444"/>
    <w:rsid w:val="2ADE61BC"/>
    <w:rsid w:val="2AEB2687"/>
    <w:rsid w:val="2AF21C68"/>
    <w:rsid w:val="2B31464D"/>
    <w:rsid w:val="2B365FF8"/>
    <w:rsid w:val="2B3842A9"/>
    <w:rsid w:val="2B545BC4"/>
    <w:rsid w:val="2B7663F5"/>
    <w:rsid w:val="2B8D6D49"/>
    <w:rsid w:val="2BA72DA3"/>
    <w:rsid w:val="2BB67139"/>
    <w:rsid w:val="2BC929C8"/>
    <w:rsid w:val="2BF8505C"/>
    <w:rsid w:val="2BFA0DD4"/>
    <w:rsid w:val="2C0B2FE1"/>
    <w:rsid w:val="2C0C0B07"/>
    <w:rsid w:val="2C4444C1"/>
    <w:rsid w:val="2C520C10"/>
    <w:rsid w:val="2C8B4122"/>
    <w:rsid w:val="2CAD22EA"/>
    <w:rsid w:val="2CD77367"/>
    <w:rsid w:val="2CDA29B3"/>
    <w:rsid w:val="2CDF7FCA"/>
    <w:rsid w:val="2CE675AA"/>
    <w:rsid w:val="2CED0939"/>
    <w:rsid w:val="2CF25F4F"/>
    <w:rsid w:val="2CF50D14"/>
    <w:rsid w:val="2D031F0A"/>
    <w:rsid w:val="2D0637A8"/>
    <w:rsid w:val="2D0F08AF"/>
    <w:rsid w:val="2D526117"/>
    <w:rsid w:val="2D9708A4"/>
    <w:rsid w:val="2D9B0395"/>
    <w:rsid w:val="2D9C512F"/>
    <w:rsid w:val="2DBD655D"/>
    <w:rsid w:val="2DCA2A28"/>
    <w:rsid w:val="2DD90EBD"/>
    <w:rsid w:val="2E0560D9"/>
    <w:rsid w:val="2E782484"/>
    <w:rsid w:val="2E862DF3"/>
    <w:rsid w:val="2E951288"/>
    <w:rsid w:val="2E9C43C4"/>
    <w:rsid w:val="2EA80FBB"/>
    <w:rsid w:val="2EE47B19"/>
    <w:rsid w:val="2EF97A69"/>
    <w:rsid w:val="2EFA10EB"/>
    <w:rsid w:val="2F0A3A24"/>
    <w:rsid w:val="2F0F2DE8"/>
    <w:rsid w:val="2F1847ED"/>
    <w:rsid w:val="2F191EB9"/>
    <w:rsid w:val="2F320885"/>
    <w:rsid w:val="2F364819"/>
    <w:rsid w:val="2F522CD5"/>
    <w:rsid w:val="2F526CA4"/>
    <w:rsid w:val="2F7B047E"/>
    <w:rsid w:val="2F7E401E"/>
    <w:rsid w:val="2F9037FD"/>
    <w:rsid w:val="2FCB7F7B"/>
    <w:rsid w:val="2FD162F0"/>
    <w:rsid w:val="2FD63906"/>
    <w:rsid w:val="2FE14059"/>
    <w:rsid w:val="302100FF"/>
    <w:rsid w:val="302F1268"/>
    <w:rsid w:val="30446AC1"/>
    <w:rsid w:val="3045283A"/>
    <w:rsid w:val="306727B0"/>
    <w:rsid w:val="308275EA"/>
    <w:rsid w:val="308415B4"/>
    <w:rsid w:val="30AB6B41"/>
    <w:rsid w:val="30B05603"/>
    <w:rsid w:val="30E738F1"/>
    <w:rsid w:val="30F009F7"/>
    <w:rsid w:val="312406A1"/>
    <w:rsid w:val="31466869"/>
    <w:rsid w:val="31701B38"/>
    <w:rsid w:val="317F1137"/>
    <w:rsid w:val="3180231C"/>
    <w:rsid w:val="319677F1"/>
    <w:rsid w:val="319C0B7F"/>
    <w:rsid w:val="31A452D9"/>
    <w:rsid w:val="31CA1248"/>
    <w:rsid w:val="31CA749A"/>
    <w:rsid w:val="31D874D8"/>
    <w:rsid w:val="321414BD"/>
    <w:rsid w:val="321E1594"/>
    <w:rsid w:val="32252923"/>
    <w:rsid w:val="323F1C36"/>
    <w:rsid w:val="32432DA9"/>
    <w:rsid w:val="326D4711"/>
    <w:rsid w:val="327B2543"/>
    <w:rsid w:val="328A09D8"/>
    <w:rsid w:val="32B53CA7"/>
    <w:rsid w:val="32D81743"/>
    <w:rsid w:val="32E4458C"/>
    <w:rsid w:val="32FD73FC"/>
    <w:rsid w:val="32FF0DD9"/>
    <w:rsid w:val="33053CB8"/>
    <w:rsid w:val="331F55C4"/>
    <w:rsid w:val="332145DD"/>
    <w:rsid w:val="332B3F69"/>
    <w:rsid w:val="33437504"/>
    <w:rsid w:val="334868C9"/>
    <w:rsid w:val="335C4122"/>
    <w:rsid w:val="33884F17"/>
    <w:rsid w:val="338D4C23"/>
    <w:rsid w:val="33AA6EA7"/>
    <w:rsid w:val="33C57F19"/>
    <w:rsid w:val="33CA5530"/>
    <w:rsid w:val="33EB71F9"/>
    <w:rsid w:val="33F95E15"/>
    <w:rsid w:val="34476B80"/>
    <w:rsid w:val="349C2517"/>
    <w:rsid w:val="34A42225"/>
    <w:rsid w:val="34B47F8E"/>
    <w:rsid w:val="34BF0E0C"/>
    <w:rsid w:val="34CC3626"/>
    <w:rsid w:val="34D67F04"/>
    <w:rsid w:val="34FA3BF3"/>
    <w:rsid w:val="34FB796B"/>
    <w:rsid w:val="35040F15"/>
    <w:rsid w:val="352E5F92"/>
    <w:rsid w:val="353B12FF"/>
    <w:rsid w:val="3540060E"/>
    <w:rsid w:val="355C2AFF"/>
    <w:rsid w:val="35635C3C"/>
    <w:rsid w:val="357A2F85"/>
    <w:rsid w:val="35814314"/>
    <w:rsid w:val="35927056"/>
    <w:rsid w:val="359371FA"/>
    <w:rsid w:val="35AF70D3"/>
    <w:rsid w:val="35BE7A8E"/>
    <w:rsid w:val="35C661CB"/>
    <w:rsid w:val="35D00DF7"/>
    <w:rsid w:val="35E6061B"/>
    <w:rsid w:val="35FE7713"/>
    <w:rsid w:val="364C2B74"/>
    <w:rsid w:val="36721EAF"/>
    <w:rsid w:val="36963DEF"/>
    <w:rsid w:val="36C26992"/>
    <w:rsid w:val="36CF10AF"/>
    <w:rsid w:val="36FD7401"/>
    <w:rsid w:val="372238D5"/>
    <w:rsid w:val="377078AE"/>
    <w:rsid w:val="3776777C"/>
    <w:rsid w:val="378D6FA0"/>
    <w:rsid w:val="37AE5168"/>
    <w:rsid w:val="37BC7885"/>
    <w:rsid w:val="37DA3D68"/>
    <w:rsid w:val="38303DCF"/>
    <w:rsid w:val="38415FDC"/>
    <w:rsid w:val="384653A1"/>
    <w:rsid w:val="3869321A"/>
    <w:rsid w:val="389205E6"/>
    <w:rsid w:val="38C74734"/>
    <w:rsid w:val="38D96215"/>
    <w:rsid w:val="38DB3D3B"/>
    <w:rsid w:val="38FE229B"/>
    <w:rsid w:val="390414E4"/>
    <w:rsid w:val="390A4620"/>
    <w:rsid w:val="39162FC5"/>
    <w:rsid w:val="39783C80"/>
    <w:rsid w:val="397A08A5"/>
    <w:rsid w:val="398A57E1"/>
    <w:rsid w:val="39972358"/>
    <w:rsid w:val="39A22AAB"/>
    <w:rsid w:val="39B60304"/>
    <w:rsid w:val="39D961DF"/>
    <w:rsid w:val="3A045513"/>
    <w:rsid w:val="3A2160C5"/>
    <w:rsid w:val="3A2D1365"/>
    <w:rsid w:val="3A647D60"/>
    <w:rsid w:val="3A8A5A19"/>
    <w:rsid w:val="3AC151B3"/>
    <w:rsid w:val="3AD1189A"/>
    <w:rsid w:val="3AEA4709"/>
    <w:rsid w:val="3AF13CEA"/>
    <w:rsid w:val="3AF15A98"/>
    <w:rsid w:val="3AF235BE"/>
    <w:rsid w:val="3B2C6AD0"/>
    <w:rsid w:val="3B4F6D28"/>
    <w:rsid w:val="3B554279"/>
    <w:rsid w:val="3B691AD2"/>
    <w:rsid w:val="3BC211E2"/>
    <w:rsid w:val="3BEB24E7"/>
    <w:rsid w:val="3C123F18"/>
    <w:rsid w:val="3C152F81"/>
    <w:rsid w:val="3C3C6449"/>
    <w:rsid w:val="3C7F6BCA"/>
    <w:rsid w:val="3C926E07"/>
    <w:rsid w:val="3CDA14DD"/>
    <w:rsid w:val="3CE533DA"/>
    <w:rsid w:val="3CFB0E50"/>
    <w:rsid w:val="3D0A4BEF"/>
    <w:rsid w:val="3D3B56F0"/>
    <w:rsid w:val="3D5642D8"/>
    <w:rsid w:val="3D606F05"/>
    <w:rsid w:val="3D6932BC"/>
    <w:rsid w:val="3D6A7D83"/>
    <w:rsid w:val="3D711112"/>
    <w:rsid w:val="3D7A39E9"/>
    <w:rsid w:val="3D826E7B"/>
    <w:rsid w:val="3D850719"/>
    <w:rsid w:val="3DF5589F"/>
    <w:rsid w:val="3E1321C9"/>
    <w:rsid w:val="3E35213F"/>
    <w:rsid w:val="3E6E11AD"/>
    <w:rsid w:val="3EDB7D99"/>
    <w:rsid w:val="3EDC6A5F"/>
    <w:rsid w:val="3EE31B9B"/>
    <w:rsid w:val="3F0044FB"/>
    <w:rsid w:val="3F3E5024"/>
    <w:rsid w:val="3F5B5BD6"/>
    <w:rsid w:val="3F60645D"/>
    <w:rsid w:val="3FB47094"/>
    <w:rsid w:val="3FCD46EF"/>
    <w:rsid w:val="3FE61943"/>
    <w:rsid w:val="400242A3"/>
    <w:rsid w:val="40073668"/>
    <w:rsid w:val="402406BD"/>
    <w:rsid w:val="406E36E7"/>
    <w:rsid w:val="40867B64"/>
    <w:rsid w:val="40D55514"/>
    <w:rsid w:val="40E83499"/>
    <w:rsid w:val="41083B3B"/>
    <w:rsid w:val="41173118"/>
    <w:rsid w:val="411B1F4A"/>
    <w:rsid w:val="411B386E"/>
    <w:rsid w:val="4130542D"/>
    <w:rsid w:val="41430A12"/>
    <w:rsid w:val="41434B73"/>
    <w:rsid w:val="414F176A"/>
    <w:rsid w:val="41736541"/>
    <w:rsid w:val="41766CF7"/>
    <w:rsid w:val="417D62D7"/>
    <w:rsid w:val="418F1B67"/>
    <w:rsid w:val="41986C6D"/>
    <w:rsid w:val="41A01FC6"/>
    <w:rsid w:val="41BA408F"/>
    <w:rsid w:val="41BE41FA"/>
    <w:rsid w:val="41D34149"/>
    <w:rsid w:val="41DD28D2"/>
    <w:rsid w:val="41E53E7C"/>
    <w:rsid w:val="420B536C"/>
    <w:rsid w:val="421F738E"/>
    <w:rsid w:val="42541C74"/>
    <w:rsid w:val="4262727B"/>
    <w:rsid w:val="426D211A"/>
    <w:rsid w:val="42884F34"/>
    <w:rsid w:val="42A95426"/>
    <w:rsid w:val="42FF2D1C"/>
    <w:rsid w:val="431F212B"/>
    <w:rsid w:val="43260821"/>
    <w:rsid w:val="43486471"/>
    <w:rsid w:val="435338DF"/>
    <w:rsid w:val="43543068"/>
    <w:rsid w:val="436E32BA"/>
    <w:rsid w:val="437E0523"/>
    <w:rsid w:val="4391606A"/>
    <w:rsid w:val="43AF64F0"/>
    <w:rsid w:val="43BD0C0D"/>
    <w:rsid w:val="43CA332A"/>
    <w:rsid w:val="43CA50D8"/>
    <w:rsid w:val="43D30430"/>
    <w:rsid w:val="43E50164"/>
    <w:rsid w:val="43EF3BCE"/>
    <w:rsid w:val="43F108B7"/>
    <w:rsid w:val="43FE4A9F"/>
    <w:rsid w:val="440F51E1"/>
    <w:rsid w:val="44471C20"/>
    <w:rsid w:val="4450382F"/>
    <w:rsid w:val="446C2706"/>
    <w:rsid w:val="448259B3"/>
    <w:rsid w:val="44896D41"/>
    <w:rsid w:val="449050CF"/>
    <w:rsid w:val="4493196E"/>
    <w:rsid w:val="44B02520"/>
    <w:rsid w:val="44B57B36"/>
    <w:rsid w:val="44E63332"/>
    <w:rsid w:val="44F627D3"/>
    <w:rsid w:val="45060392"/>
    <w:rsid w:val="450C7AE6"/>
    <w:rsid w:val="454D5FC1"/>
    <w:rsid w:val="454D7D6F"/>
    <w:rsid w:val="456E7B19"/>
    <w:rsid w:val="458614D2"/>
    <w:rsid w:val="459736E0"/>
    <w:rsid w:val="45CF69D6"/>
    <w:rsid w:val="45F34DBA"/>
    <w:rsid w:val="45FB04BF"/>
    <w:rsid w:val="461350DF"/>
    <w:rsid w:val="462036D5"/>
    <w:rsid w:val="46236D21"/>
    <w:rsid w:val="463B406B"/>
    <w:rsid w:val="465A6BE7"/>
    <w:rsid w:val="465B470D"/>
    <w:rsid w:val="467F21AA"/>
    <w:rsid w:val="46830FA7"/>
    <w:rsid w:val="469229BC"/>
    <w:rsid w:val="46BA7686"/>
    <w:rsid w:val="46CC73B9"/>
    <w:rsid w:val="4734568A"/>
    <w:rsid w:val="47573126"/>
    <w:rsid w:val="475C073D"/>
    <w:rsid w:val="47613FA5"/>
    <w:rsid w:val="478B4B7E"/>
    <w:rsid w:val="47C3256A"/>
    <w:rsid w:val="47DE1152"/>
    <w:rsid w:val="47E30E5E"/>
    <w:rsid w:val="484F3DFE"/>
    <w:rsid w:val="487675DC"/>
    <w:rsid w:val="48AA54D8"/>
    <w:rsid w:val="48AB197C"/>
    <w:rsid w:val="48B653CE"/>
    <w:rsid w:val="48EB621C"/>
    <w:rsid w:val="490C1CEF"/>
    <w:rsid w:val="49107A31"/>
    <w:rsid w:val="49114E4F"/>
    <w:rsid w:val="49177011"/>
    <w:rsid w:val="491D4CB4"/>
    <w:rsid w:val="49261002"/>
    <w:rsid w:val="49351245"/>
    <w:rsid w:val="49793828"/>
    <w:rsid w:val="498521CD"/>
    <w:rsid w:val="498531B0"/>
    <w:rsid w:val="49B95135"/>
    <w:rsid w:val="49EF7646"/>
    <w:rsid w:val="4A0B01F8"/>
    <w:rsid w:val="4A0F1A96"/>
    <w:rsid w:val="4A5676C5"/>
    <w:rsid w:val="4A8C758B"/>
    <w:rsid w:val="4ADA02F6"/>
    <w:rsid w:val="4AEE636E"/>
    <w:rsid w:val="4B272E10"/>
    <w:rsid w:val="4B38326F"/>
    <w:rsid w:val="4B3A2B43"/>
    <w:rsid w:val="4B3A6FE7"/>
    <w:rsid w:val="4B4734B2"/>
    <w:rsid w:val="4B49547C"/>
    <w:rsid w:val="4B693428"/>
    <w:rsid w:val="4B72052F"/>
    <w:rsid w:val="4BC9209C"/>
    <w:rsid w:val="4BD25472"/>
    <w:rsid w:val="4BDC3BFA"/>
    <w:rsid w:val="4C0E1EFB"/>
    <w:rsid w:val="4C3C4BE0"/>
    <w:rsid w:val="4C516A67"/>
    <w:rsid w:val="4C96024D"/>
    <w:rsid w:val="4C991AEB"/>
    <w:rsid w:val="4C9B5863"/>
    <w:rsid w:val="4D072EF9"/>
    <w:rsid w:val="4D090A1F"/>
    <w:rsid w:val="4D0C050F"/>
    <w:rsid w:val="4D227D33"/>
    <w:rsid w:val="4D27359B"/>
    <w:rsid w:val="4D3161C8"/>
    <w:rsid w:val="4D6C41AF"/>
    <w:rsid w:val="4D8300E7"/>
    <w:rsid w:val="4D941508"/>
    <w:rsid w:val="4DA42328"/>
    <w:rsid w:val="4DA42E3E"/>
    <w:rsid w:val="4DBA61BD"/>
    <w:rsid w:val="4E3150E2"/>
    <w:rsid w:val="4E3917D8"/>
    <w:rsid w:val="4E404368"/>
    <w:rsid w:val="4E4A5793"/>
    <w:rsid w:val="4E65437B"/>
    <w:rsid w:val="4E6C5709"/>
    <w:rsid w:val="4E99569F"/>
    <w:rsid w:val="4EA630D8"/>
    <w:rsid w:val="4EC5306C"/>
    <w:rsid w:val="4EF72216"/>
    <w:rsid w:val="4F561F16"/>
    <w:rsid w:val="4F634453"/>
    <w:rsid w:val="4F642884"/>
    <w:rsid w:val="4F8F3DF2"/>
    <w:rsid w:val="4FFF6109"/>
    <w:rsid w:val="50016325"/>
    <w:rsid w:val="50242014"/>
    <w:rsid w:val="503F29AA"/>
    <w:rsid w:val="506B7C43"/>
    <w:rsid w:val="50720FD1"/>
    <w:rsid w:val="50746AF7"/>
    <w:rsid w:val="507C1E50"/>
    <w:rsid w:val="507C59AC"/>
    <w:rsid w:val="509251CF"/>
    <w:rsid w:val="50A0169A"/>
    <w:rsid w:val="50BE4216"/>
    <w:rsid w:val="50CC06E1"/>
    <w:rsid w:val="50CE7F89"/>
    <w:rsid w:val="50D77086"/>
    <w:rsid w:val="50DB6B76"/>
    <w:rsid w:val="510A120A"/>
    <w:rsid w:val="511F2F07"/>
    <w:rsid w:val="51516E38"/>
    <w:rsid w:val="51654473"/>
    <w:rsid w:val="51750D79"/>
    <w:rsid w:val="51A46F68"/>
    <w:rsid w:val="52067C23"/>
    <w:rsid w:val="520B5239"/>
    <w:rsid w:val="523302EC"/>
    <w:rsid w:val="52412A09"/>
    <w:rsid w:val="524D13AE"/>
    <w:rsid w:val="524D5852"/>
    <w:rsid w:val="528648C0"/>
    <w:rsid w:val="528F19C6"/>
    <w:rsid w:val="52983293"/>
    <w:rsid w:val="52CD6993"/>
    <w:rsid w:val="52FC4B82"/>
    <w:rsid w:val="5314011E"/>
    <w:rsid w:val="531B5950"/>
    <w:rsid w:val="532760A3"/>
    <w:rsid w:val="532C6881"/>
    <w:rsid w:val="5340253A"/>
    <w:rsid w:val="535B5CDC"/>
    <w:rsid w:val="53642E53"/>
    <w:rsid w:val="537A2677"/>
    <w:rsid w:val="538928BA"/>
    <w:rsid w:val="53A96AB8"/>
    <w:rsid w:val="53CC27A6"/>
    <w:rsid w:val="53CD2593"/>
    <w:rsid w:val="53DC50DF"/>
    <w:rsid w:val="54364A4A"/>
    <w:rsid w:val="544B53A1"/>
    <w:rsid w:val="54680721"/>
    <w:rsid w:val="54694499"/>
    <w:rsid w:val="54972DB4"/>
    <w:rsid w:val="54D2203E"/>
    <w:rsid w:val="550D0E1A"/>
    <w:rsid w:val="5523289A"/>
    <w:rsid w:val="55294C21"/>
    <w:rsid w:val="559C41F5"/>
    <w:rsid w:val="55AF2380"/>
    <w:rsid w:val="55BB4A8F"/>
    <w:rsid w:val="55C53951"/>
    <w:rsid w:val="55EC2E38"/>
    <w:rsid w:val="55F81A83"/>
    <w:rsid w:val="56017FD1"/>
    <w:rsid w:val="561F7505"/>
    <w:rsid w:val="562C7C8E"/>
    <w:rsid w:val="564F2549"/>
    <w:rsid w:val="56674A08"/>
    <w:rsid w:val="56680EAC"/>
    <w:rsid w:val="56DE2F1C"/>
    <w:rsid w:val="571A1A7B"/>
    <w:rsid w:val="57204FA9"/>
    <w:rsid w:val="57390153"/>
    <w:rsid w:val="575B456D"/>
    <w:rsid w:val="576C677A"/>
    <w:rsid w:val="579B12CF"/>
    <w:rsid w:val="57C93BCD"/>
    <w:rsid w:val="57FE314A"/>
    <w:rsid w:val="582232DD"/>
    <w:rsid w:val="583354EA"/>
    <w:rsid w:val="583B7EFB"/>
    <w:rsid w:val="583E6A51"/>
    <w:rsid w:val="58474AF1"/>
    <w:rsid w:val="585D4315"/>
    <w:rsid w:val="586E6522"/>
    <w:rsid w:val="58B37F25"/>
    <w:rsid w:val="58B8779D"/>
    <w:rsid w:val="58C16652"/>
    <w:rsid w:val="58C44394"/>
    <w:rsid w:val="58C67691"/>
    <w:rsid w:val="59411541"/>
    <w:rsid w:val="594D25DB"/>
    <w:rsid w:val="59527BF2"/>
    <w:rsid w:val="597933D0"/>
    <w:rsid w:val="597A0C8A"/>
    <w:rsid w:val="59877A50"/>
    <w:rsid w:val="598D4786"/>
    <w:rsid w:val="5999137D"/>
    <w:rsid w:val="59D71F7A"/>
    <w:rsid w:val="59EE6C20"/>
    <w:rsid w:val="59F12F2F"/>
    <w:rsid w:val="59F36CDF"/>
    <w:rsid w:val="5A030F12"/>
    <w:rsid w:val="5A186745"/>
    <w:rsid w:val="5A33357F"/>
    <w:rsid w:val="5A3612C1"/>
    <w:rsid w:val="5A3F0176"/>
    <w:rsid w:val="5A551748"/>
    <w:rsid w:val="5A7708D0"/>
    <w:rsid w:val="5A7D2A4C"/>
    <w:rsid w:val="5A9515D1"/>
    <w:rsid w:val="5A955D0D"/>
    <w:rsid w:val="5AB521E6"/>
    <w:rsid w:val="5AB83A84"/>
    <w:rsid w:val="5ABC0E8F"/>
    <w:rsid w:val="5AC4143F"/>
    <w:rsid w:val="5AC643F3"/>
    <w:rsid w:val="5AD85ED5"/>
    <w:rsid w:val="5ADE62D0"/>
    <w:rsid w:val="5AEB20AC"/>
    <w:rsid w:val="5B497397"/>
    <w:rsid w:val="5B5437AD"/>
    <w:rsid w:val="5B751975"/>
    <w:rsid w:val="5B8C0E98"/>
    <w:rsid w:val="5B920779"/>
    <w:rsid w:val="5BAF2132"/>
    <w:rsid w:val="5BC85B3E"/>
    <w:rsid w:val="5BD743DE"/>
    <w:rsid w:val="5BDB5C7C"/>
    <w:rsid w:val="5BE379AC"/>
    <w:rsid w:val="5BFF170B"/>
    <w:rsid w:val="5C2C4CD1"/>
    <w:rsid w:val="5C735EB5"/>
    <w:rsid w:val="5C814A76"/>
    <w:rsid w:val="5CA50038"/>
    <w:rsid w:val="5CAE5C00"/>
    <w:rsid w:val="5CCE3A33"/>
    <w:rsid w:val="5CE60D7D"/>
    <w:rsid w:val="5CE84AF5"/>
    <w:rsid w:val="5D221689"/>
    <w:rsid w:val="5D3A4C25"/>
    <w:rsid w:val="5D3D71AE"/>
    <w:rsid w:val="5D443CF5"/>
    <w:rsid w:val="5D447851"/>
    <w:rsid w:val="5D4810F0"/>
    <w:rsid w:val="5D5E2D2E"/>
    <w:rsid w:val="5DBB5D65"/>
    <w:rsid w:val="5DD15589"/>
    <w:rsid w:val="5DE057CC"/>
    <w:rsid w:val="5E0019CA"/>
    <w:rsid w:val="5E443FAD"/>
    <w:rsid w:val="5E525F9E"/>
    <w:rsid w:val="5E8343A9"/>
    <w:rsid w:val="5E875C48"/>
    <w:rsid w:val="5EC23124"/>
    <w:rsid w:val="5EE806A8"/>
    <w:rsid w:val="5EED6B4B"/>
    <w:rsid w:val="5F0820A0"/>
    <w:rsid w:val="5F2D2C93"/>
    <w:rsid w:val="5F322057"/>
    <w:rsid w:val="5F5244A8"/>
    <w:rsid w:val="5F6B7317"/>
    <w:rsid w:val="5F6E26E6"/>
    <w:rsid w:val="5F926F9A"/>
    <w:rsid w:val="5F990328"/>
    <w:rsid w:val="5FA171DD"/>
    <w:rsid w:val="5FA55B60"/>
    <w:rsid w:val="5FA754D1"/>
    <w:rsid w:val="5FBC4017"/>
    <w:rsid w:val="5FDC0215"/>
    <w:rsid w:val="5FED2422"/>
    <w:rsid w:val="5FF40044"/>
    <w:rsid w:val="5FF714D3"/>
    <w:rsid w:val="5FF90DC7"/>
    <w:rsid w:val="601D2D07"/>
    <w:rsid w:val="60341DFF"/>
    <w:rsid w:val="60345C31"/>
    <w:rsid w:val="603E6AFE"/>
    <w:rsid w:val="607164D6"/>
    <w:rsid w:val="60956D42"/>
    <w:rsid w:val="60B475FD"/>
    <w:rsid w:val="60DB227B"/>
    <w:rsid w:val="60E2185B"/>
    <w:rsid w:val="60EC092C"/>
    <w:rsid w:val="610033F5"/>
    <w:rsid w:val="611D2893"/>
    <w:rsid w:val="61314591"/>
    <w:rsid w:val="61444A27"/>
    <w:rsid w:val="61686277"/>
    <w:rsid w:val="6175088A"/>
    <w:rsid w:val="618B1EF3"/>
    <w:rsid w:val="619C7C5C"/>
    <w:rsid w:val="61A35824"/>
    <w:rsid w:val="61AB3132"/>
    <w:rsid w:val="61B47076"/>
    <w:rsid w:val="61BD42A9"/>
    <w:rsid w:val="61C15914"/>
    <w:rsid w:val="61D373F6"/>
    <w:rsid w:val="622A170C"/>
    <w:rsid w:val="6232175E"/>
    <w:rsid w:val="62353C0D"/>
    <w:rsid w:val="62926224"/>
    <w:rsid w:val="62B17737"/>
    <w:rsid w:val="62C84A81"/>
    <w:rsid w:val="62D30FC0"/>
    <w:rsid w:val="62D358FF"/>
    <w:rsid w:val="62EA0E9B"/>
    <w:rsid w:val="631D4DCC"/>
    <w:rsid w:val="634E4F86"/>
    <w:rsid w:val="63512CC8"/>
    <w:rsid w:val="635A07BB"/>
    <w:rsid w:val="635D341B"/>
    <w:rsid w:val="639635F7"/>
    <w:rsid w:val="63A159FD"/>
    <w:rsid w:val="63B020AD"/>
    <w:rsid w:val="643C1282"/>
    <w:rsid w:val="646627A3"/>
    <w:rsid w:val="646B5DF0"/>
    <w:rsid w:val="646D58E0"/>
    <w:rsid w:val="64942E6C"/>
    <w:rsid w:val="64990483"/>
    <w:rsid w:val="64A75ABD"/>
    <w:rsid w:val="64B17EC2"/>
    <w:rsid w:val="64E5191A"/>
    <w:rsid w:val="64F102BF"/>
    <w:rsid w:val="64FB113D"/>
    <w:rsid w:val="6511270F"/>
    <w:rsid w:val="65314B5F"/>
    <w:rsid w:val="655F347A"/>
    <w:rsid w:val="6566188B"/>
    <w:rsid w:val="65670581"/>
    <w:rsid w:val="65841133"/>
    <w:rsid w:val="6589499B"/>
    <w:rsid w:val="65D2071B"/>
    <w:rsid w:val="65E816C2"/>
    <w:rsid w:val="65EB7404"/>
    <w:rsid w:val="65EE2A50"/>
    <w:rsid w:val="65F91B55"/>
    <w:rsid w:val="660E6C4E"/>
    <w:rsid w:val="661324B7"/>
    <w:rsid w:val="662621EA"/>
    <w:rsid w:val="664D7777"/>
    <w:rsid w:val="66660838"/>
    <w:rsid w:val="66A575B3"/>
    <w:rsid w:val="66C44D83"/>
    <w:rsid w:val="66DE2AC5"/>
    <w:rsid w:val="66E83943"/>
    <w:rsid w:val="66E96F10"/>
    <w:rsid w:val="676C6322"/>
    <w:rsid w:val="67852F40"/>
    <w:rsid w:val="67A4786A"/>
    <w:rsid w:val="67B15328"/>
    <w:rsid w:val="67B97DDD"/>
    <w:rsid w:val="67BC2E06"/>
    <w:rsid w:val="67CC6DC1"/>
    <w:rsid w:val="67DB0DB2"/>
    <w:rsid w:val="68000819"/>
    <w:rsid w:val="68077A8E"/>
    <w:rsid w:val="680A7FFD"/>
    <w:rsid w:val="68104F00"/>
    <w:rsid w:val="68142C42"/>
    <w:rsid w:val="681542C4"/>
    <w:rsid w:val="68680898"/>
    <w:rsid w:val="687436E1"/>
    <w:rsid w:val="6881195A"/>
    <w:rsid w:val="68922C64"/>
    <w:rsid w:val="68A45648"/>
    <w:rsid w:val="68B7537B"/>
    <w:rsid w:val="68E5013A"/>
    <w:rsid w:val="68EC771B"/>
    <w:rsid w:val="68EF4B15"/>
    <w:rsid w:val="68F77E6E"/>
    <w:rsid w:val="690E58E3"/>
    <w:rsid w:val="69213EC6"/>
    <w:rsid w:val="692A3719"/>
    <w:rsid w:val="694B5A95"/>
    <w:rsid w:val="6953779A"/>
    <w:rsid w:val="69766FE4"/>
    <w:rsid w:val="697F6237"/>
    <w:rsid w:val="69967687"/>
    <w:rsid w:val="69A43B52"/>
    <w:rsid w:val="69AE677E"/>
    <w:rsid w:val="69BA15C7"/>
    <w:rsid w:val="69CE5072"/>
    <w:rsid w:val="69D56401"/>
    <w:rsid w:val="69E71C90"/>
    <w:rsid w:val="6A002D52"/>
    <w:rsid w:val="6A1567FD"/>
    <w:rsid w:val="6A2D7FEB"/>
    <w:rsid w:val="6A61724B"/>
    <w:rsid w:val="6A6B466F"/>
    <w:rsid w:val="6A771266"/>
    <w:rsid w:val="6A7E25F5"/>
    <w:rsid w:val="6A8D134D"/>
    <w:rsid w:val="6A9811DC"/>
    <w:rsid w:val="6ACB4000"/>
    <w:rsid w:val="6AD06BC8"/>
    <w:rsid w:val="6AED1528"/>
    <w:rsid w:val="6AFE7E7F"/>
    <w:rsid w:val="6B142F59"/>
    <w:rsid w:val="6B2F7D93"/>
    <w:rsid w:val="6B572E46"/>
    <w:rsid w:val="6B623CC4"/>
    <w:rsid w:val="6B657311"/>
    <w:rsid w:val="6B7B4D86"/>
    <w:rsid w:val="6B8C0D41"/>
    <w:rsid w:val="6B9B2D32"/>
    <w:rsid w:val="6BA02A3F"/>
    <w:rsid w:val="6BA51E03"/>
    <w:rsid w:val="6BAA621F"/>
    <w:rsid w:val="6BB42046"/>
    <w:rsid w:val="6BB87D88"/>
    <w:rsid w:val="6BCB7ABB"/>
    <w:rsid w:val="6BDF3567"/>
    <w:rsid w:val="6BF84629"/>
    <w:rsid w:val="6C007039"/>
    <w:rsid w:val="6C0C3C30"/>
    <w:rsid w:val="6C1D7BEB"/>
    <w:rsid w:val="6C240F7A"/>
    <w:rsid w:val="6C3311BD"/>
    <w:rsid w:val="6C347C3B"/>
    <w:rsid w:val="6C501D6F"/>
    <w:rsid w:val="6C5A0E3F"/>
    <w:rsid w:val="6C661592"/>
    <w:rsid w:val="6CA64085"/>
    <w:rsid w:val="6CB95B66"/>
    <w:rsid w:val="6CC83FFB"/>
    <w:rsid w:val="6CF21078"/>
    <w:rsid w:val="6CFE7A1D"/>
    <w:rsid w:val="6D08089B"/>
    <w:rsid w:val="6D2666B8"/>
    <w:rsid w:val="6D34343E"/>
    <w:rsid w:val="6D3C499E"/>
    <w:rsid w:val="6D4B0788"/>
    <w:rsid w:val="6D602485"/>
    <w:rsid w:val="6D9914DA"/>
    <w:rsid w:val="6DAA54AF"/>
    <w:rsid w:val="6DB85E1E"/>
    <w:rsid w:val="6DE309C1"/>
    <w:rsid w:val="6E02162C"/>
    <w:rsid w:val="6E272FA3"/>
    <w:rsid w:val="6E66587A"/>
    <w:rsid w:val="6E970129"/>
    <w:rsid w:val="6EAE5472"/>
    <w:rsid w:val="6EF474E8"/>
    <w:rsid w:val="6EFA2466"/>
    <w:rsid w:val="6F060CF5"/>
    <w:rsid w:val="6F1277AF"/>
    <w:rsid w:val="6F3B6D06"/>
    <w:rsid w:val="6F543924"/>
    <w:rsid w:val="6F5778B8"/>
    <w:rsid w:val="6F742218"/>
    <w:rsid w:val="6F814935"/>
    <w:rsid w:val="6F8F0E00"/>
    <w:rsid w:val="6FA7614A"/>
    <w:rsid w:val="6FB47687"/>
    <w:rsid w:val="6FC00FB9"/>
    <w:rsid w:val="6FD131C7"/>
    <w:rsid w:val="6FD827A7"/>
    <w:rsid w:val="6FDE4158"/>
    <w:rsid w:val="6FED3D79"/>
    <w:rsid w:val="6FF9271D"/>
    <w:rsid w:val="701D465E"/>
    <w:rsid w:val="70227EC6"/>
    <w:rsid w:val="702C664F"/>
    <w:rsid w:val="703674CE"/>
    <w:rsid w:val="703F45D4"/>
    <w:rsid w:val="704C6CF1"/>
    <w:rsid w:val="70553DF8"/>
    <w:rsid w:val="705D1564"/>
    <w:rsid w:val="706933FF"/>
    <w:rsid w:val="709661BE"/>
    <w:rsid w:val="70BA3C5B"/>
    <w:rsid w:val="70C920F0"/>
    <w:rsid w:val="70EB02B8"/>
    <w:rsid w:val="70EE1960"/>
    <w:rsid w:val="70F76C5D"/>
    <w:rsid w:val="71015D2D"/>
    <w:rsid w:val="71287CA7"/>
    <w:rsid w:val="713C6427"/>
    <w:rsid w:val="71663DE2"/>
    <w:rsid w:val="716C7F12"/>
    <w:rsid w:val="717E1A4F"/>
    <w:rsid w:val="718129CA"/>
    <w:rsid w:val="7183443D"/>
    <w:rsid w:val="718F158B"/>
    <w:rsid w:val="719B2A0E"/>
    <w:rsid w:val="71CA4EB4"/>
    <w:rsid w:val="71EA0BA0"/>
    <w:rsid w:val="71F25676"/>
    <w:rsid w:val="720A29C0"/>
    <w:rsid w:val="722F2786"/>
    <w:rsid w:val="723B0DCB"/>
    <w:rsid w:val="72640322"/>
    <w:rsid w:val="7285473C"/>
    <w:rsid w:val="72D30BAE"/>
    <w:rsid w:val="72DD00D4"/>
    <w:rsid w:val="72EE22E1"/>
    <w:rsid w:val="73094878"/>
    <w:rsid w:val="73410663"/>
    <w:rsid w:val="7366631C"/>
    <w:rsid w:val="73691968"/>
    <w:rsid w:val="739015EB"/>
    <w:rsid w:val="739C1D3D"/>
    <w:rsid w:val="73DB10C1"/>
    <w:rsid w:val="73E07E7C"/>
    <w:rsid w:val="743D52CE"/>
    <w:rsid w:val="74630EBF"/>
    <w:rsid w:val="749B1FF5"/>
    <w:rsid w:val="74A02A70"/>
    <w:rsid w:val="74A5181A"/>
    <w:rsid w:val="74DD43BC"/>
    <w:rsid w:val="750162FC"/>
    <w:rsid w:val="75137DDD"/>
    <w:rsid w:val="751E519F"/>
    <w:rsid w:val="751F49D4"/>
    <w:rsid w:val="752E10BB"/>
    <w:rsid w:val="7530098F"/>
    <w:rsid w:val="75324707"/>
    <w:rsid w:val="753F6E24"/>
    <w:rsid w:val="75947170"/>
    <w:rsid w:val="75C17839"/>
    <w:rsid w:val="75CA2B92"/>
    <w:rsid w:val="7610256F"/>
    <w:rsid w:val="76206C56"/>
    <w:rsid w:val="762A53DF"/>
    <w:rsid w:val="7634625D"/>
    <w:rsid w:val="764364A0"/>
    <w:rsid w:val="764C110D"/>
    <w:rsid w:val="765628CB"/>
    <w:rsid w:val="76726D86"/>
    <w:rsid w:val="767825EE"/>
    <w:rsid w:val="769D2054"/>
    <w:rsid w:val="76B61368"/>
    <w:rsid w:val="76BD6253"/>
    <w:rsid w:val="76BE1FCB"/>
    <w:rsid w:val="76DB3120"/>
    <w:rsid w:val="76E5462F"/>
    <w:rsid w:val="76EE0B02"/>
    <w:rsid w:val="771F2A69"/>
    <w:rsid w:val="77470212"/>
    <w:rsid w:val="77642B72"/>
    <w:rsid w:val="776A6627"/>
    <w:rsid w:val="777728A5"/>
    <w:rsid w:val="77827467"/>
    <w:rsid w:val="779266A0"/>
    <w:rsid w:val="77A47413"/>
    <w:rsid w:val="77C0324D"/>
    <w:rsid w:val="77C718FD"/>
    <w:rsid w:val="77DA4BE2"/>
    <w:rsid w:val="77E048EF"/>
    <w:rsid w:val="78020E7E"/>
    <w:rsid w:val="7803238B"/>
    <w:rsid w:val="781E5417"/>
    <w:rsid w:val="78244C21"/>
    <w:rsid w:val="783D2AE9"/>
    <w:rsid w:val="7858257A"/>
    <w:rsid w:val="788F457C"/>
    <w:rsid w:val="78E905FD"/>
    <w:rsid w:val="78EC2E1F"/>
    <w:rsid w:val="790449F5"/>
    <w:rsid w:val="790463BB"/>
    <w:rsid w:val="79183C14"/>
    <w:rsid w:val="791E4FA3"/>
    <w:rsid w:val="7927265A"/>
    <w:rsid w:val="79366790"/>
    <w:rsid w:val="793A1DDD"/>
    <w:rsid w:val="796432FD"/>
    <w:rsid w:val="79711576"/>
    <w:rsid w:val="79935991"/>
    <w:rsid w:val="79D305BB"/>
    <w:rsid w:val="79D833A4"/>
    <w:rsid w:val="79DA711C"/>
    <w:rsid w:val="79DC08AE"/>
    <w:rsid w:val="79DD375D"/>
    <w:rsid w:val="79E1494E"/>
    <w:rsid w:val="79F248F0"/>
    <w:rsid w:val="79FF4ACC"/>
    <w:rsid w:val="7A2F56B9"/>
    <w:rsid w:val="7A460C55"/>
    <w:rsid w:val="7A70182E"/>
    <w:rsid w:val="7A796935"/>
    <w:rsid w:val="7AA41D7F"/>
    <w:rsid w:val="7AD4000F"/>
    <w:rsid w:val="7AF81F4F"/>
    <w:rsid w:val="7B022DCE"/>
    <w:rsid w:val="7B214D90"/>
    <w:rsid w:val="7B4A207F"/>
    <w:rsid w:val="7B784E3E"/>
    <w:rsid w:val="7B7F61CD"/>
    <w:rsid w:val="7B8C1417"/>
    <w:rsid w:val="7B9A3006"/>
    <w:rsid w:val="7BBF2A6D"/>
    <w:rsid w:val="7BC91FB5"/>
    <w:rsid w:val="7BCC0CE6"/>
    <w:rsid w:val="7BF2699E"/>
    <w:rsid w:val="7C121B15"/>
    <w:rsid w:val="7C2B1EB0"/>
    <w:rsid w:val="7C43544C"/>
    <w:rsid w:val="7C4D0079"/>
    <w:rsid w:val="7C790E6E"/>
    <w:rsid w:val="7C7A4BE6"/>
    <w:rsid w:val="7CA73C2D"/>
    <w:rsid w:val="7CCD2F68"/>
    <w:rsid w:val="7CE7227B"/>
    <w:rsid w:val="7CF60710"/>
    <w:rsid w:val="7D070571"/>
    <w:rsid w:val="7D0E5F00"/>
    <w:rsid w:val="7D0F3580"/>
    <w:rsid w:val="7D186DDF"/>
    <w:rsid w:val="7D4A0A5C"/>
    <w:rsid w:val="7D553689"/>
    <w:rsid w:val="7D63567A"/>
    <w:rsid w:val="7D755AD9"/>
    <w:rsid w:val="7D7D498E"/>
    <w:rsid w:val="7D831878"/>
    <w:rsid w:val="7D861B81"/>
    <w:rsid w:val="7D9B3066"/>
    <w:rsid w:val="7DAB6BB7"/>
    <w:rsid w:val="7DCA3FB6"/>
    <w:rsid w:val="7DE71E07"/>
    <w:rsid w:val="7DF32EA2"/>
    <w:rsid w:val="7E1E7F1F"/>
    <w:rsid w:val="7E2C5D60"/>
    <w:rsid w:val="7E3314F0"/>
    <w:rsid w:val="7E486D4A"/>
    <w:rsid w:val="7E5E656D"/>
    <w:rsid w:val="7E7538B7"/>
    <w:rsid w:val="7EE36A72"/>
    <w:rsid w:val="7F0B7D77"/>
    <w:rsid w:val="7F111831"/>
    <w:rsid w:val="7F203823"/>
    <w:rsid w:val="7F313C82"/>
    <w:rsid w:val="7F7122D0"/>
    <w:rsid w:val="7F736048"/>
    <w:rsid w:val="7F7818B1"/>
    <w:rsid w:val="7F932247"/>
    <w:rsid w:val="7FAC50B6"/>
    <w:rsid w:val="7FAF2DF8"/>
    <w:rsid w:val="7FBE4DEA"/>
    <w:rsid w:val="7FBF337A"/>
    <w:rsid w:val="7FDC1E3F"/>
    <w:rsid w:val="7FFD3B64"/>
    <w:rsid w:val="BA7B23C6"/>
    <w:rsid w:val="DEFD5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70"/>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unhideWhenUsed/>
    <w:qFormat/>
    <w:uiPriority w:val="1"/>
  </w:style>
  <w:style w:type="table" w:default="1" w:styleId="58">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72"/>
    <w:autoRedefine/>
    <w:qFormat/>
    <w:uiPriority w:val="0"/>
    <w:pPr>
      <w:adjustRightInd w:val="0"/>
      <w:spacing w:line="360" w:lineRule="atLeast"/>
      <w:jc w:val="left"/>
      <w:textAlignment w:val="baseline"/>
    </w:pPr>
    <w:rPr>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w:basedOn w:val="1"/>
    <w:autoRedefine/>
    <w:qFormat/>
    <w:uiPriority w:val="0"/>
    <w:rPr>
      <w:rFonts w:ascii="仿宋_GB2312" w:eastAsia="仿宋_GB2312"/>
      <w:sz w:val="32"/>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line="360" w:lineRule="auto"/>
    </w:pPr>
    <w:rPr>
      <w:rFonts w:ascii="Calibri" w:hAnsi="Calibri"/>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link w:val="74"/>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5"/>
    <w:autoRedefine/>
    <w:qFormat/>
    <w:uiPriority w:val="99"/>
  </w:style>
  <w:style w:type="paragraph" w:styleId="35">
    <w:name w:val="Body Text Indent 2"/>
    <w:basedOn w:val="1"/>
    <w:link w:val="76"/>
    <w:autoRedefine/>
    <w:qFormat/>
    <w:uiPriority w:val="0"/>
    <w:pPr>
      <w:snapToGrid w:val="0"/>
      <w:spacing w:line="560" w:lineRule="atLeast"/>
      <w:ind w:firstLine="540"/>
    </w:pPr>
  </w:style>
  <w:style w:type="paragraph" w:styleId="36">
    <w:name w:val="footer"/>
    <w:basedOn w:val="1"/>
    <w:link w:val="77"/>
    <w:autoRedefine/>
    <w:qFormat/>
    <w:uiPriority w:val="99"/>
    <w:pPr>
      <w:tabs>
        <w:tab w:val="center" w:pos="4153"/>
        <w:tab w:val="right" w:pos="8306"/>
      </w:tabs>
      <w:snapToGrid w:val="0"/>
      <w:jc w:val="left"/>
    </w:pPr>
    <w:rPr>
      <w:sz w:val="18"/>
    </w:rPr>
  </w:style>
  <w:style w:type="paragraph" w:styleId="37">
    <w:name w:val="header"/>
    <w:basedOn w:val="1"/>
    <w:link w:val="78"/>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0"/>
    <w:autoRedefine/>
    <w:qFormat/>
    <w:uiPriority w:val="0"/>
    <w:pPr>
      <w:adjustRightInd/>
      <w:spacing w:line="240" w:lineRule="auto"/>
      <w:textAlignment w:val="auto"/>
    </w:pPr>
  </w:style>
  <w:style w:type="paragraph" w:styleId="56">
    <w:name w:val="Body Text First Indent"/>
    <w:basedOn w:val="1"/>
    <w:next w:val="1"/>
    <w:autoRedefine/>
    <w:qFormat/>
    <w:uiPriority w:val="0"/>
    <w:pPr>
      <w:spacing w:line="360" w:lineRule="auto"/>
    </w:pPr>
    <w:rPr>
      <w:rFonts w:ascii="宋体" w:hAnsi="宋体"/>
      <w:sz w:val="24"/>
    </w:rPr>
  </w:style>
  <w:style w:type="paragraph" w:styleId="57">
    <w:name w:val="Body Text First Indent 2"/>
    <w:basedOn w:val="24"/>
    <w:link w:val="81"/>
    <w:autoRedefine/>
    <w:qFormat/>
    <w:uiPriority w:val="0"/>
    <w:pPr>
      <w:spacing w:after="120" w:line="240" w:lineRule="auto"/>
      <w:ind w:left="420" w:leftChars="200" w:firstLine="420" w:firstLineChars="200"/>
    </w:p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autoRedefine/>
    <w:qFormat/>
    <w:uiPriority w:val="0"/>
    <w:rPr>
      <w:i/>
    </w:rPr>
  </w:style>
  <w:style w:type="character" w:styleId="65">
    <w:name w:val="Hyperlink"/>
    <w:autoRedefine/>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2 Char"/>
    <w:link w:val="4"/>
    <w:autoRedefine/>
    <w:qFormat/>
    <w:uiPriority w:val="0"/>
    <w:rPr>
      <w:rFonts w:ascii="Arial" w:hAnsi="Arial" w:eastAsia="黑体"/>
      <w:b/>
      <w:kern w:val="2"/>
      <w:sz w:val="32"/>
    </w:rPr>
  </w:style>
  <w:style w:type="character" w:customStyle="1" w:styleId="71">
    <w:name w:val="标题 3 Char"/>
    <w:link w:val="5"/>
    <w:autoRedefine/>
    <w:qFormat/>
    <w:uiPriority w:val="0"/>
    <w:rPr>
      <w:rFonts w:eastAsia="宋体"/>
      <w:b/>
      <w:kern w:val="2"/>
      <w:sz w:val="32"/>
      <w:lang w:val="en-US" w:eastAsia="zh-CN"/>
    </w:rPr>
  </w:style>
  <w:style w:type="character" w:customStyle="1" w:styleId="72">
    <w:name w:val="批注文字 Char"/>
    <w:link w:val="20"/>
    <w:autoRedefine/>
    <w:qFormat/>
    <w:uiPriority w:val="0"/>
    <w:rPr>
      <w:sz w:val="24"/>
    </w:rPr>
  </w:style>
  <w:style w:type="character" w:customStyle="1" w:styleId="73">
    <w:name w:val="正文文本缩进 Char"/>
    <w:link w:val="24"/>
    <w:autoRedefine/>
    <w:qFormat/>
    <w:uiPriority w:val="0"/>
    <w:rPr>
      <w:kern w:val="2"/>
      <w:sz w:val="44"/>
    </w:rPr>
  </w:style>
  <w:style w:type="character" w:customStyle="1" w:styleId="74">
    <w:name w:val="纯文本 Char"/>
    <w:link w:val="32"/>
    <w:autoRedefine/>
    <w:qFormat/>
    <w:locked/>
    <w:uiPriority w:val="99"/>
    <w:rPr>
      <w:rFonts w:ascii="宋体" w:hAnsi="Courier New"/>
      <w:kern w:val="2"/>
      <w:sz w:val="21"/>
    </w:rPr>
  </w:style>
  <w:style w:type="character" w:customStyle="1" w:styleId="75">
    <w:name w:val="日期 Char"/>
    <w:link w:val="34"/>
    <w:autoRedefine/>
    <w:qFormat/>
    <w:uiPriority w:val="99"/>
    <w:rPr>
      <w:kern w:val="2"/>
      <w:sz w:val="28"/>
    </w:rPr>
  </w:style>
  <w:style w:type="character" w:customStyle="1" w:styleId="76">
    <w:name w:val="正文文本缩进 2 Char"/>
    <w:link w:val="35"/>
    <w:autoRedefine/>
    <w:qFormat/>
    <w:uiPriority w:val="0"/>
    <w:rPr>
      <w:kern w:val="2"/>
      <w:sz w:val="28"/>
    </w:rPr>
  </w:style>
  <w:style w:type="character" w:customStyle="1" w:styleId="77">
    <w:name w:val="页脚 Char"/>
    <w:link w:val="36"/>
    <w:autoRedefine/>
    <w:qFormat/>
    <w:uiPriority w:val="99"/>
    <w:rPr>
      <w:kern w:val="2"/>
      <w:sz w:val="18"/>
    </w:rPr>
  </w:style>
  <w:style w:type="character" w:customStyle="1" w:styleId="78">
    <w:name w:val="页眉 Char"/>
    <w:link w:val="37"/>
    <w:autoRedefine/>
    <w:qFormat/>
    <w:uiPriority w:val="99"/>
    <w:rPr>
      <w:kern w:val="2"/>
      <w:sz w:val="18"/>
    </w:rPr>
  </w:style>
  <w:style w:type="character" w:customStyle="1" w:styleId="79">
    <w:name w:val="脚注文本 Char"/>
    <w:link w:val="41"/>
    <w:autoRedefine/>
    <w:qFormat/>
    <w:uiPriority w:val="0"/>
    <w:rPr>
      <w:kern w:val="2"/>
      <w:sz w:val="18"/>
    </w:rPr>
  </w:style>
  <w:style w:type="character" w:customStyle="1" w:styleId="80">
    <w:name w:val="批注主题 Char"/>
    <w:basedOn w:val="72"/>
    <w:link w:val="55"/>
    <w:autoRedefine/>
    <w:qFormat/>
    <w:uiPriority w:val="0"/>
    <w:rPr>
      <w:sz w:val="24"/>
    </w:rPr>
  </w:style>
  <w:style w:type="character" w:customStyle="1" w:styleId="81">
    <w:name w:val="正文首行缩进 2 Char"/>
    <w:basedOn w:val="73"/>
    <w:link w:val="57"/>
    <w:autoRedefine/>
    <w:qFormat/>
    <w:uiPriority w:val="0"/>
    <w:rPr>
      <w:kern w:val="2"/>
      <w:sz w:val="44"/>
    </w:rPr>
  </w:style>
  <w:style w:type="paragraph" w:customStyle="1" w:styleId="82">
    <w:name w:val="BodyText"/>
    <w:basedOn w:val="1"/>
    <w:next w:val="83"/>
    <w:autoRedefine/>
    <w:qFormat/>
    <w:uiPriority w:val="0"/>
    <w:pPr>
      <w:textAlignment w:val="baseline"/>
    </w:pPr>
    <w:rPr>
      <w:rFonts w:ascii="仿宋_GB2312" w:eastAsia="仿宋_GB2312"/>
      <w:sz w:val="32"/>
    </w:rPr>
  </w:style>
  <w:style w:type="paragraph" w:customStyle="1" w:styleId="83">
    <w:name w:val="BodyTextIndent"/>
    <w:basedOn w:val="1"/>
    <w:autoRedefine/>
    <w:qFormat/>
    <w:uiPriority w:val="0"/>
    <w:pPr>
      <w:spacing w:line="700" w:lineRule="exact"/>
      <w:ind w:left="960"/>
      <w:textAlignment w:val="baseline"/>
    </w:pPr>
    <w:rPr>
      <w:sz w:val="44"/>
    </w:rPr>
  </w:style>
  <w:style w:type="paragraph" w:customStyle="1" w:styleId="84">
    <w:name w:val="HtmlPre"/>
    <w:basedOn w:val="1"/>
    <w:autoRedefine/>
    <w:qFormat/>
    <w:uiPriority w:val="0"/>
    <w:pPr>
      <w:textAlignment w:val="baseline"/>
    </w:pPr>
    <w:rPr>
      <w:rFonts w:ascii="Courier New" w:hAnsi="Courier New"/>
      <w:sz w:val="20"/>
      <w:szCs w:val="24"/>
    </w:rPr>
  </w:style>
  <w:style w:type="paragraph" w:customStyle="1" w:styleId="85">
    <w:name w:val="目录 91"/>
    <w:next w:val="1"/>
    <w:autoRedefine/>
    <w:qFormat/>
    <w:uiPriority w:val="99"/>
    <w:pPr>
      <w:wordWrap w:val="0"/>
      <w:ind w:left="3400"/>
      <w:jc w:val="both"/>
    </w:pPr>
    <w:rPr>
      <w:rFonts w:ascii="宋体" w:hAnsi="Times New Roman" w:eastAsia="宋体" w:cs="Times New Roman"/>
      <w:sz w:val="21"/>
      <w:lang w:val="en-US" w:eastAsia="zh-CN" w:bidi="ar-SA"/>
    </w:rPr>
  </w:style>
  <w:style w:type="character" w:customStyle="1" w:styleId="86">
    <w:name w:val="Char Char6"/>
    <w:autoRedefine/>
    <w:qFormat/>
    <w:uiPriority w:val="0"/>
    <w:rPr>
      <w:rFonts w:ascii="仿宋_GB2312" w:eastAsia="仿宋_GB2312"/>
      <w:kern w:val="2"/>
      <w:sz w:val="32"/>
    </w:rPr>
  </w:style>
  <w:style w:type="character" w:customStyle="1" w:styleId="87">
    <w:name w:val="Char Char2"/>
    <w:autoRedefine/>
    <w:qFormat/>
    <w:uiPriority w:val="0"/>
    <w:rPr>
      <w:rFonts w:eastAsia="宋体"/>
      <w:kern w:val="2"/>
      <w:sz w:val="18"/>
      <w:lang w:val="en-US" w:eastAsia="zh-CN"/>
    </w:rPr>
  </w:style>
  <w:style w:type="character" w:customStyle="1" w:styleId="88">
    <w:name w:val="Char Char"/>
    <w:autoRedefine/>
    <w:qFormat/>
    <w:uiPriority w:val="0"/>
    <w:rPr>
      <w:rFonts w:ascii="宋体" w:hAnsi="宋体" w:eastAsia="宋体"/>
      <w:kern w:val="2"/>
      <w:sz w:val="24"/>
      <w:lang w:val="en-US" w:eastAsia="zh-CN" w:bidi="ar-SA"/>
    </w:rPr>
  </w:style>
  <w:style w:type="character" w:customStyle="1" w:styleId="89">
    <w:name w:val="Table Text Char"/>
    <w:autoRedefine/>
    <w:qFormat/>
    <w:uiPriority w:val="0"/>
    <w:rPr>
      <w:rFonts w:ascii="Arial" w:hAnsi="Arial"/>
      <w:kern w:val="2"/>
      <w:sz w:val="18"/>
      <w:lang w:val="en-US" w:eastAsia="zh-CN" w:bidi="ar-SA"/>
    </w:rPr>
  </w:style>
  <w:style w:type="character" w:customStyle="1" w:styleId="90">
    <w:name w:val="标书正文:  0.74 厘米 Char1"/>
    <w:autoRedefine/>
    <w:qFormat/>
    <w:uiPriority w:val="0"/>
    <w:rPr>
      <w:rFonts w:eastAsia="宋体"/>
      <w:kern w:val="2"/>
      <w:sz w:val="24"/>
      <w:lang w:val="en-US" w:eastAsia="zh-CN"/>
    </w:rPr>
  </w:style>
  <w:style w:type="character" w:customStyle="1" w:styleId="91">
    <w:name w:val="Char Char11"/>
    <w:autoRedefine/>
    <w:qFormat/>
    <w:uiPriority w:val="0"/>
    <w:rPr>
      <w:rFonts w:ascii="宋体"/>
      <w:kern w:val="2"/>
      <w:sz w:val="28"/>
    </w:rPr>
  </w:style>
  <w:style w:type="character" w:customStyle="1" w:styleId="92">
    <w:name w:val="Char Char7"/>
    <w:autoRedefine/>
    <w:qFormat/>
    <w:uiPriority w:val="0"/>
    <w:rPr>
      <w:rFonts w:ascii="宋体" w:hAnsi="宋体" w:eastAsia="宋体"/>
      <w:kern w:val="2"/>
      <w:sz w:val="28"/>
    </w:rPr>
  </w:style>
  <w:style w:type="character" w:customStyle="1" w:styleId="93">
    <w:name w:val="文字 Char"/>
    <w:autoRedefine/>
    <w:qFormat/>
    <w:uiPriority w:val="0"/>
    <w:rPr>
      <w:rFonts w:ascii="宋体"/>
      <w:kern w:val="2"/>
      <w:sz w:val="28"/>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font61"/>
    <w:autoRedefine/>
    <w:qFormat/>
    <w:uiPriority w:val="0"/>
    <w:rPr>
      <w:rFonts w:hint="eastAsia" w:ascii="微软雅黑" w:hAnsi="微软雅黑" w:eastAsia="微软雅黑" w:cs="微软雅黑"/>
      <w:color w:val="000000"/>
      <w:sz w:val="24"/>
      <w:szCs w:val="24"/>
      <w:u w:val="none"/>
    </w:rPr>
  </w:style>
  <w:style w:type="character" w:customStyle="1" w:styleId="96">
    <w:name w:val="title_emph1"/>
    <w:autoRedefine/>
    <w:qFormat/>
    <w:uiPriority w:val="0"/>
    <w:rPr>
      <w:rFonts w:hint="default" w:ascii="Arial" w:hAnsi="Arial"/>
      <w:b/>
      <w:sz w:val="20"/>
    </w:rPr>
  </w:style>
  <w:style w:type="character" w:customStyle="1" w:styleId="97">
    <w:name w:val="Comment Text Char"/>
    <w:autoRedefine/>
    <w:semiHidden/>
    <w:qFormat/>
    <w:locked/>
    <w:uiPriority w:val="0"/>
    <w:rPr>
      <w:rFonts w:ascii="Times New Roman" w:hAnsi="Times New Roman" w:cs="Times New Roman"/>
      <w:sz w:val="20"/>
      <w:szCs w:val="20"/>
    </w:rPr>
  </w:style>
  <w:style w:type="character" w:customStyle="1" w:styleId="98">
    <w:name w:val="v151"/>
    <w:autoRedefine/>
    <w:qFormat/>
    <w:uiPriority w:val="0"/>
    <w:rPr>
      <w:sz w:val="18"/>
    </w:rPr>
  </w:style>
  <w:style w:type="character" w:customStyle="1" w:styleId="99">
    <w:name w:val="font1"/>
    <w:autoRedefine/>
    <w:qFormat/>
    <w:uiPriority w:val="0"/>
    <w:rPr>
      <w:color w:val="000000"/>
      <w:sz w:val="18"/>
    </w:rPr>
  </w:style>
  <w:style w:type="character" w:customStyle="1" w:styleId="100">
    <w:name w:val="Char Char Char Char Char Char Char Char Char"/>
    <w:autoRedefine/>
    <w:qFormat/>
    <w:uiPriority w:val="0"/>
    <w:rPr>
      <w:rFonts w:ascii="宋体" w:hAnsi="宋体" w:eastAsia="宋体"/>
      <w:kern w:val="2"/>
      <w:sz w:val="24"/>
      <w:lang w:val="en-US" w:eastAsia="zh-CN" w:bidi="ar-SA"/>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op-det1"/>
    <w:autoRedefine/>
    <w:qFormat/>
    <w:uiPriority w:val="0"/>
    <w:rPr>
      <w:b/>
      <w:color w:val="000000"/>
    </w:rPr>
  </w:style>
  <w:style w:type="character" w:customStyle="1" w:styleId="105">
    <w:name w:val="批注文字 字符"/>
    <w:autoRedefine/>
    <w:qFormat/>
    <w:uiPriority w:val="0"/>
    <w:rPr>
      <w:sz w:val="24"/>
    </w:rPr>
  </w:style>
  <w:style w:type="character" w:customStyle="1" w:styleId="106">
    <w:name w:val="crowed11"/>
    <w:autoRedefine/>
    <w:qFormat/>
    <w:uiPriority w:val="0"/>
    <w:rPr>
      <w:rFonts w:hint="default"/>
      <w:sz w:val="24"/>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标题 2 字符"/>
    <w:autoRedefine/>
    <w:qFormat/>
    <w:uiPriority w:val="99"/>
    <w:rPr>
      <w:rFonts w:ascii="Arial" w:hAnsi="Arial" w:eastAsia="黑体"/>
      <w:b/>
      <w:kern w:val="2"/>
      <w:sz w:val="32"/>
    </w:rPr>
  </w:style>
  <w:style w:type="character" w:customStyle="1" w:styleId="109">
    <w:name w:val="Table Heading Char Char"/>
    <w:autoRedefine/>
    <w:qFormat/>
    <w:uiPriority w:val="0"/>
    <w:rPr>
      <w:rFonts w:ascii="Arial" w:hAnsi="Arial" w:eastAsia="黑体"/>
      <w:kern w:val="2"/>
      <w:sz w:val="18"/>
      <w:lang w:val="en-US" w:eastAsia="zh-CN"/>
    </w:rPr>
  </w:style>
  <w:style w:type="character" w:customStyle="1" w:styleId="110">
    <w:name w:val="文字 Char Char"/>
    <w:link w:val="111"/>
    <w:autoRedefine/>
    <w:qFormat/>
    <w:uiPriority w:val="0"/>
    <w:rPr>
      <w:rFonts w:ascii="宋体"/>
      <w:kern w:val="2"/>
      <w:sz w:val="28"/>
    </w:rPr>
  </w:style>
  <w:style w:type="paragraph" w:customStyle="1" w:styleId="111">
    <w:name w:val="文字"/>
    <w:basedOn w:val="1"/>
    <w:link w:val="110"/>
    <w:autoRedefine/>
    <w:qFormat/>
    <w:uiPriority w:val="0"/>
    <w:pPr>
      <w:tabs>
        <w:tab w:val="left" w:pos="8520"/>
      </w:tabs>
      <w:spacing w:line="312" w:lineRule="auto"/>
      <w:ind w:right="-210" w:firstLine="556"/>
    </w:pPr>
    <w:rPr>
      <w:rFonts w:ascii="宋体"/>
    </w:rPr>
  </w:style>
  <w:style w:type="character" w:customStyle="1" w:styleId="112">
    <w:name w:val="样式 宋体"/>
    <w:autoRedefine/>
    <w:qFormat/>
    <w:uiPriority w:val="0"/>
    <w:rPr>
      <w:rFonts w:ascii="宋体" w:hAnsi="宋体" w:eastAsia="宋体"/>
      <w:sz w:val="2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小 Char"/>
    <w:autoRedefine/>
    <w:qFormat/>
    <w:uiPriority w:val="0"/>
    <w:rPr>
      <w:rFonts w:ascii="宋体" w:hAnsi="Courier New" w:eastAsia="宋体"/>
      <w:kern w:val="2"/>
      <w:sz w:val="21"/>
      <w:lang w:val="en-US" w:eastAsia="zh-CN" w:bidi="ar-SA"/>
    </w:rPr>
  </w:style>
  <w:style w:type="character" w:customStyle="1" w:styleId="115">
    <w:name w:val="标题 3 字符"/>
    <w:autoRedefine/>
    <w:qFormat/>
    <w:uiPriority w:val="0"/>
    <w:rPr>
      <w:rFonts w:eastAsia="宋体"/>
      <w:b/>
      <w:kern w:val="2"/>
      <w:sz w:val="32"/>
      <w:lang w:val="en-US" w:eastAsia="zh-CN"/>
    </w:rPr>
  </w:style>
  <w:style w:type="character" w:customStyle="1" w:styleId="116">
    <w:name w:val="content-white1"/>
    <w:autoRedefine/>
    <w:qFormat/>
    <w:uiPriority w:val="0"/>
    <w:rPr>
      <w:color w:val="auto"/>
      <w:sz w:val="18"/>
      <w:u w:val="none"/>
    </w:rPr>
  </w:style>
  <w:style w:type="character" w:customStyle="1" w:styleId="117">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8">
    <w:name w:val="Char Char4"/>
    <w:autoRedefine/>
    <w:qFormat/>
    <w:uiPriority w:val="0"/>
    <w:rPr>
      <w:rFonts w:eastAsia="宋体"/>
      <w:b/>
      <w:kern w:val="2"/>
      <w:sz w:val="21"/>
      <w:lang w:val="en-US" w:eastAsia="zh-CN"/>
    </w:rPr>
  </w:style>
  <w:style w:type="character" w:customStyle="1" w:styleId="119">
    <w:name w:val="未命名11"/>
    <w:autoRedefine/>
    <w:qFormat/>
    <w:uiPriority w:val="0"/>
    <w:rPr>
      <w:color w:val="77FFFF"/>
      <w:sz w:val="24"/>
    </w:rPr>
  </w:style>
  <w:style w:type="character" w:customStyle="1" w:styleId="120">
    <w:name w:val="font21"/>
    <w:autoRedefine/>
    <w:qFormat/>
    <w:uiPriority w:val="0"/>
    <w:rPr>
      <w:rFonts w:hint="default" w:ascii="Times New Roman" w:hAnsi="Times New Roman" w:cs="Times New Roman"/>
      <w:color w:val="000000"/>
      <w:sz w:val="24"/>
      <w:szCs w:val="24"/>
      <w:u w:val="none"/>
    </w:rPr>
  </w:style>
  <w:style w:type="character" w:customStyle="1" w:styleId="121">
    <w:name w:val="Char Char3"/>
    <w:autoRedefine/>
    <w:qFormat/>
    <w:uiPriority w:val="0"/>
    <w:rPr>
      <w:rFonts w:eastAsia="宋体"/>
      <w:kern w:val="2"/>
      <w:sz w:val="18"/>
      <w:lang w:val="en-US" w:eastAsia="zh-CN"/>
    </w:rPr>
  </w:style>
  <w:style w:type="character" w:customStyle="1" w:styleId="122">
    <w:name w:val="Table Text Char1 Char Char"/>
    <w:autoRedefine/>
    <w:qFormat/>
    <w:uiPriority w:val="0"/>
    <w:rPr>
      <w:rFonts w:ascii="Arial" w:hAnsi="Arial"/>
      <w:kern w:val="2"/>
      <w:sz w:val="18"/>
      <w:lang w:val="en-US" w:eastAsia="zh-CN" w:bidi="ar-SA"/>
    </w:rPr>
  </w:style>
  <w:style w:type="paragraph" w:customStyle="1" w:styleId="12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5">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内容标题"/>
    <w:basedOn w:val="18"/>
    <w:autoRedefine/>
    <w:qFormat/>
    <w:uiPriority w:val="0"/>
    <w:rPr>
      <w:rFonts w:ascii="Tahoma" w:hAnsi="Tahoma"/>
      <w:sz w:val="24"/>
    </w:rPr>
  </w:style>
  <w:style w:type="paragraph" w:customStyle="1" w:styleId="12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30">
    <w:name w:val="样式 宋体 五号 行距: 单倍行距"/>
    <w:basedOn w:val="1"/>
    <w:autoRedefine/>
    <w:qFormat/>
    <w:uiPriority w:val="0"/>
    <w:pPr>
      <w:adjustRightInd w:val="0"/>
      <w:jc w:val="left"/>
    </w:pPr>
    <w:rPr>
      <w:rFonts w:ascii="宋体" w:hAnsi="宋体"/>
      <w:kern w:val="0"/>
      <w:sz w:val="21"/>
    </w:rPr>
  </w:style>
  <w:style w:type="paragraph" w:customStyle="1" w:styleId="131">
    <w:name w:val="正文表格"/>
    <w:basedOn w:val="1"/>
    <w:autoRedefine/>
    <w:qFormat/>
    <w:uiPriority w:val="0"/>
    <w:pPr>
      <w:adjustRightInd w:val="0"/>
      <w:spacing w:before="40" w:after="40"/>
    </w:pPr>
    <w:rPr>
      <w:sz w:val="24"/>
    </w:rPr>
  </w:style>
  <w:style w:type="paragraph" w:customStyle="1" w:styleId="132">
    <w:name w:val="Char1 Char Char Char"/>
    <w:basedOn w:val="1"/>
    <w:autoRedefine/>
    <w:qFormat/>
    <w:uiPriority w:val="0"/>
    <w:rPr>
      <w:rFonts w:ascii="Tahoma" w:hAnsi="Tahoma"/>
      <w:sz w:val="24"/>
    </w:rPr>
  </w:style>
  <w:style w:type="paragraph" w:customStyle="1" w:styleId="133">
    <w:name w:val="af"/>
    <w:basedOn w:val="1"/>
    <w:autoRedefine/>
    <w:qFormat/>
    <w:uiPriority w:val="0"/>
    <w:pPr>
      <w:widowControl/>
      <w:spacing w:line="300" w:lineRule="atLeast"/>
      <w:jc w:val="left"/>
    </w:pPr>
    <w:rPr>
      <w:rFonts w:ascii="宋体" w:hAnsi="宋体"/>
      <w:kern w:val="0"/>
      <w:sz w:val="18"/>
    </w:rPr>
  </w:style>
  <w:style w:type="paragraph" w:customStyle="1" w:styleId="134">
    <w:name w:val="Title - Revision"/>
    <w:basedOn w:val="54"/>
    <w:autoRedefine/>
    <w:qFormat/>
    <w:uiPriority w:val="0"/>
    <w:pPr>
      <w:spacing w:before="720"/>
    </w:pPr>
  </w:style>
  <w:style w:type="paragraph" w:customStyle="1" w:styleId="135">
    <w:name w:val="1.正文"/>
    <w:basedOn w:val="1"/>
    <w:autoRedefine/>
    <w:qFormat/>
    <w:uiPriority w:val="0"/>
    <w:pPr>
      <w:spacing w:line="360" w:lineRule="auto"/>
      <w:ind w:left="540" w:leftChars="225" w:firstLine="540" w:firstLineChars="225"/>
    </w:pPr>
    <w:rPr>
      <w:sz w:val="24"/>
    </w:rPr>
  </w:style>
  <w:style w:type="paragraph" w:customStyle="1" w:styleId="136">
    <w:name w:val="Title - Date"/>
    <w:basedOn w:val="54"/>
    <w:next w:val="1"/>
    <w:autoRedefine/>
    <w:qFormat/>
    <w:uiPriority w:val="0"/>
    <w:pPr>
      <w:spacing w:before="240" w:after="720"/>
    </w:pPr>
    <w:rPr>
      <w:sz w:val="28"/>
    </w:rPr>
  </w:style>
  <w:style w:type="paragraph" w:customStyle="1" w:styleId="137">
    <w:name w:val="00"/>
    <w:basedOn w:val="1"/>
    <w:autoRedefine/>
    <w:qFormat/>
    <w:uiPriority w:val="0"/>
    <w:pPr>
      <w:autoSpaceDE w:val="0"/>
      <w:autoSpaceDN w:val="0"/>
      <w:adjustRightInd w:val="0"/>
      <w:jc w:val="left"/>
    </w:pPr>
    <w:rPr>
      <w:rFonts w:ascii="黑体" w:eastAsia="黑体"/>
      <w:b/>
      <w:kern w:val="0"/>
      <w:sz w:val="20"/>
    </w:rPr>
  </w:style>
  <w:style w:type="paragraph" w:customStyle="1" w:styleId="138">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2">
    <w:name w:val="正文文本缩进 21"/>
    <w:basedOn w:val="1"/>
    <w:autoRedefine/>
    <w:qFormat/>
    <w:uiPriority w:val="0"/>
    <w:pPr>
      <w:adjustRightInd w:val="0"/>
      <w:spacing w:before="120"/>
      <w:ind w:firstLine="420"/>
      <w:textAlignment w:val="baseline"/>
    </w:pPr>
    <w:rPr>
      <w:sz w:val="24"/>
    </w:rPr>
  </w:style>
  <w:style w:type="paragraph" w:customStyle="1" w:styleId="14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5">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6">
    <w:name w:val="标准正文"/>
    <w:basedOn w:val="24"/>
    <w:autoRedefine/>
    <w:qFormat/>
    <w:uiPriority w:val="0"/>
    <w:pPr>
      <w:spacing w:before="60" w:after="60" w:line="360" w:lineRule="auto"/>
      <w:ind w:left="0" w:firstLine="482"/>
    </w:pPr>
    <w:rPr>
      <w:rFonts w:ascii="Arial" w:hAnsi="Arial"/>
      <w:sz w:val="24"/>
    </w:rPr>
  </w:style>
  <w:style w:type="paragraph" w:customStyle="1" w:styleId="147">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48">
    <w:name w:val="表头文本"/>
    <w:autoRedefine/>
    <w:qFormat/>
    <w:uiPriority w:val="0"/>
    <w:pPr>
      <w:jc w:val="center"/>
    </w:pPr>
    <w:rPr>
      <w:rFonts w:ascii="Arial" w:hAnsi="Arial" w:eastAsia="宋体" w:cs="Times New Roman"/>
      <w:b/>
      <w:sz w:val="21"/>
      <w:lang w:val="en-US" w:eastAsia="zh-CN" w:bidi="ar-SA"/>
    </w:rPr>
  </w:style>
  <w:style w:type="paragraph" w:customStyle="1" w:styleId="14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 Char Char Char Char Char Char Char Char Char Char Char Char Char Char"/>
    <w:basedOn w:val="1"/>
    <w:autoRedefine/>
    <w:qFormat/>
    <w:uiPriority w:val="0"/>
    <w:pPr>
      <w:tabs>
        <w:tab w:val="left" w:pos="360"/>
      </w:tabs>
    </w:pPr>
    <w:rPr>
      <w:sz w:val="24"/>
    </w:rPr>
  </w:style>
  <w:style w:type="paragraph" w:customStyle="1" w:styleId="153">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8">
    <w:name w:val="表格内文字"/>
    <w:basedOn w:val="32"/>
    <w:autoRedefine/>
    <w:qFormat/>
    <w:uiPriority w:val="0"/>
    <w:pPr>
      <w:adjustRightInd w:val="0"/>
    </w:pPr>
    <w:rPr>
      <w:color w:val="000000"/>
      <w:lang w:val="en-GB"/>
    </w:rPr>
  </w:style>
  <w:style w:type="paragraph" w:customStyle="1" w:styleId="159">
    <w:name w:val="默认段落字体 Para Char Char Char Char Char Char Char"/>
    <w:basedOn w:val="1"/>
    <w:autoRedefine/>
    <w:qFormat/>
    <w:uiPriority w:val="0"/>
    <w:rPr>
      <w:rFonts w:ascii="Tahoma" w:hAnsi="Tahoma"/>
      <w:sz w:val="24"/>
    </w:rPr>
  </w:style>
  <w:style w:type="paragraph" w:customStyle="1" w:styleId="160">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16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4">
    <w:name w:val="段落正文"/>
    <w:basedOn w:val="1"/>
    <w:autoRedefine/>
    <w:qFormat/>
    <w:uiPriority w:val="0"/>
    <w:pPr>
      <w:spacing w:beforeLines="50" w:line="360" w:lineRule="auto"/>
      <w:ind w:firstLine="200" w:firstLineChars="200"/>
    </w:pPr>
    <w:rPr>
      <w:spacing w:val="2"/>
      <w:sz w:val="24"/>
    </w:r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Char"/>
    <w:basedOn w:val="1"/>
    <w:autoRedefine/>
    <w:qFormat/>
    <w:uiPriority w:val="0"/>
    <w:pPr>
      <w:spacing w:line="240" w:lineRule="atLeast"/>
      <w:ind w:left="420" w:firstLine="420"/>
    </w:pPr>
    <w:rPr>
      <w:kern w:val="0"/>
      <w:sz w:val="21"/>
    </w:rPr>
  </w:style>
  <w:style w:type="paragraph" w:customStyle="1" w:styleId="16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8">
    <w:name w:val="列出段落1"/>
    <w:next w:val="17"/>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1">
    <w:name w:val="关键词"/>
    <w:basedOn w:val="1"/>
    <w:next w:val="1"/>
    <w:autoRedefine/>
    <w:qFormat/>
    <w:uiPriority w:val="0"/>
    <w:pPr>
      <w:spacing w:line="360" w:lineRule="auto"/>
    </w:pPr>
    <w:rPr>
      <w:rFonts w:eastAsia="黑体"/>
      <w:sz w:val="20"/>
    </w:rPr>
  </w:style>
  <w:style w:type="paragraph" w:customStyle="1" w:styleId="172">
    <w:name w:val="可研正文"/>
    <w:basedOn w:val="23"/>
    <w:autoRedefine/>
    <w:qFormat/>
    <w:uiPriority w:val="0"/>
    <w:pPr>
      <w:adjustRightInd w:val="0"/>
      <w:snapToGrid w:val="0"/>
      <w:spacing w:line="440" w:lineRule="exact"/>
      <w:ind w:firstLine="567"/>
    </w:pPr>
    <w:rPr>
      <w:sz w:val="28"/>
    </w:rPr>
  </w:style>
  <w:style w:type="paragraph" w:customStyle="1" w:styleId="173">
    <w:name w:val="标书正文:  0.74 厘米"/>
    <w:basedOn w:val="1"/>
    <w:autoRedefine/>
    <w:qFormat/>
    <w:uiPriority w:val="0"/>
    <w:pPr>
      <w:snapToGrid w:val="0"/>
      <w:spacing w:line="360" w:lineRule="auto"/>
      <w:ind w:firstLine="420"/>
    </w:pPr>
    <w:rPr>
      <w:sz w:val="24"/>
    </w:rPr>
  </w:style>
  <w:style w:type="paragraph" w:customStyle="1" w:styleId="174">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75">
    <w:name w:val="1"/>
    <w:basedOn w:val="1"/>
    <w:next w:val="32"/>
    <w:autoRedefine/>
    <w:qFormat/>
    <w:uiPriority w:val="0"/>
    <w:rPr>
      <w:rFonts w:ascii="宋体" w:hAnsi="Courier New"/>
      <w:sz w:val="21"/>
    </w:rPr>
  </w:style>
  <w:style w:type="paragraph" w:customStyle="1" w:styleId="176">
    <w:name w:val="没有缩进（为图形使用）"/>
    <w:basedOn w:val="1"/>
    <w:autoRedefine/>
    <w:qFormat/>
    <w:uiPriority w:val="0"/>
    <w:pPr>
      <w:spacing w:before="120" w:after="120" w:line="360" w:lineRule="auto"/>
    </w:pPr>
    <w:rPr>
      <w:sz w:val="24"/>
    </w:rPr>
  </w:style>
  <w:style w:type="paragraph" w:customStyle="1" w:styleId="177">
    <w:name w:val="标题无"/>
    <w:basedOn w:val="1"/>
    <w:autoRedefine/>
    <w:qFormat/>
    <w:uiPriority w:val="0"/>
    <w:pPr>
      <w:spacing w:line="360" w:lineRule="auto"/>
    </w:pPr>
    <w:rPr>
      <w:sz w:val="24"/>
    </w:rPr>
  </w:style>
  <w:style w:type="paragraph" w:customStyle="1" w:styleId="178">
    <w:name w:val="修订1"/>
    <w:autoRedefine/>
    <w:qFormat/>
    <w:uiPriority w:val="0"/>
    <w:rPr>
      <w:rFonts w:ascii="Calibri" w:hAnsi="Calibri" w:eastAsia="宋体" w:cs="Times New Roman"/>
      <w:kern w:val="2"/>
      <w:sz w:val="21"/>
      <w:lang w:val="en-US" w:eastAsia="zh-CN" w:bidi="ar-SA"/>
    </w:rPr>
  </w:style>
  <w:style w:type="paragraph" w:customStyle="1" w:styleId="179">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0">
    <w:name w:val="图例"/>
    <w:basedOn w:val="1"/>
    <w:autoRedefine/>
    <w:qFormat/>
    <w:uiPriority w:val="0"/>
    <w:pPr>
      <w:spacing w:before="120" w:after="120" w:line="360" w:lineRule="auto"/>
      <w:jc w:val="center"/>
    </w:pPr>
    <w:rPr>
      <w:rFonts w:eastAsia="仿宋_GB2312"/>
      <w:b/>
      <w:sz w:val="24"/>
    </w:rPr>
  </w:style>
  <w:style w:type="paragraph" w:customStyle="1" w:styleId="181">
    <w:name w:val="Char Char14 Char Char"/>
    <w:basedOn w:val="1"/>
    <w:autoRedefine/>
    <w:qFormat/>
    <w:uiPriority w:val="0"/>
    <w:rPr>
      <w:sz w:val="21"/>
      <w:szCs w:val="24"/>
    </w:rPr>
  </w:style>
  <w:style w:type="paragraph" w:customStyle="1" w:styleId="18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3">
    <w:name w:val="Char1"/>
    <w:basedOn w:val="1"/>
    <w:autoRedefine/>
    <w:qFormat/>
    <w:uiPriority w:val="0"/>
    <w:rPr>
      <w:sz w:val="21"/>
    </w:rPr>
  </w:style>
  <w:style w:type="paragraph" w:customStyle="1" w:styleId="184">
    <w:name w:val="正文1"/>
    <w:basedOn w:val="1"/>
    <w:autoRedefine/>
    <w:qFormat/>
    <w:uiPriority w:val="0"/>
    <w:pPr>
      <w:spacing w:line="300" w:lineRule="auto"/>
      <w:ind w:firstLine="200" w:firstLineChars="200"/>
    </w:pPr>
    <w:rPr>
      <w:sz w:val="24"/>
    </w:rPr>
  </w:style>
  <w:style w:type="paragraph" w:customStyle="1" w:styleId="185">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7">
    <w:name w:val="Char Char Char"/>
    <w:basedOn w:val="1"/>
    <w:autoRedefine/>
    <w:qFormat/>
    <w:uiPriority w:val="0"/>
    <w:rPr>
      <w:rFonts w:ascii="Tahoma" w:hAnsi="Tahoma"/>
      <w:sz w:val="24"/>
    </w:rPr>
  </w:style>
  <w:style w:type="paragraph" w:customStyle="1" w:styleId="188">
    <w:name w:val="正文文本 21"/>
    <w:basedOn w:val="1"/>
    <w:autoRedefine/>
    <w:qFormat/>
    <w:uiPriority w:val="0"/>
    <w:pPr>
      <w:adjustRightInd w:val="0"/>
      <w:spacing w:before="120" w:line="360" w:lineRule="auto"/>
      <w:ind w:firstLine="480"/>
      <w:textAlignment w:val="baseline"/>
    </w:pPr>
    <w:rPr>
      <w:sz w:val="24"/>
    </w:rPr>
  </w:style>
  <w:style w:type="paragraph" w:customStyle="1" w:styleId="189">
    <w:name w:val="Char2 Char Char Char Char Char Char"/>
    <w:basedOn w:val="1"/>
    <w:autoRedefine/>
    <w:qFormat/>
    <w:uiPriority w:val="0"/>
    <w:rPr>
      <w:rFonts w:ascii="仿宋_GB2312"/>
      <w:b/>
      <w:sz w:val="30"/>
    </w:rPr>
  </w:style>
  <w:style w:type="paragraph" w:customStyle="1" w:styleId="190">
    <w:name w:val="Char Char Char Char Char"/>
    <w:basedOn w:val="1"/>
    <w:autoRedefine/>
    <w:qFormat/>
    <w:uiPriority w:val="0"/>
    <w:pPr>
      <w:tabs>
        <w:tab w:val="left" w:pos="425"/>
      </w:tabs>
      <w:ind w:left="1620" w:hanging="360"/>
    </w:pPr>
    <w:rPr>
      <w:rFonts w:ascii="Tahoma" w:hAnsi="Tahoma"/>
      <w:sz w:val="24"/>
    </w:rPr>
  </w:style>
  <w:style w:type="paragraph" w:customStyle="1" w:styleId="19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2">
    <w:name w:val="附录3"/>
    <w:basedOn w:val="1"/>
    <w:next w:val="1"/>
    <w:autoRedefine/>
    <w:qFormat/>
    <w:uiPriority w:val="0"/>
    <w:pPr>
      <w:tabs>
        <w:tab w:val="left" w:pos="851"/>
      </w:tabs>
      <w:ind w:left="425" w:hanging="425"/>
      <w:outlineLvl w:val="2"/>
    </w:pPr>
    <w:rPr>
      <w:rFonts w:eastAsia="黑体"/>
      <w:b/>
      <w:sz w:val="32"/>
    </w:rPr>
  </w:style>
  <w:style w:type="paragraph" w:customStyle="1" w:styleId="193">
    <w:name w:val="二级条标题"/>
    <w:basedOn w:val="194"/>
    <w:next w:val="195"/>
    <w:autoRedefine/>
    <w:qFormat/>
    <w:uiPriority w:val="0"/>
    <w:pPr>
      <w:ind w:left="840"/>
      <w:outlineLvl w:val="3"/>
    </w:pPr>
  </w:style>
  <w:style w:type="paragraph" w:customStyle="1" w:styleId="194">
    <w:name w:val="一级条标题"/>
    <w:basedOn w:val="179"/>
    <w:next w:val="195"/>
    <w:autoRedefine/>
    <w:qFormat/>
    <w:uiPriority w:val="0"/>
    <w:pPr>
      <w:numPr>
        <w:ilvl w:val="0"/>
        <w:numId w:val="0"/>
      </w:numPr>
      <w:spacing w:beforeLines="0" w:afterLines="0"/>
      <w:ind w:left="525"/>
      <w:outlineLvl w:val="2"/>
    </w:pPr>
    <w:rPr>
      <w:sz w:val="21"/>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Char2"/>
    <w:basedOn w:val="1"/>
    <w:autoRedefine/>
    <w:qFormat/>
    <w:uiPriority w:val="0"/>
    <w:pPr>
      <w:spacing w:line="240" w:lineRule="atLeast"/>
      <w:ind w:left="420" w:firstLine="420"/>
    </w:pPr>
    <w:rPr>
      <w:kern w:val="0"/>
      <w:sz w:val="21"/>
    </w:rPr>
  </w:style>
  <w:style w:type="paragraph" w:customStyle="1" w:styleId="19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rPr>
  </w:style>
  <w:style w:type="paragraph" w:customStyle="1" w:styleId="201">
    <w:name w:val="文本1"/>
    <w:basedOn w:val="1"/>
    <w:autoRedefine/>
    <w:qFormat/>
    <w:uiPriority w:val="0"/>
    <w:pPr>
      <w:adjustRightInd w:val="0"/>
      <w:spacing w:line="312" w:lineRule="atLeast"/>
      <w:jc w:val="center"/>
      <w:textAlignment w:val="baseline"/>
    </w:pPr>
    <w:rPr>
      <w:kern w:val="0"/>
      <w:sz w:val="18"/>
    </w:rPr>
  </w:style>
  <w:style w:type="paragraph" w:customStyle="1" w:styleId="202">
    <w:name w:val="样式 正文缩进正文（首行缩进两字）表正文正文非缩进特点标题4段1 + 首行缩进:  2 字符"/>
    <w:basedOn w:val="16"/>
    <w:autoRedefine/>
    <w:qFormat/>
    <w:uiPriority w:val="0"/>
    <w:pPr>
      <w:ind w:firstLine="480" w:firstLineChars="200"/>
    </w:pPr>
  </w:style>
  <w:style w:type="paragraph" w:customStyle="1" w:styleId="203">
    <w:name w:val="表文字"/>
    <w:autoRedefine/>
    <w:qFormat/>
    <w:uiPriority w:val="0"/>
    <w:rPr>
      <w:rFonts w:ascii="宋体" w:hAnsi="Times New Roman" w:eastAsia="宋体" w:cs="Times New Roman"/>
      <w:kern w:val="2"/>
      <w:lang w:val="en-US" w:eastAsia="zh-CN" w:bidi="ar-SA"/>
    </w:rPr>
  </w:style>
  <w:style w:type="paragraph" w:customStyle="1" w:styleId="204">
    <w:name w:val="IN Feature"/>
    <w:next w:val="14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样式1"/>
    <w:basedOn w:val="6"/>
    <w:autoRedefine/>
    <w:qFormat/>
    <w:uiPriority w:val="0"/>
    <w:pPr>
      <w:tabs>
        <w:tab w:val="left" w:pos="720"/>
      </w:tabs>
      <w:spacing w:before="500" w:after="260" w:line="560" w:lineRule="atLeast"/>
      <w:ind w:left="420" w:hanging="420"/>
    </w:pPr>
  </w:style>
  <w:style w:type="paragraph" w:customStyle="1" w:styleId="206">
    <w:name w:val="样式 行距: 1.5 倍行距1"/>
    <w:basedOn w:val="1"/>
    <w:autoRedefine/>
    <w:qFormat/>
    <w:uiPriority w:val="0"/>
    <w:pPr>
      <w:snapToGrid w:val="0"/>
    </w:pPr>
    <w:rPr>
      <w:sz w:val="21"/>
    </w:rPr>
  </w:style>
  <w:style w:type="paragraph" w:customStyle="1" w:styleId="207">
    <w:name w:val="Style Heading 3h3Heading 3 - oldLevel 3 HeadH3level_3PIM 3se..."/>
    <w:basedOn w:val="5"/>
    <w:autoRedefine/>
    <w:qFormat/>
    <w:uiPriority w:val="0"/>
    <w:pPr>
      <w:tabs>
        <w:tab w:val="left" w:pos="709"/>
        <w:tab w:val="left" w:pos="1620"/>
      </w:tabs>
      <w:ind w:left="1620" w:hanging="360"/>
    </w:pPr>
  </w:style>
  <w:style w:type="paragraph" w:customStyle="1" w:styleId="20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样式2"/>
    <w:basedOn w:val="6"/>
    <w:autoRedefine/>
    <w:qFormat/>
    <w:uiPriority w:val="0"/>
    <w:pPr>
      <w:numPr>
        <w:ilvl w:val="0"/>
        <w:numId w:val="9"/>
      </w:numPr>
      <w:spacing w:before="560" w:line="400" w:lineRule="exact"/>
      <w:jc w:val="center"/>
      <w:outlineLvl w:val="0"/>
    </w:pPr>
    <w:rPr>
      <w:b w:val="0"/>
      <w:sz w:val="44"/>
    </w:rPr>
  </w:style>
  <w:style w:type="paragraph" w:customStyle="1" w:styleId="21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1">
    <w:name w:val="Char Char 字元 字元 字元 Char Char Char Char"/>
    <w:basedOn w:val="1"/>
    <w:autoRedefine/>
    <w:qFormat/>
    <w:uiPriority w:val="0"/>
    <w:pPr>
      <w:adjustRightInd w:val="0"/>
      <w:spacing w:line="360" w:lineRule="auto"/>
    </w:pPr>
    <w:rPr>
      <w:kern w:val="0"/>
      <w:sz w:val="24"/>
    </w:rPr>
  </w:style>
  <w:style w:type="paragraph" w:customStyle="1" w:styleId="212">
    <w:name w:val="编号正文"/>
    <w:basedOn w:val="213"/>
    <w:autoRedefine/>
    <w:qFormat/>
    <w:uiPriority w:val="0"/>
    <w:pPr>
      <w:snapToGrid/>
      <w:spacing w:line="360" w:lineRule="auto"/>
      <w:ind w:left="1407" w:hanging="1047"/>
      <w:jc w:val="left"/>
    </w:pPr>
    <w:rPr>
      <w:rFonts w:eastAsia="仿宋_GB2312"/>
    </w:rPr>
  </w:style>
  <w:style w:type="paragraph" w:customStyle="1" w:styleId="21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4">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5">
    <w:name w:val="Char Char1 Char"/>
    <w:basedOn w:val="1"/>
    <w:autoRedefine/>
    <w:qFormat/>
    <w:uiPriority w:val="0"/>
    <w:rPr>
      <w:rFonts w:ascii="Tahoma" w:hAnsi="Tahoma"/>
      <w:sz w:val="24"/>
      <w:szCs w:val="24"/>
    </w:rPr>
  </w:style>
  <w:style w:type="paragraph" w:customStyle="1" w:styleId="216">
    <w:name w:val="Char Char Char Char Char Char Char"/>
    <w:basedOn w:val="1"/>
    <w:autoRedefine/>
    <w:qFormat/>
    <w:uiPriority w:val="0"/>
    <w:rPr>
      <w:rFonts w:ascii="Tahoma" w:hAnsi="Tahoma"/>
      <w:sz w:val="24"/>
    </w:rPr>
  </w:style>
  <w:style w:type="paragraph" w:customStyle="1" w:styleId="217">
    <w:name w:val="二级列表"/>
    <w:basedOn w:val="164"/>
    <w:next w:val="164"/>
    <w:autoRedefine/>
    <w:qFormat/>
    <w:uiPriority w:val="0"/>
    <w:pPr>
      <w:tabs>
        <w:tab w:val="left" w:pos="2120"/>
      </w:tabs>
      <w:ind w:firstLine="0" w:firstLineChars="0"/>
    </w:pPr>
    <w:rPr>
      <w:b/>
    </w:rPr>
  </w:style>
  <w:style w:type="paragraph" w:customStyle="1" w:styleId="21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9">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样式 首行缩进:  0.74 厘米"/>
    <w:basedOn w:val="1"/>
    <w:autoRedefine/>
    <w:qFormat/>
    <w:uiPriority w:val="0"/>
    <w:pPr>
      <w:spacing w:line="360" w:lineRule="auto"/>
      <w:ind w:firstLine="420"/>
    </w:pPr>
    <w:rPr>
      <w:sz w:val="24"/>
    </w:rPr>
  </w:style>
  <w:style w:type="paragraph" w:customStyle="1" w:styleId="225">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9">
    <w:name w:val="简单回函地址"/>
    <w:basedOn w:val="1"/>
    <w:autoRedefine/>
    <w:qFormat/>
    <w:uiPriority w:val="0"/>
    <w:pPr>
      <w:adjustRightInd w:val="0"/>
      <w:snapToGrid w:val="0"/>
      <w:spacing w:line="360" w:lineRule="auto"/>
    </w:pPr>
    <w:rPr>
      <w:sz w:val="24"/>
    </w:rPr>
  </w:style>
  <w:style w:type="paragraph" w:customStyle="1" w:styleId="230">
    <w:name w:val="正文 + 三号"/>
    <w:basedOn w:val="1"/>
    <w:autoRedefine/>
    <w:qFormat/>
    <w:uiPriority w:val="0"/>
    <w:rPr>
      <w:sz w:val="21"/>
    </w:rPr>
  </w:style>
  <w:style w:type="paragraph" w:customStyle="1" w:styleId="2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样式1xz"/>
    <w:basedOn w:val="1"/>
    <w:autoRedefine/>
    <w:qFormat/>
    <w:uiPriority w:val="0"/>
    <w:pPr>
      <w:tabs>
        <w:tab w:val="left" w:pos="1050"/>
        <w:tab w:val="right" w:leader="dot" w:pos="8296"/>
      </w:tabs>
    </w:pPr>
    <w:rPr>
      <w:caps/>
      <w:spacing w:val="20"/>
      <w:sz w:val="24"/>
    </w:rPr>
  </w:style>
  <w:style w:type="paragraph" w:customStyle="1" w:styleId="233">
    <w:name w:val="图片文字"/>
    <w:basedOn w:val="1"/>
    <w:autoRedefine/>
    <w:qFormat/>
    <w:uiPriority w:val="0"/>
    <w:pPr>
      <w:spacing w:line="240" w:lineRule="atLeast"/>
      <w:jc w:val="center"/>
    </w:pPr>
    <w:rPr>
      <w:sz w:val="21"/>
    </w:rPr>
  </w:style>
  <w:style w:type="paragraph" w:customStyle="1" w:styleId="234">
    <w:name w:val="摘要"/>
    <w:basedOn w:val="1"/>
    <w:next w:val="4"/>
    <w:autoRedefine/>
    <w:qFormat/>
    <w:uiPriority w:val="0"/>
    <w:pPr>
      <w:spacing w:line="360" w:lineRule="auto"/>
    </w:pPr>
    <w:rPr>
      <w:rFonts w:eastAsia="黑体"/>
      <w:sz w:val="20"/>
    </w:rPr>
  </w:style>
  <w:style w:type="paragraph" w:customStyle="1" w:styleId="235">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7">
    <w:name w:val="Table Contents"/>
    <w:basedOn w:val="23"/>
    <w:autoRedefine/>
    <w:qFormat/>
    <w:uiPriority w:val="0"/>
    <w:pPr>
      <w:suppressAutoHyphens/>
      <w:jc w:val="left"/>
    </w:pPr>
    <w:rPr>
      <w:rFonts w:ascii="Times New Roman" w:eastAsia="Times New Roman"/>
      <w:kern w:val="0"/>
      <w:sz w:val="24"/>
    </w:rPr>
  </w:style>
  <w:style w:type="paragraph" w:customStyle="1" w:styleId="23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1">
    <w:name w:val="文本框样式1"/>
    <w:basedOn w:val="1"/>
    <w:autoRedefine/>
    <w:qFormat/>
    <w:uiPriority w:val="0"/>
    <w:pPr>
      <w:adjustRightInd w:val="0"/>
      <w:snapToGrid w:val="0"/>
      <w:spacing w:before="60" w:line="180" w:lineRule="exact"/>
      <w:jc w:val="center"/>
    </w:pPr>
    <w:rPr>
      <w:sz w:val="21"/>
    </w:rPr>
  </w:style>
  <w:style w:type="paragraph" w:customStyle="1" w:styleId="242">
    <w:name w:val="Char Char Char Char Char Char Char1"/>
    <w:basedOn w:val="18"/>
    <w:autoRedefine/>
    <w:qFormat/>
    <w:uiPriority w:val="0"/>
    <w:rPr>
      <w:rFonts w:ascii="宋体" w:hAnsi="Tahoma"/>
    </w:rPr>
  </w:style>
  <w:style w:type="paragraph" w:customStyle="1" w:styleId="24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4">
    <w:name w:val="样式4"/>
    <w:basedOn w:val="6"/>
    <w:autoRedefine/>
    <w:qFormat/>
    <w:uiPriority w:val="0"/>
    <w:pPr>
      <w:adjustRightInd w:val="0"/>
      <w:snapToGrid w:val="0"/>
    </w:pPr>
  </w:style>
  <w:style w:type="paragraph" w:customStyle="1" w:styleId="24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Char1 Char Char Char1"/>
    <w:basedOn w:val="1"/>
    <w:autoRedefine/>
    <w:qFormat/>
    <w:uiPriority w:val="0"/>
    <w:rPr>
      <w:rFonts w:ascii="Tahoma" w:hAnsi="Tahoma"/>
      <w:sz w:val="30"/>
    </w:rPr>
  </w:style>
  <w:style w:type="paragraph" w:customStyle="1" w:styleId="249">
    <w:name w:val="彩色底纹1"/>
    <w:autoRedefine/>
    <w:qFormat/>
    <w:uiPriority w:val="0"/>
    <w:rPr>
      <w:rFonts w:ascii="Times New Roman" w:hAnsi="Times New Roman" w:eastAsia="宋体" w:cs="Times New Roman"/>
      <w:kern w:val="2"/>
      <w:sz w:val="21"/>
      <w:lang w:val="en-US" w:eastAsia="zh-CN" w:bidi="ar-SA"/>
    </w:rPr>
  </w:style>
  <w:style w:type="paragraph" w:customStyle="1" w:styleId="25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标题3——2"/>
    <w:basedOn w:val="5"/>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5">
    <w:name w:val="首行缩进"/>
    <w:basedOn w:val="1"/>
    <w:autoRedefine/>
    <w:qFormat/>
    <w:uiPriority w:val="0"/>
    <w:pPr>
      <w:numPr>
        <w:ilvl w:val="0"/>
        <w:numId w:val="11"/>
      </w:numPr>
      <w:spacing w:line="360" w:lineRule="auto"/>
    </w:pPr>
    <w:rPr>
      <w:rFonts w:eastAsia="仿宋_GB2312"/>
    </w:rPr>
  </w:style>
  <w:style w:type="paragraph" w:customStyle="1" w:styleId="256">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7">
    <w:name w:val="apple-converted-space"/>
    <w:autoRedefine/>
    <w:qFormat/>
    <w:uiPriority w:val="0"/>
    <w:rPr>
      <w:rFonts w:eastAsia="宋体"/>
      <w:lang w:val="en-US" w:eastAsia="zh-CN"/>
    </w:rPr>
  </w:style>
  <w:style w:type="paragraph" w:styleId="258">
    <w:name w:val="List Paragraph"/>
    <w:basedOn w:val="1"/>
    <w:autoRedefine/>
    <w:qFormat/>
    <w:uiPriority w:val="99"/>
    <w:pPr>
      <w:ind w:firstLine="420" w:firstLineChars="200"/>
    </w:pPr>
  </w:style>
  <w:style w:type="character" w:customStyle="1" w:styleId="259">
    <w:name w:val="font11"/>
    <w:basedOn w:val="60"/>
    <w:autoRedefine/>
    <w:qFormat/>
    <w:uiPriority w:val="0"/>
    <w:rPr>
      <w:rFonts w:ascii="宋体" w:hAnsi="宋体" w:eastAsia="宋体" w:cs="宋体"/>
      <w:b/>
      <w:bCs/>
      <w:color w:val="FFFFFF"/>
      <w:sz w:val="18"/>
      <w:szCs w:val="18"/>
      <w:u w:val="none"/>
    </w:rPr>
  </w:style>
  <w:style w:type="paragraph" w:customStyle="1" w:styleId="260">
    <w:name w:val="正文（缩进）"/>
    <w:basedOn w:val="1"/>
    <w:autoRedefine/>
    <w:qFormat/>
    <w:uiPriority w:val="0"/>
    <w:pPr>
      <w:spacing w:before="50" w:after="50"/>
      <w:ind w:firstLine="200" w:firstLineChars="200"/>
    </w:pPr>
    <w:rPr>
      <w:rFonts w:eastAsia="楷体"/>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26</Pages>
  <Words>8645</Words>
  <Characters>9098</Characters>
  <Lines>43</Lines>
  <Paragraphs>12</Paragraphs>
  <TotalTime>3</TotalTime>
  <ScaleCrop>false</ScaleCrop>
  <LinksUpToDate>false</LinksUpToDate>
  <CharactersWithSpaces>10008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2023-05-09T09:31:00Z</dcterms:created>
  <dc:creator>罗成</dc:creator>
  <cp:lastModifiedBy>阮雪漫</cp:lastModifiedBy>
  <cp:lastPrinted>2024-08-21T07:20:00Z</cp:lastPrinted>
  <dcterms:modified xsi:type="dcterms:W3CDTF">2025-06-20T02:26:46Z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652ED2F4327A4F56859DBEC381E60FC7_13</vt:lpwstr>
  </property>
</Properties>
</file>