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57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大会翻译服务</w:t>
      </w:r>
    </w:p>
    <w:p w14:paraId="51D885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30"/>
          <w:szCs w:val="30"/>
          <w:highlight w:val="none"/>
          <w:lang w:val="en-US" w:eastAsia="zh-CN"/>
        </w:rPr>
        <w:t>更正公告</w:t>
      </w:r>
    </w:p>
    <w:p w14:paraId="25116B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项目名称：大会翻译服务</w:t>
      </w:r>
    </w:p>
    <w:p w14:paraId="0021B3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项目执行编号：YK－BX202510070</w:t>
      </w:r>
    </w:p>
    <w:p w14:paraId="3ECC92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u w:val="none"/>
          <w:lang w:val="en-US" w:eastAsia="zh-CN"/>
        </w:rPr>
      </w:pPr>
      <w:bookmarkStart w:id="0" w:name="OLE_LINK11"/>
      <w:bookmarkStart w:id="1" w:name="OLE_LINK10"/>
      <w:r>
        <w:rPr>
          <w:rFonts w:hint="eastAsia" w:ascii="仿宋" w:hAnsi="仿宋" w:eastAsia="仿宋" w:cs="仿宋"/>
          <w:color w:val="auto"/>
          <w:kern w:val="0"/>
          <w:sz w:val="24"/>
          <w:szCs w:val="24"/>
          <w:highlight w:val="none"/>
          <w:u w:val="none"/>
        </w:rPr>
        <w:t>采购方式：</w:t>
      </w:r>
      <w:r>
        <w:rPr>
          <w:rFonts w:hint="eastAsia" w:ascii="仿宋" w:hAnsi="仿宋" w:eastAsia="仿宋" w:cs="仿宋"/>
          <w:color w:val="auto"/>
          <w:kern w:val="0"/>
          <w:sz w:val="24"/>
          <w:szCs w:val="24"/>
          <w:highlight w:val="none"/>
          <w:u w:val="none"/>
          <w:lang w:eastAsia="zh-CN"/>
        </w:rPr>
        <w:t>竞争性</w:t>
      </w:r>
      <w:r>
        <w:rPr>
          <w:rFonts w:hint="eastAsia" w:ascii="仿宋" w:hAnsi="仿宋" w:eastAsia="仿宋" w:cs="仿宋"/>
          <w:color w:val="auto"/>
          <w:kern w:val="0"/>
          <w:sz w:val="24"/>
          <w:szCs w:val="24"/>
          <w:highlight w:val="none"/>
          <w:u w:val="none"/>
          <w:lang w:val="en-US" w:eastAsia="zh-CN"/>
        </w:rPr>
        <w:t>比选</w:t>
      </w:r>
    </w:p>
    <w:p w14:paraId="38F562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各潜在</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lang w:val="zh-CN" w:eastAsia="zh-CN"/>
        </w:rPr>
        <w:t>：</w:t>
      </w:r>
    </w:p>
    <w:p w14:paraId="0E0F1D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现对大会翻译服务竞争性比选</w:t>
      </w:r>
      <w:r>
        <w:rPr>
          <w:rFonts w:hint="eastAsia" w:ascii="仿宋" w:hAnsi="仿宋" w:eastAsia="仿宋" w:cs="仿宋"/>
          <w:color w:val="auto"/>
          <w:sz w:val="24"/>
          <w:highlight w:val="none"/>
          <w:lang w:val="zh-CN" w:eastAsia="zh-CN"/>
        </w:rPr>
        <w:t>文件作如下</w:t>
      </w:r>
      <w:r>
        <w:rPr>
          <w:rFonts w:hint="eastAsia" w:ascii="仿宋" w:hAnsi="仿宋" w:eastAsia="仿宋" w:cs="仿宋"/>
          <w:color w:val="auto"/>
          <w:sz w:val="24"/>
          <w:highlight w:val="none"/>
          <w:lang w:val="en-US" w:eastAsia="zh-CN"/>
        </w:rPr>
        <w:t>更正</w:t>
      </w:r>
      <w:r>
        <w:rPr>
          <w:rFonts w:hint="eastAsia" w:ascii="仿宋" w:hAnsi="仿宋" w:eastAsia="仿宋" w:cs="仿宋"/>
          <w:color w:val="auto"/>
          <w:sz w:val="24"/>
          <w:highlight w:val="none"/>
          <w:lang w:val="zh-CN" w:eastAsia="zh-CN"/>
        </w:rPr>
        <w:t>：</w:t>
      </w:r>
      <w:bookmarkEnd w:id="0"/>
      <w:bookmarkEnd w:id="1"/>
    </w:p>
    <w:p w14:paraId="6C125E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highlight w:val="none"/>
          <w:lang w:val="en-US" w:eastAsia="zh-CN"/>
        </w:rPr>
      </w:pPr>
      <w:bookmarkStart w:id="2" w:name="_Toc7252"/>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val="zh-TW" w:eastAsia="zh-TW"/>
        </w:rPr>
        <w:t>、报价要求</w:t>
      </w:r>
      <w:bookmarkEnd w:id="2"/>
      <w:r>
        <w:rPr>
          <w:rFonts w:hint="eastAsia" w:ascii="仿宋" w:hAnsi="仿宋" w:eastAsia="仿宋" w:cs="仿宋"/>
          <w:color w:val="auto"/>
          <w:sz w:val="24"/>
          <w:highlight w:val="none"/>
          <w:lang w:val="en-US" w:eastAsia="zh-CN"/>
        </w:rPr>
        <w:t>修改为</w:t>
      </w:r>
    </w:p>
    <w:p w14:paraId="101E96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zh-TW" w:eastAsia="zh-CN"/>
        </w:rPr>
      </w:pPr>
      <w:r>
        <w:rPr>
          <w:rFonts w:hint="eastAsia" w:ascii="仿宋" w:hAnsi="仿宋" w:eastAsia="仿宋" w:cs="仿宋"/>
          <w:color w:val="auto"/>
          <w:sz w:val="24"/>
          <w:highlight w:val="none"/>
          <w:lang w:val="en-US" w:eastAsia="zh-CN"/>
        </w:rPr>
        <w:t>本次报价为人民币报价，供应商应按照分项报价明细表所列信息进行单价报价，报价包括完成本项目所需的服务费、人工费、提供服务所需的设备费、采购代理服务费及各种应纳的税费等一切可预见和不可预见的、合同明示或暗示的应由供应商承担的一切责任、义务和风险等所有费用。因成交供应商自身原因造成漏报、少报皆由其自行承担责任，采购人不再补偿。</w:t>
      </w:r>
    </w:p>
    <w:p w14:paraId="1D5791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highlight w:val="none"/>
          <w:lang w:val="en-US" w:eastAsia="zh-CN"/>
        </w:rPr>
      </w:pPr>
      <w:bookmarkStart w:id="3" w:name="_Toc11348"/>
      <w:bookmarkStart w:id="4" w:name="_Toc10400"/>
      <w:bookmarkStart w:id="5" w:name="_Toc8758"/>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val="zh-TW" w:eastAsia="zh-TW"/>
        </w:rPr>
        <w:t>、</w:t>
      </w:r>
      <w:bookmarkEnd w:id="3"/>
      <w:bookmarkEnd w:id="4"/>
      <w:r>
        <w:rPr>
          <w:rFonts w:hint="eastAsia" w:ascii="仿宋" w:hAnsi="仿宋" w:eastAsia="仿宋" w:cs="仿宋"/>
          <w:color w:val="auto"/>
          <w:sz w:val="24"/>
          <w:highlight w:val="none"/>
          <w:lang w:val="en-US" w:eastAsia="zh-CN"/>
        </w:rPr>
        <w:t>付款方式</w:t>
      </w:r>
      <w:bookmarkEnd w:id="5"/>
      <w:r>
        <w:rPr>
          <w:rFonts w:hint="eastAsia" w:ascii="仿宋" w:hAnsi="仿宋" w:eastAsia="仿宋" w:cs="仿宋"/>
          <w:color w:val="auto"/>
          <w:sz w:val="24"/>
          <w:highlight w:val="none"/>
          <w:lang w:val="en-US" w:eastAsia="zh-CN"/>
        </w:rPr>
        <w:t>修改为：</w:t>
      </w:r>
    </w:p>
    <w:p w14:paraId="7F6698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（一）结算方式：结算金额按采购人实际采购数量据实结算，结算金额=成交单价*数量。</w:t>
      </w:r>
    </w:p>
    <w:p w14:paraId="770C3F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（二）付款方式：</w:t>
      </w:r>
      <w:bookmarkStart w:id="6" w:name="_GoBack"/>
      <w:bookmarkEnd w:id="6"/>
    </w:p>
    <w:p w14:paraId="64D73F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1.合同签订后，采购人向成交供应商支付合同金额30%的预付款。</w:t>
      </w:r>
    </w:p>
    <w:p w14:paraId="535B4D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2.成交供应商完成采购文件、响应文件以及合同约定的所有工作内容后，采购人向成交供应商支付合同的50%。</w:t>
      </w:r>
    </w:p>
    <w:p w14:paraId="36DCC6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3.项目审计完成后，采购人按审定结算金额据实向成交供应商一次性支付剩余费用。</w:t>
      </w:r>
    </w:p>
    <w:p w14:paraId="711DC6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注：采购人支付合同价款前，成交供应商向采购人开具等额的有效发票。采购人支付合同费用均已财政资金或自有资金到账后根据付款方式支付相应金额。</w:t>
      </w:r>
    </w:p>
    <w:p w14:paraId="7FB93F34">
      <w:pPr>
        <w:keepNext w:val="0"/>
        <w:keepLines w:val="0"/>
        <w:pageBreakBefore w:val="0"/>
        <w:widowControl w:val="0"/>
        <w:tabs>
          <w:tab w:val="left" w:pos="2895"/>
        </w:tabs>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三、明细报价表修改如下：</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40"/>
        <w:gridCol w:w="3016"/>
        <w:gridCol w:w="1261"/>
        <w:gridCol w:w="1261"/>
        <w:gridCol w:w="1323"/>
      </w:tblGrid>
      <w:tr w14:paraId="1F58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shd w:val="clear" w:color="auto" w:fill="auto"/>
            <w:vAlign w:val="center"/>
          </w:tcPr>
          <w:p w14:paraId="08046D41">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rPr>
              <w:t>序号</w:t>
            </w:r>
          </w:p>
        </w:tc>
        <w:tc>
          <w:tcPr>
            <w:tcW w:w="669" w:type="pct"/>
            <w:shd w:val="clear" w:color="auto" w:fill="auto"/>
            <w:vAlign w:val="center"/>
          </w:tcPr>
          <w:p w14:paraId="0837B85C">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rPr>
              <w:t>名称</w:t>
            </w:r>
          </w:p>
        </w:tc>
        <w:tc>
          <w:tcPr>
            <w:tcW w:w="1770" w:type="pct"/>
            <w:shd w:val="clear" w:color="auto" w:fill="auto"/>
            <w:vAlign w:val="center"/>
          </w:tcPr>
          <w:p w14:paraId="7D3D82CA">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lang w:val="en-US" w:eastAsia="zh-CN"/>
              </w:rPr>
              <w:t>预估</w:t>
            </w:r>
            <w:r>
              <w:rPr>
                <w:rFonts w:hint="eastAsia" w:ascii="仿宋" w:hAnsi="仿宋" w:eastAsia="仿宋" w:cs="仿宋"/>
                <w:b/>
                <w:color w:val="auto"/>
                <w:sz w:val="21"/>
                <w:szCs w:val="21"/>
                <w:highlight w:val="none"/>
              </w:rPr>
              <w:t>相关信息</w:t>
            </w:r>
          </w:p>
        </w:tc>
        <w:tc>
          <w:tcPr>
            <w:tcW w:w="740" w:type="pct"/>
            <w:shd w:val="clear" w:color="auto" w:fill="auto"/>
            <w:vAlign w:val="center"/>
          </w:tcPr>
          <w:p w14:paraId="495A7AB4">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数量/单位</w:t>
            </w:r>
          </w:p>
        </w:tc>
        <w:tc>
          <w:tcPr>
            <w:tcW w:w="740" w:type="pct"/>
            <w:shd w:val="clear" w:color="auto" w:fill="auto"/>
            <w:vAlign w:val="center"/>
          </w:tcPr>
          <w:p w14:paraId="15F68866">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rPr>
              <w:t>单价</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元</w:t>
            </w:r>
            <w:r>
              <w:rPr>
                <w:rFonts w:hint="eastAsia" w:ascii="仿宋" w:hAnsi="仿宋" w:eastAsia="仿宋" w:cs="仿宋"/>
                <w:b/>
                <w:color w:val="auto"/>
                <w:sz w:val="21"/>
                <w:szCs w:val="21"/>
                <w:highlight w:val="none"/>
                <w:lang w:eastAsia="zh-CN"/>
              </w:rPr>
              <w:t>）</w:t>
            </w:r>
          </w:p>
        </w:tc>
        <w:tc>
          <w:tcPr>
            <w:tcW w:w="775" w:type="pct"/>
            <w:shd w:val="clear" w:color="auto" w:fill="auto"/>
            <w:vAlign w:val="center"/>
          </w:tcPr>
          <w:p w14:paraId="1BB994DF">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sz w:val="21"/>
                <w:szCs w:val="21"/>
                <w:highlight w:val="none"/>
              </w:rPr>
              <w:t>合计</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元</w:t>
            </w:r>
            <w:r>
              <w:rPr>
                <w:rFonts w:hint="eastAsia" w:ascii="仿宋" w:hAnsi="仿宋" w:eastAsia="仿宋" w:cs="仿宋"/>
                <w:b/>
                <w:color w:val="auto"/>
                <w:sz w:val="21"/>
                <w:szCs w:val="21"/>
                <w:highlight w:val="none"/>
                <w:lang w:eastAsia="zh-CN"/>
              </w:rPr>
              <w:t>）</w:t>
            </w:r>
          </w:p>
        </w:tc>
      </w:tr>
      <w:tr w14:paraId="037C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789CBD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1</w:t>
            </w:r>
          </w:p>
        </w:tc>
        <w:tc>
          <w:tcPr>
            <w:tcW w:w="669" w:type="pct"/>
            <w:vAlign w:val="center"/>
          </w:tcPr>
          <w:p w14:paraId="3D9F5E89">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领导会见</w:t>
            </w:r>
          </w:p>
        </w:tc>
        <w:tc>
          <w:tcPr>
            <w:tcW w:w="1770" w:type="pct"/>
            <w:vAlign w:val="center"/>
          </w:tcPr>
          <w:p w14:paraId="1BABAFAC">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英语同传2人：红外接收机50副；同传主机设备1套；红外辐射器1块。</w:t>
            </w:r>
          </w:p>
        </w:tc>
        <w:tc>
          <w:tcPr>
            <w:tcW w:w="740" w:type="pct"/>
            <w:vAlign w:val="center"/>
          </w:tcPr>
          <w:p w14:paraId="5750B0A2">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3FF14C03">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4FA8AD01">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0073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2C211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2</w:t>
            </w:r>
          </w:p>
        </w:tc>
        <w:tc>
          <w:tcPr>
            <w:tcW w:w="669" w:type="pct"/>
            <w:vAlign w:val="center"/>
          </w:tcPr>
          <w:p w14:paraId="1F7F9ECE">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欢迎晚宴</w:t>
            </w:r>
          </w:p>
        </w:tc>
        <w:tc>
          <w:tcPr>
            <w:tcW w:w="1770" w:type="pct"/>
            <w:vAlign w:val="center"/>
          </w:tcPr>
          <w:p w14:paraId="2DC4C8BB">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英语口译人员5人。</w:t>
            </w:r>
          </w:p>
        </w:tc>
        <w:tc>
          <w:tcPr>
            <w:tcW w:w="740" w:type="pct"/>
            <w:vAlign w:val="center"/>
          </w:tcPr>
          <w:p w14:paraId="029B3D79">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3499A020">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4592E6D0">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349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7BB74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3</w:t>
            </w:r>
          </w:p>
        </w:tc>
        <w:tc>
          <w:tcPr>
            <w:tcW w:w="669" w:type="pct"/>
            <w:vAlign w:val="center"/>
          </w:tcPr>
          <w:p w14:paraId="4D2B198F">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领导巡展</w:t>
            </w:r>
          </w:p>
        </w:tc>
        <w:tc>
          <w:tcPr>
            <w:tcW w:w="1770" w:type="pct"/>
            <w:vAlign w:val="center"/>
          </w:tcPr>
          <w:p w14:paraId="4A9F1E42">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英语口译人员2人；导览主机2个；导览耳机50个。</w:t>
            </w:r>
          </w:p>
        </w:tc>
        <w:tc>
          <w:tcPr>
            <w:tcW w:w="740" w:type="pct"/>
            <w:vAlign w:val="center"/>
          </w:tcPr>
          <w:p w14:paraId="0DC42D94">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4B7C7FB5">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368F8E3C">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7FC4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4E81F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4</w:t>
            </w:r>
          </w:p>
        </w:tc>
        <w:tc>
          <w:tcPr>
            <w:tcW w:w="669" w:type="pct"/>
            <w:vAlign w:val="center"/>
          </w:tcPr>
          <w:p w14:paraId="7420178A">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开幕式、主论坛</w:t>
            </w:r>
          </w:p>
        </w:tc>
        <w:tc>
          <w:tcPr>
            <w:tcW w:w="1770" w:type="pct"/>
            <w:vAlign w:val="center"/>
          </w:tcPr>
          <w:p w14:paraId="51B5043D">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英语同传2人：红外接收机1200副；同传主机设备1套；红外辐射器12块。</w:t>
            </w:r>
          </w:p>
        </w:tc>
        <w:tc>
          <w:tcPr>
            <w:tcW w:w="740" w:type="pct"/>
            <w:vAlign w:val="center"/>
          </w:tcPr>
          <w:p w14:paraId="7652DED8">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6640EE5F">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176EE696">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728A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60AF5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5</w:t>
            </w:r>
          </w:p>
        </w:tc>
        <w:tc>
          <w:tcPr>
            <w:tcW w:w="669" w:type="pct"/>
            <w:vAlign w:val="center"/>
          </w:tcPr>
          <w:p w14:paraId="01BF6E6D">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分论坛</w:t>
            </w:r>
            <w:r>
              <w:rPr>
                <w:rFonts w:hint="eastAsia" w:ascii="仿宋" w:hAnsi="仿宋" w:eastAsia="仿宋" w:cs="仿宋"/>
                <w:color w:val="auto"/>
                <w:sz w:val="21"/>
                <w:szCs w:val="21"/>
                <w:highlight w:val="none"/>
                <w:lang w:val="en-US" w:eastAsia="zh-CN"/>
              </w:rPr>
              <w:t>1</w:t>
            </w:r>
          </w:p>
        </w:tc>
        <w:tc>
          <w:tcPr>
            <w:tcW w:w="1770" w:type="pct"/>
            <w:vAlign w:val="center"/>
          </w:tcPr>
          <w:p w14:paraId="20D055E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英语同传2人：红外接收机150副；同传主机设备1套；红外辐射器2块。</w:t>
            </w:r>
          </w:p>
        </w:tc>
        <w:tc>
          <w:tcPr>
            <w:tcW w:w="740" w:type="pct"/>
            <w:vAlign w:val="center"/>
          </w:tcPr>
          <w:p w14:paraId="00C80861">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527F2CAF">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63067716">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5D7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14FAD3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6</w:t>
            </w:r>
          </w:p>
        </w:tc>
        <w:tc>
          <w:tcPr>
            <w:tcW w:w="669" w:type="pct"/>
            <w:vAlign w:val="center"/>
          </w:tcPr>
          <w:p w14:paraId="60E81A62">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分论坛2</w:t>
            </w:r>
          </w:p>
        </w:tc>
        <w:tc>
          <w:tcPr>
            <w:tcW w:w="1770" w:type="pct"/>
            <w:vAlign w:val="center"/>
          </w:tcPr>
          <w:p w14:paraId="62CBD0BE">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英语同传2人：红外接收机150副；同传主机设备1套；红外辐射器2块。</w:t>
            </w:r>
          </w:p>
        </w:tc>
        <w:tc>
          <w:tcPr>
            <w:tcW w:w="740" w:type="pct"/>
            <w:vAlign w:val="center"/>
          </w:tcPr>
          <w:p w14:paraId="26532454">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74851A1F">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5FB35345">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38F7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0DFB9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7</w:t>
            </w:r>
          </w:p>
        </w:tc>
        <w:tc>
          <w:tcPr>
            <w:tcW w:w="669" w:type="pct"/>
            <w:vAlign w:val="center"/>
          </w:tcPr>
          <w:p w14:paraId="6999B9A7">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分论坛</w:t>
            </w:r>
            <w:r>
              <w:rPr>
                <w:rFonts w:hint="default" w:ascii="仿宋" w:hAnsi="仿宋" w:eastAsia="仿宋" w:cs="仿宋"/>
                <w:color w:val="auto"/>
                <w:sz w:val="21"/>
                <w:szCs w:val="21"/>
                <w:highlight w:val="none"/>
                <w:lang w:val="en-US" w:eastAsia="zh-CN"/>
              </w:rPr>
              <w:t>3</w:t>
            </w:r>
          </w:p>
        </w:tc>
        <w:tc>
          <w:tcPr>
            <w:tcW w:w="1770" w:type="pct"/>
            <w:vAlign w:val="center"/>
          </w:tcPr>
          <w:p w14:paraId="79A49650">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英语同传2人：红外接收机150副；同传主机设备1套；红外辐射器2块。</w:t>
            </w:r>
          </w:p>
        </w:tc>
        <w:tc>
          <w:tcPr>
            <w:tcW w:w="740" w:type="pct"/>
            <w:vAlign w:val="center"/>
          </w:tcPr>
          <w:p w14:paraId="6518F870">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5F52DF19">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20C00853">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79F8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1B7C92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8</w:t>
            </w:r>
          </w:p>
        </w:tc>
        <w:tc>
          <w:tcPr>
            <w:tcW w:w="669" w:type="pct"/>
            <w:vAlign w:val="center"/>
          </w:tcPr>
          <w:p w14:paraId="56DF84B7">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分论坛</w:t>
            </w:r>
            <w:r>
              <w:rPr>
                <w:rFonts w:hint="default" w:ascii="仿宋" w:hAnsi="仿宋" w:eastAsia="仿宋" w:cs="仿宋"/>
                <w:color w:val="auto"/>
                <w:sz w:val="21"/>
                <w:szCs w:val="21"/>
                <w:highlight w:val="none"/>
                <w:lang w:val="en-US" w:eastAsia="zh-CN"/>
              </w:rPr>
              <w:t>4</w:t>
            </w:r>
          </w:p>
        </w:tc>
        <w:tc>
          <w:tcPr>
            <w:tcW w:w="1770" w:type="pct"/>
            <w:vAlign w:val="center"/>
          </w:tcPr>
          <w:p w14:paraId="1EB4D767">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英语同传2人：红外接收机150副；同传主机设备1套；红外辐射器2块。</w:t>
            </w:r>
          </w:p>
        </w:tc>
        <w:tc>
          <w:tcPr>
            <w:tcW w:w="740" w:type="pct"/>
            <w:vAlign w:val="center"/>
          </w:tcPr>
          <w:p w14:paraId="212B2C99">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19BA1B68">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7BC3B1D9">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0123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153B0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9</w:t>
            </w:r>
          </w:p>
        </w:tc>
        <w:tc>
          <w:tcPr>
            <w:tcW w:w="669" w:type="pct"/>
            <w:vAlign w:val="center"/>
          </w:tcPr>
          <w:p w14:paraId="76E32D90">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参访考察</w:t>
            </w:r>
          </w:p>
        </w:tc>
        <w:tc>
          <w:tcPr>
            <w:tcW w:w="1770" w:type="pct"/>
            <w:vAlign w:val="center"/>
          </w:tcPr>
          <w:p w14:paraId="387D701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英语口译人员3人：导览主机3个；导览耳机100个。</w:t>
            </w:r>
          </w:p>
        </w:tc>
        <w:tc>
          <w:tcPr>
            <w:tcW w:w="740" w:type="pct"/>
            <w:vAlign w:val="center"/>
          </w:tcPr>
          <w:p w14:paraId="6E9FC07C">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62BC2CE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5B03A33D">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5C8B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4ABA1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10</w:t>
            </w:r>
          </w:p>
        </w:tc>
        <w:tc>
          <w:tcPr>
            <w:tcW w:w="669" w:type="pct"/>
            <w:vAlign w:val="center"/>
          </w:tcPr>
          <w:p w14:paraId="40B50716">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媒体参访</w:t>
            </w:r>
          </w:p>
        </w:tc>
        <w:tc>
          <w:tcPr>
            <w:tcW w:w="1770" w:type="pct"/>
            <w:vAlign w:val="center"/>
          </w:tcPr>
          <w:p w14:paraId="7D355747">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英语口译人员2人：导览主机2个；导览耳机20个。</w:t>
            </w:r>
          </w:p>
        </w:tc>
        <w:tc>
          <w:tcPr>
            <w:tcW w:w="740" w:type="pct"/>
            <w:vAlign w:val="center"/>
          </w:tcPr>
          <w:p w14:paraId="769F7EC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476C989B">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2B4A2421">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0BDC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14F148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11</w:t>
            </w:r>
          </w:p>
        </w:tc>
        <w:tc>
          <w:tcPr>
            <w:tcW w:w="669" w:type="pct"/>
            <w:vAlign w:val="center"/>
          </w:tcPr>
          <w:p w14:paraId="714A374D">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笔译</w:t>
            </w:r>
          </w:p>
        </w:tc>
        <w:tc>
          <w:tcPr>
            <w:tcW w:w="1770" w:type="pct"/>
            <w:vAlign w:val="center"/>
          </w:tcPr>
          <w:p w14:paraId="49989A4C">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展览、会议指南、议程单等印刷品、各类上屏文字、其他物料等约25万字。</w:t>
            </w:r>
          </w:p>
        </w:tc>
        <w:tc>
          <w:tcPr>
            <w:tcW w:w="740" w:type="pct"/>
            <w:vAlign w:val="center"/>
          </w:tcPr>
          <w:p w14:paraId="39531CF9">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740" w:type="pct"/>
            <w:vAlign w:val="center"/>
          </w:tcPr>
          <w:p w14:paraId="43591936">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c>
          <w:tcPr>
            <w:tcW w:w="775" w:type="pct"/>
            <w:vAlign w:val="center"/>
          </w:tcPr>
          <w:p w14:paraId="6207B74E">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r w14:paraId="6EDF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4" w:type="pct"/>
            <w:vAlign w:val="center"/>
          </w:tcPr>
          <w:p w14:paraId="655663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12</w:t>
            </w:r>
          </w:p>
        </w:tc>
        <w:tc>
          <w:tcPr>
            <w:tcW w:w="2439" w:type="pct"/>
            <w:gridSpan w:val="2"/>
            <w:vAlign w:val="center"/>
          </w:tcPr>
          <w:p w14:paraId="3CBC3F7A">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总计（元）</w:t>
            </w:r>
          </w:p>
        </w:tc>
        <w:tc>
          <w:tcPr>
            <w:tcW w:w="2256" w:type="pct"/>
            <w:gridSpan w:val="3"/>
            <w:vAlign w:val="center"/>
          </w:tcPr>
          <w:p w14:paraId="51C27E93">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1"/>
                <w:szCs w:val="21"/>
                <w:highlight w:val="none"/>
                <w:lang w:val="en-US" w:eastAsia="zh-CN"/>
              </w:rPr>
            </w:pPr>
          </w:p>
        </w:tc>
      </w:tr>
    </w:tbl>
    <w:p w14:paraId="79E874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注：本更正公告与竞争性比选文件不一致的，以本更正公告为准，请在行采家平台（https://www.gec123.com）上下载或到采购代理机构处领取，无论供应商下载或领取与否，均视为已知晓所有内容。</w:t>
      </w:r>
    </w:p>
    <w:p w14:paraId="397384D3">
      <w:pPr>
        <w:pStyle w:val="12"/>
        <w:keepNext w:val="0"/>
        <w:keepLines w:val="0"/>
        <w:pageBreakBefore w:val="0"/>
        <w:widowControl w:val="0"/>
        <w:kinsoku/>
        <w:wordWrap/>
        <w:overflowPunct/>
        <w:topLinePunct w:val="0"/>
        <w:bidi w:val="0"/>
        <w:snapToGrid/>
        <w:spacing w:line="400" w:lineRule="exact"/>
        <w:jc w:val="right"/>
        <w:textAlignment w:val="auto"/>
        <w:rPr>
          <w:rFonts w:hint="eastAsia" w:ascii="仿宋" w:hAnsi="仿宋" w:eastAsia="仿宋" w:cs="仿宋"/>
          <w:color w:val="auto"/>
          <w:sz w:val="24"/>
          <w:szCs w:val="24"/>
          <w:highlight w:val="none"/>
          <w:lang w:val="en-US" w:eastAsia="zh-CN"/>
        </w:rPr>
      </w:pPr>
    </w:p>
    <w:p w14:paraId="1D2FB49E">
      <w:pPr>
        <w:pStyle w:val="12"/>
        <w:keepNext w:val="0"/>
        <w:keepLines w:val="0"/>
        <w:pageBreakBefore w:val="0"/>
        <w:widowControl w:val="0"/>
        <w:kinsoku/>
        <w:wordWrap/>
        <w:overflowPunct/>
        <w:topLinePunct w:val="0"/>
        <w:bidi w:val="0"/>
        <w:snapToGrid/>
        <w:spacing w:line="400" w:lineRule="exact"/>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采购人：重庆市城市治理研究院（重庆市风景园林规划研究院） </w:t>
      </w:r>
    </w:p>
    <w:p w14:paraId="20DEE53D">
      <w:pPr>
        <w:pStyle w:val="12"/>
        <w:keepNext w:val="0"/>
        <w:keepLines w:val="0"/>
        <w:pageBreakBefore w:val="0"/>
        <w:widowControl w:val="0"/>
        <w:kinsoku/>
        <w:wordWrap/>
        <w:overflowPunct/>
        <w:topLinePunct w:val="0"/>
        <w:bidi w:val="0"/>
        <w:snapToGrid/>
        <w:spacing w:line="400" w:lineRule="exact"/>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采购代理机构：重庆优凯项目管理有限公司</w:t>
      </w:r>
    </w:p>
    <w:p w14:paraId="212CB99F">
      <w:pPr>
        <w:pStyle w:val="12"/>
        <w:keepNext w:val="0"/>
        <w:keepLines w:val="0"/>
        <w:pageBreakBefore w:val="0"/>
        <w:widowControl w:val="0"/>
        <w:kinsoku/>
        <w:wordWrap/>
        <w:overflowPunct/>
        <w:topLinePunct w:val="0"/>
        <w:bidi w:val="0"/>
        <w:snapToGrid/>
        <w:spacing w:line="400" w:lineRule="exact"/>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2025年10月14日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ODgyNzBlNzFkNTNmMWJiMjU5MGFmMzk0OWUwZWUifQ=="/>
  </w:docVars>
  <w:rsids>
    <w:rsidRoot w:val="00000000"/>
    <w:rsid w:val="00CD3536"/>
    <w:rsid w:val="0101237C"/>
    <w:rsid w:val="01527FF8"/>
    <w:rsid w:val="0249725E"/>
    <w:rsid w:val="05E01E30"/>
    <w:rsid w:val="09A7663B"/>
    <w:rsid w:val="0BBE4FAB"/>
    <w:rsid w:val="0DE100FA"/>
    <w:rsid w:val="0DE80D2A"/>
    <w:rsid w:val="0DF01A53"/>
    <w:rsid w:val="0E083E00"/>
    <w:rsid w:val="0F955B67"/>
    <w:rsid w:val="12172A6D"/>
    <w:rsid w:val="121A7BDF"/>
    <w:rsid w:val="14280792"/>
    <w:rsid w:val="146B2D49"/>
    <w:rsid w:val="150C039C"/>
    <w:rsid w:val="15165470"/>
    <w:rsid w:val="16B34B25"/>
    <w:rsid w:val="19DA17D6"/>
    <w:rsid w:val="1BA36A92"/>
    <w:rsid w:val="1E1C321D"/>
    <w:rsid w:val="1E987950"/>
    <w:rsid w:val="1F087540"/>
    <w:rsid w:val="1F3B545E"/>
    <w:rsid w:val="238D2546"/>
    <w:rsid w:val="26BE4D2E"/>
    <w:rsid w:val="295A286D"/>
    <w:rsid w:val="2A986213"/>
    <w:rsid w:val="2E057C73"/>
    <w:rsid w:val="2E4F25A4"/>
    <w:rsid w:val="322F3062"/>
    <w:rsid w:val="3246277C"/>
    <w:rsid w:val="32B314D7"/>
    <w:rsid w:val="34C22A55"/>
    <w:rsid w:val="35DF51C1"/>
    <w:rsid w:val="36A615D3"/>
    <w:rsid w:val="37EA75B4"/>
    <w:rsid w:val="37EFD8AC"/>
    <w:rsid w:val="37FC348F"/>
    <w:rsid w:val="38E01351"/>
    <w:rsid w:val="39606099"/>
    <w:rsid w:val="3C321D7A"/>
    <w:rsid w:val="3E7E3678"/>
    <w:rsid w:val="3EA54653"/>
    <w:rsid w:val="3F3FAC90"/>
    <w:rsid w:val="3F8B3286"/>
    <w:rsid w:val="405F4850"/>
    <w:rsid w:val="416804BE"/>
    <w:rsid w:val="43C27797"/>
    <w:rsid w:val="44FA379B"/>
    <w:rsid w:val="4622744D"/>
    <w:rsid w:val="469E4849"/>
    <w:rsid w:val="4929154A"/>
    <w:rsid w:val="49BE0AB2"/>
    <w:rsid w:val="4A344BCC"/>
    <w:rsid w:val="4B907597"/>
    <w:rsid w:val="4CA70CF1"/>
    <w:rsid w:val="4EEBC075"/>
    <w:rsid w:val="4FF9D400"/>
    <w:rsid w:val="50DC4AB3"/>
    <w:rsid w:val="51991216"/>
    <w:rsid w:val="51B211B4"/>
    <w:rsid w:val="51C518B1"/>
    <w:rsid w:val="5252348F"/>
    <w:rsid w:val="52A3619C"/>
    <w:rsid w:val="52C037BE"/>
    <w:rsid w:val="542A2000"/>
    <w:rsid w:val="553B7BE4"/>
    <w:rsid w:val="55524F2D"/>
    <w:rsid w:val="55B10450"/>
    <w:rsid w:val="55CB6763"/>
    <w:rsid w:val="563A4C52"/>
    <w:rsid w:val="57C65754"/>
    <w:rsid w:val="58095CBB"/>
    <w:rsid w:val="588B1594"/>
    <w:rsid w:val="58B74CDD"/>
    <w:rsid w:val="58C446B3"/>
    <w:rsid w:val="58DC7F4D"/>
    <w:rsid w:val="5A073ADB"/>
    <w:rsid w:val="5A903FD9"/>
    <w:rsid w:val="5AB9748C"/>
    <w:rsid w:val="5B060526"/>
    <w:rsid w:val="5B5E28AF"/>
    <w:rsid w:val="5B88472D"/>
    <w:rsid w:val="5C6A7E4A"/>
    <w:rsid w:val="5CF21CA9"/>
    <w:rsid w:val="5DF54D7C"/>
    <w:rsid w:val="5E547F68"/>
    <w:rsid w:val="5ECE467C"/>
    <w:rsid w:val="66770C98"/>
    <w:rsid w:val="66C7577B"/>
    <w:rsid w:val="672A7912"/>
    <w:rsid w:val="697D65C5"/>
    <w:rsid w:val="6A500FF7"/>
    <w:rsid w:val="6B9F6DD1"/>
    <w:rsid w:val="6BBA3B00"/>
    <w:rsid w:val="6CC901E5"/>
    <w:rsid w:val="6D8B6DD7"/>
    <w:rsid w:val="6DD41F34"/>
    <w:rsid w:val="6DEC9ABE"/>
    <w:rsid w:val="6E7F1AEE"/>
    <w:rsid w:val="70112B58"/>
    <w:rsid w:val="701B3C8D"/>
    <w:rsid w:val="706758D9"/>
    <w:rsid w:val="73726CA6"/>
    <w:rsid w:val="74BB5821"/>
    <w:rsid w:val="75CA1ADA"/>
    <w:rsid w:val="76334CD2"/>
    <w:rsid w:val="77550326"/>
    <w:rsid w:val="788A0CF4"/>
    <w:rsid w:val="78DD7EF0"/>
    <w:rsid w:val="7B113416"/>
    <w:rsid w:val="7DCE51E9"/>
    <w:rsid w:val="7E13212B"/>
    <w:rsid w:val="999F439F"/>
    <w:rsid w:val="D73B9DEA"/>
    <w:rsid w:val="DFEB9E2E"/>
    <w:rsid w:val="DFEE7BE4"/>
    <w:rsid w:val="E5986816"/>
    <w:rsid w:val="EF6F26DE"/>
    <w:rsid w:val="EFBFE7B6"/>
    <w:rsid w:val="FEFFDF8E"/>
    <w:rsid w:val="FFFD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5">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1"/>
    <w:autoRedefine/>
    <w:qFormat/>
    <w:uiPriority w:val="99"/>
    <w:rPr>
      <w:rFonts w:ascii="仿宋_GB2312" w:eastAsia="仿宋_GB2312"/>
      <w:sz w:val="32"/>
    </w:rPr>
  </w:style>
  <w:style w:type="paragraph" w:styleId="7">
    <w:name w:val="toc 1"/>
    <w:basedOn w:val="1"/>
    <w:next w:val="1"/>
    <w:qFormat/>
    <w:uiPriority w:val="39"/>
    <w:pPr>
      <w:spacing w:line="180" w:lineRule="auto"/>
      <w:jc w:val="center"/>
    </w:pPr>
    <w:rPr>
      <w:sz w:val="30"/>
    </w:rPr>
  </w:style>
  <w:style w:type="paragraph" w:styleId="8">
    <w:name w:val="Title"/>
    <w:basedOn w:val="1"/>
    <w:autoRedefine/>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2">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3">
    <w:name w:val="font11"/>
    <w:basedOn w:val="11"/>
    <w:qFormat/>
    <w:uiPriority w:val="0"/>
    <w:rPr>
      <w:rFonts w:hint="default" w:ascii="方正仿宋_GBK" w:hAnsi="方正仿宋_GBK" w:eastAsia="方正仿宋_GBK" w:cs="方正仿宋_GBK"/>
      <w:color w:val="000000"/>
      <w:sz w:val="24"/>
      <w:szCs w:val="24"/>
      <w:u w:val="none"/>
    </w:rPr>
  </w:style>
  <w:style w:type="character" w:customStyle="1" w:styleId="14">
    <w:name w:val="font21"/>
    <w:basedOn w:val="11"/>
    <w:qFormat/>
    <w:uiPriority w:val="0"/>
    <w:rPr>
      <w:rFonts w:ascii="Times New Roman Regular" w:hAnsi="Times New Roman Regular" w:eastAsia="Times New Roman Regular" w:cs="Times New Roman Regular"/>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1096</Characters>
  <Lines>1</Lines>
  <Paragraphs>1</Paragraphs>
  <TotalTime>15</TotalTime>
  <ScaleCrop>false</ScaleCrop>
  <LinksUpToDate>false</LinksUpToDate>
  <CharactersWithSpaces>1097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2023-12-02T13:01:00Z</dcterms:created>
  <dc:creator>韩聃</dc:creator>
  <cp:lastModifiedBy>๑҉</cp:lastModifiedBy>
  <dcterms:modified xsi:type="dcterms:W3CDTF">2025-10-14T13:33:50Z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3CDE916254254536826D924E13D01CDA_13</vt:lpwstr>
  </property>
  <property fmtid="{D5CDD505-2E9C-101B-9397-08002B2CF9AE}" pid="4" name="KSOTemplateDocerSaveRecord">
    <vt:lpwstr>eyJoZGlkIjoiYTk0YjBkZDlkM2UzNmE5NjkzZmQwZGM5OWE3MWRmNDYiLCJ1c2VySWQiOiI4MDE0MTc0NzUifQ==</vt:lpwstr>
  </property>
</Properties>
</file>