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D8489FB">
      <w:pPr>
        <w:pStyle w:val="23"/>
        <w:spacing w:line="240" w:lineRule="auto"/>
        <w:ind w:left="0"/>
        <w:jc w:val="center"/>
        <w:rPr>
          <w:rFonts w:hint="eastAsia" w:ascii="宋体" w:hAnsi="宋体" w:eastAsia="宋体" w:cs="宋体"/>
          <w:color w:val="auto"/>
          <w:sz w:val="60"/>
          <w:szCs w:val="60"/>
          <w:highlight w:val="none"/>
        </w:rPr>
      </w:pPr>
      <w:bookmarkStart w:id="0" w:name="_Toc21750"/>
      <w:bookmarkStart w:id="1" w:name="_Toc16015"/>
      <w:bookmarkStart w:id="2" w:name="_Toc136879882"/>
      <w:bookmarkStart w:id="3" w:name="_Toc30901"/>
      <w:bookmarkStart w:id="4" w:name="_Toc1828"/>
      <w:bookmarkStart w:id="5" w:name="_Toc23648"/>
      <w:bookmarkStart w:id="6" w:name="_Toc12923"/>
      <w:bookmarkStart w:id="7" w:name="_Toc136879634"/>
      <w:bookmarkStart w:id="8" w:name="_Toc20816"/>
      <w:bookmarkStart w:id="9" w:name="_Toc31915"/>
      <w:bookmarkStart w:id="10" w:name="_Toc21122"/>
      <w:bookmarkStart w:id="11" w:name="_Toc136880102"/>
      <w:bookmarkStart w:id="12" w:name="_Toc136879793"/>
      <w:bookmarkStart w:id="13" w:name="_Toc15146"/>
      <w:bookmarkStart w:id="14" w:name="_Toc3073"/>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730DB34C">
      <w:pPr>
        <w:pStyle w:val="23"/>
        <w:spacing w:line="240" w:lineRule="auto"/>
        <w:ind w:left="0"/>
        <w:jc w:val="center"/>
        <w:rPr>
          <w:rFonts w:hint="eastAsia" w:ascii="宋体" w:hAnsi="宋体" w:eastAsia="宋体" w:cs="宋体"/>
          <w:color w:val="auto"/>
          <w:sz w:val="60"/>
          <w:szCs w:val="60"/>
          <w:highlight w:val="none"/>
        </w:rPr>
      </w:pPr>
      <w:r>
        <w:rPr>
          <w:rFonts w:hint="eastAsia" w:ascii="宋体" w:hAnsi="宋体" w:eastAsia="宋体" w:cs="宋体"/>
          <w:color w:val="auto"/>
          <w:sz w:val="60"/>
          <w:szCs w:val="60"/>
          <w:highlight w:val="none"/>
          <w:lang w:eastAsia="zh-CN"/>
        </w:rPr>
        <w:t>小额交易平台</w:t>
      </w:r>
      <w:bookmarkStart w:id="15" w:name="_Toc31652"/>
      <w:bookmarkStart w:id="16" w:name="_Toc136880103"/>
      <w:bookmarkStart w:id="17" w:name="_Toc7828"/>
      <w:bookmarkStart w:id="18" w:name="_Toc12859"/>
      <w:bookmarkStart w:id="19" w:name="_Toc21695"/>
      <w:bookmarkStart w:id="20" w:name="_Toc136879794"/>
      <w:bookmarkStart w:id="21" w:name="_Toc28014"/>
      <w:bookmarkStart w:id="22" w:name="_Toc136879883"/>
      <w:bookmarkStart w:id="23" w:name="_Toc156"/>
      <w:bookmarkStart w:id="24" w:name="_Toc16319"/>
      <w:bookmarkStart w:id="25" w:name="_Toc5958"/>
      <w:bookmarkStart w:id="26" w:name="_Toc25539"/>
      <w:bookmarkStart w:id="27" w:name="_Toc6223"/>
      <w:bookmarkStart w:id="28" w:name="_Toc136879635"/>
      <w:bookmarkStart w:id="29" w:name="_Toc5521"/>
      <w:r>
        <w:rPr>
          <w:rFonts w:hint="eastAsia" w:ascii="宋体" w:hAnsi="宋体" w:eastAsia="宋体" w:cs="宋体"/>
          <w:color w:val="auto"/>
          <w:sz w:val="60"/>
          <w:szCs w:val="60"/>
          <w:highlight w:val="none"/>
        </w:rPr>
        <w:t>网上竞采采购文件</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BC67EC6">
      <w:pPr>
        <w:pStyle w:val="23"/>
        <w:spacing w:line="240" w:lineRule="auto"/>
        <w:ind w:left="0"/>
        <w:jc w:val="center"/>
        <w:rPr>
          <w:rFonts w:hint="eastAsia" w:ascii="宋体" w:hAnsi="宋体" w:eastAsia="宋体" w:cs="宋体"/>
          <w:color w:val="auto"/>
          <w:sz w:val="80"/>
          <w:szCs w:val="80"/>
          <w:highlight w:val="none"/>
        </w:rPr>
      </w:pPr>
    </w:p>
    <w:p w14:paraId="579DA3B7">
      <w:pPr>
        <w:pStyle w:val="23"/>
        <w:spacing w:line="500" w:lineRule="exact"/>
        <w:ind w:left="0"/>
        <w:rPr>
          <w:rFonts w:hint="eastAsia" w:ascii="宋体" w:hAnsi="宋体" w:eastAsia="宋体" w:cs="宋体"/>
          <w:color w:val="auto"/>
          <w:sz w:val="32"/>
          <w:highlight w:val="none"/>
        </w:rPr>
      </w:pPr>
    </w:p>
    <w:p w14:paraId="6A431E99">
      <w:pPr>
        <w:pStyle w:val="23"/>
        <w:spacing w:line="500" w:lineRule="exact"/>
        <w:ind w:left="0"/>
        <w:rPr>
          <w:rFonts w:hint="eastAsia" w:ascii="宋体" w:hAnsi="宋体" w:eastAsia="宋体" w:cs="宋体"/>
          <w:color w:val="auto"/>
          <w:sz w:val="52"/>
          <w:szCs w:val="52"/>
          <w:highlight w:val="none"/>
        </w:rPr>
      </w:pPr>
    </w:p>
    <w:p w14:paraId="202D6055">
      <w:pPr>
        <w:pStyle w:val="23"/>
        <w:spacing w:line="500" w:lineRule="exact"/>
        <w:ind w:left="0"/>
        <w:rPr>
          <w:rFonts w:hint="eastAsia" w:ascii="宋体" w:hAnsi="宋体" w:eastAsia="宋体" w:cs="宋体"/>
          <w:color w:val="auto"/>
          <w:sz w:val="32"/>
          <w:highlight w:val="none"/>
          <w:lang w:val="en-US" w:eastAsia="zh-CN"/>
        </w:rPr>
      </w:pPr>
      <w:r>
        <w:rPr>
          <w:rFonts w:hint="eastAsia" w:ascii="宋体" w:hAnsi="宋体" w:eastAsia="宋体" w:cs="宋体"/>
          <w:color w:val="auto"/>
          <w:sz w:val="32"/>
          <w:highlight w:val="none"/>
          <w:lang w:val="en-US" w:eastAsia="zh-CN"/>
        </w:rPr>
        <w:t xml:space="preserve"> </w:t>
      </w:r>
    </w:p>
    <w:p w14:paraId="393A0B45">
      <w:pPr>
        <w:pStyle w:val="23"/>
        <w:spacing w:line="500" w:lineRule="exact"/>
        <w:ind w:left="0"/>
        <w:rPr>
          <w:rFonts w:hint="eastAsia" w:ascii="宋体" w:hAnsi="宋体" w:eastAsia="宋体" w:cs="宋体"/>
          <w:color w:val="auto"/>
          <w:sz w:val="32"/>
          <w:highlight w:val="none"/>
        </w:rPr>
      </w:pPr>
    </w:p>
    <w:p w14:paraId="6024C4F5">
      <w:pPr>
        <w:pStyle w:val="23"/>
        <w:spacing w:line="500" w:lineRule="exact"/>
        <w:ind w:left="0"/>
        <w:jc w:val="center"/>
        <w:rPr>
          <w:rFonts w:hint="eastAsia" w:ascii="宋体" w:hAnsi="宋体" w:eastAsia="宋体" w:cs="宋体"/>
          <w:color w:val="auto"/>
          <w:sz w:val="32"/>
          <w:highlight w:val="none"/>
        </w:rPr>
      </w:pPr>
    </w:p>
    <w:p w14:paraId="7B9D2F8D">
      <w:pPr>
        <w:spacing w:line="500" w:lineRule="exact"/>
        <w:jc w:val="center"/>
        <w:outlineLvl w:val="0"/>
        <w:rPr>
          <w:rFonts w:hint="eastAsia" w:ascii="宋体" w:hAnsi="宋体" w:eastAsia="宋体" w:cs="宋体"/>
          <w:color w:val="auto"/>
          <w:sz w:val="32"/>
          <w:highlight w:val="none"/>
        </w:rPr>
      </w:pPr>
      <w:r>
        <w:rPr>
          <w:rFonts w:hint="eastAsia" w:ascii="宋体" w:hAnsi="宋体" w:eastAsia="宋体" w:cs="宋体"/>
          <w:color w:val="auto"/>
          <w:sz w:val="32"/>
          <w:highlight w:val="none"/>
        </w:rPr>
        <w:t>采购项目名称：</w:t>
      </w:r>
      <w:r>
        <w:rPr>
          <w:rFonts w:hint="eastAsia" w:ascii="宋体" w:hAnsi="宋体" w:cs="宋体"/>
          <w:color w:val="auto"/>
          <w:sz w:val="32"/>
          <w:highlight w:val="none"/>
          <w:lang w:val="en-US" w:eastAsia="zh-CN"/>
        </w:rPr>
        <w:t>秀山县中医医院医疗设备采购</w:t>
      </w:r>
    </w:p>
    <w:p w14:paraId="1AC0B155">
      <w:pPr>
        <w:pStyle w:val="23"/>
        <w:spacing w:line="500" w:lineRule="exact"/>
        <w:ind w:left="0"/>
        <w:jc w:val="center"/>
        <w:rPr>
          <w:rFonts w:hint="eastAsia" w:ascii="宋体" w:hAnsi="宋体" w:eastAsia="宋体" w:cs="宋体"/>
          <w:color w:val="auto"/>
          <w:sz w:val="32"/>
          <w:highlight w:val="none"/>
        </w:rPr>
      </w:pPr>
    </w:p>
    <w:p w14:paraId="08E82CDD">
      <w:pPr>
        <w:pStyle w:val="23"/>
        <w:spacing w:line="500" w:lineRule="exact"/>
        <w:ind w:left="0"/>
        <w:jc w:val="center"/>
        <w:rPr>
          <w:rFonts w:hint="eastAsia" w:ascii="宋体" w:hAnsi="宋体" w:eastAsia="宋体" w:cs="宋体"/>
          <w:color w:val="auto"/>
          <w:sz w:val="32"/>
          <w:highlight w:val="none"/>
        </w:rPr>
      </w:pPr>
    </w:p>
    <w:p w14:paraId="2F707D56">
      <w:pPr>
        <w:pStyle w:val="5"/>
        <w:rPr>
          <w:rFonts w:hint="eastAsia" w:ascii="宋体" w:hAnsi="宋体" w:eastAsia="宋体" w:cs="宋体"/>
          <w:color w:val="auto"/>
          <w:highlight w:val="none"/>
        </w:rPr>
      </w:pPr>
    </w:p>
    <w:p w14:paraId="31478E40">
      <w:pPr>
        <w:rPr>
          <w:rFonts w:hint="eastAsia" w:ascii="宋体" w:hAnsi="宋体" w:eastAsia="宋体" w:cs="宋体"/>
          <w:color w:val="auto"/>
          <w:highlight w:val="none"/>
        </w:rPr>
      </w:pPr>
    </w:p>
    <w:p w14:paraId="5DAD0B34">
      <w:pPr>
        <w:rPr>
          <w:rFonts w:hint="eastAsia" w:ascii="宋体" w:hAnsi="宋体" w:eastAsia="宋体" w:cs="宋体"/>
          <w:color w:val="auto"/>
          <w:highlight w:val="none"/>
        </w:rPr>
      </w:pPr>
    </w:p>
    <w:p w14:paraId="6C1FBD79">
      <w:pPr>
        <w:rPr>
          <w:rFonts w:hint="eastAsia" w:ascii="宋体" w:hAnsi="宋体" w:eastAsia="宋体" w:cs="宋体"/>
          <w:color w:val="auto"/>
          <w:highlight w:val="none"/>
        </w:rPr>
      </w:pPr>
    </w:p>
    <w:p w14:paraId="187B64A4">
      <w:pPr>
        <w:rPr>
          <w:rFonts w:hint="eastAsia" w:ascii="宋体" w:hAnsi="宋体" w:eastAsia="宋体" w:cs="宋体"/>
          <w:color w:val="auto"/>
          <w:highlight w:val="none"/>
        </w:rPr>
      </w:pPr>
    </w:p>
    <w:p w14:paraId="66B8A83C">
      <w:pPr>
        <w:rPr>
          <w:rFonts w:hint="eastAsia" w:ascii="宋体" w:hAnsi="宋体" w:eastAsia="宋体" w:cs="宋体"/>
          <w:color w:val="auto"/>
          <w:highlight w:val="none"/>
        </w:rPr>
      </w:pPr>
    </w:p>
    <w:p w14:paraId="6006DED3">
      <w:pPr>
        <w:pStyle w:val="23"/>
        <w:spacing w:line="500" w:lineRule="exact"/>
        <w:ind w:left="0" w:firstLine="1280" w:firstLineChars="400"/>
        <w:jc w:val="left"/>
        <w:rPr>
          <w:rFonts w:hint="eastAsia" w:ascii="宋体" w:hAnsi="宋体" w:cs="宋体"/>
          <w:color w:val="auto"/>
          <w:sz w:val="32"/>
          <w:highlight w:val="none"/>
          <w:lang w:val="en-US" w:eastAsia="zh-CN"/>
        </w:rPr>
      </w:pPr>
      <w:r>
        <w:rPr>
          <w:rFonts w:hint="eastAsia" w:ascii="宋体" w:hAnsi="宋体" w:eastAsia="宋体" w:cs="宋体"/>
          <w:color w:val="auto"/>
          <w:sz w:val="32"/>
          <w:highlight w:val="none"/>
        </w:rPr>
        <w:t>采购人：</w:t>
      </w:r>
      <w:r>
        <w:rPr>
          <w:rFonts w:hint="eastAsia" w:ascii="宋体" w:hAnsi="宋体" w:cs="宋体"/>
          <w:color w:val="auto"/>
          <w:sz w:val="32"/>
          <w:highlight w:val="none"/>
          <w:lang w:eastAsia="zh-CN"/>
        </w:rPr>
        <w:t>秀山土家族苗族自治县中医医院</w:t>
      </w:r>
    </w:p>
    <w:p w14:paraId="32044AF6">
      <w:pPr>
        <w:pStyle w:val="23"/>
        <w:spacing w:line="500" w:lineRule="exact"/>
        <w:ind w:left="0" w:firstLine="1280" w:firstLineChars="400"/>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highlight w:val="none"/>
        </w:rPr>
        <w:t>采购代理机构：</w:t>
      </w:r>
      <w:r>
        <w:rPr>
          <w:rFonts w:hint="eastAsia" w:ascii="宋体" w:hAnsi="宋体" w:cs="宋体"/>
          <w:color w:val="auto"/>
          <w:sz w:val="32"/>
          <w:highlight w:val="none"/>
          <w:lang w:eastAsia="zh-CN"/>
        </w:rPr>
        <w:t>重庆千诺工程项目管理有限公司</w:t>
      </w:r>
    </w:p>
    <w:p w14:paraId="3E81C83C">
      <w:pPr>
        <w:pStyle w:val="2"/>
        <w:rPr>
          <w:rFonts w:hint="eastAsia" w:ascii="宋体" w:hAnsi="宋体" w:eastAsia="宋体" w:cs="宋体"/>
          <w:color w:val="auto"/>
          <w:highlight w:val="none"/>
        </w:rPr>
      </w:pPr>
    </w:p>
    <w:p w14:paraId="33A9C097">
      <w:pPr>
        <w:snapToGrid w:val="0"/>
        <w:spacing w:line="500" w:lineRule="exact"/>
        <w:jc w:val="center"/>
        <w:rPr>
          <w:rFonts w:hint="eastAsia" w:ascii="宋体" w:hAnsi="宋体" w:eastAsia="宋体" w:cs="宋体"/>
          <w:color w:val="auto"/>
          <w:sz w:val="44"/>
          <w:szCs w:val="28"/>
          <w:highlight w:val="none"/>
        </w:rPr>
      </w:pPr>
      <w:r>
        <w:rPr>
          <w:rFonts w:hint="eastAsia" w:ascii="宋体" w:hAnsi="宋体" w:eastAsia="宋体" w:cs="宋体"/>
          <w:color w:val="auto"/>
          <w:sz w:val="32"/>
          <w:szCs w:val="32"/>
          <w:highlight w:val="none"/>
        </w:rPr>
        <w:t>二○二</w:t>
      </w:r>
      <w:r>
        <w:rPr>
          <w:rFonts w:hint="eastAsia" w:ascii="宋体" w:hAnsi="宋体" w:cs="宋体"/>
          <w:color w:val="auto"/>
          <w:sz w:val="32"/>
          <w:szCs w:val="32"/>
          <w:highlight w:val="none"/>
          <w:lang w:val="en-US" w:eastAsia="zh-CN"/>
        </w:rPr>
        <w:t>五</w:t>
      </w:r>
      <w:r>
        <w:rPr>
          <w:rFonts w:hint="eastAsia" w:ascii="宋体" w:hAnsi="宋体" w:eastAsia="宋体" w:cs="宋体"/>
          <w:color w:val="auto"/>
          <w:sz w:val="32"/>
          <w:szCs w:val="32"/>
          <w:highlight w:val="none"/>
        </w:rPr>
        <w:t>年</w:t>
      </w:r>
      <w:r>
        <w:rPr>
          <w:rFonts w:hint="eastAsia" w:ascii="宋体" w:hAnsi="宋体" w:cs="宋体"/>
          <w:color w:val="auto"/>
          <w:sz w:val="32"/>
          <w:szCs w:val="32"/>
          <w:highlight w:val="none"/>
          <w:lang w:val="en-US" w:eastAsia="zh-CN"/>
        </w:rPr>
        <w:t>四</w:t>
      </w:r>
      <w:r>
        <w:rPr>
          <w:rFonts w:hint="eastAsia" w:ascii="宋体" w:hAnsi="宋体" w:eastAsia="宋体" w:cs="宋体"/>
          <w:color w:val="auto"/>
          <w:sz w:val="32"/>
          <w:szCs w:val="32"/>
          <w:highlight w:val="none"/>
        </w:rPr>
        <w:t>月</w:t>
      </w:r>
    </w:p>
    <w:p w14:paraId="2614F5DE">
      <w:pPr>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br w:type="page"/>
      </w:r>
    </w:p>
    <w:p w14:paraId="56BF87EC">
      <w:pPr>
        <w:spacing w:line="480" w:lineRule="exact"/>
        <w:jc w:val="center"/>
        <w:outlineLvl w:val="0"/>
        <w:rPr>
          <w:rFonts w:hint="eastAsia" w:ascii="宋体" w:hAnsi="宋体" w:eastAsia="宋体" w:cs="宋体"/>
          <w:color w:val="auto"/>
          <w:sz w:val="44"/>
          <w:szCs w:val="28"/>
          <w:highlight w:val="none"/>
        </w:rPr>
      </w:pPr>
      <w:r>
        <w:rPr>
          <w:rFonts w:hint="eastAsia" w:ascii="宋体" w:hAnsi="宋体" w:eastAsia="宋体" w:cs="宋体"/>
          <w:color w:val="auto"/>
          <w:sz w:val="44"/>
          <w:szCs w:val="28"/>
          <w:highlight w:val="none"/>
        </w:rPr>
        <w:t>目录</w:t>
      </w:r>
    </w:p>
    <w:p w14:paraId="0E3D517A">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TOC \o "1-3" \h \z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"_Toc21521"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第一篇采购邀请书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_Toc21521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510DBF1">
      <w:pPr>
        <w:pStyle w:val="30"/>
        <w:tabs>
          <w:tab w:val="right" w:leader="dot" w:pos="9412"/>
        </w:tabs>
        <w:ind w:left="1120"/>
        <w:rPr>
          <w:rFonts w:hint="eastAsia" w:ascii="宋体" w:hAnsi="宋体" w:eastAsia="宋体" w:cs="宋体"/>
          <w:color w:val="auto"/>
          <w:highlight w:val="none"/>
        </w:rPr>
      </w:pPr>
    </w:p>
    <w:p w14:paraId="3045E26E">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"_Toc1145" </w:instrText>
      </w:r>
      <w:r>
        <w:rPr>
          <w:rFonts w:hint="eastAsia" w:ascii="宋体" w:hAnsi="宋体" w:eastAsia="宋体" w:cs="宋体"/>
          <w:color w:val="auto"/>
          <w:highlight w:val="none"/>
        </w:rPr>
        <w:fldChar w:fldCharType="separate"/>
      </w:r>
      <w:r>
        <w:rPr>
          <w:rFonts w:hint="eastAsia" w:ascii="宋体" w:hAnsi="宋体" w:eastAsia="宋体" w:cs="宋体"/>
          <w:bCs/>
          <w:color w:val="auto"/>
          <w:szCs w:val="30"/>
          <w:highlight w:val="none"/>
        </w:rPr>
        <w:t>第二篇采购项目技术需求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_Toc1145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06CD37D2">
      <w:pPr>
        <w:pStyle w:val="48"/>
        <w:tabs>
          <w:tab w:val="right" w:leader="dot" w:pos="9412"/>
        </w:tabs>
        <w:ind w:left="560"/>
        <w:rPr>
          <w:rFonts w:hint="eastAsia" w:ascii="宋体" w:hAnsi="宋体" w:eastAsia="宋体" w:cs="宋体"/>
          <w:color w:val="auto"/>
          <w:highlight w:val="none"/>
        </w:rPr>
      </w:pPr>
    </w:p>
    <w:p w14:paraId="54CE6FC4">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"_Toc24341"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第三篇采购项目商务需求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_Toc24341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31191CAC">
      <w:pPr>
        <w:pStyle w:val="48"/>
        <w:tabs>
          <w:tab w:val="right" w:leader="dot" w:pos="9412"/>
        </w:tabs>
        <w:ind w:left="560"/>
        <w:rPr>
          <w:rFonts w:hint="eastAsia" w:ascii="宋体" w:hAnsi="宋体" w:eastAsia="宋体" w:cs="宋体"/>
          <w:color w:val="auto"/>
          <w:highlight w:val="none"/>
        </w:rPr>
      </w:pPr>
    </w:p>
    <w:p w14:paraId="405D1A0B">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"_Toc28614"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第四篇网上竞采程序及方法、评审标准、响应无效和</w:t>
      </w:r>
      <w:r>
        <w:rPr>
          <w:rFonts w:hint="eastAsia" w:ascii="宋体" w:hAnsi="宋体" w:eastAsia="宋体" w:cs="宋体"/>
          <w:bCs/>
          <w:color w:val="auto"/>
          <w:spacing w:val="-11"/>
          <w:szCs w:val="36"/>
          <w:highlight w:val="none"/>
        </w:rPr>
        <w:t>采购终止</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_Toc28614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19B4731E">
      <w:pPr>
        <w:pStyle w:val="30"/>
        <w:tabs>
          <w:tab w:val="right" w:leader="dot" w:pos="9412"/>
        </w:tabs>
        <w:ind w:left="1120"/>
        <w:rPr>
          <w:rFonts w:hint="eastAsia" w:ascii="宋体" w:hAnsi="宋体" w:eastAsia="宋体" w:cs="宋体"/>
          <w:color w:val="auto"/>
          <w:highlight w:val="none"/>
        </w:rPr>
      </w:pPr>
    </w:p>
    <w:p w14:paraId="666D06D7">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"_Toc13753" </w:instrText>
      </w:r>
      <w:r>
        <w:rPr>
          <w:rFonts w:hint="eastAsia" w:ascii="宋体" w:hAnsi="宋体" w:eastAsia="宋体" w:cs="宋体"/>
          <w:color w:val="auto"/>
          <w:highlight w:val="none"/>
        </w:rPr>
        <w:fldChar w:fldCharType="separate"/>
      </w:r>
      <w:r>
        <w:rPr>
          <w:rFonts w:hint="eastAsia" w:ascii="宋体" w:hAnsi="宋体" w:eastAsia="宋体" w:cs="宋体"/>
          <w:bCs/>
          <w:color w:val="auto"/>
          <w:spacing w:val="-11"/>
          <w:szCs w:val="30"/>
          <w:highlight w:val="none"/>
        </w:rPr>
        <w:t>第五篇供应商须知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_Toc13753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621C5C0A">
      <w:pPr>
        <w:pStyle w:val="30"/>
        <w:tabs>
          <w:tab w:val="right" w:leader="dot" w:pos="9412"/>
        </w:tabs>
        <w:ind w:left="1120"/>
        <w:rPr>
          <w:rFonts w:hint="eastAsia" w:ascii="宋体" w:hAnsi="宋体" w:eastAsia="宋体" w:cs="宋体"/>
          <w:color w:val="auto"/>
          <w:highlight w:val="none"/>
        </w:rPr>
      </w:pPr>
    </w:p>
    <w:p w14:paraId="5922ECE0">
      <w:pPr>
        <w:pStyle w:val="48"/>
        <w:tabs>
          <w:tab w:val="right" w:leader="dot" w:pos="9412"/>
        </w:tabs>
        <w:ind w:left="560"/>
        <w:rPr>
          <w:rFonts w:hint="eastAsia"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\l "_Toc4239" </w:instrText>
      </w:r>
      <w:r>
        <w:rPr>
          <w:rFonts w:hint="eastAsia" w:ascii="宋体" w:hAnsi="宋体" w:eastAsia="宋体" w:cs="宋体"/>
          <w:color w:val="auto"/>
          <w:highlight w:val="none"/>
        </w:rPr>
        <w:fldChar w:fldCharType="separate"/>
      </w:r>
      <w:r>
        <w:rPr>
          <w:rFonts w:hint="eastAsia" w:ascii="宋体" w:hAnsi="宋体" w:eastAsia="宋体" w:cs="宋体"/>
          <w:color w:val="auto"/>
          <w:szCs w:val="30"/>
          <w:highlight w:val="none"/>
        </w:rPr>
        <w:t>第六篇合同草案条款和格式合同（模板）</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_Toc4239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14:paraId="4F9E665C">
      <w:pPr>
        <w:rPr>
          <w:rFonts w:hint="eastAsia"/>
          <w:highlight w:val="none"/>
        </w:rPr>
      </w:pPr>
    </w:p>
    <w:p w14:paraId="144DCF33">
      <w:pPr>
        <w:ind w:firstLine="560" w:firstLineChars="200"/>
        <w:rPr>
          <w:rFonts w:hint="default" w:eastAsia="宋体"/>
          <w:highlight w:val="none"/>
          <w:lang w:val="en-US" w:eastAsia="zh-CN"/>
        </w:rPr>
      </w:pPr>
      <w:r>
        <w:rPr>
          <w:rFonts w:hint="eastAsia"/>
          <w:highlight w:val="none"/>
        </w:rPr>
        <w:t>第七篇响应文件编制要求</w:t>
      </w:r>
      <w:r>
        <w:rPr>
          <w:rFonts w:hint="eastAsia"/>
          <w:highlight w:val="none"/>
          <w:lang w:val="en-US" w:eastAsia="zh-CN"/>
        </w:rPr>
        <w:t>.............................................................................</w:t>
      </w:r>
      <w:r>
        <w:rPr>
          <w:rFonts w:hint="eastAsia" w:ascii="宋体" w:hAnsi="宋体" w:cs="宋体"/>
          <w:color w:val="auto"/>
          <w:highlight w:val="none"/>
          <w:lang w:val="en-US" w:eastAsia="zh-CN"/>
        </w:rPr>
        <w:t>48</w:t>
      </w:r>
    </w:p>
    <w:p w14:paraId="4E649E4B">
      <w:pPr>
        <w:rPr>
          <w:rFonts w:hint="eastAsia"/>
          <w:highlight w:val="none"/>
        </w:rPr>
      </w:pPr>
    </w:p>
    <w:p w14:paraId="45B6DA62">
      <w:pPr>
        <w:pStyle w:val="30"/>
        <w:tabs>
          <w:tab w:val="right" w:leader="dot" w:pos="9412"/>
        </w:tabs>
        <w:ind w:left="1120"/>
        <w:rPr>
          <w:rFonts w:hint="eastAsia" w:ascii="宋体" w:hAnsi="宋体" w:eastAsia="宋体" w:cs="宋体"/>
          <w:color w:val="auto"/>
          <w:highlight w:val="none"/>
        </w:rPr>
      </w:pPr>
    </w:p>
    <w:p w14:paraId="25FCD9AB">
      <w:pPr>
        <w:pStyle w:val="48"/>
        <w:tabs>
          <w:tab w:val="right" w:leader="dot" w:pos="9402"/>
        </w:tabs>
        <w:spacing w:line="480" w:lineRule="exact"/>
        <w:ind w:left="560"/>
        <w:jc w:val="center"/>
        <w:rPr>
          <w:rFonts w:hint="eastAsia" w:ascii="宋体" w:hAnsi="宋体" w:eastAsia="宋体" w:cs="宋体"/>
          <w:color w:val="auto"/>
          <w:sz w:val="18"/>
          <w:szCs w:val="22"/>
          <w:highlight w:val="none"/>
        </w:rPr>
        <w:sectPr>
          <w:headerReference r:id="rId3" w:type="default"/>
          <w:footerReference r:id="rId4" w:type="default"/>
          <w:pgSz w:w="11907" w:h="16840"/>
          <w:pgMar w:top="1134" w:right="1191" w:bottom="1134" w:left="1304" w:header="851" w:footer="992" w:gutter="0"/>
          <w:pgNumType w:fmt="numberInDash" w:start="1"/>
          <w:cols w:space="720" w:num="1"/>
          <w:docGrid w:linePitch="380" w:charSpace="-5735"/>
        </w:sectPr>
      </w:pPr>
      <w:r>
        <w:rPr>
          <w:rFonts w:hint="eastAsia" w:ascii="宋体" w:hAnsi="宋体" w:eastAsia="宋体" w:cs="宋体"/>
          <w:color w:val="auto"/>
          <w:szCs w:val="24"/>
          <w:highlight w:val="none"/>
        </w:rPr>
        <w:fldChar w:fldCharType="end"/>
      </w:r>
    </w:p>
    <w:p w14:paraId="148D8934">
      <w:pPr>
        <w:pStyle w:val="4"/>
        <w:spacing w:line="360" w:lineRule="auto"/>
        <w:jc w:val="center"/>
        <w:rPr>
          <w:rFonts w:hint="eastAsia" w:ascii="宋体" w:hAnsi="宋体" w:eastAsia="宋体" w:cs="宋体"/>
          <w:bCs/>
          <w:color w:val="auto"/>
          <w:szCs w:val="30"/>
          <w:highlight w:val="none"/>
        </w:rPr>
      </w:pPr>
      <w:bookmarkStart w:id="30" w:name="_Toc12789052"/>
      <w:bookmarkStart w:id="31" w:name="_Toc21521"/>
      <w:bookmarkStart w:id="32" w:name="_Toc11641050"/>
      <w:r>
        <w:rPr>
          <w:rFonts w:hint="eastAsia" w:ascii="宋体" w:hAnsi="宋体" w:eastAsia="宋体" w:cs="宋体"/>
          <w:bCs/>
          <w:color w:val="auto"/>
          <w:sz w:val="36"/>
          <w:szCs w:val="30"/>
          <w:highlight w:val="none"/>
        </w:rPr>
        <w:t>第一篇采购邀请书</w:t>
      </w:r>
      <w:bookmarkEnd w:id="30"/>
      <w:bookmarkEnd w:id="31"/>
      <w:bookmarkEnd w:id="32"/>
    </w:p>
    <w:p w14:paraId="5D45ECE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重庆千诺工程项目管理有限公司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eastAsia="zh-CN"/>
        </w:rPr>
        <w:t>秀山土家族苗族自治县中医医院</w:t>
      </w:r>
      <w:r>
        <w:rPr>
          <w:rFonts w:hint="eastAsia" w:ascii="宋体" w:hAnsi="宋体" w:eastAsia="宋体" w:cs="宋体"/>
          <w:color w:val="auto"/>
          <w:sz w:val="24"/>
          <w:szCs w:val="24"/>
          <w:highlight w:val="none"/>
        </w:rPr>
        <w:t>的委托，对</w:t>
      </w:r>
      <w:r>
        <w:rPr>
          <w:rFonts w:hint="eastAsia" w:ascii="宋体" w:hAnsi="宋体" w:cs="宋体"/>
          <w:color w:val="auto"/>
          <w:sz w:val="24"/>
          <w:szCs w:val="24"/>
          <w:highlight w:val="none"/>
          <w:u w:val="single"/>
          <w:lang w:eastAsia="zh-CN"/>
        </w:rPr>
        <w:t>秀山县中医医院医疗设备采购</w:t>
      </w:r>
      <w:r>
        <w:rPr>
          <w:rFonts w:hint="eastAsia" w:ascii="宋体" w:hAnsi="宋体" w:eastAsia="宋体" w:cs="宋体"/>
          <w:color w:val="auto"/>
          <w:sz w:val="24"/>
          <w:szCs w:val="24"/>
          <w:highlight w:val="none"/>
        </w:rPr>
        <w:t>进行网上竞采。欢迎有资格的供应商前来参与网上竞采。</w:t>
      </w:r>
    </w:p>
    <w:p w14:paraId="35C6EC5C">
      <w:pPr>
        <w:pStyle w:val="5"/>
        <w:numPr>
          <w:ilvl w:val="0"/>
          <w:numId w:val="14"/>
        </w:numPr>
        <w:spacing w:before="240" w:beforeLines="100" w:after="0" w:line="360" w:lineRule="auto"/>
        <w:rPr>
          <w:rFonts w:hint="eastAsia" w:ascii="宋体" w:hAnsi="宋体" w:eastAsia="宋体" w:cs="宋体"/>
          <w:color w:val="auto"/>
          <w:sz w:val="24"/>
          <w:szCs w:val="24"/>
          <w:highlight w:val="none"/>
        </w:rPr>
      </w:pPr>
      <w:bookmarkStart w:id="33" w:name="_Toc2406"/>
      <w:bookmarkStart w:id="34" w:name="_Toc5721"/>
      <w:bookmarkStart w:id="35" w:name="_Toc313893526"/>
      <w:bookmarkStart w:id="36" w:name="_Toc317775175"/>
      <w:bookmarkStart w:id="37" w:name="_Toc373860293"/>
      <w:bookmarkStart w:id="38" w:name="_Toc317775178"/>
      <w:r>
        <w:rPr>
          <w:rFonts w:hint="eastAsia" w:ascii="宋体" w:hAnsi="宋体" w:eastAsia="宋体" w:cs="宋体"/>
          <w:color w:val="auto"/>
          <w:sz w:val="24"/>
          <w:szCs w:val="24"/>
          <w:highlight w:val="none"/>
        </w:rPr>
        <w:t>采购内容</w:t>
      </w:r>
      <w:bookmarkEnd w:id="33"/>
      <w:bookmarkEnd w:id="34"/>
      <w:bookmarkEnd w:id="35"/>
      <w:bookmarkEnd w:id="36"/>
    </w:p>
    <w:tbl>
      <w:tblPr>
        <w:tblStyle w:val="61"/>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9"/>
        <w:gridCol w:w="1812"/>
        <w:gridCol w:w="1586"/>
        <w:gridCol w:w="1081"/>
      </w:tblGrid>
      <w:tr w14:paraId="00B8B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19" w:type="dxa"/>
            <w:tcBorders>
              <w:top w:val="single" w:color="auto" w:sz="4" w:space="0"/>
              <w:left w:val="single" w:color="auto" w:sz="4" w:space="0"/>
              <w:right w:val="single" w:color="auto" w:sz="4" w:space="0"/>
            </w:tcBorders>
            <w:vAlign w:val="center"/>
          </w:tcPr>
          <w:p w14:paraId="6BD1D022">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项目名称</w:t>
            </w:r>
          </w:p>
        </w:tc>
        <w:tc>
          <w:tcPr>
            <w:tcW w:w="1812" w:type="dxa"/>
            <w:tcBorders>
              <w:top w:val="single" w:color="auto" w:sz="4" w:space="0"/>
              <w:left w:val="single" w:color="auto" w:sz="4" w:space="0"/>
              <w:right w:val="single" w:color="auto" w:sz="4" w:space="0"/>
            </w:tcBorders>
            <w:vAlign w:val="center"/>
          </w:tcPr>
          <w:p w14:paraId="579F5053">
            <w:pPr>
              <w:widowControl/>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暂定总</w:t>
            </w:r>
            <w:r>
              <w:rPr>
                <w:rFonts w:hint="eastAsia" w:ascii="宋体" w:hAnsi="宋体" w:eastAsia="宋体" w:cs="宋体"/>
                <w:b/>
                <w:bCs/>
                <w:color w:val="auto"/>
                <w:kern w:val="0"/>
                <w:sz w:val="24"/>
                <w:szCs w:val="24"/>
                <w:highlight w:val="none"/>
              </w:rPr>
              <w:t>限价</w:t>
            </w:r>
          </w:p>
          <w:p w14:paraId="02E2365D">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586" w:type="dxa"/>
            <w:tcBorders>
              <w:top w:val="single" w:color="auto" w:sz="4" w:space="0"/>
              <w:left w:val="single" w:color="auto" w:sz="4" w:space="0"/>
              <w:right w:val="single" w:color="auto" w:sz="4" w:space="0"/>
            </w:tcBorders>
            <w:vAlign w:val="center"/>
          </w:tcPr>
          <w:p w14:paraId="33DA2B38">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eastAsia="zh-CN"/>
              </w:rPr>
              <w:t>中标人</w:t>
            </w:r>
            <w:r>
              <w:rPr>
                <w:rFonts w:hint="eastAsia" w:ascii="宋体" w:hAnsi="宋体" w:eastAsia="宋体" w:cs="宋体"/>
                <w:b/>
                <w:bCs/>
                <w:color w:val="auto"/>
                <w:kern w:val="0"/>
                <w:sz w:val="24"/>
                <w:szCs w:val="24"/>
                <w:highlight w:val="none"/>
              </w:rPr>
              <w:t>数量（名）</w:t>
            </w:r>
          </w:p>
        </w:tc>
        <w:tc>
          <w:tcPr>
            <w:tcW w:w="1081" w:type="dxa"/>
            <w:tcBorders>
              <w:top w:val="single" w:color="auto" w:sz="4" w:space="0"/>
              <w:left w:val="single" w:color="auto" w:sz="4" w:space="0"/>
              <w:right w:val="single" w:color="auto" w:sz="4" w:space="0"/>
            </w:tcBorders>
            <w:vAlign w:val="center"/>
          </w:tcPr>
          <w:p w14:paraId="7F7F58E0">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备注</w:t>
            </w:r>
          </w:p>
        </w:tc>
      </w:tr>
      <w:tr w14:paraId="46D1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9" w:type="dxa"/>
            <w:vMerge w:val="restart"/>
            <w:tcBorders>
              <w:top w:val="single" w:color="auto" w:sz="4" w:space="0"/>
              <w:left w:val="single" w:color="auto" w:sz="4" w:space="0"/>
              <w:right w:val="single" w:color="auto" w:sz="4" w:space="0"/>
            </w:tcBorders>
            <w:vAlign w:val="center"/>
          </w:tcPr>
          <w:p w14:paraId="43FC67D9">
            <w:pPr>
              <w:jc w:val="both"/>
              <w:rPr>
                <w:rFonts w:hint="eastAsia" w:ascii="宋体" w:hAnsi="宋体" w:eastAsia="宋体" w:cs="宋体"/>
                <w:color w:val="auto"/>
                <w:sz w:val="24"/>
                <w:szCs w:val="24"/>
                <w:highlight w:val="none"/>
                <w:lang w:eastAsia="zh-CN"/>
              </w:rPr>
            </w:pPr>
            <w:bookmarkStart w:id="39" w:name="_Hlk344477914"/>
            <w:r>
              <w:rPr>
                <w:rFonts w:hint="eastAsia" w:ascii="宋体" w:hAnsi="宋体" w:cs="宋体"/>
                <w:color w:val="auto"/>
                <w:sz w:val="24"/>
                <w:szCs w:val="24"/>
                <w:highlight w:val="none"/>
                <w:lang w:eastAsia="zh-CN"/>
              </w:rPr>
              <w:t>秀山县中医医院医疗设备采购</w:t>
            </w:r>
          </w:p>
        </w:tc>
        <w:tc>
          <w:tcPr>
            <w:tcW w:w="1812" w:type="dxa"/>
            <w:vMerge w:val="restart"/>
            <w:tcBorders>
              <w:top w:val="single" w:color="auto" w:sz="4" w:space="0"/>
              <w:left w:val="single" w:color="auto" w:sz="4" w:space="0"/>
              <w:right w:val="single" w:color="auto" w:sz="4" w:space="0"/>
            </w:tcBorders>
            <w:vAlign w:val="center"/>
          </w:tcPr>
          <w:p w14:paraId="22D3DD8C">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432000</w:t>
            </w:r>
            <w:r>
              <w:rPr>
                <w:rFonts w:hint="eastAsia" w:ascii="宋体" w:hAnsi="宋体" w:cs="宋体"/>
                <w:color w:val="auto"/>
                <w:sz w:val="24"/>
                <w:szCs w:val="24"/>
                <w:highlight w:val="none"/>
                <w:lang w:val="en-US" w:eastAsia="zh-CN"/>
              </w:rPr>
              <w:t>.00</w:t>
            </w:r>
          </w:p>
        </w:tc>
        <w:tc>
          <w:tcPr>
            <w:tcW w:w="1586" w:type="dxa"/>
            <w:vMerge w:val="restart"/>
            <w:tcBorders>
              <w:top w:val="single" w:color="auto" w:sz="4" w:space="0"/>
              <w:left w:val="single" w:color="auto" w:sz="4" w:space="0"/>
              <w:right w:val="single" w:color="auto" w:sz="4" w:space="0"/>
            </w:tcBorders>
            <w:vAlign w:val="center"/>
          </w:tcPr>
          <w:p w14:paraId="3D1E7BFF">
            <w:pPr>
              <w:widowControl/>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1"/>
                <w:szCs w:val="24"/>
                <w:highlight w:val="none"/>
                <w:lang w:val="en-US" w:eastAsia="zh-CN"/>
              </w:rPr>
              <w:t>1</w:t>
            </w:r>
          </w:p>
        </w:tc>
        <w:tc>
          <w:tcPr>
            <w:tcW w:w="1081" w:type="dxa"/>
            <w:vMerge w:val="restart"/>
            <w:tcBorders>
              <w:top w:val="single" w:color="auto" w:sz="4" w:space="0"/>
              <w:left w:val="single" w:color="auto" w:sz="4" w:space="0"/>
              <w:right w:val="single" w:color="auto" w:sz="4" w:space="0"/>
            </w:tcBorders>
            <w:vAlign w:val="center"/>
          </w:tcPr>
          <w:p w14:paraId="724C1158">
            <w:pPr>
              <w:jc w:val="center"/>
              <w:rPr>
                <w:rFonts w:hint="default" w:ascii="宋体" w:hAnsi="宋体" w:eastAsia="宋体" w:cs="宋体"/>
                <w:color w:val="auto"/>
                <w:sz w:val="24"/>
                <w:szCs w:val="24"/>
                <w:highlight w:val="none"/>
                <w:lang w:val="en-US" w:eastAsia="zh-CN"/>
              </w:rPr>
            </w:pPr>
          </w:p>
        </w:tc>
      </w:tr>
      <w:tr w14:paraId="7B91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9" w:type="dxa"/>
            <w:vMerge w:val="continue"/>
            <w:tcBorders>
              <w:left w:val="single" w:color="auto" w:sz="4" w:space="0"/>
              <w:right w:val="single" w:color="auto" w:sz="4" w:space="0"/>
            </w:tcBorders>
            <w:vAlign w:val="center"/>
          </w:tcPr>
          <w:p w14:paraId="6625C743">
            <w:pPr>
              <w:jc w:val="center"/>
              <w:rPr>
                <w:rFonts w:hint="eastAsia" w:ascii="宋体" w:hAnsi="宋体" w:cs="宋体"/>
                <w:color w:val="auto"/>
                <w:sz w:val="24"/>
                <w:szCs w:val="24"/>
                <w:highlight w:val="none"/>
                <w:lang w:eastAsia="zh-CN"/>
              </w:rPr>
            </w:pPr>
            <w:bookmarkStart w:id="40" w:name="_Toc25538"/>
            <w:bookmarkStart w:id="41" w:name="_Toc1752"/>
          </w:p>
        </w:tc>
        <w:tc>
          <w:tcPr>
            <w:tcW w:w="1812" w:type="dxa"/>
            <w:vMerge w:val="continue"/>
            <w:tcBorders>
              <w:left w:val="single" w:color="auto" w:sz="4" w:space="0"/>
              <w:right w:val="single" w:color="auto" w:sz="4" w:space="0"/>
            </w:tcBorders>
            <w:vAlign w:val="center"/>
          </w:tcPr>
          <w:p w14:paraId="156D15C1">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86" w:type="dxa"/>
            <w:vMerge w:val="continue"/>
            <w:tcBorders>
              <w:left w:val="single" w:color="auto" w:sz="4" w:space="0"/>
              <w:right w:val="single" w:color="auto" w:sz="4" w:space="0"/>
            </w:tcBorders>
            <w:vAlign w:val="center"/>
          </w:tcPr>
          <w:p w14:paraId="63B2280F">
            <w:pPr>
              <w:widowControl/>
              <w:jc w:val="center"/>
              <w:rPr>
                <w:rFonts w:hint="eastAsia" w:ascii="宋体" w:hAnsi="宋体" w:eastAsia="宋体" w:cs="宋体"/>
                <w:color w:val="auto"/>
                <w:kern w:val="0"/>
                <w:sz w:val="21"/>
                <w:szCs w:val="24"/>
                <w:highlight w:val="none"/>
                <w:lang w:val="en-US" w:eastAsia="zh-CN"/>
              </w:rPr>
            </w:pPr>
          </w:p>
        </w:tc>
        <w:tc>
          <w:tcPr>
            <w:tcW w:w="1081" w:type="dxa"/>
            <w:vMerge w:val="continue"/>
            <w:tcBorders>
              <w:left w:val="single" w:color="auto" w:sz="4" w:space="0"/>
              <w:right w:val="single" w:color="auto" w:sz="4" w:space="0"/>
            </w:tcBorders>
            <w:vAlign w:val="center"/>
          </w:tcPr>
          <w:p w14:paraId="5C5DFD45">
            <w:pPr>
              <w:jc w:val="center"/>
              <w:rPr>
                <w:rFonts w:hint="eastAsia" w:ascii="宋体" w:hAnsi="宋体" w:cs="宋体"/>
                <w:color w:val="auto"/>
                <w:sz w:val="24"/>
                <w:szCs w:val="24"/>
                <w:highlight w:val="none"/>
                <w:lang w:val="en-US" w:eastAsia="zh-CN"/>
              </w:rPr>
            </w:pPr>
          </w:p>
        </w:tc>
      </w:tr>
      <w:tr w14:paraId="51830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9" w:type="dxa"/>
            <w:vMerge w:val="continue"/>
            <w:tcBorders>
              <w:left w:val="single" w:color="auto" w:sz="4" w:space="0"/>
              <w:right w:val="single" w:color="auto" w:sz="4" w:space="0"/>
            </w:tcBorders>
            <w:vAlign w:val="center"/>
          </w:tcPr>
          <w:p w14:paraId="171E95B7">
            <w:pPr>
              <w:jc w:val="center"/>
              <w:rPr>
                <w:rFonts w:hint="eastAsia" w:ascii="宋体" w:hAnsi="宋体" w:cs="宋体"/>
                <w:color w:val="auto"/>
                <w:sz w:val="24"/>
                <w:szCs w:val="24"/>
                <w:highlight w:val="none"/>
                <w:lang w:eastAsia="zh-CN"/>
              </w:rPr>
            </w:pPr>
          </w:p>
        </w:tc>
        <w:tc>
          <w:tcPr>
            <w:tcW w:w="1812" w:type="dxa"/>
            <w:vMerge w:val="continue"/>
            <w:tcBorders>
              <w:left w:val="single" w:color="auto" w:sz="4" w:space="0"/>
              <w:right w:val="single" w:color="auto" w:sz="4" w:space="0"/>
            </w:tcBorders>
            <w:vAlign w:val="center"/>
          </w:tcPr>
          <w:p w14:paraId="37A0302B">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86" w:type="dxa"/>
            <w:vMerge w:val="continue"/>
            <w:tcBorders>
              <w:left w:val="single" w:color="auto" w:sz="4" w:space="0"/>
              <w:right w:val="single" w:color="auto" w:sz="4" w:space="0"/>
            </w:tcBorders>
            <w:vAlign w:val="center"/>
          </w:tcPr>
          <w:p w14:paraId="6BC7665A">
            <w:pPr>
              <w:widowControl/>
              <w:jc w:val="center"/>
              <w:rPr>
                <w:rFonts w:hint="eastAsia" w:ascii="宋体" w:hAnsi="宋体" w:eastAsia="宋体" w:cs="宋体"/>
                <w:color w:val="auto"/>
                <w:kern w:val="0"/>
                <w:sz w:val="21"/>
                <w:szCs w:val="24"/>
                <w:highlight w:val="none"/>
                <w:lang w:val="en-US" w:eastAsia="zh-CN"/>
              </w:rPr>
            </w:pPr>
          </w:p>
        </w:tc>
        <w:tc>
          <w:tcPr>
            <w:tcW w:w="1081" w:type="dxa"/>
            <w:vMerge w:val="continue"/>
            <w:tcBorders>
              <w:left w:val="single" w:color="auto" w:sz="4" w:space="0"/>
              <w:right w:val="single" w:color="auto" w:sz="4" w:space="0"/>
            </w:tcBorders>
            <w:vAlign w:val="center"/>
          </w:tcPr>
          <w:p w14:paraId="794450B5">
            <w:pPr>
              <w:jc w:val="center"/>
              <w:rPr>
                <w:rFonts w:hint="eastAsia" w:ascii="宋体" w:hAnsi="宋体" w:cs="宋体"/>
                <w:color w:val="auto"/>
                <w:sz w:val="24"/>
                <w:szCs w:val="24"/>
                <w:highlight w:val="none"/>
                <w:lang w:val="en-US" w:eastAsia="zh-CN"/>
              </w:rPr>
            </w:pPr>
          </w:p>
        </w:tc>
      </w:tr>
      <w:tr w14:paraId="6B68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519" w:type="dxa"/>
            <w:vMerge w:val="continue"/>
            <w:tcBorders>
              <w:left w:val="single" w:color="auto" w:sz="4" w:space="0"/>
              <w:bottom w:val="single" w:color="auto" w:sz="4" w:space="0"/>
              <w:right w:val="single" w:color="auto" w:sz="4" w:space="0"/>
            </w:tcBorders>
            <w:vAlign w:val="center"/>
          </w:tcPr>
          <w:p w14:paraId="61F7A60B">
            <w:pPr>
              <w:jc w:val="center"/>
              <w:rPr>
                <w:rFonts w:hint="eastAsia" w:ascii="宋体" w:hAnsi="宋体" w:cs="宋体"/>
                <w:color w:val="auto"/>
                <w:sz w:val="24"/>
                <w:szCs w:val="24"/>
                <w:highlight w:val="none"/>
                <w:lang w:eastAsia="zh-CN"/>
              </w:rPr>
            </w:pPr>
          </w:p>
        </w:tc>
        <w:tc>
          <w:tcPr>
            <w:tcW w:w="1812" w:type="dxa"/>
            <w:vMerge w:val="continue"/>
            <w:tcBorders>
              <w:left w:val="single" w:color="auto" w:sz="4" w:space="0"/>
              <w:bottom w:val="single" w:color="auto" w:sz="4" w:space="0"/>
              <w:right w:val="single" w:color="auto" w:sz="4" w:space="0"/>
            </w:tcBorders>
            <w:vAlign w:val="center"/>
          </w:tcPr>
          <w:p w14:paraId="45DFE698">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586" w:type="dxa"/>
            <w:vMerge w:val="continue"/>
            <w:tcBorders>
              <w:left w:val="single" w:color="auto" w:sz="4" w:space="0"/>
              <w:bottom w:val="single" w:color="auto" w:sz="4" w:space="0"/>
              <w:right w:val="single" w:color="auto" w:sz="4" w:space="0"/>
            </w:tcBorders>
            <w:vAlign w:val="center"/>
          </w:tcPr>
          <w:p w14:paraId="13282CF3">
            <w:pPr>
              <w:widowControl/>
              <w:jc w:val="center"/>
              <w:rPr>
                <w:rFonts w:hint="eastAsia" w:ascii="宋体" w:hAnsi="宋体" w:eastAsia="宋体" w:cs="宋体"/>
                <w:color w:val="auto"/>
                <w:kern w:val="0"/>
                <w:sz w:val="21"/>
                <w:szCs w:val="24"/>
                <w:highlight w:val="none"/>
                <w:lang w:val="en-US" w:eastAsia="zh-CN"/>
              </w:rPr>
            </w:pPr>
          </w:p>
        </w:tc>
        <w:tc>
          <w:tcPr>
            <w:tcW w:w="1081" w:type="dxa"/>
            <w:vMerge w:val="continue"/>
            <w:tcBorders>
              <w:left w:val="single" w:color="auto" w:sz="4" w:space="0"/>
              <w:bottom w:val="single" w:color="auto" w:sz="4" w:space="0"/>
              <w:right w:val="single" w:color="auto" w:sz="4" w:space="0"/>
            </w:tcBorders>
            <w:vAlign w:val="center"/>
          </w:tcPr>
          <w:p w14:paraId="3EE5471F">
            <w:pPr>
              <w:jc w:val="center"/>
              <w:rPr>
                <w:rFonts w:hint="eastAsia" w:ascii="宋体" w:hAnsi="宋体" w:cs="宋体"/>
                <w:color w:val="auto"/>
                <w:sz w:val="24"/>
                <w:szCs w:val="24"/>
                <w:highlight w:val="none"/>
                <w:lang w:val="en-US" w:eastAsia="zh-CN"/>
              </w:rPr>
            </w:pPr>
          </w:p>
        </w:tc>
      </w:tr>
      <w:bookmarkEnd w:id="39"/>
    </w:tbl>
    <w:p w14:paraId="00A3F56D">
      <w:pPr>
        <w:pStyle w:val="5"/>
        <w:spacing w:before="240" w:beforeLines="10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二、资金来源</w:t>
      </w:r>
      <w:bookmarkEnd w:id="40"/>
      <w:bookmarkEnd w:id="41"/>
    </w:p>
    <w:p w14:paraId="16998AC0">
      <w:pPr>
        <w:keepNext/>
        <w:keepLines/>
        <w:spacing w:line="400" w:lineRule="exact"/>
        <w:ind w:firstLine="480" w:firstLineChars="200"/>
        <w:rPr>
          <w:rFonts w:hint="eastAsia" w:ascii="宋体" w:hAnsi="宋体" w:eastAsia="宋体" w:cs="宋体"/>
          <w:bCs/>
          <w:color w:val="auto"/>
          <w:sz w:val="24"/>
          <w:szCs w:val="24"/>
          <w:highlight w:val="none"/>
        </w:rPr>
      </w:pPr>
      <w:bookmarkStart w:id="42" w:name="_Toc5745"/>
      <w:bookmarkStart w:id="43" w:name="_Toc358"/>
      <w:bookmarkStart w:id="44" w:name="_Toc5679"/>
      <w:bookmarkStart w:id="45" w:name="_Toc26791"/>
      <w:r>
        <w:rPr>
          <w:rFonts w:hint="eastAsia" w:ascii="宋体" w:hAnsi="宋体" w:cs="宋体"/>
          <w:bCs/>
          <w:color w:val="auto"/>
          <w:sz w:val="24"/>
          <w:szCs w:val="24"/>
          <w:highlight w:val="none"/>
          <w:lang w:val="en-US" w:eastAsia="zh-CN"/>
        </w:rPr>
        <w:t>业主自筹</w:t>
      </w:r>
      <w:r>
        <w:rPr>
          <w:rFonts w:hint="eastAsia" w:ascii="宋体" w:hAnsi="宋体" w:eastAsia="宋体" w:cs="宋体"/>
          <w:bCs/>
          <w:color w:val="auto"/>
          <w:sz w:val="24"/>
          <w:szCs w:val="24"/>
          <w:highlight w:val="none"/>
        </w:rPr>
        <w:t>，预算金额为</w:t>
      </w:r>
      <w:r>
        <w:rPr>
          <w:rFonts w:hint="eastAsia" w:ascii="宋体" w:hAnsi="宋体" w:eastAsia="宋体" w:cs="宋体"/>
          <w:color w:val="auto"/>
          <w:sz w:val="24"/>
          <w:szCs w:val="24"/>
          <w:highlight w:val="none"/>
          <w:lang w:val="en-US" w:eastAsia="zh-CN"/>
        </w:rPr>
        <w:t>432000</w:t>
      </w:r>
      <w:r>
        <w:rPr>
          <w:rFonts w:hint="eastAsia" w:ascii="宋体" w:hAnsi="宋体" w:cs="宋体"/>
          <w:color w:val="auto"/>
          <w:sz w:val="24"/>
          <w:szCs w:val="24"/>
          <w:highlight w:val="none"/>
          <w:lang w:val="en-US" w:eastAsia="zh-CN"/>
        </w:rPr>
        <w:t>.00</w:t>
      </w:r>
      <w:r>
        <w:rPr>
          <w:rFonts w:hint="eastAsia" w:ascii="宋体" w:hAnsi="宋体" w:eastAsia="宋体" w:cs="宋体"/>
          <w:bCs/>
          <w:color w:val="auto"/>
          <w:sz w:val="24"/>
          <w:szCs w:val="24"/>
          <w:highlight w:val="none"/>
        </w:rPr>
        <w:t>元</w:t>
      </w:r>
      <w:bookmarkEnd w:id="42"/>
      <w:bookmarkEnd w:id="43"/>
      <w:bookmarkEnd w:id="44"/>
      <w:r>
        <w:rPr>
          <w:rFonts w:hint="eastAsia" w:ascii="宋体" w:hAnsi="宋体" w:eastAsia="宋体" w:cs="宋体"/>
          <w:bCs/>
          <w:color w:val="auto"/>
          <w:sz w:val="24"/>
          <w:szCs w:val="24"/>
          <w:highlight w:val="none"/>
        </w:rPr>
        <w:t>。</w:t>
      </w:r>
      <w:bookmarkEnd w:id="45"/>
    </w:p>
    <w:p w14:paraId="129D167B">
      <w:pPr>
        <w:pStyle w:val="5"/>
        <w:spacing w:before="240" w:beforeLines="100" w:after="0" w:line="360" w:lineRule="auto"/>
        <w:rPr>
          <w:rFonts w:hint="eastAsia" w:ascii="宋体" w:hAnsi="宋体" w:eastAsia="宋体" w:cs="宋体"/>
          <w:color w:val="auto"/>
          <w:sz w:val="24"/>
          <w:szCs w:val="24"/>
          <w:highlight w:val="none"/>
        </w:rPr>
      </w:pPr>
      <w:bookmarkStart w:id="46" w:name="_Toc18111"/>
      <w:bookmarkStart w:id="47" w:name="_Toc27448"/>
      <w:r>
        <w:rPr>
          <w:rFonts w:hint="eastAsia" w:ascii="宋体" w:hAnsi="宋体" w:eastAsia="宋体" w:cs="宋体"/>
          <w:color w:val="auto"/>
          <w:sz w:val="24"/>
          <w:szCs w:val="24"/>
          <w:highlight w:val="none"/>
        </w:rPr>
        <w:t>三、供应商资格条件</w:t>
      </w:r>
      <w:bookmarkEnd w:id="46"/>
      <w:bookmarkEnd w:id="47"/>
    </w:p>
    <w:p w14:paraId="06446854">
      <w:pPr>
        <w:wordWrap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供应商是指向采购人提供服务或者货物的法人、其他组织或者自然人。合格的供应商应符合政府采购法第二十二条规定的基本资格条件</w:t>
      </w:r>
      <w:r>
        <w:rPr>
          <w:rFonts w:hint="eastAsia" w:ascii="宋体" w:hAnsi="宋体" w:eastAsia="宋体" w:cs="宋体"/>
          <w:color w:val="auto"/>
          <w:sz w:val="24"/>
          <w:szCs w:val="24"/>
          <w:highlight w:val="none"/>
          <w:lang w:eastAsia="zh-CN"/>
        </w:rPr>
        <w:t>。</w:t>
      </w:r>
    </w:p>
    <w:p w14:paraId="7E7DEE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14:paraId="1A5DE544">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2251D9A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52F02F72">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37D6FCF3">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2DB7310">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50C96DC1">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6B8205AB">
      <w:pPr>
        <w:wordWrap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）特定资格条件：</w:t>
      </w:r>
      <w:bookmarkStart w:id="48" w:name="_Toc16506"/>
      <w:r>
        <w:rPr>
          <w:rFonts w:hint="eastAsia" w:ascii="宋体" w:hAnsi="宋体" w:cs="宋体"/>
          <w:color w:val="000000" w:themeColor="text1"/>
          <w:sz w:val="24"/>
          <w:szCs w:val="24"/>
          <w:highlight w:val="none"/>
          <w:lang w:val="en-US" w:eastAsia="zh-CN"/>
          <w14:textFill>
            <w14:solidFill>
              <w14:schemeClr w14:val="tx1"/>
            </w14:solidFill>
          </w14:textFill>
        </w:rPr>
        <w:t>供应商需具备《医疗器械生产企业许可证》或《医疗器械经营许可证》，提供证书复印件并加盖供应商公章</w:t>
      </w:r>
      <w:r>
        <w:rPr>
          <w:rFonts w:hint="eastAsia" w:ascii="宋体" w:hAnsi="宋体" w:eastAsia="宋体" w:cs="宋体"/>
          <w:color w:val="auto"/>
          <w:sz w:val="24"/>
          <w:szCs w:val="24"/>
          <w:highlight w:val="none"/>
          <w:lang w:val="en-US" w:eastAsia="zh-CN"/>
        </w:rPr>
        <w:t>。</w:t>
      </w:r>
    </w:p>
    <w:p w14:paraId="1FDE5ED1">
      <w:pPr>
        <w:pStyle w:val="5"/>
        <w:pageBreakBefore w:val="0"/>
        <w:widowControl w:val="0"/>
        <w:kinsoku/>
        <w:overflowPunct/>
        <w:topLinePunct w:val="0"/>
        <w:autoSpaceDE/>
        <w:autoSpaceDN/>
        <w:bidi w:val="0"/>
        <w:adjustRightInd/>
        <w:snapToGrid/>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四、采购有关说明</w:t>
      </w:r>
      <w:bookmarkEnd w:id="37"/>
      <w:bookmarkEnd w:id="48"/>
    </w:p>
    <w:bookmarkEnd w:id="38"/>
    <w:p w14:paraId="56E5E141">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9" w:name="_Toc373860294"/>
      <w:bookmarkStart w:id="50" w:name="_Toc480466699"/>
      <w:bookmarkStart w:id="51" w:name="_Toc20247"/>
      <w:r>
        <w:rPr>
          <w:rFonts w:hint="eastAsia" w:ascii="宋体" w:hAnsi="宋体" w:eastAsia="宋体" w:cs="宋体"/>
          <w:color w:val="000000" w:themeColor="text1"/>
          <w:sz w:val="24"/>
          <w:szCs w:val="24"/>
          <w:highlight w:val="none"/>
          <w14:textFill>
            <w14:solidFill>
              <w14:schemeClr w14:val="tx1"/>
            </w14:solidFill>
          </w14:textFill>
        </w:rPr>
        <w:t>（一）参加报价的供应商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须</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"https://cqxs.gec123.com/" \t "https://cqxs.gec123.com/xe/notice/_blank"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重庆秀山小额交易管理平台</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”服务平台注册，成为正式供应商。</w:t>
      </w:r>
    </w:p>
    <w:p w14:paraId="66EEC0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（二）凡有意参加采购的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，请在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下载本项目网上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文件以及补遗等采购前公布的所有项目资料，无论</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下载与否，均视为已知晓所有采购实质性要求内容。</w:t>
      </w:r>
    </w:p>
    <w:p w14:paraId="7215A0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（三）线上报价</w:t>
      </w:r>
    </w:p>
    <w:p w14:paraId="148CF4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1.线上报价时间：202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 xml:space="preserve">4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:00-</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:00北京时间。</w:t>
      </w:r>
    </w:p>
    <w:p w14:paraId="6726D993">
      <w:pPr>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2.线上报价要求：按本项目规定的时间在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14:textFill>
            <w14:solidFill>
              <w14:schemeClr w14:val="tx1"/>
            </w14:solidFill>
          </w14:textFill>
        </w:rPr>
        <w:t>进行网上报价，并在规定的时间内上传响应文件电子文档。未在规定时间内报价和上传响应文件电子文档的</w:t>
      </w:r>
      <w:r>
        <w:rPr>
          <w:rFonts w:hint="eastAsia" w:ascii="宋体" w:hAnsi="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不具备竞标资格。</w:t>
      </w:r>
    </w:p>
    <w:p w14:paraId="5A6204A5">
      <w:pPr>
        <w:snapToGrid w:val="0"/>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文件发售：本项目免收网上</w:t>
      </w:r>
      <w:r>
        <w:rPr>
          <w:rFonts w:hint="eastAsia" w:ascii="宋体" w:hAnsi="宋体" w:eastAsia="宋体" w:cs="宋体"/>
          <w:color w:val="000000" w:themeColor="text1"/>
          <w:sz w:val="24"/>
          <w:szCs w:val="24"/>
          <w:highlight w:val="none"/>
          <w:lang w:val="en-US" w:eastAsia="zh-CN"/>
          <w14:textFill>
            <w14:solidFill>
              <w14:schemeClr w14:val="tx1"/>
            </w14:solidFill>
          </w14:textFill>
        </w:rPr>
        <w:t>竞采</w:t>
      </w:r>
      <w:r>
        <w:rPr>
          <w:rFonts w:hint="eastAsia" w:ascii="宋体" w:hAnsi="宋体" w:eastAsia="宋体" w:cs="宋体"/>
          <w:color w:val="000000" w:themeColor="text1"/>
          <w:sz w:val="24"/>
          <w:szCs w:val="24"/>
          <w:highlight w:val="none"/>
          <w14:textFill>
            <w14:solidFill>
              <w14:schemeClr w14:val="tx1"/>
            </w14:solidFill>
          </w14:textFill>
        </w:rPr>
        <w:t>文件费。</w:t>
      </w:r>
    </w:p>
    <w:p w14:paraId="0B7A6F02">
      <w:pPr>
        <w:snapToGrid w:val="0"/>
        <w:spacing w:line="360" w:lineRule="auto"/>
        <w:ind w:firstLine="361" w:firstLineChars="1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（五）</w:t>
      </w:r>
      <w:r>
        <w:rPr>
          <w:rFonts w:hint="eastAsia" w:ascii="宋体" w:hAnsi="宋体" w:cs="宋体"/>
          <w:b/>
          <w:bCs/>
          <w:color w:val="000000" w:themeColor="text1"/>
          <w:sz w:val="24"/>
          <w:szCs w:val="24"/>
          <w:highlight w:val="none"/>
          <w:lang w:eastAsia="zh-CN"/>
          <w14:textFill>
            <w14:solidFill>
              <w14:schemeClr w14:val="tx1"/>
            </w14:solidFill>
          </w14:textFill>
        </w:rPr>
        <w:t>供应商</w:t>
      </w:r>
      <w:r>
        <w:rPr>
          <w:rFonts w:hint="eastAsia" w:ascii="宋体" w:hAnsi="宋体" w:eastAsia="宋体" w:cs="宋体"/>
          <w:b/>
          <w:bCs/>
          <w:color w:val="000000" w:themeColor="text1"/>
          <w:sz w:val="24"/>
          <w:szCs w:val="24"/>
          <w:highlight w:val="none"/>
          <w14:textFill>
            <w14:solidFill>
              <w14:schemeClr w14:val="tx1"/>
            </w14:solidFill>
          </w14:textFill>
        </w:rPr>
        <w:t>须满足以下三种要件，其响应文件才被接受：</w:t>
      </w:r>
    </w:p>
    <w:p w14:paraId="6B34A798">
      <w:pPr>
        <w:wordWrap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1.按时在</w:t>
      </w:r>
      <w:r>
        <w:rPr>
          <w:rFonts w:hint="eastAsia" w:ascii="宋体" w:hAnsi="宋体" w:eastAsia="宋体" w:cs="宋体"/>
          <w:color w:val="000000" w:themeColor="text1"/>
          <w:sz w:val="24"/>
          <w:szCs w:val="24"/>
          <w:highlight w:val="none"/>
          <w:lang w:val="zh-CN"/>
          <w14:textFill>
            <w14:solidFill>
              <w14:schemeClr w14:val="tx1"/>
            </w14:solidFill>
          </w14:textFill>
        </w:rPr>
        <w:t>秀山县小额交易管理平台竞采大厅</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https://cqxs-mall.gec123.com/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进行网上报价。</w:t>
      </w:r>
    </w:p>
    <w:p w14:paraId="0E6675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2.按时递交响应文件。</w:t>
      </w:r>
    </w:p>
    <w:p w14:paraId="540766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3.按时签到报名。</w:t>
      </w:r>
    </w:p>
    <w:p w14:paraId="13388FB2">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注：线上及线下响应文件须一致，如不一致，响应文件作废。</w:t>
      </w:r>
    </w:p>
    <w:p w14:paraId="54A75141">
      <w:pPr>
        <w:snapToGrid w:val="0"/>
        <w:spacing w:line="360" w:lineRule="auto"/>
        <w:ind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（六）</w:t>
      </w:r>
      <w:r>
        <w:rPr>
          <w:rFonts w:hint="eastAsia" w:ascii="宋体" w:hAnsi="宋体" w:eastAsia="宋体" w:cs="宋体"/>
          <w:color w:val="000000" w:themeColor="text1"/>
          <w:sz w:val="24"/>
          <w:szCs w:val="24"/>
          <w:highlight w:val="none"/>
          <w:lang w:val="en-US" w:eastAsia="zh-CN"/>
          <w14:textFill>
            <w14:solidFill>
              <w14:schemeClr w14:val="tx1"/>
            </w14:solidFill>
          </w14:textFill>
        </w:rPr>
        <w:t>线下响应文件可</w:t>
      </w:r>
      <w:r>
        <w:rPr>
          <w:rFonts w:hint="eastAsia" w:ascii="宋体" w:hAnsi="宋体" w:cs="宋体"/>
          <w:color w:val="000000" w:themeColor="text1"/>
          <w:sz w:val="24"/>
          <w:szCs w:val="24"/>
          <w:highlight w:val="none"/>
          <w:lang w:val="en-US" w:eastAsia="zh-CN"/>
          <w14:textFill>
            <w14:solidFill>
              <w14:schemeClr w14:val="tx1"/>
            </w14:solidFill>
          </w14:textFill>
        </w:rPr>
        <w:t>选择</w:t>
      </w:r>
      <w:r>
        <w:rPr>
          <w:rFonts w:hint="eastAsia" w:ascii="宋体" w:hAnsi="宋体" w:eastAsia="宋体" w:cs="宋体"/>
          <w:color w:val="000000" w:themeColor="text1"/>
          <w:sz w:val="24"/>
          <w:szCs w:val="24"/>
          <w:highlight w:val="none"/>
          <w:lang w:val="en-US" w:eastAsia="zh-CN"/>
          <w14:textFill>
            <w14:solidFill>
              <w14:schemeClr w14:val="tx1"/>
            </w14:solidFill>
          </w14:textFill>
        </w:rPr>
        <w:t>邮寄</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sz w:val="24"/>
          <w:szCs w:val="24"/>
          <w:highlight w:val="none"/>
          <w:lang w:val="en-US" w:eastAsia="zh-CN"/>
          <w14:textFill>
            <w14:solidFill>
              <w14:schemeClr w14:val="tx1"/>
            </w14:solidFill>
          </w14:textFill>
        </w:rPr>
        <w:t>现场递交：</w:t>
      </w:r>
    </w:p>
    <w:p w14:paraId="0FCFA4CD">
      <w:pPr>
        <w:snapToGrid w:val="0"/>
        <w:spacing w:line="360" w:lineRule="auto"/>
        <w:ind w:firstLine="240" w:firstLineChars="1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线下响应文件可采取邮寄方式，邮寄地址：重庆市秀山县花灯街迎春二巷31号，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陈</w:t>
      </w:r>
      <w:r>
        <w:rPr>
          <w:rFonts w:hint="eastAsia" w:ascii="宋体" w:hAnsi="宋体" w:eastAsia="宋体" w:cs="宋体"/>
          <w:color w:val="auto"/>
          <w:sz w:val="24"/>
          <w:szCs w:val="24"/>
          <w:highlight w:val="none"/>
          <w:lang w:val="en-US" w:eastAsia="zh-CN"/>
        </w:rPr>
        <w:t>老师</w:t>
      </w:r>
      <w:r>
        <w:rPr>
          <w:rFonts w:hint="eastAsia" w:ascii="宋体" w:hAnsi="宋体" w:cs="宋体"/>
          <w:color w:val="auto"/>
          <w:sz w:val="24"/>
          <w:szCs w:val="24"/>
          <w:highlight w:val="none"/>
          <w:lang w:val="en-US" w:eastAsia="zh-CN"/>
        </w:rPr>
        <w:t>18716969222</w:t>
      </w:r>
      <w:r>
        <w:rPr>
          <w:rFonts w:hint="eastAsia" w:ascii="宋体" w:hAnsi="宋体" w:eastAsia="宋体" w:cs="宋体"/>
          <w:color w:val="000000" w:themeColor="text1"/>
          <w:sz w:val="24"/>
          <w:szCs w:val="24"/>
          <w:highlight w:val="none"/>
          <w:lang w:eastAsia="zh-CN"/>
          <w14:textFill>
            <w14:solidFill>
              <w14:schemeClr w14:val="tx1"/>
            </w14:solidFill>
          </w14:textFill>
        </w:rPr>
        <w:t>（收件截止时间为202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lang w:eastAsia="zh-CN"/>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11:00</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北京时间）</w:t>
      </w:r>
    </w:p>
    <w:p w14:paraId="6615BCD0">
      <w:pPr>
        <w:snapToGrid w:val="0"/>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现场递交地址地点：</w:t>
      </w:r>
      <w:r>
        <w:rPr>
          <w:rFonts w:hint="eastAsia" w:ascii="宋体" w:hAnsi="宋体" w:eastAsia="宋体" w:cs="宋体"/>
          <w:color w:val="000000" w:themeColor="text1"/>
          <w:sz w:val="24"/>
          <w:szCs w:val="24"/>
          <w:highlight w:val="none"/>
          <w:lang w:eastAsia="zh-CN"/>
          <w14:textFill>
            <w14:solidFill>
              <w14:schemeClr w14:val="tx1"/>
            </w14:solidFill>
          </w14:textFill>
        </w:rPr>
        <w:t>重庆市秀山县花灯街迎春二巷31号。</w:t>
      </w:r>
    </w:p>
    <w:p w14:paraId="090C6D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（七）响应文件现场递交开始时间：202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 xml:space="preserve">30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11E43A9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（八）响应文件现场递交截止时间：202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p>
    <w:p w14:paraId="0C86A7A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（九）线下开标开始时间：202</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日北京时间</w:t>
      </w:r>
      <w:r>
        <w:rPr>
          <w:rFonts w:hint="eastAsia" w:ascii="宋体" w:hAnsi="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北京时间。</w:t>
      </w:r>
      <w:bookmarkEnd w:id="49"/>
    </w:p>
    <w:p w14:paraId="751B0262">
      <w:pPr>
        <w:pStyle w:val="5"/>
        <w:spacing w:before="0" w:after="0" w:line="360" w:lineRule="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、其他有关规定</w:t>
      </w:r>
      <w:bookmarkEnd w:id="50"/>
      <w:bookmarkEnd w:id="51"/>
    </w:p>
    <w:p w14:paraId="02BE0AF6">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（一）单位负责人为同一人或者存在直接控股、管理关系的不同供应商，不得参加同一合同项（分包）下的政府采购活动，否则均为响应无效。</w:t>
      </w:r>
    </w:p>
    <w:p w14:paraId="28B6601A">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2E51C22A">
      <w:pPr>
        <w:spacing w:line="360" w:lineRule="auto"/>
        <w:ind w:firstLine="240" w:firstLineChars="100"/>
        <w:rPr>
          <w:rFonts w:hint="eastAsia" w:ascii="宋体" w:hAnsi="宋体" w:eastAsia="宋体" w:cs="宋体"/>
          <w:color w:val="auto"/>
          <w:highlight w:val="none"/>
        </w:rPr>
      </w:pPr>
      <w:r>
        <w:rPr>
          <w:rFonts w:hint="eastAsia" w:ascii="宋体" w:hAnsi="宋体" w:eastAsia="宋体" w:cs="宋体"/>
          <w:color w:val="auto"/>
          <w:sz w:val="24"/>
          <w:szCs w:val="24"/>
          <w:highlight w:val="none"/>
        </w:rPr>
        <w:t>（三）同一合同项（分包）下为单一品目或非单一品目核心产品品牌的货物采购招标中，同一品牌有多家供应商参加网上竞采，以其中通过资格审查、符合性审查且报价最低的参加评标；报价相同的，由采购人或者采购人委托评审委员会按照网上竞采文件规定的方式确定一个参加评标的投标人，网上竞采文件未规定的采取随机抽取方式确定，其他投标无效。</w:t>
      </w:r>
    </w:p>
    <w:p w14:paraId="2A731AF3">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项目的补遗文件（如果有）一律在重庆市政府采购云平台.网上竞采中心（https://xj.ccgp-chongqing.gov.cn/ge/）上发布，请各供应商注意下载；无论供应商下载与否，均视同供应商已知晓本项目补遗文件（如果有）的内容。</w:t>
      </w:r>
    </w:p>
    <w:p w14:paraId="790FA679">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（五）超过响应文件截止时间递交的响应文件，恕不接收。</w:t>
      </w:r>
    </w:p>
    <w:p w14:paraId="6BF9722C">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（六）网上竞采费用：无论网上竞采结果如何，供应商参与本项目网上竞采的所有费用均应由供应商自行承担。</w:t>
      </w:r>
    </w:p>
    <w:p w14:paraId="3670B445">
      <w:pPr>
        <w:snapToGrid w:val="0"/>
        <w:spacing w:line="360" w:lineRule="auto"/>
        <w:ind w:firstLine="361" w:firstLineChars="150"/>
        <w:rPr>
          <w:rFonts w:hint="eastAsia" w:ascii="宋体" w:hAnsi="宋体" w:eastAsia="宋体" w:cs="宋体"/>
          <w:b/>
          <w:bCs/>
          <w:color w:val="auto"/>
          <w:sz w:val="24"/>
          <w:szCs w:val="24"/>
          <w:highlight w:val="none"/>
        </w:rPr>
      </w:pPr>
      <w:bookmarkStart w:id="52" w:name="_Toc480466700"/>
      <w:r>
        <w:rPr>
          <w:rFonts w:hint="eastAsia" w:ascii="宋体" w:hAnsi="宋体" w:eastAsia="宋体" w:cs="宋体"/>
          <w:b/>
          <w:bCs/>
          <w:color w:val="auto"/>
          <w:sz w:val="24"/>
          <w:szCs w:val="24"/>
          <w:highlight w:val="none"/>
        </w:rPr>
        <w:t>（七）本项目不接受联合体参与网上竞采。</w:t>
      </w:r>
    </w:p>
    <w:p w14:paraId="4C27A9B4">
      <w:pPr>
        <w:snapToGrid w:val="0"/>
        <w:spacing w:line="360" w:lineRule="auto"/>
        <w:ind w:firstLine="361" w:firstLineChars="150"/>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（八）本项目不接受合同分包。</w:t>
      </w:r>
    </w:p>
    <w:p w14:paraId="020FAEF2">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66654E1">
      <w:pPr>
        <w:pStyle w:val="5"/>
        <w:spacing w:before="0" w:after="0" w:line="360" w:lineRule="auto"/>
        <w:rPr>
          <w:rFonts w:hint="eastAsia" w:ascii="宋体" w:hAnsi="宋体" w:eastAsia="宋体" w:cs="宋体"/>
          <w:color w:val="auto"/>
          <w:sz w:val="24"/>
          <w:szCs w:val="24"/>
          <w:highlight w:val="none"/>
        </w:rPr>
      </w:pPr>
      <w:bookmarkStart w:id="53" w:name="_Toc7960"/>
      <w:r>
        <w:rPr>
          <w:rFonts w:hint="eastAsia" w:ascii="宋体" w:hAnsi="宋体" w:eastAsia="宋体" w:cs="宋体"/>
          <w:color w:val="auto"/>
          <w:sz w:val="24"/>
          <w:szCs w:val="24"/>
          <w:highlight w:val="none"/>
        </w:rPr>
        <w:t>七、联系方式</w:t>
      </w:r>
      <w:bookmarkEnd w:id="52"/>
      <w:bookmarkEnd w:id="53"/>
    </w:p>
    <w:p w14:paraId="7962F5EC">
      <w:pPr>
        <w:pStyle w:val="60"/>
        <w:ind w:left="0" w:leftChars="0"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（一）采购人：</w:t>
      </w:r>
      <w:r>
        <w:rPr>
          <w:rFonts w:hint="eastAsia" w:ascii="宋体" w:hAnsi="宋体" w:eastAsia="宋体" w:cs="宋体"/>
          <w:color w:val="auto"/>
          <w:sz w:val="24"/>
          <w:szCs w:val="24"/>
          <w:highlight w:val="none"/>
          <w:lang w:eastAsia="zh-CN"/>
        </w:rPr>
        <w:t>秀山土家族苗族自治县中医医院</w:t>
      </w:r>
    </w:p>
    <w:p w14:paraId="606B2637">
      <w:pPr>
        <w:pStyle w:val="60"/>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张老师</w:t>
      </w:r>
    </w:p>
    <w:p w14:paraId="11C8F0E5">
      <w:pPr>
        <w:pStyle w:val="60"/>
        <w:ind w:left="0" w:leftChars="0"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w:t>
      </w:r>
      <w:r>
        <w:rPr>
          <w:rFonts w:hint="eastAsia" w:ascii="宋体" w:hAnsi="宋体" w:eastAsia="宋体" w:cs="宋体"/>
          <w:color w:val="auto"/>
          <w:sz w:val="24"/>
          <w:szCs w:val="24"/>
          <w:highlight w:val="none"/>
          <w:lang w:val="en-US" w:eastAsia="zh-CN"/>
        </w:rPr>
        <w:t>023-76662176</w:t>
      </w:r>
    </w:p>
    <w:p w14:paraId="36F839C6">
      <w:pPr>
        <w:pStyle w:val="60"/>
        <w:ind w:left="0" w:leftChars="0" w:firstLine="240" w:firstLineChars="100"/>
        <w:rPr>
          <w:rFonts w:hint="eastAsia" w:ascii="宋体" w:hAnsi="宋体" w:eastAsia="宋体" w:cs="宋体"/>
          <w:sz w:val="24"/>
          <w:szCs w:val="24"/>
          <w:highlight w:val="none"/>
          <w:lang w:val="en-US" w:eastAsia="zh-CN"/>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lang w:val="en-US" w:eastAsia="zh-CN"/>
        </w:rPr>
        <w:t>重庆市秀山县中和街道解放路21号</w:t>
      </w:r>
    </w:p>
    <w:p w14:paraId="63D0309B">
      <w:pPr>
        <w:snapToGrid w:val="0"/>
        <w:spacing w:line="360" w:lineRule="auto"/>
        <w:rPr>
          <w:rFonts w:hint="eastAsia" w:ascii="宋体" w:hAnsi="宋体" w:eastAsia="宋体" w:cs="宋体"/>
          <w:color w:val="auto"/>
          <w:sz w:val="24"/>
          <w:szCs w:val="24"/>
          <w:highlight w:val="none"/>
        </w:rPr>
      </w:pPr>
    </w:p>
    <w:p w14:paraId="044AECD8">
      <w:pPr>
        <w:snapToGrid w:val="0"/>
        <w:spacing w:line="360" w:lineRule="auto"/>
        <w:ind w:firstLine="240" w:firstLineChars="100"/>
        <w:rPr>
          <w:rFonts w:hint="eastAsia" w:ascii="宋体" w:hAnsi="宋体" w:eastAsia="宋体" w:cs="宋体"/>
          <w:color w:val="auto"/>
          <w:sz w:val="24"/>
          <w:szCs w:val="24"/>
          <w:highlight w:val="none"/>
        </w:rPr>
      </w:pPr>
      <w:bookmarkStart w:id="54" w:name="_Toc18586"/>
      <w:bookmarkStart w:id="55" w:name="_Toc1145"/>
      <w:bookmarkStart w:id="56" w:name="_Toc12789058"/>
      <w:r>
        <w:rPr>
          <w:rFonts w:hint="eastAsia" w:ascii="宋体" w:hAnsi="宋体" w:eastAsia="宋体" w:cs="宋体"/>
          <w:color w:val="auto"/>
          <w:sz w:val="24"/>
          <w:szCs w:val="24"/>
          <w:highlight w:val="none"/>
        </w:rPr>
        <w:t>（二）采购代理机构：</w:t>
      </w:r>
      <w:r>
        <w:rPr>
          <w:rFonts w:hint="eastAsia" w:ascii="宋体" w:hAnsi="宋体" w:eastAsia="宋体" w:cs="宋体"/>
          <w:color w:val="auto"/>
          <w:sz w:val="24"/>
          <w:szCs w:val="24"/>
          <w:highlight w:val="none"/>
          <w:lang w:eastAsia="zh-CN"/>
        </w:rPr>
        <w:t>重庆千诺工程项目管理有限公司</w:t>
      </w:r>
      <w:r>
        <w:rPr>
          <w:rFonts w:hint="eastAsia" w:ascii="宋体" w:hAnsi="宋体" w:eastAsia="宋体" w:cs="宋体"/>
          <w:color w:val="auto"/>
          <w:sz w:val="24"/>
          <w:szCs w:val="24"/>
          <w:highlight w:val="none"/>
        </w:rPr>
        <w:t xml:space="preserve">  </w:t>
      </w:r>
    </w:p>
    <w:p w14:paraId="7B8A952F">
      <w:pPr>
        <w:snapToGrid w:val="0"/>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陈</w:t>
      </w:r>
      <w:r>
        <w:rPr>
          <w:rFonts w:hint="eastAsia" w:ascii="宋体" w:hAnsi="宋体" w:eastAsia="宋体" w:cs="宋体"/>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p>
    <w:p w14:paraId="6FF22F54">
      <w:pPr>
        <w:snapToGrid w:val="0"/>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  话：18716969222</w:t>
      </w:r>
    </w:p>
    <w:p w14:paraId="5B819CA9">
      <w:pPr>
        <w:snapToGrid w:val="0"/>
        <w:spacing w:line="360" w:lineRule="auto"/>
        <w:ind w:firstLine="240" w:firstLineChars="100"/>
        <w:rPr>
          <w:rFonts w:hint="eastAsia" w:ascii="宋体" w:hAnsi="宋体" w:eastAsia="宋体" w:cs="宋体"/>
          <w:color w:val="auto"/>
          <w:sz w:val="24"/>
          <w:szCs w:val="24"/>
          <w:highlight w:val="none"/>
        </w:rPr>
        <w:sectPr>
          <w:pgSz w:w="11907" w:h="16840"/>
          <w:pgMar w:top="1134" w:right="1418" w:bottom="1134" w:left="1418" w:header="397" w:footer="992" w:gutter="0"/>
          <w:pgNumType w:fmt="numberInDash"/>
          <w:cols w:space="720" w:num="1"/>
          <w:docGrid w:linePitch="312" w:charSpace="0"/>
        </w:sectPr>
      </w:pPr>
      <w:r>
        <w:rPr>
          <w:rFonts w:hint="eastAsia" w:ascii="宋体" w:hAnsi="宋体" w:eastAsia="宋体" w:cs="宋体"/>
          <w:color w:val="auto"/>
          <w:sz w:val="24"/>
          <w:szCs w:val="24"/>
          <w:highlight w:val="none"/>
        </w:rPr>
        <w:t>地  址：重庆秀山县花灯街迎春二巷3</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号</w:t>
      </w:r>
    </w:p>
    <w:p w14:paraId="4EF68F8F">
      <w:pPr>
        <w:pStyle w:val="4"/>
        <w:spacing w:before="0" w:after="0" w:line="360" w:lineRule="auto"/>
        <w:jc w:val="center"/>
        <w:rPr>
          <w:rFonts w:hint="eastAsia" w:ascii="宋体" w:hAnsi="宋体" w:eastAsia="宋体" w:cs="宋体"/>
          <w:bCs/>
          <w:color w:val="auto"/>
          <w:sz w:val="36"/>
          <w:szCs w:val="30"/>
          <w:highlight w:val="none"/>
        </w:rPr>
      </w:pPr>
      <w:r>
        <w:rPr>
          <w:rFonts w:hint="eastAsia" w:ascii="宋体" w:hAnsi="宋体" w:eastAsia="宋体" w:cs="宋体"/>
          <w:bCs/>
          <w:color w:val="auto"/>
          <w:sz w:val="36"/>
          <w:szCs w:val="30"/>
          <w:highlight w:val="none"/>
        </w:rPr>
        <w:t>第二篇</w:t>
      </w:r>
      <w:r>
        <w:rPr>
          <w:rFonts w:hint="eastAsia" w:ascii="宋体" w:hAnsi="宋体" w:eastAsia="宋体" w:cs="宋体"/>
          <w:bCs/>
          <w:color w:val="auto"/>
          <w:sz w:val="36"/>
          <w:szCs w:val="30"/>
          <w:highlight w:val="none"/>
          <w:lang w:val="en-US" w:eastAsia="zh-CN"/>
        </w:rPr>
        <w:t xml:space="preserve"> </w:t>
      </w:r>
      <w:r>
        <w:rPr>
          <w:rFonts w:hint="eastAsia" w:ascii="宋体" w:hAnsi="宋体" w:eastAsia="宋体" w:cs="宋体"/>
          <w:bCs/>
          <w:color w:val="auto"/>
          <w:sz w:val="36"/>
          <w:szCs w:val="30"/>
          <w:highlight w:val="none"/>
        </w:rPr>
        <w:t>项目技术需求</w:t>
      </w:r>
      <w:bookmarkEnd w:id="54"/>
      <w:bookmarkEnd w:id="55"/>
    </w:p>
    <w:bookmarkEnd w:id="56"/>
    <w:p w14:paraId="7164AA2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一、医疗设备采购清单</w:t>
      </w:r>
    </w:p>
    <w:tbl>
      <w:tblPr>
        <w:tblStyle w:val="62"/>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20"/>
        <w:gridCol w:w="915"/>
        <w:gridCol w:w="825"/>
        <w:gridCol w:w="1983"/>
        <w:gridCol w:w="926"/>
      </w:tblGrid>
      <w:tr w14:paraId="01EA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18" w:type="dxa"/>
            <w:vAlign w:val="center"/>
          </w:tcPr>
          <w:p w14:paraId="0C45F4BD">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序号</w:t>
            </w:r>
          </w:p>
        </w:tc>
        <w:tc>
          <w:tcPr>
            <w:tcW w:w="3420" w:type="dxa"/>
            <w:vAlign w:val="center"/>
          </w:tcPr>
          <w:p w14:paraId="0DD374E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设备名称</w:t>
            </w:r>
          </w:p>
        </w:tc>
        <w:tc>
          <w:tcPr>
            <w:tcW w:w="915" w:type="dxa"/>
            <w:vAlign w:val="center"/>
          </w:tcPr>
          <w:p w14:paraId="5AE4C422">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p>
        </w:tc>
        <w:tc>
          <w:tcPr>
            <w:tcW w:w="825" w:type="dxa"/>
            <w:vAlign w:val="center"/>
          </w:tcPr>
          <w:p w14:paraId="2E92CC11">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数量</w:t>
            </w:r>
          </w:p>
        </w:tc>
        <w:tc>
          <w:tcPr>
            <w:tcW w:w="1983" w:type="dxa"/>
            <w:vAlign w:val="center"/>
          </w:tcPr>
          <w:p w14:paraId="6B99FBB6">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预算金额（元）</w:t>
            </w:r>
          </w:p>
        </w:tc>
        <w:tc>
          <w:tcPr>
            <w:tcW w:w="926" w:type="dxa"/>
            <w:vAlign w:val="center"/>
          </w:tcPr>
          <w:p w14:paraId="7ADB0825">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备注</w:t>
            </w:r>
          </w:p>
        </w:tc>
      </w:tr>
      <w:tr w14:paraId="68774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Pr>
          <w:p w14:paraId="3F42290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3420" w:type="dxa"/>
          </w:tcPr>
          <w:p w14:paraId="0EEE8D5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病人监护仪</w:t>
            </w:r>
          </w:p>
        </w:tc>
        <w:tc>
          <w:tcPr>
            <w:tcW w:w="915" w:type="dxa"/>
          </w:tcPr>
          <w:p w14:paraId="2283FB1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台</w:t>
            </w:r>
          </w:p>
        </w:tc>
        <w:tc>
          <w:tcPr>
            <w:tcW w:w="825" w:type="dxa"/>
          </w:tcPr>
          <w:p w14:paraId="5C818B11">
            <w:pPr>
              <w:keepNext w:val="0"/>
              <w:keepLines w:val="0"/>
              <w:pageBreakBefore w:val="0"/>
              <w:widowControl w:val="0"/>
              <w:kinsoku/>
              <w:wordWrap/>
              <w:overflowPunct/>
              <w:topLinePunct w:val="0"/>
              <w:autoSpaceDE/>
              <w:autoSpaceDN/>
              <w:bidi w:val="0"/>
              <w:adjustRightInd/>
              <w:snapToGrid/>
              <w:spacing w:line="600" w:lineRule="exact"/>
              <w:ind w:firstLine="240" w:firstLineChars="1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w:t>
            </w:r>
          </w:p>
        </w:tc>
        <w:tc>
          <w:tcPr>
            <w:tcW w:w="1983" w:type="dxa"/>
          </w:tcPr>
          <w:p w14:paraId="03AB8933">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432000.00</w:t>
            </w:r>
          </w:p>
        </w:tc>
        <w:tc>
          <w:tcPr>
            <w:tcW w:w="926" w:type="dxa"/>
          </w:tcPr>
          <w:p w14:paraId="2665582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1CD3B54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二、技术要求及参数</w:t>
      </w:r>
    </w:p>
    <w:p w14:paraId="183AA3C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1.整机要求：</w:t>
      </w:r>
    </w:p>
    <w:p w14:paraId="2DD0819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1.1一体化便携监护仪，整机无风扇设计，配置提手,方便移动。 </w:t>
      </w:r>
    </w:p>
    <w:p w14:paraId="462AC64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 ≥10英寸彩色液晶触摸屏，屏幕标配电容屏非电阻屏，分辨率≥1280*800，≥8通道波形显示。</w:t>
      </w:r>
    </w:p>
    <w:p w14:paraId="1C94B9C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1.3显示屏采用宽视角技术，支持≥160度可视范围。</w:t>
      </w:r>
    </w:p>
    <w:p w14:paraId="2A52CED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1.4内置锂电池，插槽式设计，锂电池支持监护仪工作时间≥4小时；</w:t>
      </w:r>
    </w:p>
    <w:p w14:paraId="50B9A4A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1.5安全规格：ECG,TEMP,SpO2,NIBP监测参数抗电击程度为防除颤CF型。</w:t>
      </w:r>
    </w:p>
    <w:p w14:paraId="09E297B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1.6监护仪设计使用年限≥10年。</w:t>
      </w:r>
    </w:p>
    <w:p w14:paraId="75DFCC2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2.监测参数：</w:t>
      </w:r>
    </w:p>
    <w:p w14:paraId="022AA53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2.1配置3/5导心电，呼吸，无创血压，血氧饱和度，脉搏和双通道体温参数监测，以上参数适用于成人、小儿、新生儿患者。</w:t>
      </w:r>
    </w:p>
    <w:p w14:paraId="092FBCE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2.2心电监护支持心率，ST段测量，心律失常分析，QT/QTc连续实时测量和对应报警功能，支持成人、小儿、新生儿患者。</w:t>
      </w:r>
    </w:p>
    <w:p w14:paraId="0A488E8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2.3心电波形扫描速度支持6.25mm/s、12.5 mm/s、25 mm/s和50 mm/s</w:t>
      </w:r>
    </w:p>
    <w:p w14:paraId="75E486D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2.4提供窗口支持心脏下壁，侧壁和前壁对应多个ST片段的同屏实时显示。</w:t>
      </w:r>
    </w:p>
    <w:p w14:paraId="03EC5E8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2.5支持房颤及室上性心律失常分析功能，如：室上性心动过速，SVCs/min等，标配支持≥27种实时心律失常分析。</w:t>
      </w:r>
    </w:p>
    <w:p w14:paraId="06B84C1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2.6 QT和QTc实时监测参数测量范围：200～800 ms。</w:t>
      </w:r>
    </w:p>
    <w:p w14:paraId="588CED6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2.7支持≥3通道心电波形同步分析，可进行多导心电分析。</w:t>
      </w:r>
    </w:p>
    <w:p w14:paraId="05641C9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2.8提供SpO2、PR和PI参数的实时监测，适用于成人，小儿和新生儿。来自SpO2的PR测量范围：20-300</w:t>
      </w:r>
    </w:p>
    <w:p w14:paraId="6D29F84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2.9提供手动、自动、连续、序列和整点等5种测量模式，提供24小时血压统计结果。</w:t>
      </w:r>
    </w:p>
    <w:p w14:paraId="5B9FEAE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2.10提供呼吸测量，适用于成人、小儿和新生儿。呼吸测量范围：0-200 rpm。</w:t>
      </w:r>
    </w:p>
    <w:p w14:paraId="75E4553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2.11配置无创血压测量，适用于成人，小儿和新生儿。无创血压成人收缩压测量范围：25~290mmHg，下限值≤25 mmHg，上限值≥290mmHg。</w:t>
      </w:r>
    </w:p>
    <w:p w14:paraId="1122E31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2.12提供双通道体温和温差参数的监测, 并可根据需要更改体温通道标名。</w:t>
      </w:r>
    </w:p>
    <w:p w14:paraId="4A2AE09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3.系统功能：</w:t>
      </w:r>
    </w:p>
    <w:p w14:paraId="2A7177E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3.1支持所有监测参数报警限一键自动设置功能，满足医护团队快速管理患者报警需求，产品用户手册提供报警限自动设置规则。</w:t>
      </w:r>
    </w:p>
    <w:p w14:paraId="4C1C4D6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3.2具有图形化技术报警指示功能，帮助医护团队快速识别报警来源。</w:t>
      </w:r>
    </w:p>
    <w:p w14:paraId="3C63DE1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3.3支持≥1000条事件回顾。每条报警事件至少能够存储30秒三道相关波形，以及报警触发时所有测量参数值。支持≥1000组NIBP测量结果，支持≥120小时（分辨率1分钟）ST模板存储与回顾。</w:t>
      </w:r>
    </w:p>
    <w:p w14:paraId="1FFF007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3.4具有报警升级功能，当参数报警经过一定的时间未被处理或伴发了其他报警，就会升级到更高一个级别。</w:t>
      </w:r>
    </w:p>
    <w:p w14:paraId="569512A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3.5具有特殊报警音，当监护仪在病人发生致命性参数报警时，发出特殊的报警音进行提示病人处于危急状态。</w:t>
      </w:r>
    </w:p>
    <w:p w14:paraId="183FCF0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3.6具备参数组合报警功能，可对患者同时多个参数变化给出统一报警提示，更好地反映病人状态，提供≥10个预设组合报警，并允许自定义≥10个组合报警。</w:t>
      </w:r>
    </w:p>
    <w:p w14:paraId="79F473A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3.7提供目标监测界面，能够显示ECG,SpO2,IBP,CO2等多种参数测量值和波形；目标监测界面至少包括目标参数区、参数列表区、目标参数统计区、目标参数趋势区等，目标参数统计区与目标参数趋势区相互联动；支持带ABD事件的呼吸氧合界面。</w:t>
      </w:r>
    </w:p>
    <w:p w14:paraId="6F99CE3B">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注：以上参数均为核心参数，必须全都满足。</w:t>
      </w:r>
    </w:p>
    <w:p w14:paraId="221DF58F">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cs="宋体"/>
          <w:b/>
          <w:color w:val="auto"/>
          <w:kern w:val="2"/>
          <w:sz w:val="24"/>
          <w:highlight w:val="none"/>
          <w:lang w:val="en-US" w:eastAsia="zh-CN" w:bidi="ar-SA"/>
        </w:rPr>
      </w:pPr>
    </w:p>
    <w:p w14:paraId="35A60AB8">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color w:val="auto"/>
          <w:kern w:val="2"/>
          <w:sz w:val="24"/>
          <w:highlight w:val="none"/>
          <w:lang w:val="en-US" w:eastAsia="zh-CN" w:bidi="ar-SA"/>
        </w:rPr>
      </w:pPr>
      <w:r>
        <w:rPr>
          <w:rFonts w:hint="eastAsia" w:ascii="宋体" w:hAnsi="宋体" w:cs="宋体"/>
          <w:b/>
          <w:color w:val="auto"/>
          <w:kern w:val="2"/>
          <w:sz w:val="24"/>
          <w:highlight w:val="none"/>
          <w:lang w:val="en-US" w:eastAsia="zh-CN" w:bidi="ar-SA"/>
        </w:rPr>
        <w:t>三</w:t>
      </w:r>
      <w:r>
        <w:rPr>
          <w:rFonts w:hint="eastAsia" w:ascii="宋体" w:hAnsi="宋体" w:eastAsia="宋体" w:cs="宋体"/>
          <w:b/>
          <w:color w:val="auto"/>
          <w:kern w:val="2"/>
          <w:sz w:val="24"/>
          <w:highlight w:val="none"/>
          <w:lang w:val="en-US" w:eastAsia="zh-CN" w:bidi="ar-SA"/>
        </w:rPr>
        <w:t>、其他要求</w:t>
      </w:r>
    </w:p>
    <w:p w14:paraId="7A668D2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不组织集中踏勘，由供应商自行进行踏勘，无论踏勘与否，采购人均视为对现场条件和项目情况有充分的了解。供应商自行考虑各种风险，不得因此申请调价或索赔。踏勘过程中的费用和涉及到的风险损失等均由供应商自行承担。供应商须在投标响应文件中提供已自行踏勘现场的承诺函（格式自拟）。</w:t>
      </w:r>
    </w:p>
    <w:p w14:paraId="4F6514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default" w:ascii="宋体" w:hAnsi="宋体" w:eastAsia="宋体" w:cs="宋体"/>
          <w:color w:val="000000" w:themeColor="text1"/>
          <w:sz w:val="24"/>
          <w:szCs w:val="24"/>
          <w:highlight w:val="none"/>
          <w:lang w:val="en-US" w:eastAsia="zh-CN"/>
          <w14:textFill>
            <w14:solidFill>
              <w14:schemeClr w14:val="tx1"/>
            </w14:solidFill>
          </w14:textFill>
        </w:rPr>
      </w:pPr>
    </w:p>
    <w:p w14:paraId="51165E86">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szCs w:val="24"/>
          <w:highlight w:val="none"/>
          <w:lang w:val="en-US" w:eastAsia="zh-CN"/>
        </w:rPr>
      </w:pPr>
    </w:p>
    <w:p w14:paraId="45886EDE">
      <w:pPr>
        <w:pStyle w:val="60"/>
        <w:rPr>
          <w:rFonts w:hint="eastAsia" w:ascii="宋体" w:hAnsi="宋体" w:eastAsia="宋体" w:cs="宋体"/>
          <w:color w:val="auto"/>
          <w:sz w:val="24"/>
          <w:szCs w:val="24"/>
          <w:highlight w:val="none"/>
          <w:lang w:val="en-US" w:eastAsia="zh-CN"/>
        </w:rPr>
      </w:pPr>
    </w:p>
    <w:p w14:paraId="2E0B0CC0">
      <w:pPr>
        <w:rPr>
          <w:rFonts w:hint="eastAsia" w:ascii="宋体" w:hAnsi="宋体" w:eastAsia="宋体" w:cs="宋体"/>
          <w:color w:val="auto"/>
          <w:sz w:val="24"/>
          <w:szCs w:val="24"/>
          <w:highlight w:val="none"/>
          <w:lang w:val="en-US" w:eastAsia="zh-CN"/>
        </w:rPr>
      </w:pPr>
    </w:p>
    <w:p w14:paraId="6307C98B">
      <w:pPr>
        <w:pStyle w:val="2"/>
        <w:rPr>
          <w:rFonts w:hint="eastAsia" w:ascii="宋体" w:hAnsi="宋体" w:eastAsia="宋体" w:cs="宋体"/>
          <w:color w:val="auto"/>
          <w:sz w:val="24"/>
          <w:szCs w:val="24"/>
          <w:highlight w:val="none"/>
          <w:lang w:val="en-US" w:eastAsia="zh-CN"/>
        </w:rPr>
      </w:pPr>
    </w:p>
    <w:p w14:paraId="3DECD6A5">
      <w:pPr>
        <w:rPr>
          <w:rFonts w:hint="eastAsia" w:ascii="宋体" w:hAnsi="宋体" w:eastAsia="宋体" w:cs="宋体"/>
          <w:color w:val="auto"/>
          <w:sz w:val="24"/>
          <w:szCs w:val="24"/>
          <w:highlight w:val="none"/>
          <w:lang w:val="en-US" w:eastAsia="zh-CN"/>
        </w:rPr>
      </w:pPr>
    </w:p>
    <w:p w14:paraId="12133A3C">
      <w:pPr>
        <w:pStyle w:val="2"/>
        <w:rPr>
          <w:rFonts w:hint="eastAsia" w:ascii="宋体" w:hAnsi="宋体" w:eastAsia="宋体" w:cs="宋体"/>
          <w:color w:val="auto"/>
          <w:sz w:val="24"/>
          <w:szCs w:val="24"/>
          <w:highlight w:val="none"/>
          <w:lang w:val="en-US" w:eastAsia="zh-CN"/>
        </w:rPr>
      </w:pPr>
    </w:p>
    <w:p w14:paraId="61AEE600">
      <w:pPr>
        <w:rPr>
          <w:rFonts w:hint="eastAsia" w:ascii="宋体" w:hAnsi="宋体" w:eastAsia="宋体" w:cs="宋体"/>
          <w:color w:val="auto"/>
          <w:sz w:val="24"/>
          <w:szCs w:val="24"/>
          <w:highlight w:val="none"/>
          <w:lang w:val="en-US" w:eastAsia="zh-CN"/>
        </w:rPr>
      </w:pPr>
    </w:p>
    <w:p w14:paraId="75144286">
      <w:pPr>
        <w:pStyle w:val="2"/>
        <w:rPr>
          <w:rFonts w:hint="eastAsia" w:ascii="宋体" w:hAnsi="宋体" w:eastAsia="宋体" w:cs="宋体"/>
          <w:color w:val="auto"/>
          <w:sz w:val="24"/>
          <w:szCs w:val="24"/>
          <w:highlight w:val="none"/>
          <w:lang w:val="en-US" w:eastAsia="zh-CN"/>
        </w:rPr>
      </w:pPr>
    </w:p>
    <w:p w14:paraId="6E6B5DD4">
      <w:pPr>
        <w:rPr>
          <w:rFonts w:hint="eastAsia" w:ascii="宋体" w:hAnsi="宋体" w:eastAsia="宋体" w:cs="宋体"/>
          <w:color w:val="auto"/>
          <w:sz w:val="24"/>
          <w:szCs w:val="24"/>
          <w:highlight w:val="none"/>
          <w:lang w:val="en-US" w:eastAsia="zh-CN"/>
        </w:rPr>
      </w:pPr>
    </w:p>
    <w:p w14:paraId="33DD4C9C">
      <w:pPr>
        <w:pStyle w:val="2"/>
        <w:rPr>
          <w:rFonts w:hint="eastAsia" w:ascii="宋体" w:hAnsi="宋体" w:eastAsia="宋体" w:cs="宋体"/>
          <w:color w:val="auto"/>
          <w:sz w:val="24"/>
          <w:szCs w:val="24"/>
          <w:highlight w:val="none"/>
          <w:lang w:val="en-US" w:eastAsia="zh-CN"/>
        </w:rPr>
      </w:pPr>
    </w:p>
    <w:p w14:paraId="20BD0E09">
      <w:pPr>
        <w:rPr>
          <w:rFonts w:hint="eastAsia" w:ascii="宋体" w:hAnsi="宋体" w:eastAsia="宋体" w:cs="宋体"/>
          <w:color w:val="auto"/>
          <w:sz w:val="24"/>
          <w:szCs w:val="24"/>
          <w:highlight w:val="none"/>
          <w:lang w:val="en-US" w:eastAsia="zh-CN"/>
        </w:rPr>
      </w:pPr>
    </w:p>
    <w:p w14:paraId="3ED5E590">
      <w:pPr>
        <w:pStyle w:val="2"/>
        <w:rPr>
          <w:rFonts w:hint="eastAsia" w:ascii="宋体" w:hAnsi="宋体" w:eastAsia="宋体" w:cs="宋体"/>
          <w:color w:val="auto"/>
          <w:sz w:val="24"/>
          <w:szCs w:val="24"/>
          <w:highlight w:val="none"/>
          <w:lang w:val="en-US" w:eastAsia="zh-CN"/>
        </w:rPr>
      </w:pPr>
    </w:p>
    <w:p w14:paraId="64630C0B">
      <w:pPr>
        <w:rPr>
          <w:rFonts w:hint="eastAsia" w:ascii="宋体" w:hAnsi="宋体" w:eastAsia="宋体" w:cs="宋体"/>
          <w:color w:val="auto"/>
          <w:sz w:val="24"/>
          <w:szCs w:val="24"/>
          <w:highlight w:val="none"/>
          <w:lang w:val="en-US" w:eastAsia="zh-CN"/>
        </w:rPr>
      </w:pPr>
    </w:p>
    <w:p w14:paraId="75262174">
      <w:pPr>
        <w:pStyle w:val="2"/>
        <w:rPr>
          <w:rFonts w:hint="eastAsia" w:ascii="宋体" w:hAnsi="宋体" w:eastAsia="宋体" w:cs="宋体"/>
          <w:color w:val="auto"/>
          <w:sz w:val="24"/>
          <w:szCs w:val="24"/>
          <w:highlight w:val="none"/>
          <w:lang w:val="en-US" w:eastAsia="zh-CN"/>
        </w:rPr>
      </w:pPr>
    </w:p>
    <w:p w14:paraId="57F71951">
      <w:pPr>
        <w:rPr>
          <w:rFonts w:hint="eastAsia" w:ascii="宋体" w:hAnsi="宋体" w:eastAsia="宋体" w:cs="宋体"/>
          <w:color w:val="auto"/>
          <w:sz w:val="24"/>
          <w:szCs w:val="24"/>
          <w:highlight w:val="none"/>
          <w:lang w:val="en-US" w:eastAsia="zh-CN"/>
        </w:rPr>
      </w:pPr>
    </w:p>
    <w:p w14:paraId="1BE6D553">
      <w:pPr>
        <w:pStyle w:val="2"/>
        <w:rPr>
          <w:rFonts w:hint="eastAsia" w:ascii="宋体" w:hAnsi="宋体" w:eastAsia="宋体" w:cs="宋体"/>
          <w:color w:val="auto"/>
          <w:sz w:val="24"/>
          <w:szCs w:val="24"/>
          <w:highlight w:val="none"/>
          <w:lang w:val="en-US" w:eastAsia="zh-CN"/>
        </w:rPr>
      </w:pPr>
    </w:p>
    <w:p w14:paraId="5D0A8FC8">
      <w:pPr>
        <w:rPr>
          <w:rFonts w:hint="eastAsia" w:ascii="宋体" w:hAnsi="宋体" w:eastAsia="宋体" w:cs="宋体"/>
          <w:color w:val="auto"/>
          <w:sz w:val="24"/>
          <w:szCs w:val="24"/>
          <w:highlight w:val="none"/>
          <w:lang w:val="en-US" w:eastAsia="zh-CN"/>
        </w:rPr>
      </w:pPr>
    </w:p>
    <w:p w14:paraId="766AE85A">
      <w:pPr>
        <w:pStyle w:val="2"/>
        <w:rPr>
          <w:rFonts w:hint="eastAsia" w:ascii="宋体" w:hAnsi="宋体" w:eastAsia="宋体" w:cs="宋体"/>
          <w:color w:val="auto"/>
          <w:sz w:val="24"/>
          <w:szCs w:val="24"/>
          <w:highlight w:val="none"/>
          <w:lang w:val="en-US" w:eastAsia="zh-CN"/>
        </w:rPr>
      </w:pPr>
    </w:p>
    <w:p w14:paraId="4704294D">
      <w:pPr>
        <w:rPr>
          <w:rFonts w:hint="eastAsia" w:ascii="宋体" w:hAnsi="宋体" w:eastAsia="宋体" w:cs="宋体"/>
          <w:color w:val="auto"/>
          <w:sz w:val="24"/>
          <w:szCs w:val="24"/>
          <w:highlight w:val="none"/>
          <w:lang w:val="en-US" w:eastAsia="zh-CN"/>
        </w:rPr>
      </w:pPr>
    </w:p>
    <w:p w14:paraId="6B479F1D">
      <w:pPr>
        <w:pStyle w:val="2"/>
        <w:rPr>
          <w:rFonts w:hint="eastAsia" w:ascii="宋体" w:hAnsi="宋体" w:eastAsia="宋体" w:cs="宋体"/>
          <w:color w:val="auto"/>
          <w:sz w:val="24"/>
          <w:szCs w:val="24"/>
          <w:highlight w:val="none"/>
          <w:lang w:val="en-US" w:eastAsia="zh-CN"/>
        </w:rPr>
      </w:pPr>
    </w:p>
    <w:p w14:paraId="6E1CA807">
      <w:pPr>
        <w:rPr>
          <w:rFonts w:hint="eastAsia" w:ascii="宋体" w:hAnsi="宋体" w:eastAsia="宋体" w:cs="宋体"/>
          <w:color w:val="auto"/>
          <w:sz w:val="24"/>
          <w:szCs w:val="24"/>
          <w:highlight w:val="none"/>
          <w:lang w:val="en-US" w:eastAsia="zh-CN"/>
        </w:rPr>
      </w:pPr>
    </w:p>
    <w:p w14:paraId="72B88DB2">
      <w:pPr>
        <w:pStyle w:val="2"/>
        <w:rPr>
          <w:rFonts w:hint="eastAsia" w:ascii="宋体" w:hAnsi="宋体" w:eastAsia="宋体" w:cs="宋体"/>
          <w:color w:val="auto"/>
          <w:sz w:val="24"/>
          <w:szCs w:val="24"/>
          <w:highlight w:val="none"/>
          <w:lang w:val="en-US" w:eastAsia="zh-CN"/>
        </w:rPr>
      </w:pPr>
    </w:p>
    <w:p w14:paraId="334878EF">
      <w:pPr>
        <w:rPr>
          <w:rFonts w:hint="eastAsia" w:ascii="宋体" w:hAnsi="宋体" w:eastAsia="宋体" w:cs="宋体"/>
          <w:color w:val="auto"/>
          <w:sz w:val="24"/>
          <w:szCs w:val="24"/>
          <w:highlight w:val="none"/>
          <w:lang w:val="en-US" w:eastAsia="zh-CN"/>
        </w:rPr>
      </w:pPr>
    </w:p>
    <w:p w14:paraId="72402A2D">
      <w:pPr>
        <w:pStyle w:val="2"/>
        <w:rPr>
          <w:rFonts w:hint="eastAsia" w:ascii="宋体" w:hAnsi="宋体" w:eastAsia="宋体" w:cs="宋体"/>
          <w:color w:val="auto"/>
          <w:sz w:val="24"/>
          <w:szCs w:val="24"/>
          <w:highlight w:val="none"/>
          <w:lang w:val="en-US" w:eastAsia="zh-CN"/>
        </w:rPr>
      </w:pPr>
    </w:p>
    <w:p w14:paraId="62180DEE">
      <w:pPr>
        <w:rPr>
          <w:rFonts w:hint="eastAsia" w:ascii="宋体" w:hAnsi="宋体" w:eastAsia="宋体" w:cs="宋体"/>
          <w:color w:val="auto"/>
          <w:sz w:val="24"/>
          <w:szCs w:val="24"/>
          <w:highlight w:val="none"/>
          <w:lang w:val="en-US" w:eastAsia="zh-CN"/>
        </w:rPr>
      </w:pPr>
    </w:p>
    <w:p w14:paraId="0542447A">
      <w:pPr>
        <w:pStyle w:val="2"/>
        <w:rPr>
          <w:rFonts w:hint="eastAsia"/>
          <w:lang w:val="en-US" w:eastAsia="zh-CN"/>
        </w:rPr>
      </w:pPr>
    </w:p>
    <w:p w14:paraId="189702E8">
      <w:pPr>
        <w:pStyle w:val="4"/>
        <w:spacing w:line="360" w:lineRule="auto"/>
        <w:jc w:val="center"/>
        <w:rPr>
          <w:rFonts w:hint="eastAsia" w:ascii="宋体" w:hAnsi="宋体" w:eastAsia="宋体" w:cs="宋体"/>
          <w:b w:val="0"/>
          <w:color w:val="000000" w:themeColor="text1"/>
          <w:kern w:val="2"/>
          <w:sz w:val="36"/>
          <w:szCs w:val="36"/>
          <w:highlight w:val="none"/>
          <w:lang w:val="en-US" w:eastAsia="zh-CN" w:bidi="ar-SA"/>
          <w14:textFill>
            <w14:solidFill>
              <w14:schemeClr w14:val="tx1"/>
            </w14:solidFill>
          </w14:textFill>
        </w:rPr>
      </w:pPr>
      <w:bookmarkStart w:id="57" w:name="_Toc24341"/>
      <w:r>
        <w:rPr>
          <w:rFonts w:hint="eastAsia" w:ascii="宋体" w:hAnsi="宋体" w:eastAsia="宋体" w:cs="宋体"/>
          <w:b w:val="0"/>
          <w:color w:val="000000" w:themeColor="text1"/>
          <w:kern w:val="2"/>
          <w:sz w:val="36"/>
          <w:szCs w:val="36"/>
          <w:highlight w:val="none"/>
          <w:lang w:val="en-US" w:eastAsia="zh-CN" w:bidi="ar-SA"/>
          <w14:textFill>
            <w14:solidFill>
              <w14:schemeClr w14:val="tx1"/>
            </w14:solidFill>
          </w14:textFill>
        </w:rPr>
        <w:t>第三篇 项目商务需求</w:t>
      </w:r>
      <w:bookmarkEnd w:id="57"/>
      <w:bookmarkStart w:id="58" w:name="_Toc344475120"/>
      <w:bookmarkStart w:id="59" w:name="_Toc76462328"/>
    </w:p>
    <w:bookmarkEnd w:id="58"/>
    <w:bookmarkEnd w:id="59"/>
    <w:p w14:paraId="51D1E05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60" w:name="_Toc267320049"/>
      <w:bookmarkStart w:id="61" w:name="_Toc156895489"/>
      <w:bookmarkStart w:id="62" w:name="_Toc23501"/>
      <w:bookmarkStart w:id="63" w:name="_Toc12768"/>
      <w:bookmarkStart w:id="64" w:name="_Toc30118"/>
      <w:bookmarkStart w:id="65" w:name="_Toc10039"/>
      <w:bookmarkStart w:id="66" w:name="_Toc11380"/>
      <w:bookmarkStart w:id="67" w:name="_Toc13389"/>
      <w:bookmarkStart w:id="68" w:name="_Toc13728"/>
      <w:bookmarkStart w:id="69" w:name="_Toc9676"/>
      <w:bookmarkStart w:id="70" w:name="_Toc14029"/>
      <w:bookmarkStart w:id="71" w:name="_Toc22944"/>
      <w:bookmarkStart w:id="72" w:name="_Toc6595"/>
      <w:bookmarkStart w:id="73" w:name="_Toc8752"/>
      <w:bookmarkStart w:id="74" w:name="_Toc21429"/>
      <w:bookmarkStart w:id="75" w:name="_Toc119949877"/>
      <w:bookmarkStart w:id="76" w:name="_Toc28521"/>
      <w:bookmarkStart w:id="77" w:name="_Toc75793509"/>
      <w:bookmarkStart w:id="78" w:name="_Toc119579778"/>
      <w:bookmarkStart w:id="79" w:name="_Toc102227313"/>
      <w:r>
        <w:rPr>
          <w:rFonts w:hint="eastAsia" w:ascii="宋体" w:hAnsi="宋体" w:eastAsia="宋体" w:cs="宋体"/>
          <w:color w:val="000000" w:themeColor="text1"/>
          <w:sz w:val="24"/>
          <w:szCs w:val="24"/>
          <w:highlight w:val="none"/>
          <w:lang w:val="en-US" w:eastAsia="zh-CN"/>
          <w14:textFill>
            <w14:solidFill>
              <w14:schemeClr w14:val="tx1"/>
            </w14:solidFill>
          </w14:textFill>
        </w:rPr>
        <w:t>一、交货时间（或为：实施时间）、地点及验收方式</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53EED49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（一）交货时间（或为：实施时间）</w:t>
      </w:r>
    </w:p>
    <w:p w14:paraId="40A5E61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成交供应商应在采购合同签订后30个日历天内交货并完成安装调试。</w:t>
      </w:r>
    </w:p>
    <w:p w14:paraId="095E832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（二）交货地点（或为：实施时间）</w:t>
      </w:r>
    </w:p>
    <w:p w14:paraId="7CF2EB5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采购人指定地点。</w:t>
      </w:r>
    </w:p>
    <w:p w14:paraId="67432AC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（三）验收方式</w:t>
      </w:r>
    </w:p>
    <w:p w14:paraId="2108226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1.货物到达现场后，成交供应商应在使用单位人员在场情况下当面开箱，共同清点、检查外观，作出开箱记录，双方签字确认。</w:t>
      </w:r>
    </w:p>
    <w:p w14:paraId="6292E7C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2.成交供应商应保证货物到达采购人所在地完好无损，如有缺漏、损坏，负责调换、补齐或赔偿。</w:t>
      </w:r>
    </w:p>
    <w:p w14:paraId="48EB6D7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3.成交供应商应提供完备的技术资料、装箱单和合格证等，并派遣专业技术人员进行现场安装调试。验收合格条件如下：</w:t>
      </w:r>
    </w:p>
    <w:p w14:paraId="60F6A4D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3.1设备技术参数与采购合同一致，性能指标达到规定的标准。</w:t>
      </w:r>
    </w:p>
    <w:p w14:paraId="77BCBBE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3.2货物技术资料、装箱单、合格证等资料齐全。</w:t>
      </w:r>
    </w:p>
    <w:p w14:paraId="666BF2C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3.3在系统试运行期间所出现的问题得到解决，并运行正常。</w:t>
      </w:r>
    </w:p>
    <w:p w14:paraId="2D04187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3.4在规定时间内完成交货并验收，并经采购人确认。</w:t>
      </w:r>
    </w:p>
    <w:p w14:paraId="3662340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4.产品在安装调试并试运行符合要求后，才作为最终验收。</w:t>
      </w:r>
    </w:p>
    <w:p w14:paraId="431C1FB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5.成交供应商提供的货物未达到竞采文件规定要求，且对采购人造成损失的，将承担一切责任，并赔偿所造成的损失。</w:t>
      </w:r>
    </w:p>
    <w:p w14:paraId="73FA4CB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6.大型或者复杂的政府采购项目，采购人应当邀请国家认可的质量检测机构参加验收工作。</w:t>
      </w:r>
    </w:p>
    <w:p w14:paraId="60FB660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7.采购人需要制造商对成交供应商交付的产品（包括质量、技术参数等）进行确认的，制造商应予以配合，并出具书面意见。</w:t>
      </w:r>
    </w:p>
    <w:p w14:paraId="2E732243">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8.产品包装材料归采购人所有。</w:t>
      </w:r>
    </w:p>
    <w:p w14:paraId="75F0D7F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9.如因乙方相关资料移交不及时等原因导致甲方无法上牌，甲方有权延迟验收，并由此造成的损失由乙方负责。</w:t>
      </w:r>
    </w:p>
    <w:p w14:paraId="517FC685">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10.乙方保证货物是全新的，否则甲方有权拒收。</w:t>
      </w:r>
    </w:p>
    <w:p w14:paraId="4414820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80" w:name="_Toc21022"/>
      <w:bookmarkStart w:id="81" w:name="_Toc28679"/>
      <w:bookmarkStart w:id="82" w:name="_Toc156895490"/>
      <w:bookmarkStart w:id="83" w:name="_Toc1484"/>
      <w:bookmarkStart w:id="84" w:name="_Toc75793510"/>
      <w:bookmarkStart w:id="85" w:name="_Toc8592"/>
      <w:bookmarkStart w:id="86" w:name="_Toc22158"/>
      <w:bookmarkStart w:id="87" w:name="_Toc29436"/>
      <w:bookmarkStart w:id="88" w:name="_Toc20367"/>
      <w:bookmarkStart w:id="89" w:name="_Toc119949878"/>
      <w:bookmarkStart w:id="90" w:name="_Toc29144"/>
      <w:bookmarkStart w:id="91" w:name="_Toc22142"/>
      <w:bookmarkStart w:id="92" w:name="_Toc13418"/>
      <w:bookmarkStart w:id="93" w:name="_Toc18152"/>
      <w:bookmarkStart w:id="94" w:name="_Toc4036"/>
      <w:bookmarkStart w:id="95" w:name="_Toc119579779"/>
      <w:bookmarkStart w:id="96" w:name="_Toc7746"/>
      <w:bookmarkStart w:id="97" w:name="_Toc30781"/>
      <w:bookmarkStart w:id="98" w:name="_Toc267320050"/>
      <w:r>
        <w:rPr>
          <w:rFonts w:hint="eastAsia" w:ascii="宋体" w:hAnsi="宋体" w:eastAsia="宋体" w:cs="宋体"/>
          <w:color w:val="000000" w:themeColor="text1"/>
          <w:sz w:val="24"/>
          <w:szCs w:val="24"/>
          <w:highlight w:val="none"/>
          <w:lang w:val="en-US" w:eastAsia="zh-CN"/>
          <w14:textFill>
            <w14:solidFill>
              <w14:schemeClr w14:val="tx1"/>
            </w14:solidFill>
          </w14:textFill>
        </w:rPr>
        <w:t>二、报价要求</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475A9CC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次报价须为人民币报价，包含但不限于：所列货物制造、运输费（含装卸费）、保险费、安装调试费、技术监督部门安装监督检验费、所有税费、培训费、售后服务费等所有费用。因投标人自身原因造成漏报、少报皆由其自行承担责任，采购人不再补偿。</w:t>
      </w:r>
    </w:p>
    <w:p w14:paraId="07DA19C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99" w:name="_Toc23903"/>
      <w:bookmarkStart w:id="100" w:name="_Toc156895491"/>
      <w:bookmarkStart w:id="101" w:name="_Toc4252"/>
      <w:bookmarkStart w:id="102" w:name="_Toc3465"/>
      <w:bookmarkStart w:id="103" w:name="_Toc1450"/>
      <w:bookmarkStart w:id="104" w:name="_Toc14177"/>
      <w:bookmarkStart w:id="105" w:name="_Toc15677"/>
      <w:bookmarkStart w:id="106" w:name="_Toc2821"/>
      <w:bookmarkStart w:id="107" w:name="_Toc4774"/>
      <w:bookmarkStart w:id="108" w:name="_Toc27382"/>
      <w:bookmarkStart w:id="109" w:name="_Toc75793511"/>
      <w:bookmarkStart w:id="110" w:name="_Toc16693"/>
      <w:bookmarkStart w:id="111" w:name="_Toc32313"/>
      <w:bookmarkStart w:id="112" w:name="_Toc20887"/>
      <w:bookmarkStart w:id="113" w:name="_Toc119579780"/>
      <w:bookmarkStart w:id="114" w:name="_Toc2244"/>
      <w:bookmarkStart w:id="115" w:name="_Toc119949879"/>
      <w:bookmarkStart w:id="116" w:name="_Toc15096"/>
      <w:r>
        <w:rPr>
          <w:rFonts w:hint="eastAsia" w:ascii="宋体" w:hAnsi="宋体" w:eastAsia="宋体" w:cs="宋体"/>
          <w:color w:val="000000" w:themeColor="text1"/>
          <w:sz w:val="24"/>
          <w:szCs w:val="24"/>
          <w:highlight w:val="none"/>
          <w:lang w:val="en-US" w:eastAsia="zh-CN"/>
          <w14:textFill>
            <w14:solidFill>
              <w14:schemeClr w14:val="tx1"/>
            </w14:solidFill>
          </w14:textFill>
        </w:rPr>
        <w:t>三、质量保证及售后服务</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407E5B2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（一）产品质量保证期：自验收合格之日</w:t>
      </w:r>
      <w:r>
        <w:rPr>
          <w:rFonts w:hint="eastAsia" w:ascii="宋体" w:hAnsi="宋体" w:cs="宋体"/>
          <w:color w:val="000000" w:themeColor="text1"/>
          <w:sz w:val="24"/>
          <w:szCs w:val="24"/>
          <w:highlight w:val="none"/>
          <w:lang w:val="en-US" w:eastAsia="zh-CN"/>
          <w14:textFill>
            <w14:solidFill>
              <w14:schemeClr w14:val="tx1"/>
            </w14:solidFill>
          </w14:textFill>
        </w:rPr>
        <w:t>起至少</w:t>
      </w:r>
      <w:r>
        <w:rPr>
          <w:rFonts w:hint="eastAsia" w:ascii="宋体" w:hAnsi="宋体" w:eastAsia="宋体" w:cs="宋体"/>
          <w:color w:val="000000" w:themeColor="text1"/>
          <w:sz w:val="24"/>
          <w:szCs w:val="24"/>
          <w:highlight w:val="none"/>
          <w:lang w:val="en-US" w:eastAsia="zh-CN"/>
          <w14:textFill>
            <w14:solidFill>
              <w14:schemeClr w14:val="tx1"/>
            </w14:solidFill>
          </w14:textFill>
        </w:rPr>
        <w:t>3年免费上门保修。</w:t>
      </w:r>
    </w:p>
    <w:p w14:paraId="32ECFB7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（二）售后服务内容</w:t>
      </w:r>
    </w:p>
    <w:p w14:paraId="03301F9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1.供应商在质量保证期内应当为采购人提供以下技术支持和服务：</w:t>
      </w:r>
    </w:p>
    <w:p w14:paraId="4D53E13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1.1电话咨询</w:t>
      </w:r>
    </w:p>
    <w:p w14:paraId="4724B62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供应商应当为采购人提供技术援助电话，解答采购人在使用中遇到的问题，及时为采购人提出解决问题的建议。</w:t>
      </w:r>
    </w:p>
    <w:p w14:paraId="175EFC0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1.2现场响应</w:t>
      </w:r>
    </w:p>
    <w:p w14:paraId="4BB1C22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遇到使用及技术问题，电话咨询不能解决的，成交供应商和制造商应在24小内到达现场（远郊区48小时内到达现场）进行处理，确保产品正常工作；无法在4小时内解决的，应在48小时内提供备用产品（应急设备须立刻提供备用机），使采购人能够正常使用。</w:t>
      </w:r>
    </w:p>
    <w:p w14:paraId="67885AF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1.3技术升级</w:t>
      </w:r>
    </w:p>
    <w:p w14:paraId="7A60EC3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在质保期内，如果供应商的产品技术升级，供应商应及时通知采购人，如采购人有相应要求，供应商应对采购人购买的产品进行升级服务。</w:t>
      </w:r>
    </w:p>
    <w:p w14:paraId="4FD48599">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2.质保期外服务要求</w:t>
      </w:r>
    </w:p>
    <w:p w14:paraId="2865A87E">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2.1质量保证期过后，供应商应同样提供免费电话咨询服务，并应承诺提供产品上门维护服务。</w:t>
      </w:r>
    </w:p>
    <w:p w14:paraId="7C88BC2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2.2质量保证期过后，采购人需要继续由原供应商提供售后服务的，该供应商应以优惠价格提供售后服务。</w:t>
      </w:r>
    </w:p>
    <w:p w14:paraId="459FC49C">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（三）备品备件及易损件</w:t>
      </w:r>
    </w:p>
    <w:p w14:paraId="40E2332A">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供应商售后服务中，维修使用的备品备件及易损件应为原厂配件，未经采购人同意不得使用非原厂配件，常用的、容易损坏的备品备件及易损件的价格清单须在响应文件中列出。</w:t>
      </w:r>
    </w:p>
    <w:p w14:paraId="7D7F312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17" w:name="_Toc25745"/>
      <w:bookmarkStart w:id="118" w:name="_Toc75793512"/>
      <w:bookmarkStart w:id="119" w:name="_Toc21888"/>
      <w:bookmarkStart w:id="120" w:name="_Toc156895492"/>
      <w:bookmarkStart w:id="121" w:name="_Toc119949880"/>
      <w:bookmarkStart w:id="122" w:name="_Toc119579781"/>
      <w:bookmarkStart w:id="123" w:name="_Toc32722"/>
      <w:bookmarkStart w:id="124" w:name="_Toc267320051"/>
      <w:bookmarkStart w:id="125" w:name="_Toc25932"/>
      <w:bookmarkStart w:id="126" w:name="_Toc8955"/>
      <w:bookmarkStart w:id="127" w:name="_Toc18007"/>
      <w:bookmarkStart w:id="128" w:name="_Toc19350"/>
      <w:bookmarkStart w:id="129" w:name="_Toc22695"/>
      <w:bookmarkStart w:id="130" w:name="_Toc5174"/>
      <w:bookmarkStart w:id="131" w:name="_Toc1008"/>
      <w:bookmarkStart w:id="132" w:name="_Toc12285"/>
      <w:bookmarkStart w:id="133" w:name="_Toc25552"/>
      <w:bookmarkStart w:id="134" w:name="_Toc29286"/>
      <w:bookmarkStart w:id="135" w:name="_Toc30442"/>
      <w:r>
        <w:rPr>
          <w:rFonts w:hint="eastAsia" w:ascii="宋体" w:hAnsi="宋体" w:eastAsia="宋体" w:cs="宋体"/>
          <w:color w:val="000000" w:themeColor="text1"/>
          <w:sz w:val="24"/>
          <w:szCs w:val="24"/>
          <w:highlight w:val="none"/>
          <w:lang w:val="en-US" w:eastAsia="zh-CN"/>
          <w14:textFill>
            <w14:solidFill>
              <w14:schemeClr w14:val="tx1"/>
            </w14:solidFill>
          </w14:textFill>
        </w:rPr>
        <w:t>四、付款方式</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0C47211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36" w:name="_Toc119579782"/>
      <w:bookmarkStart w:id="137" w:name="_Toc267320052"/>
      <w:bookmarkStart w:id="138" w:name="_Toc3311"/>
      <w:bookmarkStart w:id="139" w:name="_Toc20369"/>
      <w:bookmarkStart w:id="140" w:name="_Toc75793513"/>
      <w:bookmarkStart w:id="141" w:name="_Toc11060"/>
      <w:bookmarkStart w:id="142" w:name="_Toc22431"/>
      <w:bookmarkStart w:id="143" w:name="_Toc4897"/>
      <w:bookmarkStart w:id="144" w:name="_Toc18959"/>
      <w:bookmarkStart w:id="145" w:name="_Toc28056"/>
      <w:bookmarkStart w:id="146" w:name="_Toc25410"/>
      <w:bookmarkStart w:id="147" w:name="_Toc119949881"/>
      <w:bookmarkStart w:id="148" w:name="_Toc27144"/>
      <w:bookmarkStart w:id="149" w:name="_Toc10105"/>
      <w:bookmarkStart w:id="150" w:name="_Toc9213"/>
      <w:bookmarkStart w:id="151" w:name="_Toc11399"/>
      <w:bookmarkStart w:id="152" w:name="_Toc4339"/>
      <w:bookmarkStart w:id="153" w:name="_Toc3565"/>
      <w:r>
        <w:rPr>
          <w:rFonts w:hint="eastAsia" w:ascii="宋体" w:hAnsi="宋体" w:eastAsia="宋体" w:cs="宋体"/>
          <w:color w:val="000000" w:themeColor="text1"/>
          <w:sz w:val="24"/>
          <w:szCs w:val="24"/>
          <w:highlight w:val="none"/>
          <w:lang w:val="en-US" w:eastAsia="zh-CN"/>
          <w14:textFill>
            <w14:solidFill>
              <w14:schemeClr w14:val="tx1"/>
            </w14:solidFill>
          </w14:textFill>
        </w:rPr>
        <w:t>成交供应商按文件规定的时间与采购人签订合同相关事宜，合同签订后，在成交供应商提供设备并安装验收合格后，采购人在 10个工作日内支付全款给乙方。</w:t>
      </w:r>
    </w:p>
    <w:p w14:paraId="54F7B44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54" w:name="_Toc156895493"/>
      <w:r>
        <w:rPr>
          <w:rFonts w:hint="eastAsia" w:ascii="宋体" w:hAnsi="宋体" w:eastAsia="宋体" w:cs="宋体"/>
          <w:color w:val="000000" w:themeColor="text1"/>
          <w:sz w:val="24"/>
          <w:szCs w:val="24"/>
          <w:highlight w:val="none"/>
          <w:lang w:val="en-US" w:eastAsia="zh-CN"/>
          <w14:textFill>
            <w14:solidFill>
              <w14:schemeClr w14:val="tx1"/>
            </w14:solidFill>
          </w14:textFill>
        </w:rPr>
        <w:t>五、知识产权</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AB068A6">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61671DAD">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55" w:name="_Toc27637"/>
      <w:bookmarkStart w:id="156" w:name="_Toc4784"/>
      <w:bookmarkStart w:id="157" w:name="_Toc25464"/>
      <w:bookmarkStart w:id="158" w:name="_Toc3404"/>
      <w:bookmarkStart w:id="159" w:name="_Toc31803"/>
      <w:bookmarkStart w:id="160" w:name="_Toc267320053"/>
      <w:bookmarkStart w:id="161" w:name="_Toc1949"/>
      <w:bookmarkStart w:id="162" w:name="_Toc26926"/>
      <w:bookmarkStart w:id="163" w:name="_Toc119949882"/>
      <w:bookmarkStart w:id="164" w:name="_Toc1026"/>
      <w:bookmarkStart w:id="165" w:name="_Toc29615"/>
      <w:bookmarkStart w:id="166" w:name="_Toc75793514"/>
      <w:bookmarkStart w:id="167" w:name="_Toc15548"/>
      <w:bookmarkStart w:id="168" w:name="_Toc156895494"/>
      <w:bookmarkStart w:id="169" w:name="_Toc15159"/>
      <w:bookmarkStart w:id="170" w:name="_Toc119579783"/>
      <w:bookmarkStart w:id="171" w:name="_Toc7629"/>
      <w:bookmarkStart w:id="172" w:name="_Toc14096"/>
      <w:bookmarkStart w:id="173" w:name="_Toc15109"/>
      <w:r>
        <w:rPr>
          <w:rFonts w:hint="eastAsia" w:ascii="宋体" w:hAnsi="宋体" w:eastAsia="宋体" w:cs="宋体"/>
          <w:color w:val="000000" w:themeColor="text1"/>
          <w:sz w:val="24"/>
          <w:szCs w:val="24"/>
          <w:highlight w:val="none"/>
          <w:lang w:val="en-US" w:eastAsia="zh-CN"/>
          <w14:textFill>
            <w14:solidFill>
              <w14:schemeClr w14:val="tx1"/>
            </w14:solidFill>
          </w14:textFill>
        </w:rPr>
        <w:t>六、培训</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2D2ACCC8">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供应商对其提供产品的使用和操作应尽培训义务。供应商应提供对采购人的基本免费培训，使采购人使用人员能够正常操作。</w:t>
      </w:r>
    </w:p>
    <w:p w14:paraId="45461FA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174" w:name="_Toc9916"/>
      <w:bookmarkStart w:id="175" w:name="_Toc8027"/>
      <w:bookmarkStart w:id="176" w:name="_Toc26694"/>
      <w:bookmarkStart w:id="177" w:name="_Toc75793515"/>
      <w:bookmarkStart w:id="178" w:name="_Toc7168"/>
      <w:bookmarkStart w:id="179" w:name="_Toc119579784"/>
      <w:bookmarkStart w:id="180" w:name="_Toc20414"/>
      <w:bookmarkStart w:id="181" w:name="_Toc15245"/>
      <w:bookmarkStart w:id="182" w:name="_Toc156895495"/>
      <w:bookmarkStart w:id="183" w:name="_Toc18165"/>
      <w:bookmarkStart w:id="184" w:name="_Toc26367"/>
      <w:bookmarkStart w:id="185" w:name="_Toc18659"/>
      <w:bookmarkStart w:id="186" w:name="_Toc28797"/>
      <w:bookmarkStart w:id="187" w:name="_Toc28488"/>
      <w:bookmarkStart w:id="188" w:name="_Toc13166"/>
      <w:bookmarkStart w:id="189" w:name="_Toc5987"/>
      <w:bookmarkStart w:id="190" w:name="_Toc119949883"/>
      <w:bookmarkStart w:id="191" w:name="_Toc28278"/>
      <w:r>
        <w:rPr>
          <w:rFonts w:hint="eastAsia" w:ascii="宋体" w:hAnsi="宋体" w:eastAsia="宋体" w:cs="宋体"/>
          <w:color w:val="000000" w:themeColor="text1"/>
          <w:sz w:val="24"/>
          <w:szCs w:val="24"/>
          <w:highlight w:val="none"/>
          <w:lang w:val="en-US" w:eastAsia="zh-CN"/>
          <w14:textFill>
            <w14:solidFill>
              <w14:schemeClr w14:val="tx1"/>
            </w14:solidFill>
          </w14:textFill>
        </w:rPr>
        <w:t>七、附件、图纸及包装要求</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2CF6FE32">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both"/>
        <w:textAlignment w:val="auto"/>
        <w:outlineLvl w:val="9"/>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所有设备按照制造商规定的产品包装和随机标准附件为准。</w:t>
      </w:r>
    </w:p>
    <w:p w14:paraId="1B3A3EAF">
      <w:pPr>
        <w:pStyle w:val="4"/>
        <w:pageBreakBefore/>
        <w:spacing w:before="0" w:after="0" w:line="360" w:lineRule="auto"/>
        <w:jc w:val="center"/>
        <w:rPr>
          <w:rFonts w:hint="eastAsia" w:ascii="宋体" w:hAnsi="宋体" w:eastAsia="宋体" w:cs="宋体"/>
          <w:bCs/>
          <w:color w:val="000000" w:themeColor="text1"/>
          <w:spacing w:val="-11"/>
          <w:sz w:val="24"/>
          <w:szCs w:val="24"/>
          <w:highlight w:val="none"/>
          <w14:textFill>
            <w14:solidFill>
              <w14:schemeClr w14:val="tx1"/>
            </w14:solidFill>
          </w14:textFill>
        </w:rPr>
      </w:pPr>
      <w:r>
        <w:rPr>
          <w:rFonts w:hint="eastAsia" w:ascii="宋体" w:hAnsi="宋体" w:eastAsia="宋体" w:cs="宋体"/>
          <w:bCs/>
          <w:color w:val="000000" w:themeColor="text1"/>
          <w:spacing w:val="-11"/>
          <w:sz w:val="24"/>
          <w:szCs w:val="24"/>
          <w:highlight w:val="none"/>
          <w14:textFill>
            <w14:solidFill>
              <w14:schemeClr w14:val="tx1"/>
            </w14:solidFill>
          </w14:textFill>
        </w:rPr>
        <w:t>第四篇</w:t>
      </w:r>
      <w:r>
        <w:rPr>
          <w:rFonts w:hint="eastAsia" w:ascii="宋体" w:hAnsi="宋体" w:eastAsia="宋体" w:cs="宋体"/>
          <w:bCs/>
          <w:color w:val="000000" w:themeColor="text1"/>
          <w:spacing w:val="-11"/>
          <w:sz w:val="24"/>
          <w:szCs w:val="24"/>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11"/>
          <w:sz w:val="24"/>
          <w:szCs w:val="24"/>
          <w:highlight w:val="none"/>
          <w14:textFill>
            <w14:solidFill>
              <w14:schemeClr w14:val="tx1"/>
            </w14:solidFill>
          </w14:textFill>
        </w:rPr>
        <w:t>网上竞采程序及方法、评审标准、响应无效和采购终止</w:t>
      </w:r>
    </w:p>
    <w:p w14:paraId="6C7D0590">
      <w:pPr>
        <w:pStyle w:val="5"/>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bookmarkStart w:id="192" w:name="_Toc18690"/>
      <w:r>
        <w:rPr>
          <w:rFonts w:hint="eastAsia" w:ascii="宋体" w:hAnsi="宋体" w:eastAsia="宋体" w:cs="宋体"/>
          <w:color w:val="000000" w:themeColor="text1"/>
          <w:sz w:val="24"/>
          <w:szCs w:val="24"/>
          <w:highlight w:val="none"/>
          <w14:textFill>
            <w14:solidFill>
              <w14:schemeClr w14:val="tx1"/>
            </w14:solidFill>
          </w14:textFill>
        </w:rPr>
        <w:t>一、网上竞采程序及方法</w:t>
      </w:r>
      <w:bookmarkEnd w:id="192"/>
    </w:p>
    <w:p w14:paraId="654EEDA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（一）评审小组对各供应商的资格条件、响应文件的有效性、完整性和响应程度进行审查。各供应商只有在完全符合要求的前提下，才能参与正式网上竞采。</w:t>
      </w:r>
    </w:p>
    <w:p w14:paraId="79F355C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1.资格性检查。依据法律法规和网上竞采文件的规定，对响应文件中的资格证明进行审查，以确定供应商是否具备网上竞采资格。资格性检查资料表如下：</w:t>
      </w:r>
    </w:p>
    <w:tbl>
      <w:tblPr>
        <w:tblStyle w:val="6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14:paraId="36FE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D5309CC">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4394" w:type="dxa"/>
            <w:gridSpan w:val="2"/>
            <w:vAlign w:val="center"/>
          </w:tcPr>
          <w:p w14:paraId="11CE3167">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检查因素</w:t>
            </w:r>
          </w:p>
        </w:tc>
        <w:tc>
          <w:tcPr>
            <w:tcW w:w="4558" w:type="dxa"/>
            <w:vAlign w:val="center"/>
          </w:tcPr>
          <w:p w14:paraId="281EE925">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检查内容</w:t>
            </w:r>
          </w:p>
        </w:tc>
      </w:tr>
      <w:tr w14:paraId="0F2F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676" w:type="dxa"/>
            <w:vMerge w:val="restart"/>
            <w:vAlign w:val="center"/>
          </w:tcPr>
          <w:p w14:paraId="71ED6DB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709" w:type="dxa"/>
            <w:vMerge w:val="restart"/>
            <w:vAlign w:val="center"/>
          </w:tcPr>
          <w:p w14:paraId="0F03D961">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w:t>
            </w:r>
            <w:r>
              <w:rPr>
                <w:rFonts w:hint="eastAsia" w:ascii="宋体" w:hAnsi="宋体" w:eastAsia="宋体" w:cs="宋体"/>
                <w:color w:val="000000" w:themeColor="text1"/>
                <w:sz w:val="24"/>
                <w:szCs w:val="24"/>
                <w:highlight w:val="none"/>
                <w:lang w:val="zh-CN" w:eastAsia="zh-CN"/>
                <w14:textFill>
                  <w14:solidFill>
                    <w14:schemeClr w14:val="tx1"/>
                  </w14:solidFill>
                </w14:textFill>
              </w:rPr>
              <w:t>应符合的基本资格条件</w:t>
            </w:r>
          </w:p>
        </w:tc>
        <w:tc>
          <w:tcPr>
            <w:tcW w:w="3685" w:type="dxa"/>
            <w:vAlign w:val="center"/>
          </w:tcPr>
          <w:p w14:paraId="060BBBF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（1）具有独立承担民事责任的能力</w:t>
            </w:r>
          </w:p>
        </w:tc>
        <w:tc>
          <w:tcPr>
            <w:tcW w:w="4558" w:type="dxa"/>
            <w:vAlign w:val="center"/>
          </w:tcPr>
          <w:p w14:paraId="4980CD6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供应商法人营业执照（副本）或事业单位法人证书（副本）或个体工商户营业执照或有效的自然人身份证明、组织机构代码证复印件（注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308A93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供应商法定代表人身份证明和法定代表人授权代表委托书。</w:t>
            </w:r>
          </w:p>
        </w:tc>
      </w:tr>
      <w:tr w14:paraId="661F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6" w:type="dxa"/>
            <w:vMerge w:val="continue"/>
            <w:vAlign w:val="center"/>
          </w:tcPr>
          <w:p w14:paraId="6864B83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534940F0">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1C53B3F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具有良好的商业信誉和健全的财务会计制度</w:t>
            </w:r>
          </w:p>
        </w:tc>
        <w:tc>
          <w:tcPr>
            <w:tcW w:w="4558" w:type="dxa"/>
            <w:vMerge w:val="restart"/>
            <w:vAlign w:val="center"/>
          </w:tcPr>
          <w:p w14:paraId="48C4662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供应商提供基本资格条件承诺函。（格式详见第七篇）</w:t>
            </w:r>
          </w:p>
        </w:tc>
      </w:tr>
      <w:tr w14:paraId="647A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6" w:type="dxa"/>
            <w:vMerge w:val="continue"/>
            <w:vAlign w:val="center"/>
          </w:tcPr>
          <w:p w14:paraId="72F7FAF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74ABA0E8">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55E3098F">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（3）具有履行合同所必需的设备和专业技术能力</w:t>
            </w:r>
          </w:p>
        </w:tc>
        <w:tc>
          <w:tcPr>
            <w:tcW w:w="4558" w:type="dxa"/>
            <w:vMerge w:val="continue"/>
            <w:vAlign w:val="center"/>
          </w:tcPr>
          <w:p w14:paraId="384780A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71AD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E8079F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619F60A2">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51F256EF">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（4）有依法缴纳税收和社会保障金的良好记录</w:t>
            </w:r>
          </w:p>
        </w:tc>
        <w:tc>
          <w:tcPr>
            <w:tcW w:w="4558" w:type="dxa"/>
            <w:vMerge w:val="continue"/>
            <w:vAlign w:val="center"/>
          </w:tcPr>
          <w:p w14:paraId="2DA0669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0A9E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676" w:type="dxa"/>
            <w:vMerge w:val="continue"/>
            <w:vAlign w:val="center"/>
          </w:tcPr>
          <w:p w14:paraId="30E321C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19DC9EBF">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7CCDB697">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（5）参加政府采购活动前三年内，在经营活动中没有重大违法记录（注</w: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tc>
        <w:tc>
          <w:tcPr>
            <w:tcW w:w="4558" w:type="dxa"/>
            <w:vMerge w:val="continue"/>
            <w:vAlign w:val="center"/>
          </w:tcPr>
          <w:p w14:paraId="27931EF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501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76" w:type="dxa"/>
            <w:vMerge w:val="continue"/>
            <w:vAlign w:val="center"/>
          </w:tcPr>
          <w:p w14:paraId="527C360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709" w:type="dxa"/>
            <w:vMerge w:val="continue"/>
            <w:vAlign w:val="center"/>
          </w:tcPr>
          <w:p w14:paraId="0589FD4E">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3685" w:type="dxa"/>
            <w:vAlign w:val="center"/>
          </w:tcPr>
          <w:p w14:paraId="5558F37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（6）法律、行政法规规定的其他条件</w:t>
            </w:r>
          </w:p>
        </w:tc>
        <w:tc>
          <w:tcPr>
            <w:tcW w:w="4558" w:type="dxa"/>
            <w:vAlign w:val="center"/>
          </w:tcPr>
          <w:p w14:paraId="7719255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D1F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76" w:type="dxa"/>
            <w:vAlign w:val="center"/>
          </w:tcPr>
          <w:p w14:paraId="4E27F8A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4394" w:type="dxa"/>
            <w:gridSpan w:val="2"/>
            <w:vAlign w:val="center"/>
          </w:tcPr>
          <w:p w14:paraId="27259A2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落实政府采购政策需满足的资格要求</w:t>
            </w:r>
          </w:p>
        </w:tc>
        <w:tc>
          <w:tcPr>
            <w:tcW w:w="4558" w:type="dxa"/>
            <w:vAlign w:val="center"/>
          </w:tcPr>
          <w:p w14:paraId="281F8895">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按第一篇“三、供应商资格条件（二）落实政府采购政策需满足的资格要求”的要求提交（如果有）。</w:t>
            </w:r>
          </w:p>
        </w:tc>
      </w:tr>
      <w:tr w14:paraId="1230C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6" w:type="dxa"/>
            <w:vAlign w:val="center"/>
          </w:tcPr>
          <w:p w14:paraId="308D878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4394" w:type="dxa"/>
            <w:gridSpan w:val="2"/>
            <w:vAlign w:val="center"/>
          </w:tcPr>
          <w:p w14:paraId="2CE6B0FE">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特定资格条件</w:t>
            </w:r>
          </w:p>
        </w:tc>
        <w:tc>
          <w:tcPr>
            <w:tcW w:w="4558" w:type="dxa"/>
            <w:vAlign w:val="center"/>
          </w:tcPr>
          <w:p w14:paraId="4A9C01B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按第一篇“三、供应商资格条件（三）特定资格条件”的要求提交（如果有）。</w:t>
            </w:r>
          </w:p>
        </w:tc>
      </w:tr>
    </w:tbl>
    <w:p w14:paraId="6A8864CA">
      <w:pPr>
        <w:snapToGrid w:val="0"/>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注：</w:t>
      </w:r>
    </w:p>
    <w:p w14:paraId="10B97C5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\o\ac(○,2)</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供应商按“多证合一”登记制度办理营业执照的，组织机构代码证、税务登记证（副本）和社会保险登记证以供应商所提供的营业执照（副本）复印件为准。</w:t>
      </w:r>
    </w:p>
    <w:p w14:paraId="2D80BC2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highlight w:val="none"/>
          <w:lang w:val="en-US" w:eastAsia="zh-CN"/>
          <w14:textFill>
            <w14:solidFill>
              <w14:schemeClr w14:val="tx1"/>
            </w14:solidFill>
          </w14:textFill>
        </w:rPr>
        <w:instrText xml:space="preserve">eq \o\ac(○,3)</w:instrText>
      </w:r>
      <w:r>
        <w:rPr>
          <w:rFonts w:hint="eastAsia" w:ascii="宋体" w:hAnsi="宋体" w:eastAsia="宋体" w:cs="宋体"/>
          <w:color w:val="000000" w:themeColor="text1"/>
          <w:sz w:val="24"/>
          <w:szCs w:val="24"/>
          <w:highlight w:val="none"/>
          <w:lang w:val="en-US" w:eastAsia="zh-CN"/>
          <w14:textFill>
            <w14:solidFill>
              <w14:schemeClr w14:val="tx1"/>
            </w14:solidFill>
          </w14:textFill>
        </w:rPr>
        <w:fldChar w:fldCharType="end"/>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627781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2.符合性检查。依据网上竞采文件的规定，从响应文件的有效性、完整性和对网上竞采文件的响应程度进行审查，以确定是否对网上竞采文件的实质性要求作出响应。符合性检查资料表如下：</w:t>
      </w:r>
    </w:p>
    <w:tbl>
      <w:tblPr>
        <w:tblStyle w:val="6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115F7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75" w:type="dxa"/>
            <w:vAlign w:val="center"/>
          </w:tcPr>
          <w:p w14:paraId="6EAA7B85">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544" w:type="dxa"/>
            <w:gridSpan w:val="2"/>
            <w:vAlign w:val="center"/>
          </w:tcPr>
          <w:p w14:paraId="245F2315">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评审因素</w:t>
            </w:r>
          </w:p>
        </w:tc>
        <w:tc>
          <w:tcPr>
            <w:tcW w:w="5409" w:type="dxa"/>
            <w:vAlign w:val="center"/>
          </w:tcPr>
          <w:p w14:paraId="07A42A7B">
            <w:pPr>
              <w:spacing w:line="24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评审标准</w:t>
            </w:r>
          </w:p>
        </w:tc>
      </w:tr>
      <w:tr w14:paraId="2B95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75" w:type="dxa"/>
            <w:vMerge w:val="restart"/>
            <w:vAlign w:val="center"/>
          </w:tcPr>
          <w:p w14:paraId="74031CA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p>
        </w:tc>
        <w:tc>
          <w:tcPr>
            <w:tcW w:w="1560" w:type="dxa"/>
            <w:vMerge w:val="restart"/>
            <w:vAlign w:val="center"/>
          </w:tcPr>
          <w:p w14:paraId="1CD14490">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有效性审查</w:t>
            </w:r>
          </w:p>
        </w:tc>
        <w:tc>
          <w:tcPr>
            <w:tcW w:w="1984" w:type="dxa"/>
            <w:vAlign w:val="center"/>
          </w:tcPr>
          <w:p w14:paraId="266C92F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响应文件签署</w:t>
            </w:r>
          </w:p>
        </w:tc>
        <w:tc>
          <w:tcPr>
            <w:tcW w:w="5409" w:type="dxa"/>
            <w:vAlign w:val="center"/>
          </w:tcPr>
          <w:p w14:paraId="5CA6501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网上电子文档及响应文件上法定代表人或其授权代表人的签字齐全。</w:t>
            </w:r>
          </w:p>
        </w:tc>
      </w:tr>
      <w:tr w14:paraId="509C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675" w:type="dxa"/>
            <w:vMerge w:val="continue"/>
            <w:vAlign w:val="center"/>
          </w:tcPr>
          <w:p w14:paraId="14DA1C2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3359DFD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7F34DCB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w:t>
            </w:r>
          </w:p>
        </w:tc>
        <w:tc>
          <w:tcPr>
            <w:tcW w:w="5409" w:type="dxa"/>
            <w:vAlign w:val="center"/>
          </w:tcPr>
          <w:p w14:paraId="29A02DC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法定代表人身份证明及授权委托书有效，符合网上竞采文件规定的格式，签字或盖章齐全。</w:t>
            </w:r>
          </w:p>
        </w:tc>
      </w:tr>
      <w:tr w14:paraId="1464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75" w:type="dxa"/>
            <w:vMerge w:val="continue"/>
            <w:vAlign w:val="center"/>
          </w:tcPr>
          <w:p w14:paraId="33B17D7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2F41C8A7">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638AD2AF">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c>
          <w:tcPr>
            <w:tcW w:w="5409" w:type="dxa"/>
            <w:vAlign w:val="center"/>
          </w:tcPr>
          <w:p w14:paraId="13ABB74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每个分包只能有一个</w:t>
            </w: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方案。</w:t>
            </w:r>
          </w:p>
        </w:tc>
      </w:tr>
      <w:tr w14:paraId="08BB8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5" w:type="dxa"/>
            <w:vMerge w:val="continue"/>
            <w:vAlign w:val="center"/>
          </w:tcPr>
          <w:p w14:paraId="6479071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18592F3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984" w:type="dxa"/>
            <w:vAlign w:val="center"/>
          </w:tcPr>
          <w:p w14:paraId="1E808DFE">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报价唯一</w:t>
            </w:r>
          </w:p>
        </w:tc>
        <w:tc>
          <w:tcPr>
            <w:tcW w:w="5409" w:type="dxa"/>
            <w:vAlign w:val="center"/>
          </w:tcPr>
          <w:p w14:paraId="36180CD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zh-CN" w:eastAsia="zh-CN"/>
                <w14:textFill>
                  <w14:solidFill>
                    <w14:schemeClr w14:val="tx1"/>
                  </w14:solidFill>
                </w14:textFill>
              </w:rPr>
              <w:t>只能在采购预算范围内报价，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只能有一个有效报价，不得提交选择性报价。</w:t>
            </w:r>
          </w:p>
        </w:tc>
      </w:tr>
      <w:tr w14:paraId="4AF1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75" w:type="dxa"/>
            <w:vAlign w:val="center"/>
          </w:tcPr>
          <w:p w14:paraId="08B9589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p>
        </w:tc>
        <w:tc>
          <w:tcPr>
            <w:tcW w:w="1560" w:type="dxa"/>
            <w:vAlign w:val="center"/>
          </w:tcPr>
          <w:p w14:paraId="6F42D28A">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完整性审查</w:t>
            </w:r>
          </w:p>
        </w:tc>
        <w:tc>
          <w:tcPr>
            <w:tcW w:w="1984" w:type="dxa"/>
            <w:vAlign w:val="center"/>
          </w:tcPr>
          <w:p w14:paraId="7419D8B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文件份数</w:t>
            </w:r>
          </w:p>
        </w:tc>
        <w:tc>
          <w:tcPr>
            <w:tcW w:w="5409" w:type="dxa"/>
            <w:vAlign w:val="center"/>
          </w:tcPr>
          <w:p w14:paraId="6EA7ED5C">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文件数量符合</w:t>
            </w: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w:t>
            </w:r>
            <w:r>
              <w:rPr>
                <w:rFonts w:hint="eastAsia" w:ascii="宋体" w:hAnsi="宋体" w:eastAsia="宋体" w:cs="宋体"/>
                <w:color w:val="000000" w:themeColor="text1"/>
                <w:sz w:val="24"/>
                <w:szCs w:val="24"/>
                <w:highlight w:val="none"/>
                <w:lang w:val="zh-CN" w:eastAsia="zh-CN"/>
                <w14:textFill>
                  <w14:solidFill>
                    <w14:schemeClr w14:val="tx1"/>
                  </w14:solidFill>
                </w14:textFill>
              </w:rPr>
              <w:t>文件要求。</w:t>
            </w:r>
          </w:p>
        </w:tc>
      </w:tr>
      <w:tr w14:paraId="37AA8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675" w:type="dxa"/>
            <w:vMerge w:val="restart"/>
            <w:vAlign w:val="center"/>
          </w:tcPr>
          <w:p w14:paraId="0BCB0F5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p>
        </w:tc>
        <w:tc>
          <w:tcPr>
            <w:tcW w:w="1560" w:type="dxa"/>
            <w:vMerge w:val="restart"/>
            <w:vAlign w:val="center"/>
          </w:tcPr>
          <w:p w14:paraId="0D02D861">
            <w:pPr>
              <w:spacing w:line="360" w:lineRule="auto"/>
              <w:rPr>
                <w:rFonts w:hint="eastAsia" w:ascii="宋体" w:hAnsi="宋体" w:eastAsia="宋体" w:cs="宋体"/>
                <w:color w:val="000000" w:themeColor="text1"/>
                <w:sz w:val="24"/>
                <w:szCs w:val="24"/>
                <w:highlight w:val="none"/>
                <w:lang w:val="zh-CN"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网上竞采文件的响应程度审查</w:t>
            </w:r>
          </w:p>
        </w:tc>
        <w:tc>
          <w:tcPr>
            <w:tcW w:w="1984" w:type="dxa"/>
            <w:vAlign w:val="center"/>
          </w:tcPr>
          <w:p w14:paraId="2864EDAF">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响应文件内容</w:t>
            </w:r>
          </w:p>
        </w:tc>
        <w:tc>
          <w:tcPr>
            <w:tcW w:w="5409" w:type="dxa"/>
            <w:vAlign w:val="center"/>
          </w:tcPr>
          <w:p w14:paraId="69BD789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对网上竞采文件第二篇、第三篇规定的网上竞采内容作出响应。</w:t>
            </w:r>
          </w:p>
        </w:tc>
      </w:tr>
      <w:tr w14:paraId="1DF10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75" w:type="dxa"/>
            <w:vMerge w:val="continue"/>
            <w:vAlign w:val="center"/>
          </w:tcPr>
          <w:p w14:paraId="5226D286">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c>
          <w:tcPr>
            <w:tcW w:w="1560" w:type="dxa"/>
            <w:vMerge w:val="continue"/>
            <w:vAlign w:val="center"/>
          </w:tcPr>
          <w:p w14:paraId="2E5E90F0">
            <w:pPr>
              <w:spacing w:line="360" w:lineRule="auto"/>
              <w:ind w:firstLine="240" w:firstLineChars="100"/>
              <w:rPr>
                <w:rFonts w:hint="eastAsia" w:ascii="宋体" w:hAnsi="宋体" w:eastAsia="宋体" w:cs="宋体"/>
                <w:color w:val="000000" w:themeColor="text1"/>
                <w:sz w:val="24"/>
                <w:szCs w:val="24"/>
                <w:highlight w:val="none"/>
                <w:lang w:val="zh-CN" w:eastAsia="zh-CN"/>
                <w14:textFill>
                  <w14:solidFill>
                    <w14:schemeClr w14:val="tx1"/>
                  </w14:solidFill>
                </w14:textFill>
              </w:rPr>
            </w:pPr>
          </w:p>
        </w:tc>
        <w:tc>
          <w:tcPr>
            <w:tcW w:w="1984" w:type="dxa"/>
            <w:vAlign w:val="center"/>
          </w:tcPr>
          <w:p w14:paraId="1A4235B8">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网上竞采有效期</w:t>
            </w:r>
          </w:p>
        </w:tc>
        <w:tc>
          <w:tcPr>
            <w:tcW w:w="5409" w:type="dxa"/>
            <w:vAlign w:val="center"/>
          </w:tcPr>
          <w:p w14:paraId="0D1ABB92">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满足网上竞采文件</w:t>
            </w:r>
            <w:r>
              <w:rPr>
                <w:rFonts w:hint="eastAsia" w:ascii="宋体" w:hAnsi="宋体" w:eastAsia="宋体" w:cs="宋体"/>
                <w:color w:val="000000" w:themeColor="text1"/>
                <w:sz w:val="24"/>
                <w:szCs w:val="24"/>
                <w:highlight w:val="none"/>
                <w:lang w:val="zh-CN" w:eastAsia="zh-CN"/>
                <w14:textFill>
                  <w14:solidFill>
                    <w14:schemeClr w14:val="tx1"/>
                  </w14:solidFill>
                </w14:textFill>
              </w:rPr>
              <w:t>规定。</w:t>
            </w:r>
          </w:p>
        </w:tc>
      </w:tr>
    </w:tbl>
    <w:p w14:paraId="08B18420">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C56D5B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1CEB07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（三）评审的依据为网上竞采文件和响应文件（含有效的补充文件）。评审小组判断响应文件对网上竞采文件的响应，仅基于响应文件本身而不靠外部证据。</w:t>
      </w:r>
    </w:p>
    <w:p w14:paraId="045DAE59">
      <w:pPr>
        <w:pStyle w:val="5"/>
        <w:spacing w:before="0" w:after="0" w:line="360" w:lineRule="auto"/>
        <w:rPr>
          <w:rFonts w:hint="eastAsia" w:ascii="宋体" w:hAnsi="宋体" w:cs="宋体"/>
          <w:color w:val="000000" w:themeColor="text1"/>
          <w:sz w:val="24"/>
          <w:szCs w:val="24"/>
          <w:highlight w:val="none"/>
          <w:lang w:val="en-US" w:eastAsia="zh-CN"/>
          <w14:textFill>
            <w14:solidFill>
              <w14:schemeClr w14:val="tx1"/>
            </w14:solidFill>
          </w14:textFill>
        </w:rPr>
      </w:pPr>
      <w:bookmarkStart w:id="193" w:name="_Toc18411"/>
      <w:r>
        <w:rPr>
          <w:rFonts w:hint="eastAsia" w:ascii="宋体" w:hAnsi="宋体" w:cs="宋体"/>
          <w:color w:val="000000" w:themeColor="text1"/>
          <w:sz w:val="24"/>
          <w:szCs w:val="24"/>
          <w:highlight w:val="none"/>
          <w:lang w:val="en-US" w:eastAsia="zh-CN"/>
          <w14:textFill>
            <w14:solidFill>
              <w14:schemeClr w14:val="tx1"/>
            </w14:solidFill>
          </w14:textFill>
        </w:rPr>
        <w:t>二、评标方法</w:t>
      </w:r>
    </w:p>
    <w:p w14:paraId="5E083E7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本项目采用综合评估法进行评标。</w:t>
      </w:r>
    </w:p>
    <w:p w14:paraId="1F26367A">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综合评分法，是指响应文件满足竞采文件全部实质性要求且按照评审因素的量化指标评审得分最高的供应商为成交供应商的评标方法。供应商总得分为价格、技术</w:t>
      </w:r>
      <w:r>
        <w:rPr>
          <w:rFonts w:hint="eastAsia" w:ascii="宋体" w:hAnsi="宋体" w:cs="宋体"/>
          <w:color w:val="000000" w:themeColor="text1"/>
          <w:sz w:val="24"/>
          <w:szCs w:val="24"/>
          <w:highlight w:val="none"/>
          <w:lang w:val="en-US" w:eastAsia="zh-CN"/>
          <w14:textFill>
            <w14:solidFill>
              <w14:schemeClr w14:val="tx1"/>
            </w14:solidFill>
          </w14:textFill>
        </w:rPr>
        <w:t>方案</w:t>
      </w:r>
      <w:r>
        <w:rPr>
          <w:rFonts w:hint="eastAsia" w:ascii="宋体" w:hAnsi="宋体" w:eastAsia="宋体" w:cs="宋体"/>
          <w:color w:val="000000" w:themeColor="text1"/>
          <w:sz w:val="24"/>
          <w:szCs w:val="24"/>
          <w:highlight w:val="none"/>
          <w:lang w:val="en-US" w:eastAsia="zh-CN"/>
          <w14:textFill>
            <w14:solidFill>
              <w14:schemeClr w14:val="tx1"/>
            </w14:solidFill>
          </w14:textFill>
        </w:rPr>
        <w:t>等评定因素分别按照相应权重值计算分项得分后相加，满分为100分。</w:t>
      </w:r>
    </w:p>
    <w:p w14:paraId="6E44A80C">
      <w:pPr>
        <w:snapToGrid w:val="0"/>
        <w:spacing w:line="400" w:lineRule="exact"/>
        <w:ind w:firstLine="482" w:firstLineChars="200"/>
        <w:outlineLvl w:val="2"/>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00D8CB54">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（一）比较与评价。按竞采文件中规定的评标方法和标准，对资格审查和符合性审查合格的响应文件进行商务和技术评估。</w:t>
      </w:r>
    </w:p>
    <w:p w14:paraId="5006A2F8">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评审小组各成员独立对每个有效供应商（通过资格审查、符合性审查的供应商）的响应文件进行评价、打分，然后由评审小组对各成员打分情况进行核查及复核，个别成员对同一供应商同一评分项的打分偏离较大的，应对供应商的响应文件进行再次核对，确属打分有误的，应及时进行修正。复核后，评审小组汇总每个供应商每项评分因素的得分。</w:t>
      </w:r>
    </w:p>
    <w:p w14:paraId="2657E58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（二）关于技术（质量）、商务偏离</w:t>
      </w:r>
    </w:p>
    <w:p w14:paraId="49AD164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1.电子投标文件投标应答有一条及以上不满足招标文件“第二篇 项目技术需求”要求的，供应商将失去成为成交供应商的资格；</w:t>
      </w:r>
    </w:p>
    <w:p w14:paraId="74018833">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2.电子投标文件投标应答有一条及以上不满足招标文件“第三篇 项目商务需求”要求的，供应商将失去成为成交供应商的资格；</w:t>
      </w:r>
    </w:p>
    <w:p w14:paraId="04380BAD">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 评审小组认为供应商的报价明显低于其他通过符合性审查供应商的报价，有可能影响质量或者不能诚信履约的，应当要求其在评标现场合理的时间内在线提供书面说明，必要时提交相关证明材料电子档（PDF格式）；供应商不能证明其报价合理性的，评审小组应当将其作为无效投标处理。</w:t>
      </w:r>
    </w:p>
    <w:p w14:paraId="3FE8B76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（三）推荐成交供应商名单。</w:t>
      </w:r>
    </w:p>
    <w:p w14:paraId="2F17A92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按评审后得分由高到低的排列顺序推荐综合得分排名前三的供应商为本包（项目）成交供应商，排名第一的为第一成交供应商。得分相同的，按投标报价由低到高顺序排列。得分且投标报价相同的由评审小组随机抽取的方式进行排列。不推荐技术（质量）部分得分为0分的供应商成为成交供应商。</w:t>
      </w:r>
    </w:p>
    <w:bookmarkEnd w:id="193"/>
    <w:p w14:paraId="0C308894">
      <w:pPr>
        <w:pStyle w:val="4"/>
        <w:spacing w:line="400" w:lineRule="exact"/>
        <w:ind w:firstLine="482" w:firstLineChars="200"/>
        <w:rPr>
          <w:rFonts w:hint="eastAsia" w:ascii="宋体" w:hAnsi="宋体" w:eastAsia="宋体" w:cs="宋体"/>
          <w:b/>
          <w:sz w:val="24"/>
          <w:szCs w:val="24"/>
          <w:highlight w:val="none"/>
        </w:rPr>
      </w:pPr>
      <w:bookmarkStart w:id="194" w:name="_Toc102227320"/>
      <w:bookmarkStart w:id="195" w:name="_Toc342913394"/>
      <w:r>
        <w:rPr>
          <w:rFonts w:hint="eastAsia" w:ascii="宋体" w:hAnsi="宋体" w:eastAsia="宋体" w:cs="宋体"/>
          <w:b/>
          <w:sz w:val="24"/>
          <w:szCs w:val="24"/>
          <w:highlight w:val="none"/>
          <w:lang w:val="en-US" w:eastAsia="zh-CN"/>
        </w:rPr>
        <w:t>三、</w:t>
      </w:r>
      <w:r>
        <w:rPr>
          <w:rFonts w:hint="eastAsia" w:ascii="宋体" w:hAnsi="宋体" w:eastAsia="宋体" w:cs="宋体"/>
          <w:b/>
          <w:sz w:val="24"/>
          <w:szCs w:val="24"/>
          <w:highlight w:val="none"/>
        </w:rPr>
        <w:t>评标标准</w:t>
      </w:r>
    </w:p>
    <w:p w14:paraId="2B61C6BC">
      <w:pPr>
        <w:snapToGrid w:val="0"/>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（综合评分法：）</w:t>
      </w:r>
    </w:p>
    <w:p w14:paraId="09AF3711">
      <w:pPr>
        <w:snapToGrid w:val="0"/>
        <w:spacing w:line="4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bl>
      <w:tblPr>
        <w:tblStyle w:val="61"/>
        <w:tblW w:w="1023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1476"/>
        <w:gridCol w:w="868"/>
        <w:gridCol w:w="6146"/>
        <w:gridCol w:w="1237"/>
      </w:tblGrid>
      <w:tr w14:paraId="50AB1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504" w:type="dxa"/>
            <w:noWrap w:val="0"/>
            <w:vAlign w:val="center"/>
          </w:tcPr>
          <w:p w14:paraId="72BDDF50">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476" w:type="dxa"/>
            <w:noWrap w:val="0"/>
            <w:vAlign w:val="center"/>
          </w:tcPr>
          <w:p w14:paraId="4E20E3B2">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评分因素</w:t>
            </w:r>
          </w:p>
          <w:p w14:paraId="7025A5EE">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及权重</w:t>
            </w:r>
          </w:p>
        </w:tc>
        <w:tc>
          <w:tcPr>
            <w:tcW w:w="868" w:type="dxa"/>
            <w:noWrap w:val="0"/>
            <w:vAlign w:val="center"/>
          </w:tcPr>
          <w:p w14:paraId="62120185">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分值</w:t>
            </w:r>
          </w:p>
        </w:tc>
        <w:tc>
          <w:tcPr>
            <w:tcW w:w="6146" w:type="dxa"/>
            <w:noWrap w:val="0"/>
            <w:vAlign w:val="center"/>
          </w:tcPr>
          <w:p w14:paraId="16EABC5D">
            <w:pPr>
              <w:ind w:firstLine="28"/>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评分标准</w:t>
            </w:r>
          </w:p>
        </w:tc>
        <w:tc>
          <w:tcPr>
            <w:tcW w:w="1237" w:type="dxa"/>
            <w:noWrap w:val="0"/>
            <w:vAlign w:val="center"/>
          </w:tcPr>
          <w:p w14:paraId="7DD52915">
            <w:pPr>
              <w:pStyle w:val="233"/>
              <w:spacing w:before="0" w:after="0" w:line="24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说明</w:t>
            </w:r>
          </w:p>
        </w:tc>
      </w:tr>
      <w:tr w14:paraId="793F3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5B5292FF">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t>1</w:t>
            </w:r>
          </w:p>
        </w:tc>
        <w:tc>
          <w:tcPr>
            <w:tcW w:w="1476" w:type="dxa"/>
            <w:noWrap w:val="0"/>
            <w:vAlign w:val="center"/>
          </w:tcPr>
          <w:p w14:paraId="07851265">
            <w:pPr>
              <w:spacing w:line="36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w:t>
            </w: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w:t>
            </w:r>
          </w:p>
        </w:tc>
        <w:tc>
          <w:tcPr>
            <w:tcW w:w="868" w:type="dxa"/>
            <w:noWrap w:val="0"/>
            <w:vAlign w:val="center"/>
          </w:tcPr>
          <w:p w14:paraId="6613F15D">
            <w:pPr>
              <w:spacing w:line="360" w:lineRule="exact"/>
              <w:jc w:val="cente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分</w:t>
            </w:r>
          </w:p>
        </w:tc>
        <w:tc>
          <w:tcPr>
            <w:tcW w:w="6146" w:type="dxa"/>
            <w:noWrap w:val="0"/>
            <w:vAlign w:val="center"/>
          </w:tcPr>
          <w:p w14:paraId="57AAE574">
            <w:pP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有效的投标报价中的最低价为评标基准价，按照下列公式计算每个</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的投标价格得分。</w:t>
            </w:r>
          </w:p>
          <w:p w14:paraId="120F2052">
            <w:pPr>
              <w:spacing w:line="360" w:lineRule="exact"/>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投标报价得分＝（评标基准价/投标报价）×价格权重×100。</w:t>
            </w:r>
          </w:p>
        </w:tc>
        <w:tc>
          <w:tcPr>
            <w:tcW w:w="1237" w:type="dxa"/>
            <w:noWrap w:val="0"/>
            <w:vAlign w:val="center"/>
          </w:tcPr>
          <w:p w14:paraId="0A82EFE9">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68B1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noWrap w:val="0"/>
            <w:vAlign w:val="center"/>
          </w:tcPr>
          <w:p w14:paraId="3FCCEBE1">
            <w:pPr>
              <w:snapToGrid w:val="0"/>
              <w:spacing w:line="400" w:lineRule="exact"/>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t>2</w:t>
            </w:r>
          </w:p>
        </w:tc>
        <w:tc>
          <w:tcPr>
            <w:tcW w:w="1476" w:type="dxa"/>
            <w:noWrap w:val="0"/>
            <w:vAlign w:val="center"/>
          </w:tcPr>
          <w:p w14:paraId="28962EF5">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t>技术部分</w:t>
            </w:r>
          </w:p>
          <w:p w14:paraId="5B542DEB">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t>（服务方案）（60%）</w:t>
            </w:r>
          </w:p>
        </w:tc>
        <w:tc>
          <w:tcPr>
            <w:tcW w:w="868" w:type="dxa"/>
            <w:noWrap w:val="0"/>
            <w:vAlign w:val="center"/>
          </w:tcPr>
          <w:p w14:paraId="1FB96908">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t>60分</w:t>
            </w:r>
          </w:p>
        </w:tc>
        <w:tc>
          <w:tcPr>
            <w:tcW w:w="6146" w:type="dxa"/>
            <w:noWrap w:val="0"/>
            <w:vAlign w:val="center"/>
          </w:tcPr>
          <w:p w14:paraId="305A531E">
            <w:pPr>
              <w:snapToGrid w:val="0"/>
              <w:spacing w:line="400" w:lineRule="exact"/>
              <w:rPr>
                <w:rFonts w:hint="default"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1、供应商应针对本项目提供切实可行的</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售后服务</w:t>
            </w:r>
            <w:r>
              <w:rPr>
                <w:rFonts w:hint="eastAsia" w:ascii="仿宋" w:hAnsi="仿宋" w:eastAsia="仿宋" w:cs="仿宋"/>
                <w:color w:val="000000" w:themeColor="text1"/>
                <w:sz w:val="22"/>
                <w:szCs w:val="22"/>
                <w:highlight w:val="none"/>
                <w:lang w:val="en-US" w:eastAsia="zh-CN"/>
                <w14:textFill>
                  <w14:solidFill>
                    <w14:schemeClr w14:val="tx1"/>
                  </w14:solidFill>
                </w14:textFill>
              </w:rPr>
              <w:t>方案，内容包括但不限于售后人员、响应时间等。</w:t>
            </w:r>
          </w:p>
          <w:p w14:paraId="1D4AA236">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方案非常详尽，合理，可操作性强的，得15（不含）-20分；</w:t>
            </w:r>
          </w:p>
          <w:p w14:paraId="0D296442">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方案基本明确、合理，可操作性一般的，得10（不含）-15分；</w:t>
            </w:r>
          </w:p>
          <w:p w14:paraId="2CC0C6C2">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方案不明确、不合理，可操作性差的，得5（不含）-10分；</w:t>
            </w:r>
          </w:p>
          <w:p w14:paraId="53656BE6">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方案内容存在明显错误、内容明显不适用于本项目需求的或未提供方案的，得0-5分。</w:t>
            </w:r>
          </w:p>
          <w:p w14:paraId="16A64F11">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2、供应商应针对本项目提供切实可行的</w:t>
            </w:r>
            <w:r>
              <w:rPr>
                <w:rFonts w:hint="eastAsia" w:ascii="仿宋" w:hAnsi="仿宋" w:eastAsia="仿宋" w:cs="仿宋"/>
                <w:b/>
                <w:bCs/>
                <w:color w:val="000000" w:themeColor="text1"/>
                <w:sz w:val="22"/>
                <w:szCs w:val="22"/>
                <w:highlight w:val="none"/>
                <w:lang w:val="en-US" w:eastAsia="zh-CN"/>
                <w14:textFill>
                  <w14:solidFill>
                    <w14:schemeClr w14:val="tx1"/>
                  </w14:solidFill>
                </w14:textFill>
              </w:rPr>
              <w:t>供货保障</w:t>
            </w:r>
            <w:r>
              <w:rPr>
                <w:rFonts w:hint="eastAsia" w:ascii="仿宋" w:hAnsi="仿宋" w:eastAsia="仿宋" w:cs="仿宋"/>
                <w:color w:val="000000" w:themeColor="text1"/>
                <w:sz w:val="22"/>
                <w:szCs w:val="22"/>
                <w:highlight w:val="none"/>
                <w:lang w:val="en-US" w:eastAsia="zh-CN"/>
                <w14:textFill>
                  <w14:solidFill>
                    <w14:schemeClr w14:val="tx1"/>
                  </w14:solidFill>
                </w14:textFill>
              </w:rPr>
              <w:t>方案，内容包括但不限于计划响应、运输组织、应急处置、保障措施等。</w:t>
            </w:r>
          </w:p>
          <w:p w14:paraId="53F63375">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方案非常详尽，合理，可操作性强的，得15（不含）-20分；</w:t>
            </w:r>
          </w:p>
          <w:p w14:paraId="29A1D237">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方案基本明确、合理，可操作性一般的，得10（不含）-15分；</w:t>
            </w:r>
          </w:p>
          <w:p w14:paraId="236EAADB">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方案不明确、不合理，可操作性差的，得5（不含）-10分；</w:t>
            </w:r>
          </w:p>
          <w:p w14:paraId="635AADEB">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方案内容存在明显错误、内容明显不适用于本项目需求的或未提供方案的，得0-5分。</w:t>
            </w:r>
          </w:p>
          <w:p w14:paraId="78A4DA8E">
            <w:pPr>
              <w:snapToGrid w:val="0"/>
              <w:spacing w:line="400" w:lineRule="exact"/>
              <w:rPr>
                <w:rFonts w:hint="eastAsia" w:ascii="仿宋" w:hAnsi="仿宋" w:eastAsia="仿宋" w:cs="仿宋"/>
                <w:color w:val="000000" w:themeColor="text1"/>
                <w:sz w:val="22"/>
                <w:szCs w:val="22"/>
                <w:highlight w:val="none"/>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3、供应商</w:t>
            </w:r>
            <w:r>
              <w:rPr>
                <w:rFonts w:hint="eastAsia" w:ascii="仿宋" w:hAnsi="仿宋" w:eastAsia="仿宋" w:cs="仿宋"/>
                <w:color w:val="000000" w:themeColor="text1"/>
                <w:sz w:val="22"/>
                <w:szCs w:val="22"/>
                <w:highlight w:val="none"/>
                <w14:textFill>
                  <w14:solidFill>
                    <w14:schemeClr w14:val="tx1"/>
                  </w14:solidFill>
                </w14:textFill>
              </w:rPr>
              <w:t>拟定针对本项目提供切实可行</w:t>
            </w:r>
            <w:r>
              <w:rPr>
                <w:rFonts w:hint="eastAsia" w:ascii="仿宋" w:hAnsi="仿宋" w:eastAsia="仿宋" w:cs="仿宋"/>
                <w:b/>
                <w:bCs/>
                <w:color w:val="000000" w:themeColor="text1"/>
                <w:sz w:val="22"/>
                <w:szCs w:val="22"/>
                <w:highlight w:val="none"/>
                <w14:textFill>
                  <w14:solidFill>
                    <w14:schemeClr w14:val="tx1"/>
                  </w14:solidFill>
                </w14:textFill>
              </w:rPr>
              <w:t>培训方案</w:t>
            </w:r>
            <w:r>
              <w:rPr>
                <w:rFonts w:hint="eastAsia" w:ascii="仿宋" w:hAnsi="仿宋" w:eastAsia="仿宋" w:cs="仿宋"/>
                <w:color w:val="000000" w:themeColor="text1"/>
                <w:sz w:val="22"/>
                <w:szCs w:val="22"/>
                <w:highlight w:val="none"/>
                <w14:textFill>
                  <w14:solidFill>
                    <w14:schemeClr w14:val="tx1"/>
                  </w14:solidFill>
                </w14:textFill>
              </w:rPr>
              <w:t>，</w:t>
            </w:r>
            <w:r>
              <w:rPr>
                <w:rFonts w:hint="eastAsia" w:ascii="仿宋" w:hAnsi="仿宋" w:eastAsia="仿宋" w:cs="仿宋"/>
                <w:color w:val="000000" w:themeColor="text1"/>
                <w:sz w:val="22"/>
                <w:szCs w:val="22"/>
                <w:highlight w:val="none"/>
                <w:lang w:val="en-US" w:eastAsia="zh-CN"/>
                <w14:textFill>
                  <w14:solidFill>
                    <w14:schemeClr w14:val="tx1"/>
                  </w14:solidFill>
                </w14:textFill>
              </w:rPr>
              <w:t>内容</w:t>
            </w:r>
            <w:r>
              <w:rPr>
                <w:rFonts w:hint="eastAsia" w:ascii="仿宋" w:hAnsi="仿宋" w:eastAsia="仿宋" w:cs="仿宋"/>
                <w:color w:val="000000" w:themeColor="text1"/>
                <w:sz w:val="22"/>
                <w:szCs w:val="22"/>
                <w:highlight w:val="none"/>
                <w14:textFill>
                  <w14:solidFill>
                    <w14:schemeClr w14:val="tx1"/>
                  </w14:solidFill>
                </w14:textFill>
              </w:rPr>
              <w:t>包含但不限于齐全的培训人员配备情况及服务联系方式，有专人负责本项目的培训指导等措施。</w:t>
            </w:r>
          </w:p>
          <w:p w14:paraId="147E8939">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方案非常详尽，合理，可操作性强的，得15（不含）-20分；</w:t>
            </w:r>
          </w:p>
          <w:p w14:paraId="59744F25">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方案基本明确、合理，可操作性一般的，得10（不含）-15分；</w:t>
            </w:r>
          </w:p>
          <w:p w14:paraId="5AA8CAD2">
            <w:pPr>
              <w:snapToGrid w:val="0"/>
              <w:spacing w:line="400" w:lineRule="exact"/>
              <w:rPr>
                <w:rFonts w:hint="eastAsia" w:ascii="仿宋" w:hAnsi="仿宋" w:eastAsia="仿宋" w:cs="仿宋"/>
                <w:color w:val="000000" w:themeColor="text1"/>
                <w:sz w:val="22"/>
                <w:szCs w:val="22"/>
                <w:highlight w:val="none"/>
                <w:lang w:val="en-US" w:eastAsia="zh-CN"/>
                <w14:textFill>
                  <w14:solidFill>
                    <w14:schemeClr w14:val="tx1"/>
                  </w14:solidFill>
                </w14:textFill>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方案不明确、不合理，可操作性差的，得5（不含）-10分；</w:t>
            </w:r>
          </w:p>
          <w:p w14:paraId="4B0A786D">
            <w:pPr>
              <w:snapToGrid w:val="0"/>
              <w:spacing w:line="400" w:lineRule="exact"/>
              <w:rPr>
                <w:rFonts w:hint="default"/>
                <w:lang w:val="en-US" w:eastAsia="zh-CN"/>
              </w:rPr>
            </w:pPr>
            <w:r>
              <w:rPr>
                <w:rFonts w:hint="eastAsia" w:ascii="仿宋" w:hAnsi="仿宋" w:eastAsia="仿宋" w:cs="仿宋"/>
                <w:color w:val="000000" w:themeColor="text1"/>
                <w:sz w:val="22"/>
                <w:szCs w:val="22"/>
                <w:highlight w:val="none"/>
                <w:lang w:val="en-US" w:eastAsia="zh-CN"/>
                <w14:textFill>
                  <w14:solidFill>
                    <w14:schemeClr w14:val="tx1"/>
                  </w14:solidFill>
                </w14:textFill>
              </w:rPr>
              <w:t>方案内容存在明显错误、内容明显不适用于本项目需求的或未提供方案的，得0-5分。</w:t>
            </w:r>
          </w:p>
        </w:tc>
        <w:tc>
          <w:tcPr>
            <w:tcW w:w="1237" w:type="dxa"/>
            <w:noWrap w:val="0"/>
            <w:vAlign w:val="center"/>
          </w:tcPr>
          <w:p w14:paraId="77C884D1">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14:paraId="3752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vMerge w:val="restart"/>
            <w:noWrap w:val="0"/>
            <w:vAlign w:val="center"/>
          </w:tcPr>
          <w:p w14:paraId="3F490A59">
            <w:pPr>
              <w:snapToGrid w:val="0"/>
              <w:spacing w:line="400" w:lineRule="exact"/>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bookmarkStart w:id="196" w:name="_Toc25094"/>
            <w: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t>3</w:t>
            </w:r>
          </w:p>
        </w:tc>
        <w:tc>
          <w:tcPr>
            <w:tcW w:w="1476" w:type="dxa"/>
            <w:vMerge w:val="restart"/>
            <w:noWrap w:val="0"/>
            <w:vAlign w:val="center"/>
          </w:tcPr>
          <w:p w14:paraId="1BC1E08B">
            <w:pPr>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商务部分10%</w:t>
            </w:r>
          </w:p>
        </w:tc>
        <w:tc>
          <w:tcPr>
            <w:tcW w:w="868" w:type="dxa"/>
            <w:vMerge w:val="restart"/>
            <w:noWrap w:val="0"/>
            <w:vAlign w:val="center"/>
          </w:tcPr>
          <w:p w14:paraId="401F3EFD">
            <w:pPr>
              <w:rPr>
                <w:rFonts w:hint="default"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10</w:t>
            </w:r>
          </w:p>
        </w:tc>
        <w:tc>
          <w:tcPr>
            <w:tcW w:w="6146" w:type="dxa"/>
            <w:noWrap w:val="0"/>
            <w:vAlign w:val="center"/>
          </w:tcPr>
          <w:p w14:paraId="375A3E86">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承诺按采购方要求定期对</w:t>
            </w:r>
            <w:r>
              <w:rPr>
                <w:rFonts w:hint="eastAsia" w:ascii="仿宋" w:hAnsi="仿宋" w:eastAsia="仿宋" w:cs="仿宋"/>
                <w:color w:val="000000" w:themeColor="text1"/>
                <w:sz w:val="24"/>
                <w:szCs w:val="24"/>
                <w:highlight w:val="none"/>
                <w:lang w:val="en-US" w:eastAsia="zh-CN"/>
                <w14:textFill>
                  <w14:solidFill>
                    <w14:schemeClr w14:val="tx1"/>
                  </w14:solidFill>
                </w14:textFill>
              </w:rPr>
              <w:t>操作</w:t>
            </w:r>
            <w:r>
              <w:rPr>
                <w:rFonts w:hint="eastAsia" w:ascii="仿宋" w:hAnsi="仿宋" w:eastAsia="仿宋" w:cs="仿宋"/>
                <w:color w:val="000000" w:themeColor="text1"/>
                <w:sz w:val="24"/>
                <w:szCs w:val="24"/>
                <w:highlight w:val="none"/>
                <w14:textFill>
                  <w14:solidFill>
                    <w14:schemeClr w14:val="tx1"/>
                  </w14:solidFill>
                </w14:textFill>
              </w:rPr>
              <w:t>员、维修人员提供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设备</w:t>
            </w:r>
            <w:r>
              <w:rPr>
                <w:rFonts w:hint="eastAsia" w:ascii="仿宋" w:hAnsi="仿宋" w:eastAsia="仿宋" w:cs="仿宋"/>
                <w:color w:val="000000" w:themeColor="text1"/>
                <w:sz w:val="24"/>
                <w:szCs w:val="24"/>
                <w:highlight w:val="none"/>
                <w14:textFill>
                  <w14:solidFill>
                    <w14:schemeClr w14:val="tx1"/>
                  </w14:solidFill>
                </w14:textFill>
              </w:rPr>
              <w:t>使用、维护等技术培训或培训课件的，得</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分，否则不得分。</w:t>
            </w:r>
          </w:p>
        </w:tc>
        <w:tc>
          <w:tcPr>
            <w:tcW w:w="1237" w:type="dxa"/>
            <w:vMerge w:val="restart"/>
            <w:noWrap w:val="0"/>
            <w:vAlign w:val="center"/>
          </w:tcPr>
          <w:p w14:paraId="4DF8D757">
            <w:pPr>
              <w:spacing w:line="360"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供应商在响应文件中提供承诺书并加盖公章</w:t>
            </w:r>
          </w:p>
        </w:tc>
      </w:tr>
      <w:tr w14:paraId="4901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04" w:type="dxa"/>
            <w:vMerge w:val="continue"/>
            <w:noWrap w:val="0"/>
            <w:vAlign w:val="center"/>
          </w:tcPr>
          <w:p w14:paraId="4861D870">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p>
        </w:tc>
        <w:tc>
          <w:tcPr>
            <w:tcW w:w="1476" w:type="dxa"/>
            <w:vMerge w:val="continue"/>
            <w:noWrap w:val="0"/>
            <w:vAlign w:val="center"/>
          </w:tcPr>
          <w:p w14:paraId="1A859A4C">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p>
        </w:tc>
        <w:tc>
          <w:tcPr>
            <w:tcW w:w="868" w:type="dxa"/>
            <w:vMerge w:val="continue"/>
            <w:noWrap w:val="0"/>
            <w:vAlign w:val="center"/>
          </w:tcPr>
          <w:p w14:paraId="621656C7">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p>
        </w:tc>
        <w:tc>
          <w:tcPr>
            <w:tcW w:w="6146" w:type="dxa"/>
            <w:noWrap w:val="0"/>
            <w:vAlign w:val="center"/>
          </w:tcPr>
          <w:p w14:paraId="5D34360C">
            <w:pPr>
              <w:snapToGrid w:val="0"/>
              <w:spacing w:line="400" w:lineRule="exact"/>
              <w:rPr>
                <w:rFonts w:hint="eastAsia" w:ascii="华文仿宋" w:hAnsi="华文仿宋" w:eastAsia="华文仿宋" w:cs="华文仿宋"/>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2.供应商承诺售后服务中，维修使用的备品备件及易损件应为原厂配件的，得5分，否则不得分</w:t>
            </w:r>
          </w:p>
        </w:tc>
        <w:tc>
          <w:tcPr>
            <w:tcW w:w="1237" w:type="dxa"/>
            <w:vMerge w:val="continue"/>
            <w:noWrap w:val="0"/>
            <w:vAlign w:val="center"/>
          </w:tcPr>
          <w:p w14:paraId="6CA72B2B">
            <w:pPr>
              <w:spacing w:line="360" w:lineRule="auto"/>
              <w:ind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bl>
    <w:p w14:paraId="3C8A5533">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、响应无效</w:t>
      </w:r>
      <w:bookmarkEnd w:id="196"/>
    </w:p>
    <w:bookmarkEnd w:id="194"/>
    <w:bookmarkEnd w:id="195"/>
    <w:p w14:paraId="438D80FE">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供应商发生以下条款情况之一者，视为响应无效，其响应文件将被拒绝：</w:t>
      </w:r>
    </w:p>
    <w:p w14:paraId="225C5E1F">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（一）供应商不符合规定的基本资格条件或特定资格条件的；</w:t>
      </w:r>
    </w:p>
    <w:p w14:paraId="4C2021B5">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（二）供应商所提交的响应文件不按第七篇“响应文件编制要求”规定签字、盖章；</w:t>
      </w:r>
    </w:p>
    <w:p w14:paraId="6F50A0B2">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（三）供应商的报价超过采购预算或总价最高限价或单价最高限价的；</w:t>
      </w:r>
    </w:p>
    <w:p w14:paraId="5DB43B50">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（四）法定代表人为同一个人的两个及两个以上法人，母公司、全资子公司及其控股公司，在同一分包采购中同时参与网上竞采；</w:t>
      </w:r>
    </w:p>
    <w:p w14:paraId="4F041D1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（六）供应商的平台报价与上传的网上电子响应文件报价函中的报价不一致的；</w:t>
      </w:r>
    </w:p>
    <w:p w14:paraId="65CBD35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（七）单位负责人为同一人或者存在直接控股、管理关系的不同供应商，参加同一合同项下的采购活动的；</w:t>
      </w:r>
    </w:p>
    <w:p w14:paraId="21D3F93C">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（八）为采购项目提供整体设计、规范编制或者项目管理、监理、检测等服务的供应商，再参加该采购项目的其他采购活动；</w:t>
      </w:r>
    </w:p>
    <w:p w14:paraId="196A3A02">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（九）供应商的服务期、质量保证期及网上竞采有效期不满足网上竞采文件要求的；</w:t>
      </w:r>
    </w:p>
    <w:p w14:paraId="6660E2FA">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（十）供应商响应文件内容有与国家现行法律法规相违背的内容，或附有采购人无法接受的条件。</w:t>
      </w:r>
    </w:p>
    <w:p w14:paraId="4A27BBB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（十一）供应商被列入失信被执行人、税收违法黑名单、政府采购严重违法失信行为记录名单及其他不符合《中华人民共和国政府采购法》第二十二条规定条件的。</w:t>
      </w:r>
    </w:p>
    <w:p w14:paraId="568E6A6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人、采购代理机构将通过“信用中国”网站（www.creditchina.gov.cn)、中国政府采购网（www.ccgp.gov.cn）等渠道查询供应商信用记录，对列入失信被执行人、税收违法黑名单、政府采购严重违法失信行为记录名单及其他不符合《中华人民共和国政府采购法》第二十二条规定条件的供应商，应当拒绝其参与政府采购活动。</w:t>
      </w:r>
    </w:p>
    <w:p w14:paraId="51222FD0">
      <w:pPr>
        <w:pStyle w:val="5"/>
        <w:pageBreakBefore w:val="0"/>
        <w:widowControl w:val="0"/>
        <w:kinsoku/>
        <w:wordWrap/>
        <w:overflowPunct/>
        <w:topLinePunct w:val="0"/>
        <w:autoSpaceDE/>
        <w:autoSpaceDN/>
        <w:bidi w:val="0"/>
        <w:adjustRightInd/>
        <w:snapToGrid/>
        <w:spacing w:before="0" w:after="0" w:line="44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bookmarkStart w:id="197" w:name="_Toc27425"/>
      <w:bookmarkStart w:id="198" w:name="_Toc18403"/>
      <w:r>
        <w:rPr>
          <w:rFonts w:hint="eastAsia" w:ascii="宋体" w:hAnsi="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、采购终止</w:t>
      </w:r>
      <w:bookmarkEnd w:id="197"/>
      <w:bookmarkEnd w:id="198"/>
    </w:p>
    <w:p w14:paraId="4D964E37">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出现下列情形之一的，采购人或者采购代理机构应当终止网上竞采活动，发布项目终止公告并说明原因，重新开展采购活动：</w:t>
      </w:r>
    </w:p>
    <w:p w14:paraId="7BBD395C">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（一）因情况变化，不再符合规定的网上竞采采购方式适用情形的；</w:t>
      </w:r>
    </w:p>
    <w:p w14:paraId="1052D5FC">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（二）出现影响采购公正的违法、违规行为的；</w:t>
      </w:r>
    </w:p>
    <w:p w14:paraId="0623DAD1">
      <w:pPr>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（三）通过资格性审查及符合性审查的供应商不足</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家的，终止本次采购活动，并发布终止采购活动公告。</w:t>
      </w:r>
    </w:p>
    <w:p w14:paraId="444CAA30">
      <w:pPr>
        <w:pStyle w:val="4"/>
        <w:pageBreakBefore/>
        <w:spacing w:before="0" w:after="0" w:line="360" w:lineRule="auto"/>
        <w:jc w:val="center"/>
        <w:rPr>
          <w:rFonts w:hint="eastAsia" w:ascii="宋体" w:hAnsi="宋体" w:eastAsia="宋体" w:cs="宋体"/>
          <w:bCs/>
          <w:color w:val="auto"/>
          <w:spacing w:val="-11"/>
          <w:sz w:val="36"/>
          <w:szCs w:val="30"/>
          <w:highlight w:val="none"/>
        </w:rPr>
      </w:pPr>
      <w:bookmarkStart w:id="199" w:name="_Toc13753"/>
      <w:r>
        <w:rPr>
          <w:rFonts w:hint="eastAsia" w:ascii="宋体" w:hAnsi="宋体" w:eastAsia="宋体" w:cs="宋体"/>
          <w:bCs/>
          <w:color w:val="auto"/>
          <w:spacing w:val="-11"/>
          <w:sz w:val="36"/>
          <w:szCs w:val="30"/>
          <w:highlight w:val="none"/>
        </w:rPr>
        <w:t>第五篇供应商须知</w:t>
      </w:r>
      <w:bookmarkEnd w:id="79"/>
      <w:bookmarkEnd w:id="199"/>
    </w:p>
    <w:p w14:paraId="16EA3D7D">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200" w:name="_Toc8105"/>
      <w:bookmarkStart w:id="201" w:name="_Toc342913389"/>
      <w:bookmarkStart w:id="202" w:name="_Toc26510"/>
      <w:bookmarkStart w:id="203" w:name="_Toc12789059"/>
      <w:bookmarkStart w:id="204" w:name="_Toc11641055"/>
      <w:r>
        <w:rPr>
          <w:rFonts w:hint="eastAsia" w:ascii="宋体" w:hAnsi="宋体" w:eastAsia="宋体" w:cs="宋体"/>
          <w:color w:val="auto"/>
          <w:sz w:val="24"/>
          <w:szCs w:val="24"/>
          <w:highlight w:val="none"/>
        </w:rPr>
        <w:t>一、网上竞采费用</w:t>
      </w:r>
      <w:bookmarkEnd w:id="200"/>
      <w:bookmarkEnd w:id="201"/>
      <w:bookmarkEnd w:id="202"/>
    </w:p>
    <w:p w14:paraId="1C937AC2">
      <w:pPr>
        <w:pStyle w:val="266"/>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参与网上竞采的投标供应商应承担其编制响应文件与递交响应文件所涉及的一切费用，不论网上竞采结果如何，采购人和采购代理机构在任何情况下无义务也无责任承担这些费用。</w:t>
      </w:r>
    </w:p>
    <w:p w14:paraId="3340EB53">
      <w:pPr>
        <w:pStyle w:val="5"/>
        <w:pageBreakBefore w:val="0"/>
        <w:widowControl w:val="0"/>
        <w:tabs>
          <w:tab w:val="left" w:pos="2640"/>
        </w:tabs>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205" w:name="_Toc21089"/>
      <w:bookmarkStart w:id="206" w:name="_Toc342913391"/>
      <w:bookmarkStart w:id="207" w:name="_Toc4870"/>
      <w:r>
        <w:rPr>
          <w:rFonts w:hint="eastAsia" w:ascii="宋体" w:hAnsi="宋体" w:eastAsia="宋体" w:cs="宋体"/>
          <w:color w:val="auto"/>
          <w:sz w:val="24"/>
          <w:szCs w:val="24"/>
          <w:highlight w:val="none"/>
        </w:rPr>
        <w:t>二、网上竞采文件</w:t>
      </w:r>
      <w:bookmarkEnd w:id="205"/>
      <w:bookmarkEnd w:id="206"/>
      <w:bookmarkEnd w:id="207"/>
    </w:p>
    <w:p w14:paraId="4907A6D2">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（一）网上竞采文件由采购邀请书、采购项目技术需求、采购项目商务需求、网上竞采程序及方法、评审标准、响应无效和采购终止、投标供应商须知</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合同主要条款和格式合同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14:paraId="1681164E">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（二）采购人（或采购代理机构）所作的一切有效的书面通知、修改及补充，都是网上竞采文件不可分割的部分。</w:t>
      </w:r>
    </w:p>
    <w:p w14:paraId="6B094D7F">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（三）网上竞采文件的解释</w:t>
      </w:r>
    </w:p>
    <w:p w14:paraId="0B7F703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供应商如对网上竞采文件有疑问，必须以书面形式在提交响应文件截止时间2个工作日前向采购人（或采购代理机构）要求澄清，采购人（或采购代理机构）可视具体情况做出处理或答复。如投标供应商未提出疑问，视为完全理解并同意本网上竞采文件。一经进入网上竞采程序，即视为投标供应商已详细阅读全部文件资料，完全理解网上竞采文件所有条款内容并同意放弃对这方面有不明白及误解的权利。</w:t>
      </w:r>
      <w:bookmarkStart w:id="208" w:name="_Toc318159780"/>
      <w:bookmarkStart w:id="209" w:name="_Toc318159349"/>
      <w:bookmarkStart w:id="210" w:name="_Toc318166429"/>
      <w:bookmarkStart w:id="211" w:name="_Toc318159160"/>
    </w:p>
    <w:p w14:paraId="6949037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（四）本网上竞采文件中，网上竞采小组根据与投标供应商进行网上竞采可能实质性变动的内容为网上竞采文件第二、三、四篇全部内容。</w:t>
      </w:r>
    </w:p>
    <w:p w14:paraId="0D96C24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（五）评审的依据为网上竞采文件和响应文件（含有效的书面承诺）。评审小组判断响应文件对网上竞采文件的响应，仅基于响应文件本身而不靠外部证据。</w:t>
      </w:r>
    </w:p>
    <w:bookmarkEnd w:id="208"/>
    <w:bookmarkEnd w:id="209"/>
    <w:bookmarkEnd w:id="210"/>
    <w:bookmarkEnd w:id="211"/>
    <w:p w14:paraId="0977500A">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212" w:name="_Toc102227318"/>
      <w:bookmarkStart w:id="213" w:name="_Toc179714297"/>
      <w:bookmarkStart w:id="214" w:name="_Toc16269"/>
      <w:bookmarkStart w:id="215" w:name="_Toc29912"/>
      <w:bookmarkStart w:id="216" w:name="_Toc342913392"/>
      <w:r>
        <w:rPr>
          <w:rFonts w:hint="eastAsia" w:ascii="宋体" w:hAnsi="宋体" w:eastAsia="宋体" w:cs="宋体"/>
          <w:color w:val="auto"/>
          <w:sz w:val="24"/>
          <w:szCs w:val="24"/>
          <w:highlight w:val="none"/>
        </w:rPr>
        <w:t>三、网上竞采要求</w:t>
      </w:r>
      <w:bookmarkEnd w:id="212"/>
      <w:bookmarkEnd w:id="213"/>
      <w:bookmarkEnd w:id="214"/>
      <w:bookmarkEnd w:id="215"/>
      <w:bookmarkEnd w:id="216"/>
    </w:p>
    <w:p w14:paraId="327C263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14:paraId="3CDBC498">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1.投标供应商应当按照网上竞采文件的要求编制响应文件，并对网上竞采文件提出的要求和条件作出实质性响应，同时应编制完整的页码、目录。</w:t>
      </w:r>
    </w:p>
    <w:p w14:paraId="6820842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14:paraId="25F18D6C">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七篇“响应文件编制要求”规定的部分和投标供应商所作的一切有效补充、修改和承诺等文件组成，投标供应商应按照第七篇“响应文件编制要求”规定的目录顺序组织编写和装订，也可在基本格式基础上对表格进行扩展，未规定格式的由投标供应商自定格式。</w:t>
      </w:r>
    </w:p>
    <w:p w14:paraId="53839063">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3.供应商须对所提供资料的真实性和准确性负责，一旦发现有弄虚作假的情况，按相应法律法规予以处罚。</w:t>
      </w:r>
    </w:p>
    <w:p w14:paraId="59B83AE5">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14:paraId="62B2E736">
      <w:pPr>
        <w:pageBreakBefore w:val="0"/>
        <w:widowControl w:val="0"/>
        <w:kinsoku/>
        <w:wordWrap/>
        <w:overflowPunct/>
        <w:topLinePunct w:val="0"/>
        <w:autoSpaceDE/>
        <w:autoSpaceDN/>
        <w:bidi w:val="0"/>
        <w:spacing w:line="440" w:lineRule="exact"/>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本项目不接受联合体竞标。</w:t>
      </w:r>
    </w:p>
    <w:p w14:paraId="15D2DF11">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（三）网上竞采有效期：响应文件及有关承诺文件有效期为提交响应文件截止时间起90天。</w:t>
      </w:r>
    </w:p>
    <w:p w14:paraId="5BE3317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（四）提交响应文件的份数和签署</w:t>
      </w:r>
    </w:p>
    <w:p w14:paraId="624B1F9A">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须在平台报价并上传盖章后的响应文件电子文档一份，线下竞采时提供响应文件一式二份，其中正本一份，副本一份（网上电子文档内容应与纸质文件正本、副本一致，如不一致以纸质文件为准，副本可为正本的复印件。）</w:t>
      </w:r>
    </w:p>
    <w:p w14:paraId="7B3D32B5">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注：若供应商的平台报价与网上上传的响应文件电子文档报价函中的报价不一致，按响应无效处理。</w:t>
      </w:r>
    </w:p>
    <w:p w14:paraId="65C93132">
      <w:pPr>
        <w:pageBreakBefore w:val="0"/>
        <w:widowControl w:val="0"/>
        <w:numPr>
          <w:ilvl w:val="0"/>
          <w:numId w:val="15"/>
        </w:numPr>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在上传的网上电子文档中，网上竞采文件第七篇响应文件编制要求中规定签字、盖章的地方必须按其规定签字、盖章。</w:t>
      </w:r>
    </w:p>
    <w:p w14:paraId="2A76FFD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（五）响应文件的递交</w:t>
      </w:r>
    </w:p>
    <w:p w14:paraId="5B80D4D8">
      <w:pPr>
        <w:pageBreakBefore w:val="0"/>
        <w:widowControl w:val="0"/>
        <w:kinsoku/>
        <w:wordWrap/>
        <w:overflowPunct/>
        <w:topLinePunct w:val="0"/>
        <w:autoSpaceDE/>
        <w:autoSpaceDN/>
        <w:bidi w:val="0"/>
        <w:snapToGrid w:val="0"/>
        <w:spacing w:line="44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szCs w:val="24"/>
          <w:highlight w:val="none"/>
        </w:rPr>
        <w:t>供应商须在规定时间内完成线上和线下的响应文件提交，否则视为无效响应。</w:t>
      </w:r>
    </w:p>
    <w:p w14:paraId="3F4AAE14">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217" w:name="_Toc7456"/>
      <w:bookmarkStart w:id="218" w:name="_Toc9018"/>
      <w:r>
        <w:rPr>
          <w:rFonts w:hint="eastAsia" w:ascii="宋体" w:hAnsi="宋体" w:eastAsia="宋体" w:cs="宋体"/>
          <w:color w:val="auto"/>
          <w:sz w:val="24"/>
          <w:szCs w:val="24"/>
          <w:highlight w:val="none"/>
        </w:rPr>
        <w:t>四、成交供应商的确认和变更</w:t>
      </w:r>
      <w:bookmarkEnd w:id="217"/>
      <w:bookmarkEnd w:id="218"/>
    </w:p>
    <w:p w14:paraId="0FB89B29">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14:paraId="227F34F6">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投标供应商为成交供应商。</w:t>
      </w:r>
    </w:p>
    <w:p w14:paraId="657A0EBD">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14:paraId="28869758">
      <w:pPr>
        <w:pageBreakBefore w:val="0"/>
        <w:widowControl w:val="0"/>
        <w:kinsoku/>
        <w:wordWrap/>
        <w:overflowPunct/>
        <w:topLinePunct w:val="0"/>
        <w:autoSpaceDE/>
        <w:autoSpaceDN/>
        <w:bidi w:val="0"/>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成交供应商拒绝与采购人签订合同的，采购人可以按照评标报告推荐的成交候选供应商顺序，确定排名下一位的候选人为成交供应商，也可以重新开展采购活动。</w:t>
      </w:r>
    </w:p>
    <w:p w14:paraId="541D2E89">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219" w:name="_Toc3011"/>
      <w:bookmarkStart w:id="220" w:name="_Toc342913395"/>
      <w:bookmarkStart w:id="221" w:name="_Toc1297"/>
      <w:bookmarkStart w:id="222" w:name="_Toc102227321"/>
      <w:r>
        <w:rPr>
          <w:rFonts w:hint="eastAsia" w:ascii="宋体" w:hAnsi="宋体" w:eastAsia="宋体" w:cs="宋体"/>
          <w:color w:val="auto"/>
          <w:sz w:val="24"/>
          <w:szCs w:val="24"/>
          <w:highlight w:val="none"/>
        </w:rPr>
        <w:t>五、成交通知</w:t>
      </w:r>
      <w:bookmarkEnd w:id="219"/>
      <w:bookmarkEnd w:id="220"/>
      <w:bookmarkEnd w:id="221"/>
      <w:bookmarkEnd w:id="222"/>
    </w:p>
    <w:p w14:paraId="7B92B504">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（一）成交供应商确定后，采购人或采购代理机构将在重庆市政府采购云平台.网上竞采中心（https://xj.ccgp-chongqing.gov.cn/ge/）上发布成交结果公告。</w:t>
      </w:r>
    </w:p>
    <w:p w14:paraId="482E972F">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（二）结果公告发出同时，采购代理机构将以书面形式发出《成交通知书》。《成交通知书》一经发出即发生法律效力。</w:t>
      </w:r>
    </w:p>
    <w:p w14:paraId="54C2A5BA">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14:paraId="001404CD">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（四）如有投标供应商对成交结果提出质疑的，在质疑处理完毕后发出成交通知书。</w:t>
      </w:r>
    </w:p>
    <w:p w14:paraId="0EF24004">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223" w:name="_Toc22361"/>
      <w:bookmarkStart w:id="224" w:name="_Toc19876"/>
      <w:r>
        <w:rPr>
          <w:rFonts w:hint="eastAsia" w:ascii="宋体" w:hAnsi="宋体" w:eastAsia="宋体" w:cs="宋体"/>
          <w:color w:val="auto"/>
          <w:sz w:val="24"/>
          <w:szCs w:val="24"/>
          <w:highlight w:val="none"/>
        </w:rPr>
        <w:t>六、采购代理服务费</w:t>
      </w:r>
      <w:bookmarkEnd w:id="223"/>
      <w:bookmarkEnd w:id="224"/>
    </w:p>
    <w:p w14:paraId="790BD056">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本次网上竞采由代理机构委托实施，</w:t>
      </w:r>
      <w:r>
        <w:rPr>
          <w:rFonts w:hint="eastAsia" w:ascii="宋体" w:hAnsi="宋体" w:cs="宋体"/>
          <w:color w:val="auto"/>
          <w:sz w:val="24"/>
          <w:highlight w:val="none"/>
          <w:lang w:val="en-US" w:eastAsia="zh-CN"/>
        </w:rPr>
        <w:t>本项目</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为人民币</w:t>
      </w:r>
      <w:r>
        <w:rPr>
          <w:rFonts w:hint="eastAsia" w:ascii="宋体" w:hAnsi="宋体" w:cs="宋体"/>
          <w:color w:val="auto"/>
          <w:sz w:val="24"/>
          <w:highlight w:val="none"/>
          <w:u w:val="single"/>
          <w:lang w:val="en-US" w:eastAsia="zh-CN"/>
        </w:rPr>
        <w:t>：6000元整</w:t>
      </w:r>
      <w:r>
        <w:rPr>
          <w:rFonts w:hint="eastAsia" w:ascii="宋体" w:hAnsi="宋体" w:eastAsia="宋体" w:cs="宋体"/>
          <w:color w:val="auto"/>
          <w:sz w:val="24"/>
          <w:szCs w:val="24"/>
          <w:highlight w:val="none"/>
        </w:rPr>
        <w:t>，由成交供应商在领取成交通知书时一次性向代理机构缴纳。</w:t>
      </w:r>
    </w:p>
    <w:p w14:paraId="4C18493F">
      <w:pPr>
        <w:pStyle w:val="5"/>
        <w:pageBreakBefore w:val="0"/>
        <w:widowControl w:val="0"/>
        <w:kinsoku/>
        <w:wordWrap/>
        <w:overflowPunct/>
        <w:topLinePunct w:val="0"/>
        <w:autoSpaceDE/>
        <w:autoSpaceDN/>
        <w:bidi w:val="0"/>
        <w:spacing w:before="0" w:after="0" w:line="440" w:lineRule="exact"/>
        <w:textAlignment w:val="auto"/>
        <w:rPr>
          <w:rFonts w:hint="eastAsia" w:ascii="宋体" w:hAnsi="宋体" w:eastAsia="宋体" w:cs="宋体"/>
          <w:color w:val="auto"/>
          <w:sz w:val="24"/>
          <w:szCs w:val="24"/>
          <w:highlight w:val="none"/>
        </w:rPr>
      </w:pPr>
      <w:bookmarkStart w:id="225" w:name="_Toc11155"/>
      <w:bookmarkStart w:id="226" w:name="_Toc1096"/>
      <w:r>
        <w:rPr>
          <w:rFonts w:hint="eastAsia" w:ascii="宋体" w:hAnsi="宋体" w:eastAsia="宋体" w:cs="宋体"/>
          <w:color w:val="auto"/>
          <w:sz w:val="24"/>
          <w:szCs w:val="24"/>
          <w:highlight w:val="none"/>
        </w:rPr>
        <w:t>七、关于质疑和投诉</w:t>
      </w:r>
      <w:bookmarkEnd w:id="225"/>
      <w:bookmarkEnd w:id="226"/>
    </w:p>
    <w:p w14:paraId="6FCCBBD0">
      <w:pPr>
        <w:pageBreakBefore w:val="0"/>
        <w:widowControl w:val="0"/>
        <w:kinsoku/>
        <w:wordWrap/>
        <w:overflowPunct/>
        <w:topLinePunct w:val="0"/>
        <w:autoSpaceDE/>
        <w:autoSpaceDN/>
        <w:bidi w:val="0"/>
        <w:spacing w:line="44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（一）质疑</w:t>
      </w:r>
    </w:p>
    <w:p w14:paraId="10169DE9">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投标供应商认为采购文件、采购过程和成交结果使自己的权益受到伤害的，可向采购人或采购代理机构以书面形式提出质疑。</w:t>
      </w:r>
    </w:p>
    <w:p w14:paraId="50FF570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提出质疑的应当是参与所质疑项目采购活动的投标供应商。</w:t>
      </w:r>
    </w:p>
    <w:p w14:paraId="6C95992E">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1.质疑时限、内容</w:t>
      </w:r>
    </w:p>
    <w:p w14:paraId="7526AA43">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1.1投标供应商认为采购文件、采购过程、成交结果使自己的权益受到损害的，可以在知道或者应知其权益受到损害之日起7个工作日内，以书面形式向采购人、采购代理机构提出质疑。</w:t>
      </w:r>
    </w:p>
    <w:p w14:paraId="288DA7B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1.2投标供应商对采购过程提出质疑的，应在各采购程序环节结束之日起七个工作日内提出。</w:t>
      </w:r>
    </w:p>
    <w:p w14:paraId="44911654">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1.3投标供应商对成交结果提出质疑的，应当在成交结果公告期限届满之日起七个工作日内提出。</w:t>
      </w:r>
    </w:p>
    <w:p w14:paraId="64C4957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1.4投标供应商提出质疑应当提交质疑函和必要的证明材料，质疑函应当包括下列内容：</w:t>
      </w:r>
    </w:p>
    <w:p w14:paraId="5CC92E96">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1.4.1投标供应商的姓名或者名称、地址、邮编、联系人及联系电话；</w:t>
      </w:r>
    </w:p>
    <w:p w14:paraId="5D56E0D7">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1.4.2质疑项目的名称、项目号以及项目编号；</w:t>
      </w:r>
    </w:p>
    <w:p w14:paraId="056844D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1.4.3具体、明确的质疑事项和与质疑事项相关的请求；</w:t>
      </w:r>
    </w:p>
    <w:p w14:paraId="74EEF11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1.4.4事实依据；</w:t>
      </w:r>
    </w:p>
    <w:p w14:paraId="0BA59580">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1.4.5必要的法律依据；</w:t>
      </w:r>
    </w:p>
    <w:p w14:paraId="517C509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1.4.6提出质疑的日期；</w:t>
      </w:r>
    </w:p>
    <w:p w14:paraId="0508AB42">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1.4.7营业执照（或事业单位法人证书，或个体工商户营业执照或有效的自然人身份证明、组织机构代码证）复印件；</w:t>
      </w:r>
    </w:p>
    <w:p w14:paraId="04287F21">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1.4.8法定代表人授权委托书原件、法定代表人身份证复印件和其授权代表的身份证复印件（投标供应商为自然人的提供自然人身份证复印件）；</w:t>
      </w:r>
    </w:p>
    <w:p w14:paraId="5231C84B">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1.5投标供应商为自然人的，质疑函应当由本人签字；投标供应商为法人或者其他组织的，质疑函应当由法定代表人、主要负责人，或者其授权代表签字或者盖章，并加盖公章。</w:t>
      </w:r>
    </w:p>
    <w:p w14:paraId="24B3C495">
      <w:pPr>
        <w:pageBreakBefore w:val="0"/>
        <w:widowControl w:val="0"/>
        <w:kinsoku/>
        <w:wordWrap/>
        <w:overflowPunct/>
        <w:topLinePunct w:val="0"/>
        <w:autoSpaceDE/>
        <w:autoSpaceDN/>
        <w:bidi w:val="0"/>
        <w:spacing w:line="44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2.质疑答复</w:t>
      </w:r>
    </w:p>
    <w:p w14:paraId="30B9AC40">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采购人、采购代理机构应当在收到投标供应商的书面质疑后七个工作日内作出答复，并以书面形式通知质疑投标供应商和其他有关投标供应商。</w:t>
      </w:r>
    </w:p>
    <w:p w14:paraId="4ABB9245">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w:t>
      </w:r>
    </w:p>
    <w:p w14:paraId="70EFB33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3.1投标供应商应按照《政府采购质疑和投诉办法》（财政部令第94号）及相关法律法规要求，在法定质疑期内一次性提出针对同一采购程序环节的质疑。</w:t>
      </w:r>
    </w:p>
    <w:p w14:paraId="72446B23">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3.2质疑函范本可在财政部门户网站和中国政府采购网下载。</w:t>
      </w:r>
    </w:p>
    <w:p w14:paraId="46630E31">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w:t>
      </w:r>
    </w:p>
    <w:p w14:paraId="471D2C4C">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bookmarkStart w:id="227" w:name="_Toc102227322"/>
      <w:bookmarkStart w:id="228" w:name="_Toc342913396"/>
      <w:bookmarkStart w:id="229" w:name="_Toc3031"/>
      <w:r>
        <w:rPr>
          <w:rFonts w:hint="eastAsia" w:ascii="宋体" w:hAnsi="宋体" w:eastAsia="宋体" w:cs="宋体"/>
          <w:color w:val="auto"/>
          <w:sz w:val="24"/>
          <w:highlight w:val="none"/>
        </w:rPr>
        <w:t>1.投标供应商对采购人、采购代理机构的答复不满意，或者采购人、采购代理机构未在规定时间内作出答复的，可以在答复期满后15个工作日内按照相关法律法规向采购人监督部门提起投诉。</w:t>
      </w:r>
    </w:p>
    <w:p w14:paraId="7F8C183B">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2.投标供应商应按照《政府采购质疑和投诉办法》（财政部令第94号）及相关法律法规要求递交投诉书和必要的证明材料。投诉书范本可在财政部门户网站和中国政府采购网下载。</w:t>
      </w:r>
    </w:p>
    <w:p w14:paraId="01DD8776">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书应当使用中文，相关当事人提供外文书证或者外国语视听资料的，应当附有中文译本，由翻译机构盖章或者翻译人员签名；相关当事人向采购人监督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126AC882">
      <w:pPr>
        <w:pageBreakBefore w:val="0"/>
        <w:widowControl w:val="0"/>
        <w:kinsoku/>
        <w:wordWrap/>
        <w:overflowPunct/>
        <w:topLinePunct w:val="0"/>
        <w:autoSpaceDE/>
        <w:autoSpaceDN/>
        <w:bidi w:val="0"/>
        <w:adjustRightInd/>
        <w:snapToGrid/>
        <w:spacing w:line="420" w:lineRule="exact"/>
        <w:ind w:right="12"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4.在确定受理投诉后，监督部门自受理投诉之日起30个工作日内（需要检验、检测、鉴定、专家评审以及需要投诉人补正材料的，所需时间不计算在投诉处理期限内）对投诉事项做出处理决定。</w:t>
      </w:r>
    </w:p>
    <w:p w14:paraId="3D080340">
      <w:pPr>
        <w:pStyle w:val="5"/>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color w:val="auto"/>
          <w:sz w:val="24"/>
          <w:szCs w:val="24"/>
          <w:highlight w:val="none"/>
        </w:rPr>
      </w:pPr>
      <w:bookmarkStart w:id="230" w:name="_Toc9469"/>
      <w:r>
        <w:rPr>
          <w:rFonts w:hint="eastAsia" w:ascii="宋体" w:hAnsi="宋体" w:eastAsia="宋体" w:cs="宋体"/>
          <w:color w:val="auto"/>
          <w:sz w:val="24"/>
          <w:szCs w:val="24"/>
          <w:highlight w:val="none"/>
        </w:rPr>
        <w:t>八、签订</w:t>
      </w:r>
      <w:bookmarkEnd w:id="227"/>
      <w:r>
        <w:rPr>
          <w:rFonts w:hint="eastAsia" w:ascii="宋体" w:hAnsi="宋体" w:eastAsia="宋体" w:cs="宋体"/>
          <w:color w:val="auto"/>
          <w:sz w:val="24"/>
          <w:szCs w:val="24"/>
          <w:highlight w:val="none"/>
        </w:rPr>
        <w:t>合同</w:t>
      </w:r>
      <w:bookmarkEnd w:id="228"/>
      <w:bookmarkEnd w:id="229"/>
      <w:bookmarkEnd w:id="230"/>
    </w:p>
    <w:p w14:paraId="4609CA32">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（一）采购人应当自成交通知书发出之日起二十日内，按照网上竞采文件和成交供应商响应文件的约定，与成交供应商签订书面合同。所签订的合同不得对网上竞采文件和投标供应商的响应文件作实质性修改。</w:t>
      </w:r>
    </w:p>
    <w:p w14:paraId="15AA0AA0">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（二）网上竞采文件、投标供应商的响应文件及澄清文件等，均为签订采购合同的依据。</w:t>
      </w:r>
    </w:p>
    <w:p w14:paraId="1EBE1AE1">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14:paraId="4265B609">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（四）合同原则上应按照《采购合同》签订，相关单位</w:t>
      </w:r>
      <w:r>
        <w:rPr>
          <w:rFonts w:hint="eastAsia" w:ascii="宋体" w:hAnsi="宋体" w:cs="宋体"/>
          <w:color w:val="auto"/>
          <w:sz w:val="24"/>
          <w:szCs w:val="24"/>
          <w:highlight w:val="none"/>
          <w:lang w:val="en-US" w:eastAsia="zh-CN"/>
        </w:rPr>
        <w:t>或采购人</w:t>
      </w:r>
      <w:r>
        <w:rPr>
          <w:rFonts w:hint="eastAsia" w:ascii="宋体" w:hAnsi="宋体" w:eastAsia="宋体" w:cs="宋体"/>
          <w:color w:val="auto"/>
          <w:sz w:val="24"/>
          <w:szCs w:val="24"/>
          <w:highlight w:val="none"/>
        </w:rPr>
        <w:t>要求适用合同通用格式版本的，应按其要求另行签订其他合同。</w:t>
      </w:r>
    </w:p>
    <w:p w14:paraId="06E42DFF">
      <w:pPr>
        <w:pageBreakBefore w:val="0"/>
        <w:widowControl w:val="0"/>
        <w:kinsoku/>
        <w:wordWrap/>
        <w:overflowPunct/>
        <w:topLinePunct w:val="0"/>
        <w:autoSpaceDE/>
        <w:autoSpaceDN/>
        <w:bidi w:val="0"/>
        <w:adjustRightInd/>
        <w:snapToGrid/>
        <w:spacing w:line="420" w:lineRule="exact"/>
        <w:ind w:firstLine="360" w:firstLineChars="150"/>
        <w:textAlignment w:val="auto"/>
        <w:rPr>
          <w:rFonts w:hint="eastAsia" w:ascii="宋体" w:hAnsi="宋体" w:eastAsia="宋体" w:cs="宋体"/>
          <w:b w:val="0"/>
          <w:color w:val="auto"/>
          <w:kern w:val="0"/>
          <w:sz w:val="24"/>
          <w:szCs w:val="24"/>
          <w:highlight w:val="none"/>
          <w:lang w:val="en-US" w:eastAsia="zh-CN" w:bidi="ar-SA"/>
        </w:rPr>
      </w:pPr>
      <w:r>
        <w:rPr>
          <w:rFonts w:hint="eastAsia" w:ascii="宋体" w:hAnsi="宋体" w:eastAsia="宋体" w:cs="宋体"/>
          <w:color w:val="auto"/>
          <w:sz w:val="24"/>
          <w:szCs w:val="24"/>
          <w:highlight w:val="none"/>
        </w:rPr>
        <w:t>（五）采购人要求成交供应商提供履约保证金的，应当在网上竞采文件中予以约定。成交供应商履约完毕后，采购人应于五日内无息退还其履约保证金。</w:t>
      </w:r>
    </w:p>
    <w:p w14:paraId="7DA7F18D">
      <w:pPr>
        <w:spacing w:line="360" w:lineRule="auto"/>
        <w:ind w:firstLine="360" w:firstLineChars="150"/>
        <w:rPr>
          <w:rFonts w:hint="eastAsia" w:ascii="宋体" w:hAnsi="宋体" w:eastAsia="宋体" w:cs="宋体"/>
          <w:color w:val="auto"/>
          <w:sz w:val="24"/>
          <w:szCs w:val="24"/>
          <w:highlight w:val="none"/>
        </w:rPr>
      </w:pPr>
    </w:p>
    <w:bookmarkEnd w:id="203"/>
    <w:bookmarkEnd w:id="204"/>
    <w:p w14:paraId="554D8274">
      <w:pPr>
        <w:jc w:val="center"/>
        <w:rPr>
          <w:rFonts w:hint="eastAsia" w:ascii="宋体" w:hAnsi="宋体" w:eastAsia="宋体" w:cs="宋体"/>
          <w:b/>
          <w:highlight w:val="none"/>
        </w:rPr>
      </w:pPr>
      <w:bookmarkStart w:id="231" w:name="_Toc4239"/>
      <w:bookmarkStart w:id="232" w:name="_Toc27139866"/>
      <w:r>
        <w:rPr>
          <w:rFonts w:hint="eastAsia" w:ascii="宋体" w:hAnsi="宋体" w:eastAsia="宋体" w:cs="宋体"/>
          <w:color w:val="auto"/>
          <w:sz w:val="36"/>
          <w:szCs w:val="30"/>
          <w:highlight w:val="none"/>
        </w:rPr>
        <w:t>第六篇</w:t>
      </w:r>
      <w:bookmarkEnd w:id="231"/>
      <w:bookmarkEnd w:id="232"/>
      <w:r>
        <w:rPr>
          <w:rFonts w:hint="eastAsia" w:ascii="宋体" w:hAnsi="宋体" w:eastAsia="宋体" w:cs="宋体"/>
          <w:color w:val="auto"/>
          <w:sz w:val="36"/>
          <w:szCs w:val="30"/>
          <w:highlight w:val="none"/>
          <w:lang w:val="en-US" w:eastAsia="zh-CN"/>
        </w:rPr>
        <w:t xml:space="preserve">  </w:t>
      </w:r>
      <w:r>
        <w:rPr>
          <w:rFonts w:hint="eastAsia" w:ascii="宋体" w:hAnsi="宋体" w:eastAsia="宋体" w:cs="宋体"/>
          <w:b/>
          <w:sz w:val="36"/>
          <w:szCs w:val="22"/>
          <w:highlight w:val="none"/>
        </w:rPr>
        <w:t>合同主要条款和格式合同（样本）</w:t>
      </w:r>
    </w:p>
    <w:p w14:paraId="5C86BBF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重庆市政府采购合同（格式）</w:t>
      </w:r>
    </w:p>
    <w:p w14:paraId="086BAE1C">
      <w:pPr>
        <w:rPr>
          <w:rFonts w:hint="eastAsia" w:ascii="宋体" w:hAnsi="宋体" w:eastAsia="宋体" w:cs="宋体"/>
          <w:sz w:val="24"/>
          <w:szCs w:val="24"/>
          <w:highlight w:val="none"/>
        </w:rPr>
      </w:pPr>
    </w:p>
    <w:p w14:paraId="0DB277A0">
      <w:pPr>
        <w:rPr>
          <w:rFonts w:hint="eastAsia" w:ascii="宋体" w:hAnsi="宋体" w:eastAsia="宋体" w:cs="宋体"/>
          <w:sz w:val="24"/>
          <w:szCs w:val="24"/>
          <w:highlight w:val="none"/>
        </w:rPr>
      </w:pPr>
      <w:r>
        <w:rPr>
          <w:rFonts w:hint="eastAsia" w:ascii="宋体" w:hAnsi="宋体" w:eastAsia="宋体" w:cs="宋体"/>
          <w:sz w:val="24"/>
          <w:szCs w:val="24"/>
          <w:highlight w:val="none"/>
        </w:rPr>
        <w:t>甲方：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(采购人)           计价单位：____________</w:t>
      </w:r>
    </w:p>
    <w:p w14:paraId="7847B882">
      <w:pPr>
        <w:rPr>
          <w:rFonts w:hint="eastAsia" w:ascii="宋体" w:hAnsi="宋体" w:eastAsia="宋体" w:cs="宋体"/>
          <w:sz w:val="24"/>
          <w:szCs w:val="24"/>
          <w:highlight w:val="none"/>
        </w:rPr>
      </w:pPr>
      <w:r>
        <w:rPr>
          <w:rFonts w:hint="eastAsia" w:ascii="宋体" w:hAnsi="宋体" w:eastAsia="宋体" w:cs="宋体"/>
          <w:sz w:val="24"/>
          <w:szCs w:val="24"/>
          <w:highlight w:val="none"/>
        </w:rPr>
        <w:t>乙方：</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(供应商)           计量单位：____________</w:t>
      </w:r>
    </w:p>
    <w:p w14:paraId="31485330">
      <w:pPr>
        <w:rPr>
          <w:rFonts w:hint="eastAsia" w:ascii="宋体" w:hAnsi="宋体" w:eastAsia="宋体" w:cs="宋体"/>
          <w:sz w:val="24"/>
          <w:szCs w:val="24"/>
          <w:highlight w:val="none"/>
        </w:rPr>
      </w:pPr>
    </w:p>
    <w:p w14:paraId="75A99212">
      <w:pPr>
        <w:rPr>
          <w:rFonts w:hint="eastAsia" w:ascii="宋体" w:hAnsi="宋体" w:eastAsia="宋体" w:cs="宋体"/>
          <w:sz w:val="24"/>
          <w:szCs w:val="24"/>
          <w:highlight w:val="none"/>
        </w:rPr>
      </w:pPr>
      <w:r>
        <w:rPr>
          <w:rFonts w:hint="eastAsia" w:ascii="宋体" w:hAnsi="宋体" w:eastAsia="宋体" w:cs="宋体"/>
          <w:sz w:val="24"/>
          <w:szCs w:val="24"/>
          <w:highlight w:val="none"/>
        </w:rPr>
        <w:t>经甲乙双方协商一致，达成以下购销合同：</w:t>
      </w:r>
    </w:p>
    <w:tbl>
      <w:tblPr>
        <w:tblStyle w:val="61"/>
        <w:tblW w:w="9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591"/>
        <w:gridCol w:w="1240"/>
        <w:gridCol w:w="171"/>
        <w:gridCol w:w="487"/>
        <w:gridCol w:w="831"/>
        <w:gridCol w:w="1119"/>
        <w:gridCol w:w="1073"/>
        <w:gridCol w:w="2008"/>
      </w:tblGrid>
      <w:tr w14:paraId="381D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17" w:type="dxa"/>
            <w:vAlign w:val="center"/>
          </w:tcPr>
          <w:p w14:paraId="0A4063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商品名称</w:t>
            </w:r>
          </w:p>
        </w:tc>
        <w:tc>
          <w:tcPr>
            <w:tcW w:w="1591" w:type="dxa"/>
            <w:vAlign w:val="center"/>
          </w:tcPr>
          <w:p w14:paraId="2446F227">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规格型号</w:t>
            </w:r>
          </w:p>
        </w:tc>
        <w:tc>
          <w:tcPr>
            <w:tcW w:w="1240" w:type="dxa"/>
            <w:vAlign w:val="center"/>
          </w:tcPr>
          <w:p w14:paraId="0F4C2946">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品牌、生产厂家</w:t>
            </w:r>
          </w:p>
        </w:tc>
        <w:tc>
          <w:tcPr>
            <w:tcW w:w="658" w:type="dxa"/>
            <w:gridSpan w:val="2"/>
            <w:vAlign w:val="center"/>
          </w:tcPr>
          <w:p w14:paraId="5236B33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831" w:type="dxa"/>
            <w:vAlign w:val="center"/>
          </w:tcPr>
          <w:p w14:paraId="2B5E87F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单价</w:t>
            </w:r>
          </w:p>
        </w:tc>
        <w:tc>
          <w:tcPr>
            <w:tcW w:w="1119" w:type="dxa"/>
            <w:vAlign w:val="center"/>
          </w:tcPr>
          <w:p w14:paraId="1AF48C7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总价</w:t>
            </w:r>
          </w:p>
        </w:tc>
        <w:tc>
          <w:tcPr>
            <w:tcW w:w="1073" w:type="dxa"/>
            <w:vAlign w:val="center"/>
          </w:tcPr>
          <w:p w14:paraId="213EC5D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交货时间</w:t>
            </w:r>
          </w:p>
        </w:tc>
        <w:tc>
          <w:tcPr>
            <w:tcW w:w="2008" w:type="dxa"/>
            <w:vAlign w:val="center"/>
          </w:tcPr>
          <w:p w14:paraId="4E8FA9A4">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交货地点</w:t>
            </w:r>
          </w:p>
        </w:tc>
      </w:tr>
      <w:tr w14:paraId="7981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22C5EE8">
            <w:pPr>
              <w:jc w:val="center"/>
              <w:rPr>
                <w:rFonts w:hint="eastAsia" w:ascii="宋体" w:hAnsi="宋体" w:eastAsia="宋体" w:cs="宋体"/>
                <w:sz w:val="24"/>
                <w:szCs w:val="24"/>
                <w:highlight w:val="none"/>
              </w:rPr>
            </w:pPr>
          </w:p>
        </w:tc>
        <w:tc>
          <w:tcPr>
            <w:tcW w:w="1591" w:type="dxa"/>
            <w:vAlign w:val="center"/>
          </w:tcPr>
          <w:p w14:paraId="5CFA676E">
            <w:pPr>
              <w:jc w:val="center"/>
              <w:rPr>
                <w:rFonts w:hint="eastAsia" w:ascii="宋体" w:hAnsi="宋体" w:eastAsia="宋体" w:cs="宋体"/>
                <w:sz w:val="24"/>
                <w:szCs w:val="24"/>
                <w:highlight w:val="none"/>
              </w:rPr>
            </w:pPr>
          </w:p>
        </w:tc>
        <w:tc>
          <w:tcPr>
            <w:tcW w:w="1240" w:type="dxa"/>
            <w:vAlign w:val="center"/>
          </w:tcPr>
          <w:p w14:paraId="3A1BAB86">
            <w:pPr>
              <w:jc w:val="center"/>
              <w:rPr>
                <w:rFonts w:hint="eastAsia" w:ascii="宋体" w:hAnsi="宋体" w:eastAsia="宋体" w:cs="宋体"/>
                <w:sz w:val="24"/>
                <w:szCs w:val="24"/>
                <w:highlight w:val="none"/>
              </w:rPr>
            </w:pPr>
          </w:p>
        </w:tc>
        <w:tc>
          <w:tcPr>
            <w:tcW w:w="658" w:type="dxa"/>
            <w:gridSpan w:val="2"/>
            <w:vAlign w:val="center"/>
          </w:tcPr>
          <w:p w14:paraId="2DC0F572">
            <w:pPr>
              <w:jc w:val="center"/>
              <w:rPr>
                <w:rFonts w:hint="eastAsia" w:ascii="宋体" w:hAnsi="宋体" w:eastAsia="宋体" w:cs="宋体"/>
                <w:sz w:val="24"/>
                <w:szCs w:val="24"/>
                <w:highlight w:val="none"/>
              </w:rPr>
            </w:pPr>
          </w:p>
        </w:tc>
        <w:tc>
          <w:tcPr>
            <w:tcW w:w="831" w:type="dxa"/>
            <w:vAlign w:val="center"/>
          </w:tcPr>
          <w:p w14:paraId="05B854AD">
            <w:pPr>
              <w:jc w:val="center"/>
              <w:rPr>
                <w:rFonts w:hint="eastAsia" w:ascii="宋体" w:hAnsi="宋体" w:eastAsia="宋体" w:cs="宋体"/>
                <w:sz w:val="24"/>
                <w:szCs w:val="24"/>
                <w:highlight w:val="none"/>
              </w:rPr>
            </w:pPr>
          </w:p>
        </w:tc>
        <w:tc>
          <w:tcPr>
            <w:tcW w:w="1119" w:type="dxa"/>
            <w:vAlign w:val="center"/>
          </w:tcPr>
          <w:p w14:paraId="12EC950C">
            <w:pPr>
              <w:jc w:val="center"/>
              <w:rPr>
                <w:rFonts w:hint="eastAsia" w:ascii="宋体" w:hAnsi="宋体" w:eastAsia="宋体" w:cs="宋体"/>
                <w:sz w:val="24"/>
                <w:szCs w:val="24"/>
                <w:highlight w:val="none"/>
              </w:rPr>
            </w:pPr>
          </w:p>
        </w:tc>
        <w:tc>
          <w:tcPr>
            <w:tcW w:w="1073" w:type="dxa"/>
            <w:vAlign w:val="center"/>
          </w:tcPr>
          <w:p w14:paraId="6F434EA4">
            <w:pPr>
              <w:jc w:val="center"/>
              <w:rPr>
                <w:rFonts w:hint="eastAsia" w:ascii="宋体" w:hAnsi="宋体" w:eastAsia="宋体" w:cs="宋体"/>
                <w:sz w:val="24"/>
                <w:szCs w:val="24"/>
                <w:highlight w:val="none"/>
              </w:rPr>
            </w:pPr>
          </w:p>
        </w:tc>
        <w:tc>
          <w:tcPr>
            <w:tcW w:w="2008" w:type="dxa"/>
            <w:vAlign w:val="center"/>
          </w:tcPr>
          <w:p w14:paraId="45A3E7A9">
            <w:pPr>
              <w:jc w:val="center"/>
              <w:rPr>
                <w:rFonts w:hint="eastAsia" w:ascii="宋体" w:hAnsi="宋体" w:eastAsia="宋体" w:cs="宋体"/>
                <w:sz w:val="24"/>
                <w:szCs w:val="24"/>
                <w:highlight w:val="none"/>
              </w:rPr>
            </w:pPr>
          </w:p>
        </w:tc>
      </w:tr>
      <w:tr w14:paraId="1044E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D0FFABA">
            <w:pPr>
              <w:jc w:val="center"/>
              <w:rPr>
                <w:rFonts w:hint="eastAsia" w:ascii="宋体" w:hAnsi="宋体" w:eastAsia="宋体" w:cs="宋体"/>
                <w:sz w:val="24"/>
                <w:szCs w:val="24"/>
                <w:highlight w:val="none"/>
              </w:rPr>
            </w:pPr>
          </w:p>
        </w:tc>
        <w:tc>
          <w:tcPr>
            <w:tcW w:w="1591" w:type="dxa"/>
            <w:vAlign w:val="center"/>
          </w:tcPr>
          <w:p w14:paraId="1B877EA9">
            <w:pPr>
              <w:jc w:val="center"/>
              <w:rPr>
                <w:rFonts w:hint="eastAsia" w:ascii="宋体" w:hAnsi="宋体" w:eastAsia="宋体" w:cs="宋体"/>
                <w:sz w:val="24"/>
                <w:szCs w:val="24"/>
                <w:highlight w:val="none"/>
              </w:rPr>
            </w:pPr>
          </w:p>
        </w:tc>
        <w:tc>
          <w:tcPr>
            <w:tcW w:w="1240" w:type="dxa"/>
            <w:vAlign w:val="center"/>
          </w:tcPr>
          <w:p w14:paraId="2A24D6F8">
            <w:pPr>
              <w:jc w:val="center"/>
              <w:rPr>
                <w:rFonts w:hint="eastAsia" w:ascii="宋体" w:hAnsi="宋体" w:eastAsia="宋体" w:cs="宋体"/>
                <w:sz w:val="24"/>
                <w:szCs w:val="24"/>
                <w:highlight w:val="none"/>
              </w:rPr>
            </w:pPr>
          </w:p>
        </w:tc>
        <w:tc>
          <w:tcPr>
            <w:tcW w:w="658" w:type="dxa"/>
            <w:gridSpan w:val="2"/>
            <w:vAlign w:val="center"/>
          </w:tcPr>
          <w:p w14:paraId="263C3254">
            <w:pPr>
              <w:jc w:val="center"/>
              <w:rPr>
                <w:rFonts w:hint="eastAsia" w:ascii="宋体" w:hAnsi="宋体" w:eastAsia="宋体" w:cs="宋体"/>
                <w:sz w:val="24"/>
                <w:szCs w:val="24"/>
                <w:highlight w:val="none"/>
              </w:rPr>
            </w:pPr>
          </w:p>
        </w:tc>
        <w:tc>
          <w:tcPr>
            <w:tcW w:w="831" w:type="dxa"/>
            <w:vAlign w:val="center"/>
          </w:tcPr>
          <w:p w14:paraId="1C0C5B36">
            <w:pPr>
              <w:jc w:val="center"/>
              <w:rPr>
                <w:rFonts w:hint="eastAsia" w:ascii="宋体" w:hAnsi="宋体" w:eastAsia="宋体" w:cs="宋体"/>
                <w:sz w:val="24"/>
                <w:szCs w:val="24"/>
                <w:highlight w:val="none"/>
              </w:rPr>
            </w:pPr>
          </w:p>
        </w:tc>
        <w:tc>
          <w:tcPr>
            <w:tcW w:w="1119" w:type="dxa"/>
            <w:vAlign w:val="center"/>
          </w:tcPr>
          <w:p w14:paraId="3486640E">
            <w:pPr>
              <w:jc w:val="center"/>
              <w:rPr>
                <w:rFonts w:hint="eastAsia" w:ascii="宋体" w:hAnsi="宋体" w:eastAsia="宋体" w:cs="宋体"/>
                <w:sz w:val="24"/>
                <w:szCs w:val="24"/>
                <w:highlight w:val="none"/>
              </w:rPr>
            </w:pPr>
          </w:p>
        </w:tc>
        <w:tc>
          <w:tcPr>
            <w:tcW w:w="1073" w:type="dxa"/>
            <w:vAlign w:val="center"/>
          </w:tcPr>
          <w:p w14:paraId="50CF43EB">
            <w:pPr>
              <w:jc w:val="center"/>
              <w:rPr>
                <w:rFonts w:hint="eastAsia" w:ascii="宋体" w:hAnsi="宋体" w:eastAsia="宋体" w:cs="宋体"/>
                <w:sz w:val="24"/>
                <w:szCs w:val="24"/>
                <w:highlight w:val="none"/>
              </w:rPr>
            </w:pPr>
          </w:p>
        </w:tc>
        <w:tc>
          <w:tcPr>
            <w:tcW w:w="2008" w:type="dxa"/>
            <w:vAlign w:val="center"/>
          </w:tcPr>
          <w:p w14:paraId="56ACDA73">
            <w:pPr>
              <w:jc w:val="center"/>
              <w:rPr>
                <w:rFonts w:hint="eastAsia" w:ascii="宋体" w:hAnsi="宋体" w:eastAsia="宋体" w:cs="宋体"/>
                <w:sz w:val="24"/>
                <w:szCs w:val="24"/>
                <w:highlight w:val="none"/>
              </w:rPr>
            </w:pPr>
          </w:p>
        </w:tc>
      </w:tr>
      <w:tr w14:paraId="2512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1C10524">
            <w:pPr>
              <w:jc w:val="center"/>
              <w:rPr>
                <w:rFonts w:hint="eastAsia" w:ascii="宋体" w:hAnsi="宋体" w:eastAsia="宋体" w:cs="宋体"/>
                <w:sz w:val="24"/>
                <w:szCs w:val="24"/>
                <w:highlight w:val="none"/>
              </w:rPr>
            </w:pPr>
          </w:p>
        </w:tc>
        <w:tc>
          <w:tcPr>
            <w:tcW w:w="1591" w:type="dxa"/>
            <w:vAlign w:val="center"/>
          </w:tcPr>
          <w:p w14:paraId="1BF04088">
            <w:pPr>
              <w:jc w:val="center"/>
              <w:rPr>
                <w:rFonts w:hint="eastAsia" w:ascii="宋体" w:hAnsi="宋体" w:eastAsia="宋体" w:cs="宋体"/>
                <w:sz w:val="24"/>
                <w:szCs w:val="24"/>
                <w:highlight w:val="none"/>
              </w:rPr>
            </w:pPr>
          </w:p>
        </w:tc>
        <w:tc>
          <w:tcPr>
            <w:tcW w:w="1240" w:type="dxa"/>
            <w:vAlign w:val="center"/>
          </w:tcPr>
          <w:p w14:paraId="3C7D9743">
            <w:pPr>
              <w:jc w:val="center"/>
              <w:rPr>
                <w:rFonts w:hint="eastAsia" w:ascii="宋体" w:hAnsi="宋体" w:eastAsia="宋体" w:cs="宋体"/>
                <w:sz w:val="24"/>
                <w:szCs w:val="24"/>
                <w:highlight w:val="none"/>
              </w:rPr>
            </w:pPr>
          </w:p>
        </w:tc>
        <w:tc>
          <w:tcPr>
            <w:tcW w:w="658" w:type="dxa"/>
            <w:gridSpan w:val="2"/>
            <w:vAlign w:val="center"/>
          </w:tcPr>
          <w:p w14:paraId="22FBE553">
            <w:pPr>
              <w:jc w:val="center"/>
              <w:rPr>
                <w:rFonts w:hint="eastAsia" w:ascii="宋体" w:hAnsi="宋体" w:eastAsia="宋体" w:cs="宋体"/>
                <w:sz w:val="24"/>
                <w:szCs w:val="24"/>
                <w:highlight w:val="none"/>
              </w:rPr>
            </w:pPr>
          </w:p>
        </w:tc>
        <w:tc>
          <w:tcPr>
            <w:tcW w:w="831" w:type="dxa"/>
            <w:vAlign w:val="center"/>
          </w:tcPr>
          <w:p w14:paraId="15FF1886">
            <w:pPr>
              <w:jc w:val="center"/>
              <w:rPr>
                <w:rFonts w:hint="eastAsia" w:ascii="宋体" w:hAnsi="宋体" w:eastAsia="宋体" w:cs="宋体"/>
                <w:sz w:val="24"/>
                <w:szCs w:val="24"/>
                <w:highlight w:val="none"/>
              </w:rPr>
            </w:pPr>
          </w:p>
        </w:tc>
        <w:tc>
          <w:tcPr>
            <w:tcW w:w="1119" w:type="dxa"/>
            <w:vAlign w:val="center"/>
          </w:tcPr>
          <w:p w14:paraId="3C108CE0">
            <w:pPr>
              <w:jc w:val="center"/>
              <w:rPr>
                <w:rFonts w:hint="eastAsia" w:ascii="宋体" w:hAnsi="宋体" w:eastAsia="宋体" w:cs="宋体"/>
                <w:sz w:val="24"/>
                <w:szCs w:val="24"/>
                <w:highlight w:val="none"/>
              </w:rPr>
            </w:pPr>
          </w:p>
        </w:tc>
        <w:tc>
          <w:tcPr>
            <w:tcW w:w="1073" w:type="dxa"/>
            <w:vAlign w:val="center"/>
          </w:tcPr>
          <w:p w14:paraId="4950E5A3">
            <w:pPr>
              <w:jc w:val="center"/>
              <w:rPr>
                <w:rFonts w:hint="eastAsia" w:ascii="宋体" w:hAnsi="宋体" w:eastAsia="宋体" w:cs="宋体"/>
                <w:sz w:val="24"/>
                <w:szCs w:val="24"/>
                <w:highlight w:val="none"/>
              </w:rPr>
            </w:pPr>
          </w:p>
        </w:tc>
        <w:tc>
          <w:tcPr>
            <w:tcW w:w="2008" w:type="dxa"/>
            <w:vAlign w:val="center"/>
          </w:tcPr>
          <w:p w14:paraId="7438BB74">
            <w:pPr>
              <w:jc w:val="center"/>
              <w:rPr>
                <w:rFonts w:hint="eastAsia" w:ascii="宋体" w:hAnsi="宋体" w:eastAsia="宋体" w:cs="宋体"/>
                <w:sz w:val="24"/>
                <w:szCs w:val="24"/>
                <w:highlight w:val="none"/>
              </w:rPr>
            </w:pPr>
          </w:p>
        </w:tc>
      </w:tr>
      <w:tr w14:paraId="109F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2881373D">
            <w:pPr>
              <w:jc w:val="center"/>
              <w:rPr>
                <w:rFonts w:hint="eastAsia" w:ascii="宋体" w:hAnsi="宋体" w:eastAsia="宋体" w:cs="宋体"/>
                <w:sz w:val="24"/>
                <w:szCs w:val="24"/>
                <w:highlight w:val="none"/>
              </w:rPr>
            </w:pPr>
          </w:p>
        </w:tc>
        <w:tc>
          <w:tcPr>
            <w:tcW w:w="1591" w:type="dxa"/>
            <w:vAlign w:val="center"/>
          </w:tcPr>
          <w:p w14:paraId="05E9797D">
            <w:pPr>
              <w:jc w:val="center"/>
              <w:rPr>
                <w:rFonts w:hint="eastAsia" w:ascii="宋体" w:hAnsi="宋体" w:eastAsia="宋体" w:cs="宋体"/>
                <w:sz w:val="24"/>
                <w:szCs w:val="24"/>
                <w:highlight w:val="none"/>
              </w:rPr>
            </w:pPr>
          </w:p>
        </w:tc>
        <w:tc>
          <w:tcPr>
            <w:tcW w:w="1240" w:type="dxa"/>
            <w:vAlign w:val="center"/>
          </w:tcPr>
          <w:p w14:paraId="4006709E">
            <w:pPr>
              <w:jc w:val="center"/>
              <w:rPr>
                <w:rFonts w:hint="eastAsia" w:ascii="宋体" w:hAnsi="宋体" w:eastAsia="宋体" w:cs="宋体"/>
                <w:sz w:val="24"/>
                <w:szCs w:val="24"/>
                <w:highlight w:val="none"/>
              </w:rPr>
            </w:pPr>
          </w:p>
        </w:tc>
        <w:tc>
          <w:tcPr>
            <w:tcW w:w="658" w:type="dxa"/>
            <w:gridSpan w:val="2"/>
            <w:vAlign w:val="center"/>
          </w:tcPr>
          <w:p w14:paraId="3F6CA9C8">
            <w:pPr>
              <w:jc w:val="center"/>
              <w:rPr>
                <w:rFonts w:hint="eastAsia" w:ascii="宋体" w:hAnsi="宋体" w:eastAsia="宋体" w:cs="宋体"/>
                <w:sz w:val="24"/>
                <w:szCs w:val="24"/>
                <w:highlight w:val="none"/>
              </w:rPr>
            </w:pPr>
          </w:p>
        </w:tc>
        <w:tc>
          <w:tcPr>
            <w:tcW w:w="831" w:type="dxa"/>
            <w:vAlign w:val="center"/>
          </w:tcPr>
          <w:p w14:paraId="6F11F431">
            <w:pPr>
              <w:jc w:val="center"/>
              <w:rPr>
                <w:rFonts w:hint="eastAsia" w:ascii="宋体" w:hAnsi="宋体" w:eastAsia="宋体" w:cs="宋体"/>
                <w:sz w:val="24"/>
                <w:szCs w:val="24"/>
                <w:highlight w:val="none"/>
              </w:rPr>
            </w:pPr>
          </w:p>
        </w:tc>
        <w:tc>
          <w:tcPr>
            <w:tcW w:w="1119" w:type="dxa"/>
            <w:vAlign w:val="center"/>
          </w:tcPr>
          <w:p w14:paraId="4616E044">
            <w:pPr>
              <w:jc w:val="center"/>
              <w:rPr>
                <w:rFonts w:hint="eastAsia" w:ascii="宋体" w:hAnsi="宋体" w:eastAsia="宋体" w:cs="宋体"/>
                <w:sz w:val="24"/>
                <w:szCs w:val="24"/>
                <w:highlight w:val="none"/>
              </w:rPr>
            </w:pPr>
          </w:p>
        </w:tc>
        <w:tc>
          <w:tcPr>
            <w:tcW w:w="1073" w:type="dxa"/>
            <w:vAlign w:val="center"/>
          </w:tcPr>
          <w:p w14:paraId="4FEFE017">
            <w:pPr>
              <w:jc w:val="center"/>
              <w:rPr>
                <w:rFonts w:hint="eastAsia" w:ascii="宋体" w:hAnsi="宋体" w:eastAsia="宋体" w:cs="宋体"/>
                <w:sz w:val="24"/>
                <w:szCs w:val="24"/>
                <w:highlight w:val="none"/>
              </w:rPr>
            </w:pPr>
          </w:p>
        </w:tc>
        <w:tc>
          <w:tcPr>
            <w:tcW w:w="2008" w:type="dxa"/>
            <w:vAlign w:val="center"/>
          </w:tcPr>
          <w:p w14:paraId="73875AC0">
            <w:pPr>
              <w:jc w:val="center"/>
              <w:rPr>
                <w:rFonts w:hint="eastAsia" w:ascii="宋体" w:hAnsi="宋体" w:eastAsia="宋体" w:cs="宋体"/>
                <w:sz w:val="24"/>
                <w:szCs w:val="24"/>
                <w:highlight w:val="none"/>
              </w:rPr>
            </w:pPr>
          </w:p>
        </w:tc>
      </w:tr>
      <w:tr w14:paraId="73A97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6F80B2E">
            <w:pPr>
              <w:jc w:val="center"/>
              <w:rPr>
                <w:rFonts w:hint="eastAsia" w:ascii="宋体" w:hAnsi="宋体" w:eastAsia="宋体" w:cs="宋体"/>
                <w:sz w:val="24"/>
                <w:szCs w:val="24"/>
                <w:highlight w:val="none"/>
              </w:rPr>
            </w:pPr>
          </w:p>
        </w:tc>
        <w:tc>
          <w:tcPr>
            <w:tcW w:w="1591" w:type="dxa"/>
            <w:vAlign w:val="center"/>
          </w:tcPr>
          <w:p w14:paraId="6D35CEA3">
            <w:pPr>
              <w:jc w:val="center"/>
              <w:rPr>
                <w:rFonts w:hint="eastAsia" w:ascii="宋体" w:hAnsi="宋体" w:eastAsia="宋体" w:cs="宋体"/>
                <w:sz w:val="24"/>
                <w:szCs w:val="24"/>
                <w:highlight w:val="none"/>
              </w:rPr>
            </w:pPr>
          </w:p>
        </w:tc>
        <w:tc>
          <w:tcPr>
            <w:tcW w:w="1240" w:type="dxa"/>
            <w:vAlign w:val="center"/>
          </w:tcPr>
          <w:p w14:paraId="1E2E08AB">
            <w:pPr>
              <w:jc w:val="center"/>
              <w:rPr>
                <w:rFonts w:hint="eastAsia" w:ascii="宋体" w:hAnsi="宋体" w:eastAsia="宋体" w:cs="宋体"/>
                <w:sz w:val="24"/>
                <w:szCs w:val="24"/>
                <w:highlight w:val="none"/>
              </w:rPr>
            </w:pPr>
          </w:p>
        </w:tc>
        <w:tc>
          <w:tcPr>
            <w:tcW w:w="658" w:type="dxa"/>
            <w:gridSpan w:val="2"/>
            <w:vAlign w:val="center"/>
          </w:tcPr>
          <w:p w14:paraId="4D034D6B">
            <w:pPr>
              <w:jc w:val="center"/>
              <w:rPr>
                <w:rFonts w:hint="eastAsia" w:ascii="宋体" w:hAnsi="宋体" w:eastAsia="宋体" w:cs="宋体"/>
                <w:sz w:val="24"/>
                <w:szCs w:val="24"/>
                <w:highlight w:val="none"/>
              </w:rPr>
            </w:pPr>
          </w:p>
        </w:tc>
        <w:tc>
          <w:tcPr>
            <w:tcW w:w="831" w:type="dxa"/>
            <w:vAlign w:val="center"/>
          </w:tcPr>
          <w:p w14:paraId="696B1758">
            <w:pPr>
              <w:jc w:val="center"/>
              <w:rPr>
                <w:rFonts w:hint="eastAsia" w:ascii="宋体" w:hAnsi="宋体" w:eastAsia="宋体" w:cs="宋体"/>
                <w:sz w:val="24"/>
                <w:szCs w:val="24"/>
                <w:highlight w:val="none"/>
              </w:rPr>
            </w:pPr>
          </w:p>
        </w:tc>
        <w:tc>
          <w:tcPr>
            <w:tcW w:w="1119" w:type="dxa"/>
            <w:vAlign w:val="center"/>
          </w:tcPr>
          <w:p w14:paraId="3FD2694B">
            <w:pPr>
              <w:jc w:val="center"/>
              <w:rPr>
                <w:rFonts w:hint="eastAsia" w:ascii="宋体" w:hAnsi="宋体" w:eastAsia="宋体" w:cs="宋体"/>
                <w:sz w:val="24"/>
                <w:szCs w:val="24"/>
                <w:highlight w:val="none"/>
              </w:rPr>
            </w:pPr>
          </w:p>
        </w:tc>
        <w:tc>
          <w:tcPr>
            <w:tcW w:w="1073" w:type="dxa"/>
            <w:vAlign w:val="center"/>
          </w:tcPr>
          <w:p w14:paraId="4AC669E0">
            <w:pPr>
              <w:jc w:val="center"/>
              <w:rPr>
                <w:rFonts w:hint="eastAsia" w:ascii="宋体" w:hAnsi="宋体" w:eastAsia="宋体" w:cs="宋体"/>
                <w:sz w:val="24"/>
                <w:szCs w:val="24"/>
                <w:highlight w:val="none"/>
              </w:rPr>
            </w:pPr>
          </w:p>
        </w:tc>
        <w:tc>
          <w:tcPr>
            <w:tcW w:w="2008" w:type="dxa"/>
            <w:vAlign w:val="center"/>
          </w:tcPr>
          <w:p w14:paraId="5DDCAFA4">
            <w:pPr>
              <w:jc w:val="center"/>
              <w:rPr>
                <w:rFonts w:hint="eastAsia" w:ascii="宋体" w:hAnsi="宋体" w:eastAsia="宋体" w:cs="宋体"/>
                <w:sz w:val="24"/>
                <w:szCs w:val="24"/>
                <w:highlight w:val="none"/>
              </w:rPr>
            </w:pPr>
          </w:p>
        </w:tc>
      </w:tr>
      <w:tr w14:paraId="5E31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548DB3CC">
            <w:pPr>
              <w:jc w:val="center"/>
              <w:rPr>
                <w:rFonts w:hint="eastAsia" w:ascii="宋体" w:hAnsi="宋体" w:eastAsia="宋体" w:cs="宋体"/>
                <w:sz w:val="24"/>
                <w:szCs w:val="24"/>
                <w:highlight w:val="none"/>
              </w:rPr>
            </w:pPr>
          </w:p>
        </w:tc>
        <w:tc>
          <w:tcPr>
            <w:tcW w:w="1591" w:type="dxa"/>
            <w:vAlign w:val="center"/>
          </w:tcPr>
          <w:p w14:paraId="48DCD03A">
            <w:pPr>
              <w:jc w:val="center"/>
              <w:rPr>
                <w:rFonts w:hint="eastAsia" w:ascii="宋体" w:hAnsi="宋体" w:eastAsia="宋体" w:cs="宋体"/>
                <w:sz w:val="24"/>
                <w:szCs w:val="24"/>
                <w:highlight w:val="none"/>
              </w:rPr>
            </w:pPr>
          </w:p>
        </w:tc>
        <w:tc>
          <w:tcPr>
            <w:tcW w:w="1240" w:type="dxa"/>
            <w:vAlign w:val="center"/>
          </w:tcPr>
          <w:p w14:paraId="4ED1AE5A">
            <w:pPr>
              <w:jc w:val="center"/>
              <w:rPr>
                <w:rFonts w:hint="eastAsia" w:ascii="宋体" w:hAnsi="宋体" w:eastAsia="宋体" w:cs="宋体"/>
                <w:sz w:val="24"/>
                <w:szCs w:val="24"/>
                <w:highlight w:val="none"/>
              </w:rPr>
            </w:pPr>
          </w:p>
        </w:tc>
        <w:tc>
          <w:tcPr>
            <w:tcW w:w="658" w:type="dxa"/>
            <w:gridSpan w:val="2"/>
            <w:vAlign w:val="center"/>
          </w:tcPr>
          <w:p w14:paraId="072DFE53">
            <w:pPr>
              <w:jc w:val="center"/>
              <w:rPr>
                <w:rFonts w:hint="eastAsia" w:ascii="宋体" w:hAnsi="宋体" w:eastAsia="宋体" w:cs="宋体"/>
                <w:sz w:val="24"/>
                <w:szCs w:val="24"/>
                <w:highlight w:val="none"/>
              </w:rPr>
            </w:pPr>
          </w:p>
        </w:tc>
        <w:tc>
          <w:tcPr>
            <w:tcW w:w="831" w:type="dxa"/>
            <w:vAlign w:val="center"/>
          </w:tcPr>
          <w:p w14:paraId="639240BB">
            <w:pPr>
              <w:jc w:val="center"/>
              <w:rPr>
                <w:rFonts w:hint="eastAsia" w:ascii="宋体" w:hAnsi="宋体" w:eastAsia="宋体" w:cs="宋体"/>
                <w:sz w:val="24"/>
                <w:szCs w:val="24"/>
                <w:highlight w:val="none"/>
              </w:rPr>
            </w:pPr>
          </w:p>
        </w:tc>
        <w:tc>
          <w:tcPr>
            <w:tcW w:w="1119" w:type="dxa"/>
            <w:vAlign w:val="center"/>
          </w:tcPr>
          <w:p w14:paraId="22683180">
            <w:pPr>
              <w:jc w:val="center"/>
              <w:rPr>
                <w:rFonts w:hint="eastAsia" w:ascii="宋体" w:hAnsi="宋体" w:eastAsia="宋体" w:cs="宋体"/>
                <w:sz w:val="24"/>
                <w:szCs w:val="24"/>
                <w:highlight w:val="none"/>
              </w:rPr>
            </w:pPr>
          </w:p>
        </w:tc>
        <w:tc>
          <w:tcPr>
            <w:tcW w:w="1073" w:type="dxa"/>
            <w:vAlign w:val="center"/>
          </w:tcPr>
          <w:p w14:paraId="4297177F">
            <w:pPr>
              <w:jc w:val="center"/>
              <w:rPr>
                <w:rFonts w:hint="eastAsia" w:ascii="宋体" w:hAnsi="宋体" w:eastAsia="宋体" w:cs="宋体"/>
                <w:sz w:val="24"/>
                <w:szCs w:val="24"/>
                <w:highlight w:val="none"/>
              </w:rPr>
            </w:pPr>
          </w:p>
        </w:tc>
        <w:tc>
          <w:tcPr>
            <w:tcW w:w="2008" w:type="dxa"/>
            <w:vAlign w:val="center"/>
          </w:tcPr>
          <w:p w14:paraId="4EC5D7DC">
            <w:pPr>
              <w:jc w:val="center"/>
              <w:rPr>
                <w:rFonts w:hint="eastAsia" w:ascii="宋体" w:hAnsi="宋体" w:eastAsia="宋体" w:cs="宋体"/>
                <w:sz w:val="24"/>
                <w:szCs w:val="24"/>
                <w:highlight w:val="none"/>
              </w:rPr>
            </w:pPr>
          </w:p>
        </w:tc>
      </w:tr>
      <w:tr w14:paraId="0B21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4C884307">
            <w:pPr>
              <w:jc w:val="center"/>
              <w:rPr>
                <w:rFonts w:hint="eastAsia" w:ascii="宋体" w:hAnsi="宋体" w:eastAsia="宋体" w:cs="宋体"/>
                <w:sz w:val="24"/>
                <w:szCs w:val="24"/>
                <w:highlight w:val="none"/>
              </w:rPr>
            </w:pPr>
          </w:p>
        </w:tc>
        <w:tc>
          <w:tcPr>
            <w:tcW w:w="1591" w:type="dxa"/>
            <w:vAlign w:val="center"/>
          </w:tcPr>
          <w:p w14:paraId="28AD1DEC">
            <w:pPr>
              <w:jc w:val="center"/>
              <w:rPr>
                <w:rFonts w:hint="eastAsia" w:ascii="宋体" w:hAnsi="宋体" w:eastAsia="宋体" w:cs="宋体"/>
                <w:sz w:val="24"/>
                <w:szCs w:val="24"/>
                <w:highlight w:val="none"/>
              </w:rPr>
            </w:pPr>
          </w:p>
        </w:tc>
        <w:tc>
          <w:tcPr>
            <w:tcW w:w="1240" w:type="dxa"/>
            <w:vAlign w:val="center"/>
          </w:tcPr>
          <w:p w14:paraId="7CB556F5">
            <w:pPr>
              <w:jc w:val="center"/>
              <w:rPr>
                <w:rFonts w:hint="eastAsia" w:ascii="宋体" w:hAnsi="宋体" w:eastAsia="宋体" w:cs="宋体"/>
                <w:sz w:val="24"/>
                <w:szCs w:val="24"/>
                <w:highlight w:val="none"/>
              </w:rPr>
            </w:pPr>
          </w:p>
        </w:tc>
        <w:tc>
          <w:tcPr>
            <w:tcW w:w="658" w:type="dxa"/>
            <w:gridSpan w:val="2"/>
            <w:vAlign w:val="center"/>
          </w:tcPr>
          <w:p w14:paraId="73CFD010">
            <w:pPr>
              <w:jc w:val="center"/>
              <w:rPr>
                <w:rFonts w:hint="eastAsia" w:ascii="宋体" w:hAnsi="宋体" w:eastAsia="宋体" w:cs="宋体"/>
                <w:sz w:val="24"/>
                <w:szCs w:val="24"/>
                <w:highlight w:val="none"/>
              </w:rPr>
            </w:pPr>
          </w:p>
        </w:tc>
        <w:tc>
          <w:tcPr>
            <w:tcW w:w="831" w:type="dxa"/>
            <w:vAlign w:val="center"/>
          </w:tcPr>
          <w:p w14:paraId="770B810D">
            <w:pPr>
              <w:jc w:val="center"/>
              <w:rPr>
                <w:rFonts w:hint="eastAsia" w:ascii="宋体" w:hAnsi="宋体" w:eastAsia="宋体" w:cs="宋体"/>
                <w:sz w:val="24"/>
                <w:szCs w:val="24"/>
                <w:highlight w:val="none"/>
              </w:rPr>
            </w:pPr>
          </w:p>
        </w:tc>
        <w:tc>
          <w:tcPr>
            <w:tcW w:w="1119" w:type="dxa"/>
            <w:vAlign w:val="center"/>
          </w:tcPr>
          <w:p w14:paraId="67A1B446">
            <w:pPr>
              <w:jc w:val="center"/>
              <w:rPr>
                <w:rFonts w:hint="eastAsia" w:ascii="宋体" w:hAnsi="宋体" w:eastAsia="宋体" w:cs="宋体"/>
                <w:sz w:val="24"/>
                <w:szCs w:val="24"/>
                <w:highlight w:val="none"/>
              </w:rPr>
            </w:pPr>
          </w:p>
        </w:tc>
        <w:tc>
          <w:tcPr>
            <w:tcW w:w="1073" w:type="dxa"/>
            <w:vAlign w:val="center"/>
          </w:tcPr>
          <w:p w14:paraId="315B1F94">
            <w:pPr>
              <w:jc w:val="center"/>
              <w:rPr>
                <w:rFonts w:hint="eastAsia" w:ascii="宋体" w:hAnsi="宋体" w:eastAsia="宋体" w:cs="宋体"/>
                <w:sz w:val="24"/>
                <w:szCs w:val="24"/>
                <w:highlight w:val="none"/>
              </w:rPr>
            </w:pPr>
          </w:p>
        </w:tc>
        <w:tc>
          <w:tcPr>
            <w:tcW w:w="2008" w:type="dxa"/>
            <w:vAlign w:val="center"/>
          </w:tcPr>
          <w:p w14:paraId="1B8E93F9">
            <w:pPr>
              <w:jc w:val="center"/>
              <w:rPr>
                <w:rFonts w:hint="eastAsia" w:ascii="宋体" w:hAnsi="宋体" w:eastAsia="宋体" w:cs="宋体"/>
                <w:sz w:val="24"/>
                <w:szCs w:val="24"/>
                <w:highlight w:val="none"/>
              </w:rPr>
            </w:pPr>
          </w:p>
        </w:tc>
      </w:tr>
      <w:tr w14:paraId="30FF2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B50AD2E">
            <w:pPr>
              <w:jc w:val="center"/>
              <w:rPr>
                <w:rFonts w:hint="eastAsia" w:ascii="宋体" w:hAnsi="宋体" w:eastAsia="宋体" w:cs="宋体"/>
                <w:sz w:val="24"/>
                <w:szCs w:val="24"/>
                <w:highlight w:val="none"/>
              </w:rPr>
            </w:pPr>
          </w:p>
        </w:tc>
        <w:tc>
          <w:tcPr>
            <w:tcW w:w="1591" w:type="dxa"/>
            <w:vAlign w:val="center"/>
          </w:tcPr>
          <w:p w14:paraId="20371272">
            <w:pPr>
              <w:jc w:val="center"/>
              <w:rPr>
                <w:rFonts w:hint="eastAsia" w:ascii="宋体" w:hAnsi="宋体" w:eastAsia="宋体" w:cs="宋体"/>
                <w:sz w:val="24"/>
                <w:szCs w:val="24"/>
                <w:highlight w:val="none"/>
              </w:rPr>
            </w:pPr>
          </w:p>
        </w:tc>
        <w:tc>
          <w:tcPr>
            <w:tcW w:w="1240" w:type="dxa"/>
            <w:vAlign w:val="center"/>
          </w:tcPr>
          <w:p w14:paraId="230E9198">
            <w:pPr>
              <w:jc w:val="center"/>
              <w:rPr>
                <w:rFonts w:hint="eastAsia" w:ascii="宋体" w:hAnsi="宋体" w:eastAsia="宋体" w:cs="宋体"/>
                <w:sz w:val="24"/>
                <w:szCs w:val="24"/>
                <w:highlight w:val="none"/>
              </w:rPr>
            </w:pPr>
          </w:p>
        </w:tc>
        <w:tc>
          <w:tcPr>
            <w:tcW w:w="658" w:type="dxa"/>
            <w:gridSpan w:val="2"/>
            <w:vAlign w:val="center"/>
          </w:tcPr>
          <w:p w14:paraId="269B11FA">
            <w:pPr>
              <w:jc w:val="center"/>
              <w:rPr>
                <w:rFonts w:hint="eastAsia" w:ascii="宋体" w:hAnsi="宋体" w:eastAsia="宋体" w:cs="宋体"/>
                <w:sz w:val="24"/>
                <w:szCs w:val="24"/>
                <w:highlight w:val="none"/>
              </w:rPr>
            </w:pPr>
          </w:p>
        </w:tc>
        <w:tc>
          <w:tcPr>
            <w:tcW w:w="831" w:type="dxa"/>
            <w:vAlign w:val="center"/>
          </w:tcPr>
          <w:p w14:paraId="7B04AA9D">
            <w:pPr>
              <w:jc w:val="center"/>
              <w:rPr>
                <w:rFonts w:hint="eastAsia" w:ascii="宋体" w:hAnsi="宋体" w:eastAsia="宋体" w:cs="宋体"/>
                <w:sz w:val="24"/>
                <w:szCs w:val="24"/>
                <w:highlight w:val="none"/>
              </w:rPr>
            </w:pPr>
          </w:p>
        </w:tc>
        <w:tc>
          <w:tcPr>
            <w:tcW w:w="1119" w:type="dxa"/>
            <w:vAlign w:val="center"/>
          </w:tcPr>
          <w:p w14:paraId="10EAF07D">
            <w:pPr>
              <w:jc w:val="center"/>
              <w:rPr>
                <w:rFonts w:hint="eastAsia" w:ascii="宋体" w:hAnsi="宋体" w:eastAsia="宋体" w:cs="宋体"/>
                <w:sz w:val="24"/>
                <w:szCs w:val="24"/>
                <w:highlight w:val="none"/>
              </w:rPr>
            </w:pPr>
          </w:p>
        </w:tc>
        <w:tc>
          <w:tcPr>
            <w:tcW w:w="1073" w:type="dxa"/>
            <w:vAlign w:val="center"/>
          </w:tcPr>
          <w:p w14:paraId="47EE3CD1">
            <w:pPr>
              <w:jc w:val="center"/>
              <w:rPr>
                <w:rFonts w:hint="eastAsia" w:ascii="宋体" w:hAnsi="宋体" w:eastAsia="宋体" w:cs="宋体"/>
                <w:sz w:val="24"/>
                <w:szCs w:val="24"/>
                <w:highlight w:val="none"/>
              </w:rPr>
            </w:pPr>
          </w:p>
        </w:tc>
        <w:tc>
          <w:tcPr>
            <w:tcW w:w="2008" w:type="dxa"/>
            <w:vAlign w:val="center"/>
          </w:tcPr>
          <w:p w14:paraId="30C021DE">
            <w:pPr>
              <w:jc w:val="center"/>
              <w:rPr>
                <w:rFonts w:hint="eastAsia" w:ascii="宋体" w:hAnsi="宋体" w:eastAsia="宋体" w:cs="宋体"/>
                <w:sz w:val="24"/>
                <w:szCs w:val="24"/>
                <w:highlight w:val="none"/>
              </w:rPr>
            </w:pPr>
          </w:p>
        </w:tc>
      </w:tr>
      <w:tr w14:paraId="6D1E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6247EC33">
            <w:pPr>
              <w:jc w:val="center"/>
              <w:rPr>
                <w:rFonts w:hint="eastAsia" w:ascii="宋体" w:hAnsi="宋体" w:eastAsia="宋体" w:cs="宋体"/>
                <w:sz w:val="24"/>
                <w:szCs w:val="24"/>
                <w:highlight w:val="none"/>
              </w:rPr>
            </w:pPr>
          </w:p>
        </w:tc>
        <w:tc>
          <w:tcPr>
            <w:tcW w:w="1591" w:type="dxa"/>
            <w:vAlign w:val="center"/>
          </w:tcPr>
          <w:p w14:paraId="4526E16F">
            <w:pPr>
              <w:jc w:val="center"/>
              <w:rPr>
                <w:rFonts w:hint="eastAsia" w:ascii="宋体" w:hAnsi="宋体" w:eastAsia="宋体" w:cs="宋体"/>
                <w:sz w:val="24"/>
                <w:szCs w:val="24"/>
                <w:highlight w:val="none"/>
              </w:rPr>
            </w:pPr>
          </w:p>
        </w:tc>
        <w:tc>
          <w:tcPr>
            <w:tcW w:w="1240" w:type="dxa"/>
            <w:vAlign w:val="center"/>
          </w:tcPr>
          <w:p w14:paraId="27685C87">
            <w:pPr>
              <w:jc w:val="center"/>
              <w:rPr>
                <w:rFonts w:hint="eastAsia" w:ascii="宋体" w:hAnsi="宋体" w:eastAsia="宋体" w:cs="宋体"/>
                <w:sz w:val="24"/>
                <w:szCs w:val="24"/>
                <w:highlight w:val="none"/>
              </w:rPr>
            </w:pPr>
          </w:p>
        </w:tc>
        <w:tc>
          <w:tcPr>
            <w:tcW w:w="658" w:type="dxa"/>
            <w:gridSpan w:val="2"/>
            <w:vAlign w:val="center"/>
          </w:tcPr>
          <w:p w14:paraId="153ECA82">
            <w:pPr>
              <w:jc w:val="center"/>
              <w:rPr>
                <w:rFonts w:hint="eastAsia" w:ascii="宋体" w:hAnsi="宋体" w:eastAsia="宋体" w:cs="宋体"/>
                <w:sz w:val="24"/>
                <w:szCs w:val="24"/>
                <w:highlight w:val="none"/>
              </w:rPr>
            </w:pPr>
          </w:p>
        </w:tc>
        <w:tc>
          <w:tcPr>
            <w:tcW w:w="831" w:type="dxa"/>
            <w:vAlign w:val="center"/>
          </w:tcPr>
          <w:p w14:paraId="040F9F7E">
            <w:pPr>
              <w:jc w:val="center"/>
              <w:rPr>
                <w:rFonts w:hint="eastAsia" w:ascii="宋体" w:hAnsi="宋体" w:eastAsia="宋体" w:cs="宋体"/>
                <w:sz w:val="24"/>
                <w:szCs w:val="24"/>
                <w:highlight w:val="none"/>
              </w:rPr>
            </w:pPr>
          </w:p>
        </w:tc>
        <w:tc>
          <w:tcPr>
            <w:tcW w:w="1119" w:type="dxa"/>
            <w:vAlign w:val="center"/>
          </w:tcPr>
          <w:p w14:paraId="2EDB84BA">
            <w:pPr>
              <w:jc w:val="center"/>
              <w:rPr>
                <w:rFonts w:hint="eastAsia" w:ascii="宋体" w:hAnsi="宋体" w:eastAsia="宋体" w:cs="宋体"/>
                <w:sz w:val="24"/>
                <w:szCs w:val="24"/>
                <w:highlight w:val="none"/>
              </w:rPr>
            </w:pPr>
          </w:p>
        </w:tc>
        <w:tc>
          <w:tcPr>
            <w:tcW w:w="1073" w:type="dxa"/>
            <w:vAlign w:val="center"/>
          </w:tcPr>
          <w:p w14:paraId="17F0AD84">
            <w:pPr>
              <w:jc w:val="center"/>
              <w:rPr>
                <w:rFonts w:hint="eastAsia" w:ascii="宋体" w:hAnsi="宋体" w:eastAsia="宋体" w:cs="宋体"/>
                <w:sz w:val="24"/>
                <w:szCs w:val="24"/>
                <w:highlight w:val="none"/>
              </w:rPr>
            </w:pPr>
          </w:p>
        </w:tc>
        <w:tc>
          <w:tcPr>
            <w:tcW w:w="2008" w:type="dxa"/>
            <w:vAlign w:val="center"/>
          </w:tcPr>
          <w:p w14:paraId="3962BFD2">
            <w:pPr>
              <w:jc w:val="center"/>
              <w:rPr>
                <w:rFonts w:hint="eastAsia" w:ascii="宋体" w:hAnsi="宋体" w:eastAsia="宋体" w:cs="宋体"/>
                <w:sz w:val="24"/>
                <w:szCs w:val="24"/>
                <w:highlight w:val="none"/>
              </w:rPr>
            </w:pPr>
          </w:p>
        </w:tc>
      </w:tr>
      <w:tr w14:paraId="5282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0221E9D1">
            <w:pPr>
              <w:jc w:val="center"/>
              <w:rPr>
                <w:rFonts w:hint="eastAsia" w:ascii="宋体" w:hAnsi="宋体" w:eastAsia="宋体" w:cs="宋体"/>
                <w:sz w:val="24"/>
                <w:szCs w:val="24"/>
                <w:highlight w:val="none"/>
              </w:rPr>
            </w:pPr>
          </w:p>
        </w:tc>
        <w:tc>
          <w:tcPr>
            <w:tcW w:w="1591" w:type="dxa"/>
            <w:vAlign w:val="center"/>
          </w:tcPr>
          <w:p w14:paraId="512902E3">
            <w:pPr>
              <w:jc w:val="center"/>
              <w:rPr>
                <w:rFonts w:hint="eastAsia" w:ascii="宋体" w:hAnsi="宋体" w:eastAsia="宋体" w:cs="宋体"/>
                <w:sz w:val="24"/>
                <w:szCs w:val="24"/>
                <w:highlight w:val="none"/>
              </w:rPr>
            </w:pPr>
          </w:p>
        </w:tc>
        <w:tc>
          <w:tcPr>
            <w:tcW w:w="1240" w:type="dxa"/>
            <w:vAlign w:val="center"/>
          </w:tcPr>
          <w:p w14:paraId="4967233F">
            <w:pPr>
              <w:jc w:val="center"/>
              <w:rPr>
                <w:rFonts w:hint="eastAsia" w:ascii="宋体" w:hAnsi="宋体" w:eastAsia="宋体" w:cs="宋体"/>
                <w:sz w:val="24"/>
                <w:szCs w:val="24"/>
                <w:highlight w:val="none"/>
              </w:rPr>
            </w:pPr>
          </w:p>
        </w:tc>
        <w:tc>
          <w:tcPr>
            <w:tcW w:w="658" w:type="dxa"/>
            <w:gridSpan w:val="2"/>
            <w:vAlign w:val="center"/>
          </w:tcPr>
          <w:p w14:paraId="612F416D">
            <w:pPr>
              <w:jc w:val="center"/>
              <w:rPr>
                <w:rFonts w:hint="eastAsia" w:ascii="宋体" w:hAnsi="宋体" w:eastAsia="宋体" w:cs="宋体"/>
                <w:sz w:val="24"/>
                <w:szCs w:val="24"/>
                <w:highlight w:val="none"/>
              </w:rPr>
            </w:pPr>
          </w:p>
        </w:tc>
        <w:tc>
          <w:tcPr>
            <w:tcW w:w="831" w:type="dxa"/>
            <w:vAlign w:val="center"/>
          </w:tcPr>
          <w:p w14:paraId="0E983E9F">
            <w:pPr>
              <w:jc w:val="center"/>
              <w:rPr>
                <w:rFonts w:hint="eastAsia" w:ascii="宋体" w:hAnsi="宋体" w:eastAsia="宋体" w:cs="宋体"/>
                <w:sz w:val="24"/>
                <w:szCs w:val="24"/>
                <w:highlight w:val="none"/>
              </w:rPr>
            </w:pPr>
          </w:p>
        </w:tc>
        <w:tc>
          <w:tcPr>
            <w:tcW w:w="1119" w:type="dxa"/>
            <w:vAlign w:val="center"/>
          </w:tcPr>
          <w:p w14:paraId="4EE428F3">
            <w:pPr>
              <w:jc w:val="center"/>
              <w:rPr>
                <w:rFonts w:hint="eastAsia" w:ascii="宋体" w:hAnsi="宋体" w:eastAsia="宋体" w:cs="宋体"/>
                <w:sz w:val="24"/>
                <w:szCs w:val="24"/>
                <w:highlight w:val="none"/>
              </w:rPr>
            </w:pPr>
          </w:p>
        </w:tc>
        <w:tc>
          <w:tcPr>
            <w:tcW w:w="1073" w:type="dxa"/>
            <w:vAlign w:val="center"/>
          </w:tcPr>
          <w:p w14:paraId="5C665205">
            <w:pPr>
              <w:jc w:val="center"/>
              <w:rPr>
                <w:rFonts w:hint="eastAsia" w:ascii="宋体" w:hAnsi="宋体" w:eastAsia="宋体" w:cs="宋体"/>
                <w:sz w:val="24"/>
                <w:szCs w:val="24"/>
                <w:highlight w:val="none"/>
              </w:rPr>
            </w:pPr>
          </w:p>
        </w:tc>
        <w:tc>
          <w:tcPr>
            <w:tcW w:w="2008" w:type="dxa"/>
            <w:vAlign w:val="center"/>
          </w:tcPr>
          <w:p w14:paraId="4879D9C2">
            <w:pPr>
              <w:jc w:val="center"/>
              <w:rPr>
                <w:rFonts w:hint="eastAsia" w:ascii="宋体" w:hAnsi="宋体" w:eastAsia="宋体" w:cs="宋体"/>
                <w:sz w:val="24"/>
                <w:szCs w:val="24"/>
                <w:highlight w:val="none"/>
              </w:rPr>
            </w:pPr>
          </w:p>
        </w:tc>
      </w:tr>
      <w:tr w14:paraId="793F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vAlign w:val="center"/>
          </w:tcPr>
          <w:p w14:paraId="7F08B03F">
            <w:pPr>
              <w:jc w:val="center"/>
              <w:rPr>
                <w:rFonts w:hint="eastAsia" w:ascii="宋体" w:hAnsi="宋体" w:eastAsia="宋体" w:cs="宋体"/>
                <w:sz w:val="24"/>
                <w:szCs w:val="24"/>
                <w:highlight w:val="none"/>
              </w:rPr>
            </w:pPr>
          </w:p>
        </w:tc>
        <w:tc>
          <w:tcPr>
            <w:tcW w:w="1591" w:type="dxa"/>
            <w:vAlign w:val="center"/>
          </w:tcPr>
          <w:p w14:paraId="007D8E97">
            <w:pPr>
              <w:jc w:val="center"/>
              <w:rPr>
                <w:rFonts w:hint="eastAsia" w:ascii="宋体" w:hAnsi="宋体" w:eastAsia="宋体" w:cs="宋体"/>
                <w:sz w:val="24"/>
                <w:szCs w:val="24"/>
                <w:highlight w:val="none"/>
              </w:rPr>
            </w:pPr>
          </w:p>
        </w:tc>
        <w:tc>
          <w:tcPr>
            <w:tcW w:w="1240" w:type="dxa"/>
            <w:vAlign w:val="center"/>
          </w:tcPr>
          <w:p w14:paraId="1BAD1B85">
            <w:pPr>
              <w:jc w:val="center"/>
              <w:rPr>
                <w:rFonts w:hint="eastAsia" w:ascii="宋体" w:hAnsi="宋体" w:eastAsia="宋体" w:cs="宋体"/>
                <w:sz w:val="24"/>
                <w:szCs w:val="24"/>
                <w:highlight w:val="none"/>
              </w:rPr>
            </w:pPr>
          </w:p>
        </w:tc>
        <w:tc>
          <w:tcPr>
            <w:tcW w:w="658" w:type="dxa"/>
            <w:gridSpan w:val="2"/>
            <w:vAlign w:val="center"/>
          </w:tcPr>
          <w:p w14:paraId="1A685CDB">
            <w:pPr>
              <w:jc w:val="center"/>
              <w:rPr>
                <w:rFonts w:hint="eastAsia" w:ascii="宋体" w:hAnsi="宋体" w:eastAsia="宋体" w:cs="宋体"/>
                <w:sz w:val="24"/>
                <w:szCs w:val="24"/>
                <w:highlight w:val="none"/>
              </w:rPr>
            </w:pPr>
          </w:p>
        </w:tc>
        <w:tc>
          <w:tcPr>
            <w:tcW w:w="831" w:type="dxa"/>
            <w:vAlign w:val="center"/>
          </w:tcPr>
          <w:p w14:paraId="69988A20">
            <w:pPr>
              <w:jc w:val="center"/>
              <w:rPr>
                <w:rFonts w:hint="eastAsia" w:ascii="宋体" w:hAnsi="宋体" w:eastAsia="宋体" w:cs="宋体"/>
                <w:sz w:val="24"/>
                <w:szCs w:val="24"/>
                <w:highlight w:val="none"/>
              </w:rPr>
            </w:pPr>
          </w:p>
        </w:tc>
        <w:tc>
          <w:tcPr>
            <w:tcW w:w="1119" w:type="dxa"/>
            <w:vAlign w:val="center"/>
          </w:tcPr>
          <w:p w14:paraId="1D424A0B">
            <w:pPr>
              <w:jc w:val="center"/>
              <w:rPr>
                <w:rFonts w:hint="eastAsia" w:ascii="宋体" w:hAnsi="宋体" w:eastAsia="宋体" w:cs="宋体"/>
                <w:sz w:val="24"/>
                <w:szCs w:val="24"/>
                <w:highlight w:val="none"/>
              </w:rPr>
            </w:pPr>
          </w:p>
        </w:tc>
        <w:tc>
          <w:tcPr>
            <w:tcW w:w="1073" w:type="dxa"/>
            <w:vAlign w:val="center"/>
          </w:tcPr>
          <w:p w14:paraId="5221BE07">
            <w:pPr>
              <w:jc w:val="center"/>
              <w:rPr>
                <w:rFonts w:hint="eastAsia" w:ascii="宋体" w:hAnsi="宋体" w:eastAsia="宋体" w:cs="宋体"/>
                <w:sz w:val="24"/>
                <w:szCs w:val="24"/>
                <w:highlight w:val="none"/>
              </w:rPr>
            </w:pPr>
          </w:p>
        </w:tc>
        <w:tc>
          <w:tcPr>
            <w:tcW w:w="2008" w:type="dxa"/>
            <w:vAlign w:val="center"/>
          </w:tcPr>
          <w:p w14:paraId="31F9FE86">
            <w:pPr>
              <w:jc w:val="center"/>
              <w:rPr>
                <w:rFonts w:hint="eastAsia" w:ascii="宋体" w:hAnsi="宋体" w:eastAsia="宋体" w:cs="宋体"/>
                <w:sz w:val="24"/>
                <w:szCs w:val="24"/>
                <w:highlight w:val="none"/>
              </w:rPr>
            </w:pPr>
          </w:p>
        </w:tc>
      </w:tr>
      <w:tr w14:paraId="10E2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7" w:type="dxa"/>
            <w:gridSpan w:val="9"/>
            <w:vAlign w:val="center"/>
          </w:tcPr>
          <w:p w14:paraId="30CD9C85">
            <w:pPr>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合计人民币（小写）：</w:t>
            </w:r>
          </w:p>
        </w:tc>
      </w:tr>
      <w:tr w14:paraId="025C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737" w:type="dxa"/>
            <w:gridSpan w:val="9"/>
            <w:vAlign w:val="center"/>
          </w:tcPr>
          <w:p w14:paraId="1FF9F393">
            <w:pPr>
              <w:rPr>
                <w:rFonts w:hint="eastAsia" w:ascii="宋体" w:hAnsi="宋体" w:eastAsia="宋体" w:cs="宋体"/>
                <w:sz w:val="24"/>
                <w:szCs w:val="24"/>
                <w:highlight w:val="none"/>
              </w:rPr>
            </w:pPr>
            <w:r>
              <w:rPr>
                <w:rFonts w:hint="eastAsia" w:ascii="宋体" w:hAnsi="宋体" w:eastAsia="宋体" w:cs="宋体"/>
                <w:sz w:val="24"/>
                <w:szCs w:val="24"/>
                <w:highlight w:val="none"/>
              </w:rPr>
              <w:t>合计人民币（大写）：</w:t>
            </w:r>
          </w:p>
        </w:tc>
      </w:tr>
      <w:tr w14:paraId="08CA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2" w:hRule="atLeast"/>
        </w:trPr>
        <w:tc>
          <w:tcPr>
            <w:tcW w:w="9737" w:type="dxa"/>
            <w:gridSpan w:val="9"/>
            <w:vAlign w:val="top"/>
          </w:tcPr>
          <w:p w14:paraId="5C0FF372">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一、质量要求和技术标准。供方提供的商品必须是全新的，完全符合国家有关技术标准，供方的质量保证及售后服务承诺如下：</w:t>
            </w:r>
          </w:p>
          <w:p w14:paraId="16A7F36D">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1.质保期限：</w:t>
            </w:r>
          </w:p>
          <w:p w14:paraId="23E195DE">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2.保修范围：</w:t>
            </w:r>
          </w:p>
          <w:p w14:paraId="6EAA11FA">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3.服务措施：</w:t>
            </w:r>
          </w:p>
          <w:p w14:paraId="205511D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4.质保期后服务：</w:t>
            </w:r>
          </w:p>
        </w:tc>
      </w:tr>
      <w:tr w14:paraId="3FD6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9737" w:type="dxa"/>
            <w:gridSpan w:val="9"/>
            <w:vAlign w:val="top"/>
          </w:tcPr>
          <w:p w14:paraId="4F7AA66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二、随机备品、附件、工具数量及供应方法：</w:t>
            </w:r>
          </w:p>
        </w:tc>
      </w:tr>
      <w:tr w14:paraId="14C5F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737" w:type="dxa"/>
            <w:gridSpan w:val="9"/>
            <w:vAlign w:val="top"/>
          </w:tcPr>
          <w:p w14:paraId="3E212C47">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三、交提货方式：</w:t>
            </w:r>
          </w:p>
        </w:tc>
      </w:tr>
      <w:tr w14:paraId="215D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9737" w:type="dxa"/>
            <w:gridSpan w:val="9"/>
            <w:vAlign w:val="top"/>
          </w:tcPr>
          <w:p w14:paraId="7289A5C7">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四、验收标准、方法：</w:t>
            </w:r>
          </w:p>
          <w:p w14:paraId="28EC9D59">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如有异议，请于      日内提出。</w:t>
            </w:r>
          </w:p>
        </w:tc>
      </w:tr>
      <w:tr w14:paraId="248D0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737" w:type="dxa"/>
            <w:gridSpan w:val="9"/>
            <w:vAlign w:val="top"/>
          </w:tcPr>
          <w:p w14:paraId="5D5ECD4F">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五、履约验收</w:t>
            </w:r>
          </w:p>
        </w:tc>
      </w:tr>
      <w:tr w14:paraId="096D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737" w:type="dxa"/>
            <w:gridSpan w:val="9"/>
            <w:vAlign w:val="top"/>
          </w:tcPr>
          <w:p w14:paraId="652E4721">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六、付款方式：</w:t>
            </w:r>
          </w:p>
          <w:p w14:paraId="79E05E7B">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（按财政支付、采购人支付及支付方式等分别填列）</w:t>
            </w:r>
          </w:p>
        </w:tc>
      </w:tr>
      <w:tr w14:paraId="3DD0A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9737" w:type="dxa"/>
            <w:gridSpan w:val="9"/>
            <w:vAlign w:val="top"/>
          </w:tcPr>
          <w:p w14:paraId="5980C046">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七</w:t>
            </w:r>
            <w:r>
              <w:rPr>
                <w:rFonts w:hint="eastAsia" w:ascii="宋体" w:hAnsi="宋体" w:eastAsia="宋体" w:cs="宋体"/>
                <w:sz w:val="24"/>
                <w:szCs w:val="24"/>
                <w:highlight w:val="none"/>
              </w:rPr>
              <w:t>、违约责任：</w:t>
            </w:r>
          </w:p>
          <w:p w14:paraId="421DDA4A">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按《中华人民共和国民法典》、《中华人民共和国政府采购法》执行，或按双方约定。</w:t>
            </w:r>
          </w:p>
        </w:tc>
      </w:tr>
      <w:tr w14:paraId="27ED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737" w:type="dxa"/>
            <w:gridSpan w:val="9"/>
            <w:vAlign w:val="top"/>
          </w:tcPr>
          <w:p w14:paraId="11099FAD">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、其他约定事项：</w:t>
            </w:r>
          </w:p>
          <w:p w14:paraId="4A0C9EE7">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竞采文件</w:t>
            </w:r>
            <w:r>
              <w:rPr>
                <w:rFonts w:hint="eastAsia" w:ascii="宋体" w:hAnsi="宋体" w:eastAsia="宋体" w:cs="宋体"/>
                <w:sz w:val="24"/>
                <w:szCs w:val="24"/>
                <w:highlight w:val="none"/>
              </w:rPr>
              <w:t>及其澄清文件、电子响应文件和承诺是本合同不可分割的部分。</w:t>
            </w:r>
          </w:p>
          <w:p w14:paraId="02DA392B">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本合同如发生争议由双方协商解决，协商不成向需方所在仲裁机构提请仲裁。</w:t>
            </w:r>
          </w:p>
          <w:p w14:paraId="5BA2ECEB">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本合同一式叁份， 需方__份，供方__份，采购代理机构壹份，具同等法律效力。</w:t>
            </w:r>
          </w:p>
          <w:p w14:paraId="61099E8D">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其他：</w:t>
            </w:r>
          </w:p>
        </w:tc>
      </w:tr>
      <w:tr w14:paraId="0B1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4219" w:type="dxa"/>
            <w:gridSpan w:val="4"/>
            <w:vAlign w:val="top"/>
          </w:tcPr>
          <w:p w14:paraId="36DACBB5">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需方：</w:t>
            </w:r>
          </w:p>
          <w:p w14:paraId="3352B81B">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1B62E50E">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联系电话：</w:t>
            </w:r>
          </w:p>
          <w:p w14:paraId="653326F7">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tc>
        <w:tc>
          <w:tcPr>
            <w:tcW w:w="5518" w:type="dxa"/>
            <w:gridSpan w:val="5"/>
            <w:vAlign w:val="top"/>
          </w:tcPr>
          <w:p w14:paraId="4EE565B2">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供方：</w:t>
            </w:r>
          </w:p>
          <w:p w14:paraId="04DE9F6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14:paraId="5642A76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14:paraId="133A983B">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14:paraId="318C31B3">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开户银行：</w:t>
            </w:r>
          </w:p>
          <w:p w14:paraId="5F4EF582">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账号：</w:t>
            </w:r>
          </w:p>
          <w:p w14:paraId="3EE71664">
            <w:pPr>
              <w:tabs>
                <w:tab w:val="left" w:pos="360"/>
              </w:tabs>
              <w:rPr>
                <w:rFonts w:hint="eastAsia" w:ascii="宋体" w:hAnsi="宋体" w:eastAsia="宋体" w:cs="宋体"/>
                <w:sz w:val="24"/>
                <w:szCs w:val="24"/>
                <w:highlight w:val="none"/>
              </w:rPr>
            </w:pPr>
            <w:r>
              <w:rPr>
                <w:rFonts w:hint="eastAsia" w:ascii="宋体" w:hAnsi="宋体" w:eastAsia="宋体" w:cs="宋体"/>
                <w:sz w:val="24"/>
                <w:szCs w:val="24"/>
                <w:highlight w:val="none"/>
              </w:rPr>
              <w:t>授权代表：</w:t>
            </w:r>
          </w:p>
          <w:p w14:paraId="42591A15">
            <w:pPr>
              <w:tabs>
                <w:tab w:val="left" w:pos="360"/>
              </w:tabs>
              <w:rPr>
                <w:rFonts w:hint="eastAsia" w:ascii="宋体" w:hAnsi="宋体" w:eastAsia="宋体" w:cs="宋体"/>
                <w:sz w:val="24"/>
                <w:szCs w:val="24"/>
                <w:highlight w:val="none"/>
              </w:rPr>
            </w:pPr>
          </w:p>
          <w:p w14:paraId="731D6BBA">
            <w:pPr>
              <w:tabs>
                <w:tab w:val="left" w:pos="360"/>
              </w:tabs>
              <w:rPr>
                <w:rFonts w:hint="eastAsia" w:ascii="宋体" w:hAnsi="宋体" w:eastAsia="宋体" w:cs="宋体"/>
                <w:sz w:val="24"/>
                <w:szCs w:val="24"/>
                <w:highlight w:val="none"/>
              </w:rPr>
            </w:pPr>
          </w:p>
          <w:p w14:paraId="3D468FAA">
            <w:pPr>
              <w:rPr>
                <w:rFonts w:hint="eastAsia" w:ascii="宋体" w:hAnsi="宋体" w:eastAsia="宋体" w:cs="宋体"/>
                <w:sz w:val="24"/>
                <w:szCs w:val="24"/>
                <w:highlight w:val="none"/>
              </w:rPr>
            </w:pPr>
            <w:r>
              <w:rPr>
                <w:rFonts w:hint="eastAsia" w:ascii="宋体" w:hAnsi="宋体" w:eastAsia="宋体" w:cs="宋体"/>
                <w:sz w:val="24"/>
                <w:szCs w:val="24"/>
                <w:highlight w:val="none"/>
              </w:rPr>
              <w:t>（本栏请用计算机打印以便于准确付款）</w:t>
            </w:r>
          </w:p>
          <w:p w14:paraId="40BC719D">
            <w:pPr>
              <w:tabs>
                <w:tab w:val="left" w:pos="360"/>
              </w:tabs>
              <w:rPr>
                <w:rFonts w:hint="eastAsia" w:ascii="宋体" w:hAnsi="宋体" w:eastAsia="宋体" w:cs="宋体"/>
                <w:sz w:val="24"/>
                <w:szCs w:val="24"/>
                <w:highlight w:val="none"/>
              </w:rPr>
            </w:pPr>
          </w:p>
        </w:tc>
      </w:tr>
      <w:tr w14:paraId="0BA6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9737" w:type="dxa"/>
            <w:gridSpan w:val="9"/>
            <w:vAlign w:val="top"/>
          </w:tcPr>
          <w:p w14:paraId="514A1B93">
            <w:pP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r>
    </w:tbl>
    <w:p w14:paraId="5591A58D">
      <w:pPr>
        <w:pStyle w:val="275"/>
        <w:rPr>
          <w:rFonts w:hint="eastAsia" w:ascii="宋体" w:hAnsi="宋体" w:eastAsia="宋体" w:cs="宋体"/>
          <w:sz w:val="24"/>
          <w:szCs w:val="24"/>
          <w:highlight w:val="none"/>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szCs w:val="24"/>
          <w:highlight w:val="none"/>
        </w:rPr>
        <w:t>签约时间：</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年   月   日</w:t>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ab/>
      </w:r>
      <w:r>
        <w:rPr>
          <w:rFonts w:hint="eastAsia" w:ascii="宋体" w:hAnsi="宋体" w:eastAsia="宋体" w:cs="宋体"/>
          <w:sz w:val="24"/>
          <w:szCs w:val="24"/>
          <w:highlight w:val="none"/>
        </w:rPr>
        <w:t>签约地点：</w:t>
      </w:r>
    </w:p>
    <w:p w14:paraId="7C211EDC">
      <w:pPr>
        <w:jc w:val="center"/>
        <w:rPr>
          <w:rFonts w:hint="eastAsia" w:ascii="宋体" w:hAnsi="宋体" w:eastAsia="宋体" w:cs="宋体"/>
          <w:bCs/>
          <w:color w:val="auto"/>
          <w:sz w:val="36"/>
          <w:szCs w:val="30"/>
          <w:highlight w:val="none"/>
        </w:rPr>
      </w:pPr>
      <w:r>
        <w:rPr>
          <w:rFonts w:hint="eastAsia" w:ascii="宋体" w:hAnsi="宋体" w:eastAsia="宋体" w:cs="宋体"/>
          <w:b/>
          <w:bCs/>
          <w:color w:val="auto"/>
          <w:sz w:val="36"/>
          <w:szCs w:val="30"/>
          <w:highlight w:val="none"/>
        </w:rPr>
        <w:t>第七篇响应文件编制要求</w:t>
      </w:r>
    </w:p>
    <w:p w14:paraId="450AF70A">
      <w:pPr>
        <w:spacing w:line="440" w:lineRule="exact"/>
        <w:ind w:firstLine="480" w:firstLineChars="200"/>
        <w:rPr>
          <w:rFonts w:hint="eastAsia" w:ascii="宋体" w:hAnsi="宋体" w:eastAsia="宋体" w:cs="宋体"/>
          <w:color w:val="auto"/>
          <w:sz w:val="24"/>
          <w:szCs w:val="24"/>
          <w:highlight w:val="none"/>
        </w:rPr>
      </w:pPr>
      <w:bookmarkStart w:id="233" w:name="_Toc313888360"/>
      <w:bookmarkStart w:id="234" w:name="_Toc283382454"/>
      <w:bookmarkStart w:id="235" w:name="_Toc12789073"/>
      <w:bookmarkStart w:id="236" w:name="_Toc342913419"/>
      <w:bookmarkStart w:id="237" w:name="_Toc313008356"/>
      <w:r>
        <w:rPr>
          <w:rFonts w:hint="eastAsia" w:ascii="宋体" w:hAnsi="宋体" w:eastAsia="宋体" w:cs="宋体"/>
          <w:color w:val="auto"/>
          <w:sz w:val="24"/>
          <w:szCs w:val="24"/>
          <w:highlight w:val="none"/>
        </w:rPr>
        <w:t>一、经济部分</w:t>
      </w:r>
    </w:p>
    <w:p w14:paraId="69C784A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（一）网上竞采报价函</w:t>
      </w:r>
    </w:p>
    <w:p w14:paraId="2E042CDF">
      <w:pPr>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二）单价报价明细表</w:t>
      </w:r>
    </w:p>
    <w:p w14:paraId="0203DFCE">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p>
    <w:p w14:paraId="0FF350C6">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7E8644EB">
      <w:pPr>
        <w:pStyle w:val="2"/>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7F00EC54">
      <w:pPr>
        <w:spacing w:line="44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60712791">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三、商务部分</w:t>
      </w:r>
    </w:p>
    <w:p w14:paraId="46CBD30F">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（一）商务响应偏离表</w:t>
      </w:r>
    </w:p>
    <w:p w14:paraId="1F68DD0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2CEB1C6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四、资格条件及其他</w:t>
      </w:r>
    </w:p>
    <w:p w14:paraId="2DF8C3A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（一）营业执照（副本）或事业单位法人证书（副本）复印件</w:t>
      </w:r>
    </w:p>
    <w:p w14:paraId="2A7A4663">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（二）法定代表人身份证明书（格式）</w:t>
      </w:r>
    </w:p>
    <w:p w14:paraId="109A55E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（三）法定代表人授权委托书（格式）</w:t>
      </w:r>
    </w:p>
    <w:p w14:paraId="141C616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（四）基本资格条件承诺函</w:t>
      </w:r>
    </w:p>
    <w:p w14:paraId="60FA3AF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（五）特定资格条件证明文件（如有）</w:t>
      </w:r>
    </w:p>
    <w:p w14:paraId="6AACF0AB">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p>
    <w:p w14:paraId="4C4C01AB">
      <w:pPr>
        <w:snapToGrid w:val="0"/>
        <w:spacing w:line="400" w:lineRule="exact"/>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p>
    <w:p w14:paraId="79246462">
      <w:pPr>
        <w:spacing w:line="440" w:lineRule="exact"/>
        <w:ind w:firstLine="480" w:firstLineChars="200"/>
        <w:rPr>
          <w:rFonts w:hint="eastAsia" w:ascii="宋体" w:hAnsi="宋体" w:eastAsia="宋体" w:cs="宋体"/>
          <w:color w:val="auto"/>
          <w:sz w:val="24"/>
          <w:szCs w:val="24"/>
          <w:highlight w:val="none"/>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bookmarkEnd w:id="233"/>
    <w:bookmarkEnd w:id="234"/>
    <w:bookmarkEnd w:id="235"/>
    <w:bookmarkEnd w:id="236"/>
    <w:bookmarkEnd w:id="237"/>
    <w:p w14:paraId="3B49DEDB">
      <w:pPr>
        <w:pStyle w:val="5"/>
        <w:spacing w:before="0" w:after="0" w:line="360" w:lineRule="auto"/>
        <w:rPr>
          <w:rFonts w:hint="eastAsia" w:ascii="宋体" w:hAnsi="宋体" w:eastAsia="宋体" w:cs="宋体"/>
          <w:color w:val="auto"/>
          <w:sz w:val="24"/>
          <w:szCs w:val="24"/>
          <w:highlight w:val="none"/>
        </w:rPr>
      </w:pPr>
      <w:bookmarkStart w:id="238" w:name="_Toc21017"/>
      <w:bookmarkStart w:id="239" w:name="_Toc23161"/>
      <w:bookmarkStart w:id="240" w:name="_Toc103679699"/>
      <w:r>
        <w:rPr>
          <w:rFonts w:hint="eastAsia" w:ascii="宋体" w:hAnsi="宋体" w:eastAsia="宋体" w:cs="宋体"/>
          <w:color w:val="auto"/>
          <w:sz w:val="24"/>
          <w:szCs w:val="24"/>
          <w:highlight w:val="none"/>
        </w:rPr>
        <w:t>一、经济部分</w:t>
      </w:r>
      <w:bookmarkEnd w:id="238"/>
      <w:bookmarkEnd w:id="239"/>
      <w:bookmarkEnd w:id="240"/>
    </w:p>
    <w:p w14:paraId="075FB59A">
      <w:pPr>
        <w:tabs>
          <w:tab w:val="left" w:pos="6300"/>
        </w:tabs>
        <w:snapToGrid w:val="0"/>
        <w:spacing w:line="312" w:lineRule="auto"/>
        <w:jc w:val="left"/>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（一）网上竞采报价函</w:t>
      </w:r>
    </w:p>
    <w:p w14:paraId="7EE05639">
      <w:pPr>
        <w:tabs>
          <w:tab w:val="left" w:pos="6300"/>
        </w:tabs>
        <w:snapToGrid w:val="0"/>
        <w:spacing w:line="312" w:lineRule="auto"/>
        <w:jc w:val="center"/>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网上竞采报价函</w:t>
      </w:r>
    </w:p>
    <w:p w14:paraId="1382E3F2">
      <w:pPr>
        <w:tabs>
          <w:tab w:val="left" w:pos="6300"/>
        </w:tabs>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sz w:val="24"/>
          <w:szCs w:val="24"/>
          <w:highlight w:val="none"/>
          <w:u w:val="single"/>
        </w:rPr>
        <w:t>采购人名称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6790C7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我方收到____________________________（项目名称）的网上竞采文件，经详细研究，决定参加该项目的网上竞采。</w:t>
      </w:r>
    </w:p>
    <w:p w14:paraId="63CD9F4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sz w:val="24"/>
          <w:szCs w:val="24"/>
          <w:highlight w:val="none"/>
        </w:rPr>
        <w:t>愿意按照</w:t>
      </w:r>
      <w:r>
        <w:rPr>
          <w:rFonts w:hint="eastAsia" w:ascii="宋体" w:hAnsi="宋体" w:cs="宋体"/>
          <w:sz w:val="24"/>
          <w:szCs w:val="24"/>
          <w:highlight w:val="none"/>
          <w:lang w:val="en-US" w:eastAsia="zh-CN"/>
        </w:rPr>
        <w:t>竞采</w:t>
      </w:r>
      <w:r>
        <w:rPr>
          <w:rFonts w:hint="eastAsia" w:ascii="宋体" w:hAnsi="宋体" w:cs="宋体"/>
          <w:sz w:val="24"/>
          <w:szCs w:val="24"/>
          <w:highlight w:val="none"/>
        </w:rPr>
        <w:t>文件中的一切要求，提供本项目的技术服务，</w:t>
      </w:r>
      <w:r>
        <w:rPr>
          <w:rFonts w:hint="eastAsia" w:ascii="宋体" w:hAnsi="宋体" w:cs="宋体"/>
          <w:sz w:val="24"/>
          <w:szCs w:val="24"/>
          <w:highlight w:val="none"/>
          <w:lang w:val="en-US" w:eastAsia="zh-CN"/>
        </w:rPr>
        <w:t>暂定</w:t>
      </w:r>
      <w:r>
        <w:rPr>
          <w:rFonts w:hint="eastAsia" w:ascii="宋体" w:hAnsi="宋体" w:cs="宋体"/>
          <w:sz w:val="24"/>
          <w:szCs w:val="24"/>
          <w:highlight w:val="none"/>
          <w:lang w:eastAsia="zh-CN"/>
        </w:rPr>
        <w:t>投标</w:t>
      </w:r>
      <w:r>
        <w:rPr>
          <w:rFonts w:hint="eastAsia" w:ascii="宋体" w:hAnsi="宋体" w:cs="宋体"/>
          <w:sz w:val="24"/>
          <w:szCs w:val="24"/>
          <w:highlight w:val="none"/>
        </w:rPr>
        <w:t>报价为人民币大写：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；人民币小写：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p w14:paraId="6D652C84">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14:paraId="645543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3.我方承诺：本次网上竞采的有效期为90天。</w:t>
      </w:r>
    </w:p>
    <w:p w14:paraId="4190C15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4.我方完全理解和接受贵方网上竞采文件的一切规定和要求及评审办法。</w:t>
      </w:r>
    </w:p>
    <w:p w14:paraId="56DF9CE0">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5.在整个网上竞采过程中，我方若有违规行为，接受按照《中华人民共和国政府采购法》和《网上竞采文件》之规定给予惩罚。</w:t>
      </w:r>
    </w:p>
    <w:p w14:paraId="4ECA1F21">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6.我方若成为成交供应商，将按照最终网上竞采结果签订合同，并且严格履行合同义务。本承诺函将成为合同不可分割的一部分，与合同具有同等的法律效力。</w:t>
      </w:r>
    </w:p>
    <w:p w14:paraId="636EDBF7">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7.我方同意按网上竞采文件规定。如果我方成为成交供应商，保证在接到成交通知书前，向采购代理机构缴纳网上竞采文件规定的采购代理服务费。</w:t>
      </w:r>
    </w:p>
    <w:p w14:paraId="03EF2ED6">
      <w:pPr>
        <w:tabs>
          <w:tab w:val="left" w:pos="6300"/>
        </w:tabs>
        <w:snapToGrid w:val="0"/>
        <w:spacing w:line="312"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8"/>
          <w:highlight w:val="none"/>
        </w:rPr>
        <w:t>我方未</w:t>
      </w:r>
      <w:r>
        <w:rPr>
          <w:rFonts w:hint="eastAsia" w:ascii="宋体" w:hAnsi="宋体" w:eastAsia="宋体" w:cs="宋体"/>
          <w:color w:val="auto"/>
          <w:sz w:val="24"/>
          <w:szCs w:val="24"/>
          <w:highlight w:val="none"/>
        </w:rPr>
        <w:t>为采购项目提供整体设计、规范编制或者项目管理、监理、检测等服务。</w:t>
      </w:r>
    </w:p>
    <w:p w14:paraId="3394ACCA">
      <w:pPr>
        <w:tabs>
          <w:tab w:val="left" w:pos="6300"/>
        </w:tabs>
        <w:snapToGrid w:val="0"/>
        <w:spacing w:line="312" w:lineRule="auto"/>
        <w:ind w:firstLine="570"/>
        <w:rPr>
          <w:rFonts w:hint="eastAsia" w:ascii="宋体" w:hAnsi="宋体" w:eastAsia="宋体" w:cs="宋体"/>
          <w:color w:val="auto"/>
          <w:sz w:val="24"/>
          <w:szCs w:val="24"/>
          <w:highlight w:val="none"/>
        </w:rPr>
      </w:pPr>
    </w:p>
    <w:p w14:paraId="092DB1F8">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14:paraId="70E955DB">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2B68CD8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               传真：</w:t>
      </w:r>
    </w:p>
    <w:p w14:paraId="52DB7459">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               邮编：</w:t>
      </w:r>
    </w:p>
    <w:p w14:paraId="241DC591">
      <w:pPr>
        <w:tabs>
          <w:tab w:val="left" w:pos="6300"/>
        </w:tabs>
        <w:snapToGrid w:val="0"/>
        <w:spacing w:line="312"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73CD66BE">
      <w:pPr>
        <w:snapToGrid w:val="0"/>
        <w:spacing w:line="312" w:lineRule="auto"/>
        <w:ind w:firstLine="480" w:firstLineChars="2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FC81634">
      <w:pPr>
        <w:pStyle w:val="126"/>
        <w:rPr>
          <w:rFonts w:hint="eastAsia" w:ascii="宋体" w:hAnsi="宋体" w:eastAsia="宋体" w:cs="宋体"/>
          <w:color w:val="auto"/>
          <w:highlight w:val="none"/>
        </w:rPr>
      </w:pPr>
    </w:p>
    <w:p w14:paraId="3E2904F2">
      <w:pPr>
        <w:pStyle w:val="126"/>
        <w:rPr>
          <w:rFonts w:hint="eastAsia" w:ascii="宋体" w:hAnsi="宋体" w:eastAsia="宋体" w:cs="宋体"/>
          <w:color w:val="auto"/>
          <w:highlight w:val="none"/>
        </w:rPr>
      </w:pPr>
    </w:p>
    <w:p w14:paraId="0FC9368E">
      <w:pPr>
        <w:pStyle w:val="126"/>
        <w:rPr>
          <w:rFonts w:hint="eastAsia" w:ascii="宋体" w:hAnsi="宋体" w:eastAsia="宋体" w:cs="宋体"/>
          <w:color w:val="auto"/>
          <w:highlight w:val="none"/>
        </w:rPr>
      </w:pPr>
    </w:p>
    <w:p w14:paraId="36BC55EF">
      <w:pPr>
        <w:pStyle w:val="126"/>
        <w:rPr>
          <w:rFonts w:hint="eastAsia" w:ascii="宋体" w:hAnsi="宋体" w:eastAsia="宋体" w:cs="宋体"/>
          <w:color w:val="auto"/>
          <w:highlight w:val="none"/>
        </w:rPr>
      </w:pPr>
    </w:p>
    <w:p w14:paraId="307F16CF">
      <w:pPr>
        <w:pStyle w:val="126"/>
        <w:rPr>
          <w:rFonts w:hint="eastAsia" w:ascii="宋体" w:hAnsi="宋体" w:eastAsia="宋体" w:cs="宋体"/>
          <w:color w:val="auto"/>
          <w:highlight w:val="none"/>
        </w:rPr>
      </w:pPr>
    </w:p>
    <w:p w14:paraId="1DE6701D">
      <w:pPr>
        <w:pStyle w:val="126"/>
        <w:rPr>
          <w:rFonts w:hint="eastAsia" w:ascii="宋体" w:hAnsi="宋体" w:eastAsia="宋体" w:cs="宋体"/>
          <w:color w:val="auto"/>
          <w:highlight w:val="none"/>
        </w:rPr>
      </w:pPr>
    </w:p>
    <w:p w14:paraId="4E7667C9">
      <w:pPr>
        <w:pStyle w:val="126"/>
        <w:rPr>
          <w:rFonts w:hint="eastAsia" w:ascii="宋体" w:hAnsi="宋体" w:eastAsia="宋体" w:cs="宋体"/>
          <w:color w:val="auto"/>
          <w:highlight w:val="none"/>
        </w:rPr>
      </w:pPr>
    </w:p>
    <w:p w14:paraId="44711B84">
      <w:pPr>
        <w:pStyle w:val="126"/>
        <w:rPr>
          <w:rFonts w:hint="eastAsia" w:ascii="宋体" w:hAnsi="宋体" w:eastAsia="宋体" w:cs="宋体"/>
          <w:color w:val="auto"/>
          <w:highlight w:val="none"/>
        </w:rPr>
      </w:pPr>
    </w:p>
    <w:p w14:paraId="40CE77A9">
      <w:pPr>
        <w:pStyle w:val="126"/>
        <w:rPr>
          <w:rFonts w:hint="eastAsia" w:ascii="宋体" w:hAnsi="宋体" w:eastAsia="宋体" w:cs="宋体"/>
          <w:color w:val="auto"/>
          <w:highlight w:val="none"/>
        </w:rPr>
      </w:pPr>
    </w:p>
    <w:p w14:paraId="0E28F9DC">
      <w:pPr>
        <w:pStyle w:val="126"/>
        <w:rPr>
          <w:rFonts w:hint="eastAsia" w:ascii="宋体" w:hAnsi="宋体" w:eastAsia="宋体" w:cs="宋体"/>
          <w:color w:val="auto"/>
          <w:highlight w:val="none"/>
        </w:rPr>
      </w:pPr>
    </w:p>
    <w:p w14:paraId="6130AE36">
      <w:pPr>
        <w:pStyle w:val="126"/>
        <w:rPr>
          <w:rFonts w:hint="eastAsia" w:ascii="宋体" w:hAnsi="宋体" w:eastAsia="宋体" w:cs="宋体"/>
          <w:color w:val="auto"/>
          <w:highlight w:val="none"/>
        </w:rPr>
      </w:pPr>
    </w:p>
    <w:p w14:paraId="05082C0E">
      <w:pPr>
        <w:pStyle w:val="126"/>
        <w:rPr>
          <w:rFonts w:hint="eastAsia" w:ascii="宋体" w:hAnsi="宋体" w:eastAsia="宋体" w:cs="宋体"/>
          <w:color w:val="auto"/>
          <w:highlight w:val="none"/>
        </w:rPr>
      </w:pPr>
    </w:p>
    <w:p w14:paraId="0E459644">
      <w:pPr>
        <w:pStyle w:val="126"/>
        <w:rPr>
          <w:rFonts w:hint="eastAsia" w:ascii="宋体" w:hAnsi="宋体" w:eastAsia="宋体" w:cs="宋体"/>
          <w:color w:val="auto"/>
          <w:highlight w:val="none"/>
        </w:rPr>
      </w:pPr>
    </w:p>
    <w:p w14:paraId="150C1637">
      <w:pPr>
        <w:pStyle w:val="126"/>
        <w:rPr>
          <w:rFonts w:hint="eastAsia" w:ascii="宋体" w:hAnsi="宋体" w:eastAsia="宋体" w:cs="宋体"/>
          <w:color w:val="auto"/>
          <w:highlight w:val="none"/>
        </w:rPr>
      </w:pPr>
    </w:p>
    <w:p w14:paraId="7425DFE2">
      <w:pPr>
        <w:pStyle w:val="126"/>
        <w:rPr>
          <w:rFonts w:hint="eastAsia" w:ascii="宋体" w:hAnsi="宋体" w:eastAsia="宋体" w:cs="宋体"/>
          <w:color w:val="auto"/>
          <w:highlight w:val="none"/>
        </w:rPr>
      </w:pPr>
    </w:p>
    <w:p w14:paraId="19BF7785">
      <w:pPr>
        <w:pStyle w:val="126"/>
        <w:rPr>
          <w:rFonts w:hint="eastAsia" w:ascii="宋体" w:hAnsi="宋体" w:eastAsia="宋体" w:cs="宋体"/>
          <w:color w:val="auto"/>
          <w:highlight w:val="none"/>
        </w:rPr>
      </w:pPr>
    </w:p>
    <w:p w14:paraId="3F73545D">
      <w:pPr>
        <w:pStyle w:val="5"/>
        <w:numPr>
          <w:ilvl w:val="0"/>
          <w:numId w:val="16"/>
        </w:numPr>
        <w:spacing w:before="0" w:after="0" w:line="360" w:lineRule="auto"/>
        <w:rPr>
          <w:rFonts w:hint="eastAsia" w:ascii="宋体" w:hAnsi="宋体" w:cs="宋体"/>
          <w:color w:val="auto"/>
          <w:sz w:val="24"/>
          <w:szCs w:val="24"/>
          <w:highlight w:val="none"/>
          <w:lang w:val="en-US" w:eastAsia="zh-CN"/>
        </w:rPr>
      </w:pPr>
      <w:bookmarkStart w:id="241" w:name="_Toc313888361"/>
      <w:bookmarkStart w:id="242" w:name="_Toc103679700"/>
      <w:bookmarkStart w:id="243" w:name="_Toc7588"/>
      <w:bookmarkStart w:id="244" w:name="_Toc31257"/>
      <w:bookmarkStart w:id="245" w:name="_Toc11802"/>
      <w:bookmarkStart w:id="246" w:name="_Toc313008357"/>
      <w:bookmarkStart w:id="247" w:name="_Toc21048"/>
      <w:bookmarkStart w:id="248" w:name="_Toc342913420"/>
      <w:r>
        <w:rPr>
          <w:rFonts w:hint="eastAsia" w:ascii="宋体" w:hAnsi="宋体" w:cs="宋体"/>
          <w:color w:val="auto"/>
          <w:sz w:val="24"/>
          <w:szCs w:val="24"/>
          <w:highlight w:val="none"/>
          <w:lang w:val="en-US" w:eastAsia="zh-CN"/>
        </w:rPr>
        <w:t>单价报价明细表</w:t>
      </w:r>
    </w:p>
    <w:tbl>
      <w:tblPr>
        <w:tblStyle w:val="62"/>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627"/>
        <w:gridCol w:w="834"/>
        <w:gridCol w:w="833"/>
        <w:gridCol w:w="1680"/>
        <w:gridCol w:w="1747"/>
        <w:gridCol w:w="927"/>
      </w:tblGrid>
      <w:tr w14:paraId="75B7A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638" w:type="dxa"/>
            <w:vAlign w:val="center"/>
          </w:tcPr>
          <w:p w14:paraId="65F9FED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序号</w:t>
            </w:r>
          </w:p>
        </w:tc>
        <w:tc>
          <w:tcPr>
            <w:tcW w:w="1627" w:type="dxa"/>
            <w:vAlign w:val="center"/>
          </w:tcPr>
          <w:p w14:paraId="6B661EE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设备名称</w:t>
            </w:r>
          </w:p>
        </w:tc>
        <w:tc>
          <w:tcPr>
            <w:tcW w:w="834" w:type="dxa"/>
            <w:vAlign w:val="center"/>
          </w:tcPr>
          <w:p w14:paraId="4498928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单位</w:t>
            </w:r>
          </w:p>
        </w:tc>
        <w:tc>
          <w:tcPr>
            <w:tcW w:w="833" w:type="dxa"/>
            <w:vAlign w:val="center"/>
          </w:tcPr>
          <w:p w14:paraId="05627B9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数量</w:t>
            </w:r>
          </w:p>
        </w:tc>
        <w:tc>
          <w:tcPr>
            <w:tcW w:w="1680" w:type="dxa"/>
            <w:vAlign w:val="center"/>
          </w:tcPr>
          <w:p w14:paraId="663CD2A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总价</w:t>
            </w:r>
            <w:r>
              <w:rPr>
                <w:rFonts w:hint="eastAsia" w:ascii="宋体" w:hAnsi="宋体" w:cs="宋体"/>
                <w:sz w:val="24"/>
                <w:szCs w:val="24"/>
                <w:highlight w:val="none"/>
                <w:vertAlign w:val="baseline"/>
                <w:lang w:val="en-US" w:eastAsia="zh-CN"/>
              </w:rPr>
              <w:t>限价</w:t>
            </w:r>
            <w:r>
              <w:rPr>
                <w:rFonts w:hint="eastAsia" w:ascii="宋体" w:hAnsi="宋体" w:eastAsia="宋体" w:cs="宋体"/>
                <w:sz w:val="24"/>
                <w:szCs w:val="24"/>
                <w:highlight w:val="none"/>
                <w:vertAlign w:val="baseline"/>
                <w:lang w:eastAsia="zh-CN"/>
              </w:rPr>
              <w:t>（元）</w:t>
            </w:r>
          </w:p>
        </w:tc>
        <w:tc>
          <w:tcPr>
            <w:tcW w:w="1747" w:type="dxa"/>
            <w:vAlign w:val="center"/>
          </w:tcPr>
          <w:p w14:paraId="2F85F27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vertAlign w:val="baseline"/>
                <w:lang w:eastAsia="zh-CN"/>
              </w:rPr>
            </w:pPr>
            <w:r>
              <w:rPr>
                <w:rFonts w:hint="eastAsia" w:ascii="宋体" w:hAnsi="宋体" w:cs="宋体"/>
                <w:sz w:val="24"/>
                <w:szCs w:val="24"/>
                <w:highlight w:val="none"/>
                <w:vertAlign w:val="baseline"/>
                <w:lang w:eastAsia="zh-CN"/>
              </w:rPr>
              <w:t>总</w:t>
            </w:r>
            <w:r>
              <w:rPr>
                <w:rFonts w:hint="eastAsia" w:ascii="宋体" w:hAnsi="宋体" w:cs="宋体"/>
                <w:sz w:val="24"/>
                <w:szCs w:val="24"/>
                <w:highlight w:val="none"/>
                <w:vertAlign w:val="baseline"/>
                <w:lang w:val="en-US" w:eastAsia="zh-CN"/>
              </w:rPr>
              <w:t>价</w:t>
            </w:r>
            <w:r>
              <w:rPr>
                <w:rFonts w:hint="eastAsia" w:ascii="宋体" w:hAnsi="宋体" w:cs="宋体"/>
                <w:sz w:val="24"/>
                <w:szCs w:val="24"/>
                <w:highlight w:val="none"/>
                <w:vertAlign w:val="baseline"/>
                <w:lang w:eastAsia="zh-CN"/>
              </w:rPr>
              <w:t>报价（元）</w:t>
            </w:r>
          </w:p>
        </w:tc>
        <w:tc>
          <w:tcPr>
            <w:tcW w:w="927" w:type="dxa"/>
            <w:vAlign w:val="center"/>
          </w:tcPr>
          <w:p w14:paraId="358151DE">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eastAsia="zh-CN"/>
              </w:rPr>
              <w:t>备注</w:t>
            </w:r>
          </w:p>
        </w:tc>
      </w:tr>
      <w:tr w14:paraId="5951F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38" w:type="dxa"/>
            <w:vAlign w:val="center"/>
          </w:tcPr>
          <w:p w14:paraId="675F02FD">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1</w:t>
            </w:r>
          </w:p>
        </w:tc>
        <w:tc>
          <w:tcPr>
            <w:tcW w:w="1627" w:type="dxa"/>
            <w:vAlign w:val="center"/>
          </w:tcPr>
          <w:p w14:paraId="40DDF8A8">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病人监护仪</w:t>
            </w:r>
          </w:p>
        </w:tc>
        <w:tc>
          <w:tcPr>
            <w:tcW w:w="834" w:type="dxa"/>
            <w:vAlign w:val="center"/>
          </w:tcPr>
          <w:p w14:paraId="77970385">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highlight w:val="none"/>
                <w:vertAlign w:val="baseline"/>
                <w:lang w:eastAsia="zh-CN"/>
              </w:rPr>
            </w:pPr>
            <w:r>
              <w:rPr>
                <w:rFonts w:hint="eastAsia" w:ascii="宋体" w:hAnsi="宋体" w:eastAsia="宋体" w:cs="宋体"/>
                <w:sz w:val="24"/>
                <w:szCs w:val="24"/>
                <w:highlight w:val="none"/>
                <w:vertAlign w:val="baseline"/>
                <w:lang w:val="en-US" w:eastAsia="zh-CN"/>
              </w:rPr>
              <w:t>台</w:t>
            </w:r>
          </w:p>
        </w:tc>
        <w:tc>
          <w:tcPr>
            <w:tcW w:w="833" w:type="dxa"/>
            <w:vAlign w:val="center"/>
          </w:tcPr>
          <w:p w14:paraId="770BC093">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24</w:t>
            </w:r>
          </w:p>
        </w:tc>
        <w:tc>
          <w:tcPr>
            <w:tcW w:w="1680" w:type="dxa"/>
            <w:vAlign w:val="center"/>
          </w:tcPr>
          <w:p w14:paraId="05616454">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432000</w:t>
            </w:r>
            <w:r>
              <w:rPr>
                <w:rFonts w:hint="eastAsia" w:ascii="宋体" w:hAnsi="宋体" w:cs="宋体"/>
                <w:sz w:val="24"/>
                <w:szCs w:val="24"/>
                <w:highlight w:val="none"/>
                <w:vertAlign w:val="baseline"/>
                <w:lang w:val="en-US" w:eastAsia="zh-CN"/>
              </w:rPr>
              <w:t>.00</w:t>
            </w:r>
          </w:p>
        </w:tc>
        <w:tc>
          <w:tcPr>
            <w:tcW w:w="1747" w:type="dxa"/>
            <w:vAlign w:val="center"/>
          </w:tcPr>
          <w:p w14:paraId="1C32D2FF">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highlight w:val="none"/>
                <w:vertAlign w:val="baseline"/>
                <w:lang w:val="en-US" w:eastAsia="zh-CN"/>
              </w:rPr>
            </w:pPr>
            <w:bookmarkStart w:id="275" w:name="_GoBack"/>
            <w:bookmarkEnd w:id="275"/>
          </w:p>
        </w:tc>
        <w:tc>
          <w:tcPr>
            <w:tcW w:w="927" w:type="dxa"/>
            <w:vAlign w:val="center"/>
          </w:tcPr>
          <w:p w14:paraId="3707621E">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eastAsia" w:ascii="宋体" w:hAnsi="宋体" w:eastAsia="宋体" w:cs="宋体"/>
                <w:sz w:val="24"/>
                <w:szCs w:val="24"/>
                <w:highlight w:val="none"/>
                <w:vertAlign w:val="baseline"/>
              </w:rPr>
            </w:pPr>
          </w:p>
        </w:tc>
      </w:tr>
    </w:tbl>
    <w:p w14:paraId="2B00B46D">
      <w:pPr>
        <w:pStyle w:val="5"/>
        <w:numPr>
          <w:ilvl w:val="0"/>
          <w:numId w:val="0"/>
        </w:numPr>
        <w:spacing w:before="0" w:after="0" w:line="360" w:lineRule="auto"/>
        <w:rPr>
          <w:rFonts w:hint="eastAsia" w:ascii="宋体" w:hAnsi="宋体" w:eastAsia="宋体" w:cs="宋体"/>
          <w:color w:val="auto"/>
          <w:sz w:val="24"/>
          <w:szCs w:val="24"/>
          <w:highlight w:val="none"/>
        </w:rPr>
      </w:pPr>
    </w:p>
    <w:p w14:paraId="36F01435">
      <w:pPr>
        <w:pStyle w:val="5"/>
        <w:numPr>
          <w:ilvl w:val="0"/>
          <w:numId w:val="0"/>
        </w:numPr>
        <w:spacing w:before="0" w:after="0" w:line="360" w:lineRule="auto"/>
        <w:rPr>
          <w:rFonts w:hint="eastAsia" w:ascii="宋体" w:hAnsi="宋体" w:eastAsia="宋体" w:cs="宋体"/>
          <w:color w:val="auto"/>
          <w:sz w:val="24"/>
          <w:szCs w:val="24"/>
          <w:highlight w:val="none"/>
        </w:rPr>
      </w:pPr>
    </w:p>
    <w:p w14:paraId="3D6CC72A">
      <w:pPr>
        <w:rPr>
          <w:rFonts w:hint="eastAsia" w:ascii="宋体" w:hAnsi="宋体" w:eastAsia="宋体" w:cs="宋体"/>
          <w:color w:val="auto"/>
          <w:sz w:val="24"/>
          <w:szCs w:val="24"/>
          <w:highlight w:val="none"/>
        </w:rPr>
      </w:pPr>
    </w:p>
    <w:p w14:paraId="2321DEFE">
      <w:pPr>
        <w:pStyle w:val="2"/>
        <w:rPr>
          <w:rFonts w:hint="eastAsia"/>
        </w:rPr>
      </w:pPr>
    </w:p>
    <w:p w14:paraId="5CAE69F1">
      <w:pPr>
        <w:pStyle w:val="5"/>
        <w:numPr>
          <w:ilvl w:val="0"/>
          <w:numId w:val="0"/>
        </w:numPr>
        <w:spacing w:before="0" w:after="0" w:line="360" w:lineRule="auto"/>
        <w:rPr>
          <w:rFonts w:hint="eastAsia" w:ascii="宋体" w:hAnsi="宋体" w:eastAsia="宋体" w:cs="宋体"/>
          <w:color w:val="auto"/>
          <w:sz w:val="24"/>
          <w:szCs w:val="24"/>
          <w:highlight w:val="none"/>
        </w:rPr>
      </w:pPr>
    </w:p>
    <w:p w14:paraId="0B2CC5AE">
      <w:pPr>
        <w:pStyle w:val="5"/>
        <w:numPr>
          <w:ilvl w:val="0"/>
          <w:numId w:val="0"/>
        </w:numPr>
        <w:spacing w:before="0" w:after="0" w:line="360" w:lineRule="auto"/>
        <w:rPr>
          <w:rFonts w:hint="eastAsia" w:ascii="宋体" w:hAnsi="宋体" w:eastAsia="宋体" w:cs="宋体"/>
          <w:color w:val="auto"/>
          <w:sz w:val="24"/>
          <w:szCs w:val="24"/>
          <w:highlight w:val="none"/>
        </w:rPr>
      </w:pPr>
    </w:p>
    <w:p w14:paraId="222B5580">
      <w:pPr>
        <w:pStyle w:val="5"/>
        <w:numPr>
          <w:ilvl w:val="0"/>
          <w:numId w:val="0"/>
        </w:numPr>
        <w:spacing w:before="0" w:after="0" w:line="360" w:lineRule="auto"/>
        <w:rPr>
          <w:rFonts w:hint="eastAsia" w:ascii="宋体" w:hAnsi="宋体" w:eastAsia="宋体" w:cs="宋体"/>
          <w:color w:val="auto"/>
          <w:sz w:val="24"/>
          <w:szCs w:val="24"/>
          <w:highlight w:val="none"/>
        </w:rPr>
      </w:pPr>
    </w:p>
    <w:p w14:paraId="545D7821">
      <w:pPr>
        <w:pStyle w:val="5"/>
        <w:numPr>
          <w:ilvl w:val="0"/>
          <w:numId w:val="0"/>
        </w:numPr>
        <w:spacing w:before="0" w:after="0" w:line="360" w:lineRule="auto"/>
        <w:rPr>
          <w:rFonts w:hint="eastAsia" w:ascii="宋体" w:hAnsi="宋体" w:eastAsia="宋体" w:cs="宋体"/>
          <w:color w:val="auto"/>
          <w:sz w:val="24"/>
          <w:szCs w:val="24"/>
          <w:highlight w:val="none"/>
        </w:rPr>
      </w:pPr>
    </w:p>
    <w:p w14:paraId="4C523CA7">
      <w:pPr>
        <w:pStyle w:val="5"/>
        <w:numPr>
          <w:ilvl w:val="0"/>
          <w:numId w:val="0"/>
        </w:numPr>
        <w:spacing w:before="0" w:after="0" w:line="360" w:lineRule="auto"/>
        <w:rPr>
          <w:rFonts w:hint="eastAsia" w:ascii="宋体" w:hAnsi="宋体" w:eastAsia="宋体" w:cs="宋体"/>
          <w:color w:val="auto"/>
          <w:sz w:val="24"/>
          <w:szCs w:val="24"/>
          <w:highlight w:val="none"/>
        </w:rPr>
      </w:pPr>
    </w:p>
    <w:p w14:paraId="15147D7A">
      <w:pPr>
        <w:pStyle w:val="5"/>
        <w:numPr>
          <w:ilvl w:val="0"/>
          <w:numId w:val="0"/>
        </w:numPr>
        <w:spacing w:before="0" w:after="0" w:line="360" w:lineRule="auto"/>
        <w:rPr>
          <w:rFonts w:hint="eastAsia" w:ascii="宋体" w:hAnsi="宋体" w:eastAsia="宋体" w:cs="宋体"/>
          <w:color w:val="auto"/>
          <w:sz w:val="24"/>
          <w:szCs w:val="24"/>
          <w:highlight w:val="none"/>
        </w:rPr>
      </w:pPr>
    </w:p>
    <w:p w14:paraId="667BE723">
      <w:pPr>
        <w:pStyle w:val="5"/>
        <w:numPr>
          <w:ilvl w:val="0"/>
          <w:numId w:val="0"/>
        </w:numPr>
        <w:spacing w:before="0" w:after="0" w:line="360" w:lineRule="auto"/>
        <w:rPr>
          <w:rFonts w:hint="eastAsia" w:ascii="宋体" w:hAnsi="宋体" w:eastAsia="宋体" w:cs="宋体"/>
          <w:color w:val="auto"/>
          <w:sz w:val="24"/>
          <w:szCs w:val="24"/>
          <w:highlight w:val="none"/>
        </w:rPr>
      </w:pPr>
    </w:p>
    <w:p w14:paraId="1B52006C">
      <w:pPr>
        <w:pStyle w:val="5"/>
        <w:numPr>
          <w:ilvl w:val="0"/>
          <w:numId w:val="0"/>
        </w:numPr>
        <w:spacing w:before="0" w:after="0" w:line="360" w:lineRule="auto"/>
        <w:rPr>
          <w:rFonts w:hint="eastAsia" w:ascii="宋体" w:hAnsi="宋体" w:eastAsia="宋体" w:cs="宋体"/>
          <w:color w:val="auto"/>
          <w:sz w:val="24"/>
          <w:szCs w:val="24"/>
          <w:highlight w:val="none"/>
        </w:rPr>
      </w:pPr>
    </w:p>
    <w:p w14:paraId="07084F02">
      <w:pPr>
        <w:pStyle w:val="5"/>
        <w:numPr>
          <w:ilvl w:val="0"/>
          <w:numId w:val="0"/>
        </w:numPr>
        <w:spacing w:before="0" w:after="0" w:line="360" w:lineRule="auto"/>
        <w:rPr>
          <w:rFonts w:hint="eastAsia" w:ascii="宋体" w:hAnsi="宋体" w:eastAsia="宋体" w:cs="宋体"/>
          <w:color w:val="auto"/>
          <w:sz w:val="24"/>
          <w:szCs w:val="24"/>
          <w:highlight w:val="none"/>
        </w:rPr>
      </w:pPr>
    </w:p>
    <w:p w14:paraId="160A5811">
      <w:pPr>
        <w:pStyle w:val="5"/>
        <w:numPr>
          <w:ilvl w:val="0"/>
          <w:numId w:val="0"/>
        </w:numPr>
        <w:spacing w:before="0" w:after="0" w:line="360" w:lineRule="auto"/>
        <w:rPr>
          <w:rFonts w:hint="eastAsia" w:ascii="宋体" w:hAnsi="宋体" w:eastAsia="宋体" w:cs="宋体"/>
          <w:color w:val="auto"/>
          <w:sz w:val="24"/>
          <w:szCs w:val="24"/>
          <w:highlight w:val="none"/>
        </w:rPr>
      </w:pPr>
    </w:p>
    <w:p w14:paraId="3E90D6DD">
      <w:pPr>
        <w:pStyle w:val="5"/>
        <w:numPr>
          <w:ilvl w:val="0"/>
          <w:numId w:val="0"/>
        </w:numPr>
        <w:spacing w:before="0" w:after="0" w:line="360" w:lineRule="auto"/>
        <w:rPr>
          <w:rFonts w:hint="eastAsia" w:ascii="宋体" w:hAnsi="宋体" w:eastAsia="宋体" w:cs="宋体"/>
          <w:color w:val="auto"/>
          <w:sz w:val="24"/>
          <w:szCs w:val="24"/>
          <w:highlight w:val="none"/>
        </w:rPr>
      </w:pPr>
    </w:p>
    <w:p w14:paraId="42AB771C">
      <w:pPr>
        <w:pStyle w:val="5"/>
        <w:numPr>
          <w:ilvl w:val="0"/>
          <w:numId w:val="0"/>
        </w:numPr>
        <w:spacing w:before="0" w:after="0" w:line="360" w:lineRule="auto"/>
        <w:rPr>
          <w:rFonts w:hint="eastAsia" w:ascii="宋体" w:hAnsi="宋体" w:eastAsia="宋体" w:cs="宋体"/>
          <w:color w:val="auto"/>
          <w:sz w:val="24"/>
          <w:szCs w:val="24"/>
          <w:highlight w:val="none"/>
        </w:rPr>
      </w:pPr>
    </w:p>
    <w:p w14:paraId="216FD1C5">
      <w:pPr>
        <w:pStyle w:val="5"/>
        <w:numPr>
          <w:ilvl w:val="0"/>
          <w:numId w:val="0"/>
        </w:numPr>
        <w:spacing w:before="0" w:after="0" w:line="360" w:lineRule="auto"/>
        <w:rPr>
          <w:rFonts w:hint="eastAsia" w:ascii="宋体" w:hAnsi="宋体" w:eastAsia="宋体" w:cs="宋体"/>
          <w:color w:val="auto"/>
          <w:sz w:val="24"/>
          <w:szCs w:val="24"/>
          <w:highlight w:val="none"/>
        </w:rPr>
      </w:pPr>
    </w:p>
    <w:p w14:paraId="0B69E8BE">
      <w:pPr>
        <w:pStyle w:val="5"/>
        <w:numPr>
          <w:ilvl w:val="0"/>
          <w:numId w:val="0"/>
        </w:numPr>
        <w:spacing w:before="0" w:after="0" w:line="360" w:lineRule="auto"/>
        <w:rPr>
          <w:rFonts w:hint="eastAsia" w:ascii="宋体" w:hAnsi="宋体" w:eastAsia="宋体" w:cs="宋体"/>
          <w:color w:val="auto"/>
          <w:sz w:val="24"/>
          <w:szCs w:val="24"/>
          <w:highlight w:val="none"/>
        </w:rPr>
      </w:pPr>
    </w:p>
    <w:p w14:paraId="51296689">
      <w:pPr>
        <w:pStyle w:val="5"/>
        <w:numPr>
          <w:ilvl w:val="0"/>
          <w:numId w:val="0"/>
        </w:numPr>
        <w:spacing w:before="0" w:after="0" w:line="360" w:lineRule="auto"/>
        <w:rPr>
          <w:rFonts w:hint="eastAsia" w:ascii="宋体" w:hAnsi="宋体" w:eastAsia="宋体" w:cs="宋体"/>
          <w:color w:val="auto"/>
          <w:sz w:val="24"/>
          <w:szCs w:val="24"/>
          <w:highlight w:val="none"/>
        </w:rPr>
      </w:pPr>
    </w:p>
    <w:p w14:paraId="664F9C12">
      <w:pPr>
        <w:pStyle w:val="5"/>
        <w:numPr>
          <w:ilvl w:val="0"/>
          <w:numId w:val="0"/>
        </w:numPr>
        <w:spacing w:before="0" w:after="0" w:line="360" w:lineRule="auto"/>
        <w:rPr>
          <w:rFonts w:hint="eastAsia" w:ascii="宋体" w:hAnsi="宋体" w:eastAsia="宋体" w:cs="宋体"/>
          <w:color w:val="auto"/>
          <w:sz w:val="24"/>
          <w:szCs w:val="24"/>
          <w:highlight w:val="none"/>
        </w:rPr>
      </w:pPr>
    </w:p>
    <w:p w14:paraId="1752B1DB">
      <w:pPr>
        <w:pStyle w:val="5"/>
        <w:numPr>
          <w:ilvl w:val="0"/>
          <w:numId w:val="0"/>
        </w:numPr>
        <w:spacing w:before="0" w:after="0" w:line="360" w:lineRule="auto"/>
        <w:rPr>
          <w:rFonts w:hint="eastAsia" w:ascii="宋体" w:hAnsi="宋体" w:eastAsia="宋体" w:cs="宋体"/>
          <w:color w:val="auto"/>
          <w:sz w:val="24"/>
          <w:szCs w:val="24"/>
          <w:highlight w:val="none"/>
        </w:rPr>
      </w:pPr>
    </w:p>
    <w:p w14:paraId="34E6C4D4">
      <w:pPr>
        <w:rPr>
          <w:rFonts w:hint="eastAsia"/>
        </w:rPr>
      </w:pPr>
    </w:p>
    <w:p w14:paraId="4C3AAF62">
      <w:pPr>
        <w:pStyle w:val="2"/>
        <w:rPr>
          <w:rFonts w:hint="eastAsia"/>
        </w:rPr>
      </w:pPr>
    </w:p>
    <w:p w14:paraId="6876F727">
      <w:pPr>
        <w:rPr>
          <w:rFonts w:hint="eastAsia"/>
        </w:rPr>
      </w:pPr>
    </w:p>
    <w:p w14:paraId="0E46E11C">
      <w:pPr>
        <w:pStyle w:val="5"/>
        <w:numPr>
          <w:ilvl w:val="0"/>
          <w:numId w:val="0"/>
        </w:numPr>
        <w:spacing w:before="0" w:after="0" w:line="360" w:lineRule="auto"/>
        <w:rPr>
          <w:rFonts w:hint="eastAsia" w:ascii="宋体" w:hAnsi="宋体" w:eastAsia="宋体" w:cs="宋体"/>
          <w:color w:val="auto"/>
          <w:sz w:val="24"/>
          <w:szCs w:val="24"/>
          <w:highlight w:val="none"/>
        </w:rPr>
      </w:pPr>
    </w:p>
    <w:p w14:paraId="25630A6D">
      <w:pPr>
        <w:rPr>
          <w:rFonts w:hint="eastAsia"/>
        </w:rPr>
      </w:pPr>
    </w:p>
    <w:p w14:paraId="26DEBC4D">
      <w:pPr>
        <w:pStyle w:val="5"/>
        <w:numPr>
          <w:ilvl w:val="0"/>
          <w:numId w:val="0"/>
        </w:numPr>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二、技术部分</w:t>
      </w:r>
      <w:bookmarkEnd w:id="241"/>
      <w:bookmarkEnd w:id="242"/>
      <w:bookmarkEnd w:id="243"/>
      <w:bookmarkEnd w:id="244"/>
      <w:bookmarkEnd w:id="245"/>
      <w:bookmarkEnd w:id="246"/>
      <w:bookmarkEnd w:id="247"/>
      <w:bookmarkEnd w:id="248"/>
    </w:p>
    <w:p w14:paraId="1B29377B">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（一）技术响应偏离表</w:t>
      </w:r>
    </w:p>
    <w:p w14:paraId="217283EE">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技术响应偏离表</w:t>
      </w:r>
    </w:p>
    <w:p w14:paraId="5DF16D05">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对于竞采文件的技术要求，如有任何偏离请如实填写下表：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5615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1F734BB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73D813E9">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16503EE4">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699150D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1D601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7062AE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76AB59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7EDE40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E38293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114C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948ECC7">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57DAEC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2DCFAC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12D97A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56A6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FA3297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8DD8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13B0F6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55415C5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E31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02759BD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3C9888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07A1D59">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5B32E8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95F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438756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FA9D82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397A5B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76556B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F34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7A2FF6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79375F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2CD4ADD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5F3D06C">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A07CF96">
      <w:pPr>
        <w:snapToGrid w:val="0"/>
        <w:spacing w:line="360" w:lineRule="auto"/>
        <w:ind w:firstLine="465"/>
        <w:rPr>
          <w:rFonts w:hint="eastAsia" w:ascii="宋体" w:hAnsi="宋体" w:eastAsia="宋体" w:cs="宋体"/>
          <w:color w:val="auto"/>
          <w:sz w:val="24"/>
          <w:szCs w:val="24"/>
          <w:highlight w:val="none"/>
        </w:rPr>
      </w:pPr>
    </w:p>
    <w:p w14:paraId="739206C1">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32151685">
      <w:pPr>
        <w:spacing w:line="500" w:lineRule="exact"/>
        <w:rPr>
          <w:rFonts w:hint="eastAsia" w:ascii="宋体" w:hAnsi="宋体" w:eastAsia="宋体" w:cs="宋体"/>
          <w:color w:val="auto"/>
          <w:sz w:val="24"/>
          <w:szCs w:val="28"/>
          <w:highlight w:val="none"/>
        </w:rPr>
      </w:pPr>
    </w:p>
    <w:p w14:paraId="644EEACF">
      <w:pPr>
        <w:spacing w:line="500" w:lineRule="exact"/>
        <w:ind w:firstLine="840" w:firstLineChars="3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24E42674">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45126A2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2B4BD8FA">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项目技术需求”中所列条款进行比较和响应；</w:t>
      </w:r>
    </w:p>
    <w:p w14:paraId="5E6C556E">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2.本表可扩展。</w:t>
      </w:r>
    </w:p>
    <w:p w14:paraId="254F9A9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15C51BC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1DD30C4">
      <w:pPr>
        <w:pStyle w:val="2"/>
        <w:ind w:firstLine="480" w:firstLineChars="200"/>
        <w:rPr>
          <w:rFonts w:hint="default" w:eastAsia="宋体"/>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（二）服务方案（如有）</w:t>
      </w:r>
    </w:p>
    <w:p w14:paraId="77822298">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EAA2CE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9DA956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EEA880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EC4A20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6942AE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9C142A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44D8E8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0D29E0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5E3CBF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96C6AD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AA09232">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54A349D">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238CA71">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C0776C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ACFAE9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2221A4B">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3E9160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F51C93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BB724C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334174F">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0DB28649">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E513754">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6B64BCC">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89E54A8">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0FFB20A">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719CBE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F9E0A53">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4A353EFE">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236857A8">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BDF0E56">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B94FCA5">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2000E81">
      <w:pPr>
        <w:spacing w:line="440" w:lineRule="exac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）技术部分其他资料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如有）</w:t>
      </w:r>
    </w:p>
    <w:p w14:paraId="67629D95">
      <w:pPr>
        <w:pStyle w:val="5"/>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249" w:name="_Toc103679701"/>
      <w:bookmarkStart w:id="250" w:name="_Toc30551"/>
      <w:bookmarkStart w:id="251" w:name="_Toc342913421"/>
      <w:bookmarkStart w:id="252" w:name="_Toc313008358"/>
      <w:bookmarkStart w:id="253" w:name="_Toc18617"/>
      <w:bookmarkStart w:id="254" w:name="_Toc29626"/>
      <w:bookmarkStart w:id="255" w:name="_Toc28935"/>
      <w:bookmarkStart w:id="256" w:name="_Toc313888362"/>
      <w:r>
        <w:rPr>
          <w:rFonts w:hint="eastAsia" w:ascii="宋体" w:hAnsi="宋体" w:eastAsia="宋体" w:cs="宋体"/>
          <w:color w:val="auto"/>
          <w:sz w:val="24"/>
          <w:szCs w:val="24"/>
          <w:highlight w:val="none"/>
        </w:rPr>
        <w:t>三、商务部分</w:t>
      </w:r>
      <w:bookmarkEnd w:id="249"/>
      <w:bookmarkEnd w:id="250"/>
      <w:bookmarkEnd w:id="251"/>
      <w:bookmarkEnd w:id="252"/>
      <w:bookmarkEnd w:id="253"/>
      <w:bookmarkEnd w:id="254"/>
      <w:bookmarkEnd w:id="255"/>
      <w:bookmarkEnd w:id="256"/>
    </w:p>
    <w:p w14:paraId="6B3EEFDF">
      <w:pPr>
        <w:snapToGrid w:val="0"/>
        <w:spacing w:line="360" w:lineRule="auto"/>
        <w:rPr>
          <w:rFonts w:hint="eastAsia" w:ascii="宋体" w:hAnsi="宋体" w:eastAsia="宋体" w:cs="宋体"/>
          <w:color w:val="auto"/>
          <w:sz w:val="24"/>
          <w:szCs w:val="24"/>
          <w:highlight w:val="none"/>
        </w:rPr>
      </w:pPr>
      <w:bookmarkStart w:id="257" w:name="_Toc283382459"/>
      <w:r>
        <w:rPr>
          <w:rFonts w:hint="eastAsia" w:ascii="宋体" w:hAnsi="宋体" w:eastAsia="宋体" w:cs="宋体"/>
          <w:color w:val="auto"/>
          <w:sz w:val="24"/>
          <w:szCs w:val="24"/>
          <w:highlight w:val="none"/>
        </w:rPr>
        <w:t>（一）商务响应偏离表</w:t>
      </w:r>
    </w:p>
    <w:p w14:paraId="6F27B6C9">
      <w:pPr>
        <w:snapToGrid w:val="0"/>
        <w:spacing w:line="360" w:lineRule="auto"/>
        <w:jc w:val="center"/>
        <w:rPr>
          <w:rFonts w:hint="eastAsia" w:ascii="宋体" w:hAnsi="宋体" w:eastAsia="宋体" w:cs="宋体"/>
          <w:b/>
          <w:color w:val="auto"/>
          <w:szCs w:val="28"/>
          <w:highlight w:val="none"/>
        </w:rPr>
      </w:pPr>
      <w:r>
        <w:rPr>
          <w:rFonts w:hint="eastAsia" w:ascii="宋体" w:hAnsi="宋体" w:eastAsia="宋体" w:cs="宋体"/>
          <w:b/>
          <w:color w:val="auto"/>
          <w:szCs w:val="28"/>
          <w:highlight w:val="none"/>
        </w:rPr>
        <w:t>商务响应偏离表</w:t>
      </w:r>
    </w:p>
    <w:p w14:paraId="3976C958">
      <w:pPr>
        <w:snapToGrid w:val="0"/>
        <w:spacing w:line="360" w:lineRule="auto"/>
        <w:ind w:firstLine="46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对于网上竞采文件的商务要求，如有任何偏离请如实填写下表：</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26A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14:paraId="2DF21E52">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序号</w:t>
            </w:r>
          </w:p>
        </w:tc>
        <w:tc>
          <w:tcPr>
            <w:tcW w:w="3179" w:type="dxa"/>
            <w:vAlign w:val="center"/>
          </w:tcPr>
          <w:p w14:paraId="1080D510">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采购项目需求</w:t>
            </w:r>
          </w:p>
        </w:tc>
        <w:tc>
          <w:tcPr>
            <w:tcW w:w="2434" w:type="dxa"/>
            <w:vAlign w:val="center"/>
          </w:tcPr>
          <w:p w14:paraId="2EF98763">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响应情况</w:t>
            </w:r>
          </w:p>
        </w:tc>
        <w:tc>
          <w:tcPr>
            <w:tcW w:w="2355" w:type="dxa"/>
            <w:vAlign w:val="center"/>
          </w:tcPr>
          <w:p w14:paraId="25009F9F">
            <w:pPr>
              <w:tabs>
                <w:tab w:val="left" w:pos="6300"/>
              </w:tabs>
              <w:snapToGrid w:val="0"/>
              <w:spacing w:line="360" w:lineRule="auto"/>
              <w:jc w:val="center"/>
              <w:outlineLvl w:val="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差异说明</w:t>
            </w:r>
          </w:p>
        </w:tc>
      </w:tr>
      <w:tr w14:paraId="7CAF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AB2E65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7DFA4E3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7811487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2BC8BB6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223A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3F30ED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490EA426">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DF6E2C1">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202EA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0ABD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67E5D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0661DB2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1C052945">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4FFD952D">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793DC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19D68CD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5D52CFF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4E349162">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B3D384B">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3335B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689BCA90">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351DE2F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69C91138">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3D65023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r w14:paraId="2393E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14:paraId="5469359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3179" w:type="dxa"/>
            <w:vAlign w:val="center"/>
          </w:tcPr>
          <w:p w14:paraId="6E33AD7F">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434" w:type="dxa"/>
            <w:vAlign w:val="center"/>
          </w:tcPr>
          <w:p w14:paraId="5EFDFB9A">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c>
          <w:tcPr>
            <w:tcW w:w="2355" w:type="dxa"/>
            <w:vAlign w:val="center"/>
          </w:tcPr>
          <w:p w14:paraId="7B29307E">
            <w:pPr>
              <w:tabs>
                <w:tab w:val="left" w:pos="6300"/>
              </w:tabs>
              <w:snapToGrid w:val="0"/>
              <w:spacing w:line="360" w:lineRule="auto"/>
              <w:jc w:val="center"/>
              <w:outlineLvl w:val="0"/>
              <w:rPr>
                <w:rFonts w:hint="eastAsia" w:ascii="宋体" w:hAnsi="宋体" w:eastAsia="宋体" w:cs="宋体"/>
                <w:color w:val="auto"/>
                <w:sz w:val="21"/>
                <w:szCs w:val="24"/>
                <w:highlight w:val="none"/>
              </w:rPr>
            </w:pPr>
          </w:p>
        </w:tc>
      </w:tr>
    </w:tbl>
    <w:p w14:paraId="0BAF7987">
      <w:pPr>
        <w:snapToGrid w:val="0"/>
        <w:spacing w:line="360" w:lineRule="auto"/>
        <w:ind w:firstLine="465"/>
        <w:rPr>
          <w:rFonts w:hint="eastAsia" w:ascii="宋体" w:hAnsi="宋体" w:eastAsia="宋体" w:cs="宋体"/>
          <w:color w:val="auto"/>
          <w:sz w:val="24"/>
          <w:szCs w:val="24"/>
          <w:highlight w:val="none"/>
        </w:rPr>
      </w:pPr>
    </w:p>
    <w:p w14:paraId="69BB8162">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                                     法定代表人授权代表：</w:t>
      </w:r>
    </w:p>
    <w:p w14:paraId="69F3B787">
      <w:pPr>
        <w:spacing w:line="500" w:lineRule="exact"/>
        <w:rPr>
          <w:rFonts w:hint="eastAsia" w:ascii="宋体" w:hAnsi="宋体" w:eastAsia="宋体" w:cs="宋体"/>
          <w:color w:val="auto"/>
          <w:sz w:val="24"/>
          <w:szCs w:val="28"/>
          <w:highlight w:val="none"/>
        </w:rPr>
      </w:pPr>
    </w:p>
    <w:p w14:paraId="0F457E69">
      <w:pPr>
        <w:spacing w:line="500" w:lineRule="exact"/>
        <w:ind w:firstLine="600" w:firstLineChars="2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（供应商公章）                                   （签字或盖章）</w:t>
      </w:r>
    </w:p>
    <w:p w14:paraId="7AD3A659">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年 月  日</w:t>
      </w:r>
    </w:p>
    <w:p w14:paraId="2130808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DB48A44">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项目商务需求”中所列条款进行比较和响应；</w:t>
      </w:r>
    </w:p>
    <w:p w14:paraId="21F241D9">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2.本表可扩展</w:t>
      </w:r>
      <w:r>
        <w:rPr>
          <w:rFonts w:hint="eastAsia" w:ascii="宋体" w:hAnsi="宋体" w:eastAsia="宋体" w:cs="宋体"/>
          <w:color w:val="auto"/>
          <w:sz w:val="24"/>
          <w:highlight w:val="none"/>
        </w:rPr>
        <w:t>。</w:t>
      </w:r>
    </w:p>
    <w:p w14:paraId="515BCB5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根据响应情况在“差异说明”项填写正偏离或负偏离及原因，完全符合的填写“无差异”。如投标人未应答或只注明“符合”、“满足”等类似无具体数值或内容的表述，视为不满足对应条款；差异说明必须注明“正偏离”或“负偏离”或”无差异“，如以其他方式填写则失去中标候选人资格。</w:t>
      </w:r>
    </w:p>
    <w:p w14:paraId="45D5CF70">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6490AA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（二）商务部分其他资料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如有，格式自拟）</w:t>
      </w:r>
      <w:r>
        <w:rPr>
          <w:rFonts w:hint="eastAsia" w:ascii="宋体" w:hAnsi="宋体" w:eastAsia="宋体" w:cs="宋体"/>
          <w:color w:val="auto"/>
          <w:sz w:val="24"/>
          <w:szCs w:val="24"/>
          <w:highlight w:val="none"/>
        </w:rPr>
        <w:br w:type="page"/>
      </w:r>
      <w:bookmarkEnd w:id="257"/>
      <w:bookmarkStart w:id="258" w:name="_Toc342913422"/>
      <w:bookmarkStart w:id="259" w:name="_Toc19396"/>
      <w:bookmarkStart w:id="260" w:name="_Toc103679702"/>
      <w:bookmarkStart w:id="261" w:name="_Toc313008359"/>
      <w:bookmarkStart w:id="262" w:name="_Toc26076"/>
      <w:bookmarkStart w:id="263" w:name="_Toc30310"/>
      <w:bookmarkStart w:id="264" w:name="_Toc16819"/>
      <w:bookmarkStart w:id="265" w:name="_Toc313888363"/>
      <w:r>
        <w:rPr>
          <w:rFonts w:hint="eastAsia" w:ascii="宋体" w:hAnsi="宋体" w:eastAsia="宋体" w:cs="宋体"/>
          <w:color w:val="auto"/>
          <w:sz w:val="24"/>
          <w:szCs w:val="24"/>
          <w:highlight w:val="none"/>
        </w:rPr>
        <w:t>四、资格条件及其他</w:t>
      </w:r>
      <w:bookmarkEnd w:id="258"/>
      <w:bookmarkEnd w:id="259"/>
      <w:bookmarkEnd w:id="260"/>
      <w:bookmarkEnd w:id="261"/>
      <w:bookmarkEnd w:id="262"/>
      <w:bookmarkEnd w:id="263"/>
      <w:bookmarkEnd w:id="264"/>
      <w:bookmarkEnd w:id="265"/>
    </w:p>
    <w:p w14:paraId="57EA2B79">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（一）法人营业执照（副本）或事业单位法人证书（副本）或个体工商户营业执照或有效的自然人身份证明或社会团体法人登记证书</w:t>
      </w:r>
    </w:p>
    <w:p w14:paraId="36987044">
      <w:pPr>
        <w:pStyle w:val="60"/>
        <w:ind w:left="560" w:firstLine="880"/>
        <w:rPr>
          <w:rFonts w:hint="eastAsia" w:ascii="宋体" w:hAnsi="宋体" w:eastAsia="宋体" w:cs="宋体"/>
          <w:color w:val="auto"/>
          <w:highlight w:val="none"/>
        </w:rPr>
      </w:pPr>
    </w:p>
    <w:p w14:paraId="78A6B8F4">
      <w:pPr>
        <w:pStyle w:val="60"/>
        <w:ind w:left="560" w:firstLine="880"/>
        <w:rPr>
          <w:rFonts w:hint="eastAsia" w:ascii="宋体" w:hAnsi="宋体" w:eastAsia="宋体" w:cs="宋体"/>
          <w:color w:val="auto"/>
          <w:highlight w:val="none"/>
        </w:rPr>
      </w:pPr>
    </w:p>
    <w:p w14:paraId="4E11F404">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532A17E">
      <w:pPr>
        <w:widowControl/>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rPr>
        <w:t>（二）法定代表人身份证明书（格式）</w:t>
      </w:r>
    </w:p>
    <w:p w14:paraId="38BDEEA1">
      <w:pPr>
        <w:tabs>
          <w:tab w:val="left" w:pos="6300"/>
        </w:tabs>
        <w:snapToGrid w:val="0"/>
        <w:spacing w:line="500" w:lineRule="exact"/>
        <w:ind w:firstLine="570"/>
        <w:rPr>
          <w:rFonts w:hint="eastAsia" w:ascii="宋体" w:hAnsi="宋体" w:eastAsia="宋体" w:cs="宋体"/>
          <w:color w:val="auto"/>
          <w:sz w:val="24"/>
          <w:highlight w:val="none"/>
        </w:rPr>
      </w:pPr>
    </w:p>
    <w:p w14:paraId="53D5A04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p>
    <w:p w14:paraId="22CA65F1">
      <w:pPr>
        <w:tabs>
          <w:tab w:val="left" w:pos="6300"/>
        </w:tabs>
        <w:snapToGrid w:val="0"/>
        <w:spacing w:line="500" w:lineRule="exact"/>
        <w:ind w:firstLine="570"/>
        <w:rPr>
          <w:rFonts w:hint="eastAsia" w:ascii="宋体" w:hAnsi="宋体" w:eastAsia="宋体" w:cs="宋体"/>
          <w:color w:val="auto"/>
          <w:sz w:val="24"/>
          <w:highlight w:val="none"/>
        </w:rPr>
      </w:pPr>
    </w:p>
    <w:p w14:paraId="7F65355B">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518DC65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56C4449B">
      <w:pPr>
        <w:tabs>
          <w:tab w:val="left" w:pos="6300"/>
        </w:tabs>
        <w:snapToGrid w:val="0"/>
        <w:spacing w:line="500" w:lineRule="exact"/>
        <w:ind w:firstLine="570"/>
        <w:rPr>
          <w:rFonts w:hint="eastAsia" w:ascii="宋体" w:hAnsi="宋体" w:eastAsia="宋体" w:cs="宋体"/>
          <w:color w:val="auto"/>
          <w:sz w:val="24"/>
          <w:highlight w:val="none"/>
        </w:rPr>
      </w:pPr>
    </w:p>
    <w:p w14:paraId="682A727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6AF1ED8">
      <w:pPr>
        <w:tabs>
          <w:tab w:val="left" w:pos="6300"/>
        </w:tabs>
        <w:snapToGrid w:val="0"/>
        <w:spacing w:line="500" w:lineRule="exact"/>
        <w:ind w:firstLine="570"/>
        <w:rPr>
          <w:rFonts w:hint="eastAsia" w:ascii="宋体" w:hAnsi="宋体" w:eastAsia="宋体" w:cs="宋体"/>
          <w:color w:val="auto"/>
          <w:sz w:val="24"/>
          <w:highlight w:val="none"/>
        </w:rPr>
      </w:pPr>
    </w:p>
    <w:p w14:paraId="2ACB67C0">
      <w:pPr>
        <w:tabs>
          <w:tab w:val="left" w:pos="6300"/>
        </w:tabs>
        <w:snapToGrid w:val="0"/>
        <w:spacing w:line="500" w:lineRule="exact"/>
        <w:ind w:firstLine="570"/>
        <w:rPr>
          <w:rFonts w:hint="eastAsia" w:ascii="宋体" w:hAnsi="宋体" w:eastAsia="宋体" w:cs="宋体"/>
          <w:color w:val="auto"/>
          <w:sz w:val="24"/>
          <w:highlight w:val="none"/>
        </w:rPr>
      </w:pPr>
    </w:p>
    <w:p w14:paraId="40B6459C">
      <w:pPr>
        <w:tabs>
          <w:tab w:val="left" w:pos="6300"/>
        </w:tabs>
        <w:snapToGrid w:val="0"/>
        <w:spacing w:line="500" w:lineRule="exact"/>
        <w:ind w:firstLine="570"/>
        <w:rPr>
          <w:rFonts w:hint="eastAsia" w:ascii="宋体" w:hAnsi="宋体" w:eastAsia="宋体" w:cs="宋体"/>
          <w:color w:val="auto"/>
          <w:sz w:val="24"/>
          <w:highlight w:val="none"/>
        </w:rPr>
      </w:pPr>
    </w:p>
    <w:p w14:paraId="75D3C2C5">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48A30722">
      <w:pPr>
        <w:tabs>
          <w:tab w:val="left" w:pos="6300"/>
        </w:tabs>
        <w:snapToGrid w:val="0"/>
        <w:spacing w:line="500" w:lineRule="exact"/>
        <w:ind w:firstLine="570"/>
        <w:rPr>
          <w:rFonts w:hint="eastAsia" w:ascii="宋体" w:hAnsi="宋体" w:eastAsia="宋体" w:cs="宋体"/>
          <w:color w:val="auto"/>
          <w:sz w:val="24"/>
          <w:highlight w:val="none"/>
        </w:rPr>
      </w:pPr>
    </w:p>
    <w:p w14:paraId="75CF5CC7">
      <w:pPr>
        <w:tabs>
          <w:tab w:val="left" w:pos="6300"/>
        </w:tabs>
        <w:snapToGrid w:val="0"/>
        <w:spacing w:line="500" w:lineRule="exact"/>
        <w:ind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6590BB8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09C9808">
      <w:pPr>
        <w:tabs>
          <w:tab w:val="left" w:pos="6300"/>
        </w:tabs>
        <w:snapToGrid w:val="0"/>
        <w:spacing w:line="500" w:lineRule="exact"/>
        <w:ind w:firstLine="570"/>
        <w:rPr>
          <w:rFonts w:hint="eastAsia" w:ascii="宋体" w:hAnsi="宋体" w:eastAsia="宋体" w:cs="宋体"/>
          <w:color w:val="auto"/>
          <w:sz w:val="24"/>
          <w:highlight w:val="none"/>
        </w:rPr>
      </w:pPr>
    </w:p>
    <w:p w14:paraId="6254973C">
      <w:pPr>
        <w:tabs>
          <w:tab w:val="left" w:pos="6300"/>
        </w:tabs>
        <w:snapToGrid w:val="0"/>
        <w:spacing w:line="500" w:lineRule="exact"/>
        <w:ind w:firstLine="570"/>
        <w:rPr>
          <w:rFonts w:hint="eastAsia" w:ascii="宋体" w:hAnsi="宋体" w:eastAsia="宋体" w:cs="宋体"/>
          <w:color w:val="auto"/>
          <w:sz w:val="24"/>
          <w:highlight w:val="none"/>
        </w:rPr>
      </w:pPr>
    </w:p>
    <w:p w14:paraId="03C53D10">
      <w:pPr>
        <w:tabs>
          <w:tab w:val="left" w:pos="6300"/>
        </w:tabs>
        <w:snapToGrid w:val="0"/>
        <w:spacing w:line="500" w:lineRule="exact"/>
        <w:ind w:firstLine="570"/>
        <w:rPr>
          <w:rFonts w:hint="eastAsia" w:ascii="宋体" w:hAnsi="宋体" w:eastAsia="宋体" w:cs="宋体"/>
          <w:color w:val="auto"/>
          <w:sz w:val="24"/>
          <w:highlight w:val="none"/>
        </w:rPr>
      </w:pPr>
    </w:p>
    <w:p w14:paraId="3E9F95A8">
      <w:pPr>
        <w:tabs>
          <w:tab w:val="left" w:pos="6300"/>
        </w:tabs>
        <w:snapToGrid w:val="0"/>
        <w:spacing w:line="500" w:lineRule="exact"/>
        <w:ind w:firstLine="570"/>
        <w:rPr>
          <w:rFonts w:hint="eastAsia" w:ascii="宋体" w:hAnsi="宋体" w:eastAsia="宋体" w:cs="宋体"/>
          <w:color w:val="auto"/>
          <w:sz w:val="24"/>
          <w:highlight w:val="none"/>
        </w:rPr>
      </w:pPr>
    </w:p>
    <w:p w14:paraId="14D663E8">
      <w:pPr>
        <w:tabs>
          <w:tab w:val="left" w:pos="6300"/>
        </w:tabs>
        <w:snapToGrid w:val="0"/>
        <w:spacing w:line="500" w:lineRule="exact"/>
        <w:ind w:firstLine="570"/>
        <w:rPr>
          <w:rFonts w:hint="eastAsia" w:ascii="宋体" w:hAnsi="宋体" w:eastAsia="宋体" w:cs="宋体"/>
          <w:color w:val="auto"/>
          <w:sz w:val="24"/>
          <w:highlight w:val="none"/>
        </w:rPr>
      </w:pPr>
    </w:p>
    <w:p w14:paraId="6C04651B">
      <w:pPr>
        <w:tabs>
          <w:tab w:val="left" w:pos="6300"/>
        </w:tabs>
        <w:snapToGrid w:val="0"/>
        <w:spacing w:line="500" w:lineRule="exact"/>
        <w:ind w:firstLine="570"/>
        <w:rPr>
          <w:rFonts w:hint="eastAsia" w:ascii="宋体" w:hAnsi="宋体" w:eastAsia="宋体" w:cs="宋体"/>
          <w:color w:val="auto"/>
          <w:sz w:val="24"/>
          <w:highlight w:val="none"/>
        </w:rPr>
      </w:pPr>
    </w:p>
    <w:p w14:paraId="7F4E7076">
      <w:pPr>
        <w:tabs>
          <w:tab w:val="left" w:pos="6300"/>
        </w:tabs>
        <w:snapToGrid w:val="0"/>
        <w:spacing w:line="500" w:lineRule="exact"/>
        <w:ind w:firstLine="570"/>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szCs w:val="24"/>
          <w:highlight w:val="none"/>
        </w:rPr>
        <w:t>（三）法定代表人授权委托书（格式）</w:t>
      </w:r>
    </w:p>
    <w:p w14:paraId="661283AC">
      <w:pPr>
        <w:tabs>
          <w:tab w:val="left" w:pos="6300"/>
        </w:tabs>
        <w:snapToGrid w:val="0"/>
        <w:spacing w:line="500" w:lineRule="exact"/>
        <w:ind w:firstLine="570"/>
        <w:rPr>
          <w:rFonts w:hint="eastAsia" w:ascii="宋体" w:hAnsi="宋体" w:eastAsia="宋体" w:cs="宋体"/>
          <w:color w:val="auto"/>
          <w:sz w:val="24"/>
          <w:highlight w:val="none"/>
        </w:rPr>
      </w:pPr>
    </w:p>
    <w:p w14:paraId="5BE731F4">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采购项目名称</w:t>
      </w:r>
      <w:r>
        <w:rPr>
          <w:rFonts w:hint="eastAsia" w:ascii="宋体" w:hAnsi="宋体" w:eastAsia="宋体" w:cs="宋体"/>
          <w:color w:val="auto"/>
          <w:sz w:val="24"/>
          <w:highlight w:val="none"/>
        </w:rPr>
        <w:t>：</w:t>
      </w:r>
    </w:p>
    <w:p w14:paraId="202A82DC">
      <w:pPr>
        <w:tabs>
          <w:tab w:val="left" w:pos="6300"/>
        </w:tabs>
        <w:snapToGrid w:val="0"/>
        <w:spacing w:line="500" w:lineRule="exact"/>
        <w:ind w:firstLine="570"/>
        <w:rPr>
          <w:rFonts w:hint="eastAsia" w:ascii="宋体" w:hAnsi="宋体" w:eastAsia="宋体" w:cs="宋体"/>
          <w:color w:val="auto"/>
          <w:sz w:val="24"/>
          <w:highlight w:val="none"/>
        </w:rPr>
      </w:pPr>
    </w:p>
    <w:p w14:paraId="1A2FD29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4518340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（被授权人姓名及身份证号码）代表我单位全权办理上述项目的采购、签约等具体工作，并签署全部有关文件、协议及合同。</w:t>
      </w:r>
    </w:p>
    <w:p w14:paraId="42AE218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3882BB7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2A7D0B7A">
      <w:pPr>
        <w:tabs>
          <w:tab w:val="left" w:pos="6300"/>
        </w:tabs>
        <w:snapToGrid w:val="0"/>
        <w:spacing w:line="500" w:lineRule="exact"/>
        <w:ind w:firstLine="570"/>
        <w:rPr>
          <w:rFonts w:hint="eastAsia" w:ascii="宋体" w:hAnsi="宋体" w:eastAsia="宋体" w:cs="宋体"/>
          <w:color w:val="auto"/>
          <w:sz w:val="24"/>
          <w:highlight w:val="none"/>
        </w:rPr>
      </w:pPr>
    </w:p>
    <w:p w14:paraId="6E187D3A">
      <w:pPr>
        <w:tabs>
          <w:tab w:val="left" w:pos="6300"/>
        </w:tabs>
        <w:snapToGrid w:val="0"/>
        <w:spacing w:line="500" w:lineRule="exact"/>
        <w:ind w:firstLine="570"/>
        <w:rPr>
          <w:rFonts w:hint="eastAsia" w:ascii="宋体" w:hAnsi="宋体" w:eastAsia="宋体" w:cs="宋体"/>
          <w:color w:val="auto"/>
          <w:sz w:val="24"/>
          <w:highlight w:val="none"/>
        </w:rPr>
      </w:pPr>
    </w:p>
    <w:p w14:paraId="697CBACF">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65C4ECC6">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（签字或盖章）                                （签字或盖章）</w:t>
      </w:r>
    </w:p>
    <w:p w14:paraId="0BDB4F8D">
      <w:pPr>
        <w:tabs>
          <w:tab w:val="left" w:pos="6300"/>
        </w:tabs>
        <w:snapToGrid w:val="0"/>
        <w:spacing w:line="500" w:lineRule="exact"/>
        <w:ind w:firstLine="570"/>
        <w:rPr>
          <w:rFonts w:hint="eastAsia" w:ascii="宋体" w:hAnsi="宋体" w:eastAsia="宋体" w:cs="宋体"/>
          <w:color w:val="auto"/>
          <w:sz w:val="24"/>
          <w:szCs w:val="28"/>
          <w:highlight w:val="none"/>
        </w:rPr>
      </w:pPr>
    </w:p>
    <w:p w14:paraId="163B8EA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176E426B">
      <w:pPr>
        <w:tabs>
          <w:tab w:val="left" w:pos="6300"/>
        </w:tabs>
        <w:snapToGrid w:val="0"/>
        <w:spacing w:line="500" w:lineRule="exact"/>
        <w:ind w:firstLine="570"/>
        <w:rPr>
          <w:rFonts w:hint="eastAsia" w:ascii="宋体" w:hAnsi="宋体" w:eastAsia="宋体" w:cs="宋体"/>
          <w:color w:val="auto"/>
          <w:sz w:val="24"/>
          <w:highlight w:val="none"/>
        </w:rPr>
      </w:pPr>
    </w:p>
    <w:p w14:paraId="4611A178">
      <w:pPr>
        <w:tabs>
          <w:tab w:val="left" w:pos="6300"/>
        </w:tabs>
        <w:snapToGrid w:val="0"/>
        <w:spacing w:line="500" w:lineRule="exact"/>
        <w:ind w:firstLine="570"/>
        <w:rPr>
          <w:rFonts w:hint="eastAsia" w:ascii="宋体" w:hAnsi="宋体" w:eastAsia="宋体" w:cs="宋体"/>
          <w:color w:val="auto"/>
          <w:sz w:val="24"/>
          <w:highlight w:val="none"/>
        </w:rPr>
      </w:pPr>
    </w:p>
    <w:p w14:paraId="504B7F7B">
      <w:pPr>
        <w:tabs>
          <w:tab w:val="left" w:pos="6300"/>
        </w:tabs>
        <w:snapToGrid w:val="0"/>
        <w:spacing w:line="500" w:lineRule="exact"/>
        <w:ind w:firstLine="570"/>
        <w:rPr>
          <w:rFonts w:hint="eastAsia" w:ascii="宋体" w:hAnsi="宋体" w:eastAsia="宋体" w:cs="宋体"/>
          <w:color w:val="auto"/>
          <w:sz w:val="24"/>
          <w:highlight w:val="none"/>
        </w:rPr>
      </w:pPr>
    </w:p>
    <w:p w14:paraId="6C5EFE0F">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F5E9C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36925F7D">
      <w:pPr>
        <w:tabs>
          <w:tab w:val="left" w:pos="6300"/>
        </w:tabs>
        <w:snapToGrid w:val="0"/>
        <w:spacing w:line="500" w:lineRule="exact"/>
        <w:ind w:right="480" w:firstLine="570"/>
        <w:jc w:val="right"/>
        <w:rPr>
          <w:rFonts w:hint="eastAsia" w:ascii="宋体" w:hAnsi="宋体" w:eastAsia="宋体" w:cs="宋体"/>
          <w:color w:val="auto"/>
          <w:sz w:val="24"/>
          <w:highlight w:val="none"/>
        </w:rPr>
      </w:pPr>
    </w:p>
    <w:p w14:paraId="3F0D7011">
      <w:pPr>
        <w:widowControl/>
        <w:spacing w:line="400" w:lineRule="exact"/>
        <w:ind w:firstLine="56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column"/>
      </w:r>
      <w:bookmarkStart w:id="266" w:name="_Toc14422"/>
      <w:r>
        <w:rPr>
          <w:rFonts w:hint="eastAsia" w:ascii="宋体" w:hAnsi="宋体" w:eastAsia="宋体" w:cs="宋体"/>
          <w:color w:val="auto"/>
          <w:sz w:val="24"/>
          <w:szCs w:val="24"/>
          <w:highlight w:val="none"/>
        </w:rPr>
        <w:t>（四）基本资格条件承诺函（格式）</w:t>
      </w:r>
    </w:p>
    <w:p w14:paraId="46909035">
      <w:pPr>
        <w:tabs>
          <w:tab w:val="left" w:pos="6300"/>
        </w:tabs>
        <w:snapToGrid w:val="0"/>
        <w:spacing w:line="530" w:lineRule="exact"/>
        <w:rPr>
          <w:rFonts w:hint="eastAsia" w:ascii="宋体" w:hAnsi="宋体" w:eastAsia="宋体" w:cs="宋体"/>
          <w:color w:val="auto"/>
          <w:sz w:val="24"/>
          <w:highlight w:val="none"/>
        </w:rPr>
      </w:pPr>
    </w:p>
    <w:p w14:paraId="636CDB85">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（采购人名称）：</w:t>
      </w:r>
    </w:p>
    <w:p w14:paraId="15B1D8BA">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07C317B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65D0687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5970EA7">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2B116B93">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4637AAA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04F7BA60">
      <w:pPr>
        <w:tabs>
          <w:tab w:val="left" w:pos="6300"/>
        </w:tabs>
        <w:snapToGrid w:val="0"/>
        <w:spacing w:line="530" w:lineRule="exact"/>
        <w:rPr>
          <w:rFonts w:hint="eastAsia" w:ascii="宋体" w:hAnsi="宋体" w:eastAsia="宋体" w:cs="宋体"/>
          <w:color w:val="auto"/>
          <w:sz w:val="24"/>
          <w:szCs w:val="24"/>
          <w:highlight w:val="none"/>
        </w:rPr>
      </w:pPr>
    </w:p>
    <w:p w14:paraId="0C2FE6D0">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7571A03">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29A19019">
      <w:pPr>
        <w:tabs>
          <w:tab w:val="left" w:pos="6300"/>
        </w:tabs>
        <w:snapToGrid w:val="0"/>
        <w:spacing w:line="500" w:lineRule="exact"/>
        <w:ind w:firstLine="570"/>
        <w:rPr>
          <w:rFonts w:hint="eastAsia" w:ascii="宋体" w:hAnsi="宋体" w:eastAsia="宋体" w:cs="宋体"/>
          <w:color w:val="auto"/>
          <w:sz w:val="24"/>
          <w:szCs w:val="24"/>
          <w:highlight w:val="none"/>
        </w:rPr>
      </w:pPr>
    </w:p>
    <w:p w14:paraId="4A5D5558">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2C3955ED">
      <w:pPr>
        <w:tabs>
          <w:tab w:val="left" w:pos="6300"/>
        </w:tabs>
        <w:snapToGrid w:val="0"/>
        <w:spacing w:line="500" w:lineRule="exact"/>
        <w:ind w:firstLine="480" w:firstLineChars="200"/>
        <w:rPr>
          <w:rFonts w:hint="eastAsia" w:ascii="宋体" w:hAnsi="宋体" w:eastAsia="宋体" w:cs="宋体"/>
          <w:color w:val="auto"/>
          <w:sz w:val="24"/>
          <w:szCs w:val="24"/>
          <w:highlight w:val="none"/>
        </w:rPr>
      </w:pPr>
    </w:p>
    <w:p w14:paraId="330FDE7F">
      <w:pPr>
        <w:pStyle w:val="5"/>
        <w:rPr>
          <w:rFonts w:hint="eastAsia" w:ascii="宋体" w:hAnsi="宋体" w:eastAsia="宋体" w:cs="宋体"/>
          <w:color w:val="auto"/>
          <w:sz w:val="24"/>
          <w:szCs w:val="24"/>
          <w:highlight w:val="none"/>
        </w:rPr>
      </w:pPr>
    </w:p>
    <w:p w14:paraId="408A02CB">
      <w:pPr>
        <w:rPr>
          <w:rFonts w:hint="eastAsia" w:ascii="宋体" w:hAnsi="宋体" w:eastAsia="宋体" w:cs="宋体"/>
          <w:color w:val="auto"/>
          <w:sz w:val="24"/>
          <w:szCs w:val="24"/>
          <w:highlight w:val="none"/>
        </w:rPr>
      </w:pPr>
    </w:p>
    <w:p w14:paraId="0A8772BD">
      <w:pPr>
        <w:pStyle w:val="5"/>
        <w:rPr>
          <w:rFonts w:hint="eastAsia" w:ascii="宋体" w:hAnsi="宋体" w:eastAsia="宋体" w:cs="宋体"/>
          <w:color w:val="auto"/>
          <w:sz w:val="24"/>
          <w:szCs w:val="24"/>
          <w:highlight w:val="none"/>
        </w:rPr>
      </w:pPr>
    </w:p>
    <w:p w14:paraId="4227B83C">
      <w:pPr>
        <w:rPr>
          <w:rFonts w:hint="eastAsia" w:ascii="宋体" w:hAnsi="宋体" w:eastAsia="宋体" w:cs="宋体"/>
          <w:color w:val="auto"/>
          <w:sz w:val="24"/>
          <w:szCs w:val="24"/>
          <w:highlight w:val="none"/>
        </w:rPr>
      </w:pPr>
    </w:p>
    <w:p w14:paraId="7BAB73A4">
      <w:pPr>
        <w:tabs>
          <w:tab w:val="left" w:pos="6300"/>
        </w:tabs>
        <w:snapToGrid w:val="0"/>
        <w:spacing w:line="500" w:lineRule="exact"/>
        <w:ind w:firstLine="570"/>
        <w:rPr>
          <w:rFonts w:hint="eastAsia" w:ascii="宋体" w:hAnsi="宋体" w:eastAsia="宋体" w:cs="宋体"/>
          <w:color w:val="auto"/>
          <w:sz w:val="24"/>
          <w:szCs w:val="24"/>
          <w:highlight w:val="none"/>
        </w:rPr>
      </w:pPr>
    </w:p>
    <w:p w14:paraId="7FFEBA5B">
      <w:pPr>
        <w:tabs>
          <w:tab w:val="left" w:pos="6300"/>
        </w:tabs>
        <w:snapToGrid w:val="0"/>
        <w:spacing w:line="500" w:lineRule="exact"/>
        <w:ind w:firstLine="570"/>
        <w:rPr>
          <w:rFonts w:hint="eastAsia" w:ascii="宋体" w:hAnsi="宋体" w:eastAsia="宋体" w:cs="宋体"/>
          <w:color w:val="auto"/>
          <w:sz w:val="24"/>
          <w:szCs w:val="24"/>
          <w:highlight w:val="none"/>
        </w:rPr>
      </w:pPr>
    </w:p>
    <w:p w14:paraId="3ABF8A15">
      <w:pPr>
        <w:tabs>
          <w:tab w:val="left" w:pos="6300"/>
        </w:tabs>
        <w:snapToGrid w:val="0"/>
        <w:spacing w:line="500" w:lineRule="exact"/>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（五）特定资格条件证明文件（如果有）</w:t>
      </w:r>
    </w:p>
    <w:p w14:paraId="7E418EA7">
      <w:pPr>
        <w:pStyle w:val="5"/>
        <w:spacing w:before="0" w:after="0" w:line="360" w:lineRule="auto"/>
        <w:rPr>
          <w:rFonts w:hint="eastAsia" w:ascii="宋体" w:hAnsi="宋体" w:eastAsia="宋体" w:cs="宋体"/>
          <w:b w:val="0"/>
          <w:bCs/>
          <w:color w:val="auto"/>
          <w:highlight w:val="none"/>
        </w:rPr>
      </w:pPr>
      <w:r>
        <w:rPr>
          <w:rFonts w:hint="eastAsia" w:ascii="宋体" w:hAnsi="宋体" w:eastAsia="宋体" w:cs="宋体"/>
          <w:b w:val="0"/>
          <w:color w:val="auto"/>
          <w:sz w:val="28"/>
          <w:highlight w:val="none"/>
        </w:rPr>
        <w:br w:type="page"/>
      </w:r>
      <w:bookmarkStart w:id="267" w:name="_Toc15318"/>
      <w:bookmarkStart w:id="268" w:name="_Toc17417"/>
      <w:bookmarkStart w:id="269" w:name="_Toc5951"/>
      <w:bookmarkStart w:id="270" w:name="_Toc26481"/>
      <w:r>
        <w:rPr>
          <w:rFonts w:hint="eastAsia" w:ascii="宋体" w:hAnsi="宋体" w:eastAsia="宋体" w:cs="宋体"/>
          <w:b w:val="0"/>
          <w:bCs/>
          <w:color w:val="auto"/>
          <w:sz w:val="24"/>
          <w:szCs w:val="24"/>
          <w:highlight w:val="none"/>
        </w:rPr>
        <w:t>五、其他应提供的资料</w:t>
      </w:r>
      <w:bookmarkEnd w:id="266"/>
      <w:bookmarkEnd w:id="267"/>
      <w:bookmarkEnd w:id="268"/>
      <w:bookmarkEnd w:id="269"/>
      <w:bookmarkEnd w:id="270"/>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如有，格式自拟）</w:t>
      </w:r>
    </w:p>
    <w:p w14:paraId="76A8F3B8">
      <w:pPr>
        <w:tabs>
          <w:tab w:val="left" w:pos="6300"/>
        </w:tabs>
        <w:snapToGrid w:val="0"/>
        <w:spacing w:line="500" w:lineRule="exact"/>
        <w:ind w:firstLine="570"/>
        <w:rPr>
          <w:rFonts w:hint="eastAsia" w:ascii="宋体" w:hAnsi="宋体" w:eastAsia="宋体" w:cs="宋体"/>
          <w:color w:val="auto"/>
          <w:sz w:val="24"/>
          <w:szCs w:val="24"/>
          <w:highlight w:val="none"/>
        </w:rPr>
      </w:pPr>
      <w:bookmarkStart w:id="271" w:name="_Toc136879718"/>
      <w:bookmarkStart w:id="272" w:name="_Toc10494"/>
      <w:bookmarkStart w:id="273" w:name="_Toc27041"/>
      <w:bookmarkStart w:id="274" w:name="_Toc136880175"/>
    </w:p>
    <w:bookmarkEnd w:id="271"/>
    <w:bookmarkEnd w:id="272"/>
    <w:bookmarkEnd w:id="273"/>
    <w:bookmarkEnd w:id="274"/>
    <w:p w14:paraId="541B9CE8">
      <w:pPr>
        <w:spacing w:line="360" w:lineRule="auto"/>
        <w:ind w:firstLine="480" w:firstLineChars="200"/>
        <w:jc w:val="center"/>
        <w:rPr>
          <w:rFonts w:hint="eastAsia" w:ascii="宋体" w:hAnsi="宋体" w:eastAsia="宋体" w:cs="宋体"/>
          <w:color w:val="auto"/>
          <w:sz w:val="24"/>
          <w:szCs w:val="24"/>
          <w:highlight w:val="none"/>
        </w:rPr>
      </w:pPr>
    </w:p>
    <w:p w14:paraId="5AEE5F3E">
      <w:pPr>
        <w:spacing w:line="400" w:lineRule="exact"/>
        <w:ind w:firstLine="480" w:firstLineChars="200"/>
        <w:jc w:val="center"/>
        <w:rPr>
          <w:rFonts w:hint="eastAsia" w:ascii="宋体" w:hAnsi="宋体" w:eastAsia="宋体" w:cs="宋体"/>
          <w:color w:val="auto"/>
          <w:sz w:val="24"/>
          <w:szCs w:val="24"/>
          <w:highlight w:val="none"/>
        </w:rPr>
      </w:pPr>
    </w:p>
    <w:p w14:paraId="4B6ACD0F">
      <w:pPr>
        <w:spacing w:line="400" w:lineRule="exact"/>
        <w:ind w:firstLine="480" w:firstLineChars="200"/>
        <w:jc w:val="center"/>
        <w:rPr>
          <w:rFonts w:hint="eastAsia" w:ascii="宋体" w:hAnsi="宋体" w:eastAsia="宋体" w:cs="宋体"/>
          <w:color w:val="auto"/>
          <w:sz w:val="24"/>
          <w:szCs w:val="24"/>
          <w:highlight w:val="none"/>
        </w:rPr>
      </w:pPr>
    </w:p>
    <w:p w14:paraId="354BCB95">
      <w:pPr>
        <w:spacing w:line="400" w:lineRule="exact"/>
        <w:ind w:firstLine="480" w:firstLineChars="200"/>
        <w:jc w:val="center"/>
        <w:rPr>
          <w:rFonts w:hint="eastAsia" w:ascii="宋体" w:hAnsi="宋体" w:eastAsia="宋体" w:cs="宋体"/>
          <w:color w:val="auto"/>
          <w:sz w:val="24"/>
          <w:szCs w:val="24"/>
          <w:highlight w:val="none"/>
        </w:rPr>
      </w:pPr>
    </w:p>
    <w:p w14:paraId="39BEDEC2">
      <w:pPr>
        <w:spacing w:line="40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p w14:paraId="19A2B809">
      <w:pPr>
        <w:spacing w:line="360" w:lineRule="auto"/>
        <w:ind w:firstLine="480" w:firstLineChars="200"/>
        <w:rPr>
          <w:rFonts w:hint="eastAsia" w:ascii="宋体" w:hAnsi="宋体" w:eastAsia="宋体" w:cs="宋体"/>
          <w:color w:val="auto"/>
          <w:sz w:val="24"/>
          <w:szCs w:val="24"/>
          <w:highlight w:val="none"/>
        </w:rPr>
      </w:pPr>
    </w:p>
    <w:p w14:paraId="22B5AEC6">
      <w:pPr>
        <w:spacing w:line="360" w:lineRule="auto"/>
        <w:ind w:firstLine="480" w:firstLineChars="200"/>
        <w:jc w:val="center"/>
        <w:rPr>
          <w:rFonts w:hint="eastAsia" w:ascii="宋体" w:hAnsi="宋体" w:eastAsia="宋体" w:cs="宋体"/>
          <w:color w:val="auto"/>
          <w:sz w:val="24"/>
          <w:szCs w:val="24"/>
          <w:highlight w:val="none"/>
        </w:rPr>
      </w:pPr>
    </w:p>
    <w:p w14:paraId="4264E35B">
      <w:pPr>
        <w:spacing w:line="360" w:lineRule="auto"/>
        <w:ind w:firstLine="480" w:firstLineChars="200"/>
        <w:jc w:val="center"/>
        <w:rPr>
          <w:rFonts w:hint="eastAsia" w:ascii="宋体" w:hAnsi="宋体" w:eastAsia="宋体" w:cs="宋体"/>
          <w:color w:val="auto"/>
          <w:sz w:val="24"/>
          <w:szCs w:val="24"/>
          <w:highlight w:val="none"/>
        </w:rPr>
      </w:pPr>
    </w:p>
    <w:p w14:paraId="18F2704C">
      <w:pPr>
        <w:spacing w:line="360" w:lineRule="auto"/>
        <w:ind w:firstLine="480" w:firstLineChars="200"/>
        <w:jc w:val="center"/>
        <w:rPr>
          <w:rFonts w:hint="eastAsia" w:ascii="宋体" w:hAnsi="宋体" w:eastAsia="宋体" w:cs="宋体"/>
          <w:color w:val="auto"/>
          <w:sz w:val="24"/>
          <w:szCs w:val="24"/>
          <w:highlight w:val="none"/>
        </w:rPr>
      </w:pPr>
    </w:p>
    <w:p w14:paraId="68A7BEDF">
      <w:pPr>
        <w:spacing w:line="360" w:lineRule="auto"/>
        <w:ind w:firstLine="480" w:firstLineChars="200"/>
        <w:jc w:val="center"/>
        <w:rPr>
          <w:rFonts w:hint="eastAsia" w:ascii="宋体" w:hAnsi="宋体" w:eastAsia="宋体" w:cs="宋体"/>
          <w:color w:val="auto"/>
          <w:sz w:val="24"/>
          <w:szCs w:val="24"/>
          <w:highlight w:val="none"/>
        </w:rPr>
      </w:pPr>
    </w:p>
    <w:p w14:paraId="006DD9E9">
      <w:pPr>
        <w:spacing w:line="360" w:lineRule="auto"/>
        <w:ind w:firstLine="480" w:firstLineChars="200"/>
        <w:jc w:val="center"/>
        <w:rPr>
          <w:rFonts w:hint="eastAsia" w:ascii="宋体" w:hAnsi="宋体" w:eastAsia="宋体" w:cs="宋体"/>
          <w:color w:val="auto"/>
          <w:sz w:val="24"/>
          <w:szCs w:val="24"/>
          <w:highlight w:val="none"/>
        </w:rPr>
      </w:pPr>
    </w:p>
    <w:p w14:paraId="68014A4C">
      <w:pPr>
        <w:pStyle w:val="126"/>
        <w:spacing w:line="20" w:lineRule="atLeast"/>
        <w:jc w:val="center"/>
        <w:rPr>
          <w:rFonts w:hint="eastAsia" w:ascii="宋体" w:hAnsi="宋体" w:eastAsia="宋体" w:cs="宋体"/>
          <w:color w:val="auto"/>
          <w:highlight w:val="none"/>
        </w:rPr>
      </w:pPr>
    </w:p>
    <w:p w14:paraId="208B040D">
      <w:pPr>
        <w:pStyle w:val="126"/>
        <w:spacing w:line="20" w:lineRule="atLeast"/>
        <w:jc w:val="center"/>
        <w:rPr>
          <w:rFonts w:hint="eastAsia" w:ascii="宋体" w:hAnsi="宋体" w:eastAsia="宋体" w:cs="宋体"/>
          <w:color w:val="auto"/>
          <w:highlight w:val="none"/>
        </w:rPr>
      </w:pPr>
    </w:p>
    <w:sectPr>
      <w:headerReference r:id="rId7" w:type="default"/>
      <w:footerReference r:id="rId8" w:type="default"/>
      <w:pgSz w:w="11907" w:h="16840"/>
      <w:pgMar w:top="1134" w:right="1191" w:bottom="1134" w:left="1304" w:header="62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74DFC38F-E2F9-42B3-ACE9-EAF2658B823F}"/>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1" w:csb1="0000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embedRegular r:id="rId2" w:fontKey="{C735E485-24F7-4E09-973D-60C9C9F9D7BF}"/>
  </w:font>
  <w:font w:name="方正仿宋_GBK">
    <w:panose1 w:val="02000000000000000000"/>
    <w:charset w:val="86"/>
    <w:family w:val="script"/>
    <w:pitch w:val="default"/>
    <w:sig w:usb0="A00002BF" w:usb1="38CF7CFA" w:usb2="00082016" w:usb3="00000000" w:csb0="00040001" w:csb1="00000000"/>
    <w:embedRegular r:id="rId3" w:fontKey="{9FCC230A-AA94-4C64-885C-5416822D84A2}"/>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80C40">
    <w:pPr>
      <w:pStyle w:val="36"/>
      <w:framePr w:wrap="around" w:vAnchor="text" w:hAnchor="margin" w:xAlign="center" w:y="1"/>
      <w:jc w:val="center"/>
      <w:rPr>
        <w:rStyle w:val="65"/>
        <w:rFonts w:ascii="宋体"/>
        <w:sz w:val="21"/>
        <w:szCs w:val="21"/>
      </w:rPr>
    </w:pPr>
    <w:r>
      <w:rPr>
        <w:rFonts w:ascii="宋体"/>
        <w:sz w:val="21"/>
        <w:szCs w:val="21"/>
      </w:rPr>
      <w:fldChar w:fldCharType="begin"/>
    </w:r>
    <w:r>
      <w:rPr>
        <w:rStyle w:val="65"/>
        <w:rFonts w:ascii="宋体"/>
        <w:sz w:val="21"/>
        <w:szCs w:val="21"/>
      </w:rPr>
      <w:instrText xml:space="preserve">PAGE  </w:instrText>
    </w:r>
    <w:r>
      <w:rPr>
        <w:rFonts w:ascii="宋体"/>
        <w:sz w:val="21"/>
        <w:szCs w:val="21"/>
      </w:rPr>
      <w:fldChar w:fldCharType="separate"/>
    </w:r>
    <w:r>
      <w:rPr>
        <w:rStyle w:val="65"/>
        <w:rFonts w:ascii="宋体"/>
        <w:sz w:val="21"/>
        <w:szCs w:val="21"/>
      </w:rPr>
      <w:t>- 6 -</w:t>
    </w:r>
    <w:r>
      <w:rPr>
        <w:rFonts w:ascii="宋体"/>
        <w:sz w:val="21"/>
        <w:szCs w:val="21"/>
      </w:rPr>
      <w:fldChar w:fldCharType="end"/>
    </w:r>
  </w:p>
  <w:p w14:paraId="741B662C">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BD5C2">
    <w:pPr>
      <w:pStyle w:val="36"/>
      <w:ind w:right="360"/>
      <w:jc w:val="center"/>
    </w:pPr>
    <w:r>
      <w:fldChar w:fldCharType="begin"/>
    </w:r>
    <w:r>
      <w:rPr>
        <w:rStyle w:val="65"/>
      </w:rPr>
      <w:instrText xml:space="preserve"> PAGE </w:instrText>
    </w:r>
    <w:r>
      <w:fldChar w:fldCharType="separate"/>
    </w:r>
    <w:r>
      <w:rPr>
        <w:rStyle w:val="65"/>
      </w:rPr>
      <w:t>- 31 -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7F436">
    <w:pPr>
      <w:pStyle w:val="36"/>
      <w:jc w:val="center"/>
      <w:rPr>
        <w:rFonts w:ascii="宋体" w:hAnsi="宋体"/>
        <w:sz w:val="21"/>
        <w:szCs w:val="21"/>
      </w:rPr>
    </w:pPr>
    <w:r>
      <w:rPr>
        <w:rFonts w:ascii="宋体" w:hAnsi="宋体"/>
        <w:sz w:val="21"/>
        <w:szCs w:val="21"/>
      </w:rPr>
      <w:fldChar w:fldCharType="begin"/>
    </w:r>
    <w:r>
      <w:rPr>
        <w:rStyle w:val="65"/>
        <w:rFonts w:ascii="宋体" w:hAnsi="宋体"/>
        <w:sz w:val="21"/>
        <w:szCs w:val="21"/>
      </w:rPr>
      <w:instrText xml:space="preserve"> PAGE </w:instrText>
    </w:r>
    <w:r>
      <w:rPr>
        <w:rFonts w:ascii="宋体" w:hAnsi="宋体"/>
        <w:sz w:val="21"/>
        <w:szCs w:val="21"/>
      </w:rPr>
      <w:fldChar w:fldCharType="separate"/>
    </w:r>
    <w:r>
      <w:rPr>
        <w:rStyle w:val="65"/>
        <w:rFonts w:ascii="宋体" w:hAnsi="宋体"/>
        <w:sz w:val="21"/>
        <w:szCs w:val="21"/>
      </w:rPr>
      <w:t>- 65 -</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8070A">
    <w:pPr>
      <w:pStyle w:val="38"/>
      <w:jc w:val="both"/>
      <w:rPr>
        <w:rFonts w:ascii="仿宋" w:hAnsi="仿宋" w:eastAsia="仿宋" w:cs="仿宋"/>
        <w:sz w:val="24"/>
        <w:szCs w:val="24"/>
      </w:rPr>
    </w:pPr>
    <w:r>
      <w:rPr>
        <w:rFonts w:hint="eastAsia" w:ascii="仿宋" w:hAnsi="仿宋" w:eastAsia="仿宋" w:cs="仿宋"/>
        <w:sz w:val="24"/>
        <w:szCs w:val="24"/>
        <w:lang w:val="en-US" w:eastAsia="zh-CN"/>
      </w:rPr>
      <w:t>重庆千诺工程项目管理有限公司</w:t>
    </w:r>
    <w:r>
      <w:rPr>
        <w:rFonts w:hint="eastAsia" w:ascii="仿宋" w:hAnsi="仿宋" w:eastAsia="仿宋" w:cs="仿宋"/>
        <w:sz w:val="24"/>
        <w:szCs w:val="24"/>
      </w:rPr>
      <w:t xml:space="preserve">                                网上竞采文件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08F01">
    <w:pPr>
      <w:pStyle w:val="38"/>
      <w:jc w:val="both"/>
      <w:rPr>
        <w:rFonts w:ascii="仿宋" w:hAnsi="仿宋" w:eastAsia="仿宋" w:cs="仿宋"/>
        <w:sz w:val="24"/>
        <w:szCs w:val="24"/>
      </w:rPr>
    </w:pPr>
    <w:r>
      <w:rPr>
        <w:rFonts w:hint="eastAsia" w:ascii="仿宋" w:hAnsi="仿宋" w:eastAsia="仿宋" w:cs="仿宋"/>
        <w:sz w:val="24"/>
        <w:szCs w:val="24"/>
        <w:lang w:eastAsia="zh-CN"/>
      </w:rPr>
      <w:t>重庆千诺工程项目管理有限公司</w:t>
    </w:r>
    <w:r>
      <w:rPr>
        <w:rFonts w:hint="eastAsia" w:ascii="仿宋" w:hAnsi="仿宋" w:eastAsia="仿宋" w:cs="仿宋"/>
        <w:sz w:val="24"/>
        <w:szCs w:val="24"/>
      </w:rPr>
      <w:t xml:space="preserve">                                     网上竞采文件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B2FC2">
    <w:pPr>
      <w:pStyle w:val="38"/>
      <w:jc w:val="both"/>
    </w:pPr>
    <w:r>
      <w:rPr>
        <w:rFonts w:hint="eastAsia" w:ascii="方正仿宋_GBK" w:eastAsia="方正仿宋_GBK"/>
        <w:sz w:val="21"/>
        <w:szCs w:val="21"/>
        <w:lang w:eastAsia="zh-CN"/>
      </w:rPr>
      <w:t>重庆千诺工程项目管理有限公司</w:t>
    </w:r>
    <w:r>
      <w:rPr>
        <w:rFonts w:hint="eastAsia" w:ascii="方正仿宋_GBK" w:eastAsia="方正仿宋_GBK"/>
        <w:sz w:val="21"/>
        <w:szCs w:val="21"/>
      </w:rPr>
      <w:t xml:space="preserve">                                               网上竞采文件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5EF082"/>
    <w:multiLevelType w:val="singleLevel"/>
    <w:tmpl w:val="BB5EF082"/>
    <w:lvl w:ilvl="0" w:tentative="0">
      <w:start w:val="2"/>
      <w:numFmt w:val="chineseCounting"/>
      <w:suff w:val="nothing"/>
      <w:lvlText w:val="（%1）"/>
      <w:lvlJc w:val="left"/>
      <w:rPr>
        <w:rFonts w:hint="eastAsia"/>
      </w:rPr>
    </w:lvl>
  </w:abstractNum>
  <w:abstractNum w:abstractNumId="1">
    <w:nsid w:val="D5CF5DDE"/>
    <w:multiLevelType w:val="singleLevel"/>
    <w:tmpl w:val="D5CF5DDE"/>
    <w:lvl w:ilvl="0" w:tentative="0">
      <w:start w:val="1"/>
      <w:numFmt w:val="chineseCounting"/>
      <w:suff w:val="nothing"/>
      <w:lvlText w:val="%1、"/>
      <w:lvlJc w:val="left"/>
      <w:rPr>
        <w:rFonts w:hint="eastAsia"/>
      </w:rPr>
    </w:lvl>
  </w:abstractNum>
  <w:abstractNum w:abstractNumId="2">
    <w:nsid w:val="FAA715AA"/>
    <w:multiLevelType w:val="singleLevel"/>
    <w:tmpl w:val="FAA715AA"/>
    <w:lvl w:ilvl="0" w:tentative="0">
      <w:start w:val="2"/>
      <w:numFmt w:val="decimal"/>
      <w:lvlText w:val="%1."/>
      <w:lvlJc w:val="left"/>
      <w:pPr>
        <w:tabs>
          <w:tab w:val="left" w:pos="312"/>
        </w:tabs>
      </w:pPr>
    </w:lvl>
  </w:abstractNum>
  <w:abstractNum w:abstractNumId="3">
    <w:nsid w:val="00000009"/>
    <w:multiLevelType w:val="multilevel"/>
    <w:tmpl w:val="00000009"/>
    <w:lvl w:ilvl="0" w:tentative="0">
      <w:start w:val="1"/>
      <w:numFmt w:val="upperLetter"/>
      <w:pStyle w:val="177"/>
      <w:suff w:val="nothing"/>
      <w:lvlText w:val="附　录　%1"/>
      <w:lvlJc w:val="left"/>
      <w:pPr>
        <w:ind w:left="0" w:firstLine="0"/>
      </w:pPr>
      <w:rPr>
        <w:rFonts w:hint="eastAsia" w:ascii="黑体" w:hAnsi="Times New Roman" w:eastAsia="黑体"/>
        <w:b w:val="0"/>
        <w:i w:val="0"/>
        <w:sz w:val="21"/>
      </w:rPr>
    </w:lvl>
    <w:lvl w:ilvl="1" w:tentative="0">
      <w:start w:val="1"/>
      <w:numFmt w:val="decimal"/>
      <w:pStyle w:val="195"/>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A"/>
    <w:multiLevelType w:val="multilevel"/>
    <w:tmpl w:val="0000000A"/>
    <w:lvl w:ilvl="0" w:tentative="0">
      <w:start w:val="1"/>
      <w:numFmt w:val="bullet"/>
      <w:pStyle w:val="16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B"/>
    <w:multiLevelType w:val="singleLevel"/>
    <w:tmpl w:val="0000000B"/>
    <w:lvl w:ilvl="0" w:tentative="0">
      <w:start w:val="1"/>
      <w:numFmt w:val="bullet"/>
      <w:pStyle w:val="184"/>
      <w:lvlText w:val=""/>
      <w:lvlJc w:val="left"/>
      <w:pPr>
        <w:tabs>
          <w:tab w:val="left" w:pos="360"/>
        </w:tabs>
        <w:ind w:left="360" w:hanging="360"/>
      </w:pPr>
      <w:rPr>
        <w:rFonts w:hint="default" w:ascii="Wingdings" w:hAnsi="Wingdings"/>
      </w:rPr>
    </w:lvl>
  </w:abstractNum>
  <w:abstractNum w:abstractNumId="6">
    <w:nsid w:val="0000000D"/>
    <w:multiLevelType w:val="singleLevel"/>
    <w:tmpl w:val="0000000D"/>
    <w:lvl w:ilvl="0" w:tentative="0">
      <w:start w:val="1"/>
      <w:numFmt w:val="bullet"/>
      <w:pStyle w:val="242"/>
      <w:lvlText w:val=""/>
      <w:lvlJc w:val="left"/>
      <w:pPr>
        <w:tabs>
          <w:tab w:val="left" w:pos="1200"/>
        </w:tabs>
        <w:ind w:left="1200" w:hanging="360"/>
      </w:pPr>
      <w:rPr>
        <w:rFonts w:hint="default" w:ascii="Wingdings" w:hAnsi="Wingdings"/>
      </w:rPr>
    </w:lvl>
  </w:abstractNum>
  <w:abstractNum w:abstractNumId="7">
    <w:nsid w:val="0000000E"/>
    <w:multiLevelType w:val="multilevel"/>
    <w:tmpl w:val="0000000E"/>
    <w:lvl w:ilvl="0" w:tentative="0">
      <w:start w:val="1"/>
      <w:numFmt w:val="bullet"/>
      <w:pStyle w:val="14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8">
    <w:nsid w:val="00000010"/>
    <w:multiLevelType w:val="singleLevel"/>
    <w:tmpl w:val="00000010"/>
    <w:lvl w:ilvl="0" w:tentative="0">
      <w:start w:val="1"/>
      <w:numFmt w:val="bullet"/>
      <w:pStyle w:val="176"/>
      <w:lvlText w:val=""/>
      <w:lvlJc w:val="left"/>
      <w:pPr>
        <w:tabs>
          <w:tab w:val="left" w:pos="1620"/>
        </w:tabs>
        <w:ind w:left="1620" w:hanging="360"/>
      </w:pPr>
      <w:rPr>
        <w:rFonts w:hint="default" w:ascii="Wingdings" w:hAnsi="Wingdings"/>
      </w:rPr>
    </w:lvl>
  </w:abstractNum>
  <w:abstractNum w:abstractNumId="9">
    <w:nsid w:val="00000011"/>
    <w:multiLevelType w:val="multilevel"/>
    <w:tmpl w:val="00000011"/>
    <w:lvl w:ilvl="0" w:tentative="0">
      <w:start w:val="1"/>
      <w:numFmt w:val="decimal"/>
      <w:pStyle w:val="206"/>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2"/>
    <w:multiLevelType w:val="multilevel"/>
    <w:tmpl w:val="00000012"/>
    <w:lvl w:ilvl="0" w:tentative="0">
      <w:start w:val="1"/>
      <w:numFmt w:val="bullet"/>
      <w:pStyle w:val="222"/>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2">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3">
    <w:nsid w:val="00000016"/>
    <w:multiLevelType w:val="singleLevel"/>
    <w:tmpl w:val="00000016"/>
    <w:lvl w:ilvl="0" w:tentative="0">
      <w:start w:val="1"/>
      <w:numFmt w:val="decimal"/>
      <w:pStyle w:val="127"/>
      <w:lvlText w:val="%1)"/>
      <w:lvlJc w:val="left"/>
      <w:pPr>
        <w:tabs>
          <w:tab w:val="left" w:pos="425"/>
        </w:tabs>
        <w:ind w:left="425" w:hanging="425"/>
      </w:pPr>
      <w:rPr>
        <w:rFonts w:hint="eastAsia"/>
      </w:rPr>
    </w:lvl>
  </w:abstractNum>
  <w:abstractNum w:abstractNumId="14">
    <w:nsid w:val="00000017"/>
    <w:multiLevelType w:val="multilevel"/>
    <w:tmpl w:val="00000017"/>
    <w:lvl w:ilvl="0" w:tentative="0">
      <w:start w:val="1"/>
      <w:numFmt w:val="chineseCountingThousand"/>
      <w:pStyle w:val="25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198"/>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12"/>
  </w:num>
  <w:num w:numId="3">
    <w:abstractNumId w:val="13"/>
  </w:num>
  <w:num w:numId="4">
    <w:abstractNumId w:val="7"/>
  </w:num>
  <w:num w:numId="5">
    <w:abstractNumId w:val="4"/>
  </w:num>
  <w:num w:numId="6">
    <w:abstractNumId w:val="8"/>
  </w:num>
  <w:num w:numId="7">
    <w:abstractNumId w:val="3"/>
  </w:num>
  <w:num w:numId="8">
    <w:abstractNumId w:val="5"/>
  </w:num>
  <w:num w:numId="9">
    <w:abstractNumId w:val="15"/>
  </w:num>
  <w:num w:numId="10">
    <w:abstractNumId w:val="9"/>
  </w:num>
  <w:num w:numId="11">
    <w:abstractNumId w:val="10"/>
  </w:num>
  <w:num w:numId="12">
    <w:abstractNumId w:val="6"/>
  </w:num>
  <w:num w:numId="13">
    <w:abstractNumId w:val="14"/>
  </w:num>
  <w:num w:numId="14">
    <w:abstractNumId w:val="1"/>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 w:name="KSO_WPS_MARK_KEY" w:val="466196e3-2bcf-42ae-96dc-6deba7c9db18"/>
  </w:docVars>
  <w:rsids>
    <w:rsidRoot w:val="00B50FC0"/>
    <w:rsid w:val="000661D3"/>
    <w:rsid w:val="0006680A"/>
    <w:rsid w:val="000851E6"/>
    <w:rsid w:val="000E7F13"/>
    <w:rsid w:val="0016285F"/>
    <w:rsid w:val="00166E1F"/>
    <w:rsid w:val="0019222D"/>
    <w:rsid w:val="002D3BA6"/>
    <w:rsid w:val="003222D6"/>
    <w:rsid w:val="00492675"/>
    <w:rsid w:val="0055698A"/>
    <w:rsid w:val="0060114B"/>
    <w:rsid w:val="00601ABD"/>
    <w:rsid w:val="0061627F"/>
    <w:rsid w:val="00632475"/>
    <w:rsid w:val="006E15F2"/>
    <w:rsid w:val="00760250"/>
    <w:rsid w:val="008214F7"/>
    <w:rsid w:val="00877DFA"/>
    <w:rsid w:val="0089674D"/>
    <w:rsid w:val="00985640"/>
    <w:rsid w:val="0099707F"/>
    <w:rsid w:val="009A721B"/>
    <w:rsid w:val="009B50C5"/>
    <w:rsid w:val="00A6769A"/>
    <w:rsid w:val="00AC1D8C"/>
    <w:rsid w:val="00AF7683"/>
    <w:rsid w:val="00B50FC0"/>
    <w:rsid w:val="00CB6E3A"/>
    <w:rsid w:val="00CC09AC"/>
    <w:rsid w:val="00CD75C2"/>
    <w:rsid w:val="00E42B9F"/>
    <w:rsid w:val="00E60A79"/>
    <w:rsid w:val="00F05E08"/>
    <w:rsid w:val="00F340E6"/>
    <w:rsid w:val="00F368F8"/>
    <w:rsid w:val="00F96D4B"/>
    <w:rsid w:val="011A5340"/>
    <w:rsid w:val="012807F8"/>
    <w:rsid w:val="01891B53"/>
    <w:rsid w:val="01C21457"/>
    <w:rsid w:val="0221276B"/>
    <w:rsid w:val="025877D0"/>
    <w:rsid w:val="026D64DC"/>
    <w:rsid w:val="027C16B8"/>
    <w:rsid w:val="0317318F"/>
    <w:rsid w:val="03556AB2"/>
    <w:rsid w:val="04382163"/>
    <w:rsid w:val="04676E77"/>
    <w:rsid w:val="04A63819"/>
    <w:rsid w:val="04F85FF1"/>
    <w:rsid w:val="05057701"/>
    <w:rsid w:val="05BB42A5"/>
    <w:rsid w:val="05FB28F4"/>
    <w:rsid w:val="06635A4F"/>
    <w:rsid w:val="072145DC"/>
    <w:rsid w:val="07ED235A"/>
    <w:rsid w:val="088B55C9"/>
    <w:rsid w:val="08B3253E"/>
    <w:rsid w:val="092C7268"/>
    <w:rsid w:val="09D1609A"/>
    <w:rsid w:val="09D77CF9"/>
    <w:rsid w:val="09ED2E9B"/>
    <w:rsid w:val="0A4B01E4"/>
    <w:rsid w:val="0A707BE7"/>
    <w:rsid w:val="0A7D7D7B"/>
    <w:rsid w:val="0AD61B81"/>
    <w:rsid w:val="0ADF4EB4"/>
    <w:rsid w:val="0B8961FD"/>
    <w:rsid w:val="0D0C2411"/>
    <w:rsid w:val="0E331896"/>
    <w:rsid w:val="0E671979"/>
    <w:rsid w:val="0F167D68"/>
    <w:rsid w:val="0F251EFA"/>
    <w:rsid w:val="0F2C1D70"/>
    <w:rsid w:val="0FAC1E0F"/>
    <w:rsid w:val="0FB35FED"/>
    <w:rsid w:val="0FC92E5D"/>
    <w:rsid w:val="10104F83"/>
    <w:rsid w:val="10D23E14"/>
    <w:rsid w:val="11060443"/>
    <w:rsid w:val="112F264C"/>
    <w:rsid w:val="118C42A1"/>
    <w:rsid w:val="11A541D1"/>
    <w:rsid w:val="11AE2F4A"/>
    <w:rsid w:val="11B31A46"/>
    <w:rsid w:val="11DD4F52"/>
    <w:rsid w:val="12227F59"/>
    <w:rsid w:val="12B60FA3"/>
    <w:rsid w:val="12F021A3"/>
    <w:rsid w:val="13054DB2"/>
    <w:rsid w:val="132412C3"/>
    <w:rsid w:val="133D2E2F"/>
    <w:rsid w:val="13E73C4E"/>
    <w:rsid w:val="14A33DD8"/>
    <w:rsid w:val="15D07BCF"/>
    <w:rsid w:val="16640530"/>
    <w:rsid w:val="16755E9F"/>
    <w:rsid w:val="171C5300"/>
    <w:rsid w:val="17492F0E"/>
    <w:rsid w:val="17881C2D"/>
    <w:rsid w:val="179F70B6"/>
    <w:rsid w:val="18785439"/>
    <w:rsid w:val="18A5104D"/>
    <w:rsid w:val="190F569C"/>
    <w:rsid w:val="1947355A"/>
    <w:rsid w:val="19F95FF3"/>
    <w:rsid w:val="19FC4286"/>
    <w:rsid w:val="1A6E148E"/>
    <w:rsid w:val="1A8216F7"/>
    <w:rsid w:val="1AB23A71"/>
    <w:rsid w:val="1B98237C"/>
    <w:rsid w:val="1B9F7EE3"/>
    <w:rsid w:val="1C220379"/>
    <w:rsid w:val="1C4A7CD9"/>
    <w:rsid w:val="1CBB6F3F"/>
    <w:rsid w:val="1D05527E"/>
    <w:rsid w:val="1D1516C2"/>
    <w:rsid w:val="1EBA7398"/>
    <w:rsid w:val="1EE44212"/>
    <w:rsid w:val="1F417171"/>
    <w:rsid w:val="1F6470B0"/>
    <w:rsid w:val="1F9F033C"/>
    <w:rsid w:val="1FA0658E"/>
    <w:rsid w:val="204F1D62"/>
    <w:rsid w:val="205729E2"/>
    <w:rsid w:val="20880DD0"/>
    <w:rsid w:val="20914128"/>
    <w:rsid w:val="20D90162"/>
    <w:rsid w:val="21A06DEB"/>
    <w:rsid w:val="21C226F3"/>
    <w:rsid w:val="220652BA"/>
    <w:rsid w:val="22FF5139"/>
    <w:rsid w:val="24672062"/>
    <w:rsid w:val="248C3E9A"/>
    <w:rsid w:val="248E2DE1"/>
    <w:rsid w:val="24AE4614"/>
    <w:rsid w:val="24CB3DC0"/>
    <w:rsid w:val="24D665AE"/>
    <w:rsid w:val="24E928B8"/>
    <w:rsid w:val="24FB6014"/>
    <w:rsid w:val="2614136F"/>
    <w:rsid w:val="26B20955"/>
    <w:rsid w:val="27420045"/>
    <w:rsid w:val="278A4A2C"/>
    <w:rsid w:val="28456613"/>
    <w:rsid w:val="2860721B"/>
    <w:rsid w:val="28A80261"/>
    <w:rsid w:val="292567E1"/>
    <w:rsid w:val="29626024"/>
    <w:rsid w:val="2B05230C"/>
    <w:rsid w:val="2BFC0FF0"/>
    <w:rsid w:val="2C304924"/>
    <w:rsid w:val="2C426408"/>
    <w:rsid w:val="2CAD3314"/>
    <w:rsid w:val="2CC35BC3"/>
    <w:rsid w:val="2CCF2A57"/>
    <w:rsid w:val="2CED0673"/>
    <w:rsid w:val="2D2C2A74"/>
    <w:rsid w:val="2D3F79D7"/>
    <w:rsid w:val="2D9E007B"/>
    <w:rsid w:val="2DA76D39"/>
    <w:rsid w:val="2E4C297A"/>
    <w:rsid w:val="2E8207C4"/>
    <w:rsid w:val="2F5E2951"/>
    <w:rsid w:val="300761B5"/>
    <w:rsid w:val="300E2A05"/>
    <w:rsid w:val="303A24A6"/>
    <w:rsid w:val="304E59DB"/>
    <w:rsid w:val="3098247E"/>
    <w:rsid w:val="30FB789A"/>
    <w:rsid w:val="322122F4"/>
    <w:rsid w:val="322C3CB1"/>
    <w:rsid w:val="337E678E"/>
    <w:rsid w:val="338B4A07"/>
    <w:rsid w:val="347F407A"/>
    <w:rsid w:val="34C507EF"/>
    <w:rsid w:val="34D5216F"/>
    <w:rsid w:val="354D18D5"/>
    <w:rsid w:val="369062CC"/>
    <w:rsid w:val="36A65A03"/>
    <w:rsid w:val="36E14B30"/>
    <w:rsid w:val="36E33724"/>
    <w:rsid w:val="370E4697"/>
    <w:rsid w:val="371371EE"/>
    <w:rsid w:val="37206361"/>
    <w:rsid w:val="37411742"/>
    <w:rsid w:val="37B00EE0"/>
    <w:rsid w:val="38064393"/>
    <w:rsid w:val="380C6E13"/>
    <w:rsid w:val="386D0B7F"/>
    <w:rsid w:val="38705A0B"/>
    <w:rsid w:val="38934A8A"/>
    <w:rsid w:val="39C74C55"/>
    <w:rsid w:val="39F43377"/>
    <w:rsid w:val="3A170959"/>
    <w:rsid w:val="3A1C1BAF"/>
    <w:rsid w:val="3A305137"/>
    <w:rsid w:val="3A570589"/>
    <w:rsid w:val="3AE07D2F"/>
    <w:rsid w:val="3AF95E24"/>
    <w:rsid w:val="3B31460B"/>
    <w:rsid w:val="3B3836C7"/>
    <w:rsid w:val="3BB80457"/>
    <w:rsid w:val="3C2B6D87"/>
    <w:rsid w:val="3CAF5C6E"/>
    <w:rsid w:val="3D0D0E66"/>
    <w:rsid w:val="3D183C25"/>
    <w:rsid w:val="3D1909C8"/>
    <w:rsid w:val="3D5640D5"/>
    <w:rsid w:val="3DEE62BF"/>
    <w:rsid w:val="3E6D08CC"/>
    <w:rsid w:val="3F081602"/>
    <w:rsid w:val="3F7841B5"/>
    <w:rsid w:val="3F852AA5"/>
    <w:rsid w:val="3F99798D"/>
    <w:rsid w:val="3FB65C45"/>
    <w:rsid w:val="3FCF35E7"/>
    <w:rsid w:val="401270D9"/>
    <w:rsid w:val="406F4F58"/>
    <w:rsid w:val="40B732E0"/>
    <w:rsid w:val="40CE016E"/>
    <w:rsid w:val="40CE3973"/>
    <w:rsid w:val="41E158E5"/>
    <w:rsid w:val="42153520"/>
    <w:rsid w:val="424474C6"/>
    <w:rsid w:val="426B4971"/>
    <w:rsid w:val="42F04068"/>
    <w:rsid w:val="43171167"/>
    <w:rsid w:val="43326EBF"/>
    <w:rsid w:val="43901207"/>
    <w:rsid w:val="43D321DE"/>
    <w:rsid w:val="445251D5"/>
    <w:rsid w:val="44605159"/>
    <w:rsid w:val="44B7744D"/>
    <w:rsid w:val="4504286C"/>
    <w:rsid w:val="45144193"/>
    <w:rsid w:val="451D77E8"/>
    <w:rsid w:val="464F5D68"/>
    <w:rsid w:val="465D46FF"/>
    <w:rsid w:val="466924B3"/>
    <w:rsid w:val="46A25D38"/>
    <w:rsid w:val="46CB09CA"/>
    <w:rsid w:val="47384EDF"/>
    <w:rsid w:val="48167282"/>
    <w:rsid w:val="4843113A"/>
    <w:rsid w:val="48457423"/>
    <w:rsid w:val="48582566"/>
    <w:rsid w:val="48864335"/>
    <w:rsid w:val="49D22F38"/>
    <w:rsid w:val="49DD3664"/>
    <w:rsid w:val="4A7B03DF"/>
    <w:rsid w:val="4C2048B8"/>
    <w:rsid w:val="4C83217E"/>
    <w:rsid w:val="4CD60F5E"/>
    <w:rsid w:val="4D461C92"/>
    <w:rsid w:val="4D466727"/>
    <w:rsid w:val="4D50664E"/>
    <w:rsid w:val="4E7D0D4F"/>
    <w:rsid w:val="4EA70ED0"/>
    <w:rsid w:val="4F807FCA"/>
    <w:rsid w:val="4FCF212F"/>
    <w:rsid w:val="4FF95795"/>
    <w:rsid w:val="5067435B"/>
    <w:rsid w:val="51F7263B"/>
    <w:rsid w:val="52524C16"/>
    <w:rsid w:val="526606C2"/>
    <w:rsid w:val="5293012E"/>
    <w:rsid w:val="529C40E3"/>
    <w:rsid w:val="531D273D"/>
    <w:rsid w:val="5338205E"/>
    <w:rsid w:val="535527CB"/>
    <w:rsid w:val="53C108BF"/>
    <w:rsid w:val="53D24C9F"/>
    <w:rsid w:val="541A08A5"/>
    <w:rsid w:val="54D63934"/>
    <w:rsid w:val="54F02F3B"/>
    <w:rsid w:val="556D1537"/>
    <w:rsid w:val="56091A90"/>
    <w:rsid w:val="562904EF"/>
    <w:rsid w:val="5682571F"/>
    <w:rsid w:val="57E32488"/>
    <w:rsid w:val="58196DAC"/>
    <w:rsid w:val="58382B00"/>
    <w:rsid w:val="58EE3C77"/>
    <w:rsid w:val="59017D1E"/>
    <w:rsid w:val="59063F78"/>
    <w:rsid w:val="59594AC9"/>
    <w:rsid w:val="596A402B"/>
    <w:rsid w:val="599975CF"/>
    <w:rsid w:val="59C12681"/>
    <w:rsid w:val="59CE316E"/>
    <w:rsid w:val="5A627539"/>
    <w:rsid w:val="5A75672B"/>
    <w:rsid w:val="5A932270"/>
    <w:rsid w:val="5AD771BE"/>
    <w:rsid w:val="5B505E97"/>
    <w:rsid w:val="5BB21112"/>
    <w:rsid w:val="5C1E267D"/>
    <w:rsid w:val="5D1458EA"/>
    <w:rsid w:val="5D226789"/>
    <w:rsid w:val="5DF647A0"/>
    <w:rsid w:val="5DFF0E1E"/>
    <w:rsid w:val="5E503D20"/>
    <w:rsid w:val="5E886CE4"/>
    <w:rsid w:val="5EFB2B28"/>
    <w:rsid w:val="5F4571B2"/>
    <w:rsid w:val="60D5460C"/>
    <w:rsid w:val="61581B1D"/>
    <w:rsid w:val="61F72DEE"/>
    <w:rsid w:val="62B61E66"/>
    <w:rsid w:val="63D01E3F"/>
    <w:rsid w:val="643050EE"/>
    <w:rsid w:val="643248A8"/>
    <w:rsid w:val="65B64922"/>
    <w:rsid w:val="6645421B"/>
    <w:rsid w:val="669929BC"/>
    <w:rsid w:val="66B4618F"/>
    <w:rsid w:val="66B56861"/>
    <w:rsid w:val="66CD2666"/>
    <w:rsid w:val="66F7101E"/>
    <w:rsid w:val="66FE3167"/>
    <w:rsid w:val="670F1A60"/>
    <w:rsid w:val="67185FD7"/>
    <w:rsid w:val="67CC5F51"/>
    <w:rsid w:val="67E46396"/>
    <w:rsid w:val="6832131A"/>
    <w:rsid w:val="697F1C90"/>
    <w:rsid w:val="69AC6EAA"/>
    <w:rsid w:val="6AD0079D"/>
    <w:rsid w:val="6ADD55FC"/>
    <w:rsid w:val="6AE9031A"/>
    <w:rsid w:val="6B366553"/>
    <w:rsid w:val="6BA3608B"/>
    <w:rsid w:val="6BE61D2D"/>
    <w:rsid w:val="6C0F2059"/>
    <w:rsid w:val="6C521322"/>
    <w:rsid w:val="6CF52602"/>
    <w:rsid w:val="6D3A7F90"/>
    <w:rsid w:val="6E223B68"/>
    <w:rsid w:val="6E2A648C"/>
    <w:rsid w:val="6F03756C"/>
    <w:rsid w:val="6F3027C1"/>
    <w:rsid w:val="6F6B0AA1"/>
    <w:rsid w:val="6FD5166D"/>
    <w:rsid w:val="700C5C21"/>
    <w:rsid w:val="701D465E"/>
    <w:rsid w:val="7055244F"/>
    <w:rsid w:val="705E77F2"/>
    <w:rsid w:val="70E537FD"/>
    <w:rsid w:val="70E84CDA"/>
    <w:rsid w:val="712B426F"/>
    <w:rsid w:val="71D770C3"/>
    <w:rsid w:val="726F4F19"/>
    <w:rsid w:val="72830B08"/>
    <w:rsid w:val="72A11576"/>
    <w:rsid w:val="72B50B7E"/>
    <w:rsid w:val="73DF3770"/>
    <w:rsid w:val="73FB6A64"/>
    <w:rsid w:val="74727AC0"/>
    <w:rsid w:val="74AF129E"/>
    <w:rsid w:val="74CE5606"/>
    <w:rsid w:val="752E4C17"/>
    <w:rsid w:val="758119C2"/>
    <w:rsid w:val="761D1EEE"/>
    <w:rsid w:val="766C5EFC"/>
    <w:rsid w:val="76872172"/>
    <w:rsid w:val="76B659D2"/>
    <w:rsid w:val="76CC46E8"/>
    <w:rsid w:val="7707390B"/>
    <w:rsid w:val="770C71DA"/>
    <w:rsid w:val="77377CE0"/>
    <w:rsid w:val="77E37F3B"/>
    <w:rsid w:val="781A6515"/>
    <w:rsid w:val="782347DB"/>
    <w:rsid w:val="78970D25"/>
    <w:rsid w:val="78A44C3B"/>
    <w:rsid w:val="78AE6B25"/>
    <w:rsid w:val="78CA4C57"/>
    <w:rsid w:val="7A200710"/>
    <w:rsid w:val="7A337B1E"/>
    <w:rsid w:val="7A744676"/>
    <w:rsid w:val="7A99611A"/>
    <w:rsid w:val="7AD91D9F"/>
    <w:rsid w:val="7BDC213F"/>
    <w:rsid w:val="7C0F2651"/>
    <w:rsid w:val="7C264E67"/>
    <w:rsid w:val="7C6641AB"/>
    <w:rsid w:val="7CA63C51"/>
    <w:rsid w:val="7D6A4C5A"/>
    <w:rsid w:val="7DD81BC4"/>
    <w:rsid w:val="7DF54524"/>
    <w:rsid w:val="7E206D18"/>
    <w:rsid w:val="7E5751DF"/>
    <w:rsid w:val="7EAD237F"/>
    <w:rsid w:val="7ED35B5A"/>
    <w:rsid w:val="7F127358"/>
    <w:rsid w:val="7F985AAF"/>
    <w:rsid w:val="7FDA2596"/>
    <w:rsid w:val="7FF5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73"/>
    <w:qFormat/>
    <w:uiPriority w:val="0"/>
    <w:pPr>
      <w:widowControl w:val="0"/>
      <w:jc w:val="both"/>
    </w:pPr>
    <w:rPr>
      <w:rFonts w:ascii="Calibri" w:hAnsi="Calibri"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103"/>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107"/>
    <w:qFormat/>
    <w:uiPriority w:val="0"/>
    <w:pPr>
      <w:keepNext/>
      <w:keepLines/>
      <w:spacing w:before="260" w:after="260" w:line="413" w:lineRule="auto"/>
      <w:outlineLvl w:val="2"/>
    </w:pPr>
    <w:rPr>
      <w:b/>
      <w:sz w:val="32"/>
    </w:rPr>
  </w:style>
  <w:style w:type="paragraph" w:styleId="6">
    <w:name w:val="heading 4"/>
    <w:basedOn w:val="1"/>
    <w:next w:val="1"/>
    <w:qFormat/>
    <w:uiPriority w:val="0"/>
    <w:pPr>
      <w:spacing w:before="280" w:after="290" w:line="372" w:lineRule="auto"/>
      <w:outlineLvl w:val="3"/>
    </w:pPr>
  </w:style>
  <w:style w:type="paragraph" w:styleId="7">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next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84"/>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86"/>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Block Text"/>
    <w:basedOn w:val="1"/>
    <w:qFormat/>
    <w:uiPriority w:val="0"/>
    <w:pPr>
      <w:spacing w:after="120"/>
      <w:ind w:left="1440" w:leftChars="700" w:right="1440" w:rightChars="700"/>
    </w:p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112"/>
    <w:qFormat/>
    <w:uiPriority w:val="0"/>
  </w:style>
  <w:style w:type="paragraph" w:styleId="34">
    <w:name w:val="Body Text Indent 2"/>
    <w:basedOn w:val="1"/>
    <w:link w:val="81"/>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19"/>
    <w:qFormat/>
    <w:uiPriority w:val="99"/>
    <w:pPr>
      <w:tabs>
        <w:tab w:val="center" w:pos="4153"/>
        <w:tab w:val="right" w:pos="8306"/>
      </w:tabs>
      <w:snapToGrid w:val="0"/>
      <w:jc w:val="left"/>
    </w:pPr>
    <w:rPr>
      <w:sz w:val="18"/>
    </w:rPr>
  </w:style>
  <w:style w:type="paragraph" w:styleId="37">
    <w:name w:val="envelope return"/>
    <w:basedOn w:val="1"/>
    <w:qFormat/>
    <w:uiPriority w:val="0"/>
    <w:pPr>
      <w:snapToGrid w:val="0"/>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libri Light" w:hAnsi="Calibri Light"/>
      <w:b/>
      <w:bCs/>
      <w:kern w:val="28"/>
      <w:sz w:val="32"/>
      <w:szCs w:val="32"/>
    </w:rPr>
  </w:style>
  <w:style w:type="paragraph" w:styleId="43">
    <w:name w:val="footnote text"/>
    <w:basedOn w:val="1"/>
    <w:link w:val="92"/>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420" w:leftChars="200"/>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HTML Preformatted"/>
    <w:basedOn w:val="1"/>
    <w:qFormat/>
    <w:uiPriority w:val="0"/>
    <w:rPr>
      <w:rFonts w:ascii="Courier New" w:hAnsi="Courier New"/>
      <w:sz w:val="20"/>
    </w:rPr>
  </w:style>
  <w:style w:type="paragraph" w:styleId="54">
    <w:name w:val="Normal (Web)"/>
    <w:basedOn w:val="1"/>
    <w:qFormat/>
    <w:uiPriority w:val="0"/>
    <w:pPr>
      <w:widowControl/>
      <w:spacing w:before="100" w:beforeAutospacing="1" w:after="100" w:afterAutospacing="1"/>
      <w:jc w:val="left"/>
    </w:pPr>
    <w:rPr>
      <w:rFonts w:ascii="宋体" w:hAnsi="宋体"/>
      <w:kern w:val="0"/>
      <w:sz w:val="24"/>
    </w:rPr>
  </w:style>
  <w:style w:type="paragraph" w:styleId="55">
    <w:name w:val="List Continue 3"/>
    <w:basedOn w:val="1"/>
    <w:qFormat/>
    <w:uiPriority w:val="0"/>
    <w:pPr>
      <w:adjustRightInd w:val="0"/>
      <w:snapToGrid w:val="0"/>
      <w:spacing w:after="120" w:line="360" w:lineRule="auto"/>
      <w:ind w:left="1260" w:leftChars="600"/>
    </w:pPr>
    <w:rPr>
      <w:sz w:val="24"/>
    </w:rPr>
  </w:style>
  <w:style w:type="paragraph" w:styleId="56">
    <w:name w:val="index 1"/>
    <w:basedOn w:val="1"/>
    <w:next w:val="1"/>
    <w:qFormat/>
    <w:uiPriority w:val="0"/>
    <w:pPr>
      <w:adjustRightInd w:val="0"/>
      <w:spacing w:line="240" w:lineRule="atLeast"/>
      <w:textAlignment w:val="baseline"/>
    </w:pPr>
    <w:rPr>
      <w:rFonts w:ascii="宋体"/>
      <w:kern w:val="0"/>
      <w:sz w:val="21"/>
    </w:rPr>
  </w:style>
  <w:style w:type="paragraph" w:styleId="57">
    <w:name w:val="Title"/>
    <w:basedOn w:val="1"/>
    <w:qFormat/>
    <w:uiPriority w:val="0"/>
    <w:pPr>
      <w:widowControl/>
      <w:spacing w:after="240" w:line="360" w:lineRule="auto"/>
      <w:jc w:val="center"/>
    </w:pPr>
    <w:rPr>
      <w:rFonts w:ascii="Arial" w:hAnsi="Arial"/>
      <w:b/>
      <w:smallCaps/>
      <w:kern w:val="28"/>
      <w:sz w:val="36"/>
      <w:lang w:eastAsia="en-US"/>
    </w:rPr>
  </w:style>
  <w:style w:type="paragraph" w:styleId="58">
    <w:name w:val="annotation subject"/>
    <w:basedOn w:val="20"/>
    <w:next w:val="20"/>
    <w:link w:val="83"/>
    <w:qFormat/>
    <w:uiPriority w:val="0"/>
    <w:pPr>
      <w:adjustRightInd/>
      <w:spacing w:line="240" w:lineRule="auto"/>
      <w:textAlignment w:val="auto"/>
    </w:pPr>
  </w:style>
  <w:style w:type="paragraph" w:styleId="59">
    <w:name w:val="Body Text First Indent"/>
    <w:basedOn w:val="2"/>
    <w:next w:val="60"/>
    <w:qFormat/>
    <w:uiPriority w:val="0"/>
    <w:pPr>
      <w:spacing w:line="360" w:lineRule="auto"/>
      <w:ind w:firstLine="420"/>
    </w:pPr>
    <w:rPr>
      <w:rFonts w:ascii="宋体" w:hAnsi="宋体"/>
      <w:sz w:val="24"/>
    </w:rPr>
  </w:style>
  <w:style w:type="paragraph" w:styleId="60">
    <w:name w:val="Body Text First Indent 2"/>
    <w:basedOn w:val="23"/>
    <w:next w:val="1"/>
    <w:link w:val="110"/>
    <w:qFormat/>
    <w:uiPriority w:val="0"/>
    <w:pPr>
      <w:spacing w:after="120" w:line="240" w:lineRule="auto"/>
      <w:ind w:left="420" w:leftChars="200" w:firstLine="420" w:firstLineChars="200"/>
    </w:p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qFormat/>
    <w:uiPriority w:val="0"/>
    <w:rPr>
      <w:b/>
    </w:rPr>
  </w:style>
  <w:style w:type="character" w:styleId="65">
    <w:name w:val="page number"/>
    <w:basedOn w:val="63"/>
    <w:qFormat/>
    <w:uiPriority w:val="0"/>
  </w:style>
  <w:style w:type="character" w:styleId="66">
    <w:name w:val="FollowedHyperlink"/>
    <w:qFormat/>
    <w:uiPriority w:val="0"/>
    <w:rPr>
      <w:color w:val="800080"/>
      <w:u w:val="single"/>
    </w:rPr>
  </w:style>
  <w:style w:type="character" w:styleId="67">
    <w:name w:val="Emphasis"/>
    <w:qFormat/>
    <w:uiPriority w:val="0"/>
    <w:rPr>
      <w:i/>
    </w:rPr>
  </w:style>
  <w:style w:type="character" w:styleId="68">
    <w:name w:val="Hyperlink"/>
    <w:qFormat/>
    <w:uiPriority w:val="99"/>
    <w:rPr>
      <w:color w:val="0000FF"/>
      <w:u w:val="single"/>
    </w:rPr>
  </w:style>
  <w:style w:type="character" w:styleId="69">
    <w:name w:val="annotation reference"/>
    <w:qFormat/>
    <w:uiPriority w:val="0"/>
    <w:rPr>
      <w:sz w:val="21"/>
      <w:szCs w:val="21"/>
    </w:rPr>
  </w:style>
  <w:style w:type="character" w:styleId="70">
    <w:name w:val="footnote reference"/>
    <w:qFormat/>
    <w:uiPriority w:val="0"/>
    <w:rPr>
      <w:position w:val="6"/>
      <w:sz w:val="14"/>
      <w:vertAlign w:val="superscript"/>
    </w:rPr>
  </w:style>
  <w:style w:type="paragraph" w:customStyle="1" w:styleId="71">
    <w:name w:val="默认"/>
    <w:qFormat/>
    <w:uiPriority w:val="99"/>
    <w:rPr>
      <w:rFonts w:ascii="Helvetica" w:hAnsi="Helvetica" w:eastAsia="宋体" w:cs="Times New Roman"/>
      <w:color w:val="000000"/>
      <w:sz w:val="22"/>
      <w:szCs w:val="22"/>
      <w:lang w:val="en-US" w:eastAsia="zh-CN" w:bidi="ar-SA"/>
    </w:rPr>
  </w:style>
  <w:style w:type="paragraph" w:customStyle="1" w:styleId="7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3">
    <w:name w:val="正文1"/>
    <w:basedOn w:val="1"/>
    <w:next w:val="1"/>
    <w:qFormat/>
    <w:uiPriority w:val="0"/>
    <w:pPr>
      <w:spacing w:line="300" w:lineRule="auto"/>
      <w:ind w:firstLine="200" w:firstLineChars="200"/>
    </w:pPr>
    <w:rPr>
      <w:sz w:val="24"/>
    </w:rPr>
  </w:style>
  <w:style w:type="paragraph" w:customStyle="1" w:styleId="74">
    <w:name w:val="标书正文1"/>
    <w:basedOn w:val="1"/>
    <w:qFormat/>
    <w:uiPriority w:val="0"/>
    <w:pPr>
      <w:spacing w:line="520" w:lineRule="exact"/>
      <w:ind w:firstLine="640" w:firstLineChars="200"/>
    </w:pPr>
    <w:rPr>
      <w:rFonts w:ascii="Times New Roman" w:hAnsi="Times New Roman"/>
    </w:rPr>
  </w:style>
  <w:style w:type="paragraph" w:customStyle="1" w:styleId="75">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character" w:customStyle="1" w:styleId="76">
    <w:name w:val="Char Char7"/>
    <w:qFormat/>
    <w:uiPriority w:val="0"/>
    <w:rPr>
      <w:rFonts w:ascii="宋体" w:hAnsi="宋体" w:eastAsia="宋体"/>
      <w:kern w:val="2"/>
      <w:sz w:val="28"/>
    </w:rPr>
  </w:style>
  <w:style w:type="character" w:customStyle="1" w:styleId="77">
    <w:name w:val="font91"/>
    <w:qFormat/>
    <w:uiPriority w:val="0"/>
    <w:rPr>
      <w:rFonts w:hint="eastAsia" w:ascii="宋体" w:hAnsi="宋体" w:eastAsia="宋体" w:cs="宋体"/>
      <w:color w:val="000000"/>
      <w:sz w:val="20"/>
      <w:szCs w:val="20"/>
      <w:u w:val="none"/>
    </w:rPr>
  </w:style>
  <w:style w:type="character" w:customStyle="1" w:styleId="78">
    <w:name w:val="未命名11"/>
    <w:qFormat/>
    <w:uiPriority w:val="0"/>
    <w:rPr>
      <w:color w:val="77FFFF"/>
      <w:sz w:val="24"/>
    </w:rPr>
  </w:style>
  <w:style w:type="character" w:customStyle="1" w:styleId="79">
    <w:name w:val="font51"/>
    <w:qFormat/>
    <w:uiPriority w:val="0"/>
    <w:rPr>
      <w:rFonts w:hint="eastAsia" w:ascii="宋体" w:hAnsi="宋体" w:eastAsia="宋体" w:cs="宋体"/>
      <w:color w:val="000000"/>
      <w:sz w:val="20"/>
      <w:szCs w:val="20"/>
      <w:u w:val="none"/>
      <w:vertAlign w:val="superscript"/>
    </w:rPr>
  </w:style>
  <w:style w:type="character" w:customStyle="1" w:styleId="80">
    <w:name w:val="content-white1"/>
    <w:qFormat/>
    <w:uiPriority w:val="0"/>
    <w:rPr>
      <w:color w:val="auto"/>
      <w:sz w:val="18"/>
      <w:u w:val="none"/>
    </w:rPr>
  </w:style>
  <w:style w:type="character" w:customStyle="1" w:styleId="81">
    <w:name w:val="正文文本缩进 2 字符"/>
    <w:link w:val="34"/>
    <w:qFormat/>
    <w:uiPriority w:val="0"/>
    <w:rPr>
      <w:kern w:val="2"/>
      <w:sz w:val="28"/>
    </w:rPr>
  </w:style>
  <w:style w:type="character" w:customStyle="1" w:styleId="82">
    <w:name w:val="Char Char11"/>
    <w:qFormat/>
    <w:uiPriority w:val="0"/>
    <w:rPr>
      <w:rFonts w:ascii="宋体"/>
      <w:kern w:val="2"/>
      <w:sz w:val="28"/>
    </w:rPr>
  </w:style>
  <w:style w:type="character" w:customStyle="1" w:styleId="83">
    <w:name w:val="批注主题 字符"/>
    <w:basedOn w:val="84"/>
    <w:link w:val="58"/>
    <w:qFormat/>
    <w:uiPriority w:val="0"/>
    <w:rPr>
      <w:sz w:val="24"/>
    </w:rPr>
  </w:style>
  <w:style w:type="character" w:customStyle="1" w:styleId="84">
    <w:name w:val="批注文字 字符"/>
    <w:link w:val="20"/>
    <w:qFormat/>
    <w:uiPriority w:val="0"/>
    <w:rPr>
      <w:sz w:val="24"/>
    </w:rPr>
  </w:style>
  <w:style w:type="character" w:customStyle="1" w:styleId="85">
    <w:name w:val="font41"/>
    <w:qFormat/>
    <w:uiPriority w:val="0"/>
    <w:rPr>
      <w:rFonts w:hint="eastAsia" w:ascii="宋体" w:hAnsi="宋体" w:eastAsia="宋体" w:cs="宋体"/>
      <w:color w:val="000000"/>
      <w:sz w:val="20"/>
      <w:szCs w:val="20"/>
      <w:u w:val="none"/>
    </w:rPr>
  </w:style>
  <w:style w:type="character" w:customStyle="1" w:styleId="86">
    <w:name w:val="正文文本缩进 字符"/>
    <w:link w:val="23"/>
    <w:qFormat/>
    <w:uiPriority w:val="0"/>
    <w:rPr>
      <w:kern w:val="2"/>
      <w:sz w:val="44"/>
    </w:rPr>
  </w:style>
  <w:style w:type="character" w:customStyle="1" w:styleId="87">
    <w:name w:val="Table Text Char"/>
    <w:link w:val="88"/>
    <w:qFormat/>
    <w:uiPriority w:val="0"/>
    <w:rPr>
      <w:rFonts w:ascii="Arial" w:hAnsi="Arial"/>
      <w:kern w:val="2"/>
      <w:sz w:val="18"/>
      <w:lang w:val="en-US" w:eastAsia="zh-CN" w:bidi="ar-SA"/>
    </w:rPr>
  </w:style>
  <w:style w:type="paragraph" w:customStyle="1" w:styleId="88">
    <w:name w:val="Table Text"/>
    <w:link w:val="87"/>
    <w:qFormat/>
    <w:uiPriority w:val="0"/>
    <w:pPr>
      <w:snapToGrid w:val="0"/>
      <w:spacing w:before="80" w:after="80"/>
    </w:pPr>
    <w:rPr>
      <w:rFonts w:ascii="Arial" w:hAnsi="Arial" w:eastAsia="宋体" w:cs="Times New Roman"/>
      <w:kern w:val="2"/>
      <w:sz w:val="18"/>
      <w:lang w:val="en-US" w:eastAsia="zh-CN" w:bidi="ar-SA"/>
    </w:rPr>
  </w:style>
  <w:style w:type="character" w:customStyle="1" w:styleId="89">
    <w:name w:val="v151"/>
    <w:qFormat/>
    <w:uiPriority w:val="0"/>
    <w:rPr>
      <w:sz w:val="18"/>
    </w:rPr>
  </w:style>
  <w:style w:type="character" w:customStyle="1" w:styleId="90">
    <w:name w:val="样式 宋体"/>
    <w:qFormat/>
    <w:uiPriority w:val="0"/>
    <w:rPr>
      <w:rFonts w:ascii="宋体" w:hAnsi="宋体" w:eastAsia="宋体"/>
      <w:sz w:val="28"/>
    </w:rPr>
  </w:style>
  <w:style w:type="character" w:customStyle="1" w:styleId="91">
    <w:name w:val="title_emph1"/>
    <w:qFormat/>
    <w:uiPriority w:val="0"/>
    <w:rPr>
      <w:rFonts w:hint="default" w:ascii="Arial" w:hAnsi="Arial"/>
      <w:b/>
      <w:sz w:val="20"/>
    </w:rPr>
  </w:style>
  <w:style w:type="character" w:customStyle="1" w:styleId="92">
    <w:name w:val="脚注文本 字符"/>
    <w:link w:val="43"/>
    <w:qFormat/>
    <w:uiPriority w:val="0"/>
    <w:rPr>
      <w:kern w:val="2"/>
      <w:sz w:val="18"/>
    </w:rPr>
  </w:style>
  <w:style w:type="character" w:customStyle="1" w:styleId="93">
    <w:name w:val="Char Char"/>
    <w:qFormat/>
    <w:uiPriority w:val="0"/>
    <w:rPr>
      <w:rFonts w:ascii="宋体" w:hAnsi="宋体" w:eastAsia="宋体"/>
      <w:kern w:val="2"/>
      <w:sz w:val="24"/>
      <w:lang w:val="en-US" w:eastAsia="zh-CN" w:bidi="ar-SA"/>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正文 + 三号 Char"/>
    <w:qFormat/>
    <w:uiPriority w:val="0"/>
    <w:rPr>
      <w:rFonts w:eastAsia="宋体"/>
      <w:kern w:val="2"/>
      <w:sz w:val="21"/>
      <w:lang w:val="en-US" w:eastAsia="zh-CN"/>
    </w:rPr>
  </w:style>
  <w:style w:type="character" w:customStyle="1" w:styleId="96">
    <w:name w:val="Char Char5"/>
    <w:qFormat/>
    <w:uiPriority w:val="0"/>
    <w:rPr>
      <w:rFonts w:ascii="Arial" w:hAnsi="Arial" w:eastAsia="宋体"/>
      <w:b/>
      <w:smallCaps/>
      <w:kern w:val="28"/>
      <w:sz w:val="36"/>
      <w:lang w:val="en-US" w:eastAsia="en-US"/>
    </w:rPr>
  </w:style>
  <w:style w:type="character" w:customStyle="1" w:styleId="97">
    <w:name w:val="Table Text Char Char Char Char"/>
    <w:link w:val="98"/>
    <w:qFormat/>
    <w:uiPriority w:val="0"/>
    <w:rPr>
      <w:rFonts w:ascii="Arial" w:hAnsi="Arial"/>
      <w:kern w:val="2"/>
      <w:sz w:val="18"/>
      <w:lang w:val="en-US" w:eastAsia="zh-CN" w:bidi="ar-SA"/>
    </w:rPr>
  </w:style>
  <w:style w:type="paragraph" w:customStyle="1" w:styleId="98">
    <w:name w:val="Table Text Char Char Char"/>
    <w:link w:val="97"/>
    <w:qFormat/>
    <w:uiPriority w:val="0"/>
    <w:pPr>
      <w:snapToGrid w:val="0"/>
      <w:spacing w:before="80" w:after="80"/>
    </w:pPr>
    <w:rPr>
      <w:rFonts w:ascii="Arial" w:hAnsi="Arial" w:eastAsia="宋体" w:cs="Times New Roman"/>
      <w:kern w:val="2"/>
      <w:sz w:val="18"/>
      <w:lang w:val="en-US" w:eastAsia="zh-CN" w:bidi="ar-SA"/>
    </w:rPr>
  </w:style>
  <w:style w:type="character" w:customStyle="1" w:styleId="99">
    <w:name w:val="font01"/>
    <w:basedOn w:val="63"/>
    <w:qFormat/>
    <w:uiPriority w:val="0"/>
    <w:rPr>
      <w:rFonts w:hint="default" w:ascii="Times New Roman" w:hAnsi="Times New Roman" w:cs="Times New Roman"/>
      <w:color w:val="000000"/>
      <w:sz w:val="20"/>
      <w:szCs w:val="20"/>
      <w:u w:val="none"/>
    </w:rPr>
  </w:style>
  <w:style w:type="character" w:customStyle="1" w:styleId="100">
    <w:name w:val="font101"/>
    <w:qFormat/>
    <w:uiPriority w:val="0"/>
    <w:rPr>
      <w:rFonts w:hint="default" w:ascii="Times New Roman" w:hAnsi="Times New Roman" w:cs="Times New Roman"/>
      <w:color w:val="000000"/>
      <w:sz w:val="20"/>
      <w:szCs w:val="20"/>
      <w:u w:val="none"/>
    </w:rPr>
  </w:style>
  <w:style w:type="character" w:customStyle="1" w:styleId="101">
    <w:name w:val="Table Text Char1 Char"/>
    <w:qFormat/>
    <w:uiPriority w:val="0"/>
    <w:rPr>
      <w:rFonts w:ascii="Arial" w:hAnsi="Arial"/>
      <w:kern w:val="2"/>
      <w:sz w:val="18"/>
      <w:lang w:val="en-US" w:eastAsia="zh-CN" w:bidi="ar-SA"/>
    </w:rPr>
  </w:style>
  <w:style w:type="character" w:customStyle="1" w:styleId="102">
    <w:name w:val="Char Char2"/>
    <w:qFormat/>
    <w:uiPriority w:val="0"/>
    <w:rPr>
      <w:rFonts w:eastAsia="宋体"/>
      <w:kern w:val="2"/>
      <w:sz w:val="18"/>
      <w:lang w:val="en-US" w:eastAsia="zh-CN"/>
    </w:rPr>
  </w:style>
  <w:style w:type="character" w:customStyle="1" w:styleId="103">
    <w:name w:val="标题 2 字符"/>
    <w:link w:val="4"/>
    <w:qFormat/>
    <w:uiPriority w:val="0"/>
    <w:rPr>
      <w:rFonts w:ascii="Arial" w:hAnsi="Arial" w:eastAsia="黑体"/>
      <w:b/>
      <w:kern w:val="2"/>
      <w:sz w:val="32"/>
    </w:rPr>
  </w:style>
  <w:style w:type="character" w:customStyle="1" w:styleId="104">
    <w:name w:val="font31"/>
    <w:qFormat/>
    <w:uiPriority w:val="0"/>
    <w:rPr>
      <w:rFonts w:hint="eastAsia" w:ascii="宋体" w:hAnsi="宋体" w:eastAsia="宋体" w:cs="宋体"/>
      <w:b/>
      <w:color w:val="000000"/>
      <w:sz w:val="20"/>
      <w:szCs w:val="20"/>
      <w:u w:val="none"/>
    </w:rPr>
  </w:style>
  <w:style w:type="character" w:customStyle="1" w:styleId="105">
    <w:name w:val="文字 Char"/>
    <w:link w:val="106"/>
    <w:qFormat/>
    <w:uiPriority w:val="0"/>
    <w:rPr>
      <w:rFonts w:ascii="宋体"/>
      <w:kern w:val="2"/>
      <w:sz w:val="28"/>
    </w:rPr>
  </w:style>
  <w:style w:type="paragraph" w:customStyle="1" w:styleId="106">
    <w:name w:val="文字"/>
    <w:basedOn w:val="1"/>
    <w:link w:val="105"/>
    <w:qFormat/>
    <w:uiPriority w:val="0"/>
    <w:pPr>
      <w:tabs>
        <w:tab w:val="left" w:pos="8520"/>
      </w:tabs>
      <w:spacing w:line="312" w:lineRule="auto"/>
      <w:ind w:right="-210" w:firstLine="556"/>
    </w:pPr>
    <w:rPr>
      <w:rFonts w:ascii="宋体"/>
    </w:rPr>
  </w:style>
  <w:style w:type="character" w:customStyle="1" w:styleId="107">
    <w:name w:val="标题 3 字符"/>
    <w:link w:val="5"/>
    <w:qFormat/>
    <w:uiPriority w:val="0"/>
    <w:rPr>
      <w:rFonts w:eastAsia="宋体"/>
      <w:b/>
      <w:kern w:val="2"/>
      <w:sz w:val="32"/>
      <w:lang w:val="en-US" w:eastAsia="zh-CN"/>
    </w:rPr>
  </w:style>
  <w:style w:type="character" w:customStyle="1" w:styleId="108">
    <w:name w:val="Char Char6"/>
    <w:qFormat/>
    <w:uiPriority w:val="0"/>
    <w:rPr>
      <w:rFonts w:ascii="仿宋_GB2312" w:eastAsia="仿宋_GB2312"/>
      <w:kern w:val="2"/>
      <w:sz w:val="32"/>
    </w:rPr>
  </w:style>
  <w:style w:type="character" w:customStyle="1" w:styleId="109">
    <w:name w:val="Char Char3"/>
    <w:qFormat/>
    <w:uiPriority w:val="0"/>
    <w:rPr>
      <w:rFonts w:eastAsia="宋体"/>
      <w:kern w:val="2"/>
      <w:sz w:val="18"/>
      <w:lang w:val="en-US" w:eastAsia="zh-CN"/>
    </w:rPr>
  </w:style>
  <w:style w:type="character" w:customStyle="1" w:styleId="110">
    <w:name w:val="正文文本首行缩进 2 字符"/>
    <w:basedOn w:val="86"/>
    <w:link w:val="60"/>
    <w:qFormat/>
    <w:uiPriority w:val="0"/>
    <w:rPr>
      <w:kern w:val="2"/>
      <w:sz w:val="44"/>
    </w:rPr>
  </w:style>
  <w:style w:type="character" w:customStyle="1" w:styleId="111">
    <w:name w:val="标书正文:  0.74 厘米 Char1"/>
    <w:qFormat/>
    <w:uiPriority w:val="0"/>
    <w:rPr>
      <w:rFonts w:eastAsia="宋体"/>
      <w:kern w:val="2"/>
      <w:sz w:val="24"/>
      <w:lang w:val="en-US" w:eastAsia="zh-CN"/>
    </w:rPr>
  </w:style>
  <w:style w:type="character" w:customStyle="1" w:styleId="112">
    <w:name w:val="日期 字符"/>
    <w:link w:val="33"/>
    <w:qFormat/>
    <w:uiPriority w:val="0"/>
    <w:rPr>
      <w:kern w:val="2"/>
      <w:sz w:val="28"/>
    </w:rPr>
  </w:style>
  <w:style w:type="character" w:customStyle="1" w:styleId="113">
    <w:name w:val="font1"/>
    <w:qFormat/>
    <w:uiPriority w:val="0"/>
    <w:rPr>
      <w:color w:val="000000"/>
      <w:sz w:val="18"/>
    </w:rPr>
  </w:style>
  <w:style w:type="character" w:customStyle="1" w:styleId="114">
    <w:name w:val="Char Char4"/>
    <w:qFormat/>
    <w:uiPriority w:val="0"/>
    <w:rPr>
      <w:rFonts w:eastAsia="宋体"/>
      <w:b/>
      <w:kern w:val="2"/>
      <w:sz w:val="21"/>
      <w:lang w:val="en-US" w:eastAsia="zh-CN"/>
    </w:rPr>
  </w:style>
  <w:style w:type="character" w:customStyle="1" w:styleId="115">
    <w:name w:val="top-det1"/>
    <w:qFormat/>
    <w:uiPriority w:val="0"/>
    <w:rPr>
      <w:b/>
      <w:color w:val="000000"/>
    </w:rPr>
  </w:style>
  <w:style w:type="character" w:customStyle="1" w:styleId="116">
    <w:name w:val="crowed11"/>
    <w:qFormat/>
    <w:uiPriority w:val="0"/>
    <w:rPr>
      <w:rFonts w:hint="default"/>
      <w:sz w:val="24"/>
    </w:rPr>
  </w:style>
  <w:style w:type="character" w:customStyle="1" w:styleId="117">
    <w:name w:val="H2 Char"/>
    <w:qFormat/>
    <w:uiPriority w:val="0"/>
    <w:rPr>
      <w:rFonts w:ascii="Arial" w:hAnsi="Arial" w:eastAsia="宋体"/>
      <w:kern w:val="2"/>
      <w:sz w:val="28"/>
      <w:lang w:val="en-US" w:eastAsia="zh-CN"/>
    </w:rPr>
  </w:style>
  <w:style w:type="character" w:customStyle="1" w:styleId="118">
    <w:name w:val="小 Char"/>
    <w:qFormat/>
    <w:uiPriority w:val="0"/>
    <w:rPr>
      <w:rFonts w:ascii="宋体" w:hAnsi="Courier New" w:eastAsia="宋体"/>
      <w:kern w:val="2"/>
      <w:sz w:val="21"/>
      <w:lang w:val="en-US" w:eastAsia="zh-CN" w:bidi="ar-SA"/>
    </w:rPr>
  </w:style>
  <w:style w:type="character" w:customStyle="1" w:styleId="119">
    <w:name w:val="页脚 字符"/>
    <w:link w:val="36"/>
    <w:qFormat/>
    <w:uiPriority w:val="99"/>
    <w:rPr>
      <w:kern w:val="2"/>
      <w:sz w:val="18"/>
    </w:rPr>
  </w:style>
  <w:style w:type="character" w:customStyle="1" w:styleId="120">
    <w:name w:val="font11"/>
    <w:qFormat/>
    <w:uiPriority w:val="0"/>
    <w:rPr>
      <w:rFonts w:hint="eastAsia" w:ascii="宋体" w:hAnsi="宋体" w:eastAsia="宋体" w:cs="宋体"/>
      <w:color w:val="000000"/>
      <w:sz w:val="20"/>
      <w:szCs w:val="20"/>
      <w:u w:val="none"/>
      <w:vertAlign w:val="superscript"/>
    </w:rPr>
  </w:style>
  <w:style w:type="paragraph" w:customStyle="1" w:styleId="121">
    <w:name w:val="样式 正文缩进正文（首行缩进两字）表正文正文非缩进特点标题4段1 + 首行缩进:  2 字符"/>
    <w:basedOn w:val="16"/>
    <w:qFormat/>
    <w:uiPriority w:val="0"/>
    <w:pPr>
      <w:ind w:firstLine="480" w:firstLineChars="200"/>
    </w:pPr>
  </w:style>
  <w:style w:type="paragraph" w:customStyle="1" w:styleId="12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23">
    <w:name w:val="修订1"/>
    <w:qFormat/>
    <w:uiPriority w:val="0"/>
    <w:rPr>
      <w:rFonts w:ascii="Calibri" w:hAnsi="Calibri" w:eastAsia="宋体" w:cs="Times New Roman"/>
      <w:kern w:val="2"/>
      <w:sz w:val="21"/>
      <w:lang w:val="en-US" w:eastAsia="zh-CN" w:bidi="ar-SA"/>
    </w:rPr>
  </w:style>
  <w:style w:type="paragraph" w:customStyle="1" w:styleId="124">
    <w:name w:val="正文（首行不缩进）"/>
    <w:basedOn w:val="1"/>
    <w:qFormat/>
    <w:uiPriority w:val="0"/>
    <w:pPr>
      <w:autoSpaceDE w:val="0"/>
      <w:autoSpaceDN w:val="0"/>
      <w:adjustRightInd w:val="0"/>
      <w:spacing w:line="360" w:lineRule="auto"/>
      <w:jc w:val="left"/>
    </w:pPr>
    <w:rPr>
      <w:kern w:val="0"/>
      <w:sz w:val="21"/>
    </w:rPr>
  </w:style>
  <w:style w:type="paragraph" w:customStyle="1" w:styleId="125">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6">
    <w:name w:val="无间隔1"/>
    <w:qFormat/>
    <w:uiPriority w:val="1"/>
    <w:pPr>
      <w:jc w:val="both"/>
    </w:pPr>
    <w:rPr>
      <w:rFonts w:ascii="Calibri" w:hAnsi="Calibri" w:eastAsia="Times New Roman" w:cs="Times New Roman"/>
      <w:lang w:val="en-US" w:eastAsia="zh-CN" w:bidi="ar-SA"/>
    </w:rPr>
  </w:style>
  <w:style w:type="paragraph" w:customStyle="1" w:styleId="127">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8">
    <w:name w:val="Table Paragraph"/>
    <w:basedOn w:val="1"/>
    <w:qFormat/>
    <w:uiPriority w:val="1"/>
    <w:pPr>
      <w:autoSpaceDE w:val="0"/>
      <w:autoSpaceDN w:val="0"/>
      <w:adjustRightInd w:val="0"/>
    </w:pPr>
    <w:rPr>
      <w:sz w:val="24"/>
    </w:rPr>
  </w:style>
  <w:style w:type="paragraph" w:customStyle="1" w:styleId="12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0">
    <w:name w:val="样式5"/>
    <w:basedOn w:val="131"/>
    <w:next w:val="1"/>
    <w:qFormat/>
    <w:uiPriority w:val="0"/>
  </w:style>
  <w:style w:type="paragraph" w:customStyle="1" w:styleId="131">
    <w:name w:val="编号正文"/>
    <w:basedOn w:val="132"/>
    <w:qFormat/>
    <w:uiPriority w:val="0"/>
    <w:pPr>
      <w:snapToGrid/>
      <w:spacing w:line="360" w:lineRule="auto"/>
      <w:ind w:left="1407" w:hanging="1047"/>
      <w:jc w:val="left"/>
    </w:pPr>
    <w:rPr>
      <w:rFonts w:eastAsia="仿宋_GB2312"/>
    </w:rPr>
  </w:style>
  <w:style w:type="paragraph" w:customStyle="1" w:styleId="132">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3">
    <w:name w:val="样式10"/>
    <w:basedOn w:val="1"/>
    <w:next w:val="1"/>
    <w:qFormat/>
    <w:uiPriority w:val="0"/>
    <w:rPr>
      <w:rFonts w:ascii="Times New Roman" w:hAnsi="Times New Roman" w:eastAsia="仿宋"/>
      <w:sz w:val="24"/>
    </w:rPr>
  </w:style>
  <w:style w:type="paragraph" w:customStyle="1" w:styleId="134">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5">
    <w:name w:val="Char Char1 Char"/>
    <w:basedOn w:val="1"/>
    <w:qFormat/>
    <w:uiPriority w:val="0"/>
    <w:rPr>
      <w:rFonts w:ascii="Tahoma" w:hAnsi="Tahoma"/>
      <w:sz w:val="24"/>
      <w:szCs w:val="24"/>
    </w:rPr>
  </w:style>
  <w:style w:type="paragraph" w:customStyle="1" w:styleId="136">
    <w:name w:val="样式1xz"/>
    <w:basedOn w:val="1"/>
    <w:qFormat/>
    <w:uiPriority w:val="0"/>
    <w:pPr>
      <w:tabs>
        <w:tab w:val="left" w:pos="1050"/>
        <w:tab w:val="right" w:leader="dot" w:pos="8296"/>
      </w:tabs>
    </w:pPr>
    <w:rPr>
      <w:caps/>
      <w:spacing w:val="20"/>
      <w:sz w:val="24"/>
    </w:rPr>
  </w:style>
  <w:style w:type="paragraph" w:customStyle="1" w:styleId="137">
    <w:name w:val="_Style 19"/>
    <w:basedOn w:val="1"/>
    <w:next w:val="138"/>
    <w:qFormat/>
    <w:uiPriority w:val="0"/>
    <w:pPr>
      <w:ind w:firstLine="420" w:firstLineChars="200"/>
    </w:pPr>
    <w:rPr>
      <w:sz w:val="21"/>
      <w:szCs w:val="22"/>
    </w:rPr>
  </w:style>
  <w:style w:type="paragraph" w:customStyle="1" w:styleId="138">
    <w:name w:val="列表段落1"/>
    <w:basedOn w:val="1"/>
    <w:qFormat/>
    <w:uiPriority w:val="0"/>
    <w:pPr>
      <w:ind w:firstLine="420" w:firstLineChars="200"/>
    </w:pPr>
  </w:style>
  <w:style w:type="paragraph" w:customStyle="1" w:styleId="139">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0">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1">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5">
    <w:name w:val="正文文本 21"/>
    <w:basedOn w:val="1"/>
    <w:qFormat/>
    <w:uiPriority w:val="0"/>
    <w:pPr>
      <w:adjustRightInd w:val="0"/>
      <w:spacing w:before="120" w:line="360" w:lineRule="auto"/>
      <w:ind w:firstLine="480"/>
      <w:textAlignment w:val="baseline"/>
    </w:pPr>
    <w:rPr>
      <w:sz w:val="24"/>
    </w:rPr>
  </w:style>
  <w:style w:type="paragraph" w:customStyle="1" w:styleId="146">
    <w:name w:val="首行缩进"/>
    <w:basedOn w:val="1"/>
    <w:qFormat/>
    <w:uiPriority w:val="0"/>
    <w:pPr>
      <w:numPr>
        <w:ilvl w:val="0"/>
        <w:numId w:val="4"/>
      </w:numPr>
      <w:spacing w:line="360" w:lineRule="auto"/>
    </w:pPr>
    <w:rPr>
      <w:rFonts w:eastAsia="仿宋_GB2312"/>
    </w:rPr>
  </w:style>
  <w:style w:type="paragraph" w:customStyle="1" w:styleId="147">
    <w:name w:val="简单回函地址"/>
    <w:basedOn w:val="1"/>
    <w:qFormat/>
    <w:uiPriority w:val="0"/>
    <w:pPr>
      <w:adjustRightInd w:val="0"/>
      <w:snapToGrid w:val="0"/>
      <w:spacing w:line="360" w:lineRule="auto"/>
    </w:pPr>
    <w:rPr>
      <w:sz w:val="24"/>
    </w:rPr>
  </w:style>
  <w:style w:type="paragraph" w:customStyle="1" w:styleId="148">
    <w:name w:val="二级列表"/>
    <w:basedOn w:val="149"/>
    <w:next w:val="149"/>
    <w:qFormat/>
    <w:uiPriority w:val="0"/>
    <w:pPr>
      <w:tabs>
        <w:tab w:val="left" w:pos="2120"/>
      </w:tabs>
      <w:ind w:firstLine="0" w:firstLineChars="0"/>
    </w:pPr>
    <w:rPr>
      <w:b/>
    </w:rPr>
  </w:style>
  <w:style w:type="paragraph" w:customStyle="1" w:styleId="149">
    <w:name w:val="段落正文"/>
    <w:basedOn w:val="1"/>
    <w:qFormat/>
    <w:uiPriority w:val="0"/>
    <w:pPr>
      <w:spacing w:beforeLines="50" w:line="360" w:lineRule="auto"/>
      <w:ind w:firstLine="200" w:firstLineChars="200"/>
    </w:pPr>
    <w:rPr>
      <w:spacing w:val="2"/>
      <w:sz w:val="24"/>
    </w:rPr>
  </w:style>
  <w:style w:type="paragraph" w:customStyle="1" w:styleId="150">
    <w:name w:val="标题无"/>
    <w:basedOn w:val="1"/>
    <w:qFormat/>
    <w:uiPriority w:val="0"/>
    <w:pPr>
      <w:spacing w:line="360" w:lineRule="auto"/>
    </w:pPr>
    <w:rPr>
      <w:sz w:val="24"/>
    </w:rPr>
  </w:style>
  <w:style w:type="paragraph" w:customStyle="1" w:styleId="151">
    <w:name w:val="没有缩进（为图形使用）"/>
    <w:basedOn w:val="1"/>
    <w:qFormat/>
    <w:uiPriority w:val="0"/>
    <w:pPr>
      <w:spacing w:before="120" w:after="120" w:line="360" w:lineRule="auto"/>
    </w:pPr>
    <w:rPr>
      <w:sz w:val="24"/>
    </w:rPr>
  </w:style>
  <w:style w:type="paragraph" w:customStyle="1" w:styleId="15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153">
    <w:name w:val="正文表格"/>
    <w:basedOn w:val="1"/>
    <w:qFormat/>
    <w:uiPriority w:val="0"/>
    <w:pPr>
      <w:adjustRightInd w:val="0"/>
      <w:spacing w:before="40" w:after="40"/>
    </w:pPr>
    <w:rPr>
      <w:sz w:val="24"/>
    </w:rPr>
  </w:style>
  <w:style w:type="paragraph" w:customStyle="1" w:styleId="15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5">
    <w:name w:val="标书正文:  0.74 厘米"/>
    <w:basedOn w:val="1"/>
    <w:qFormat/>
    <w:uiPriority w:val="0"/>
    <w:pPr>
      <w:snapToGrid w:val="0"/>
      <w:spacing w:line="360" w:lineRule="auto"/>
      <w:ind w:firstLine="420"/>
    </w:pPr>
    <w:rPr>
      <w:sz w:val="24"/>
    </w:rPr>
  </w:style>
  <w:style w:type="paragraph" w:customStyle="1" w:styleId="156">
    <w:name w:val="Title - Date"/>
    <w:basedOn w:val="57"/>
    <w:next w:val="1"/>
    <w:qFormat/>
    <w:uiPriority w:val="0"/>
    <w:pPr>
      <w:spacing w:before="240" w:after="720"/>
    </w:pPr>
    <w:rPr>
      <w:sz w:val="28"/>
    </w:rPr>
  </w:style>
  <w:style w:type="paragraph" w:customStyle="1" w:styleId="157">
    <w:name w:val="样式 标题 6第五层条 + 三号 段前: 0.5 行"/>
    <w:basedOn w:val="8"/>
    <w:qFormat/>
    <w:uiPriority w:val="0"/>
    <w:pPr>
      <w:widowControl/>
      <w:adjustRightInd/>
      <w:snapToGrid/>
      <w:spacing w:beforeLines="50"/>
      <w:jc w:val="left"/>
    </w:pPr>
    <w:rPr>
      <w:snapToGrid w:val="0"/>
      <w:kern w:val="24"/>
      <w:sz w:val="28"/>
    </w:rPr>
  </w:style>
  <w:style w:type="paragraph" w:customStyle="1" w:styleId="158">
    <w:name w:val="样式11"/>
    <w:basedOn w:val="1"/>
    <w:next w:val="1"/>
    <w:qFormat/>
    <w:uiPriority w:val="0"/>
    <w:rPr>
      <w:rFonts w:ascii="Times New Roman" w:hAnsi="Times New Roman"/>
    </w:rPr>
  </w:style>
  <w:style w:type="paragraph" w:customStyle="1" w:styleId="159">
    <w:name w:val="Char Char14 Char Char"/>
    <w:basedOn w:val="1"/>
    <w:qFormat/>
    <w:uiPriority w:val="0"/>
    <w:rPr>
      <w:sz w:val="21"/>
      <w:szCs w:val="24"/>
    </w:rPr>
  </w:style>
  <w:style w:type="paragraph" w:customStyle="1" w:styleId="160">
    <w:name w:val="表头文本"/>
    <w:qFormat/>
    <w:uiPriority w:val="0"/>
    <w:pPr>
      <w:jc w:val="center"/>
    </w:pPr>
    <w:rPr>
      <w:rFonts w:ascii="Arial" w:hAnsi="Arial" w:eastAsia="宋体" w:cs="Times New Roman"/>
      <w:b/>
      <w:sz w:val="21"/>
      <w:lang w:val="en-US" w:eastAsia="zh-CN" w:bidi="ar-SA"/>
    </w:rPr>
  </w:style>
  <w:style w:type="paragraph" w:customStyle="1" w:styleId="161">
    <w:name w:val="Char Char Char Char Char Char Char"/>
    <w:basedOn w:val="1"/>
    <w:qFormat/>
    <w:uiPriority w:val="0"/>
    <w:rPr>
      <w:rFonts w:ascii="Tahoma" w:hAnsi="Tahoma"/>
      <w:sz w:val="24"/>
    </w:rPr>
  </w:style>
  <w:style w:type="paragraph" w:customStyle="1" w:styleId="16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6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4">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5">
    <w:name w:val="正文文本缩进 21"/>
    <w:basedOn w:val="1"/>
    <w:qFormat/>
    <w:uiPriority w:val="0"/>
    <w:pPr>
      <w:adjustRightInd w:val="0"/>
      <w:spacing w:before="120"/>
      <w:ind w:firstLine="420"/>
      <w:textAlignment w:val="baseline"/>
    </w:pPr>
    <w:rPr>
      <w:sz w:val="24"/>
    </w:rPr>
  </w:style>
  <w:style w:type="paragraph" w:customStyle="1" w:styleId="166">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6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8">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69">
    <w:name w:val="样式 首行缩进:  0.74 厘米"/>
    <w:basedOn w:val="1"/>
    <w:qFormat/>
    <w:uiPriority w:val="0"/>
    <w:pPr>
      <w:spacing w:line="360" w:lineRule="auto"/>
      <w:ind w:firstLine="420"/>
    </w:pPr>
    <w:rPr>
      <w:sz w:val="24"/>
    </w:rPr>
  </w:style>
  <w:style w:type="paragraph" w:customStyle="1" w:styleId="170">
    <w:name w:val="表格文本"/>
    <w:qFormat/>
    <w:uiPriority w:val="0"/>
    <w:pPr>
      <w:tabs>
        <w:tab w:val="decimal" w:pos="0"/>
      </w:tabs>
    </w:pPr>
    <w:rPr>
      <w:rFonts w:ascii="Arial" w:hAnsi="Arial" w:eastAsia="宋体" w:cs="Times New Roman"/>
      <w:sz w:val="21"/>
      <w:lang w:val="en-US" w:eastAsia="zh-CN" w:bidi="ar-SA"/>
    </w:rPr>
  </w:style>
  <w:style w:type="paragraph" w:customStyle="1" w:styleId="171">
    <w:name w:val="默认段落字体 Para Char Char Char Char Char Char Char"/>
    <w:basedOn w:val="1"/>
    <w:qFormat/>
    <w:uiPriority w:val="0"/>
    <w:rPr>
      <w:rFonts w:ascii="Tahoma" w:hAnsi="Tahoma"/>
      <w:sz w:val="24"/>
    </w:rPr>
  </w:style>
  <w:style w:type="paragraph" w:customStyle="1" w:styleId="17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3">
    <w:name w:val="Char1"/>
    <w:basedOn w:val="1"/>
    <w:qFormat/>
    <w:uiPriority w:val="0"/>
    <w:rPr>
      <w:sz w:val="21"/>
    </w:rPr>
  </w:style>
  <w:style w:type="paragraph" w:customStyle="1" w:styleId="174">
    <w:name w:val="样式 标题 1 + 居中 段前: 6 磅 段后: 6 磅 行距: 1.5 倍行距"/>
    <w:basedOn w:val="3"/>
    <w:qFormat/>
    <w:uiPriority w:val="0"/>
    <w:pPr>
      <w:keepLines/>
      <w:adjustRightInd w:val="0"/>
      <w:spacing w:before="120" w:after="120" w:line="360" w:lineRule="auto"/>
      <w:jc w:val="center"/>
    </w:pPr>
    <w:rPr>
      <w:rFonts w:ascii="Times New Roman"/>
      <w:b/>
      <w:kern w:val="44"/>
      <w:sz w:val="32"/>
    </w:rPr>
  </w:style>
  <w:style w:type="paragraph" w:customStyle="1" w:styleId="175">
    <w:name w:val="Char1 Char Char Char"/>
    <w:basedOn w:val="1"/>
    <w:qFormat/>
    <w:uiPriority w:val="0"/>
    <w:rPr>
      <w:rFonts w:ascii="Tahoma" w:hAnsi="Tahoma"/>
      <w:sz w:val="30"/>
    </w:rPr>
  </w:style>
  <w:style w:type="paragraph" w:customStyle="1" w:styleId="176">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7">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Table Contents"/>
    <w:basedOn w:val="2"/>
    <w:qFormat/>
    <w:uiPriority w:val="0"/>
    <w:pPr>
      <w:suppressAutoHyphens/>
      <w:jc w:val="left"/>
    </w:pPr>
    <w:rPr>
      <w:rFonts w:ascii="Times New Roman" w:eastAsia="Times New Roman"/>
      <w:kern w:val="0"/>
      <w:sz w:val="24"/>
    </w:rPr>
  </w:style>
  <w:style w:type="paragraph" w:customStyle="1" w:styleId="179">
    <w:name w:val="标题2"/>
    <w:basedOn w:val="4"/>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80">
    <w:name w:val="List Paragraph11"/>
    <w:basedOn w:val="1"/>
    <w:qFormat/>
    <w:uiPriority w:val="0"/>
    <w:pPr>
      <w:ind w:firstLine="420" w:firstLineChars="200"/>
    </w:pPr>
    <w:rPr>
      <w:rFonts w:ascii="等线" w:hAnsi="等线" w:eastAsia="等线"/>
      <w:sz w:val="21"/>
      <w:szCs w:val="22"/>
    </w:rPr>
  </w:style>
  <w:style w:type="paragraph" w:customStyle="1" w:styleId="181">
    <w:name w:val="附录3"/>
    <w:basedOn w:val="1"/>
    <w:next w:val="1"/>
    <w:qFormat/>
    <w:uiPriority w:val="0"/>
    <w:pPr>
      <w:tabs>
        <w:tab w:val="left" w:pos="851"/>
      </w:tabs>
      <w:ind w:left="425" w:hanging="425"/>
      <w:outlineLvl w:val="2"/>
    </w:pPr>
    <w:rPr>
      <w:rFonts w:eastAsia="黑体"/>
      <w:b/>
      <w:sz w:val="32"/>
    </w:rPr>
  </w:style>
  <w:style w:type="paragraph" w:customStyle="1" w:styleId="182">
    <w:name w:val="标题3——2"/>
    <w:basedOn w:val="5"/>
    <w:next w:val="59"/>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84">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5">
    <w:name w:val="List Paragraph1"/>
    <w:basedOn w:val="1"/>
    <w:qFormat/>
    <w:uiPriority w:val="0"/>
    <w:pPr>
      <w:ind w:firstLine="420" w:firstLineChars="200"/>
    </w:pPr>
    <w:rPr>
      <w:sz w:val="21"/>
      <w:szCs w:val="22"/>
    </w:rPr>
  </w:style>
  <w:style w:type="paragraph" w:customStyle="1" w:styleId="186">
    <w:name w:val="af"/>
    <w:basedOn w:val="1"/>
    <w:qFormat/>
    <w:uiPriority w:val="0"/>
    <w:pPr>
      <w:widowControl/>
      <w:spacing w:line="300" w:lineRule="atLeast"/>
      <w:jc w:val="left"/>
    </w:pPr>
    <w:rPr>
      <w:rFonts w:ascii="宋体" w:hAnsi="宋体"/>
      <w:kern w:val="0"/>
      <w:sz w:val="18"/>
    </w:rPr>
  </w:style>
  <w:style w:type="paragraph" w:customStyle="1" w:styleId="187">
    <w:name w:val="样式8"/>
    <w:basedOn w:val="1"/>
    <w:next w:val="1"/>
    <w:qFormat/>
    <w:uiPriority w:val="0"/>
    <w:rPr>
      <w:rFonts w:ascii="Times New Roman" w:hAnsi="Times New Roman" w:eastAsia="仿宋"/>
      <w:sz w:val="24"/>
    </w:rPr>
  </w:style>
  <w:style w:type="paragraph" w:customStyle="1" w:styleId="18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9">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90">
    <w:name w:val="样式 标题 1章标题Heading 0Section HeadPIM 1H1h11st levell11H1..."/>
    <w:basedOn w:val="3"/>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图片文字"/>
    <w:basedOn w:val="1"/>
    <w:qFormat/>
    <w:uiPriority w:val="0"/>
    <w:pPr>
      <w:spacing w:line="240" w:lineRule="atLeast"/>
      <w:jc w:val="center"/>
    </w:pPr>
    <w:rPr>
      <w:sz w:val="21"/>
    </w:rPr>
  </w:style>
  <w:style w:type="paragraph" w:customStyle="1" w:styleId="192">
    <w:name w:val="表格内文字"/>
    <w:basedOn w:val="31"/>
    <w:qFormat/>
    <w:uiPriority w:val="0"/>
    <w:pPr>
      <w:adjustRightInd w:val="0"/>
    </w:pPr>
    <w:rPr>
      <w:color w:val="000000"/>
      <w:lang w:val="en-GB"/>
    </w:rPr>
  </w:style>
  <w:style w:type="paragraph" w:customStyle="1" w:styleId="193">
    <w:name w:val="二级条标题"/>
    <w:basedOn w:val="194"/>
    <w:next w:val="196"/>
    <w:qFormat/>
    <w:uiPriority w:val="0"/>
    <w:pPr>
      <w:ind w:left="840"/>
      <w:outlineLvl w:val="3"/>
    </w:pPr>
  </w:style>
  <w:style w:type="paragraph" w:customStyle="1" w:styleId="194">
    <w:name w:val="一级条标题"/>
    <w:basedOn w:val="195"/>
    <w:next w:val="196"/>
    <w:qFormat/>
    <w:uiPriority w:val="0"/>
    <w:pPr>
      <w:numPr>
        <w:numId w:val="0"/>
      </w:numPr>
      <w:spacing w:beforeLines="0" w:afterLines="0"/>
      <w:ind w:left="525"/>
      <w:outlineLvl w:val="2"/>
    </w:pPr>
    <w:rPr>
      <w:sz w:val="21"/>
    </w:rPr>
  </w:style>
  <w:style w:type="paragraph" w:customStyle="1" w:styleId="195">
    <w:name w:val="章标题"/>
    <w:next w:val="1"/>
    <w:qFormat/>
    <w:uiPriority w:val="0"/>
    <w:pPr>
      <w:numPr>
        <w:ilvl w:val="1"/>
        <w:numId w:val="7"/>
      </w:numPr>
      <w:spacing w:beforeLines="50" w:afterLines="50"/>
      <w:ind w:left="0"/>
      <w:jc w:val="both"/>
      <w:outlineLvl w:val="1"/>
    </w:pPr>
    <w:rPr>
      <w:rFonts w:ascii="黑体" w:hAnsi="Calibri" w:eastAsia="宋体" w:cs="Times New Roman"/>
      <w:sz w:val="24"/>
      <w:lang w:val="en-US" w:eastAsia="zh-CN" w:bidi="ar-SA"/>
    </w:rPr>
  </w:style>
  <w:style w:type="paragraph" w:customStyle="1" w:styleId="196">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7">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198">
    <w:name w:val="标题 5（有编号）（绿盟科技）"/>
    <w:basedOn w:val="1"/>
    <w:next w:val="152"/>
    <w:qFormat/>
    <w:uiPriority w:val="0"/>
    <w:pPr>
      <w:keepNext/>
      <w:keepLines/>
      <w:numPr>
        <w:ilvl w:val="4"/>
        <w:numId w:val="9"/>
      </w:numPr>
      <w:spacing w:before="280" w:after="156" w:line="377" w:lineRule="auto"/>
      <w:jc w:val="left"/>
      <w:outlineLvl w:val="4"/>
    </w:pPr>
    <w:rPr>
      <w:rFonts w:ascii="Arial" w:hAnsi="Arial" w:eastAsia="黑体"/>
      <w:b/>
      <w:kern w:val="0"/>
      <w:sz w:val="24"/>
      <w:szCs w:val="28"/>
    </w:rPr>
  </w:style>
  <w:style w:type="paragraph" w:customStyle="1" w:styleId="199">
    <w:name w:val="Char2 Char Char Char Char Char Char"/>
    <w:basedOn w:val="1"/>
    <w:qFormat/>
    <w:uiPriority w:val="0"/>
    <w:rPr>
      <w:rFonts w:ascii="仿宋_GB2312"/>
      <w:b/>
      <w:sz w:val="30"/>
    </w:rPr>
  </w:style>
  <w:style w:type="paragraph" w:customStyle="1" w:styleId="200">
    <w:name w:val="表头样式"/>
    <w:basedOn w:val="1"/>
    <w:qFormat/>
    <w:uiPriority w:val="0"/>
    <w:pPr>
      <w:autoSpaceDE w:val="0"/>
      <w:autoSpaceDN w:val="0"/>
      <w:adjustRightInd w:val="0"/>
      <w:spacing w:line="360" w:lineRule="auto"/>
      <w:jc w:val="left"/>
    </w:pPr>
    <w:rPr>
      <w:b/>
      <w:kern w:val="0"/>
      <w:sz w:val="21"/>
    </w:rPr>
  </w:style>
  <w:style w:type="paragraph" w:customStyle="1" w:styleId="201">
    <w:name w:val="文本框样式1"/>
    <w:basedOn w:val="1"/>
    <w:qFormat/>
    <w:uiPriority w:val="0"/>
    <w:pPr>
      <w:adjustRightInd w:val="0"/>
      <w:snapToGrid w:val="0"/>
      <w:spacing w:before="60" w:line="180" w:lineRule="exact"/>
      <w:jc w:val="center"/>
    </w:pPr>
    <w:rPr>
      <w:sz w:val="21"/>
    </w:rPr>
  </w:style>
  <w:style w:type="paragraph" w:customStyle="1" w:styleId="202">
    <w:name w:val="样式6"/>
    <w:basedOn w:val="1"/>
    <w:next w:val="1"/>
    <w:qFormat/>
    <w:uiPriority w:val="0"/>
    <w:rPr>
      <w:rFonts w:ascii="Times New Roman" w:hAnsi="Times New Roman"/>
    </w:rPr>
  </w:style>
  <w:style w:type="paragraph" w:customStyle="1" w:styleId="203">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6">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08">
    <w:name w:val="Table Heading"/>
    <w:qFormat/>
    <w:uiPriority w:val="0"/>
    <w:pPr>
      <w:keepNext/>
      <w:snapToGrid w:val="0"/>
      <w:spacing w:before="80" w:after="80"/>
      <w:jc w:val="center"/>
    </w:pPr>
    <w:rPr>
      <w:rFonts w:ascii="Arial" w:hAnsi="Arial" w:eastAsia="宋体" w:cs="Times New Roman"/>
      <w:sz w:val="18"/>
      <w:lang w:val="en-US" w:eastAsia="zh-CN" w:bidi="ar-SA"/>
    </w:rPr>
  </w:style>
  <w:style w:type="paragraph" w:customStyle="1" w:styleId="209">
    <w:name w:val="文本1"/>
    <w:basedOn w:val="1"/>
    <w:qFormat/>
    <w:uiPriority w:val="0"/>
    <w:pPr>
      <w:adjustRightInd w:val="0"/>
      <w:spacing w:line="312" w:lineRule="atLeast"/>
      <w:jc w:val="center"/>
      <w:textAlignment w:val="baseline"/>
    </w:pPr>
    <w:rPr>
      <w:kern w:val="0"/>
      <w:sz w:val="18"/>
    </w:rPr>
  </w:style>
  <w:style w:type="paragraph" w:customStyle="1" w:styleId="210">
    <w:name w:val="IN Feature"/>
    <w:next w:val="211"/>
    <w:qFormat/>
    <w:uiPriority w:val="0"/>
    <w:pPr>
      <w:keepNext/>
      <w:keepLines/>
      <w:spacing w:before="240" w:after="240"/>
      <w:outlineLvl w:val="7"/>
    </w:pPr>
    <w:rPr>
      <w:rFonts w:ascii="Arial" w:hAnsi="Arial" w:eastAsia="宋体" w:cs="Times New Roman"/>
      <w:sz w:val="21"/>
      <w:lang w:val="en-US" w:eastAsia="zh-CN" w:bidi="ar-SA"/>
    </w:rPr>
  </w:style>
  <w:style w:type="paragraph" w:customStyle="1" w:styleId="21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4">
    <w:name w:val="正文字缩2字"/>
    <w:basedOn w:val="1"/>
    <w:qFormat/>
    <w:uiPriority w:val="0"/>
    <w:pPr>
      <w:spacing w:before="60" w:after="60" w:line="360" w:lineRule="auto"/>
      <w:ind w:left="200" w:leftChars="200" w:firstLine="200" w:firstLineChars="200"/>
    </w:pPr>
    <w:rPr>
      <w:sz w:val="24"/>
    </w:rPr>
  </w:style>
  <w:style w:type="paragraph" w:customStyle="1" w:styleId="2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16">
    <w:name w:val="样式4"/>
    <w:basedOn w:val="6"/>
    <w:qFormat/>
    <w:uiPriority w:val="0"/>
    <w:pPr>
      <w:adjustRightInd w:val="0"/>
      <w:snapToGrid w:val="0"/>
    </w:pPr>
  </w:style>
  <w:style w:type="paragraph" w:customStyle="1" w:styleId="217">
    <w:name w:val="样式 行距: 1.5 倍行距1"/>
    <w:basedOn w:val="1"/>
    <w:qFormat/>
    <w:uiPriority w:val="0"/>
    <w:pPr>
      <w:snapToGrid w:val="0"/>
    </w:pPr>
    <w:rPr>
      <w:sz w:val="21"/>
    </w:rPr>
  </w:style>
  <w:style w:type="paragraph" w:customStyle="1" w:styleId="218">
    <w:name w:val="Char"/>
    <w:basedOn w:val="1"/>
    <w:qFormat/>
    <w:uiPriority w:val="0"/>
    <w:pPr>
      <w:spacing w:line="240" w:lineRule="atLeast"/>
      <w:ind w:left="420" w:firstLine="420"/>
    </w:pPr>
    <w:rPr>
      <w:kern w:val="0"/>
      <w:sz w:val="21"/>
    </w:rPr>
  </w:style>
  <w:style w:type="paragraph" w:customStyle="1" w:styleId="219">
    <w:name w:val="样式1"/>
    <w:basedOn w:val="6"/>
    <w:qFormat/>
    <w:uiPriority w:val="0"/>
    <w:pPr>
      <w:tabs>
        <w:tab w:val="left" w:pos="720"/>
      </w:tabs>
      <w:spacing w:before="500" w:after="260" w:line="560" w:lineRule="atLeast"/>
      <w:ind w:left="420" w:hanging="420"/>
    </w:pPr>
  </w:style>
  <w:style w:type="paragraph" w:customStyle="1" w:styleId="220">
    <w:name w:val="标准正文"/>
    <w:basedOn w:val="23"/>
    <w:qFormat/>
    <w:uiPriority w:val="0"/>
    <w:pPr>
      <w:spacing w:before="60" w:after="60" w:line="360" w:lineRule="auto"/>
      <w:ind w:left="0" w:firstLine="482"/>
    </w:pPr>
    <w:rPr>
      <w:rFonts w:ascii="Arial" w:hAnsi="Arial"/>
      <w:sz w:val="24"/>
    </w:rPr>
  </w:style>
  <w:style w:type="paragraph" w:customStyle="1" w:styleId="22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2">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223">
    <w:name w:val="Figure Description"/>
    <w:next w:val="1"/>
    <w:qFormat/>
    <w:uiPriority w:val="0"/>
    <w:pPr>
      <w:snapToGrid w:val="0"/>
      <w:spacing w:before="80" w:after="320"/>
      <w:ind w:left="1134"/>
      <w:jc w:val="center"/>
    </w:pPr>
    <w:rPr>
      <w:rFonts w:ascii="Arial" w:hAnsi="Arial" w:eastAsia="宋体" w:cs="Times New Roman"/>
      <w:sz w:val="18"/>
      <w:lang w:val="en-US" w:eastAsia="zh-CN" w:bidi="ar-SA"/>
    </w:rPr>
  </w:style>
  <w:style w:type="paragraph" w:customStyle="1" w:styleId="224">
    <w:name w:val="样式7"/>
    <w:basedOn w:val="1"/>
    <w:next w:val="1"/>
    <w:qFormat/>
    <w:uiPriority w:val="0"/>
    <w:rPr>
      <w:rFonts w:ascii="Times New Roman" w:hAnsi="Times New Roman"/>
    </w:rPr>
  </w:style>
  <w:style w:type="paragraph" w:customStyle="1" w:styleId="225">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6">
    <w:name w:val="样式 宋体 五号 行距: 单倍行距"/>
    <w:basedOn w:val="1"/>
    <w:qFormat/>
    <w:uiPriority w:val="0"/>
    <w:pPr>
      <w:adjustRightInd w:val="0"/>
      <w:jc w:val="left"/>
    </w:pPr>
    <w:rPr>
      <w:rFonts w:ascii="宋体" w:hAnsi="宋体"/>
      <w:kern w:val="0"/>
      <w:sz w:val="21"/>
    </w:rPr>
  </w:style>
  <w:style w:type="paragraph" w:customStyle="1" w:styleId="227">
    <w:name w:val="Table Description"/>
    <w:next w:val="1"/>
    <w:qFormat/>
    <w:uiPriority w:val="0"/>
    <w:pPr>
      <w:keepNext/>
      <w:snapToGrid w:val="0"/>
      <w:spacing w:before="160" w:after="80"/>
      <w:ind w:left="1134"/>
      <w:jc w:val="center"/>
    </w:pPr>
    <w:rPr>
      <w:rFonts w:ascii="Arial" w:hAnsi="Arial" w:eastAsia="宋体" w:cs="Times New Roman"/>
      <w:sz w:val="18"/>
      <w:lang w:val="en-US" w:eastAsia="zh-CN" w:bidi="ar-SA"/>
    </w:rPr>
  </w:style>
  <w:style w:type="paragraph" w:customStyle="1" w:styleId="228">
    <w:name w:val="Char Char 字元 字元 字元 Char Char Char Char"/>
    <w:basedOn w:val="1"/>
    <w:qFormat/>
    <w:uiPriority w:val="0"/>
    <w:pPr>
      <w:adjustRightInd w:val="0"/>
      <w:spacing w:line="360" w:lineRule="auto"/>
    </w:pPr>
    <w:rPr>
      <w:kern w:val="0"/>
      <w:sz w:val="24"/>
    </w:rPr>
  </w:style>
  <w:style w:type="paragraph" w:customStyle="1" w:styleId="229">
    <w:name w:val="内容标题"/>
    <w:basedOn w:val="18"/>
    <w:qFormat/>
    <w:uiPriority w:val="0"/>
    <w:rPr>
      <w:rFonts w:ascii="Tahoma" w:hAnsi="Tahoma"/>
      <w:sz w:val="24"/>
    </w:rPr>
  </w:style>
  <w:style w:type="paragraph" w:customStyle="1" w:styleId="230">
    <w:name w:val="Char Char Char Char Char Char Char Char Char Char Char Char Char Char Char Char"/>
    <w:basedOn w:val="1"/>
    <w:qFormat/>
    <w:uiPriority w:val="0"/>
    <w:pPr>
      <w:tabs>
        <w:tab w:val="left" w:pos="360"/>
      </w:tabs>
    </w:pPr>
    <w:rPr>
      <w:sz w:val="24"/>
    </w:rPr>
  </w:style>
  <w:style w:type="paragraph" w:customStyle="1" w:styleId="231">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3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3">
    <w:name w:val="图例"/>
    <w:basedOn w:val="1"/>
    <w:qFormat/>
    <w:uiPriority w:val="0"/>
    <w:pPr>
      <w:spacing w:before="120" w:after="120" w:line="360" w:lineRule="auto"/>
      <w:jc w:val="center"/>
    </w:pPr>
    <w:rPr>
      <w:rFonts w:eastAsia="仿宋_GB2312"/>
      <w:b/>
      <w:sz w:val="24"/>
    </w:rPr>
  </w:style>
  <w:style w:type="paragraph" w:customStyle="1" w:styleId="234">
    <w:name w:val="00"/>
    <w:basedOn w:val="1"/>
    <w:qFormat/>
    <w:uiPriority w:val="0"/>
    <w:pPr>
      <w:autoSpaceDE w:val="0"/>
      <w:autoSpaceDN w:val="0"/>
      <w:adjustRightInd w:val="0"/>
      <w:jc w:val="left"/>
    </w:pPr>
    <w:rPr>
      <w:rFonts w:ascii="黑体" w:eastAsia="黑体"/>
      <w:b/>
      <w:kern w:val="0"/>
      <w:sz w:val="20"/>
    </w:rPr>
  </w:style>
  <w:style w:type="paragraph" w:customStyle="1" w:styleId="235">
    <w:name w:val="Char1 Char Char Char1"/>
    <w:basedOn w:val="1"/>
    <w:qFormat/>
    <w:uiPriority w:val="0"/>
    <w:rPr>
      <w:rFonts w:ascii="Tahoma" w:hAnsi="Tahoma"/>
      <w:sz w:val="24"/>
    </w:rPr>
  </w:style>
  <w:style w:type="paragraph" w:customStyle="1" w:styleId="236">
    <w:name w:val="表文字"/>
    <w:qFormat/>
    <w:uiPriority w:val="0"/>
    <w:rPr>
      <w:rFonts w:ascii="宋体" w:hAnsi="Calibri" w:eastAsia="宋体" w:cs="Times New Roman"/>
      <w:kern w:val="2"/>
      <w:lang w:val="en-US" w:eastAsia="zh-CN" w:bidi="ar-SA"/>
    </w:rPr>
  </w:style>
  <w:style w:type="paragraph" w:customStyle="1" w:styleId="237">
    <w:name w:val="正文4"/>
    <w:basedOn w:val="1"/>
    <w:qFormat/>
    <w:uiPriority w:val="0"/>
    <w:pPr>
      <w:tabs>
        <w:tab w:val="left" w:pos="1275"/>
      </w:tabs>
      <w:spacing w:before="60" w:after="60" w:line="360" w:lineRule="auto"/>
      <w:ind w:left="820" w:leftChars="400" w:hanging="705"/>
    </w:pPr>
    <w:rPr>
      <w:sz w:val="24"/>
    </w:rPr>
  </w:style>
  <w:style w:type="paragraph" w:customStyle="1" w:styleId="238">
    <w:name w:val="可研正文"/>
    <w:basedOn w:val="2"/>
    <w:qFormat/>
    <w:uiPriority w:val="0"/>
    <w:pPr>
      <w:adjustRightInd w:val="0"/>
      <w:snapToGrid w:val="0"/>
      <w:spacing w:line="440" w:lineRule="exact"/>
      <w:ind w:firstLine="567"/>
    </w:pPr>
    <w:rPr>
      <w:sz w:val="28"/>
    </w:rPr>
  </w:style>
  <w:style w:type="paragraph" w:customStyle="1" w:styleId="23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0">
    <w:name w:val="正文 + 三号"/>
    <w:basedOn w:val="1"/>
    <w:qFormat/>
    <w:uiPriority w:val="0"/>
    <w:rPr>
      <w:sz w:val="21"/>
    </w:rPr>
  </w:style>
  <w:style w:type="paragraph" w:customStyle="1" w:styleId="241">
    <w:name w:val="样式3"/>
    <w:basedOn w:val="3"/>
    <w:next w:val="3"/>
    <w:qFormat/>
    <w:uiPriority w:val="0"/>
    <w:pPr>
      <w:keepLines/>
      <w:adjustRightInd w:val="0"/>
      <w:spacing w:before="340" w:after="330" w:line="576" w:lineRule="auto"/>
    </w:pPr>
    <w:rPr>
      <w:rFonts w:ascii="Times New Roman" w:eastAsia="黑体"/>
      <w:b/>
      <w:kern w:val="44"/>
      <w:sz w:val="44"/>
    </w:rPr>
  </w:style>
  <w:style w:type="paragraph" w:customStyle="1" w:styleId="242">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3">
    <w:name w:val="标题1"/>
    <w:basedOn w:val="1"/>
    <w:next w:val="1"/>
    <w:qFormat/>
    <w:uiPriority w:val="0"/>
    <w:rPr>
      <w:rFonts w:ascii="Times New Roman" w:hAnsi="Times New Roman"/>
    </w:rPr>
  </w:style>
  <w:style w:type="paragraph" w:customStyle="1" w:styleId="24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5">
    <w:name w:val="关键词"/>
    <w:basedOn w:val="1"/>
    <w:next w:val="1"/>
    <w:qFormat/>
    <w:uiPriority w:val="0"/>
    <w:pPr>
      <w:spacing w:line="360" w:lineRule="auto"/>
    </w:pPr>
    <w:rPr>
      <w:rFonts w:eastAsia="黑体"/>
      <w:sz w:val="20"/>
    </w:rPr>
  </w:style>
  <w:style w:type="paragraph" w:customStyle="1" w:styleId="246">
    <w:name w:val="Char Char Char Char Char Char Char1"/>
    <w:basedOn w:val="18"/>
    <w:qFormat/>
    <w:uiPriority w:val="0"/>
    <w:rPr>
      <w:rFonts w:ascii="宋体" w:hAnsi="Tahoma"/>
    </w:rPr>
  </w:style>
  <w:style w:type="paragraph" w:customStyle="1" w:styleId="24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48">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9">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样式12"/>
    <w:basedOn w:val="1"/>
    <w:next w:val="1"/>
    <w:qFormat/>
    <w:uiPriority w:val="0"/>
    <w:rPr>
      <w:rFonts w:ascii="Times New Roman" w:hAnsi="Times New Roman" w:eastAsia="仿宋"/>
      <w:sz w:val="24"/>
    </w:rPr>
  </w:style>
  <w:style w:type="paragraph" w:customStyle="1" w:styleId="252">
    <w:name w:val="样式2"/>
    <w:basedOn w:val="6"/>
    <w:qFormat/>
    <w:uiPriority w:val="0"/>
    <w:pPr>
      <w:numPr>
        <w:ilvl w:val="0"/>
        <w:numId w:val="13"/>
      </w:numPr>
      <w:spacing w:before="560" w:line="400" w:lineRule="exact"/>
      <w:jc w:val="center"/>
      <w:outlineLvl w:val="0"/>
    </w:pPr>
    <w:rPr>
      <w:sz w:val="44"/>
    </w:rPr>
  </w:style>
  <w:style w:type="paragraph" w:customStyle="1" w:styleId="25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54">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5">
    <w:name w:val="文章正文"/>
    <w:basedOn w:val="1"/>
    <w:qFormat/>
    <w:uiPriority w:val="0"/>
    <w:pPr>
      <w:ind w:firstLine="560" w:firstLineChars="200"/>
    </w:pPr>
    <w:rPr>
      <w:rFonts w:ascii="仿宋_GB2312" w:hAnsi="宋体" w:eastAsia="仿宋_GB2312"/>
      <w:color w:val="000000"/>
    </w:rPr>
  </w:style>
  <w:style w:type="paragraph" w:customStyle="1" w:styleId="256">
    <w:name w:val="默认段落字体 Para Char Char Char Char Char Char Char Char Char1 Char Char Char Char"/>
    <w:basedOn w:val="1"/>
    <w:qFormat/>
    <w:uiPriority w:val="0"/>
    <w:rPr>
      <w:rFonts w:ascii="Tahoma" w:hAnsi="Tahoma"/>
      <w:sz w:val="24"/>
    </w:rPr>
  </w:style>
  <w:style w:type="paragraph" w:customStyle="1" w:styleId="25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58">
    <w:name w:val="Title - Revision"/>
    <w:basedOn w:val="57"/>
    <w:qFormat/>
    <w:uiPriority w:val="0"/>
    <w:pPr>
      <w:spacing w:before="720"/>
    </w:pPr>
  </w:style>
  <w:style w:type="paragraph" w:customStyle="1" w:styleId="259">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0">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1">
    <w:name w:val="Note"/>
    <w:basedOn w:val="1"/>
    <w:qFormat/>
    <w:uiPriority w:val="0"/>
    <w:pPr>
      <w:pBdr>
        <w:top w:val="single" w:color="auto" w:sz="12" w:space="3"/>
        <w:bottom w:val="single" w:color="auto" w:sz="12" w:space="3"/>
      </w:pBdr>
      <w:spacing w:line="360" w:lineRule="auto"/>
    </w:pPr>
    <w:rPr>
      <w:sz w:val="24"/>
    </w:rPr>
  </w:style>
  <w:style w:type="paragraph" w:customStyle="1" w:styleId="26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4">
    <w:name w:val="样式9"/>
    <w:basedOn w:val="1"/>
    <w:next w:val="1"/>
    <w:qFormat/>
    <w:uiPriority w:val="0"/>
    <w:rPr>
      <w:rFonts w:ascii="Times New Roman" w:hAnsi="Times New Roman" w:eastAsia="仿宋"/>
      <w:sz w:val="24"/>
    </w:rPr>
  </w:style>
  <w:style w:type="paragraph" w:customStyle="1" w:styleId="265">
    <w:name w:val="首行缩进 1"/>
    <w:basedOn w:val="1"/>
    <w:qFormat/>
    <w:uiPriority w:val="0"/>
    <w:pPr>
      <w:spacing w:after="120" w:line="360" w:lineRule="auto"/>
      <w:ind w:firstLine="200" w:firstLineChars="200"/>
    </w:pPr>
    <w:rPr>
      <w:sz w:val="24"/>
    </w:rPr>
  </w:style>
  <w:style w:type="paragraph" w:customStyle="1" w:styleId="266">
    <w:name w:val="1"/>
    <w:basedOn w:val="1"/>
    <w:next w:val="31"/>
    <w:qFormat/>
    <w:uiPriority w:val="0"/>
    <w:rPr>
      <w:rFonts w:ascii="宋体" w:hAnsi="Courier New"/>
      <w:sz w:val="21"/>
    </w:rPr>
  </w:style>
  <w:style w:type="paragraph" w:customStyle="1" w:styleId="267">
    <w:name w:val="1.正文"/>
    <w:basedOn w:val="1"/>
    <w:qFormat/>
    <w:uiPriority w:val="0"/>
    <w:pPr>
      <w:spacing w:line="360" w:lineRule="auto"/>
      <w:ind w:left="540" w:leftChars="225" w:firstLine="540" w:firstLineChars="225"/>
    </w:pPr>
    <w:rPr>
      <w:sz w:val="24"/>
    </w:rPr>
  </w:style>
  <w:style w:type="paragraph" w:customStyle="1" w:styleId="268">
    <w:name w:val="Style Heading 3h3Heading 3 - oldLevel 3 HeadH3level_3PIM 3se..."/>
    <w:basedOn w:val="5"/>
    <w:qFormat/>
    <w:uiPriority w:val="0"/>
    <w:pPr>
      <w:tabs>
        <w:tab w:val="left" w:pos="709"/>
        <w:tab w:val="left" w:pos="1620"/>
      </w:tabs>
      <w:ind w:left="1620" w:hanging="360"/>
    </w:pPr>
  </w:style>
  <w:style w:type="paragraph" w:customStyle="1" w:styleId="269">
    <w:name w:val="摘要"/>
    <w:basedOn w:val="1"/>
    <w:next w:val="4"/>
    <w:qFormat/>
    <w:uiPriority w:val="0"/>
    <w:pPr>
      <w:spacing w:line="360" w:lineRule="auto"/>
    </w:pPr>
    <w:rPr>
      <w:rFonts w:eastAsia="黑体"/>
      <w:sz w:val="20"/>
    </w:rPr>
  </w:style>
  <w:style w:type="paragraph" w:customStyle="1" w:styleId="270">
    <w:name w:val="Char Char Char"/>
    <w:basedOn w:val="1"/>
    <w:qFormat/>
    <w:uiPriority w:val="0"/>
    <w:rPr>
      <w:rFonts w:ascii="Tahoma" w:hAnsi="Tahoma"/>
      <w:sz w:val="24"/>
    </w:rPr>
  </w:style>
  <w:style w:type="character" w:customStyle="1" w:styleId="271">
    <w:name w:val="font61"/>
    <w:basedOn w:val="63"/>
    <w:qFormat/>
    <w:uiPriority w:val="0"/>
    <w:rPr>
      <w:rFonts w:hint="default" w:ascii="Times New Roman" w:hAnsi="Times New Roman" w:cs="Times New Roman"/>
      <w:color w:val="000000"/>
      <w:sz w:val="18"/>
      <w:szCs w:val="18"/>
      <w:u w:val="none"/>
    </w:rPr>
  </w:style>
  <w:style w:type="character" w:customStyle="1" w:styleId="272">
    <w:name w:val="font21"/>
    <w:basedOn w:val="63"/>
    <w:qFormat/>
    <w:uiPriority w:val="0"/>
    <w:rPr>
      <w:rFonts w:hint="eastAsia" w:ascii="宋体" w:hAnsi="宋体" w:eastAsia="宋体" w:cs="宋体"/>
      <w:color w:val="000000"/>
      <w:sz w:val="18"/>
      <w:szCs w:val="18"/>
      <w:u w:val="none"/>
    </w:rPr>
  </w:style>
  <w:style w:type="character" w:customStyle="1" w:styleId="273">
    <w:name w:val="NormalCharacter"/>
    <w:link w:val="1"/>
    <w:qFormat/>
    <w:uiPriority w:val="0"/>
    <w:rPr>
      <w:rFonts w:ascii="Calibri" w:hAnsi="Calibri" w:eastAsia="宋体" w:cs="Times New Roman"/>
      <w:kern w:val="2"/>
      <w:sz w:val="28"/>
      <w:lang w:val="en-US" w:eastAsia="zh-CN" w:bidi="ar-SA"/>
    </w:rPr>
  </w:style>
  <w:style w:type="character" w:customStyle="1" w:styleId="274">
    <w:name w:val="font71"/>
    <w:basedOn w:val="63"/>
    <w:qFormat/>
    <w:uiPriority w:val="0"/>
    <w:rPr>
      <w:rFonts w:hint="eastAsia" w:ascii="宋体" w:hAnsi="宋体" w:eastAsia="宋体" w:cs="宋体"/>
      <w:color w:val="000000"/>
      <w:sz w:val="20"/>
      <w:szCs w:val="20"/>
      <w:u w:val="none"/>
    </w:rPr>
  </w:style>
  <w:style w:type="paragraph" w:customStyle="1" w:styleId="275">
    <w:name w:val="BodyText"/>
    <w:basedOn w:val="1"/>
    <w:next w:val="1"/>
    <w:qFormat/>
    <w:uiPriority w:val="99"/>
    <w:pPr>
      <w:spacing w:line="500" w:lineRule="exact"/>
      <w:textAlignment w:val="baseline"/>
    </w:pPr>
    <w:rPr>
      <w:rFonts w:ascii="宋体" w:hAnsi="宋体" w:cs="宋体"/>
      <w:kern w:val="0"/>
    </w:rPr>
  </w:style>
  <w:style w:type="paragraph" w:customStyle="1" w:styleId="276">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styleId="277">
    <w:name w:val="List Paragraph"/>
    <w:basedOn w:val="1"/>
    <w:unhideWhenUsed/>
    <w:qFormat/>
    <w:uiPriority w:val="99"/>
    <w:pPr>
      <w:ind w:firstLine="420" w:firstLineChars="200"/>
    </w:pPr>
  </w:style>
  <w:style w:type="paragraph" w:customStyle="1" w:styleId="278">
    <w:name w:val="Heading3"/>
    <w:basedOn w:val="1"/>
    <w:next w:val="1"/>
    <w:autoRedefine/>
    <w:qFormat/>
    <w:uiPriority w:val="0"/>
    <w:pPr>
      <w:keepNext/>
      <w:keepLines/>
      <w:spacing w:before="260" w:after="260" w:line="413" w:lineRule="auto"/>
      <w:jc w:val="both"/>
      <w:textAlignment w:val="baseline"/>
    </w:pPr>
    <w:rPr>
      <w:b/>
      <w:kern w:val="2"/>
      <w:sz w:val="32"/>
      <w:lang w:val="en-US" w:eastAsia="zh-CN" w:bidi="ar-SA"/>
    </w:rPr>
  </w:style>
  <w:style w:type="paragraph" w:customStyle="1" w:styleId="279">
    <w:name w:val="参数正文"/>
    <w:basedOn w:val="1"/>
    <w:qFormat/>
    <w:uiPriority w:val="0"/>
    <w:pPr>
      <w:spacing w:before="0" w:beforeLines="0" w:beforeAutospacing="0" w:after="0" w:afterLines="0" w:afterAutospacing="0"/>
    </w:pPr>
    <w:rPr>
      <w:lang w:val="en-US"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36</Pages>
  <Words>13216</Words>
  <Characters>14004</Characters>
  <Lines>133</Lines>
  <Paragraphs>37</Paragraphs>
  <TotalTime>10</TotalTime>
  <ScaleCrop>false</ScaleCrop>
  <LinksUpToDate>false</LinksUpToDate>
  <CharactersWithSpaces>14365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2023-08-01T10:12:00Z</dcterms:created>
  <dc:creator>刘胜仲</dc:creator>
  <cp:lastModifiedBy>忘忧草</cp:lastModifiedBy>
  <cp:lastPrinted>2023-10-20T03:01:00Z</cp:lastPrinted>
  <dcterms:modified xsi:type="dcterms:W3CDTF">2025-04-27T09:12:18Z</dcterms:modified>
  <dc:title>竞争性谈判文件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7990579_cloud</vt:lpwstr>
  </property>
  <property fmtid="{D5CDD505-2E9C-101B-9397-08002B2CF9AE}" pid="4" name="ICV">
    <vt:lpwstr>2C786EC283E7467A84BC550CB3E8D08C_13</vt:lpwstr>
  </property>
  <property fmtid="{D5CDD505-2E9C-101B-9397-08002B2CF9AE}" pid="5" name="KSOTemplateDocerSaveRecord">
    <vt:lpwstr>eyJoZGlkIjoiNjQwYmQ2ODdkODY0MWZmYmNiZTI0MTExYjEzNDhjNmEiLCJ1c2VySWQiOiI0NDkyNjQ0MTgifQ==</vt:lpwstr>
  </property>
</Properties>
</file>