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F6BD">
      <w:pPr>
        <w:keepNext w:val="0"/>
        <w:keepLines w:val="0"/>
        <w:pageBreakBefore w:val="0"/>
        <w:widowControl/>
        <w:kinsoku/>
        <w:wordWrap/>
        <w:overflowPunct/>
        <w:topLinePunct w:val="0"/>
        <w:autoSpaceDE/>
        <w:autoSpaceDN/>
        <w:bidi w:val="0"/>
        <w:adjustRightInd/>
        <w:snapToGrid/>
        <w:spacing w:before="763" w:beforeLines="200" w:line="336" w:lineRule="auto"/>
        <w:jc w:val="center"/>
        <w:textAlignment w:val="auto"/>
        <w:rPr>
          <w:rFonts w:ascii="仿宋" w:hAnsi="仿宋" w:eastAsia="仿宋"/>
          <w:b/>
          <w:bCs/>
          <w:color w:val="auto"/>
          <w:spacing w:val="80"/>
          <w:sz w:val="96"/>
          <w:szCs w:val="96"/>
          <w:highlight w:val="none"/>
        </w:rPr>
      </w:pPr>
      <w:r>
        <w:rPr>
          <w:rFonts w:hint="eastAsia" w:ascii="仿宋" w:hAnsi="仿宋" w:eastAsia="仿宋"/>
          <w:b/>
          <w:bCs/>
          <w:color w:val="auto"/>
          <w:spacing w:val="80"/>
          <w:sz w:val="96"/>
          <w:szCs w:val="96"/>
          <w:highlight w:val="none"/>
        </w:rPr>
        <w:t>竞争性磋商文件</w:t>
      </w:r>
    </w:p>
    <w:p w14:paraId="0AFFD410">
      <w:pPr>
        <w:spacing w:line="336" w:lineRule="auto"/>
        <w:jc w:val="both"/>
        <w:rPr>
          <w:rFonts w:hint="eastAsia" w:ascii="仿宋" w:hAnsi="仿宋" w:eastAsia="仿宋"/>
          <w:b/>
          <w:bCs/>
          <w:color w:val="auto"/>
          <w:spacing w:val="80"/>
          <w:sz w:val="44"/>
          <w:szCs w:val="44"/>
          <w:highlight w:val="none"/>
        </w:rPr>
      </w:pPr>
    </w:p>
    <w:p w14:paraId="094C2218">
      <w:pPr>
        <w:spacing w:line="336" w:lineRule="auto"/>
        <w:jc w:val="center"/>
        <w:rPr>
          <w:rFonts w:ascii="仿宋" w:hAnsi="仿宋" w:eastAsia="仿宋"/>
          <w:color w:val="auto"/>
          <w:sz w:val="22"/>
          <w:szCs w:val="22"/>
          <w:highlight w:val="none"/>
        </w:rPr>
      </w:pPr>
      <w:r>
        <w:rPr>
          <w:rFonts w:hint="eastAsia" w:ascii="仿宋" w:hAnsi="仿宋" w:eastAsia="仿宋"/>
          <w:b/>
          <w:bCs/>
          <w:color w:val="auto"/>
          <w:spacing w:val="80"/>
          <w:sz w:val="44"/>
          <w:szCs w:val="44"/>
          <w:highlight w:val="none"/>
        </w:rPr>
        <w:t xml:space="preserve"> </w:t>
      </w:r>
    </w:p>
    <w:p w14:paraId="48C4B1A9">
      <w:pPr>
        <w:spacing w:line="336" w:lineRule="auto"/>
        <w:rPr>
          <w:rFonts w:ascii="仿宋" w:hAnsi="仿宋" w:eastAsia="仿宋"/>
          <w:b/>
          <w:color w:val="auto"/>
          <w:sz w:val="36"/>
          <w:szCs w:val="24"/>
          <w:highlight w:val="none"/>
        </w:rPr>
      </w:pPr>
    </w:p>
    <w:p w14:paraId="3CE06A0D">
      <w:pPr>
        <w:spacing w:line="336" w:lineRule="auto"/>
        <w:ind w:firstLine="321" w:firstLineChars="100"/>
        <w:jc w:val="both"/>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项目名称：</w:t>
      </w:r>
      <w:bookmarkStart w:id="183" w:name="_GoBack"/>
      <w:bookmarkEnd w:id="183"/>
      <w:r>
        <w:rPr>
          <w:rFonts w:hint="eastAsia" w:ascii="仿宋" w:hAnsi="仿宋" w:eastAsia="仿宋"/>
          <w:b/>
          <w:color w:val="auto"/>
          <w:sz w:val="32"/>
          <w:szCs w:val="32"/>
          <w:highlight w:val="none"/>
          <w:lang w:eastAsia="zh-CN"/>
        </w:rPr>
        <w:t>酉阳县龙潭镇固体废物处理场技术改造</w:t>
      </w:r>
    </w:p>
    <w:p w14:paraId="3C131892">
      <w:pPr>
        <w:spacing w:line="336" w:lineRule="auto"/>
        <w:jc w:val="center"/>
        <w:rPr>
          <w:rFonts w:hint="default" w:ascii="仿宋" w:hAnsi="仿宋" w:eastAsia="仿宋"/>
          <w:b/>
          <w:color w:val="auto"/>
          <w:sz w:val="32"/>
          <w:szCs w:val="32"/>
          <w:highlight w:val="none"/>
          <w:lang w:val="en-US" w:eastAsia="zh-CN"/>
        </w:rPr>
      </w:pPr>
    </w:p>
    <w:p w14:paraId="08513D68">
      <w:pPr>
        <w:spacing w:line="336" w:lineRule="auto"/>
        <w:ind w:firstLine="321" w:firstLineChars="100"/>
        <w:jc w:val="both"/>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招标编号：YQZX-GC-20250900</w:t>
      </w:r>
      <w:r>
        <w:rPr>
          <w:rFonts w:hint="eastAsia" w:ascii="仿宋" w:hAnsi="仿宋" w:eastAsia="仿宋"/>
          <w:b/>
          <w:color w:val="auto"/>
          <w:sz w:val="32"/>
          <w:szCs w:val="32"/>
          <w:highlight w:val="none"/>
          <w:lang w:val="en-US" w:eastAsia="zh-CN"/>
        </w:rPr>
        <w:t>2</w:t>
      </w:r>
    </w:p>
    <w:p w14:paraId="2FAD799A">
      <w:pPr>
        <w:spacing w:line="336" w:lineRule="auto"/>
        <w:rPr>
          <w:rFonts w:ascii="仿宋" w:hAnsi="仿宋" w:eastAsia="仿宋"/>
          <w:color w:val="auto"/>
          <w:sz w:val="24"/>
          <w:szCs w:val="24"/>
          <w:highlight w:val="none"/>
        </w:rPr>
      </w:pPr>
    </w:p>
    <w:p w14:paraId="2D1ED2FA">
      <w:pPr>
        <w:spacing w:line="336" w:lineRule="auto"/>
        <w:rPr>
          <w:rFonts w:ascii="仿宋" w:hAnsi="仿宋" w:eastAsia="仿宋"/>
          <w:color w:val="auto"/>
          <w:sz w:val="24"/>
          <w:szCs w:val="24"/>
          <w:highlight w:val="none"/>
        </w:rPr>
      </w:pPr>
    </w:p>
    <w:p w14:paraId="129085FB">
      <w:pPr>
        <w:spacing w:line="336" w:lineRule="auto"/>
        <w:jc w:val="both"/>
        <w:rPr>
          <w:rFonts w:ascii="仿宋" w:hAnsi="仿宋" w:eastAsia="仿宋"/>
          <w:b/>
          <w:color w:val="auto"/>
          <w:kern w:val="2"/>
          <w:sz w:val="36"/>
          <w:szCs w:val="24"/>
          <w:highlight w:val="none"/>
        </w:rPr>
      </w:pPr>
    </w:p>
    <w:p w14:paraId="1E75C0C1">
      <w:pPr>
        <w:spacing w:line="336" w:lineRule="auto"/>
        <w:jc w:val="both"/>
        <w:rPr>
          <w:rFonts w:ascii="仿宋" w:hAnsi="仿宋" w:eastAsia="仿宋"/>
          <w:b/>
          <w:color w:val="auto"/>
          <w:kern w:val="2"/>
          <w:sz w:val="36"/>
          <w:szCs w:val="24"/>
          <w:highlight w:val="none"/>
        </w:rPr>
      </w:pPr>
    </w:p>
    <w:p w14:paraId="04B64ED4">
      <w:pPr>
        <w:spacing w:line="336" w:lineRule="auto"/>
        <w:jc w:val="both"/>
        <w:rPr>
          <w:rFonts w:ascii="仿宋" w:hAnsi="仿宋" w:eastAsia="仿宋"/>
          <w:b/>
          <w:color w:val="auto"/>
          <w:kern w:val="2"/>
          <w:sz w:val="36"/>
          <w:szCs w:val="24"/>
          <w:highlight w:val="none"/>
        </w:rPr>
      </w:pPr>
    </w:p>
    <w:p w14:paraId="4D70BAC3">
      <w:pPr>
        <w:spacing w:line="336" w:lineRule="auto"/>
        <w:jc w:val="both"/>
        <w:rPr>
          <w:rFonts w:ascii="仿宋" w:hAnsi="仿宋" w:eastAsia="仿宋"/>
          <w:b/>
          <w:color w:val="auto"/>
          <w:kern w:val="2"/>
          <w:sz w:val="36"/>
          <w:szCs w:val="24"/>
          <w:highlight w:val="none"/>
        </w:rPr>
      </w:pPr>
    </w:p>
    <w:p w14:paraId="78B996BD">
      <w:pPr>
        <w:spacing w:line="336" w:lineRule="auto"/>
        <w:jc w:val="both"/>
        <w:rPr>
          <w:rFonts w:ascii="仿宋" w:hAnsi="仿宋" w:eastAsia="仿宋"/>
          <w:b/>
          <w:color w:val="auto"/>
          <w:kern w:val="2"/>
          <w:sz w:val="36"/>
          <w:szCs w:val="24"/>
          <w:highlight w:val="none"/>
        </w:rPr>
      </w:pPr>
    </w:p>
    <w:p w14:paraId="02D8D0F1">
      <w:pPr>
        <w:spacing w:line="336" w:lineRule="auto"/>
        <w:jc w:val="both"/>
        <w:rPr>
          <w:rFonts w:ascii="仿宋" w:hAnsi="仿宋" w:eastAsia="仿宋"/>
          <w:b/>
          <w:color w:val="auto"/>
          <w:kern w:val="2"/>
          <w:sz w:val="36"/>
          <w:szCs w:val="24"/>
          <w:highlight w:val="none"/>
        </w:rPr>
      </w:pPr>
    </w:p>
    <w:p w14:paraId="52D45FD4">
      <w:pPr>
        <w:spacing w:line="336" w:lineRule="auto"/>
        <w:jc w:val="center"/>
        <w:rPr>
          <w:rFonts w:ascii="仿宋" w:hAnsi="仿宋" w:eastAsia="仿宋"/>
          <w:b/>
          <w:color w:val="auto"/>
          <w:kern w:val="2"/>
          <w:sz w:val="36"/>
          <w:szCs w:val="24"/>
          <w:highlight w:val="none"/>
        </w:rPr>
      </w:pPr>
    </w:p>
    <w:p w14:paraId="386D1D4A">
      <w:pPr>
        <w:spacing w:line="336" w:lineRule="auto"/>
        <w:ind w:firstLine="361" w:firstLineChars="100"/>
        <w:jc w:val="both"/>
        <w:rPr>
          <w:rFonts w:hint="eastAsia" w:ascii="仿宋" w:hAnsi="仿宋" w:eastAsia="仿宋"/>
          <w:b/>
          <w:color w:val="auto"/>
          <w:kern w:val="2"/>
          <w:sz w:val="36"/>
          <w:szCs w:val="28"/>
          <w:highlight w:val="none"/>
          <w:lang w:eastAsia="zh-CN"/>
        </w:rPr>
      </w:pPr>
      <w:r>
        <w:rPr>
          <w:rFonts w:hint="eastAsia" w:ascii="仿宋" w:hAnsi="仿宋" w:eastAsia="仿宋"/>
          <w:b/>
          <w:color w:val="auto"/>
          <w:kern w:val="2"/>
          <w:sz w:val="36"/>
          <w:szCs w:val="24"/>
          <w:highlight w:val="none"/>
        </w:rPr>
        <w:t>采购人：</w:t>
      </w:r>
      <w:r>
        <w:rPr>
          <w:rFonts w:hint="eastAsia" w:ascii="仿宋" w:hAnsi="仿宋" w:eastAsia="仿宋"/>
          <w:b/>
          <w:color w:val="auto"/>
          <w:sz w:val="36"/>
          <w:szCs w:val="24"/>
          <w:highlight w:val="none"/>
          <w:lang w:eastAsia="zh-CN"/>
        </w:rPr>
        <w:t>酉阳县缘溪水务有限责任公司</w:t>
      </w:r>
    </w:p>
    <w:p w14:paraId="4D095F1F">
      <w:pPr>
        <w:spacing w:line="336" w:lineRule="auto"/>
        <w:ind w:firstLine="361" w:firstLineChars="100"/>
        <w:jc w:val="both"/>
        <w:rPr>
          <w:rFonts w:hint="eastAsia" w:ascii="仿宋" w:hAnsi="仿宋" w:eastAsia="仿宋"/>
          <w:color w:val="auto"/>
          <w:sz w:val="32"/>
          <w:szCs w:val="32"/>
          <w:highlight w:val="none"/>
          <w:lang w:eastAsia="zh-CN"/>
        </w:rPr>
      </w:pPr>
      <w:r>
        <w:rPr>
          <w:rFonts w:hint="eastAsia" w:ascii="仿宋" w:hAnsi="仿宋" w:eastAsia="仿宋"/>
          <w:b/>
          <w:color w:val="auto"/>
          <w:sz w:val="36"/>
          <w:szCs w:val="24"/>
          <w:highlight w:val="none"/>
        </w:rPr>
        <w:t>采购代理机构：</w:t>
      </w:r>
      <w:r>
        <w:rPr>
          <w:rFonts w:hint="eastAsia" w:ascii="仿宋" w:hAnsi="仿宋" w:eastAsia="仿宋"/>
          <w:b/>
          <w:color w:val="auto"/>
          <w:sz w:val="36"/>
          <w:szCs w:val="24"/>
          <w:highlight w:val="none"/>
          <w:lang w:eastAsia="zh-CN"/>
        </w:rPr>
        <w:t>重庆酉情在线工程项目管理有限公司</w:t>
      </w:r>
    </w:p>
    <w:p w14:paraId="7B930DC9">
      <w:pPr>
        <w:spacing w:line="336" w:lineRule="auto"/>
        <w:jc w:val="center"/>
        <w:rPr>
          <w:rFonts w:ascii="仿宋" w:hAnsi="仿宋" w:eastAsia="仿宋"/>
          <w:b/>
          <w:color w:val="auto"/>
          <w:sz w:val="36"/>
          <w:szCs w:val="24"/>
          <w:highlight w:val="none"/>
        </w:rPr>
      </w:pPr>
      <w:r>
        <w:rPr>
          <w:rFonts w:hint="eastAsia" w:ascii="仿宋" w:hAnsi="仿宋" w:eastAsia="仿宋"/>
          <w:b/>
          <w:color w:val="auto"/>
          <w:sz w:val="36"/>
          <w:szCs w:val="24"/>
          <w:highlight w:val="none"/>
        </w:rPr>
        <w:t>二〇二五年</w:t>
      </w:r>
      <w:r>
        <w:rPr>
          <w:rFonts w:hint="eastAsia" w:ascii="仿宋" w:hAnsi="仿宋" w:eastAsia="仿宋"/>
          <w:b/>
          <w:color w:val="auto"/>
          <w:sz w:val="36"/>
          <w:szCs w:val="24"/>
          <w:highlight w:val="none"/>
          <w:lang w:val="en-US" w:eastAsia="zh-CN"/>
        </w:rPr>
        <w:t>九</w:t>
      </w:r>
      <w:r>
        <w:rPr>
          <w:rFonts w:hint="eastAsia" w:ascii="仿宋" w:hAnsi="仿宋" w:eastAsia="仿宋"/>
          <w:b/>
          <w:color w:val="auto"/>
          <w:sz w:val="36"/>
          <w:szCs w:val="24"/>
          <w:highlight w:val="none"/>
        </w:rPr>
        <w:t>月</w:t>
      </w:r>
    </w:p>
    <w:p w14:paraId="5384DCF1">
      <w:pPr>
        <w:tabs>
          <w:tab w:val="left" w:pos="1185"/>
          <w:tab w:val="center" w:pos="4156"/>
          <w:tab w:val="left" w:pos="7095"/>
        </w:tabs>
        <w:spacing w:line="336" w:lineRule="auto"/>
        <w:rPr>
          <w:rFonts w:ascii="仿宋" w:hAnsi="仿宋" w:eastAsia="仿宋"/>
          <w:color w:val="auto"/>
          <w:sz w:val="22"/>
          <w:szCs w:val="2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97" w:right="1423" w:bottom="1497" w:left="1650" w:header="737" w:footer="737" w:gutter="113"/>
          <w:pgNumType w:fmt="numberInDash" w:start="1"/>
          <w:cols w:space="0" w:num="1"/>
          <w:rtlGutter w:val="0"/>
          <w:docGrid w:linePitch="381" w:charSpace="0"/>
        </w:sectPr>
      </w:pPr>
    </w:p>
    <w:p w14:paraId="2B1CEC62">
      <w:pPr>
        <w:tabs>
          <w:tab w:val="left" w:pos="1185"/>
          <w:tab w:val="center" w:pos="4156"/>
          <w:tab w:val="left" w:pos="7095"/>
        </w:tabs>
        <w:snapToGrid w:val="0"/>
        <w:spacing w:line="336" w:lineRule="auto"/>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目  录</w:t>
      </w:r>
    </w:p>
    <w:p w14:paraId="63598F18">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TOC \o "1-3" \h \z \u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_Toc18346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xml:space="preserve">第一篇  </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邀请书</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_Toc18346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349E8814">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_Toc12654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项目内容</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_Toc12654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3F30C3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_Toc28536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二、资金来源</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_Toc28536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9FE629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_Toc13703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三、资格要求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_Toc13703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2F70014A">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_Toc19527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有关说明</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_Toc19527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CB13D31">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_Toc20720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五、</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保证金</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_Toc20720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- 2 -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9CC7FC4">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_Toc7467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六、</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有关规定</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_Toc7467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3721CF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_Toc19206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七、联系方式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_Toc19206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3B33CD4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_Toc26176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二</w:t>
      </w:r>
      <w:r>
        <w:rPr>
          <w:rFonts w:hint="eastAsia" w:ascii="黑体" w:hAnsi="黑体" w:eastAsia="黑体" w:cs="黑体"/>
          <w:b w:val="0"/>
          <w:bCs/>
          <w:color w:val="auto"/>
          <w:sz w:val="20"/>
          <w:szCs w:val="20"/>
          <w:highlight w:val="none"/>
        </w:rPr>
        <w:t>篇  项目</w:t>
      </w:r>
      <w:r>
        <w:rPr>
          <w:rFonts w:hint="eastAsia" w:ascii="黑体" w:hAnsi="黑体" w:eastAsia="黑体" w:cs="黑体"/>
          <w:b w:val="0"/>
          <w:bCs/>
          <w:color w:val="auto"/>
          <w:sz w:val="20"/>
          <w:szCs w:val="20"/>
          <w:highlight w:val="none"/>
          <w:lang w:val="en-US"/>
        </w:rPr>
        <w:t>技术</w:t>
      </w:r>
      <w:r>
        <w:rPr>
          <w:rFonts w:hint="eastAsia" w:ascii="黑体" w:hAnsi="黑体" w:eastAsia="黑体" w:cs="黑体"/>
          <w:b w:val="0"/>
          <w:bCs/>
          <w:color w:val="auto"/>
          <w:sz w:val="20"/>
          <w:szCs w:val="20"/>
          <w:highlight w:val="none"/>
        </w:rPr>
        <w:t>需求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_Toc26176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- 4 -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23832520">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_Toc20705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一、工程概况</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_Toc20705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- 4 -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26CC67F">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_Toc7167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※二、采购范围</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_Toc7167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- 4 -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701B76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_Toc6606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※三、技术规范及要求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_Toc6606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- 4 -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22A0659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_Toc16983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※四、项目管理班子人员配备要求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_Toc16983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- 5 -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43C60EEC">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_Toc25743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五、现场踏勘</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_Toc25743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- 5 -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492AFCF4">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_Toc25951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三</w:t>
      </w:r>
      <w:r>
        <w:rPr>
          <w:rFonts w:hint="eastAsia" w:ascii="黑体" w:hAnsi="黑体" w:eastAsia="黑体" w:cs="黑体"/>
          <w:b w:val="0"/>
          <w:bCs/>
          <w:color w:val="auto"/>
          <w:sz w:val="20"/>
          <w:szCs w:val="20"/>
          <w:highlight w:val="none"/>
        </w:rPr>
        <w:t>篇  项目商务需求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_Toc25951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9B21E5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_Toc15281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※一、建设工期、地点及验收方式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_Toc15281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7E0505C">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_Toc21803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※二、报价要求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_Toc21803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3C6200A9">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_Toc2079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lang w:val="en-US" w:eastAsia="zh-CN"/>
        </w:rPr>
        <w:t>三、结算方式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_Toc2079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4B06530D">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_Toc25006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三、质量保证及售后服务</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_Toc25006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- 6 -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7D214EB">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_Toc21081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※四、付款方式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_Toc21081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- 7 -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92C857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_Toc10815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五、其他</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_Toc10815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- 7 -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B690C90">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_Toc11592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xml:space="preserve">第四篇  </w:t>
      </w:r>
      <w:r>
        <w:rPr>
          <w:rFonts w:hint="eastAsia" w:ascii="黑体" w:hAnsi="黑体" w:eastAsia="黑体" w:cs="黑体"/>
          <w:b w:val="0"/>
          <w:bCs/>
          <w:color w:val="auto"/>
          <w:sz w:val="20"/>
          <w:szCs w:val="20"/>
          <w:highlight w:val="none"/>
          <w:lang w:val="en-US"/>
        </w:rPr>
        <w:t>竞争性</w:t>
      </w:r>
      <w:r>
        <w:rPr>
          <w:rFonts w:hint="eastAsia" w:ascii="黑体" w:hAnsi="黑体" w:eastAsia="黑体" w:cs="黑体"/>
          <w:b w:val="0"/>
          <w:bCs/>
          <w:color w:val="auto"/>
          <w:sz w:val="20"/>
          <w:szCs w:val="20"/>
          <w:highlight w:val="none"/>
          <w:lang w:val="en-US" w:eastAsia="zh-CN"/>
        </w:rPr>
        <w:t>磋商</w:t>
      </w:r>
      <w:r>
        <w:rPr>
          <w:rFonts w:hint="eastAsia" w:ascii="黑体" w:hAnsi="黑体" w:eastAsia="黑体" w:cs="黑体"/>
          <w:b w:val="0"/>
          <w:bCs/>
          <w:color w:val="auto"/>
          <w:sz w:val="20"/>
          <w:szCs w:val="20"/>
          <w:highlight w:val="none"/>
        </w:rPr>
        <w:t>程序及方法、评审标准、无效响应和采购终止</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_Toc11592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- 8 -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38E54401">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_Toc10928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一、竞争性</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程序及方法</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_Toc10928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- 8 -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1588D2D">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_Toc27362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二、评审标准</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_Toc27362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- 10 -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530C21A">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_Toc23870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三、无效竞标</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_Toc23870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6672DC6">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_Toc6333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终止</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_Toc6333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- 12 -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9E4957D">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_Toc27702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五</w:t>
      </w:r>
      <w:r>
        <w:rPr>
          <w:rFonts w:hint="eastAsia" w:ascii="黑体" w:hAnsi="黑体" w:eastAsia="黑体" w:cs="黑体"/>
          <w:b w:val="0"/>
          <w:bCs/>
          <w:color w:val="auto"/>
          <w:sz w:val="20"/>
          <w:szCs w:val="20"/>
          <w:highlight w:val="none"/>
        </w:rPr>
        <w:t>篇  供应商须知</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_Toc27702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5FD06B1">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_Toc26332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费用</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_Toc26332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8B04F22">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_Toc17128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lang w:val="zh-CN"/>
        </w:rPr>
        <w:t>二、竞争性磋商文件</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_Toc17128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21D3A1C">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_Toc2366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w:t>
      </w:r>
      <w:r>
        <w:rPr>
          <w:rFonts w:hint="eastAsia" w:ascii="黑体" w:hAnsi="黑体" w:eastAsia="黑体" w:cs="黑体"/>
          <w:b w:val="0"/>
          <w:bCs/>
          <w:color w:val="auto"/>
          <w:sz w:val="20"/>
          <w:szCs w:val="20"/>
          <w:highlight w:val="none"/>
          <w:lang w:eastAsia="zh-CN"/>
        </w:rPr>
        <w:t>磋商</w:t>
      </w:r>
      <w:r>
        <w:rPr>
          <w:rFonts w:hint="eastAsia" w:ascii="黑体" w:hAnsi="黑体" w:eastAsia="黑体" w:cs="黑体"/>
          <w:b w:val="0"/>
          <w:bCs/>
          <w:color w:val="auto"/>
          <w:sz w:val="20"/>
          <w:szCs w:val="20"/>
          <w:highlight w:val="none"/>
        </w:rPr>
        <w:t>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_Toc2366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6907E6E">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_Toc11134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六</w:t>
      </w:r>
      <w:r>
        <w:rPr>
          <w:rFonts w:hint="eastAsia" w:ascii="黑体" w:hAnsi="黑体" w:eastAsia="黑体" w:cs="黑体"/>
          <w:b w:val="0"/>
          <w:bCs/>
          <w:color w:val="auto"/>
          <w:sz w:val="20"/>
          <w:szCs w:val="20"/>
          <w:highlight w:val="none"/>
        </w:rPr>
        <w:t xml:space="preserve">篇  </w:t>
      </w:r>
      <w:r>
        <w:rPr>
          <w:rFonts w:hint="eastAsia" w:ascii="黑体" w:hAnsi="黑体" w:eastAsia="黑体" w:cs="黑体"/>
          <w:b w:val="0"/>
          <w:bCs/>
          <w:color w:val="auto"/>
          <w:sz w:val="20"/>
          <w:szCs w:val="20"/>
          <w:highlight w:val="none"/>
          <w:lang w:eastAsia="zh-CN"/>
        </w:rPr>
        <w:t>合同条款及格式</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_Toc11134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- 17 -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2EA7A96">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_Toc5859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第</w:t>
      </w:r>
      <w:r>
        <w:rPr>
          <w:rFonts w:hint="eastAsia" w:ascii="黑体" w:hAnsi="黑体" w:eastAsia="黑体" w:cs="黑体"/>
          <w:b w:val="0"/>
          <w:bCs/>
          <w:color w:val="auto"/>
          <w:sz w:val="20"/>
          <w:szCs w:val="20"/>
          <w:highlight w:val="none"/>
          <w:lang w:val="en-US"/>
        </w:rPr>
        <w:t>七</w:t>
      </w:r>
      <w:r>
        <w:rPr>
          <w:rFonts w:hint="eastAsia" w:ascii="黑体" w:hAnsi="黑体" w:eastAsia="黑体" w:cs="黑体"/>
          <w:b w:val="0"/>
          <w:bCs/>
          <w:color w:val="auto"/>
          <w:sz w:val="20"/>
          <w:szCs w:val="20"/>
          <w:highlight w:val="none"/>
        </w:rPr>
        <w:t>篇  响应文件格式要求</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_Toc5859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- 18 -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61B87E7">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_Toc2165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一、经济部分</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_Toc2165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- 19 -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7FF06E5A">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_Toc23020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二、技术部分</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_Toc23020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- 21 -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401F2631">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_Toc28341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三、商务部分</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_Toc28341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- 23 -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6FAA1252">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_Toc25022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四、资格条件及其他</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_Toc25022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- 25 -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0E966538">
      <w:pPr>
        <w:pStyle w:val="27"/>
        <w:tabs>
          <w:tab w:val="right" w:leader="dot" w:pos="8721"/>
        </w:tabs>
        <w:rPr>
          <w:rFonts w:hint="eastAsia" w:ascii="黑体" w:hAnsi="黑体" w:eastAsia="黑体" w:cs="黑体"/>
          <w:b w:val="0"/>
          <w:bCs/>
          <w:color w:val="auto"/>
          <w:sz w:val="20"/>
          <w:szCs w:val="20"/>
          <w:highlight w:val="none"/>
        </w:rPr>
      </w:pP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HYPERLINK \l _Toc19877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五、其他应提供的资料</w:t>
      </w:r>
      <w:r>
        <w:rPr>
          <w:rFonts w:hint="eastAsia" w:ascii="黑体" w:hAnsi="黑体" w:eastAsia="黑体" w:cs="黑体"/>
          <w:b w:val="0"/>
          <w:bCs/>
          <w:color w:val="auto"/>
          <w:sz w:val="20"/>
          <w:szCs w:val="20"/>
          <w:highlight w:val="none"/>
        </w:rPr>
        <w:tab/>
      </w:r>
      <w:r>
        <w:rPr>
          <w:rFonts w:hint="eastAsia" w:ascii="黑体" w:hAnsi="黑体" w:eastAsia="黑体" w:cs="黑体"/>
          <w:b w:val="0"/>
          <w:bCs/>
          <w:color w:val="auto"/>
          <w:sz w:val="20"/>
          <w:szCs w:val="20"/>
          <w:highlight w:val="none"/>
        </w:rPr>
        <w:fldChar w:fldCharType="begin"/>
      </w:r>
      <w:r>
        <w:rPr>
          <w:rFonts w:hint="eastAsia" w:ascii="黑体" w:hAnsi="黑体" w:eastAsia="黑体" w:cs="黑体"/>
          <w:b w:val="0"/>
          <w:bCs/>
          <w:color w:val="auto"/>
          <w:sz w:val="20"/>
          <w:szCs w:val="20"/>
          <w:highlight w:val="none"/>
        </w:rPr>
        <w:instrText xml:space="preserve"> PAGEREF _Toc19877 \h </w:instrText>
      </w:r>
      <w:r>
        <w:rPr>
          <w:rFonts w:hint="eastAsia" w:ascii="黑体" w:hAnsi="黑体" w:eastAsia="黑体" w:cs="黑体"/>
          <w:b w:val="0"/>
          <w:bCs/>
          <w:color w:val="auto"/>
          <w:sz w:val="20"/>
          <w:szCs w:val="20"/>
          <w:highlight w:val="none"/>
        </w:rPr>
        <w:fldChar w:fldCharType="separate"/>
      </w:r>
      <w:r>
        <w:rPr>
          <w:rFonts w:hint="eastAsia" w:ascii="黑体" w:hAnsi="黑体" w:eastAsia="黑体" w:cs="黑体"/>
          <w:b w:val="0"/>
          <w:bCs/>
          <w:color w:val="auto"/>
          <w:sz w:val="20"/>
          <w:szCs w:val="20"/>
          <w:highlight w:val="none"/>
        </w:rPr>
        <w:t>- 30 -</w:t>
      </w:r>
      <w:r>
        <w:rPr>
          <w:rFonts w:hint="eastAsia" w:ascii="黑体" w:hAnsi="黑体" w:eastAsia="黑体" w:cs="黑体"/>
          <w:b w:val="0"/>
          <w:bCs/>
          <w:color w:val="auto"/>
          <w:sz w:val="20"/>
          <w:szCs w:val="20"/>
          <w:highlight w:val="none"/>
        </w:rPr>
        <w:fldChar w:fldCharType="end"/>
      </w:r>
      <w:r>
        <w:rPr>
          <w:rFonts w:hint="eastAsia" w:ascii="黑体" w:hAnsi="黑体" w:eastAsia="黑体" w:cs="黑体"/>
          <w:b w:val="0"/>
          <w:bCs/>
          <w:color w:val="auto"/>
          <w:sz w:val="20"/>
          <w:szCs w:val="20"/>
          <w:highlight w:val="none"/>
        </w:rPr>
        <w:fldChar w:fldCharType="end"/>
      </w:r>
    </w:p>
    <w:p w14:paraId="19B033B5">
      <w:pPr>
        <w:pStyle w:val="27"/>
        <w:tabs>
          <w:tab w:val="right" w:leader="dot" w:pos="8721"/>
        </w:tabs>
        <w:rPr>
          <w:rFonts w:hint="eastAsia" w:ascii="黑体" w:hAnsi="黑体" w:eastAsia="黑体" w:cs="黑体"/>
          <w:b w:val="0"/>
          <w:bCs/>
          <w:color w:val="auto"/>
          <w:sz w:val="20"/>
          <w:szCs w:val="20"/>
          <w:highlight w:val="none"/>
        </w:rPr>
        <w:sectPr>
          <w:footerReference r:id="rId11" w:type="first"/>
          <w:headerReference r:id="rId9" w:type="default"/>
          <w:footerReference r:id="rId10" w:type="default"/>
          <w:pgSz w:w="11907" w:h="16840"/>
          <w:pgMar w:top="1497" w:right="1423" w:bottom="1497" w:left="1650" w:header="737" w:footer="737" w:gutter="113"/>
          <w:pgNumType w:fmt="numberInDash" w:start="1"/>
          <w:cols w:space="0" w:num="1"/>
          <w:rtlGutter w:val="0"/>
          <w:docGrid w:linePitch="381" w:charSpace="0"/>
        </w:sectPr>
      </w:pPr>
      <w:r>
        <w:rPr>
          <w:rFonts w:hint="eastAsia" w:ascii="黑体" w:hAnsi="黑体" w:eastAsia="黑体" w:cs="黑体"/>
          <w:b w:val="0"/>
          <w:bCs/>
          <w:color w:val="auto"/>
          <w:sz w:val="20"/>
          <w:szCs w:val="20"/>
          <w:highlight w:val="none"/>
        </w:rPr>
        <w:fldChar w:fldCharType="end"/>
      </w:r>
    </w:p>
    <w:p w14:paraId="17BC6F36">
      <w:pPr>
        <w:pStyle w:val="2"/>
        <w:spacing w:line="336" w:lineRule="auto"/>
        <w:jc w:val="center"/>
        <w:rPr>
          <w:rFonts w:ascii="仿宋" w:hAnsi="仿宋" w:eastAsia="仿宋" w:cs="宋体"/>
          <w:color w:val="auto"/>
          <w:sz w:val="36"/>
          <w:szCs w:val="36"/>
          <w:highlight w:val="none"/>
        </w:rPr>
      </w:pPr>
      <w:bookmarkStart w:id="0" w:name="_Toc108545950"/>
      <w:bookmarkStart w:id="1" w:name="_Toc18346"/>
      <w:bookmarkStart w:id="2" w:name="_Toc152480139"/>
      <w:bookmarkStart w:id="3" w:name="_Toc128744981"/>
      <w:bookmarkStart w:id="4" w:name="_Toc11641050"/>
      <w:bookmarkStart w:id="5" w:name="_Toc12789052"/>
      <w:r>
        <w:rPr>
          <w:rFonts w:hint="eastAsia" w:ascii="仿宋" w:hAnsi="仿宋" w:eastAsia="仿宋" w:cs="宋体"/>
          <w:color w:val="auto"/>
          <w:sz w:val="36"/>
          <w:szCs w:val="36"/>
          <w:highlight w:val="none"/>
        </w:rPr>
        <w:t xml:space="preserve">第一篇  </w:t>
      </w:r>
      <w:r>
        <w:rPr>
          <w:rFonts w:hint="eastAsia" w:ascii="仿宋" w:hAnsi="仿宋" w:eastAsia="仿宋" w:cs="宋体"/>
          <w:color w:val="auto"/>
          <w:sz w:val="36"/>
          <w:szCs w:val="36"/>
          <w:highlight w:val="none"/>
          <w:lang w:eastAsia="zh-CN"/>
        </w:rPr>
        <w:t>磋商</w:t>
      </w:r>
      <w:r>
        <w:rPr>
          <w:rFonts w:hint="eastAsia" w:ascii="仿宋" w:hAnsi="仿宋" w:eastAsia="仿宋" w:cs="宋体"/>
          <w:color w:val="auto"/>
          <w:sz w:val="36"/>
          <w:szCs w:val="36"/>
          <w:highlight w:val="none"/>
        </w:rPr>
        <w:t>邀请书</w:t>
      </w:r>
      <w:bookmarkEnd w:id="0"/>
      <w:bookmarkEnd w:id="1"/>
      <w:bookmarkEnd w:id="2"/>
    </w:p>
    <w:p w14:paraId="330336E5">
      <w:pPr>
        <w:snapToGrid w:val="0"/>
        <w:spacing w:line="336" w:lineRule="auto"/>
        <w:rPr>
          <w:rFonts w:ascii="仿宋" w:hAnsi="仿宋" w:eastAsia="仿宋"/>
          <w:color w:val="auto"/>
          <w:highlight w:val="none"/>
        </w:rPr>
      </w:pPr>
    </w:p>
    <w:p w14:paraId="1D5DC596">
      <w:pPr>
        <w:snapToGrid w:val="0"/>
        <w:spacing w:line="336" w:lineRule="auto"/>
        <w:ind w:firstLine="480" w:firstLineChars="200"/>
        <w:rPr>
          <w:rFonts w:ascii="仿宋" w:hAnsi="仿宋" w:eastAsia="仿宋"/>
          <w:color w:val="auto"/>
          <w:highlight w:val="none"/>
        </w:rPr>
      </w:pPr>
      <w:bookmarkStart w:id="6" w:name="_Toc379619850"/>
      <w:r>
        <w:rPr>
          <w:rFonts w:hint="eastAsia" w:ascii="仿宋" w:hAnsi="仿宋" w:eastAsia="仿宋"/>
          <w:color w:val="auto"/>
          <w:highlight w:val="none"/>
        </w:rPr>
        <w:t>受</w:t>
      </w:r>
      <w:r>
        <w:rPr>
          <w:rFonts w:hint="eastAsia" w:ascii="仿宋" w:hAnsi="仿宋" w:eastAsia="仿宋"/>
          <w:color w:val="auto"/>
          <w:highlight w:val="none"/>
          <w:u w:val="single"/>
          <w:lang w:eastAsia="zh-CN"/>
        </w:rPr>
        <w:t>酉阳县缘溪水务有限责任公司</w:t>
      </w:r>
      <w:r>
        <w:rPr>
          <w:rFonts w:hint="eastAsia" w:ascii="仿宋" w:hAnsi="仿宋" w:eastAsia="仿宋"/>
          <w:color w:val="auto"/>
          <w:highlight w:val="none"/>
        </w:rPr>
        <w:t>的委托，我公司组织对</w:t>
      </w:r>
      <w:r>
        <w:rPr>
          <w:rFonts w:hint="eastAsia" w:ascii="仿宋" w:hAnsi="仿宋" w:eastAsia="仿宋"/>
          <w:color w:val="auto"/>
          <w:highlight w:val="none"/>
          <w:u w:val="single"/>
        </w:rPr>
        <w:t xml:space="preserve"> </w:t>
      </w:r>
      <w:r>
        <w:rPr>
          <w:rFonts w:hint="eastAsia" w:ascii="仿宋" w:hAnsi="仿宋" w:eastAsia="仿宋"/>
          <w:color w:val="auto"/>
          <w:highlight w:val="none"/>
          <w:u w:val="single"/>
          <w:lang w:eastAsia="zh-CN"/>
        </w:rPr>
        <w:t>酉阳县龙潭镇固体废物处理场技术改造</w:t>
      </w:r>
      <w:r>
        <w:rPr>
          <w:rFonts w:hint="eastAsia" w:ascii="仿宋" w:hAnsi="仿宋" w:eastAsia="仿宋"/>
          <w:color w:val="auto"/>
          <w:highlight w:val="none"/>
          <w:u w:val="single"/>
        </w:rPr>
        <w:t xml:space="preserve"> </w:t>
      </w:r>
      <w:r>
        <w:rPr>
          <w:rFonts w:hint="eastAsia" w:ascii="仿宋" w:hAnsi="仿宋" w:eastAsia="仿宋"/>
          <w:color w:val="auto"/>
          <w:highlight w:val="none"/>
        </w:rPr>
        <w:t>进行</w:t>
      </w:r>
      <w:r>
        <w:rPr>
          <w:rFonts w:hint="eastAsia" w:ascii="仿宋" w:hAnsi="仿宋" w:eastAsia="仿宋"/>
          <w:color w:val="auto"/>
          <w:highlight w:val="none"/>
          <w:lang w:eastAsia="zh-CN"/>
        </w:rPr>
        <w:t>竞争性磋商采购</w:t>
      </w:r>
      <w:r>
        <w:rPr>
          <w:rFonts w:hint="eastAsia" w:ascii="仿宋" w:hAnsi="仿宋" w:eastAsia="仿宋"/>
          <w:color w:val="auto"/>
          <w:highlight w:val="none"/>
        </w:rPr>
        <w:t>。欢迎具备相关资质的供应商参加。</w:t>
      </w:r>
    </w:p>
    <w:p w14:paraId="3171CF87">
      <w:pPr>
        <w:pStyle w:val="3"/>
        <w:spacing w:before="0" w:after="0" w:line="336" w:lineRule="auto"/>
        <w:rPr>
          <w:rFonts w:ascii="仿宋" w:hAnsi="仿宋" w:eastAsia="仿宋" w:cs="宋体"/>
          <w:color w:val="auto"/>
          <w:sz w:val="24"/>
          <w:szCs w:val="24"/>
          <w:highlight w:val="none"/>
        </w:rPr>
      </w:pPr>
      <w:bookmarkStart w:id="7" w:name="_Toc12654"/>
      <w:bookmarkStart w:id="8" w:name="_Toc108545951"/>
      <w:r>
        <w:rPr>
          <w:rFonts w:hint="eastAsia" w:ascii="仿宋" w:hAnsi="仿宋" w:eastAsia="仿宋" w:cs="宋体"/>
          <w:color w:val="auto"/>
          <w:sz w:val="24"/>
          <w:szCs w:val="24"/>
          <w:highlight w:val="none"/>
        </w:rPr>
        <w:t>一、</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项目内容</w:t>
      </w:r>
      <w:bookmarkEnd w:id="6"/>
      <w:bookmarkEnd w:id="7"/>
      <w:bookmarkEnd w:id="8"/>
    </w:p>
    <w:tbl>
      <w:tblPr>
        <w:tblStyle w:val="33"/>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7"/>
        <w:gridCol w:w="1843"/>
        <w:gridCol w:w="2577"/>
      </w:tblGrid>
      <w:tr w14:paraId="4D4C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2689" w:type="pct"/>
            <w:vAlign w:val="center"/>
          </w:tcPr>
          <w:p w14:paraId="7633452E">
            <w:pPr>
              <w:spacing w:line="336" w:lineRule="auto"/>
              <w:jc w:val="center"/>
              <w:rPr>
                <w:rFonts w:ascii="仿宋" w:hAnsi="仿宋" w:eastAsia="仿宋"/>
                <w:b/>
                <w:bCs/>
                <w:color w:val="auto"/>
                <w:highlight w:val="none"/>
              </w:rPr>
            </w:pPr>
            <w:bookmarkStart w:id="9" w:name="_Toc378251877"/>
            <w:bookmarkStart w:id="10" w:name="_Toc152480140"/>
            <w:r>
              <w:rPr>
                <w:rFonts w:hint="eastAsia" w:ascii="仿宋" w:hAnsi="仿宋" w:eastAsia="仿宋"/>
                <w:b/>
                <w:bCs/>
                <w:color w:val="auto"/>
                <w:highlight w:val="none"/>
              </w:rPr>
              <w:t>项目名称</w:t>
            </w:r>
          </w:p>
        </w:tc>
        <w:tc>
          <w:tcPr>
            <w:tcW w:w="963" w:type="pct"/>
            <w:vAlign w:val="center"/>
          </w:tcPr>
          <w:p w14:paraId="09E0F369">
            <w:pPr>
              <w:spacing w:line="336" w:lineRule="auto"/>
              <w:jc w:val="both"/>
              <w:rPr>
                <w:rFonts w:ascii="仿宋" w:hAnsi="仿宋" w:eastAsia="仿宋"/>
                <w:b/>
                <w:bCs/>
                <w:color w:val="auto"/>
                <w:highlight w:val="none"/>
              </w:rPr>
            </w:pPr>
            <w:r>
              <w:rPr>
                <w:rFonts w:hint="eastAsia" w:ascii="仿宋" w:hAnsi="仿宋" w:eastAsia="仿宋"/>
                <w:b/>
                <w:bCs/>
                <w:color w:val="auto"/>
                <w:highlight w:val="none"/>
              </w:rPr>
              <w:t>最高限价（元）</w:t>
            </w:r>
          </w:p>
        </w:tc>
        <w:tc>
          <w:tcPr>
            <w:tcW w:w="1346" w:type="pct"/>
            <w:vAlign w:val="center"/>
          </w:tcPr>
          <w:p w14:paraId="15E6AB75">
            <w:pPr>
              <w:spacing w:line="336" w:lineRule="auto"/>
              <w:jc w:val="both"/>
              <w:rPr>
                <w:rFonts w:ascii="仿宋" w:hAnsi="仿宋" w:eastAsia="仿宋"/>
                <w:b/>
                <w:bCs/>
                <w:color w:val="auto"/>
                <w:highlight w:val="none"/>
              </w:rPr>
            </w:pPr>
            <w:r>
              <w:rPr>
                <w:rFonts w:hint="eastAsia" w:ascii="仿宋" w:hAnsi="仿宋" w:eastAsia="仿宋"/>
                <w:b/>
                <w:bCs/>
                <w:color w:val="auto"/>
                <w:highlight w:val="none"/>
              </w:rPr>
              <w:t>成交供应商数量（名）</w:t>
            </w:r>
          </w:p>
        </w:tc>
      </w:tr>
      <w:tr w14:paraId="6D9C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689" w:type="pct"/>
            <w:vAlign w:val="center"/>
          </w:tcPr>
          <w:p w14:paraId="0972B102">
            <w:pPr>
              <w:spacing w:line="240"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eastAsia="zh-CN"/>
              </w:rPr>
              <w:t>酉阳县龙潭镇固体废物处理场技术改造</w:t>
            </w:r>
          </w:p>
        </w:tc>
        <w:tc>
          <w:tcPr>
            <w:tcW w:w="963" w:type="pct"/>
            <w:vAlign w:val="center"/>
          </w:tcPr>
          <w:p w14:paraId="0FFD567F">
            <w:pPr>
              <w:spacing w:line="336" w:lineRule="auto"/>
              <w:jc w:val="center"/>
              <w:rPr>
                <w:rFonts w:hint="eastAsia" w:ascii="仿宋" w:hAnsi="仿宋" w:eastAsia="仿宋"/>
                <w:color w:val="auto"/>
                <w:highlight w:val="none"/>
                <w:lang w:eastAsia="zh-CN"/>
              </w:rPr>
            </w:pPr>
            <w:r>
              <w:rPr>
                <w:rFonts w:hint="eastAsia" w:ascii="仿宋" w:hAnsi="仿宋" w:eastAsia="仿宋"/>
                <w:color w:val="auto"/>
                <w:highlight w:val="none"/>
                <w:lang w:eastAsia="zh-CN"/>
              </w:rPr>
              <w:t>890000</w:t>
            </w:r>
          </w:p>
        </w:tc>
        <w:tc>
          <w:tcPr>
            <w:tcW w:w="1346" w:type="pct"/>
            <w:vAlign w:val="center"/>
          </w:tcPr>
          <w:p w14:paraId="04EC0588">
            <w:pPr>
              <w:spacing w:line="336" w:lineRule="auto"/>
              <w:jc w:val="center"/>
              <w:rPr>
                <w:rFonts w:ascii="仿宋" w:hAnsi="仿宋" w:eastAsia="仿宋"/>
                <w:color w:val="auto"/>
                <w:highlight w:val="none"/>
              </w:rPr>
            </w:pPr>
            <w:r>
              <w:rPr>
                <w:rFonts w:hint="eastAsia" w:ascii="仿宋" w:hAnsi="仿宋" w:eastAsia="仿宋"/>
                <w:color w:val="auto"/>
                <w:highlight w:val="none"/>
              </w:rPr>
              <w:t>1</w:t>
            </w:r>
          </w:p>
        </w:tc>
      </w:tr>
    </w:tbl>
    <w:p w14:paraId="354336C3">
      <w:pPr>
        <w:pStyle w:val="3"/>
        <w:keepNext/>
        <w:keepLines/>
        <w:pageBreakBefore w:val="0"/>
        <w:widowControl/>
        <w:kinsoku/>
        <w:wordWrap/>
        <w:overflowPunct/>
        <w:topLinePunct w:val="0"/>
        <w:autoSpaceDE/>
        <w:autoSpaceDN/>
        <w:bidi w:val="0"/>
        <w:adjustRightInd/>
        <w:snapToGrid/>
        <w:spacing w:before="192" w:beforeLines="50" w:after="0" w:line="336" w:lineRule="auto"/>
        <w:ind w:left="0" w:leftChars="0"/>
        <w:textAlignment w:val="auto"/>
        <w:rPr>
          <w:rFonts w:ascii="仿宋" w:hAnsi="仿宋" w:eastAsia="仿宋" w:cs="宋体"/>
          <w:color w:val="auto"/>
          <w:sz w:val="24"/>
          <w:szCs w:val="24"/>
          <w:highlight w:val="none"/>
        </w:rPr>
      </w:pPr>
      <w:bookmarkStart w:id="11" w:name="_Toc28536"/>
      <w:bookmarkStart w:id="12" w:name="_Toc108545952"/>
      <w:r>
        <w:rPr>
          <w:rFonts w:hint="eastAsia" w:ascii="仿宋" w:hAnsi="仿宋" w:eastAsia="仿宋" w:cs="宋体"/>
          <w:color w:val="auto"/>
          <w:sz w:val="24"/>
          <w:szCs w:val="24"/>
          <w:highlight w:val="none"/>
        </w:rPr>
        <w:t>二、资金来源</w:t>
      </w:r>
      <w:bookmarkEnd w:id="9"/>
      <w:bookmarkEnd w:id="11"/>
      <w:bookmarkEnd w:id="12"/>
    </w:p>
    <w:p w14:paraId="6E9893E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lang w:val="en-US" w:eastAsia="zh-CN"/>
        </w:rPr>
        <w:t>业主自筹</w:t>
      </w:r>
      <w:r>
        <w:rPr>
          <w:rFonts w:hint="eastAsia" w:ascii="仿宋" w:hAnsi="仿宋" w:eastAsia="仿宋"/>
          <w:color w:val="auto"/>
          <w:highlight w:val="none"/>
        </w:rPr>
        <w:t>。</w:t>
      </w:r>
    </w:p>
    <w:p w14:paraId="6E6F068B">
      <w:pPr>
        <w:pStyle w:val="3"/>
        <w:spacing w:before="0" w:after="0" w:line="336" w:lineRule="auto"/>
        <w:rPr>
          <w:rFonts w:ascii="仿宋" w:hAnsi="仿宋" w:eastAsia="仿宋" w:cs="宋体"/>
          <w:color w:val="auto"/>
          <w:sz w:val="24"/>
          <w:szCs w:val="24"/>
          <w:highlight w:val="none"/>
        </w:rPr>
      </w:pPr>
      <w:bookmarkStart w:id="13" w:name="_Toc13703"/>
      <w:bookmarkStart w:id="14" w:name="_Toc108545953"/>
      <w:r>
        <w:rPr>
          <w:rFonts w:hint="eastAsia" w:ascii="仿宋" w:hAnsi="仿宋" w:eastAsia="仿宋" w:cs="宋体"/>
          <w:color w:val="auto"/>
          <w:sz w:val="24"/>
          <w:szCs w:val="24"/>
          <w:highlight w:val="none"/>
        </w:rPr>
        <w:t>三、资格要求</w:t>
      </w:r>
      <w:bookmarkEnd w:id="13"/>
      <w:bookmarkEnd w:id="14"/>
    </w:p>
    <w:p w14:paraId="345AE5A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lang w:eastAsia="zh-CN"/>
        </w:rPr>
        <w:t>磋商</w:t>
      </w:r>
      <w:r>
        <w:rPr>
          <w:rFonts w:hint="eastAsia" w:ascii="仿宋" w:hAnsi="仿宋" w:eastAsia="仿宋"/>
          <w:color w:val="auto"/>
          <w:highlight w:val="none"/>
        </w:rPr>
        <w:t>供应商是指向采购人提供货物、工程或者服务的法人、其他组织或者自然人。以下简称供应商。</w:t>
      </w:r>
    </w:p>
    <w:p w14:paraId="1E2810F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合格的供应商应符合下列条件： </w:t>
      </w:r>
      <w:r>
        <w:rPr>
          <w:rFonts w:ascii="仿宋" w:hAnsi="仿宋" w:eastAsia="仿宋"/>
          <w:color w:val="auto"/>
          <w:highlight w:val="none"/>
        </w:rPr>
        <w:t xml:space="preserve"> </w:t>
      </w:r>
    </w:p>
    <w:p w14:paraId="021F34B7">
      <w:pPr>
        <w:snapToGrid w:val="0"/>
        <w:spacing w:line="336" w:lineRule="auto"/>
        <w:ind w:firstLine="480" w:firstLineChars="200"/>
        <w:rPr>
          <w:rFonts w:ascii="仿宋" w:hAnsi="仿宋" w:eastAsia="仿宋"/>
          <w:color w:val="auto"/>
          <w:highlight w:val="none"/>
        </w:rPr>
      </w:pPr>
      <w:bookmarkStart w:id="15" w:name="_Toc487204774"/>
      <w:bookmarkStart w:id="16" w:name="_Toc1359"/>
      <w:r>
        <w:rPr>
          <w:rFonts w:hint="eastAsia" w:ascii="仿宋" w:hAnsi="仿宋" w:eastAsia="仿宋"/>
          <w:color w:val="auto"/>
          <w:highlight w:val="none"/>
        </w:rPr>
        <w:t>（一）基本条件</w:t>
      </w:r>
    </w:p>
    <w:p w14:paraId="0235FC5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1、具有独立承担民事责任的能力；</w:t>
      </w:r>
    </w:p>
    <w:p w14:paraId="6C1D6CD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2、具有良好的商业信誉和健全的财务会计制度；</w:t>
      </w:r>
    </w:p>
    <w:p w14:paraId="3FE66F63">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3、具有履行合同所必需的设备和专业技术能力；</w:t>
      </w:r>
    </w:p>
    <w:p w14:paraId="064C0D2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4、有依法缴纳税收和社会保障资金的良好记录；</w:t>
      </w:r>
    </w:p>
    <w:p w14:paraId="2EA118AA">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5、参加政府采购活动前三年内，在经营活动中没有重大违法记录。</w:t>
      </w:r>
    </w:p>
    <w:p w14:paraId="753BEB8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（二）特定资格条件</w:t>
      </w:r>
    </w:p>
    <w:p w14:paraId="16C7759C">
      <w:pPr>
        <w:spacing w:line="440" w:lineRule="exact"/>
        <w:ind w:firstLine="480" w:firstLineChars="200"/>
        <w:rPr>
          <w:rFonts w:ascii="仿宋" w:hAnsi="仿宋" w:eastAsia="仿宋"/>
          <w:color w:val="auto"/>
          <w:highlight w:val="none"/>
        </w:rPr>
      </w:pPr>
      <w:bookmarkStart w:id="17" w:name="_Toc108545954"/>
      <w:r>
        <w:rPr>
          <w:rFonts w:hint="eastAsia" w:ascii="仿宋" w:hAnsi="仿宋" w:eastAsia="仿宋"/>
          <w:color w:val="auto"/>
          <w:highlight w:val="none"/>
        </w:rPr>
        <w:t>（1）具备建设主管部门颁发的有效的</w:t>
      </w:r>
      <w:r>
        <w:rPr>
          <w:rFonts w:hint="eastAsia" w:ascii="仿宋" w:hAnsi="仿宋" w:eastAsia="仿宋"/>
          <w:color w:val="auto"/>
          <w:highlight w:val="none"/>
          <w:lang w:val="en-US" w:eastAsia="zh-CN"/>
        </w:rPr>
        <w:t>环保工程专业承包三级及以上资质或市政公用工程施工总承包三级及以上资质</w:t>
      </w:r>
      <w:r>
        <w:rPr>
          <w:rFonts w:hint="eastAsia" w:ascii="仿宋" w:hAnsi="仿宋" w:eastAsia="仿宋"/>
          <w:color w:val="auto"/>
          <w:highlight w:val="none"/>
        </w:rPr>
        <w:t>。</w:t>
      </w:r>
    </w:p>
    <w:p w14:paraId="7CF793F2">
      <w:pPr>
        <w:spacing w:line="440" w:lineRule="exact"/>
        <w:ind w:firstLine="480" w:firstLineChars="200"/>
        <w:rPr>
          <w:rFonts w:ascii="仿宋" w:hAnsi="仿宋" w:eastAsia="仿宋"/>
          <w:color w:val="auto"/>
          <w:highlight w:val="none"/>
        </w:rPr>
      </w:pPr>
      <w:r>
        <w:rPr>
          <w:rFonts w:hint="eastAsia" w:ascii="仿宋" w:hAnsi="仿宋" w:eastAsia="仿宋"/>
          <w:color w:val="auto"/>
          <w:highlight w:val="none"/>
        </w:rPr>
        <w:t>供应商须提供有效的资质证书并加盖供应商公章。</w:t>
      </w:r>
    </w:p>
    <w:p w14:paraId="40F3A68C">
      <w:pPr>
        <w:spacing w:line="440" w:lineRule="exact"/>
        <w:ind w:firstLine="480" w:firstLineChars="200"/>
        <w:rPr>
          <w:rFonts w:ascii="仿宋" w:hAnsi="仿宋" w:eastAsia="仿宋"/>
          <w:color w:val="auto"/>
          <w:highlight w:val="none"/>
        </w:rPr>
      </w:pPr>
      <w:r>
        <w:rPr>
          <w:rFonts w:hint="eastAsia" w:ascii="仿宋" w:hAnsi="仿宋" w:eastAsia="仿宋"/>
          <w:color w:val="auto"/>
          <w:highlight w:val="none"/>
        </w:rPr>
        <w:t>（2）具备建设行政主管部门颁发的有效的安全生产许可证。</w:t>
      </w:r>
    </w:p>
    <w:p w14:paraId="5E49179C">
      <w:pPr>
        <w:spacing w:line="440" w:lineRule="exact"/>
        <w:ind w:firstLine="480" w:firstLineChars="200"/>
        <w:rPr>
          <w:rFonts w:ascii="仿宋" w:hAnsi="仿宋" w:eastAsia="仿宋"/>
          <w:color w:val="auto"/>
          <w:highlight w:val="none"/>
        </w:rPr>
      </w:pPr>
      <w:r>
        <w:rPr>
          <w:rFonts w:hint="eastAsia" w:ascii="仿宋" w:hAnsi="仿宋" w:eastAsia="仿宋"/>
          <w:color w:val="auto"/>
          <w:highlight w:val="none"/>
        </w:rPr>
        <w:t>供应商须提供有效的安全生产许可证并加盖供应商公章。</w:t>
      </w:r>
    </w:p>
    <w:p w14:paraId="351B91D7">
      <w:pPr>
        <w:pStyle w:val="3"/>
        <w:spacing w:before="0" w:after="0" w:line="336" w:lineRule="auto"/>
        <w:rPr>
          <w:rFonts w:ascii="仿宋" w:hAnsi="仿宋" w:eastAsia="仿宋" w:cs="宋体"/>
          <w:color w:val="auto"/>
          <w:sz w:val="24"/>
          <w:szCs w:val="24"/>
          <w:highlight w:val="none"/>
          <w:lang w:val="en-US"/>
        </w:rPr>
      </w:pPr>
      <w:bookmarkStart w:id="18" w:name="_Toc19527"/>
      <w:r>
        <w:rPr>
          <w:rFonts w:hint="eastAsia" w:ascii="仿宋" w:hAnsi="仿宋" w:eastAsia="仿宋" w:cs="宋体"/>
          <w:color w:val="auto"/>
          <w:sz w:val="24"/>
          <w:szCs w:val="24"/>
          <w:highlight w:val="none"/>
        </w:rPr>
        <w:t>四、</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有关说明</w:t>
      </w:r>
      <w:bookmarkEnd w:id="15"/>
      <w:bookmarkEnd w:id="16"/>
      <w:bookmarkEnd w:id="17"/>
      <w:bookmarkEnd w:id="18"/>
    </w:p>
    <w:p w14:paraId="5A652558">
      <w:pPr>
        <w:snapToGrid w:val="0"/>
        <w:spacing w:line="336" w:lineRule="auto"/>
        <w:ind w:firstLine="480" w:firstLineChars="200"/>
        <w:rPr>
          <w:rFonts w:hint="eastAsia" w:ascii="仿宋" w:hAnsi="仿宋" w:eastAsia="仿宋"/>
          <w:color w:val="auto"/>
          <w:highlight w:val="none"/>
        </w:rPr>
      </w:pPr>
      <w:r>
        <w:rPr>
          <w:rFonts w:hint="eastAsia" w:ascii="仿宋" w:hAnsi="仿宋" w:eastAsia="仿宋"/>
          <w:color w:val="auto"/>
          <w:highlight w:val="none"/>
        </w:rPr>
        <w:t>（一）供应商应通过“行采家”平台（https://www.gec123.com）进行注册，成为行采家平台供应商。</w:t>
      </w:r>
    </w:p>
    <w:p w14:paraId="6621631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（二）凡有意参加</w:t>
      </w:r>
      <w:r>
        <w:rPr>
          <w:rFonts w:hint="eastAsia" w:ascii="仿宋" w:hAnsi="仿宋" w:eastAsia="仿宋"/>
          <w:color w:val="auto"/>
          <w:highlight w:val="none"/>
          <w:lang w:eastAsia="zh-CN"/>
        </w:rPr>
        <w:t>磋商</w:t>
      </w:r>
      <w:r>
        <w:rPr>
          <w:rFonts w:hint="eastAsia" w:ascii="仿宋" w:hAnsi="仿宋" w:eastAsia="仿宋"/>
          <w:color w:val="auto"/>
          <w:highlight w:val="none"/>
        </w:rPr>
        <w:t>的供应商，请在“行采家”（http://www.gec123.com）网上下载或到采购代理机构处领取本项目</w:t>
      </w:r>
      <w:r>
        <w:rPr>
          <w:rFonts w:hint="eastAsia" w:ascii="仿宋" w:hAnsi="仿宋" w:eastAsia="仿宋"/>
          <w:color w:val="auto"/>
          <w:highlight w:val="none"/>
          <w:lang w:eastAsia="zh-CN"/>
        </w:rPr>
        <w:t>磋商</w:t>
      </w:r>
      <w:r>
        <w:rPr>
          <w:rFonts w:hint="eastAsia" w:ascii="仿宋" w:hAnsi="仿宋" w:eastAsia="仿宋"/>
          <w:color w:val="auto"/>
          <w:highlight w:val="none"/>
        </w:rPr>
        <w:t>文件以及图纸、澄清等报价前公布的所有项目资料，无论供应商下载或领取与否，均视为已知晓所有实质性要求内容。</w:t>
      </w:r>
    </w:p>
    <w:p w14:paraId="29E3253A">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w:t>
      </w:r>
      <w:r>
        <w:rPr>
          <w:rFonts w:hint="eastAsia" w:ascii="仿宋" w:hAnsi="仿宋" w:eastAsia="仿宋"/>
          <w:color w:val="auto"/>
          <w:highlight w:val="none"/>
          <w:lang w:eastAsia="zh-CN"/>
        </w:rPr>
        <w:t>磋商</w:t>
      </w:r>
      <w:r>
        <w:rPr>
          <w:rFonts w:hint="eastAsia" w:ascii="仿宋" w:hAnsi="仿宋" w:eastAsia="仿宋"/>
          <w:color w:val="auto"/>
          <w:highlight w:val="none"/>
        </w:rPr>
        <w:t>文件公告期限：自</w:t>
      </w:r>
      <w:r>
        <w:rPr>
          <w:rFonts w:hint="eastAsia" w:ascii="仿宋" w:hAnsi="仿宋" w:eastAsia="仿宋"/>
          <w:color w:val="auto"/>
          <w:highlight w:val="none"/>
          <w:lang w:eastAsia="zh-CN"/>
        </w:rPr>
        <w:t>磋商</w:t>
      </w:r>
      <w:r>
        <w:rPr>
          <w:rFonts w:hint="eastAsia" w:ascii="仿宋" w:hAnsi="仿宋" w:eastAsia="仿宋"/>
          <w:color w:val="auto"/>
          <w:highlight w:val="none"/>
        </w:rPr>
        <w:t>公告发布之日起</w:t>
      </w:r>
      <w:r>
        <w:rPr>
          <w:rFonts w:hint="eastAsia" w:ascii="仿宋" w:hAnsi="仿宋" w:eastAsia="仿宋"/>
          <w:color w:val="auto"/>
          <w:highlight w:val="none"/>
          <w:lang w:val="en-US" w:eastAsia="zh-CN"/>
        </w:rPr>
        <w:t>3</w:t>
      </w:r>
      <w:r>
        <w:rPr>
          <w:rFonts w:hint="eastAsia" w:ascii="仿宋" w:hAnsi="仿宋" w:eastAsia="仿宋"/>
          <w:color w:val="auto"/>
          <w:highlight w:val="none"/>
        </w:rPr>
        <w:t>个工作日。</w:t>
      </w:r>
    </w:p>
    <w:p w14:paraId="0A17DA9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（三）竞争性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文件发售期限及报名方式</w:t>
      </w:r>
    </w:p>
    <w:p w14:paraId="60FA77CB">
      <w:pPr>
        <w:spacing w:line="400" w:lineRule="exact"/>
        <w:ind w:firstLine="480" w:firstLineChars="200"/>
        <w:rPr>
          <w:rFonts w:hint="eastAsia" w:ascii="仿宋" w:hAnsi="仿宋" w:eastAsia="仿宋" w:cs="宋体"/>
          <w:color w:val="auto"/>
          <w:highlight w:val="none"/>
        </w:rPr>
      </w:pPr>
      <w:r>
        <w:rPr>
          <w:rFonts w:hint="eastAsia" w:ascii="仿宋" w:hAnsi="仿宋" w:eastAsia="仿宋"/>
          <w:color w:val="auto"/>
          <w:highlight w:val="none"/>
        </w:rPr>
        <w:t>1、竞争性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文件发售期：2025年</w:t>
      </w:r>
      <w:r>
        <w:rPr>
          <w:rFonts w:hint="eastAsia" w:ascii="仿宋" w:hAnsi="仿宋" w:eastAsia="仿宋"/>
          <w:color w:val="auto"/>
          <w:highlight w:val="none"/>
          <w:lang w:val="en-US" w:eastAsia="zh-CN"/>
        </w:rPr>
        <w:t>9</w:t>
      </w:r>
      <w:r>
        <w:rPr>
          <w:rFonts w:hint="eastAsia" w:ascii="仿宋" w:hAnsi="仿宋" w:eastAsia="仿宋"/>
          <w:color w:val="auto"/>
          <w:highlight w:val="none"/>
          <w:lang w:eastAsia="zh-CN"/>
        </w:rPr>
        <w:t>月</w:t>
      </w:r>
      <w:r>
        <w:rPr>
          <w:rFonts w:hint="eastAsia" w:ascii="仿宋" w:hAnsi="仿宋" w:eastAsia="仿宋"/>
          <w:color w:val="auto"/>
          <w:highlight w:val="none"/>
          <w:u w:val="single"/>
          <w:lang w:val="en-US" w:eastAsia="zh-CN"/>
        </w:rPr>
        <w:t xml:space="preserve"> 23 </w:t>
      </w:r>
      <w:r>
        <w:rPr>
          <w:rFonts w:hint="eastAsia" w:ascii="仿宋" w:hAnsi="仿宋" w:eastAsia="仿宋"/>
          <w:color w:val="auto"/>
          <w:highlight w:val="none"/>
          <w:lang w:eastAsia="zh-CN"/>
        </w:rPr>
        <w:t>日</w:t>
      </w:r>
      <w:r>
        <w:rPr>
          <w:rFonts w:hint="eastAsia" w:ascii="仿宋" w:hAnsi="仿宋" w:eastAsia="仿宋"/>
          <w:color w:val="auto"/>
          <w:highlight w:val="none"/>
        </w:rPr>
        <w:t>至2025年</w:t>
      </w:r>
      <w:r>
        <w:rPr>
          <w:rFonts w:hint="eastAsia" w:ascii="仿宋" w:hAnsi="仿宋" w:eastAsia="仿宋"/>
          <w:color w:val="auto"/>
          <w:highlight w:val="none"/>
          <w:lang w:val="en-US" w:eastAsia="zh-CN"/>
        </w:rPr>
        <w:t>9</w:t>
      </w:r>
      <w:r>
        <w:rPr>
          <w:rFonts w:hint="eastAsia" w:ascii="仿宋" w:hAnsi="仿宋" w:eastAsia="仿宋"/>
          <w:color w:val="auto"/>
          <w:highlight w:val="none"/>
        </w:rPr>
        <w:t>月</w:t>
      </w:r>
      <w:r>
        <w:rPr>
          <w:rFonts w:hint="eastAsia" w:ascii="仿宋" w:hAnsi="仿宋" w:eastAsia="仿宋"/>
          <w:color w:val="auto"/>
          <w:highlight w:val="none"/>
          <w:u w:val="single"/>
          <w:lang w:val="en-US" w:eastAsia="zh-CN"/>
        </w:rPr>
        <w:t xml:space="preserve"> 25 </w:t>
      </w:r>
      <w:r>
        <w:rPr>
          <w:rFonts w:hint="eastAsia" w:ascii="仿宋" w:hAnsi="仿宋" w:eastAsia="仿宋"/>
          <w:color w:val="auto"/>
          <w:highlight w:val="none"/>
        </w:rPr>
        <w:t>日</w:t>
      </w:r>
      <w:r>
        <w:rPr>
          <w:rFonts w:hint="eastAsia" w:ascii="仿宋" w:hAnsi="仿宋" w:eastAsia="仿宋"/>
          <w:color w:val="auto"/>
          <w:highlight w:val="none"/>
          <w:u w:val="none"/>
          <w:lang w:val="en-US" w:eastAsia="zh-CN"/>
        </w:rPr>
        <w:t>17</w:t>
      </w:r>
      <w:r>
        <w:rPr>
          <w:rFonts w:hint="eastAsia" w:ascii="仿宋" w:hAnsi="仿宋" w:eastAsia="仿宋"/>
          <w:color w:val="auto"/>
          <w:highlight w:val="none"/>
        </w:rPr>
        <w:t>时00分</w:t>
      </w:r>
      <w:r>
        <w:rPr>
          <w:rFonts w:hint="eastAsia" w:ascii="仿宋" w:hAnsi="仿宋" w:eastAsia="仿宋"/>
          <w:color w:val="auto"/>
          <w:highlight w:val="none"/>
          <w:lang w:eastAsia="zh-CN"/>
        </w:rPr>
        <w:t>。</w:t>
      </w:r>
    </w:p>
    <w:p w14:paraId="47154A7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2、报名方式：</w:t>
      </w:r>
    </w:p>
    <w:p w14:paraId="16D6C4EC">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在报名和</w:t>
      </w:r>
      <w:r>
        <w:rPr>
          <w:rFonts w:hint="eastAsia" w:ascii="仿宋" w:hAnsi="仿宋" w:eastAsia="仿宋"/>
          <w:color w:val="auto"/>
          <w:highlight w:val="none"/>
          <w:lang w:eastAsia="zh-CN"/>
        </w:rPr>
        <w:t>磋商</w:t>
      </w:r>
      <w:r>
        <w:rPr>
          <w:rFonts w:hint="eastAsia" w:ascii="仿宋" w:hAnsi="仿宋" w:eastAsia="仿宋"/>
          <w:color w:val="auto"/>
          <w:highlight w:val="none"/>
        </w:rPr>
        <w:t>文件发售期内，采用邮件报名的方式，供应商需提供营业执照、企业资质证书扫描件加盖供应商公章传至</w:t>
      </w:r>
      <w:r>
        <w:rPr>
          <w:rFonts w:hint="eastAsia" w:ascii="仿宋" w:hAnsi="仿宋" w:eastAsia="仿宋"/>
          <w:color w:val="auto"/>
          <w:highlight w:val="none"/>
          <w:lang w:eastAsia="zh-CN"/>
        </w:rPr>
        <w:t>289917883</w:t>
      </w:r>
      <w:r>
        <w:rPr>
          <w:rFonts w:ascii="仿宋" w:hAnsi="仿宋" w:eastAsia="仿宋"/>
          <w:color w:val="auto"/>
          <w:highlight w:val="none"/>
        </w:rPr>
        <w:t xml:space="preserve"> @qq.com，并在邮件中注明所获取</w:t>
      </w:r>
      <w:r>
        <w:rPr>
          <w:rFonts w:hint="eastAsia" w:ascii="仿宋" w:hAnsi="仿宋" w:eastAsia="仿宋"/>
          <w:color w:val="auto"/>
          <w:highlight w:val="none"/>
          <w:lang w:eastAsia="zh-CN"/>
        </w:rPr>
        <w:t>磋商</w:t>
      </w:r>
      <w:r>
        <w:rPr>
          <w:rFonts w:ascii="仿宋" w:hAnsi="仿宋" w:eastAsia="仿宋"/>
          <w:color w:val="auto"/>
          <w:highlight w:val="none"/>
        </w:rPr>
        <w:t>文件的项目名称、供应商名称、联系人、联系电话等相关信息。报名及获取了</w:t>
      </w:r>
      <w:r>
        <w:rPr>
          <w:rFonts w:hint="eastAsia" w:ascii="仿宋" w:hAnsi="仿宋" w:eastAsia="仿宋"/>
          <w:color w:val="auto"/>
          <w:highlight w:val="none"/>
          <w:lang w:eastAsia="zh-CN"/>
        </w:rPr>
        <w:t>磋商</w:t>
      </w:r>
      <w:r>
        <w:rPr>
          <w:rFonts w:ascii="仿宋" w:hAnsi="仿宋" w:eastAsia="仿宋"/>
          <w:color w:val="auto"/>
          <w:highlight w:val="none"/>
        </w:rPr>
        <w:t>文件的供应商，其</w:t>
      </w:r>
      <w:r>
        <w:rPr>
          <w:rFonts w:hint="eastAsia" w:ascii="仿宋" w:hAnsi="仿宋" w:eastAsia="仿宋"/>
          <w:color w:val="auto"/>
          <w:highlight w:val="none"/>
        </w:rPr>
        <w:t>响应文件</w:t>
      </w:r>
      <w:r>
        <w:rPr>
          <w:rFonts w:ascii="仿宋" w:hAnsi="仿宋" w:eastAsia="仿宋"/>
          <w:color w:val="auto"/>
          <w:highlight w:val="none"/>
        </w:rPr>
        <w:t>才被接收。</w:t>
      </w:r>
    </w:p>
    <w:p w14:paraId="6842A7D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（五）响应文件递交</w:t>
      </w:r>
    </w:p>
    <w:p w14:paraId="602EEE6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本项目采用线上</w:t>
      </w:r>
      <w:r>
        <w:rPr>
          <w:rFonts w:ascii="仿宋" w:hAnsi="仿宋" w:eastAsia="仿宋"/>
          <w:color w:val="auto"/>
          <w:highlight w:val="none"/>
        </w:rPr>
        <w:t>+线下相结合的</w:t>
      </w:r>
      <w:r>
        <w:rPr>
          <w:rFonts w:hint="eastAsia" w:ascii="仿宋" w:hAnsi="仿宋" w:eastAsia="仿宋"/>
          <w:color w:val="auto"/>
          <w:highlight w:val="none"/>
          <w:lang w:eastAsia="zh-CN"/>
        </w:rPr>
        <w:t>磋商</w:t>
      </w:r>
      <w:r>
        <w:rPr>
          <w:rFonts w:ascii="仿宋" w:hAnsi="仿宋" w:eastAsia="仿宋"/>
          <w:color w:val="auto"/>
          <w:highlight w:val="none"/>
        </w:rPr>
        <w:t>方式，请各供应商按如下要求参与</w:t>
      </w:r>
      <w:r>
        <w:rPr>
          <w:rFonts w:hint="eastAsia" w:ascii="仿宋" w:hAnsi="仿宋" w:eastAsia="仿宋"/>
          <w:color w:val="auto"/>
          <w:highlight w:val="none"/>
          <w:lang w:eastAsia="zh-CN"/>
        </w:rPr>
        <w:t>磋商</w:t>
      </w:r>
      <w:r>
        <w:rPr>
          <w:rFonts w:ascii="仿宋" w:hAnsi="仿宋" w:eastAsia="仿宋"/>
          <w:color w:val="auto"/>
          <w:highlight w:val="none"/>
        </w:rPr>
        <w:t>：</w:t>
      </w:r>
    </w:p>
    <w:p w14:paraId="037DB254">
      <w:pPr>
        <w:snapToGrid w:val="0"/>
        <w:spacing w:line="336" w:lineRule="auto"/>
        <w:ind w:firstLine="480" w:firstLineChars="200"/>
        <w:rPr>
          <w:rFonts w:ascii="仿宋" w:hAnsi="仿宋" w:eastAsia="仿宋"/>
          <w:color w:val="auto"/>
          <w:highlight w:val="none"/>
        </w:rPr>
      </w:pPr>
      <w:r>
        <w:rPr>
          <w:rFonts w:ascii="仿宋" w:hAnsi="仿宋" w:eastAsia="仿宋"/>
          <w:color w:val="auto"/>
          <w:highlight w:val="none"/>
        </w:rPr>
        <w:t>1、线上报价及上传响应文件电子文档</w:t>
      </w:r>
    </w:p>
    <w:p w14:paraId="082EF51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线上报价时间：</w:t>
      </w:r>
      <w:r>
        <w:rPr>
          <w:rFonts w:ascii="仿宋" w:hAnsi="仿宋" w:eastAsia="仿宋"/>
          <w:color w:val="auto"/>
          <w:highlight w:val="none"/>
        </w:rPr>
        <w:t>2025年</w:t>
      </w:r>
      <w:r>
        <w:rPr>
          <w:rFonts w:hint="eastAsia" w:ascii="仿宋" w:hAnsi="仿宋" w:eastAsia="仿宋"/>
          <w:color w:val="auto"/>
          <w:highlight w:val="none"/>
          <w:lang w:val="en-US" w:eastAsia="zh-CN"/>
        </w:rPr>
        <w:t>9月30日9</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0</w:t>
      </w:r>
      <w:r>
        <w:rPr>
          <w:rFonts w:ascii="仿宋" w:hAnsi="仿宋" w:eastAsia="仿宋"/>
          <w:color w:val="auto"/>
          <w:highlight w:val="none"/>
        </w:rPr>
        <w:t>0</w:t>
      </w:r>
      <w:r>
        <w:rPr>
          <w:rFonts w:hint="eastAsia" w:ascii="仿宋" w:hAnsi="仿宋" w:eastAsia="仿宋"/>
          <w:color w:val="auto"/>
          <w:highlight w:val="none"/>
          <w:lang w:val="en-US" w:eastAsia="zh-CN"/>
        </w:rPr>
        <w:t>-2025年10月9日12:00</w:t>
      </w:r>
      <w:r>
        <w:rPr>
          <w:rFonts w:ascii="仿宋" w:hAnsi="仿宋" w:eastAsia="仿宋"/>
          <w:color w:val="auto"/>
          <w:highlight w:val="none"/>
        </w:rPr>
        <w:t>。</w:t>
      </w:r>
    </w:p>
    <w:p w14:paraId="0C7E470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线上报价要求：按本项目规定的线上报价时间内在行采家（</w:t>
      </w:r>
      <w:r>
        <w:rPr>
          <w:rFonts w:ascii="仿宋" w:hAnsi="仿宋" w:eastAsia="仿宋"/>
          <w:color w:val="auto"/>
          <w:highlight w:val="none"/>
        </w:rPr>
        <w:t>https://www.gec123.com/）上进行线上报价，并在规定的时间内上传响应文件电子文档。未在规定时间内报价和上传响应文件的供应商不具备</w:t>
      </w:r>
      <w:r>
        <w:rPr>
          <w:rFonts w:hint="eastAsia" w:ascii="仿宋" w:hAnsi="仿宋" w:eastAsia="仿宋"/>
          <w:color w:val="auto"/>
          <w:highlight w:val="none"/>
          <w:lang w:eastAsia="zh-CN"/>
        </w:rPr>
        <w:t>磋商</w:t>
      </w:r>
      <w:r>
        <w:rPr>
          <w:rFonts w:ascii="仿宋" w:hAnsi="仿宋" w:eastAsia="仿宋"/>
          <w:color w:val="auto"/>
          <w:highlight w:val="none"/>
        </w:rPr>
        <w:t>资格。行采家上传的响应文件电子文档应为签字盖章齐全的纸质响应文件扫描件（PDF格式），若与纸质响应文件不一致的，以纸质响应文件正本为准。</w:t>
      </w:r>
    </w:p>
    <w:p w14:paraId="6376D9A9">
      <w:pPr>
        <w:snapToGrid w:val="0"/>
        <w:spacing w:line="336" w:lineRule="auto"/>
        <w:ind w:firstLine="480" w:firstLineChars="200"/>
        <w:rPr>
          <w:rFonts w:ascii="仿宋" w:hAnsi="仿宋" w:eastAsia="仿宋"/>
          <w:color w:val="auto"/>
          <w:highlight w:val="none"/>
        </w:rPr>
      </w:pPr>
      <w:r>
        <w:rPr>
          <w:rFonts w:ascii="仿宋" w:hAnsi="仿宋" w:eastAsia="仿宋"/>
          <w:color w:val="auto"/>
          <w:highlight w:val="none"/>
        </w:rPr>
        <w:t>2、线下递交纸质响应文件</w:t>
      </w:r>
    </w:p>
    <w:p w14:paraId="6189229A">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线下递交纸质响应文件开始时间：</w:t>
      </w:r>
      <w:r>
        <w:rPr>
          <w:rFonts w:ascii="仿宋" w:hAnsi="仿宋" w:eastAsia="仿宋"/>
          <w:color w:val="auto"/>
          <w:highlight w:val="none"/>
        </w:rPr>
        <w:t>2025年</w:t>
      </w:r>
      <w:r>
        <w:rPr>
          <w:rFonts w:hint="eastAsia" w:ascii="仿宋" w:hAnsi="仿宋" w:eastAsia="仿宋"/>
          <w:color w:val="auto"/>
          <w:highlight w:val="none"/>
          <w:lang w:val="en-US" w:eastAsia="zh-CN"/>
        </w:rPr>
        <w:t>10月9日</w:t>
      </w:r>
      <w:r>
        <w:rPr>
          <w:rFonts w:ascii="仿宋" w:hAnsi="仿宋" w:eastAsia="仿宋"/>
          <w:color w:val="auto"/>
          <w:highlight w:val="none"/>
        </w:rPr>
        <w:t>1</w:t>
      </w:r>
      <w:r>
        <w:rPr>
          <w:rFonts w:hint="eastAsia" w:ascii="仿宋" w:hAnsi="仿宋" w:eastAsia="仿宋"/>
          <w:color w:val="auto"/>
          <w:highlight w:val="none"/>
          <w:lang w:val="en-US" w:eastAsia="zh-CN"/>
        </w:rPr>
        <w:t>4</w:t>
      </w:r>
      <w:r>
        <w:rPr>
          <w:rFonts w:ascii="仿宋" w:hAnsi="仿宋" w:eastAsia="仿宋"/>
          <w:color w:val="auto"/>
          <w:highlight w:val="none"/>
        </w:rPr>
        <w:t>时</w:t>
      </w:r>
      <w:r>
        <w:rPr>
          <w:rFonts w:hint="eastAsia" w:ascii="仿宋" w:hAnsi="仿宋" w:eastAsia="仿宋"/>
          <w:color w:val="auto"/>
          <w:highlight w:val="none"/>
          <w:lang w:val="en-US" w:eastAsia="zh-CN"/>
        </w:rPr>
        <w:t>0</w:t>
      </w:r>
      <w:r>
        <w:rPr>
          <w:rFonts w:ascii="仿宋" w:hAnsi="仿宋" w:eastAsia="仿宋"/>
          <w:color w:val="auto"/>
          <w:highlight w:val="none"/>
        </w:rPr>
        <w:t>0分</w:t>
      </w:r>
    </w:p>
    <w:p w14:paraId="6501519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线下递交纸质响应文件截止时间：</w:t>
      </w:r>
      <w:r>
        <w:rPr>
          <w:rFonts w:ascii="仿宋" w:hAnsi="仿宋" w:eastAsia="仿宋"/>
          <w:color w:val="auto"/>
          <w:highlight w:val="none"/>
        </w:rPr>
        <w:t>2025年</w:t>
      </w:r>
      <w:r>
        <w:rPr>
          <w:rFonts w:hint="eastAsia" w:ascii="仿宋" w:hAnsi="仿宋" w:eastAsia="仿宋"/>
          <w:color w:val="auto"/>
          <w:highlight w:val="none"/>
          <w:lang w:val="en-US" w:eastAsia="zh-CN"/>
        </w:rPr>
        <w:t>10月9日</w:t>
      </w:r>
      <w:r>
        <w:rPr>
          <w:rFonts w:ascii="仿宋" w:hAnsi="仿宋" w:eastAsia="仿宋"/>
          <w:color w:val="auto"/>
          <w:highlight w:val="none"/>
        </w:rPr>
        <w:t>1</w:t>
      </w:r>
      <w:r>
        <w:rPr>
          <w:rFonts w:hint="eastAsia" w:ascii="仿宋" w:hAnsi="仿宋" w:eastAsia="仿宋"/>
          <w:color w:val="auto"/>
          <w:highlight w:val="none"/>
          <w:lang w:val="en-US" w:eastAsia="zh-CN"/>
        </w:rPr>
        <w:t>4</w:t>
      </w:r>
      <w:r>
        <w:rPr>
          <w:rFonts w:ascii="仿宋" w:hAnsi="仿宋" w:eastAsia="仿宋"/>
          <w:color w:val="auto"/>
          <w:highlight w:val="none"/>
        </w:rPr>
        <w:t>时</w:t>
      </w:r>
      <w:r>
        <w:rPr>
          <w:rFonts w:hint="eastAsia" w:ascii="仿宋" w:hAnsi="仿宋" w:eastAsia="仿宋"/>
          <w:color w:val="auto"/>
          <w:highlight w:val="none"/>
          <w:lang w:val="en-US" w:eastAsia="zh-CN"/>
        </w:rPr>
        <w:t>3</w:t>
      </w:r>
      <w:r>
        <w:rPr>
          <w:rFonts w:ascii="仿宋" w:hAnsi="仿宋" w:eastAsia="仿宋"/>
          <w:color w:val="auto"/>
          <w:highlight w:val="none"/>
        </w:rPr>
        <w:t>0分。</w:t>
      </w:r>
    </w:p>
    <w:p w14:paraId="7EA44ABF">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线下递交纸质响应文件地点：</w:t>
      </w:r>
      <w:r>
        <w:rPr>
          <w:rFonts w:hint="eastAsia" w:ascii="仿宋" w:hAnsi="仿宋" w:eastAsia="仿宋"/>
          <w:color w:val="auto"/>
          <w:highlight w:val="none"/>
          <w:lang w:eastAsia="zh-CN"/>
        </w:rPr>
        <w:t>酉阳县缘溪水务有限责任公司</w:t>
      </w:r>
      <w:r>
        <w:rPr>
          <w:rFonts w:hint="eastAsia" w:ascii="仿宋" w:hAnsi="仿宋" w:eastAsia="仿宋"/>
          <w:color w:val="auto"/>
          <w:highlight w:val="none"/>
        </w:rPr>
        <w:t>会议室。</w:t>
      </w:r>
    </w:p>
    <w:p w14:paraId="7FD47E5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逾期送达的或者未送达指定地点的响应文件，采购人或采购代理机构不予受理。</w:t>
      </w:r>
    </w:p>
    <w:p w14:paraId="1600B51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w:t>
      </w:r>
      <w:r>
        <w:rPr>
          <w:rFonts w:hint="eastAsia" w:ascii="仿宋" w:hAnsi="仿宋" w:eastAsia="仿宋"/>
          <w:color w:val="auto"/>
          <w:highlight w:val="none"/>
          <w:lang w:eastAsia="zh-CN"/>
        </w:rPr>
        <w:t>磋商</w:t>
      </w:r>
      <w:r>
        <w:rPr>
          <w:rFonts w:hint="eastAsia" w:ascii="仿宋" w:hAnsi="仿宋" w:eastAsia="仿宋"/>
          <w:color w:val="auto"/>
          <w:highlight w:val="none"/>
        </w:rPr>
        <w:t>时间：同递交纸质响应文件截止时间。</w:t>
      </w:r>
    </w:p>
    <w:p w14:paraId="342FFE3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w:t>
      </w:r>
      <w:r>
        <w:rPr>
          <w:rFonts w:hint="eastAsia" w:ascii="仿宋" w:hAnsi="仿宋" w:eastAsia="仿宋"/>
          <w:color w:val="auto"/>
          <w:highlight w:val="none"/>
          <w:lang w:eastAsia="zh-CN"/>
        </w:rPr>
        <w:t>磋商</w:t>
      </w:r>
      <w:r>
        <w:rPr>
          <w:rFonts w:hint="eastAsia" w:ascii="仿宋" w:hAnsi="仿宋" w:eastAsia="仿宋"/>
          <w:color w:val="auto"/>
          <w:highlight w:val="none"/>
        </w:rPr>
        <w:t>地点：同递交纸质响应文件地点。</w:t>
      </w:r>
    </w:p>
    <w:p w14:paraId="303822B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5、供应商须满足以下要件，其响应文件才被接受：</w:t>
      </w:r>
    </w:p>
    <w:p w14:paraId="749818FF">
      <w:pPr>
        <w:snapToGrid w:val="0"/>
        <w:spacing w:line="336" w:lineRule="auto"/>
        <w:ind w:firstLine="480" w:firstLineChars="200"/>
        <w:rPr>
          <w:rFonts w:ascii="仿宋" w:hAnsi="仿宋" w:eastAsia="仿宋"/>
          <w:color w:val="auto"/>
          <w:highlight w:val="none"/>
        </w:rPr>
      </w:pPr>
      <w:bookmarkStart w:id="19" w:name="_Toc108545955"/>
      <w:bookmarkStart w:id="20" w:name="_Toc22356"/>
      <w:bookmarkStart w:id="21" w:name="_Toc487204775"/>
      <w:r>
        <w:rPr>
          <w:rFonts w:hint="eastAsia" w:ascii="仿宋" w:hAnsi="仿宋" w:eastAsia="仿宋"/>
          <w:color w:val="auto"/>
          <w:highlight w:val="none"/>
        </w:rPr>
        <w:t>①按时在行采家（</w:t>
      </w:r>
      <w:r>
        <w:rPr>
          <w:rFonts w:ascii="仿宋" w:hAnsi="仿宋" w:eastAsia="仿宋"/>
          <w:color w:val="auto"/>
          <w:highlight w:val="none"/>
        </w:rPr>
        <w:t>https://www.gec123.com/）进行线上报价并上传签字盖章齐全的pdf格式的响应文件电子文档。</w:t>
      </w:r>
    </w:p>
    <w:p w14:paraId="0A03E50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②按时线下递交纸质响应文件。</w:t>
      </w:r>
    </w:p>
    <w:p w14:paraId="5275F0B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③按时报名成功。</w:t>
      </w:r>
      <w:r>
        <w:rPr>
          <w:rFonts w:ascii="仿宋" w:hAnsi="仿宋" w:eastAsia="仿宋"/>
          <w:color w:val="auto"/>
          <w:highlight w:val="none"/>
        </w:rPr>
        <w:t xml:space="preserve"> </w:t>
      </w:r>
    </w:p>
    <w:p w14:paraId="5A00D33C">
      <w:pPr>
        <w:pStyle w:val="3"/>
        <w:spacing w:before="0" w:after="0" w:line="336" w:lineRule="auto"/>
        <w:ind w:firstLine="482" w:firstLineChars="200"/>
        <w:rPr>
          <w:rFonts w:ascii="仿宋" w:hAnsi="仿宋" w:eastAsia="仿宋" w:cs="宋体"/>
          <w:color w:val="auto"/>
          <w:sz w:val="24"/>
          <w:szCs w:val="24"/>
          <w:highlight w:val="none"/>
        </w:rPr>
      </w:pPr>
      <w:bookmarkStart w:id="22" w:name="_Toc20720"/>
      <w:r>
        <w:rPr>
          <w:rFonts w:hint="eastAsia" w:ascii="仿宋" w:hAnsi="仿宋" w:eastAsia="仿宋" w:cs="宋体"/>
          <w:color w:val="auto"/>
          <w:sz w:val="24"/>
          <w:szCs w:val="24"/>
          <w:highlight w:val="none"/>
        </w:rPr>
        <w:t>五、</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保证金</w:t>
      </w:r>
      <w:bookmarkEnd w:id="19"/>
      <w:bookmarkEnd w:id="20"/>
      <w:bookmarkEnd w:id="21"/>
      <w:bookmarkEnd w:id="22"/>
    </w:p>
    <w:p w14:paraId="6F5C69A0">
      <w:pPr>
        <w:snapToGrid w:val="0"/>
        <w:spacing w:line="336" w:lineRule="auto"/>
        <w:ind w:firstLine="480" w:firstLineChars="200"/>
        <w:rPr>
          <w:rFonts w:ascii="仿宋" w:hAnsi="仿宋" w:eastAsia="仿宋"/>
          <w:color w:val="auto"/>
          <w:highlight w:val="none"/>
        </w:rPr>
      </w:pPr>
      <w:bookmarkStart w:id="23" w:name="_Toc108545956"/>
      <w:bookmarkStart w:id="24" w:name="_Toc487204776"/>
      <w:bookmarkStart w:id="25" w:name="_Toc24666"/>
      <w:r>
        <w:rPr>
          <w:rFonts w:hint="eastAsia" w:ascii="仿宋" w:hAnsi="仿宋" w:eastAsia="仿宋"/>
          <w:color w:val="auto"/>
          <w:highlight w:val="none"/>
        </w:rPr>
        <w:t>本项目</w:t>
      </w:r>
      <w:r>
        <w:rPr>
          <w:rFonts w:hint="eastAsia" w:ascii="仿宋" w:hAnsi="仿宋" w:eastAsia="仿宋"/>
          <w:color w:val="auto"/>
          <w:highlight w:val="none"/>
          <w:lang w:val="en-US" w:eastAsia="zh-CN"/>
        </w:rPr>
        <w:t>无</w:t>
      </w:r>
      <w:r>
        <w:rPr>
          <w:rFonts w:hint="eastAsia" w:ascii="仿宋" w:hAnsi="仿宋" w:eastAsia="仿宋"/>
          <w:color w:val="auto"/>
          <w:highlight w:val="none"/>
        </w:rPr>
        <w:t>投标保证金。</w:t>
      </w:r>
    </w:p>
    <w:p w14:paraId="474D1E0E">
      <w:pPr>
        <w:pStyle w:val="3"/>
        <w:spacing w:before="0" w:after="0" w:line="336" w:lineRule="auto"/>
        <w:ind w:firstLine="482" w:firstLineChars="200"/>
        <w:rPr>
          <w:rFonts w:ascii="仿宋" w:hAnsi="仿宋" w:eastAsia="仿宋" w:cs="宋体"/>
          <w:color w:val="auto"/>
          <w:sz w:val="24"/>
          <w:szCs w:val="24"/>
          <w:highlight w:val="none"/>
        </w:rPr>
      </w:pPr>
      <w:bookmarkStart w:id="26" w:name="_Toc7467"/>
      <w:r>
        <w:rPr>
          <w:rFonts w:hint="eastAsia" w:ascii="仿宋" w:hAnsi="仿宋" w:eastAsia="仿宋" w:cs="宋体"/>
          <w:color w:val="auto"/>
          <w:sz w:val="24"/>
          <w:szCs w:val="24"/>
          <w:highlight w:val="none"/>
        </w:rPr>
        <w:t>六、</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有关规定</w:t>
      </w:r>
      <w:bookmarkEnd w:id="23"/>
      <w:bookmarkEnd w:id="24"/>
      <w:bookmarkEnd w:id="25"/>
      <w:bookmarkEnd w:id="26"/>
    </w:p>
    <w:p w14:paraId="7486CD8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（一）单位负责人为同一人或者存在直接控股、管理关系的不同供应商，不得参加同一合同项下的采购活动，否则均为无效响应。</w:t>
      </w:r>
    </w:p>
    <w:p w14:paraId="7287E16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（二）为采购项目提供整体设计、规范编制或者项目管理、监理、检测等服务的供应商，不得再参加该采购项目的其他采购活动，否则均为无效响应。</w:t>
      </w:r>
    </w:p>
    <w:p w14:paraId="61DFF8B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（三）同一项目的货物，制造商参与</w:t>
      </w:r>
      <w:r>
        <w:rPr>
          <w:rFonts w:hint="eastAsia" w:ascii="仿宋" w:hAnsi="仿宋" w:eastAsia="仿宋"/>
          <w:color w:val="auto"/>
          <w:highlight w:val="none"/>
          <w:lang w:eastAsia="zh-CN"/>
        </w:rPr>
        <w:t>磋商</w:t>
      </w:r>
      <w:r>
        <w:rPr>
          <w:rFonts w:hint="eastAsia" w:ascii="仿宋" w:hAnsi="仿宋" w:eastAsia="仿宋"/>
          <w:color w:val="auto"/>
          <w:highlight w:val="none"/>
        </w:rPr>
        <w:t>的，不得再委托代理商参与</w:t>
      </w:r>
      <w:r>
        <w:rPr>
          <w:rFonts w:hint="eastAsia" w:ascii="仿宋" w:hAnsi="仿宋" w:eastAsia="仿宋"/>
          <w:color w:val="auto"/>
          <w:highlight w:val="none"/>
          <w:lang w:eastAsia="zh-CN"/>
        </w:rPr>
        <w:t>磋商</w:t>
      </w:r>
      <w:r>
        <w:rPr>
          <w:rFonts w:hint="eastAsia" w:ascii="仿宋" w:hAnsi="仿宋" w:eastAsia="仿宋"/>
          <w:color w:val="auto"/>
          <w:highlight w:val="none"/>
        </w:rPr>
        <w:t>，否则均为无效响应。</w:t>
      </w:r>
    </w:p>
    <w:p w14:paraId="6855C13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（四）本项目的补遗文件（如果有）一律在“行采家(</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Fonts w:hint="eastAsia" w:ascii="仿宋" w:hAnsi="仿宋" w:eastAsia="仿宋"/>
          <w:color w:val="auto"/>
          <w:highlight w:val="none"/>
        </w:rPr>
        <w:t>https://www.gec123.com</w:t>
      </w:r>
      <w:r>
        <w:rPr>
          <w:rFonts w:hint="eastAsia" w:ascii="仿宋" w:hAnsi="仿宋" w:eastAsia="仿宋"/>
          <w:color w:val="auto"/>
          <w:highlight w:val="none"/>
        </w:rPr>
        <w:fldChar w:fldCharType="end"/>
      </w:r>
      <w:r>
        <w:rPr>
          <w:rFonts w:hint="eastAsia" w:ascii="仿宋" w:hAnsi="仿宋" w:eastAsia="仿宋"/>
          <w:color w:val="auto"/>
          <w:highlight w:val="none"/>
        </w:rPr>
        <w:t>）”上发布，请各供应商注意下载或到代理机构处领取；无论供应商下载或领取与否，均视同供应商已知晓本项目补遗文件（如果有）的内容。</w:t>
      </w:r>
    </w:p>
    <w:p w14:paraId="3CE296C0">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（五）超过响应文件截止时间递交的响应文件，恕不接收。</w:t>
      </w:r>
    </w:p>
    <w:p w14:paraId="5BBE24E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（六）</w:t>
      </w:r>
      <w:r>
        <w:rPr>
          <w:rFonts w:hint="eastAsia" w:ascii="仿宋" w:hAnsi="仿宋" w:eastAsia="仿宋"/>
          <w:color w:val="auto"/>
          <w:highlight w:val="none"/>
          <w:lang w:eastAsia="zh-CN"/>
        </w:rPr>
        <w:t>磋商</w:t>
      </w:r>
      <w:r>
        <w:rPr>
          <w:rFonts w:hint="eastAsia" w:ascii="仿宋" w:hAnsi="仿宋" w:eastAsia="仿宋"/>
          <w:color w:val="auto"/>
          <w:highlight w:val="none"/>
        </w:rPr>
        <w:t>费用：无论</w:t>
      </w:r>
      <w:r>
        <w:rPr>
          <w:rFonts w:hint="eastAsia" w:ascii="仿宋" w:hAnsi="仿宋" w:eastAsia="仿宋"/>
          <w:color w:val="auto"/>
          <w:highlight w:val="none"/>
          <w:lang w:eastAsia="zh-CN"/>
        </w:rPr>
        <w:t>磋商</w:t>
      </w:r>
      <w:r>
        <w:rPr>
          <w:rFonts w:hint="eastAsia" w:ascii="仿宋" w:hAnsi="仿宋" w:eastAsia="仿宋"/>
          <w:color w:val="auto"/>
          <w:highlight w:val="none"/>
        </w:rPr>
        <w:t>结果如何，供应商参与本项目</w:t>
      </w:r>
      <w:r>
        <w:rPr>
          <w:rFonts w:hint="eastAsia" w:ascii="仿宋" w:hAnsi="仿宋" w:eastAsia="仿宋"/>
          <w:color w:val="auto"/>
          <w:highlight w:val="none"/>
          <w:lang w:eastAsia="zh-CN"/>
        </w:rPr>
        <w:t>磋商</w:t>
      </w:r>
      <w:r>
        <w:rPr>
          <w:rFonts w:hint="eastAsia" w:ascii="仿宋" w:hAnsi="仿宋" w:eastAsia="仿宋"/>
          <w:color w:val="auto"/>
          <w:highlight w:val="none"/>
        </w:rPr>
        <w:t>的所有费用均应由供应商自行承担。</w:t>
      </w:r>
    </w:p>
    <w:p w14:paraId="289BAED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778FCCB7">
      <w:pPr>
        <w:pStyle w:val="3"/>
        <w:spacing w:before="0" w:after="0" w:line="336" w:lineRule="auto"/>
        <w:rPr>
          <w:rFonts w:ascii="仿宋" w:hAnsi="仿宋" w:eastAsia="仿宋" w:cs="宋体"/>
          <w:color w:val="auto"/>
          <w:sz w:val="24"/>
          <w:szCs w:val="24"/>
          <w:highlight w:val="none"/>
        </w:rPr>
      </w:pPr>
      <w:bookmarkStart w:id="27" w:name="_Toc76462321"/>
      <w:bookmarkStart w:id="28" w:name="_Toc373860294"/>
      <w:bookmarkStart w:id="29" w:name="_Toc19206"/>
      <w:bookmarkStart w:id="30" w:name="_Toc108545957"/>
      <w:r>
        <w:rPr>
          <w:rFonts w:hint="eastAsia" w:ascii="仿宋" w:hAnsi="仿宋" w:eastAsia="仿宋" w:cs="宋体"/>
          <w:color w:val="auto"/>
          <w:sz w:val="24"/>
          <w:szCs w:val="24"/>
          <w:highlight w:val="none"/>
        </w:rPr>
        <w:t>七</w:t>
      </w:r>
      <w:bookmarkEnd w:id="27"/>
      <w:bookmarkEnd w:id="28"/>
      <w:r>
        <w:rPr>
          <w:rFonts w:hint="eastAsia" w:ascii="仿宋" w:hAnsi="仿宋" w:eastAsia="仿宋" w:cs="宋体"/>
          <w:color w:val="auto"/>
          <w:sz w:val="24"/>
          <w:szCs w:val="24"/>
          <w:highlight w:val="none"/>
        </w:rPr>
        <w:t>、联系方式</w:t>
      </w:r>
      <w:bookmarkEnd w:id="29"/>
      <w:bookmarkEnd w:id="30"/>
    </w:p>
    <w:bookmarkEnd w:id="10"/>
    <w:p w14:paraId="6D50D63F">
      <w:pPr>
        <w:snapToGrid w:val="0"/>
        <w:spacing w:line="360" w:lineRule="auto"/>
        <w:ind w:firstLine="480" w:firstLineChars="200"/>
        <w:rPr>
          <w:rFonts w:hint="eastAsia" w:ascii="仿宋" w:hAnsi="仿宋" w:eastAsia="仿宋" w:cs="仿宋"/>
          <w:color w:val="auto"/>
          <w:sz w:val="24"/>
          <w:szCs w:val="24"/>
          <w:highlight w:val="none"/>
          <w:lang w:val="en-US" w:eastAsia="zh-CN"/>
        </w:rPr>
      </w:pPr>
      <w:bookmarkStart w:id="31" w:name="_Toc376349875"/>
      <w:bookmarkStart w:id="32" w:name="_Toc152480141"/>
      <w:bookmarkStart w:id="33" w:name="_Toc102227313"/>
      <w:r>
        <w:rPr>
          <w:rFonts w:hint="eastAsia" w:ascii="仿宋" w:hAnsi="仿宋" w:eastAsia="仿宋" w:cs="仿宋"/>
          <w:color w:val="auto"/>
          <w:sz w:val="24"/>
          <w:szCs w:val="24"/>
          <w:highlight w:val="none"/>
          <w:lang w:val="en-US" w:eastAsia="zh-CN"/>
        </w:rPr>
        <w:t xml:space="preserve">采购人：酉阳县缘溪水务有限责任公司    </w:t>
      </w:r>
    </w:p>
    <w:p w14:paraId="4FDED1F1">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联系人：冉老师</w:t>
      </w:r>
    </w:p>
    <w:p w14:paraId="3C6E7688">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话：18581255569</w:t>
      </w:r>
    </w:p>
    <w:p w14:paraId="1E9680D0">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址：重庆市土家族苗族自治县桃花源街道翠屏山大道1幢1单元2-2</w:t>
      </w:r>
    </w:p>
    <w:p w14:paraId="53FD115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采购代理机构：重庆酉情在线工程项目管理有限公司</w:t>
      </w:r>
    </w:p>
    <w:p w14:paraId="0C183A0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联系人：张老师</w:t>
      </w:r>
    </w:p>
    <w:p w14:paraId="075EA7E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话：13308277230</w:t>
      </w:r>
    </w:p>
    <w:p w14:paraId="16B4C2BA">
      <w:pPr>
        <w:snapToGrid w:val="0"/>
        <w:spacing w:line="336" w:lineRule="auto"/>
        <w:ind w:firstLine="480" w:firstLineChars="200"/>
        <w:rPr>
          <w:rFonts w:hint="eastAsia" w:ascii="仿宋" w:hAnsi="仿宋" w:eastAsia="仿宋"/>
          <w:color w:val="auto"/>
          <w:highlight w:val="none"/>
        </w:rPr>
        <w:sectPr>
          <w:footerReference r:id="rId12" w:type="default"/>
          <w:pgSz w:w="11907" w:h="16840"/>
          <w:pgMar w:top="1383" w:right="1366" w:bottom="1440" w:left="1480" w:header="737" w:footer="737" w:gutter="113"/>
          <w:pgNumType w:fmt="numberInDash" w:start="1"/>
          <w:cols w:space="0" w:num="1"/>
          <w:rtlGutter w:val="0"/>
          <w:docGrid w:linePitch="381" w:charSpace="0"/>
        </w:sectPr>
      </w:pPr>
      <w:r>
        <w:rPr>
          <w:rFonts w:hint="eastAsia" w:ascii="仿宋" w:hAnsi="仿宋" w:eastAsia="仿宋" w:cs="仿宋"/>
          <w:color w:val="auto"/>
          <w:sz w:val="24"/>
          <w:szCs w:val="24"/>
          <w:highlight w:val="none"/>
          <w:lang w:val="en-US" w:eastAsia="zh-CN"/>
        </w:rPr>
        <w:t>地  址：重庆市酉阳土家族苗族自治县钟多街道金银山大道中路152号</w:t>
      </w:r>
    </w:p>
    <w:bookmarkEnd w:id="3"/>
    <w:bookmarkEnd w:id="4"/>
    <w:bookmarkEnd w:id="5"/>
    <w:bookmarkEnd w:id="31"/>
    <w:bookmarkEnd w:id="32"/>
    <w:bookmarkEnd w:id="33"/>
    <w:p w14:paraId="5C4299DA">
      <w:pPr>
        <w:pStyle w:val="2"/>
        <w:keepLines/>
        <w:snapToGrid/>
        <w:spacing w:line="336" w:lineRule="auto"/>
        <w:jc w:val="center"/>
        <w:rPr>
          <w:rStyle w:val="47"/>
          <w:rFonts w:ascii="仿宋" w:hAnsi="仿宋" w:eastAsia="仿宋" w:cs="宋体"/>
          <w:b/>
          <w:bCs w:val="0"/>
          <w:color w:val="auto"/>
          <w:highlight w:val="none"/>
        </w:rPr>
      </w:pPr>
      <w:bookmarkStart w:id="34" w:name="_Toc128744991"/>
      <w:bookmarkStart w:id="35" w:name="_Toc26176"/>
      <w:bookmarkStart w:id="36" w:name="_Toc108545968"/>
      <w:r>
        <w:rPr>
          <w:rStyle w:val="47"/>
          <w:rFonts w:hint="eastAsia" w:ascii="仿宋" w:hAnsi="仿宋" w:eastAsia="仿宋" w:cs="宋体"/>
          <w:b/>
          <w:bCs w:val="0"/>
          <w:color w:val="auto"/>
          <w:highlight w:val="none"/>
        </w:rPr>
        <w:t>第</w:t>
      </w:r>
      <w:r>
        <w:rPr>
          <w:rStyle w:val="47"/>
          <w:rFonts w:hint="eastAsia" w:ascii="仿宋" w:hAnsi="仿宋" w:eastAsia="仿宋" w:cs="宋体"/>
          <w:b/>
          <w:bCs w:val="0"/>
          <w:color w:val="auto"/>
          <w:highlight w:val="none"/>
          <w:lang w:val="en-US"/>
        </w:rPr>
        <w:t>二</w:t>
      </w:r>
      <w:r>
        <w:rPr>
          <w:rStyle w:val="47"/>
          <w:rFonts w:hint="eastAsia" w:ascii="仿宋" w:hAnsi="仿宋" w:eastAsia="仿宋" w:cs="宋体"/>
          <w:b/>
          <w:bCs w:val="0"/>
          <w:color w:val="auto"/>
          <w:highlight w:val="none"/>
        </w:rPr>
        <w:t xml:space="preserve">篇  </w:t>
      </w:r>
      <w:bookmarkEnd w:id="34"/>
      <w:r>
        <w:rPr>
          <w:rStyle w:val="47"/>
          <w:rFonts w:hint="eastAsia" w:ascii="仿宋" w:hAnsi="仿宋" w:eastAsia="仿宋" w:cs="宋体"/>
          <w:b/>
          <w:bCs w:val="0"/>
          <w:color w:val="auto"/>
          <w:highlight w:val="none"/>
        </w:rPr>
        <w:t>项目</w:t>
      </w:r>
      <w:r>
        <w:rPr>
          <w:rStyle w:val="47"/>
          <w:rFonts w:hint="eastAsia" w:ascii="仿宋" w:hAnsi="仿宋" w:eastAsia="仿宋" w:cs="宋体"/>
          <w:b/>
          <w:bCs w:val="0"/>
          <w:color w:val="auto"/>
          <w:highlight w:val="none"/>
          <w:lang w:val="en-US"/>
        </w:rPr>
        <w:t>技术</w:t>
      </w:r>
      <w:r>
        <w:rPr>
          <w:rStyle w:val="47"/>
          <w:rFonts w:hint="eastAsia" w:ascii="仿宋" w:hAnsi="仿宋" w:eastAsia="仿宋" w:cs="宋体"/>
          <w:b/>
          <w:bCs w:val="0"/>
          <w:color w:val="auto"/>
          <w:highlight w:val="none"/>
        </w:rPr>
        <w:t>需求</w:t>
      </w:r>
      <w:bookmarkEnd w:id="35"/>
      <w:bookmarkEnd w:id="36"/>
    </w:p>
    <w:p w14:paraId="02153982">
      <w:pPr>
        <w:spacing w:line="360" w:lineRule="auto"/>
        <w:ind w:firstLine="422" w:firstLineChars="200"/>
        <w:rPr>
          <w:rFonts w:ascii="仿宋" w:hAnsi="仿宋" w:eastAsia="仿宋"/>
          <w:b/>
          <w:bCs/>
          <w:color w:val="auto"/>
          <w:sz w:val="21"/>
          <w:szCs w:val="21"/>
          <w:highlight w:val="none"/>
        </w:rPr>
      </w:pPr>
      <w:bookmarkStart w:id="37" w:name="_Toc76462325"/>
      <w:bookmarkStart w:id="38" w:name="_Toc128744993"/>
      <w:bookmarkStart w:id="39" w:name="_Toc12789058"/>
      <w:r>
        <w:rPr>
          <w:rFonts w:hint="eastAsia" w:ascii="仿宋" w:hAnsi="仿宋" w:eastAsia="仿宋"/>
          <w:b/>
          <w:bCs/>
          <w:color w:val="auto"/>
          <w:sz w:val="21"/>
          <w:szCs w:val="21"/>
          <w:highlight w:val="none"/>
        </w:rPr>
        <w:t>“※”标注的服务需求为符合性审查中的实质性要求，响应文件若不满足按无效响应处理。</w:t>
      </w:r>
    </w:p>
    <w:bookmarkEnd w:id="37"/>
    <w:p w14:paraId="034BE6A1">
      <w:pPr>
        <w:pStyle w:val="4"/>
        <w:snapToGrid w:val="0"/>
        <w:spacing w:before="0" w:after="0" w:line="360" w:lineRule="auto"/>
        <w:ind w:firstLine="482" w:firstLineChars="200"/>
        <w:rPr>
          <w:rFonts w:ascii="仿宋" w:hAnsi="仿宋" w:eastAsia="仿宋"/>
          <w:color w:val="auto"/>
          <w:sz w:val="24"/>
          <w:szCs w:val="24"/>
          <w:highlight w:val="none"/>
        </w:rPr>
      </w:pPr>
      <w:bookmarkStart w:id="40" w:name="_Toc206248082"/>
      <w:bookmarkStart w:id="41" w:name="_Toc20705"/>
      <w:r>
        <w:rPr>
          <w:rFonts w:hint="eastAsia" w:ascii="仿宋" w:hAnsi="仿宋" w:eastAsia="仿宋"/>
          <w:color w:val="auto"/>
          <w:sz w:val="24"/>
          <w:szCs w:val="24"/>
          <w:highlight w:val="none"/>
        </w:rPr>
        <w:t>一、工程概况</w:t>
      </w:r>
      <w:bookmarkEnd w:id="40"/>
      <w:bookmarkEnd w:id="41"/>
    </w:p>
    <w:p w14:paraId="278C71F0">
      <w:pPr>
        <w:snapToGrid w:val="0"/>
        <w:spacing w:line="360" w:lineRule="auto"/>
        <w:ind w:firstLine="480" w:firstLineChars="200"/>
        <w:rPr>
          <w:rFonts w:hint="eastAsia" w:ascii="仿宋" w:hAnsi="仿宋" w:eastAsia="仿宋"/>
          <w:color w:val="auto"/>
          <w:highlight w:val="none"/>
        </w:rPr>
      </w:pPr>
      <w:r>
        <w:rPr>
          <w:rFonts w:hint="eastAsia" w:ascii="仿宋" w:hAnsi="仿宋" w:eastAsia="仿宋"/>
          <w:color w:val="auto"/>
          <w:sz w:val="24"/>
          <w:szCs w:val="24"/>
          <w:highlight w:val="none"/>
        </w:rPr>
        <w:t>工程概况</w:t>
      </w:r>
      <w:r>
        <w:rPr>
          <w:rFonts w:hint="eastAsia" w:ascii="仿宋" w:hAnsi="仿宋" w:eastAsia="仿宋"/>
          <w:color w:val="auto"/>
          <w:sz w:val="24"/>
          <w:szCs w:val="24"/>
          <w:highlight w:val="none"/>
          <w:lang w:eastAsia="zh-CN"/>
        </w:rPr>
        <w:t>：安装工程：好氧池主体</w:t>
      </w:r>
      <w:r>
        <w:rPr>
          <w:rFonts w:hint="eastAsia" w:ascii="仿宋" w:hAnsi="仿宋" w:eastAsia="仿宋"/>
          <w:color w:val="auto"/>
          <w:sz w:val="24"/>
          <w:szCs w:val="24"/>
          <w:highlight w:val="none"/>
          <w:lang w:val="en-US" w:eastAsia="zh-CN"/>
        </w:rPr>
        <w:t>5台</w:t>
      </w:r>
      <w:r>
        <w:rPr>
          <w:rFonts w:hint="eastAsia" w:ascii="仿宋" w:hAnsi="仿宋" w:eastAsia="仿宋"/>
          <w:color w:val="auto"/>
          <w:sz w:val="24"/>
          <w:szCs w:val="24"/>
          <w:highlight w:val="none"/>
          <w:lang w:eastAsia="zh-CN"/>
        </w:rPr>
        <w:t>，污水提升泵</w:t>
      </w:r>
      <w:r>
        <w:rPr>
          <w:rFonts w:hint="eastAsia" w:ascii="仿宋" w:hAnsi="仿宋" w:eastAsia="仿宋"/>
          <w:color w:val="auto"/>
          <w:sz w:val="24"/>
          <w:szCs w:val="24"/>
          <w:highlight w:val="none"/>
          <w:lang w:val="en-US" w:eastAsia="zh-CN"/>
        </w:rPr>
        <w:t>2台</w:t>
      </w:r>
      <w:r>
        <w:rPr>
          <w:rFonts w:hint="eastAsia" w:ascii="仿宋" w:hAnsi="仿宋" w:eastAsia="仿宋"/>
          <w:color w:val="auto"/>
          <w:sz w:val="24"/>
          <w:szCs w:val="24"/>
          <w:highlight w:val="none"/>
          <w:lang w:eastAsia="zh-CN"/>
        </w:rPr>
        <w:t>，好氧池布水器</w:t>
      </w:r>
      <w:r>
        <w:rPr>
          <w:rFonts w:hint="eastAsia" w:ascii="仿宋" w:hAnsi="仿宋" w:eastAsia="仿宋"/>
          <w:color w:val="auto"/>
          <w:sz w:val="24"/>
          <w:szCs w:val="24"/>
          <w:highlight w:val="none"/>
          <w:lang w:val="en-US" w:eastAsia="zh-CN"/>
        </w:rPr>
        <w:t>5台</w:t>
      </w:r>
      <w:r>
        <w:rPr>
          <w:rFonts w:hint="eastAsia" w:ascii="仿宋" w:hAnsi="仿宋" w:eastAsia="仿宋"/>
          <w:color w:val="auto"/>
          <w:sz w:val="24"/>
          <w:szCs w:val="24"/>
          <w:highlight w:val="none"/>
          <w:lang w:eastAsia="zh-CN"/>
        </w:rPr>
        <w:t>，好氧池曝气装置</w:t>
      </w:r>
      <w:r>
        <w:rPr>
          <w:rFonts w:hint="eastAsia" w:ascii="仿宋" w:hAnsi="仿宋" w:eastAsia="仿宋"/>
          <w:color w:val="auto"/>
          <w:sz w:val="24"/>
          <w:szCs w:val="24"/>
          <w:highlight w:val="none"/>
          <w:lang w:val="en-US" w:eastAsia="zh-CN"/>
        </w:rPr>
        <w:t>1台</w:t>
      </w:r>
      <w:r>
        <w:rPr>
          <w:rFonts w:hint="eastAsia" w:ascii="仿宋" w:hAnsi="仿宋" w:eastAsia="仿宋"/>
          <w:color w:val="auto"/>
          <w:sz w:val="24"/>
          <w:szCs w:val="24"/>
          <w:highlight w:val="none"/>
          <w:lang w:eastAsia="zh-CN"/>
        </w:rPr>
        <w:t>，罗茨风机</w:t>
      </w:r>
      <w:r>
        <w:rPr>
          <w:rFonts w:hint="eastAsia" w:ascii="仿宋" w:hAnsi="仿宋" w:eastAsia="仿宋"/>
          <w:color w:val="auto"/>
          <w:sz w:val="24"/>
          <w:szCs w:val="24"/>
          <w:highlight w:val="none"/>
          <w:lang w:val="en-US" w:eastAsia="zh-CN"/>
        </w:rPr>
        <w:t>1台</w:t>
      </w:r>
      <w:r>
        <w:rPr>
          <w:rFonts w:hint="eastAsia" w:ascii="仿宋" w:hAnsi="仿宋" w:eastAsia="仿宋"/>
          <w:color w:val="auto"/>
          <w:sz w:val="24"/>
          <w:szCs w:val="24"/>
          <w:highlight w:val="none"/>
          <w:lang w:eastAsia="zh-CN"/>
        </w:rPr>
        <w:t>，好氧池内部加强筋</w:t>
      </w:r>
      <w:r>
        <w:rPr>
          <w:rFonts w:hint="eastAsia" w:ascii="仿宋" w:hAnsi="仿宋" w:eastAsia="仿宋"/>
          <w:color w:val="auto"/>
          <w:sz w:val="24"/>
          <w:szCs w:val="24"/>
          <w:highlight w:val="none"/>
          <w:lang w:val="en-US" w:eastAsia="zh-CN"/>
        </w:rPr>
        <w:t>150KG，电控制系统1台，折点加氯桶、还原反应桶各1个，潜水泵2台，加药泵4台及配套组件等</w:t>
      </w:r>
      <w:r>
        <w:rPr>
          <w:rFonts w:hint="eastAsia" w:ascii="仿宋" w:hAnsi="仿宋" w:eastAsia="仿宋"/>
          <w:color w:val="auto"/>
          <w:highlight w:val="none"/>
          <w:lang w:val="en-US" w:eastAsia="zh-CN"/>
        </w:rPr>
        <w:t>。</w:t>
      </w:r>
      <w:r>
        <w:rPr>
          <w:rFonts w:hint="eastAsia" w:ascii="仿宋" w:hAnsi="仿宋" w:eastAsia="仿宋"/>
          <w:color w:val="auto"/>
          <w:highlight w:val="none"/>
        </w:rPr>
        <w:t>具体详见采购人提供的工程量清单。</w:t>
      </w:r>
    </w:p>
    <w:p w14:paraId="51FBD055">
      <w:pPr>
        <w:pStyle w:val="4"/>
        <w:snapToGrid w:val="0"/>
        <w:spacing w:before="0" w:after="0" w:line="360" w:lineRule="auto"/>
        <w:ind w:firstLine="422" w:firstLineChars="200"/>
        <w:rPr>
          <w:rFonts w:ascii="仿宋" w:hAnsi="仿宋" w:eastAsia="仿宋"/>
          <w:color w:val="auto"/>
          <w:sz w:val="24"/>
          <w:szCs w:val="24"/>
          <w:highlight w:val="none"/>
        </w:rPr>
      </w:pPr>
      <w:bookmarkStart w:id="42" w:name="_Toc7167"/>
      <w:bookmarkStart w:id="43" w:name="_Toc206248083"/>
      <w:r>
        <w:rPr>
          <w:rFonts w:hint="eastAsia" w:ascii="仿宋" w:hAnsi="仿宋" w:eastAsia="仿宋"/>
          <w:bCs w:val="0"/>
          <w:color w:val="auto"/>
          <w:sz w:val="21"/>
          <w:szCs w:val="21"/>
          <w:highlight w:val="none"/>
        </w:rPr>
        <w:t>※</w:t>
      </w:r>
      <w:r>
        <w:rPr>
          <w:rFonts w:hint="eastAsia" w:ascii="仿宋" w:hAnsi="仿宋" w:eastAsia="仿宋"/>
          <w:color w:val="auto"/>
          <w:sz w:val="24"/>
          <w:szCs w:val="24"/>
          <w:highlight w:val="none"/>
        </w:rPr>
        <w:t>二、采购范围</w:t>
      </w:r>
      <w:bookmarkEnd w:id="42"/>
      <w:bookmarkEnd w:id="43"/>
    </w:p>
    <w:p w14:paraId="41EA1460">
      <w:pPr>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bookmarkStart w:id="44" w:name="_Toc206248084"/>
      <w:bookmarkStart w:id="45" w:name="_Toc7081"/>
      <w:r>
        <w:rPr>
          <w:rFonts w:hint="eastAsia" w:ascii="仿宋" w:hAnsi="仿宋" w:eastAsia="仿宋" w:cs="仿宋"/>
          <w:color w:val="auto"/>
          <w:kern w:val="2"/>
          <w:sz w:val="24"/>
          <w:szCs w:val="24"/>
          <w:highlight w:val="none"/>
          <w:lang w:val="en-US" w:eastAsia="zh-CN" w:bidi="ar-SA"/>
        </w:rPr>
        <w:t>具体以采购人提供的工程量清单、答疑资料、澄清资料、其他补遗资料等相关内容为准。</w:t>
      </w:r>
    </w:p>
    <w:p w14:paraId="38F53BE2">
      <w:pPr>
        <w:pStyle w:val="4"/>
        <w:snapToGrid w:val="0"/>
        <w:spacing w:before="0" w:after="0" w:line="360" w:lineRule="auto"/>
        <w:ind w:firstLine="422" w:firstLineChars="200"/>
        <w:rPr>
          <w:rFonts w:ascii="仿宋" w:hAnsi="仿宋" w:eastAsia="仿宋"/>
          <w:color w:val="auto"/>
          <w:sz w:val="24"/>
          <w:szCs w:val="24"/>
          <w:highlight w:val="none"/>
        </w:rPr>
      </w:pPr>
      <w:bookmarkStart w:id="46" w:name="_Toc6606"/>
      <w:r>
        <w:rPr>
          <w:rFonts w:hint="eastAsia" w:ascii="仿宋" w:hAnsi="仿宋" w:eastAsia="仿宋"/>
          <w:bCs w:val="0"/>
          <w:color w:val="auto"/>
          <w:sz w:val="21"/>
          <w:szCs w:val="21"/>
          <w:highlight w:val="none"/>
        </w:rPr>
        <w:t>※</w:t>
      </w:r>
      <w:r>
        <w:rPr>
          <w:rFonts w:hint="eastAsia" w:ascii="仿宋" w:hAnsi="仿宋" w:eastAsia="仿宋"/>
          <w:color w:val="auto"/>
          <w:sz w:val="24"/>
          <w:szCs w:val="24"/>
          <w:highlight w:val="none"/>
        </w:rPr>
        <w:t>三、技术规范及要求</w:t>
      </w:r>
      <w:bookmarkEnd w:id="44"/>
      <w:bookmarkEnd w:id="45"/>
      <w:bookmarkEnd w:id="46"/>
    </w:p>
    <w:p w14:paraId="33072E36">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施工过程中必须按国家相关规范及要求进行施工，施工工艺必须达到国家相关规范合格要求。</w:t>
      </w:r>
    </w:p>
    <w:p w14:paraId="358490AE">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（一）施工要求</w:t>
      </w:r>
    </w:p>
    <w:p w14:paraId="39AF2C7E">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1．成交供应商应配合采购人完成施工相关手续的报备及审批。</w:t>
      </w:r>
    </w:p>
    <w:p w14:paraId="104AA9FB">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2．成交供应商施工前应充分了解施工现场周边环境及设施设备，成交后需与采购人协调按相关规范解决施工用电、用水、建渣运输等施工生产条件。</w:t>
      </w:r>
    </w:p>
    <w:p w14:paraId="7321580A">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（二）安全要求</w:t>
      </w:r>
    </w:p>
    <w:p w14:paraId="613B74C3">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1.成交供应商应遵守安全生产的有关管理规定，建立完善的安全管控体系，严格按照安全标准组织实施，采取必要的安全防护措施，消除隐患。</w:t>
      </w:r>
    </w:p>
    <w:p w14:paraId="40FB43DE">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2.成交供应商应派遣有丰富经验和相应能力的工程师进行现场组织施工，并对施工操作不当或错误所导致的直接损失和间接损失承担全部赔偿责任。</w:t>
      </w:r>
    </w:p>
    <w:p w14:paraId="02676C20">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3.在施工过程中，成交供应商应做到安全施工、文明施工，并做好相应的施工安全公告及警戒标识，施工过程中发生的一切安全事故由成交供应商自行负责处理。</w:t>
      </w:r>
    </w:p>
    <w:p w14:paraId="54ABBE3F">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4.成交供应商应当与其施工人员建立劳动关系，承担全部用人用工主体责任。</w:t>
      </w:r>
    </w:p>
    <w:p w14:paraId="5BAE60B0">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5.成交供应商应当依法为施工人员办理符合国家法律规定的社会保险，并根据自身需要购买雇主责任险、人身伤害意外险等商业补充险，以保障施工人员的合法权益得到充分的落实与保障。</w:t>
      </w:r>
    </w:p>
    <w:p w14:paraId="0DE3D6DC">
      <w:pPr>
        <w:pStyle w:val="4"/>
        <w:snapToGrid w:val="0"/>
        <w:spacing w:before="0" w:after="0" w:line="360" w:lineRule="auto"/>
        <w:ind w:firstLine="482" w:firstLineChars="200"/>
        <w:rPr>
          <w:rFonts w:ascii="仿宋" w:hAnsi="仿宋" w:eastAsia="仿宋"/>
          <w:color w:val="auto"/>
          <w:sz w:val="24"/>
          <w:szCs w:val="24"/>
          <w:highlight w:val="none"/>
        </w:rPr>
      </w:pPr>
      <w:bookmarkStart w:id="47" w:name="_Toc16983"/>
      <w:bookmarkStart w:id="48" w:name="_Toc206248085"/>
      <w:r>
        <w:rPr>
          <w:rFonts w:hint="eastAsia" w:ascii="仿宋" w:hAnsi="仿宋" w:eastAsia="仿宋"/>
          <w:color w:val="auto"/>
          <w:sz w:val="24"/>
          <w:szCs w:val="24"/>
          <w:highlight w:val="none"/>
        </w:rPr>
        <w:t>※四、项目管理班子人员配备要求</w:t>
      </w:r>
      <w:bookmarkEnd w:id="47"/>
      <w:bookmarkEnd w:id="48"/>
    </w:p>
    <w:p w14:paraId="78B66C64">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项目经理资格要求：</w:t>
      </w:r>
    </w:p>
    <w:p w14:paraId="09693A8F">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供应商拟派的项目经理应具有</w:t>
      </w:r>
      <w:r>
        <w:rPr>
          <w:rFonts w:hint="eastAsia" w:ascii="仿宋" w:hAnsi="仿宋" w:eastAsia="仿宋"/>
          <w:color w:val="auto"/>
          <w:highlight w:val="none"/>
          <w:lang w:val="en-US" w:eastAsia="zh-CN"/>
        </w:rPr>
        <w:t>环保工程或市政公用工程专业贰级及以上注册建造师执业资格</w:t>
      </w:r>
      <w:r>
        <w:rPr>
          <w:rFonts w:hint="eastAsia" w:ascii="仿宋" w:hAnsi="仿宋" w:eastAsia="仿宋"/>
          <w:color w:val="auto"/>
          <w:highlight w:val="none"/>
        </w:rPr>
        <w:t>且必须已在供应商本单位注册。</w:t>
      </w:r>
    </w:p>
    <w:p w14:paraId="24F827BD">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（1）提供拟派项目经理人身份证复印件加盖供应商公章；</w:t>
      </w:r>
    </w:p>
    <w:p w14:paraId="5F194271">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（2）提供拟派项目经理人注册证书复印件加盖供应商公章；</w:t>
      </w:r>
    </w:p>
    <w:p w14:paraId="71264A9B">
      <w:pPr>
        <w:pStyle w:val="4"/>
        <w:snapToGrid w:val="0"/>
        <w:spacing w:before="0" w:after="0" w:line="360" w:lineRule="auto"/>
        <w:ind w:firstLine="482" w:firstLineChars="200"/>
        <w:rPr>
          <w:rFonts w:ascii="仿宋" w:hAnsi="仿宋" w:eastAsia="仿宋"/>
          <w:color w:val="auto"/>
          <w:sz w:val="24"/>
          <w:szCs w:val="24"/>
          <w:highlight w:val="none"/>
        </w:rPr>
      </w:pPr>
      <w:bookmarkStart w:id="49" w:name="_Toc25743"/>
      <w:r>
        <w:rPr>
          <w:rFonts w:hint="eastAsia" w:ascii="仿宋" w:hAnsi="仿宋" w:eastAsia="仿宋"/>
          <w:color w:val="auto"/>
          <w:sz w:val="24"/>
          <w:szCs w:val="24"/>
          <w:highlight w:val="none"/>
        </w:rPr>
        <w:t>五</w:t>
      </w:r>
      <w:bookmarkStart w:id="50" w:name="_Toc206248086"/>
      <w:bookmarkStart w:id="51" w:name="_Toc7380"/>
      <w:r>
        <w:rPr>
          <w:rFonts w:hint="eastAsia" w:ascii="仿宋" w:hAnsi="仿宋" w:eastAsia="仿宋"/>
          <w:color w:val="auto"/>
          <w:sz w:val="24"/>
          <w:szCs w:val="24"/>
          <w:highlight w:val="none"/>
        </w:rPr>
        <w:t>、现场踏勘</w:t>
      </w:r>
      <w:bookmarkEnd w:id="49"/>
      <w:bookmarkEnd w:id="50"/>
      <w:bookmarkEnd w:id="51"/>
    </w:p>
    <w:p w14:paraId="074FAE01">
      <w:pPr>
        <w:spacing w:line="360" w:lineRule="auto"/>
        <w:ind w:firstLine="480" w:firstLineChars="200"/>
        <w:rPr>
          <w:rFonts w:hint="eastAsia" w:ascii="仿宋" w:hAnsi="仿宋" w:eastAsia="仿宋" w:cs="仿宋"/>
          <w:color w:val="auto"/>
          <w:kern w:val="2"/>
          <w:sz w:val="24"/>
          <w:szCs w:val="24"/>
          <w:highlight w:val="none"/>
          <w:lang w:val="en-US" w:eastAsia="zh-CN" w:bidi="ar-SA"/>
        </w:rPr>
      </w:pPr>
      <w:bookmarkStart w:id="52" w:name="_Toc108545974"/>
      <w:r>
        <w:rPr>
          <w:rFonts w:hint="eastAsia" w:ascii="仿宋" w:hAnsi="仿宋" w:eastAsia="仿宋" w:cs="仿宋"/>
          <w:color w:val="auto"/>
          <w:kern w:val="2"/>
          <w:sz w:val="24"/>
          <w:szCs w:val="24"/>
          <w:highlight w:val="none"/>
          <w:lang w:val="en-US" w:eastAsia="zh-CN" w:bidi="ar-SA"/>
        </w:rPr>
        <w:t>（一）采购人不组织现场踏勘，由各供应商在竞采开始前自行到现场进行踏勘了解实际情况，根据实际踏勘情况做服务方案。踏勘产生的费用和风险等均由供应商自行承担。</w:t>
      </w:r>
    </w:p>
    <w:p w14:paraId="409B170A">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（二）无论供应商是否踏勘过现场，均视为在响应截止时间之前踏勘过现场且对本项目潜在的风险和义务已完全了解，并在其响应文件中</w:t>
      </w:r>
      <w:r>
        <w:rPr>
          <w:rFonts w:hint="eastAsia" w:ascii="仿宋" w:hAnsi="仿宋" w:eastAsia="仿宋" w:cs="仿宋"/>
          <w:b/>
          <w:bCs/>
          <w:color w:val="auto"/>
          <w:kern w:val="2"/>
          <w:sz w:val="24"/>
          <w:szCs w:val="24"/>
          <w:highlight w:val="none"/>
          <w:lang w:val="en-US" w:eastAsia="zh-CN" w:bidi="ar-SA"/>
        </w:rPr>
        <w:t>自行承诺（格式自拟）</w:t>
      </w:r>
      <w:r>
        <w:rPr>
          <w:rFonts w:hint="eastAsia" w:ascii="仿宋" w:hAnsi="仿宋" w:eastAsia="仿宋" w:cs="仿宋"/>
          <w:color w:val="auto"/>
          <w:kern w:val="2"/>
          <w:sz w:val="24"/>
          <w:szCs w:val="24"/>
          <w:highlight w:val="none"/>
          <w:lang w:val="en-US" w:eastAsia="zh-CN" w:bidi="ar-SA"/>
        </w:rPr>
        <w:t>已充分考虑了本项目可能面临的不确定因素可能导致的风险，成交供应商不得以不完全了解现场情况为借口而提出延长服务期限或提出额外赔偿等要求。</w:t>
      </w:r>
    </w:p>
    <w:p w14:paraId="7C0D9870">
      <w:pPr>
        <w:rPr>
          <w:rStyle w:val="47"/>
          <w:rFonts w:hint="eastAsia" w:ascii="仿宋" w:hAnsi="仿宋" w:eastAsia="仿宋" w:cs="宋体"/>
          <w:b/>
          <w:bCs/>
          <w:color w:val="auto"/>
          <w:highlight w:val="none"/>
        </w:rPr>
      </w:pPr>
      <w:r>
        <w:rPr>
          <w:rStyle w:val="47"/>
          <w:rFonts w:hint="eastAsia" w:ascii="仿宋" w:hAnsi="仿宋" w:eastAsia="仿宋" w:cs="宋体"/>
          <w:b/>
          <w:bCs/>
          <w:color w:val="auto"/>
          <w:highlight w:val="none"/>
        </w:rPr>
        <w:br w:type="page"/>
      </w:r>
    </w:p>
    <w:p w14:paraId="0929AF79">
      <w:pPr>
        <w:pStyle w:val="2"/>
        <w:keepNext/>
        <w:keepLines/>
        <w:pageBreakBefore w:val="0"/>
        <w:widowControl/>
        <w:kinsoku/>
        <w:wordWrap/>
        <w:overflowPunct/>
        <w:topLinePunct w:val="0"/>
        <w:autoSpaceDE/>
        <w:autoSpaceDN/>
        <w:bidi w:val="0"/>
        <w:adjustRightInd/>
        <w:snapToGrid/>
        <w:spacing w:line="336" w:lineRule="auto"/>
        <w:ind w:firstLine="643" w:firstLineChars="200"/>
        <w:jc w:val="center"/>
        <w:textAlignment w:val="auto"/>
        <w:rPr>
          <w:rStyle w:val="47"/>
          <w:rFonts w:ascii="仿宋" w:hAnsi="仿宋" w:eastAsia="仿宋" w:cs="宋体"/>
          <w:b/>
          <w:bCs/>
          <w:color w:val="auto"/>
          <w:highlight w:val="none"/>
        </w:rPr>
      </w:pPr>
      <w:bookmarkStart w:id="53" w:name="_Toc25951"/>
      <w:r>
        <w:rPr>
          <w:rStyle w:val="47"/>
          <w:rFonts w:hint="eastAsia" w:ascii="仿宋" w:hAnsi="仿宋" w:eastAsia="仿宋" w:cs="宋体"/>
          <w:b/>
          <w:bCs/>
          <w:color w:val="auto"/>
          <w:highlight w:val="none"/>
        </w:rPr>
        <w:t>第</w:t>
      </w:r>
      <w:r>
        <w:rPr>
          <w:rStyle w:val="47"/>
          <w:rFonts w:hint="eastAsia" w:ascii="仿宋" w:hAnsi="仿宋" w:eastAsia="仿宋" w:cs="宋体"/>
          <w:b/>
          <w:bCs/>
          <w:color w:val="auto"/>
          <w:highlight w:val="none"/>
          <w:lang w:val="en-US"/>
        </w:rPr>
        <w:t>三</w:t>
      </w:r>
      <w:r>
        <w:rPr>
          <w:rStyle w:val="47"/>
          <w:rFonts w:hint="eastAsia" w:ascii="仿宋" w:hAnsi="仿宋" w:eastAsia="仿宋" w:cs="宋体"/>
          <w:b/>
          <w:bCs/>
          <w:color w:val="auto"/>
          <w:highlight w:val="none"/>
        </w:rPr>
        <w:t xml:space="preserve">篇  </w:t>
      </w:r>
      <w:bookmarkEnd w:id="52"/>
      <w:r>
        <w:rPr>
          <w:rStyle w:val="47"/>
          <w:rFonts w:hint="eastAsia" w:ascii="仿宋" w:hAnsi="仿宋" w:eastAsia="仿宋" w:cs="宋体"/>
          <w:b/>
          <w:bCs/>
          <w:color w:val="auto"/>
          <w:highlight w:val="none"/>
        </w:rPr>
        <w:t>项目商务需求</w:t>
      </w:r>
      <w:bookmarkEnd w:id="53"/>
    </w:p>
    <w:p w14:paraId="1F3D7579">
      <w:pPr>
        <w:spacing w:line="360" w:lineRule="auto"/>
        <w:ind w:firstLine="422" w:firstLineChars="200"/>
        <w:rPr>
          <w:rFonts w:ascii="仿宋" w:hAnsi="仿宋" w:eastAsia="仿宋"/>
          <w:b/>
          <w:bCs/>
          <w:color w:val="auto"/>
          <w:sz w:val="21"/>
          <w:szCs w:val="21"/>
          <w:highlight w:val="none"/>
        </w:rPr>
      </w:pPr>
      <w:bookmarkStart w:id="54" w:name="_Toc76462328"/>
      <w:bookmarkStart w:id="55" w:name="_Toc344475120"/>
      <w:bookmarkStart w:id="56" w:name="_Toc62484881"/>
      <w:bookmarkStart w:id="57" w:name="_Toc108545975"/>
      <w:bookmarkStart w:id="58" w:name="_Toc22463"/>
      <w:bookmarkStart w:id="59" w:name="_Toc344475121"/>
      <w:bookmarkStart w:id="60" w:name="_Toc487204790"/>
      <w:r>
        <w:rPr>
          <w:rFonts w:hint="eastAsia" w:ascii="仿宋" w:hAnsi="仿宋" w:eastAsia="仿宋"/>
          <w:b/>
          <w:bCs/>
          <w:color w:val="auto"/>
          <w:sz w:val="21"/>
          <w:szCs w:val="21"/>
          <w:highlight w:val="none"/>
        </w:rPr>
        <w:t>“※”标注的商务需求为符合性审查中的实质性要求，响应文件若不满足按无效响应处理。</w:t>
      </w:r>
    </w:p>
    <w:bookmarkEnd w:id="54"/>
    <w:p w14:paraId="13D0657F">
      <w:pPr>
        <w:pStyle w:val="4"/>
        <w:spacing w:before="0" w:after="0" w:line="360" w:lineRule="auto"/>
        <w:ind w:firstLine="482" w:firstLineChars="200"/>
        <w:rPr>
          <w:rFonts w:ascii="仿宋" w:hAnsi="仿宋" w:eastAsia="仿宋"/>
          <w:color w:val="auto"/>
          <w:sz w:val="24"/>
          <w:szCs w:val="24"/>
          <w:highlight w:val="none"/>
        </w:rPr>
      </w:pPr>
      <w:bookmarkStart w:id="61" w:name="_Toc15281"/>
      <w:bookmarkStart w:id="62" w:name="_Toc41643682"/>
      <w:bookmarkStart w:id="63" w:name="_Toc206248088"/>
      <w:bookmarkStart w:id="64" w:name="_Toc108199096"/>
      <w:bookmarkStart w:id="65" w:name="_Toc38466652"/>
      <w:bookmarkStart w:id="66" w:name="_Toc45694302"/>
      <w:bookmarkStart w:id="67" w:name="_Toc29479"/>
      <w:r>
        <w:rPr>
          <w:rFonts w:hint="eastAsia" w:ascii="仿宋" w:hAnsi="仿宋" w:eastAsia="仿宋"/>
          <w:color w:val="auto"/>
          <w:sz w:val="24"/>
          <w:szCs w:val="24"/>
          <w:highlight w:val="none"/>
        </w:rPr>
        <w:t>※一、建设</w:t>
      </w:r>
      <w:r>
        <w:rPr>
          <w:rFonts w:hint="eastAsia" w:ascii="仿宋" w:hAnsi="仿宋" w:eastAsia="仿宋"/>
          <w:color w:val="auto"/>
          <w:sz w:val="24"/>
          <w:highlight w:val="none"/>
        </w:rPr>
        <w:t>工期</w:t>
      </w:r>
      <w:r>
        <w:rPr>
          <w:rFonts w:hint="eastAsia" w:ascii="仿宋" w:hAnsi="仿宋" w:eastAsia="仿宋"/>
          <w:color w:val="auto"/>
          <w:sz w:val="24"/>
          <w:szCs w:val="24"/>
          <w:highlight w:val="none"/>
        </w:rPr>
        <w:t>、地点及验收方式</w:t>
      </w:r>
      <w:bookmarkEnd w:id="61"/>
      <w:bookmarkEnd w:id="62"/>
      <w:bookmarkEnd w:id="63"/>
      <w:bookmarkEnd w:id="64"/>
    </w:p>
    <w:p w14:paraId="4340BBCC">
      <w:pPr>
        <w:numPr>
          <w:ilvl w:val="0"/>
          <w:numId w:val="0"/>
        </w:numPr>
        <w:spacing w:line="360" w:lineRule="auto"/>
        <w:ind w:firstLine="480" w:firstLineChars="200"/>
        <w:rPr>
          <w:rFonts w:hint="eastAsia" w:ascii="仿宋" w:hAnsi="仿宋" w:eastAsia="仿宋"/>
          <w:color w:val="auto"/>
          <w:highlight w:val="none"/>
        </w:rPr>
      </w:pPr>
      <w:r>
        <w:rPr>
          <w:rFonts w:hint="eastAsia" w:ascii="仿宋" w:hAnsi="仿宋" w:eastAsia="仿宋"/>
          <w:color w:val="auto"/>
          <w:highlight w:val="none"/>
        </w:rPr>
        <w:t>工期：</w:t>
      </w:r>
      <w:r>
        <w:rPr>
          <w:rFonts w:hint="eastAsia" w:ascii="仿宋" w:hAnsi="仿宋" w:eastAsia="仿宋"/>
          <w:color w:val="auto"/>
          <w:highlight w:val="none"/>
          <w:lang w:val="en-US" w:eastAsia="zh-CN"/>
        </w:rPr>
        <w:t>30日历天</w:t>
      </w:r>
      <w:r>
        <w:rPr>
          <w:rFonts w:hint="eastAsia" w:ascii="仿宋" w:hAnsi="仿宋" w:eastAsia="仿宋"/>
          <w:color w:val="auto"/>
          <w:highlight w:val="none"/>
        </w:rPr>
        <w:t>。</w:t>
      </w:r>
    </w:p>
    <w:p w14:paraId="7152810C">
      <w:pPr>
        <w:numPr>
          <w:ilvl w:val="0"/>
          <w:numId w:val="2"/>
        </w:num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工程地点：酉阳县龙潭镇固体废物处理场。</w:t>
      </w:r>
    </w:p>
    <w:p w14:paraId="052D9C87">
      <w:pPr>
        <w:numPr>
          <w:ilvl w:val="0"/>
          <w:numId w:val="2"/>
        </w:numPr>
        <w:spacing w:line="360" w:lineRule="auto"/>
        <w:ind w:left="0" w:leftChars="0" w:firstLine="480" w:firstLineChars="200"/>
        <w:rPr>
          <w:rFonts w:hint="eastAsia" w:ascii="仿宋" w:hAnsi="仿宋" w:eastAsia="仿宋"/>
          <w:color w:val="auto"/>
          <w:highlight w:val="none"/>
        </w:rPr>
      </w:pPr>
      <w:r>
        <w:rPr>
          <w:rFonts w:hint="eastAsia" w:ascii="仿宋" w:hAnsi="仿宋" w:eastAsia="仿宋"/>
          <w:color w:val="auto"/>
          <w:highlight w:val="none"/>
        </w:rPr>
        <w:t>验收方式：</w:t>
      </w:r>
    </w:p>
    <w:bookmarkEnd w:id="65"/>
    <w:bookmarkEnd w:id="66"/>
    <w:bookmarkEnd w:id="67"/>
    <w:p w14:paraId="1475AC14">
      <w:pPr>
        <w:pStyle w:val="4"/>
        <w:spacing w:before="0" w:after="0" w:line="360" w:lineRule="auto"/>
        <w:ind w:firstLine="480" w:firstLineChars="200"/>
        <w:rPr>
          <w:rFonts w:hint="eastAsia" w:ascii="仿宋" w:hAnsi="仿宋" w:eastAsia="仿宋" w:cs="宋体"/>
          <w:b w:val="0"/>
          <w:bCs w:val="0"/>
          <w:color w:val="auto"/>
          <w:sz w:val="24"/>
          <w:szCs w:val="24"/>
          <w:highlight w:val="none"/>
          <w:lang w:val="en-US" w:eastAsia="zh-CN" w:bidi="ar-SA"/>
        </w:rPr>
      </w:pPr>
      <w:bookmarkStart w:id="68" w:name="_Toc108199097"/>
      <w:bookmarkStart w:id="69" w:name="_Toc38466653"/>
      <w:bookmarkStart w:id="70" w:name="_Toc29726"/>
      <w:bookmarkStart w:id="71" w:name="_Toc45694303"/>
      <w:bookmarkStart w:id="72" w:name="_Toc21803"/>
      <w:bookmarkStart w:id="73" w:name="_Toc206248089"/>
      <w:r>
        <w:rPr>
          <w:rFonts w:hint="eastAsia" w:ascii="仿宋" w:hAnsi="仿宋" w:eastAsia="仿宋" w:cs="宋体"/>
          <w:b w:val="0"/>
          <w:bCs w:val="0"/>
          <w:color w:val="auto"/>
          <w:sz w:val="24"/>
          <w:szCs w:val="24"/>
          <w:highlight w:val="none"/>
          <w:lang w:val="en-US" w:eastAsia="zh-CN" w:bidi="ar-SA"/>
        </w:rPr>
        <w:t>设备安装调试完成后，由甲乙双方共同验收，设备运行正常且满足设计要求视为合格。</w:t>
      </w:r>
    </w:p>
    <w:p w14:paraId="7B74E5D4">
      <w:pPr>
        <w:pStyle w:val="4"/>
        <w:spacing w:before="0" w:after="0" w:line="360" w:lineRule="auto"/>
        <w:ind w:firstLine="482"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w:t>
      </w:r>
      <w:bookmarkEnd w:id="68"/>
      <w:bookmarkEnd w:id="69"/>
      <w:bookmarkEnd w:id="70"/>
      <w:bookmarkEnd w:id="71"/>
      <w:r>
        <w:rPr>
          <w:rFonts w:hint="eastAsia" w:ascii="仿宋" w:hAnsi="仿宋" w:eastAsia="仿宋"/>
          <w:color w:val="auto"/>
          <w:sz w:val="24"/>
          <w:szCs w:val="24"/>
          <w:highlight w:val="none"/>
        </w:rPr>
        <w:t>报价要求</w:t>
      </w:r>
      <w:bookmarkEnd w:id="72"/>
      <w:bookmarkEnd w:id="73"/>
    </w:p>
    <w:p w14:paraId="4EA1F205">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本项目为</w:t>
      </w:r>
      <w:r>
        <w:rPr>
          <w:rFonts w:hint="eastAsia" w:ascii="仿宋" w:hAnsi="仿宋" w:eastAsia="仿宋"/>
          <w:color w:val="auto"/>
          <w:highlight w:val="none"/>
          <w:lang w:val="en-US" w:eastAsia="zh-CN"/>
        </w:rPr>
        <w:t>环保治理工程</w:t>
      </w:r>
      <w:r>
        <w:rPr>
          <w:rFonts w:hint="eastAsia" w:ascii="仿宋" w:hAnsi="仿宋" w:eastAsia="仿宋"/>
          <w:color w:val="auto"/>
          <w:highlight w:val="none"/>
        </w:rPr>
        <w:t>，最高限价</w:t>
      </w:r>
      <w:r>
        <w:rPr>
          <w:rFonts w:hint="eastAsia" w:ascii="仿宋" w:hAnsi="仿宋" w:eastAsia="仿宋"/>
          <w:color w:val="auto"/>
          <w:highlight w:val="none"/>
          <w:lang w:eastAsia="zh-CN"/>
        </w:rPr>
        <w:t>890000</w:t>
      </w:r>
      <w:r>
        <w:rPr>
          <w:rFonts w:hint="eastAsia" w:ascii="仿宋" w:hAnsi="仿宋" w:eastAsia="仿宋"/>
          <w:color w:val="auto"/>
          <w:highlight w:val="none"/>
        </w:rPr>
        <w:t>元</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其中安全文明施工费暂定金额为5282.36元。</w:t>
      </w:r>
      <w:r>
        <w:rPr>
          <w:rFonts w:hint="eastAsia" w:ascii="仿宋" w:hAnsi="仿宋" w:eastAsia="仿宋"/>
          <w:color w:val="auto"/>
          <w:highlight w:val="none"/>
        </w:rPr>
        <w:t>供应商比选报价不得超过最高限价，安全文明施工费不得浮动，否则投标无效。</w:t>
      </w:r>
    </w:p>
    <w:p w14:paraId="5B5FF550">
      <w:pPr>
        <w:spacing w:line="360" w:lineRule="auto"/>
        <w:ind w:firstLine="480" w:firstLineChars="200"/>
        <w:rPr>
          <w:rFonts w:hint="eastAsia" w:ascii="仿宋" w:hAnsi="仿宋" w:eastAsia="仿宋"/>
          <w:color w:val="auto"/>
          <w:highlight w:val="none"/>
        </w:rPr>
      </w:pPr>
      <w:r>
        <w:rPr>
          <w:rFonts w:hint="eastAsia" w:ascii="仿宋" w:hAnsi="仿宋" w:eastAsia="仿宋"/>
          <w:color w:val="auto"/>
          <w:highlight w:val="none"/>
        </w:rPr>
        <w:t>（一）计价方式：本项目采用工程量清单</w:t>
      </w:r>
      <w:r>
        <w:rPr>
          <w:rFonts w:hint="eastAsia" w:ascii="仿宋" w:hAnsi="仿宋" w:eastAsia="仿宋"/>
          <w:color w:val="auto"/>
          <w:highlight w:val="none"/>
          <w:lang w:val="en-US" w:eastAsia="zh-CN"/>
        </w:rPr>
        <w:t>计价</w:t>
      </w:r>
      <w:r>
        <w:rPr>
          <w:rFonts w:hint="eastAsia" w:ascii="仿宋" w:hAnsi="仿宋" w:eastAsia="仿宋"/>
          <w:color w:val="auto"/>
          <w:highlight w:val="none"/>
        </w:rPr>
        <w:t>。</w:t>
      </w:r>
    </w:p>
    <w:p w14:paraId="5229ECD6">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（二）</w:t>
      </w:r>
      <w:r>
        <w:rPr>
          <w:rFonts w:hint="eastAsia" w:ascii="仿宋" w:hAnsi="仿宋" w:eastAsia="仿宋"/>
          <w:color w:val="auto"/>
          <w:highlight w:val="none"/>
          <w:lang w:eastAsia="zh-CN"/>
        </w:rPr>
        <w:t>磋商</w:t>
      </w:r>
      <w:r>
        <w:rPr>
          <w:rFonts w:hint="eastAsia" w:ascii="仿宋" w:hAnsi="仿宋" w:eastAsia="仿宋"/>
          <w:color w:val="auto"/>
          <w:highlight w:val="none"/>
        </w:rPr>
        <w:t>报价范围：供应商根据现场情况对采购人提供的工程量清单进行自主报价（报价以工程量清单为准）。报价时，供应商应充分考虑施工区域、作业环境、施工难度、现场文明施工要求、质量要求、采购人各项管理规定等因素。供应商必须完成</w:t>
      </w:r>
      <w:r>
        <w:rPr>
          <w:rFonts w:hint="eastAsia" w:ascii="仿宋" w:hAnsi="仿宋" w:eastAsia="仿宋"/>
          <w:color w:val="auto"/>
          <w:highlight w:val="none"/>
          <w:lang w:eastAsia="zh-CN"/>
        </w:rPr>
        <w:t>磋商</w:t>
      </w:r>
      <w:r>
        <w:rPr>
          <w:rFonts w:hint="eastAsia" w:ascii="仿宋" w:hAnsi="仿宋" w:eastAsia="仿宋"/>
          <w:color w:val="auto"/>
          <w:highlight w:val="none"/>
        </w:rPr>
        <w:t>文件、工程量清单以及采购人为完善该工程而提出的工程内容。</w:t>
      </w:r>
    </w:p>
    <w:p w14:paraId="3414F932">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（三）报价原则：供应商以</w:t>
      </w:r>
      <w:r>
        <w:rPr>
          <w:rFonts w:hint="eastAsia" w:ascii="仿宋" w:hAnsi="仿宋" w:eastAsia="仿宋"/>
          <w:color w:val="auto"/>
          <w:highlight w:val="none"/>
          <w:lang w:eastAsia="zh-CN"/>
        </w:rPr>
        <w:t>磋商</w:t>
      </w:r>
      <w:r>
        <w:rPr>
          <w:rFonts w:hint="eastAsia" w:ascii="仿宋" w:hAnsi="仿宋" w:eastAsia="仿宋"/>
          <w:color w:val="auto"/>
          <w:highlight w:val="none"/>
        </w:rPr>
        <w:t>文件、合同条件、国家技术和经济规范及标准等有关规定及配套文件和要求，结合施工图纸及相关说明进行报价。</w:t>
      </w:r>
      <w:r>
        <w:rPr>
          <w:rFonts w:hint="eastAsia" w:ascii="仿宋" w:hAnsi="仿宋" w:eastAsia="仿宋"/>
          <w:color w:val="auto"/>
          <w:highlight w:val="none"/>
          <w:lang w:eastAsia="zh-CN"/>
        </w:rPr>
        <w:t>磋商</w:t>
      </w:r>
      <w:r>
        <w:rPr>
          <w:rFonts w:hint="eastAsia" w:ascii="仿宋" w:hAnsi="仿宋" w:eastAsia="仿宋"/>
          <w:color w:val="auto"/>
          <w:highlight w:val="none"/>
        </w:rPr>
        <w:t xml:space="preserve">报价应包括完成工程量清单范围内工程项目的人工费、材料费、机械费（含大型机械进出场费）、企业管理费、利润、风险费用、措施费（施工组织措施费和施工技术措施费等）、规费、税金、政策性文件规定的所有费用。采购人不再支付其它费用。 </w:t>
      </w:r>
    </w:p>
    <w:p w14:paraId="23A8C3F0">
      <w:pPr>
        <w:numPr>
          <w:ilvl w:val="0"/>
          <w:numId w:val="0"/>
        </w:numPr>
        <w:snapToGrid w:val="0"/>
        <w:spacing w:line="360" w:lineRule="auto"/>
        <w:ind w:firstLine="480" w:firstLineChars="200"/>
        <w:rPr>
          <w:rFonts w:ascii="仿宋" w:hAnsi="仿宋" w:eastAsia="仿宋"/>
          <w:color w:val="auto"/>
          <w:highlight w:val="none"/>
        </w:rPr>
      </w:pPr>
      <w:r>
        <w:rPr>
          <w:rFonts w:hint="eastAsia" w:ascii="仿宋" w:hAnsi="仿宋" w:eastAsia="仿宋" w:cs="宋体"/>
          <w:color w:val="auto"/>
          <w:sz w:val="24"/>
          <w:szCs w:val="24"/>
          <w:highlight w:val="none"/>
          <w:lang w:val="en-US" w:eastAsia="zh-CN" w:bidi="ar-SA"/>
        </w:rPr>
        <w:t>（四）</w:t>
      </w:r>
      <w:r>
        <w:rPr>
          <w:rFonts w:hint="eastAsia" w:ascii="仿宋" w:hAnsi="仿宋" w:eastAsia="仿宋"/>
          <w:color w:val="auto"/>
          <w:highlight w:val="none"/>
        </w:rPr>
        <w:t>恶意低价竞标。当投标报价低于最高限价的85%时，该报价被视为恶意低价竞标，恶意低价竞标的报价无效，作为废标处理，其报价也不参与基准价计算。</w:t>
      </w:r>
    </w:p>
    <w:p w14:paraId="797ACB68">
      <w:pPr>
        <w:pStyle w:val="4"/>
        <w:numPr>
          <w:ilvl w:val="0"/>
          <w:numId w:val="0"/>
        </w:numPr>
        <w:spacing w:before="0" w:after="0" w:line="360" w:lineRule="auto"/>
        <w:ind w:firstLine="482" w:firstLineChars="200"/>
        <w:rPr>
          <w:rFonts w:hint="eastAsia" w:ascii="仿宋" w:hAnsi="仿宋" w:eastAsia="仿宋"/>
          <w:color w:val="auto"/>
          <w:sz w:val="24"/>
          <w:highlight w:val="none"/>
          <w:lang w:val="en-US" w:eastAsia="zh-CN"/>
        </w:rPr>
      </w:pPr>
      <w:bookmarkStart w:id="74" w:name="_Toc2079"/>
      <w:r>
        <w:rPr>
          <w:rFonts w:hint="eastAsia" w:ascii="仿宋" w:hAnsi="仿宋" w:eastAsia="仿宋" w:cs="Times New Roman"/>
          <w:b/>
          <w:bCs/>
          <w:color w:val="auto"/>
          <w:sz w:val="24"/>
          <w:szCs w:val="32"/>
          <w:highlight w:val="none"/>
          <w:lang w:val="en-US" w:eastAsia="zh-CN" w:bidi="ar-SA"/>
        </w:rPr>
        <w:t>三、结算方式</w:t>
      </w:r>
      <w:bookmarkEnd w:id="74"/>
    </w:p>
    <w:p w14:paraId="1C71A0B0">
      <w:pPr>
        <w:pStyle w:val="4"/>
        <w:spacing w:before="0" w:after="0" w:line="360" w:lineRule="auto"/>
        <w:ind w:firstLine="480" w:firstLineChars="200"/>
        <w:rPr>
          <w:rFonts w:ascii="仿宋" w:hAnsi="仿宋" w:eastAsia="仿宋"/>
          <w:color w:val="auto"/>
          <w:sz w:val="24"/>
          <w:highlight w:val="none"/>
        </w:rPr>
      </w:pPr>
      <w:bookmarkStart w:id="75" w:name="_Toc25006"/>
      <w:bookmarkStart w:id="76" w:name="_Toc206248090"/>
      <w:bookmarkStart w:id="77" w:name="_Toc108199099"/>
      <w:bookmarkStart w:id="78" w:name="_Toc45694305"/>
      <w:bookmarkStart w:id="79" w:name="_Toc23503"/>
      <w:bookmarkStart w:id="80" w:name="_Toc38466655"/>
      <w:r>
        <w:rPr>
          <w:rFonts w:hint="default" w:ascii="仿宋" w:hAnsi="仿宋" w:eastAsia="仿宋" w:cs="宋体"/>
          <w:b w:val="0"/>
          <w:bCs w:val="0"/>
          <w:color w:val="auto"/>
          <w:sz w:val="24"/>
          <w:szCs w:val="24"/>
          <w:highlight w:val="none"/>
          <w:lang w:val="en-US" w:eastAsia="zh-CN" w:bidi="ar-SA"/>
        </w:rPr>
        <w:t>设备费用在设备安装调试合格后10个工作日内办理结算，以实际供货量为准；</w:t>
      </w:r>
      <w:r>
        <w:rPr>
          <w:rFonts w:hint="eastAsia" w:ascii="仿宋" w:hAnsi="仿宋" w:eastAsia="仿宋"/>
          <w:color w:val="auto"/>
          <w:sz w:val="24"/>
          <w:highlight w:val="none"/>
          <w:lang w:val="en-US" w:eastAsia="zh-CN"/>
        </w:rPr>
        <w:t>四</w:t>
      </w:r>
      <w:r>
        <w:rPr>
          <w:rFonts w:hint="eastAsia" w:ascii="仿宋" w:hAnsi="仿宋" w:eastAsia="仿宋"/>
          <w:color w:val="auto"/>
          <w:sz w:val="24"/>
          <w:highlight w:val="none"/>
        </w:rPr>
        <w:t>、质量保证及售后服务</w:t>
      </w:r>
      <w:bookmarkEnd w:id="75"/>
      <w:bookmarkEnd w:id="76"/>
    </w:p>
    <w:p w14:paraId="24713077">
      <w:p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olor w:val="auto"/>
          <w:highlight w:val="none"/>
        </w:rPr>
        <w:t>（</w:t>
      </w:r>
      <w:r>
        <w:rPr>
          <w:rFonts w:hint="eastAsia" w:ascii="仿宋" w:hAnsi="仿宋" w:eastAsia="仿宋"/>
          <w:color w:val="auto"/>
          <w:highlight w:val="none"/>
          <w:lang w:val="en-US" w:eastAsia="zh-CN"/>
        </w:rPr>
        <w:t>一</w:t>
      </w:r>
      <w:r>
        <w:rPr>
          <w:rFonts w:hint="eastAsia" w:ascii="仿宋" w:hAnsi="仿宋" w:eastAsia="仿宋"/>
          <w:color w:val="auto"/>
          <w:highlight w:val="none"/>
        </w:rPr>
        <w:t>）</w:t>
      </w:r>
      <w:r>
        <w:rPr>
          <w:rFonts w:hint="eastAsia" w:ascii="仿宋" w:hAnsi="仿宋" w:eastAsia="仿宋" w:cs="仿宋"/>
          <w:color w:val="auto"/>
          <w:kern w:val="2"/>
          <w:sz w:val="24"/>
          <w:szCs w:val="24"/>
          <w:highlight w:val="none"/>
          <w:lang w:val="en-US" w:eastAsia="zh-CN" w:bidi="ar-SA"/>
        </w:rPr>
        <w:t>质量要求：</w:t>
      </w:r>
      <w:r>
        <w:rPr>
          <w:rFonts w:hint="eastAsia" w:ascii="仿宋" w:hAnsi="仿宋" w:eastAsia="仿宋" w:cs="仿宋"/>
          <w:b/>
          <w:bCs/>
          <w:color w:val="auto"/>
          <w:kern w:val="2"/>
          <w:sz w:val="24"/>
          <w:szCs w:val="24"/>
          <w:highlight w:val="none"/>
          <w:lang w:val="en-US" w:eastAsia="zh-CN" w:bidi="ar-SA"/>
        </w:rPr>
        <w:t>达到国家及重庆市现行有关施工质量验收规范要求，并达到合格标准</w:t>
      </w:r>
      <w:r>
        <w:rPr>
          <w:rFonts w:hint="eastAsia" w:ascii="仿宋" w:hAnsi="仿宋" w:eastAsia="仿宋" w:cs="仿宋"/>
          <w:color w:val="auto"/>
          <w:kern w:val="2"/>
          <w:sz w:val="24"/>
          <w:szCs w:val="24"/>
          <w:highlight w:val="none"/>
          <w:lang w:val="en-US" w:eastAsia="zh-CN" w:bidi="ar-SA"/>
        </w:rPr>
        <w:t>。</w:t>
      </w:r>
    </w:p>
    <w:p w14:paraId="5D631C15">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※（二）缺陷责任期为</w:t>
      </w:r>
      <w:r>
        <w:rPr>
          <w:rFonts w:hint="eastAsia" w:ascii="仿宋" w:hAnsi="仿宋" w:eastAsia="仿宋"/>
          <w:color w:val="auto"/>
          <w:highlight w:val="none"/>
          <w:lang w:val="en-US" w:eastAsia="zh-CN"/>
        </w:rPr>
        <w:t>12个月</w:t>
      </w:r>
      <w:r>
        <w:rPr>
          <w:rFonts w:hint="eastAsia" w:ascii="仿宋" w:hAnsi="仿宋" w:eastAsia="仿宋"/>
          <w:color w:val="auto"/>
          <w:highlight w:val="none"/>
        </w:rPr>
        <w:t>。</w:t>
      </w:r>
    </w:p>
    <w:p w14:paraId="3E3947DE">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（三）保修期内，</w:t>
      </w:r>
      <w:bookmarkStart w:id="81" w:name="_Toc22243"/>
      <w:bookmarkStart w:id="82" w:name="_Toc31231"/>
      <w:r>
        <w:rPr>
          <w:rFonts w:hint="eastAsia" w:ascii="仿宋" w:hAnsi="仿宋" w:eastAsia="仿宋"/>
          <w:color w:val="auto"/>
          <w:highlight w:val="none"/>
        </w:rPr>
        <w:t>所有设备和施工质量缺陷的维护及维修（非人为损坏）均为免费。</w:t>
      </w:r>
    </w:p>
    <w:p w14:paraId="3686DB41">
      <w:pPr>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（四）保修期内，所有设备维护和施工质量缺陷维修均为现场服务，由此产生的费用均不再收取。</w:t>
      </w:r>
    </w:p>
    <w:bookmarkEnd w:id="81"/>
    <w:bookmarkEnd w:id="82"/>
    <w:p w14:paraId="6E960AA7">
      <w:pPr>
        <w:pStyle w:val="4"/>
        <w:spacing w:before="0" w:after="0" w:line="360" w:lineRule="auto"/>
        <w:ind w:firstLine="482" w:firstLineChars="200"/>
        <w:rPr>
          <w:rFonts w:ascii="仿宋" w:hAnsi="仿宋" w:eastAsia="仿宋"/>
          <w:color w:val="auto"/>
          <w:sz w:val="24"/>
          <w:szCs w:val="24"/>
          <w:highlight w:val="none"/>
        </w:rPr>
      </w:pPr>
      <w:bookmarkStart w:id="83" w:name="_Toc206248091"/>
      <w:bookmarkStart w:id="84" w:name="_Toc21081"/>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五</w:t>
      </w:r>
      <w:r>
        <w:rPr>
          <w:rFonts w:hint="eastAsia" w:ascii="仿宋" w:hAnsi="仿宋" w:eastAsia="仿宋"/>
          <w:color w:val="auto"/>
          <w:sz w:val="24"/>
          <w:szCs w:val="24"/>
          <w:highlight w:val="none"/>
        </w:rPr>
        <w:t>、付款方式</w:t>
      </w:r>
      <w:bookmarkEnd w:id="77"/>
      <w:bookmarkEnd w:id="78"/>
      <w:bookmarkEnd w:id="79"/>
      <w:bookmarkEnd w:id="80"/>
      <w:bookmarkEnd w:id="83"/>
      <w:bookmarkEnd w:id="84"/>
    </w:p>
    <w:p w14:paraId="450958E5">
      <w:pPr>
        <w:numPr>
          <w:ilvl w:val="0"/>
          <w:numId w:val="0"/>
        </w:numPr>
        <w:tabs>
          <w:tab w:val="left" w:pos="540"/>
        </w:tabs>
        <w:spacing w:line="360" w:lineRule="auto"/>
        <w:ind w:left="210" w:leftChars="0" w:firstLine="480"/>
        <w:rPr>
          <w:rFonts w:hint="eastAsia" w:ascii="仿宋" w:hAnsi="仿宋" w:eastAsia="仿宋" w:cs="仿宋"/>
          <w:color w:val="auto"/>
          <w:kern w:val="2"/>
          <w:sz w:val="24"/>
          <w:szCs w:val="24"/>
          <w:highlight w:val="none"/>
          <w:lang w:val="en-US" w:eastAsia="zh-CN" w:bidi="ar-SA"/>
        </w:rPr>
      </w:pPr>
      <w:bookmarkStart w:id="85" w:name="_Toc15590"/>
      <w:r>
        <w:rPr>
          <w:rFonts w:hint="eastAsia" w:ascii="仿宋" w:hAnsi="仿宋" w:eastAsia="仿宋" w:cs="仿宋"/>
          <w:color w:val="auto"/>
          <w:kern w:val="2"/>
          <w:sz w:val="24"/>
          <w:szCs w:val="24"/>
          <w:highlight w:val="none"/>
          <w:lang w:val="en-US" w:eastAsia="zh-CN" w:bidi="ar-SA"/>
        </w:rPr>
        <w:t>工程款支付</w:t>
      </w:r>
    </w:p>
    <w:p w14:paraId="4C0DF012">
      <w:pPr>
        <w:numPr>
          <w:ilvl w:val="0"/>
          <w:numId w:val="0"/>
        </w:numPr>
        <w:tabs>
          <w:tab w:val="left" w:pos="540"/>
        </w:tabs>
        <w:spacing w:line="360" w:lineRule="auto"/>
        <w:ind w:left="210" w:leftChars="0"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1.本项目全部工程完工后，验收合格，办理结算，最终结算以实际完成工程内容及工程量为准。</w:t>
      </w:r>
    </w:p>
    <w:p w14:paraId="28D8B2BB">
      <w:pPr>
        <w:numPr>
          <w:ilvl w:val="0"/>
          <w:numId w:val="0"/>
        </w:numPr>
        <w:tabs>
          <w:tab w:val="left" w:pos="540"/>
        </w:tabs>
        <w:spacing w:line="360" w:lineRule="auto"/>
        <w:ind w:left="210" w:leftChars="0"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2.合同签订后5个工作日内，甲方支付合同总金额的30%作为预付款；</w:t>
      </w:r>
    </w:p>
    <w:p w14:paraId="4649C835">
      <w:pPr>
        <w:numPr>
          <w:ilvl w:val="0"/>
          <w:numId w:val="0"/>
        </w:numPr>
        <w:tabs>
          <w:tab w:val="left" w:pos="540"/>
        </w:tabs>
        <w:spacing w:line="360" w:lineRule="auto"/>
        <w:ind w:left="210" w:leftChars="0" w:firstLine="48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3.设备安装调试完成后10个工作日内，甲方支付至合同总金额的97%；剩余3%作为质保金，本项目质保期为1年，质保到期后一次性无息归还。</w:t>
      </w:r>
    </w:p>
    <w:p w14:paraId="1C9BFF4F">
      <w:pPr>
        <w:numPr>
          <w:ilvl w:val="0"/>
          <w:numId w:val="0"/>
        </w:numPr>
        <w:tabs>
          <w:tab w:val="left" w:pos="540"/>
        </w:tabs>
        <w:spacing w:line="360" w:lineRule="auto"/>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4.采购人每次拨款，成交供应商须开具相应金额的正式发票。</w:t>
      </w:r>
    </w:p>
    <w:bookmarkEnd w:id="85"/>
    <w:p w14:paraId="1DDE2EE2">
      <w:pPr>
        <w:pStyle w:val="4"/>
        <w:spacing w:before="0" w:after="0" w:line="360" w:lineRule="auto"/>
        <w:ind w:firstLine="482" w:firstLineChars="200"/>
        <w:rPr>
          <w:rFonts w:ascii="仿宋" w:hAnsi="仿宋" w:eastAsia="仿宋"/>
          <w:color w:val="auto"/>
          <w:sz w:val="24"/>
          <w:szCs w:val="24"/>
          <w:highlight w:val="none"/>
        </w:rPr>
      </w:pPr>
      <w:bookmarkStart w:id="86" w:name="_Toc10815"/>
      <w:bookmarkStart w:id="87" w:name="_Toc126167026"/>
      <w:bookmarkStart w:id="88" w:name="_Toc104477149"/>
      <w:bookmarkStart w:id="89" w:name="_Toc78194446"/>
      <w:bookmarkStart w:id="90" w:name="_Toc17774"/>
      <w:bookmarkStart w:id="91" w:name="_Toc206248094"/>
      <w:r>
        <w:rPr>
          <w:rFonts w:hint="eastAsia" w:ascii="仿宋" w:hAnsi="仿宋" w:eastAsia="仿宋"/>
          <w:color w:val="auto"/>
          <w:sz w:val="24"/>
          <w:szCs w:val="24"/>
          <w:highlight w:val="none"/>
          <w:lang w:val="en-US" w:eastAsia="zh-CN"/>
        </w:rPr>
        <w:t>六</w:t>
      </w:r>
      <w:r>
        <w:rPr>
          <w:rFonts w:hint="eastAsia" w:ascii="仿宋" w:hAnsi="仿宋" w:eastAsia="仿宋"/>
          <w:color w:val="auto"/>
          <w:sz w:val="24"/>
          <w:szCs w:val="24"/>
          <w:highlight w:val="none"/>
        </w:rPr>
        <w:t>、其他</w:t>
      </w:r>
      <w:bookmarkEnd w:id="86"/>
      <w:bookmarkEnd w:id="87"/>
      <w:bookmarkEnd w:id="88"/>
      <w:bookmarkEnd w:id="89"/>
      <w:bookmarkEnd w:id="90"/>
      <w:bookmarkEnd w:id="91"/>
    </w:p>
    <w:p w14:paraId="6FB94840">
      <w:pPr>
        <w:snapToGrid w:val="0"/>
        <w:spacing w:line="360" w:lineRule="auto"/>
        <w:ind w:firstLine="480" w:firstLineChars="200"/>
        <w:rPr>
          <w:rFonts w:ascii="仿宋" w:hAnsi="仿宋" w:eastAsia="仿宋"/>
          <w:color w:val="auto"/>
          <w:highlight w:val="none"/>
        </w:rPr>
      </w:pPr>
      <w:r>
        <w:rPr>
          <w:rFonts w:hint="eastAsia" w:ascii="仿宋" w:hAnsi="仿宋" w:eastAsia="仿宋"/>
          <w:color w:val="auto"/>
          <w:highlight w:val="none"/>
        </w:rPr>
        <w:t>其他未尽事宜由供需双方在采购合同中详细约定。</w:t>
      </w:r>
      <w:r>
        <w:rPr>
          <w:rFonts w:hint="eastAsia" w:ascii="仿宋" w:hAnsi="仿宋" w:eastAsia="仿宋"/>
          <w:color w:val="auto"/>
          <w:highlight w:val="none"/>
        </w:rPr>
        <w:br w:type="page"/>
      </w:r>
    </w:p>
    <w:bookmarkEnd w:id="55"/>
    <w:bookmarkEnd w:id="56"/>
    <w:bookmarkEnd w:id="57"/>
    <w:p w14:paraId="3215A946">
      <w:pPr>
        <w:pStyle w:val="8"/>
        <w:spacing w:line="336" w:lineRule="auto"/>
        <w:jc w:val="center"/>
        <w:outlineLvl w:val="0"/>
        <w:rPr>
          <w:rFonts w:ascii="仿宋" w:hAnsi="仿宋" w:eastAsia="仿宋" w:cs="宋体"/>
          <w:b/>
          <w:color w:val="auto"/>
          <w:highlight w:val="none"/>
        </w:rPr>
      </w:pPr>
      <w:bookmarkStart w:id="92" w:name="_Toc11592"/>
      <w:bookmarkStart w:id="93" w:name="_Toc7915"/>
      <w:bookmarkStart w:id="94" w:name="_Toc27641"/>
      <w:r>
        <w:rPr>
          <w:rFonts w:hint="eastAsia" w:ascii="仿宋" w:hAnsi="仿宋" w:eastAsia="仿宋" w:cs="宋体"/>
          <w:b/>
          <w:color w:val="auto"/>
          <w:sz w:val="36"/>
          <w:szCs w:val="30"/>
          <w:highlight w:val="none"/>
        </w:rPr>
        <w:t xml:space="preserve">第四篇  </w:t>
      </w:r>
      <w:r>
        <w:rPr>
          <w:rFonts w:hint="eastAsia" w:ascii="仿宋" w:hAnsi="仿宋" w:eastAsia="仿宋" w:cs="宋体"/>
          <w:b/>
          <w:color w:val="auto"/>
          <w:sz w:val="36"/>
          <w:szCs w:val="30"/>
          <w:highlight w:val="none"/>
          <w:lang w:val="en-US"/>
        </w:rPr>
        <w:t>竞争性</w:t>
      </w:r>
      <w:r>
        <w:rPr>
          <w:rFonts w:hint="eastAsia" w:ascii="仿宋" w:hAnsi="仿宋" w:eastAsia="仿宋" w:cs="宋体"/>
          <w:b/>
          <w:color w:val="auto"/>
          <w:sz w:val="36"/>
          <w:szCs w:val="30"/>
          <w:highlight w:val="none"/>
          <w:lang w:val="en-US" w:eastAsia="zh-CN"/>
        </w:rPr>
        <w:t>磋商</w:t>
      </w:r>
      <w:r>
        <w:rPr>
          <w:rFonts w:hint="eastAsia" w:ascii="仿宋" w:hAnsi="仿宋" w:eastAsia="仿宋" w:cs="宋体"/>
          <w:b/>
          <w:color w:val="auto"/>
          <w:sz w:val="36"/>
          <w:szCs w:val="30"/>
          <w:highlight w:val="none"/>
        </w:rPr>
        <w:t>程序及方法、评审标准、无效响应和</w:t>
      </w:r>
      <w:r>
        <w:rPr>
          <w:rFonts w:hint="eastAsia" w:ascii="仿宋" w:hAnsi="仿宋" w:eastAsia="仿宋" w:cs="宋体"/>
          <w:b/>
          <w:color w:val="auto"/>
          <w:sz w:val="36"/>
          <w:szCs w:val="36"/>
          <w:highlight w:val="none"/>
        </w:rPr>
        <w:t>采购终止</w:t>
      </w:r>
      <w:bookmarkEnd w:id="92"/>
      <w:bookmarkEnd w:id="93"/>
      <w:bookmarkEnd w:id="94"/>
    </w:p>
    <w:p w14:paraId="040BBD2C">
      <w:pPr>
        <w:pStyle w:val="3"/>
        <w:snapToGrid w:val="0"/>
        <w:spacing w:before="0" w:after="0" w:line="360" w:lineRule="auto"/>
        <w:rPr>
          <w:rFonts w:ascii="仿宋" w:hAnsi="仿宋" w:eastAsia="仿宋" w:cs="宋体"/>
          <w:color w:val="auto"/>
          <w:sz w:val="28"/>
          <w:szCs w:val="28"/>
          <w:highlight w:val="none"/>
        </w:rPr>
      </w:pPr>
      <w:bookmarkStart w:id="95" w:name="_Toc12773"/>
      <w:bookmarkStart w:id="96" w:name="_Toc10928"/>
      <w:bookmarkStart w:id="97" w:name="_Toc30577"/>
      <w:r>
        <w:rPr>
          <w:rFonts w:hint="eastAsia" w:ascii="仿宋" w:hAnsi="仿宋" w:eastAsia="仿宋" w:cs="宋体"/>
          <w:color w:val="auto"/>
          <w:sz w:val="28"/>
          <w:szCs w:val="28"/>
          <w:highlight w:val="none"/>
        </w:rPr>
        <w:t>一、竞争性</w:t>
      </w:r>
      <w:r>
        <w:rPr>
          <w:rFonts w:hint="eastAsia" w:ascii="仿宋" w:hAnsi="仿宋" w:eastAsia="仿宋" w:cs="宋体"/>
          <w:color w:val="auto"/>
          <w:sz w:val="28"/>
          <w:szCs w:val="28"/>
          <w:highlight w:val="none"/>
          <w:lang w:eastAsia="zh-CN"/>
        </w:rPr>
        <w:t>磋商</w:t>
      </w:r>
      <w:r>
        <w:rPr>
          <w:rFonts w:hint="eastAsia" w:ascii="仿宋" w:hAnsi="仿宋" w:eastAsia="仿宋" w:cs="宋体"/>
          <w:color w:val="auto"/>
          <w:sz w:val="28"/>
          <w:szCs w:val="28"/>
          <w:highlight w:val="none"/>
        </w:rPr>
        <w:t>程序及方法</w:t>
      </w:r>
      <w:bookmarkEnd w:id="95"/>
      <w:bookmarkEnd w:id="96"/>
      <w:bookmarkEnd w:id="97"/>
    </w:p>
    <w:p w14:paraId="5164F330">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（一）</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按竞争性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文件规定的时间和地点进行，供应商须有法定代表人（或其授权代表）或自然人参加并签到。</w:t>
      </w:r>
    </w:p>
    <w:p w14:paraId="28D246BD">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（二）</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评审小组对各供应商的资格条件、响应文件的有效性、完整性和响应程度进行审查。各供应商只有在完全符合要求的前提下，才能参与正式</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w:t>
      </w:r>
    </w:p>
    <w:p w14:paraId="25F09362">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1、资格性审查。依据法律法规和竞争性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文件的规定，对响应文件中的资格证明等进行审查，以确定供应商是否具备竞选资格。资格性审查资料表如下：</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462"/>
        <w:gridCol w:w="4781"/>
      </w:tblGrid>
      <w:tr w14:paraId="023C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vAlign w:val="center"/>
          </w:tcPr>
          <w:p w14:paraId="1952DE76">
            <w:pPr>
              <w:spacing w:line="320" w:lineRule="exact"/>
              <w:jc w:val="center"/>
              <w:rPr>
                <w:rFonts w:ascii="仿宋" w:hAnsi="仿宋" w:eastAsia="仿宋"/>
                <w:b/>
                <w:color w:val="auto"/>
                <w:highlight w:val="none"/>
              </w:rPr>
            </w:pPr>
            <w:r>
              <w:rPr>
                <w:rFonts w:hint="eastAsia" w:ascii="仿宋" w:hAnsi="仿宋" w:eastAsia="仿宋"/>
                <w:b/>
                <w:color w:val="auto"/>
                <w:highlight w:val="none"/>
              </w:rPr>
              <w:t>序号</w:t>
            </w:r>
          </w:p>
        </w:tc>
        <w:tc>
          <w:tcPr>
            <w:tcW w:w="4171" w:type="dxa"/>
            <w:gridSpan w:val="2"/>
            <w:vAlign w:val="center"/>
          </w:tcPr>
          <w:p w14:paraId="1B2D0FC3">
            <w:pPr>
              <w:spacing w:line="320" w:lineRule="exact"/>
              <w:jc w:val="center"/>
              <w:rPr>
                <w:rFonts w:ascii="仿宋" w:hAnsi="仿宋" w:eastAsia="仿宋"/>
                <w:b/>
                <w:color w:val="auto"/>
                <w:highlight w:val="none"/>
              </w:rPr>
            </w:pPr>
            <w:r>
              <w:rPr>
                <w:rFonts w:hint="eastAsia" w:ascii="仿宋" w:hAnsi="仿宋" w:eastAsia="仿宋"/>
                <w:b/>
                <w:color w:val="auto"/>
                <w:highlight w:val="none"/>
              </w:rPr>
              <w:t>检查因素</w:t>
            </w:r>
          </w:p>
        </w:tc>
        <w:tc>
          <w:tcPr>
            <w:tcW w:w="4781" w:type="dxa"/>
            <w:vAlign w:val="center"/>
          </w:tcPr>
          <w:p w14:paraId="2AC27CD7">
            <w:pPr>
              <w:spacing w:line="320" w:lineRule="exact"/>
              <w:jc w:val="center"/>
              <w:rPr>
                <w:rFonts w:ascii="仿宋" w:hAnsi="仿宋" w:eastAsia="仿宋"/>
                <w:b/>
                <w:color w:val="auto"/>
                <w:highlight w:val="none"/>
              </w:rPr>
            </w:pPr>
            <w:r>
              <w:rPr>
                <w:rFonts w:hint="eastAsia" w:ascii="仿宋" w:hAnsi="仿宋" w:eastAsia="仿宋"/>
                <w:b/>
                <w:color w:val="auto"/>
                <w:highlight w:val="none"/>
              </w:rPr>
              <w:t>检查内容</w:t>
            </w:r>
          </w:p>
        </w:tc>
      </w:tr>
      <w:tr w14:paraId="7370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676" w:type="dxa"/>
            <w:vMerge w:val="restart"/>
            <w:vAlign w:val="center"/>
          </w:tcPr>
          <w:p w14:paraId="539E2964">
            <w:pPr>
              <w:spacing w:line="320" w:lineRule="exact"/>
              <w:jc w:val="center"/>
              <w:rPr>
                <w:rFonts w:ascii="仿宋" w:hAnsi="仿宋" w:eastAsia="仿宋"/>
                <w:color w:val="auto"/>
                <w:highlight w:val="none"/>
              </w:rPr>
            </w:pPr>
            <w:r>
              <w:rPr>
                <w:rFonts w:hint="eastAsia" w:ascii="仿宋" w:hAnsi="仿宋" w:eastAsia="仿宋"/>
                <w:color w:val="auto"/>
                <w:highlight w:val="none"/>
              </w:rPr>
              <w:t>1</w:t>
            </w:r>
          </w:p>
        </w:tc>
        <w:tc>
          <w:tcPr>
            <w:tcW w:w="709" w:type="dxa"/>
            <w:vMerge w:val="restart"/>
            <w:vAlign w:val="center"/>
          </w:tcPr>
          <w:p w14:paraId="75A6D012">
            <w:pPr>
              <w:spacing w:line="320" w:lineRule="exact"/>
              <w:rPr>
                <w:rFonts w:ascii="仿宋" w:hAnsi="仿宋" w:eastAsia="仿宋"/>
                <w:color w:val="auto"/>
                <w:highlight w:val="none"/>
                <w:lang w:val="zh-CN"/>
              </w:rPr>
            </w:pPr>
            <w:r>
              <w:rPr>
                <w:rFonts w:hint="eastAsia" w:ascii="仿宋" w:hAnsi="仿宋" w:eastAsia="仿宋"/>
                <w:color w:val="auto"/>
                <w:highlight w:val="none"/>
              </w:rPr>
              <w:t>参选供应商</w:t>
            </w:r>
            <w:r>
              <w:rPr>
                <w:rFonts w:hint="eastAsia" w:ascii="仿宋" w:hAnsi="仿宋" w:eastAsia="仿宋"/>
                <w:color w:val="auto"/>
                <w:highlight w:val="none"/>
                <w:lang w:val="zh-CN"/>
              </w:rPr>
              <w:t>应符合的基本资格条件</w:t>
            </w:r>
          </w:p>
        </w:tc>
        <w:tc>
          <w:tcPr>
            <w:tcW w:w="3462" w:type="dxa"/>
            <w:vAlign w:val="center"/>
          </w:tcPr>
          <w:p w14:paraId="1B894537">
            <w:pPr>
              <w:spacing w:line="320" w:lineRule="exact"/>
              <w:rPr>
                <w:rFonts w:ascii="仿宋" w:hAnsi="仿宋" w:eastAsia="仿宋"/>
                <w:color w:val="auto"/>
                <w:highlight w:val="none"/>
              </w:rPr>
            </w:pPr>
            <w:r>
              <w:rPr>
                <w:rFonts w:hint="eastAsia" w:ascii="仿宋" w:hAnsi="仿宋" w:eastAsia="仿宋"/>
                <w:color w:val="auto"/>
                <w:highlight w:val="none"/>
              </w:rPr>
              <w:t>（1）具有独立承担民事责任的能力</w:t>
            </w:r>
          </w:p>
        </w:tc>
        <w:tc>
          <w:tcPr>
            <w:tcW w:w="4781" w:type="dxa"/>
            <w:vAlign w:val="center"/>
          </w:tcPr>
          <w:p w14:paraId="7C31206D">
            <w:pPr>
              <w:spacing w:line="320" w:lineRule="exact"/>
              <w:rPr>
                <w:rFonts w:ascii="仿宋" w:hAnsi="仿宋" w:eastAsia="仿宋"/>
                <w:color w:val="auto"/>
                <w:highlight w:val="none"/>
              </w:rPr>
            </w:pPr>
            <w:r>
              <w:rPr>
                <w:rFonts w:hint="eastAsia" w:ascii="仿宋" w:hAnsi="仿宋" w:eastAsia="仿宋"/>
                <w:color w:val="auto"/>
                <w:highlight w:val="none"/>
              </w:rPr>
              <w:t xml:space="preserve">1.供应商法人营业执照（副本）或事业单位法人证书（副本）或个体工商户营业执照或有效的自然人身份证明或社会团体法人登记证书（提供复印件）。 </w:t>
            </w:r>
          </w:p>
          <w:p w14:paraId="03B5E073">
            <w:pPr>
              <w:spacing w:line="320" w:lineRule="exact"/>
              <w:rPr>
                <w:rFonts w:ascii="仿宋" w:hAnsi="仿宋" w:eastAsia="仿宋"/>
                <w:color w:val="auto"/>
                <w:highlight w:val="none"/>
              </w:rPr>
            </w:pPr>
            <w:r>
              <w:rPr>
                <w:rFonts w:hint="eastAsia" w:ascii="仿宋" w:hAnsi="仿宋" w:eastAsia="仿宋"/>
                <w:color w:val="auto"/>
                <w:highlight w:val="none"/>
              </w:rPr>
              <w:t>2.供应商法定代表人身份证明和法定代表人授权代表委托书。</w:t>
            </w:r>
          </w:p>
        </w:tc>
      </w:tr>
      <w:tr w14:paraId="0120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676" w:type="dxa"/>
            <w:vMerge w:val="continue"/>
            <w:vAlign w:val="center"/>
          </w:tcPr>
          <w:p w14:paraId="36BFC0BC">
            <w:pPr>
              <w:spacing w:line="320" w:lineRule="exact"/>
              <w:jc w:val="center"/>
              <w:rPr>
                <w:rFonts w:ascii="仿宋" w:hAnsi="仿宋" w:eastAsia="仿宋"/>
                <w:color w:val="auto"/>
                <w:highlight w:val="none"/>
              </w:rPr>
            </w:pPr>
          </w:p>
        </w:tc>
        <w:tc>
          <w:tcPr>
            <w:tcW w:w="709" w:type="dxa"/>
            <w:vMerge w:val="continue"/>
            <w:vAlign w:val="center"/>
          </w:tcPr>
          <w:p w14:paraId="7551BABE">
            <w:pPr>
              <w:spacing w:line="320" w:lineRule="exact"/>
              <w:rPr>
                <w:rFonts w:ascii="仿宋" w:hAnsi="仿宋" w:eastAsia="仿宋"/>
                <w:color w:val="auto"/>
                <w:highlight w:val="none"/>
                <w:lang w:val="zh-CN"/>
              </w:rPr>
            </w:pPr>
          </w:p>
        </w:tc>
        <w:tc>
          <w:tcPr>
            <w:tcW w:w="3462" w:type="dxa"/>
            <w:vAlign w:val="center"/>
          </w:tcPr>
          <w:p w14:paraId="5B76120B">
            <w:pPr>
              <w:spacing w:line="320" w:lineRule="exact"/>
              <w:rPr>
                <w:rFonts w:ascii="仿宋" w:hAnsi="仿宋" w:eastAsia="仿宋"/>
                <w:color w:val="auto"/>
                <w:highlight w:val="none"/>
              </w:rPr>
            </w:pPr>
            <w:r>
              <w:rPr>
                <w:rFonts w:hint="eastAsia" w:ascii="仿宋" w:hAnsi="仿宋" w:eastAsia="仿宋"/>
                <w:color w:val="auto"/>
                <w:highlight w:val="none"/>
                <w:lang w:val="zh-CN"/>
              </w:rPr>
              <w:t>（2）</w:t>
            </w:r>
            <w:r>
              <w:rPr>
                <w:rFonts w:hint="eastAsia" w:ascii="仿宋" w:hAnsi="仿宋" w:eastAsia="仿宋"/>
                <w:color w:val="auto"/>
                <w:highlight w:val="none"/>
              </w:rPr>
              <w:t>具有良好的商业信誉和健全的财务会计制度</w:t>
            </w:r>
          </w:p>
        </w:tc>
        <w:tc>
          <w:tcPr>
            <w:tcW w:w="4781" w:type="dxa"/>
            <w:vMerge w:val="restart"/>
            <w:vAlign w:val="center"/>
          </w:tcPr>
          <w:p w14:paraId="5B9F161F">
            <w:pPr>
              <w:rPr>
                <w:rFonts w:ascii="仿宋" w:hAnsi="仿宋" w:eastAsia="仿宋"/>
                <w:color w:val="auto"/>
                <w:highlight w:val="none"/>
              </w:rPr>
            </w:pPr>
            <w:r>
              <w:rPr>
                <w:rFonts w:hint="eastAsia" w:ascii="仿宋" w:hAnsi="仿宋" w:eastAsia="仿宋"/>
                <w:color w:val="auto"/>
                <w:highlight w:val="none"/>
              </w:rPr>
              <w:t>供应商</w:t>
            </w:r>
            <w:r>
              <w:rPr>
                <w:rFonts w:hint="eastAsia" w:ascii="仿宋" w:hAnsi="仿宋" w:eastAsia="仿宋"/>
                <w:bCs/>
                <w:color w:val="auto"/>
                <w:highlight w:val="none"/>
              </w:rPr>
              <w:t>提供“基本资格条件承诺函”（见格式文件）。</w:t>
            </w:r>
          </w:p>
        </w:tc>
      </w:tr>
      <w:tr w14:paraId="3BE7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676" w:type="dxa"/>
            <w:vMerge w:val="continue"/>
            <w:vAlign w:val="center"/>
          </w:tcPr>
          <w:p w14:paraId="59BC19F7">
            <w:pPr>
              <w:spacing w:line="320" w:lineRule="exact"/>
              <w:jc w:val="center"/>
              <w:rPr>
                <w:rFonts w:ascii="仿宋" w:hAnsi="仿宋" w:eastAsia="仿宋"/>
                <w:color w:val="auto"/>
                <w:highlight w:val="none"/>
              </w:rPr>
            </w:pPr>
          </w:p>
        </w:tc>
        <w:tc>
          <w:tcPr>
            <w:tcW w:w="709" w:type="dxa"/>
            <w:vMerge w:val="continue"/>
            <w:vAlign w:val="center"/>
          </w:tcPr>
          <w:p w14:paraId="203CFE09">
            <w:pPr>
              <w:spacing w:line="320" w:lineRule="exact"/>
              <w:rPr>
                <w:rFonts w:ascii="仿宋" w:hAnsi="仿宋" w:eastAsia="仿宋"/>
                <w:color w:val="auto"/>
                <w:highlight w:val="none"/>
                <w:lang w:val="zh-CN"/>
              </w:rPr>
            </w:pPr>
          </w:p>
        </w:tc>
        <w:tc>
          <w:tcPr>
            <w:tcW w:w="3462" w:type="dxa"/>
            <w:vAlign w:val="center"/>
          </w:tcPr>
          <w:p w14:paraId="5EEA7463">
            <w:pPr>
              <w:spacing w:line="320" w:lineRule="exact"/>
              <w:rPr>
                <w:rFonts w:ascii="仿宋" w:hAnsi="仿宋" w:eastAsia="仿宋"/>
                <w:color w:val="auto"/>
                <w:highlight w:val="none"/>
                <w:lang w:val="zh-CN"/>
              </w:rPr>
            </w:pPr>
            <w:r>
              <w:rPr>
                <w:rFonts w:hint="eastAsia" w:ascii="仿宋" w:hAnsi="仿宋" w:eastAsia="仿宋"/>
                <w:color w:val="auto"/>
                <w:highlight w:val="none"/>
                <w:lang w:val="zh-CN"/>
              </w:rPr>
              <w:t>（3）具有履行合同所必需的设备和专业技术能力</w:t>
            </w:r>
          </w:p>
        </w:tc>
        <w:tc>
          <w:tcPr>
            <w:tcW w:w="4781" w:type="dxa"/>
            <w:vMerge w:val="continue"/>
            <w:vAlign w:val="center"/>
          </w:tcPr>
          <w:p w14:paraId="637FE0FD">
            <w:pPr>
              <w:spacing w:line="320" w:lineRule="exact"/>
              <w:rPr>
                <w:rFonts w:ascii="仿宋" w:hAnsi="仿宋" w:eastAsia="仿宋"/>
                <w:color w:val="auto"/>
                <w:highlight w:val="none"/>
              </w:rPr>
            </w:pPr>
          </w:p>
        </w:tc>
      </w:tr>
      <w:tr w14:paraId="0FB0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676" w:type="dxa"/>
            <w:vMerge w:val="continue"/>
            <w:vAlign w:val="center"/>
          </w:tcPr>
          <w:p w14:paraId="31ABBC60">
            <w:pPr>
              <w:spacing w:line="320" w:lineRule="exact"/>
              <w:jc w:val="center"/>
              <w:rPr>
                <w:rFonts w:ascii="仿宋" w:hAnsi="仿宋" w:eastAsia="仿宋"/>
                <w:color w:val="auto"/>
                <w:highlight w:val="none"/>
              </w:rPr>
            </w:pPr>
          </w:p>
        </w:tc>
        <w:tc>
          <w:tcPr>
            <w:tcW w:w="709" w:type="dxa"/>
            <w:vMerge w:val="continue"/>
            <w:vAlign w:val="center"/>
          </w:tcPr>
          <w:p w14:paraId="24667250">
            <w:pPr>
              <w:spacing w:line="320" w:lineRule="exact"/>
              <w:rPr>
                <w:rFonts w:ascii="仿宋" w:hAnsi="仿宋" w:eastAsia="仿宋"/>
                <w:color w:val="auto"/>
                <w:highlight w:val="none"/>
                <w:lang w:val="zh-CN"/>
              </w:rPr>
            </w:pPr>
          </w:p>
        </w:tc>
        <w:tc>
          <w:tcPr>
            <w:tcW w:w="3462" w:type="dxa"/>
            <w:vAlign w:val="center"/>
          </w:tcPr>
          <w:p w14:paraId="093C2CD3">
            <w:pPr>
              <w:spacing w:line="320" w:lineRule="exact"/>
              <w:rPr>
                <w:rFonts w:ascii="仿宋" w:hAnsi="仿宋" w:eastAsia="仿宋"/>
                <w:color w:val="auto"/>
                <w:highlight w:val="none"/>
                <w:lang w:val="zh-CN"/>
              </w:rPr>
            </w:pPr>
            <w:r>
              <w:rPr>
                <w:rFonts w:hint="eastAsia" w:ascii="仿宋" w:hAnsi="仿宋" w:eastAsia="仿宋"/>
                <w:color w:val="auto"/>
                <w:highlight w:val="none"/>
                <w:lang w:val="zh-CN"/>
              </w:rPr>
              <w:t>（4）有依法缴纳税收和社会保障资金的良好记录</w:t>
            </w:r>
          </w:p>
        </w:tc>
        <w:tc>
          <w:tcPr>
            <w:tcW w:w="4781" w:type="dxa"/>
            <w:vMerge w:val="continue"/>
            <w:vAlign w:val="center"/>
          </w:tcPr>
          <w:p w14:paraId="6490523F">
            <w:pPr>
              <w:spacing w:line="320" w:lineRule="exact"/>
              <w:rPr>
                <w:rFonts w:ascii="仿宋" w:hAnsi="仿宋" w:eastAsia="仿宋"/>
                <w:color w:val="auto"/>
                <w:highlight w:val="none"/>
              </w:rPr>
            </w:pPr>
          </w:p>
        </w:tc>
      </w:tr>
      <w:tr w14:paraId="0046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76" w:type="dxa"/>
            <w:vMerge w:val="continue"/>
            <w:vAlign w:val="center"/>
          </w:tcPr>
          <w:p w14:paraId="759001C4">
            <w:pPr>
              <w:spacing w:line="320" w:lineRule="exact"/>
              <w:jc w:val="center"/>
              <w:rPr>
                <w:rFonts w:ascii="仿宋" w:hAnsi="仿宋" w:eastAsia="仿宋"/>
                <w:color w:val="auto"/>
                <w:highlight w:val="none"/>
              </w:rPr>
            </w:pPr>
          </w:p>
        </w:tc>
        <w:tc>
          <w:tcPr>
            <w:tcW w:w="709" w:type="dxa"/>
            <w:vMerge w:val="continue"/>
            <w:vAlign w:val="center"/>
          </w:tcPr>
          <w:p w14:paraId="30A0C566">
            <w:pPr>
              <w:spacing w:line="320" w:lineRule="exact"/>
              <w:rPr>
                <w:rFonts w:ascii="仿宋" w:hAnsi="仿宋" w:eastAsia="仿宋"/>
                <w:color w:val="auto"/>
                <w:highlight w:val="none"/>
                <w:lang w:val="zh-CN"/>
              </w:rPr>
            </w:pPr>
          </w:p>
        </w:tc>
        <w:tc>
          <w:tcPr>
            <w:tcW w:w="3462" w:type="dxa"/>
            <w:vAlign w:val="center"/>
          </w:tcPr>
          <w:p w14:paraId="22C1A403">
            <w:pPr>
              <w:spacing w:line="320" w:lineRule="exact"/>
              <w:rPr>
                <w:rFonts w:ascii="仿宋" w:hAnsi="仿宋" w:eastAsia="仿宋"/>
                <w:color w:val="auto"/>
                <w:highlight w:val="none"/>
                <w:lang w:val="zh-CN"/>
              </w:rPr>
            </w:pPr>
            <w:r>
              <w:rPr>
                <w:rFonts w:hint="eastAsia" w:ascii="仿宋" w:hAnsi="仿宋" w:eastAsia="仿宋"/>
                <w:color w:val="auto"/>
                <w:highlight w:val="none"/>
              </w:rPr>
              <w:t>（5）参加政府采购活动前三年内，在经营活动中没有重大违法记录</w:t>
            </w:r>
          </w:p>
        </w:tc>
        <w:tc>
          <w:tcPr>
            <w:tcW w:w="4781" w:type="dxa"/>
            <w:vMerge w:val="continue"/>
            <w:vAlign w:val="center"/>
          </w:tcPr>
          <w:p w14:paraId="79BDC547">
            <w:pPr>
              <w:rPr>
                <w:rFonts w:ascii="仿宋" w:hAnsi="仿宋" w:eastAsia="仿宋"/>
                <w:color w:val="auto"/>
                <w:highlight w:val="none"/>
              </w:rPr>
            </w:pPr>
          </w:p>
        </w:tc>
      </w:tr>
      <w:tr w14:paraId="2C4C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1F0D3C2A">
            <w:pPr>
              <w:spacing w:line="320" w:lineRule="exact"/>
              <w:jc w:val="center"/>
              <w:rPr>
                <w:rFonts w:ascii="仿宋" w:hAnsi="仿宋" w:eastAsia="仿宋"/>
                <w:color w:val="auto"/>
                <w:highlight w:val="none"/>
              </w:rPr>
            </w:pPr>
          </w:p>
        </w:tc>
        <w:tc>
          <w:tcPr>
            <w:tcW w:w="709" w:type="dxa"/>
            <w:vMerge w:val="continue"/>
            <w:vAlign w:val="center"/>
          </w:tcPr>
          <w:p w14:paraId="59C9D54C">
            <w:pPr>
              <w:spacing w:line="320" w:lineRule="exact"/>
              <w:rPr>
                <w:rFonts w:ascii="仿宋" w:hAnsi="仿宋" w:eastAsia="仿宋"/>
                <w:color w:val="auto"/>
                <w:highlight w:val="none"/>
                <w:lang w:val="zh-CN"/>
              </w:rPr>
            </w:pPr>
          </w:p>
        </w:tc>
        <w:tc>
          <w:tcPr>
            <w:tcW w:w="3462" w:type="dxa"/>
            <w:vAlign w:val="center"/>
          </w:tcPr>
          <w:p w14:paraId="2F08BC1F">
            <w:pPr>
              <w:spacing w:line="320" w:lineRule="exact"/>
              <w:rPr>
                <w:rFonts w:ascii="仿宋" w:hAnsi="仿宋" w:eastAsia="仿宋"/>
                <w:color w:val="auto"/>
                <w:highlight w:val="none"/>
              </w:rPr>
            </w:pPr>
            <w:r>
              <w:rPr>
                <w:rFonts w:hint="eastAsia" w:ascii="仿宋" w:hAnsi="仿宋" w:eastAsia="仿宋"/>
                <w:color w:val="auto"/>
                <w:highlight w:val="none"/>
              </w:rPr>
              <w:t>（6）法律、行政法规规定的其他条件</w:t>
            </w:r>
          </w:p>
        </w:tc>
        <w:tc>
          <w:tcPr>
            <w:tcW w:w="4781" w:type="dxa"/>
            <w:vMerge w:val="continue"/>
            <w:vAlign w:val="center"/>
          </w:tcPr>
          <w:p w14:paraId="7D25C03C">
            <w:pPr>
              <w:spacing w:line="320" w:lineRule="exact"/>
              <w:rPr>
                <w:rFonts w:ascii="仿宋" w:hAnsi="仿宋" w:eastAsia="仿宋"/>
                <w:color w:val="auto"/>
                <w:highlight w:val="none"/>
              </w:rPr>
            </w:pPr>
          </w:p>
        </w:tc>
      </w:tr>
      <w:tr w14:paraId="25EA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676" w:type="dxa"/>
            <w:vMerge w:val="continue"/>
            <w:vAlign w:val="center"/>
          </w:tcPr>
          <w:p w14:paraId="13F73C38">
            <w:pPr>
              <w:spacing w:line="320" w:lineRule="exact"/>
              <w:jc w:val="center"/>
              <w:rPr>
                <w:rFonts w:ascii="仿宋" w:hAnsi="仿宋" w:eastAsia="仿宋"/>
                <w:color w:val="auto"/>
                <w:highlight w:val="none"/>
              </w:rPr>
            </w:pPr>
          </w:p>
        </w:tc>
        <w:tc>
          <w:tcPr>
            <w:tcW w:w="709" w:type="dxa"/>
            <w:vMerge w:val="continue"/>
            <w:vAlign w:val="center"/>
          </w:tcPr>
          <w:p w14:paraId="0ECDF595">
            <w:pPr>
              <w:spacing w:line="320" w:lineRule="exact"/>
              <w:rPr>
                <w:rFonts w:ascii="仿宋" w:hAnsi="仿宋" w:eastAsia="仿宋"/>
                <w:color w:val="auto"/>
                <w:highlight w:val="none"/>
                <w:lang w:val="zh-CN"/>
              </w:rPr>
            </w:pPr>
          </w:p>
        </w:tc>
        <w:tc>
          <w:tcPr>
            <w:tcW w:w="3462" w:type="dxa"/>
            <w:shd w:val="clear" w:color="auto" w:fill="auto"/>
            <w:vAlign w:val="center"/>
          </w:tcPr>
          <w:p w14:paraId="0E530250">
            <w:pPr>
              <w:spacing w:line="320" w:lineRule="exact"/>
              <w:rPr>
                <w:rFonts w:ascii="仿宋" w:hAnsi="仿宋" w:eastAsia="仿宋"/>
                <w:color w:val="auto"/>
                <w:highlight w:val="none"/>
              </w:rPr>
            </w:pPr>
            <w:r>
              <w:rPr>
                <w:rFonts w:hint="eastAsia" w:ascii="仿宋" w:hAnsi="仿宋" w:eastAsia="仿宋"/>
                <w:color w:val="auto"/>
                <w:highlight w:val="none"/>
              </w:rPr>
              <w:t>7.本项目的特定资格要求</w:t>
            </w:r>
          </w:p>
        </w:tc>
        <w:tc>
          <w:tcPr>
            <w:tcW w:w="4781" w:type="dxa"/>
            <w:shd w:val="clear" w:color="auto" w:fill="auto"/>
            <w:vAlign w:val="center"/>
          </w:tcPr>
          <w:p w14:paraId="218C7ED9">
            <w:pPr>
              <w:spacing w:line="320" w:lineRule="exact"/>
              <w:rPr>
                <w:rFonts w:ascii="仿宋" w:hAnsi="仿宋" w:eastAsia="仿宋"/>
                <w:color w:val="auto"/>
                <w:highlight w:val="none"/>
              </w:rPr>
            </w:pPr>
            <w:r>
              <w:rPr>
                <w:rFonts w:hint="eastAsia" w:ascii="仿宋" w:hAnsi="仿宋" w:eastAsia="仿宋"/>
                <w:color w:val="auto"/>
                <w:highlight w:val="none"/>
              </w:rPr>
              <w:t>按“第一篇三、供应商资格要求（二）本项目的特定资格要求”的要求提交。</w:t>
            </w:r>
          </w:p>
        </w:tc>
      </w:tr>
    </w:tbl>
    <w:p w14:paraId="433C2D98">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注：</w:t>
      </w:r>
    </w:p>
    <w:p w14:paraId="76AE073E">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根据《中华人民共和国政府采购法实施条例》第十九条“参加政府采购活动前三年内，在经营活动中没有重大违法记录”中“重大违法记录”，是指参选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仿宋" w:hAnsi="仿宋" w:eastAsia="仿宋"/>
          <w:color w:val="auto"/>
          <w:highlight w:val="none"/>
        </w:rPr>
        <w:t>供应商</w:t>
      </w:r>
      <w:r>
        <w:rPr>
          <w:rFonts w:hint="eastAsia" w:ascii="仿宋" w:hAnsi="仿宋" w:eastAsia="仿宋"/>
          <w:color w:val="auto"/>
          <w:szCs w:val="28"/>
          <w:highlight w:val="none"/>
        </w:rPr>
        <w:t>可于投标截止日期前通过 “信用中国”网站(www.creditchina.gov.cn)、"中国政府采购网"(www.ccgp.gov.cn)等渠道查询信用记录。</w:t>
      </w:r>
    </w:p>
    <w:p w14:paraId="0D58CC5D">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2、符合性审查。依据竞争性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文件的规定，从响应文件的有效性、完整性和对竞争性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文件的响应程度进行审查，以确定是否对竞争性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文件的实质性要求作出响应。符合性审查资料表如下：</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1228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vAlign w:val="center"/>
          </w:tcPr>
          <w:p w14:paraId="22A4C28F">
            <w:pPr>
              <w:snapToGrid w:val="0"/>
              <w:jc w:val="center"/>
              <w:rPr>
                <w:rFonts w:ascii="仿宋" w:hAnsi="仿宋" w:eastAsia="仿宋"/>
                <w:b/>
                <w:bCs/>
                <w:color w:val="auto"/>
                <w:szCs w:val="28"/>
                <w:highlight w:val="none"/>
              </w:rPr>
            </w:pPr>
            <w:r>
              <w:rPr>
                <w:rFonts w:hint="eastAsia" w:ascii="仿宋" w:hAnsi="仿宋" w:eastAsia="仿宋"/>
                <w:b/>
                <w:bCs/>
                <w:color w:val="auto"/>
                <w:szCs w:val="28"/>
                <w:highlight w:val="none"/>
              </w:rPr>
              <w:t>序号</w:t>
            </w:r>
          </w:p>
        </w:tc>
        <w:tc>
          <w:tcPr>
            <w:tcW w:w="3734" w:type="dxa"/>
            <w:gridSpan w:val="2"/>
            <w:vAlign w:val="center"/>
          </w:tcPr>
          <w:p w14:paraId="25C8B953">
            <w:pPr>
              <w:snapToGrid w:val="0"/>
              <w:jc w:val="center"/>
              <w:rPr>
                <w:rFonts w:ascii="仿宋" w:hAnsi="仿宋" w:eastAsia="仿宋"/>
                <w:b/>
                <w:bCs/>
                <w:color w:val="auto"/>
                <w:szCs w:val="28"/>
                <w:highlight w:val="none"/>
              </w:rPr>
            </w:pPr>
            <w:r>
              <w:rPr>
                <w:rFonts w:hint="eastAsia" w:ascii="仿宋" w:hAnsi="仿宋" w:eastAsia="仿宋"/>
                <w:b/>
                <w:bCs/>
                <w:color w:val="auto"/>
                <w:szCs w:val="28"/>
                <w:highlight w:val="none"/>
              </w:rPr>
              <w:t>评审因素</w:t>
            </w:r>
          </w:p>
        </w:tc>
        <w:tc>
          <w:tcPr>
            <w:tcW w:w="5156" w:type="dxa"/>
            <w:vAlign w:val="center"/>
          </w:tcPr>
          <w:p w14:paraId="207A62AC">
            <w:pPr>
              <w:snapToGrid w:val="0"/>
              <w:jc w:val="center"/>
              <w:rPr>
                <w:rFonts w:ascii="仿宋" w:hAnsi="仿宋" w:eastAsia="仿宋"/>
                <w:b/>
                <w:bCs/>
                <w:color w:val="auto"/>
                <w:szCs w:val="28"/>
                <w:highlight w:val="none"/>
              </w:rPr>
            </w:pPr>
            <w:r>
              <w:rPr>
                <w:rFonts w:hint="eastAsia" w:ascii="仿宋" w:hAnsi="仿宋" w:eastAsia="仿宋"/>
                <w:b/>
                <w:bCs/>
                <w:color w:val="auto"/>
                <w:szCs w:val="28"/>
                <w:highlight w:val="none"/>
              </w:rPr>
              <w:t>评审标准</w:t>
            </w:r>
          </w:p>
        </w:tc>
      </w:tr>
      <w:tr w14:paraId="044A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vAlign w:val="center"/>
          </w:tcPr>
          <w:p w14:paraId="274D6DA2">
            <w:pPr>
              <w:snapToGrid w:val="0"/>
              <w:rPr>
                <w:rFonts w:ascii="仿宋" w:hAnsi="仿宋" w:eastAsia="仿宋"/>
                <w:color w:val="auto"/>
                <w:szCs w:val="28"/>
                <w:highlight w:val="none"/>
              </w:rPr>
            </w:pPr>
            <w:r>
              <w:rPr>
                <w:rFonts w:hint="eastAsia" w:ascii="仿宋" w:hAnsi="仿宋" w:eastAsia="仿宋"/>
                <w:color w:val="auto"/>
                <w:szCs w:val="28"/>
                <w:highlight w:val="none"/>
              </w:rPr>
              <w:t>1</w:t>
            </w:r>
          </w:p>
        </w:tc>
        <w:tc>
          <w:tcPr>
            <w:tcW w:w="1497" w:type="dxa"/>
            <w:vMerge w:val="restart"/>
            <w:vAlign w:val="center"/>
          </w:tcPr>
          <w:p w14:paraId="6073B9EA">
            <w:pPr>
              <w:snapToGrid w:val="0"/>
              <w:rPr>
                <w:rFonts w:ascii="仿宋" w:hAnsi="仿宋" w:eastAsia="仿宋"/>
                <w:color w:val="auto"/>
                <w:szCs w:val="28"/>
                <w:highlight w:val="none"/>
              </w:rPr>
            </w:pPr>
            <w:r>
              <w:rPr>
                <w:rFonts w:hint="eastAsia" w:ascii="仿宋" w:hAnsi="仿宋" w:eastAsia="仿宋"/>
                <w:color w:val="auto"/>
                <w:szCs w:val="28"/>
                <w:highlight w:val="none"/>
              </w:rPr>
              <w:t>有效性审查</w:t>
            </w:r>
          </w:p>
        </w:tc>
        <w:tc>
          <w:tcPr>
            <w:tcW w:w="2237" w:type="dxa"/>
            <w:vAlign w:val="center"/>
          </w:tcPr>
          <w:p w14:paraId="52B02C95">
            <w:pPr>
              <w:snapToGrid w:val="0"/>
              <w:rPr>
                <w:rFonts w:ascii="仿宋" w:hAnsi="仿宋" w:eastAsia="仿宋"/>
                <w:color w:val="auto"/>
                <w:szCs w:val="28"/>
                <w:highlight w:val="none"/>
              </w:rPr>
            </w:pPr>
            <w:r>
              <w:rPr>
                <w:rFonts w:hint="eastAsia" w:ascii="仿宋" w:hAnsi="仿宋" w:eastAsia="仿宋"/>
                <w:color w:val="auto"/>
                <w:szCs w:val="28"/>
                <w:highlight w:val="none"/>
              </w:rPr>
              <w:t>响应文件签署</w:t>
            </w:r>
          </w:p>
        </w:tc>
        <w:tc>
          <w:tcPr>
            <w:tcW w:w="5156" w:type="dxa"/>
            <w:vAlign w:val="center"/>
          </w:tcPr>
          <w:p w14:paraId="4BAB4385">
            <w:pPr>
              <w:snapToGrid w:val="0"/>
              <w:rPr>
                <w:rFonts w:ascii="仿宋" w:hAnsi="仿宋" w:eastAsia="仿宋"/>
                <w:color w:val="auto"/>
                <w:szCs w:val="28"/>
                <w:highlight w:val="none"/>
              </w:rPr>
            </w:pPr>
            <w:r>
              <w:rPr>
                <w:rFonts w:hint="eastAsia" w:ascii="仿宋" w:hAnsi="仿宋" w:eastAsia="仿宋"/>
                <w:color w:val="auto"/>
                <w:szCs w:val="28"/>
                <w:highlight w:val="none"/>
              </w:rPr>
              <w:t>响应文件上法定代表人（或其授权代表）或自然人的签字齐全。</w:t>
            </w:r>
          </w:p>
        </w:tc>
      </w:tr>
      <w:tr w14:paraId="021F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vMerge w:val="continue"/>
            <w:vAlign w:val="center"/>
          </w:tcPr>
          <w:p w14:paraId="2907A54F">
            <w:pPr>
              <w:snapToGrid w:val="0"/>
              <w:rPr>
                <w:rFonts w:ascii="仿宋" w:hAnsi="仿宋" w:eastAsia="仿宋"/>
                <w:color w:val="auto"/>
                <w:szCs w:val="28"/>
                <w:highlight w:val="none"/>
              </w:rPr>
            </w:pPr>
          </w:p>
        </w:tc>
        <w:tc>
          <w:tcPr>
            <w:tcW w:w="1497" w:type="dxa"/>
            <w:vMerge w:val="continue"/>
            <w:vAlign w:val="center"/>
          </w:tcPr>
          <w:p w14:paraId="255DA297">
            <w:pPr>
              <w:snapToGrid w:val="0"/>
              <w:rPr>
                <w:rFonts w:ascii="仿宋" w:hAnsi="仿宋" w:eastAsia="仿宋"/>
                <w:color w:val="auto"/>
                <w:szCs w:val="28"/>
                <w:highlight w:val="none"/>
              </w:rPr>
            </w:pPr>
          </w:p>
        </w:tc>
        <w:tc>
          <w:tcPr>
            <w:tcW w:w="2237" w:type="dxa"/>
            <w:vAlign w:val="center"/>
          </w:tcPr>
          <w:p w14:paraId="14333AFF">
            <w:pPr>
              <w:snapToGrid w:val="0"/>
              <w:rPr>
                <w:rFonts w:ascii="仿宋" w:hAnsi="仿宋" w:eastAsia="仿宋"/>
                <w:color w:val="auto"/>
                <w:szCs w:val="28"/>
                <w:highlight w:val="none"/>
              </w:rPr>
            </w:pPr>
            <w:r>
              <w:rPr>
                <w:rFonts w:hint="eastAsia" w:ascii="仿宋" w:hAnsi="仿宋" w:eastAsia="仿宋"/>
                <w:color w:val="auto"/>
                <w:szCs w:val="28"/>
                <w:highlight w:val="none"/>
              </w:rPr>
              <w:t>法定代表人身份证明及授权委托书</w:t>
            </w:r>
          </w:p>
        </w:tc>
        <w:tc>
          <w:tcPr>
            <w:tcW w:w="5156" w:type="dxa"/>
            <w:vAlign w:val="center"/>
          </w:tcPr>
          <w:p w14:paraId="0C6B0EB3">
            <w:pPr>
              <w:snapToGrid w:val="0"/>
              <w:rPr>
                <w:rFonts w:ascii="仿宋" w:hAnsi="仿宋" w:eastAsia="仿宋"/>
                <w:color w:val="auto"/>
                <w:szCs w:val="28"/>
                <w:highlight w:val="none"/>
              </w:rPr>
            </w:pPr>
            <w:r>
              <w:rPr>
                <w:rFonts w:hint="eastAsia" w:ascii="仿宋" w:hAnsi="仿宋" w:eastAsia="仿宋"/>
                <w:color w:val="auto"/>
                <w:szCs w:val="28"/>
                <w:highlight w:val="none"/>
              </w:rPr>
              <w:t>法定代表人身份证明及授权委托书有效，符合竞争性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文件规定的格式，签字或盖章齐全。</w:t>
            </w:r>
          </w:p>
        </w:tc>
      </w:tr>
      <w:tr w14:paraId="60B9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vAlign w:val="center"/>
          </w:tcPr>
          <w:p w14:paraId="10CF7D88">
            <w:pPr>
              <w:snapToGrid w:val="0"/>
              <w:rPr>
                <w:rFonts w:ascii="仿宋" w:hAnsi="仿宋" w:eastAsia="仿宋"/>
                <w:color w:val="auto"/>
                <w:szCs w:val="28"/>
                <w:highlight w:val="none"/>
              </w:rPr>
            </w:pPr>
          </w:p>
        </w:tc>
        <w:tc>
          <w:tcPr>
            <w:tcW w:w="1497" w:type="dxa"/>
            <w:vMerge w:val="continue"/>
            <w:vAlign w:val="center"/>
          </w:tcPr>
          <w:p w14:paraId="030F8276">
            <w:pPr>
              <w:snapToGrid w:val="0"/>
              <w:rPr>
                <w:rFonts w:ascii="仿宋" w:hAnsi="仿宋" w:eastAsia="仿宋"/>
                <w:color w:val="auto"/>
                <w:szCs w:val="28"/>
                <w:highlight w:val="none"/>
              </w:rPr>
            </w:pPr>
          </w:p>
        </w:tc>
        <w:tc>
          <w:tcPr>
            <w:tcW w:w="2237" w:type="dxa"/>
            <w:vAlign w:val="center"/>
          </w:tcPr>
          <w:p w14:paraId="050C87E4">
            <w:pPr>
              <w:snapToGrid w:val="0"/>
              <w:rPr>
                <w:rFonts w:ascii="仿宋" w:hAnsi="仿宋" w:eastAsia="仿宋"/>
                <w:color w:val="auto"/>
                <w:szCs w:val="28"/>
                <w:highlight w:val="none"/>
                <w:lang w:val="zh-CN"/>
              </w:rPr>
            </w:pPr>
            <w:r>
              <w:rPr>
                <w:rFonts w:hint="eastAsia" w:ascii="仿宋" w:hAnsi="仿宋" w:eastAsia="仿宋"/>
                <w:color w:val="auto"/>
                <w:szCs w:val="28"/>
                <w:highlight w:val="none"/>
              </w:rPr>
              <w:t>响应</w:t>
            </w:r>
            <w:r>
              <w:rPr>
                <w:rFonts w:hint="eastAsia" w:ascii="仿宋" w:hAnsi="仿宋" w:eastAsia="仿宋"/>
                <w:color w:val="auto"/>
                <w:szCs w:val="28"/>
                <w:highlight w:val="none"/>
                <w:lang w:val="zh-CN"/>
              </w:rPr>
              <w:t>方案</w:t>
            </w:r>
          </w:p>
        </w:tc>
        <w:tc>
          <w:tcPr>
            <w:tcW w:w="5156" w:type="dxa"/>
            <w:vAlign w:val="center"/>
          </w:tcPr>
          <w:p w14:paraId="4CC5F0F3">
            <w:pPr>
              <w:snapToGrid w:val="0"/>
              <w:rPr>
                <w:rFonts w:ascii="仿宋" w:hAnsi="仿宋" w:eastAsia="仿宋"/>
                <w:color w:val="auto"/>
                <w:szCs w:val="28"/>
                <w:highlight w:val="none"/>
              </w:rPr>
            </w:pPr>
            <w:r>
              <w:rPr>
                <w:rFonts w:hint="eastAsia" w:ascii="仿宋" w:hAnsi="仿宋" w:eastAsia="仿宋"/>
                <w:color w:val="auto"/>
                <w:szCs w:val="28"/>
                <w:highlight w:val="none"/>
                <w:lang w:val="zh-CN"/>
              </w:rPr>
              <w:t>每个包只能有一个</w:t>
            </w:r>
            <w:r>
              <w:rPr>
                <w:rFonts w:hint="eastAsia" w:ascii="仿宋" w:hAnsi="仿宋" w:eastAsia="仿宋"/>
                <w:color w:val="auto"/>
                <w:szCs w:val="28"/>
                <w:highlight w:val="none"/>
              </w:rPr>
              <w:t>响应</w:t>
            </w:r>
            <w:r>
              <w:rPr>
                <w:rFonts w:hint="eastAsia" w:ascii="仿宋" w:hAnsi="仿宋" w:eastAsia="仿宋"/>
                <w:color w:val="auto"/>
                <w:szCs w:val="28"/>
                <w:highlight w:val="none"/>
                <w:lang w:val="zh-CN"/>
              </w:rPr>
              <w:t>方案。</w:t>
            </w:r>
          </w:p>
        </w:tc>
      </w:tr>
      <w:tr w14:paraId="6799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vAlign w:val="center"/>
          </w:tcPr>
          <w:p w14:paraId="45299E40">
            <w:pPr>
              <w:snapToGrid w:val="0"/>
              <w:rPr>
                <w:rFonts w:ascii="仿宋" w:hAnsi="仿宋" w:eastAsia="仿宋"/>
                <w:color w:val="auto"/>
                <w:szCs w:val="28"/>
                <w:highlight w:val="none"/>
              </w:rPr>
            </w:pPr>
          </w:p>
        </w:tc>
        <w:tc>
          <w:tcPr>
            <w:tcW w:w="1497" w:type="dxa"/>
            <w:vMerge w:val="continue"/>
            <w:vAlign w:val="center"/>
          </w:tcPr>
          <w:p w14:paraId="68A8CA0D">
            <w:pPr>
              <w:snapToGrid w:val="0"/>
              <w:rPr>
                <w:rFonts w:ascii="仿宋" w:hAnsi="仿宋" w:eastAsia="仿宋"/>
                <w:color w:val="auto"/>
                <w:szCs w:val="28"/>
                <w:highlight w:val="none"/>
              </w:rPr>
            </w:pPr>
          </w:p>
        </w:tc>
        <w:tc>
          <w:tcPr>
            <w:tcW w:w="2237" w:type="dxa"/>
            <w:vAlign w:val="center"/>
          </w:tcPr>
          <w:p w14:paraId="2E5C3588">
            <w:pPr>
              <w:snapToGrid w:val="0"/>
              <w:rPr>
                <w:rFonts w:ascii="仿宋" w:hAnsi="仿宋" w:eastAsia="仿宋"/>
                <w:color w:val="auto"/>
                <w:szCs w:val="28"/>
                <w:highlight w:val="none"/>
                <w:lang w:val="zh-CN"/>
              </w:rPr>
            </w:pPr>
            <w:r>
              <w:rPr>
                <w:rFonts w:hint="eastAsia" w:ascii="仿宋" w:hAnsi="仿宋" w:eastAsia="仿宋"/>
                <w:color w:val="auto"/>
                <w:szCs w:val="28"/>
                <w:highlight w:val="none"/>
              </w:rPr>
              <w:t>报价唯一</w:t>
            </w:r>
          </w:p>
        </w:tc>
        <w:tc>
          <w:tcPr>
            <w:tcW w:w="5156" w:type="dxa"/>
            <w:vAlign w:val="center"/>
          </w:tcPr>
          <w:p w14:paraId="227E6FF6">
            <w:pPr>
              <w:snapToGrid w:val="0"/>
              <w:rPr>
                <w:rFonts w:ascii="仿宋" w:hAnsi="仿宋" w:eastAsia="仿宋"/>
                <w:color w:val="auto"/>
                <w:szCs w:val="28"/>
                <w:highlight w:val="none"/>
              </w:rPr>
            </w:pPr>
            <w:r>
              <w:rPr>
                <w:rFonts w:hint="eastAsia" w:ascii="仿宋" w:hAnsi="仿宋" w:eastAsia="仿宋"/>
                <w:color w:val="auto"/>
                <w:szCs w:val="28"/>
                <w:highlight w:val="none"/>
                <w:lang w:val="zh-CN"/>
              </w:rPr>
              <w:t>只能在采购预算范围内报价，</w:t>
            </w:r>
            <w:r>
              <w:rPr>
                <w:rFonts w:hint="eastAsia" w:ascii="仿宋" w:hAnsi="仿宋" w:eastAsia="仿宋"/>
                <w:color w:val="auto"/>
                <w:szCs w:val="28"/>
                <w:highlight w:val="none"/>
              </w:rPr>
              <w:t>只能有一个有效报价，不得提交选择性报价。</w:t>
            </w:r>
          </w:p>
        </w:tc>
      </w:tr>
      <w:tr w14:paraId="3690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Align w:val="center"/>
          </w:tcPr>
          <w:p w14:paraId="15C3C746">
            <w:pPr>
              <w:snapToGrid w:val="0"/>
              <w:rPr>
                <w:rFonts w:ascii="仿宋" w:hAnsi="仿宋" w:eastAsia="仿宋"/>
                <w:color w:val="auto"/>
                <w:szCs w:val="28"/>
                <w:highlight w:val="none"/>
              </w:rPr>
            </w:pPr>
            <w:r>
              <w:rPr>
                <w:rFonts w:hint="eastAsia" w:ascii="仿宋" w:hAnsi="仿宋" w:eastAsia="仿宋"/>
                <w:color w:val="auto"/>
                <w:szCs w:val="28"/>
                <w:highlight w:val="none"/>
              </w:rPr>
              <w:t>2</w:t>
            </w:r>
          </w:p>
        </w:tc>
        <w:tc>
          <w:tcPr>
            <w:tcW w:w="1497" w:type="dxa"/>
            <w:vAlign w:val="center"/>
          </w:tcPr>
          <w:p w14:paraId="12C07F94">
            <w:pPr>
              <w:snapToGrid w:val="0"/>
              <w:rPr>
                <w:rFonts w:ascii="仿宋" w:hAnsi="仿宋" w:eastAsia="仿宋"/>
                <w:color w:val="auto"/>
                <w:szCs w:val="28"/>
                <w:highlight w:val="none"/>
              </w:rPr>
            </w:pPr>
            <w:r>
              <w:rPr>
                <w:rFonts w:hint="eastAsia" w:ascii="仿宋" w:hAnsi="仿宋" w:eastAsia="仿宋"/>
                <w:color w:val="auto"/>
                <w:szCs w:val="28"/>
                <w:highlight w:val="none"/>
              </w:rPr>
              <w:t>完整性审查</w:t>
            </w:r>
          </w:p>
        </w:tc>
        <w:tc>
          <w:tcPr>
            <w:tcW w:w="2237" w:type="dxa"/>
            <w:vAlign w:val="center"/>
          </w:tcPr>
          <w:p w14:paraId="7DEB1E9D">
            <w:pPr>
              <w:snapToGrid w:val="0"/>
              <w:rPr>
                <w:rFonts w:ascii="仿宋" w:hAnsi="仿宋" w:eastAsia="仿宋"/>
                <w:color w:val="auto"/>
                <w:szCs w:val="28"/>
                <w:highlight w:val="none"/>
              </w:rPr>
            </w:pPr>
            <w:r>
              <w:rPr>
                <w:rFonts w:hint="eastAsia" w:ascii="仿宋" w:hAnsi="仿宋" w:eastAsia="仿宋"/>
                <w:color w:val="auto"/>
                <w:szCs w:val="28"/>
                <w:highlight w:val="none"/>
              </w:rPr>
              <w:t>响应文件</w:t>
            </w:r>
            <w:r>
              <w:rPr>
                <w:rFonts w:hint="eastAsia" w:ascii="仿宋" w:hAnsi="仿宋" w:eastAsia="仿宋"/>
                <w:color w:val="auto"/>
                <w:szCs w:val="28"/>
                <w:highlight w:val="none"/>
                <w:lang w:val="zh-CN"/>
              </w:rPr>
              <w:t>份数</w:t>
            </w:r>
          </w:p>
        </w:tc>
        <w:tc>
          <w:tcPr>
            <w:tcW w:w="5156" w:type="dxa"/>
            <w:vAlign w:val="center"/>
          </w:tcPr>
          <w:p w14:paraId="400262AC">
            <w:pPr>
              <w:snapToGrid w:val="0"/>
              <w:rPr>
                <w:rFonts w:ascii="仿宋" w:hAnsi="仿宋" w:eastAsia="仿宋"/>
                <w:color w:val="auto"/>
                <w:szCs w:val="28"/>
                <w:highlight w:val="none"/>
                <w:lang w:val="zh-CN"/>
              </w:rPr>
            </w:pPr>
            <w:r>
              <w:rPr>
                <w:rFonts w:hint="eastAsia" w:ascii="仿宋" w:hAnsi="仿宋" w:eastAsia="仿宋"/>
                <w:color w:val="auto"/>
                <w:szCs w:val="28"/>
                <w:highlight w:val="none"/>
              </w:rPr>
              <w:t>响应文件</w:t>
            </w:r>
            <w:r>
              <w:rPr>
                <w:rFonts w:hint="eastAsia" w:ascii="仿宋" w:hAnsi="仿宋" w:eastAsia="仿宋"/>
                <w:color w:val="auto"/>
                <w:szCs w:val="28"/>
                <w:highlight w:val="none"/>
                <w:lang w:val="zh-CN"/>
              </w:rPr>
              <w:t>正、副本数量（含电子文档）符合</w:t>
            </w:r>
            <w:r>
              <w:rPr>
                <w:rFonts w:hint="eastAsia" w:ascii="仿宋" w:hAnsi="仿宋" w:eastAsia="仿宋"/>
                <w:color w:val="auto"/>
                <w:szCs w:val="28"/>
                <w:highlight w:val="none"/>
              </w:rPr>
              <w:t>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lang w:val="zh-CN"/>
              </w:rPr>
              <w:t>文件要求。</w:t>
            </w:r>
          </w:p>
        </w:tc>
      </w:tr>
      <w:tr w14:paraId="07E0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vAlign w:val="center"/>
          </w:tcPr>
          <w:p w14:paraId="5722C7ED">
            <w:pPr>
              <w:snapToGrid w:val="0"/>
              <w:rPr>
                <w:rFonts w:ascii="仿宋" w:hAnsi="仿宋" w:eastAsia="仿宋"/>
                <w:color w:val="auto"/>
                <w:szCs w:val="28"/>
                <w:highlight w:val="none"/>
              </w:rPr>
            </w:pPr>
            <w:r>
              <w:rPr>
                <w:rFonts w:hint="eastAsia" w:ascii="仿宋" w:hAnsi="仿宋" w:eastAsia="仿宋"/>
                <w:color w:val="auto"/>
                <w:szCs w:val="28"/>
                <w:highlight w:val="none"/>
              </w:rPr>
              <w:t>3</w:t>
            </w:r>
          </w:p>
        </w:tc>
        <w:tc>
          <w:tcPr>
            <w:tcW w:w="1497" w:type="dxa"/>
            <w:vMerge w:val="restart"/>
            <w:vAlign w:val="center"/>
          </w:tcPr>
          <w:p w14:paraId="6C5CACFB">
            <w:pPr>
              <w:snapToGrid w:val="0"/>
              <w:rPr>
                <w:rFonts w:ascii="仿宋" w:hAnsi="仿宋" w:eastAsia="仿宋"/>
                <w:color w:val="auto"/>
                <w:szCs w:val="28"/>
                <w:highlight w:val="none"/>
                <w:lang w:val="zh-CN"/>
              </w:rPr>
            </w:pPr>
            <w:r>
              <w:rPr>
                <w:rFonts w:hint="eastAsia" w:ascii="仿宋" w:hAnsi="仿宋" w:eastAsia="仿宋"/>
                <w:color w:val="auto"/>
                <w:szCs w:val="28"/>
                <w:highlight w:val="none"/>
              </w:rPr>
              <w:t>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文件的响应程度审查</w:t>
            </w:r>
          </w:p>
        </w:tc>
        <w:tc>
          <w:tcPr>
            <w:tcW w:w="2237" w:type="dxa"/>
            <w:vAlign w:val="center"/>
          </w:tcPr>
          <w:p w14:paraId="3A6509E0">
            <w:pPr>
              <w:snapToGrid w:val="0"/>
              <w:rPr>
                <w:rFonts w:ascii="仿宋" w:hAnsi="仿宋" w:eastAsia="仿宋"/>
                <w:color w:val="auto"/>
                <w:szCs w:val="28"/>
                <w:highlight w:val="none"/>
              </w:rPr>
            </w:pPr>
            <w:r>
              <w:rPr>
                <w:rFonts w:hint="eastAsia" w:ascii="仿宋" w:hAnsi="仿宋" w:eastAsia="仿宋"/>
                <w:color w:val="auto"/>
                <w:szCs w:val="28"/>
                <w:highlight w:val="none"/>
              </w:rPr>
              <w:t>响应文件内容</w:t>
            </w:r>
          </w:p>
        </w:tc>
        <w:tc>
          <w:tcPr>
            <w:tcW w:w="5156" w:type="dxa"/>
            <w:vAlign w:val="center"/>
          </w:tcPr>
          <w:p w14:paraId="5138B768">
            <w:pPr>
              <w:snapToGrid w:val="0"/>
              <w:rPr>
                <w:rFonts w:ascii="仿宋" w:hAnsi="仿宋" w:eastAsia="仿宋"/>
                <w:color w:val="auto"/>
                <w:szCs w:val="28"/>
                <w:highlight w:val="none"/>
              </w:rPr>
            </w:pPr>
            <w:r>
              <w:rPr>
                <w:rFonts w:hint="eastAsia" w:ascii="仿宋" w:hAnsi="仿宋" w:eastAsia="仿宋"/>
                <w:color w:val="auto"/>
                <w:szCs w:val="28"/>
                <w:highlight w:val="none"/>
              </w:rPr>
              <w:t>对竞争性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文件第二篇、第三篇中的内容进行实质响应。</w:t>
            </w:r>
          </w:p>
        </w:tc>
      </w:tr>
      <w:tr w14:paraId="31E3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vAlign w:val="center"/>
          </w:tcPr>
          <w:p w14:paraId="5BE0388F">
            <w:pPr>
              <w:snapToGrid w:val="0"/>
              <w:rPr>
                <w:rFonts w:ascii="仿宋" w:hAnsi="仿宋" w:eastAsia="仿宋"/>
                <w:color w:val="auto"/>
                <w:szCs w:val="28"/>
                <w:highlight w:val="none"/>
              </w:rPr>
            </w:pPr>
          </w:p>
        </w:tc>
        <w:tc>
          <w:tcPr>
            <w:tcW w:w="1497" w:type="dxa"/>
            <w:vMerge w:val="continue"/>
            <w:vAlign w:val="center"/>
          </w:tcPr>
          <w:p w14:paraId="43E6B824">
            <w:pPr>
              <w:snapToGrid w:val="0"/>
              <w:rPr>
                <w:rFonts w:ascii="仿宋" w:hAnsi="仿宋" w:eastAsia="仿宋"/>
                <w:color w:val="auto"/>
                <w:szCs w:val="28"/>
                <w:highlight w:val="none"/>
                <w:lang w:val="zh-CN"/>
              </w:rPr>
            </w:pPr>
          </w:p>
        </w:tc>
        <w:tc>
          <w:tcPr>
            <w:tcW w:w="2237" w:type="dxa"/>
            <w:vAlign w:val="center"/>
          </w:tcPr>
          <w:p w14:paraId="05331007">
            <w:pPr>
              <w:snapToGrid w:val="0"/>
              <w:rPr>
                <w:rFonts w:ascii="仿宋" w:hAnsi="仿宋" w:eastAsia="仿宋"/>
                <w:color w:val="auto"/>
                <w:szCs w:val="28"/>
                <w:highlight w:val="none"/>
              </w:rPr>
            </w:pPr>
            <w:r>
              <w:rPr>
                <w:rFonts w:hint="eastAsia" w:ascii="仿宋" w:hAnsi="仿宋" w:eastAsia="仿宋"/>
                <w:color w:val="auto"/>
                <w:szCs w:val="28"/>
                <w:highlight w:val="none"/>
              </w:rPr>
              <w:t>竞选有效期</w:t>
            </w:r>
          </w:p>
        </w:tc>
        <w:tc>
          <w:tcPr>
            <w:tcW w:w="5156" w:type="dxa"/>
            <w:vAlign w:val="center"/>
          </w:tcPr>
          <w:p w14:paraId="12FA92F2">
            <w:pPr>
              <w:snapToGrid w:val="0"/>
              <w:rPr>
                <w:rFonts w:ascii="仿宋" w:hAnsi="仿宋" w:eastAsia="仿宋"/>
                <w:color w:val="auto"/>
                <w:szCs w:val="28"/>
                <w:highlight w:val="none"/>
              </w:rPr>
            </w:pPr>
            <w:r>
              <w:rPr>
                <w:rFonts w:hint="eastAsia" w:ascii="仿宋" w:hAnsi="仿宋" w:eastAsia="仿宋"/>
                <w:color w:val="auto"/>
                <w:szCs w:val="28"/>
                <w:highlight w:val="none"/>
              </w:rPr>
              <w:t>响应文件及有关承诺文件有效期为提交响应文件截止时间起90天。</w:t>
            </w:r>
          </w:p>
        </w:tc>
      </w:tr>
    </w:tbl>
    <w:p w14:paraId="1258738A">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（三）澄清有关问题。竞争性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552B9B">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（四）竞争性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评审小组要求供应商澄清、说明或者更正响应文件应当以书面形式作出。供应商的澄清、说明或者更正应当由法定代表人（或其授权代表）或自然人（</w:t>
      </w:r>
      <w:r>
        <w:rPr>
          <w:rFonts w:hint="eastAsia" w:ascii="仿宋" w:hAnsi="仿宋" w:eastAsia="仿宋"/>
          <w:color w:val="auto"/>
          <w:highlight w:val="none"/>
        </w:rPr>
        <w:t>供应商</w:t>
      </w:r>
      <w:r>
        <w:rPr>
          <w:rFonts w:hint="eastAsia" w:ascii="仿宋" w:hAnsi="仿宋" w:eastAsia="仿宋"/>
          <w:color w:val="auto"/>
          <w:szCs w:val="28"/>
          <w:highlight w:val="none"/>
        </w:rPr>
        <w:t>为自然人）签字或者加盖公章。由授权代表签字的，应当附法定代表人授权书。供应商为自然人的，应当由本人签字并附身份证明。</w:t>
      </w:r>
    </w:p>
    <w:p w14:paraId="6C76B52B">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（五）竞争性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评审小组采用综合评分法对供应商的响应文件和报价进行综合评分。综合评分法，是指响应文件满足竞争性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文件全部实质性要求且按照评审因素的量化指标评审得分最高的供应商为成交候选</w:t>
      </w:r>
      <w:r>
        <w:rPr>
          <w:rFonts w:hint="eastAsia" w:ascii="仿宋" w:hAnsi="仿宋" w:eastAsia="仿宋"/>
          <w:color w:val="auto"/>
          <w:highlight w:val="none"/>
        </w:rPr>
        <w:t>供应商</w:t>
      </w:r>
      <w:r>
        <w:rPr>
          <w:rFonts w:hint="eastAsia" w:ascii="仿宋" w:hAnsi="仿宋" w:eastAsia="仿宋"/>
          <w:color w:val="auto"/>
          <w:szCs w:val="28"/>
          <w:highlight w:val="none"/>
        </w:rPr>
        <w:t>的评审方法。</w:t>
      </w:r>
      <w:r>
        <w:rPr>
          <w:rFonts w:hint="eastAsia" w:ascii="仿宋" w:hAnsi="仿宋" w:eastAsia="仿宋"/>
          <w:color w:val="auto"/>
          <w:highlight w:val="none"/>
        </w:rPr>
        <w:t>供应商</w:t>
      </w:r>
      <w:r>
        <w:rPr>
          <w:rFonts w:hint="eastAsia" w:ascii="仿宋" w:hAnsi="仿宋" w:eastAsia="仿宋"/>
          <w:color w:val="auto"/>
          <w:szCs w:val="28"/>
          <w:highlight w:val="none"/>
        </w:rPr>
        <w:t>总得分为价格、技术等评定因素分别按照相应权重值计算分项得分后相加，满分为100分。</w:t>
      </w:r>
    </w:p>
    <w:p w14:paraId="211126FD">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（六）竞争性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评审小组各成员独立对每个有效响应（通过资格性、符合性审查的供应商）的文件进行评价、打分，然后汇总每个参选</w:t>
      </w:r>
      <w:r>
        <w:rPr>
          <w:rFonts w:hint="eastAsia" w:ascii="仿宋" w:hAnsi="仿宋" w:eastAsia="仿宋"/>
          <w:color w:val="auto"/>
          <w:highlight w:val="none"/>
        </w:rPr>
        <w:t>供应商</w:t>
      </w:r>
      <w:r>
        <w:rPr>
          <w:rFonts w:hint="eastAsia" w:ascii="仿宋" w:hAnsi="仿宋" w:eastAsia="仿宋"/>
          <w:color w:val="auto"/>
          <w:szCs w:val="28"/>
          <w:highlight w:val="none"/>
        </w:rPr>
        <w:t>每项评分因素的得分，并根据综合评分情况按照评审得分由高到低顺序推荐3名及以上成交候选</w:t>
      </w:r>
      <w:r>
        <w:rPr>
          <w:rFonts w:hint="eastAsia" w:ascii="仿宋" w:hAnsi="仿宋" w:eastAsia="仿宋"/>
          <w:color w:val="auto"/>
          <w:highlight w:val="none"/>
        </w:rPr>
        <w:t>供应商</w:t>
      </w:r>
      <w:r>
        <w:rPr>
          <w:rFonts w:hint="eastAsia" w:ascii="仿宋" w:hAnsi="仿宋" w:eastAsia="仿宋"/>
          <w:color w:val="auto"/>
          <w:szCs w:val="28"/>
          <w:highlight w:val="none"/>
        </w:rPr>
        <w:t>，排名第一的为第一成交候选</w:t>
      </w:r>
      <w:r>
        <w:rPr>
          <w:rFonts w:hint="eastAsia" w:ascii="仿宋" w:hAnsi="仿宋" w:eastAsia="仿宋"/>
          <w:color w:val="auto"/>
          <w:highlight w:val="none"/>
        </w:rPr>
        <w:t>供应商</w:t>
      </w:r>
      <w:r>
        <w:rPr>
          <w:rFonts w:hint="eastAsia" w:ascii="仿宋" w:hAnsi="仿宋" w:eastAsia="仿宋"/>
          <w:color w:val="auto"/>
          <w:szCs w:val="28"/>
          <w:highlight w:val="none"/>
        </w:rPr>
        <w:t>。评审得分且报价相同的，按照</w:t>
      </w:r>
      <w:r>
        <w:rPr>
          <w:rFonts w:hint="eastAsia" w:ascii="仿宋" w:hAnsi="仿宋" w:eastAsia="仿宋"/>
          <w:color w:val="auto"/>
          <w:szCs w:val="28"/>
          <w:highlight w:val="none"/>
          <w:lang w:val="en-US" w:eastAsia="zh-CN"/>
        </w:rPr>
        <w:t>技术</w:t>
      </w:r>
      <w:r>
        <w:rPr>
          <w:rFonts w:hint="eastAsia" w:ascii="仿宋" w:hAnsi="仿宋" w:eastAsia="仿宋"/>
          <w:color w:val="auto"/>
          <w:szCs w:val="28"/>
          <w:highlight w:val="none"/>
        </w:rPr>
        <w:t>部分得分优劣顺序排列推荐。</w:t>
      </w:r>
    </w:p>
    <w:p w14:paraId="2A116ED6">
      <w:pPr>
        <w:pStyle w:val="3"/>
        <w:keepNext/>
        <w:keepLines/>
        <w:pageBreakBefore w:val="0"/>
        <w:widowControl/>
        <w:kinsoku/>
        <w:wordWrap/>
        <w:overflowPunct/>
        <w:topLinePunct w:val="0"/>
        <w:autoSpaceDE/>
        <w:autoSpaceDN/>
        <w:bidi w:val="0"/>
        <w:adjustRightInd/>
        <w:snapToGrid w:val="0"/>
        <w:spacing w:before="0" w:after="0" w:line="240" w:lineRule="auto"/>
        <w:textAlignment w:val="auto"/>
        <w:rPr>
          <w:rFonts w:ascii="仿宋" w:hAnsi="仿宋" w:eastAsia="仿宋" w:cs="宋体"/>
          <w:color w:val="auto"/>
          <w:sz w:val="28"/>
          <w:szCs w:val="28"/>
          <w:highlight w:val="none"/>
        </w:rPr>
      </w:pPr>
      <w:bookmarkStart w:id="98" w:name="_Toc30615"/>
      <w:bookmarkStart w:id="99" w:name="_Toc14209"/>
      <w:bookmarkStart w:id="100" w:name="_Toc27362"/>
      <w:bookmarkStart w:id="101" w:name="_Toc102227320"/>
      <w:bookmarkStart w:id="102" w:name="_Toc342913394"/>
      <w:r>
        <w:rPr>
          <w:rFonts w:hint="eastAsia" w:ascii="仿宋" w:hAnsi="仿宋" w:eastAsia="仿宋" w:cs="宋体"/>
          <w:color w:val="auto"/>
          <w:sz w:val="28"/>
          <w:szCs w:val="28"/>
          <w:highlight w:val="none"/>
        </w:rPr>
        <w:t>二、评审标准</w:t>
      </w:r>
      <w:bookmarkEnd w:id="98"/>
      <w:bookmarkEnd w:id="99"/>
      <w:bookmarkEnd w:id="100"/>
    </w:p>
    <w:tbl>
      <w:tblPr>
        <w:tblStyle w:val="33"/>
        <w:tblpPr w:leftFromText="180" w:rightFromText="180" w:vertAnchor="text" w:horzAnchor="page" w:tblpX="1686" w:tblpY="440"/>
        <w:tblOverlap w:val="never"/>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33"/>
        <w:gridCol w:w="760"/>
        <w:gridCol w:w="4911"/>
        <w:gridCol w:w="1089"/>
      </w:tblGrid>
      <w:tr w14:paraId="0C52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0" w:type="dxa"/>
            <w:noWrap w:val="0"/>
            <w:vAlign w:val="center"/>
          </w:tcPr>
          <w:p w14:paraId="403B597D">
            <w:pPr>
              <w:widowControl/>
              <w:spacing w:line="300" w:lineRule="exact"/>
              <w:jc w:val="both"/>
              <w:rPr>
                <w:rFonts w:hint="eastAsia" w:ascii="仿宋" w:hAnsi="仿宋" w:eastAsia="仿宋" w:cs="仿宋"/>
                <w:b/>
                <w:bCs/>
                <w:color w:val="auto"/>
                <w:sz w:val="24"/>
                <w:szCs w:val="24"/>
                <w:highlight w:val="none"/>
              </w:rPr>
            </w:pPr>
            <w:bookmarkStart w:id="103" w:name="_Toc22238"/>
            <w:bookmarkStart w:id="104" w:name="_Toc27661"/>
            <w:bookmarkStart w:id="105" w:name="_Toc30355"/>
            <w:r>
              <w:rPr>
                <w:rFonts w:hint="eastAsia" w:ascii="仿宋" w:hAnsi="仿宋" w:eastAsia="仿宋" w:cs="仿宋"/>
                <w:b/>
                <w:bCs/>
                <w:color w:val="auto"/>
                <w:sz w:val="24"/>
                <w:szCs w:val="24"/>
                <w:highlight w:val="none"/>
              </w:rPr>
              <w:t>序号</w:t>
            </w:r>
            <w:bookmarkEnd w:id="103"/>
          </w:p>
        </w:tc>
        <w:tc>
          <w:tcPr>
            <w:tcW w:w="1233" w:type="dxa"/>
            <w:noWrap w:val="0"/>
            <w:vAlign w:val="center"/>
          </w:tcPr>
          <w:p w14:paraId="5A6C0CAE">
            <w:pPr>
              <w:widowControl/>
              <w:spacing w:line="300" w:lineRule="exact"/>
              <w:jc w:val="both"/>
              <w:rPr>
                <w:rFonts w:hint="eastAsia" w:ascii="仿宋" w:hAnsi="仿宋" w:eastAsia="仿宋" w:cs="仿宋"/>
                <w:b/>
                <w:bCs/>
                <w:color w:val="auto"/>
                <w:sz w:val="24"/>
                <w:szCs w:val="24"/>
                <w:highlight w:val="none"/>
              </w:rPr>
            </w:pPr>
            <w:bookmarkStart w:id="106" w:name="_Toc3274"/>
            <w:r>
              <w:rPr>
                <w:rFonts w:hint="eastAsia" w:ascii="仿宋" w:hAnsi="仿宋" w:eastAsia="仿宋" w:cs="仿宋"/>
                <w:b/>
                <w:bCs/>
                <w:color w:val="auto"/>
                <w:sz w:val="24"/>
                <w:szCs w:val="24"/>
                <w:highlight w:val="none"/>
              </w:rPr>
              <w:t>评分因素</w:t>
            </w:r>
            <w:bookmarkEnd w:id="106"/>
            <w:bookmarkStart w:id="107" w:name="_Toc3483"/>
            <w:r>
              <w:rPr>
                <w:rFonts w:hint="eastAsia" w:ascii="仿宋" w:hAnsi="仿宋" w:eastAsia="仿宋" w:cs="仿宋"/>
                <w:b/>
                <w:bCs/>
                <w:color w:val="auto"/>
                <w:sz w:val="24"/>
                <w:szCs w:val="24"/>
                <w:highlight w:val="none"/>
              </w:rPr>
              <w:t>及权重</w:t>
            </w:r>
            <w:bookmarkEnd w:id="107"/>
          </w:p>
        </w:tc>
        <w:tc>
          <w:tcPr>
            <w:tcW w:w="760" w:type="dxa"/>
            <w:noWrap w:val="0"/>
            <w:vAlign w:val="center"/>
          </w:tcPr>
          <w:p w14:paraId="00AB25A3">
            <w:pPr>
              <w:widowControl/>
              <w:spacing w:line="300" w:lineRule="exact"/>
              <w:jc w:val="both"/>
              <w:rPr>
                <w:rFonts w:hint="eastAsia" w:ascii="仿宋" w:hAnsi="仿宋" w:eastAsia="仿宋" w:cs="仿宋"/>
                <w:b/>
                <w:bCs/>
                <w:color w:val="auto"/>
                <w:sz w:val="24"/>
                <w:szCs w:val="24"/>
                <w:highlight w:val="none"/>
              </w:rPr>
            </w:pPr>
            <w:bookmarkStart w:id="108" w:name="_Toc26905"/>
            <w:r>
              <w:rPr>
                <w:rFonts w:hint="eastAsia" w:ascii="仿宋" w:hAnsi="仿宋" w:eastAsia="仿宋" w:cs="仿宋"/>
                <w:b/>
                <w:bCs/>
                <w:color w:val="auto"/>
                <w:sz w:val="24"/>
                <w:szCs w:val="24"/>
                <w:highlight w:val="none"/>
              </w:rPr>
              <w:t>分值</w:t>
            </w:r>
            <w:bookmarkEnd w:id="108"/>
          </w:p>
        </w:tc>
        <w:tc>
          <w:tcPr>
            <w:tcW w:w="4911" w:type="dxa"/>
            <w:noWrap w:val="0"/>
            <w:vAlign w:val="center"/>
          </w:tcPr>
          <w:p w14:paraId="5B53D3BD">
            <w:pPr>
              <w:widowControl/>
              <w:spacing w:line="300" w:lineRule="exact"/>
              <w:jc w:val="both"/>
              <w:rPr>
                <w:rFonts w:hint="eastAsia" w:ascii="仿宋" w:hAnsi="仿宋" w:eastAsia="仿宋" w:cs="仿宋"/>
                <w:b/>
                <w:bCs/>
                <w:color w:val="auto"/>
                <w:sz w:val="24"/>
                <w:szCs w:val="24"/>
                <w:highlight w:val="none"/>
              </w:rPr>
            </w:pPr>
            <w:bookmarkStart w:id="109" w:name="_Toc11202"/>
            <w:r>
              <w:rPr>
                <w:rFonts w:hint="eastAsia" w:ascii="仿宋" w:hAnsi="仿宋" w:eastAsia="仿宋" w:cs="仿宋"/>
                <w:b/>
                <w:bCs/>
                <w:color w:val="auto"/>
                <w:sz w:val="24"/>
                <w:szCs w:val="24"/>
                <w:highlight w:val="none"/>
              </w:rPr>
              <w:t>评分标准</w:t>
            </w:r>
            <w:bookmarkEnd w:id="109"/>
          </w:p>
        </w:tc>
        <w:tc>
          <w:tcPr>
            <w:tcW w:w="1089" w:type="dxa"/>
            <w:noWrap w:val="0"/>
            <w:vAlign w:val="center"/>
          </w:tcPr>
          <w:p w14:paraId="17EABF38">
            <w:pPr>
              <w:widowControl/>
              <w:spacing w:line="300" w:lineRule="exact"/>
              <w:jc w:val="both"/>
              <w:rPr>
                <w:rFonts w:hint="eastAsia" w:ascii="仿宋" w:hAnsi="仿宋" w:eastAsia="仿宋" w:cs="仿宋"/>
                <w:b/>
                <w:bCs/>
                <w:color w:val="auto"/>
                <w:sz w:val="24"/>
                <w:szCs w:val="24"/>
                <w:highlight w:val="none"/>
              </w:rPr>
            </w:pPr>
            <w:bookmarkStart w:id="110" w:name="_Toc22413"/>
            <w:r>
              <w:rPr>
                <w:rFonts w:hint="eastAsia" w:ascii="仿宋" w:hAnsi="仿宋" w:eastAsia="仿宋" w:cs="仿宋"/>
                <w:b/>
                <w:bCs/>
                <w:color w:val="auto"/>
                <w:sz w:val="24"/>
                <w:szCs w:val="24"/>
                <w:highlight w:val="none"/>
              </w:rPr>
              <w:t>说明</w:t>
            </w:r>
            <w:bookmarkEnd w:id="110"/>
          </w:p>
        </w:tc>
      </w:tr>
      <w:tr w14:paraId="56E1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60" w:type="dxa"/>
            <w:vMerge w:val="restart"/>
            <w:noWrap w:val="0"/>
            <w:vAlign w:val="center"/>
          </w:tcPr>
          <w:p w14:paraId="71B41CE3">
            <w:pPr>
              <w:widowControl/>
              <w:spacing w:line="300" w:lineRule="exact"/>
              <w:jc w:val="both"/>
              <w:rPr>
                <w:rFonts w:hint="eastAsia" w:ascii="仿宋" w:hAnsi="仿宋" w:eastAsia="仿宋" w:cs="仿宋"/>
                <w:color w:val="auto"/>
                <w:sz w:val="24"/>
                <w:szCs w:val="24"/>
                <w:highlight w:val="none"/>
              </w:rPr>
            </w:pPr>
            <w:bookmarkStart w:id="111" w:name="_Toc24391"/>
            <w:r>
              <w:rPr>
                <w:rFonts w:hint="eastAsia" w:ascii="仿宋" w:hAnsi="仿宋" w:eastAsia="仿宋" w:cs="仿宋"/>
                <w:color w:val="auto"/>
                <w:sz w:val="24"/>
                <w:szCs w:val="24"/>
                <w:highlight w:val="none"/>
              </w:rPr>
              <w:t>1</w:t>
            </w:r>
            <w:bookmarkEnd w:id="111"/>
          </w:p>
        </w:tc>
        <w:tc>
          <w:tcPr>
            <w:tcW w:w="1233" w:type="dxa"/>
            <w:vMerge w:val="restart"/>
            <w:noWrap w:val="0"/>
            <w:vAlign w:val="center"/>
          </w:tcPr>
          <w:p w14:paraId="7474F177">
            <w:pPr>
              <w:widowControl/>
              <w:spacing w:line="300" w:lineRule="exact"/>
              <w:jc w:val="both"/>
              <w:rPr>
                <w:rFonts w:hint="eastAsia" w:ascii="仿宋" w:hAnsi="仿宋" w:eastAsia="仿宋" w:cs="仿宋"/>
                <w:color w:val="auto"/>
                <w:sz w:val="24"/>
                <w:szCs w:val="24"/>
                <w:highlight w:val="none"/>
              </w:rPr>
            </w:pPr>
            <w:bookmarkStart w:id="112" w:name="_Toc13176"/>
            <w:r>
              <w:rPr>
                <w:rFonts w:hint="eastAsia" w:ascii="仿宋" w:hAnsi="仿宋" w:eastAsia="仿宋" w:cs="仿宋"/>
                <w:color w:val="auto"/>
                <w:sz w:val="24"/>
                <w:szCs w:val="24"/>
                <w:highlight w:val="none"/>
              </w:rPr>
              <w:t>报价</w:t>
            </w:r>
            <w:bookmarkEnd w:id="112"/>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w:t>
            </w:r>
          </w:p>
        </w:tc>
        <w:tc>
          <w:tcPr>
            <w:tcW w:w="760" w:type="dxa"/>
            <w:vMerge w:val="restart"/>
            <w:noWrap w:val="0"/>
            <w:vAlign w:val="center"/>
          </w:tcPr>
          <w:p w14:paraId="0B3C384E">
            <w:pPr>
              <w:widowControl/>
              <w:spacing w:line="300" w:lineRule="exact"/>
              <w:jc w:val="both"/>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40分</w:t>
            </w:r>
          </w:p>
        </w:tc>
        <w:tc>
          <w:tcPr>
            <w:tcW w:w="4911" w:type="dxa"/>
            <w:noWrap w:val="0"/>
            <w:vAlign w:val="center"/>
          </w:tcPr>
          <w:p w14:paraId="42EF5760">
            <w:pPr>
              <w:keepNext w:val="0"/>
              <w:keepLines w:val="0"/>
              <w:pageBreakBefore w:val="0"/>
              <w:kinsoku/>
              <w:wordWrap/>
              <w:overflowPunct/>
              <w:topLinePunct w:val="0"/>
              <w:autoSpaceDE/>
              <w:autoSpaceDN/>
              <w:bidi w:val="0"/>
              <w:adjustRightInd/>
              <w:snapToGrid/>
              <w:ind w:left="-38"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评标基准价</w:t>
            </w:r>
          </w:p>
          <w:p w14:paraId="52795190">
            <w:pPr>
              <w:keepNext w:val="0"/>
              <w:keepLines w:val="0"/>
              <w:pageBreakBefore w:val="0"/>
              <w:kinsoku/>
              <w:wordWrap/>
              <w:overflowPunct/>
              <w:topLinePunct w:val="0"/>
              <w:autoSpaceDE/>
              <w:autoSpaceDN/>
              <w:bidi w:val="0"/>
              <w:adjustRightInd/>
              <w:snapToGrid/>
              <w:ind w:left="-38"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通过资格性检查和符合性检查合格的供应商的报价中去掉六分之一（不能整除的按小数点前整数取整，不足六家报价则不去掉）最低价和相同家数的最高价后的算术平均值P1即为报价的评标基准价。在评标基准价计算完成后（除计算错误外），在后续的评审过程中不得再对其做出调整。</w:t>
            </w:r>
          </w:p>
          <w:p w14:paraId="62EB0DEA">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 xml:space="preserve">以上计算取小数点后两位，第三位四舍五入。  </w:t>
            </w:r>
          </w:p>
        </w:tc>
        <w:tc>
          <w:tcPr>
            <w:tcW w:w="1089" w:type="dxa"/>
            <w:vMerge w:val="restart"/>
            <w:noWrap w:val="0"/>
            <w:vAlign w:val="center"/>
          </w:tcPr>
          <w:p w14:paraId="64C8EAA8">
            <w:pPr>
              <w:widowControl/>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38E0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60" w:type="dxa"/>
            <w:vMerge w:val="continue"/>
            <w:noWrap w:val="0"/>
            <w:vAlign w:val="center"/>
          </w:tcPr>
          <w:p w14:paraId="40E38D32">
            <w:pPr>
              <w:widowControl/>
              <w:spacing w:line="300" w:lineRule="exact"/>
              <w:jc w:val="both"/>
              <w:rPr>
                <w:rFonts w:hint="eastAsia" w:ascii="仿宋" w:hAnsi="仿宋" w:eastAsia="仿宋" w:cs="仿宋"/>
                <w:color w:val="auto"/>
                <w:sz w:val="24"/>
                <w:szCs w:val="24"/>
                <w:highlight w:val="none"/>
              </w:rPr>
            </w:pPr>
            <w:bookmarkStart w:id="113" w:name="_Toc15438"/>
          </w:p>
        </w:tc>
        <w:tc>
          <w:tcPr>
            <w:tcW w:w="1233" w:type="dxa"/>
            <w:vMerge w:val="continue"/>
            <w:noWrap w:val="0"/>
            <w:vAlign w:val="center"/>
          </w:tcPr>
          <w:p w14:paraId="6D33A5AB">
            <w:pPr>
              <w:widowControl/>
              <w:spacing w:line="300" w:lineRule="exact"/>
              <w:jc w:val="both"/>
              <w:rPr>
                <w:rFonts w:hint="eastAsia" w:ascii="仿宋" w:hAnsi="仿宋" w:eastAsia="仿宋" w:cs="仿宋"/>
                <w:color w:val="auto"/>
                <w:sz w:val="24"/>
                <w:szCs w:val="24"/>
                <w:highlight w:val="none"/>
                <w:lang w:eastAsia="zh-CN"/>
              </w:rPr>
            </w:pPr>
          </w:p>
        </w:tc>
        <w:tc>
          <w:tcPr>
            <w:tcW w:w="760" w:type="dxa"/>
            <w:vMerge w:val="continue"/>
            <w:noWrap w:val="0"/>
            <w:vAlign w:val="center"/>
          </w:tcPr>
          <w:p w14:paraId="1FB0A5A4">
            <w:pPr>
              <w:widowControl/>
              <w:spacing w:line="300" w:lineRule="exac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20F5974B">
            <w:pPr>
              <w:keepNext w:val="0"/>
              <w:keepLines w:val="0"/>
              <w:pageBreakBefore w:val="0"/>
              <w:kinsoku/>
              <w:wordWrap/>
              <w:overflowPunct/>
              <w:topLinePunct w:val="0"/>
              <w:autoSpaceDE/>
              <w:autoSpaceDN/>
              <w:bidi w:val="0"/>
              <w:adjustRightInd/>
              <w:snapToGrid/>
              <w:ind w:left="-38" w:leftChars="0"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所有通过通过资格性检查和符合性检查合格的供应商的报价先得基础分值满分40分，在此基础上，报价与评标准基价相比，每增加1%扣0.2分，每减少1%扣 0.1分，扣完为止。</w:t>
            </w:r>
          </w:p>
          <w:p w14:paraId="798CA7C0">
            <w:pPr>
              <w:keepNext w:val="0"/>
              <w:keepLines w:val="0"/>
              <w:pageBreakBefore w:val="0"/>
              <w:widowControl/>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以上计算取小数点后两位，第三位四舍五入。  </w:t>
            </w:r>
          </w:p>
        </w:tc>
        <w:tc>
          <w:tcPr>
            <w:tcW w:w="1089" w:type="dxa"/>
            <w:vMerge w:val="continue"/>
            <w:noWrap w:val="0"/>
            <w:vAlign w:val="center"/>
          </w:tcPr>
          <w:p w14:paraId="6EE019D2">
            <w:pPr>
              <w:widowControl/>
              <w:spacing w:line="300" w:lineRule="exact"/>
              <w:jc w:val="both"/>
              <w:rPr>
                <w:rFonts w:hint="eastAsia" w:ascii="仿宋" w:hAnsi="仿宋" w:eastAsia="仿宋" w:cs="仿宋"/>
                <w:color w:val="auto"/>
                <w:sz w:val="24"/>
                <w:szCs w:val="24"/>
                <w:highlight w:val="none"/>
                <w:lang w:val="en-US" w:eastAsia="zh-CN"/>
              </w:rPr>
            </w:pPr>
          </w:p>
        </w:tc>
      </w:tr>
      <w:tr w14:paraId="438D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760" w:type="dxa"/>
            <w:vMerge w:val="restart"/>
            <w:noWrap w:val="0"/>
            <w:vAlign w:val="center"/>
          </w:tcPr>
          <w:p w14:paraId="16860DB5">
            <w:pPr>
              <w:numPr>
                <w:ilvl w:val="0"/>
                <w:numId w:val="0"/>
              </w:numPr>
              <w:spacing w:line="24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bookmarkEnd w:id="113"/>
          </w:p>
        </w:tc>
        <w:tc>
          <w:tcPr>
            <w:tcW w:w="1233" w:type="dxa"/>
            <w:vMerge w:val="restart"/>
            <w:noWrap w:val="0"/>
            <w:vAlign w:val="center"/>
          </w:tcPr>
          <w:p w14:paraId="53D29221">
            <w:pPr>
              <w:numPr>
                <w:ilvl w:val="0"/>
                <w:numId w:val="0"/>
              </w:numPr>
              <w:spacing w:line="240" w:lineRule="atLeast"/>
              <w:jc w:val="both"/>
              <w:rPr>
                <w:rFonts w:hint="eastAsia" w:ascii="仿宋" w:hAnsi="仿宋" w:eastAsia="仿宋" w:cs="仿宋"/>
                <w:color w:val="auto"/>
                <w:sz w:val="24"/>
                <w:szCs w:val="24"/>
                <w:highlight w:val="none"/>
                <w:lang w:val="en-US" w:eastAsia="zh-CN"/>
              </w:rPr>
            </w:pPr>
            <w:bookmarkStart w:id="114" w:name="_Toc200"/>
            <w:r>
              <w:rPr>
                <w:rFonts w:hint="eastAsia" w:ascii="仿宋" w:hAnsi="仿宋" w:eastAsia="仿宋" w:cs="仿宋"/>
                <w:color w:val="auto"/>
                <w:sz w:val="24"/>
                <w:szCs w:val="24"/>
                <w:highlight w:val="none"/>
                <w:lang w:val="en-US" w:eastAsia="zh-CN"/>
              </w:rPr>
              <w:t>技术部分</w:t>
            </w:r>
            <w:bookmarkEnd w:id="114"/>
            <w:r>
              <w:rPr>
                <w:rFonts w:hint="eastAsia" w:ascii="仿宋" w:hAnsi="仿宋" w:eastAsia="仿宋" w:cs="仿宋"/>
                <w:color w:val="auto"/>
                <w:sz w:val="24"/>
                <w:szCs w:val="24"/>
                <w:highlight w:val="none"/>
                <w:lang w:val="en-US" w:eastAsia="zh-CN"/>
              </w:rPr>
              <w:t>（60%）</w:t>
            </w:r>
          </w:p>
        </w:tc>
        <w:tc>
          <w:tcPr>
            <w:tcW w:w="760" w:type="dxa"/>
            <w:vMerge w:val="restart"/>
            <w:noWrap w:val="0"/>
            <w:vAlign w:val="center"/>
          </w:tcPr>
          <w:p w14:paraId="58DE739F">
            <w:pPr>
              <w:widowControl/>
              <w:spacing w:line="30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60分</w:t>
            </w:r>
          </w:p>
        </w:tc>
        <w:tc>
          <w:tcPr>
            <w:tcW w:w="4911" w:type="dxa"/>
            <w:noWrap w:val="0"/>
            <w:vAlign w:val="center"/>
          </w:tcPr>
          <w:p w14:paraId="1988ACE4">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1.施工方案 （25分）</w:t>
            </w:r>
          </w:p>
          <w:p w14:paraId="08DDF1A3">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本项目的实际情况，提供施工方案，包含不限于施工方法、施工顺序、施工器具、施工技术、施工材料、对施工现场周围环境污染的保护措施等。方案详实、具体、可行得16-25分，方案较详实、具体、可行得6-15分，方案不够详实、具体，但具有一定可行性得0-5分，未提供得0分。</w:t>
            </w:r>
          </w:p>
        </w:tc>
        <w:tc>
          <w:tcPr>
            <w:tcW w:w="1089" w:type="dxa"/>
            <w:vMerge w:val="restart"/>
            <w:noWrap w:val="0"/>
            <w:vAlign w:val="center"/>
          </w:tcPr>
          <w:p w14:paraId="19118F6A">
            <w:pPr>
              <w:numPr>
                <w:ilvl w:val="0"/>
                <w:numId w:val="0"/>
              </w:numPr>
              <w:spacing w:line="24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评标委员会全体成员对技术部分每项独立进行评审打分，取算术平均值为该供应商技术部分得分。得分保留至小数点后两位，第三位四舍五入。供应商需提供服务方案。（格式详见响应文件编制要求）</w:t>
            </w:r>
          </w:p>
        </w:tc>
      </w:tr>
      <w:tr w14:paraId="1897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60" w:type="dxa"/>
            <w:vMerge w:val="continue"/>
            <w:noWrap w:val="0"/>
            <w:vAlign w:val="center"/>
          </w:tcPr>
          <w:p w14:paraId="31AB8513">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1233" w:type="dxa"/>
            <w:vMerge w:val="continue"/>
            <w:noWrap w:val="0"/>
            <w:vAlign w:val="center"/>
          </w:tcPr>
          <w:p w14:paraId="4B5D3302">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760" w:type="dxa"/>
            <w:vMerge w:val="continue"/>
            <w:noWrap w:val="0"/>
            <w:vAlign w:val="center"/>
          </w:tcPr>
          <w:p w14:paraId="10A0928C">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0DAE8E17">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5.进度计划（15分）</w:t>
            </w:r>
          </w:p>
          <w:p w14:paraId="248FC949">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进度安排满足项目进度要求，关键工序进度安排可行、合理，实现进度安排的保证措施可行，工期安排合理可行，有序组织施工，在确保质量、降低成本、缩短工期、减轻劳动强度、提高工效等方面发挥很好作用得11-15分，方案较详实、具体、可行得6-10分，方案不够详实、具体，但具有一定可行性得0-5分，未提供得0分。</w:t>
            </w:r>
          </w:p>
        </w:tc>
        <w:tc>
          <w:tcPr>
            <w:tcW w:w="1089" w:type="dxa"/>
            <w:vMerge w:val="continue"/>
            <w:noWrap w:val="0"/>
            <w:vAlign w:val="center"/>
          </w:tcPr>
          <w:p w14:paraId="33E56426">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r>
      <w:tr w14:paraId="368D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60" w:type="dxa"/>
            <w:vMerge w:val="continue"/>
            <w:noWrap w:val="0"/>
            <w:vAlign w:val="center"/>
          </w:tcPr>
          <w:p w14:paraId="5FE33976">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1233" w:type="dxa"/>
            <w:vMerge w:val="continue"/>
            <w:noWrap w:val="0"/>
            <w:vAlign w:val="center"/>
          </w:tcPr>
          <w:p w14:paraId="6D1F9FDE">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760" w:type="dxa"/>
            <w:vMerge w:val="continue"/>
            <w:noWrap w:val="0"/>
            <w:vAlign w:val="center"/>
          </w:tcPr>
          <w:p w14:paraId="59B2B1D2">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50E0688D">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3.质量保证措施（10分）</w:t>
            </w:r>
          </w:p>
          <w:p w14:paraId="2953C9D0">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证措施是否健全有效，硬性措施是否切实可行，限期工程的赶工措施是否可行。保证措施具有针对性，材料的质量保证措施满足采购文件所要求的工程质量要求。方案详实、具体、可行得6-10分，方案较详实、具体、可行得2-6分，方案不够详实、具体，但具有一定可行性得0-2分，未提供得0分。</w:t>
            </w:r>
          </w:p>
        </w:tc>
        <w:tc>
          <w:tcPr>
            <w:tcW w:w="1089" w:type="dxa"/>
            <w:vMerge w:val="continue"/>
            <w:noWrap w:val="0"/>
            <w:vAlign w:val="center"/>
          </w:tcPr>
          <w:p w14:paraId="77CF21D2">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r>
      <w:tr w14:paraId="1F0B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760" w:type="dxa"/>
            <w:vMerge w:val="continue"/>
            <w:noWrap w:val="0"/>
            <w:vAlign w:val="center"/>
          </w:tcPr>
          <w:p w14:paraId="0FA1964F">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1233" w:type="dxa"/>
            <w:vMerge w:val="continue"/>
            <w:noWrap w:val="0"/>
            <w:vAlign w:val="center"/>
          </w:tcPr>
          <w:p w14:paraId="3987644C">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760" w:type="dxa"/>
            <w:vMerge w:val="continue"/>
            <w:noWrap w:val="0"/>
            <w:vAlign w:val="center"/>
          </w:tcPr>
          <w:p w14:paraId="02A320EA">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1ADC607F">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4.安全及应急预案（10分）</w:t>
            </w:r>
          </w:p>
          <w:p w14:paraId="1BD609A8">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及应急预案全有效，施工安全专项方案及安全管理保证措施具有针对性、文明施工和防止扰民措施是否得当等。方案详实、具体、可行得6-10分，方案较详实、具体、可行得2-6分，方案不够详实、具体，但具有一定可行性得0-2分，未提供得0分。</w:t>
            </w:r>
          </w:p>
        </w:tc>
        <w:tc>
          <w:tcPr>
            <w:tcW w:w="1089" w:type="dxa"/>
            <w:vMerge w:val="continue"/>
            <w:noWrap w:val="0"/>
            <w:vAlign w:val="center"/>
          </w:tcPr>
          <w:p w14:paraId="04138780">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r>
      <w:tr w14:paraId="2B21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0" w:type="dxa"/>
            <w:noWrap w:val="0"/>
            <w:vAlign w:val="center"/>
          </w:tcPr>
          <w:p w14:paraId="4FC40FF9">
            <w:pPr>
              <w:numPr>
                <w:ilvl w:val="0"/>
                <w:numId w:val="0"/>
              </w:numPr>
              <w:spacing w:line="24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33" w:type="dxa"/>
            <w:noWrap w:val="0"/>
            <w:vAlign w:val="center"/>
          </w:tcPr>
          <w:p w14:paraId="78D7DD5F">
            <w:pPr>
              <w:numPr>
                <w:ilvl w:val="0"/>
                <w:numId w:val="0"/>
              </w:numPr>
              <w:spacing w:line="240" w:lineRule="atLeas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供应商得分</w:t>
            </w:r>
          </w:p>
        </w:tc>
        <w:tc>
          <w:tcPr>
            <w:tcW w:w="760" w:type="dxa"/>
            <w:noWrap w:val="0"/>
            <w:vAlign w:val="center"/>
          </w:tcPr>
          <w:p w14:paraId="0971B6F4">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c>
          <w:tcPr>
            <w:tcW w:w="4911" w:type="dxa"/>
            <w:noWrap w:val="0"/>
            <w:vAlign w:val="center"/>
          </w:tcPr>
          <w:p w14:paraId="66553286">
            <w:pPr>
              <w:keepNext w:val="0"/>
              <w:keepLines w:val="0"/>
              <w:pageBreakBefore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供应商得分=报价得分+技术部分得分</w:t>
            </w:r>
          </w:p>
        </w:tc>
        <w:tc>
          <w:tcPr>
            <w:tcW w:w="1089" w:type="dxa"/>
            <w:noWrap w:val="0"/>
            <w:vAlign w:val="center"/>
          </w:tcPr>
          <w:p w14:paraId="132C64E4">
            <w:pPr>
              <w:numPr>
                <w:ilvl w:val="0"/>
                <w:numId w:val="0"/>
              </w:numPr>
              <w:spacing w:line="240" w:lineRule="atLeast"/>
              <w:jc w:val="both"/>
              <w:rPr>
                <w:rFonts w:hint="eastAsia" w:ascii="仿宋" w:hAnsi="仿宋" w:eastAsia="仿宋" w:cs="仿宋"/>
                <w:color w:val="auto"/>
                <w:sz w:val="24"/>
                <w:szCs w:val="24"/>
                <w:highlight w:val="none"/>
                <w:lang w:val="en-US" w:eastAsia="zh-CN"/>
              </w:rPr>
            </w:pPr>
          </w:p>
        </w:tc>
      </w:tr>
    </w:tbl>
    <w:p w14:paraId="47BCD45C">
      <w:pPr>
        <w:pStyle w:val="3"/>
        <w:snapToGrid w:val="0"/>
        <w:spacing w:before="0" w:after="0" w:line="360" w:lineRule="auto"/>
        <w:rPr>
          <w:rFonts w:hint="eastAsia" w:ascii="仿宋" w:hAnsi="仿宋" w:eastAsia="仿宋" w:cs="宋体"/>
          <w:color w:val="auto"/>
          <w:sz w:val="16"/>
          <w:szCs w:val="16"/>
          <w:highlight w:val="none"/>
        </w:rPr>
      </w:pPr>
    </w:p>
    <w:p w14:paraId="149C8D74">
      <w:pPr>
        <w:pStyle w:val="3"/>
        <w:snapToGrid w:val="0"/>
        <w:spacing w:before="0" w:after="0" w:line="360" w:lineRule="auto"/>
        <w:rPr>
          <w:rFonts w:ascii="仿宋" w:hAnsi="仿宋" w:eastAsia="仿宋" w:cs="宋体"/>
          <w:color w:val="auto"/>
          <w:sz w:val="28"/>
          <w:szCs w:val="28"/>
          <w:highlight w:val="none"/>
        </w:rPr>
      </w:pPr>
      <w:bookmarkStart w:id="115" w:name="_Toc23870"/>
      <w:r>
        <w:rPr>
          <w:rFonts w:hint="eastAsia" w:ascii="仿宋" w:hAnsi="仿宋" w:eastAsia="仿宋" w:cs="宋体"/>
          <w:color w:val="auto"/>
          <w:sz w:val="28"/>
          <w:szCs w:val="28"/>
          <w:highlight w:val="none"/>
        </w:rPr>
        <w:t>三、无效竞标</w:t>
      </w:r>
      <w:bookmarkEnd w:id="104"/>
      <w:bookmarkEnd w:id="105"/>
      <w:bookmarkEnd w:id="115"/>
    </w:p>
    <w:p w14:paraId="54EB58E1">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（一）供应商不符合规定的基本资格条件或特定资格条件的；</w:t>
      </w:r>
    </w:p>
    <w:p w14:paraId="63BDA35A">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（二）供应商的法定代表人（或其授权代表）或自然人未参加竞选；</w:t>
      </w:r>
    </w:p>
    <w:p w14:paraId="7D3097F2">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（三）供应商所提交的响应文件不按第七篇“响应文件编制要求”规定签字、盖章；</w:t>
      </w:r>
    </w:p>
    <w:p w14:paraId="4C422077">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（四）供应商的</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报价超过采购预算或最高限价的；</w:t>
      </w:r>
    </w:p>
    <w:p w14:paraId="1FE45152">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（五）法定代表人为同一个人的两个及两个以上法人，母公司、全资子公司及其控股公司，在同一项目采购中同时参与竞选；</w:t>
      </w:r>
    </w:p>
    <w:p w14:paraId="15107356">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（六）单位负责人为同一人或者存在直接控股、管理关系的不同供应商，参加同一合同项下的采购活动的；</w:t>
      </w:r>
    </w:p>
    <w:p w14:paraId="332554BA">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（七）为采购项目提供整体设计、规范编制或者项目管理、监理、检测等服务的供应商，再参加该采购项目的其他采购活动；</w:t>
      </w:r>
    </w:p>
    <w:p w14:paraId="3A303D09">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（八）供应商的服务时间、质量保证期及</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有效期不满足竞争性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文件要求的；</w:t>
      </w:r>
    </w:p>
    <w:p w14:paraId="67A25776">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（九）响应文件内容有与国家现行法律法规相违背的内容，或附有采购人无法接受的条件。</w:t>
      </w:r>
    </w:p>
    <w:p w14:paraId="5A0237DC">
      <w:pPr>
        <w:snapToGrid w:val="0"/>
        <w:spacing w:line="360" w:lineRule="auto"/>
        <w:ind w:firstLine="480" w:firstLineChars="200"/>
        <w:rPr>
          <w:rFonts w:ascii="仿宋" w:hAnsi="仿宋" w:eastAsia="仿宋"/>
          <w:color w:val="auto"/>
          <w:szCs w:val="28"/>
          <w:highlight w:val="none"/>
        </w:rPr>
      </w:pPr>
      <w:r>
        <w:rPr>
          <w:rFonts w:hint="eastAsia" w:ascii="仿宋" w:hAnsi="仿宋" w:eastAsia="仿宋"/>
          <w:color w:val="auto"/>
          <w:szCs w:val="28"/>
          <w:highlight w:val="none"/>
        </w:rPr>
        <w:t>（十）供应商以联合体形式参与竞选的；</w:t>
      </w:r>
    </w:p>
    <w:p w14:paraId="2225E5A4">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（十一）供应商进行合同分包的；</w:t>
      </w:r>
    </w:p>
    <w:p w14:paraId="22E77B94">
      <w:pPr>
        <w:pStyle w:val="3"/>
        <w:snapToGrid w:val="0"/>
        <w:spacing w:before="0" w:after="0" w:line="360" w:lineRule="auto"/>
        <w:rPr>
          <w:rFonts w:ascii="仿宋" w:hAnsi="仿宋" w:eastAsia="仿宋" w:cs="宋体"/>
          <w:color w:val="auto"/>
          <w:sz w:val="28"/>
          <w:szCs w:val="28"/>
          <w:highlight w:val="none"/>
        </w:rPr>
      </w:pPr>
      <w:bookmarkStart w:id="116" w:name="_Toc1927"/>
      <w:bookmarkStart w:id="117" w:name="_Toc6333"/>
      <w:bookmarkStart w:id="118" w:name="_Toc14777"/>
      <w:r>
        <w:rPr>
          <w:rFonts w:hint="eastAsia" w:ascii="仿宋" w:hAnsi="仿宋" w:eastAsia="仿宋" w:cs="宋体"/>
          <w:color w:val="auto"/>
          <w:sz w:val="28"/>
          <w:szCs w:val="28"/>
          <w:highlight w:val="none"/>
        </w:rPr>
        <w:t>四、</w:t>
      </w:r>
      <w:bookmarkEnd w:id="101"/>
      <w:bookmarkEnd w:id="102"/>
      <w:r>
        <w:rPr>
          <w:rFonts w:hint="eastAsia" w:ascii="仿宋" w:hAnsi="仿宋" w:eastAsia="仿宋" w:cs="宋体"/>
          <w:color w:val="auto"/>
          <w:sz w:val="28"/>
          <w:szCs w:val="28"/>
          <w:highlight w:val="none"/>
          <w:lang w:eastAsia="zh-CN"/>
        </w:rPr>
        <w:t>磋商</w:t>
      </w:r>
      <w:r>
        <w:rPr>
          <w:rFonts w:hint="eastAsia" w:ascii="仿宋" w:hAnsi="仿宋" w:eastAsia="仿宋" w:cs="宋体"/>
          <w:color w:val="auto"/>
          <w:sz w:val="28"/>
          <w:szCs w:val="28"/>
          <w:highlight w:val="none"/>
        </w:rPr>
        <w:t>终止</w:t>
      </w:r>
      <w:bookmarkEnd w:id="116"/>
      <w:bookmarkEnd w:id="117"/>
      <w:bookmarkEnd w:id="118"/>
    </w:p>
    <w:p w14:paraId="257C9CAE">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出现下列情形之一的，采购人或者</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代理机构应当终止竞争性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活动，发布项目终止公告并说明原因，重新开展采购活动：</w:t>
      </w:r>
    </w:p>
    <w:p w14:paraId="389396BA">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（一）因情况变化，不再符合规定的竞争性</w:t>
      </w:r>
      <w:r>
        <w:rPr>
          <w:rFonts w:hint="eastAsia" w:ascii="仿宋" w:hAnsi="仿宋" w:eastAsia="仿宋"/>
          <w:color w:val="auto"/>
          <w:szCs w:val="28"/>
          <w:highlight w:val="none"/>
          <w:lang w:eastAsia="zh-CN"/>
        </w:rPr>
        <w:t>磋商</w:t>
      </w:r>
      <w:r>
        <w:rPr>
          <w:rFonts w:hint="eastAsia" w:ascii="仿宋" w:hAnsi="仿宋" w:eastAsia="仿宋"/>
          <w:color w:val="auto"/>
          <w:szCs w:val="28"/>
          <w:highlight w:val="none"/>
        </w:rPr>
        <w:t>方式适用情形的；</w:t>
      </w:r>
    </w:p>
    <w:p w14:paraId="110A3D68">
      <w:pPr>
        <w:snapToGrid w:val="0"/>
        <w:spacing w:line="360" w:lineRule="auto"/>
        <w:ind w:firstLine="465"/>
        <w:rPr>
          <w:rFonts w:ascii="仿宋" w:hAnsi="仿宋" w:eastAsia="仿宋"/>
          <w:color w:val="auto"/>
          <w:szCs w:val="28"/>
          <w:highlight w:val="none"/>
        </w:rPr>
      </w:pPr>
      <w:r>
        <w:rPr>
          <w:rFonts w:hint="eastAsia" w:ascii="仿宋" w:hAnsi="仿宋" w:eastAsia="仿宋"/>
          <w:color w:val="auto"/>
          <w:szCs w:val="28"/>
          <w:highlight w:val="none"/>
        </w:rPr>
        <w:t>（二）出现影响采购公正的违法、违规行为的；</w:t>
      </w:r>
    </w:p>
    <w:p w14:paraId="50E27E78">
      <w:pPr>
        <w:snapToGrid w:val="0"/>
        <w:spacing w:line="360" w:lineRule="auto"/>
        <w:ind w:firstLine="465"/>
        <w:rPr>
          <w:rFonts w:ascii="仿宋" w:hAnsi="仿宋" w:eastAsia="仿宋" w:cs="方正仿宋_GBK"/>
          <w:color w:val="auto"/>
          <w:szCs w:val="28"/>
          <w:highlight w:val="none"/>
        </w:rPr>
      </w:pPr>
      <w:r>
        <w:rPr>
          <w:rFonts w:hint="eastAsia" w:ascii="仿宋" w:hAnsi="仿宋" w:eastAsia="仿宋"/>
          <w:color w:val="auto"/>
          <w:szCs w:val="28"/>
          <w:highlight w:val="none"/>
        </w:rPr>
        <w:t>（三）在采购过程中符合要求的供应商或者报价未超过采购预算的供应商不足3家的，但经评审小组一致认为仍具有竞争力的情形除外。</w:t>
      </w:r>
    </w:p>
    <w:p w14:paraId="1C1AAA92">
      <w:pPr>
        <w:rPr>
          <w:rFonts w:ascii="仿宋" w:hAnsi="仿宋" w:eastAsia="仿宋"/>
          <w:color w:val="auto"/>
          <w:highlight w:val="none"/>
        </w:rPr>
      </w:pPr>
      <w:r>
        <w:rPr>
          <w:rFonts w:hint="eastAsia" w:ascii="仿宋" w:hAnsi="仿宋" w:eastAsia="仿宋"/>
          <w:color w:val="auto"/>
          <w:highlight w:val="none"/>
        </w:rPr>
        <w:br w:type="page"/>
      </w:r>
    </w:p>
    <w:p w14:paraId="460E68DF">
      <w:pPr>
        <w:pStyle w:val="2"/>
        <w:keepLines/>
        <w:snapToGrid/>
        <w:spacing w:line="336" w:lineRule="auto"/>
        <w:jc w:val="center"/>
        <w:rPr>
          <w:rFonts w:ascii="仿宋" w:hAnsi="仿宋" w:eastAsia="仿宋" w:cs="宋体"/>
          <w:b w:val="0"/>
          <w:bCs w:val="0"/>
          <w:color w:val="auto"/>
          <w:highlight w:val="none"/>
        </w:rPr>
      </w:pPr>
      <w:bookmarkStart w:id="119" w:name="_Toc6453"/>
      <w:bookmarkStart w:id="120" w:name="_Toc487204778"/>
      <w:bookmarkStart w:id="121" w:name="_Toc27702"/>
      <w:bookmarkStart w:id="122" w:name="_Toc108545958"/>
      <w:r>
        <w:rPr>
          <w:rStyle w:val="47"/>
          <w:rFonts w:hint="eastAsia" w:ascii="仿宋" w:hAnsi="仿宋" w:eastAsia="仿宋" w:cs="宋体"/>
          <w:b/>
          <w:bCs/>
          <w:color w:val="auto"/>
          <w:highlight w:val="none"/>
        </w:rPr>
        <w:t>第</w:t>
      </w:r>
      <w:r>
        <w:rPr>
          <w:rStyle w:val="47"/>
          <w:rFonts w:hint="eastAsia" w:ascii="仿宋" w:hAnsi="仿宋" w:eastAsia="仿宋" w:cs="宋体"/>
          <w:b/>
          <w:bCs/>
          <w:color w:val="auto"/>
          <w:highlight w:val="none"/>
          <w:lang w:val="en-US"/>
        </w:rPr>
        <w:t>五</w:t>
      </w:r>
      <w:r>
        <w:rPr>
          <w:rStyle w:val="47"/>
          <w:rFonts w:hint="eastAsia" w:ascii="仿宋" w:hAnsi="仿宋" w:eastAsia="仿宋" w:cs="宋体"/>
          <w:b/>
          <w:bCs/>
          <w:color w:val="auto"/>
          <w:highlight w:val="none"/>
        </w:rPr>
        <w:t>篇  供应商须知</w:t>
      </w:r>
      <w:bookmarkEnd w:id="119"/>
      <w:bookmarkEnd w:id="120"/>
      <w:bookmarkEnd w:id="121"/>
      <w:bookmarkEnd w:id="122"/>
    </w:p>
    <w:p w14:paraId="31DA17F1">
      <w:pPr>
        <w:pStyle w:val="3"/>
        <w:spacing w:before="0" w:after="0" w:line="336" w:lineRule="auto"/>
        <w:rPr>
          <w:rFonts w:ascii="仿宋" w:hAnsi="仿宋" w:eastAsia="仿宋" w:cs="宋体"/>
          <w:color w:val="auto"/>
          <w:sz w:val="24"/>
          <w:szCs w:val="24"/>
          <w:highlight w:val="none"/>
        </w:rPr>
      </w:pPr>
      <w:bookmarkStart w:id="123" w:name="_Toc342913389"/>
      <w:bookmarkStart w:id="124" w:name="_Toc108545959"/>
      <w:bookmarkStart w:id="125" w:name="_Toc487204779"/>
      <w:bookmarkStart w:id="126" w:name="_Toc26332"/>
      <w:bookmarkStart w:id="127" w:name="_Toc426965630"/>
      <w:bookmarkStart w:id="128" w:name="_Toc20643"/>
      <w:r>
        <w:rPr>
          <w:rFonts w:hint="eastAsia" w:ascii="仿宋" w:hAnsi="仿宋" w:eastAsia="仿宋" w:cs="宋体"/>
          <w:color w:val="auto"/>
          <w:sz w:val="24"/>
          <w:szCs w:val="24"/>
          <w:highlight w:val="none"/>
        </w:rPr>
        <w:t>一、</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费用</w:t>
      </w:r>
      <w:bookmarkEnd w:id="123"/>
      <w:bookmarkEnd w:id="124"/>
      <w:bookmarkEnd w:id="125"/>
      <w:bookmarkEnd w:id="126"/>
      <w:bookmarkEnd w:id="127"/>
      <w:bookmarkEnd w:id="128"/>
    </w:p>
    <w:p w14:paraId="16D545B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参与</w:t>
      </w:r>
      <w:r>
        <w:rPr>
          <w:rFonts w:hint="eastAsia" w:ascii="仿宋" w:hAnsi="仿宋" w:eastAsia="仿宋"/>
          <w:color w:val="auto"/>
          <w:highlight w:val="none"/>
          <w:lang w:eastAsia="zh-CN"/>
        </w:rPr>
        <w:t>磋商</w:t>
      </w:r>
      <w:r>
        <w:rPr>
          <w:rFonts w:hint="eastAsia" w:ascii="仿宋" w:hAnsi="仿宋" w:eastAsia="仿宋"/>
          <w:color w:val="auto"/>
          <w:highlight w:val="none"/>
        </w:rPr>
        <w:t>的供应商应承担其编制响应文件与递交响应文件所涉及的一切费用，不论</w:t>
      </w:r>
      <w:r>
        <w:rPr>
          <w:rFonts w:hint="eastAsia" w:ascii="仿宋" w:hAnsi="仿宋" w:eastAsia="仿宋"/>
          <w:color w:val="auto"/>
          <w:highlight w:val="none"/>
          <w:lang w:eastAsia="zh-CN"/>
        </w:rPr>
        <w:t>磋商</w:t>
      </w:r>
      <w:r>
        <w:rPr>
          <w:rFonts w:hint="eastAsia" w:ascii="仿宋" w:hAnsi="仿宋" w:eastAsia="仿宋"/>
          <w:color w:val="auto"/>
          <w:highlight w:val="none"/>
        </w:rPr>
        <w:t>结果如何，采购人和采购代理机构在任何情况下无义务也无责任承担这些费用。</w:t>
      </w:r>
      <w:r>
        <w:rPr>
          <w:rFonts w:hint="eastAsia" w:ascii="仿宋" w:hAnsi="仿宋" w:eastAsia="仿宋"/>
          <w:color w:val="auto"/>
          <w:highlight w:val="none"/>
        </w:rPr>
        <w:tab/>
      </w:r>
    </w:p>
    <w:p w14:paraId="0EE0CDDC">
      <w:pPr>
        <w:snapToGrid w:val="0"/>
        <w:spacing w:line="336" w:lineRule="auto"/>
        <w:outlineLvl w:val="1"/>
        <w:rPr>
          <w:rFonts w:ascii="仿宋" w:hAnsi="仿宋" w:eastAsia="仿宋"/>
          <w:b/>
          <w:bCs/>
          <w:color w:val="auto"/>
          <w:highlight w:val="none"/>
          <w:lang w:val="zh-CN"/>
        </w:rPr>
      </w:pPr>
      <w:bookmarkStart w:id="129" w:name="_Toc17128"/>
      <w:r>
        <w:rPr>
          <w:rFonts w:hint="eastAsia" w:ascii="仿宋" w:hAnsi="仿宋" w:eastAsia="仿宋"/>
          <w:b/>
          <w:bCs/>
          <w:color w:val="auto"/>
          <w:highlight w:val="none"/>
          <w:lang w:val="zh-CN"/>
        </w:rPr>
        <w:t>二、竞争性磋商文件</w:t>
      </w:r>
      <w:bookmarkEnd w:id="129"/>
    </w:p>
    <w:p w14:paraId="614629D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文件由</w:t>
      </w:r>
      <w:r>
        <w:rPr>
          <w:rFonts w:hint="eastAsia" w:ascii="仿宋" w:hAnsi="仿宋" w:eastAsia="仿宋"/>
          <w:color w:val="auto"/>
          <w:highlight w:val="none"/>
          <w:lang w:eastAsia="zh-CN"/>
        </w:rPr>
        <w:t>磋商</w:t>
      </w:r>
      <w:r>
        <w:rPr>
          <w:rFonts w:hint="eastAsia" w:ascii="仿宋" w:hAnsi="仿宋" w:eastAsia="仿宋"/>
          <w:color w:val="auto"/>
          <w:highlight w:val="none"/>
        </w:rPr>
        <w:t>邀请书，项目技术需求，项目商务需求，竞争性</w:t>
      </w:r>
      <w:r>
        <w:rPr>
          <w:rFonts w:hint="eastAsia" w:ascii="仿宋" w:hAnsi="仿宋" w:eastAsia="仿宋"/>
          <w:color w:val="auto"/>
          <w:highlight w:val="none"/>
          <w:lang w:eastAsia="zh-CN"/>
        </w:rPr>
        <w:t>磋商</w:t>
      </w:r>
      <w:r>
        <w:rPr>
          <w:rFonts w:hint="eastAsia" w:ascii="仿宋" w:hAnsi="仿宋" w:eastAsia="仿宋"/>
          <w:color w:val="auto"/>
          <w:highlight w:val="none"/>
        </w:rPr>
        <w:t>程序及方法、评审标准、无效响应和采购终止，供应商须知，合同</w:t>
      </w:r>
      <w:r>
        <w:rPr>
          <w:rFonts w:hint="eastAsia" w:ascii="仿宋" w:hAnsi="仿宋" w:eastAsia="仿宋"/>
          <w:color w:val="auto"/>
          <w:highlight w:val="none"/>
          <w:lang w:val="en-US" w:eastAsia="zh-CN"/>
        </w:rPr>
        <w:t>主要</w:t>
      </w:r>
      <w:r>
        <w:rPr>
          <w:rFonts w:hint="eastAsia" w:ascii="仿宋" w:hAnsi="仿宋" w:eastAsia="仿宋"/>
          <w:color w:val="auto"/>
          <w:highlight w:val="none"/>
        </w:rPr>
        <w:t>条款和格式合同，电子响应文件编制要求七部分组成。</w:t>
      </w:r>
    </w:p>
    <w:p w14:paraId="5BC1054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（二）采购人（或采购代理机构）所作的一切有效的书面通知、修改及补充，都是竞争性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文件不可分割的部分。</w:t>
      </w:r>
    </w:p>
    <w:p w14:paraId="16F4A0F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（三）竞争性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文件的解释</w:t>
      </w:r>
    </w:p>
    <w:p w14:paraId="41D08065">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供应商如对竞争性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有疑问，必须以书面形式在提交响应文件截止时间1个工作日前向采购人（或采购代理机构）要求澄清，采购人（或采购代理机构）可视具体情况做出处理或答复。如供应商未提出疑问，视为完全理解并同意本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文件。一经进入</w:t>
      </w:r>
      <w:r>
        <w:rPr>
          <w:rFonts w:hint="eastAsia" w:ascii="仿宋" w:hAnsi="仿宋" w:eastAsia="仿宋"/>
          <w:color w:val="auto"/>
          <w:highlight w:val="none"/>
          <w:lang w:eastAsia="zh-CN"/>
        </w:rPr>
        <w:t>磋商</w:t>
      </w:r>
      <w:r>
        <w:rPr>
          <w:rFonts w:hint="eastAsia" w:ascii="仿宋" w:hAnsi="仿宋" w:eastAsia="仿宋"/>
          <w:color w:val="auto"/>
          <w:highlight w:val="none"/>
        </w:rPr>
        <w:t>程序，即视为供应商已详细阅读全部文件资料，完全理解竞争性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文件所有条款内容并同意放弃对这方面有不明白及误解的权利。</w:t>
      </w:r>
    </w:p>
    <w:p w14:paraId="76DA79E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（四）评审的依据为竞争性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文件和响应文件（含有效的书面承诺）。评审小组判断响应文件对竞争性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文件的响应，仅基于响应文件本身而不靠外部证据。</w:t>
      </w:r>
    </w:p>
    <w:p w14:paraId="3683A39B">
      <w:pPr>
        <w:pStyle w:val="3"/>
        <w:spacing w:before="0" w:after="0" w:line="336" w:lineRule="auto"/>
        <w:rPr>
          <w:rFonts w:ascii="仿宋" w:hAnsi="仿宋" w:eastAsia="仿宋" w:cs="宋体"/>
          <w:color w:val="auto"/>
          <w:sz w:val="24"/>
          <w:szCs w:val="24"/>
          <w:highlight w:val="none"/>
        </w:rPr>
      </w:pPr>
      <w:bookmarkStart w:id="130" w:name="_Toc108545961"/>
      <w:bookmarkStart w:id="131" w:name="_Toc2366"/>
      <w:bookmarkStart w:id="132" w:name="_Toc26774"/>
      <w:bookmarkStart w:id="133" w:name="_Toc487204781"/>
      <w:bookmarkStart w:id="134" w:name="_Toc102227318"/>
      <w:bookmarkStart w:id="135" w:name="_Toc426965632"/>
      <w:bookmarkStart w:id="136" w:name="_Toc342913392"/>
      <w:bookmarkStart w:id="137" w:name="_Toc179714297"/>
      <w:r>
        <w:rPr>
          <w:rFonts w:hint="eastAsia" w:ascii="仿宋" w:hAnsi="仿宋" w:eastAsia="仿宋" w:cs="宋体"/>
          <w:color w:val="auto"/>
          <w:sz w:val="24"/>
          <w:szCs w:val="24"/>
          <w:highlight w:val="none"/>
        </w:rPr>
        <w:t>三、</w:t>
      </w: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要求</w:t>
      </w:r>
      <w:bookmarkEnd w:id="130"/>
      <w:bookmarkEnd w:id="131"/>
      <w:bookmarkEnd w:id="132"/>
      <w:bookmarkEnd w:id="133"/>
      <w:bookmarkEnd w:id="134"/>
      <w:bookmarkEnd w:id="135"/>
      <w:bookmarkEnd w:id="136"/>
      <w:bookmarkEnd w:id="137"/>
    </w:p>
    <w:p w14:paraId="7328418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（一）响应文件</w:t>
      </w:r>
    </w:p>
    <w:p w14:paraId="6A67D30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供应商应当按照</w:t>
      </w:r>
      <w:r>
        <w:rPr>
          <w:rFonts w:hint="eastAsia" w:ascii="仿宋" w:hAnsi="仿宋" w:eastAsia="仿宋"/>
          <w:color w:val="auto"/>
          <w:highlight w:val="none"/>
          <w:lang w:eastAsia="zh-CN"/>
        </w:rPr>
        <w:t>磋商</w:t>
      </w:r>
      <w:r>
        <w:rPr>
          <w:rFonts w:hint="eastAsia" w:ascii="仿宋" w:hAnsi="仿宋" w:eastAsia="仿宋"/>
          <w:color w:val="auto"/>
          <w:highlight w:val="none"/>
        </w:rPr>
        <w:t>文件的要求编制响应文件，并对</w:t>
      </w:r>
      <w:r>
        <w:rPr>
          <w:rFonts w:hint="eastAsia" w:ascii="仿宋" w:hAnsi="仿宋" w:eastAsia="仿宋"/>
          <w:color w:val="auto"/>
          <w:highlight w:val="none"/>
          <w:lang w:eastAsia="zh-CN"/>
        </w:rPr>
        <w:t>磋商</w:t>
      </w:r>
      <w:r>
        <w:rPr>
          <w:rFonts w:hint="eastAsia" w:ascii="仿宋" w:hAnsi="仿宋" w:eastAsia="仿宋"/>
          <w:color w:val="auto"/>
          <w:highlight w:val="none"/>
        </w:rPr>
        <w:t>文件提出的要求和条件作出实质性响应，响应文件原则上采用软面订本，同时应编制完整的页码、目录。</w:t>
      </w:r>
    </w:p>
    <w:p w14:paraId="2C17A9D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1、响应文件组成</w:t>
      </w:r>
    </w:p>
    <w:p w14:paraId="22DC092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响应文件由第七篇“响应文件格式要求”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6E571745">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2、联合体</w:t>
      </w:r>
    </w:p>
    <w:p w14:paraId="1E249B91">
      <w:pPr>
        <w:snapToGrid w:val="0"/>
        <w:spacing w:line="336" w:lineRule="auto"/>
        <w:ind w:firstLine="482" w:firstLineChars="200"/>
        <w:rPr>
          <w:rFonts w:ascii="仿宋" w:hAnsi="仿宋" w:eastAsia="仿宋"/>
          <w:b/>
          <w:bCs/>
          <w:color w:val="auto"/>
          <w:highlight w:val="none"/>
        </w:rPr>
      </w:pPr>
      <w:r>
        <w:rPr>
          <w:rFonts w:hint="eastAsia" w:ascii="仿宋" w:hAnsi="仿宋" w:eastAsia="仿宋"/>
          <w:b/>
          <w:bCs/>
          <w:color w:val="auto"/>
          <w:highlight w:val="none"/>
        </w:rPr>
        <w:t>本项目不接受联合体竞标。</w:t>
      </w:r>
    </w:p>
    <w:p w14:paraId="7D70D9EC">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w:t>
      </w:r>
      <w:r>
        <w:rPr>
          <w:rFonts w:hint="eastAsia" w:ascii="仿宋" w:hAnsi="仿宋" w:eastAsia="仿宋"/>
          <w:color w:val="auto"/>
          <w:highlight w:val="none"/>
          <w:lang w:eastAsia="zh-CN"/>
        </w:rPr>
        <w:t>磋商</w:t>
      </w:r>
      <w:r>
        <w:rPr>
          <w:rFonts w:hint="eastAsia" w:ascii="仿宋" w:hAnsi="仿宋" w:eastAsia="仿宋"/>
          <w:color w:val="auto"/>
          <w:highlight w:val="none"/>
        </w:rPr>
        <w:t>有效期：响应文件及有关承诺文件有效期为</w:t>
      </w:r>
      <w:r>
        <w:rPr>
          <w:rFonts w:hint="eastAsia" w:ascii="仿宋" w:hAnsi="仿宋" w:eastAsia="仿宋"/>
          <w:color w:val="auto"/>
          <w:highlight w:val="none"/>
          <w:lang w:eastAsia="zh-CN"/>
        </w:rPr>
        <w:t>磋商</w:t>
      </w:r>
      <w:r>
        <w:rPr>
          <w:rFonts w:hint="eastAsia" w:ascii="仿宋" w:hAnsi="仿宋" w:eastAsia="仿宋"/>
          <w:color w:val="auto"/>
          <w:highlight w:val="none"/>
        </w:rPr>
        <w:t>开始时间起90天。</w:t>
      </w:r>
    </w:p>
    <w:p w14:paraId="6D65212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（二）保证金：</w:t>
      </w:r>
    </w:p>
    <w:p w14:paraId="37021789">
      <w:pPr>
        <w:snapToGrid w:val="0"/>
        <w:spacing w:line="336" w:lineRule="auto"/>
        <w:ind w:left="480" w:leftChars="200"/>
        <w:rPr>
          <w:rFonts w:ascii="仿宋" w:hAnsi="仿宋" w:eastAsia="仿宋"/>
          <w:color w:val="auto"/>
          <w:highlight w:val="none"/>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lang w:eastAsia="zh-CN"/>
        </w:rPr>
        <w:t>设置投标保证金。</w:t>
      </w:r>
    </w:p>
    <w:p w14:paraId="664DA96D">
      <w:pPr>
        <w:snapToGrid w:val="0"/>
        <w:spacing w:line="336" w:lineRule="auto"/>
        <w:ind w:left="480" w:leftChars="200"/>
        <w:rPr>
          <w:rFonts w:ascii="仿宋" w:hAnsi="仿宋" w:eastAsia="仿宋"/>
          <w:color w:val="auto"/>
          <w:highlight w:val="none"/>
        </w:rPr>
      </w:pPr>
      <w:r>
        <w:rPr>
          <w:rFonts w:hint="eastAsia" w:ascii="仿宋" w:hAnsi="仿宋" w:eastAsia="仿宋"/>
          <w:color w:val="auto"/>
          <w:highlight w:val="none"/>
        </w:rPr>
        <w:t>（三）报价要求</w:t>
      </w:r>
    </w:p>
    <w:p w14:paraId="4C699F73">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供应商需综合考虑完成本项目所需的服务费、货物费、人工费及提供服务所需的设备或各种应纳的税费费等进行综合报价。因中标人自身原因造成漏报、少报皆由其自行承担责任，招标人不再补偿。</w:t>
      </w:r>
    </w:p>
    <w:p w14:paraId="0B16EB5A">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（四）修正错误</w:t>
      </w:r>
    </w:p>
    <w:p w14:paraId="094F96BE">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若响应文件出现计算或表达上的错误，修正错误的原则如下：</w:t>
      </w:r>
    </w:p>
    <w:p w14:paraId="4D56AF9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1.响应文件中报价函的内容与响应文件中相应内容不一致的，以报价函为准；</w:t>
      </w:r>
    </w:p>
    <w:p w14:paraId="119B396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2.大写金额和小写金额不一致的，以大写金额为准；</w:t>
      </w:r>
    </w:p>
    <w:p w14:paraId="0AF50BF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3.单价金额小数点或者百分比有明显错位的，以报价函总价为准，并修改单价；</w:t>
      </w:r>
    </w:p>
    <w:p w14:paraId="75D7DDE3">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4.总价金额与按单价汇总金额不一致的，以单价金额计算结果为准。</w:t>
      </w:r>
    </w:p>
    <w:p w14:paraId="7568364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39F79338">
      <w:pPr>
        <w:numPr>
          <w:ilvl w:val="0"/>
          <w:numId w:val="3"/>
        </w:numPr>
        <w:snapToGrid w:val="0"/>
        <w:spacing w:line="336" w:lineRule="auto"/>
        <w:ind w:firstLine="360" w:firstLineChars="150"/>
        <w:rPr>
          <w:rFonts w:ascii="仿宋" w:hAnsi="仿宋" w:eastAsia="仿宋"/>
          <w:color w:val="auto"/>
          <w:highlight w:val="none"/>
        </w:rPr>
      </w:pPr>
      <w:r>
        <w:rPr>
          <w:rFonts w:hint="eastAsia" w:ascii="仿宋" w:hAnsi="仿宋" w:eastAsia="仿宋"/>
          <w:color w:val="auto"/>
          <w:highlight w:val="none"/>
        </w:rPr>
        <w:t>提交响应文件的份数和签署和递交</w:t>
      </w:r>
    </w:p>
    <w:p w14:paraId="69D79931">
      <w:pPr>
        <w:snapToGrid w:val="0"/>
        <w:spacing w:line="336" w:lineRule="auto"/>
        <w:ind w:firstLine="482" w:firstLineChars="200"/>
        <w:rPr>
          <w:rFonts w:ascii="仿宋" w:hAnsi="仿宋" w:eastAsia="仿宋"/>
          <w:b/>
          <w:bCs/>
          <w:color w:val="auto"/>
          <w:highlight w:val="none"/>
        </w:rPr>
      </w:pPr>
      <w:r>
        <w:rPr>
          <w:rFonts w:hint="eastAsia" w:ascii="仿宋" w:hAnsi="仿宋" w:eastAsia="仿宋"/>
          <w:b/>
          <w:bCs/>
          <w:color w:val="auto"/>
          <w:highlight w:val="none"/>
        </w:rPr>
        <w:t>投标现场响应文件提交规则：</w:t>
      </w:r>
    </w:p>
    <w:p w14:paraId="0F1CE27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w:t>
      </w:r>
      <w:r>
        <w:rPr>
          <w:rFonts w:hint="eastAsia" w:ascii="仿宋" w:hAnsi="仿宋" w:eastAsia="仿宋"/>
          <w:b/>
          <w:bCs/>
          <w:color w:val="auto"/>
          <w:highlight w:val="none"/>
        </w:rPr>
        <w:t>响应文件一式三份，其中正本一份，副本两份</w:t>
      </w:r>
      <w:r>
        <w:rPr>
          <w:rFonts w:hint="eastAsia" w:ascii="仿宋" w:hAnsi="仿宋" w:eastAsia="仿宋"/>
          <w:color w:val="auto"/>
          <w:highlight w:val="none"/>
        </w:rPr>
        <w:t>；副本可为正本的复印件，应与正本一致，如出现不一致情况以正本为准。</w:t>
      </w:r>
    </w:p>
    <w:p w14:paraId="6227C345">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2.在响应文件正本中，</w:t>
      </w:r>
      <w:r>
        <w:rPr>
          <w:rFonts w:hint="eastAsia" w:ascii="仿宋" w:hAnsi="仿宋" w:eastAsia="仿宋"/>
          <w:color w:val="auto"/>
          <w:highlight w:val="none"/>
          <w:lang w:eastAsia="zh-CN"/>
        </w:rPr>
        <w:t>磋商</w:t>
      </w:r>
      <w:r>
        <w:rPr>
          <w:rFonts w:hint="eastAsia" w:ascii="仿宋" w:hAnsi="仿宋" w:eastAsia="仿宋"/>
          <w:color w:val="auto"/>
          <w:highlight w:val="none"/>
        </w:rPr>
        <w:t>文件第七篇响应文件格式中规定签字、盖章的地方必须按其规定签字、盖章。</w:t>
      </w:r>
    </w:p>
    <w:p w14:paraId="2A7B0D1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3.响应文件的密封与标记</w:t>
      </w:r>
    </w:p>
    <w:p w14:paraId="4DB1780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响应文件的正本、副本均应密封送达</w:t>
      </w:r>
      <w:r>
        <w:rPr>
          <w:rFonts w:hint="eastAsia" w:ascii="仿宋" w:hAnsi="仿宋" w:eastAsia="仿宋"/>
          <w:color w:val="auto"/>
          <w:highlight w:val="none"/>
          <w:lang w:eastAsia="zh-CN"/>
        </w:rPr>
        <w:t>磋商</w:t>
      </w:r>
      <w:r>
        <w:rPr>
          <w:rFonts w:hint="eastAsia" w:ascii="仿宋" w:hAnsi="仿宋" w:eastAsia="仿宋"/>
          <w:color w:val="auto"/>
          <w:highlight w:val="none"/>
        </w:rPr>
        <w:t>地点，应在封套上注明项目名称、供应商名称。若正本、副本分别进行密封的，还应在封套上注明“正本”、“副本”字样。</w:t>
      </w:r>
    </w:p>
    <w:p w14:paraId="2C56947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4.如果未按上述规定进行密封的，采购人、采购代理机构将拒收其响应文件。</w:t>
      </w:r>
    </w:p>
    <w:p w14:paraId="108B4120">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5.响应文件投递截止时间：见</w:t>
      </w:r>
      <w:r>
        <w:rPr>
          <w:rFonts w:hint="eastAsia" w:ascii="仿宋" w:hAnsi="仿宋" w:eastAsia="仿宋"/>
          <w:color w:val="auto"/>
          <w:highlight w:val="none"/>
          <w:lang w:eastAsia="zh-CN"/>
        </w:rPr>
        <w:t>磋商</w:t>
      </w:r>
      <w:r>
        <w:rPr>
          <w:rFonts w:hint="eastAsia" w:ascii="仿宋" w:hAnsi="仿宋" w:eastAsia="仿宋"/>
          <w:color w:val="auto"/>
          <w:highlight w:val="none"/>
        </w:rPr>
        <w:t>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94E2791">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（六）响应文件语言：简体中文</w:t>
      </w:r>
    </w:p>
    <w:p w14:paraId="5650AF5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（七）供应商参与人员</w:t>
      </w:r>
    </w:p>
    <w:p w14:paraId="7063188F">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各参选供应商可派1-2名代表参与</w:t>
      </w:r>
      <w:r>
        <w:rPr>
          <w:rFonts w:hint="eastAsia" w:ascii="仿宋" w:hAnsi="仿宋" w:eastAsia="仿宋"/>
          <w:color w:val="auto"/>
          <w:highlight w:val="none"/>
          <w:lang w:eastAsia="zh-CN"/>
        </w:rPr>
        <w:t>磋商</w:t>
      </w:r>
      <w:r>
        <w:rPr>
          <w:rFonts w:hint="eastAsia" w:ascii="仿宋" w:hAnsi="仿宋" w:eastAsia="仿宋"/>
          <w:color w:val="auto"/>
          <w:highlight w:val="none"/>
        </w:rPr>
        <w:t>，至少1人应为法定代表人或具有法定代表人授权委托书的授权代表。</w:t>
      </w:r>
    </w:p>
    <w:p w14:paraId="24B2072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（八）无效响应</w:t>
      </w:r>
    </w:p>
    <w:p w14:paraId="5CC86D7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供应商发生以下条款情况之一者，视为无效响应，其响应文件将被拒绝：</w:t>
      </w:r>
    </w:p>
    <w:p w14:paraId="101BEDA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1、供应商不符合资格要求的；</w:t>
      </w:r>
    </w:p>
    <w:p w14:paraId="1A78284F">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2、供应商未按照</w:t>
      </w:r>
      <w:r>
        <w:rPr>
          <w:rFonts w:hint="eastAsia" w:ascii="仿宋" w:hAnsi="仿宋" w:eastAsia="仿宋"/>
          <w:color w:val="auto"/>
          <w:highlight w:val="none"/>
          <w:lang w:eastAsia="zh-CN"/>
        </w:rPr>
        <w:t>磋商</w:t>
      </w:r>
      <w:r>
        <w:rPr>
          <w:rFonts w:hint="eastAsia" w:ascii="仿宋" w:hAnsi="仿宋" w:eastAsia="仿宋"/>
          <w:color w:val="auto"/>
          <w:highlight w:val="none"/>
        </w:rPr>
        <w:t>文件的要求缴纳保证金的；</w:t>
      </w:r>
    </w:p>
    <w:p w14:paraId="0EAF2AFB">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3、供应商所提交的响应文件不按规定签字、盖章的；</w:t>
      </w:r>
    </w:p>
    <w:p w14:paraId="71108F36">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4、供应商的报价超过采购预算（若有采购预算单价，则含采购预算单价）的；</w:t>
      </w:r>
    </w:p>
    <w:p w14:paraId="2352F50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5、供应商响应文件附有采购人无法接受的条件的；</w:t>
      </w:r>
    </w:p>
    <w:p w14:paraId="408E7198">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6、供应商串通投标的；</w:t>
      </w:r>
    </w:p>
    <w:p w14:paraId="33A8B793">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7、供应商组成联合体投标的；</w:t>
      </w:r>
    </w:p>
    <w:p w14:paraId="6A9756B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8、法律、法规和</w:t>
      </w:r>
      <w:r>
        <w:rPr>
          <w:rFonts w:hint="eastAsia" w:ascii="仿宋" w:hAnsi="仿宋" w:eastAsia="仿宋"/>
          <w:color w:val="auto"/>
          <w:highlight w:val="none"/>
          <w:lang w:eastAsia="zh-CN"/>
        </w:rPr>
        <w:t>磋商</w:t>
      </w:r>
      <w:r>
        <w:rPr>
          <w:rFonts w:hint="eastAsia" w:ascii="仿宋" w:hAnsi="仿宋" w:eastAsia="仿宋"/>
          <w:color w:val="auto"/>
          <w:highlight w:val="none"/>
        </w:rPr>
        <w:t>文件规定的其他无效情形。</w:t>
      </w:r>
      <w:bookmarkStart w:id="138" w:name="_Toc492721019"/>
      <w:bookmarkStart w:id="139" w:name="_Toc493506302"/>
    </w:p>
    <w:p w14:paraId="4AE5D1C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（九）废标条款</w:t>
      </w:r>
      <w:bookmarkEnd w:id="138"/>
      <w:bookmarkEnd w:id="139"/>
    </w:p>
    <w:p w14:paraId="6DAD23A4">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出现下列情形之一的，采购人或者采购代理机构应当终止</w:t>
      </w:r>
      <w:r>
        <w:rPr>
          <w:rFonts w:hint="eastAsia" w:ascii="仿宋" w:hAnsi="仿宋" w:eastAsia="仿宋"/>
          <w:color w:val="auto"/>
          <w:highlight w:val="none"/>
          <w:lang w:eastAsia="zh-CN"/>
        </w:rPr>
        <w:t>竞争性磋商采购</w:t>
      </w:r>
      <w:r>
        <w:rPr>
          <w:rFonts w:hint="eastAsia" w:ascii="仿宋" w:hAnsi="仿宋" w:eastAsia="仿宋"/>
          <w:color w:val="auto"/>
          <w:highlight w:val="none"/>
        </w:rPr>
        <w:t>活动，发布项目终止公告并说明原因，重新开展采购活动：</w:t>
      </w:r>
    </w:p>
    <w:p w14:paraId="263D49CF">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1、因情况变化，不再符合规定的</w:t>
      </w:r>
      <w:r>
        <w:rPr>
          <w:rFonts w:hint="eastAsia" w:ascii="仿宋" w:hAnsi="仿宋" w:eastAsia="仿宋"/>
          <w:color w:val="auto"/>
          <w:highlight w:val="none"/>
          <w:lang w:eastAsia="zh-CN"/>
        </w:rPr>
        <w:t>竞争性磋商采购</w:t>
      </w:r>
      <w:r>
        <w:rPr>
          <w:rFonts w:hint="eastAsia" w:ascii="仿宋" w:hAnsi="仿宋" w:eastAsia="仿宋"/>
          <w:color w:val="auto"/>
          <w:highlight w:val="none"/>
        </w:rPr>
        <w:t>方式适用情形的；</w:t>
      </w:r>
    </w:p>
    <w:p w14:paraId="18454E29">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2、出现影响采购公正的违法、违规行为的；</w:t>
      </w:r>
    </w:p>
    <w:p w14:paraId="35D44B12">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3、在采购过程中符合竞争要求的供应商或者报价未超过采购预算的供应商不足2家的。</w:t>
      </w:r>
    </w:p>
    <w:p w14:paraId="2C50B2A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废标后，除采购任务取消情形外，应当重新组织采购。</w:t>
      </w:r>
    </w:p>
    <w:p w14:paraId="2EE28497">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（十）采购代理服务费</w:t>
      </w:r>
    </w:p>
    <w:p w14:paraId="192E1A5D">
      <w:pPr>
        <w:spacing w:line="360" w:lineRule="auto"/>
        <w:ind w:right="12" w:firstLine="480"/>
        <w:rPr>
          <w:rFonts w:hint="eastAsia" w:ascii="仿宋" w:hAnsi="仿宋" w:eastAsia="仿宋" w:cs="仿宋"/>
          <w:color w:val="auto"/>
          <w:sz w:val="24"/>
          <w:highlight w:val="none"/>
          <w:lang w:val="en-US" w:eastAsia="zh-CN"/>
        </w:rPr>
      </w:pPr>
      <w:bookmarkStart w:id="140" w:name="_Toc15419"/>
      <w:bookmarkStart w:id="141" w:name="_Toc31826"/>
      <w:r>
        <w:rPr>
          <w:rFonts w:hint="eastAsia" w:ascii="仿宋" w:hAnsi="仿宋" w:eastAsia="仿宋" w:cs="仿宋"/>
          <w:color w:val="auto"/>
          <w:sz w:val="24"/>
          <w:highlight w:val="none"/>
          <w:lang w:val="en-US" w:eastAsia="zh-CN"/>
        </w:rPr>
        <w:t>（一）采购代理费：以项目成交供应商的成交金额（含税）为计算基数，以下表“工程招标”标准按差额累进法计算，由成交供应商领取成交通知书时一次性支付给代理人。（《招标代理服务收费管理暂行办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935"/>
        <w:gridCol w:w="2091"/>
        <w:gridCol w:w="1867"/>
      </w:tblGrid>
      <w:tr w14:paraId="63A8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2835" w:type="dxa"/>
            <w:noWrap w:val="0"/>
            <w:vAlign w:val="top"/>
          </w:tcPr>
          <w:p w14:paraId="1089BC53">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2336" behindDoc="1" locked="0" layoutInCell="1" allowOverlap="1">
                      <wp:simplePos x="0" y="0"/>
                      <wp:positionH relativeFrom="column">
                        <wp:posOffset>223520</wp:posOffset>
                      </wp:positionH>
                      <wp:positionV relativeFrom="paragraph">
                        <wp:posOffset>153670</wp:posOffset>
                      </wp:positionV>
                      <wp:extent cx="563880" cy="29908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63880" cy="299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77FBF">
                                  <w:pPr>
                                    <w:spacing w:line="360" w:lineRule="auto"/>
                                    <w:ind w:right="12"/>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费率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pt;margin-top:12.1pt;height:23.55pt;width:44.4pt;z-index:-251654144;mso-width-relative:page;mso-height-relative:page;" filled="f" stroked="f" coordsize="21600,21600" o:gfxdata="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l1PyjaAAAACAEAAA8AAAAAAAAAAQAgAAAAIgAAAGRy&#10;cy9kb3ducmV2LnhtbFBLAQIUABQAAAAIAIdO4kDGDptaPAIAAGcEAAAOAAAAAAAAAAEAIAAAACkB&#10;AABkcnMvZTJvRG9jLnhtbFBLBQYAAAAABgAGAFkBAADXBQAAAAA=&#10;">
                      <v:fill on="f" focussize="0,0"/>
                      <v:stroke on="f" weight="0.5pt"/>
                      <v:imagedata o:title=""/>
                      <o:lock v:ext="edit" aspectratio="f"/>
                      <v:textbox>
                        <w:txbxContent>
                          <w:p w14:paraId="39B77FBF">
                            <w:pPr>
                              <w:spacing w:line="360" w:lineRule="auto"/>
                              <w:ind w:right="12"/>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费率</w:t>
                            </w:r>
                          </w:p>
                        </w:txbxContent>
                      </v:textbox>
                    </v:shape>
                  </w:pict>
                </mc:Fallback>
              </mc:AlternateContent>
            </w: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1312" behindDoc="1" locked="0" layoutInCell="1" allowOverlap="1">
                      <wp:simplePos x="0" y="0"/>
                      <wp:positionH relativeFrom="column">
                        <wp:posOffset>852805</wp:posOffset>
                      </wp:positionH>
                      <wp:positionV relativeFrom="paragraph">
                        <wp:posOffset>4445</wp:posOffset>
                      </wp:positionV>
                      <wp:extent cx="786765" cy="290830"/>
                      <wp:effectExtent l="0" t="0" r="13335" b="13970"/>
                      <wp:wrapNone/>
                      <wp:docPr id="12" name="文本框 12"/>
                      <wp:cNvGraphicFramePr/>
                      <a:graphic xmlns:a="http://schemas.openxmlformats.org/drawingml/2006/main">
                        <a:graphicData uri="http://schemas.microsoft.com/office/word/2010/wordprocessingShape">
                          <wps:wsp>
                            <wps:cNvSpPr txBox="1"/>
                            <wps:spPr>
                              <a:xfrm>
                                <a:off x="2012950" y="6186170"/>
                                <a:ext cx="786765" cy="2908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DEC3A3C">
                                  <w:pPr>
                                    <w:rPr>
                                      <w:rFonts w:hint="eastAsia" w:eastAsia="宋体"/>
                                      <w:sz w:val="21"/>
                                      <w:szCs w:val="15"/>
                                      <w:lang w:val="en-US" w:eastAsia="zh-CN"/>
                                    </w:rPr>
                                  </w:pPr>
                                  <w:r>
                                    <w:rPr>
                                      <w:rFonts w:hint="eastAsia"/>
                                      <w:sz w:val="21"/>
                                      <w:szCs w:val="15"/>
                                      <w:lang w:val="en-US" w:eastAsia="zh-CN"/>
                                    </w:rPr>
                                    <w:t>服务类型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15pt;margin-top:0.35pt;height:22.9pt;width:61.95pt;z-index:-251655168;mso-width-relative:page;mso-height-relative:page;" fillcolor="#FFFFFF [3201]" filled="t" stroked="f" coordsize="21600,21600" o:gfxdata="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S2U6rTAAAA&#10;BwEAAA8AAAAAAAAAAQAgAAAAIgAAAGRycy9kb3ducmV2LnhtbFBLAQIUABQAAAAIAIdO4kDHcvNM&#10;WwIAAJwEAAAOAAAAAAAAAAEAIAAAACIBAABkcnMvZTJvRG9jLnhtbFBLBQYAAAAABgAGAFkBAADv&#10;BQAAAAA=&#10;">
                      <v:fill on="t" focussize="0,0"/>
                      <v:stroke on="f" weight="0.5pt"/>
                      <v:imagedata o:title=""/>
                      <o:lock v:ext="edit" aspectratio="f"/>
                      <v:textbox>
                        <w:txbxContent>
                          <w:p w14:paraId="5DEC3A3C">
                            <w:pPr>
                              <w:rPr>
                                <w:rFonts w:hint="eastAsia" w:eastAsia="宋体"/>
                                <w:sz w:val="21"/>
                                <w:szCs w:val="15"/>
                                <w:lang w:val="en-US" w:eastAsia="zh-CN"/>
                              </w:rPr>
                            </w:pPr>
                            <w:r>
                              <w:rPr>
                                <w:rFonts w:hint="eastAsia"/>
                                <w:sz w:val="21"/>
                                <w:szCs w:val="15"/>
                                <w:lang w:val="en-US" w:eastAsia="zh-CN"/>
                              </w:rPr>
                              <w:t>服务类型</w:t>
                            </w:r>
                          </w:p>
                        </w:txbxContent>
                      </v:textbox>
                    </v:shape>
                  </w:pict>
                </mc:Fallback>
              </mc:AlternateContent>
            </w: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683260</wp:posOffset>
                      </wp:positionH>
                      <wp:positionV relativeFrom="paragraph">
                        <wp:posOffset>3175</wp:posOffset>
                      </wp:positionV>
                      <wp:extent cx="1057910" cy="1047750"/>
                      <wp:effectExtent l="3175" t="3175" r="5715" b="15875"/>
                      <wp:wrapNone/>
                      <wp:docPr id="10" name="直接箭头连接符 10"/>
                      <wp:cNvGraphicFramePr/>
                      <a:graphic xmlns:a="http://schemas.openxmlformats.org/drawingml/2006/main">
                        <a:graphicData uri="http://schemas.microsoft.com/office/word/2010/wordprocessingShape">
                          <wps:wsp>
                            <wps:cNvCnPr/>
                            <wps:spPr>
                              <a:xfrm>
                                <a:off x="0" y="0"/>
                                <a:ext cx="1057910" cy="10477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8pt;margin-top:0.25pt;height:82.5pt;width:83.3pt;z-index:251659264;mso-width-relative:page;mso-height-relative:page;" filled="f" stroked="t" coordsize="21600,21600" o:gfxdata="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6gjY3WAAAACAEAAA8AAAAAAAAAAQAgAAAAIgAAAGRycy9k&#10;b3ducmV2LnhtbFBLAQIUABQAAAAIAIdO4kAbWbp5BAIAAPQDAAAOAAAAAAAAAAEAIAAAACU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color w:val="auto"/>
                <w:sz w:val="24"/>
                <w:highlight w:val="none"/>
                <w:lang w:val="en-US" w:eastAsia="zh-CN"/>
              </w:rPr>
              <w:t xml:space="preserve">           </w:t>
            </w:r>
          </w:p>
          <w:p w14:paraId="3C7C5E6E">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color w:val="auto"/>
                <w:sz w:val="24"/>
                <w:highlight w:val="none"/>
              </w:rPr>
              <mc:AlternateContent>
                <mc:Choice Requires="wps">
                  <w:drawing>
                    <wp:anchor distT="0" distB="0" distL="114300" distR="114300" simplePos="0" relativeHeight="251663360" behindDoc="1" locked="0" layoutInCell="1" allowOverlap="1">
                      <wp:simplePos x="0" y="0"/>
                      <wp:positionH relativeFrom="column">
                        <wp:posOffset>-5080</wp:posOffset>
                      </wp:positionH>
                      <wp:positionV relativeFrom="paragraph">
                        <wp:posOffset>211455</wp:posOffset>
                      </wp:positionV>
                      <wp:extent cx="876300" cy="511810"/>
                      <wp:effectExtent l="0" t="0" r="0" b="2540"/>
                      <wp:wrapNone/>
                      <wp:docPr id="14" name="文本框 14"/>
                      <wp:cNvGraphicFramePr/>
                      <a:graphic xmlns:a="http://schemas.openxmlformats.org/drawingml/2006/main">
                        <a:graphicData uri="http://schemas.microsoft.com/office/word/2010/wordprocessingShape">
                          <wps:wsp>
                            <wps:cNvSpPr txBox="1"/>
                            <wps:spPr>
                              <a:xfrm>
                                <a:off x="0" y="0"/>
                                <a:ext cx="876300" cy="511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C08856">
                                  <w:pPr>
                                    <w:keepNext w:val="0"/>
                                    <w:keepLines w:val="0"/>
                                    <w:pageBreakBefore w:val="0"/>
                                    <w:widowControl w:val="0"/>
                                    <w:kinsoku/>
                                    <w:wordWrap/>
                                    <w:overflowPunct/>
                                    <w:topLinePunct w:val="0"/>
                                    <w:autoSpaceDE/>
                                    <w:autoSpaceDN/>
                                    <w:bidi w:val="0"/>
                                    <w:adjustRightInd/>
                                    <w:snapToGrid/>
                                    <w:spacing w:line="240" w:lineRule="auto"/>
                                    <w:ind w:right="11" w:firstLine="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中标金额</w:t>
                                  </w:r>
                                </w:p>
                                <w:p w14:paraId="5606B537">
                                  <w:pPr>
                                    <w:keepNext w:val="0"/>
                                    <w:keepLines w:val="0"/>
                                    <w:pageBreakBefore w:val="0"/>
                                    <w:widowControl w:val="0"/>
                                    <w:kinsoku/>
                                    <w:wordWrap/>
                                    <w:overflowPunct/>
                                    <w:topLinePunct w:val="0"/>
                                    <w:autoSpaceDE/>
                                    <w:autoSpaceDN/>
                                    <w:bidi w:val="0"/>
                                    <w:adjustRightInd/>
                                    <w:snapToGrid/>
                                    <w:spacing w:line="240" w:lineRule="auto"/>
                                    <w:ind w:right="11" w:firstLine="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16.65pt;height:40.3pt;width:69pt;z-index:-251653120;mso-width-relative:page;mso-height-relative:page;" fillcolor="#FFFFFF [3201]" filled="t" stroked="f" coordsize="21600,21600" o:gfxdata="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DGFdMAAAAIAQAADwAAAAAA&#10;AAABACAAAAAiAAAAZHJzL2Rvd25yZXYueG1sUEsBAhQAFAAAAAgAh07iQPpR2VhRAgAAkAQAAA4A&#10;AAAAAAAAAQAgAAAAIgEAAGRycy9lMm9Eb2MueG1sUEsFBgAAAAAGAAYAWQEAAOUFAAAAAA==&#10;">
                      <v:fill on="t" focussize="0,0"/>
                      <v:stroke on="f" weight="0.5pt"/>
                      <v:imagedata o:title=""/>
                      <o:lock v:ext="edit" aspectratio="f"/>
                      <v:textbox>
                        <w:txbxContent>
                          <w:p w14:paraId="45C08856">
                            <w:pPr>
                              <w:keepNext w:val="0"/>
                              <w:keepLines w:val="0"/>
                              <w:pageBreakBefore w:val="0"/>
                              <w:widowControl w:val="0"/>
                              <w:kinsoku/>
                              <w:wordWrap/>
                              <w:overflowPunct/>
                              <w:topLinePunct w:val="0"/>
                              <w:autoSpaceDE/>
                              <w:autoSpaceDN/>
                              <w:bidi w:val="0"/>
                              <w:adjustRightInd/>
                              <w:snapToGrid/>
                              <w:spacing w:line="240" w:lineRule="auto"/>
                              <w:ind w:right="11" w:firstLine="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中标金额</w:t>
                            </w:r>
                          </w:p>
                          <w:p w14:paraId="5606B537">
                            <w:pPr>
                              <w:keepNext w:val="0"/>
                              <w:keepLines w:val="0"/>
                              <w:pageBreakBefore w:val="0"/>
                              <w:widowControl w:val="0"/>
                              <w:kinsoku/>
                              <w:wordWrap/>
                              <w:overflowPunct/>
                              <w:topLinePunct w:val="0"/>
                              <w:autoSpaceDE/>
                              <w:autoSpaceDN/>
                              <w:bidi w:val="0"/>
                              <w:adjustRightInd/>
                              <w:snapToGrid/>
                              <w:spacing w:line="240" w:lineRule="auto"/>
                              <w:ind w:right="11" w:firstLine="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（万元）</w:t>
                            </w:r>
                          </w:p>
                        </w:txbxContent>
                      </v:textbox>
                    </v:shape>
                  </w:pict>
                </mc:Fallback>
              </mc:AlternateContent>
            </w:r>
          </w:p>
          <w:p w14:paraId="1964DCDF">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0"/>
                <w:szCs w:val="15"/>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-68580</wp:posOffset>
                      </wp:positionH>
                      <wp:positionV relativeFrom="paragraph">
                        <wp:posOffset>-292735</wp:posOffset>
                      </wp:positionV>
                      <wp:extent cx="1799590" cy="751205"/>
                      <wp:effectExtent l="1905" t="4445" r="8255" b="6350"/>
                      <wp:wrapNone/>
                      <wp:docPr id="15" name="直接箭头连接符 15"/>
                      <wp:cNvGraphicFramePr/>
                      <a:graphic xmlns:a="http://schemas.openxmlformats.org/drawingml/2006/main">
                        <a:graphicData uri="http://schemas.microsoft.com/office/word/2010/wordprocessingShape">
                          <wps:wsp>
                            <wps:cNvCnPr/>
                            <wps:spPr>
                              <a:xfrm>
                                <a:off x="0" y="0"/>
                                <a:ext cx="1799590" cy="7512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4pt;margin-top:-23.05pt;height:59.15pt;width:141.7pt;z-index:251664384;mso-width-relative:page;mso-height-relative:page;" filled="f" stroked="t" coordsize="21600,21600" o:gfxdata="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2OtUrdkAAAAKAQAADwAAAAAAAAABACAAAAAiAAAAZHJz&#10;L2Rvd25yZXYueG1sUEsBAhQAFAAAAAgAh07iQJf1bewDAgAA8wMAAA4AAAAAAAAAAQAgAAAAKAEA&#10;AGRycy9lMm9Eb2MueG1sUEsFBgAAAAAGAAYAWQEAAJ0FAAAAAA==&#10;">
                      <v:fill on="f" focussize="0,0"/>
                      <v:stroke color="#000000" joinstyle="round"/>
                      <v:imagedata o:title=""/>
                      <o:lock v:ext="edit" aspectratio="f"/>
                    </v:shape>
                  </w:pict>
                </mc:Fallback>
              </mc:AlternateContent>
            </w:r>
          </w:p>
        </w:tc>
        <w:tc>
          <w:tcPr>
            <w:tcW w:w="1935" w:type="dxa"/>
            <w:noWrap w:val="0"/>
            <w:vAlign w:val="center"/>
          </w:tcPr>
          <w:p w14:paraId="1C9E8B08">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货物招标</w:t>
            </w:r>
          </w:p>
        </w:tc>
        <w:tc>
          <w:tcPr>
            <w:tcW w:w="2091" w:type="dxa"/>
            <w:noWrap w:val="0"/>
            <w:vAlign w:val="center"/>
          </w:tcPr>
          <w:p w14:paraId="6950114F">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服务招标</w:t>
            </w:r>
          </w:p>
        </w:tc>
        <w:tc>
          <w:tcPr>
            <w:tcW w:w="1867" w:type="dxa"/>
            <w:noWrap w:val="0"/>
            <w:vAlign w:val="center"/>
          </w:tcPr>
          <w:p w14:paraId="35654B4C">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工程招标</w:t>
            </w:r>
          </w:p>
        </w:tc>
      </w:tr>
      <w:tr w14:paraId="2678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835" w:type="dxa"/>
            <w:noWrap w:val="0"/>
            <w:vAlign w:val="center"/>
          </w:tcPr>
          <w:p w14:paraId="46A77659">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100以下</w:t>
            </w:r>
          </w:p>
        </w:tc>
        <w:tc>
          <w:tcPr>
            <w:tcW w:w="1935" w:type="dxa"/>
            <w:noWrap w:val="0"/>
            <w:vAlign w:val="center"/>
          </w:tcPr>
          <w:p w14:paraId="6974891C">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091" w:type="dxa"/>
            <w:noWrap w:val="0"/>
            <w:vAlign w:val="center"/>
          </w:tcPr>
          <w:p w14:paraId="0C84328E">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1867" w:type="dxa"/>
            <w:noWrap w:val="0"/>
            <w:vAlign w:val="center"/>
          </w:tcPr>
          <w:p w14:paraId="1FAA03F9">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r>
      <w:tr w14:paraId="77D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63EFF8BB">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100-500</w:t>
            </w:r>
          </w:p>
        </w:tc>
        <w:tc>
          <w:tcPr>
            <w:tcW w:w="1935" w:type="dxa"/>
            <w:noWrap w:val="0"/>
            <w:vAlign w:val="center"/>
          </w:tcPr>
          <w:p w14:paraId="01038321">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2091" w:type="dxa"/>
            <w:noWrap w:val="0"/>
            <w:vAlign w:val="center"/>
          </w:tcPr>
          <w:p w14:paraId="07F0A363">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0.8%</w:t>
            </w:r>
          </w:p>
        </w:tc>
        <w:tc>
          <w:tcPr>
            <w:tcW w:w="1867" w:type="dxa"/>
            <w:noWrap w:val="0"/>
            <w:vAlign w:val="center"/>
          </w:tcPr>
          <w:p w14:paraId="5783A873">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0.7%</w:t>
            </w:r>
          </w:p>
        </w:tc>
      </w:tr>
      <w:tr w14:paraId="5B19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00DBF2FF">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500-1000</w:t>
            </w:r>
          </w:p>
        </w:tc>
        <w:tc>
          <w:tcPr>
            <w:tcW w:w="1935" w:type="dxa"/>
            <w:noWrap w:val="0"/>
            <w:vAlign w:val="center"/>
          </w:tcPr>
          <w:p w14:paraId="3CC69E08">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0.8%</w:t>
            </w:r>
          </w:p>
        </w:tc>
        <w:tc>
          <w:tcPr>
            <w:tcW w:w="2091" w:type="dxa"/>
            <w:noWrap w:val="0"/>
            <w:vAlign w:val="center"/>
          </w:tcPr>
          <w:p w14:paraId="53C33177">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0.45%</w:t>
            </w:r>
          </w:p>
        </w:tc>
        <w:tc>
          <w:tcPr>
            <w:tcW w:w="1867" w:type="dxa"/>
            <w:noWrap w:val="0"/>
            <w:vAlign w:val="center"/>
          </w:tcPr>
          <w:p w14:paraId="765AF344">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0.55%</w:t>
            </w:r>
          </w:p>
        </w:tc>
      </w:tr>
      <w:tr w14:paraId="5C33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61CE8D86">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1000-5000</w:t>
            </w:r>
          </w:p>
        </w:tc>
        <w:tc>
          <w:tcPr>
            <w:tcW w:w="1935" w:type="dxa"/>
            <w:noWrap w:val="0"/>
            <w:vAlign w:val="center"/>
          </w:tcPr>
          <w:p w14:paraId="6E830D70">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w:t>
            </w:r>
          </w:p>
        </w:tc>
        <w:tc>
          <w:tcPr>
            <w:tcW w:w="2091" w:type="dxa"/>
            <w:noWrap w:val="0"/>
            <w:vAlign w:val="center"/>
          </w:tcPr>
          <w:p w14:paraId="211BC746">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0.25%</w:t>
            </w:r>
          </w:p>
        </w:tc>
        <w:tc>
          <w:tcPr>
            <w:tcW w:w="1867" w:type="dxa"/>
            <w:noWrap w:val="0"/>
            <w:vAlign w:val="center"/>
          </w:tcPr>
          <w:p w14:paraId="2C9B654C">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0.35%</w:t>
            </w:r>
          </w:p>
        </w:tc>
      </w:tr>
      <w:tr w14:paraId="726A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211606EB">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5000-10000</w:t>
            </w:r>
          </w:p>
        </w:tc>
        <w:tc>
          <w:tcPr>
            <w:tcW w:w="1935" w:type="dxa"/>
            <w:noWrap w:val="0"/>
            <w:vAlign w:val="center"/>
          </w:tcPr>
          <w:p w14:paraId="07D6CA4C">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0.25</w:t>
            </w:r>
          </w:p>
        </w:tc>
        <w:tc>
          <w:tcPr>
            <w:tcW w:w="2091" w:type="dxa"/>
            <w:noWrap w:val="0"/>
            <w:vAlign w:val="center"/>
          </w:tcPr>
          <w:p w14:paraId="07E9E687">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0.1%</w:t>
            </w:r>
          </w:p>
        </w:tc>
        <w:tc>
          <w:tcPr>
            <w:tcW w:w="1867" w:type="dxa"/>
            <w:noWrap w:val="0"/>
            <w:vAlign w:val="center"/>
          </w:tcPr>
          <w:p w14:paraId="2A0ACF85">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0.2%</w:t>
            </w:r>
          </w:p>
        </w:tc>
      </w:tr>
      <w:tr w14:paraId="10EB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7B682090">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10000-50000</w:t>
            </w:r>
          </w:p>
        </w:tc>
        <w:tc>
          <w:tcPr>
            <w:tcW w:w="1935" w:type="dxa"/>
            <w:noWrap w:val="0"/>
            <w:vAlign w:val="center"/>
          </w:tcPr>
          <w:p w14:paraId="5AB6160D">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0.05%</w:t>
            </w:r>
          </w:p>
        </w:tc>
        <w:tc>
          <w:tcPr>
            <w:tcW w:w="2091" w:type="dxa"/>
            <w:noWrap w:val="0"/>
            <w:vAlign w:val="center"/>
          </w:tcPr>
          <w:p w14:paraId="66E942A2">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0.05%</w:t>
            </w:r>
          </w:p>
        </w:tc>
        <w:tc>
          <w:tcPr>
            <w:tcW w:w="1867" w:type="dxa"/>
            <w:noWrap w:val="0"/>
            <w:vAlign w:val="center"/>
          </w:tcPr>
          <w:p w14:paraId="34D2C097">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0.05%</w:t>
            </w:r>
          </w:p>
        </w:tc>
      </w:tr>
      <w:tr w14:paraId="387B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3DBC5607">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50000-100000</w:t>
            </w:r>
          </w:p>
        </w:tc>
        <w:tc>
          <w:tcPr>
            <w:tcW w:w="1935" w:type="dxa"/>
            <w:noWrap w:val="0"/>
            <w:vAlign w:val="center"/>
          </w:tcPr>
          <w:p w14:paraId="10611C2D">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0.035%</w:t>
            </w:r>
          </w:p>
        </w:tc>
        <w:tc>
          <w:tcPr>
            <w:tcW w:w="2091" w:type="dxa"/>
            <w:noWrap w:val="0"/>
            <w:vAlign w:val="center"/>
          </w:tcPr>
          <w:p w14:paraId="11FDA345">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0.035%</w:t>
            </w:r>
          </w:p>
        </w:tc>
        <w:tc>
          <w:tcPr>
            <w:tcW w:w="1867" w:type="dxa"/>
            <w:noWrap w:val="0"/>
            <w:vAlign w:val="center"/>
          </w:tcPr>
          <w:p w14:paraId="76FBD68B">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0.035%</w:t>
            </w:r>
          </w:p>
        </w:tc>
      </w:tr>
      <w:tr w14:paraId="2104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24C74DDC">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100000-500000</w:t>
            </w:r>
          </w:p>
        </w:tc>
        <w:tc>
          <w:tcPr>
            <w:tcW w:w="1935" w:type="dxa"/>
            <w:noWrap w:val="0"/>
            <w:vAlign w:val="center"/>
          </w:tcPr>
          <w:p w14:paraId="0BAA2209">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0.008%</w:t>
            </w:r>
          </w:p>
        </w:tc>
        <w:tc>
          <w:tcPr>
            <w:tcW w:w="2091" w:type="dxa"/>
            <w:noWrap w:val="0"/>
            <w:vAlign w:val="center"/>
          </w:tcPr>
          <w:p w14:paraId="66A0E095">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0.008%</w:t>
            </w:r>
          </w:p>
        </w:tc>
        <w:tc>
          <w:tcPr>
            <w:tcW w:w="1867" w:type="dxa"/>
            <w:noWrap w:val="0"/>
            <w:vAlign w:val="center"/>
          </w:tcPr>
          <w:p w14:paraId="5297365E">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0.008%</w:t>
            </w:r>
          </w:p>
        </w:tc>
      </w:tr>
      <w:tr w14:paraId="74C4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573DE460">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500000-1000000</w:t>
            </w:r>
          </w:p>
        </w:tc>
        <w:tc>
          <w:tcPr>
            <w:tcW w:w="1935" w:type="dxa"/>
            <w:noWrap w:val="0"/>
            <w:vAlign w:val="center"/>
          </w:tcPr>
          <w:p w14:paraId="2F4C9068">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0.006%</w:t>
            </w:r>
          </w:p>
        </w:tc>
        <w:tc>
          <w:tcPr>
            <w:tcW w:w="2091" w:type="dxa"/>
            <w:noWrap w:val="0"/>
            <w:vAlign w:val="center"/>
          </w:tcPr>
          <w:p w14:paraId="46270523">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0.006%</w:t>
            </w:r>
          </w:p>
        </w:tc>
        <w:tc>
          <w:tcPr>
            <w:tcW w:w="1867" w:type="dxa"/>
            <w:noWrap w:val="0"/>
            <w:vAlign w:val="center"/>
          </w:tcPr>
          <w:p w14:paraId="276991D8">
            <w:pPr>
              <w:keepNext w:val="0"/>
              <w:keepLines w:val="0"/>
              <w:pageBreakBefore w:val="0"/>
              <w:widowControl w:val="0"/>
              <w:kinsoku/>
              <w:wordWrap/>
              <w:overflowPunct/>
              <w:topLinePunct w:val="0"/>
              <w:autoSpaceDE/>
              <w:autoSpaceDN/>
              <w:bidi w:val="0"/>
              <w:adjustRightInd/>
              <w:snapToGrid/>
              <w:spacing w:before="192" w:beforeLines="50" w:line="360" w:lineRule="auto"/>
              <w:ind w:right="11" w:firstLine="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0.006%</w:t>
            </w:r>
          </w:p>
        </w:tc>
      </w:tr>
      <w:tr w14:paraId="6BA3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35" w:type="dxa"/>
            <w:noWrap w:val="0"/>
            <w:vAlign w:val="center"/>
          </w:tcPr>
          <w:p w14:paraId="69646824">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1000000以上</w:t>
            </w:r>
          </w:p>
        </w:tc>
        <w:tc>
          <w:tcPr>
            <w:tcW w:w="1935" w:type="dxa"/>
            <w:noWrap w:val="0"/>
            <w:vAlign w:val="center"/>
          </w:tcPr>
          <w:p w14:paraId="1A6EE6FF">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0.004%</w:t>
            </w:r>
          </w:p>
        </w:tc>
        <w:tc>
          <w:tcPr>
            <w:tcW w:w="2091" w:type="dxa"/>
            <w:noWrap w:val="0"/>
            <w:vAlign w:val="center"/>
          </w:tcPr>
          <w:p w14:paraId="5EC4AF71">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0.004%</w:t>
            </w:r>
          </w:p>
        </w:tc>
        <w:tc>
          <w:tcPr>
            <w:tcW w:w="1867" w:type="dxa"/>
            <w:noWrap w:val="0"/>
            <w:vAlign w:val="center"/>
          </w:tcPr>
          <w:p w14:paraId="6B0D8CBB">
            <w:pPr>
              <w:keepNext w:val="0"/>
              <w:keepLines w:val="0"/>
              <w:pageBreakBefore w:val="0"/>
              <w:widowControl w:val="0"/>
              <w:kinsoku/>
              <w:wordWrap/>
              <w:overflowPunct/>
              <w:topLinePunct w:val="0"/>
              <w:autoSpaceDE/>
              <w:autoSpaceDN/>
              <w:bidi w:val="0"/>
              <w:adjustRightInd/>
              <w:snapToGrid/>
              <w:spacing w:line="360" w:lineRule="auto"/>
              <w:ind w:right="11" w:firstLine="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0.004%</w:t>
            </w:r>
          </w:p>
        </w:tc>
      </w:tr>
      <w:bookmarkEnd w:id="140"/>
    </w:tbl>
    <w:p w14:paraId="6F1A87B8">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w:t>
      </w:r>
    </w:p>
    <w:p w14:paraId="466D1463">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招标代理服务收费按差额定率累进法计算。例如：某工程招标代理业务中标金额为 6000 万元，计算招标代理服务收费额如下：</w:t>
      </w:r>
    </w:p>
    <w:p w14:paraId="5ACBD70D">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100 万元× 1.0%=1 万元</w:t>
      </w:r>
    </w:p>
    <w:p w14:paraId="016D23F8">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500-100 ）万元× 0.7%=2.8 万元</w:t>
      </w:r>
    </w:p>
    <w:p w14:paraId="19169B56">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1000-500 ）× 0.55%=2.75 万元</w:t>
      </w:r>
    </w:p>
    <w:p w14:paraId="74803AE1">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5000-1000 ）× 0.35%=14 万元</w:t>
      </w:r>
    </w:p>
    <w:p w14:paraId="78006603">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6000-5000 ）× 0.2%=2 万元</w:t>
      </w:r>
    </w:p>
    <w:p w14:paraId="34EC3705">
      <w:pPr>
        <w:spacing w:line="360" w:lineRule="auto"/>
        <w:ind w:right="12" w:firstLine="480"/>
        <w:rPr>
          <w:rFonts w:hint="eastAsia"/>
          <w:color w:val="auto"/>
          <w:highlight w:val="none"/>
          <w:lang w:val="en-US" w:eastAsia="zh-CN"/>
        </w:rPr>
      </w:pPr>
      <w:r>
        <w:rPr>
          <w:rFonts w:hint="eastAsia" w:ascii="仿宋" w:hAnsi="仿宋" w:eastAsia="仿宋" w:cs="仿宋"/>
          <w:color w:val="auto"/>
          <w:sz w:val="24"/>
          <w:highlight w:val="none"/>
          <w:lang w:val="en-US" w:eastAsia="zh-CN"/>
        </w:rPr>
        <w:t>合计收费 =1+2.8+2.75+14+2=22.55 （万元）</w:t>
      </w:r>
    </w:p>
    <w:p w14:paraId="098A0B63">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（二）成交供应商如未按上述规定缴纳采购代理服务费，将不予发放成交通知书。</w:t>
      </w:r>
    </w:p>
    <w:p w14:paraId="61BD6F36">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（三）采购代理服务费缴纳账户信息：</w:t>
      </w:r>
    </w:p>
    <w:bookmarkEnd w:id="141"/>
    <w:p w14:paraId="63CC9BC5">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户  名：重庆酉情在线工程项目管理有限公司</w:t>
      </w:r>
    </w:p>
    <w:p w14:paraId="222C9DAC">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纳税人识别号：91500242MAE4TWBM19</w:t>
      </w:r>
    </w:p>
    <w:p w14:paraId="16E82636">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开户行：中国邮政储蓄银行股份有限公司酉阳土家族苗族自治县支行</w:t>
      </w:r>
    </w:p>
    <w:p w14:paraId="1A5F383C">
      <w:pPr>
        <w:spacing w:line="360" w:lineRule="auto"/>
        <w:ind w:right="12"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一般户账号：950020013000428122</w:t>
      </w:r>
    </w:p>
    <w:p w14:paraId="629EE2BD">
      <w:pPr>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br w:type="page"/>
      </w:r>
    </w:p>
    <w:p w14:paraId="261D5C58">
      <w:pPr>
        <w:pStyle w:val="3"/>
        <w:numPr>
          <w:ilvl w:val="0"/>
          <w:numId w:val="0"/>
        </w:numPr>
        <w:spacing w:line="360" w:lineRule="auto"/>
        <w:jc w:val="center"/>
        <w:rPr>
          <w:rFonts w:hint="eastAsia" w:ascii="仿宋" w:hAnsi="仿宋" w:eastAsia="仿宋" w:cs="仿宋"/>
          <w:color w:val="auto"/>
          <w:sz w:val="32"/>
          <w:szCs w:val="32"/>
          <w:highlight w:val="none"/>
          <w:lang w:eastAsia="zh-CN"/>
        </w:rPr>
      </w:pPr>
      <w:bookmarkStart w:id="142" w:name="_Hlk206060874"/>
      <w:bookmarkStart w:id="143" w:name="_Toc108545981"/>
      <w:bookmarkStart w:id="144" w:name="_Toc11134"/>
      <w:r>
        <w:rPr>
          <w:rFonts w:hint="eastAsia" w:ascii="仿宋" w:hAnsi="仿宋" w:eastAsia="仿宋" w:cs="宋体"/>
          <w:bCs w:val="0"/>
          <w:color w:val="auto"/>
          <w:sz w:val="36"/>
          <w:szCs w:val="36"/>
          <w:highlight w:val="none"/>
        </w:rPr>
        <w:t>第</w:t>
      </w:r>
      <w:r>
        <w:rPr>
          <w:rFonts w:hint="eastAsia" w:ascii="仿宋" w:hAnsi="仿宋" w:eastAsia="仿宋" w:cs="宋体"/>
          <w:bCs w:val="0"/>
          <w:color w:val="auto"/>
          <w:sz w:val="36"/>
          <w:szCs w:val="36"/>
          <w:highlight w:val="none"/>
          <w:lang w:val="en-US"/>
        </w:rPr>
        <w:t>六</w:t>
      </w:r>
      <w:r>
        <w:rPr>
          <w:rFonts w:hint="eastAsia" w:ascii="仿宋" w:hAnsi="仿宋" w:eastAsia="仿宋" w:cs="宋体"/>
          <w:bCs w:val="0"/>
          <w:color w:val="auto"/>
          <w:sz w:val="36"/>
          <w:szCs w:val="36"/>
          <w:highlight w:val="none"/>
        </w:rPr>
        <w:t xml:space="preserve">篇  </w:t>
      </w:r>
      <w:bookmarkEnd w:id="142"/>
      <w:bookmarkEnd w:id="143"/>
      <w:r>
        <w:rPr>
          <w:rFonts w:hint="eastAsia" w:ascii="仿宋" w:hAnsi="仿宋" w:eastAsia="仿宋" w:cs="仿宋"/>
          <w:color w:val="auto"/>
          <w:sz w:val="32"/>
          <w:szCs w:val="32"/>
          <w:highlight w:val="none"/>
          <w:lang w:eastAsia="zh-CN"/>
        </w:rPr>
        <w:t>合同条款及格式</w:t>
      </w:r>
      <w:bookmarkEnd w:id="144"/>
    </w:p>
    <w:p w14:paraId="21C24BC1">
      <w:pPr>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olor w:val="auto"/>
          <w:sz w:val="24"/>
          <w:szCs w:val="18"/>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2"/>
          <w:szCs w:val="22"/>
          <w:highlight w:val="none"/>
          <w:lang w:eastAsia="zh-CN"/>
        </w:rPr>
        <w:t>采购人与成交供应商根据双方协商后自行编写采购合同，但不得违背采购文件的实质性要求</w:t>
      </w:r>
      <w:r>
        <w:rPr>
          <w:rFonts w:hint="eastAsia" w:ascii="仿宋" w:hAnsi="仿宋" w:eastAsia="仿宋" w:cs="仿宋"/>
          <w:color w:val="auto"/>
          <w:sz w:val="24"/>
          <w:szCs w:val="24"/>
          <w:highlight w:val="none"/>
          <w:lang w:eastAsia="zh-CN"/>
        </w:rPr>
        <w:t>）</w:t>
      </w:r>
    </w:p>
    <w:p w14:paraId="351D0DC6">
      <w:pPr>
        <w:rPr>
          <w:rFonts w:hint="eastAsia"/>
          <w:color w:val="auto"/>
          <w:sz w:val="24"/>
          <w:szCs w:val="18"/>
          <w:highlight w:val="none"/>
          <w:lang w:eastAsia="zh-CN"/>
        </w:rPr>
      </w:pPr>
    </w:p>
    <w:p w14:paraId="75CA19BD">
      <w:pPr>
        <w:spacing w:line="500" w:lineRule="exact"/>
        <w:ind w:firstLine="6480" w:firstLineChars="2700"/>
        <w:rPr>
          <w:rFonts w:ascii="仿宋" w:hAnsi="仿宋" w:eastAsia="仿宋"/>
          <w:color w:val="auto"/>
          <w:highlight w:val="none"/>
        </w:rPr>
      </w:pPr>
    </w:p>
    <w:p w14:paraId="70B37EB6">
      <w:pPr>
        <w:spacing w:line="336" w:lineRule="auto"/>
        <w:ind w:firstLine="240" w:firstLineChars="100"/>
        <w:rPr>
          <w:rFonts w:ascii="仿宋" w:hAnsi="仿宋" w:eastAsia="仿宋"/>
          <w:color w:val="auto"/>
          <w:highlight w:val="none"/>
        </w:rPr>
      </w:pPr>
    </w:p>
    <w:p w14:paraId="3110EFB3">
      <w:pPr>
        <w:spacing w:line="336" w:lineRule="auto"/>
        <w:ind w:firstLine="240" w:firstLineChars="100"/>
        <w:rPr>
          <w:rFonts w:ascii="仿宋" w:hAnsi="仿宋" w:eastAsia="仿宋"/>
          <w:color w:val="auto"/>
          <w:highlight w:val="none"/>
        </w:rPr>
      </w:pPr>
    </w:p>
    <w:p w14:paraId="6192B671">
      <w:pPr>
        <w:spacing w:line="336" w:lineRule="auto"/>
        <w:rPr>
          <w:rFonts w:ascii="仿宋" w:hAnsi="仿宋" w:eastAsia="仿宋"/>
          <w:color w:val="auto"/>
          <w:highlight w:val="none"/>
        </w:rPr>
      </w:pPr>
      <w:r>
        <w:rPr>
          <w:rFonts w:hint="eastAsia" w:ascii="仿宋" w:hAnsi="仿宋" w:eastAsia="仿宋"/>
          <w:color w:val="auto"/>
          <w:highlight w:val="none"/>
        </w:rPr>
        <w:br w:type="page"/>
      </w:r>
    </w:p>
    <w:bookmarkEnd w:id="38"/>
    <w:bookmarkEnd w:id="39"/>
    <w:bookmarkEnd w:id="58"/>
    <w:bookmarkEnd w:id="59"/>
    <w:bookmarkEnd w:id="60"/>
    <w:p w14:paraId="546DF6A0">
      <w:pPr>
        <w:pStyle w:val="2"/>
        <w:keepLines/>
        <w:snapToGrid/>
        <w:spacing w:line="336" w:lineRule="auto"/>
        <w:jc w:val="center"/>
        <w:rPr>
          <w:rFonts w:ascii="仿宋" w:hAnsi="仿宋" w:eastAsia="仿宋" w:cs="宋体"/>
          <w:b w:val="0"/>
          <w:color w:val="auto"/>
          <w:highlight w:val="none"/>
        </w:rPr>
      </w:pPr>
      <w:bookmarkStart w:id="145" w:name="_Toc12942"/>
      <w:bookmarkStart w:id="146" w:name="_Toc5859"/>
      <w:bookmarkStart w:id="147" w:name="_Toc108545982"/>
      <w:bookmarkStart w:id="148" w:name="_Toc487204796"/>
      <w:r>
        <w:rPr>
          <w:rFonts w:hint="eastAsia" w:ascii="仿宋" w:hAnsi="仿宋" w:eastAsia="仿宋" w:cs="宋体"/>
          <w:bCs w:val="0"/>
          <w:color w:val="auto"/>
          <w:highlight w:val="none"/>
        </w:rPr>
        <w:t>第</w:t>
      </w:r>
      <w:r>
        <w:rPr>
          <w:rFonts w:hint="eastAsia" w:ascii="仿宋" w:hAnsi="仿宋" w:eastAsia="仿宋" w:cs="宋体"/>
          <w:bCs w:val="0"/>
          <w:color w:val="auto"/>
          <w:highlight w:val="none"/>
          <w:lang w:val="en-US"/>
        </w:rPr>
        <w:t>七</w:t>
      </w:r>
      <w:r>
        <w:rPr>
          <w:rFonts w:hint="eastAsia" w:ascii="仿宋" w:hAnsi="仿宋" w:eastAsia="仿宋" w:cs="宋体"/>
          <w:bCs w:val="0"/>
          <w:color w:val="auto"/>
          <w:highlight w:val="none"/>
        </w:rPr>
        <w:t>篇  响应文件格式要求</w:t>
      </w:r>
      <w:bookmarkEnd w:id="145"/>
      <w:bookmarkEnd w:id="146"/>
      <w:bookmarkEnd w:id="147"/>
      <w:bookmarkEnd w:id="148"/>
    </w:p>
    <w:p w14:paraId="199B2F58">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一、经济部分</w:t>
      </w:r>
    </w:p>
    <w:p w14:paraId="717406ED">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（一）报价函</w:t>
      </w:r>
    </w:p>
    <w:p w14:paraId="0B3AA8A3">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（二）明细报价表</w:t>
      </w:r>
    </w:p>
    <w:p w14:paraId="6464367A">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二、技术部分</w:t>
      </w:r>
    </w:p>
    <w:p w14:paraId="738AC82D">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（一）技术方案</w:t>
      </w:r>
    </w:p>
    <w:p w14:paraId="2E2E48BB">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（二）技术响应偏离表</w:t>
      </w:r>
    </w:p>
    <w:p w14:paraId="40A8F471">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三、商务部分</w:t>
      </w:r>
    </w:p>
    <w:p w14:paraId="2CB669F8">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（一）商务响应偏离表</w:t>
      </w:r>
    </w:p>
    <w:p w14:paraId="6D0C1D8B">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（二）其它优惠承诺</w:t>
      </w:r>
    </w:p>
    <w:p w14:paraId="04D63E28">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四、资格条件及其他</w:t>
      </w:r>
    </w:p>
    <w:p w14:paraId="2A1B444C">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（一）营业执照（副本）或事业单位法人证书（副本）复印件或个体工商户营业执照</w:t>
      </w:r>
    </w:p>
    <w:p w14:paraId="7317E130">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（二）法定代表人身份证明书</w:t>
      </w:r>
    </w:p>
    <w:p w14:paraId="7626D683">
      <w:pPr>
        <w:spacing w:line="336" w:lineRule="auto"/>
        <w:ind w:firstLine="240" w:firstLineChars="100"/>
        <w:rPr>
          <w:rFonts w:hint="eastAsia" w:ascii="仿宋" w:hAnsi="仿宋" w:eastAsia="仿宋"/>
          <w:color w:val="auto"/>
          <w:highlight w:val="none"/>
        </w:rPr>
      </w:pPr>
      <w:r>
        <w:rPr>
          <w:rFonts w:hint="eastAsia" w:ascii="仿宋" w:hAnsi="仿宋" w:eastAsia="仿宋"/>
          <w:color w:val="auto"/>
          <w:highlight w:val="none"/>
        </w:rPr>
        <w:t>（三）法定代表人授权委托书</w:t>
      </w:r>
    </w:p>
    <w:p w14:paraId="1800C064">
      <w:pPr>
        <w:spacing w:line="336" w:lineRule="auto"/>
        <w:ind w:firstLine="240" w:firstLineChars="100"/>
        <w:rPr>
          <w:rFonts w:hint="eastAsia" w:ascii="仿宋" w:hAnsi="仿宋" w:eastAsia="仿宋"/>
          <w:color w:val="auto"/>
          <w:highlight w:val="none"/>
        </w:rPr>
      </w:pP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四</w:t>
      </w:r>
      <w:r>
        <w:rPr>
          <w:rFonts w:hint="eastAsia" w:ascii="仿宋" w:hAnsi="仿宋" w:eastAsia="仿宋"/>
          <w:color w:val="auto"/>
          <w:highlight w:val="none"/>
          <w:lang w:eastAsia="zh-CN"/>
        </w:rPr>
        <w:t>）</w:t>
      </w:r>
      <w:r>
        <w:rPr>
          <w:rFonts w:hint="eastAsia" w:ascii="仿宋" w:hAnsi="仿宋" w:eastAsia="仿宋"/>
          <w:color w:val="auto"/>
          <w:highlight w:val="none"/>
        </w:rPr>
        <w:t>项目管理机构</w:t>
      </w:r>
    </w:p>
    <w:p w14:paraId="4B0044F8">
      <w:pPr>
        <w:spacing w:line="336" w:lineRule="auto"/>
        <w:ind w:firstLine="240" w:firstLineChars="100"/>
        <w:rPr>
          <w:rFonts w:ascii="仿宋" w:hAnsi="仿宋" w:eastAsia="仿宋"/>
          <w:color w:val="auto"/>
          <w:highlight w:val="none"/>
        </w:rPr>
      </w:pPr>
      <w:r>
        <w:rPr>
          <w:rFonts w:hint="eastAsia" w:ascii="仿宋" w:hAnsi="仿宋" w:eastAsia="仿宋"/>
          <w:color w:val="auto"/>
          <w:highlight w:val="none"/>
        </w:rPr>
        <w:t>（</w:t>
      </w:r>
      <w:r>
        <w:rPr>
          <w:rFonts w:hint="eastAsia" w:ascii="仿宋" w:hAnsi="仿宋" w:eastAsia="仿宋"/>
          <w:color w:val="auto"/>
          <w:highlight w:val="none"/>
          <w:lang w:val="en-US" w:eastAsia="zh-CN"/>
        </w:rPr>
        <w:t>五</w:t>
      </w:r>
      <w:r>
        <w:rPr>
          <w:rFonts w:hint="eastAsia" w:ascii="仿宋" w:hAnsi="仿宋" w:eastAsia="仿宋"/>
          <w:color w:val="auto"/>
          <w:highlight w:val="none"/>
        </w:rPr>
        <w:t>）基本资格条件承诺函</w:t>
      </w:r>
    </w:p>
    <w:p w14:paraId="6462AECA">
      <w:pPr>
        <w:spacing w:line="336" w:lineRule="auto"/>
        <w:ind w:firstLine="241" w:firstLineChars="100"/>
        <w:rPr>
          <w:rFonts w:ascii="仿宋" w:hAnsi="仿宋" w:eastAsia="仿宋"/>
          <w:b/>
          <w:bCs/>
          <w:color w:val="auto"/>
          <w:highlight w:val="none"/>
        </w:rPr>
      </w:pPr>
      <w:r>
        <w:rPr>
          <w:rFonts w:hint="eastAsia" w:ascii="仿宋" w:hAnsi="仿宋" w:eastAsia="仿宋"/>
          <w:b/>
          <w:bCs/>
          <w:color w:val="auto"/>
          <w:highlight w:val="none"/>
        </w:rPr>
        <w:t>五、其他应提供的资料</w:t>
      </w:r>
    </w:p>
    <w:p w14:paraId="38D86D46">
      <w:pPr>
        <w:spacing w:line="336" w:lineRule="auto"/>
        <w:ind w:firstLine="240" w:firstLineChars="100"/>
        <w:rPr>
          <w:rFonts w:ascii="仿宋" w:hAnsi="仿宋" w:eastAsia="仿宋"/>
          <w:color w:val="auto"/>
          <w:highlight w:val="none"/>
        </w:rPr>
        <w:sectPr>
          <w:headerReference r:id="rId13" w:type="default"/>
          <w:footerReference r:id="rId14" w:type="default"/>
          <w:pgSz w:w="11907" w:h="16840"/>
          <w:pgMar w:top="1497" w:right="1423" w:bottom="1497" w:left="1650" w:header="737" w:footer="737" w:gutter="113"/>
          <w:pgNumType w:fmt="numberInDash"/>
          <w:cols w:space="0" w:num="1"/>
          <w:rtlGutter w:val="0"/>
          <w:docGrid w:linePitch="381" w:charSpace="0"/>
        </w:sectPr>
      </w:pPr>
      <w:r>
        <w:rPr>
          <w:rFonts w:hint="eastAsia" w:ascii="仿宋" w:hAnsi="仿宋" w:eastAsia="仿宋"/>
          <w:color w:val="auto"/>
          <w:highlight w:val="none"/>
        </w:rPr>
        <w:t>（一）其他与项目有关的资料</w:t>
      </w:r>
    </w:p>
    <w:p w14:paraId="61E4F3DD">
      <w:pPr>
        <w:pStyle w:val="3"/>
        <w:spacing w:before="0" w:after="0" w:line="336" w:lineRule="auto"/>
        <w:rPr>
          <w:rFonts w:ascii="仿宋" w:hAnsi="仿宋" w:eastAsia="仿宋" w:cs="宋体"/>
          <w:color w:val="auto"/>
          <w:sz w:val="24"/>
          <w:szCs w:val="24"/>
          <w:highlight w:val="none"/>
        </w:rPr>
      </w:pPr>
      <w:bookmarkStart w:id="149" w:name="_Toc486585240"/>
      <w:bookmarkStart w:id="150" w:name="_Toc108545983"/>
      <w:bookmarkStart w:id="151" w:name="_Toc486608277"/>
      <w:bookmarkStart w:id="152" w:name="_Toc2165"/>
      <w:bookmarkStart w:id="153" w:name="_Toc14854"/>
      <w:bookmarkStart w:id="154" w:name="_Toc487204797"/>
      <w:r>
        <w:rPr>
          <w:rFonts w:hint="eastAsia" w:ascii="仿宋" w:hAnsi="仿宋" w:eastAsia="仿宋" w:cs="宋体"/>
          <w:color w:val="auto"/>
          <w:sz w:val="24"/>
          <w:szCs w:val="24"/>
          <w:highlight w:val="none"/>
        </w:rPr>
        <w:t>一、经济部分</w:t>
      </w:r>
      <w:bookmarkEnd w:id="149"/>
      <w:bookmarkEnd w:id="150"/>
      <w:bookmarkEnd w:id="151"/>
      <w:bookmarkEnd w:id="152"/>
      <w:bookmarkEnd w:id="153"/>
      <w:bookmarkEnd w:id="154"/>
    </w:p>
    <w:p w14:paraId="276C5288">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（一）报价函</w:t>
      </w:r>
    </w:p>
    <w:p w14:paraId="01A6FECE">
      <w:pPr>
        <w:tabs>
          <w:tab w:val="left" w:pos="6300"/>
        </w:tabs>
        <w:snapToGrid w:val="0"/>
        <w:spacing w:line="336" w:lineRule="auto"/>
        <w:ind w:firstLine="480" w:firstLineChars="200"/>
        <w:jc w:val="center"/>
        <w:rPr>
          <w:rFonts w:ascii="仿宋" w:hAnsi="仿宋" w:eastAsia="仿宋"/>
          <w:color w:val="auto"/>
          <w:highlight w:val="none"/>
        </w:rPr>
      </w:pPr>
      <w:r>
        <w:rPr>
          <w:rFonts w:hint="eastAsia" w:ascii="仿宋" w:hAnsi="仿宋" w:eastAsia="仿宋"/>
          <w:color w:val="auto"/>
          <w:highlight w:val="none"/>
        </w:rPr>
        <w:t>报价函</w:t>
      </w:r>
    </w:p>
    <w:p w14:paraId="7E89DEAD">
      <w:pPr>
        <w:tabs>
          <w:tab w:val="left" w:pos="6300"/>
        </w:tabs>
        <w:snapToGrid w:val="0"/>
        <w:spacing w:line="336" w:lineRule="auto"/>
        <w:rPr>
          <w:rFonts w:ascii="仿宋" w:hAnsi="仿宋" w:eastAsia="仿宋"/>
          <w:color w:val="auto"/>
          <w:highlight w:val="none"/>
        </w:rPr>
      </w:pPr>
      <w:r>
        <w:rPr>
          <w:rFonts w:hint="eastAsia" w:ascii="仿宋" w:hAnsi="仿宋" w:eastAsia="仿宋"/>
          <w:color w:val="auto"/>
          <w:highlight w:val="none"/>
          <w:u w:val="single"/>
        </w:rPr>
        <w:t>（采购人名称）</w:t>
      </w:r>
      <w:r>
        <w:rPr>
          <w:rFonts w:hint="eastAsia" w:ascii="仿宋" w:hAnsi="仿宋" w:eastAsia="仿宋"/>
          <w:color w:val="auto"/>
          <w:highlight w:val="none"/>
        </w:rPr>
        <w:t>：</w:t>
      </w:r>
    </w:p>
    <w:p w14:paraId="0A309BB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我方收到____________________________（</w:t>
      </w:r>
      <w:r>
        <w:rPr>
          <w:rFonts w:hint="eastAsia" w:ascii="仿宋" w:hAnsi="仿宋" w:eastAsia="仿宋"/>
          <w:color w:val="auto"/>
          <w:highlight w:val="none"/>
          <w:lang w:eastAsia="zh-CN"/>
        </w:rPr>
        <w:t>磋商</w:t>
      </w:r>
      <w:r>
        <w:rPr>
          <w:rFonts w:hint="eastAsia" w:ascii="仿宋" w:hAnsi="仿宋" w:eastAsia="仿宋"/>
          <w:color w:val="auto"/>
          <w:highlight w:val="none"/>
        </w:rPr>
        <w:t>项目名称）的竞争性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文件，经详细研究，决定参加该项目的</w:t>
      </w:r>
      <w:r>
        <w:rPr>
          <w:rFonts w:hint="eastAsia" w:ascii="仿宋" w:hAnsi="仿宋" w:eastAsia="仿宋"/>
          <w:color w:val="auto"/>
          <w:highlight w:val="none"/>
          <w:lang w:eastAsia="zh-CN"/>
        </w:rPr>
        <w:t>磋商</w:t>
      </w:r>
      <w:r>
        <w:rPr>
          <w:rFonts w:hint="eastAsia" w:ascii="仿宋" w:hAnsi="仿宋" w:eastAsia="仿宋"/>
          <w:color w:val="auto"/>
          <w:highlight w:val="none"/>
        </w:rPr>
        <w:t>。</w:t>
      </w:r>
    </w:p>
    <w:p w14:paraId="05D3A803">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1.愿意按照竞争性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文件中的一切要求，提供本项目的工程服务，报价为人民币大写：</w:t>
      </w:r>
      <w:r>
        <w:rPr>
          <w:rFonts w:hint="eastAsia" w:ascii="仿宋" w:hAnsi="仿宋" w:eastAsia="仿宋"/>
          <w:color w:val="auto"/>
          <w:highlight w:val="none"/>
          <w:u w:val="single"/>
        </w:rPr>
        <w:t xml:space="preserve">     </w:t>
      </w:r>
      <w:r>
        <w:rPr>
          <w:rFonts w:hint="eastAsia" w:ascii="仿宋" w:hAnsi="仿宋" w:eastAsia="仿宋"/>
          <w:color w:val="auto"/>
          <w:highlight w:val="none"/>
        </w:rPr>
        <w:t>元整；人民币小写：</w:t>
      </w:r>
      <w:r>
        <w:rPr>
          <w:rFonts w:hint="eastAsia" w:ascii="仿宋" w:hAnsi="仿宋" w:eastAsia="仿宋"/>
          <w:color w:val="auto"/>
          <w:highlight w:val="none"/>
          <w:u w:val="single"/>
        </w:rPr>
        <w:t xml:space="preserve">     </w:t>
      </w:r>
      <w:r>
        <w:rPr>
          <w:rFonts w:hint="eastAsia" w:ascii="仿宋" w:hAnsi="仿宋" w:eastAsia="仿宋"/>
          <w:color w:val="auto"/>
          <w:highlight w:val="none"/>
        </w:rPr>
        <w:t>元，安全文明施工费为：</w:t>
      </w:r>
      <w:r>
        <w:rPr>
          <w:rFonts w:hint="eastAsia" w:ascii="仿宋" w:hAnsi="仿宋" w:eastAsia="仿宋"/>
          <w:color w:val="auto"/>
          <w:highlight w:val="none"/>
          <w:u w:val="single"/>
        </w:rPr>
        <w:t xml:space="preserve">       </w:t>
      </w:r>
      <w:r>
        <w:rPr>
          <w:rFonts w:hint="eastAsia" w:ascii="仿宋" w:hAnsi="仿宋" w:eastAsia="仿宋"/>
          <w:color w:val="auto"/>
          <w:highlight w:val="none"/>
        </w:rPr>
        <w:t>，工期为</w:t>
      </w:r>
      <w:r>
        <w:rPr>
          <w:rFonts w:hint="eastAsia" w:ascii="仿宋" w:hAnsi="仿宋" w:eastAsia="仿宋"/>
          <w:color w:val="auto"/>
          <w:highlight w:val="none"/>
          <w:u w:val="single"/>
        </w:rPr>
        <w:t xml:space="preserve">：   </w:t>
      </w:r>
      <w:r>
        <w:rPr>
          <w:rFonts w:hint="eastAsia" w:ascii="仿宋" w:hAnsi="仿宋" w:eastAsia="仿宋"/>
          <w:color w:val="auto"/>
          <w:highlight w:val="none"/>
        </w:rPr>
        <w:t>日历天，工程质量：达到竞争性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文件的要求。</w:t>
      </w:r>
    </w:p>
    <w:p w14:paraId="23E1225B">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2.我方现提交的响应文件为：响应文件正本</w:t>
      </w:r>
      <w:r>
        <w:rPr>
          <w:rFonts w:hint="eastAsia" w:ascii="仿宋" w:hAnsi="仿宋" w:eastAsia="仿宋"/>
          <w:color w:val="auto"/>
          <w:highlight w:val="none"/>
          <w:u w:val="single"/>
        </w:rPr>
        <w:t xml:space="preserve">   </w:t>
      </w:r>
      <w:r>
        <w:rPr>
          <w:rFonts w:hint="eastAsia" w:ascii="仿宋" w:hAnsi="仿宋" w:eastAsia="仿宋"/>
          <w:color w:val="auto"/>
          <w:highlight w:val="none"/>
        </w:rPr>
        <w:t>份，副本</w:t>
      </w:r>
      <w:r>
        <w:rPr>
          <w:rFonts w:hint="eastAsia" w:ascii="仿宋" w:hAnsi="仿宋" w:eastAsia="仿宋"/>
          <w:color w:val="auto"/>
          <w:highlight w:val="none"/>
          <w:u w:val="single"/>
        </w:rPr>
        <w:t xml:space="preserve">   </w:t>
      </w:r>
      <w:r>
        <w:rPr>
          <w:rFonts w:hint="eastAsia" w:ascii="仿宋" w:hAnsi="仿宋" w:eastAsia="仿宋"/>
          <w:color w:val="auto"/>
          <w:highlight w:val="none"/>
        </w:rPr>
        <w:t>份。</w:t>
      </w:r>
    </w:p>
    <w:p w14:paraId="0EEFB76E">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3.我方承诺：本次</w:t>
      </w:r>
      <w:r>
        <w:rPr>
          <w:rFonts w:hint="eastAsia" w:ascii="仿宋" w:hAnsi="仿宋" w:eastAsia="仿宋"/>
          <w:color w:val="auto"/>
          <w:highlight w:val="none"/>
          <w:lang w:eastAsia="zh-CN"/>
        </w:rPr>
        <w:t>磋商</w:t>
      </w:r>
      <w:r>
        <w:rPr>
          <w:rFonts w:hint="eastAsia" w:ascii="仿宋" w:hAnsi="仿宋" w:eastAsia="仿宋"/>
          <w:color w:val="auto"/>
          <w:highlight w:val="none"/>
        </w:rPr>
        <w:t>的有效期为90天。</w:t>
      </w:r>
    </w:p>
    <w:p w14:paraId="1D5CBD8C">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4.我方完全理解和接受贵方竞争性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文件的一切规定和要求及</w:t>
      </w:r>
      <w:r>
        <w:rPr>
          <w:rFonts w:hint="eastAsia" w:ascii="仿宋" w:hAnsi="仿宋" w:eastAsia="仿宋"/>
          <w:color w:val="auto"/>
          <w:highlight w:val="none"/>
          <w:lang w:eastAsia="zh-CN"/>
        </w:rPr>
        <w:t>磋商</w:t>
      </w:r>
      <w:r>
        <w:rPr>
          <w:rFonts w:hint="eastAsia" w:ascii="仿宋" w:hAnsi="仿宋" w:eastAsia="仿宋"/>
          <w:color w:val="auto"/>
          <w:highlight w:val="none"/>
        </w:rPr>
        <w:t>评审办法。</w:t>
      </w:r>
    </w:p>
    <w:p w14:paraId="09E05B63">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5.在整个</w:t>
      </w:r>
      <w:r>
        <w:rPr>
          <w:rFonts w:hint="eastAsia" w:ascii="仿宋" w:hAnsi="仿宋" w:eastAsia="仿宋"/>
          <w:color w:val="auto"/>
          <w:highlight w:val="none"/>
          <w:lang w:eastAsia="zh-CN"/>
        </w:rPr>
        <w:t>磋商</w:t>
      </w:r>
      <w:r>
        <w:rPr>
          <w:rFonts w:hint="eastAsia" w:ascii="仿宋" w:hAnsi="仿宋" w:eastAsia="仿宋"/>
          <w:color w:val="auto"/>
          <w:highlight w:val="none"/>
        </w:rPr>
        <w:t>过程中，我方若有违规行为，接受按照《中华人民共和国政府采购法》和《竞争性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文件》之规定给予惩罚。</w:t>
      </w:r>
    </w:p>
    <w:p w14:paraId="7F1E88ED">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6.我方若成为成交供应商，将按照最终</w:t>
      </w:r>
      <w:r>
        <w:rPr>
          <w:rFonts w:hint="eastAsia" w:ascii="仿宋" w:hAnsi="仿宋" w:eastAsia="仿宋"/>
          <w:color w:val="auto"/>
          <w:highlight w:val="none"/>
          <w:lang w:eastAsia="zh-CN"/>
        </w:rPr>
        <w:t>磋商</w:t>
      </w:r>
      <w:r>
        <w:rPr>
          <w:rFonts w:hint="eastAsia" w:ascii="仿宋" w:hAnsi="仿宋" w:eastAsia="仿宋"/>
          <w:color w:val="auto"/>
          <w:highlight w:val="none"/>
        </w:rPr>
        <w:t>结果签订合同，并且严格履行合同义务。本承诺函将成为合同不可分割的一部分，与合同具有同等的法律效力。</w:t>
      </w:r>
    </w:p>
    <w:p w14:paraId="5177F37E">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7.我方同意按竞争性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文件规定，交纳竞争性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文件要求的保证金。如果我方成为成交供应商，保证在接到成交通知书后，向采购代理机构交纳</w:t>
      </w:r>
      <w:r>
        <w:rPr>
          <w:rFonts w:hint="eastAsia" w:ascii="仿宋" w:hAnsi="仿宋" w:eastAsia="仿宋"/>
          <w:color w:val="auto"/>
          <w:highlight w:val="none"/>
          <w:lang w:eastAsia="zh-CN"/>
        </w:rPr>
        <w:t>磋商</w:t>
      </w:r>
      <w:r>
        <w:rPr>
          <w:rFonts w:hint="eastAsia" w:ascii="仿宋" w:hAnsi="仿宋" w:eastAsia="仿宋"/>
          <w:color w:val="auto"/>
          <w:highlight w:val="none"/>
        </w:rPr>
        <w:t>文件规定的采购代理服务费。</w:t>
      </w:r>
    </w:p>
    <w:p w14:paraId="01C50B4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8.我方未为采购项目提供整体设计、规范编制或者项目管理、监理、检测等服务。</w:t>
      </w:r>
    </w:p>
    <w:p w14:paraId="7F4F83B4">
      <w:pPr>
        <w:tabs>
          <w:tab w:val="left" w:pos="6300"/>
        </w:tabs>
        <w:snapToGrid w:val="0"/>
        <w:spacing w:line="336" w:lineRule="auto"/>
        <w:ind w:firstLine="570"/>
        <w:rPr>
          <w:rFonts w:ascii="仿宋" w:hAnsi="仿宋" w:eastAsia="仿宋"/>
          <w:color w:val="auto"/>
          <w:highlight w:val="none"/>
        </w:rPr>
      </w:pPr>
    </w:p>
    <w:p w14:paraId="287C7E77">
      <w:pPr>
        <w:tabs>
          <w:tab w:val="left" w:pos="6300"/>
        </w:tabs>
        <w:snapToGrid w:val="0"/>
        <w:spacing w:line="336" w:lineRule="auto"/>
        <w:rPr>
          <w:rFonts w:ascii="仿宋" w:hAnsi="仿宋" w:eastAsia="仿宋"/>
          <w:color w:val="auto"/>
          <w:highlight w:val="none"/>
        </w:rPr>
      </w:pPr>
    </w:p>
    <w:p w14:paraId="4B0C5F31">
      <w:pPr>
        <w:tabs>
          <w:tab w:val="left" w:pos="6300"/>
        </w:tabs>
        <w:snapToGrid w:val="0"/>
        <w:spacing w:line="336" w:lineRule="auto"/>
        <w:ind w:firstLine="570"/>
        <w:rPr>
          <w:rFonts w:ascii="仿宋" w:hAnsi="仿宋" w:eastAsia="仿宋"/>
          <w:color w:val="auto"/>
          <w:highlight w:val="none"/>
        </w:rPr>
      </w:pPr>
    </w:p>
    <w:p w14:paraId="34ACAAFA">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供应商（公章）：</w:t>
      </w:r>
    </w:p>
    <w:p w14:paraId="5F27F9EE">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地址：</w:t>
      </w:r>
    </w:p>
    <w:p w14:paraId="1BAC19BF">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电话：                   传真：</w:t>
      </w:r>
    </w:p>
    <w:p w14:paraId="346478A6">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网址：                   邮编：</w:t>
      </w:r>
    </w:p>
    <w:p w14:paraId="0D753DFE">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联系人：</w:t>
      </w:r>
    </w:p>
    <w:p w14:paraId="65D7E9E6">
      <w:pPr>
        <w:snapToGrid w:val="0"/>
        <w:spacing w:line="336" w:lineRule="auto"/>
        <w:ind w:right="480" w:firstLine="480" w:firstLineChars="200"/>
        <w:rPr>
          <w:rFonts w:ascii="仿宋" w:hAnsi="仿宋" w:eastAsia="仿宋"/>
          <w:color w:val="auto"/>
          <w:highlight w:val="none"/>
        </w:rPr>
      </w:pPr>
      <w:r>
        <w:rPr>
          <w:rFonts w:hint="eastAsia" w:ascii="仿宋" w:hAnsi="仿宋" w:eastAsia="仿宋"/>
          <w:color w:val="auto"/>
          <w:highlight w:val="none"/>
        </w:rPr>
        <w:t xml:space="preserve">                               年   月   日</w:t>
      </w:r>
    </w:p>
    <w:p w14:paraId="27351857">
      <w:pPr>
        <w:spacing w:line="336" w:lineRule="auto"/>
        <w:rPr>
          <w:rFonts w:ascii="仿宋" w:hAnsi="仿宋" w:eastAsia="仿宋"/>
          <w:color w:val="auto"/>
          <w:highlight w:val="none"/>
        </w:rPr>
        <w:sectPr>
          <w:pgSz w:w="11907" w:h="16840"/>
          <w:pgMar w:top="1497" w:right="1423" w:bottom="1497" w:left="1650" w:header="737" w:footer="737" w:gutter="113"/>
          <w:pgNumType w:fmt="numberInDash"/>
          <w:cols w:space="0" w:num="1"/>
          <w:rtlGutter w:val="0"/>
          <w:docGrid w:linePitch="326" w:charSpace="0"/>
        </w:sectPr>
      </w:pPr>
    </w:p>
    <w:p w14:paraId="3AF377C7">
      <w:pPr>
        <w:tabs>
          <w:tab w:val="left" w:pos="2895"/>
        </w:tabs>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（二）明细报价表</w:t>
      </w:r>
    </w:p>
    <w:p w14:paraId="2946F3A6">
      <w:pPr>
        <w:spacing w:line="336" w:lineRule="auto"/>
        <w:jc w:val="center"/>
        <w:rPr>
          <w:rFonts w:ascii="仿宋" w:hAnsi="仿宋" w:eastAsia="仿宋"/>
          <w:b/>
          <w:color w:val="auto"/>
          <w:highlight w:val="none"/>
        </w:rPr>
      </w:pPr>
      <w:r>
        <w:rPr>
          <w:rFonts w:hint="eastAsia" w:ascii="仿宋" w:hAnsi="仿宋" w:eastAsia="仿宋"/>
          <w:b/>
          <w:color w:val="auto"/>
          <w:highlight w:val="none"/>
        </w:rPr>
        <w:t>明细报价表</w:t>
      </w:r>
    </w:p>
    <w:p w14:paraId="21FDDF6E">
      <w:pPr>
        <w:spacing w:line="336" w:lineRule="auto"/>
        <w:rPr>
          <w:rFonts w:ascii="仿宋" w:hAnsi="仿宋" w:eastAsia="仿宋"/>
          <w:color w:val="auto"/>
          <w:highlight w:val="none"/>
        </w:rPr>
      </w:pPr>
      <w:r>
        <w:rPr>
          <w:rFonts w:hint="eastAsia" w:ascii="仿宋" w:hAnsi="仿宋" w:eastAsia="仿宋"/>
          <w:color w:val="auto"/>
          <w:highlight w:val="none"/>
        </w:rPr>
        <w:t>按随竞争性</w:t>
      </w:r>
      <w:r>
        <w:rPr>
          <w:rFonts w:hint="eastAsia" w:ascii="仿宋" w:hAnsi="仿宋" w:eastAsia="仿宋"/>
          <w:color w:val="auto"/>
          <w:highlight w:val="none"/>
          <w:lang w:eastAsia="zh-CN"/>
        </w:rPr>
        <w:t>磋商</w:t>
      </w:r>
      <w:r>
        <w:rPr>
          <w:rFonts w:hint="eastAsia" w:ascii="仿宋" w:hAnsi="仿宋" w:eastAsia="仿宋"/>
          <w:color w:val="auto"/>
          <w:highlight w:val="none"/>
        </w:rPr>
        <w:t>文件一同发布的工程量清单填写。</w:t>
      </w:r>
    </w:p>
    <w:p w14:paraId="23713450">
      <w:pPr>
        <w:snapToGrid w:val="0"/>
        <w:spacing w:line="336" w:lineRule="auto"/>
        <w:ind w:firstLine="480" w:firstLineChars="200"/>
        <w:rPr>
          <w:rFonts w:ascii="仿宋" w:hAnsi="仿宋" w:eastAsia="仿宋"/>
          <w:color w:val="auto"/>
          <w:highlight w:val="none"/>
        </w:rPr>
      </w:pPr>
    </w:p>
    <w:p w14:paraId="48F0A120">
      <w:pPr>
        <w:snapToGrid w:val="0"/>
        <w:spacing w:line="336" w:lineRule="auto"/>
        <w:ind w:firstLine="480" w:firstLineChars="200"/>
        <w:rPr>
          <w:rFonts w:ascii="仿宋" w:hAnsi="仿宋" w:eastAsia="仿宋"/>
          <w:color w:val="auto"/>
          <w:highlight w:val="none"/>
        </w:rPr>
      </w:pPr>
    </w:p>
    <w:p w14:paraId="52622E14">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注：1、该表</w:t>
      </w:r>
      <w:bookmarkStart w:id="155" w:name="OLE_LINK1"/>
      <w:bookmarkStart w:id="156" w:name="OLE_LINK2"/>
      <w:r>
        <w:rPr>
          <w:rFonts w:hint="eastAsia" w:ascii="仿宋" w:hAnsi="仿宋" w:eastAsia="仿宋"/>
          <w:color w:val="auto"/>
          <w:highlight w:val="none"/>
        </w:rPr>
        <w:t>逐页盖章</w:t>
      </w:r>
      <w:bookmarkEnd w:id="155"/>
      <w:bookmarkEnd w:id="156"/>
      <w:r>
        <w:rPr>
          <w:rFonts w:hint="eastAsia" w:ascii="仿宋" w:hAnsi="仿宋" w:eastAsia="仿宋"/>
          <w:color w:val="auto"/>
          <w:highlight w:val="none"/>
        </w:rPr>
        <w:t>；</w:t>
      </w:r>
    </w:p>
    <w:p w14:paraId="34CC6DCF">
      <w:pPr>
        <w:tabs>
          <w:tab w:val="left" w:pos="6300"/>
        </w:tabs>
        <w:snapToGrid w:val="0"/>
        <w:spacing w:line="336" w:lineRule="auto"/>
        <w:ind w:firstLine="480" w:firstLineChars="200"/>
        <w:rPr>
          <w:rFonts w:ascii="仿宋" w:hAnsi="仿宋" w:eastAsia="仿宋"/>
          <w:color w:val="auto"/>
          <w:highlight w:val="none"/>
          <w:bdr w:val="single" w:color="auto" w:sz="4" w:space="0"/>
        </w:rPr>
      </w:pPr>
      <w:r>
        <w:rPr>
          <w:rFonts w:hint="eastAsia" w:ascii="仿宋" w:hAnsi="仿宋" w:eastAsia="仿宋"/>
          <w:color w:val="auto"/>
          <w:highlight w:val="none"/>
        </w:rPr>
        <w:t>2、综合单价分析表可不打印。</w:t>
      </w:r>
    </w:p>
    <w:p w14:paraId="219D6D40">
      <w:pPr>
        <w:spacing w:line="336" w:lineRule="auto"/>
        <w:rPr>
          <w:rFonts w:ascii="仿宋" w:hAnsi="仿宋" w:eastAsia="仿宋"/>
          <w:color w:val="auto"/>
          <w:highlight w:val="none"/>
          <w:bdr w:val="single" w:color="auto" w:sz="4" w:space="0"/>
        </w:rPr>
      </w:pPr>
    </w:p>
    <w:p w14:paraId="2F74FBEE">
      <w:pPr>
        <w:spacing w:line="336" w:lineRule="auto"/>
        <w:rPr>
          <w:rFonts w:ascii="仿宋" w:hAnsi="仿宋" w:eastAsia="仿宋"/>
          <w:color w:val="auto"/>
          <w:highlight w:val="none"/>
          <w:bdr w:val="single" w:color="auto" w:sz="4" w:space="0"/>
        </w:rPr>
        <w:sectPr>
          <w:pgSz w:w="11907" w:h="16840"/>
          <w:pgMar w:top="1497" w:right="1423" w:bottom="1497" w:left="1650" w:header="737" w:footer="737" w:gutter="113"/>
          <w:pgNumType w:fmt="numberInDash"/>
          <w:cols w:space="0" w:num="1"/>
          <w:rtlGutter w:val="0"/>
          <w:docGrid w:linePitch="326" w:charSpace="0"/>
        </w:sectPr>
      </w:pPr>
    </w:p>
    <w:p w14:paraId="35F19E79">
      <w:pPr>
        <w:pStyle w:val="3"/>
        <w:spacing w:before="0" w:after="0" w:line="336" w:lineRule="auto"/>
        <w:rPr>
          <w:rFonts w:ascii="仿宋" w:hAnsi="仿宋" w:eastAsia="仿宋" w:cs="宋体"/>
          <w:color w:val="auto"/>
          <w:sz w:val="24"/>
          <w:szCs w:val="24"/>
          <w:highlight w:val="none"/>
        </w:rPr>
      </w:pPr>
      <w:bookmarkStart w:id="157" w:name="_Toc108545984"/>
      <w:bookmarkStart w:id="158" w:name="_Toc486608278"/>
      <w:bookmarkStart w:id="159" w:name="_Toc486585241"/>
      <w:bookmarkStart w:id="160" w:name="_Toc3192"/>
      <w:bookmarkStart w:id="161" w:name="_Toc487204798"/>
      <w:bookmarkStart w:id="162" w:name="_Toc23020"/>
      <w:r>
        <w:rPr>
          <w:rFonts w:hint="eastAsia" w:ascii="仿宋" w:hAnsi="仿宋" w:eastAsia="仿宋" w:cs="宋体"/>
          <w:color w:val="auto"/>
          <w:sz w:val="24"/>
          <w:szCs w:val="24"/>
          <w:highlight w:val="none"/>
        </w:rPr>
        <w:t>二、技术部分</w:t>
      </w:r>
      <w:bookmarkEnd w:id="157"/>
      <w:bookmarkEnd w:id="158"/>
      <w:bookmarkEnd w:id="159"/>
      <w:bookmarkEnd w:id="160"/>
      <w:bookmarkEnd w:id="161"/>
      <w:bookmarkEnd w:id="162"/>
    </w:p>
    <w:p w14:paraId="1159469A">
      <w:pPr>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（一）技术方案（格式自拟）</w:t>
      </w:r>
    </w:p>
    <w:p w14:paraId="28F62FBA">
      <w:pPr>
        <w:snapToGrid w:val="0"/>
        <w:spacing w:line="336" w:lineRule="auto"/>
        <w:jc w:val="center"/>
        <w:rPr>
          <w:rFonts w:ascii="仿宋" w:hAnsi="仿宋" w:eastAsia="仿宋"/>
          <w:color w:val="auto"/>
          <w:highlight w:val="none"/>
        </w:rPr>
      </w:pPr>
    </w:p>
    <w:p w14:paraId="0791CBBD">
      <w:pPr>
        <w:snapToGrid w:val="0"/>
        <w:spacing w:line="336" w:lineRule="auto"/>
        <w:jc w:val="center"/>
        <w:rPr>
          <w:rFonts w:ascii="仿宋" w:hAnsi="仿宋" w:eastAsia="仿宋"/>
          <w:color w:val="auto"/>
          <w:highlight w:val="none"/>
        </w:rPr>
      </w:pPr>
    </w:p>
    <w:p w14:paraId="7F41CAFA">
      <w:pPr>
        <w:snapToGrid w:val="0"/>
        <w:spacing w:line="336" w:lineRule="auto"/>
        <w:jc w:val="center"/>
        <w:rPr>
          <w:rFonts w:ascii="仿宋" w:hAnsi="仿宋" w:eastAsia="仿宋"/>
          <w:color w:val="auto"/>
          <w:highlight w:val="none"/>
        </w:rPr>
      </w:pPr>
    </w:p>
    <w:p w14:paraId="1A14D74D">
      <w:pPr>
        <w:snapToGrid w:val="0"/>
        <w:spacing w:line="336" w:lineRule="auto"/>
        <w:jc w:val="center"/>
        <w:rPr>
          <w:rFonts w:ascii="仿宋" w:hAnsi="仿宋" w:eastAsia="仿宋"/>
          <w:color w:val="auto"/>
          <w:highlight w:val="none"/>
        </w:rPr>
      </w:pPr>
    </w:p>
    <w:p w14:paraId="2C946FD4">
      <w:pPr>
        <w:snapToGrid w:val="0"/>
        <w:spacing w:line="336" w:lineRule="auto"/>
        <w:jc w:val="center"/>
        <w:rPr>
          <w:rFonts w:ascii="仿宋" w:hAnsi="仿宋" w:eastAsia="仿宋"/>
          <w:color w:val="auto"/>
          <w:highlight w:val="none"/>
        </w:rPr>
      </w:pPr>
    </w:p>
    <w:p w14:paraId="5592DD19">
      <w:pPr>
        <w:snapToGrid w:val="0"/>
        <w:spacing w:line="336" w:lineRule="auto"/>
        <w:jc w:val="center"/>
        <w:rPr>
          <w:rFonts w:ascii="仿宋" w:hAnsi="仿宋" w:eastAsia="仿宋"/>
          <w:color w:val="auto"/>
          <w:highlight w:val="none"/>
        </w:rPr>
      </w:pPr>
    </w:p>
    <w:p w14:paraId="7E38F40D">
      <w:pPr>
        <w:snapToGrid w:val="0"/>
        <w:spacing w:line="336" w:lineRule="auto"/>
        <w:jc w:val="center"/>
        <w:rPr>
          <w:rFonts w:ascii="仿宋" w:hAnsi="仿宋" w:eastAsia="仿宋"/>
          <w:color w:val="auto"/>
          <w:highlight w:val="none"/>
        </w:rPr>
      </w:pPr>
    </w:p>
    <w:p w14:paraId="69F78D1B">
      <w:pPr>
        <w:snapToGrid w:val="0"/>
        <w:spacing w:line="336" w:lineRule="auto"/>
        <w:jc w:val="center"/>
        <w:rPr>
          <w:rFonts w:ascii="仿宋" w:hAnsi="仿宋" w:eastAsia="仿宋"/>
          <w:color w:val="auto"/>
          <w:highlight w:val="none"/>
        </w:rPr>
      </w:pPr>
    </w:p>
    <w:p w14:paraId="58ED44B6">
      <w:pPr>
        <w:snapToGrid w:val="0"/>
        <w:spacing w:line="336" w:lineRule="auto"/>
        <w:jc w:val="center"/>
        <w:rPr>
          <w:rFonts w:ascii="仿宋" w:hAnsi="仿宋" w:eastAsia="仿宋"/>
          <w:color w:val="auto"/>
          <w:highlight w:val="none"/>
        </w:rPr>
      </w:pPr>
    </w:p>
    <w:p w14:paraId="2171D648">
      <w:pPr>
        <w:snapToGrid w:val="0"/>
        <w:spacing w:line="336" w:lineRule="auto"/>
        <w:jc w:val="center"/>
        <w:rPr>
          <w:rFonts w:ascii="仿宋" w:hAnsi="仿宋" w:eastAsia="仿宋"/>
          <w:color w:val="auto"/>
          <w:highlight w:val="none"/>
        </w:rPr>
      </w:pPr>
    </w:p>
    <w:p w14:paraId="27364BAB">
      <w:pPr>
        <w:snapToGrid w:val="0"/>
        <w:spacing w:line="336" w:lineRule="auto"/>
        <w:jc w:val="center"/>
        <w:rPr>
          <w:rFonts w:ascii="仿宋" w:hAnsi="仿宋" w:eastAsia="仿宋"/>
          <w:color w:val="auto"/>
          <w:highlight w:val="none"/>
        </w:rPr>
      </w:pPr>
    </w:p>
    <w:p w14:paraId="6901ABD8">
      <w:pPr>
        <w:snapToGrid w:val="0"/>
        <w:spacing w:line="336" w:lineRule="auto"/>
        <w:jc w:val="center"/>
        <w:rPr>
          <w:rFonts w:ascii="仿宋" w:hAnsi="仿宋" w:eastAsia="仿宋"/>
          <w:color w:val="auto"/>
          <w:highlight w:val="none"/>
        </w:rPr>
      </w:pPr>
    </w:p>
    <w:p w14:paraId="002A7DAD">
      <w:pPr>
        <w:snapToGrid w:val="0"/>
        <w:spacing w:line="336" w:lineRule="auto"/>
        <w:jc w:val="center"/>
        <w:rPr>
          <w:rFonts w:ascii="仿宋" w:hAnsi="仿宋" w:eastAsia="仿宋"/>
          <w:color w:val="auto"/>
          <w:highlight w:val="none"/>
        </w:rPr>
      </w:pPr>
    </w:p>
    <w:p w14:paraId="79240127">
      <w:pPr>
        <w:snapToGrid w:val="0"/>
        <w:spacing w:line="336" w:lineRule="auto"/>
        <w:jc w:val="center"/>
        <w:rPr>
          <w:rFonts w:ascii="仿宋" w:hAnsi="仿宋" w:eastAsia="仿宋"/>
          <w:color w:val="auto"/>
          <w:highlight w:val="none"/>
        </w:rPr>
      </w:pPr>
    </w:p>
    <w:p w14:paraId="754D34EB">
      <w:pPr>
        <w:spacing w:line="336" w:lineRule="auto"/>
        <w:rPr>
          <w:rFonts w:ascii="仿宋" w:hAnsi="仿宋" w:eastAsia="仿宋"/>
          <w:color w:val="auto"/>
          <w:highlight w:val="none"/>
        </w:rPr>
      </w:pPr>
      <w:r>
        <w:rPr>
          <w:rFonts w:hint="eastAsia" w:ascii="仿宋" w:hAnsi="仿宋" w:eastAsia="仿宋"/>
          <w:color w:val="auto"/>
          <w:highlight w:val="none"/>
        </w:rPr>
        <w:br w:type="page"/>
      </w:r>
    </w:p>
    <w:p w14:paraId="2DF41E6C">
      <w:pPr>
        <w:snapToGrid w:val="0"/>
        <w:spacing w:line="336" w:lineRule="auto"/>
        <w:jc w:val="center"/>
        <w:rPr>
          <w:rFonts w:ascii="仿宋" w:hAnsi="仿宋" w:eastAsia="仿宋"/>
          <w:color w:val="auto"/>
          <w:highlight w:val="none"/>
        </w:rPr>
      </w:pPr>
    </w:p>
    <w:p w14:paraId="093FE33D">
      <w:pPr>
        <w:snapToGrid w:val="0"/>
        <w:spacing w:line="336" w:lineRule="auto"/>
        <w:rPr>
          <w:rFonts w:ascii="仿宋" w:hAnsi="仿宋" w:eastAsia="仿宋"/>
          <w:color w:val="auto"/>
          <w:highlight w:val="none"/>
        </w:rPr>
      </w:pPr>
      <w:r>
        <w:rPr>
          <w:rFonts w:hint="eastAsia" w:ascii="仿宋" w:hAnsi="仿宋" w:eastAsia="仿宋"/>
          <w:color w:val="auto"/>
          <w:highlight w:val="none"/>
        </w:rPr>
        <w:t>（二）技术响应偏离表</w:t>
      </w:r>
    </w:p>
    <w:p w14:paraId="72FD5201">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项目名称：</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2754"/>
        <w:gridCol w:w="2860"/>
        <w:gridCol w:w="2141"/>
      </w:tblGrid>
      <w:tr w14:paraId="58F3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9" w:type="pct"/>
            <w:vAlign w:val="center"/>
          </w:tcPr>
          <w:p w14:paraId="7B3FEF10">
            <w:pPr>
              <w:tabs>
                <w:tab w:val="left" w:pos="6300"/>
              </w:tabs>
              <w:snapToGrid w:val="0"/>
              <w:spacing w:line="336" w:lineRule="auto"/>
              <w:rPr>
                <w:rFonts w:ascii="仿宋" w:hAnsi="仿宋" w:eastAsia="仿宋"/>
                <w:color w:val="auto"/>
                <w:highlight w:val="none"/>
              </w:rPr>
            </w:pPr>
            <w:r>
              <w:rPr>
                <w:rFonts w:hint="eastAsia" w:ascii="仿宋" w:hAnsi="仿宋" w:eastAsia="仿宋"/>
                <w:color w:val="auto"/>
                <w:highlight w:val="none"/>
              </w:rPr>
              <w:t>序号</w:t>
            </w:r>
          </w:p>
        </w:tc>
        <w:tc>
          <w:tcPr>
            <w:tcW w:w="1541" w:type="pct"/>
            <w:vAlign w:val="center"/>
          </w:tcPr>
          <w:p w14:paraId="5EC33F02">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lang w:eastAsia="zh-CN"/>
              </w:rPr>
              <w:t>磋商</w:t>
            </w:r>
            <w:r>
              <w:rPr>
                <w:rFonts w:hint="eastAsia" w:ascii="仿宋" w:hAnsi="仿宋" w:eastAsia="仿宋"/>
                <w:color w:val="auto"/>
                <w:highlight w:val="none"/>
              </w:rPr>
              <w:t>项目需求</w:t>
            </w:r>
          </w:p>
        </w:tc>
        <w:tc>
          <w:tcPr>
            <w:tcW w:w="1600" w:type="pct"/>
            <w:vAlign w:val="center"/>
          </w:tcPr>
          <w:p w14:paraId="035515DC">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响应情况</w:t>
            </w:r>
          </w:p>
        </w:tc>
        <w:tc>
          <w:tcPr>
            <w:tcW w:w="1198" w:type="pct"/>
            <w:vAlign w:val="center"/>
          </w:tcPr>
          <w:p w14:paraId="72343C23">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差异说明</w:t>
            </w:r>
          </w:p>
        </w:tc>
      </w:tr>
      <w:tr w14:paraId="684A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1B62BB1">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64B6E5E3">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579E2555">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690B0EFC">
            <w:pPr>
              <w:tabs>
                <w:tab w:val="left" w:pos="6300"/>
              </w:tabs>
              <w:snapToGrid w:val="0"/>
              <w:spacing w:line="336" w:lineRule="auto"/>
              <w:jc w:val="center"/>
              <w:outlineLvl w:val="0"/>
              <w:rPr>
                <w:rFonts w:ascii="仿宋" w:hAnsi="仿宋" w:eastAsia="仿宋"/>
                <w:color w:val="auto"/>
                <w:sz w:val="21"/>
                <w:szCs w:val="21"/>
                <w:highlight w:val="none"/>
              </w:rPr>
            </w:pPr>
          </w:p>
        </w:tc>
      </w:tr>
      <w:tr w14:paraId="29A1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172693BD">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3DFE85DD">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68623EB5">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1C0C9447">
            <w:pPr>
              <w:tabs>
                <w:tab w:val="left" w:pos="6300"/>
              </w:tabs>
              <w:snapToGrid w:val="0"/>
              <w:spacing w:line="336" w:lineRule="auto"/>
              <w:jc w:val="center"/>
              <w:outlineLvl w:val="0"/>
              <w:rPr>
                <w:rFonts w:ascii="仿宋" w:hAnsi="仿宋" w:eastAsia="仿宋"/>
                <w:color w:val="auto"/>
                <w:sz w:val="21"/>
                <w:szCs w:val="21"/>
                <w:highlight w:val="none"/>
              </w:rPr>
            </w:pPr>
          </w:p>
        </w:tc>
      </w:tr>
      <w:tr w14:paraId="2D11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42A1D0B">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7EA8F187">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3246D3A3">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6231D6F9">
            <w:pPr>
              <w:tabs>
                <w:tab w:val="left" w:pos="6300"/>
              </w:tabs>
              <w:snapToGrid w:val="0"/>
              <w:spacing w:line="336" w:lineRule="auto"/>
              <w:jc w:val="center"/>
              <w:outlineLvl w:val="0"/>
              <w:rPr>
                <w:rFonts w:ascii="仿宋" w:hAnsi="仿宋" w:eastAsia="仿宋"/>
                <w:color w:val="auto"/>
                <w:sz w:val="21"/>
                <w:szCs w:val="21"/>
                <w:highlight w:val="none"/>
              </w:rPr>
            </w:pPr>
          </w:p>
        </w:tc>
      </w:tr>
      <w:tr w14:paraId="1626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0183658C">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28DB536C">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011C2C7B">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30E32C49">
            <w:pPr>
              <w:tabs>
                <w:tab w:val="left" w:pos="6300"/>
              </w:tabs>
              <w:snapToGrid w:val="0"/>
              <w:spacing w:line="336" w:lineRule="auto"/>
              <w:jc w:val="center"/>
              <w:outlineLvl w:val="0"/>
              <w:rPr>
                <w:rFonts w:ascii="仿宋" w:hAnsi="仿宋" w:eastAsia="仿宋"/>
                <w:color w:val="auto"/>
                <w:sz w:val="21"/>
                <w:szCs w:val="21"/>
                <w:highlight w:val="none"/>
              </w:rPr>
            </w:pPr>
          </w:p>
        </w:tc>
      </w:tr>
      <w:tr w14:paraId="6C07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65DB83F4">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316224C6">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1D298072">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5C3157F3">
            <w:pPr>
              <w:tabs>
                <w:tab w:val="left" w:pos="6300"/>
              </w:tabs>
              <w:snapToGrid w:val="0"/>
              <w:spacing w:line="336" w:lineRule="auto"/>
              <w:jc w:val="center"/>
              <w:outlineLvl w:val="0"/>
              <w:rPr>
                <w:rFonts w:ascii="仿宋" w:hAnsi="仿宋" w:eastAsia="仿宋"/>
                <w:color w:val="auto"/>
                <w:sz w:val="21"/>
                <w:szCs w:val="21"/>
                <w:highlight w:val="none"/>
              </w:rPr>
            </w:pPr>
          </w:p>
        </w:tc>
      </w:tr>
      <w:tr w14:paraId="703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06BC3FEB">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7EECC0F5">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5BB365BF">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0C533C36">
            <w:pPr>
              <w:tabs>
                <w:tab w:val="left" w:pos="6300"/>
              </w:tabs>
              <w:snapToGrid w:val="0"/>
              <w:spacing w:line="336" w:lineRule="auto"/>
              <w:jc w:val="center"/>
              <w:outlineLvl w:val="0"/>
              <w:rPr>
                <w:rFonts w:ascii="仿宋" w:hAnsi="仿宋" w:eastAsia="仿宋"/>
                <w:color w:val="auto"/>
                <w:sz w:val="21"/>
                <w:szCs w:val="21"/>
                <w:highlight w:val="none"/>
              </w:rPr>
            </w:pPr>
          </w:p>
        </w:tc>
      </w:tr>
      <w:tr w14:paraId="6F6A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6E96CC2B">
            <w:pPr>
              <w:tabs>
                <w:tab w:val="left" w:pos="6300"/>
              </w:tabs>
              <w:snapToGrid w:val="0"/>
              <w:spacing w:line="336" w:lineRule="auto"/>
              <w:jc w:val="center"/>
              <w:outlineLvl w:val="0"/>
              <w:rPr>
                <w:rFonts w:ascii="仿宋" w:hAnsi="仿宋" w:eastAsia="仿宋"/>
                <w:color w:val="auto"/>
                <w:sz w:val="21"/>
                <w:szCs w:val="21"/>
                <w:highlight w:val="none"/>
              </w:rPr>
            </w:pPr>
          </w:p>
        </w:tc>
        <w:tc>
          <w:tcPr>
            <w:tcW w:w="1541" w:type="pct"/>
            <w:vAlign w:val="center"/>
          </w:tcPr>
          <w:p w14:paraId="2A238F79">
            <w:pPr>
              <w:tabs>
                <w:tab w:val="left" w:pos="6300"/>
              </w:tabs>
              <w:snapToGrid w:val="0"/>
              <w:spacing w:line="336" w:lineRule="auto"/>
              <w:jc w:val="center"/>
              <w:outlineLvl w:val="0"/>
              <w:rPr>
                <w:rFonts w:ascii="仿宋" w:hAnsi="仿宋" w:eastAsia="仿宋"/>
                <w:color w:val="auto"/>
                <w:sz w:val="21"/>
                <w:szCs w:val="21"/>
                <w:highlight w:val="none"/>
              </w:rPr>
            </w:pPr>
          </w:p>
        </w:tc>
        <w:tc>
          <w:tcPr>
            <w:tcW w:w="1600" w:type="pct"/>
            <w:vAlign w:val="center"/>
          </w:tcPr>
          <w:p w14:paraId="3143E68E">
            <w:pPr>
              <w:tabs>
                <w:tab w:val="left" w:pos="6300"/>
              </w:tabs>
              <w:snapToGrid w:val="0"/>
              <w:spacing w:line="336" w:lineRule="auto"/>
              <w:jc w:val="center"/>
              <w:outlineLvl w:val="0"/>
              <w:rPr>
                <w:rFonts w:ascii="仿宋" w:hAnsi="仿宋" w:eastAsia="仿宋"/>
                <w:color w:val="auto"/>
                <w:sz w:val="21"/>
                <w:szCs w:val="21"/>
                <w:highlight w:val="none"/>
              </w:rPr>
            </w:pPr>
          </w:p>
        </w:tc>
        <w:tc>
          <w:tcPr>
            <w:tcW w:w="1198" w:type="pct"/>
            <w:vAlign w:val="center"/>
          </w:tcPr>
          <w:p w14:paraId="14F0A803">
            <w:pPr>
              <w:tabs>
                <w:tab w:val="left" w:pos="6300"/>
              </w:tabs>
              <w:snapToGrid w:val="0"/>
              <w:spacing w:line="336" w:lineRule="auto"/>
              <w:jc w:val="center"/>
              <w:outlineLvl w:val="0"/>
              <w:rPr>
                <w:rFonts w:ascii="仿宋" w:hAnsi="仿宋" w:eastAsia="仿宋"/>
                <w:color w:val="auto"/>
                <w:sz w:val="21"/>
                <w:szCs w:val="21"/>
                <w:highlight w:val="none"/>
              </w:rPr>
            </w:pPr>
          </w:p>
        </w:tc>
      </w:tr>
    </w:tbl>
    <w:p w14:paraId="5669CF47">
      <w:pPr>
        <w:spacing w:line="336" w:lineRule="auto"/>
        <w:ind w:firstLine="600" w:firstLineChars="250"/>
        <w:rPr>
          <w:rFonts w:ascii="仿宋" w:hAnsi="仿宋" w:eastAsia="仿宋"/>
          <w:color w:val="auto"/>
          <w:highlight w:val="none"/>
        </w:rPr>
      </w:pPr>
      <w:r>
        <w:rPr>
          <w:rFonts w:hint="eastAsia" w:ascii="仿宋" w:hAnsi="仿宋" w:eastAsia="仿宋"/>
          <w:color w:val="auto"/>
          <w:highlight w:val="none"/>
        </w:rPr>
        <w:t>供应商：                                      法定代表人授权代表：</w:t>
      </w:r>
    </w:p>
    <w:p w14:paraId="3441CCCE">
      <w:pPr>
        <w:spacing w:line="336" w:lineRule="auto"/>
        <w:rPr>
          <w:rFonts w:ascii="仿宋" w:hAnsi="仿宋" w:eastAsia="仿宋"/>
          <w:color w:val="auto"/>
          <w:highlight w:val="none"/>
        </w:rPr>
      </w:pPr>
    </w:p>
    <w:p w14:paraId="5B5AD7E5">
      <w:pPr>
        <w:spacing w:line="336" w:lineRule="auto"/>
        <w:ind w:firstLine="720" w:firstLineChars="300"/>
        <w:rPr>
          <w:rFonts w:ascii="仿宋" w:hAnsi="仿宋" w:eastAsia="仿宋"/>
          <w:color w:val="auto"/>
          <w:highlight w:val="none"/>
        </w:rPr>
      </w:pPr>
      <w:r>
        <w:rPr>
          <w:rFonts w:hint="eastAsia" w:ascii="仿宋" w:hAnsi="仿宋" w:eastAsia="仿宋"/>
          <w:color w:val="auto"/>
          <w:highlight w:val="none"/>
        </w:rPr>
        <w:t>（供应商公章）                               （签字或盖章）</w:t>
      </w:r>
    </w:p>
    <w:p w14:paraId="47195CF5">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 xml:space="preserve">                                            年     月     日</w:t>
      </w:r>
    </w:p>
    <w:p w14:paraId="33100B01">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注：</w:t>
      </w:r>
    </w:p>
    <w:p w14:paraId="098303B4">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1.本表即为对本项目“第二篇  项目技术需求”中所列技术要求进行比较和响应；</w:t>
      </w:r>
    </w:p>
    <w:p w14:paraId="0231B7C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2.该表必须按照</w:t>
      </w:r>
      <w:r>
        <w:rPr>
          <w:rFonts w:hint="eastAsia" w:ascii="仿宋" w:hAnsi="仿宋" w:eastAsia="仿宋"/>
          <w:color w:val="auto"/>
          <w:highlight w:val="none"/>
          <w:lang w:eastAsia="zh-CN"/>
        </w:rPr>
        <w:t>磋商</w:t>
      </w:r>
      <w:r>
        <w:rPr>
          <w:rFonts w:hint="eastAsia" w:ascii="仿宋" w:hAnsi="仿宋" w:eastAsia="仿宋"/>
          <w:color w:val="auto"/>
          <w:highlight w:val="none"/>
        </w:rPr>
        <w:t>文件要求逐条如实填写，根据响应情况在“差异说明”项填写正偏离或负偏离及原因，完全符合的填写“无差异”；</w:t>
      </w:r>
    </w:p>
    <w:p w14:paraId="48652224">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3.该表可扩展，并逐页签字或盖章；</w:t>
      </w:r>
    </w:p>
    <w:p w14:paraId="6ADBA3C8">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4.可附相关技术支撑材料。（格式自定）</w:t>
      </w:r>
    </w:p>
    <w:p w14:paraId="0727254C">
      <w:pPr>
        <w:tabs>
          <w:tab w:val="left" w:pos="6300"/>
        </w:tabs>
        <w:snapToGrid w:val="0"/>
        <w:spacing w:line="336" w:lineRule="auto"/>
        <w:ind w:firstLine="480" w:firstLineChars="200"/>
        <w:rPr>
          <w:rFonts w:ascii="仿宋" w:hAnsi="仿宋" w:eastAsia="仿宋"/>
          <w:color w:val="auto"/>
          <w:highlight w:val="none"/>
        </w:rPr>
      </w:pPr>
    </w:p>
    <w:p w14:paraId="03CE8EFC">
      <w:pPr>
        <w:pStyle w:val="3"/>
        <w:spacing w:before="0" w:after="0" w:line="336"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bookmarkStart w:id="163" w:name="_Toc28341"/>
      <w:bookmarkStart w:id="164" w:name="_Toc486608279"/>
      <w:bookmarkStart w:id="165" w:name="_Toc487204799"/>
      <w:bookmarkStart w:id="166" w:name="_Toc108545985"/>
      <w:bookmarkStart w:id="167" w:name="_Toc486585242"/>
      <w:bookmarkStart w:id="168" w:name="_Toc17029"/>
      <w:r>
        <w:rPr>
          <w:rFonts w:hint="eastAsia" w:ascii="仿宋" w:hAnsi="仿宋" w:eastAsia="仿宋" w:cs="宋体"/>
          <w:color w:val="auto"/>
          <w:sz w:val="24"/>
          <w:szCs w:val="24"/>
          <w:highlight w:val="none"/>
        </w:rPr>
        <w:t>三、商务部分</w:t>
      </w:r>
      <w:bookmarkEnd w:id="163"/>
      <w:bookmarkEnd w:id="164"/>
      <w:bookmarkEnd w:id="165"/>
      <w:bookmarkEnd w:id="166"/>
      <w:bookmarkEnd w:id="167"/>
      <w:bookmarkEnd w:id="168"/>
    </w:p>
    <w:p w14:paraId="264FF9C5">
      <w:pPr>
        <w:spacing w:line="336" w:lineRule="auto"/>
        <w:rPr>
          <w:rFonts w:ascii="仿宋" w:hAnsi="仿宋" w:eastAsia="仿宋"/>
          <w:color w:val="auto"/>
          <w:highlight w:val="none"/>
        </w:rPr>
      </w:pPr>
      <w:r>
        <w:rPr>
          <w:rFonts w:hint="eastAsia" w:ascii="仿宋" w:hAnsi="仿宋" w:eastAsia="仿宋"/>
          <w:color w:val="auto"/>
          <w:highlight w:val="none"/>
        </w:rPr>
        <w:t>（一）商务响应偏离表</w:t>
      </w:r>
    </w:p>
    <w:p w14:paraId="652DB216">
      <w:pPr>
        <w:snapToGrid w:val="0"/>
        <w:spacing w:line="336" w:lineRule="auto"/>
        <w:jc w:val="center"/>
        <w:rPr>
          <w:rFonts w:ascii="仿宋" w:hAnsi="仿宋" w:eastAsia="仿宋"/>
          <w:b/>
          <w:color w:val="auto"/>
          <w:highlight w:val="none"/>
        </w:rPr>
      </w:pPr>
      <w:r>
        <w:rPr>
          <w:rFonts w:hint="eastAsia" w:ascii="仿宋" w:hAnsi="仿宋" w:eastAsia="仿宋"/>
          <w:b/>
          <w:color w:val="auto"/>
          <w:highlight w:val="none"/>
        </w:rPr>
        <w:t>商务响应偏离表</w:t>
      </w:r>
    </w:p>
    <w:tbl>
      <w:tblPr>
        <w:tblStyle w:val="33"/>
        <w:tblpPr w:leftFromText="180" w:rightFromText="180" w:vertAnchor="text" w:horzAnchor="page" w:tblpX="1372" w:tblpY="48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2997"/>
        <w:gridCol w:w="2295"/>
        <w:gridCol w:w="2219"/>
      </w:tblGrid>
      <w:tr w14:paraId="7082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6" w:type="pct"/>
            <w:vAlign w:val="center"/>
          </w:tcPr>
          <w:p w14:paraId="2515E6B0">
            <w:pPr>
              <w:spacing w:line="336" w:lineRule="auto"/>
              <w:jc w:val="center"/>
              <w:rPr>
                <w:rFonts w:ascii="仿宋" w:hAnsi="仿宋" w:eastAsia="仿宋"/>
                <w:color w:val="auto"/>
                <w:highlight w:val="none"/>
              </w:rPr>
            </w:pPr>
            <w:r>
              <w:rPr>
                <w:rFonts w:hint="eastAsia" w:ascii="仿宋" w:hAnsi="仿宋" w:eastAsia="仿宋"/>
                <w:color w:val="auto"/>
                <w:highlight w:val="none"/>
              </w:rPr>
              <w:t>序号</w:t>
            </w:r>
          </w:p>
        </w:tc>
        <w:tc>
          <w:tcPr>
            <w:tcW w:w="1677" w:type="pct"/>
            <w:vAlign w:val="center"/>
          </w:tcPr>
          <w:p w14:paraId="543FA89B">
            <w:pPr>
              <w:spacing w:line="336" w:lineRule="auto"/>
              <w:jc w:val="center"/>
              <w:rPr>
                <w:rFonts w:ascii="仿宋" w:hAnsi="仿宋" w:eastAsia="仿宋"/>
                <w:color w:val="auto"/>
                <w:highlight w:val="none"/>
              </w:rPr>
            </w:pPr>
            <w:r>
              <w:rPr>
                <w:rFonts w:hint="eastAsia" w:ascii="仿宋" w:hAnsi="仿宋" w:eastAsia="仿宋"/>
                <w:color w:val="auto"/>
                <w:highlight w:val="none"/>
                <w:lang w:eastAsia="zh-CN"/>
              </w:rPr>
              <w:t>磋商</w:t>
            </w:r>
            <w:r>
              <w:rPr>
                <w:rFonts w:hint="eastAsia" w:ascii="仿宋" w:hAnsi="仿宋" w:eastAsia="仿宋"/>
                <w:color w:val="auto"/>
                <w:highlight w:val="none"/>
              </w:rPr>
              <w:t>项目需求</w:t>
            </w:r>
          </w:p>
        </w:tc>
        <w:tc>
          <w:tcPr>
            <w:tcW w:w="1284" w:type="pct"/>
            <w:vAlign w:val="center"/>
          </w:tcPr>
          <w:p w14:paraId="293424C4">
            <w:pPr>
              <w:spacing w:line="336" w:lineRule="auto"/>
              <w:jc w:val="center"/>
              <w:rPr>
                <w:rFonts w:ascii="仿宋" w:hAnsi="仿宋" w:eastAsia="仿宋"/>
                <w:color w:val="auto"/>
                <w:highlight w:val="none"/>
              </w:rPr>
            </w:pPr>
            <w:r>
              <w:rPr>
                <w:rFonts w:hint="eastAsia" w:ascii="仿宋" w:hAnsi="仿宋" w:eastAsia="仿宋"/>
                <w:color w:val="auto"/>
                <w:highlight w:val="none"/>
              </w:rPr>
              <w:t>响应情况</w:t>
            </w:r>
          </w:p>
        </w:tc>
        <w:tc>
          <w:tcPr>
            <w:tcW w:w="1242" w:type="pct"/>
            <w:vAlign w:val="center"/>
          </w:tcPr>
          <w:p w14:paraId="5073409A">
            <w:pPr>
              <w:spacing w:line="336" w:lineRule="auto"/>
              <w:jc w:val="center"/>
              <w:rPr>
                <w:rFonts w:ascii="仿宋" w:hAnsi="仿宋" w:eastAsia="仿宋"/>
                <w:color w:val="auto"/>
                <w:highlight w:val="none"/>
              </w:rPr>
            </w:pPr>
            <w:r>
              <w:rPr>
                <w:rFonts w:hint="eastAsia" w:ascii="仿宋" w:hAnsi="仿宋" w:eastAsia="仿宋"/>
                <w:color w:val="auto"/>
                <w:highlight w:val="none"/>
              </w:rPr>
              <w:t>偏离说明</w:t>
            </w:r>
          </w:p>
        </w:tc>
      </w:tr>
      <w:tr w14:paraId="343D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50C97FA9">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5D33533B">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150CDA4C">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291F639D">
            <w:pPr>
              <w:tabs>
                <w:tab w:val="left" w:pos="6300"/>
              </w:tabs>
              <w:snapToGrid w:val="0"/>
              <w:spacing w:line="336" w:lineRule="auto"/>
              <w:jc w:val="center"/>
              <w:outlineLvl w:val="0"/>
              <w:rPr>
                <w:rFonts w:ascii="仿宋" w:hAnsi="仿宋" w:eastAsia="仿宋"/>
                <w:color w:val="auto"/>
                <w:sz w:val="21"/>
                <w:highlight w:val="none"/>
              </w:rPr>
            </w:pPr>
          </w:p>
        </w:tc>
      </w:tr>
      <w:tr w14:paraId="4E62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2B229A72">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698BC0CF">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3170A449">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495B4B40">
            <w:pPr>
              <w:tabs>
                <w:tab w:val="left" w:pos="6300"/>
              </w:tabs>
              <w:snapToGrid w:val="0"/>
              <w:spacing w:line="336" w:lineRule="auto"/>
              <w:jc w:val="center"/>
              <w:outlineLvl w:val="0"/>
              <w:rPr>
                <w:rFonts w:ascii="仿宋" w:hAnsi="仿宋" w:eastAsia="仿宋"/>
                <w:color w:val="auto"/>
                <w:sz w:val="21"/>
                <w:highlight w:val="none"/>
              </w:rPr>
            </w:pPr>
          </w:p>
        </w:tc>
      </w:tr>
      <w:tr w14:paraId="4E8A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3DBC14FD">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737E0FB0">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462CD4B7">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40E93B09">
            <w:pPr>
              <w:tabs>
                <w:tab w:val="left" w:pos="6300"/>
              </w:tabs>
              <w:snapToGrid w:val="0"/>
              <w:spacing w:line="336" w:lineRule="auto"/>
              <w:jc w:val="center"/>
              <w:outlineLvl w:val="0"/>
              <w:rPr>
                <w:rFonts w:ascii="仿宋" w:hAnsi="仿宋" w:eastAsia="仿宋"/>
                <w:color w:val="auto"/>
                <w:sz w:val="21"/>
                <w:highlight w:val="none"/>
              </w:rPr>
            </w:pPr>
          </w:p>
        </w:tc>
      </w:tr>
      <w:tr w14:paraId="6F0E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35F00F90">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5591D5D6">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56C55A5E">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6C28AA01">
            <w:pPr>
              <w:tabs>
                <w:tab w:val="left" w:pos="6300"/>
              </w:tabs>
              <w:snapToGrid w:val="0"/>
              <w:spacing w:line="336" w:lineRule="auto"/>
              <w:jc w:val="center"/>
              <w:outlineLvl w:val="0"/>
              <w:rPr>
                <w:rFonts w:ascii="仿宋" w:hAnsi="仿宋" w:eastAsia="仿宋"/>
                <w:color w:val="auto"/>
                <w:sz w:val="21"/>
                <w:highlight w:val="none"/>
              </w:rPr>
            </w:pPr>
          </w:p>
        </w:tc>
      </w:tr>
      <w:tr w14:paraId="7F72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2584C7E5">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71F5732E">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7050A77D">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6136694F">
            <w:pPr>
              <w:tabs>
                <w:tab w:val="left" w:pos="6300"/>
              </w:tabs>
              <w:snapToGrid w:val="0"/>
              <w:spacing w:line="336" w:lineRule="auto"/>
              <w:jc w:val="center"/>
              <w:outlineLvl w:val="0"/>
              <w:rPr>
                <w:rFonts w:ascii="仿宋" w:hAnsi="仿宋" w:eastAsia="仿宋"/>
                <w:color w:val="auto"/>
                <w:sz w:val="21"/>
                <w:highlight w:val="none"/>
              </w:rPr>
            </w:pPr>
          </w:p>
        </w:tc>
      </w:tr>
      <w:tr w14:paraId="5543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7559CB13">
            <w:pPr>
              <w:tabs>
                <w:tab w:val="left" w:pos="6300"/>
              </w:tabs>
              <w:snapToGrid w:val="0"/>
              <w:spacing w:line="336" w:lineRule="auto"/>
              <w:jc w:val="center"/>
              <w:outlineLvl w:val="0"/>
              <w:rPr>
                <w:rFonts w:ascii="仿宋" w:hAnsi="仿宋" w:eastAsia="仿宋"/>
                <w:color w:val="auto"/>
                <w:sz w:val="21"/>
                <w:highlight w:val="none"/>
              </w:rPr>
            </w:pPr>
          </w:p>
        </w:tc>
        <w:tc>
          <w:tcPr>
            <w:tcW w:w="1677" w:type="pct"/>
            <w:vAlign w:val="center"/>
          </w:tcPr>
          <w:p w14:paraId="10D09603">
            <w:pPr>
              <w:tabs>
                <w:tab w:val="left" w:pos="6300"/>
              </w:tabs>
              <w:snapToGrid w:val="0"/>
              <w:spacing w:line="336" w:lineRule="auto"/>
              <w:jc w:val="center"/>
              <w:outlineLvl w:val="0"/>
              <w:rPr>
                <w:rFonts w:ascii="仿宋" w:hAnsi="仿宋" w:eastAsia="仿宋"/>
                <w:color w:val="auto"/>
                <w:sz w:val="21"/>
                <w:highlight w:val="none"/>
              </w:rPr>
            </w:pPr>
          </w:p>
        </w:tc>
        <w:tc>
          <w:tcPr>
            <w:tcW w:w="1284" w:type="pct"/>
            <w:vAlign w:val="center"/>
          </w:tcPr>
          <w:p w14:paraId="2D17992E">
            <w:pPr>
              <w:tabs>
                <w:tab w:val="left" w:pos="6300"/>
              </w:tabs>
              <w:snapToGrid w:val="0"/>
              <w:spacing w:line="336" w:lineRule="auto"/>
              <w:jc w:val="center"/>
              <w:outlineLvl w:val="0"/>
              <w:rPr>
                <w:rFonts w:ascii="仿宋" w:hAnsi="仿宋" w:eastAsia="仿宋"/>
                <w:color w:val="auto"/>
                <w:sz w:val="21"/>
                <w:highlight w:val="none"/>
              </w:rPr>
            </w:pPr>
          </w:p>
        </w:tc>
        <w:tc>
          <w:tcPr>
            <w:tcW w:w="1242" w:type="pct"/>
            <w:vAlign w:val="center"/>
          </w:tcPr>
          <w:p w14:paraId="7D5C3400">
            <w:pPr>
              <w:tabs>
                <w:tab w:val="left" w:pos="6300"/>
              </w:tabs>
              <w:snapToGrid w:val="0"/>
              <w:spacing w:line="336" w:lineRule="auto"/>
              <w:jc w:val="center"/>
              <w:outlineLvl w:val="0"/>
              <w:rPr>
                <w:rFonts w:ascii="仿宋" w:hAnsi="仿宋" w:eastAsia="仿宋"/>
                <w:color w:val="auto"/>
                <w:sz w:val="21"/>
                <w:highlight w:val="none"/>
              </w:rPr>
            </w:pPr>
          </w:p>
        </w:tc>
      </w:tr>
    </w:tbl>
    <w:p w14:paraId="2A681BB0">
      <w:pPr>
        <w:snapToGrid w:val="0"/>
        <w:spacing w:line="336" w:lineRule="auto"/>
        <w:rPr>
          <w:rFonts w:ascii="仿宋" w:hAnsi="仿宋" w:eastAsia="仿宋"/>
          <w:color w:val="auto"/>
          <w:highlight w:val="none"/>
        </w:rPr>
      </w:pPr>
    </w:p>
    <w:p w14:paraId="76FAFFDB">
      <w:pPr>
        <w:spacing w:line="336" w:lineRule="auto"/>
        <w:ind w:firstLine="600" w:firstLineChars="250"/>
        <w:rPr>
          <w:rFonts w:ascii="仿宋" w:hAnsi="仿宋" w:eastAsia="仿宋"/>
          <w:color w:val="auto"/>
          <w:highlight w:val="none"/>
        </w:rPr>
      </w:pPr>
      <w:r>
        <w:rPr>
          <w:rFonts w:hint="eastAsia" w:ascii="仿宋" w:hAnsi="仿宋" w:eastAsia="仿宋"/>
          <w:color w:val="auto"/>
          <w:highlight w:val="none"/>
        </w:rPr>
        <w:t>供应商：                                      法定代表人授权代表：</w:t>
      </w:r>
    </w:p>
    <w:p w14:paraId="16367B5C">
      <w:pPr>
        <w:spacing w:line="336" w:lineRule="auto"/>
        <w:ind w:firstLine="360" w:firstLineChars="150"/>
        <w:rPr>
          <w:rFonts w:ascii="仿宋" w:hAnsi="仿宋" w:eastAsia="仿宋"/>
          <w:color w:val="auto"/>
          <w:highlight w:val="none"/>
        </w:rPr>
      </w:pPr>
      <w:r>
        <w:rPr>
          <w:rFonts w:hint="eastAsia" w:ascii="仿宋" w:hAnsi="仿宋" w:eastAsia="仿宋"/>
          <w:color w:val="auto"/>
          <w:highlight w:val="none"/>
        </w:rPr>
        <w:t>（供应商公章）                                 （签字或盖章）</w:t>
      </w:r>
    </w:p>
    <w:p w14:paraId="43272335">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 xml:space="preserve">                                            年     月     日</w:t>
      </w:r>
    </w:p>
    <w:p w14:paraId="4F7E773A">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注：</w:t>
      </w:r>
    </w:p>
    <w:p w14:paraId="41B0D725">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1.本表即为对本项目“第三篇 项目商务需求”中所列服务要求进行比较和响应；</w:t>
      </w:r>
    </w:p>
    <w:p w14:paraId="383A6F92">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2.该表必须按照</w:t>
      </w:r>
      <w:r>
        <w:rPr>
          <w:rFonts w:hint="eastAsia" w:ascii="仿宋" w:hAnsi="仿宋" w:eastAsia="仿宋"/>
          <w:color w:val="auto"/>
          <w:highlight w:val="none"/>
          <w:lang w:eastAsia="zh-CN"/>
        </w:rPr>
        <w:t>磋商</w:t>
      </w:r>
      <w:r>
        <w:rPr>
          <w:rFonts w:hint="eastAsia" w:ascii="仿宋" w:hAnsi="仿宋" w:eastAsia="仿宋"/>
          <w:color w:val="auto"/>
          <w:highlight w:val="none"/>
        </w:rPr>
        <w:t>要求逐条如实填写，根据响应情况在“差异说明”项填写正偏离或负偏离及原因，完全符合的填写“无差异”；</w:t>
      </w:r>
    </w:p>
    <w:p w14:paraId="34D718AB">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3.该表可扩展，并逐页签字或盖章；</w:t>
      </w:r>
    </w:p>
    <w:p w14:paraId="3ADA2FCA">
      <w:pPr>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br w:type="page"/>
      </w:r>
      <w:r>
        <w:rPr>
          <w:rFonts w:hint="eastAsia" w:ascii="仿宋" w:hAnsi="仿宋" w:eastAsia="仿宋"/>
          <w:color w:val="auto"/>
          <w:highlight w:val="none"/>
        </w:rPr>
        <w:t>（二）其它优惠承诺（如有）</w:t>
      </w:r>
    </w:p>
    <w:p w14:paraId="5F681FCA">
      <w:pPr>
        <w:pStyle w:val="4"/>
        <w:spacing w:before="0" w:after="0" w:line="336" w:lineRule="auto"/>
        <w:rPr>
          <w:rFonts w:ascii="仿宋" w:hAnsi="仿宋" w:eastAsia="仿宋" w:cs="宋体"/>
          <w:color w:val="auto"/>
          <w:sz w:val="24"/>
          <w:szCs w:val="24"/>
          <w:highlight w:val="none"/>
        </w:rPr>
      </w:pPr>
      <w:r>
        <w:rPr>
          <w:rFonts w:hint="eastAsia" w:ascii="仿宋" w:hAnsi="仿宋" w:eastAsia="仿宋" w:cs="宋体"/>
          <w:b w:val="0"/>
          <w:color w:val="auto"/>
          <w:sz w:val="24"/>
          <w:szCs w:val="24"/>
          <w:highlight w:val="none"/>
        </w:rPr>
        <w:br w:type="page"/>
      </w:r>
      <w:bookmarkStart w:id="169" w:name="_Toc108545986"/>
      <w:bookmarkStart w:id="170" w:name="_Toc487204800"/>
      <w:bookmarkStart w:id="171" w:name="_Toc486585243"/>
      <w:bookmarkStart w:id="172" w:name="_Toc25022"/>
      <w:bookmarkStart w:id="173" w:name="_Toc486608280"/>
      <w:bookmarkStart w:id="174" w:name="_Toc23557"/>
      <w:bookmarkStart w:id="175" w:name="_Toc8290"/>
      <w:r>
        <w:rPr>
          <w:rFonts w:hint="eastAsia" w:ascii="仿宋" w:hAnsi="仿宋" w:eastAsia="仿宋" w:cs="宋体"/>
          <w:color w:val="auto"/>
          <w:sz w:val="24"/>
          <w:szCs w:val="24"/>
          <w:highlight w:val="none"/>
        </w:rPr>
        <w:t>四、资格条件及其他</w:t>
      </w:r>
      <w:bookmarkEnd w:id="169"/>
      <w:bookmarkEnd w:id="170"/>
      <w:bookmarkEnd w:id="171"/>
      <w:bookmarkEnd w:id="172"/>
      <w:bookmarkEnd w:id="173"/>
      <w:bookmarkEnd w:id="174"/>
      <w:bookmarkEnd w:id="175"/>
    </w:p>
    <w:p w14:paraId="38986632">
      <w:pPr>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（一）营业执照（副本）或事业单位法人证书（副本）复印件或个体工商户营业执照</w:t>
      </w:r>
    </w:p>
    <w:p w14:paraId="49954F86">
      <w:pPr>
        <w:tabs>
          <w:tab w:val="left" w:pos="6300"/>
        </w:tabs>
        <w:snapToGrid w:val="0"/>
        <w:spacing w:line="336" w:lineRule="auto"/>
        <w:ind w:firstLine="570"/>
        <w:rPr>
          <w:rFonts w:ascii="仿宋" w:hAnsi="仿宋" w:eastAsia="仿宋"/>
          <w:color w:val="auto"/>
          <w:highlight w:val="none"/>
        </w:rPr>
      </w:pPr>
    </w:p>
    <w:p w14:paraId="0018ACD6">
      <w:pPr>
        <w:tabs>
          <w:tab w:val="left" w:pos="6300"/>
        </w:tabs>
        <w:snapToGrid w:val="0"/>
        <w:spacing w:line="336" w:lineRule="auto"/>
        <w:ind w:firstLine="570"/>
        <w:rPr>
          <w:rFonts w:ascii="仿宋" w:hAnsi="仿宋" w:eastAsia="仿宋"/>
          <w:color w:val="auto"/>
          <w:highlight w:val="none"/>
        </w:rPr>
      </w:pPr>
    </w:p>
    <w:p w14:paraId="4DAB4976">
      <w:pPr>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br w:type="page"/>
      </w:r>
      <w:r>
        <w:rPr>
          <w:rFonts w:hint="eastAsia" w:ascii="仿宋" w:hAnsi="仿宋" w:eastAsia="仿宋"/>
          <w:color w:val="auto"/>
          <w:highlight w:val="none"/>
        </w:rPr>
        <w:t>（二）法定代表人身份证明书（格式）</w:t>
      </w:r>
    </w:p>
    <w:p w14:paraId="3F2E04CB">
      <w:pPr>
        <w:tabs>
          <w:tab w:val="left" w:pos="6300"/>
        </w:tabs>
        <w:snapToGrid w:val="0"/>
        <w:spacing w:line="336" w:lineRule="auto"/>
        <w:ind w:firstLine="570"/>
        <w:rPr>
          <w:rFonts w:ascii="仿宋" w:hAnsi="仿宋" w:eastAsia="仿宋"/>
          <w:color w:val="auto"/>
          <w:highlight w:val="none"/>
        </w:rPr>
      </w:pPr>
    </w:p>
    <w:p w14:paraId="637AA773">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项目名称：</w:t>
      </w:r>
    </w:p>
    <w:p w14:paraId="7376E075">
      <w:pPr>
        <w:tabs>
          <w:tab w:val="left" w:pos="6300"/>
        </w:tabs>
        <w:snapToGrid w:val="0"/>
        <w:spacing w:line="336" w:lineRule="auto"/>
        <w:ind w:firstLine="570"/>
        <w:rPr>
          <w:rFonts w:ascii="仿宋" w:hAnsi="仿宋" w:eastAsia="仿宋"/>
          <w:color w:val="auto"/>
          <w:highlight w:val="none"/>
        </w:rPr>
      </w:pPr>
    </w:p>
    <w:p w14:paraId="328DE81C">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致：</w:t>
      </w:r>
      <w:r>
        <w:rPr>
          <w:rFonts w:hint="eastAsia" w:ascii="仿宋" w:hAnsi="仿宋" w:eastAsia="仿宋"/>
          <w:color w:val="auto"/>
          <w:highlight w:val="none"/>
          <w:u w:val="single"/>
        </w:rPr>
        <w:t>（采购代理机构名称）</w:t>
      </w:r>
      <w:r>
        <w:rPr>
          <w:rFonts w:hint="eastAsia" w:ascii="仿宋" w:hAnsi="仿宋" w:eastAsia="仿宋"/>
          <w:color w:val="auto"/>
          <w:highlight w:val="none"/>
        </w:rPr>
        <w:t>：</w:t>
      </w:r>
    </w:p>
    <w:p w14:paraId="090E3A8A">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u w:val="single"/>
        </w:rPr>
        <w:t>（法定代表人姓名）</w:t>
      </w:r>
      <w:r>
        <w:rPr>
          <w:rFonts w:hint="eastAsia" w:ascii="仿宋" w:hAnsi="仿宋" w:eastAsia="仿宋"/>
          <w:color w:val="auto"/>
          <w:highlight w:val="none"/>
        </w:rPr>
        <w:t>在</w:t>
      </w:r>
      <w:r>
        <w:rPr>
          <w:rFonts w:hint="eastAsia" w:ascii="仿宋" w:hAnsi="仿宋" w:eastAsia="仿宋"/>
          <w:color w:val="auto"/>
          <w:highlight w:val="none"/>
          <w:u w:val="single"/>
        </w:rPr>
        <w:t>（供应商名称）</w:t>
      </w:r>
      <w:r>
        <w:rPr>
          <w:rFonts w:hint="eastAsia" w:ascii="仿宋" w:hAnsi="仿宋" w:eastAsia="仿宋"/>
          <w:color w:val="auto"/>
          <w:highlight w:val="none"/>
        </w:rPr>
        <w:t>任</w:t>
      </w:r>
      <w:r>
        <w:rPr>
          <w:rFonts w:hint="eastAsia" w:ascii="仿宋" w:hAnsi="仿宋" w:eastAsia="仿宋"/>
          <w:color w:val="auto"/>
          <w:highlight w:val="none"/>
          <w:u w:val="single"/>
        </w:rPr>
        <w:t>（职务名称）</w:t>
      </w:r>
      <w:r>
        <w:rPr>
          <w:rFonts w:hint="eastAsia" w:ascii="仿宋" w:hAnsi="仿宋" w:eastAsia="仿宋"/>
          <w:color w:val="auto"/>
          <w:highlight w:val="none"/>
        </w:rPr>
        <w:t>职务，是</w:t>
      </w:r>
      <w:r>
        <w:rPr>
          <w:rFonts w:hint="eastAsia" w:ascii="仿宋" w:hAnsi="仿宋" w:eastAsia="仿宋"/>
          <w:color w:val="auto"/>
          <w:highlight w:val="none"/>
          <w:u w:val="single"/>
        </w:rPr>
        <w:t>（供应商名称）</w:t>
      </w:r>
      <w:r>
        <w:rPr>
          <w:rFonts w:hint="eastAsia" w:ascii="仿宋" w:hAnsi="仿宋" w:eastAsia="仿宋"/>
          <w:color w:val="auto"/>
          <w:highlight w:val="none"/>
        </w:rPr>
        <w:t>的法定代表人。</w:t>
      </w:r>
    </w:p>
    <w:p w14:paraId="01E874BD">
      <w:pPr>
        <w:tabs>
          <w:tab w:val="left" w:pos="6300"/>
        </w:tabs>
        <w:snapToGrid w:val="0"/>
        <w:spacing w:line="336" w:lineRule="auto"/>
        <w:ind w:firstLine="570"/>
        <w:rPr>
          <w:rFonts w:ascii="仿宋" w:hAnsi="仿宋" w:eastAsia="仿宋"/>
          <w:color w:val="auto"/>
          <w:highlight w:val="none"/>
        </w:rPr>
      </w:pPr>
    </w:p>
    <w:p w14:paraId="4DD31767">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特此证明。</w:t>
      </w:r>
    </w:p>
    <w:p w14:paraId="3635B2B9">
      <w:pPr>
        <w:tabs>
          <w:tab w:val="left" w:pos="6300"/>
        </w:tabs>
        <w:snapToGrid w:val="0"/>
        <w:spacing w:line="336" w:lineRule="auto"/>
        <w:ind w:firstLine="570"/>
        <w:rPr>
          <w:rFonts w:ascii="仿宋" w:hAnsi="仿宋" w:eastAsia="仿宋"/>
          <w:color w:val="auto"/>
          <w:highlight w:val="none"/>
        </w:rPr>
      </w:pPr>
    </w:p>
    <w:p w14:paraId="451627B1">
      <w:pPr>
        <w:tabs>
          <w:tab w:val="left" w:pos="6300"/>
        </w:tabs>
        <w:snapToGrid w:val="0"/>
        <w:spacing w:line="336" w:lineRule="auto"/>
        <w:ind w:firstLine="570"/>
        <w:rPr>
          <w:rFonts w:ascii="仿宋" w:hAnsi="仿宋" w:eastAsia="仿宋"/>
          <w:color w:val="auto"/>
          <w:highlight w:val="none"/>
        </w:rPr>
      </w:pPr>
    </w:p>
    <w:p w14:paraId="7DFD8BE3">
      <w:pPr>
        <w:tabs>
          <w:tab w:val="left" w:pos="6300"/>
        </w:tabs>
        <w:snapToGrid w:val="0"/>
        <w:spacing w:line="336" w:lineRule="auto"/>
        <w:ind w:firstLine="570"/>
        <w:rPr>
          <w:rFonts w:ascii="仿宋" w:hAnsi="仿宋" w:eastAsia="仿宋"/>
          <w:color w:val="auto"/>
          <w:highlight w:val="none"/>
        </w:rPr>
      </w:pPr>
    </w:p>
    <w:p w14:paraId="02EC7476">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 xml:space="preserve">                                             （供应商公章）</w:t>
      </w:r>
    </w:p>
    <w:p w14:paraId="443C830C">
      <w:pPr>
        <w:tabs>
          <w:tab w:val="left" w:pos="6300"/>
        </w:tabs>
        <w:snapToGrid w:val="0"/>
        <w:spacing w:line="336" w:lineRule="auto"/>
        <w:ind w:firstLine="570"/>
        <w:rPr>
          <w:rFonts w:ascii="仿宋" w:hAnsi="仿宋" w:eastAsia="仿宋"/>
          <w:color w:val="auto"/>
          <w:highlight w:val="none"/>
        </w:rPr>
      </w:pPr>
    </w:p>
    <w:p w14:paraId="607C3555">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 xml:space="preserve">                                             年   月   日</w:t>
      </w:r>
    </w:p>
    <w:p w14:paraId="1816E3C9">
      <w:pPr>
        <w:tabs>
          <w:tab w:val="left" w:pos="6300"/>
        </w:tabs>
        <w:snapToGrid w:val="0"/>
        <w:spacing w:line="336" w:lineRule="auto"/>
        <w:ind w:firstLine="570"/>
        <w:rPr>
          <w:rFonts w:ascii="仿宋" w:hAnsi="仿宋" w:eastAsia="仿宋"/>
          <w:color w:val="auto"/>
          <w:highlight w:val="none"/>
        </w:rPr>
      </w:pPr>
    </w:p>
    <w:p w14:paraId="412D4AB2">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（附：法定代表人身份证正反面复印件）</w:t>
      </w:r>
    </w:p>
    <w:p w14:paraId="01975CBE">
      <w:pPr>
        <w:tabs>
          <w:tab w:val="left" w:pos="6300"/>
        </w:tabs>
        <w:snapToGrid w:val="0"/>
        <w:spacing w:line="336" w:lineRule="auto"/>
        <w:ind w:firstLine="570"/>
        <w:rPr>
          <w:rFonts w:ascii="仿宋" w:hAnsi="仿宋" w:eastAsia="仿宋"/>
          <w:color w:val="auto"/>
          <w:highlight w:val="none"/>
        </w:rPr>
      </w:pPr>
    </w:p>
    <w:p w14:paraId="26CDA2D7">
      <w:pPr>
        <w:tabs>
          <w:tab w:val="left" w:pos="6300"/>
        </w:tabs>
        <w:snapToGrid w:val="0"/>
        <w:spacing w:line="336" w:lineRule="auto"/>
        <w:ind w:firstLine="570"/>
        <w:rPr>
          <w:rFonts w:ascii="仿宋" w:hAnsi="仿宋" w:eastAsia="仿宋"/>
          <w:color w:val="auto"/>
          <w:highlight w:val="none"/>
        </w:rPr>
      </w:pPr>
    </w:p>
    <w:p w14:paraId="39ECE654">
      <w:pPr>
        <w:tabs>
          <w:tab w:val="left" w:pos="6300"/>
        </w:tabs>
        <w:snapToGrid w:val="0"/>
        <w:spacing w:line="336" w:lineRule="auto"/>
        <w:ind w:firstLine="570"/>
        <w:rPr>
          <w:rFonts w:ascii="仿宋" w:hAnsi="仿宋" w:eastAsia="仿宋"/>
          <w:color w:val="auto"/>
          <w:highlight w:val="none"/>
        </w:rPr>
      </w:pPr>
    </w:p>
    <w:p w14:paraId="504CE9C9">
      <w:pPr>
        <w:tabs>
          <w:tab w:val="left" w:pos="6300"/>
        </w:tabs>
        <w:snapToGrid w:val="0"/>
        <w:spacing w:line="336" w:lineRule="auto"/>
        <w:ind w:firstLine="570"/>
        <w:rPr>
          <w:rFonts w:ascii="仿宋" w:hAnsi="仿宋" w:eastAsia="仿宋"/>
          <w:color w:val="auto"/>
          <w:highlight w:val="none"/>
        </w:rPr>
      </w:pPr>
    </w:p>
    <w:p w14:paraId="31B1AE45">
      <w:pPr>
        <w:tabs>
          <w:tab w:val="left" w:pos="6300"/>
        </w:tabs>
        <w:snapToGrid w:val="0"/>
        <w:spacing w:line="336" w:lineRule="auto"/>
        <w:ind w:firstLine="570"/>
        <w:rPr>
          <w:rFonts w:ascii="仿宋" w:hAnsi="仿宋" w:eastAsia="仿宋"/>
          <w:color w:val="auto"/>
          <w:highlight w:val="none"/>
        </w:rPr>
      </w:pPr>
    </w:p>
    <w:p w14:paraId="08775646">
      <w:pPr>
        <w:tabs>
          <w:tab w:val="left" w:pos="6300"/>
        </w:tabs>
        <w:snapToGrid w:val="0"/>
        <w:spacing w:line="336" w:lineRule="auto"/>
        <w:ind w:firstLine="570"/>
        <w:rPr>
          <w:rFonts w:ascii="仿宋" w:hAnsi="仿宋" w:eastAsia="仿宋"/>
          <w:color w:val="auto"/>
          <w:highlight w:val="none"/>
        </w:rPr>
      </w:pPr>
    </w:p>
    <w:p w14:paraId="653580A9">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br w:type="column"/>
      </w:r>
      <w:r>
        <w:rPr>
          <w:rFonts w:hint="eastAsia" w:ascii="仿宋" w:hAnsi="仿宋" w:eastAsia="仿宋"/>
          <w:color w:val="auto"/>
          <w:highlight w:val="none"/>
        </w:rPr>
        <w:t>（三）法定代表人授权委托书（格式）</w:t>
      </w:r>
    </w:p>
    <w:p w14:paraId="5095CD4D">
      <w:pPr>
        <w:tabs>
          <w:tab w:val="left" w:pos="6300"/>
        </w:tabs>
        <w:snapToGrid w:val="0"/>
        <w:spacing w:line="336" w:lineRule="auto"/>
        <w:ind w:firstLine="570"/>
        <w:rPr>
          <w:rFonts w:ascii="仿宋" w:hAnsi="仿宋" w:eastAsia="仿宋"/>
          <w:color w:val="auto"/>
          <w:highlight w:val="none"/>
        </w:rPr>
      </w:pPr>
    </w:p>
    <w:p w14:paraId="1DF1F11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项目名称：</w:t>
      </w:r>
    </w:p>
    <w:p w14:paraId="65BBE62F">
      <w:pPr>
        <w:tabs>
          <w:tab w:val="left" w:pos="6300"/>
        </w:tabs>
        <w:snapToGrid w:val="0"/>
        <w:spacing w:line="336" w:lineRule="auto"/>
        <w:ind w:firstLine="570"/>
        <w:rPr>
          <w:rFonts w:ascii="仿宋" w:hAnsi="仿宋" w:eastAsia="仿宋"/>
          <w:color w:val="auto"/>
          <w:highlight w:val="none"/>
        </w:rPr>
      </w:pPr>
    </w:p>
    <w:p w14:paraId="747A948E">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致：</w:t>
      </w:r>
      <w:r>
        <w:rPr>
          <w:rFonts w:hint="eastAsia" w:ascii="仿宋" w:hAnsi="仿宋" w:eastAsia="仿宋"/>
          <w:color w:val="auto"/>
          <w:highlight w:val="none"/>
          <w:u w:val="single"/>
        </w:rPr>
        <w:t>（采购代理机构名称）</w:t>
      </w:r>
      <w:r>
        <w:rPr>
          <w:rFonts w:hint="eastAsia" w:ascii="仿宋" w:hAnsi="仿宋" w:eastAsia="仿宋"/>
          <w:color w:val="auto"/>
          <w:highlight w:val="none"/>
        </w:rPr>
        <w:t>：</w:t>
      </w:r>
    </w:p>
    <w:p w14:paraId="1DA1F29D">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u w:val="single"/>
        </w:rPr>
        <w:t>（供应商法定代表人名称）</w:t>
      </w:r>
      <w:r>
        <w:rPr>
          <w:rFonts w:hint="eastAsia" w:ascii="仿宋" w:hAnsi="仿宋" w:eastAsia="仿宋"/>
          <w:color w:val="auto"/>
          <w:highlight w:val="none"/>
        </w:rPr>
        <w:t>是</w:t>
      </w:r>
      <w:r>
        <w:rPr>
          <w:rFonts w:hint="eastAsia" w:ascii="仿宋" w:hAnsi="仿宋" w:eastAsia="仿宋"/>
          <w:color w:val="auto"/>
          <w:highlight w:val="none"/>
          <w:u w:val="single"/>
        </w:rPr>
        <w:t>（供应商名称）</w:t>
      </w:r>
      <w:r>
        <w:rPr>
          <w:rFonts w:hint="eastAsia" w:ascii="仿宋" w:hAnsi="仿宋" w:eastAsia="仿宋"/>
          <w:color w:val="auto"/>
          <w:highlight w:val="none"/>
        </w:rPr>
        <w:t>的法定代表人，特授权</w:t>
      </w:r>
      <w:r>
        <w:rPr>
          <w:rFonts w:hint="eastAsia" w:ascii="仿宋" w:hAnsi="仿宋" w:eastAsia="仿宋"/>
          <w:color w:val="auto"/>
          <w:highlight w:val="none"/>
          <w:u w:val="single"/>
        </w:rPr>
        <w:t>（被授权人姓名及身份证代码）</w:t>
      </w:r>
      <w:r>
        <w:rPr>
          <w:rFonts w:hint="eastAsia" w:ascii="仿宋" w:hAnsi="仿宋" w:eastAsia="仿宋"/>
          <w:color w:val="auto"/>
          <w:highlight w:val="none"/>
        </w:rPr>
        <w:t>代表我单位全权办理上述项目的</w:t>
      </w:r>
      <w:r>
        <w:rPr>
          <w:rFonts w:hint="eastAsia" w:ascii="仿宋" w:hAnsi="仿宋" w:eastAsia="仿宋"/>
          <w:color w:val="auto"/>
          <w:highlight w:val="none"/>
          <w:lang w:eastAsia="zh-CN"/>
        </w:rPr>
        <w:t>磋商</w:t>
      </w:r>
      <w:r>
        <w:rPr>
          <w:rFonts w:hint="eastAsia" w:ascii="仿宋" w:hAnsi="仿宋" w:eastAsia="仿宋"/>
          <w:color w:val="auto"/>
          <w:highlight w:val="none"/>
        </w:rPr>
        <w:t>、签约等具体工作，并签署全部有关文件、协议及合同。</w:t>
      </w:r>
    </w:p>
    <w:p w14:paraId="68E54195">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我单位对被授权人的签字负全部责任。</w:t>
      </w:r>
    </w:p>
    <w:p w14:paraId="3E11D515">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在撤消授权的书面通知以前，本授权书一直有效。被授权人在授权书有效期内签署的所有文件不因授权的撤消而失效。</w:t>
      </w:r>
    </w:p>
    <w:p w14:paraId="4D286C4E">
      <w:pPr>
        <w:tabs>
          <w:tab w:val="left" w:pos="6300"/>
        </w:tabs>
        <w:snapToGrid w:val="0"/>
        <w:spacing w:line="336" w:lineRule="auto"/>
        <w:ind w:firstLine="570"/>
        <w:rPr>
          <w:rFonts w:ascii="仿宋" w:hAnsi="仿宋" w:eastAsia="仿宋"/>
          <w:color w:val="auto"/>
          <w:highlight w:val="none"/>
        </w:rPr>
      </w:pPr>
    </w:p>
    <w:p w14:paraId="22CFD8D6">
      <w:pPr>
        <w:tabs>
          <w:tab w:val="left" w:pos="6300"/>
        </w:tabs>
        <w:snapToGrid w:val="0"/>
        <w:spacing w:line="336" w:lineRule="auto"/>
        <w:ind w:firstLine="570"/>
        <w:rPr>
          <w:rFonts w:ascii="仿宋" w:hAnsi="仿宋" w:eastAsia="仿宋"/>
          <w:color w:val="auto"/>
          <w:highlight w:val="none"/>
        </w:rPr>
      </w:pPr>
    </w:p>
    <w:p w14:paraId="1ABE3DD2">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被授权人：                                   供应商法定代表人：</w:t>
      </w:r>
    </w:p>
    <w:p w14:paraId="0F565DFC">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（签字或盖章）                              （签字或盖章）</w:t>
      </w:r>
    </w:p>
    <w:p w14:paraId="7F6044F7">
      <w:pPr>
        <w:tabs>
          <w:tab w:val="left" w:pos="6300"/>
        </w:tabs>
        <w:snapToGrid w:val="0"/>
        <w:spacing w:line="336" w:lineRule="auto"/>
        <w:ind w:firstLine="570"/>
        <w:rPr>
          <w:rFonts w:ascii="仿宋" w:hAnsi="仿宋" w:eastAsia="仿宋"/>
          <w:color w:val="auto"/>
          <w:highlight w:val="none"/>
        </w:rPr>
      </w:pPr>
    </w:p>
    <w:p w14:paraId="2B42AF51">
      <w:pPr>
        <w:tabs>
          <w:tab w:val="left" w:pos="6300"/>
        </w:tabs>
        <w:snapToGrid w:val="0"/>
        <w:spacing w:line="336" w:lineRule="auto"/>
        <w:ind w:firstLine="570"/>
        <w:rPr>
          <w:rFonts w:ascii="仿宋" w:hAnsi="仿宋" w:eastAsia="仿宋"/>
          <w:color w:val="auto"/>
          <w:highlight w:val="none"/>
        </w:rPr>
      </w:pPr>
    </w:p>
    <w:p w14:paraId="384C8C5F">
      <w:pPr>
        <w:tabs>
          <w:tab w:val="left" w:pos="6300"/>
        </w:tabs>
        <w:snapToGrid w:val="0"/>
        <w:spacing w:line="336" w:lineRule="auto"/>
        <w:ind w:firstLine="570"/>
        <w:rPr>
          <w:rFonts w:ascii="仿宋" w:hAnsi="仿宋" w:eastAsia="仿宋"/>
          <w:color w:val="auto"/>
          <w:highlight w:val="none"/>
        </w:rPr>
      </w:pPr>
      <w:r>
        <w:rPr>
          <w:rFonts w:hint="eastAsia" w:ascii="仿宋" w:hAnsi="仿宋" w:eastAsia="仿宋"/>
          <w:color w:val="auto"/>
          <w:highlight w:val="none"/>
        </w:rPr>
        <w:t>（附：被授权人身份证正反面复印件）</w:t>
      </w:r>
    </w:p>
    <w:p w14:paraId="6BB1D919">
      <w:pPr>
        <w:tabs>
          <w:tab w:val="left" w:pos="6300"/>
        </w:tabs>
        <w:snapToGrid w:val="0"/>
        <w:spacing w:line="336" w:lineRule="auto"/>
        <w:ind w:firstLine="570"/>
        <w:rPr>
          <w:rFonts w:ascii="仿宋" w:hAnsi="仿宋" w:eastAsia="仿宋"/>
          <w:color w:val="auto"/>
          <w:highlight w:val="none"/>
        </w:rPr>
      </w:pPr>
    </w:p>
    <w:p w14:paraId="20E283F4">
      <w:pPr>
        <w:tabs>
          <w:tab w:val="left" w:pos="6300"/>
        </w:tabs>
        <w:snapToGrid w:val="0"/>
        <w:spacing w:line="336" w:lineRule="auto"/>
        <w:ind w:firstLine="570"/>
        <w:rPr>
          <w:rFonts w:ascii="仿宋" w:hAnsi="仿宋" w:eastAsia="仿宋"/>
          <w:color w:val="auto"/>
          <w:highlight w:val="none"/>
        </w:rPr>
      </w:pPr>
    </w:p>
    <w:p w14:paraId="2CECE276">
      <w:pPr>
        <w:tabs>
          <w:tab w:val="left" w:pos="6300"/>
        </w:tabs>
        <w:snapToGrid w:val="0"/>
        <w:spacing w:line="336" w:lineRule="auto"/>
        <w:ind w:firstLine="570"/>
        <w:rPr>
          <w:rFonts w:ascii="仿宋" w:hAnsi="仿宋" w:eastAsia="仿宋"/>
          <w:color w:val="auto"/>
          <w:highlight w:val="none"/>
        </w:rPr>
      </w:pPr>
    </w:p>
    <w:p w14:paraId="16B892E6">
      <w:pPr>
        <w:tabs>
          <w:tab w:val="left" w:pos="6300"/>
        </w:tabs>
        <w:snapToGrid w:val="0"/>
        <w:spacing w:line="336" w:lineRule="auto"/>
        <w:ind w:right="480" w:firstLine="570"/>
        <w:jc w:val="right"/>
        <w:rPr>
          <w:rFonts w:ascii="仿宋" w:hAnsi="仿宋" w:eastAsia="仿宋"/>
          <w:color w:val="auto"/>
          <w:highlight w:val="none"/>
        </w:rPr>
      </w:pPr>
      <w:r>
        <w:rPr>
          <w:rFonts w:hint="eastAsia" w:ascii="仿宋" w:hAnsi="仿宋" w:eastAsia="仿宋"/>
          <w:color w:val="auto"/>
          <w:highlight w:val="none"/>
        </w:rPr>
        <w:t>（供应商公章）</w:t>
      </w:r>
    </w:p>
    <w:p w14:paraId="41E846B7">
      <w:pPr>
        <w:tabs>
          <w:tab w:val="left" w:pos="6300"/>
        </w:tabs>
        <w:snapToGrid w:val="0"/>
        <w:spacing w:line="336" w:lineRule="auto"/>
        <w:ind w:right="480" w:firstLine="570"/>
        <w:jc w:val="right"/>
        <w:rPr>
          <w:rFonts w:ascii="仿宋" w:hAnsi="仿宋" w:eastAsia="仿宋"/>
          <w:color w:val="auto"/>
          <w:highlight w:val="none"/>
        </w:rPr>
      </w:pPr>
      <w:r>
        <w:rPr>
          <w:rFonts w:hint="eastAsia" w:ascii="仿宋" w:hAnsi="仿宋" w:eastAsia="仿宋"/>
          <w:color w:val="auto"/>
          <w:highlight w:val="none"/>
        </w:rPr>
        <w:t>年   月   日</w:t>
      </w:r>
    </w:p>
    <w:p w14:paraId="06EDA710">
      <w:pPr>
        <w:spacing w:line="336" w:lineRule="auto"/>
        <w:rPr>
          <w:rFonts w:ascii="仿宋" w:hAnsi="仿宋" w:eastAsia="仿宋"/>
          <w:color w:val="auto"/>
          <w:highlight w:val="none"/>
        </w:rPr>
      </w:pPr>
      <w:r>
        <w:rPr>
          <w:rFonts w:hint="eastAsia" w:ascii="仿宋" w:hAnsi="仿宋" w:eastAsia="仿宋"/>
          <w:color w:val="auto"/>
          <w:highlight w:val="none"/>
        </w:rPr>
        <w:br w:type="page"/>
      </w:r>
    </w:p>
    <w:p w14:paraId="495A3981">
      <w:pPr>
        <w:tabs>
          <w:tab w:val="left" w:pos="6300"/>
        </w:tabs>
        <w:snapToGrid w:val="0"/>
        <w:spacing w:line="500" w:lineRule="exact"/>
        <w:ind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项目管理机构</w:t>
      </w:r>
    </w:p>
    <w:p w14:paraId="6E70D9BF">
      <w:pPr>
        <w:tabs>
          <w:tab w:val="left" w:pos="6300"/>
        </w:tabs>
        <w:snapToGrid w:val="0"/>
        <w:spacing w:line="500" w:lineRule="exact"/>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项目管理机构组成表</w:t>
      </w:r>
    </w:p>
    <w:tbl>
      <w:tblPr>
        <w:tblStyle w:val="33"/>
        <w:tblW w:w="983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820"/>
        <w:gridCol w:w="813"/>
        <w:gridCol w:w="950"/>
        <w:gridCol w:w="950"/>
        <w:gridCol w:w="950"/>
        <w:gridCol w:w="950"/>
        <w:gridCol w:w="2217"/>
        <w:gridCol w:w="1141"/>
      </w:tblGrid>
      <w:tr w14:paraId="7F20D6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vMerge w:val="restart"/>
            <w:noWrap w:val="0"/>
            <w:vAlign w:val="center"/>
          </w:tcPr>
          <w:p w14:paraId="4D857CF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820" w:type="dxa"/>
            <w:vMerge w:val="restart"/>
            <w:noWrap w:val="0"/>
            <w:vAlign w:val="center"/>
          </w:tcPr>
          <w:p w14:paraId="092FAD8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813" w:type="dxa"/>
            <w:vMerge w:val="restart"/>
            <w:noWrap w:val="0"/>
            <w:vAlign w:val="center"/>
          </w:tcPr>
          <w:p w14:paraId="277CDF4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6017" w:type="dxa"/>
            <w:gridSpan w:val="5"/>
            <w:noWrap w:val="0"/>
            <w:vAlign w:val="center"/>
          </w:tcPr>
          <w:p w14:paraId="72FF06D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1141" w:type="dxa"/>
            <w:noWrap w:val="0"/>
            <w:vAlign w:val="center"/>
          </w:tcPr>
          <w:p w14:paraId="3F5C7ED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6A681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vMerge w:val="continue"/>
            <w:noWrap w:val="0"/>
            <w:vAlign w:val="center"/>
          </w:tcPr>
          <w:p w14:paraId="3479364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vMerge w:val="continue"/>
            <w:noWrap w:val="0"/>
            <w:vAlign w:val="center"/>
          </w:tcPr>
          <w:p w14:paraId="6FFEA1E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vMerge w:val="continue"/>
            <w:noWrap w:val="0"/>
            <w:vAlign w:val="center"/>
          </w:tcPr>
          <w:p w14:paraId="75D1F87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2229DF1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950" w:type="dxa"/>
            <w:noWrap w:val="0"/>
            <w:vAlign w:val="center"/>
          </w:tcPr>
          <w:p w14:paraId="60CF8FC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950" w:type="dxa"/>
            <w:noWrap w:val="0"/>
            <w:vAlign w:val="center"/>
          </w:tcPr>
          <w:p w14:paraId="6A3D857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950" w:type="dxa"/>
            <w:noWrap w:val="0"/>
            <w:vAlign w:val="center"/>
          </w:tcPr>
          <w:p w14:paraId="1334E9B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2217" w:type="dxa"/>
            <w:noWrap w:val="0"/>
            <w:vAlign w:val="center"/>
          </w:tcPr>
          <w:p w14:paraId="6BCAE32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养老保险</w:t>
            </w:r>
          </w:p>
        </w:tc>
        <w:tc>
          <w:tcPr>
            <w:tcW w:w="1141" w:type="dxa"/>
            <w:noWrap w:val="0"/>
            <w:vAlign w:val="center"/>
          </w:tcPr>
          <w:p w14:paraId="20F8310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65D2D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3C078E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820" w:type="dxa"/>
            <w:noWrap w:val="0"/>
            <w:vAlign w:val="center"/>
          </w:tcPr>
          <w:p w14:paraId="25B73F3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657E33B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B8C350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0A95C5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5DA06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666F16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2848829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7F42A28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6C577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11BBE63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27AE890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0AD3D1C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0728D6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F6AD52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C5025B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87A4D3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4C6C5D2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38C2D10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71F56D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2933CA2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52BBC49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3EA1E61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75BE7A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AB2225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FF3EF3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3AEFA4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225B090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3445594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C8F0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406E532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7BD883F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5053AD5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107A84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9849C2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D4FD28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D72BC6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0D282FA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27892F4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23EE74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44313B8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2C98BA3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6AF24BE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601D57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03497D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A50B73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155A5D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46243EF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65E086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5920B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6D14E3B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6C3733A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788E4D6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3497C5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DF841A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F9AE94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64EB32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31A6B5E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66F5752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79514E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7D1DFE2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78BC572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49813BD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A44DFF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D11F2C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27D687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219377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3E6272B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17DACCE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7A06A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670692F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5481F07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31A27F8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A2B7F2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85DAEF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E80702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2E89F5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59D68C2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2655EC9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BB8BB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7E0FCA5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3A1D4F7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3B2D12C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146ABC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F7F2CE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978449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EB21AD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43A96E2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07D4E2F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FA16F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7CE3537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07CD9B4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4B34CBF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ADD9D0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D6C9FB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E51829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A688E8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705603B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6659155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3C2AEC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78034D9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201FBEE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2055495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A8F65E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7B0F2D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F7A44A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592D00E">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11E9A4B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4A8E16A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24129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08F6395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353474E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300AA46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4E852F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807215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3EC23C52">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AD7076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5F8D482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444EC74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4F8C7B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468966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01AD53A3">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74F7347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43E318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C21173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6A923A0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923640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78D7FC2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3C3A3D2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9A114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0592E06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640E752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6B7DC58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272F347F">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29C7D11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E1207F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75B707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5E578BE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13A60B61">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542C3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2" w:hRule="exact"/>
          <w:jc w:val="center"/>
        </w:trPr>
        <w:tc>
          <w:tcPr>
            <w:tcW w:w="1046" w:type="dxa"/>
            <w:noWrap w:val="0"/>
            <w:vAlign w:val="center"/>
          </w:tcPr>
          <w:p w14:paraId="4121DC0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13D3144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0669519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CD87E6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6F0D744">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430E921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7CC64E0C">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21DAD94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7526A3D5">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r w14:paraId="030107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046" w:type="dxa"/>
            <w:noWrap w:val="0"/>
            <w:vAlign w:val="center"/>
          </w:tcPr>
          <w:p w14:paraId="7621C2F8">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20" w:type="dxa"/>
            <w:noWrap w:val="0"/>
            <w:vAlign w:val="center"/>
          </w:tcPr>
          <w:p w14:paraId="5F5F8BB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813" w:type="dxa"/>
            <w:noWrap w:val="0"/>
            <w:vAlign w:val="center"/>
          </w:tcPr>
          <w:p w14:paraId="2138961A">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14FE4DAD">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04FD0760">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32713E7">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950" w:type="dxa"/>
            <w:noWrap w:val="0"/>
            <w:vAlign w:val="center"/>
          </w:tcPr>
          <w:p w14:paraId="511E82F9">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2217" w:type="dxa"/>
            <w:noWrap w:val="0"/>
            <w:vAlign w:val="center"/>
          </w:tcPr>
          <w:p w14:paraId="4C68F19B">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141" w:type="dxa"/>
            <w:noWrap w:val="0"/>
            <w:vAlign w:val="center"/>
          </w:tcPr>
          <w:p w14:paraId="77A9BE06">
            <w:pPr>
              <w:keepNext w:val="0"/>
              <w:keepLines w:val="0"/>
              <w:pageBreakBefore w:val="0"/>
              <w:widowControl w:val="0"/>
              <w:tabs>
                <w:tab w:val="left" w:pos="6300"/>
              </w:tabs>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sz w:val="21"/>
                <w:szCs w:val="21"/>
                <w:highlight w:val="none"/>
              </w:rPr>
            </w:pPr>
          </w:p>
        </w:tc>
      </w:tr>
    </w:tbl>
    <w:p w14:paraId="105FFBB0">
      <w:pPr>
        <w:tabs>
          <w:tab w:val="left" w:pos="6300"/>
        </w:tabs>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备注：本表仅填项目经理相关信息</w:t>
      </w:r>
    </w:p>
    <w:p w14:paraId="36468883">
      <w:pPr>
        <w:tabs>
          <w:tab w:val="left" w:pos="6300"/>
        </w:tabs>
        <w:snapToGrid w:val="0"/>
        <w:spacing w:line="336" w:lineRule="auto"/>
        <w:ind w:right="480" w:firstLine="570"/>
        <w:jc w:val="right"/>
        <w:rPr>
          <w:rFonts w:ascii="仿宋" w:hAnsi="仿宋" w:eastAsia="仿宋"/>
          <w:color w:val="auto"/>
          <w:highlight w:val="none"/>
        </w:rPr>
      </w:pPr>
    </w:p>
    <w:p w14:paraId="7377BD4E">
      <w:pPr>
        <w:rPr>
          <w:rFonts w:hint="eastAsia" w:ascii="仿宋" w:hAnsi="仿宋" w:eastAsia="仿宋"/>
          <w:color w:val="auto"/>
          <w:highlight w:val="none"/>
        </w:rPr>
      </w:pPr>
      <w:r>
        <w:rPr>
          <w:rFonts w:hint="eastAsia" w:ascii="仿宋" w:hAnsi="仿宋" w:eastAsia="仿宋"/>
          <w:color w:val="auto"/>
          <w:highlight w:val="none"/>
        </w:rPr>
        <w:br w:type="page"/>
      </w:r>
    </w:p>
    <w:p w14:paraId="2916749C">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w:t>
      </w:r>
      <w:r>
        <w:rPr>
          <w:rFonts w:hint="eastAsia" w:ascii="仿宋" w:hAnsi="仿宋" w:eastAsia="仿宋"/>
          <w:color w:val="auto"/>
          <w:highlight w:val="none"/>
          <w:lang w:val="en-US" w:eastAsia="zh-CN"/>
        </w:rPr>
        <w:t>五</w:t>
      </w:r>
      <w:r>
        <w:rPr>
          <w:rFonts w:hint="eastAsia" w:ascii="仿宋" w:hAnsi="仿宋" w:eastAsia="仿宋"/>
          <w:color w:val="auto"/>
          <w:highlight w:val="none"/>
        </w:rPr>
        <w:t>）基本资格条件承诺函</w:t>
      </w:r>
    </w:p>
    <w:p w14:paraId="5D845D50">
      <w:pPr>
        <w:tabs>
          <w:tab w:val="left" w:pos="6300"/>
        </w:tabs>
        <w:snapToGrid w:val="0"/>
        <w:spacing w:line="336" w:lineRule="auto"/>
        <w:rPr>
          <w:rFonts w:ascii="仿宋" w:hAnsi="仿宋" w:eastAsia="仿宋"/>
          <w:color w:val="auto"/>
          <w:highlight w:val="none"/>
        </w:rPr>
      </w:pPr>
    </w:p>
    <w:p w14:paraId="39FC9B55">
      <w:pPr>
        <w:tabs>
          <w:tab w:val="left" w:pos="6300"/>
        </w:tabs>
        <w:snapToGrid w:val="0"/>
        <w:spacing w:line="336" w:lineRule="auto"/>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基本资格条件承诺函</w:t>
      </w:r>
    </w:p>
    <w:p w14:paraId="2ADFDA7B">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致 </w:t>
      </w:r>
    </w:p>
    <w:p w14:paraId="68CD68EA">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（采购人名称）： </w:t>
      </w:r>
    </w:p>
    <w:p w14:paraId="2B3EB6BF">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（供应商名称）郑重承诺： </w:t>
      </w:r>
    </w:p>
    <w:p w14:paraId="1FF579C8">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274DB092">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2.我方未列入在信用中国网站（www.creditchina.gov.cn）“失信被执行人”、“重大税收违法案件当事人名单”中，也未列入中国政府采购网（www.ccgp.gov.cn）“政府采购严重违法失信行为记录名单”中。 </w:t>
      </w:r>
    </w:p>
    <w:p w14:paraId="6A7B8C61">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20C5600C">
      <w:pPr>
        <w:pStyle w:val="8"/>
        <w:spacing w:line="336" w:lineRule="auto"/>
        <w:rPr>
          <w:rFonts w:ascii="仿宋" w:hAnsi="仿宋" w:eastAsia="仿宋" w:cs="宋体"/>
          <w:color w:val="auto"/>
          <w:highlight w:val="none"/>
        </w:rPr>
      </w:pPr>
    </w:p>
    <w:p w14:paraId="4F027B09">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                                               （供应商公章） </w:t>
      </w:r>
    </w:p>
    <w:p w14:paraId="2D36D778">
      <w:pPr>
        <w:tabs>
          <w:tab w:val="left" w:pos="6300"/>
        </w:tabs>
        <w:snapToGrid w:val="0"/>
        <w:spacing w:line="336" w:lineRule="auto"/>
        <w:ind w:firstLine="480" w:firstLineChars="200"/>
        <w:rPr>
          <w:rFonts w:ascii="仿宋" w:hAnsi="仿宋" w:eastAsia="仿宋"/>
          <w:color w:val="auto"/>
          <w:highlight w:val="none"/>
        </w:rPr>
      </w:pPr>
      <w:r>
        <w:rPr>
          <w:rFonts w:hint="eastAsia" w:ascii="仿宋" w:hAnsi="仿宋" w:eastAsia="仿宋"/>
          <w:color w:val="auto"/>
          <w:highlight w:val="none"/>
        </w:rPr>
        <w:t xml:space="preserve">                                              年     月      日</w:t>
      </w:r>
    </w:p>
    <w:p w14:paraId="2BF4F036">
      <w:pPr>
        <w:tabs>
          <w:tab w:val="left" w:pos="6300"/>
        </w:tabs>
        <w:snapToGrid w:val="0"/>
        <w:spacing w:line="336" w:lineRule="auto"/>
        <w:rPr>
          <w:rFonts w:ascii="仿宋" w:hAnsi="仿宋" w:eastAsia="仿宋"/>
          <w:color w:val="auto"/>
          <w:highlight w:val="none"/>
        </w:rPr>
      </w:pPr>
      <w:r>
        <w:rPr>
          <w:rFonts w:hint="eastAsia" w:ascii="仿宋" w:hAnsi="仿宋" w:eastAsia="仿宋"/>
          <w:color w:val="auto"/>
          <w:highlight w:val="none"/>
        </w:rPr>
        <w:br w:type="page"/>
      </w:r>
    </w:p>
    <w:p w14:paraId="6EB00462">
      <w:pPr>
        <w:pStyle w:val="4"/>
        <w:spacing w:line="336" w:lineRule="auto"/>
        <w:rPr>
          <w:rFonts w:ascii="仿宋" w:hAnsi="仿宋" w:eastAsia="仿宋" w:cs="宋体"/>
          <w:color w:val="auto"/>
          <w:sz w:val="24"/>
          <w:szCs w:val="24"/>
          <w:highlight w:val="none"/>
        </w:rPr>
      </w:pPr>
      <w:bookmarkStart w:id="176" w:name="_Toc11824"/>
      <w:bookmarkStart w:id="177" w:name="_Toc487204801"/>
      <w:bookmarkStart w:id="178" w:name="_Toc19877"/>
      <w:bookmarkStart w:id="179" w:name="_Toc486608281"/>
      <w:bookmarkStart w:id="180" w:name="_Toc29032"/>
      <w:bookmarkStart w:id="181" w:name="_Toc108545987"/>
      <w:bookmarkStart w:id="182" w:name="_Toc486585244"/>
      <w:r>
        <w:rPr>
          <w:rFonts w:hint="eastAsia" w:ascii="仿宋" w:hAnsi="仿宋" w:eastAsia="仿宋" w:cs="宋体"/>
          <w:color w:val="auto"/>
          <w:sz w:val="24"/>
          <w:szCs w:val="24"/>
          <w:highlight w:val="none"/>
        </w:rPr>
        <w:t>五、其他应提供的资料</w:t>
      </w:r>
      <w:bookmarkEnd w:id="176"/>
      <w:bookmarkEnd w:id="177"/>
      <w:bookmarkEnd w:id="178"/>
      <w:bookmarkEnd w:id="179"/>
      <w:bookmarkEnd w:id="180"/>
      <w:bookmarkEnd w:id="181"/>
      <w:bookmarkEnd w:id="182"/>
    </w:p>
    <w:p w14:paraId="71A5095A">
      <w:pPr>
        <w:spacing w:line="336" w:lineRule="auto"/>
        <w:rPr>
          <w:rFonts w:ascii="仿宋" w:hAnsi="仿宋" w:eastAsia="仿宋"/>
          <w:color w:val="auto"/>
          <w:highlight w:val="none"/>
        </w:rPr>
      </w:pPr>
      <w:r>
        <w:rPr>
          <w:rFonts w:hint="eastAsia" w:ascii="仿宋" w:hAnsi="仿宋" w:eastAsia="仿宋"/>
          <w:color w:val="auto"/>
          <w:highlight w:val="none"/>
        </w:rPr>
        <w:t>（一）其他与项目有关的资料（如有）</w:t>
      </w:r>
    </w:p>
    <w:p w14:paraId="6364B54F">
      <w:pPr>
        <w:spacing w:line="336" w:lineRule="auto"/>
        <w:rPr>
          <w:rFonts w:ascii="仿宋" w:hAnsi="仿宋" w:eastAsia="仿宋"/>
          <w:color w:val="auto"/>
          <w:highlight w:val="none"/>
        </w:rPr>
      </w:pPr>
      <w:r>
        <w:rPr>
          <w:rFonts w:hint="eastAsia" w:ascii="仿宋" w:hAnsi="仿宋" w:eastAsia="仿宋"/>
          <w:color w:val="auto"/>
          <w:highlight w:val="none"/>
        </w:rPr>
        <w:t>其他与项目有关的资料（自附）：其他与本项目有关的资料等。</w:t>
      </w:r>
    </w:p>
    <w:p w14:paraId="298C7C08">
      <w:pPr>
        <w:spacing w:line="336" w:lineRule="auto"/>
        <w:rPr>
          <w:rFonts w:ascii="仿宋" w:hAnsi="仿宋" w:eastAsia="仿宋"/>
          <w:color w:val="auto"/>
          <w:highlight w:val="none"/>
        </w:rPr>
      </w:pPr>
    </w:p>
    <w:p w14:paraId="0D7EFAB4">
      <w:pPr>
        <w:spacing w:line="336" w:lineRule="auto"/>
        <w:rPr>
          <w:rFonts w:ascii="仿宋" w:hAnsi="仿宋" w:eastAsia="仿宋"/>
          <w:color w:val="auto"/>
          <w:highlight w:val="none"/>
        </w:rPr>
      </w:pPr>
    </w:p>
    <w:p w14:paraId="5B647CEB">
      <w:pPr>
        <w:spacing w:line="336" w:lineRule="auto"/>
        <w:rPr>
          <w:rFonts w:ascii="仿宋" w:hAnsi="仿宋" w:eastAsia="仿宋"/>
          <w:color w:val="auto"/>
          <w:highlight w:val="none"/>
        </w:rPr>
      </w:pPr>
    </w:p>
    <w:p w14:paraId="39191FAF">
      <w:pPr>
        <w:spacing w:line="336" w:lineRule="auto"/>
        <w:rPr>
          <w:rFonts w:ascii="仿宋" w:hAnsi="仿宋" w:eastAsia="仿宋"/>
          <w:color w:val="auto"/>
          <w:highlight w:val="none"/>
        </w:rPr>
      </w:pPr>
    </w:p>
    <w:p w14:paraId="13E14E06">
      <w:pPr>
        <w:spacing w:line="336" w:lineRule="auto"/>
        <w:jc w:val="center"/>
        <w:rPr>
          <w:rFonts w:ascii="仿宋" w:hAnsi="仿宋" w:eastAsia="仿宋"/>
          <w:color w:val="auto"/>
          <w:highlight w:val="none"/>
        </w:rPr>
      </w:pPr>
    </w:p>
    <w:p w14:paraId="457B00AA">
      <w:pPr>
        <w:spacing w:line="336" w:lineRule="auto"/>
        <w:jc w:val="center"/>
        <w:rPr>
          <w:rFonts w:ascii="仿宋" w:hAnsi="仿宋" w:eastAsia="仿宋"/>
          <w:color w:val="auto"/>
          <w:highlight w:val="none"/>
        </w:rPr>
      </w:pPr>
    </w:p>
    <w:p w14:paraId="1AD55459">
      <w:pPr>
        <w:spacing w:line="336" w:lineRule="auto"/>
        <w:jc w:val="center"/>
        <w:rPr>
          <w:rFonts w:ascii="仿宋" w:hAnsi="仿宋" w:eastAsia="仿宋"/>
          <w:color w:val="auto"/>
          <w:highlight w:val="none"/>
        </w:rPr>
      </w:pPr>
    </w:p>
    <w:p w14:paraId="0511A4F7">
      <w:pPr>
        <w:spacing w:line="336" w:lineRule="auto"/>
        <w:jc w:val="center"/>
        <w:rPr>
          <w:rFonts w:ascii="仿宋" w:hAnsi="仿宋" w:eastAsia="仿宋"/>
          <w:color w:val="auto"/>
          <w:highlight w:val="none"/>
        </w:rPr>
      </w:pPr>
    </w:p>
    <w:p w14:paraId="10F247EA">
      <w:pPr>
        <w:spacing w:line="336" w:lineRule="auto"/>
        <w:jc w:val="center"/>
        <w:rPr>
          <w:rFonts w:ascii="仿宋" w:hAnsi="仿宋" w:eastAsia="仿宋"/>
          <w:color w:val="auto"/>
          <w:highlight w:val="none"/>
        </w:rPr>
      </w:pPr>
    </w:p>
    <w:p w14:paraId="39BD879E">
      <w:pPr>
        <w:spacing w:line="336" w:lineRule="auto"/>
        <w:jc w:val="center"/>
        <w:rPr>
          <w:rFonts w:ascii="仿宋" w:hAnsi="仿宋" w:eastAsia="仿宋"/>
          <w:color w:val="auto"/>
          <w:highlight w:val="none"/>
        </w:rPr>
      </w:pPr>
    </w:p>
    <w:p w14:paraId="3708874C">
      <w:pPr>
        <w:spacing w:line="336" w:lineRule="auto"/>
        <w:jc w:val="center"/>
        <w:rPr>
          <w:rFonts w:ascii="仿宋" w:hAnsi="仿宋" w:eastAsia="仿宋"/>
          <w:color w:val="auto"/>
          <w:highlight w:val="none"/>
        </w:rPr>
      </w:pPr>
    </w:p>
    <w:p w14:paraId="5D3B52B6">
      <w:pPr>
        <w:spacing w:line="336" w:lineRule="auto"/>
        <w:jc w:val="center"/>
        <w:rPr>
          <w:rFonts w:ascii="仿宋" w:hAnsi="仿宋" w:eastAsia="仿宋"/>
          <w:color w:val="auto"/>
          <w:highlight w:val="none"/>
        </w:rPr>
      </w:pPr>
      <w:r>
        <w:rPr>
          <w:rFonts w:hint="eastAsia" w:ascii="仿宋" w:hAnsi="仿宋" w:eastAsia="仿宋"/>
          <w:color w:val="auto"/>
          <w:highlight w:val="none"/>
        </w:rPr>
        <w:t>（结束）</w:t>
      </w:r>
    </w:p>
    <w:p w14:paraId="47E103BB">
      <w:pPr>
        <w:pStyle w:val="8"/>
        <w:spacing w:line="336" w:lineRule="auto"/>
        <w:rPr>
          <w:rFonts w:ascii="仿宋" w:hAnsi="仿宋" w:eastAsia="仿宋" w:cs="宋体"/>
          <w:color w:val="auto"/>
          <w:highlight w:val="none"/>
        </w:rPr>
      </w:pPr>
    </w:p>
    <w:p w14:paraId="1E590131">
      <w:pPr>
        <w:pStyle w:val="8"/>
        <w:spacing w:line="336" w:lineRule="auto"/>
        <w:rPr>
          <w:rFonts w:ascii="仿宋" w:hAnsi="仿宋" w:eastAsia="仿宋" w:cs="宋体"/>
          <w:color w:val="auto"/>
          <w:highlight w:val="none"/>
        </w:rPr>
      </w:pPr>
    </w:p>
    <w:p w14:paraId="578F69A0">
      <w:pPr>
        <w:pStyle w:val="8"/>
        <w:spacing w:line="336" w:lineRule="auto"/>
        <w:rPr>
          <w:rFonts w:ascii="仿宋" w:hAnsi="仿宋" w:eastAsia="仿宋" w:cs="宋体"/>
          <w:color w:val="auto"/>
          <w:highlight w:val="none"/>
        </w:rPr>
      </w:pPr>
    </w:p>
    <w:p w14:paraId="33D3FB23">
      <w:pPr>
        <w:pStyle w:val="8"/>
        <w:spacing w:line="336" w:lineRule="auto"/>
        <w:rPr>
          <w:rFonts w:ascii="仿宋" w:hAnsi="仿宋" w:eastAsia="仿宋" w:cs="宋体"/>
          <w:color w:val="auto"/>
          <w:highlight w:val="none"/>
        </w:rPr>
      </w:pPr>
    </w:p>
    <w:p w14:paraId="665649A6">
      <w:pPr>
        <w:pStyle w:val="8"/>
        <w:spacing w:line="336" w:lineRule="auto"/>
        <w:rPr>
          <w:rFonts w:ascii="仿宋" w:hAnsi="仿宋" w:eastAsia="仿宋" w:cs="宋体"/>
          <w:color w:val="auto"/>
          <w:highlight w:val="none"/>
        </w:rPr>
      </w:pPr>
    </w:p>
    <w:p w14:paraId="175460A4">
      <w:pPr>
        <w:pStyle w:val="8"/>
        <w:spacing w:line="336" w:lineRule="auto"/>
        <w:rPr>
          <w:rFonts w:ascii="仿宋" w:hAnsi="仿宋" w:eastAsia="仿宋" w:cs="宋体"/>
          <w:color w:val="auto"/>
          <w:highlight w:val="none"/>
        </w:rPr>
      </w:pPr>
    </w:p>
    <w:p w14:paraId="1B0C264F">
      <w:pPr>
        <w:pStyle w:val="8"/>
        <w:spacing w:line="336" w:lineRule="auto"/>
        <w:rPr>
          <w:rFonts w:ascii="仿宋" w:hAnsi="仿宋" w:eastAsia="仿宋" w:cs="宋体"/>
          <w:color w:val="auto"/>
          <w:highlight w:val="none"/>
        </w:rPr>
      </w:pPr>
    </w:p>
    <w:p w14:paraId="3C26570D">
      <w:pPr>
        <w:pStyle w:val="8"/>
        <w:spacing w:line="336" w:lineRule="auto"/>
        <w:rPr>
          <w:rFonts w:ascii="仿宋" w:hAnsi="仿宋" w:eastAsia="仿宋" w:cs="宋体"/>
          <w:color w:val="auto"/>
          <w:highlight w:val="none"/>
        </w:rPr>
      </w:pPr>
    </w:p>
    <w:p w14:paraId="25E669F6">
      <w:pPr>
        <w:pStyle w:val="8"/>
        <w:spacing w:line="336" w:lineRule="auto"/>
        <w:rPr>
          <w:rFonts w:ascii="仿宋" w:hAnsi="仿宋" w:eastAsia="仿宋" w:cs="宋体"/>
          <w:color w:val="auto"/>
          <w:highlight w:val="none"/>
        </w:rPr>
      </w:pPr>
    </w:p>
    <w:p w14:paraId="137BCCD9">
      <w:pPr>
        <w:spacing w:line="336" w:lineRule="auto"/>
        <w:rPr>
          <w:rFonts w:ascii="仿宋" w:hAnsi="仿宋" w:eastAsia="仿宋"/>
          <w:color w:val="auto"/>
          <w:highlight w:val="none"/>
        </w:rPr>
      </w:pPr>
    </w:p>
    <w:sectPr>
      <w:headerReference r:id="rId15" w:type="default"/>
      <w:footerReference r:id="rId16" w:type="default"/>
      <w:pgSz w:w="11907" w:h="16840"/>
      <w:pgMar w:top="1497" w:right="1423" w:bottom="1497" w:left="1650" w:header="737" w:footer="737" w:gutter="113"/>
      <w:pgNumType w:fmt="numberInDash"/>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3A85F">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853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ED2F">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ADB9">
    <w:pPr>
      <w:pStyle w:val="2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E6D3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BBE8">
    <w:pPr>
      <w:pStyle w:val="2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a:effectLst/>
                    </wps:spPr>
                    <wps:txbx>
                      <w:txbxContent>
                        <w:p w14:paraId="2A506A78">
                          <w:pPr>
                            <w:pStyle w:val="21"/>
                          </w:pPr>
                          <w:r>
                            <w:fldChar w:fldCharType="begin"/>
                          </w:r>
                          <w:r>
                            <w:instrText xml:space="preserve"> PAGE  \* MERGEFORMAT </w:instrText>
                          </w:r>
                          <w:r>
                            <w:fldChar w:fldCharType="separate"/>
                          </w:r>
                          <w:r>
                            <w:t>- 4 -</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qRS&#10;7NAAAAADAQAADwAAAAAAAAABACAAAAAiAAAAZHJzL2Rvd25yZXYueG1sUEsBAhQAFAAAAAgAh07i&#10;QOChyxzxAQAA4AMAAA4AAAAAAAAAAQAgAAAAHwEAAGRycy9lMm9Eb2MueG1sUEsFBgAAAAAGAAYA&#10;WQEAAIIFAAAAAA==&#10;">
              <v:fill on="f" focussize="0,0"/>
              <v:stroke on="f"/>
              <v:imagedata o:title=""/>
              <o:lock v:ext="edit" text="t" aspectratio="t"/>
              <v:textbox inset="0mm,0mm,0mm,0mm" style="mso-fit-shape-to-text:t;">
                <w:txbxContent>
                  <w:p w14:paraId="2A506A78">
                    <w:pPr>
                      <w:pStyle w:val="21"/>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EF36D">
    <w:pPr>
      <w:pStyle w:val="21"/>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155EA7DE">
                          <w:pPr>
                            <w:pStyle w:val="21"/>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a8Y5n2AQAA4Q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g0elfRhfR1ax+4Ff&#10;6Mt+pFpCdSJSCMOu0E8howH8wllHe1JwS9+Cs/aNpTHElZoMnIxyMoSV9LDggbPBfBWG1Ts41PuG&#10;cBeJkncvSLqdTrRiY0MPxDFeaPKJ7bilcbX+vKes3z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sUjg0AAAAAMBAAAPAAAAAAAAAAEAIAAAACIAAABkcnMvZG93bnJldi54bWxQSwECFAAUAAAA&#10;CACHTuJA1rxjmfYBAADhAwAADgAAAAAAAAABACAAAAAfAQAAZHJzL2Uyb0RvYy54bWxQSwUGAAAA&#10;AAYABgBZAQAAhwUAAAAA&#10;">
              <v:fill on="f" focussize="0,0"/>
              <v:stroke on="f"/>
              <v:imagedata o:title=""/>
              <o:lock v:ext="edit" aspectratio="f"/>
              <v:textbox inset="0mm,0mm,0mm,0mm" style="mso-fit-shape-to-text:t;">
                <w:txbxContent>
                  <w:p w14:paraId="155EA7DE">
                    <w:pPr>
                      <w:pStyle w:val="21"/>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9D1">
    <w:pPr>
      <w:pStyle w:val="21"/>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10B202F8">
                          <w:pPr>
                            <w:pStyle w:val="21"/>
                          </w:pPr>
                          <w:r>
                            <w:fldChar w:fldCharType="begin"/>
                          </w:r>
                          <w:r>
                            <w:instrText xml:space="preserve"> PAGE  \* MERGEFORMAT </w:instrText>
                          </w:r>
                          <w:r>
                            <w:fldChar w:fldCharType="separate"/>
                          </w:r>
                          <w:r>
                            <w:t>- 46 -</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sUjg0AAA&#10;AAMBAAAPAAAAAAAAAAEAIAAAACIAAABkcnMvZG93bnJldi54bWxQSwECFAAUAAAACACHTuJAbw5m&#10;T+0BAADTAwAADgAAAAAAAAABACAAAAAfAQAAZHJzL2Uyb0RvYy54bWxQSwUGAAAAAAYABgBZAQAA&#10;fgUAAAAA&#10;">
              <v:fill on="f" focussize="0,0"/>
              <v:stroke on="f"/>
              <v:imagedata o:title=""/>
              <o:lock v:ext="edit" text="t" aspectratio="t"/>
              <v:textbox inset="0mm,0mm,0mm,0mm" style="mso-fit-shape-to-text:t;">
                <w:txbxContent>
                  <w:p w14:paraId="10B202F8">
                    <w:pPr>
                      <w:pStyle w:val="21"/>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1574">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E7F9">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9B13">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EDE1">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044F">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EB41">
    <w:pPr>
      <w:pStyle w:val="22"/>
      <w:pBdr>
        <w:bottom w:val="none" w:color="auto" w:sz="0" w:space="1"/>
      </w:pBdr>
      <w:jc w:val="left"/>
    </w:pP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8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6815D0"/>
    <w:multiLevelType w:val="singleLevel"/>
    <w:tmpl w:val="6A6815D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HorizontalSpacing w:val="24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NmNGZiMDQ3NDRiMDI5ZTBmNWRkNDk4ODgzN2QifQ=="/>
  </w:docVars>
  <w:rsids>
    <w:rsidRoot w:val="00E3648B"/>
    <w:rsid w:val="0000480E"/>
    <w:rsid w:val="00025FBA"/>
    <w:rsid w:val="000725DB"/>
    <w:rsid w:val="00084479"/>
    <w:rsid w:val="000B32FD"/>
    <w:rsid w:val="000C2804"/>
    <w:rsid w:val="000C2D14"/>
    <w:rsid w:val="000C30F4"/>
    <w:rsid w:val="000F3E02"/>
    <w:rsid w:val="001516B9"/>
    <w:rsid w:val="00154A20"/>
    <w:rsid w:val="0016285F"/>
    <w:rsid w:val="001663FA"/>
    <w:rsid w:val="001A767F"/>
    <w:rsid w:val="001C14B3"/>
    <w:rsid w:val="001C389B"/>
    <w:rsid w:val="001F48E3"/>
    <w:rsid w:val="00213F9C"/>
    <w:rsid w:val="00225F64"/>
    <w:rsid w:val="00226C58"/>
    <w:rsid w:val="00243351"/>
    <w:rsid w:val="00253BD9"/>
    <w:rsid w:val="002756CA"/>
    <w:rsid w:val="002813A8"/>
    <w:rsid w:val="002B509A"/>
    <w:rsid w:val="002D25BB"/>
    <w:rsid w:val="002E06D4"/>
    <w:rsid w:val="003144F5"/>
    <w:rsid w:val="003518FB"/>
    <w:rsid w:val="00380AD0"/>
    <w:rsid w:val="003E02EA"/>
    <w:rsid w:val="00440452"/>
    <w:rsid w:val="00485D56"/>
    <w:rsid w:val="004B3C46"/>
    <w:rsid w:val="004D1040"/>
    <w:rsid w:val="004E3AD0"/>
    <w:rsid w:val="00503483"/>
    <w:rsid w:val="0050474F"/>
    <w:rsid w:val="0051730F"/>
    <w:rsid w:val="00551E41"/>
    <w:rsid w:val="005664B3"/>
    <w:rsid w:val="005A1F23"/>
    <w:rsid w:val="005C2ECC"/>
    <w:rsid w:val="005D121C"/>
    <w:rsid w:val="006024A2"/>
    <w:rsid w:val="0060328E"/>
    <w:rsid w:val="00731247"/>
    <w:rsid w:val="00734460"/>
    <w:rsid w:val="00755555"/>
    <w:rsid w:val="00772883"/>
    <w:rsid w:val="00790689"/>
    <w:rsid w:val="007A77B9"/>
    <w:rsid w:val="007E1477"/>
    <w:rsid w:val="007F72A3"/>
    <w:rsid w:val="00806E7B"/>
    <w:rsid w:val="00811D3D"/>
    <w:rsid w:val="00854700"/>
    <w:rsid w:val="00862769"/>
    <w:rsid w:val="008A61AC"/>
    <w:rsid w:val="008D6776"/>
    <w:rsid w:val="008F064D"/>
    <w:rsid w:val="00914E14"/>
    <w:rsid w:val="0095406A"/>
    <w:rsid w:val="009D36ED"/>
    <w:rsid w:val="009F42FD"/>
    <w:rsid w:val="009F587B"/>
    <w:rsid w:val="00A03AC8"/>
    <w:rsid w:val="00A61888"/>
    <w:rsid w:val="00A8090B"/>
    <w:rsid w:val="00AD5C72"/>
    <w:rsid w:val="00AD7386"/>
    <w:rsid w:val="00AE5A3D"/>
    <w:rsid w:val="00B230A5"/>
    <w:rsid w:val="00B25F4B"/>
    <w:rsid w:val="00B51C8F"/>
    <w:rsid w:val="00BA599F"/>
    <w:rsid w:val="00BC09F1"/>
    <w:rsid w:val="00BE2ABD"/>
    <w:rsid w:val="00C11B36"/>
    <w:rsid w:val="00C16BA4"/>
    <w:rsid w:val="00C27C27"/>
    <w:rsid w:val="00C425C0"/>
    <w:rsid w:val="00C536FA"/>
    <w:rsid w:val="00C56E12"/>
    <w:rsid w:val="00C75B6F"/>
    <w:rsid w:val="00CA2BB4"/>
    <w:rsid w:val="00CB5A45"/>
    <w:rsid w:val="00CF33BC"/>
    <w:rsid w:val="00D10BAD"/>
    <w:rsid w:val="00D339BF"/>
    <w:rsid w:val="00D72C20"/>
    <w:rsid w:val="00DB616B"/>
    <w:rsid w:val="00DE3FCE"/>
    <w:rsid w:val="00E019CF"/>
    <w:rsid w:val="00E3464F"/>
    <w:rsid w:val="00E3648B"/>
    <w:rsid w:val="00E4764A"/>
    <w:rsid w:val="00E6131B"/>
    <w:rsid w:val="00E64777"/>
    <w:rsid w:val="00EA732A"/>
    <w:rsid w:val="00EB708A"/>
    <w:rsid w:val="00F343AA"/>
    <w:rsid w:val="00F3738E"/>
    <w:rsid w:val="00F57324"/>
    <w:rsid w:val="00F702AD"/>
    <w:rsid w:val="00F72F77"/>
    <w:rsid w:val="00F84450"/>
    <w:rsid w:val="00FC7590"/>
    <w:rsid w:val="00FD2129"/>
    <w:rsid w:val="00FD2F76"/>
    <w:rsid w:val="00FE143E"/>
    <w:rsid w:val="00FE3F5E"/>
    <w:rsid w:val="00FE6E3B"/>
    <w:rsid w:val="017C53AD"/>
    <w:rsid w:val="01D86994"/>
    <w:rsid w:val="029006BE"/>
    <w:rsid w:val="02940183"/>
    <w:rsid w:val="0295277A"/>
    <w:rsid w:val="02B64E33"/>
    <w:rsid w:val="02C5513C"/>
    <w:rsid w:val="02DF795F"/>
    <w:rsid w:val="02F8159E"/>
    <w:rsid w:val="032F2286"/>
    <w:rsid w:val="036A59B4"/>
    <w:rsid w:val="038A18D4"/>
    <w:rsid w:val="03F9274C"/>
    <w:rsid w:val="04071455"/>
    <w:rsid w:val="050D41AA"/>
    <w:rsid w:val="05A50F26"/>
    <w:rsid w:val="05C55124"/>
    <w:rsid w:val="069B0169"/>
    <w:rsid w:val="07D869D7"/>
    <w:rsid w:val="07F615C4"/>
    <w:rsid w:val="084F6F27"/>
    <w:rsid w:val="08716E9D"/>
    <w:rsid w:val="08D16BC2"/>
    <w:rsid w:val="090E6DE2"/>
    <w:rsid w:val="094920C9"/>
    <w:rsid w:val="0BF50231"/>
    <w:rsid w:val="0C9E205F"/>
    <w:rsid w:val="0E166924"/>
    <w:rsid w:val="0E3F160A"/>
    <w:rsid w:val="0EEC1973"/>
    <w:rsid w:val="0F1119E4"/>
    <w:rsid w:val="0FB71F81"/>
    <w:rsid w:val="0FC61113"/>
    <w:rsid w:val="0FC82856"/>
    <w:rsid w:val="0FEE2463"/>
    <w:rsid w:val="108005C5"/>
    <w:rsid w:val="10A14477"/>
    <w:rsid w:val="10EB2FF8"/>
    <w:rsid w:val="11A6405B"/>
    <w:rsid w:val="11DA5AB3"/>
    <w:rsid w:val="12723F3D"/>
    <w:rsid w:val="13843EAB"/>
    <w:rsid w:val="14ED5B17"/>
    <w:rsid w:val="14EF7AC7"/>
    <w:rsid w:val="15793835"/>
    <w:rsid w:val="1695469E"/>
    <w:rsid w:val="169721C5"/>
    <w:rsid w:val="16AE750E"/>
    <w:rsid w:val="18BB4C7B"/>
    <w:rsid w:val="1971594F"/>
    <w:rsid w:val="1BB5284D"/>
    <w:rsid w:val="1C5B3C94"/>
    <w:rsid w:val="1CB6711D"/>
    <w:rsid w:val="1D4B3D09"/>
    <w:rsid w:val="1D6F3E9B"/>
    <w:rsid w:val="1DCA10D2"/>
    <w:rsid w:val="1E845724"/>
    <w:rsid w:val="1EE319C6"/>
    <w:rsid w:val="1F3709E9"/>
    <w:rsid w:val="1F3F789D"/>
    <w:rsid w:val="1FD8090A"/>
    <w:rsid w:val="1FF73CD4"/>
    <w:rsid w:val="20713A86"/>
    <w:rsid w:val="20CB4C17"/>
    <w:rsid w:val="216A69E1"/>
    <w:rsid w:val="21843C8D"/>
    <w:rsid w:val="21895841"/>
    <w:rsid w:val="21937A2C"/>
    <w:rsid w:val="21BC6F83"/>
    <w:rsid w:val="21C35847"/>
    <w:rsid w:val="22A72B45"/>
    <w:rsid w:val="22A72B65"/>
    <w:rsid w:val="22CB3D0A"/>
    <w:rsid w:val="22E70030"/>
    <w:rsid w:val="22F50091"/>
    <w:rsid w:val="22F52D07"/>
    <w:rsid w:val="23607D95"/>
    <w:rsid w:val="23EC4874"/>
    <w:rsid w:val="242E5874"/>
    <w:rsid w:val="24C47C4F"/>
    <w:rsid w:val="25950217"/>
    <w:rsid w:val="26B75F6B"/>
    <w:rsid w:val="26D62FA3"/>
    <w:rsid w:val="271138CD"/>
    <w:rsid w:val="279A1B15"/>
    <w:rsid w:val="27D87C46"/>
    <w:rsid w:val="27DF3C26"/>
    <w:rsid w:val="27F64701"/>
    <w:rsid w:val="27FA251F"/>
    <w:rsid w:val="28581AF9"/>
    <w:rsid w:val="2879797C"/>
    <w:rsid w:val="28B516A5"/>
    <w:rsid w:val="29A529F3"/>
    <w:rsid w:val="29A65F05"/>
    <w:rsid w:val="29D15596"/>
    <w:rsid w:val="29DE28E4"/>
    <w:rsid w:val="29FA743E"/>
    <w:rsid w:val="2B617549"/>
    <w:rsid w:val="2B71075D"/>
    <w:rsid w:val="2BCE6231"/>
    <w:rsid w:val="2C7566AC"/>
    <w:rsid w:val="2E2E5403"/>
    <w:rsid w:val="2E98638E"/>
    <w:rsid w:val="2EDA3034"/>
    <w:rsid w:val="2EEE0998"/>
    <w:rsid w:val="2F704986"/>
    <w:rsid w:val="2FC9111F"/>
    <w:rsid w:val="304964EC"/>
    <w:rsid w:val="30A405BA"/>
    <w:rsid w:val="30AF3789"/>
    <w:rsid w:val="311A7FB0"/>
    <w:rsid w:val="323639D7"/>
    <w:rsid w:val="33A82C9F"/>
    <w:rsid w:val="33CE28C6"/>
    <w:rsid w:val="345319C9"/>
    <w:rsid w:val="345E282F"/>
    <w:rsid w:val="351F5D4F"/>
    <w:rsid w:val="35A9176E"/>
    <w:rsid w:val="36CC5A63"/>
    <w:rsid w:val="37052D23"/>
    <w:rsid w:val="370E1FF0"/>
    <w:rsid w:val="37533A8E"/>
    <w:rsid w:val="37714C0D"/>
    <w:rsid w:val="37B95D83"/>
    <w:rsid w:val="385775AE"/>
    <w:rsid w:val="39791649"/>
    <w:rsid w:val="399A2B84"/>
    <w:rsid w:val="399C685C"/>
    <w:rsid w:val="39C5432C"/>
    <w:rsid w:val="3B5A363D"/>
    <w:rsid w:val="3B940DE0"/>
    <w:rsid w:val="3BB56AC5"/>
    <w:rsid w:val="3C3E762A"/>
    <w:rsid w:val="3C7F67DF"/>
    <w:rsid w:val="3CCC59CF"/>
    <w:rsid w:val="3D0B3E57"/>
    <w:rsid w:val="3D2341EB"/>
    <w:rsid w:val="3D956BAE"/>
    <w:rsid w:val="3DCB187D"/>
    <w:rsid w:val="3EC55271"/>
    <w:rsid w:val="3F542A99"/>
    <w:rsid w:val="3FB533B4"/>
    <w:rsid w:val="3FC62809"/>
    <w:rsid w:val="400C5122"/>
    <w:rsid w:val="408B20D4"/>
    <w:rsid w:val="4106562F"/>
    <w:rsid w:val="415C79E3"/>
    <w:rsid w:val="41923405"/>
    <w:rsid w:val="426A6D93"/>
    <w:rsid w:val="427F607F"/>
    <w:rsid w:val="427F7E2D"/>
    <w:rsid w:val="42FA3538"/>
    <w:rsid w:val="43ED456A"/>
    <w:rsid w:val="442423B7"/>
    <w:rsid w:val="44817E8C"/>
    <w:rsid w:val="44B26298"/>
    <w:rsid w:val="44EA5120"/>
    <w:rsid w:val="45024612"/>
    <w:rsid w:val="458E7E63"/>
    <w:rsid w:val="460A6844"/>
    <w:rsid w:val="460A74EF"/>
    <w:rsid w:val="468D421B"/>
    <w:rsid w:val="46F35A9B"/>
    <w:rsid w:val="476B013E"/>
    <w:rsid w:val="4800731A"/>
    <w:rsid w:val="481E1E96"/>
    <w:rsid w:val="482C010F"/>
    <w:rsid w:val="498126DD"/>
    <w:rsid w:val="4A437422"/>
    <w:rsid w:val="4ACA2679"/>
    <w:rsid w:val="4BE216B1"/>
    <w:rsid w:val="4C031829"/>
    <w:rsid w:val="4C1A7CB9"/>
    <w:rsid w:val="4C417E01"/>
    <w:rsid w:val="4D045777"/>
    <w:rsid w:val="4F4B3161"/>
    <w:rsid w:val="4F7F5615"/>
    <w:rsid w:val="4FCD042A"/>
    <w:rsid w:val="4FD91AAB"/>
    <w:rsid w:val="51A4428B"/>
    <w:rsid w:val="527E018B"/>
    <w:rsid w:val="52DF6197"/>
    <w:rsid w:val="535D1AC5"/>
    <w:rsid w:val="53DC242E"/>
    <w:rsid w:val="542A7943"/>
    <w:rsid w:val="54322F51"/>
    <w:rsid w:val="54684BC5"/>
    <w:rsid w:val="551D2AB1"/>
    <w:rsid w:val="554F18E1"/>
    <w:rsid w:val="55D37750"/>
    <w:rsid w:val="56EB73E7"/>
    <w:rsid w:val="576B223F"/>
    <w:rsid w:val="579569BD"/>
    <w:rsid w:val="57E156E6"/>
    <w:rsid w:val="57F6354D"/>
    <w:rsid w:val="587C0C3F"/>
    <w:rsid w:val="59464DA9"/>
    <w:rsid w:val="59620A30"/>
    <w:rsid w:val="5ADD64C6"/>
    <w:rsid w:val="5AEF6D32"/>
    <w:rsid w:val="5B585A25"/>
    <w:rsid w:val="5BA54009"/>
    <w:rsid w:val="5BC55A80"/>
    <w:rsid w:val="5CCF650E"/>
    <w:rsid w:val="5CE40B61"/>
    <w:rsid w:val="5D1F7DEB"/>
    <w:rsid w:val="5D3C163B"/>
    <w:rsid w:val="5EE23FC0"/>
    <w:rsid w:val="5F654690"/>
    <w:rsid w:val="60714E01"/>
    <w:rsid w:val="60D3786A"/>
    <w:rsid w:val="60EC092C"/>
    <w:rsid w:val="614B38A4"/>
    <w:rsid w:val="61C64CD9"/>
    <w:rsid w:val="61E17D0C"/>
    <w:rsid w:val="61EF6CDF"/>
    <w:rsid w:val="61FA2BD4"/>
    <w:rsid w:val="623A346E"/>
    <w:rsid w:val="62A6294E"/>
    <w:rsid w:val="62B965EC"/>
    <w:rsid w:val="6346020D"/>
    <w:rsid w:val="636B1FDC"/>
    <w:rsid w:val="64063AB3"/>
    <w:rsid w:val="64412D3D"/>
    <w:rsid w:val="667033D7"/>
    <w:rsid w:val="66AC62E5"/>
    <w:rsid w:val="67A35959"/>
    <w:rsid w:val="6833452D"/>
    <w:rsid w:val="68340065"/>
    <w:rsid w:val="68CA1553"/>
    <w:rsid w:val="68FC4F9E"/>
    <w:rsid w:val="6908207B"/>
    <w:rsid w:val="69C601FA"/>
    <w:rsid w:val="6A0A42A7"/>
    <w:rsid w:val="6AEF704E"/>
    <w:rsid w:val="6AF12809"/>
    <w:rsid w:val="6AF3148F"/>
    <w:rsid w:val="6BFB7C75"/>
    <w:rsid w:val="6C165841"/>
    <w:rsid w:val="6C3E27AC"/>
    <w:rsid w:val="6C6B5BAF"/>
    <w:rsid w:val="6D142D9C"/>
    <w:rsid w:val="6D7273E2"/>
    <w:rsid w:val="6DB36A59"/>
    <w:rsid w:val="6DCE598B"/>
    <w:rsid w:val="6E4F6056"/>
    <w:rsid w:val="6E622864"/>
    <w:rsid w:val="6E9827DA"/>
    <w:rsid w:val="6EB034E3"/>
    <w:rsid w:val="6EEF37F3"/>
    <w:rsid w:val="6F590805"/>
    <w:rsid w:val="6F6E15CD"/>
    <w:rsid w:val="6FE15F5A"/>
    <w:rsid w:val="706933FF"/>
    <w:rsid w:val="70785D38"/>
    <w:rsid w:val="70810A07"/>
    <w:rsid w:val="70F51490"/>
    <w:rsid w:val="711D0007"/>
    <w:rsid w:val="712B6D82"/>
    <w:rsid w:val="71535E5D"/>
    <w:rsid w:val="71792D3C"/>
    <w:rsid w:val="72C2773E"/>
    <w:rsid w:val="72FC32BC"/>
    <w:rsid w:val="736F21B5"/>
    <w:rsid w:val="73F7484F"/>
    <w:rsid w:val="741B5358"/>
    <w:rsid w:val="750B2DCA"/>
    <w:rsid w:val="752E55CB"/>
    <w:rsid w:val="7556556B"/>
    <w:rsid w:val="75981ACC"/>
    <w:rsid w:val="7622081C"/>
    <w:rsid w:val="762E3B57"/>
    <w:rsid w:val="77C268AB"/>
    <w:rsid w:val="78F46178"/>
    <w:rsid w:val="79845F02"/>
    <w:rsid w:val="79CE678C"/>
    <w:rsid w:val="7A141457"/>
    <w:rsid w:val="7A607B74"/>
    <w:rsid w:val="7A922676"/>
    <w:rsid w:val="7B345BCE"/>
    <w:rsid w:val="7C3C40BE"/>
    <w:rsid w:val="7C3F2C7B"/>
    <w:rsid w:val="7D1035AA"/>
    <w:rsid w:val="7E191883"/>
    <w:rsid w:val="7E417769"/>
    <w:rsid w:val="7E7C4C45"/>
    <w:rsid w:val="7F5C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6"/>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47"/>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48"/>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200"/>
    </w:pPr>
    <w:rPr>
      <w:rFonts w:asciiTheme="minorHAnsi" w:eastAsiaTheme="minorHAnsi"/>
      <w:sz w:val="20"/>
      <w:szCs w:val="20"/>
    </w:rPr>
  </w:style>
  <w:style w:type="paragraph" w:styleId="7">
    <w:name w:val="Normal Indent"/>
    <w:basedOn w:val="1"/>
    <w:next w:val="8"/>
    <w:qFormat/>
    <w:uiPriority w:val="99"/>
    <w:pPr>
      <w:adjustRightInd w:val="0"/>
      <w:snapToGrid w:val="0"/>
      <w:spacing w:line="360" w:lineRule="auto"/>
      <w:ind w:firstLine="420"/>
    </w:pPr>
    <w:rPr>
      <w:szCs w:val="20"/>
    </w:rPr>
  </w:style>
  <w:style w:type="paragraph" w:styleId="8">
    <w:name w:val="Body Text"/>
    <w:basedOn w:val="1"/>
    <w:next w:val="1"/>
    <w:link w:val="49"/>
    <w:autoRedefine/>
    <w:unhideWhenUsed/>
    <w:qFormat/>
    <w:uiPriority w:val="99"/>
    <w:pPr>
      <w:spacing w:after="120"/>
    </w:pPr>
    <w:rPr>
      <w:rFonts w:ascii="Times New Roman" w:hAnsi="Times New Roman" w:cs="Times New Roman"/>
      <w:kern w:val="2"/>
      <w:sz w:val="28"/>
      <w:szCs w:val="28"/>
      <w:lang w:val="zh-CN"/>
    </w:rPr>
  </w:style>
  <w:style w:type="paragraph" w:styleId="9">
    <w:name w:val="Document Map"/>
    <w:basedOn w:val="1"/>
    <w:link w:val="50"/>
    <w:autoRedefine/>
    <w:semiHidden/>
    <w:qFormat/>
    <w:uiPriority w:val="99"/>
    <w:pPr>
      <w:shd w:val="clear" w:color="auto" w:fill="000080"/>
    </w:pPr>
    <w:rPr>
      <w:rFonts w:ascii="Times New Roman" w:hAnsi="Times New Roman" w:cs="Times New Roman"/>
      <w:sz w:val="2"/>
      <w:szCs w:val="2"/>
      <w:lang w:val="zh-CN"/>
    </w:rPr>
  </w:style>
  <w:style w:type="paragraph" w:styleId="10">
    <w:name w:val="annotation text"/>
    <w:basedOn w:val="1"/>
    <w:link w:val="51"/>
    <w:autoRedefine/>
    <w:unhideWhenUsed/>
    <w:qFormat/>
    <w:uiPriority w:val="99"/>
    <w:rPr>
      <w:rFonts w:ascii="Times New Roman" w:hAnsi="Times New Roman" w:cs="Times New Roman"/>
      <w:kern w:val="2"/>
      <w:sz w:val="28"/>
      <w:szCs w:val="28"/>
      <w:lang w:val="zh-CN"/>
    </w:rPr>
  </w:style>
  <w:style w:type="paragraph" w:styleId="11">
    <w:name w:val="Body Text Indent"/>
    <w:basedOn w:val="1"/>
    <w:link w:val="52"/>
    <w:qFormat/>
    <w:uiPriority w:val="99"/>
    <w:pPr>
      <w:spacing w:line="700" w:lineRule="exact"/>
      <w:ind w:left="960"/>
    </w:pPr>
    <w:rPr>
      <w:rFonts w:ascii="Times New Roman" w:hAnsi="Times New Roman" w:cs="Times New Roman"/>
      <w:sz w:val="20"/>
      <w:szCs w:val="20"/>
      <w:lang w:val="zh-CN"/>
    </w:rPr>
  </w:style>
  <w:style w:type="paragraph" w:styleId="12">
    <w:name w:val="toc 5"/>
    <w:basedOn w:val="1"/>
    <w:next w:val="1"/>
    <w:autoRedefine/>
    <w:unhideWhenUsed/>
    <w:qFormat/>
    <w:uiPriority w:val="39"/>
    <w:pPr>
      <w:ind w:left="720"/>
    </w:pPr>
    <w:rPr>
      <w:rFonts w:asciiTheme="minorHAnsi" w:eastAsiaTheme="minorHAnsi"/>
      <w:sz w:val="20"/>
      <w:szCs w:val="20"/>
    </w:rPr>
  </w:style>
  <w:style w:type="paragraph" w:styleId="13">
    <w:name w:val="toc 3"/>
    <w:basedOn w:val="1"/>
    <w:next w:val="1"/>
    <w:autoRedefine/>
    <w:qFormat/>
    <w:uiPriority w:val="39"/>
    <w:pPr>
      <w:ind w:left="240"/>
    </w:pPr>
    <w:rPr>
      <w:rFonts w:asciiTheme="minorHAnsi" w:eastAsiaTheme="minorHAnsi"/>
      <w:sz w:val="20"/>
      <w:szCs w:val="20"/>
    </w:rPr>
  </w:style>
  <w:style w:type="paragraph" w:styleId="14">
    <w:name w:val="Plain Text"/>
    <w:basedOn w:val="1"/>
    <w:next w:val="15"/>
    <w:link w:val="53"/>
    <w:autoRedefine/>
    <w:qFormat/>
    <w:uiPriority w:val="99"/>
    <w:rPr>
      <w:rFonts w:hAnsi="Courier New" w:cs="Times New Roman"/>
      <w:sz w:val="21"/>
      <w:szCs w:val="21"/>
      <w:lang w:val="zh-CN"/>
    </w:rPr>
  </w:style>
  <w:style w:type="paragraph" w:customStyle="1" w:styleId="15">
    <w:name w:val="Default"/>
    <w:next w:val="16"/>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7">
    <w:name w:val="toc 8"/>
    <w:basedOn w:val="1"/>
    <w:next w:val="1"/>
    <w:autoRedefine/>
    <w:unhideWhenUsed/>
    <w:qFormat/>
    <w:uiPriority w:val="39"/>
    <w:pPr>
      <w:ind w:left="1440"/>
    </w:pPr>
    <w:rPr>
      <w:rFonts w:asciiTheme="minorHAnsi" w:eastAsiaTheme="minorHAnsi"/>
      <w:sz w:val="20"/>
      <w:szCs w:val="20"/>
    </w:rPr>
  </w:style>
  <w:style w:type="paragraph" w:styleId="18">
    <w:name w:val="Date"/>
    <w:basedOn w:val="1"/>
    <w:next w:val="1"/>
    <w:link w:val="54"/>
    <w:autoRedefine/>
    <w:qFormat/>
    <w:uiPriority w:val="99"/>
    <w:rPr>
      <w:rFonts w:ascii="Times New Roman" w:hAnsi="Times New Roman" w:cs="Times New Roman"/>
      <w:sz w:val="20"/>
      <w:szCs w:val="20"/>
      <w:lang w:val="zh-CN"/>
    </w:rPr>
  </w:style>
  <w:style w:type="paragraph" w:styleId="19">
    <w:name w:val="Body Text Indent 2"/>
    <w:basedOn w:val="1"/>
    <w:link w:val="55"/>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20">
    <w:name w:val="Balloon Text"/>
    <w:basedOn w:val="1"/>
    <w:link w:val="56"/>
    <w:autoRedefine/>
    <w:semiHidden/>
    <w:qFormat/>
    <w:uiPriority w:val="99"/>
    <w:rPr>
      <w:rFonts w:ascii="Times New Roman" w:hAnsi="Times New Roman" w:cs="Times New Roman"/>
      <w:sz w:val="2"/>
      <w:szCs w:val="2"/>
      <w:lang w:val="zh-CN"/>
    </w:rPr>
  </w:style>
  <w:style w:type="paragraph" w:styleId="21">
    <w:name w:val="footer"/>
    <w:basedOn w:val="1"/>
    <w:link w:val="57"/>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22">
    <w:name w:val="header"/>
    <w:basedOn w:val="1"/>
    <w:link w:val="58"/>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3">
    <w:name w:val="toc 1"/>
    <w:basedOn w:val="1"/>
    <w:next w:val="1"/>
    <w:autoRedefine/>
    <w:qFormat/>
    <w:uiPriority w:val="39"/>
    <w:pPr>
      <w:spacing w:before="360"/>
    </w:pPr>
    <w:rPr>
      <w:rFonts w:asciiTheme="majorHAnsi" w:eastAsiaTheme="majorHAnsi"/>
      <w:b/>
      <w:bCs/>
      <w:caps/>
    </w:rPr>
  </w:style>
  <w:style w:type="paragraph" w:styleId="24">
    <w:name w:val="toc 4"/>
    <w:basedOn w:val="1"/>
    <w:next w:val="1"/>
    <w:autoRedefine/>
    <w:unhideWhenUsed/>
    <w:qFormat/>
    <w:uiPriority w:val="39"/>
    <w:pPr>
      <w:ind w:left="480"/>
    </w:pPr>
    <w:rPr>
      <w:rFonts w:asciiTheme="minorHAnsi" w:eastAsiaTheme="minorHAnsi"/>
      <w:sz w:val="20"/>
      <w:szCs w:val="20"/>
    </w:rPr>
  </w:style>
  <w:style w:type="paragraph" w:styleId="25">
    <w:name w:val="List"/>
    <w:basedOn w:val="1"/>
    <w:semiHidden/>
    <w:qFormat/>
    <w:uiPriority w:val="0"/>
    <w:pPr>
      <w:ind w:left="200" w:hanging="200" w:hangingChars="200"/>
    </w:pPr>
  </w:style>
  <w:style w:type="paragraph" w:styleId="26">
    <w:name w:val="toc 6"/>
    <w:basedOn w:val="1"/>
    <w:next w:val="1"/>
    <w:autoRedefine/>
    <w:unhideWhenUsed/>
    <w:qFormat/>
    <w:uiPriority w:val="39"/>
    <w:pPr>
      <w:ind w:left="960"/>
    </w:pPr>
    <w:rPr>
      <w:rFonts w:asciiTheme="minorHAnsi" w:eastAsiaTheme="minorHAnsi"/>
      <w:sz w:val="20"/>
      <w:szCs w:val="20"/>
    </w:rPr>
  </w:style>
  <w:style w:type="paragraph" w:styleId="27">
    <w:name w:val="toc 2"/>
    <w:basedOn w:val="1"/>
    <w:next w:val="1"/>
    <w:autoRedefine/>
    <w:qFormat/>
    <w:uiPriority w:val="39"/>
    <w:pPr>
      <w:spacing w:before="240"/>
    </w:pPr>
    <w:rPr>
      <w:rFonts w:asciiTheme="minorHAnsi" w:eastAsiaTheme="minorHAnsi"/>
      <w:b/>
      <w:bCs/>
      <w:sz w:val="20"/>
      <w:szCs w:val="20"/>
    </w:rPr>
  </w:style>
  <w:style w:type="paragraph" w:styleId="28">
    <w:name w:val="toc 9"/>
    <w:basedOn w:val="1"/>
    <w:next w:val="1"/>
    <w:autoRedefine/>
    <w:unhideWhenUsed/>
    <w:qFormat/>
    <w:uiPriority w:val="39"/>
    <w:pPr>
      <w:ind w:left="1680"/>
    </w:pPr>
    <w:rPr>
      <w:rFonts w:asciiTheme="minorHAnsi" w:eastAsiaTheme="minorHAnsi"/>
      <w:sz w:val="20"/>
      <w:szCs w:val="20"/>
    </w:rPr>
  </w:style>
  <w:style w:type="paragraph" w:styleId="29">
    <w:name w:val="Body Text 2"/>
    <w:basedOn w:val="1"/>
    <w:link w:val="59"/>
    <w:unhideWhenUsed/>
    <w:qFormat/>
    <w:uiPriority w:val="99"/>
    <w:pPr>
      <w:spacing w:after="120" w:line="480" w:lineRule="auto"/>
    </w:pPr>
    <w:rPr>
      <w:rFonts w:cs="Times New Roman"/>
      <w:lang w:val="zh-CN"/>
    </w:rPr>
  </w:style>
  <w:style w:type="paragraph" w:styleId="30">
    <w:name w:val="Normal (Web)"/>
    <w:basedOn w:val="1"/>
    <w:autoRedefine/>
    <w:qFormat/>
    <w:uiPriority w:val="99"/>
    <w:pPr>
      <w:spacing w:before="100" w:beforeAutospacing="1" w:after="100" w:afterAutospacing="1"/>
    </w:pPr>
    <w:rPr>
      <w:color w:val="000000"/>
    </w:rPr>
  </w:style>
  <w:style w:type="paragraph" w:styleId="31">
    <w:name w:val="annotation subject"/>
    <w:basedOn w:val="10"/>
    <w:next w:val="10"/>
    <w:link w:val="60"/>
    <w:unhideWhenUsed/>
    <w:qFormat/>
    <w:uiPriority w:val="99"/>
    <w:rPr>
      <w:b/>
      <w:bCs/>
    </w:rPr>
  </w:style>
  <w:style w:type="paragraph" w:styleId="32">
    <w:name w:val="Body Text First Indent"/>
    <w:basedOn w:val="8"/>
    <w:next w:val="1"/>
    <w:link w:val="61"/>
    <w:qFormat/>
    <w:uiPriority w:val="0"/>
    <w:pPr>
      <w:ind w:firstLine="420"/>
    </w:pPr>
  </w:style>
  <w:style w:type="table" w:styleId="34">
    <w:name w:val="Table Grid"/>
    <w:basedOn w:val="33"/>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b/>
      <w:bCs/>
    </w:rPr>
  </w:style>
  <w:style w:type="character" w:styleId="37">
    <w:name w:val="page number"/>
    <w:autoRedefine/>
    <w:qFormat/>
    <w:uiPriority w:val="0"/>
    <w:rPr>
      <w:rFonts w:cs="Times New Roman"/>
    </w:rPr>
  </w:style>
  <w:style w:type="character" w:styleId="38">
    <w:name w:val="FollowedHyperlink"/>
    <w:basedOn w:val="35"/>
    <w:autoRedefine/>
    <w:semiHidden/>
    <w:unhideWhenUsed/>
    <w:qFormat/>
    <w:uiPriority w:val="99"/>
    <w:rPr>
      <w:color w:val="000000"/>
      <w:u w:val="none"/>
    </w:rPr>
  </w:style>
  <w:style w:type="character" w:styleId="39">
    <w:name w:val="Emphasis"/>
    <w:basedOn w:val="35"/>
    <w:autoRedefine/>
    <w:qFormat/>
    <w:uiPriority w:val="20"/>
    <w:rPr>
      <w:i/>
      <w:iCs/>
    </w:rPr>
  </w:style>
  <w:style w:type="character" w:styleId="40">
    <w:name w:val="Hyperlink"/>
    <w:qFormat/>
    <w:uiPriority w:val="99"/>
    <w:rPr>
      <w:rFonts w:cs="Times New Roman"/>
      <w:color w:val="0000FF"/>
      <w:u w:val="single"/>
    </w:rPr>
  </w:style>
  <w:style w:type="character" w:styleId="41">
    <w:name w:val="HTML Code"/>
    <w:basedOn w:val="35"/>
    <w:autoRedefine/>
    <w:semiHidden/>
    <w:unhideWhenUsed/>
    <w:qFormat/>
    <w:uiPriority w:val="99"/>
    <w:rPr>
      <w:rFonts w:ascii="Monaco" w:hAnsi="Monaco" w:eastAsia="Monaco" w:cs="Monaco"/>
      <w:color w:val="DD1144"/>
      <w:sz w:val="15"/>
      <w:szCs w:val="15"/>
      <w:bdr w:val="single" w:color="E1E1E8" w:sz="6" w:space="0"/>
      <w:shd w:val="clear" w:color="auto" w:fill="F7F7F9"/>
    </w:rPr>
  </w:style>
  <w:style w:type="character" w:styleId="42">
    <w:name w:val="annotation reference"/>
    <w:autoRedefine/>
    <w:unhideWhenUsed/>
    <w:qFormat/>
    <w:uiPriority w:val="99"/>
    <w:rPr>
      <w:sz w:val="21"/>
      <w:szCs w:val="21"/>
    </w:rPr>
  </w:style>
  <w:style w:type="character" w:styleId="43">
    <w:name w:val="HTML Cite"/>
    <w:basedOn w:val="35"/>
    <w:semiHidden/>
    <w:unhideWhenUsed/>
    <w:qFormat/>
    <w:uiPriority w:val="99"/>
  </w:style>
  <w:style w:type="paragraph" w:customStyle="1" w:styleId="44">
    <w:name w:val="表格文字"/>
    <w:basedOn w:val="1"/>
    <w:autoRedefine/>
    <w:qFormat/>
    <w:uiPriority w:val="0"/>
    <w:pPr>
      <w:spacing w:line="420" w:lineRule="atLeast"/>
      <w:textAlignment w:val="baseline"/>
    </w:pPr>
    <w:rPr>
      <w:szCs w:val="20"/>
    </w:rPr>
  </w:style>
  <w:style w:type="paragraph" w:customStyle="1" w:styleId="45">
    <w:name w:val="标书正文1"/>
    <w:basedOn w:val="1"/>
    <w:autoRedefine/>
    <w:qFormat/>
    <w:uiPriority w:val="99"/>
    <w:pPr>
      <w:spacing w:line="520" w:lineRule="exact"/>
      <w:ind w:firstLine="640" w:firstLineChars="200"/>
    </w:pPr>
  </w:style>
  <w:style w:type="character" w:customStyle="1" w:styleId="46">
    <w:name w:val="标题 1 字符"/>
    <w:basedOn w:val="35"/>
    <w:link w:val="2"/>
    <w:autoRedefine/>
    <w:qFormat/>
    <w:uiPriority w:val="99"/>
    <w:rPr>
      <w:rFonts w:ascii="Times New Roman" w:hAnsi="Times New Roman" w:eastAsia="宋体" w:cs="Times New Roman"/>
      <w:b/>
      <w:bCs/>
      <w:kern w:val="44"/>
      <w:sz w:val="44"/>
      <w:szCs w:val="44"/>
      <w:lang w:val="zh-CN" w:eastAsia="zh-CN"/>
    </w:rPr>
  </w:style>
  <w:style w:type="character" w:customStyle="1" w:styleId="47">
    <w:name w:val="标题 2 字符"/>
    <w:basedOn w:val="35"/>
    <w:link w:val="3"/>
    <w:autoRedefine/>
    <w:qFormat/>
    <w:uiPriority w:val="99"/>
    <w:rPr>
      <w:rFonts w:ascii="Cambria" w:hAnsi="Cambria" w:eastAsia="宋体" w:cs="Times New Roman"/>
      <w:b/>
      <w:bCs/>
      <w:kern w:val="0"/>
      <w:sz w:val="32"/>
      <w:szCs w:val="32"/>
      <w:lang w:val="zh-CN" w:eastAsia="zh-CN"/>
    </w:rPr>
  </w:style>
  <w:style w:type="character" w:customStyle="1" w:styleId="48">
    <w:name w:val="标题 3 字符"/>
    <w:basedOn w:val="35"/>
    <w:link w:val="4"/>
    <w:autoRedefine/>
    <w:qFormat/>
    <w:uiPriority w:val="0"/>
    <w:rPr>
      <w:rFonts w:ascii="Times New Roman" w:hAnsi="Times New Roman" w:eastAsia="宋体" w:cs="Times New Roman"/>
      <w:b/>
      <w:bCs/>
      <w:kern w:val="0"/>
      <w:sz w:val="32"/>
      <w:szCs w:val="32"/>
      <w:lang w:val="zh-CN" w:eastAsia="zh-CN"/>
    </w:rPr>
  </w:style>
  <w:style w:type="character" w:customStyle="1" w:styleId="49">
    <w:name w:val="正文文本 字符"/>
    <w:basedOn w:val="35"/>
    <w:link w:val="8"/>
    <w:autoRedefine/>
    <w:qFormat/>
    <w:uiPriority w:val="99"/>
    <w:rPr>
      <w:rFonts w:ascii="Times New Roman" w:hAnsi="Times New Roman" w:eastAsia="宋体" w:cs="Times New Roman"/>
      <w:sz w:val="28"/>
      <w:szCs w:val="28"/>
      <w:lang w:val="zh-CN" w:eastAsia="zh-CN"/>
    </w:rPr>
  </w:style>
  <w:style w:type="character" w:customStyle="1" w:styleId="50">
    <w:name w:val="文档结构图 字符"/>
    <w:basedOn w:val="35"/>
    <w:link w:val="9"/>
    <w:autoRedefine/>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51">
    <w:name w:val="批注文字 字符"/>
    <w:basedOn w:val="35"/>
    <w:link w:val="10"/>
    <w:autoRedefine/>
    <w:qFormat/>
    <w:uiPriority w:val="99"/>
    <w:rPr>
      <w:rFonts w:ascii="Times New Roman" w:hAnsi="Times New Roman" w:eastAsia="宋体" w:cs="Times New Roman"/>
      <w:sz w:val="28"/>
      <w:szCs w:val="28"/>
      <w:lang w:val="zh-CN" w:eastAsia="zh-CN"/>
    </w:rPr>
  </w:style>
  <w:style w:type="character" w:customStyle="1" w:styleId="52">
    <w:name w:val="正文文本缩进 字符"/>
    <w:basedOn w:val="35"/>
    <w:link w:val="11"/>
    <w:autoRedefine/>
    <w:qFormat/>
    <w:uiPriority w:val="99"/>
    <w:rPr>
      <w:rFonts w:ascii="Times New Roman" w:hAnsi="Times New Roman" w:eastAsia="宋体" w:cs="Times New Roman"/>
      <w:kern w:val="0"/>
      <w:sz w:val="20"/>
      <w:szCs w:val="20"/>
      <w:lang w:val="zh-CN" w:eastAsia="zh-CN"/>
    </w:rPr>
  </w:style>
  <w:style w:type="character" w:customStyle="1" w:styleId="53">
    <w:name w:val="纯文本 字符"/>
    <w:basedOn w:val="35"/>
    <w:link w:val="14"/>
    <w:autoRedefine/>
    <w:qFormat/>
    <w:uiPriority w:val="99"/>
    <w:rPr>
      <w:rFonts w:ascii="宋体" w:hAnsi="Courier New" w:eastAsia="宋体" w:cs="Times New Roman"/>
      <w:kern w:val="0"/>
      <w:szCs w:val="21"/>
      <w:lang w:val="zh-CN" w:eastAsia="zh-CN"/>
    </w:rPr>
  </w:style>
  <w:style w:type="character" w:customStyle="1" w:styleId="54">
    <w:name w:val="日期 字符"/>
    <w:basedOn w:val="35"/>
    <w:link w:val="18"/>
    <w:autoRedefine/>
    <w:qFormat/>
    <w:uiPriority w:val="99"/>
    <w:rPr>
      <w:rFonts w:ascii="Times New Roman" w:hAnsi="Times New Roman" w:eastAsia="宋体" w:cs="Times New Roman"/>
      <w:kern w:val="0"/>
      <w:sz w:val="20"/>
      <w:szCs w:val="20"/>
      <w:lang w:val="zh-CN" w:eastAsia="zh-CN"/>
    </w:rPr>
  </w:style>
  <w:style w:type="character" w:customStyle="1" w:styleId="55">
    <w:name w:val="正文文本缩进 2 字符"/>
    <w:basedOn w:val="35"/>
    <w:link w:val="19"/>
    <w:autoRedefine/>
    <w:qFormat/>
    <w:uiPriority w:val="99"/>
    <w:rPr>
      <w:rFonts w:ascii="Times New Roman" w:hAnsi="Times New Roman" w:eastAsia="宋体" w:cs="Times New Roman"/>
      <w:sz w:val="28"/>
      <w:szCs w:val="28"/>
      <w:lang w:val="zh-CN" w:eastAsia="zh-CN"/>
    </w:rPr>
  </w:style>
  <w:style w:type="character" w:customStyle="1" w:styleId="56">
    <w:name w:val="批注框文本 字符"/>
    <w:basedOn w:val="35"/>
    <w:link w:val="20"/>
    <w:autoRedefine/>
    <w:semiHidden/>
    <w:qFormat/>
    <w:uiPriority w:val="99"/>
    <w:rPr>
      <w:rFonts w:ascii="Times New Roman" w:hAnsi="Times New Roman" w:eastAsia="宋体" w:cs="Times New Roman"/>
      <w:kern w:val="0"/>
      <w:sz w:val="2"/>
      <w:szCs w:val="2"/>
      <w:lang w:val="zh-CN" w:eastAsia="zh-CN"/>
    </w:rPr>
  </w:style>
  <w:style w:type="character" w:customStyle="1" w:styleId="57">
    <w:name w:val="页脚 字符"/>
    <w:basedOn w:val="35"/>
    <w:link w:val="21"/>
    <w:autoRedefine/>
    <w:qFormat/>
    <w:uiPriority w:val="99"/>
    <w:rPr>
      <w:rFonts w:ascii="Times New Roman" w:hAnsi="Times New Roman" w:eastAsia="宋体" w:cs="Times New Roman"/>
      <w:kern w:val="0"/>
      <w:sz w:val="18"/>
      <w:szCs w:val="18"/>
      <w:lang w:val="zh-CN" w:eastAsia="zh-CN"/>
    </w:rPr>
  </w:style>
  <w:style w:type="character" w:customStyle="1" w:styleId="58">
    <w:name w:val="页眉 字符"/>
    <w:basedOn w:val="35"/>
    <w:link w:val="22"/>
    <w:autoRedefine/>
    <w:qFormat/>
    <w:uiPriority w:val="0"/>
    <w:rPr>
      <w:rFonts w:ascii="Times New Roman" w:hAnsi="Times New Roman" w:eastAsia="宋体" w:cs="Times New Roman"/>
      <w:kern w:val="0"/>
      <w:sz w:val="18"/>
      <w:szCs w:val="18"/>
      <w:lang w:val="zh-CN" w:eastAsia="zh-CN"/>
    </w:rPr>
  </w:style>
  <w:style w:type="character" w:customStyle="1" w:styleId="59">
    <w:name w:val="正文文本 2 字符"/>
    <w:basedOn w:val="35"/>
    <w:link w:val="29"/>
    <w:autoRedefine/>
    <w:qFormat/>
    <w:uiPriority w:val="99"/>
    <w:rPr>
      <w:rFonts w:ascii="宋体" w:hAnsi="宋体" w:eastAsia="宋体" w:cs="Times New Roman"/>
      <w:kern w:val="0"/>
      <w:sz w:val="24"/>
      <w:lang w:val="zh-CN" w:eastAsia="zh-CN"/>
    </w:rPr>
  </w:style>
  <w:style w:type="character" w:customStyle="1" w:styleId="60">
    <w:name w:val="批注主题 字符"/>
    <w:basedOn w:val="51"/>
    <w:link w:val="31"/>
    <w:autoRedefine/>
    <w:qFormat/>
    <w:uiPriority w:val="99"/>
    <w:rPr>
      <w:rFonts w:ascii="Times New Roman" w:hAnsi="Times New Roman" w:eastAsia="宋体" w:cs="Times New Roman"/>
      <w:b/>
      <w:bCs/>
      <w:sz w:val="28"/>
      <w:szCs w:val="28"/>
      <w:lang w:val="zh-CN" w:eastAsia="zh-CN"/>
    </w:rPr>
  </w:style>
  <w:style w:type="character" w:customStyle="1" w:styleId="61">
    <w:name w:val="正文文本首行缩进 字符"/>
    <w:basedOn w:val="49"/>
    <w:link w:val="32"/>
    <w:qFormat/>
    <w:uiPriority w:val="0"/>
    <w:rPr>
      <w:rFonts w:ascii="宋体" w:hAnsi="宋体" w:eastAsia="宋体" w:cs="宋体"/>
      <w:kern w:val="0"/>
      <w:sz w:val="24"/>
      <w:szCs w:val="28"/>
      <w:lang w:val="zh-CN" w:eastAsia="zh-CN"/>
    </w:rPr>
  </w:style>
  <w:style w:type="paragraph" w:customStyle="1" w:styleId="62">
    <w:name w:val="正文文本 21"/>
    <w:basedOn w:val="1"/>
    <w:autoRedefine/>
    <w:qFormat/>
    <w:uiPriority w:val="0"/>
    <w:pPr>
      <w:snapToGrid w:val="0"/>
      <w:spacing w:line="540" w:lineRule="exact"/>
    </w:pPr>
    <w:rPr>
      <w:rFonts w:eastAsia="方正仿宋_GBK"/>
      <w:color w:val="000000"/>
    </w:rPr>
  </w:style>
  <w:style w:type="paragraph" w:customStyle="1" w:styleId="63">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64">
    <w:name w:val="emphasizedtitle1"/>
    <w:autoRedefine/>
    <w:qFormat/>
    <w:uiPriority w:val="99"/>
    <w:rPr>
      <w:rFonts w:ascii="Arial" w:hAnsi="Arial"/>
      <w:b/>
      <w:sz w:val="27"/>
    </w:rPr>
  </w:style>
  <w:style w:type="character" w:customStyle="1" w:styleId="65">
    <w:name w:val="font21"/>
    <w:autoRedefine/>
    <w:qFormat/>
    <w:uiPriority w:val="0"/>
    <w:rPr>
      <w:rFonts w:ascii="宋体" w:eastAsia="宋体" w:cs="宋体"/>
      <w:color w:val="000000"/>
      <w:sz w:val="20"/>
      <w:szCs w:val="20"/>
      <w:u w:val="none"/>
    </w:rPr>
  </w:style>
  <w:style w:type="character" w:customStyle="1" w:styleId="66">
    <w:name w:val="apple-converted-space"/>
    <w:autoRedefine/>
    <w:qFormat/>
    <w:uiPriority w:val="99"/>
    <w:rPr>
      <w:rFonts w:cs="Times New Roman"/>
    </w:rPr>
  </w:style>
  <w:style w:type="character" w:customStyle="1" w:styleId="67">
    <w:name w:val="active"/>
    <w:autoRedefine/>
    <w:qFormat/>
    <w:uiPriority w:val="0"/>
    <w:rPr>
      <w:shd w:val="clear" w:color="auto" w:fill="EC3535"/>
    </w:rPr>
  </w:style>
  <w:style w:type="character" w:customStyle="1" w:styleId="68">
    <w:name w:val="样式 (中文) 仿宋_GB2312 小四 行距: 固定值 22 磅 Char"/>
    <w:link w:val="69"/>
    <w:autoRedefine/>
    <w:qFormat/>
    <w:uiPriority w:val="0"/>
    <w:rPr>
      <w:rFonts w:eastAsia="仿宋_GB2312"/>
      <w:sz w:val="24"/>
    </w:rPr>
  </w:style>
  <w:style w:type="paragraph" w:customStyle="1" w:styleId="69">
    <w:name w:val="样式 (中文) 仿宋_GB2312 小四 行距: 固定值 22 磅"/>
    <w:basedOn w:val="1"/>
    <w:link w:val="68"/>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70">
    <w:name w:val="maincontenttable"/>
    <w:autoRedefine/>
    <w:qFormat/>
    <w:uiPriority w:val="99"/>
    <w:rPr>
      <w:rFonts w:cs="Times New Roman"/>
    </w:rPr>
  </w:style>
  <w:style w:type="paragraph" w:customStyle="1" w:styleId="71">
    <w:name w:val="Char1 Char Char Char"/>
    <w:basedOn w:val="1"/>
    <w:autoRedefine/>
    <w:qFormat/>
    <w:uiPriority w:val="99"/>
    <w:rPr>
      <w:rFonts w:ascii="Tahoma" w:hAnsi="Tahoma" w:cs="Tahoma"/>
      <w:sz w:val="30"/>
      <w:szCs w:val="30"/>
    </w:rPr>
  </w:style>
  <w:style w:type="paragraph" w:customStyle="1" w:styleId="72">
    <w:name w:val="Char Char Char Char Char Char Char Char Char Char"/>
    <w:basedOn w:val="1"/>
    <w:autoRedefine/>
    <w:qFormat/>
    <w:uiPriority w:val="99"/>
    <w:pPr>
      <w:tabs>
        <w:tab w:val="left" w:pos="360"/>
      </w:tabs>
      <w:ind w:left="360" w:hanging="360" w:hangingChars="200"/>
    </w:pPr>
  </w:style>
  <w:style w:type="paragraph" w:customStyle="1" w:styleId="73">
    <w:name w:val="op_exactqa_s_prop"/>
    <w:basedOn w:val="1"/>
    <w:qFormat/>
    <w:uiPriority w:val="99"/>
  </w:style>
  <w:style w:type="paragraph" w:customStyle="1" w:styleId="74">
    <w:name w:val="Char"/>
    <w:basedOn w:val="1"/>
    <w:qFormat/>
    <w:uiPriority w:val="99"/>
    <w:pPr>
      <w:spacing w:after="160" w:line="240" w:lineRule="exact"/>
    </w:pPr>
    <w:rPr>
      <w:rFonts w:ascii="Verdana" w:hAnsi="Verdana" w:eastAsia="仿宋_GB2312" w:cs="Verdana"/>
      <w:lang w:eastAsia="en-US"/>
    </w:rPr>
  </w:style>
  <w:style w:type="paragraph" w:customStyle="1" w:styleId="75">
    <w:name w:val="图例"/>
    <w:basedOn w:val="1"/>
    <w:qFormat/>
    <w:uiPriority w:val="0"/>
    <w:pPr>
      <w:spacing w:before="120" w:after="120" w:line="360" w:lineRule="auto"/>
      <w:jc w:val="center"/>
    </w:pPr>
    <w:rPr>
      <w:rFonts w:eastAsia="仿宋_GB2312"/>
      <w:b/>
    </w:rPr>
  </w:style>
  <w:style w:type="paragraph" w:customStyle="1" w:styleId="76">
    <w:name w:val="Char Char Char Char"/>
    <w:basedOn w:val="1"/>
    <w:qFormat/>
    <w:uiPriority w:val="99"/>
    <w:pPr>
      <w:spacing w:after="160" w:line="240" w:lineRule="exact"/>
    </w:pPr>
    <w:rPr>
      <w:rFonts w:ascii="Verdana" w:hAnsi="Verdana" w:cs="Verdana"/>
      <w:sz w:val="20"/>
      <w:szCs w:val="20"/>
      <w:lang w:eastAsia="en-US"/>
    </w:rPr>
  </w:style>
  <w:style w:type="paragraph" w:customStyle="1" w:styleId="77">
    <w:name w:val="_Style 7"/>
    <w:basedOn w:val="1"/>
    <w:qFormat/>
    <w:uiPriority w:val="0"/>
    <w:pPr>
      <w:ind w:firstLine="200" w:firstLineChars="200"/>
    </w:pPr>
    <w:rPr>
      <w:rFonts w:ascii="等线" w:eastAsia="等线" w:cs="Times New Roman"/>
      <w:sz w:val="21"/>
      <w:szCs w:val="22"/>
    </w:rPr>
  </w:style>
  <w:style w:type="paragraph" w:customStyle="1" w:styleId="78">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9">
    <w:name w:val="列表段落1"/>
    <w:basedOn w:val="1"/>
    <w:unhideWhenUsed/>
    <w:qFormat/>
    <w:uiPriority w:val="99"/>
    <w:pPr>
      <w:ind w:firstLine="420" w:firstLineChars="200"/>
    </w:pPr>
  </w:style>
  <w:style w:type="paragraph" w:customStyle="1" w:styleId="80">
    <w:name w:val="1"/>
    <w:basedOn w:val="1"/>
    <w:next w:val="14"/>
    <w:qFormat/>
    <w:uiPriority w:val="0"/>
    <w:rPr>
      <w:rFonts w:hAnsi="Courier New"/>
      <w:sz w:val="21"/>
      <w:szCs w:val="21"/>
    </w:rPr>
  </w:style>
  <w:style w:type="paragraph" w:customStyle="1" w:styleId="81">
    <w:name w:val="列出段落2"/>
    <w:basedOn w:val="1"/>
    <w:unhideWhenUsed/>
    <w:qFormat/>
    <w:uiPriority w:val="99"/>
    <w:pPr>
      <w:ind w:firstLine="420" w:firstLineChars="200"/>
    </w:pPr>
  </w:style>
  <w:style w:type="paragraph" w:customStyle="1" w:styleId="8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83">
    <w:name w:val="列出段落1"/>
    <w:basedOn w:val="1"/>
    <w:qFormat/>
    <w:uiPriority w:val="99"/>
    <w:pPr>
      <w:ind w:firstLine="420" w:firstLineChars="200"/>
    </w:pPr>
    <w:rPr>
      <w:rFonts w:ascii="Calibri" w:hAnsi="Calibri"/>
      <w:sz w:val="21"/>
      <w:szCs w:val="22"/>
    </w:rPr>
  </w:style>
  <w:style w:type="paragraph" w:customStyle="1" w:styleId="8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5">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86">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87">
    <w:name w:val="NormalCharacter"/>
    <w:qFormat/>
    <w:uiPriority w:val="0"/>
    <w:rPr>
      <w:rFonts w:ascii="Calibri" w:hAnsi="Calibri" w:eastAsia="宋体"/>
    </w:rPr>
  </w:style>
  <w:style w:type="paragraph" w:styleId="88">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89">
    <w:name w:val="Normal_6b1eb2b1-915e-4520-a4ad-e896fdd76176"/>
    <w:next w:val="2"/>
    <w:qFormat/>
    <w:uiPriority w:val="0"/>
    <w:rPr>
      <w:rFonts w:ascii="Times New Roman" w:hAnsi="Times New Roman" w:eastAsia="宋体" w:cs="Times New Roman"/>
      <w:sz w:val="21"/>
      <w:lang w:val="en-US" w:eastAsia="zh-CN" w:bidi="ar-SA"/>
    </w:rPr>
  </w:style>
  <w:style w:type="character" w:customStyle="1" w:styleId="90">
    <w:name w:val="active7"/>
    <w:basedOn w:val="35"/>
    <w:qFormat/>
    <w:uiPriority w:val="0"/>
    <w:rPr>
      <w:color w:val="FFFFFF"/>
      <w:shd w:val="clear" w:color="auto" w:fill="E02F23"/>
    </w:rPr>
  </w:style>
  <w:style w:type="character" w:customStyle="1" w:styleId="91">
    <w:name w:val="active6"/>
    <w:basedOn w:val="35"/>
    <w:qFormat/>
    <w:uiPriority w:val="0"/>
    <w:rPr>
      <w:color w:val="FFFFFF"/>
      <w:shd w:val="clear" w:color="auto" w:fill="E02F23"/>
    </w:rPr>
  </w:style>
  <w:style w:type="paragraph" w:customStyle="1" w:styleId="92">
    <w:name w:val="pa-34"/>
    <w:basedOn w:val="1"/>
    <w:qFormat/>
    <w:uiPriority w:val="0"/>
    <w:pPr>
      <w:spacing w:line="360" w:lineRule="atLeast"/>
      <w:ind w:firstLine="420"/>
    </w:pPr>
  </w:style>
  <w:style w:type="paragraph" w:customStyle="1" w:styleId="93">
    <w:name w:val="正文-表格内文字"/>
    <w:basedOn w:val="1"/>
    <w:qFormat/>
    <w:uiPriority w:val="99"/>
    <w:pPr>
      <w:spacing w:line="264" w:lineRule="auto"/>
    </w:pPr>
    <w:rPr>
      <w:sz w:val="21"/>
    </w:rPr>
  </w:style>
  <w:style w:type="paragraph" w:customStyle="1" w:styleId="94">
    <w:name w:val="正文1"/>
    <w:basedOn w:val="1"/>
    <w:next w:val="1"/>
    <w:qFormat/>
    <w:uiPriority w:val="0"/>
    <w:pPr>
      <w:widowControl w:val="0"/>
      <w:spacing w:line="300" w:lineRule="auto"/>
      <w:ind w:firstLine="200" w:firstLineChars="200"/>
      <w:jc w:val="both"/>
    </w:pPr>
    <w:rPr>
      <w:rFonts w:ascii="Times New Roman" w:hAnsi="Times New Roman" w:cs="Times New Roman"/>
      <w:kern w:val="2"/>
      <w:szCs w:val="20"/>
    </w:rPr>
  </w:style>
  <w:style w:type="paragraph" w:customStyle="1" w:styleId="95">
    <w:name w:val="Table Paragraph"/>
    <w:basedOn w:val="1"/>
    <w:qFormat/>
    <w:uiPriority w:val="1"/>
    <w:pPr>
      <w:widowControl w:val="0"/>
      <w:jc w:val="both"/>
    </w:pPr>
    <w:rPr>
      <w:kern w:val="2"/>
      <w:sz w:val="28"/>
      <w:szCs w:val="20"/>
      <w:lang w:val="zh-CN" w:bidi="zh-CN"/>
    </w:rPr>
  </w:style>
  <w:style w:type="paragraph" w:customStyle="1" w:styleId="96">
    <w:name w:val="电建正文"/>
    <w:basedOn w:val="97"/>
    <w:autoRedefine/>
    <w:qFormat/>
    <w:uiPriority w:val="0"/>
    <w:pPr>
      <w:tabs>
        <w:tab w:val="left" w:pos="720"/>
      </w:tabs>
      <w:spacing w:line="360" w:lineRule="auto"/>
      <w:ind w:firstLine="200" w:firstLineChars="200"/>
    </w:pPr>
    <w:rPr>
      <w:rFonts w:ascii="Tahoma" w:hAnsi="Tahoma"/>
      <w:sz w:val="24"/>
    </w:rPr>
  </w:style>
  <w:style w:type="paragraph" w:customStyle="1" w:styleId="97">
    <w:name w:val="List First"/>
    <w:basedOn w:val="25"/>
    <w:next w:val="2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02C3B-A063-4BB7-ABA8-28605945394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9871</Words>
  <Characters>10450</Characters>
  <Lines>205</Lines>
  <Paragraphs>57</Paragraphs>
  <TotalTime>56</TotalTime>
  <ScaleCrop>false</ScaleCrop>
  <LinksUpToDate>false</LinksUpToDate>
  <CharactersWithSpaces>10633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2025-08-11T04:39:00Z</dcterms:created>
  <dc:creator>Haowen Yang</dc:creator>
  <cp:lastModifiedBy>小宝@宇</cp:lastModifiedBy>
  <cp:lastPrinted>2025-08-26T08:17:00Z</cp:lastPrinted>
  <dcterms:modified xsi:type="dcterms:W3CDTF">2025-09-25T03:24:13Z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8F116A4EC2DC46C4BC8C044D5DE0DA66_13</vt:lpwstr>
  </property>
  <property fmtid="{D5CDD505-2E9C-101B-9397-08002B2CF9AE}" pid="4" name="KSOTemplateDocerSaveRecord">
    <vt:lpwstr>eyJoZGlkIjoiZTI3NTM1ZGViZjQ5NDFhNjQ0ZThmOWViOTkzN2Q3MWYiLCJ1c2VySWQiOiIzMDA4ODM0ODMifQ==</vt:lpwstr>
  </property>
</Properties>
</file>