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761F">
      <w:pPr>
        <w:jc w:val="center"/>
        <w:outlineLvl w:val="0"/>
        <w:rPr>
          <w:rFonts w:hint="eastAsia" w:ascii="宋体" w:hAnsi="宋体" w:cs="宋体"/>
          <w:b/>
          <w:bCs/>
          <w:color w:val="auto"/>
          <w:spacing w:val="80"/>
          <w:sz w:val="56"/>
          <w:szCs w:val="56"/>
          <w:highlight w:val="none"/>
        </w:rPr>
      </w:pPr>
      <w:bookmarkStart w:id="0" w:name="_Toc19609"/>
      <w:bookmarkStart w:id="1" w:name="_Toc30988"/>
      <w:bookmarkStart w:id="2" w:name="_Toc7408"/>
      <w:bookmarkStart w:id="3" w:name="_Toc2452"/>
      <w:bookmarkStart w:id="4" w:name="_Toc13289"/>
      <w:bookmarkStart w:id="5" w:name="_Toc17591"/>
      <w:bookmarkStart w:id="6" w:name="_Toc31370"/>
      <w:bookmarkStart w:id="7" w:name="_Toc31917"/>
      <w:bookmarkStart w:id="8" w:name="_Toc7242"/>
      <w:bookmarkStart w:id="9" w:name="_Toc11919"/>
      <w:bookmarkStart w:id="10" w:name="_Toc9544"/>
      <w:bookmarkStart w:id="11" w:name="_Toc16779"/>
      <w:bookmarkStart w:id="12" w:name="_Toc10781"/>
      <w:r>
        <w:rPr>
          <w:rFonts w:hint="eastAsia" w:ascii="宋体" w:hAnsi="宋体" w:cs="宋体"/>
          <w:b/>
          <w:bCs/>
          <w:color w:val="auto"/>
          <w:spacing w:val="80"/>
          <w:sz w:val="56"/>
          <w:szCs w:val="56"/>
          <w:highlight w:val="none"/>
          <w:lang w:val="en-US" w:eastAsia="zh-CN"/>
        </w:rPr>
        <w:t>竞争性比选</w:t>
      </w:r>
      <w:r>
        <w:rPr>
          <w:rFonts w:hint="eastAsia" w:ascii="宋体" w:hAnsi="宋体" w:cs="宋体"/>
          <w:b/>
          <w:bCs/>
          <w:color w:val="auto"/>
          <w:spacing w:val="80"/>
          <w:sz w:val="56"/>
          <w:szCs w:val="56"/>
          <w:highlight w:val="none"/>
        </w:rPr>
        <w:t>文件</w:t>
      </w:r>
      <w:bookmarkEnd w:id="0"/>
      <w:bookmarkEnd w:id="1"/>
      <w:bookmarkEnd w:id="2"/>
      <w:bookmarkEnd w:id="3"/>
      <w:bookmarkEnd w:id="4"/>
      <w:bookmarkEnd w:id="5"/>
      <w:bookmarkEnd w:id="6"/>
      <w:bookmarkEnd w:id="7"/>
      <w:bookmarkEnd w:id="8"/>
      <w:bookmarkEnd w:id="9"/>
      <w:bookmarkEnd w:id="10"/>
      <w:bookmarkEnd w:id="11"/>
    </w:p>
    <w:p w14:paraId="26A1417D">
      <w:pPr>
        <w:jc w:val="center"/>
        <w:rPr>
          <w:rFonts w:hint="eastAsia" w:ascii="宋体" w:hAnsi="宋体" w:cs="宋体"/>
          <w:b/>
          <w:bCs/>
          <w:color w:val="auto"/>
          <w:sz w:val="44"/>
          <w:szCs w:val="44"/>
          <w:highlight w:val="none"/>
        </w:rPr>
      </w:pPr>
    </w:p>
    <w:p w14:paraId="3B81F630">
      <w:pPr>
        <w:jc w:val="center"/>
        <w:rPr>
          <w:rFonts w:hint="eastAsia" w:ascii="宋体" w:hAnsi="宋体" w:cs="宋体"/>
          <w:b/>
          <w:bCs/>
          <w:color w:val="auto"/>
          <w:sz w:val="44"/>
          <w:szCs w:val="44"/>
          <w:highlight w:val="none"/>
        </w:rPr>
      </w:pPr>
    </w:p>
    <w:p w14:paraId="2BB7A5B3">
      <w:pPr>
        <w:pStyle w:val="3"/>
        <w:rPr>
          <w:rFonts w:hint="eastAsia" w:hAnsi="宋体" w:cs="宋体"/>
          <w:b/>
          <w:bCs/>
          <w:color w:val="auto"/>
          <w:sz w:val="44"/>
          <w:szCs w:val="44"/>
          <w:highlight w:val="none"/>
          <w:lang w:eastAsia="zh-CN"/>
        </w:rPr>
      </w:pPr>
    </w:p>
    <w:p w14:paraId="1D4972DA">
      <w:pPr>
        <w:rPr>
          <w:rFonts w:hint="eastAsia" w:ascii="宋体" w:hAnsi="宋体" w:cs="宋体"/>
          <w:color w:val="auto"/>
          <w:highlight w:val="none"/>
        </w:rPr>
      </w:pPr>
    </w:p>
    <w:p w14:paraId="585D7D23">
      <w:pPr>
        <w:rPr>
          <w:rFonts w:hint="eastAsia" w:ascii="宋体" w:hAnsi="宋体" w:cs="宋体"/>
          <w:b/>
          <w:bCs/>
          <w:color w:val="auto"/>
          <w:sz w:val="44"/>
          <w:szCs w:val="44"/>
          <w:highlight w:val="none"/>
        </w:rPr>
      </w:pPr>
    </w:p>
    <w:p w14:paraId="1884F379">
      <w:pPr>
        <w:jc w:val="center"/>
        <w:outlineLvl w:val="0"/>
        <w:rPr>
          <w:rFonts w:hint="eastAsia" w:ascii="宋体" w:hAnsi="宋体" w:cs="宋体"/>
          <w:b/>
          <w:bCs/>
          <w:color w:val="auto"/>
          <w:sz w:val="44"/>
          <w:szCs w:val="44"/>
          <w:highlight w:val="none"/>
        </w:rPr>
      </w:pPr>
      <w:bookmarkStart w:id="13" w:name="_Toc6830"/>
      <w:bookmarkStart w:id="14" w:name="_Toc8653"/>
      <w:bookmarkStart w:id="15" w:name="_Toc7842"/>
      <w:r>
        <w:rPr>
          <w:rFonts w:hint="eastAsia" w:ascii="宋体" w:hAnsi="宋体" w:cs="宋体"/>
          <w:b/>
          <w:bCs/>
          <w:color w:val="auto"/>
          <w:sz w:val="44"/>
          <w:szCs w:val="44"/>
          <w:highlight w:val="none"/>
        </w:rPr>
        <w:t>（综合评分法）</w:t>
      </w:r>
      <w:bookmarkEnd w:id="13"/>
      <w:bookmarkEnd w:id="14"/>
      <w:bookmarkEnd w:id="15"/>
    </w:p>
    <w:p w14:paraId="4B255C89">
      <w:pPr>
        <w:spacing w:line="700" w:lineRule="exact"/>
        <w:jc w:val="center"/>
        <w:rPr>
          <w:rFonts w:hint="eastAsia" w:ascii="宋体" w:hAnsi="宋体" w:cs="宋体"/>
          <w:color w:val="auto"/>
          <w:sz w:val="32"/>
          <w:highlight w:val="none"/>
        </w:rPr>
      </w:pPr>
    </w:p>
    <w:p w14:paraId="192C85C9">
      <w:pPr>
        <w:spacing w:line="480" w:lineRule="auto"/>
        <w:jc w:val="center"/>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项目名称：奉节县人民医院医疗护理员服务项目</w:t>
      </w:r>
    </w:p>
    <w:p w14:paraId="6DDA51B3">
      <w:pPr>
        <w:spacing w:line="480" w:lineRule="auto"/>
        <w:ind w:firstLine="1600" w:firstLineChars="500"/>
        <w:jc w:val="both"/>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项目编号：FJ25C00033</w:t>
      </w:r>
    </w:p>
    <w:p w14:paraId="136DF9C2">
      <w:pPr>
        <w:spacing w:line="480" w:lineRule="auto"/>
        <w:ind w:left="1260" w:leftChars="450"/>
        <w:rPr>
          <w:rFonts w:hint="eastAsia" w:ascii="宋体" w:hAnsi="宋体" w:cs="宋体"/>
          <w:b/>
          <w:bCs/>
          <w:color w:val="auto"/>
          <w:sz w:val="32"/>
          <w:szCs w:val="32"/>
          <w:highlight w:val="none"/>
        </w:rPr>
      </w:pPr>
    </w:p>
    <w:p w14:paraId="4BEEAD3B">
      <w:pPr>
        <w:pStyle w:val="28"/>
        <w:ind w:firstLine="643"/>
        <w:rPr>
          <w:rFonts w:hint="eastAsia" w:ascii="宋体" w:hAnsi="宋体" w:eastAsia="宋体" w:cs="宋体"/>
          <w:b/>
          <w:bCs/>
          <w:color w:val="auto"/>
          <w:szCs w:val="32"/>
          <w:highlight w:val="none"/>
        </w:rPr>
      </w:pPr>
    </w:p>
    <w:p w14:paraId="47AC52F8">
      <w:pPr>
        <w:pStyle w:val="28"/>
        <w:ind w:firstLine="643"/>
        <w:rPr>
          <w:rFonts w:hint="eastAsia" w:ascii="宋体" w:hAnsi="宋体" w:eastAsia="宋体" w:cs="宋体"/>
          <w:b/>
          <w:bCs/>
          <w:color w:val="auto"/>
          <w:szCs w:val="32"/>
          <w:highlight w:val="none"/>
        </w:rPr>
      </w:pPr>
    </w:p>
    <w:p w14:paraId="663458E3">
      <w:pPr>
        <w:spacing w:line="480" w:lineRule="auto"/>
        <w:ind w:left="1260" w:leftChars="450"/>
        <w:rPr>
          <w:rFonts w:hint="eastAsia" w:ascii="宋体" w:hAnsi="宋体" w:cs="宋体"/>
          <w:color w:val="auto"/>
          <w:sz w:val="32"/>
          <w:szCs w:val="32"/>
          <w:highlight w:val="none"/>
        </w:rPr>
      </w:pPr>
    </w:p>
    <w:p w14:paraId="49237B75">
      <w:pPr>
        <w:spacing w:line="480" w:lineRule="auto"/>
        <w:ind w:left="1260" w:leftChars="450"/>
        <w:rPr>
          <w:rFonts w:hint="eastAsia" w:ascii="宋体" w:hAnsi="宋体" w:eastAsia="宋体" w:cs="宋体"/>
          <w:color w:val="auto"/>
          <w:sz w:val="32"/>
          <w:szCs w:val="32"/>
          <w:highlight w:val="none"/>
          <w:u w:val="singl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u w:val="single"/>
          <w:lang w:eastAsia="zh-CN"/>
        </w:rPr>
        <w:t>奉节县人民医院</w:t>
      </w:r>
    </w:p>
    <w:p w14:paraId="29821508">
      <w:pPr>
        <w:spacing w:line="480" w:lineRule="auto"/>
        <w:ind w:left="1260" w:leftChars="450"/>
        <w:rPr>
          <w:rFonts w:hint="default" w:ascii="宋体" w:hAnsi="宋体" w:eastAsia="宋体" w:cs="宋体"/>
          <w:color w:val="auto"/>
          <w:sz w:val="32"/>
          <w:szCs w:val="32"/>
          <w:highlight w:val="none"/>
          <w:u w:val="single"/>
          <w:lang w:val="en-US" w:eastAsia="zh-CN"/>
        </w:rPr>
      </w:pPr>
      <w:r>
        <w:rPr>
          <w:rFonts w:hint="eastAsia" w:ascii="宋体" w:hAnsi="宋体" w:cs="宋体"/>
          <w:color w:val="auto"/>
          <w:sz w:val="32"/>
          <w:szCs w:val="32"/>
          <w:highlight w:val="none"/>
        </w:rPr>
        <w:t>采购代理机构：</w:t>
      </w:r>
      <w:r>
        <w:rPr>
          <w:rFonts w:hint="eastAsia" w:ascii="宋体" w:hAnsi="宋体" w:cs="宋体"/>
          <w:color w:val="auto"/>
          <w:sz w:val="32"/>
          <w:szCs w:val="32"/>
          <w:highlight w:val="none"/>
          <w:u w:val="single"/>
          <w:lang w:val="en-US" w:eastAsia="zh-CN"/>
        </w:rPr>
        <w:t>重庆九贡建设工程咨询有限公司</w:t>
      </w:r>
    </w:p>
    <w:p w14:paraId="773EEEB2">
      <w:pPr>
        <w:spacing w:line="480" w:lineRule="auto"/>
        <w:jc w:val="center"/>
        <w:outlineLvl w:val="0"/>
        <w:rPr>
          <w:rFonts w:hint="eastAsia" w:ascii="宋体" w:hAnsi="宋体" w:cs="宋体"/>
          <w:color w:val="auto"/>
          <w:sz w:val="32"/>
          <w:szCs w:val="32"/>
          <w:highlight w:val="none"/>
        </w:rPr>
      </w:pPr>
      <w:bookmarkStart w:id="16" w:name="_Toc19350"/>
      <w:bookmarkStart w:id="17" w:name="_Toc19708"/>
      <w:bookmarkStart w:id="18" w:name="_Toc2215"/>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五</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十二</w:t>
      </w:r>
      <w:r>
        <w:rPr>
          <w:rFonts w:hint="eastAsia" w:ascii="宋体" w:hAnsi="宋体" w:cs="宋体"/>
          <w:color w:val="auto"/>
          <w:sz w:val="32"/>
          <w:szCs w:val="32"/>
          <w:highlight w:val="none"/>
        </w:rPr>
        <w:t>月</w:t>
      </w:r>
      <w:bookmarkEnd w:id="16"/>
      <w:bookmarkEnd w:id="17"/>
      <w:bookmarkEnd w:id="18"/>
    </w:p>
    <w:p w14:paraId="7C6D0D94">
      <w:pPr>
        <w:rPr>
          <w:rFonts w:hint="eastAsia" w:ascii="宋体" w:hAnsi="宋体" w:cs="宋体"/>
          <w:b/>
          <w:color w:val="000000"/>
          <w:sz w:val="36"/>
          <w:szCs w:val="48"/>
          <w:highlight w:val="none"/>
          <w:u w:val="none" w:color="auto"/>
        </w:rPr>
      </w:pPr>
    </w:p>
    <w:p w14:paraId="76C7DE29">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5160004F">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2B9377C8">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28294A36">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138349A3">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Cs w:val="36"/>
          <w:highlight w:val="none"/>
          <w:u w:val="none" w:color="auto"/>
        </w:rPr>
      </w:pPr>
      <w:r>
        <w:rPr>
          <w:rFonts w:hint="eastAsia" w:ascii="宋体" w:hAnsi="宋体" w:cs="宋体"/>
          <w:b/>
          <w:color w:val="000000"/>
          <w:sz w:val="36"/>
          <w:szCs w:val="48"/>
          <w:highlight w:val="none"/>
          <w:u w:val="none" w:color="auto"/>
        </w:rPr>
        <w:t>第一篇 采购邀请书</w:t>
      </w:r>
      <w:bookmarkEnd w:id="12"/>
    </w:p>
    <w:p w14:paraId="10841C45">
      <w:pPr>
        <w:widowControl/>
        <w:spacing w:line="400" w:lineRule="exact"/>
        <w:ind w:firstLine="480" w:firstLineChars="200"/>
        <w:rPr>
          <w:rFonts w:hint="eastAsia" w:ascii="宋体" w:hAnsi="宋体" w:cs="宋体"/>
          <w:color w:val="000000"/>
          <w:sz w:val="24"/>
          <w:szCs w:val="24"/>
          <w:highlight w:val="none"/>
          <w:u w:val="none" w:color="auto"/>
        </w:rPr>
      </w:pPr>
    </w:p>
    <w:p w14:paraId="63333C5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重庆九贡建设工程咨询有限公司</w:t>
      </w:r>
      <w:r>
        <w:rPr>
          <w:rFonts w:hint="eastAsia" w:ascii="宋体" w:hAnsi="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奉节县人民医院</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奉节县人民医院医疗护理员服务项目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rPr>
        <w:t>重庆奉节小额采购管理与交易平台网上采用</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方式进行采购。欢迎符合资格要求并有供货能力的供应商踊跃参与</w:t>
      </w:r>
      <w:bookmarkStart w:id="19" w:name="_Toc22435"/>
      <w:bookmarkStart w:id="20" w:name="_Toc28264"/>
      <w:bookmarkStart w:id="21" w:name="_Toc5909"/>
      <w:bookmarkStart w:id="22" w:name="_Toc15376"/>
      <w:bookmarkStart w:id="23" w:name="_Toc76373864"/>
      <w:bookmarkStart w:id="24" w:name="_Toc21353"/>
      <w:bookmarkStart w:id="25" w:name="_Toc11603"/>
    </w:p>
    <w:p w14:paraId="1C1FD174">
      <w:pPr>
        <w:spacing w:line="400" w:lineRule="exact"/>
        <w:ind w:firstLine="482" w:firstLineChars="200"/>
        <w:rPr>
          <w:rFonts w:hint="eastAsia" w:ascii="宋体" w:hAnsi="宋体" w:cs="宋体"/>
          <w:b/>
          <w:color w:val="000000"/>
          <w:sz w:val="24"/>
          <w:highlight w:val="none"/>
          <w:u w:val="none" w:color="auto"/>
        </w:rPr>
      </w:pPr>
      <w:r>
        <w:rPr>
          <w:rFonts w:hint="eastAsia" w:ascii="宋体" w:hAnsi="宋体" w:cs="宋体"/>
          <w:b/>
          <w:color w:val="000000"/>
          <w:sz w:val="24"/>
          <w:highlight w:val="none"/>
          <w:u w:val="none" w:color="auto"/>
        </w:rPr>
        <w:t>一、采购项目</w:t>
      </w:r>
      <w:bookmarkEnd w:id="19"/>
      <w:bookmarkEnd w:id="20"/>
      <w:bookmarkEnd w:id="21"/>
      <w:bookmarkEnd w:id="22"/>
      <w:bookmarkEnd w:id="23"/>
      <w:r>
        <w:rPr>
          <w:rFonts w:hint="eastAsia" w:ascii="宋体" w:hAnsi="宋体" w:cs="宋体"/>
          <w:b/>
          <w:color w:val="000000"/>
          <w:sz w:val="24"/>
          <w:highlight w:val="none"/>
          <w:u w:val="none" w:color="auto"/>
        </w:rPr>
        <w:t>基本情况</w:t>
      </w:r>
      <w:bookmarkEnd w:id="24"/>
      <w:bookmarkEnd w:id="25"/>
    </w:p>
    <w:tbl>
      <w:tblPr>
        <w:tblStyle w:val="2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976"/>
        <w:gridCol w:w="1429"/>
        <w:gridCol w:w="867"/>
        <w:gridCol w:w="1259"/>
        <w:gridCol w:w="1259"/>
        <w:gridCol w:w="1337"/>
      </w:tblGrid>
      <w:tr w14:paraId="68FA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89" w:type="dxa"/>
            <w:noWrap w:val="0"/>
            <w:vAlign w:val="center"/>
          </w:tcPr>
          <w:p w14:paraId="7F6DED0A">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bookmarkStart w:id="26" w:name="_Toc22707"/>
            <w:bookmarkStart w:id="27" w:name="_Toc5838"/>
            <w:bookmarkStart w:id="28" w:name="_Toc18060"/>
            <w:bookmarkStart w:id="29" w:name="_Toc22129"/>
            <w:bookmarkStart w:id="30" w:name="_Toc76373865"/>
            <w:r>
              <w:rPr>
                <w:rFonts w:hint="eastAsia" w:ascii="宋体" w:hAnsi="宋体" w:eastAsia="宋体" w:cs="宋体"/>
                <w:color w:val="000000"/>
                <w:szCs w:val="24"/>
                <w:highlight w:val="none"/>
                <w:u w:val="none" w:color="auto"/>
              </w:rPr>
              <w:t>分包序号</w:t>
            </w:r>
          </w:p>
        </w:tc>
        <w:tc>
          <w:tcPr>
            <w:tcW w:w="2976" w:type="dxa"/>
            <w:noWrap w:val="0"/>
            <w:vAlign w:val="center"/>
          </w:tcPr>
          <w:p w14:paraId="6D425C5B">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名称</w:t>
            </w:r>
          </w:p>
        </w:tc>
        <w:tc>
          <w:tcPr>
            <w:tcW w:w="1429" w:type="dxa"/>
            <w:noWrap w:val="0"/>
            <w:vAlign w:val="center"/>
          </w:tcPr>
          <w:p w14:paraId="3C55E3A5">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预算金额</w:t>
            </w:r>
          </w:p>
        </w:tc>
        <w:tc>
          <w:tcPr>
            <w:tcW w:w="867" w:type="dxa"/>
            <w:noWrap w:val="0"/>
            <w:vAlign w:val="center"/>
          </w:tcPr>
          <w:p w14:paraId="1BEDD7B7">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数量</w:t>
            </w:r>
          </w:p>
        </w:tc>
        <w:tc>
          <w:tcPr>
            <w:tcW w:w="1259" w:type="dxa"/>
            <w:noWrap w:val="0"/>
            <w:vAlign w:val="center"/>
          </w:tcPr>
          <w:p w14:paraId="6232B589">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单位</w:t>
            </w:r>
          </w:p>
        </w:tc>
        <w:tc>
          <w:tcPr>
            <w:tcW w:w="1259" w:type="dxa"/>
            <w:noWrap w:val="0"/>
            <w:vAlign w:val="center"/>
          </w:tcPr>
          <w:p w14:paraId="5F46C87F">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成交供应商(个）</w:t>
            </w:r>
          </w:p>
        </w:tc>
        <w:tc>
          <w:tcPr>
            <w:tcW w:w="1337" w:type="dxa"/>
            <w:noWrap w:val="0"/>
            <w:vAlign w:val="center"/>
          </w:tcPr>
          <w:p w14:paraId="38B8319C">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需求部门</w:t>
            </w:r>
          </w:p>
        </w:tc>
      </w:tr>
      <w:tr w14:paraId="2EAB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9" w:type="dxa"/>
            <w:noWrap w:val="0"/>
            <w:vAlign w:val="center"/>
          </w:tcPr>
          <w:p w14:paraId="74D0187B">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包1</w:t>
            </w:r>
          </w:p>
        </w:tc>
        <w:tc>
          <w:tcPr>
            <w:tcW w:w="2976" w:type="dxa"/>
            <w:noWrap w:val="0"/>
            <w:vAlign w:val="center"/>
          </w:tcPr>
          <w:p w14:paraId="5E41A2A7">
            <w:pPr>
              <w:pStyle w:val="18"/>
              <w:spacing w:before="0" w:beforeAutospacing="0" w:after="0" w:afterAutospacing="0" w:line="380" w:lineRule="exact"/>
              <w:jc w:val="center"/>
              <w:rPr>
                <w:rFonts w:ascii="宋体" w:hAnsi="宋体" w:eastAsia="宋体" w:cs="宋体"/>
                <w:color w:val="000000"/>
                <w:szCs w:val="24"/>
                <w:highlight w:val="none"/>
                <w:u w:val="none" w:color="auto"/>
              </w:rPr>
            </w:pPr>
            <w:r>
              <w:rPr>
                <w:rFonts w:hint="eastAsia" w:ascii="宋体" w:hAnsi="宋体"/>
                <w:color w:val="auto"/>
                <w:sz w:val="21"/>
                <w:szCs w:val="21"/>
                <w:highlight w:val="none"/>
                <w:lang w:val="en-US" w:eastAsia="zh-CN"/>
              </w:rPr>
              <w:t>医疗陪护服务项目</w:t>
            </w:r>
          </w:p>
        </w:tc>
        <w:tc>
          <w:tcPr>
            <w:tcW w:w="1429" w:type="dxa"/>
            <w:noWrap w:val="0"/>
            <w:vAlign w:val="center"/>
          </w:tcPr>
          <w:p w14:paraId="639DFFA3">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w:t>
            </w:r>
          </w:p>
        </w:tc>
        <w:tc>
          <w:tcPr>
            <w:tcW w:w="867" w:type="dxa"/>
            <w:noWrap w:val="0"/>
            <w:vAlign w:val="center"/>
          </w:tcPr>
          <w:p w14:paraId="714A6D99">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w:t>
            </w:r>
          </w:p>
        </w:tc>
        <w:tc>
          <w:tcPr>
            <w:tcW w:w="1259" w:type="dxa"/>
            <w:noWrap w:val="0"/>
            <w:vAlign w:val="center"/>
          </w:tcPr>
          <w:p w14:paraId="1F17A84E">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家</w:t>
            </w:r>
          </w:p>
        </w:tc>
        <w:tc>
          <w:tcPr>
            <w:tcW w:w="1259" w:type="dxa"/>
            <w:noWrap w:val="0"/>
            <w:vAlign w:val="center"/>
          </w:tcPr>
          <w:p w14:paraId="19A6AE42">
            <w:pPr>
              <w:pStyle w:val="18"/>
              <w:spacing w:before="0" w:beforeAutospacing="0" w:after="0" w:afterAutospacing="0" w:line="380" w:lineRule="exact"/>
              <w:jc w:val="center"/>
              <w:rPr>
                <w:rFonts w:hint="eastAsia" w:ascii="宋体" w:hAnsi="宋体" w:eastAsia="宋体" w:cs="宋体"/>
                <w:color w:val="000000"/>
                <w:szCs w:val="24"/>
                <w:highlight w:val="none"/>
                <w:u w:val="none" w:color="auto"/>
                <w:lang w:eastAsia="zh-CN"/>
              </w:rPr>
            </w:pPr>
            <w:r>
              <w:rPr>
                <w:rFonts w:hint="eastAsia" w:ascii="宋体" w:hAnsi="宋体" w:eastAsia="宋体" w:cs="宋体"/>
                <w:color w:val="000000"/>
                <w:szCs w:val="24"/>
                <w:highlight w:val="none"/>
                <w:u w:val="none" w:color="auto"/>
                <w:lang w:val="en-US" w:eastAsia="zh-CN"/>
              </w:rPr>
              <w:t>1</w:t>
            </w:r>
          </w:p>
        </w:tc>
        <w:tc>
          <w:tcPr>
            <w:tcW w:w="1337" w:type="dxa"/>
            <w:noWrap w:val="0"/>
            <w:vAlign w:val="center"/>
          </w:tcPr>
          <w:p w14:paraId="345536DB">
            <w:pPr>
              <w:pStyle w:val="18"/>
              <w:spacing w:before="0" w:beforeAutospacing="0" w:after="0" w:afterAutospacing="0" w:line="380" w:lineRule="exact"/>
              <w:jc w:val="center"/>
              <w:rPr>
                <w:rFonts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护理部</w:t>
            </w:r>
          </w:p>
        </w:tc>
      </w:tr>
    </w:tbl>
    <w:p w14:paraId="2A6F4AD9">
      <w:pPr>
        <w:widowControl/>
        <w:spacing w:line="380" w:lineRule="exact"/>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注：1.采购项目的服务要求请查看采购文件第二部分。</w:t>
      </w:r>
    </w:p>
    <w:p w14:paraId="3E98BB54">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2.合同履行期限：见采购文件第二部分。</w:t>
      </w:r>
    </w:p>
    <w:p w14:paraId="7387ECB7">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3付款方式：见采购文件第二部分。</w:t>
      </w:r>
    </w:p>
    <w:p w14:paraId="00CE619B">
      <w:pPr>
        <w:widowControl/>
        <w:spacing w:line="380" w:lineRule="exact"/>
        <w:ind w:firstLine="480" w:firstLineChars="200"/>
        <w:rPr>
          <w:rFonts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4.本项目是/否接受联合</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：否</w:t>
      </w:r>
    </w:p>
    <w:bookmarkEnd w:id="26"/>
    <w:bookmarkEnd w:id="27"/>
    <w:bookmarkEnd w:id="28"/>
    <w:bookmarkEnd w:id="29"/>
    <w:bookmarkEnd w:id="30"/>
    <w:p w14:paraId="6042DBD4">
      <w:pPr>
        <w:widowControl/>
        <w:spacing w:line="380" w:lineRule="exact"/>
        <w:ind w:firstLine="482" w:firstLineChars="200"/>
        <w:outlineLvl w:val="1"/>
        <w:rPr>
          <w:rFonts w:hint="eastAsia" w:ascii="宋体" w:hAnsi="宋体" w:cs="宋体"/>
          <w:b/>
          <w:bCs/>
          <w:color w:val="000000"/>
          <w:sz w:val="24"/>
          <w:szCs w:val="24"/>
          <w:highlight w:val="none"/>
          <w:u w:val="none" w:color="auto"/>
        </w:rPr>
      </w:pPr>
      <w:bookmarkStart w:id="31" w:name="_Toc10137"/>
      <w:bookmarkStart w:id="32" w:name="_Toc26504"/>
      <w:bookmarkStart w:id="33" w:name="_Toc3434"/>
      <w:bookmarkStart w:id="34" w:name="_Toc22494"/>
      <w:bookmarkStart w:id="35" w:name="_Toc25496"/>
      <w:bookmarkStart w:id="36" w:name="_Toc76373866"/>
      <w:bookmarkStart w:id="37" w:name="_Toc30358"/>
      <w:r>
        <w:rPr>
          <w:rFonts w:hint="eastAsia" w:ascii="宋体" w:hAnsi="宋体" w:cs="宋体"/>
          <w:b/>
          <w:bCs/>
          <w:color w:val="000000"/>
          <w:sz w:val="24"/>
          <w:szCs w:val="24"/>
          <w:highlight w:val="none"/>
          <w:u w:val="none" w:color="auto"/>
        </w:rPr>
        <w:t>二、</w:t>
      </w:r>
      <w:r>
        <w:rPr>
          <w:rFonts w:hint="eastAsia" w:ascii="宋体" w:hAnsi="宋体" w:cs="宋体"/>
          <w:b/>
          <w:bCs/>
          <w:color w:val="000000"/>
          <w:sz w:val="24"/>
          <w:szCs w:val="24"/>
          <w:highlight w:val="none"/>
          <w:u w:val="none" w:color="auto"/>
          <w:lang w:eastAsia="zh-CN"/>
        </w:rPr>
        <w:t>比选</w:t>
      </w:r>
      <w:r>
        <w:rPr>
          <w:rFonts w:hint="eastAsia" w:ascii="宋体" w:hAnsi="宋体" w:cs="宋体"/>
          <w:b/>
          <w:bCs/>
          <w:color w:val="000000"/>
          <w:sz w:val="24"/>
          <w:szCs w:val="24"/>
          <w:highlight w:val="none"/>
          <w:u w:val="none" w:color="auto"/>
        </w:rPr>
        <w:t>人资格要求</w:t>
      </w:r>
      <w:bookmarkEnd w:id="31"/>
      <w:bookmarkEnd w:id="32"/>
      <w:bookmarkEnd w:id="33"/>
      <w:bookmarkEnd w:id="34"/>
      <w:bookmarkEnd w:id="35"/>
      <w:bookmarkEnd w:id="36"/>
      <w:bookmarkEnd w:id="37"/>
    </w:p>
    <w:p w14:paraId="2EC980F8">
      <w:pPr>
        <w:widowControl/>
        <w:spacing w:line="380" w:lineRule="exact"/>
        <w:ind w:firstLine="480" w:firstLineChars="200"/>
        <w:rPr>
          <w:rFonts w:hint="eastAsia" w:ascii="宋体" w:hAnsi="宋体" w:cs="宋体"/>
          <w:bCs/>
          <w:color w:val="000000"/>
          <w:sz w:val="24"/>
          <w:szCs w:val="24"/>
          <w:highlight w:val="none"/>
          <w:u w:val="none" w:color="auto"/>
        </w:rPr>
      </w:pPr>
      <w:r>
        <w:rPr>
          <w:rFonts w:hint="eastAsia" w:ascii="宋体" w:hAnsi="宋体" w:cs="宋体"/>
          <w:bCs/>
          <w:color w:val="000000"/>
          <w:sz w:val="24"/>
          <w:highlight w:val="none"/>
          <w:u w:val="none" w:color="auto"/>
          <w:lang w:eastAsia="zh-CN"/>
        </w:rPr>
        <w:t>比选</w:t>
      </w:r>
      <w:r>
        <w:rPr>
          <w:rFonts w:hint="eastAsia" w:ascii="宋体" w:hAnsi="宋体" w:cs="宋体"/>
          <w:bCs/>
          <w:color w:val="000000"/>
          <w:sz w:val="24"/>
          <w:highlight w:val="none"/>
          <w:u w:val="none" w:color="auto"/>
        </w:rPr>
        <w:t>人</w:t>
      </w:r>
      <w:r>
        <w:rPr>
          <w:rFonts w:hint="eastAsia" w:ascii="宋体" w:hAnsi="宋体" w:cs="宋体"/>
          <w:bCs/>
          <w:color w:val="000000"/>
          <w:sz w:val="24"/>
          <w:szCs w:val="24"/>
          <w:highlight w:val="none"/>
          <w:u w:val="none" w:color="auto"/>
        </w:rPr>
        <w:t>应首先符合政府采购法第二十二条规定的基本资格条件，同时符合根据该项目特殊要求设置的特定资格条件。</w:t>
      </w:r>
    </w:p>
    <w:p w14:paraId="14617BD0">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1.基本资格条件</w:t>
      </w:r>
    </w:p>
    <w:p w14:paraId="0B817340">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（1）具有独立承担民事责任的能力</w:t>
      </w:r>
    </w:p>
    <w:p w14:paraId="4B3CF963">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（2）具有良好的商业信誉和健全的财务会计制度；</w:t>
      </w:r>
    </w:p>
    <w:p w14:paraId="32AB92BD">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（3）具有履行合同所必需的设备和专业技术能力；</w:t>
      </w:r>
    </w:p>
    <w:p w14:paraId="3B1D1FFB">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（4）有依法缴纳税收和社会保障资金的良好记录；</w:t>
      </w:r>
    </w:p>
    <w:p w14:paraId="3067F3A2">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（5）参加政府采购活动前三年内，在经营活动中没有重大违法记录；</w:t>
      </w:r>
    </w:p>
    <w:p w14:paraId="42FE9E29">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（6）法律、行政法规规定的其他条件。</w:t>
      </w:r>
    </w:p>
    <w:p w14:paraId="6B93E4CE">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2.特定资格条件</w:t>
      </w:r>
    </w:p>
    <w:p w14:paraId="69D5FDB7">
      <w:pPr>
        <w:overflowPunct w:val="0"/>
        <w:spacing w:line="380" w:lineRule="exact"/>
        <w:ind w:firstLine="480" w:firstLineChars="200"/>
        <w:outlineLvl w:val="1"/>
        <w:rPr>
          <w:rFonts w:hint="eastAsia" w:ascii="宋体" w:hAnsi="宋体" w:cs="宋体"/>
          <w:bCs/>
          <w:color w:val="000000"/>
          <w:sz w:val="24"/>
          <w:highlight w:val="none"/>
          <w:u w:val="none" w:color="auto"/>
        </w:rPr>
      </w:pPr>
      <w:bookmarkStart w:id="38" w:name="_Toc28625"/>
      <w:bookmarkStart w:id="39" w:name="_Toc24976"/>
      <w:bookmarkStart w:id="40" w:name="_Toc22373"/>
      <w:bookmarkStart w:id="41" w:name="_Toc2529"/>
      <w:r>
        <w:rPr>
          <w:rFonts w:hint="eastAsia" w:ascii="宋体" w:hAnsi="宋体" w:cs="宋体"/>
          <w:bCs/>
          <w:color w:val="000000"/>
          <w:sz w:val="24"/>
          <w:highlight w:val="none"/>
          <w:u w:val="none" w:color="auto"/>
        </w:rPr>
        <w:t>1、</w:t>
      </w:r>
      <w:r>
        <w:rPr>
          <w:rFonts w:hint="eastAsia" w:ascii="宋体" w:hAnsi="宋体" w:cs="宋体"/>
          <w:bCs/>
          <w:color w:val="000000"/>
          <w:sz w:val="24"/>
          <w:highlight w:val="none"/>
          <w:u w:val="none" w:color="auto"/>
          <w:lang w:eastAsia="zh-CN"/>
        </w:rPr>
        <w:t>比选</w:t>
      </w:r>
      <w:r>
        <w:rPr>
          <w:rFonts w:hint="eastAsia" w:ascii="宋体" w:hAnsi="宋体" w:cs="宋体"/>
          <w:bCs/>
          <w:color w:val="000000"/>
          <w:sz w:val="24"/>
          <w:highlight w:val="none"/>
          <w:u w:val="none" w:color="auto"/>
        </w:rPr>
        <w:t>人需是以本项目内容为主营业务的专业陪护公司，经营范围应包含病人陪护、母婴生活护理服务。（提供营业执照复印件，原件备查）</w:t>
      </w:r>
      <w:bookmarkEnd w:id="38"/>
      <w:bookmarkEnd w:id="39"/>
      <w:bookmarkEnd w:id="40"/>
    </w:p>
    <w:p w14:paraId="5A393A6A">
      <w:pPr>
        <w:overflowPunct w:val="0"/>
        <w:spacing w:line="380" w:lineRule="exact"/>
        <w:ind w:firstLine="480" w:firstLineChars="200"/>
        <w:outlineLvl w:val="1"/>
        <w:rPr>
          <w:rFonts w:ascii="宋体" w:hAnsi="宋体" w:cs="宋体"/>
          <w:bCs/>
          <w:color w:val="000000"/>
          <w:sz w:val="24"/>
          <w:highlight w:val="none"/>
          <w:u w:val="none" w:color="auto"/>
        </w:rPr>
      </w:pPr>
      <w:bookmarkStart w:id="42" w:name="_Toc26589"/>
      <w:bookmarkStart w:id="43" w:name="_Toc10171"/>
      <w:bookmarkStart w:id="44" w:name="_Toc1821"/>
      <w:r>
        <w:rPr>
          <w:rFonts w:hint="eastAsia" w:ascii="宋体" w:hAnsi="宋体" w:cs="宋体"/>
          <w:bCs/>
          <w:color w:val="000000"/>
          <w:sz w:val="24"/>
          <w:highlight w:val="none"/>
          <w:u w:val="none" w:color="auto"/>
        </w:rPr>
        <w:t>2、</w:t>
      </w:r>
      <w:bookmarkEnd w:id="42"/>
      <w:bookmarkEnd w:id="43"/>
      <w:bookmarkEnd w:id="44"/>
      <w:r>
        <w:rPr>
          <w:rFonts w:hint="eastAsia" w:ascii="宋体" w:hAnsi="宋体" w:cs="宋体"/>
          <w:bCs/>
          <w:color w:val="000000"/>
          <w:sz w:val="24"/>
          <w:highlight w:val="none"/>
          <w:u w:val="none" w:color="auto"/>
        </w:rPr>
        <w:t>在原服务项目中无损害患者及医院利益纠纷事件（提供承诺函）。</w:t>
      </w:r>
    </w:p>
    <w:p w14:paraId="40E29AA9">
      <w:pPr>
        <w:overflowPunct w:val="0"/>
        <w:spacing w:line="380" w:lineRule="exact"/>
        <w:ind w:firstLine="482" w:firstLineChars="200"/>
        <w:outlineLvl w:val="1"/>
        <w:rPr>
          <w:rFonts w:ascii="宋体" w:hAnsi="宋体" w:cs="宋体"/>
          <w:b/>
          <w:color w:val="000000"/>
          <w:sz w:val="24"/>
          <w:highlight w:val="none"/>
          <w:u w:val="none" w:color="auto"/>
        </w:rPr>
      </w:pPr>
      <w:bookmarkStart w:id="45" w:name="_Toc29219"/>
      <w:r>
        <w:rPr>
          <w:rFonts w:hint="eastAsia" w:ascii="宋体" w:hAnsi="宋体" w:cs="宋体"/>
          <w:b/>
          <w:color w:val="000000"/>
          <w:sz w:val="24"/>
          <w:highlight w:val="none"/>
          <w:u w:val="none" w:color="auto"/>
        </w:rPr>
        <w:t>三、</w:t>
      </w:r>
      <w:r>
        <w:rPr>
          <w:rFonts w:hint="eastAsia" w:ascii="宋体" w:hAnsi="宋体" w:cs="宋体"/>
          <w:b/>
          <w:color w:val="000000"/>
          <w:sz w:val="24"/>
          <w:highlight w:val="none"/>
          <w:u w:val="none" w:color="auto"/>
          <w:lang w:eastAsia="zh-CN"/>
        </w:rPr>
        <w:t>比选</w:t>
      </w:r>
      <w:r>
        <w:rPr>
          <w:rFonts w:hint="eastAsia" w:ascii="宋体" w:hAnsi="宋体" w:cs="宋体"/>
          <w:b/>
          <w:color w:val="000000"/>
          <w:sz w:val="24"/>
          <w:highlight w:val="none"/>
          <w:u w:val="none" w:color="auto"/>
        </w:rPr>
        <w:t>有关规定</w:t>
      </w:r>
      <w:bookmarkEnd w:id="41"/>
      <w:r>
        <w:rPr>
          <w:rFonts w:hint="eastAsia" w:ascii="宋体" w:hAnsi="宋体" w:cs="宋体"/>
          <w:b/>
          <w:color w:val="000000"/>
          <w:sz w:val="24"/>
          <w:highlight w:val="none"/>
          <w:u w:val="none" w:color="auto"/>
        </w:rPr>
        <w:t>及说明</w:t>
      </w:r>
      <w:bookmarkEnd w:id="45"/>
    </w:p>
    <w:p w14:paraId="1B968A18">
      <w:pPr>
        <w:overflowPunct w:val="0"/>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1、单位负责人为同一人或者存在直接控股、管理关系的不同供应商，不得参加同一合同项的采购活动。</w:t>
      </w:r>
    </w:p>
    <w:p w14:paraId="33303B6B">
      <w:pPr>
        <w:overflowPunct w:val="0"/>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2、为采购项目提供整体设计、规范编制或者项目管理、监理、检测等服务的供应商，不得再参加该采购项目的其他采购活动。</w:t>
      </w:r>
    </w:p>
    <w:p w14:paraId="503D6E53">
      <w:pPr>
        <w:overflowPunct w:val="0"/>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3、同一合同项（分包）下为单一品目的货物或服务采购中，同一品牌同一型号产品有多家供应商参加</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，只能按照一家</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人计算。</w:t>
      </w:r>
    </w:p>
    <w:p w14:paraId="2270EBC2">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4、同一合同项（分包）下的货物或服务，制造商参与</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的，不得再委托代理商参与</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w:t>
      </w:r>
    </w:p>
    <w:p w14:paraId="46B0C3DC">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5、</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货物或服务必须符合国家标准、行业标准和专业标准等相关标准。</w:t>
      </w:r>
    </w:p>
    <w:p w14:paraId="30DB1EA4">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6、截至采购活动正式开始前，采购人所作出的一切书面或官网发布的更正、修改、补充说明、答疑等内容，都是采购文件不可分割的组成部分。</w:t>
      </w:r>
    </w:p>
    <w:p w14:paraId="6C0F15EE">
      <w:pPr>
        <w:pStyle w:val="18"/>
        <w:widowControl w:val="0"/>
        <w:spacing w:before="0" w:beforeAutospacing="0" w:after="0" w:afterAutospacing="0" w:line="380" w:lineRule="exact"/>
        <w:ind w:firstLine="480" w:firstLineChars="200"/>
        <w:jc w:val="both"/>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7、报名单位名称必须与</w:t>
      </w:r>
      <w:r>
        <w:rPr>
          <w:rFonts w:hint="eastAsia" w:ascii="宋体" w:hAnsi="宋体" w:eastAsia="宋体" w:cs="宋体"/>
          <w:color w:val="000000"/>
          <w:szCs w:val="24"/>
          <w:highlight w:val="none"/>
          <w:u w:val="none" w:color="auto"/>
          <w:lang w:eastAsia="zh-CN"/>
        </w:rPr>
        <w:t>比选</w:t>
      </w:r>
      <w:r>
        <w:rPr>
          <w:rFonts w:hint="eastAsia" w:ascii="宋体" w:hAnsi="宋体" w:eastAsia="宋体" w:cs="宋体"/>
          <w:color w:val="000000"/>
          <w:szCs w:val="24"/>
          <w:highlight w:val="none"/>
          <w:u w:val="none" w:color="auto"/>
        </w:rPr>
        <w:t>人名称相同，只有按上述资格规定报名后，才具备采购准入资格。</w:t>
      </w:r>
    </w:p>
    <w:p w14:paraId="38364113">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8、</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人如对采购文件有任何实质性疑问，应当以书面形式向采购人提出质疑，且该书面质疑文件必须在公告时间结束前送达</w:t>
      </w:r>
      <w:r>
        <w:rPr>
          <w:rFonts w:hint="eastAsia" w:ascii="宋体" w:hAnsi="宋体" w:cs="宋体"/>
          <w:color w:val="000000"/>
          <w:sz w:val="24"/>
          <w:szCs w:val="24"/>
          <w:highlight w:val="none"/>
          <w:u w:val="none" w:color="auto"/>
          <w:lang w:eastAsia="zh-CN"/>
        </w:rPr>
        <w:t>奉节县人民医院</w:t>
      </w:r>
      <w:r>
        <w:rPr>
          <w:rFonts w:hint="eastAsia" w:ascii="宋体" w:hAnsi="宋体" w:cs="宋体"/>
          <w:color w:val="000000"/>
          <w:sz w:val="24"/>
          <w:szCs w:val="24"/>
          <w:highlight w:val="none"/>
          <w:u w:val="none" w:color="auto"/>
        </w:rPr>
        <w:t>采购管理处办公室，否则，即视为完全放弃对采购文件的质疑权利。</w:t>
      </w:r>
    </w:p>
    <w:p w14:paraId="0B9FD2DD">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9、超过报名截止时间递交的</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文件、不按本采购文件规定制作和密封的</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文件，恕不接收。</w:t>
      </w:r>
    </w:p>
    <w:p w14:paraId="50ECE5F2">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10、采购文件中涉及的“采购人”系指本次组织</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的</w:t>
      </w:r>
      <w:r>
        <w:rPr>
          <w:rFonts w:hint="eastAsia" w:ascii="宋体" w:hAnsi="宋体" w:cs="宋体"/>
          <w:color w:val="000000"/>
          <w:sz w:val="24"/>
          <w:szCs w:val="24"/>
          <w:highlight w:val="none"/>
          <w:u w:val="none" w:color="auto"/>
          <w:lang w:eastAsia="zh-CN"/>
        </w:rPr>
        <w:t>奉节县人民医院</w:t>
      </w:r>
      <w:r>
        <w:rPr>
          <w:rFonts w:hint="eastAsia" w:ascii="宋体" w:hAnsi="宋体" w:cs="宋体"/>
          <w:color w:val="000000"/>
          <w:sz w:val="24"/>
          <w:szCs w:val="24"/>
          <w:highlight w:val="none"/>
          <w:u w:val="none" w:color="auto"/>
        </w:rPr>
        <w:t>；</w:t>
      </w:r>
    </w:p>
    <w:p w14:paraId="5BBD569B">
      <w:pPr>
        <w:spacing w:line="380" w:lineRule="exact"/>
        <w:ind w:firstLine="480" w:firstLineChars="200"/>
        <w:rPr>
          <w:rFonts w:hint="eastAsia"/>
          <w:color w:val="000000"/>
          <w:highlight w:val="none"/>
          <w:u w:val="none" w:color="auto"/>
        </w:rPr>
      </w:pPr>
      <w:r>
        <w:rPr>
          <w:rFonts w:hint="eastAsia" w:ascii="宋体" w:hAnsi="宋体" w:cs="宋体"/>
          <w:color w:val="000000"/>
          <w:sz w:val="24"/>
          <w:szCs w:val="24"/>
          <w:highlight w:val="none"/>
          <w:u w:val="none" w:color="auto"/>
        </w:rPr>
        <w:t>11、“供应商”“</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人”“中选人”是指拟参加</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和向采购人提供货物或相应服务的供应商。</w:t>
      </w:r>
    </w:p>
    <w:p w14:paraId="4325FE2C">
      <w:pPr>
        <w:spacing w:line="380" w:lineRule="exact"/>
        <w:outlineLvl w:val="1"/>
        <w:rPr>
          <w:rFonts w:hint="eastAsia" w:ascii="宋体" w:hAnsi="宋体" w:cs="宋体"/>
          <w:b/>
          <w:bCs/>
          <w:color w:val="000000"/>
          <w:sz w:val="24"/>
          <w:szCs w:val="24"/>
          <w:highlight w:val="none"/>
          <w:u w:val="none" w:color="auto"/>
        </w:rPr>
      </w:pPr>
      <w:bookmarkStart w:id="46" w:name="_Toc10268"/>
      <w:bookmarkStart w:id="47" w:name="_Toc6749"/>
      <w:bookmarkStart w:id="48" w:name="_Toc18799"/>
      <w:bookmarkStart w:id="49" w:name="_Toc654"/>
      <w:bookmarkStart w:id="50" w:name="_Toc28099"/>
      <w:bookmarkStart w:id="51" w:name="_Toc7527"/>
      <w:r>
        <w:rPr>
          <w:rFonts w:hint="eastAsia" w:ascii="宋体" w:hAnsi="宋体" w:cs="宋体"/>
          <w:b/>
          <w:bCs/>
          <w:color w:val="000000"/>
          <w:sz w:val="24"/>
          <w:szCs w:val="24"/>
          <w:highlight w:val="none"/>
          <w:u w:val="none" w:color="auto"/>
        </w:rPr>
        <w:t>四、报名时间、地点、方式</w:t>
      </w:r>
      <w:bookmarkEnd w:id="46"/>
      <w:bookmarkEnd w:id="47"/>
    </w:p>
    <w:p w14:paraId="2250FF98">
      <w:pPr>
        <w:spacing w:line="400" w:lineRule="exact"/>
        <w:ind w:firstLine="480" w:firstLineChars="200"/>
        <w:rPr>
          <w:rFonts w:hint="eastAsia" w:ascii="宋体" w:hAnsi="宋体" w:cs="宋体"/>
          <w:color w:val="auto"/>
          <w:sz w:val="24"/>
          <w:highlight w:val="none"/>
        </w:rPr>
      </w:pPr>
      <w:bookmarkStart w:id="52" w:name="_Toc17102"/>
      <w:bookmarkStart w:id="53" w:name="_Toc768"/>
      <w:bookmarkStart w:id="54" w:name="_Toc14530"/>
      <w:r>
        <w:rPr>
          <w:rFonts w:hint="eastAsia" w:ascii="宋体" w:hAnsi="宋体" w:cs="宋体"/>
          <w:color w:val="auto"/>
          <w:sz w:val="24"/>
          <w:highlight w:val="none"/>
        </w:rPr>
        <w:t>（一）</w:t>
      </w:r>
      <w:r>
        <w:rPr>
          <w:rFonts w:hint="eastAsia" w:ascii="宋体" w:hAnsi="宋体" w:cs="宋体"/>
          <w:color w:val="auto"/>
          <w:kern w:val="0"/>
          <w:sz w:val="24"/>
          <w:szCs w:val="24"/>
          <w:highlight w:val="none"/>
          <w:lang w:val="zh-CN"/>
        </w:rPr>
        <w:t>供应商需通过重庆奉节小额采购管理与交易平台（https://cqfj.gec123.com/）进行注册，登记加入“重庆奉节小额采购管理与交易平台供应商库”。</w:t>
      </w:r>
    </w:p>
    <w:p w14:paraId="520B5B5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）凡有意参加投标的供应商，请在</w:t>
      </w:r>
      <w:r>
        <w:rPr>
          <w:rFonts w:hint="eastAsia" w:ascii="宋体" w:hAnsi="宋体" w:cs="宋体"/>
          <w:color w:val="auto"/>
          <w:sz w:val="24"/>
          <w:highlight w:val="none"/>
          <w:lang w:eastAsia="zh-CN"/>
        </w:rPr>
        <w:t>重庆奉节小额采购管理与交易平台（https://cqfj.gec123.com/）</w:t>
      </w:r>
      <w:r>
        <w:rPr>
          <w:rFonts w:hint="eastAsia" w:ascii="宋体" w:hAnsi="宋体" w:cs="宋体"/>
          <w:color w:val="auto"/>
          <w:sz w:val="24"/>
          <w:highlight w:val="none"/>
        </w:rPr>
        <w:t>下载本项目</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lang w:eastAsia="zh-CN"/>
        </w:rPr>
        <w:t>文件</w:t>
      </w:r>
      <w:r>
        <w:rPr>
          <w:rFonts w:hint="eastAsia" w:ascii="宋体" w:hAnsi="宋体" w:cs="宋体"/>
          <w:color w:val="auto"/>
          <w:sz w:val="24"/>
          <w:highlight w:val="none"/>
        </w:rPr>
        <w:t>以及补遗等竞采前公布的所有项目资料，无论供应商下载与否，均视为已知晓所有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实质性要求内容。</w:t>
      </w:r>
    </w:p>
    <w:p w14:paraId="79719D96">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公告期限：自采购公告发布之日起</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个工作日</w:t>
      </w:r>
    </w:p>
    <w:p w14:paraId="61378469">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val="en-US" w:eastAsia="zh-CN"/>
        </w:rPr>
        <w:t>比选文件</w:t>
      </w:r>
      <w:r>
        <w:rPr>
          <w:rFonts w:hint="eastAsia" w:ascii="宋体" w:hAnsi="宋体" w:cs="宋体"/>
          <w:color w:val="auto"/>
          <w:sz w:val="24"/>
          <w:highlight w:val="none"/>
        </w:rPr>
        <w:t xml:space="preserve">发售期限： </w:t>
      </w:r>
    </w:p>
    <w:p w14:paraId="1B8F00C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比选文件</w:t>
      </w:r>
      <w:r>
        <w:rPr>
          <w:rFonts w:hint="eastAsia" w:ascii="宋体" w:hAnsi="宋体" w:cs="宋体"/>
          <w:color w:val="auto"/>
          <w:sz w:val="24"/>
          <w:highlight w:val="none"/>
        </w:rPr>
        <w:t>发售期：</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p>
    <w:p w14:paraId="7D8100F0">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color w:val="auto"/>
          <w:sz w:val="24"/>
          <w:highlight w:val="none"/>
        </w:rPr>
        <w:t>2.报名方式：</w:t>
      </w:r>
      <w:r>
        <w:rPr>
          <w:rFonts w:hint="eastAsia" w:ascii="宋体" w:hAnsi="宋体" w:eastAsia="宋体" w:cs="宋体"/>
          <w:sz w:val="24"/>
          <w:szCs w:val="24"/>
        </w:rPr>
        <w:t>供应商将《</w:t>
      </w:r>
      <w:r>
        <w:rPr>
          <w:rFonts w:hint="eastAsia" w:ascii="宋体" w:hAnsi="宋体" w:cs="宋体"/>
          <w:color w:val="auto"/>
          <w:sz w:val="24"/>
          <w:highlight w:val="none"/>
          <w:lang w:val="en-US" w:eastAsia="zh-CN"/>
        </w:rPr>
        <w:t>比选</w:t>
      </w:r>
      <w:r>
        <w:rPr>
          <w:rFonts w:hint="eastAsia" w:ascii="宋体" w:hAnsi="宋体" w:cs="宋体"/>
          <w:sz w:val="24"/>
          <w:szCs w:val="24"/>
          <w:lang w:val="en-US" w:eastAsia="zh-CN"/>
        </w:rPr>
        <w:t>文件</w:t>
      </w:r>
      <w:r>
        <w:rPr>
          <w:rFonts w:hint="eastAsia" w:ascii="宋体" w:hAnsi="宋体" w:eastAsia="宋体" w:cs="宋体"/>
          <w:sz w:val="24"/>
          <w:szCs w:val="24"/>
        </w:rPr>
        <w:t>发售登记表》（加盖供应商公章）后</w:t>
      </w:r>
      <w:r>
        <w:rPr>
          <w:rFonts w:hint="eastAsia" w:ascii="宋体" w:hAnsi="宋体" w:cs="宋体"/>
          <w:sz w:val="24"/>
          <w:szCs w:val="24"/>
          <w:lang w:val="en-US" w:eastAsia="zh-CN"/>
        </w:rPr>
        <w:t>发送至电子邮箱772770586@qq.com</w:t>
      </w:r>
      <w:r>
        <w:rPr>
          <w:rFonts w:hint="eastAsia" w:ascii="宋体" w:hAnsi="宋体" w:eastAsia="宋体" w:cs="宋体"/>
          <w:sz w:val="24"/>
          <w:szCs w:val="24"/>
          <w:lang w:val="en-US" w:eastAsia="zh-CN"/>
        </w:rPr>
        <w:t>。</w:t>
      </w:r>
    </w:p>
    <w:p w14:paraId="2DACF46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比选文件</w:t>
      </w:r>
      <w:r>
        <w:rPr>
          <w:rFonts w:hint="eastAsia" w:ascii="宋体" w:hAnsi="宋体" w:cs="宋体"/>
          <w:color w:val="auto"/>
          <w:sz w:val="24"/>
          <w:highlight w:val="none"/>
        </w:rPr>
        <w:t>售价：人民币</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元/包。</w:t>
      </w:r>
    </w:p>
    <w:p w14:paraId="2A583795">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（五）响应文件</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递交：在</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公告规定的报价截止时间前，供应商将签字盖章完毕的响应文件正本PDF扫描件上传。</w:t>
      </w:r>
    </w:p>
    <w:p w14:paraId="78C5D76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（六）响应文件递交截止时间：202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日北京时间10:00</w:t>
      </w:r>
    </w:p>
    <w:p w14:paraId="3BE60A6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开始时间：202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日北京时间10:00</w:t>
      </w:r>
    </w:p>
    <w:p w14:paraId="472FD9CF">
      <w:pPr>
        <w:spacing w:line="380" w:lineRule="exact"/>
        <w:outlineLvl w:val="1"/>
        <w:rPr>
          <w:rFonts w:hint="eastAsia" w:ascii="宋体" w:hAnsi="宋体" w:cs="宋体"/>
          <w:b/>
          <w:color w:val="000000"/>
          <w:sz w:val="24"/>
          <w:highlight w:val="none"/>
          <w:u w:val="none" w:color="auto"/>
        </w:rPr>
      </w:pPr>
      <w:r>
        <w:rPr>
          <w:rFonts w:hint="eastAsia" w:ascii="宋体" w:hAnsi="宋体" w:cs="宋体"/>
          <w:b/>
          <w:color w:val="000000"/>
          <w:sz w:val="24"/>
          <w:highlight w:val="none"/>
          <w:u w:val="none" w:color="auto"/>
        </w:rPr>
        <w:t>五、</w:t>
      </w:r>
      <w:r>
        <w:rPr>
          <w:rFonts w:hint="eastAsia" w:ascii="宋体" w:hAnsi="宋体" w:cs="宋体"/>
          <w:b/>
          <w:color w:val="000000"/>
          <w:sz w:val="24"/>
          <w:highlight w:val="none"/>
          <w:u w:val="none" w:color="auto"/>
          <w:lang w:eastAsia="zh-CN"/>
        </w:rPr>
        <w:t>比选</w:t>
      </w:r>
      <w:r>
        <w:rPr>
          <w:rFonts w:hint="eastAsia" w:ascii="宋体" w:hAnsi="宋体" w:cs="宋体"/>
          <w:b/>
          <w:color w:val="000000"/>
          <w:sz w:val="24"/>
          <w:highlight w:val="none"/>
          <w:u w:val="none" w:color="auto"/>
        </w:rPr>
        <w:t>文件递交与采购</w:t>
      </w:r>
      <w:r>
        <w:rPr>
          <w:rFonts w:hint="eastAsia" w:ascii="宋体" w:hAnsi="宋体" w:cs="宋体"/>
          <w:b/>
          <w:color w:val="000000"/>
          <w:sz w:val="24"/>
          <w:highlight w:val="none"/>
          <w:u w:val="none" w:color="auto"/>
          <w:lang w:val="en-US" w:eastAsia="zh-CN"/>
        </w:rPr>
        <w:t>比选</w:t>
      </w:r>
      <w:r>
        <w:rPr>
          <w:rFonts w:hint="eastAsia" w:ascii="宋体" w:hAnsi="宋体" w:cs="宋体"/>
          <w:b/>
          <w:color w:val="000000"/>
          <w:sz w:val="24"/>
          <w:highlight w:val="none"/>
          <w:u w:val="none" w:color="auto"/>
        </w:rPr>
        <w:t>时间、地点</w:t>
      </w:r>
      <w:bookmarkEnd w:id="52"/>
      <w:bookmarkEnd w:id="53"/>
    </w:p>
    <w:p w14:paraId="224D4D31">
      <w:pPr>
        <w:pStyle w:val="18"/>
        <w:widowControl w:val="0"/>
        <w:spacing w:before="0" w:beforeAutospacing="0" w:after="0" w:afterAutospacing="0" w:line="380" w:lineRule="exact"/>
        <w:ind w:firstLine="480" w:firstLineChars="200"/>
        <w:jc w:val="both"/>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1.</w:t>
      </w:r>
      <w:r>
        <w:rPr>
          <w:rFonts w:hint="eastAsia" w:ascii="宋体" w:hAnsi="宋体" w:eastAsia="宋体" w:cs="宋体"/>
          <w:color w:val="000000"/>
          <w:szCs w:val="24"/>
          <w:highlight w:val="none"/>
          <w:u w:val="none" w:color="auto"/>
          <w:lang w:eastAsia="zh-CN"/>
        </w:rPr>
        <w:t>比选</w:t>
      </w:r>
      <w:r>
        <w:rPr>
          <w:rFonts w:hint="eastAsia" w:ascii="宋体" w:hAnsi="宋体" w:eastAsia="宋体" w:cs="宋体"/>
          <w:color w:val="000000"/>
          <w:szCs w:val="24"/>
          <w:highlight w:val="none"/>
          <w:u w:val="none" w:color="auto"/>
        </w:rPr>
        <w:t>文件递交截止时间：响应供应商采购</w:t>
      </w:r>
      <w:r>
        <w:rPr>
          <w:rFonts w:hint="eastAsia" w:ascii="宋体" w:hAnsi="宋体" w:eastAsia="宋体" w:cs="宋体"/>
          <w:color w:val="000000"/>
          <w:szCs w:val="24"/>
          <w:highlight w:val="none"/>
          <w:u w:val="none" w:color="auto"/>
          <w:lang w:val="en-US" w:eastAsia="zh-CN"/>
        </w:rPr>
        <w:t>比选</w:t>
      </w:r>
      <w:r>
        <w:rPr>
          <w:rFonts w:hint="eastAsia" w:ascii="宋体" w:hAnsi="宋体" w:eastAsia="宋体" w:cs="宋体"/>
          <w:color w:val="000000"/>
          <w:szCs w:val="24"/>
          <w:highlight w:val="none"/>
          <w:u w:val="none" w:color="auto"/>
        </w:rPr>
        <w:t>时同时提交。</w:t>
      </w:r>
    </w:p>
    <w:p w14:paraId="60E24D3C">
      <w:pPr>
        <w:spacing w:line="400" w:lineRule="exact"/>
        <w:ind w:firstLine="480" w:firstLineChars="200"/>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2.采购</w:t>
      </w:r>
      <w:r>
        <w:rPr>
          <w:rFonts w:hint="eastAsia" w:ascii="宋体" w:hAnsi="宋体" w:cs="宋体"/>
          <w:color w:val="auto"/>
          <w:sz w:val="24"/>
          <w:highlight w:val="none"/>
          <w:lang w:val="en-US" w:eastAsia="zh-CN"/>
        </w:rPr>
        <w:t>比选</w:t>
      </w:r>
      <w:r>
        <w:rPr>
          <w:rFonts w:hint="eastAsia" w:ascii="宋体" w:hAnsi="宋体" w:eastAsia="宋体" w:cs="宋体"/>
          <w:color w:val="000000"/>
          <w:kern w:val="0"/>
          <w:sz w:val="24"/>
          <w:szCs w:val="24"/>
          <w:highlight w:val="none"/>
          <w:u w:val="none" w:color="auto"/>
          <w:lang w:val="en-US" w:eastAsia="zh-CN" w:bidi="ar-SA"/>
        </w:rPr>
        <w:t>时间：2025年12月2</w:t>
      </w:r>
      <w:r>
        <w:rPr>
          <w:rFonts w:hint="eastAsia" w:ascii="宋体" w:hAnsi="宋体" w:cs="宋体"/>
          <w:color w:val="000000"/>
          <w:kern w:val="0"/>
          <w:sz w:val="24"/>
          <w:szCs w:val="24"/>
          <w:highlight w:val="none"/>
          <w:u w:val="none" w:color="auto"/>
          <w:lang w:val="en-US" w:eastAsia="zh-CN" w:bidi="ar-SA"/>
        </w:rPr>
        <w:t>6</w:t>
      </w:r>
      <w:r>
        <w:rPr>
          <w:rFonts w:hint="eastAsia" w:ascii="宋体" w:hAnsi="宋体" w:eastAsia="宋体" w:cs="宋体"/>
          <w:color w:val="000000"/>
          <w:kern w:val="0"/>
          <w:sz w:val="24"/>
          <w:szCs w:val="24"/>
          <w:highlight w:val="none"/>
          <w:u w:val="none" w:color="auto"/>
          <w:lang w:val="en-US" w:eastAsia="zh-CN" w:bidi="ar-SA"/>
        </w:rPr>
        <w:t>日北京时间10:00</w:t>
      </w:r>
    </w:p>
    <w:p w14:paraId="133F6496">
      <w:pPr>
        <w:pStyle w:val="18"/>
        <w:widowControl w:val="0"/>
        <w:spacing w:before="0" w:beforeAutospacing="0" w:after="0" w:afterAutospacing="0" w:line="380" w:lineRule="exact"/>
        <w:ind w:firstLine="480" w:firstLineChars="200"/>
        <w:jc w:val="both"/>
        <w:rPr>
          <w:rFonts w:hint="default" w:ascii="宋体" w:hAnsi="宋体" w:eastAsia="宋体" w:cs="宋体"/>
          <w:color w:val="000000"/>
          <w:szCs w:val="24"/>
          <w:highlight w:val="none"/>
          <w:u w:val="none" w:color="auto"/>
          <w:lang w:val="en-US"/>
        </w:rPr>
      </w:pPr>
      <w:r>
        <w:rPr>
          <w:rFonts w:hint="eastAsia" w:ascii="宋体" w:hAnsi="宋体" w:eastAsia="宋体" w:cs="宋体"/>
          <w:color w:val="000000"/>
          <w:szCs w:val="24"/>
          <w:highlight w:val="none"/>
          <w:u w:val="none" w:color="auto"/>
        </w:rPr>
        <w:t>3.采购</w:t>
      </w:r>
      <w:r>
        <w:rPr>
          <w:rFonts w:hint="eastAsia" w:ascii="宋体" w:hAnsi="宋体" w:eastAsia="宋体" w:cs="宋体"/>
          <w:color w:val="000000"/>
          <w:szCs w:val="24"/>
          <w:highlight w:val="none"/>
          <w:u w:val="none" w:color="auto"/>
          <w:lang w:val="en-US" w:eastAsia="zh-CN"/>
        </w:rPr>
        <w:t>比选</w:t>
      </w:r>
      <w:r>
        <w:rPr>
          <w:rFonts w:hint="eastAsia" w:ascii="宋体" w:hAnsi="宋体" w:eastAsia="宋体" w:cs="宋体"/>
          <w:color w:val="000000"/>
          <w:szCs w:val="24"/>
          <w:highlight w:val="none"/>
          <w:u w:val="none" w:color="auto"/>
        </w:rPr>
        <w:t>地点：</w:t>
      </w:r>
      <w:r>
        <w:rPr>
          <w:rFonts w:hint="eastAsia" w:ascii="宋体" w:hAnsi="宋体" w:eastAsia="宋体" w:cs="宋体"/>
          <w:color w:val="000000"/>
          <w:kern w:val="0"/>
          <w:sz w:val="24"/>
          <w:szCs w:val="24"/>
          <w:highlight w:val="none"/>
          <w:u w:val="none" w:color="auto"/>
          <w:lang w:val="en-US" w:eastAsia="zh-CN" w:bidi="ar-SA"/>
        </w:rPr>
        <w:t>奉节县人民医院会议室</w:t>
      </w:r>
    </w:p>
    <w:p w14:paraId="6435BCF0">
      <w:pPr>
        <w:spacing w:line="380" w:lineRule="exact"/>
        <w:outlineLvl w:val="1"/>
        <w:rPr>
          <w:rFonts w:hint="eastAsia" w:ascii="宋体" w:hAnsi="宋体" w:cs="宋体"/>
          <w:b/>
          <w:color w:val="000000"/>
          <w:sz w:val="24"/>
          <w:highlight w:val="none"/>
          <w:u w:val="none" w:color="auto"/>
        </w:rPr>
      </w:pPr>
      <w:bookmarkStart w:id="55" w:name="_Toc2133"/>
      <w:r>
        <w:rPr>
          <w:rFonts w:hint="eastAsia" w:ascii="宋体" w:hAnsi="宋体" w:cs="宋体"/>
          <w:b/>
          <w:color w:val="000000"/>
          <w:sz w:val="24"/>
          <w:highlight w:val="none"/>
          <w:u w:val="none" w:color="auto"/>
        </w:rPr>
        <w:t>六、联系方式</w:t>
      </w:r>
      <w:bookmarkEnd w:id="54"/>
      <w:bookmarkEnd w:id="55"/>
    </w:p>
    <w:bookmarkEnd w:id="48"/>
    <w:bookmarkEnd w:id="49"/>
    <w:bookmarkEnd w:id="50"/>
    <w:bookmarkEnd w:id="51"/>
    <w:p w14:paraId="762F213A">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（一）采购人：奉节县人民医院 </w:t>
      </w:r>
    </w:p>
    <w:p w14:paraId="7F79E016">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联系人：易老师</w:t>
      </w:r>
      <w:r>
        <w:rPr>
          <w:rFonts w:hint="eastAsia" w:ascii="宋体" w:hAnsi="宋体" w:cs="宋体"/>
          <w:color w:val="auto"/>
          <w:sz w:val="24"/>
          <w:highlight w:val="none"/>
          <w:lang w:val="en-US" w:eastAsia="zh-CN"/>
        </w:rPr>
        <w:t xml:space="preserve">     </w:t>
      </w:r>
    </w:p>
    <w:p w14:paraId="6D2C2DF4">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电  话：023-56805001</w:t>
      </w:r>
    </w:p>
    <w:p w14:paraId="22ECD7A5">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地  址：奉节县鱼复社区康宁街2号</w:t>
      </w:r>
    </w:p>
    <w:p w14:paraId="65603843">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（二）采购代理机构：</w:t>
      </w:r>
      <w:r>
        <w:rPr>
          <w:rFonts w:hint="eastAsia" w:ascii="宋体" w:hAnsi="宋体" w:cs="宋体"/>
          <w:color w:val="auto"/>
          <w:sz w:val="24"/>
          <w:highlight w:val="none"/>
          <w:lang w:val="en-US" w:eastAsia="zh-CN"/>
        </w:rPr>
        <w:t>重庆九贡建设工程咨询有限公司</w:t>
      </w:r>
    </w:p>
    <w:p w14:paraId="1C33AA45">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lang w:val="en-US" w:eastAsia="zh-CN"/>
        </w:rPr>
        <w:t>毛老师</w:t>
      </w:r>
    </w:p>
    <w:p w14:paraId="0E44D35B">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电  话：</w:t>
      </w:r>
      <w:r>
        <w:rPr>
          <w:rFonts w:hint="eastAsia" w:ascii="宋体" w:hAnsi="宋体" w:cs="宋体"/>
          <w:color w:val="auto"/>
          <w:sz w:val="24"/>
          <w:highlight w:val="none"/>
          <w:lang w:val="en-US" w:eastAsia="zh-CN"/>
        </w:rPr>
        <w:t>15084467175</w:t>
      </w:r>
    </w:p>
    <w:p w14:paraId="16F36165">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地  址：重庆市奉节县永乐镇白龙村3组76号</w:t>
      </w:r>
    </w:p>
    <w:p w14:paraId="642F5111"/>
    <w:p w14:paraId="4FAEE7B8"/>
    <w:p w14:paraId="089CFC49">
      <w:pPr>
        <w:pStyle w:val="10"/>
      </w:pPr>
    </w:p>
    <w:p w14:paraId="68442022">
      <w:pPr>
        <w:pStyle w:val="11"/>
      </w:pPr>
    </w:p>
    <w:p w14:paraId="22A6FF15"/>
    <w:p w14:paraId="3496852B">
      <w:pPr>
        <w:pStyle w:val="10"/>
      </w:pPr>
    </w:p>
    <w:p w14:paraId="7D95CE1D">
      <w:pPr>
        <w:pStyle w:val="11"/>
      </w:pPr>
    </w:p>
    <w:p w14:paraId="30177B7F">
      <w:r>
        <w:br w:type="page"/>
      </w:r>
    </w:p>
    <w:p w14:paraId="1C4E3E79">
      <w:pPr>
        <w:numPr>
          <w:ilvl w:val="0"/>
          <w:numId w:val="1"/>
        </w:numPr>
        <w:spacing w:line="360" w:lineRule="exact"/>
        <w:jc w:val="center"/>
        <w:outlineLvl w:val="0"/>
        <w:rPr>
          <w:rFonts w:hint="eastAsia"/>
        </w:rPr>
      </w:pPr>
      <w:bookmarkStart w:id="56" w:name="_Toc21660"/>
      <w:bookmarkStart w:id="57" w:name="_Toc20138"/>
      <w:r>
        <w:rPr>
          <w:rFonts w:hint="eastAsia" w:ascii="宋体" w:hAnsi="宋体" w:cs="宋体"/>
          <w:b/>
          <w:color w:val="000000"/>
          <w:sz w:val="36"/>
          <w:szCs w:val="48"/>
          <w:highlight w:val="none"/>
          <w:u w:val="none" w:color="auto"/>
        </w:rPr>
        <w:t>服务技术（质量）需求</w:t>
      </w:r>
      <w:bookmarkEnd w:id="56"/>
      <w:bookmarkEnd w:id="57"/>
      <w:bookmarkStart w:id="58" w:name="_Toc20464"/>
    </w:p>
    <w:p w14:paraId="05FE7652">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rPr>
        <w:t>※</w:t>
      </w:r>
      <w:r>
        <w:rPr>
          <w:rFonts w:hint="eastAsia" w:ascii="宋体" w:hAnsi="宋体" w:eastAsia="宋体" w:cs="宋体"/>
          <w:sz w:val="24"/>
          <w:szCs w:val="24"/>
        </w:rPr>
        <w:t>”标注的技术需求为符合性审查中的实质性要求，若不满足按无效投标处理。</w:t>
      </w:r>
    </w:p>
    <w:p w14:paraId="0084903F">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2"/>
          <w:sz w:val="24"/>
          <w:szCs w:val="24"/>
          <w:lang w:val="en-US" w:eastAsia="zh-CN"/>
        </w:rPr>
        <w:t>▲</w:t>
      </w:r>
      <w:r>
        <w:rPr>
          <w:rFonts w:hint="eastAsia" w:ascii="宋体" w:hAnsi="宋体" w:eastAsia="宋体" w:cs="宋体"/>
          <w:sz w:val="24"/>
          <w:szCs w:val="24"/>
        </w:rPr>
        <w:t>”标注的技术需求为重要技术需求，若不满足将按照评标因素中相关规定处理。</w:t>
      </w:r>
    </w:p>
    <w:p w14:paraId="37350722">
      <w:pPr>
        <w:numPr>
          <w:ilvl w:val="0"/>
          <w:numId w:val="2"/>
        </w:numPr>
        <w:spacing w:line="360" w:lineRule="exact"/>
        <w:jc w:val="both"/>
        <w:outlineLvl w:val="0"/>
        <w:rPr>
          <w:rFonts w:hint="eastAsia" w:ascii="宋体" w:hAnsi="宋体" w:eastAsia="宋体" w:cs="宋体"/>
          <w:color w:val="auto"/>
          <w:sz w:val="24"/>
          <w:szCs w:val="24"/>
          <w:highlight w:val="none"/>
        </w:rPr>
      </w:pPr>
      <w:r>
        <w:rPr>
          <w:rFonts w:hint="eastAsia" w:ascii="宋体" w:hAnsi="宋体" w:cs="宋体"/>
          <w:b/>
          <w:bCs/>
          <w:sz w:val="24"/>
          <w:szCs w:val="24"/>
          <w:highlight w:val="none"/>
        </w:rPr>
        <w:t>项目基本概况介绍</w:t>
      </w:r>
      <w:bookmarkEnd w:id="58"/>
      <w:r>
        <w:rPr>
          <w:rFonts w:hint="eastAsia" w:ascii="宋体" w:hAnsi="宋体" w:eastAsia="宋体" w:cs="宋体"/>
          <w:color w:val="auto"/>
          <w:sz w:val="24"/>
          <w:szCs w:val="24"/>
          <w:highlight w:val="none"/>
        </w:rPr>
        <w:tab/>
      </w:r>
    </w:p>
    <w:p w14:paraId="26287AC3">
      <w:pPr>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供应商为我院住院患者提供生活照护、陪伴等非医疗性陪护服务</w:t>
      </w:r>
      <w:r>
        <w:rPr>
          <w:rFonts w:hint="eastAsia" w:ascii="宋体" w:hAnsi="宋体" w:cs="宋体"/>
          <w:sz w:val="24"/>
          <w:szCs w:val="24"/>
          <w:highlight w:val="none"/>
          <w:lang w:val="en-US" w:eastAsia="zh-CN"/>
        </w:rPr>
        <w:t>。</w:t>
      </w:r>
    </w:p>
    <w:p w14:paraId="07906C12">
      <w:pPr>
        <w:spacing w:line="360" w:lineRule="auto"/>
        <w:rPr>
          <w:rFonts w:hint="eastAsia" w:ascii="宋体" w:hAnsi="宋体" w:cs="宋体"/>
          <w:sz w:val="24"/>
          <w:szCs w:val="24"/>
          <w:highlight w:val="none"/>
        </w:rPr>
      </w:pPr>
      <w:r>
        <w:rPr>
          <w:rFonts w:hint="eastAsia" w:ascii="宋体" w:hAnsi="宋体" w:cs="宋体"/>
          <w:b/>
          <w:bCs/>
          <w:sz w:val="24"/>
          <w:szCs w:val="24"/>
          <w:highlight w:val="none"/>
        </w:rPr>
        <w:t>二、服务内容</w:t>
      </w:r>
    </w:p>
    <w:p w14:paraId="0C9BBAA1">
      <w:pPr>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ascii="宋体" w:hAnsi="宋体" w:cs="宋体"/>
          <w:sz w:val="24"/>
          <w:szCs w:val="24"/>
          <w:highlight w:val="none"/>
          <w:lang w:val="en-US" w:eastAsia="zh-CN"/>
        </w:rPr>
        <w:t>院区</w:t>
      </w:r>
      <w:r>
        <w:rPr>
          <w:rFonts w:hint="eastAsia" w:ascii="宋体" w:hAnsi="宋体" w:cs="宋体"/>
          <w:color w:val="000000"/>
          <w:sz w:val="24"/>
          <w:szCs w:val="18"/>
          <w:highlight w:val="none"/>
          <w:u w:val="none" w:color="auto"/>
          <w:lang w:val="en-US" w:eastAsia="zh-CN"/>
        </w:rPr>
        <w:t>医疗</w:t>
      </w:r>
      <w:r>
        <w:rPr>
          <w:rFonts w:hint="eastAsia" w:ascii="宋体" w:hAnsi="宋体" w:cs="宋体"/>
          <w:color w:val="000000"/>
          <w:sz w:val="24"/>
          <w:szCs w:val="18"/>
          <w:highlight w:val="none"/>
          <w:u w:val="none" w:color="auto"/>
        </w:rPr>
        <w:t>陪护服务</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成交供应商需向医院提供足量的陪护人员，</w:t>
      </w:r>
      <w:r>
        <w:rPr>
          <w:rFonts w:hint="eastAsia" w:ascii="宋体" w:hAnsi="宋体" w:eastAsia="宋体" w:cs="宋体"/>
          <w:sz w:val="24"/>
          <w:szCs w:val="24"/>
          <w:highlight w:val="none"/>
          <w:lang w:val="en-US" w:eastAsia="zh-CN"/>
        </w:rPr>
        <w:t>成交供应商自负盈亏，在患者自愿的情况下，为患者提供陪护服务，患者向成交供应商支付费用。</w:t>
      </w:r>
    </w:p>
    <w:p w14:paraId="2F7D94CE">
      <w:pPr>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rPr>
        <w:t>▲</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）供应商应保障医疗护理员及时到位，根据我院的床位编制及工作量以“一对一”或“小组模式”入驻科室服务，护理员人数具体以满足患者需求、质量和安全为准；入驻形式须征得科室护士长同意。</w:t>
      </w:r>
    </w:p>
    <w:p w14:paraId="10476CEF">
      <w:pPr>
        <w:pStyle w:val="24"/>
        <w:adjustRightInd w:val="0"/>
        <w:snapToGrid w:val="0"/>
        <w:spacing w:line="360" w:lineRule="auto"/>
        <w:ind w:firstLine="482"/>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rPr>
        <w:t>▲</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）服务收费价格：一对一不超过</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0元/天，</w:t>
      </w:r>
      <w:r>
        <w:rPr>
          <w:rFonts w:hint="eastAsia" w:ascii="宋体" w:hAnsi="宋体" w:cs="宋体"/>
          <w:color w:val="0000FF"/>
          <w:sz w:val="24"/>
          <w:szCs w:val="24"/>
          <w:highlight w:val="none"/>
          <w:lang w:val="en-US" w:eastAsia="zh-CN"/>
        </w:rPr>
        <w:t>一对二</w:t>
      </w:r>
      <w:r>
        <w:rPr>
          <w:rFonts w:hint="eastAsia" w:ascii="宋体" w:hAnsi="宋体" w:eastAsia="宋体" w:cs="宋体"/>
          <w:color w:val="0000FF"/>
          <w:sz w:val="24"/>
          <w:szCs w:val="24"/>
          <w:highlight w:val="none"/>
          <w:lang w:val="en-US" w:eastAsia="zh-CN"/>
        </w:rPr>
        <w:t>不超过1</w:t>
      </w:r>
      <w:r>
        <w:rPr>
          <w:rFonts w:hint="eastAsia" w:ascii="宋体" w:hAnsi="宋体" w:cs="宋体"/>
          <w:color w:val="0000FF"/>
          <w:sz w:val="24"/>
          <w:szCs w:val="24"/>
          <w:highlight w:val="none"/>
          <w:lang w:val="en-US" w:eastAsia="zh-CN"/>
        </w:rPr>
        <w:t>5</w:t>
      </w:r>
      <w:r>
        <w:rPr>
          <w:rFonts w:hint="eastAsia" w:ascii="宋体" w:hAnsi="宋体" w:eastAsia="宋体" w:cs="宋体"/>
          <w:color w:val="0000FF"/>
          <w:sz w:val="24"/>
          <w:szCs w:val="24"/>
          <w:highlight w:val="none"/>
          <w:lang w:val="en-US" w:eastAsia="zh-CN"/>
        </w:rPr>
        <w:t>0元/天</w:t>
      </w:r>
      <w:r>
        <w:rPr>
          <w:rFonts w:hint="eastAsia" w:ascii="宋体" w:hAnsi="宋体" w:cs="宋体"/>
          <w:color w:val="0000FF"/>
          <w:sz w:val="24"/>
          <w:szCs w:val="24"/>
          <w:highlight w:val="none"/>
          <w:lang w:val="en-US" w:eastAsia="zh-CN"/>
        </w:rPr>
        <w:t>，</w:t>
      </w:r>
      <w:r>
        <w:rPr>
          <w:rFonts w:hint="eastAsia" w:ascii="宋体" w:hAnsi="宋体" w:eastAsia="宋体" w:cs="宋体"/>
          <w:color w:val="0000FF"/>
          <w:sz w:val="24"/>
          <w:szCs w:val="24"/>
          <w:highlight w:val="none"/>
          <w:lang w:val="en-US" w:eastAsia="zh-CN"/>
        </w:rPr>
        <w:t>一对多不超过1</w:t>
      </w:r>
      <w:r>
        <w:rPr>
          <w:rFonts w:hint="eastAsia" w:ascii="宋体" w:hAnsi="宋体" w:cs="宋体"/>
          <w:color w:val="0000FF"/>
          <w:sz w:val="24"/>
          <w:szCs w:val="24"/>
          <w:highlight w:val="none"/>
          <w:lang w:val="en-US" w:eastAsia="zh-CN"/>
        </w:rPr>
        <w:t>1</w:t>
      </w:r>
      <w:r>
        <w:rPr>
          <w:rFonts w:hint="eastAsia" w:ascii="宋体" w:hAnsi="宋体" w:eastAsia="宋体" w:cs="宋体"/>
          <w:color w:val="0000FF"/>
          <w:sz w:val="24"/>
          <w:szCs w:val="24"/>
          <w:highlight w:val="none"/>
          <w:lang w:val="en-US" w:eastAsia="zh-CN"/>
        </w:rPr>
        <w:t>0元/天。</w:t>
      </w:r>
      <w:r>
        <w:rPr>
          <w:rFonts w:hint="eastAsia" w:ascii="宋体" w:hAnsi="宋体" w:eastAsia="宋体" w:cs="宋体"/>
          <w:sz w:val="24"/>
          <w:szCs w:val="24"/>
          <w:highlight w:val="none"/>
          <w:lang w:val="en-US" w:eastAsia="zh-CN"/>
        </w:rPr>
        <w:t>（收取陪护费用是属于成交供应商与患者的市场行为，跟采购人无关。）</w:t>
      </w:r>
    </w:p>
    <w:p w14:paraId="66BB88F1">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w:t>
      </w:r>
      <w:r>
        <w:rPr>
          <w:rFonts w:hint="eastAsia" w:ascii="宋体" w:hAnsi="宋体" w:cs="宋体"/>
          <w:sz w:val="24"/>
          <w:szCs w:val="24"/>
          <w:highlight w:val="none"/>
          <w:lang w:val="en-US" w:eastAsia="zh-CN"/>
        </w:rPr>
        <w:t>（四）医疗</w:t>
      </w:r>
      <w:r>
        <w:rPr>
          <w:rFonts w:hint="eastAsia" w:ascii="宋体" w:hAnsi="宋体" w:cs="宋体"/>
          <w:color w:val="C00000"/>
          <w:sz w:val="24"/>
          <w:szCs w:val="24"/>
          <w:highlight w:val="none"/>
          <w:lang w:val="en-US" w:eastAsia="zh-CN"/>
        </w:rPr>
        <w:t>保洁</w:t>
      </w:r>
      <w:r>
        <w:rPr>
          <w:rFonts w:hint="eastAsia" w:ascii="宋体" w:hAnsi="宋体" w:cs="宋体"/>
          <w:sz w:val="24"/>
          <w:szCs w:val="24"/>
          <w:highlight w:val="none"/>
          <w:lang w:val="en-US" w:eastAsia="zh-CN"/>
        </w:rPr>
        <w:t>人员：为医院提供不低于6名医疗</w:t>
      </w:r>
      <w:r>
        <w:rPr>
          <w:rFonts w:hint="eastAsia" w:ascii="宋体" w:hAnsi="宋体" w:cs="宋体"/>
          <w:color w:val="C00000"/>
          <w:sz w:val="24"/>
          <w:szCs w:val="24"/>
          <w:highlight w:val="none"/>
          <w:lang w:val="en-US" w:eastAsia="zh-CN"/>
        </w:rPr>
        <w:t>保洁</w:t>
      </w:r>
      <w:r>
        <w:rPr>
          <w:rFonts w:hint="eastAsia" w:ascii="宋体" w:hAnsi="宋体" w:cs="宋体"/>
          <w:sz w:val="24"/>
          <w:szCs w:val="24"/>
          <w:highlight w:val="none"/>
          <w:lang w:val="en-US" w:eastAsia="zh-CN"/>
        </w:rPr>
        <w:t>人员，均属非卫生技术岗位。</w:t>
      </w:r>
      <w:r>
        <w:rPr>
          <w:rFonts w:hint="eastAsia" w:asciiTheme="minorEastAsia" w:hAnsiTheme="minorEastAsia" w:eastAsiaTheme="minorEastAsia" w:cstheme="minorEastAsia"/>
          <w:b/>
          <w:color w:val="auto"/>
          <w:sz w:val="24"/>
          <w:szCs w:val="28"/>
        </w:rPr>
        <w:t>（此项内容包含在报价中，医院不再额外付费，请供应商自行考虑）。</w:t>
      </w:r>
    </w:p>
    <w:p w14:paraId="7226F6B2">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三、</w:t>
      </w:r>
      <w:r>
        <w:rPr>
          <w:rFonts w:hint="eastAsia" w:ascii="宋体" w:hAnsi="宋体" w:cs="宋体"/>
          <w:b/>
          <w:bCs/>
          <w:sz w:val="24"/>
          <w:szCs w:val="24"/>
          <w:highlight w:val="none"/>
        </w:rPr>
        <w:t>服务需求</w:t>
      </w:r>
    </w:p>
    <w:p w14:paraId="65EBD2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（一）陪护基本服务内容</w:t>
      </w:r>
    </w:p>
    <w:p w14:paraId="4F82C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1.工作职责：陪护人员在医务人员的指导下，为服务对象提供住院陪伴、生活照护、心理支持、保洁活动等。</w:t>
      </w:r>
    </w:p>
    <w:p w14:paraId="584C04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2.管理要求：严格服从院方及科室管理，遵守医院、科室相关规章制度，严格按操作规范履行工作职责。</w:t>
      </w:r>
    </w:p>
    <w:p w14:paraId="56584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陪护人员应当遵守下列规定：</w:t>
      </w:r>
    </w:p>
    <w:p w14:paraId="346082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（1）陪护人员应统一着装；</w:t>
      </w:r>
    </w:p>
    <w:p w14:paraId="250BC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（2）遵守医院及病区相关制度；</w:t>
      </w:r>
    </w:p>
    <w:p w14:paraId="0BC0D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（3）接受医院及病区负责人的指导和管理；</w:t>
      </w:r>
    </w:p>
    <w:p w14:paraId="46553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（4）发现患者有异常情况，及时向医务人员报告；</w:t>
      </w:r>
    </w:p>
    <w:p w14:paraId="41A12F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（5）对患者的个人资料及隐私等信息予以保密；</w:t>
      </w:r>
    </w:p>
    <w:p w14:paraId="3A189F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（6）严格遵守医疗机构工作人员廉洁从业九项准则。</w:t>
      </w:r>
    </w:p>
    <w:p w14:paraId="58784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陪护人员不得有下列行为：</w:t>
      </w:r>
    </w:p>
    <w:p w14:paraId="6F3EFC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（1）连接输液管或者拔出输液管路、调节输液速度、更换引流管等；</w:t>
      </w:r>
    </w:p>
    <w:p w14:paraId="351BFB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（2）操作监护仪等急救、诊疗设施设备；</w:t>
      </w:r>
    </w:p>
    <w:p w14:paraId="010709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（3）调节氧气开关，更换或者加减湿化瓶用水，为患者做吸痰、雾化吸入等；</w:t>
      </w:r>
    </w:p>
    <w:p w14:paraId="07957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（4）为鼻饲患者灌注食物或者药物；</w:t>
      </w:r>
    </w:p>
    <w:p w14:paraId="6F629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（5）未经医务人员指导，做热敷、冷敷；</w:t>
      </w:r>
    </w:p>
    <w:p w14:paraId="4C4DAE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（6）未经医务人员同意，为危重、术后或者病情不稳定患者更换床单、改变体位或者下床活动等；</w:t>
      </w:r>
    </w:p>
    <w:p w14:paraId="57AAE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（7）未经医务人员同意，为禁食禁饮患者喂食、喂水；</w:t>
      </w:r>
    </w:p>
    <w:p w14:paraId="250C4D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（8）擅自翻阅病历或者其他医疗文书；</w:t>
      </w:r>
    </w:p>
    <w:p w14:paraId="5CC40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（9）为患者解释病情；</w:t>
      </w:r>
    </w:p>
    <w:p w14:paraId="6DD64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（10）在医院内从事推销商品等活动；</w:t>
      </w:r>
    </w:p>
    <w:p w14:paraId="4205D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（11）开展其他医疗卫生技术活动。</w:t>
      </w:r>
    </w:p>
    <w:p w14:paraId="1355B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3.具体服务：</w:t>
      </w:r>
    </w:p>
    <w:p w14:paraId="4FD16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（1）根据病人病情和医嘱、患者及其家属的合理要求，负责病人的生活护理。保持患者病床、病房及病区卫生环境的整洁。            </w:t>
      </w:r>
    </w:p>
    <w:p w14:paraId="73CA1C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（2）采取小组模式的科室，需协助临床科室落实一些辅助性工作，如更换床单、协助护士落实晨晚间护理、送标本等。</w:t>
      </w:r>
    </w:p>
    <w:p w14:paraId="2194D5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（3）定期参加医院及科室安排的各类培训和考核。</w:t>
      </w:r>
    </w:p>
    <w:p w14:paraId="063D0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（4）关注患者的情绪及心理状态，协助医护人员提供必要的心理支持和安慰，与患者建立良好的沟通关系。</w:t>
      </w:r>
    </w:p>
    <w:p w14:paraId="7B162B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（5）协助患者定时翻身、拍背、按摩、功能锻炼，防止压力性损伤等事件发生。</w:t>
      </w:r>
    </w:p>
    <w:p w14:paraId="45AFC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（6）协助、配合护士记录出入量，参加床旁晨交班，向医务人员反馈患者进食、睡眠、大小便等情况。</w:t>
      </w:r>
    </w:p>
    <w:p w14:paraId="172BE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（7）提醒患者及家属住院期间防火、防盗，妥善保管贵重物品。</w:t>
      </w:r>
    </w:p>
    <w:p w14:paraId="250CA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（8）保护患者隐私，严禁透露亡故患者相关信息。</w:t>
      </w:r>
    </w:p>
    <w:p w14:paraId="764841E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0" w:leftChars="0" w:firstLine="480" w:firstLineChars="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医疗辅助岗位服务内容</w:t>
      </w:r>
    </w:p>
    <w:p w14:paraId="274FD7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医疗辅助</w:t>
      </w:r>
      <w:r>
        <w:rPr>
          <w:rFonts w:hint="default" w:asciiTheme="minorEastAsia" w:hAnsiTheme="minorEastAsia" w:eastAsiaTheme="minorEastAsia" w:cstheme="minorEastAsia"/>
          <w:b w:val="0"/>
          <w:bCs w:val="0"/>
          <w:sz w:val="24"/>
          <w:szCs w:val="24"/>
          <w:highlight w:val="none"/>
          <w:lang w:val="en-US" w:eastAsia="zh-CN"/>
        </w:rPr>
        <w:t>岗位工作性质均为非卫生技术性，人员不得从事任何形式的医疗诊断、技术操作或结果解读。</w:t>
      </w:r>
    </w:p>
    <w:p w14:paraId="2DD0AA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服务管理要求</w:t>
      </w:r>
    </w:p>
    <w:p w14:paraId="4FF2F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人员管理</w:t>
      </w:r>
    </w:p>
    <w:p w14:paraId="7E8E3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①</w:t>
      </w:r>
      <w:r>
        <w:rPr>
          <w:rFonts w:hint="default" w:asciiTheme="minorEastAsia" w:hAnsiTheme="minorEastAsia" w:eastAsiaTheme="minorEastAsia" w:cstheme="minorEastAsia"/>
          <w:b w:val="0"/>
          <w:bCs w:val="0"/>
          <w:sz w:val="24"/>
          <w:szCs w:val="24"/>
          <w:highlight w:val="none"/>
          <w:lang w:val="en-US" w:eastAsia="zh-CN"/>
        </w:rPr>
        <w:t xml:space="preserve"> 供应商负责所派人员的劳动关系、薪酬福利及全部人事管理，并确保其具备健康证明及无犯罪记录。</w:t>
      </w:r>
    </w:p>
    <w:p w14:paraId="09B3A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②</w:t>
      </w:r>
      <w:r>
        <w:rPr>
          <w:rFonts w:hint="default" w:asciiTheme="minorEastAsia" w:hAnsiTheme="minorEastAsia" w:eastAsiaTheme="minorEastAsia" w:cstheme="minorEastAsia"/>
          <w:b w:val="0"/>
          <w:bCs w:val="0"/>
          <w:sz w:val="24"/>
          <w:szCs w:val="24"/>
          <w:highlight w:val="none"/>
          <w:lang w:val="en-US" w:eastAsia="zh-CN"/>
        </w:rPr>
        <w:t xml:space="preserve"> 人员须符合仪容仪表规范，统一着装、佩戴工牌，展现专业服务形象。</w:t>
      </w:r>
    </w:p>
    <w:p w14:paraId="01365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default" w:asciiTheme="minorEastAsia" w:hAnsiTheme="minorEastAsia" w:eastAsiaTheme="minorEastAsia" w:cstheme="minorEastAsia"/>
          <w:b w:val="0"/>
          <w:bCs w:val="0"/>
          <w:sz w:val="24"/>
          <w:szCs w:val="24"/>
          <w:highlight w:val="none"/>
          <w:lang w:val="en-US" w:eastAsia="zh-CN"/>
        </w:rPr>
        <w:t>培训与考核</w:t>
      </w:r>
    </w:p>
    <w:p w14:paraId="4BBD29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①</w:t>
      </w:r>
      <w:r>
        <w:rPr>
          <w:rFonts w:hint="default" w:asciiTheme="minorEastAsia" w:hAnsiTheme="minorEastAsia" w:eastAsiaTheme="minorEastAsia" w:cstheme="minorEastAsia"/>
          <w:b w:val="0"/>
          <w:bCs w:val="0"/>
          <w:sz w:val="24"/>
          <w:szCs w:val="24"/>
          <w:highlight w:val="none"/>
          <w:lang w:val="en-US" w:eastAsia="zh-CN"/>
        </w:rPr>
        <w:t>供应商须提供全面的岗前培训（涵盖规章制度、服务礼仪、感染防控及岗位技能），并制定年度在岗培训计划。</w:t>
      </w:r>
    </w:p>
    <w:p w14:paraId="60FF1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②</w:t>
      </w:r>
      <w:r>
        <w:rPr>
          <w:rFonts w:hint="default" w:asciiTheme="minorEastAsia" w:hAnsiTheme="minorEastAsia" w:eastAsiaTheme="minorEastAsia" w:cstheme="minorEastAsia"/>
          <w:b w:val="0"/>
          <w:bCs w:val="0"/>
          <w:sz w:val="24"/>
          <w:szCs w:val="24"/>
          <w:highlight w:val="none"/>
          <w:lang w:val="en-US" w:eastAsia="zh-CN"/>
        </w:rPr>
        <w:t xml:space="preserve"> 建立内部服务质量监督与考核机制，医院有权参与共同考评，对不合格人员可要求限期更换。</w:t>
      </w:r>
    </w:p>
    <w:p w14:paraId="4E518F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default" w:asciiTheme="minorEastAsia" w:hAnsiTheme="minorEastAsia" w:eastAsiaTheme="minorEastAsia" w:cstheme="minorEastAsia"/>
          <w:b w:val="0"/>
          <w:bCs w:val="0"/>
          <w:sz w:val="24"/>
          <w:szCs w:val="24"/>
          <w:highlight w:val="none"/>
          <w:lang w:val="en-US" w:eastAsia="zh-CN"/>
        </w:rPr>
        <w:t>运营保障</w:t>
      </w:r>
    </w:p>
    <w:p w14:paraId="7C09E3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供应商须安排一名现场负责人，负责日常协调、排班（确保服务无空岗）及应急处理，并与医院主管部门保持顺畅沟通。</w:t>
      </w:r>
    </w:p>
    <w:p w14:paraId="7F4E2F7E">
      <w:pPr>
        <w:pStyle w:val="7"/>
        <w:rPr>
          <w:rFonts w:hint="default"/>
          <w:color w:val="C00000"/>
          <w:lang w:val="en-US" w:eastAsia="zh-CN"/>
        </w:rPr>
      </w:pPr>
      <w:r>
        <w:rPr>
          <w:rFonts w:hint="eastAsia"/>
          <w:color w:val="C00000"/>
          <w:lang w:val="en-US" w:eastAsia="zh-CN"/>
        </w:rPr>
        <w:t>（三）保洁</w:t>
      </w:r>
      <w:r>
        <w:rPr>
          <w:rFonts w:hint="default"/>
          <w:color w:val="C00000"/>
          <w:lang w:val="en-US" w:eastAsia="zh-CN"/>
        </w:rPr>
        <w:t xml:space="preserve">服务流程 </w:t>
      </w:r>
    </w:p>
    <w:p w14:paraId="5C19A3BF">
      <w:pPr>
        <w:pStyle w:val="7"/>
        <w:rPr>
          <w:rFonts w:hint="default"/>
          <w:color w:val="C00000"/>
          <w:lang w:val="en-US" w:eastAsia="zh-CN"/>
        </w:rPr>
      </w:pPr>
      <w:r>
        <w:rPr>
          <w:rFonts w:hint="default"/>
          <w:color w:val="C00000"/>
          <w:lang w:val="en-US" w:eastAsia="zh-CN"/>
        </w:rPr>
        <w:t xml:space="preserve">（1）公共区域等服务流程应包括以下主要环节： </w:t>
      </w:r>
    </w:p>
    <w:p w14:paraId="4341F170">
      <w:pPr>
        <w:pStyle w:val="7"/>
        <w:rPr>
          <w:rFonts w:hint="default"/>
          <w:color w:val="C00000"/>
          <w:lang w:val="en-US" w:eastAsia="zh-CN"/>
        </w:rPr>
      </w:pPr>
      <w:r>
        <w:rPr>
          <w:rFonts w:hint="default"/>
          <w:color w:val="C00000"/>
          <w:lang w:val="en-US" w:eastAsia="zh-CN"/>
        </w:rPr>
        <w:t xml:space="preserve">（a）应按照尘推地面→湿拖地面→收集垃圾→擦拭可擦物→重复尘推地面的流程进行； </w:t>
      </w:r>
    </w:p>
    <w:p w14:paraId="1FB7A313">
      <w:pPr>
        <w:pStyle w:val="7"/>
        <w:rPr>
          <w:rFonts w:hint="default"/>
          <w:color w:val="C00000"/>
          <w:lang w:val="en-US" w:eastAsia="zh-CN"/>
        </w:rPr>
      </w:pPr>
      <w:r>
        <w:rPr>
          <w:rFonts w:hint="default"/>
          <w:color w:val="C00000"/>
          <w:lang w:val="en-US" w:eastAsia="zh-CN"/>
        </w:rPr>
        <w:t xml:space="preserve">（b）湿拖地面时应做好安全警示，在明显处摆放“小心地滑”警示牌； </w:t>
      </w:r>
    </w:p>
    <w:p w14:paraId="4BEB329F">
      <w:pPr>
        <w:pStyle w:val="7"/>
        <w:rPr>
          <w:rFonts w:hint="default"/>
          <w:color w:val="C00000"/>
          <w:lang w:val="en-US" w:eastAsia="zh-CN"/>
        </w:rPr>
      </w:pPr>
      <w:r>
        <w:rPr>
          <w:rFonts w:hint="default"/>
          <w:color w:val="C00000"/>
          <w:lang w:val="en-US" w:eastAsia="zh-CN"/>
        </w:rPr>
        <w:t xml:space="preserve">（c）用地拖拖地面时应采用“Z”方式进行； </w:t>
      </w:r>
    </w:p>
    <w:p w14:paraId="40DEF9FD">
      <w:pPr>
        <w:pStyle w:val="7"/>
        <w:rPr>
          <w:rFonts w:hint="default"/>
          <w:color w:val="C00000"/>
          <w:lang w:val="en-US" w:eastAsia="zh-CN"/>
        </w:rPr>
      </w:pPr>
      <w:r>
        <w:rPr>
          <w:rFonts w:hint="default"/>
          <w:color w:val="C00000"/>
          <w:lang w:val="en-US" w:eastAsia="zh-CN"/>
        </w:rPr>
        <w:t xml:space="preserve">（d）自我检查确认后结束。 </w:t>
      </w:r>
    </w:p>
    <w:p w14:paraId="47594B11">
      <w:pPr>
        <w:pStyle w:val="7"/>
        <w:rPr>
          <w:rFonts w:hint="default"/>
          <w:color w:val="C00000"/>
          <w:lang w:val="en-US" w:eastAsia="zh-CN"/>
        </w:rPr>
      </w:pPr>
      <w:r>
        <w:rPr>
          <w:rFonts w:hint="default"/>
          <w:color w:val="C00000"/>
          <w:lang w:val="en-US" w:eastAsia="zh-CN"/>
        </w:rPr>
        <w:t xml:space="preserve">（2）卫生间等服务流程应包括以下主要环节： </w:t>
      </w:r>
    </w:p>
    <w:p w14:paraId="0EB30B43">
      <w:pPr>
        <w:pStyle w:val="7"/>
        <w:rPr>
          <w:rFonts w:hint="default"/>
          <w:color w:val="C00000"/>
          <w:lang w:val="en-US" w:eastAsia="zh-CN"/>
        </w:rPr>
      </w:pPr>
      <w:r>
        <w:rPr>
          <w:rFonts w:hint="default"/>
          <w:color w:val="C00000"/>
          <w:lang w:val="en-US" w:eastAsia="zh-CN"/>
        </w:rPr>
        <w:t xml:space="preserve">（a）应按照收集垃圾→更换垃圾袋→坐（蹲）便器、尿斗的内部清洁、消毒、清洗→坐（蹲）便器、尿斗外部擦拭→擦拭可擦物→湿拖地面的流程进行； </w:t>
      </w:r>
    </w:p>
    <w:p w14:paraId="4E741D3D">
      <w:pPr>
        <w:pStyle w:val="7"/>
        <w:rPr>
          <w:rFonts w:hint="default"/>
          <w:color w:val="C00000"/>
          <w:lang w:val="en-US" w:eastAsia="zh-CN"/>
        </w:rPr>
      </w:pPr>
      <w:r>
        <w:rPr>
          <w:rFonts w:hint="default"/>
          <w:color w:val="C00000"/>
          <w:lang w:val="en-US" w:eastAsia="zh-CN"/>
        </w:rPr>
        <w:t>（b）开始作业前应做好安全警示，摆放“小心地滑”警示牌；</w:t>
      </w:r>
    </w:p>
    <w:p w14:paraId="430C82BD">
      <w:pPr>
        <w:pStyle w:val="7"/>
        <w:rPr>
          <w:rFonts w:hint="default"/>
          <w:color w:val="C00000"/>
          <w:lang w:val="en-US" w:eastAsia="zh-CN"/>
        </w:rPr>
      </w:pPr>
      <w:r>
        <w:rPr>
          <w:rFonts w:hint="default"/>
          <w:color w:val="C00000"/>
          <w:lang w:val="en-US" w:eastAsia="zh-CN"/>
        </w:rPr>
        <w:t xml:space="preserve">（c）应使用 1000mg/L 消毒液对坐（蹲）便器、尿斗内部进行消毒 30min，然后用水冲洗； </w:t>
      </w:r>
    </w:p>
    <w:p w14:paraId="506C9D73">
      <w:pPr>
        <w:pStyle w:val="7"/>
        <w:rPr>
          <w:rFonts w:hint="default"/>
          <w:color w:val="C00000"/>
          <w:lang w:val="en-US" w:eastAsia="zh-CN"/>
        </w:rPr>
      </w:pPr>
      <w:r>
        <w:rPr>
          <w:rFonts w:hint="default"/>
          <w:color w:val="C00000"/>
          <w:lang w:val="en-US" w:eastAsia="zh-CN"/>
        </w:rPr>
        <w:t xml:space="preserve">（d）自我检查确认后结束。 </w:t>
      </w:r>
    </w:p>
    <w:p w14:paraId="7FA8A927">
      <w:pPr>
        <w:pStyle w:val="7"/>
        <w:rPr>
          <w:rFonts w:hint="default"/>
          <w:color w:val="C00000"/>
          <w:lang w:val="en-US" w:eastAsia="zh-CN"/>
        </w:rPr>
      </w:pPr>
      <w:r>
        <w:rPr>
          <w:rFonts w:hint="default"/>
          <w:color w:val="C00000"/>
          <w:lang w:val="en-US" w:eastAsia="zh-CN"/>
        </w:rPr>
        <w:t xml:space="preserve">（3）病房等服务流程应包括以下主要环节： </w:t>
      </w:r>
    </w:p>
    <w:p w14:paraId="754493BA">
      <w:pPr>
        <w:pStyle w:val="7"/>
        <w:rPr>
          <w:rFonts w:hint="default"/>
          <w:color w:val="C00000"/>
          <w:lang w:val="en-US" w:eastAsia="zh-CN"/>
        </w:rPr>
      </w:pPr>
      <w:r>
        <w:rPr>
          <w:rFonts w:hint="default"/>
          <w:color w:val="C00000"/>
          <w:lang w:val="en-US" w:eastAsia="zh-CN"/>
        </w:rPr>
        <w:t xml:space="preserve">（a） 应按照进入病房→清理房间→清理卫生间→消毒→退出病房的工作流程进行； </w:t>
      </w:r>
    </w:p>
    <w:p w14:paraId="57B1442A">
      <w:pPr>
        <w:pStyle w:val="7"/>
        <w:rPr>
          <w:rFonts w:hint="default"/>
          <w:color w:val="C00000"/>
          <w:lang w:val="en-US" w:eastAsia="zh-CN"/>
        </w:rPr>
      </w:pPr>
      <w:r>
        <w:rPr>
          <w:rFonts w:hint="default"/>
          <w:color w:val="C00000"/>
          <w:lang w:val="en-US" w:eastAsia="zh-CN"/>
        </w:rPr>
        <w:t xml:space="preserve">（b）抹布分颜色使用，应采用“一床单位一巾”，先擦拭床头柜，然后擦拭病床； </w:t>
      </w:r>
    </w:p>
    <w:p w14:paraId="228E2921">
      <w:pPr>
        <w:pStyle w:val="7"/>
        <w:rPr>
          <w:rFonts w:hint="default"/>
          <w:color w:val="C00000"/>
          <w:lang w:val="en-US" w:eastAsia="zh-CN"/>
        </w:rPr>
      </w:pPr>
      <w:r>
        <w:rPr>
          <w:rFonts w:hint="default"/>
          <w:color w:val="C00000"/>
          <w:lang w:val="en-US" w:eastAsia="zh-CN"/>
        </w:rPr>
        <w:t xml:space="preserve">（c）氧气袋、开关盒、不锈钢设施等要由外至里，逆时针方向擦拭； </w:t>
      </w:r>
    </w:p>
    <w:p w14:paraId="01E7D233">
      <w:pPr>
        <w:pStyle w:val="7"/>
        <w:rPr>
          <w:rFonts w:hint="default"/>
          <w:color w:val="C00000"/>
          <w:lang w:val="en-US" w:eastAsia="zh-CN"/>
        </w:rPr>
      </w:pPr>
      <w:r>
        <w:rPr>
          <w:rFonts w:hint="default"/>
          <w:color w:val="C00000"/>
          <w:lang w:val="en-US" w:eastAsia="zh-CN"/>
        </w:rPr>
        <w:t xml:space="preserve">（d）拖布要分颜色使用，应采用“一屋一巾”，要从里至外采用“Z”形进行； </w:t>
      </w:r>
    </w:p>
    <w:p w14:paraId="7BBA4867">
      <w:pPr>
        <w:pStyle w:val="7"/>
        <w:rPr>
          <w:rFonts w:hint="default"/>
          <w:color w:val="C00000"/>
          <w:lang w:val="en-US" w:eastAsia="zh-CN"/>
        </w:rPr>
      </w:pPr>
      <w:r>
        <w:rPr>
          <w:rFonts w:hint="default"/>
          <w:color w:val="C00000"/>
          <w:lang w:val="en-US" w:eastAsia="zh-CN"/>
        </w:rPr>
        <w:t xml:space="preserve">（e）自我检查确认后结束。 </w:t>
      </w:r>
    </w:p>
    <w:p w14:paraId="2B7541FA">
      <w:pPr>
        <w:pStyle w:val="7"/>
        <w:rPr>
          <w:rFonts w:hint="default"/>
          <w:color w:val="C00000"/>
          <w:lang w:val="en-US" w:eastAsia="zh-CN"/>
        </w:rPr>
      </w:pPr>
      <w:r>
        <w:rPr>
          <w:rFonts w:hint="default"/>
          <w:color w:val="C00000"/>
          <w:lang w:val="en-US" w:eastAsia="zh-CN"/>
        </w:rPr>
        <w:t xml:space="preserve">（4）手术室等服务流程应包括以下主要环节： </w:t>
      </w:r>
    </w:p>
    <w:p w14:paraId="0F0406E9">
      <w:pPr>
        <w:pStyle w:val="7"/>
        <w:rPr>
          <w:rFonts w:hint="default"/>
          <w:color w:val="C00000"/>
          <w:lang w:val="en-US" w:eastAsia="zh-CN"/>
        </w:rPr>
      </w:pPr>
      <w:r>
        <w:rPr>
          <w:rFonts w:hint="default"/>
          <w:color w:val="C00000"/>
          <w:lang w:val="en-US" w:eastAsia="zh-CN"/>
        </w:rPr>
        <w:t xml:space="preserve">（a）根据医院的不同要求和工作内容确定工作流程； </w:t>
      </w:r>
    </w:p>
    <w:p w14:paraId="2C1E1936">
      <w:pPr>
        <w:pStyle w:val="7"/>
        <w:rPr>
          <w:rFonts w:hint="default"/>
          <w:color w:val="C00000"/>
          <w:lang w:val="en-US" w:eastAsia="zh-CN"/>
        </w:rPr>
      </w:pPr>
      <w:r>
        <w:rPr>
          <w:rFonts w:hint="default"/>
          <w:color w:val="C00000"/>
          <w:lang w:val="en-US" w:eastAsia="zh-CN"/>
        </w:rPr>
        <w:t xml:space="preserve">（b）进入手术室开展清洁工作前，要穿戴好洗手衣、手套、口罩； </w:t>
      </w:r>
    </w:p>
    <w:p w14:paraId="3C636DE4">
      <w:pPr>
        <w:pStyle w:val="7"/>
        <w:rPr>
          <w:rFonts w:hint="default"/>
          <w:color w:val="C00000"/>
          <w:lang w:val="en-US" w:eastAsia="zh-CN"/>
        </w:rPr>
      </w:pPr>
      <w:r>
        <w:rPr>
          <w:rFonts w:hint="default"/>
          <w:color w:val="C00000"/>
          <w:lang w:val="en-US" w:eastAsia="zh-CN"/>
        </w:rPr>
        <w:t xml:space="preserve">（c）手术室公共区域地面要用 500mg/L 消毒液湿拖地面； </w:t>
      </w:r>
    </w:p>
    <w:p w14:paraId="6225F5AC">
      <w:pPr>
        <w:pStyle w:val="7"/>
        <w:rPr>
          <w:rFonts w:hint="default"/>
          <w:color w:val="C00000"/>
          <w:lang w:val="en-US" w:eastAsia="zh-CN"/>
        </w:rPr>
      </w:pPr>
      <w:r>
        <w:rPr>
          <w:rFonts w:hint="default"/>
          <w:color w:val="C00000"/>
          <w:lang w:val="en-US" w:eastAsia="zh-CN"/>
        </w:rPr>
        <w:t xml:space="preserve">（d）使用 500mg/L 对洗澡间墙面、地面、坐（蹲）便器进行消毒、清洗； </w:t>
      </w:r>
    </w:p>
    <w:p w14:paraId="6F151801">
      <w:pPr>
        <w:pStyle w:val="7"/>
        <w:rPr>
          <w:rFonts w:hint="default"/>
          <w:lang w:val="en-US" w:eastAsia="zh-CN"/>
        </w:rPr>
      </w:pPr>
      <w:r>
        <w:rPr>
          <w:rFonts w:hint="default"/>
          <w:color w:val="C00000"/>
          <w:lang w:val="en-US" w:eastAsia="zh-CN"/>
        </w:rPr>
        <w:t>（e）自我检查确认后结束。</w:t>
      </w:r>
      <w:r>
        <w:rPr>
          <w:rFonts w:hint="default"/>
          <w:lang w:val="en-US" w:eastAsia="zh-CN"/>
        </w:rPr>
        <w:t xml:space="preserve"> </w:t>
      </w:r>
    </w:p>
    <w:p w14:paraId="3AFCE1D0">
      <w:pPr>
        <w:pStyle w:val="7"/>
        <w:rPr>
          <w:rFonts w:hint="default"/>
          <w:lang w:val="en-US" w:eastAsia="zh-CN"/>
        </w:rPr>
      </w:pPr>
    </w:p>
    <w:p w14:paraId="71589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lang w:val="en-US" w:eastAsia="zh-CN"/>
        </w:rPr>
      </w:pPr>
      <w:bookmarkStart w:id="59" w:name="_Toc22459"/>
      <w:r>
        <w:rPr>
          <w:rFonts w:hint="eastAsia" w:asciiTheme="minorEastAsia" w:hAnsiTheme="minorEastAsia" w:eastAsiaTheme="minorEastAsia" w:cstheme="minorEastAsia"/>
          <w:b/>
          <w:bCs/>
          <w:sz w:val="24"/>
          <w:szCs w:val="24"/>
          <w:highlight w:val="none"/>
          <w:lang w:val="en-US" w:eastAsia="zh-CN"/>
        </w:rPr>
        <w:t>四、服务时间及要求</w:t>
      </w:r>
    </w:p>
    <w:p w14:paraId="259DC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提供7天×24小时全年无休服务，包括节假日。</w:t>
      </w:r>
    </w:p>
    <w:p w14:paraId="3EDC54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五、对项目提供方要求</w:t>
      </w:r>
    </w:p>
    <w:p w14:paraId="7F7A2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（一）陪护公司基本要求</w:t>
      </w:r>
    </w:p>
    <w:p w14:paraId="1645C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1.管理要求</w:t>
      </w:r>
    </w:p>
    <w:p w14:paraId="3793A5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应按国家劳动法律和相关政策与陪护人员签订书面劳动合同，提供培训、考核、薪酬和购买陪护人员责任险（或意外险）和雇主责任险等。按照公司制度进行管理与考核，并按照劳动合同约定按期发放工资。劳务关系、薪资待遇、福利发放等方面的纠纷事宜与采购人无关。</w:t>
      </w:r>
    </w:p>
    <w:p w14:paraId="4D791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（2）智能化管理平台开放医院端，院方能全面查询公司在院方的所有状况（包括但不限于在岗护理员情况、公式对陪护人员培训考核情况、公司的管理情况、陪护人员定时打卡情况等）。</w:t>
      </w:r>
    </w:p>
    <w:p w14:paraId="181DF9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成交供应商需指派至少1名项目经理作为成交供应商驻医院处的履约代表，全权负责合同义务履行和日常工作监管。需派出至少2名项目管理人员，负责日常陪护管理工作，保证（8小时在岗、24小时值班制），未经采购人同意，不得随意更换。</w:t>
      </w:r>
    </w:p>
    <w:p w14:paraId="6A84F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（4）成交供应商应当制定陪护管理与运行方案，派遣符合医院要求的陪护人员开展工作。陪护公司制度健全，管理规范，有奖有惩，有记录可查。积极配合医院及科室工作安排，服从科室管理。</w:t>
      </w:r>
    </w:p>
    <w:p w14:paraId="3BD164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（5）陪护人员入职前，成交供应商需提供</w:t>
      </w:r>
      <w:r>
        <w:rPr>
          <w:rFonts w:hint="eastAsia" w:asciiTheme="minorEastAsia" w:hAnsiTheme="minorEastAsia" w:eastAsiaTheme="minorEastAsia" w:cstheme="minorEastAsia"/>
          <w:b w:val="0"/>
          <w:bCs w:val="0"/>
          <w:color w:val="auto"/>
          <w:sz w:val="24"/>
          <w:szCs w:val="24"/>
          <w:highlight w:val="none"/>
          <w:lang w:val="en-US" w:eastAsia="zh-CN"/>
        </w:rPr>
        <w:t>陪护人员</w:t>
      </w:r>
      <w:r>
        <w:rPr>
          <w:rFonts w:hint="eastAsia" w:asciiTheme="minorEastAsia" w:hAnsiTheme="minorEastAsia" w:eastAsiaTheme="minorEastAsia" w:cstheme="minorEastAsia"/>
          <w:b w:val="0"/>
          <w:bCs w:val="0"/>
          <w:sz w:val="24"/>
          <w:szCs w:val="24"/>
          <w:highlight w:val="none"/>
          <w:lang w:val="en-US" w:eastAsia="zh-CN"/>
        </w:rPr>
        <w:t>四证：</w:t>
      </w:r>
      <w:r>
        <w:rPr>
          <w:rFonts w:hint="eastAsia" w:asciiTheme="minorEastAsia" w:hAnsiTheme="minorEastAsia" w:eastAsiaTheme="minorEastAsia" w:cstheme="minorEastAsia"/>
          <w:b w:val="0"/>
          <w:bCs w:val="0"/>
          <w:color w:val="auto"/>
          <w:sz w:val="24"/>
          <w:szCs w:val="24"/>
          <w:highlight w:val="none"/>
          <w:lang w:val="en-US" w:eastAsia="zh-CN"/>
        </w:rPr>
        <w:t>职业技能培训合格证</w:t>
      </w:r>
      <w:r>
        <w:rPr>
          <w:rFonts w:hint="eastAsia" w:asciiTheme="minorEastAsia" w:hAnsiTheme="minorEastAsia" w:eastAsiaTheme="minorEastAsia" w:cstheme="minorEastAsia"/>
          <w:b w:val="0"/>
          <w:bCs w:val="0"/>
          <w:sz w:val="24"/>
          <w:szCs w:val="24"/>
          <w:highlight w:val="none"/>
          <w:lang w:val="en-US" w:eastAsia="zh-CN"/>
        </w:rPr>
        <w:t>、健康证明、无犯罪证明、身份证）复印件到医院备案。</w:t>
      </w:r>
    </w:p>
    <w:p w14:paraId="3C39F7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（6）成交供应商需分别且无偿提供带有明确标识的工作服和胸牌给管理人员和陪护人员，并定期清洗消毒，保持清洁整齐。</w:t>
      </w:r>
    </w:p>
    <w:p w14:paraId="21C25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（7）成交供应商需保证节假日陪护人员的数量，能满足临床需求。</w:t>
      </w:r>
    </w:p>
    <w:p w14:paraId="05AFD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（8）一对多最多不允许超过3个患者。且不允许跨楼层照顾患者。</w:t>
      </w:r>
    </w:p>
    <w:p w14:paraId="5C994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（9）定期对陪护人员组织开展培训，主要包括服务礼仪、沟通技巧、职业防护、生活照护服务理论及操作等。</w:t>
      </w:r>
    </w:p>
    <w:p w14:paraId="4A6A3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（10）针对陪护人员服务过程中出现的问题，应及时进行专项培训，持续改进。</w:t>
      </w:r>
    </w:p>
    <w:p w14:paraId="1079C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（11）建立陪护人员个人档案，包括培训档案，记录培训内容、考核结果等，并根据考核结果落实奖惩机制。</w:t>
      </w:r>
    </w:p>
    <w:p w14:paraId="1D7CF1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（12）提供现场监督、投诉电话或扫码线上投诉方式，以便患者、家属和临床医务人员及时反馈问题。</w:t>
      </w:r>
    </w:p>
    <w:p w14:paraId="28443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（13）成交供应商在医院的协助下主导清理黑护工，不允许存在黑护工的情况发生。对本院其他部门开除的员工（如保安保洁等）不允许入职本院开展陪护人员工作。</w:t>
      </w:r>
    </w:p>
    <w:p w14:paraId="2948CB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2.服务责任</w:t>
      </w:r>
    </w:p>
    <w:p w14:paraId="2FFEB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（1）成交供应商与患者直接签订护理员合同，收取护理员报酬，对员工护理期间的行为负责，承担所有相关责任与风险。</w:t>
      </w:r>
    </w:p>
    <w:p w14:paraId="09F168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（2）不得以任何理由拒绝接单。对于医院收治的</w:t>
      </w:r>
      <w:r>
        <w:rPr>
          <w:rFonts w:hint="eastAsia" w:asciiTheme="minorEastAsia" w:hAnsiTheme="minorEastAsia" w:eastAsiaTheme="minorEastAsia" w:cstheme="minorEastAsia"/>
          <w:b w:val="0"/>
          <w:bCs w:val="0"/>
          <w:color w:val="auto"/>
          <w:sz w:val="24"/>
          <w:szCs w:val="24"/>
          <w:highlight w:val="none"/>
          <w:lang w:val="en-US" w:eastAsia="zh-CN"/>
        </w:rPr>
        <w:t>无主（三无）</w:t>
      </w:r>
      <w:r>
        <w:rPr>
          <w:rFonts w:hint="eastAsia" w:asciiTheme="minorEastAsia" w:hAnsiTheme="minorEastAsia" w:eastAsiaTheme="minorEastAsia" w:cstheme="minorEastAsia"/>
          <w:b w:val="0"/>
          <w:bCs w:val="0"/>
          <w:sz w:val="24"/>
          <w:szCs w:val="24"/>
          <w:highlight w:val="none"/>
          <w:lang w:val="en-US" w:eastAsia="zh-CN"/>
        </w:rPr>
        <w:t>病人，成交供应商须派遣护理员为其提供生活护理服务。</w:t>
      </w:r>
    </w:p>
    <w:p w14:paraId="271D3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3.人员培训</w:t>
      </w:r>
    </w:p>
    <w:p w14:paraId="521D6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陪护人员入职前，必须经过成交供应商规范的岗前培训合格后，包含医院概况、科室环境及相关规章制度、陪护人员职业道德规范、服务礼仪、沟通技巧、医院感染控制、安全防护等知识及技能。且在临床试岗3-7天经医院考核合格才能正式上岗。</w:t>
      </w:r>
    </w:p>
    <w:p w14:paraId="196105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（2）成交供应商需对护理员进行至少每月一次集中培训，包括本生活照护理论及技能、专科照护技能与相关知识、人文关怀、服务礼仪、法制教育及消防治安等培训，并提供记录可查。</w:t>
      </w:r>
    </w:p>
    <w:p w14:paraId="6B86F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4.质量监管</w:t>
      </w:r>
    </w:p>
    <w:p w14:paraId="4DFBFC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（1）成交供应商需加强陪护人员质量监管和督查，每天按时巡视病房，督查陪护质量，有记录可查。</w:t>
      </w:r>
    </w:p>
    <w:p w14:paraId="25B6B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（2）按照管理制度对不合格人员、被投诉人员、检查违法违规人员有警示教育和处罚记录。</w:t>
      </w:r>
    </w:p>
    <w:p w14:paraId="17D791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（3）成交供应商需在每一位患者出院前，对成交供应商、护理员进行服务质量及服务态度等进行服务对象的满意度调查，每个月对所在科室医护人员进行满意度调查。</w:t>
      </w:r>
    </w:p>
    <w:p w14:paraId="7D2027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5.其他</w:t>
      </w:r>
    </w:p>
    <w:p w14:paraId="3B719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（1）针对本院职工及直系亲属等，通过工会核实并提供证明后，需给予职工8折和家属9折优惠。</w:t>
      </w:r>
    </w:p>
    <w:p w14:paraId="3F471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（二）陪护公司拟派出的管理人员和护理员人员基本要求</w:t>
      </w:r>
    </w:p>
    <w:p w14:paraId="4418A1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人员资质：身体健康、品行良好、有责任心、尊重关心爱护服务对象，具有一定的文化程度和沟通能力。符合国家法律规定的年龄且无传染病的劳动者，具备从事陪护人员的专业技能。陪护人员四证齐全，年龄不得超过60岁；管理人员具备大专及以上学历，有医学背景更佳，年龄男性不超过60岁，女性不超过55岁。</w:t>
      </w:r>
    </w:p>
    <w:p w14:paraId="4EE48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 行为规范：</w:t>
      </w:r>
    </w:p>
    <w:p w14:paraId="7FB09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（1）未受过刑事处罚，无违法犯罪记录。</w:t>
      </w:r>
    </w:p>
    <w:p w14:paraId="2CBB43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（2）能严格遵守国家的法律、法规和医院制订的各种规章制度。</w:t>
      </w:r>
    </w:p>
    <w:p w14:paraId="0BD56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（3）不得随意丢弃、倾倒、堆放、使用、买卖医疗废物，不得利用职务之便推销医药产品或服务并从中谋取私利。</w:t>
      </w:r>
    </w:p>
    <w:p w14:paraId="44B98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（4）不得参与殡葬管理相关违法违纪行为。</w:t>
      </w:r>
    </w:p>
    <w:p w14:paraId="27973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（5）不得传播散布医院相关的负面信息，不得有有损医院形象和利益的行为。</w:t>
      </w:r>
    </w:p>
    <w:p w14:paraId="1D065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（6）自觉接受安全教育和消防培训、院感防控培训等培训学习，以提高其自我保护和应急处置能力。</w:t>
      </w:r>
    </w:p>
    <w:p w14:paraId="1FEBDA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（7）管理人员积极配合医院和公司管理，按要求合理安排陪护人员工作，督促质量，收集意见，加强整改。</w:t>
      </w:r>
    </w:p>
    <w:p w14:paraId="095DA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陪护人员若违反上述“陪护人员不得有的行为”规定，或者陪护人员患有精神分裂症、处于传染期的传染病、化脓性或者渗出性皮肤病等疾病，不得在医院从事陪护人员工作，若违法开展活动者依法追究法律责任。</w:t>
      </w:r>
    </w:p>
    <w:p w14:paraId="6F6B4E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（9）对考核不合格、出现投诉纠纷和造成负面舆情事件的陪护人员或者管理人员不得继续在医院从事工作。</w:t>
      </w:r>
    </w:p>
    <w:p w14:paraId="1B0B0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3.服务态度：</w:t>
      </w:r>
    </w:p>
    <w:p w14:paraId="1B5DD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（1）工作期间规范着装，语言和蔼、服务态度好。</w:t>
      </w:r>
    </w:p>
    <w:p w14:paraId="110F5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（2）服从院方和公司管理，和科室医护人员协调配合良好。</w:t>
      </w:r>
    </w:p>
    <w:p w14:paraId="5BB4EB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（3）不得和医院工作人员、患者、家属、公司内部人员等在院内发生争吵、斗殴等恶性事件。</w:t>
      </w:r>
    </w:p>
    <w:p w14:paraId="5AB6AF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4.凡发生患方有效投诉或科室月考核明确不满意的情况，该护理员无条件撤离该科室，有效投诉或者科室考核不满意达3次及以上即刻撤离本院，不得再在本院从事陪护人员工作。</w:t>
      </w:r>
    </w:p>
    <w:p w14:paraId="26271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（三）其他要求</w:t>
      </w:r>
    </w:p>
    <w:p w14:paraId="1CD6F9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1.合同履行：</w:t>
      </w:r>
    </w:p>
    <w:p w14:paraId="3EE7A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 在合同期内，成交供应商不得擅自将合同义务转包或分包他人，不得在医院范围内开展医院委托的服务范围之外的经营活动。</w:t>
      </w:r>
    </w:p>
    <w:p w14:paraId="1E0BF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（2）如有上级文件要求或新的政策等不可控因素，经医院综合考核后需按照上级文件精神及要求调整执行。</w:t>
      </w:r>
    </w:p>
    <w:p w14:paraId="095A30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 监督管理：</w:t>
      </w:r>
    </w:p>
    <w:p w14:paraId="78767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（1）成交供应商所提供的服务应严格遵守国家的法律法规，严格遵守医疗卫生政策，严格遵守医院的规章制度。</w:t>
      </w:r>
    </w:p>
    <w:p w14:paraId="60B1F3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（2）医院有权审核成交供应商拟定的管理方案、管理制度，有权审核成交供应商编制的各项服务的工作流程及工作规范。</w:t>
      </w:r>
    </w:p>
    <w:p w14:paraId="78971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医院有权对成交供应商护理员管理工作实施定时和不定时的监督指导和考核。实施年度动态评价陪护人员信用状态，评价周期为一年。信用优秀（分值≥95）及良好者（95＞分值≥90）继续留用，信用一般者（90＞分值≥80），成交供应商约谈本人，同时加强培训并督促其及时改进。信用较差者（分值＜80分），不得在本院继续从事生活照护工作。扣分标准如下：</w:t>
      </w:r>
    </w:p>
    <w:p w14:paraId="73C18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①无故不参加培训一次扣2分，培训考核不合格一次扣2分。</w:t>
      </w:r>
    </w:p>
    <w:p w14:paraId="344DC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②出现投诉经查实一次扣5分。</w:t>
      </w:r>
    </w:p>
    <w:p w14:paraId="57EA6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③出现不良事件一次扣10分，出现纠纷及舆情事件一次扣20分。</w:t>
      </w:r>
    </w:p>
    <w:p w14:paraId="5FA21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（4）对在合同期内工作能力低下、服务态度恶劣、违反医院规章制度、不服从医院监督管理、严重影响医院的声誉、妨碍正常医疗工作秩序、泄露或者出卖患者信息等陪护人员，医院有权提出更换或者辞退。</w:t>
      </w:r>
    </w:p>
    <w:p w14:paraId="420334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（5）对与临床科室配合不佳、不服从医院管理、阳奉阴违、当面一套背后一套、安排护理员不得当等不认真履职的管理人员，医院有权提出更换或者辞退。</w:t>
      </w:r>
    </w:p>
    <w:p w14:paraId="0D1578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（6）对于医院提出的指导监督意见，成交供应商应予以高度重视并必须遵照执行。</w:t>
      </w:r>
    </w:p>
    <w:p w14:paraId="07194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（7）成交供应商应定期向医院提供其派驻医院处工作员工的身份资料，并随时根据医院提示，接受公安机关可能的相关审查。</w:t>
      </w:r>
    </w:p>
    <w:p w14:paraId="5A00F0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   （8）成交供应商在皮肤病传染病季节应定期组织员工进行皮肤病检查，以避免传染给患者。且陪护人员在患传染病期间不得安排陪护工作。</w:t>
      </w:r>
    </w:p>
    <w:p w14:paraId="5502E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（四）责任划分</w:t>
      </w:r>
    </w:p>
    <w:p w14:paraId="7EC30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陪护人员在医院开展照护服务期间，若因照护质量、服务态度等发生投诉纠纷或造成患者伤害等不良事件，由成交供应商负责解决并承担相应法律责任。</w:t>
      </w:r>
    </w:p>
    <w:p w14:paraId="29EF39FC">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br w:type="page"/>
      </w:r>
    </w:p>
    <w:p w14:paraId="0342D3F3">
      <w:pPr>
        <w:numPr>
          <w:ilvl w:val="0"/>
          <w:numId w:val="1"/>
        </w:numPr>
        <w:spacing w:line="360" w:lineRule="exact"/>
        <w:jc w:val="center"/>
        <w:outlineLvl w:val="0"/>
        <w:rPr>
          <w:rFonts w:hint="eastAsia" w:ascii="宋体" w:hAnsi="宋体" w:cs="宋体"/>
          <w:b/>
          <w:color w:val="000000"/>
          <w:sz w:val="36"/>
          <w:szCs w:val="48"/>
          <w:highlight w:val="none"/>
          <w:u w:val="none" w:color="auto"/>
        </w:rPr>
      </w:pPr>
      <w:bookmarkStart w:id="60" w:name="_Toc2742"/>
      <w:r>
        <w:rPr>
          <w:rFonts w:hint="eastAsia" w:ascii="宋体" w:hAnsi="宋体" w:cs="宋体"/>
          <w:b/>
          <w:color w:val="000000"/>
          <w:sz w:val="36"/>
          <w:szCs w:val="48"/>
          <w:highlight w:val="none"/>
          <w:u w:val="none" w:color="auto"/>
          <w:lang w:val="en-US" w:eastAsia="zh-CN"/>
        </w:rPr>
        <w:t>项目商务需求</w:t>
      </w:r>
      <w:bookmarkEnd w:id="60"/>
    </w:p>
    <w:p w14:paraId="4243939E">
      <w:pPr>
        <w:pStyle w:val="27"/>
        <w:spacing w:line="360" w:lineRule="auto"/>
        <w:jc w:val="both"/>
        <w:rPr>
          <w:rFonts w:hint="eastAsia" w:ascii="宋体" w:hAnsi="宋体" w:eastAsia="宋体" w:cs="宋体"/>
          <w:color w:val="auto"/>
          <w:sz w:val="24"/>
          <w:szCs w:val="24"/>
          <w:highlight w:val="none"/>
        </w:rPr>
      </w:pPr>
      <w:bookmarkStart w:id="61" w:name="_Toc344475120"/>
      <w:bookmarkStart w:id="62" w:name="_Toc11974"/>
      <w:r>
        <w:rPr>
          <w:rFonts w:hint="eastAsia" w:ascii="宋体" w:hAnsi="宋体" w:eastAsia="宋体" w:cs="宋体"/>
          <w:color w:val="auto"/>
          <w:kern w:val="2"/>
          <w:sz w:val="24"/>
          <w:szCs w:val="24"/>
          <w:lang w:val="en-US" w:eastAsia="zh-CN"/>
        </w:rPr>
        <w:t>“※”标注的商务要求为符合性审查中的实质性要求，若不满足按无效投标处理。</w:t>
      </w:r>
      <w:r>
        <w:rPr>
          <w:rFonts w:hint="eastAsia" w:ascii="宋体" w:hAnsi="宋体" w:eastAsia="宋体" w:cs="宋体"/>
          <w:b w:val="0"/>
          <w:bCs w:val="0"/>
          <w:kern w:val="0"/>
          <w:sz w:val="24"/>
          <w:szCs w:val="24"/>
          <w:lang w:val="en-US" w:eastAsia="zh-CN"/>
        </w:rPr>
        <w:t xml:space="preserve"> </w:t>
      </w:r>
    </w:p>
    <w:p w14:paraId="24E650FC">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End w:id="61"/>
      <w:r>
        <w:rPr>
          <w:rFonts w:hint="eastAsia" w:ascii="宋体" w:hAnsi="宋体" w:eastAsia="宋体" w:cs="宋体"/>
          <w:color w:val="auto"/>
          <w:sz w:val="24"/>
          <w:szCs w:val="24"/>
          <w:highlight w:val="none"/>
        </w:rPr>
        <w:t>服务期、服务地点及</w:t>
      </w:r>
      <w:r>
        <w:rPr>
          <w:rFonts w:hint="eastAsia" w:ascii="宋体" w:hAnsi="宋体" w:cs="宋体"/>
          <w:color w:val="auto"/>
          <w:sz w:val="24"/>
          <w:szCs w:val="24"/>
          <w:highlight w:val="none"/>
          <w:lang w:val="en-US" w:eastAsia="zh-CN"/>
        </w:rPr>
        <w:t>考核</w:t>
      </w:r>
      <w:r>
        <w:rPr>
          <w:rFonts w:hint="eastAsia" w:ascii="宋体" w:hAnsi="宋体" w:eastAsia="宋体" w:cs="宋体"/>
          <w:color w:val="auto"/>
          <w:sz w:val="24"/>
          <w:szCs w:val="24"/>
          <w:highlight w:val="none"/>
        </w:rPr>
        <w:t>方式</w:t>
      </w:r>
      <w:bookmarkEnd w:id="62"/>
    </w:p>
    <w:p w14:paraId="50F82DD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cs="宋体"/>
          <w:sz w:val="24"/>
          <w:szCs w:val="24"/>
          <w:highlight w:val="none"/>
        </w:rPr>
        <w:t>服务期：</w:t>
      </w:r>
      <w:r>
        <w:rPr>
          <w:rFonts w:hint="eastAsia" w:ascii="宋体" w:hAnsi="宋体" w:cs="宋体"/>
          <w:sz w:val="24"/>
          <w:szCs w:val="24"/>
          <w:highlight w:val="none"/>
          <w:lang w:val="en-US" w:eastAsia="zh-CN"/>
        </w:rPr>
        <w:t>二年，</w:t>
      </w:r>
      <w:r>
        <w:rPr>
          <w:rFonts w:hint="eastAsia" w:ascii="宋体" w:hAnsi="宋体" w:cs="宋体"/>
          <w:color w:val="auto"/>
          <w:sz w:val="24"/>
          <w:szCs w:val="24"/>
          <w:highlight w:val="none"/>
          <w:lang w:val="en-US" w:eastAsia="zh-CN"/>
        </w:rPr>
        <w:t>合同一年一签，如考核结果均达到采购人要求，二年到期后上报主管部门审定同意后可续签合同</w:t>
      </w:r>
      <w:r>
        <w:rPr>
          <w:rFonts w:hint="eastAsia" w:ascii="宋体" w:hAnsi="宋体" w:cs="宋体"/>
          <w:sz w:val="24"/>
          <w:szCs w:val="24"/>
          <w:highlight w:val="none"/>
        </w:rPr>
        <w:t>。</w:t>
      </w:r>
    </w:p>
    <w:p w14:paraId="6E6CF370">
      <w:pPr>
        <w:spacing w:line="360" w:lineRule="auto"/>
        <w:ind w:left="251"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sz w:val="24"/>
          <w:szCs w:val="24"/>
          <w:highlight w:val="none"/>
        </w:rPr>
        <w:t>服务地点：采购人指定地点</w:t>
      </w:r>
      <w:r>
        <w:rPr>
          <w:rFonts w:hint="eastAsia" w:ascii="宋体" w:hAnsi="宋体" w:cs="宋体"/>
          <w:sz w:val="24"/>
          <w:szCs w:val="24"/>
          <w:highlight w:val="none"/>
          <w:lang w:eastAsia="zh-CN"/>
        </w:rPr>
        <w:t>。</w:t>
      </w:r>
    </w:p>
    <w:p w14:paraId="63B62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宋体" w:asciiTheme="minorEastAsia" w:hAnsiTheme="minorEastAsia" w:cstheme="minorEastAsia"/>
          <w:b w:val="0"/>
          <w:bCs w:val="0"/>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考核</w:t>
      </w:r>
      <w:r>
        <w:rPr>
          <w:rFonts w:hint="eastAsia" w:ascii="宋体" w:hAnsi="宋体" w:cs="宋体"/>
          <w:sz w:val="24"/>
          <w:szCs w:val="24"/>
          <w:highlight w:val="none"/>
        </w:rPr>
        <w:t>方式：</w:t>
      </w:r>
      <w:r>
        <w:rPr>
          <w:rFonts w:hint="eastAsia" w:ascii="宋体" w:hAnsi="宋体" w:cs="宋体"/>
          <w:sz w:val="24"/>
          <w:szCs w:val="24"/>
          <w:highlight w:val="none"/>
          <w:lang w:val="en-US" w:eastAsia="zh-CN"/>
        </w:rPr>
        <w:t>考核标准详见附件1《陪护人员质量考核表》</w:t>
      </w:r>
    </w:p>
    <w:p w14:paraId="199FE0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1、成交供应商考核平均得分：</w:t>
      </w:r>
    </w:p>
    <w:p w14:paraId="3B66F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当月考核得分≥90分，考核合格；</w:t>
      </w:r>
    </w:p>
    <w:p w14:paraId="08DCEB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90分＞考核得分≥80分，处以罚金200元-1000元；</w:t>
      </w:r>
    </w:p>
    <w:p w14:paraId="72430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80分＞考核得分≥70分，处以罚金1000元-3000元；</w:t>
      </w:r>
    </w:p>
    <w:p w14:paraId="79138B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考核得分＜70分，采购人有权直接解除合同。</w:t>
      </w:r>
    </w:p>
    <w:p w14:paraId="13468A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针对成交供应商管理不善，发现陪护人员态度恶劣、违反规章制度、私自收取小费、不服从管理，有影响医院的声誉的行为、妨碍正常医疗工作秩序、泄露或者出卖患者信息等现象，医院给予成交供应商单次处罚金200-500元。抽考实践技能不合格给予成交供应商处罚200元/人次。如发现超价格标准收费，将给予成交供应商双倍处罚。</w:t>
      </w:r>
    </w:p>
    <w:p w14:paraId="52B3E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（3）对与临床科室配合不佳、不服从医院管理、阳奉阴违、当面一套背后一套、安排护理员不得当等不认真履职的管理人员，采购人给予成交供应商单次处罚金200元/次。</w:t>
      </w:r>
    </w:p>
    <w:p w14:paraId="77097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（4）投诉处理：科室和病人院级有效投诉1次，单项处以罚金500-1000元。</w:t>
      </w:r>
    </w:p>
    <w:p w14:paraId="1897E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（5）督查发现成交供应商未按要求履行管理职责，公司管理不规范，如有未经过规范培训的人员直接上岗、质量监管不到位等类似情况给予陪护公司单次处500-1000元。</w:t>
      </w:r>
    </w:p>
    <w:p w14:paraId="05A98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（6）整改要求：成交供应商对质量考核或投诉等临床科室提出的问题应立即整改，若连续3个月整改无效，采购人有权单方面终止合同。</w:t>
      </w:r>
    </w:p>
    <w:p w14:paraId="1540D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szCs w:val="18"/>
          <w:highlight w:val="none"/>
          <w:u w:val="none" w:color="auto"/>
        </w:rPr>
      </w:pPr>
      <w:r>
        <w:rPr>
          <w:rFonts w:hint="eastAsia" w:asciiTheme="minorEastAsia" w:hAnsiTheme="minorEastAsia" w:eastAsiaTheme="minorEastAsia" w:cstheme="minorEastAsia"/>
          <w:b w:val="0"/>
          <w:bCs w:val="0"/>
          <w:sz w:val="24"/>
          <w:szCs w:val="24"/>
          <w:highlight w:val="none"/>
          <w:lang w:val="en-US" w:eastAsia="zh-CN"/>
        </w:rPr>
        <w:t>（7）违反本文件相应条款，采购人根据不同情况分别给予成交供应商警示教育、处以罚金和终止合同等不同程度的处理。</w:t>
      </w:r>
    </w:p>
    <w:p w14:paraId="453B1D25">
      <w:pPr>
        <w:spacing w:line="360" w:lineRule="exact"/>
        <w:ind w:firstLine="482" w:firstLineChars="200"/>
        <w:rPr>
          <w:rFonts w:hint="eastAsia" w:ascii="宋体" w:hAnsi="宋体" w:cs="宋体"/>
          <w:b/>
          <w:bCs/>
          <w:color w:val="000000"/>
          <w:sz w:val="24"/>
          <w:szCs w:val="18"/>
          <w:highlight w:val="none"/>
          <w:u w:val="none" w:color="auto"/>
        </w:rPr>
      </w:pPr>
      <w:r>
        <w:rPr>
          <w:rFonts w:hint="eastAsia" w:ascii="宋体" w:hAnsi="宋体" w:cs="宋体"/>
          <w:b/>
          <w:bCs/>
          <w:color w:val="000000"/>
          <w:sz w:val="24"/>
          <w:szCs w:val="18"/>
          <w:highlight w:val="none"/>
          <w:u w:val="none" w:color="auto"/>
        </w:rPr>
        <w:t>二、</w:t>
      </w:r>
      <w:bookmarkEnd w:id="59"/>
      <w:bookmarkStart w:id="63" w:name="_Toc24810"/>
      <w:bookmarkStart w:id="64" w:name="_Toc15650"/>
      <w:bookmarkStart w:id="65" w:name="_Toc76373878"/>
      <w:bookmarkStart w:id="66" w:name="_Toc4791"/>
      <w:bookmarkStart w:id="67" w:name="_Toc7794"/>
      <w:bookmarkStart w:id="68" w:name="_Toc2072"/>
      <w:bookmarkStart w:id="69" w:name="_Toc17524"/>
      <w:bookmarkStart w:id="70" w:name="_Toc24122"/>
      <w:bookmarkStart w:id="71" w:name="_Toc1768"/>
      <w:bookmarkStart w:id="72" w:name="_Toc17944"/>
      <w:bookmarkStart w:id="73" w:name="_Toc31843"/>
      <w:r>
        <w:rPr>
          <w:rFonts w:hint="eastAsia" w:ascii="宋体" w:hAnsi="宋体" w:cs="宋体"/>
          <w:b/>
          <w:bCs/>
          <w:color w:val="000000"/>
          <w:sz w:val="24"/>
          <w:szCs w:val="18"/>
          <w:highlight w:val="none"/>
          <w:u w:val="none" w:color="auto"/>
        </w:rPr>
        <w:t>报价要求</w:t>
      </w:r>
      <w:bookmarkEnd w:id="63"/>
      <w:bookmarkEnd w:id="64"/>
      <w:bookmarkEnd w:id="65"/>
      <w:bookmarkEnd w:id="66"/>
      <w:bookmarkEnd w:id="67"/>
      <w:bookmarkEnd w:id="68"/>
      <w:bookmarkEnd w:id="69"/>
      <w:bookmarkEnd w:id="70"/>
      <w:bookmarkEnd w:id="71"/>
      <w:bookmarkEnd w:id="72"/>
      <w:bookmarkEnd w:id="73"/>
    </w:p>
    <w:p w14:paraId="7E776794">
      <w:pPr>
        <w:spacing w:line="360" w:lineRule="exact"/>
        <w:ind w:firstLine="480" w:firstLineChars="200"/>
        <w:rPr>
          <w:rFonts w:hint="eastAsia"/>
          <w:sz w:val="21"/>
          <w:szCs w:val="15"/>
          <w:lang w:eastAsia="zh-CN"/>
        </w:rPr>
      </w:pPr>
      <w:r>
        <w:rPr>
          <w:rFonts w:hint="eastAsia" w:ascii="宋体" w:hAnsi="宋体" w:cs="宋体"/>
          <w:color w:val="000000"/>
          <w:sz w:val="24"/>
          <w:szCs w:val="18"/>
          <w:highlight w:val="none"/>
          <w:u w:val="none" w:color="auto"/>
          <w:lang w:val="en-US" w:eastAsia="zh-CN"/>
        </w:rPr>
        <w:t>（一</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供应商的报价</w:t>
      </w:r>
      <w:r>
        <w:rPr>
          <w:rFonts w:hint="eastAsia"/>
          <w:sz w:val="21"/>
          <w:szCs w:val="15"/>
        </w:rPr>
        <w:t>：最低价为基准分，“一对一”、“一对二”和“一对多”三种服务模式的报价得分，再按比例汇总。</w:t>
      </w:r>
    </w:p>
    <w:p w14:paraId="20FC81EA">
      <w:pPr>
        <w:spacing w:line="360" w:lineRule="exact"/>
        <w:ind w:firstLine="720" w:firstLineChars="3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rPr>
        <w:t>服务费限价： 供应商无条件承诺，在合同履行期间，向患者收取的陪护服务费绝不超出采购人设定的最高限价，即：</w:t>
      </w:r>
    </w:p>
    <w:p w14:paraId="5C8EAAB4">
      <w:pPr>
        <w:spacing w:line="360" w:lineRule="exact"/>
        <w:ind w:firstLine="480" w:firstLineChars="200"/>
        <w:rPr>
          <w:rFonts w:hint="eastAsia" w:ascii="宋体" w:hAnsi="宋体" w:eastAsia="宋体" w:cs="宋体"/>
          <w:color w:val="000000"/>
          <w:sz w:val="24"/>
          <w:szCs w:val="18"/>
          <w:highlight w:val="none"/>
          <w:u w:val="none" w:color="auto"/>
          <w:lang w:val="en-US" w:eastAsia="zh-CN"/>
        </w:rPr>
      </w:pPr>
      <w:r>
        <w:rPr>
          <w:rFonts w:hint="eastAsia" w:ascii="宋体" w:hAnsi="宋体" w:cs="宋体"/>
          <w:color w:val="000000"/>
          <w:sz w:val="24"/>
          <w:szCs w:val="18"/>
          <w:highlight w:val="none"/>
          <w:u w:val="none" w:color="auto"/>
        </w:rPr>
        <w:t xml:space="preserve"> </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1</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 xml:space="preserve"> 一对一陪护服务费：不超过 </w:t>
      </w:r>
      <w:r>
        <w:rPr>
          <w:rFonts w:hint="eastAsia" w:ascii="宋体" w:hAnsi="宋体" w:cs="宋体"/>
          <w:color w:val="000000"/>
          <w:sz w:val="24"/>
          <w:szCs w:val="18"/>
          <w:highlight w:val="none"/>
          <w:u w:val="none" w:color="auto"/>
          <w:lang w:val="en-US" w:eastAsia="zh-CN"/>
        </w:rPr>
        <w:t>22</w:t>
      </w:r>
      <w:r>
        <w:rPr>
          <w:rFonts w:hint="eastAsia" w:ascii="宋体" w:hAnsi="宋体" w:cs="宋体"/>
          <w:color w:val="000000"/>
          <w:sz w:val="24"/>
          <w:szCs w:val="18"/>
          <w:highlight w:val="none"/>
          <w:u w:val="none" w:color="auto"/>
        </w:rPr>
        <w:t>0元/天</w:t>
      </w:r>
      <w:r>
        <w:rPr>
          <w:rFonts w:hint="eastAsia" w:ascii="宋体" w:hAnsi="宋体" w:cs="宋体"/>
          <w:color w:val="000000"/>
          <w:sz w:val="24"/>
          <w:szCs w:val="18"/>
          <w:highlight w:val="none"/>
          <w:u w:val="none" w:color="auto"/>
          <w:lang w:val="en-US" w:eastAsia="zh-CN"/>
        </w:rPr>
        <w:t>；</w:t>
      </w:r>
    </w:p>
    <w:p w14:paraId="3389CCD7">
      <w:pPr>
        <w:spacing w:line="360" w:lineRule="exact"/>
        <w:ind w:firstLine="480" w:firstLineChars="200"/>
        <w:rPr>
          <w:rFonts w:hint="eastAsia" w:ascii="宋体" w:hAnsi="宋体" w:eastAsia="宋体" w:cs="宋体"/>
          <w:color w:val="auto"/>
          <w:sz w:val="24"/>
          <w:szCs w:val="18"/>
          <w:highlight w:val="none"/>
          <w:u w:val="none" w:color="auto"/>
          <w:lang w:val="en-US" w:eastAsia="zh-CN"/>
        </w:rPr>
      </w:pPr>
      <w:r>
        <w:rPr>
          <w:rFonts w:hint="eastAsia" w:ascii="宋体" w:hAnsi="宋体" w:cs="宋体"/>
          <w:color w:val="000000"/>
          <w:sz w:val="24"/>
          <w:szCs w:val="18"/>
          <w:highlight w:val="none"/>
          <w:u w:val="none" w:color="auto"/>
        </w:rPr>
        <w:t xml:space="preserve">  </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2</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一对二</w:t>
      </w:r>
      <w:r>
        <w:rPr>
          <w:rFonts w:hint="eastAsia" w:ascii="宋体" w:hAnsi="宋体" w:cs="宋体"/>
          <w:color w:val="000000"/>
          <w:sz w:val="24"/>
          <w:szCs w:val="18"/>
          <w:highlight w:val="none"/>
          <w:u w:val="none" w:color="auto"/>
        </w:rPr>
        <w:t>陪护服务费：不超</w:t>
      </w:r>
      <w:r>
        <w:rPr>
          <w:rFonts w:hint="eastAsia" w:ascii="宋体" w:hAnsi="宋体" w:cs="宋体"/>
          <w:color w:val="auto"/>
          <w:sz w:val="24"/>
          <w:szCs w:val="18"/>
          <w:highlight w:val="none"/>
          <w:u w:val="none" w:color="auto"/>
        </w:rPr>
        <w:t>过 1</w:t>
      </w:r>
      <w:r>
        <w:rPr>
          <w:rFonts w:hint="eastAsia" w:ascii="宋体" w:hAnsi="宋体" w:cs="宋体"/>
          <w:color w:val="auto"/>
          <w:sz w:val="24"/>
          <w:szCs w:val="18"/>
          <w:highlight w:val="none"/>
          <w:u w:val="none" w:color="auto"/>
          <w:lang w:val="en-US" w:eastAsia="zh-CN"/>
        </w:rPr>
        <w:t>5</w:t>
      </w:r>
      <w:r>
        <w:rPr>
          <w:rFonts w:hint="eastAsia" w:ascii="宋体" w:hAnsi="宋体" w:cs="宋体"/>
          <w:color w:val="auto"/>
          <w:sz w:val="24"/>
          <w:szCs w:val="18"/>
          <w:highlight w:val="none"/>
          <w:u w:val="none" w:color="auto"/>
        </w:rPr>
        <w:t>0元/天</w:t>
      </w:r>
      <w:r>
        <w:rPr>
          <w:rFonts w:hint="eastAsia" w:ascii="宋体" w:hAnsi="宋体" w:cs="宋体"/>
          <w:color w:val="auto"/>
          <w:sz w:val="24"/>
          <w:szCs w:val="18"/>
          <w:highlight w:val="none"/>
          <w:u w:val="none" w:color="auto"/>
          <w:lang w:val="en-US" w:eastAsia="zh-CN"/>
        </w:rPr>
        <w:t>；</w:t>
      </w:r>
    </w:p>
    <w:p w14:paraId="18EB41D9">
      <w:pPr>
        <w:spacing w:line="360" w:lineRule="exact"/>
        <w:ind w:firstLine="720" w:firstLineChars="300"/>
        <w:rPr>
          <w:rFonts w:hint="eastAsia" w:eastAsia="宋体"/>
          <w:color w:val="auto"/>
          <w:lang w:val="en-US" w:eastAsia="zh-CN"/>
        </w:rPr>
      </w:pPr>
      <w:r>
        <w:rPr>
          <w:rFonts w:hint="eastAsia" w:ascii="宋体" w:hAnsi="宋体" w:cs="宋体"/>
          <w:color w:val="000000"/>
          <w:sz w:val="24"/>
          <w:szCs w:val="18"/>
          <w:highlight w:val="none"/>
          <w:u w:val="none" w:color="auto"/>
          <w:lang w:val="en-US" w:eastAsia="zh-CN"/>
        </w:rPr>
        <w:t>（3）一对多</w:t>
      </w:r>
      <w:r>
        <w:rPr>
          <w:rFonts w:hint="eastAsia" w:ascii="宋体" w:hAnsi="宋体" w:cs="宋体"/>
          <w:color w:val="000000"/>
          <w:sz w:val="24"/>
          <w:szCs w:val="18"/>
          <w:highlight w:val="none"/>
          <w:u w:val="none" w:color="auto"/>
        </w:rPr>
        <w:t>陪护服务费：不超</w:t>
      </w:r>
      <w:r>
        <w:rPr>
          <w:rFonts w:hint="eastAsia" w:ascii="宋体" w:hAnsi="宋体" w:cs="宋体"/>
          <w:color w:val="auto"/>
          <w:sz w:val="24"/>
          <w:szCs w:val="18"/>
          <w:highlight w:val="none"/>
          <w:u w:val="none" w:color="auto"/>
        </w:rPr>
        <w:t>过 1</w:t>
      </w:r>
      <w:r>
        <w:rPr>
          <w:rFonts w:hint="eastAsia" w:ascii="宋体" w:hAnsi="宋体" w:cs="宋体"/>
          <w:color w:val="auto"/>
          <w:sz w:val="24"/>
          <w:szCs w:val="18"/>
          <w:highlight w:val="none"/>
          <w:u w:val="none" w:color="auto"/>
          <w:lang w:val="en-US" w:eastAsia="zh-CN"/>
        </w:rPr>
        <w:t>1</w:t>
      </w:r>
      <w:r>
        <w:rPr>
          <w:rFonts w:hint="eastAsia" w:ascii="宋体" w:hAnsi="宋体" w:cs="宋体"/>
          <w:color w:val="auto"/>
          <w:sz w:val="24"/>
          <w:szCs w:val="18"/>
          <w:highlight w:val="none"/>
          <w:u w:val="none" w:color="auto"/>
        </w:rPr>
        <w:t>0元/天</w:t>
      </w:r>
      <w:r>
        <w:rPr>
          <w:rFonts w:hint="eastAsia" w:ascii="宋体" w:hAnsi="宋体" w:cs="宋体"/>
          <w:color w:val="auto"/>
          <w:sz w:val="24"/>
          <w:szCs w:val="18"/>
          <w:highlight w:val="none"/>
          <w:u w:val="none" w:color="auto"/>
          <w:lang w:val="en-US" w:eastAsia="zh-CN"/>
        </w:rPr>
        <w:t>；</w:t>
      </w:r>
    </w:p>
    <w:p w14:paraId="3E602203">
      <w:pPr>
        <w:spacing w:line="360" w:lineRule="exact"/>
        <w:ind w:firstLine="560" w:firstLineChars="200"/>
        <w:rPr>
          <w:color w:val="auto"/>
        </w:rPr>
      </w:pPr>
    </w:p>
    <w:p w14:paraId="4622B5C1">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二</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报价方式：</w:t>
      </w:r>
    </w:p>
    <w:p w14:paraId="4DB1E26F">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1.</w:t>
      </w:r>
      <w:r>
        <w:rPr>
          <w:rFonts w:hint="eastAsia" w:ascii="宋体" w:hAnsi="宋体" w:cs="宋体"/>
          <w:color w:val="000000"/>
          <w:sz w:val="24"/>
          <w:szCs w:val="18"/>
          <w:highlight w:val="none"/>
          <w:u w:val="none" w:color="auto"/>
        </w:rPr>
        <w:t>本项目采用一次性报价。供应商在响应文件中提交的报价，在比选有效期内固定不变。</w:t>
      </w:r>
    </w:p>
    <w:p w14:paraId="1A21EAD4">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2.</w:t>
      </w:r>
      <w:r>
        <w:rPr>
          <w:rFonts w:hint="eastAsia" w:ascii="宋体" w:hAnsi="宋体" w:cs="宋体"/>
          <w:color w:val="000000"/>
          <w:sz w:val="24"/>
          <w:szCs w:val="18"/>
          <w:highlight w:val="none"/>
          <w:u w:val="none" w:color="auto"/>
        </w:rPr>
        <w:t xml:space="preserve"> 供应商须以包干价形式进行考虑，报价应已包含为完成本项目可能发生的一切费用，如：人员工资、保险、培训、管理、税费、利润等。</w:t>
      </w:r>
    </w:p>
    <w:p w14:paraId="2A6DF143">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eastAsia="宋体" w:cs="宋体"/>
          <w:color w:val="auto"/>
          <w:kern w:val="2"/>
          <w:sz w:val="24"/>
          <w:szCs w:val="24"/>
          <w:lang w:val="en-US" w:eastAsia="zh-CN"/>
        </w:rPr>
        <w:t>※</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三</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报价要求说明：</w:t>
      </w:r>
    </w:p>
    <w:p w14:paraId="36120109">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1.</w:t>
      </w:r>
      <w:r>
        <w:rPr>
          <w:rFonts w:hint="eastAsia" w:ascii="宋体" w:hAnsi="宋体" w:cs="宋体"/>
          <w:color w:val="000000"/>
          <w:sz w:val="24"/>
          <w:szCs w:val="18"/>
          <w:highlight w:val="none"/>
          <w:u w:val="none" w:color="auto"/>
        </w:rPr>
        <w:t xml:space="preserve"> 服务费限价承诺是面向患者的收费上限，旨在保护患者权益。供应商的实际收费可以等于或低于此限价，但不得高于此限价。供应商应在服务方案中明确其拟执行的具体收费标准（不得高于限价）。</w:t>
      </w:r>
    </w:p>
    <w:p w14:paraId="70C35E80">
      <w:pPr>
        <w:spacing w:line="360" w:lineRule="exact"/>
        <w:ind w:firstLine="480" w:firstLineChars="200"/>
        <w:rPr>
          <w:rFonts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2.</w:t>
      </w:r>
      <w:r>
        <w:rPr>
          <w:rFonts w:hint="eastAsia" w:ascii="宋体" w:hAnsi="宋体" w:cs="宋体"/>
          <w:color w:val="000000"/>
          <w:sz w:val="24"/>
          <w:szCs w:val="18"/>
          <w:highlight w:val="none"/>
          <w:u w:val="none" w:color="auto"/>
        </w:rPr>
        <w:t>本次评选的核心依据是供应商承诺的 “陪护人员配置方案” ，而非报价。只要报价符合本条款要求，即被视为有效报价，进入下一轮评审。任何提高服务费限价的报价，将导致其响应文件被作为无效处理。</w:t>
      </w:r>
    </w:p>
    <w:p w14:paraId="33B4632A">
      <w:pPr>
        <w:spacing w:line="360" w:lineRule="auto"/>
        <w:rPr>
          <w:rFonts w:hint="eastAsia" w:ascii="宋体" w:hAnsi="宋体" w:eastAsia="宋体" w:cs="宋体"/>
          <w:b/>
          <w:color w:val="auto"/>
          <w:kern w:val="2"/>
          <w:sz w:val="24"/>
          <w:szCs w:val="24"/>
          <w:highlight w:val="none"/>
          <w:lang w:val="en-US" w:eastAsia="zh-CN" w:bidi="ar-SA"/>
        </w:rPr>
      </w:pPr>
      <w:bookmarkStart w:id="74" w:name="_Toc31240"/>
      <w:r>
        <w:rPr>
          <w:rFonts w:hint="eastAsia" w:ascii="宋体" w:hAnsi="宋体" w:eastAsia="宋体" w:cs="宋体"/>
          <w:b/>
          <w:color w:val="auto"/>
          <w:kern w:val="2"/>
          <w:sz w:val="24"/>
          <w:szCs w:val="24"/>
          <w:highlight w:val="none"/>
          <w:lang w:val="en-US" w:eastAsia="zh-CN" w:bidi="ar-SA"/>
        </w:rPr>
        <w:t>三、付款方式</w:t>
      </w:r>
    </w:p>
    <w:p w14:paraId="0180471E">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2"/>
          <w:sz w:val="24"/>
          <w:szCs w:val="24"/>
          <w:lang w:val="en-US" w:eastAsia="zh-CN"/>
        </w:rPr>
        <w:t>※</w:t>
      </w:r>
      <w:r>
        <w:rPr>
          <w:rFonts w:hint="eastAsia" w:ascii="宋体" w:hAnsi="宋体" w:eastAsia="宋体" w:cs="宋体"/>
          <w:bCs/>
          <w:color w:val="auto"/>
          <w:sz w:val="24"/>
          <w:szCs w:val="24"/>
          <w:highlight w:val="none"/>
        </w:rPr>
        <w:t>履约保证金：合同签订</w:t>
      </w:r>
      <w:r>
        <w:rPr>
          <w:rFonts w:hint="eastAsia" w:ascii="宋体" w:hAnsi="宋体" w:eastAsia="宋体" w:cs="宋体"/>
          <w:bCs/>
          <w:color w:val="auto"/>
          <w:sz w:val="24"/>
          <w:szCs w:val="24"/>
          <w:highlight w:val="none"/>
          <w:lang w:val="en-US" w:eastAsia="zh-CN"/>
        </w:rPr>
        <w:t>前</w:t>
      </w:r>
      <w:r>
        <w:rPr>
          <w:rFonts w:hint="eastAsia" w:ascii="宋体" w:hAnsi="宋体" w:eastAsia="宋体" w:cs="宋体"/>
          <w:bCs/>
          <w:color w:val="auto"/>
          <w:sz w:val="24"/>
          <w:szCs w:val="24"/>
          <w:highlight w:val="none"/>
        </w:rPr>
        <w:t>成交供应商须向采购人缴纳</w:t>
      </w:r>
      <w:r>
        <w:rPr>
          <w:rFonts w:hint="eastAsia" w:ascii="宋体" w:hAnsi="宋体" w:eastAsia="宋体" w:cs="宋体"/>
          <w:bCs/>
          <w:color w:val="auto"/>
          <w:sz w:val="24"/>
          <w:szCs w:val="24"/>
          <w:highlight w:val="none"/>
          <w:lang w:val="en-US" w:eastAsia="zh-CN"/>
        </w:rPr>
        <w:t>贰万元整</w:t>
      </w:r>
      <w:r>
        <w:rPr>
          <w:rFonts w:hint="eastAsia" w:ascii="宋体" w:hAnsi="宋体" w:eastAsia="宋体" w:cs="宋体"/>
          <w:bCs/>
          <w:color w:val="auto"/>
          <w:sz w:val="24"/>
          <w:szCs w:val="24"/>
          <w:highlight w:val="none"/>
        </w:rPr>
        <w:t>作为履约保证金（以支票、汇票、本票、见索即付不可撤销的金融机构或担保机构出具的独立保函等形式提交。)在成交供应商完全履行合同义务且与采购人无争议及纠纷的情况下采购人无息退还。若成交供应商存在违约情况，履约保证金不退还。</w:t>
      </w:r>
    </w:p>
    <w:bookmarkEnd w:id="74"/>
    <w:p w14:paraId="3C0C010D">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bookmarkStart w:id="75" w:name="_Toc344475125"/>
      <w:r>
        <w:rPr>
          <w:rFonts w:hint="eastAsia" w:ascii="宋体" w:hAnsi="宋体" w:eastAsia="宋体" w:cs="宋体"/>
          <w:color w:val="auto"/>
          <w:sz w:val="24"/>
          <w:szCs w:val="24"/>
          <w:highlight w:val="none"/>
        </w:rPr>
        <w:t>知识产权</w:t>
      </w:r>
    </w:p>
    <w:bookmarkEnd w:id="75"/>
    <w:p w14:paraId="5A5DFCFF">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6276B4E">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注：（若涉及软件开发等服务类项目知识产权的，知识产权归采购人所有）。</w:t>
      </w:r>
    </w:p>
    <w:p w14:paraId="486F4AEA">
      <w:pPr>
        <w:pStyle w:val="5"/>
        <w:spacing w:line="360" w:lineRule="auto"/>
        <w:rPr>
          <w:rFonts w:hint="eastAsia" w:ascii="宋体" w:hAnsi="宋体" w:eastAsia="宋体" w:cs="宋体"/>
          <w:color w:val="auto"/>
          <w:sz w:val="24"/>
          <w:szCs w:val="24"/>
          <w:highlight w:val="none"/>
        </w:rPr>
      </w:pPr>
      <w:bookmarkStart w:id="76" w:name="_Toc466546918"/>
      <w:bookmarkStart w:id="77" w:name="_Toc1340"/>
      <w:bookmarkStart w:id="78" w:name="_Toc519"/>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w:t>
      </w:r>
      <w:bookmarkEnd w:id="76"/>
      <w:bookmarkEnd w:id="77"/>
      <w:r>
        <w:rPr>
          <w:rFonts w:hint="eastAsia" w:ascii="宋体" w:hAnsi="宋体" w:eastAsia="宋体" w:cs="宋体"/>
          <w:color w:val="auto"/>
          <w:sz w:val="24"/>
          <w:szCs w:val="24"/>
          <w:highlight w:val="none"/>
        </w:rPr>
        <w:t>要求</w:t>
      </w:r>
      <w:bookmarkEnd w:id="78"/>
    </w:p>
    <w:p w14:paraId="4291D5FF">
      <w:pPr>
        <w:spacing w:line="360" w:lineRule="auto"/>
        <w:ind w:firstLine="480" w:firstLineChars="200"/>
        <w:rPr>
          <w:rFonts w:hint="eastAsia" w:ascii="宋体" w:hAnsi="宋体" w:eastAsia="宋体" w:cs="宋体"/>
          <w:color w:val="auto"/>
          <w:sz w:val="24"/>
          <w:szCs w:val="24"/>
          <w:highlight w:val="none"/>
        </w:rPr>
      </w:pPr>
      <w:bookmarkStart w:id="79" w:name="_Toc5234"/>
      <w:bookmarkStart w:id="80" w:name="_Toc26"/>
      <w:bookmarkStart w:id="81" w:name="_Toc14144"/>
      <w:bookmarkStart w:id="82" w:name="_Toc28971"/>
      <w:r>
        <w:rPr>
          <w:rFonts w:hint="eastAsia" w:ascii="宋体" w:hAnsi="宋体" w:eastAsia="宋体" w:cs="宋体"/>
          <w:color w:val="auto"/>
          <w:sz w:val="24"/>
          <w:szCs w:val="24"/>
          <w:highlight w:val="none"/>
        </w:rPr>
        <w:t>（一）供应商必须在响应文件中对以上条款和服务承诺明确列出，承诺内容必须达到本篇及</w:t>
      </w:r>
      <w:r>
        <w:rPr>
          <w:rFonts w:hint="eastAsia" w:ascii="宋体" w:hAnsi="宋体" w:cs="宋体"/>
          <w:color w:val="auto"/>
          <w:sz w:val="24"/>
          <w:highlight w:val="none"/>
          <w:lang w:val="en-US" w:eastAsia="zh-CN"/>
        </w:rPr>
        <w:t>比选</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其他条款的要求。</w:t>
      </w:r>
      <w:bookmarkEnd w:id="79"/>
      <w:bookmarkEnd w:id="80"/>
    </w:p>
    <w:p w14:paraId="623BB136">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（二）其他未尽事宜由供需双方在采购合同中详细约定</w:t>
      </w:r>
      <w:r>
        <w:rPr>
          <w:rFonts w:hint="eastAsia" w:ascii="宋体" w:hAnsi="宋体" w:eastAsia="宋体" w:cs="宋体"/>
          <w:color w:val="auto"/>
          <w:sz w:val="24"/>
          <w:szCs w:val="24"/>
          <w:highlight w:val="none"/>
          <w:lang w:val="zh-CN"/>
        </w:rPr>
        <w:t>。</w:t>
      </w:r>
    </w:p>
    <w:p w14:paraId="7615B533">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bookmarkEnd w:id="81"/>
    <w:bookmarkEnd w:id="82"/>
    <w:p w14:paraId="3250DAC3">
      <w:pPr>
        <w:pStyle w:val="4"/>
        <w:spacing w:line="360" w:lineRule="auto"/>
        <w:jc w:val="both"/>
        <w:rPr>
          <w:rFonts w:hint="eastAsia" w:ascii="宋体" w:hAnsi="宋体" w:eastAsia="宋体" w:cs="宋体"/>
          <w:b/>
          <w:bCs/>
          <w:color w:val="auto"/>
          <w:sz w:val="36"/>
          <w:szCs w:val="30"/>
          <w:highlight w:val="none"/>
        </w:rPr>
      </w:pPr>
      <w:bookmarkStart w:id="83" w:name="_Toc6035"/>
      <w:r>
        <w:rPr>
          <w:rFonts w:hint="eastAsia" w:ascii="宋体" w:hAnsi="宋体" w:eastAsia="宋体" w:cs="宋体"/>
          <w:b/>
          <w:bCs/>
          <w:color w:val="auto"/>
          <w:sz w:val="36"/>
          <w:szCs w:val="30"/>
          <w:highlight w:val="none"/>
        </w:rPr>
        <w:t xml:space="preserve">第四篇  </w:t>
      </w:r>
      <w:r>
        <w:rPr>
          <w:rFonts w:hint="eastAsia" w:ascii="宋体" w:hAnsi="宋体" w:eastAsia="宋体" w:cs="宋体"/>
          <w:b/>
          <w:bCs/>
          <w:color w:val="auto"/>
          <w:sz w:val="36"/>
          <w:szCs w:val="30"/>
          <w:highlight w:val="none"/>
          <w:lang w:eastAsia="zh-CN"/>
        </w:rPr>
        <w:t>比选</w:t>
      </w:r>
      <w:r>
        <w:rPr>
          <w:rFonts w:hint="eastAsia" w:ascii="宋体" w:hAnsi="宋体" w:eastAsia="宋体" w:cs="宋体"/>
          <w:b/>
          <w:bCs/>
          <w:color w:val="auto"/>
          <w:sz w:val="36"/>
          <w:szCs w:val="30"/>
          <w:highlight w:val="none"/>
        </w:rPr>
        <w:t>程序及方法、评审标准、无效响应和</w:t>
      </w:r>
      <w:r>
        <w:rPr>
          <w:rFonts w:hint="eastAsia" w:ascii="宋体" w:hAnsi="宋体" w:eastAsia="宋体" w:cs="宋体"/>
          <w:b/>
          <w:bCs/>
          <w:color w:val="auto"/>
          <w:sz w:val="36"/>
          <w:szCs w:val="36"/>
          <w:highlight w:val="none"/>
        </w:rPr>
        <w:t>采购终止</w:t>
      </w:r>
      <w:bookmarkEnd w:id="83"/>
    </w:p>
    <w:p w14:paraId="7B53884F">
      <w:pPr>
        <w:pStyle w:val="5"/>
        <w:spacing w:line="440" w:lineRule="exact"/>
        <w:rPr>
          <w:rFonts w:hint="eastAsia" w:ascii="宋体" w:hAnsi="宋体" w:eastAsia="宋体" w:cs="宋体"/>
          <w:color w:val="auto"/>
          <w:sz w:val="24"/>
          <w:szCs w:val="24"/>
          <w:highlight w:val="none"/>
        </w:rPr>
      </w:pPr>
      <w:bookmarkStart w:id="84" w:name="_Toc19974"/>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w:t>
      </w:r>
      <w:bookmarkEnd w:id="84"/>
    </w:p>
    <w:p w14:paraId="05FB518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按</w:t>
      </w:r>
      <w:r>
        <w:rPr>
          <w:rFonts w:hint="eastAsia" w:ascii="宋体" w:hAnsi="宋体" w:cs="宋体"/>
          <w:color w:val="auto"/>
          <w:sz w:val="24"/>
          <w:highlight w:val="none"/>
          <w:lang w:val="en-US" w:eastAsia="zh-CN"/>
        </w:rPr>
        <w:t>比选</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规定的时间和地点进行，供应商须有法定代表人（或其授权代表）或自然人参加并签到。</w:t>
      </w:r>
    </w:p>
    <w:p w14:paraId="043852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（二）比选小组对各供应商的资格条件、比选响应文件的有效性、完整性和响应程度进行审查。各供应商只有在完全符合要求的前提下，才能参与正式比选。</w:t>
      </w:r>
    </w:p>
    <w:p w14:paraId="284F0A17">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的规定，对比选响应文件中的资格证明等进行审查，以确定供应商是否具备比选资格。资格性审查资料表如下：</w:t>
      </w:r>
    </w:p>
    <w:tbl>
      <w:tblPr>
        <w:tblStyle w:val="2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39C0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AA2227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8" w:type="dxa"/>
            <w:gridSpan w:val="2"/>
            <w:vAlign w:val="center"/>
          </w:tcPr>
          <w:p w14:paraId="605FAB90">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413" w:type="dxa"/>
            <w:vAlign w:val="center"/>
          </w:tcPr>
          <w:p w14:paraId="26964E5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7250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7355D9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0127D747">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9" w:type="dxa"/>
            <w:vAlign w:val="center"/>
          </w:tcPr>
          <w:p w14:paraId="5E830D4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413" w:type="dxa"/>
            <w:vAlign w:val="center"/>
          </w:tcPr>
          <w:p w14:paraId="6439A81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24235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3A28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E8286BE">
            <w:pPr>
              <w:jc w:val="center"/>
              <w:rPr>
                <w:rFonts w:hint="eastAsia" w:ascii="宋体" w:hAnsi="宋体" w:eastAsia="宋体" w:cs="宋体"/>
                <w:color w:val="auto"/>
                <w:sz w:val="21"/>
                <w:szCs w:val="21"/>
                <w:highlight w:val="none"/>
              </w:rPr>
            </w:pPr>
          </w:p>
        </w:tc>
        <w:tc>
          <w:tcPr>
            <w:tcW w:w="709" w:type="dxa"/>
            <w:vMerge w:val="continue"/>
            <w:vAlign w:val="center"/>
          </w:tcPr>
          <w:p w14:paraId="3E3E6718">
            <w:pPr>
              <w:rPr>
                <w:rFonts w:hint="eastAsia" w:ascii="宋体" w:hAnsi="宋体" w:eastAsia="宋体" w:cs="宋体"/>
                <w:color w:val="auto"/>
                <w:sz w:val="21"/>
                <w:szCs w:val="21"/>
                <w:highlight w:val="none"/>
                <w:lang w:val="zh-CN"/>
              </w:rPr>
            </w:pPr>
          </w:p>
        </w:tc>
        <w:tc>
          <w:tcPr>
            <w:tcW w:w="3689" w:type="dxa"/>
            <w:vAlign w:val="center"/>
          </w:tcPr>
          <w:p w14:paraId="7AB9294F">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413" w:type="dxa"/>
            <w:vMerge w:val="restart"/>
            <w:vAlign w:val="center"/>
          </w:tcPr>
          <w:p w14:paraId="10245EBF">
            <w:pPr>
              <w:rPr>
                <w:rFonts w:hint="eastAsia" w:ascii="宋体" w:hAnsi="宋体" w:eastAsia="宋体" w:cs="宋体"/>
                <w:color w:val="auto"/>
                <w:sz w:val="21"/>
                <w:szCs w:val="21"/>
                <w:highlight w:val="none"/>
              </w:rPr>
            </w:pPr>
            <w:bookmarkStart w:id="85" w:name="OLE_LINK2"/>
            <w:r>
              <w:rPr>
                <w:rFonts w:hint="eastAsia" w:ascii="宋体" w:hAnsi="宋体" w:eastAsia="宋体" w:cs="宋体"/>
                <w:color w:val="auto"/>
                <w:sz w:val="21"/>
                <w:szCs w:val="21"/>
                <w:highlight w:val="none"/>
              </w:rPr>
              <w:t>供应商提供“基本资格条件承诺函”（格式详见第七篇）</w:t>
            </w:r>
            <w:bookmarkEnd w:id="85"/>
          </w:p>
        </w:tc>
      </w:tr>
      <w:tr w14:paraId="1494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DE95B75">
            <w:pPr>
              <w:jc w:val="center"/>
              <w:rPr>
                <w:rFonts w:hint="eastAsia" w:ascii="宋体" w:hAnsi="宋体" w:eastAsia="宋体" w:cs="宋体"/>
                <w:color w:val="auto"/>
                <w:sz w:val="21"/>
                <w:szCs w:val="21"/>
                <w:highlight w:val="none"/>
              </w:rPr>
            </w:pPr>
          </w:p>
        </w:tc>
        <w:tc>
          <w:tcPr>
            <w:tcW w:w="709" w:type="dxa"/>
            <w:vMerge w:val="continue"/>
            <w:vAlign w:val="center"/>
          </w:tcPr>
          <w:p w14:paraId="130333DD">
            <w:pPr>
              <w:rPr>
                <w:rFonts w:hint="eastAsia" w:ascii="宋体" w:hAnsi="宋体" w:eastAsia="宋体" w:cs="宋体"/>
                <w:color w:val="auto"/>
                <w:sz w:val="21"/>
                <w:szCs w:val="21"/>
                <w:highlight w:val="none"/>
                <w:lang w:val="zh-CN"/>
              </w:rPr>
            </w:pPr>
          </w:p>
        </w:tc>
        <w:tc>
          <w:tcPr>
            <w:tcW w:w="3689" w:type="dxa"/>
            <w:vAlign w:val="center"/>
          </w:tcPr>
          <w:p w14:paraId="2A26A58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413" w:type="dxa"/>
            <w:vMerge w:val="continue"/>
            <w:vAlign w:val="center"/>
          </w:tcPr>
          <w:p w14:paraId="108E9462">
            <w:pPr>
              <w:rPr>
                <w:rFonts w:hint="eastAsia" w:ascii="宋体" w:hAnsi="宋体" w:eastAsia="宋体" w:cs="宋体"/>
                <w:color w:val="auto"/>
                <w:sz w:val="21"/>
                <w:szCs w:val="21"/>
                <w:highlight w:val="none"/>
              </w:rPr>
            </w:pPr>
          </w:p>
        </w:tc>
      </w:tr>
      <w:tr w14:paraId="1FE8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57D7707B">
            <w:pPr>
              <w:jc w:val="center"/>
              <w:rPr>
                <w:rFonts w:hint="eastAsia" w:ascii="宋体" w:hAnsi="宋体" w:eastAsia="宋体" w:cs="宋体"/>
                <w:color w:val="auto"/>
                <w:sz w:val="21"/>
                <w:szCs w:val="21"/>
                <w:highlight w:val="none"/>
              </w:rPr>
            </w:pPr>
          </w:p>
        </w:tc>
        <w:tc>
          <w:tcPr>
            <w:tcW w:w="709" w:type="dxa"/>
            <w:vMerge w:val="continue"/>
            <w:vAlign w:val="center"/>
          </w:tcPr>
          <w:p w14:paraId="6A991497">
            <w:pPr>
              <w:rPr>
                <w:rFonts w:hint="eastAsia" w:ascii="宋体" w:hAnsi="宋体" w:eastAsia="宋体" w:cs="宋体"/>
                <w:color w:val="auto"/>
                <w:sz w:val="21"/>
                <w:szCs w:val="21"/>
                <w:highlight w:val="none"/>
                <w:lang w:val="zh-CN"/>
              </w:rPr>
            </w:pPr>
          </w:p>
        </w:tc>
        <w:tc>
          <w:tcPr>
            <w:tcW w:w="3689" w:type="dxa"/>
            <w:vAlign w:val="center"/>
          </w:tcPr>
          <w:p w14:paraId="731DEC75">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413" w:type="dxa"/>
            <w:vMerge w:val="continue"/>
            <w:vAlign w:val="center"/>
          </w:tcPr>
          <w:p w14:paraId="2280CD0F">
            <w:pPr>
              <w:rPr>
                <w:rFonts w:hint="eastAsia" w:ascii="宋体" w:hAnsi="宋体" w:eastAsia="宋体" w:cs="宋体"/>
                <w:color w:val="auto"/>
                <w:sz w:val="21"/>
                <w:szCs w:val="21"/>
                <w:highlight w:val="none"/>
              </w:rPr>
            </w:pPr>
          </w:p>
        </w:tc>
      </w:tr>
      <w:tr w14:paraId="6348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6379A40">
            <w:pPr>
              <w:jc w:val="center"/>
              <w:rPr>
                <w:rFonts w:hint="eastAsia" w:ascii="宋体" w:hAnsi="宋体" w:eastAsia="宋体" w:cs="宋体"/>
                <w:color w:val="auto"/>
                <w:sz w:val="21"/>
                <w:szCs w:val="21"/>
                <w:highlight w:val="none"/>
              </w:rPr>
            </w:pPr>
          </w:p>
        </w:tc>
        <w:tc>
          <w:tcPr>
            <w:tcW w:w="709" w:type="dxa"/>
            <w:vMerge w:val="continue"/>
            <w:vAlign w:val="center"/>
          </w:tcPr>
          <w:p w14:paraId="1CA19638">
            <w:pPr>
              <w:rPr>
                <w:rFonts w:hint="eastAsia" w:ascii="宋体" w:hAnsi="宋体" w:eastAsia="宋体" w:cs="宋体"/>
                <w:color w:val="auto"/>
                <w:sz w:val="21"/>
                <w:szCs w:val="21"/>
                <w:highlight w:val="none"/>
                <w:lang w:val="zh-CN"/>
              </w:rPr>
            </w:pPr>
          </w:p>
        </w:tc>
        <w:tc>
          <w:tcPr>
            <w:tcW w:w="3689" w:type="dxa"/>
            <w:vAlign w:val="center"/>
          </w:tcPr>
          <w:p w14:paraId="61306D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tc>
        <w:tc>
          <w:tcPr>
            <w:tcW w:w="4413" w:type="dxa"/>
            <w:vMerge w:val="continue"/>
            <w:vAlign w:val="center"/>
          </w:tcPr>
          <w:p w14:paraId="24883AE2">
            <w:pPr>
              <w:rPr>
                <w:rFonts w:hint="eastAsia" w:ascii="宋体" w:hAnsi="宋体" w:eastAsia="宋体" w:cs="宋体"/>
                <w:b/>
                <w:color w:val="auto"/>
                <w:sz w:val="21"/>
                <w:szCs w:val="21"/>
                <w:highlight w:val="none"/>
              </w:rPr>
            </w:pPr>
          </w:p>
        </w:tc>
      </w:tr>
      <w:tr w14:paraId="283C3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6C60BA75">
            <w:pPr>
              <w:jc w:val="center"/>
              <w:rPr>
                <w:rFonts w:hint="eastAsia" w:ascii="宋体" w:hAnsi="宋体" w:eastAsia="宋体" w:cs="宋体"/>
                <w:color w:val="auto"/>
                <w:sz w:val="21"/>
                <w:szCs w:val="21"/>
                <w:highlight w:val="none"/>
              </w:rPr>
            </w:pPr>
          </w:p>
        </w:tc>
        <w:tc>
          <w:tcPr>
            <w:tcW w:w="709" w:type="dxa"/>
            <w:vMerge w:val="continue"/>
            <w:vAlign w:val="center"/>
          </w:tcPr>
          <w:p w14:paraId="74A9B692">
            <w:pPr>
              <w:rPr>
                <w:rFonts w:hint="eastAsia" w:ascii="宋体" w:hAnsi="宋体" w:eastAsia="宋体" w:cs="宋体"/>
                <w:color w:val="auto"/>
                <w:sz w:val="21"/>
                <w:szCs w:val="21"/>
                <w:highlight w:val="none"/>
              </w:rPr>
            </w:pPr>
          </w:p>
        </w:tc>
        <w:tc>
          <w:tcPr>
            <w:tcW w:w="3689" w:type="dxa"/>
            <w:vAlign w:val="center"/>
          </w:tcPr>
          <w:p w14:paraId="02535FC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413" w:type="dxa"/>
            <w:vAlign w:val="center"/>
          </w:tcPr>
          <w:p w14:paraId="1D9076AF">
            <w:pPr>
              <w:rPr>
                <w:rFonts w:hint="eastAsia" w:ascii="宋体" w:hAnsi="宋体" w:eastAsia="宋体" w:cs="宋体"/>
                <w:color w:val="auto"/>
                <w:sz w:val="21"/>
                <w:szCs w:val="21"/>
                <w:highlight w:val="none"/>
              </w:rPr>
            </w:pPr>
          </w:p>
        </w:tc>
      </w:tr>
      <w:tr w14:paraId="42B50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6F4C4CFC">
            <w:pPr>
              <w:jc w:val="center"/>
              <w:rPr>
                <w:rFonts w:hint="eastAsia" w:ascii="宋体" w:hAnsi="宋体" w:eastAsia="宋体" w:cs="宋体"/>
                <w:color w:val="auto"/>
                <w:sz w:val="21"/>
                <w:szCs w:val="21"/>
                <w:highlight w:val="none"/>
              </w:rPr>
            </w:pPr>
          </w:p>
        </w:tc>
        <w:tc>
          <w:tcPr>
            <w:tcW w:w="709" w:type="dxa"/>
            <w:vMerge w:val="continue"/>
            <w:vAlign w:val="center"/>
          </w:tcPr>
          <w:p w14:paraId="4AD047CF">
            <w:pPr>
              <w:rPr>
                <w:rFonts w:hint="eastAsia" w:ascii="宋体" w:hAnsi="宋体" w:eastAsia="宋体" w:cs="宋体"/>
                <w:color w:val="auto"/>
                <w:sz w:val="21"/>
                <w:szCs w:val="21"/>
                <w:highlight w:val="none"/>
              </w:rPr>
            </w:pPr>
          </w:p>
        </w:tc>
        <w:tc>
          <w:tcPr>
            <w:tcW w:w="3689" w:type="dxa"/>
            <w:vAlign w:val="center"/>
          </w:tcPr>
          <w:p w14:paraId="35EFFD2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413" w:type="dxa"/>
            <w:vAlign w:val="center"/>
          </w:tcPr>
          <w:p w14:paraId="7177AD5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无</w:t>
            </w:r>
          </w:p>
        </w:tc>
      </w:tr>
    </w:tbl>
    <w:p w14:paraId="4D664519">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B56A9B2">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0247DDC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的规定，从比选响应文件的有效性、完整性和对</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的实质性要求作出响应。符合性审查资料表如下：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76E5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498CCA96">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63F029F4">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590CDD44">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587D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210652DA">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60C59F8B">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30A51386">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比选响应文件签署或盖章</w:t>
            </w:r>
          </w:p>
        </w:tc>
        <w:tc>
          <w:tcPr>
            <w:tcW w:w="5382" w:type="dxa"/>
            <w:vAlign w:val="center"/>
          </w:tcPr>
          <w:p w14:paraId="1DADE9F2">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w:t>
            </w: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“第七篇比选响应文件编制要求”要求签署或盖章。</w:t>
            </w:r>
          </w:p>
        </w:tc>
      </w:tr>
      <w:tr w14:paraId="23C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0DDB3E55">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63A991B">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7A24BC72">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64C5013E">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w:t>
            </w: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规定的格式，签署或盖章齐全。</w:t>
            </w:r>
          </w:p>
        </w:tc>
      </w:tr>
      <w:tr w14:paraId="1404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63831347">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448343B9">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6F29C677">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55015DA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2AA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5AD272A1">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E254C63">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05D9D1F6">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56C1D44B">
            <w:pPr>
              <w:snapToGrid w:val="0"/>
              <w:spacing w:line="400" w:lineRule="exac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不能低于</w:t>
            </w:r>
            <w:r>
              <w:rPr>
                <w:rFonts w:hint="eastAsia" w:ascii="宋体" w:hAnsi="宋体" w:eastAsia="宋体" w:cs="宋体"/>
                <w:color w:val="auto"/>
                <w:kern w:val="0"/>
                <w:sz w:val="21"/>
                <w:szCs w:val="21"/>
                <w:highlight w:val="none"/>
              </w:rPr>
              <w:t>限价</w:t>
            </w:r>
            <w:r>
              <w:rPr>
                <w:rFonts w:hint="eastAsia" w:ascii="宋体" w:hAnsi="宋体" w:cs="宋体"/>
                <w:color w:val="auto"/>
                <w:kern w:val="0"/>
                <w:sz w:val="21"/>
                <w:szCs w:val="21"/>
                <w:highlight w:val="none"/>
                <w:lang w:val="en-US" w:eastAsia="zh-CN"/>
              </w:rPr>
              <w:t>标准</w:t>
            </w:r>
            <w:r>
              <w:rPr>
                <w:rFonts w:hint="eastAsia" w:ascii="宋体" w:hAnsi="宋体" w:eastAsia="宋体" w:cs="宋体"/>
                <w:color w:val="auto"/>
                <w:kern w:val="0"/>
                <w:sz w:val="21"/>
                <w:szCs w:val="21"/>
                <w:highlight w:val="none"/>
                <w:lang w:val="zh-CN"/>
              </w:rPr>
              <w:t>报价，</w:t>
            </w:r>
            <w:r>
              <w:rPr>
                <w:rFonts w:hint="eastAsia" w:ascii="宋体" w:hAnsi="宋体" w:eastAsia="宋体" w:cs="宋体"/>
                <w:color w:val="auto"/>
                <w:kern w:val="0"/>
                <w:sz w:val="21"/>
                <w:szCs w:val="21"/>
                <w:highlight w:val="none"/>
              </w:rPr>
              <w:t>只能有一个有效报价，不得提交选择性报价。</w:t>
            </w:r>
          </w:p>
        </w:tc>
      </w:tr>
      <w:tr w14:paraId="0DCB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1230FA77">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089DF0DC">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04810F33">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份数</w:t>
            </w:r>
          </w:p>
        </w:tc>
        <w:tc>
          <w:tcPr>
            <w:tcW w:w="5382" w:type="dxa"/>
            <w:vAlign w:val="center"/>
          </w:tcPr>
          <w:p w14:paraId="2A3BF8A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正、副本数量（含电子文档）符合</w:t>
            </w: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lang w:val="zh-CN"/>
              </w:rPr>
              <w:t>要求。</w:t>
            </w:r>
          </w:p>
        </w:tc>
      </w:tr>
      <w:tr w14:paraId="48D1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2C4CFD27">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7DFFCA60">
            <w:pPr>
              <w:snapToGri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33CAF1C6">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570C8CC5">
            <w:pPr>
              <w:snapToGrid w:val="0"/>
              <w:spacing w:line="400" w:lineRule="exac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第二篇、第三篇。</w:t>
            </w:r>
          </w:p>
        </w:tc>
      </w:tr>
      <w:tr w14:paraId="1A86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7D76945A">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14:paraId="5611B7BA">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14:paraId="5B49E23B">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比选</w:t>
            </w:r>
            <w:r>
              <w:rPr>
                <w:rFonts w:hint="eastAsia" w:ascii="宋体" w:hAnsi="宋体" w:eastAsia="宋体" w:cs="宋体"/>
                <w:color w:val="auto"/>
                <w:kern w:val="0"/>
                <w:sz w:val="21"/>
                <w:szCs w:val="21"/>
                <w:highlight w:val="none"/>
              </w:rPr>
              <w:t>有效期</w:t>
            </w:r>
          </w:p>
        </w:tc>
        <w:tc>
          <w:tcPr>
            <w:tcW w:w="5382" w:type="dxa"/>
            <w:vAlign w:val="center"/>
          </w:tcPr>
          <w:p w14:paraId="55E82831">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比选响应文件及有关承诺文件有效期为提交比选响应文件截止时间起90天。</w:t>
            </w:r>
          </w:p>
        </w:tc>
      </w:tr>
    </w:tbl>
    <w:p w14:paraId="2FC55BB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比选小组在对比选响应文件的有效性、完整性和响应程度进行审查时，可以要求供应商对比选响应文件中含义不明确、同类问题表述不一致或者有明显文字和计算错误的内容等作出必要的澄清、说明或者更正。供应商的澄清、说明或者更正不得超出比选响应文件的范围或者改变比选响应文件的实质性内容。</w:t>
      </w:r>
    </w:p>
    <w:p w14:paraId="175E0F5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小组要求供应商澄清、说明或者更正比选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6BE57B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（五）在比选过程中比选的任何一方不得向他人透露与比选有关的服务资料、价格或其他信息。</w:t>
      </w:r>
    </w:p>
    <w:p w14:paraId="28D249A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（六）在比选过程中，比选小组可以根据</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和比选情况实质性变动采购需求中的服务、商务要求以及合同草案条款，但不得变动</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中的其他内容。实质性变动的内容，须经采购人代表确认。对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作出的实质性变动是</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的有效组成部分，比选小组应当及时以书面形式同时通知所有参加比选的供应商。</w:t>
      </w:r>
    </w:p>
    <w:p w14:paraId="19FE29D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（七）供应商在比选时作出的所有书面承诺须由法定代表人（或其授权代表）或自然人（供应商为自然人）签署。</w:t>
      </w:r>
    </w:p>
    <w:p w14:paraId="485FC57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（八）比选小组采用综合评分法对供应商的比选响应文件和报价（含有效书面承诺）进行综合评分。综合评分法，是指比选响应文件满足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全部实质性要求且按照评审因素的量化指标评审得分最高的供应商为成交候选供应商的评审方法。供应商总得分为价格、服务、商务等评定因素分别按照相应权重值计算分项得分后相加，满分为100分。</w:t>
      </w:r>
    </w:p>
    <w:p w14:paraId="7D6505FF">
      <w:pP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顺序排列。评审得分且报价相同的，按照服务指标优劣顺序排列推荐。以上都相同的，按商务条款的优劣顺序排列推荐。</w:t>
      </w:r>
    </w:p>
    <w:p w14:paraId="7AE8F279">
      <w:pPr>
        <w:pStyle w:val="5"/>
        <w:spacing w:line="440" w:lineRule="exact"/>
        <w:rPr>
          <w:rFonts w:hint="eastAsia" w:ascii="宋体" w:hAnsi="宋体" w:eastAsia="宋体" w:cs="宋体"/>
          <w:color w:val="auto"/>
          <w:sz w:val="24"/>
          <w:szCs w:val="24"/>
          <w:highlight w:val="none"/>
        </w:rPr>
      </w:pPr>
      <w:bookmarkStart w:id="86" w:name="_Toc13532"/>
      <w:r>
        <w:rPr>
          <w:rFonts w:hint="eastAsia" w:ascii="宋体" w:hAnsi="宋体" w:eastAsia="宋体" w:cs="宋体"/>
          <w:color w:val="auto"/>
          <w:sz w:val="24"/>
          <w:szCs w:val="24"/>
          <w:highlight w:val="none"/>
        </w:rPr>
        <w:t>二、</w:t>
      </w:r>
      <w:bookmarkStart w:id="87" w:name="_Toc102227320"/>
      <w:bookmarkStart w:id="88" w:name="_Toc342913394"/>
      <w:r>
        <w:rPr>
          <w:rFonts w:hint="eastAsia" w:ascii="宋体" w:hAnsi="宋体" w:eastAsia="宋体" w:cs="宋体"/>
          <w:color w:val="auto"/>
          <w:sz w:val="24"/>
          <w:szCs w:val="24"/>
          <w:highlight w:val="none"/>
        </w:rPr>
        <w:t>评审标准</w:t>
      </w:r>
      <w:bookmarkEnd w:id="86"/>
    </w:p>
    <w:p w14:paraId="4C6A608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20"/>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244"/>
        <w:gridCol w:w="1056"/>
        <w:gridCol w:w="5934"/>
      </w:tblGrid>
      <w:tr w14:paraId="4B50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14:paraId="6838F0D4">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D28BE84">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3A54D562">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1056" w:type="dxa"/>
            <w:tcBorders>
              <w:top w:val="single" w:color="auto" w:sz="4" w:space="0"/>
              <w:left w:val="single" w:color="auto" w:sz="4" w:space="0"/>
              <w:bottom w:val="single" w:color="auto" w:sz="4" w:space="0"/>
              <w:right w:val="single" w:color="auto" w:sz="4" w:space="0"/>
            </w:tcBorders>
            <w:vAlign w:val="center"/>
          </w:tcPr>
          <w:p w14:paraId="542CDA19">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934" w:type="dxa"/>
            <w:tcBorders>
              <w:top w:val="single" w:color="auto" w:sz="4" w:space="0"/>
              <w:left w:val="single" w:color="auto" w:sz="4" w:space="0"/>
              <w:bottom w:val="single" w:color="auto" w:sz="4" w:space="0"/>
              <w:right w:val="single" w:color="auto" w:sz="4" w:space="0"/>
            </w:tcBorders>
            <w:vAlign w:val="center"/>
          </w:tcPr>
          <w:p w14:paraId="647FE9A7">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09B2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591" w:type="dxa"/>
            <w:tcBorders>
              <w:left w:val="single" w:color="auto" w:sz="4" w:space="0"/>
              <w:right w:val="single" w:color="auto" w:sz="4" w:space="0"/>
            </w:tcBorders>
            <w:vAlign w:val="center"/>
          </w:tcPr>
          <w:p w14:paraId="74685F8F">
            <w:pPr>
              <w:spacing w:line="240" w:lineRule="atLeast"/>
              <w:ind w:firstLine="28"/>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p w14:paraId="37452A86">
            <w:pPr>
              <w:spacing w:line="240" w:lineRule="atLeast"/>
              <w:ind w:firstLine="28"/>
              <w:jc w:val="center"/>
              <w:rPr>
                <w:rFonts w:hint="default" w:ascii="宋体" w:hAnsi="宋体" w:cs="宋体"/>
                <w:color w:val="auto"/>
                <w:sz w:val="21"/>
                <w:szCs w:val="21"/>
                <w:highlight w:val="none"/>
                <w:lang w:val="en-US" w:eastAsia="zh-CN"/>
              </w:rPr>
            </w:pPr>
          </w:p>
        </w:tc>
        <w:tc>
          <w:tcPr>
            <w:tcW w:w="1244" w:type="dxa"/>
            <w:tcBorders>
              <w:left w:val="single" w:color="auto" w:sz="4" w:space="0"/>
              <w:right w:val="single" w:color="auto" w:sz="4" w:space="0"/>
            </w:tcBorders>
            <w:vAlign w:val="center"/>
          </w:tcPr>
          <w:p w14:paraId="6EC6A34D">
            <w:pPr>
              <w:spacing w:line="240" w:lineRule="atLeast"/>
              <w:ind w:firstLine="28"/>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w:t>
            </w:r>
          </w:p>
          <w:p w14:paraId="775A3EC2">
            <w:pPr>
              <w:spacing w:line="240" w:lineRule="atLeast"/>
              <w:ind w:firstLine="28"/>
              <w:jc w:val="center"/>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1056" w:type="dxa"/>
            <w:tcBorders>
              <w:top w:val="single" w:color="auto" w:sz="4" w:space="0"/>
              <w:left w:val="single" w:color="auto" w:sz="4" w:space="0"/>
              <w:bottom w:val="single" w:color="auto" w:sz="4" w:space="0"/>
              <w:right w:val="single" w:color="auto" w:sz="4" w:space="0"/>
            </w:tcBorders>
            <w:vAlign w:val="center"/>
          </w:tcPr>
          <w:p w14:paraId="57DF300D">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01BDD665">
            <w:pPr>
              <w:keepNext w:val="0"/>
              <w:keepLines w:val="0"/>
              <w:pageBreakBefore w:val="0"/>
              <w:widowControl w:val="0"/>
              <w:kinsoku/>
              <w:wordWrap/>
              <w:overflowPunct/>
              <w:topLinePunct w:val="0"/>
              <w:autoSpaceDE/>
              <w:autoSpaceDN/>
              <w:bidi w:val="0"/>
              <w:adjustRightInd/>
              <w:snapToGrid/>
              <w:spacing w:after="0"/>
              <w:textAlignment w:val="auto"/>
              <w:rPr>
                <w:rFonts w:hint="eastAsia"/>
                <w:sz w:val="21"/>
                <w:szCs w:val="15"/>
              </w:rPr>
            </w:pPr>
            <w:r>
              <w:rPr>
                <w:rFonts w:hint="eastAsia"/>
                <w:sz w:val="21"/>
                <w:szCs w:val="15"/>
              </w:rPr>
              <w:t xml:space="preserve"> </w:t>
            </w:r>
            <w:r>
              <w:rPr>
                <w:rFonts w:hint="eastAsia"/>
                <w:sz w:val="21"/>
                <w:szCs w:val="15"/>
                <w:lang w:val="en-US" w:eastAsia="zh-CN"/>
              </w:rPr>
              <w:t xml:space="preserve"> </w:t>
            </w:r>
            <w:r>
              <w:rPr>
                <w:rFonts w:hint="eastAsia"/>
                <w:sz w:val="21"/>
                <w:szCs w:val="15"/>
              </w:rPr>
              <w:t>以满足招标文件要求且最终报价</w:t>
            </w:r>
            <w:r>
              <w:rPr>
                <w:rFonts w:hint="eastAsia"/>
                <w:sz w:val="21"/>
                <w:szCs w:val="15"/>
                <w:lang w:val="en-US" w:eastAsia="zh-CN"/>
              </w:rPr>
              <w:t>为</w:t>
            </w:r>
            <w:r>
              <w:rPr>
                <w:rFonts w:hint="eastAsia"/>
                <w:sz w:val="21"/>
                <w:szCs w:val="15"/>
                <w:lang w:eastAsia="zh-CN"/>
              </w:rPr>
              <w:t>（</w:t>
            </w:r>
            <w:r>
              <w:rPr>
                <w:rFonts w:hint="eastAsia"/>
                <w:sz w:val="21"/>
                <w:szCs w:val="15"/>
                <w:lang w:val="en-US" w:eastAsia="zh-CN"/>
              </w:rPr>
              <w:t>1对1报价+1对2+1对多报价</w:t>
            </w:r>
            <w:r>
              <w:rPr>
                <w:rFonts w:hint="eastAsia"/>
                <w:sz w:val="21"/>
                <w:szCs w:val="15"/>
                <w:lang w:eastAsia="zh-CN"/>
              </w:rPr>
              <w:t>）</w:t>
            </w:r>
            <w:r>
              <w:rPr>
                <w:rFonts w:hint="eastAsia"/>
                <w:sz w:val="21"/>
                <w:szCs w:val="15"/>
              </w:rPr>
              <w:t>最低的</w:t>
            </w:r>
            <w:r>
              <w:rPr>
                <w:rFonts w:hint="eastAsia"/>
                <w:sz w:val="21"/>
                <w:szCs w:val="15"/>
                <w:lang w:eastAsia="zh-CN"/>
              </w:rPr>
              <w:t>供应商</w:t>
            </w:r>
            <w:r>
              <w:rPr>
                <w:rFonts w:hint="eastAsia"/>
                <w:sz w:val="21"/>
                <w:szCs w:val="15"/>
              </w:rPr>
              <w:t>报价为评标基准价</w:t>
            </w:r>
            <w:r>
              <w:rPr>
                <w:rFonts w:hint="eastAsia" w:eastAsia="宋体" w:cs="宋体"/>
                <w:color w:val="auto"/>
                <w:sz w:val="21"/>
                <w:szCs w:val="21"/>
                <w:highlight w:val="none"/>
                <w:lang w:val="en-US" w:eastAsia="zh-CN"/>
              </w:rPr>
              <w:t>:</w:t>
            </w:r>
          </w:p>
          <w:p w14:paraId="580A3FF4">
            <w:pPr>
              <w:rPr>
                <w:rFonts w:hint="default" w:eastAsia="宋体"/>
                <w:sz w:val="21"/>
                <w:szCs w:val="15"/>
                <w:lang w:val="en-US" w:eastAsia="zh-CN"/>
              </w:rPr>
            </w:pPr>
            <w:r>
              <w:rPr>
                <w:rFonts w:hint="eastAsia"/>
                <w:sz w:val="21"/>
                <w:szCs w:val="15"/>
              </w:rPr>
              <w:t xml:space="preserve">报价最终得分 = 评标基准价 / </w:t>
            </w:r>
            <w:r>
              <w:rPr>
                <w:rFonts w:hint="eastAsia"/>
                <w:sz w:val="21"/>
                <w:szCs w:val="15"/>
                <w:lang w:eastAsia="zh-CN"/>
              </w:rPr>
              <w:t>（</w:t>
            </w:r>
            <w:r>
              <w:rPr>
                <w:rFonts w:hint="eastAsia"/>
                <w:sz w:val="21"/>
                <w:szCs w:val="15"/>
              </w:rPr>
              <w:t>一对一陪护报价 +一对</w:t>
            </w:r>
            <w:r>
              <w:rPr>
                <w:rFonts w:hint="eastAsia"/>
                <w:sz w:val="21"/>
                <w:szCs w:val="15"/>
                <w:lang w:val="en-US" w:eastAsia="zh-CN"/>
              </w:rPr>
              <w:t>二</w:t>
            </w:r>
            <w:r>
              <w:rPr>
                <w:rFonts w:hint="eastAsia"/>
                <w:sz w:val="21"/>
                <w:szCs w:val="15"/>
              </w:rPr>
              <w:t>陪护报价</w:t>
            </w:r>
            <w:r>
              <w:rPr>
                <w:rFonts w:hint="eastAsia"/>
                <w:sz w:val="21"/>
                <w:szCs w:val="15"/>
                <w:lang w:val="en-US" w:eastAsia="zh-CN"/>
              </w:rPr>
              <w:t>+</w:t>
            </w:r>
            <w:r>
              <w:rPr>
                <w:rFonts w:hint="eastAsia"/>
                <w:sz w:val="21"/>
                <w:szCs w:val="15"/>
              </w:rPr>
              <w:t xml:space="preserve"> 一对多陪护报价</w:t>
            </w:r>
            <w:r>
              <w:rPr>
                <w:rFonts w:hint="eastAsia"/>
                <w:sz w:val="21"/>
                <w:szCs w:val="15"/>
                <w:lang w:eastAsia="zh-CN"/>
              </w:rPr>
              <w:t>）</w:t>
            </w:r>
            <w:r>
              <w:rPr>
                <w:rFonts w:hint="eastAsia"/>
                <w:sz w:val="21"/>
                <w:szCs w:val="15"/>
                <w:lang w:val="en-US" w:eastAsia="zh-CN"/>
              </w:rPr>
              <w:t>*100%</w:t>
            </w:r>
          </w:p>
          <w:p w14:paraId="6F2ED65C">
            <w:pPr>
              <w:spacing w:line="240" w:lineRule="auto"/>
              <w:rPr>
                <w:rFonts w:hint="eastAsia" w:ascii="宋体" w:hAnsi="宋体" w:eastAsia="宋体" w:cs="宋体"/>
                <w:color w:val="auto"/>
                <w:sz w:val="21"/>
                <w:szCs w:val="21"/>
                <w:highlight w:val="none"/>
              </w:rPr>
            </w:pPr>
            <w:r>
              <w:rPr>
                <w:rFonts w:hint="eastAsia"/>
                <w:sz w:val="21"/>
                <w:szCs w:val="15"/>
              </w:rPr>
              <w:t>备注： 计算结果按四舍五入保留两位小数。</w:t>
            </w:r>
          </w:p>
        </w:tc>
      </w:tr>
      <w:tr w14:paraId="3B69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91" w:type="dxa"/>
            <w:vMerge w:val="restart"/>
            <w:tcBorders>
              <w:left w:val="single" w:color="auto" w:sz="4" w:space="0"/>
              <w:right w:val="single" w:color="auto" w:sz="4" w:space="0"/>
            </w:tcBorders>
            <w:vAlign w:val="center"/>
          </w:tcPr>
          <w:p w14:paraId="1374DE7C">
            <w:pPr>
              <w:spacing w:line="240" w:lineRule="atLeas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44" w:type="dxa"/>
            <w:vMerge w:val="restart"/>
            <w:tcBorders>
              <w:left w:val="single" w:color="auto" w:sz="4" w:space="0"/>
              <w:right w:val="single" w:color="auto" w:sz="4" w:space="0"/>
            </w:tcBorders>
            <w:vAlign w:val="center"/>
          </w:tcPr>
          <w:p w14:paraId="3868DC83">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27557067">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rPr>
              <w:t>%）</w:t>
            </w:r>
          </w:p>
        </w:tc>
        <w:tc>
          <w:tcPr>
            <w:tcW w:w="1056" w:type="dxa"/>
            <w:vMerge w:val="restart"/>
            <w:tcBorders>
              <w:top w:val="single" w:color="auto" w:sz="4" w:space="0"/>
              <w:left w:val="single" w:color="auto" w:sz="4" w:space="0"/>
              <w:right w:val="single" w:color="auto" w:sz="4" w:space="0"/>
            </w:tcBorders>
            <w:vAlign w:val="center"/>
          </w:tcPr>
          <w:p w14:paraId="51C16C18">
            <w:pPr>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履约能力（70分）</w:t>
            </w:r>
          </w:p>
        </w:tc>
        <w:tc>
          <w:tcPr>
            <w:tcW w:w="5934" w:type="dxa"/>
            <w:tcBorders>
              <w:top w:val="single" w:color="auto" w:sz="4" w:space="0"/>
              <w:left w:val="single" w:color="auto" w:sz="4" w:space="0"/>
              <w:bottom w:val="single" w:color="auto" w:sz="4" w:space="0"/>
              <w:right w:val="single" w:color="auto" w:sz="4" w:space="0"/>
            </w:tcBorders>
            <w:vAlign w:val="center"/>
          </w:tcPr>
          <w:p w14:paraId="5DFEC06F">
            <w:pPr>
              <w:spacing w:line="240" w:lineRule="atLeast"/>
              <w:rPr>
                <w:rFonts w:hint="eastAsia" w:ascii="宋体" w:hAnsi="宋体" w:eastAsia="宋体" w:cs="宋体"/>
                <w:color w:val="000000"/>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w:t>
            </w:r>
            <w:r>
              <w:rPr>
                <w:rFonts w:hint="eastAsia" w:ascii="宋体" w:hAnsi="宋体" w:eastAsia="宋体" w:cs="宋体"/>
                <w:color w:val="auto"/>
                <w:sz w:val="21"/>
                <w:szCs w:val="21"/>
                <w:highlight w:val="none"/>
                <w:lang w:val="en-US" w:eastAsia="zh-CN"/>
              </w:rPr>
              <w:t>编写项目实施方案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w:t>
            </w:r>
            <w:r>
              <w:rPr>
                <w:rFonts w:hint="eastAsia" w:ascii="宋体" w:hAnsi="宋体" w:eastAsia="宋体" w:cs="宋体"/>
                <w:color w:val="000000"/>
                <w:sz w:val="21"/>
                <w:szCs w:val="21"/>
                <w:highlight w:val="none"/>
              </w:rPr>
              <w:t>服务管理体系（架构、职责、机制）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日常管理方案、流程、标准、及措施</w:t>
            </w:r>
            <w:r>
              <w:rPr>
                <w:rFonts w:hint="eastAsia" w:ascii="宋体" w:hAnsi="宋体" w:eastAsia="宋体" w:cs="宋体"/>
                <w:color w:val="000000"/>
                <w:sz w:val="21"/>
                <w:szCs w:val="21"/>
                <w:highlight w:val="none"/>
                <w:lang w:eastAsia="zh-CN"/>
              </w:rPr>
              <w:t>。</w:t>
            </w:r>
          </w:p>
          <w:p w14:paraId="64682BBC">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总体服务方案针对行性强，步骤完善，过程监督可行性强得</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分；总体服务针对性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，实施步骤较完善，过程监督可行性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分；总体设想针对性差，实施步骤不完善，过程监督可行性差的得1分；不提供方案不得分。</w:t>
            </w:r>
          </w:p>
        </w:tc>
      </w:tr>
      <w:tr w14:paraId="6978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91" w:type="dxa"/>
            <w:vMerge w:val="continue"/>
            <w:tcBorders>
              <w:left w:val="single" w:color="auto" w:sz="4" w:space="0"/>
              <w:right w:val="single" w:color="auto" w:sz="4" w:space="0"/>
            </w:tcBorders>
            <w:vAlign w:val="center"/>
          </w:tcPr>
          <w:p w14:paraId="03D9D34D">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6F77C6C9">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102C1DD4">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04DECE97">
            <w:pPr>
              <w:spacing w:line="240" w:lineRule="atLeast"/>
              <w:rPr>
                <w:rFonts w:hint="eastAsia" w:ascii="宋体" w:hAnsi="宋体" w:eastAsia="宋体" w:cs="宋体"/>
                <w:color w:val="auto"/>
                <w:sz w:val="21"/>
                <w:szCs w:val="21"/>
                <w:highlight w:val="none"/>
              </w:rPr>
            </w:pPr>
            <w:r>
              <w:rPr>
                <w:rFonts w:hint="eastAsia" w:ascii="仿宋" w:hAnsi="仿宋" w:eastAsia="仿宋" w:cs="仿宋"/>
                <w:color w:val="000000"/>
                <w:kern w:val="0"/>
                <w:sz w:val="24"/>
                <w:szCs w:val="24"/>
                <w:lang w:val="en-US" w:eastAsia="zh-CN" w:bidi="ar"/>
              </w:rPr>
              <w:t>（2）</w:t>
            </w:r>
            <w:r>
              <w:rPr>
                <w:rFonts w:hint="eastAsia" w:ascii="宋体" w:hAnsi="宋体" w:cs="宋体"/>
                <w:color w:val="auto"/>
                <w:sz w:val="21"/>
                <w:szCs w:val="21"/>
                <w:highlight w:val="none"/>
                <w:lang w:val="en-US" w:eastAsia="zh-CN"/>
              </w:rPr>
              <w:t>为项目</w:t>
            </w:r>
            <w:r>
              <w:rPr>
                <w:rFonts w:hint="eastAsia" w:ascii="宋体" w:hAnsi="宋体" w:eastAsia="宋体" w:cs="宋体"/>
                <w:color w:val="auto"/>
                <w:sz w:val="21"/>
                <w:szCs w:val="21"/>
                <w:highlight w:val="none"/>
                <w:lang w:val="en-US" w:eastAsia="zh-CN"/>
              </w:rPr>
              <w:t>应储备充足医疗护理员，必须执有相关</w:t>
            </w:r>
            <w:r>
              <w:rPr>
                <w:rFonts w:hint="eastAsia" w:ascii="宋体" w:hAnsi="宋体" w:cs="宋体"/>
                <w:color w:val="auto"/>
                <w:sz w:val="21"/>
                <w:szCs w:val="21"/>
                <w:highlight w:val="none"/>
                <w:lang w:val="en-US" w:eastAsia="zh-CN"/>
              </w:rPr>
              <w:t>单位颁发的</w:t>
            </w:r>
            <w:r>
              <w:rPr>
                <w:rFonts w:hint="eastAsia" w:ascii="宋体" w:hAnsi="宋体" w:eastAsia="宋体" w:cs="宋体"/>
                <w:color w:val="auto"/>
                <w:sz w:val="21"/>
                <w:szCs w:val="21"/>
                <w:highlight w:val="none"/>
                <w:lang w:val="en-US" w:eastAsia="zh-CN"/>
              </w:rPr>
              <w:t>技能</w:t>
            </w:r>
            <w:r>
              <w:rPr>
                <w:rFonts w:hint="eastAsia" w:ascii="宋体" w:hAnsi="宋体" w:cs="宋体"/>
                <w:color w:val="auto"/>
                <w:sz w:val="21"/>
                <w:szCs w:val="21"/>
                <w:highlight w:val="none"/>
                <w:lang w:val="en-US" w:eastAsia="zh-CN"/>
              </w:rPr>
              <w:t>培训</w:t>
            </w:r>
            <w:r>
              <w:rPr>
                <w:rFonts w:hint="eastAsia" w:ascii="宋体" w:hAnsi="宋体" w:eastAsia="宋体" w:cs="宋体"/>
                <w:color w:val="auto"/>
                <w:sz w:val="21"/>
                <w:szCs w:val="21"/>
                <w:highlight w:val="none"/>
                <w:lang w:val="en-US" w:eastAsia="zh-CN"/>
              </w:rPr>
              <w:t>合格证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50人以上得15分，30-49人得10分，20-29及以下人得5分，小于20人不得分。（需提供证书复印件）</w:t>
            </w:r>
          </w:p>
        </w:tc>
      </w:tr>
      <w:tr w14:paraId="03BE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91" w:type="dxa"/>
            <w:vMerge w:val="continue"/>
            <w:tcBorders>
              <w:left w:val="single" w:color="auto" w:sz="4" w:space="0"/>
              <w:right w:val="single" w:color="auto" w:sz="4" w:space="0"/>
            </w:tcBorders>
            <w:vAlign w:val="center"/>
          </w:tcPr>
          <w:p w14:paraId="3D6D82CD">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58309B8D">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7C547CC4">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5CD307C4">
            <w:pPr>
              <w:spacing w:line="240" w:lineRule="atLeast"/>
              <w:rPr>
                <w:rFonts w:hint="eastAsia" w:ascii="宋体" w:hAnsi="宋体" w:eastAsia="宋体" w:cs="宋体"/>
                <w:color w:val="auto"/>
                <w:sz w:val="21"/>
                <w:szCs w:val="21"/>
                <w:highlight w:val="none"/>
              </w:rPr>
            </w:pPr>
            <w:r>
              <w:rPr>
                <w:rFonts w:hint="eastAsia" w:ascii="仿宋" w:hAnsi="仿宋" w:eastAsia="仿宋" w:cs="仿宋"/>
                <w:color w:val="000000"/>
                <w:kern w:val="0"/>
                <w:sz w:val="24"/>
                <w:szCs w:val="24"/>
                <w:lang w:val="en-US" w:eastAsia="zh-CN" w:bidi="ar"/>
              </w:rPr>
              <w:t>（3）</w:t>
            </w:r>
            <w:r>
              <w:rPr>
                <w:rFonts w:hint="eastAsia" w:ascii="宋体" w:hAnsi="宋体" w:eastAsia="宋体" w:cs="宋体"/>
                <w:color w:val="auto"/>
                <w:sz w:val="21"/>
                <w:szCs w:val="21"/>
                <w:highlight w:val="none"/>
                <w:lang w:val="en-US" w:eastAsia="zh-CN"/>
              </w:rPr>
              <w:t xml:space="preserve">为本项目提供服务的管理人员中，负责质量控制的管理层人员需充足，岗位分布合理，具有相关医疗专业毕业证及资格证的得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分，每增加1人得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分，共</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分。（需提供证书复印件）</w:t>
            </w:r>
          </w:p>
        </w:tc>
      </w:tr>
      <w:tr w14:paraId="1BA0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Merge w:val="continue"/>
            <w:tcBorders>
              <w:left w:val="single" w:color="auto" w:sz="4" w:space="0"/>
              <w:right w:val="single" w:color="auto" w:sz="4" w:space="0"/>
            </w:tcBorders>
            <w:vAlign w:val="center"/>
          </w:tcPr>
          <w:p w14:paraId="20FB1E24">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253EB1C7">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38B977DA">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0882BAE0">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供应商针对本项目编写培训方案，包括护理员的基本技能、基本理论知识等培训。</w:t>
            </w:r>
          </w:p>
          <w:p w14:paraId="205B24D6">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方案针对行性强，步骤完善，过程监督可行性强得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p>
          <w:p w14:paraId="2A56BBE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方案针对行性一般，实施步骤不完善，过程监督可行性差的得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分，未提供得0分。</w:t>
            </w:r>
          </w:p>
        </w:tc>
      </w:tr>
      <w:tr w14:paraId="3784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Merge w:val="continue"/>
            <w:tcBorders>
              <w:left w:val="single" w:color="auto" w:sz="4" w:space="0"/>
              <w:right w:val="single" w:color="auto" w:sz="4" w:space="0"/>
            </w:tcBorders>
            <w:vAlign w:val="center"/>
          </w:tcPr>
          <w:p w14:paraId="510398AA">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7D35D8A8">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164B09EE">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1FFC0CFA">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供应商针对本项目编写服务质量控制措施，包括对服务质量比如满意度等有反馈改进机制、护理员服务效率及品质保障等。</w:t>
            </w:r>
          </w:p>
          <w:p w14:paraId="672A6507">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方案针对行性强，步骤完善，过程监督可行性强得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p>
          <w:p w14:paraId="6A28C44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方案针对行性一般，实施步骤不完善，过程监督可行性差的得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分，未提供得0分。</w:t>
            </w:r>
          </w:p>
        </w:tc>
      </w:tr>
      <w:tr w14:paraId="5893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91" w:type="dxa"/>
            <w:vMerge w:val="continue"/>
            <w:tcBorders>
              <w:left w:val="single" w:color="auto" w:sz="4" w:space="0"/>
              <w:right w:val="single" w:color="auto" w:sz="4" w:space="0"/>
            </w:tcBorders>
            <w:vAlign w:val="center"/>
          </w:tcPr>
          <w:p w14:paraId="1B92F5B4">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02338DAA">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6AA5ECA4">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0DF48198">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供应商针对本项目编写突发事件应急管理预案，包括突发群体事件、突发公共卫生事件、火灾害事故、自然灾害。</w:t>
            </w:r>
          </w:p>
          <w:p w14:paraId="563380AE">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方案针对行性强，步骤完善，过程监督可行性强得5分</w:t>
            </w:r>
            <w:r>
              <w:rPr>
                <w:rFonts w:hint="eastAsia" w:ascii="宋体" w:hAnsi="宋体" w:cs="宋体"/>
                <w:color w:val="auto"/>
                <w:sz w:val="21"/>
                <w:szCs w:val="21"/>
                <w:highlight w:val="none"/>
                <w:lang w:val="en-US" w:eastAsia="zh-CN"/>
              </w:rPr>
              <w:t>；</w:t>
            </w:r>
          </w:p>
          <w:p w14:paraId="564814C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方案针对行性一般，实施步骤不完善，过程监督可行性差的得1分，未提供得0分。</w:t>
            </w:r>
          </w:p>
        </w:tc>
      </w:tr>
      <w:tr w14:paraId="5A85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91" w:type="dxa"/>
            <w:vMerge w:val="continue"/>
            <w:tcBorders>
              <w:left w:val="single" w:color="auto" w:sz="4" w:space="0"/>
              <w:right w:val="single" w:color="auto" w:sz="4" w:space="0"/>
            </w:tcBorders>
            <w:vAlign w:val="center"/>
          </w:tcPr>
          <w:p w14:paraId="778F1700">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38DE0036">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bottom w:val="single" w:color="auto" w:sz="4" w:space="0"/>
              <w:right w:val="single" w:color="auto" w:sz="4" w:space="0"/>
            </w:tcBorders>
            <w:vAlign w:val="center"/>
          </w:tcPr>
          <w:p w14:paraId="07E6F747">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4B3EBD18">
            <w:pPr>
              <w:spacing w:line="240" w:lineRule="atLeast"/>
              <w:rPr>
                <w:rFonts w:hint="eastAsia" w:ascii="宋体" w:hAnsi="宋体" w:eastAsia="宋体" w:cs="宋体"/>
                <w:color w:val="00000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供应商针对本项目编写服务承诺，包括</w:t>
            </w:r>
            <w:r>
              <w:rPr>
                <w:rFonts w:hint="eastAsia" w:ascii="宋体" w:hAnsi="宋体" w:cs="宋体"/>
                <w:color w:val="auto"/>
                <w:sz w:val="21"/>
                <w:szCs w:val="21"/>
                <w:highlight w:val="none"/>
                <w:lang w:val="en-US" w:eastAsia="zh-CN"/>
              </w:rPr>
              <w:t>医疗保洁人员提供承诺、</w:t>
            </w:r>
            <w:r>
              <w:rPr>
                <w:rFonts w:hint="eastAsia" w:ascii="宋体" w:hAnsi="宋体" w:eastAsia="宋体" w:cs="宋体"/>
                <w:color w:val="auto"/>
                <w:sz w:val="21"/>
                <w:szCs w:val="21"/>
                <w:highlight w:val="none"/>
              </w:rPr>
              <w:t>服务质量</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、责任与安全保障承诺</w:t>
            </w:r>
            <w:r>
              <w:rPr>
                <w:rFonts w:hint="eastAsia" w:ascii="宋体" w:hAnsi="宋体" w:eastAsia="宋体" w:cs="宋体"/>
                <w:color w:val="auto"/>
                <w:sz w:val="21"/>
                <w:szCs w:val="21"/>
                <w:highlight w:val="none"/>
                <w:lang w:eastAsia="zh-CN"/>
              </w:rPr>
              <w:t>、违约与退出机制</w:t>
            </w:r>
            <w:r>
              <w:rPr>
                <w:rFonts w:hint="eastAsia" w:ascii="宋体" w:hAnsi="宋体" w:eastAsia="宋体" w:cs="宋体"/>
                <w:color w:val="auto"/>
                <w:sz w:val="21"/>
                <w:szCs w:val="21"/>
                <w:highlight w:val="none"/>
                <w:lang w:val="en-US" w:eastAsia="zh-CN"/>
              </w:rPr>
              <w:t>承诺。</w:t>
            </w:r>
          </w:p>
          <w:p w14:paraId="1699C16A">
            <w:pPr>
              <w:spacing w:line="240" w:lineRule="atLeast"/>
              <w:rPr>
                <w:rFonts w:hint="eastAsia" w:ascii="宋体" w:hAnsi="宋体" w:eastAsia="宋体" w:cs="宋体"/>
                <w:color w:val="auto"/>
                <w:sz w:val="21"/>
                <w:szCs w:val="21"/>
                <w:highlight w:val="none"/>
              </w:rPr>
            </w:pPr>
            <w:r>
              <w:rPr>
                <w:rFonts w:hint="eastAsia" w:ascii="宋体" w:hAnsi="宋体" w:cs="宋体"/>
                <w:color w:val="000000"/>
                <w:sz w:val="21"/>
                <w:szCs w:val="21"/>
                <w:highlight w:val="none"/>
                <w:lang w:val="en-US" w:eastAsia="zh-CN"/>
              </w:rPr>
              <w:t>提供以上</w:t>
            </w:r>
            <w:r>
              <w:rPr>
                <w:rFonts w:hint="eastAsia" w:ascii="宋体" w:hAnsi="宋体" w:eastAsia="宋体" w:cs="宋体"/>
                <w:color w:val="000000"/>
                <w:sz w:val="21"/>
                <w:szCs w:val="21"/>
                <w:highlight w:val="none"/>
                <w:lang w:val="en-US" w:eastAsia="zh-CN"/>
              </w:rPr>
              <w:t>内容承诺</w:t>
            </w:r>
            <w:r>
              <w:rPr>
                <w:rFonts w:hint="eastAsia" w:ascii="宋体" w:hAnsi="宋体" w:eastAsia="宋体" w:cs="宋体"/>
                <w:color w:val="000000"/>
                <w:sz w:val="21"/>
                <w:szCs w:val="21"/>
                <w:highlight w:val="none"/>
              </w:rPr>
              <w:t>得</w:t>
            </w:r>
            <w:r>
              <w:rPr>
                <w:rFonts w:hint="eastAsia" w:ascii="宋体" w:hAnsi="宋体" w:cs="宋体"/>
                <w:color w:val="000000"/>
                <w:sz w:val="21"/>
                <w:szCs w:val="21"/>
                <w:highlight w:val="none"/>
                <w:lang w:val="en-US" w:eastAsia="zh-CN"/>
              </w:rPr>
              <w:t>10分，</w:t>
            </w:r>
            <w:r>
              <w:rPr>
                <w:rFonts w:hint="eastAsia" w:ascii="宋体" w:hAnsi="宋体" w:eastAsia="宋体" w:cs="宋体"/>
                <w:color w:val="000000"/>
                <w:sz w:val="21"/>
                <w:szCs w:val="21"/>
                <w:highlight w:val="none"/>
              </w:rPr>
              <w:t>未</w:t>
            </w:r>
            <w:r>
              <w:rPr>
                <w:rFonts w:hint="eastAsia" w:ascii="宋体" w:hAnsi="宋体" w:cs="宋体"/>
                <w:color w:val="000000"/>
                <w:sz w:val="21"/>
                <w:szCs w:val="21"/>
                <w:highlight w:val="none"/>
                <w:lang w:val="en-US" w:eastAsia="zh-CN"/>
              </w:rPr>
              <w:t>提供或不齐全</w:t>
            </w:r>
            <w:r>
              <w:rPr>
                <w:rFonts w:hint="eastAsia" w:ascii="宋体" w:hAnsi="宋体" w:cs="宋体"/>
                <w:color w:val="auto"/>
                <w:sz w:val="21"/>
                <w:szCs w:val="21"/>
                <w:highlight w:val="none"/>
                <w:lang w:val="en-US" w:eastAsia="zh-CN"/>
              </w:rPr>
              <w:t>得0分</w:t>
            </w:r>
            <w:r>
              <w:rPr>
                <w:rFonts w:hint="eastAsia" w:ascii="宋体" w:hAnsi="宋体" w:eastAsia="宋体" w:cs="宋体"/>
                <w:color w:val="000000"/>
                <w:sz w:val="21"/>
                <w:szCs w:val="21"/>
                <w:highlight w:val="none"/>
              </w:rPr>
              <w:t>。</w:t>
            </w:r>
          </w:p>
        </w:tc>
      </w:tr>
      <w:tr w14:paraId="06C2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591" w:type="dxa"/>
            <w:vMerge w:val="restart"/>
            <w:tcBorders>
              <w:top w:val="single" w:color="auto" w:sz="4" w:space="0"/>
              <w:left w:val="single" w:color="auto" w:sz="4" w:space="0"/>
              <w:right w:val="single" w:color="auto" w:sz="4" w:space="0"/>
            </w:tcBorders>
            <w:vAlign w:val="center"/>
          </w:tcPr>
          <w:p w14:paraId="73146109">
            <w:pPr>
              <w:spacing w:line="240" w:lineRule="atLeast"/>
              <w:ind w:firstLine="28"/>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244" w:type="dxa"/>
            <w:vMerge w:val="restart"/>
            <w:tcBorders>
              <w:top w:val="single" w:color="auto" w:sz="4" w:space="0"/>
              <w:left w:val="single" w:color="auto" w:sz="4" w:space="0"/>
              <w:right w:val="single" w:color="auto" w:sz="4" w:space="0"/>
            </w:tcBorders>
            <w:vAlign w:val="center"/>
          </w:tcPr>
          <w:p w14:paraId="65AE6C85">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02B9EE30">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056" w:type="dxa"/>
            <w:tcBorders>
              <w:top w:val="single" w:color="auto" w:sz="4" w:space="0"/>
              <w:left w:val="single" w:color="auto" w:sz="4" w:space="0"/>
              <w:right w:val="single" w:color="auto" w:sz="4" w:space="0"/>
            </w:tcBorders>
            <w:vAlign w:val="center"/>
          </w:tcPr>
          <w:p w14:paraId="5BD22479">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p w14:paraId="5DC873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4401FD0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年1月1日起至今（以合同签订时间为准）具备类似项目的</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，每提供一份业绩</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证明文件</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最多得12</w:t>
            </w:r>
            <w:r>
              <w:rPr>
                <w:rFonts w:hint="eastAsia" w:ascii="宋体" w:hAnsi="宋体" w:eastAsia="宋体" w:cs="宋体"/>
                <w:color w:val="auto"/>
                <w:sz w:val="21"/>
                <w:szCs w:val="21"/>
                <w:highlight w:val="none"/>
              </w:rPr>
              <w:t>分。</w:t>
            </w:r>
          </w:p>
        </w:tc>
      </w:tr>
      <w:tr w14:paraId="11BB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91" w:type="dxa"/>
            <w:vMerge w:val="continue"/>
            <w:tcBorders>
              <w:left w:val="single" w:color="auto" w:sz="4" w:space="0"/>
              <w:right w:val="single" w:color="auto" w:sz="4" w:space="0"/>
            </w:tcBorders>
            <w:vAlign w:val="center"/>
          </w:tcPr>
          <w:p w14:paraId="03687489">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7AB3C93D">
            <w:pPr>
              <w:spacing w:line="240" w:lineRule="atLeast"/>
              <w:ind w:firstLine="28"/>
              <w:jc w:val="center"/>
              <w:rPr>
                <w:rFonts w:hint="eastAsia" w:ascii="宋体" w:hAnsi="宋体" w:eastAsia="宋体" w:cs="宋体"/>
                <w:color w:val="auto"/>
                <w:sz w:val="21"/>
                <w:szCs w:val="21"/>
                <w:highlight w:val="none"/>
              </w:rPr>
            </w:pPr>
          </w:p>
        </w:tc>
        <w:tc>
          <w:tcPr>
            <w:tcW w:w="1056" w:type="dxa"/>
            <w:tcBorders>
              <w:left w:val="single" w:color="auto" w:sz="4" w:space="0"/>
              <w:right w:val="single" w:color="auto" w:sz="4" w:space="0"/>
            </w:tcBorders>
            <w:vAlign w:val="center"/>
          </w:tcPr>
          <w:p w14:paraId="76026533">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资质证书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4C1C2B6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供应商拥有有效期内的病患陪护相关资质认证</w:t>
            </w:r>
            <w:r>
              <w:rPr>
                <w:rFonts w:hint="eastAsia" w:ascii="宋体" w:hAnsi="宋体" w:cs="宋体"/>
                <w:color w:val="auto"/>
                <w:sz w:val="21"/>
                <w:szCs w:val="21"/>
                <w:highlight w:val="none"/>
                <w:lang w:val="en-US" w:eastAsia="zh-CN"/>
              </w:rPr>
              <w:t>得1分，最多得3分</w:t>
            </w:r>
            <w:r>
              <w:rPr>
                <w:rFonts w:hint="eastAsia" w:ascii="宋体" w:hAnsi="宋体" w:eastAsia="宋体" w:cs="宋体"/>
                <w:color w:val="auto"/>
                <w:sz w:val="21"/>
                <w:szCs w:val="21"/>
                <w:highlight w:val="none"/>
              </w:rPr>
              <w:t>：</w:t>
            </w:r>
          </w:p>
          <w:p w14:paraId="3CFABB4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rPr>
              <w:t>管理体系认证证书，得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3646AA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2.具有职业健康安全管理体系认证证书，得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2102E2B">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3.具有环境管理体系认证证书，得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98566DD">
            <w:pPr>
              <w:pStyle w:val="10"/>
              <w:rPr>
                <w:rFonts w:hint="eastAsia"/>
                <w:highlight w:val="none"/>
              </w:rPr>
            </w:pPr>
            <w:r>
              <w:rPr>
                <w:rFonts w:hint="eastAsia" w:ascii="宋体" w:hAnsi="宋体" w:eastAsia="宋体" w:cs="宋体"/>
                <w:color w:val="auto"/>
                <w:sz w:val="21"/>
                <w:szCs w:val="21"/>
                <w:highlight w:val="none"/>
              </w:rPr>
              <w:t>若认证证书过期或未按要求提供，则不得分。</w:t>
            </w:r>
          </w:p>
        </w:tc>
      </w:tr>
      <w:tr w14:paraId="3A8A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91" w:type="dxa"/>
            <w:vMerge w:val="continue"/>
            <w:tcBorders>
              <w:left w:val="single" w:color="auto" w:sz="4" w:space="0"/>
              <w:right w:val="single" w:color="auto" w:sz="4" w:space="0"/>
            </w:tcBorders>
            <w:vAlign w:val="center"/>
          </w:tcPr>
          <w:p w14:paraId="4ABABDD9">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39F1628F">
            <w:pPr>
              <w:spacing w:line="240" w:lineRule="atLeast"/>
              <w:ind w:firstLine="28"/>
              <w:jc w:val="center"/>
              <w:rPr>
                <w:rFonts w:hint="eastAsia" w:ascii="宋体" w:hAnsi="宋体" w:eastAsia="宋体" w:cs="宋体"/>
                <w:color w:val="auto"/>
                <w:sz w:val="21"/>
                <w:szCs w:val="21"/>
                <w:highlight w:val="none"/>
              </w:rPr>
            </w:pPr>
          </w:p>
        </w:tc>
        <w:tc>
          <w:tcPr>
            <w:tcW w:w="1056" w:type="dxa"/>
            <w:tcBorders>
              <w:left w:val="single" w:color="auto" w:sz="4" w:space="0"/>
              <w:right w:val="single" w:color="auto" w:sz="4" w:space="0"/>
            </w:tcBorders>
            <w:vAlign w:val="center"/>
          </w:tcPr>
          <w:p w14:paraId="0C0E3327">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信息化技术支持服务</w:t>
            </w:r>
          </w:p>
          <w:p w14:paraId="7C9DB056">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1875B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供应商具备自主开发陪护类系统</w:t>
            </w:r>
            <w:r>
              <w:rPr>
                <w:rFonts w:hint="eastAsia" w:ascii="宋体" w:hAnsi="宋体" w:eastAsia="宋体" w:cs="宋体"/>
                <w:color w:val="auto"/>
                <w:sz w:val="21"/>
                <w:szCs w:val="21"/>
                <w:highlight w:val="none"/>
                <w:lang w:eastAsia="zh-CN"/>
              </w:rPr>
              <w:t>。</w:t>
            </w:r>
          </w:p>
          <w:p w14:paraId="5A47292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须提供相关信息系统的计算机软件著作权登记证书复印件，有得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C46590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有效下单功能系统功能，得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AF9752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满意度调查功能，得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595522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收费查询系统功能，得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9A77BBD">
            <w:pPr>
              <w:spacing w:line="240" w:lineRule="atLeast"/>
              <w:rPr>
                <w:rFonts w:hint="eastAsia"/>
              </w:rPr>
            </w:pPr>
            <w:r>
              <w:rPr>
                <w:rFonts w:hint="eastAsia" w:ascii="宋体" w:hAnsi="宋体" w:eastAsia="宋体" w:cs="宋体"/>
                <w:color w:val="auto"/>
                <w:sz w:val="21"/>
                <w:szCs w:val="21"/>
                <w:highlight w:val="none"/>
              </w:rPr>
              <w:t>未按要求提供，则不得分。</w:t>
            </w:r>
          </w:p>
        </w:tc>
      </w:tr>
    </w:tbl>
    <w:p w14:paraId="0E1E018A">
      <w:pPr>
        <w:snapToGrid w:val="0"/>
        <w:spacing w:line="400" w:lineRule="exact"/>
        <w:ind w:firstLine="465"/>
        <w:rPr>
          <w:rFonts w:hint="eastAsia"/>
          <w:sz w:val="21"/>
          <w:szCs w:val="15"/>
        </w:rPr>
      </w:pPr>
      <w:r>
        <w:rPr>
          <w:rFonts w:hint="eastAsia" w:ascii="宋体" w:hAnsi="宋体" w:eastAsia="宋体" w:cs="宋体"/>
          <w:b/>
          <w:bCs/>
          <w:color w:val="auto"/>
          <w:sz w:val="24"/>
          <w:szCs w:val="24"/>
          <w:highlight w:val="none"/>
        </w:rPr>
        <w:t>说明：</w:t>
      </w:r>
      <w:bookmarkStart w:id="89" w:name="_Toc21368"/>
      <w:r>
        <w:rPr>
          <w:rFonts w:hint="eastAsia"/>
          <w:sz w:val="21"/>
          <w:szCs w:val="15"/>
        </w:rPr>
        <w:t>说明：陪护服务报价评审标准（权重10%）</w:t>
      </w:r>
    </w:p>
    <w:p w14:paraId="57D95588">
      <w:pPr>
        <w:snapToGrid w:val="0"/>
        <w:spacing w:line="400" w:lineRule="exact"/>
        <w:ind w:firstLine="465"/>
        <w:rPr>
          <w:rFonts w:hint="eastAsia"/>
          <w:sz w:val="21"/>
          <w:szCs w:val="15"/>
        </w:rPr>
      </w:pPr>
      <w:r>
        <w:rPr>
          <w:rFonts w:hint="eastAsia"/>
          <w:sz w:val="21"/>
          <w:szCs w:val="15"/>
        </w:rPr>
        <w:t>本项满分10分，旨在评估报价的合理性。评审时将“一对一陪护服务”、“一对二陪护服务”与“一对多陪护服务”报价进行合算，最终报价由两者相加得出。</w:t>
      </w:r>
    </w:p>
    <w:p w14:paraId="3F726119">
      <w:pPr>
        <w:snapToGrid w:val="0"/>
        <w:spacing w:line="400" w:lineRule="exact"/>
        <w:ind w:firstLine="465"/>
        <w:rPr>
          <w:rFonts w:hint="eastAsia"/>
          <w:sz w:val="21"/>
          <w:szCs w:val="15"/>
        </w:rPr>
      </w:pPr>
      <w:r>
        <w:rPr>
          <w:rFonts w:hint="eastAsia"/>
          <w:sz w:val="21"/>
          <w:szCs w:val="15"/>
        </w:rPr>
        <w:t>1. 计算基准价：</w:t>
      </w:r>
    </w:p>
    <w:p w14:paraId="3680F97F">
      <w:pPr>
        <w:snapToGrid w:val="0"/>
        <w:spacing w:line="400" w:lineRule="exact"/>
        <w:ind w:firstLine="465"/>
        <w:rPr>
          <w:rFonts w:hint="eastAsia"/>
          <w:sz w:val="21"/>
          <w:szCs w:val="15"/>
        </w:rPr>
      </w:pPr>
      <w:r>
        <w:rPr>
          <w:rFonts w:hint="eastAsia"/>
          <w:sz w:val="21"/>
          <w:szCs w:val="15"/>
        </w:rPr>
        <w:t>· 以满足招标文件要求且最终报价=1对1报价+1对2报价+1对多报价，最低的供应商报价为评标基准价。</w:t>
      </w:r>
    </w:p>
    <w:p w14:paraId="648487DF">
      <w:pPr>
        <w:snapToGrid w:val="0"/>
        <w:spacing w:line="400" w:lineRule="exact"/>
        <w:ind w:firstLine="465"/>
        <w:rPr>
          <w:rFonts w:hint="eastAsia"/>
          <w:sz w:val="21"/>
          <w:szCs w:val="15"/>
        </w:rPr>
      </w:pPr>
      <w:r>
        <w:rPr>
          <w:rFonts w:hint="eastAsia"/>
          <w:sz w:val="21"/>
          <w:szCs w:val="15"/>
        </w:rPr>
        <w:t>2. 评分公式：</w:t>
      </w:r>
    </w:p>
    <w:p w14:paraId="2D94CC1C">
      <w:pPr>
        <w:snapToGrid w:val="0"/>
        <w:spacing w:line="400" w:lineRule="exact"/>
        <w:ind w:firstLine="465"/>
        <w:rPr>
          <w:rFonts w:hint="eastAsia"/>
          <w:sz w:val="21"/>
          <w:szCs w:val="15"/>
        </w:rPr>
      </w:pPr>
      <w:r>
        <w:rPr>
          <w:rFonts w:hint="eastAsia"/>
          <w:sz w:val="21"/>
          <w:szCs w:val="15"/>
        </w:rPr>
        <w:t>·报价最终得分 = 评标基准价 / （一对一陪护报价 + 1对二报价+一对多陪护报价）*100%</w:t>
      </w:r>
    </w:p>
    <w:p w14:paraId="4D4CFB83">
      <w:pPr>
        <w:snapToGrid w:val="0"/>
        <w:spacing w:line="400" w:lineRule="exact"/>
        <w:ind w:firstLine="465"/>
        <w:rPr>
          <w:rFonts w:hint="eastAsia" w:ascii="宋体" w:hAnsi="宋体" w:eastAsia="宋体" w:cs="宋体"/>
          <w:color w:val="auto"/>
          <w:sz w:val="21"/>
          <w:szCs w:val="15"/>
          <w:highlight w:val="none"/>
        </w:rPr>
      </w:pPr>
      <w:r>
        <w:rPr>
          <w:rFonts w:hint="eastAsia"/>
          <w:sz w:val="21"/>
          <w:szCs w:val="15"/>
        </w:rPr>
        <w:t>前提条件： 供应商必须同时对“一对一”、“1对二报价”和“一对多”三种服务模式进行报价，任何一项缺项或报价为0，则本项得0分。</w:t>
      </w:r>
    </w:p>
    <w:p w14:paraId="1F3412AF">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三、无效响应</w:t>
      </w:r>
      <w:bookmarkEnd w:id="89"/>
    </w:p>
    <w:p w14:paraId="5608BFF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供应商发生以下条款情况之一者，视为无效响应，其比选响应文件将被拒绝：</w:t>
      </w:r>
    </w:p>
    <w:p w14:paraId="7629F62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7BE21D3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（二）供应商的法定代表人（或其授权代表）或自然人未参加比选；</w:t>
      </w:r>
    </w:p>
    <w:p w14:paraId="2CB6295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（三）供应商所提交的比选响应文件不按“第七篇比选响应文件编制要求”要求签署或盖章；</w:t>
      </w:r>
    </w:p>
    <w:p w14:paraId="2B5CFCF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w:t>
      </w:r>
      <w:r>
        <w:rPr>
          <w:rFonts w:hint="eastAsia" w:ascii="宋体" w:hAnsi="宋体" w:cs="宋体"/>
          <w:color w:val="auto"/>
          <w:sz w:val="24"/>
          <w:szCs w:val="24"/>
          <w:highlight w:val="none"/>
          <w:lang w:val="en-US" w:eastAsia="zh-CN"/>
        </w:rPr>
        <w:t>高于</w:t>
      </w:r>
      <w:r>
        <w:rPr>
          <w:rFonts w:hint="eastAsia" w:ascii="宋体" w:hAnsi="宋体" w:eastAsia="宋体" w:cs="宋体"/>
          <w:color w:val="auto"/>
          <w:sz w:val="24"/>
          <w:szCs w:val="24"/>
          <w:highlight w:val="none"/>
        </w:rPr>
        <w:t>最</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限价的；</w:t>
      </w:r>
    </w:p>
    <w:p w14:paraId="15126CA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（五）法定代表人为同一个人的两个及两个以上法人，母公司、全资子公司及其控股公司，在同一包采购中同时参与比选；</w:t>
      </w:r>
    </w:p>
    <w:p w14:paraId="5DB0CE9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44FE638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4108235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（八）供应商比选有效期不满足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要求的；</w:t>
      </w:r>
    </w:p>
    <w:p w14:paraId="63CCC57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（九）供应商比选响应文件内容有与国家现行法律法规相违背的内容，或附有采购人无法接受的条件；</w:t>
      </w:r>
    </w:p>
    <w:p w14:paraId="127959E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（十）供应商以联合体形式参与比选的；</w:t>
      </w:r>
    </w:p>
    <w:p w14:paraId="539C7AD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14:paraId="18F8249D">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63145447">
      <w:pPr>
        <w:pStyle w:val="5"/>
        <w:spacing w:line="400" w:lineRule="exact"/>
        <w:rPr>
          <w:rFonts w:hint="eastAsia" w:ascii="宋体" w:hAnsi="宋体" w:eastAsia="宋体" w:cs="宋体"/>
          <w:color w:val="auto"/>
          <w:sz w:val="24"/>
          <w:szCs w:val="24"/>
          <w:highlight w:val="none"/>
        </w:rPr>
      </w:pPr>
      <w:bookmarkStart w:id="90" w:name="_Toc26937"/>
      <w:r>
        <w:rPr>
          <w:rFonts w:hint="eastAsia" w:ascii="宋体" w:hAnsi="宋体" w:eastAsia="宋体" w:cs="宋体"/>
          <w:color w:val="auto"/>
          <w:sz w:val="24"/>
          <w:szCs w:val="24"/>
          <w:highlight w:val="none"/>
        </w:rPr>
        <w:t>四、</w:t>
      </w:r>
      <w:bookmarkEnd w:id="87"/>
      <w:bookmarkEnd w:id="88"/>
      <w:r>
        <w:rPr>
          <w:rFonts w:hint="eastAsia" w:ascii="宋体" w:hAnsi="宋体" w:eastAsia="宋体" w:cs="宋体"/>
          <w:color w:val="auto"/>
          <w:sz w:val="24"/>
          <w:szCs w:val="24"/>
          <w:highlight w:val="none"/>
        </w:rPr>
        <w:t>采购终止</w:t>
      </w:r>
      <w:bookmarkEnd w:id="90"/>
    </w:p>
    <w:p w14:paraId="6DA986B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采购活动，发布项目终止公告并说明原因，重新开展采购活动：</w:t>
      </w:r>
    </w:p>
    <w:p w14:paraId="4491E9B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采购方式适用情形的；</w:t>
      </w:r>
    </w:p>
    <w:p w14:paraId="2DFFC0D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58FEA36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（三）在采购过程中符合要求的供应商或者报价未超过最高限价的供应商不足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w:t>
      </w:r>
      <w:bookmarkStart w:id="91" w:name="_Toc102227313"/>
      <w:bookmarkStart w:id="92" w:name="_Toc25083"/>
      <w:bookmarkStart w:id="93" w:name="_Toc12789059"/>
      <w:bookmarkStart w:id="94" w:name="_Toc11641055"/>
    </w:p>
    <w:p w14:paraId="31606D36">
      <w:pPr>
        <w:pStyle w:val="4"/>
        <w:spacing w:line="360" w:lineRule="auto"/>
        <w:jc w:val="center"/>
        <w:rPr>
          <w:rFonts w:hint="eastAsia" w:ascii="宋体" w:hAnsi="宋体" w:eastAsia="宋体" w:cs="宋体"/>
          <w:b/>
          <w:bCs/>
          <w:color w:val="auto"/>
          <w:szCs w:val="30"/>
          <w:highlight w:val="none"/>
        </w:rPr>
      </w:pPr>
      <w:r>
        <w:rPr>
          <w:rFonts w:hint="eastAsia" w:ascii="宋体" w:hAnsi="宋体" w:eastAsia="宋体" w:cs="宋体"/>
          <w:b w:val="0"/>
          <w:color w:val="auto"/>
          <w:sz w:val="36"/>
          <w:szCs w:val="30"/>
          <w:highlight w:val="none"/>
        </w:rPr>
        <w:br w:type="page"/>
      </w:r>
      <w:bookmarkStart w:id="95" w:name="_Toc21093"/>
      <w:r>
        <w:rPr>
          <w:rFonts w:hint="eastAsia" w:ascii="宋体" w:hAnsi="宋体" w:eastAsia="宋体" w:cs="宋体"/>
          <w:b/>
          <w:bCs/>
          <w:color w:val="auto"/>
          <w:sz w:val="36"/>
          <w:szCs w:val="30"/>
          <w:highlight w:val="none"/>
        </w:rPr>
        <w:t>第五篇  供应商须知</w:t>
      </w:r>
      <w:bookmarkEnd w:id="91"/>
      <w:bookmarkEnd w:id="92"/>
      <w:bookmarkEnd w:id="95"/>
    </w:p>
    <w:p w14:paraId="3D94A5B6">
      <w:pPr>
        <w:pStyle w:val="5"/>
        <w:spacing w:line="440" w:lineRule="exact"/>
        <w:rPr>
          <w:rFonts w:hint="eastAsia" w:ascii="宋体" w:hAnsi="宋体" w:eastAsia="宋体" w:cs="宋体"/>
          <w:color w:val="auto"/>
          <w:sz w:val="24"/>
          <w:szCs w:val="24"/>
          <w:highlight w:val="none"/>
        </w:rPr>
      </w:pPr>
      <w:bookmarkStart w:id="96" w:name="_Toc23048"/>
      <w:bookmarkStart w:id="97" w:name="_Toc342913389"/>
      <w:bookmarkStart w:id="98" w:name="_Toc9003"/>
      <w:r>
        <w:rPr>
          <w:rFonts w:hint="eastAsia" w:ascii="宋体" w:hAnsi="宋体" w:eastAsia="宋体" w:cs="宋体"/>
          <w:color w:val="auto"/>
          <w:sz w:val="24"/>
          <w:szCs w:val="24"/>
          <w:highlight w:val="none"/>
        </w:rPr>
        <w:t>一、比选费用</w:t>
      </w:r>
      <w:bookmarkEnd w:id="96"/>
      <w:bookmarkEnd w:id="97"/>
      <w:bookmarkEnd w:id="98"/>
    </w:p>
    <w:p w14:paraId="4D694253">
      <w:pPr>
        <w:pStyle w:val="26"/>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参与比选的供应商应承担其编制比选响应文件与递交比选响应文件所涉及的一切费用，不论比选结果如何，采购人和采购代理机构在任何情况下无义务也无责任承担这些费用。</w:t>
      </w:r>
    </w:p>
    <w:p w14:paraId="6BB88B78">
      <w:pPr>
        <w:pStyle w:val="26"/>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选供应商须在收到中标通知书之日起3个工作日内，向采购代理机构一次性支付代理服务费人民币肆仟元整（¥4,000.00）。支付凭证复印件须及时提交。逾期未支付，采购人及代理机构有权按相关规定处理，包括但不限于不发出成交通知书或取消中选资格。</w:t>
      </w:r>
    </w:p>
    <w:p w14:paraId="3797F0EB">
      <w:pPr>
        <w:pStyle w:val="5"/>
        <w:tabs>
          <w:tab w:val="left" w:pos="2640"/>
        </w:tabs>
        <w:spacing w:line="400" w:lineRule="exact"/>
        <w:rPr>
          <w:rFonts w:hint="eastAsia" w:ascii="宋体" w:hAnsi="宋体" w:eastAsia="宋体" w:cs="宋体"/>
          <w:color w:val="auto"/>
          <w:sz w:val="24"/>
          <w:szCs w:val="24"/>
          <w:highlight w:val="none"/>
        </w:rPr>
      </w:pPr>
      <w:bookmarkStart w:id="99" w:name="_Toc342913391"/>
      <w:bookmarkStart w:id="100" w:name="_Toc29276"/>
      <w:bookmarkStart w:id="101" w:name="_Toc19556"/>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比选文件</w:t>
      </w:r>
      <w:bookmarkEnd w:id="99"/>
      <w:bookmarkEnd w:id="100"/>
      <w:bookmarkEnd w:id="101"/>
    </w:p>
    <w:p w14:paraId="287458B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由采购邀请书、项目服务需求、项目商务需求、</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程序及方法、评审标准、无效响应和采购终止、供应商须知、政府采购合同、比选响应文件编制要求七部分组成。</w:t>
      </w:r>
    </w:p>
    <w:p w14:paraId="5F68B62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不可分割的部分。</w:t>
      </w:r>
    </w:p>
    <w:p w14:paraId="758C8F08">
      <w:pPr>
        <w:snapToGrid w:val="0"/>
        <w:spacing w:line="400" w:lineRule="exact"/>
        <w:ind w:firstLine="480" w:firstLineChars="200"/>
        <w:rPr>
          <w:rFonts w:hint="eastAsia" w:ascii="宋体" w:hAnsi="宋体" w:eastAsia="宋体" w:cs="宋体"/>
          <w:color w:val="auto"/>
          <w:sz w:val="24"/>
          <w:szCs w:val="24"/>
          <w:highlight w:val="none"/>
        </w:rPr>
      </w:pPr>
      <w:bookmarkStart w:id="102" w:name="_Toc318159160"/>
      <w:bookmarkStart w:id="103" w:name="_Toc318166429"/>
      <w:bookmarkStart w:id="104" w:name="_Toc318159349"/>
      <w:bookmarkStart w:id="105" w:name="_Toc318159780"/>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的解释</w:t>
      </w:r>
    </w:p>
    <w:p w14:paraId="2725348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有疑问，必须以书面形式在提交比选响应文件截止时间3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。一经进入比选程序，即视为供应商已详细阅读全部文件资料，完全理解</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所有条款内容并同意放弃对这方面有不明白及误解的权利。</w:t>
      </w:r>
    </w:p>
    <w:p w14:paraId="3401114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中，比选小组根据与供应商进行比选可能实质性变动的内容为</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第二、三、六篇全部内容。</w:t>
      </w:r>
    </w:p>
    <w:p w14:paraId="79E0C5F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和比选响应文件（含有效的书面承诺）。比选小组判断比选响应文件对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的响应，仅基于比选响应文件本身而不靠外部证据。</w:t>
      </w:r>
    </w:p>
    <w:bookmarkEnd w:id="102"/>
    <w:bookmarkEnd w:id="103"/>
    <w:bookmarkEnd w:id="104"/>
    <w:bookmarkEnd w:id="105"/>
    <w:p w14:paraId="133DEB60">
      <w:pPr>
        <w:pStyle w:val="5"/>
        <w:spacing w:line="400" w:lineRule="exact"/>
        <w:rPr>
          <w:rFonts w:hint="eastAsia" w:ascii="宋体" w:hAnsi="宋体" w:eastAsia="宋体" w:cs="宋体"/>
          <w:color w:val="auto"/>
          <w:sz w:val="24"/>
          <w:szCs w:val="24"/>
          <w:highlight w:val="none"/>
        </w:rPr>
      </w:pPr>
      <w:bookmarkStart w:id="106" w:name="_Toc27595"/>
      <w:bookmarkStart w:id="107" w:name="_Toc179714297"/>
      <w:bookmarkStart w:id="108" w:name="_Toc342913392"/>
      <w:bookmarkStart w:id="109" w:name="_Toc29081"/>
      <w:bookmarkStart w:id="110" w:name="_Toc102227318"/>
      <w:r>
        <w:rPr>
          <w:rFonts w:hint="eastAsia" w:ascii="宋体" w:hAnsi="宋体" w:eastAsia="宋体" w:cs="宋体"/>
          <w:color w:val="auto"/>
          <w:sz w:val="24"/>
          <w:szCs w:val="24"/>
          <w:highlight w:val="none"/>
        </w:rPr>
        <w:t>三、比选要求</w:t>
      </w:r>
      <w:bookmarkEnd w:id="106"/>
      <w:bookmarkEnd w:id="107"/>
      <w:bookmarkEnd w:id="108"/>
      <w:bookmarkEnd w:id="109"/>
      <w:bookmarkEnd w:id="110"/>
    </w:p>
    <w:p w14:paraId="79DD4F3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（一）比选响应文件</w:t>
      </w:r>
    </w:p>
    <w:p w14:paraId="55B3081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的要求编制比选响应文件，并对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提出的要求和条件作出实质性响应，比选响应文件原则上采用软面订本，同时应编制完整的页码、目录。</w:t>
      </w:r>
    </w:p>
    <w:p w14:paraId="227FC08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2、比选响应文件组成</w:t>
      </w:r>
    </w:p>
    <w:p w14:paraId="46906C8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由第七篇“比选响应文件编制要求”规定的部分和供应商所作的一切有效补充、修改和承诺等文件组成，供应商应按照第七篇“比选响应文件编制要求”规定的目录顺序组织编写和装订，也可在基本格式基础上对表格进行扩展，未规定格式的由供应商自定格式。</w:t>
      </w:r>
    </w:p>
    <w:p w14:paraId="32E8B52D">
      <w:pPr>
        <w:numPr>
          <w:ilvl w:val="0"/>
          <w:numId w:val="4"/>
        </w:num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p w14:paraId="2264E401">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本项目不接受联合体参与比选。</w:t>
      </w:r>
    </w:p>
    <w:p w14:paraId="3C83AF9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（三）比选有效期：比选响应文件及有关承诺文件有效期为提交比选响应文件截止时间起90天。</w:t>
      </w:r>
    </w:p>
    <w:p w14:paraId="7C94B956">
      <w:pPr>
        <w:spacing w:line="400" w:lineRule="exact"/>
        <w:ind w:firstLine="480" w:firstLineChars="200"/>
        <w:rPr>
          <w:rFonts w:hint="eastAsia" w:ascii="宋体" w:hAnsi="宋体" w:eastAsia="宋体" w:cs="宋体"/>
          <w:color w:val="auto"/>
          <w:sz w:val="24"/>
          <w:szCs w:val="24"/>
          <w:highlight w:val="none"/>
        </w:rPr>
      </w:pPr>
      <w:bookmarkStart w:id="111" w:name="_Toc22885"/>
      <w:bookmarkStart w:id="112" w:name="_Toc22541"/>
      <w:r>
        <w:rPr>
          <w:rFonts w:hint="eastAsia" w:ascii="宋体" w:hAnsi="宋体" w:eastAsia="宋体" w:cs="宋体"/>
          <w:color w:val="auto"/>
          <w:sz w:val="24"/>
          <w:szCs w:val="24"/>
          <w:highlight w:val="none"/>
        </w:rPr>
        <w:t>（四）修正错误</w:t>
      </w:r>
    </w:p>
    <w:p w14:paraId="5F498A9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若供应商所递交的比选响应文件或最后报价中的价格出现大写金额和小写金额不一致的错误，以大写金额修正为准。</w:t>
      </w:r>
    </w:p>
    <w:p w14:paraId="4DD7B67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．评审小组按上述修正错误的原则及方法修正供应商的报价，供应商须默认上述修正方式，修正后的报价对供应商具有约束作用。如果供应商不接受修正后的价格，将失去成为成交供应商的资格。</w:t>
      </w:r>
    </w:p>
    <w:p w14:paraId="0C4B608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（五）提交比选响应文件的份数和签署</w:t>
      </w:r>
    </w:p>
    <w:p w14:paraId="539F101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下比选需提供响应文件一式三份，其中正本一份，副本二份，线上报名时需上传盖章后的电子文档一份（电子文档内容应与纸质文件正本一致，如不一致以线上电子文档为准。副本可为正本的复印件，应与正本一致，如副本与正本出现不一致情况以正本为准）。</w:t>
      </w:r>
    </w:p>
    <w:p w14:paraId="22A175A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在比选响应文件正本中，</w:t>
      </w:r>
      <w:r>
        <w:rPr>
          <w:rFonts w:hint="eastAsia" w:ascii="宋体" w:hAnsi="宋体" w:cs="宋体"/>
          <w:color w:val="auto"/>
          <w:sz w:val="24"/>
          <w:highlight w:val="none"/>
          <w:lang w:eastAsia="zh-CN"/>
        </w:rPr>
        <w:t>比选文件</w:t>
      </w:r>
      <w:r>
        <w:rPr>
          <w:rFonts w:hint="eastAsia" w:ascii="宋体" w:hAnsi="宋体" w:eastAsia="宋体" w:cs="宋体"/>
          <w:color w:val="auto"/>
          <w:sz w:val="24"/>
          <w:highlight w:val="none"/>
        </w:rPr>
        <w:t>第七篇比选响应文件编制要求中规定签署、盖章的地方必须按其规定签署、盖章。</w:t>
      </w:r>
    </w:p>
    <w:p w14:paraId="73FA25E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（六）比选响应文件的递交</w:t>
      </w:r>
    </w:p>
    <w:p w14:paraId="4D19CE6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线上报名：响应文件的电子文档应在有效报名时间段内，通过系统在线提交。</w:t>
      </w:r>
    </w:p>
    <w:p w14:paraId="72049E5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线下递交：响应文件的密封</w:t>
      </w:r>
    </w:p>
    <w:p w14:paraId="4B8796D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响应文件的正本、副本均应密封送达递交响应文件地点，应在封套上注明项目名称、供应商名称。若正本、副本分别进行密封的，还应在封套上注明“正本”、“副本”字样。</w:t>
      </w:r>
    </w:p>
    <w:p w14:paraId="5C1182C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6535755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各个供应商应当派1-2名代表参与比选，至少1人应为法定代表人（或其授权代表）或自然人（供应商为自然人）。供应商法定代表人或授权代表应随身携带本人身份证原件。</w:t>
      </w:r>
    </w:p>
    <w:p w14:paraId="545B15EB">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四、成交供应商的确认和变更</w:t>
      </w:r>
      <w:bookmarkEnd w:id="111"/>
      <w:bookmarkEnd w:id="112"/>
    </w:p>
    <w:p w14:paraId="0078F9F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（一）中选人的确认</w:t>
      </w:r>
    </w:p>
    <w:p w14:paraId="48BB2F9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在评审报告确定的中选候选人名单中按顺序确定中选人。采购人逾期未确定成交供应商且不提出异议的，视为确定评审报告提出的排序第一的供应商为中选人。</w:t>
      </w:r>
    </w:p>
    <w:p w14:paraId="6EA8A86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（二）中选人的变更</w:t>
      </w:r>
    </w:p>
    <w:p w14:paraId="60E75205">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中选人拒绝与采购人签订合同的，采购人可以按照评标报告推荐的中选人顺序，确定排名下一位的候选人为</w:t>
      </w:r>
      <w:r>
        <w:rPr>
          <w:rFonts w:hint="eastAsia" w:ascii="宋体" w:hAnsi="宋体" w:eastAsia="宋体" w:cs="宋体"/>
          <w:color w:val="auto"/>
          <w:sz w:val="24"/>
          <w:szCs w:val="24"/>
          <w:highlight w:val="none"/>
        </w:rPr>
        <w:t>中选人</w:t>
      </w:r>
      <w:r>
        <w:rPr>
          <w:rFonts w:hint="eastAsia" w:ascii="宋体" w:hAnsi="宋体" w:eastAsia="宋体" w:cs="宋体"/>
          <w:color w:val="auto"/>
          <w:sz w:val="24"/>
          <w:highlight w:val="none"/>
        </w:rPr>
        <w:t>，也可以重新开展采购活动。</w:t>
      </w:r>
    </w:p>
    <w:p w14:paraId="4761A9B1">
      <w:pPr>
        <w:pStyle w:val="5"/>
        <w:spacing w:line="400" w:lineRule="exact"/>
        <w:rPr>
          <w:rFonts w:hint="eastAsia" w:ascii="宋体" w:hAnsi="宋体" w:eastAsia="宋体" w:cs="宋体"/>
          <w:color w:val="auto"/>
          <w:sz w:val="24"/>
          <w:szCs w:val="24"/>
          <w:highlight w:val="none"/>
        </w:rPr>
      </w:pPr>
      <w:bookmarkStart w:id="113" w:name="_Toc8404"/>
      <w:bookmarkStart w:id="114" w:name="_Toc30441"/>
      <w:bookmarkStart w:id="115" w:name="_Toc342913395"/>
      <w:bookmarkStart w:id="116" w:name="_Toc102227321"/>
      <w:r>
        <w:rPr>
          <w:rFonts w:hint="eastAsia" w:ascii="宋体" w:hAnsi="宋体" w:eastAsia="宋体" w:cs="宋体"/>
          <w:color w:val="auto"/>
          <w:sz w:val="24"/>
          <w:szCs w:val="24"/>
          <w:highlight w:val="none"/>
        </w:rPr>
        <w:t>五、成交通知</w:t>
      </w:r>
      <w:bookmarkEnd w:id="113"/>
      <w:bookmarkEnd w:id="114"/>
      <w:bookmarkEnd w:id="115"/>
      <w:bookmarkEnd w:id="116"/>
    </w:p>
    <w:p w14:paraId="306D6A1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（一）采购代理机构将在</w:t>
      </w:r>
      <w:r>
        <w:rPr>
          <w:rFonts w:hint="eastAsia" w:ascii="宋体" w:hAnsi="宋体" w:cs="宋体"/>
          <w:color w:val="auto"/>
          <w:kern w:val="0"/>
          <w:sz w:val="24"/>
          <w:szCs w:val="24"/>
          <w:highlight w:val="none"/>
          <w:lang w:val="zh-CN"/>
        </w:rPr>
        <w:t>重庆奉节小额采购管理与交易平台（https://cqfj.gec123.com/）</w:t>
      </w:r>
      <w:r>
        <w:rPr>
          <w:rFonts w:hint="eastAsia" w:ascii="宋体" w:hAnsi="宋体" w:eastAsia="宋体" w:cs="宋体"/>
          <w:color w:val="auto"/>
          <w:sz w:val="24"/>
          <w:szCs w:val="24"/>
          <w:highlight w:val="none"/>
        </w:rPr>
        <w:t>上发布成交结果公告。</w:t>
      </w:r>
    </w:p>
    <w:p w14:paraId="723F33B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（二）结果公告发出同时，采购代理机构将以书面形式发出《中选通知书》。《中选通知书》一经发出即发生法律效力。</w:t>
      </w:r>
    </w:p>
    <w:p w14:paraId="519F814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77C2EA85">
      <w:pPr>
        <w:pStyle w:val="5"/>
        <w:spacing w:line="400" w:lineRule="exact"/>
        <w:rPr>
          <w:rFonts w:hint="eastAsia" w:ascii="宋体" w:hAnsi="宋体" w:eastAsia="宋体" w:cs="宋体"/>
          <w:color w:val="auto"/>
          <w:sz w:val="24"/>
          <w:szCs w:val="24"/>
          <w:highlight w:val="none"/>
        </w:rPr>
      </w:pPr>
      <w:bookmarkStart w:id="117" w:name="_Toc5898"/>
      <w:bookmarkStart w:id="118" w:name="_Toc20307"/>
      <w:r>
        <w:rPr>
          <w:rFonts w:hint="eastAsia" w:ascii="宋体" w:hAnsi="宋体" w:eastAsia="宋体" w:cs="宋体"/>
          <w:color w:val="auto"/>
          <w:sz w:val="24"/>
          <w:szCs w:val="24"/>
          <w:highlight w:val="none"/>
        </w:rPr>
        <w:t>六、关于质疑</w:t>
      </w:r>
      <w:bookmarkEnd w:id="117"/>
      <w:bookmarkEnd w:id="118"/>
    </w:p>
    <w:p w14:paraId="77A21BB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088A6E8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0A655C6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3FF019C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136107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个工作日内，以书面形式向采购人、采购代理机构提出质疑。</w:t>
      </w:r>
    </w:p>
    <w:p w14:paraId="22C77BD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46C74A4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5AA9896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1.2.2质疑项目的名称、项目编号；</w:t>
      </w:r>
    </w:p>
    <w:p w14:paraId="77CAF1C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69F8C3B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713FF84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5A21916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7053FDC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6A3E59D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2E8E7CC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4CB72DF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51423FA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个工作日内作出答复，并以书面形式通知质疑供应商和其他有关供应商。</w:t>
      </w:r>
    </w:p>
    <w:p w14:paraId="0499A1E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3.质疑函范本可在财政部门户网站和中国政府采购网下载。</w:t>
      </w:r>
    </w:p>
    <w:p w14:paraId="11616F27">
      <w:pPr>
        <w:pStyle w:val="5"/>
        <w:spacing w:line="400" w:lineRule="exact"/>
        <w:rPr>
          <w:rFonts w:hint="eastAsia" w:ascii="宋体" w:hAnsi="宋体" w:eastAsia="宋体" w:cs="宋体"/>
          <w:color w:val="auto"/>
          <w:sz w:val="24"/>
          <w:szCs w:val="24"/>
          <w:highlight w:val="none"/>
        </w:rPr>
      </w:pPr>
      <w:bookmarkStart w:id="119" w:name="_Toc102227322"/>
      <w:bookmarkStart w:id="120" w:name="_Toc3328"/>
      <w:bookmarkStart w:id="121" w:name="_Toc342913396"/>
      <w:bookmarkStart w:id="122" w:name="_Toc30928"/>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、签订</w:t>
      </w:r>
      <w:bookmarkEnd w:id="119"/>
      <w:r>
        <w:rPr>
          <w:rFonts w:hint="eastAsia" w:ascii="宋体" w:hAnsi="宋体" w:eastAsia="宋体" w:cs="宋体"/>
          <w:color w:val="auto"/>
          <w:sz w:val="24"/>
          <w:szCs w:val="24"/>
          <w:highlight w:val="none"/>
        </w:rPr>
        <w:t>合同</w:t>
      </w:r>
      <w:bookmarkEnd w:id="120"/>
      <w:bookmarkEnd w:id="121"/>
      <w:bookmarkEnd w:id="122"/>
    </w:p>
    <w:p w14:paraId="3BF3DB4F">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（一）采购人原则上应在成交通知书发出之日起二十日内和成交供应商签订采购合同，无正当理由不得拒绝或拖延合同签订。所签订的合同不得对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和供应商的比选响应文件作实质性修改。其他未尽事宜由采购人和成交供应商在采购合同中详细约定。</w:t>
      </w:r>
    </w:p>
    <w:p w14:paraId="38AE1E83">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、供应商的比选响应文件及澄清文件等，均为签订采购合同的依据。</w:t>
      </w:r>
    </w:p>
    <w:p w14:paraId="009FCF73">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3EFD6AC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2BD8F61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中予以约定。成交供应商履约完毕后，采购人</w:t>
      </w:r>
      <w:r>
        <w:rPr>
          <w:rFonts w:hint="eastAsia" w:ascii="宋体" w:hAnsi="宋体" w:eastAsia="宋体" w:cs="宋体"/>
          <w:color w:val="auto"/>
          <w:sz w:val="24"/>
          <w:highlight w:val="none"/>
        </w:rPr>
        <w:t>应按比选文件及合同的约定无息退还其履约保证金。</w:t>
      </w:r>
    </w:p>
    <w:bookmarkEnd w:id="93"/>
    <w:bookmarkEnd w:id="94"/>
    <w:p w14:paraId="52B2CD4F">
      <w:pPr>
        <w:pStyle w:val="4"/>
        <w:numPr>
          <w:ilvl w:val="0"/>
          <w:numId w:val="5"/>
        </w:numPr>
        <w:spacing w:line="360" w:lineRule="auto"/>
        <w:jc w:val="center"/>
        <w:rPr>
          <w:rFonts w:hint="eastAsia" w:ascii="宋体" w:hAnsi="宋体" w:eastAsia="宋体" w:cs="宋体"/>
          <w:b w:val="0"/>
          <w:bCs/>
          <w:color w:val="auto"/>
          <w:sz w:val="36"/>
          <w:szCs w:val="30"/>
          <w:highlight w:val="none"/>
        </w:rPr>
      </w:pPr>
      <w:bookmarkStart w:id="123" w:name="_Hlt41879464"/>
      <w:bookmarkEnd w:id="123"/>
      <w:bookmarkStart w:id="124" w:name="_Toc28084"/>
      <w:bookmarkStart w:id="125" w:name="_Toc505262417"/>
      <w:bookmarkStart w:id="126" w:name="_Toc12789072"/>
      <w:r>
        <w:rPr>
          <w:rFonts w:hint="eastAsia" w:ascii="宋体" w:hAnsi="宋体" w:eastAsia="宋体" w:cs="宋体"/>
          <w:b w:val="0"/>
          <w:bCs/>
          <w:color w:val="auto"/>
          <w:sz w:val="36"/>
          <w:szCs w:val="30"/>
          <w:highlight w:val="none"/>
        </w:rPr>
        <w:br w:type="page"/>
      </w:r>
      <w:bookmarkEnd w:id="124"/>
      <w:bookmarkEnd w:id="125"/>
      <w:bookmarkStart w:id="127" w:name="_Toc211"/>
      <w:r>
        <w:rPr>
          <w:rFonts w:hint="eastAsia" w:ascii="宋体" w:hAnsi="宋体" w:eastAsia="宋体" w:cs="宋体"/>
          <w:b w:val="0"/>
          <w:bCs/>
          <w:color w:val="auto"/>
          <w:sz w:val="36"/>
          <w:szCs w:val="30"/>
          <w:highlight w:val="none"/>
        </w:rPr>
        <w:t xml:space="preserve"> </w:t>
      </w:r>
      <w:bookmarkStart w:id="128" w:name="_Toc31220"/>
      <w:r>
        <w:rPr>
          <w:rFonts w:hint="eastAsia" w:ascii="宋体" w:hAnsi="宋体" w:eastAsia="宋体" w:cs="宋体"/>
          <w:b w:val="0"/>
          <w:bCs/>
          <w:color w:val="auto"/>
          <w:sz w:val="36"/>
          <w:szCs w:val="30"/>
          <w:highlight w:val="none"/>
        </w:rPr>
        <w:t>采购合同</w:t>
      </w:r>
      <w:bookmarkEnd w:id="127"/>
      <w:bookmarkEnd w:id="128"/>
      <w:r>
        <w:rPr>
          <w:rFonts w:hint="eastAsia" w:ascii="宋体" w:hAnsi="宋体" w:eastAsia="宋体" w:cs="宋体"/>
          <w:b w:val="0"/>
          <w:bCs/>
          <w:color w:val="auto"/>
          <w:sz w:val="36"/>
          <w:szCs w:val="30"/>
          <w:highlight w:val="none"/>
          <w:lang w:eastAsia="zh-CN"/>
        </w:rPr>
        <w:t>（</w:t>
      </w:r>
      <w:r>
        <w:rPr>
          <w:rFonts w:hint="eastAsia" w:ascii="宋体" w:hAnsi="宋体" w:eastAsia="宋体" w:cs="宋体"/>
          <w:b w:val="0"/>
          <w:bCs/>
          <w:color w:val="auto"/>
          <w:sz w:val="36"/>
          <w:szCs w:val="30"/>
          <w:highlight w:val="none"/>
          <w:lang w:val="en-US" w:eastAsia="zh-CN"/>
        </w:rPr>
        <w:t>参考</w:t>
      </w:r>
      <w:r>
        <w:rPr>
          <w:rFonts w:hint="eastAsia" w:ascii="宋体" w:hAnsi="宋体" w:eastAsia="宋体" w:cs="宋体"/>
          <w:b w:val="0"/>
          <w:bCs/>
          <w:color w:val="auto"/>
          <w:sz w:val="36"/>
          <w:szCs w:val="30"/>
          <w:highlight w:val="none"/>
          <w:lang w:eastAsia="zh-CN"/>
        </w:rPr>
        <w:t>）</w:t>
      </w:r>
    </w:p>
    <w:p w14:paraId="44163FF8">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07385263">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44F229DA">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60D7AD23">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6FF72F1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11"/>
        <w:gridCol w:w="587"/>
        <w:gridCol w:w="1134"/>
        <w:gridCol w:w="1559"/>
        <w:gridCol w:w="1567"/>
        <w:gridCol w:w="15"/>
      </w:tblGrid>
      <w:tr w14:paraId="2336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09BBBB7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41" w:type="dxa"/>
            <w:vAlign w:val="center"/>
          </w:tcPr>
          <w:p w14:paraId="58D3FCD5">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相关信息</w:t>
            </w:r>
          </w:p>
        </w:tc>
        <w:tc>
          <w:tcPr>
            <w:tcW w:w="984" w:type="dxa"/>
            <w:vAlign w:val="center"/>
          </w:tcPr>
          <w:p w14:paraId="30BEF83E">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5A2F17B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134" w:type="dxa"/>
            <w:vAlign w:val="center"/>
          </w:tcPr>
          <w:p w14:paraId="4673EE4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14:paraId="40CE3B1D">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1567" w:type="dxa"/>
            <w:vAlign w:val="center"/>
          </w:tcPr>
          <w:p w14:paraId="626A45A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347F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4B4E59E">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538495A">
            <w:pPr>
              <w:spacing w:line="240" w:lineRule="atLeast"/>
              <w:jc w:val="center"/>
              <w:rPr>
                <w:rFonts w:hint="eastAsia" w:ascii="宋体" w:hAnsi="宋体" w:eastAsia="宋体" w:cs="宋体"/>
                <w:color w:val="auto"/>
                <w:sz w:val="21"/>
                <w:szCs w:val="21"/>
                <w:highlight w:val="none"/>
              </w:rPr>
            </w:pPr>
          </w:p>
        </w:tc>
        <w:tc>
          <w:tcPr>
            <w:tcW w:w="984" w:type="dxa"/>
            <w:vAlign w:val="center"/>
          </w:tcPr>
          <w:p w14:paraId="25896FCD">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0675A4F">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ACE5279">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C9BF05F">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69F2D8FA">
            <w:pPr>
              <w:spacing w:line="240" w:lineRule="atLeast"/>
              <w:jc w:val="center"/>
              <w:rPr>
                <w:rFonts w:hint="eastAsia" w:ascii="宋体" w:hAnsi="宋体" w:eastAsia="宋体" w:cs="宋体"/>
                <w:color w:val="auto"/>
                <w:sz w:val="21"/>
                <w:szCs w:val="21"/>
                <w:highlight w:val="none"/>
              </w:rPr>
            </w:pPr>
          </w:p>
        </w:tc>
      </w:tr>
      <w:tr w14:paraId="5EBF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63CF6E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63B8438">
            <w:pPr>
              <w:spacing w:line="240" w:lineRule="atLeast"/>
              <w:jc w:val="center"/>
              <w:rPr>
                <w:rFonts w:hint="eastAsia" w:ascii="宋体" w:hAnsi="宋体" w:eastAsia="宋体" w:cs="宋体"/>
                <w:color w:val="auto"/>
                <w:sz w:val="21"/>
                <w:szCs w:val="21"/>
                <w:highlight w:val="none"/>
              </w:rPr>
            </w:pPr>
          </w:p>
        </w:tc>
        <w:tc>
          <w:tcPr>
            <w:tcW w:w="984" w:type="dxa"/>
            <w:vAlign w:val="center"/>
          </w:tcPr>
          <w:p w14:paraId="7A3E1C5F">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1B46CBA5">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DD59DCF">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001A3B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33670A90">
            <w:pPr>
              <w:spacing w:line="240" w:lineRule="atLeast"/>
              <w:jc w:val="center"/>
              <w:rPr>
                <w:rFonts w:hint="eastAsia" w:ascii="宋体" w:hAnsi="宋体" w:eastAsia="宋体" w:cs="宋体"/>
                <w:color w:val="auto"/>
                <w:sz w:val="21"/>
                <w:szCs w:val="21"/>
                <w:highlight w:val="none"/>
              </w:rPr>
            </w:pPr>
          </w:p>
        </w:tc>
      </w:tr>
      <w:tr w14:paraId="52C3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069A3D6">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411FA75">
            <w:pPr>
              <w:spacing w:line="240" w:lineRule="atLeast"/>
              <w:jc w:val="center"/>
              <w:rPr>
                <w:rFonts w:hint="eastAsia" w:ascii="宋体" w:hAnsi="宋体" w:eastAsia="宋体" w:cs="宋体"/>
                <w:color w:val="auto"/>
                <w:sz w:val="21"/>
                <w:szCs w:val="21"/>
                <w:highlight w:val="none"/>
              </w:rPr>
            </w:pPr>
          </w:p>
        </w:tc>
        <w:tc>
          <w:tcPr>
            <w:tcW w:w="984" w:type="dxa"/>
            <w:vAlign w:val="center"/>
          </w:tcPr>
          <w:p w14:paraId="4EECDB7B">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76012D97">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449F5C1B">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B7C6F0F">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21C59007">
            <w:pPr>
              <w:spacing w:line="240" w:lineRule="atLeast"/>
              <w:jc w:val="center"/>
              <w:rPr>
                <w:rFonts w:hint="eastAsia" w:ascii="宋体" w:hAnsi="宋体" w:eastAsia="宋体" w:cs="宋体"/>
                <w:color w:val="auto"/>
                <w:sz w:val="21"/>
                <w:szCs w:val="21"/>
                <w:highlight w:val="none"/>
              </w:rPr>
            </w:pPr>
          </w:p>
        </w:tc>
      </w:tr>
      <w:tr w14:paraId="52E9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244033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36F41A21">
            <w:pPr>
              <w:spacing w:line="240" w:lineRule="atLeast"/>
              <w:jc w:val="center"/>
              <w:rPr>
                <w:rFonts w:hint="eastAsia" w:ascii="宋体" w:hAnsi="宋体" w:eastAsia="宋体" w:cs="宋体"/>
                <w:color w:val="auto"/>
                <w:sz w:val="21"/>
                <w:szCs w:val="21"/>
                <w:highlight w:val="none"/>
              </w:rPr>
            </w:pPr>
          </w:p>
        </w:tc>
        <w:tc>
          <w:tcPr>
            <w:tcW w:w="984" w:type="dxa"/>
            <w:vAlign w:val="center"/>
          </w:tcPr>
          <w:p w14:paraId="144C3E78">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1D2C6D70">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E3A6E41">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65ECCAC">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9A5DFA6">
            <w:pPr>
              <w:spacing w:line="240" w:lineRule="atLeast"/>
              <w:jc w:val="center"/>
              <w:rPr>
                <w:rFonts w:hint="eastAsia" w:ascii="宋体" w:hAnsi="宋体" w:eastAsia="宋体" w:cs="宋体"/>
                <w:color w:val="auto"/>
                <w:sz w:val="21"/>
                <w:szCs w:val="21"/>
                <w:highlight w:val="none"/>
              </w:rPr>
            </w:pPr>
          </w:p>
        </w:tc>
      </w:tr>
      <w:tr w14:paraId="7AFC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54C2A26">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A781E44">
            <w:pPr>
              <w:spacing w:line="240" w:lineRule="atLeast"/>
              <w:jc w:val="center"/>
              <w:rPr>
                <w:rFonts w:hint="eastAsia" w:ascii="宋体" w:hAnsi="宋体" w:eastAsia="宋体" w:cs="宋体"/>
                <w:color w:val="auto"/>
                <w:sz w:val="21"/>
                <w:szCs w:val="21"/>
                <w:highlight w:val="none"/>
              </w:rPr>
            </w:pPr>
          </w:p>
        </w:tc>
        <w:tc>
          <w:tcPr>
            <w:tcW w:w="984" w:type="dxa"/>
            <w:vAlign w:val="center"/>
          </w:tcPr>
          <w:p w14:paraId="370D775F">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45B0495D">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2800A1B4">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7F3EE2B3">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69DE6F28">
            <w:pPr>
              <w:spacing w:line="240" w:lineRule="atLeast"/>
              <w:jc w:val="center"/>
              <w:rPr>
                <w:rFonts w:hint="eastAsia" w:ascii="宋体" w:hAnsi="宋体" w:eastAsia="宋体" w:cs="宋体"/>
                <w:color w:val="auto"/>
                <w:sz w:val="21"/>
                <w:szCs w:val="21"/>
                <w:highlight w:val="none"/>
              </w:rPr>
            </w:pPr>
          </w:p>
        </w:tc>
      </w:tr>
      <w:tr w14:paraId="351B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D91BD2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4CD69812">
            <w:pPr>
              <w:spacing w:line="240" w:lineRule="atLeast"/>
              <w:jc w:val="center"/>
              <w:rPr>
                <w:rFonts w:hint="eastAsia" w:ascii="宋体" w:hAnsi="宋体" w:eastAsia="宋体" w:cs="宋体"/>
                <w:color w:val="auto"/>
                <w:sz w:val="21"/>
                <w:szCs w:val="21"/>
                <w:highlight w:val="none"/>
              </w:rPr>
            </w:pPr>
          </w:p>
        </w:tc>
        <w:tc>
          <w:tcPr>
            <w:tcW w:w="984" w:type="dxa"/>
            <w:vAlign w:val="center"/>
          </w:tcPr>
          <w:p w14:paraId="1373B5EA">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34462180">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35332A9">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1D613FD0">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4D523781">
            <w:pPr>
              <w:spacing w:line="240" w:lineRule="atLeast"/>
              <w:jc w:val="center"/>
              <w:rPr>
                <w:rFonts w:hint="eastAsia" w:ascii="宋体" w:hAnsi="宋体" w:eastAsia="宋体" w:cs="宋体"/>
                <w:color w:val="auto"/>
                <w:sz w:val="21"/>
                <w:szCs w:val="21"/>
                <w:highlight w:val="none"/>
              </w:rPr>
            </w:pPr>
          </w:p>
        </w:tc>
      </w:tr>
      <w:tr w14:paraId="03E4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3207717">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2659CEE">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19A0E44">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58AA1772">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295EA47">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990468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42D868E4">
            <w:pPr>
              <w:spacing w:line="240" w:lineRule="atLeast"/>
              <w:jc w:val="center"/>
              <w:rPr>
                <w:rFonts w:hint="eastAsia" w:ascii="宋体" w:hAnsi="宋体" w:eastAsia="宋体" w:cs="宋体"/>
                <w:color w:val="auto"/>
                <w:sz w:val="21"/>
                <w:szCs w:val="21"/>
                <w:highlight w:val="none"/>
              </w:rPr>
            </w:pPr>
          </w:p>
        </w:tc>
      </w:tr>
      <w:tr w14:paraId="71DC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27E068B">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1E875C97">
            <w:pPr>
              <w:spacing w:line="240" w:lineRule="atLeast"/>
              <w:jc w:val="center"/>
              <w:rPr>
                <w:rFonts w:hint="eastAsia" w:ascii="宋体" w:hAnsi="宋体" w:eastAsia="宋体" w:cs="宋体"/>
                <w:color w:val="auto"/>
                <w:sz w:val="21"/>
                <w:szCs w:val="21"/>
                <w:highlight w:val="none"/>
              </w:rPr>
            </w:pPr>
          </w:p>
        </w:tc>
        <w:tc>
          <w:tcPr>
            <w:tcW w:w="984" w:type="dxa"/>
            <w:vAlign w:val="center"/>
          </w:tcPr>
          <w:p w14:paraId="54FAFE28">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2979ECE">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71807D27">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28CF3B87">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1EA7F812">
            <w:pPr>
              <w:spacing w:line="240" w:lineRule="atLeast"/>
              <w:jc w:val="center"/>
              <w:rPr>
                <w:rFonts w:hint="eastAsia" w:ascii="宋体" w:hAnsi="宋体" w:eastAsia="宋体" w:cs="宋体"/>
                <w:color w:val="auto"/>
                <w:sz w:val="21"/>
                <w:szCs w:val="21"/>
                <w:highlight w:val="none"/>
              </w:rPr>
            </w:pPr>
          </w:p>
        </w:tc>
      </w:tr>
      <w:tr w14:paraId="3AFF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57AA9A6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3597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103277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CA9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4BFF4D2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72C2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40C1F14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2BC6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74B721E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0CE24425">
            <w:pPr>
              <w:spacing w:line="240" w:lineRule="atLeast"/>
              <w:rPr>
                <w:rFonts w:hint="eastAsia" w:ascii="宋体" w:hAnsi="宋体" w:eastAsia="宋体" w:cs="宋体"/>
                <w:color w:val="auto"/>
                <w:sz w:val="21"/>
                <w:szCs w:val="21"/>
                <w:highlight w:val="none"/>
              </w:rPr>
            </w:pPr>
          </w:p>
        </w:tc>
      </w:tr>
      <w:tr w14:paraId="0724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09AB83B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7FB91BB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按《中华人民共和国民法典》、《政府采购法》执行，或按双方约定。</w:t>
            </w:r>
          </w:p>
        </w:tc>
      </w:tr>
      <w:tr w14:paraId="43A7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683EA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7C0D7DD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1.采购文件及其补遗文件、响应文件和承诺是本合同不可分割的部分。</w:t>
            </w:r>
          </w:p>
          <w:p w14:paraId="51D0EA4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1DD2CC9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3AF9FF7E">
            <w:pPr>
              <w:pStyle w:val="13"/>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4B8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4766" w:type="dxa"/>
            <w:gridSpan w:val="4"/>
          </w:tcPr>
          <w:p w14:paraId="6F0729E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1C654EA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4FCCBDE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B58612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862" w:type="dxa"/>
            <w:gridSpan w:val="5"/>
          </w:tcPr>
          <w:p w14:paraId="32D703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6634A89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495EAB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9FCAFB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611E12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42F21D7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674E8AF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479FB64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0485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58BED20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CBF2B58">
            <w:pPr>
              <w:spacing w:line="240" w:lineRule="atLeast"/>
              <w:rPr>
                <w:rFonts w:hint="eastAsia" w:ascii="宋体" w:hAnsi="宋体" w:eastAsia="宋体" w:cs="宋体"/>
                <w:color w:val="auto"/>
                <w:sz w:val="21"/>
                <w:szCs w:val="21"/>
                <w:highlight w:val="none"/>
              </w:rPr>
            </w:pPr>
          </w:p>
          <w:p w14:paraId="33B320C3">
            <w:pPr>
              <w:spacing w:line="240" w:lineRule="atLeast"/>
              <w:rPr>
                <w:rFonts w:hint="eastAsia" w:ascii="宋体" w:hAnsi="宋体" w:eastAsia="宋体" w:cs="宋体"/>
                <w:color w:val="auto"/>
                <w:sz w:val="21"/>
                <w:szCs w:val="21"/>
                <w:highlight w:val="none"/>
              </w:rPr>
            </w:pPr>
          </w:p>
        </w:tc>
      </w:tr>
    </w:tbl>
    <w:p w14:paraId="7B048FB4">
      <w:pPr>
        <w:rPr>
          <w:rFonts w:hint="eastAsia" w:ascii="宋体" w:hAnsi="宋体" w:eastAsia="宋体" w:cs="宋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3BA6137D">
      <w:pPr>
        <w:pStyle w:val="4"/>
        <w:spacing w:line="360" w:lineRule="auto"/>
        <w:jc w:val="center"/>
        <w:rPr>
          <w:rFonts w:hint="eastAsia" w:ascii="宋体" w:hAnsi="宋体" w:eastAsia="宋体" w:cs="宋体"/>
          <w:b w:val="0"/>
          <w:color w:val="auto"/>
          <w:sz w:val="36"/>
          <w:szCs w:val="30"/>
          <w:highlight w:val="none"/>
        </w:rPr>
      </w:pPr>
      <w:bookmarkStart w:id="129" w:name="_Toc20374"/>
      <w:r>
        <w:rPr>
          <w:rFonts w:hint="eastAsia" w:ascii="宋体" w:hAnsi="宋体" w:eastAsia="宋体" w:cs="宋体"/>
          <w:b w:val="0"/>
          <w:color w:val="auto"/>
          <w:sz w:val="36"/>
          <w:szCs w:val="30"/>
          <w:highlight w:val="none"/>
        </w:rPr>
        <w:t xml:space="preserve">第七篇  </w:t>
      </w:r>
      <w:bookmarkEnd w:id="126"/>
      <w:r>
        <w:rPr>
          <w:rFonts w:hint="eastAsia" w:ascii="宋体" w:hAnsi="宋体" w:eastAsia="宋体" w:cs="宋体"/>
          <w:b w:val="0"/>
          <w:color w:val="auto"/>
          <w:sz w:val="36"/>
          <w:szCs w:val="30"/>
          <w:highlight w:val="none"/>
        </w:rPr>
        <w:t>比选响应文件编制要求</w:t>
      </w:r>
      <w:bookmarkEnd w:id="129"/>
    </w:p>
    <w:p w14:paraId="5F3FD05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51103B1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报价函</w:t>
      </w:r>
    </w:p>
    <w:p w14:paraId="33EC2FE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1D903D3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59F1E0F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75DAD52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084313A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9F8A70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359E18C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AB767E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1DF47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9C1AF3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3D784941">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val="en-US" w:eastAsia="zh-CN"/>
        </w:rPr>
        <w:t>服务技术要求</w:t>
      </w:r>
      <w:r>
        <w:rPr>
          <w:rFonts w:hint="eastAsia" w:ascii="宋体" w:hAnsi="宋体" w:eastAsia="宋体" w:cs="宋体"/>
          <w:color w:val="auto"/>
          <w:sz w:val="24"/>
          <w:szCs w:val="24"/>
          <w:highlight w:val="none"/>
        </w:rPr>
        <w:t>承诺函</w:t>
      </w:r>
    </w:p>
    <w:p w14:paraId="24AAF66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基本资格条件承诺函（格式）</w:t>
      </w:r>
    </w:p>
    <w:p w14:paraId="2F430FD0">
      <w:pPr>
        <w:snapToGrid w:val="0"/>
        <w:spacing w:line="400" w:lineRule="exact"/>
        <w:ind w:firstLine="480" w:firstLineChars="200"/>
        <w:rPr>
          <w:rFonts w:hint="eastAsia" w:ascii="宋体" w:hAnsi="宋体" w:eastAsia="宋体" w:cs="宋体"/>
          <w:color w:val="auto"/>
          <w:sz w:val="24"/>
          <w:szCs w:val="24"/>
          <w:highlight w:val="none"/>
        </w:rPr>
      </w:pPr>
      <w:bookmarkStart w:id="130" w:name="_Toc313008356"/>
      <w:bookmarkStart w:id="131" w:name="_Toc342913419"/>
      <w:bookmarkStart w:id="132" w:name="_Toc313888360"/>
      <w:bookmarkStart w:id="133" w:name="_Toc12789073"/>
      <w:bookmarkStart w:id="134" w:name="_Toc283382454"/>
      <w:r>
        <w:rPr>
          <w:rFonts w:hint="eastAsia" w:ascii="宋体" w:hAnsi="宋体" w:eastAsia="宋体" w:cs="宋体"/>
          <w:color w:val="auto"/>
          <w:sz w:val="24"/>
          <w:szCs w:val="24"/>
          <w:highlight w:val="none"/>
        </w:rPr>
        <w:t>五、其他资料</w:t>
      </w:r>
    </w:p>
    <w:p w14:paraId="7842BDE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5C17FECB">
      <w:pPr>
        <w:pStyle w:val="27"/>
        <w:rPr>
          <w:rFonts w:hint="eastAsia" w:ascii="宋体" w:hAnsi="宋体" w:eastAsia="宋体" w:cs="宋体"/>
          <w:color w:val="auto"/>
          <w:szCs w:val="24"/>
          <w:highlight w:val="none"/>
        </w:rPr>
      </w:pPr>
    </w:p>
    <w:p w14:paraId="4F33DE86">
      <w:pPr>
        <w:pStyle w:val="27"/>
        <w:rPr>
          <w:rFonts w:hint="eastAsia" w:ascii="宋体" w:hAnsi="宋体" w:eastAsia="宋体" w:cs="宋体"/>
          <w:color w:val="auto"/>
          <w:szCs w:val="24"/>
          <w:highlight w:val="none"/>
        </w:rPr>
      </w:pPr>
    </w:p>
    <w:p w14:paraId="0DFB7458">
      <w:pPr>
        <w:pStyle w:val="27"/>
        <w:rPr>
          <w:rFonts w:hint="eastAsia" w:ascii="宋体" w:hAnsi="宋体" w:eastAsia="宋体" w:cs="宋体"/>
          <w:color w:val="auto"/>
          <w:szCs w:val="24"/>
          <w:highlight w:val="none"/>
        </w:rPr>
      </w:pPr>
    </w:p>
    <w:p w14:paraId="43263C6D">
      <w:pPr>
        <w:pStyle w:val="27"/>
        <w:rPr>
          <w:rFonts w:hint="eastAsia" w:ascii="宋体" w:hAnsi="宋体" w:eastAsia="宋体" w:cs="宋体"/>
          <w:color w:val="auto"/>
          <w:szCs w:val="24"/>
          <w:highlight w:val="none"/>
        </w:rPr>
      </w:pPr>
    </w:p>
    <w:p w14:paraId="131DC645">
      <w:pPr>
        <w:pStyle w:val="27"/>
        <w:rPr>
          <w:rFonts w:hint="eastAsia" w:ascii="宋体" w:hAnsi="宋体" w:eastAsia="宋体" w:cs="宋体"/>
          <w:color w:val="auto"/>
          <w:szCs w:val="24"/>
          <w:highlight w:val="none"/>
        </w:rPr>
      </w:pPr>
    </w:p>
    <w:p w14:paraId="44D9710C">
      <w:pPr>
        <w:pStyle w:val="27"/>
        <w:rPr>
          <w:rFonts w:hint="eastAsia" w:ascii="宋体" w:hAnsi="宋体" w:eastAsia="宋体" w:cs="宋体"/>
          <w:color w:val="auto"/>
          <w:szCs w:val="24"/>
          <w:highlight w:val="none"/>
        </w:rPr>
      </w:pPr>
    </w:p>
    <w:p w14:paraId="5CDBB77E">
      <w:pPr>
        <w:pStyle w:val="27"/>
        <w:rPr>
          <w:rFonts w:hint="eastAsia" w:ascii="宋体" w:hAnsi="宋体" w:eastAsia="宋体" w:cs="宋体"/>
          <w:color w:val="auto"/>
          <w:szCs w:val="24"/>
          <w:highlight w:val="none"/>
        </w:rPr>
      </w:pPr>
    </w:p>
    <w:p w14:paraId="36915A01">
      <w:pPr>
        <w:pStyle w:val="27"/>
        <w:rPr>
          <w:rFonts w:hint="eastAsia" w:ascii="宋体" w:hAnsi="宋体" w:eastAsia="宋体" w:cs="宋体"/>
          <w:color w:val="auto"/>
          <w:szCs w:val="24"/>
          <w:highlight w:val="none"/>
        </w:rPr>
      </w:pPr>
    </w:p>
    <w:p w14:paraId="635AE6F9">
      <w:pPr>
        <w:pStyle w:val="27"/>
        <w:rPr>
          <w:rFonts w:hint="eastAsia" w:ascii="宋体" w:hAnsi="宋体" w:eastAsia="宋体" w:cs="宋体"/>
          <w:color w:val="auto"/>
          <w:szCs w:val="24"/>
          <w:highlight w:val="none"/>
        </w:rPr>
      </w:pPr>
    </w:p>
    <w:p w14:paraId="6662FDB9">
      <w:pPr>
        <w:pStyle w:val="27"/>
        <w:rPr>
          <w:rFonts w:hint="eastAsia" w:ascii="宋体" w:hAnsi="宋体" w:eastAsia="宋体" w:cs="宋体"/>
          <w:color w:val="auto"/>
          <w:szCs w:val="24"/>
          <w:highlight w:val="none"/>
        </w:rPr>
      </w:pPr>
    </w:p>
    <w:p w14:paraId="06207C8F">
      <w:pPr>
        <w:rPr>
          <w:rFonts w:hint="eastAsia" w:ascii="宋体" w:hAnsi="宋体" w:eastAsia="宋体" w:cs="宋体"/>
          <w:color w:val="auto"/>
          <w:szCs w:val="24"/>
          <w:highlight w:val="none"/>
        </w:rPr>
      </w:pPr>
    </w:p>
    <w:p w14:paraId="6B5E7EE5">
      <w:pPr>
        <w:pStyle w:val="6"/>
        <w:rPr>
          <w:rFonts w:hint="eastAsia" w:ascii="宋体" w:hAnsi="宋体" w:eastAsia="宋体" w:cs="宋体"/>
          <w:color w:val="auto"/>
          <w:szCs w:val="24"/>
          <w:highlight w:val="none"/>
        </w:rPr>
      </w:pPr>
    </w:p>
    <w:p w14:paraId="19C00CC6">
      <w:pPr>
        <w:rPr>
          <w:rFonts w:hint="eastAsia" w:ascii="宋体" w:hAnsi="宋体" w:eastAsia="宋体" w:cs="宋体"/>
          <w:color w:val="auto"/>
          <w:szCs w:val="24"/>
          <w:highlight w:val="none"/>
        </w:rPr>
      </w:pPr>
    </w:p>
    <w:p w14:paraId="6F4AA5B5">
      <w:pPr>
        <w:pStyle w:val="6"/>
        <w:rPr>
          <w:rFonts w:hint="eastAsia"/>
          <w:color w:val="auto"/>
          <w:highlight w:val="none"/>
        </w:rPr>
      </w:pPr>
    </w:p>
    <w:p w14:paraId="344D9E95">
      <w:pPr>
        <w:pStyle w:val="27"/>
        <w:rPr>
          <w:rFonts w:hint="eastAsia" w:ascii="宋体" w:hAnsi="宋体" w:eastAsia="宋体" w:cs="宋体"/>
          <w:color w:val="auto"/>
          <w:szCs w:val="24"/>
          <w:highlight w:val="none"/>
        </w:rPr>
      </w:pPr>
    </w:p>
    <w:p w14:paraId="57B6384E">
      <w:pPr>
        <w:pStyle w:val="27"/>
        <w:rPr>
          <w:rFonts w:hint="eastAsia" w:ascii="宋体" w:hAnsi="宋体" w:eastAsia="宋体" w:cs="宋体"/>
          <w:color w:val="auto"/>
          <w:szCs w:val="24"/>
          <w:highlight w:val="none"/>
        </w:rPr>
      </w:pPr>
    </w:p>
    <w:p w14:paraId="648E2165">
      <w:pPr>
        <w:rPr>
          <w:rFonts w:hint="eastAsia" w:ascii="宋体" w:hAnsi="宋体" w:eastAsia="宋体" w:cs="宋体"/>
          <w:color w:val="auto"/>
          <w:highlight w:val="none"/>
        </w:rPr>
      </w:pPr>
    </w:p>
    <w:p w14:paraId="43553A16">
      <w:pPr>
        <w:pStyle w:val="10"/>
        <w:rPr>
          <w:rFonts w:hint="eastAsia" w:ascii="宋体" w:hAnsi="宋体" w:eastAsia="宋体" w:cs="宋体"/>
          <w:color w:val="auto"/>
          <w:highlight w:val="none"/>
        </w:rPr>
      </w:pPr>
    </w:p>
    <w:p w14:paraId="0055E4EF">
      <w:pPr>
        <w:pStyle w:val="5"/>
        <w:spacing w:line="360" w:lineRule="auto"/>
        <w:rPr>
          <w:rFonts w:hint="eastAsia" w:ascii="宋体" w:hAnsi="宋体" w:eastAsia="宋体" w:cs="宋体"/>
          <w:color w:val="auto"/>
          <w:sz w:val="24"/>
          <w:szCs w:val="24"/>
          <w:highlight w:val="none"/>
        </w:rPr>
      </w:pPr>
      <w:bookmarkStart w:id="135" w:name="_Toc16245"/>
      <w:r>
        <w:rPr>
          <w:rFonts w:hint="eastAsia" w:ascii="宋体" w:hAnsi="宋体" w:eastAsia="宋体" w:cs="宋体"/>
          <w:color w:val="auto"/>
          <w:sz w:val="24"/>
          <w:szCs w:val="24"/>
          <w:highlight w:val="none"/>
        </w:rPr>
        <w:t>一、经济部分</w:t>
      </w:r>
      <w:bookmarkEnd w:id="130"/>
      <w:bookmarkEnd w:id="131"/>
      <w:bookmarkEnd w:id="132"/>
      <w:bookmarkEnd w:id="135"/>
    </w:p>
    <w:bookmarkEnd w:id="133"/>
    <w:bookmarkEnd w:id="134"/>
    <w:p w14:paraId="64ABE68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报价函</w:t>
      </w:r>
    </w:p>
    <w:p w14:paraId="0A229317">
      <w:pPr>
        <w:tabs>
          <w:tab w:val="left" w:pos="6300"/>
        </w:tabs>
        <w:snapToGrid w:val="0"/>
        <w:spacing w:line="480" w:lineRule="exact"/>
        <w:jc w:val="center"/>
        <w:rPr>
          <w:rFonts w:hint="eastAsia" w:ascii="宋体" w:hAnsi="宋体" w:eastAsia="宋体" w:cs="宋体"/>
          <w:b/>
          <w:color w:val="auto"/>
          <w:szCs w:val="28"/>
          <w:highlight w:val="none"/>
        </w:rPr>
      </w:pPr>
      <w:r>
        <w:rPr>
          <w:rFonts w:hint="eastAsia" w:ascii="宋体" w:hAnsi="宋体" w:cs="宋体"/>
          <w:b/>
          <w:color w:val="auto"/>
          <w:szCs w:val="28"/>
          <w:highlight w:val="none"/>
          <w:lang w:eastAsia="zh-CN"/>
        </w:rPr>
        <w:t>比选文件</w:t>
      </w:r>
      <w:r>
        <w:rPr>
          <w:rFonts w:hint="eastAsia" w:ascii="宋体" w:hAnsi="宋体" w:eastAsia="宋体" w:cs="宋体"/>
          <w:b/>
          <w:color w:val="auto"/>
          <w:szCs w:val="28"/>
          <w:highlight w:val="none"/>
        </w:rPr>
        <w:t>报价函</w:t>
      </w:r>
    </w:p>
    <w:p w14:paraId="01E8C9DD">
      <w:pPr>
        <w:tabs>
          <w:tab w:val="left" w:pos="6300"/>
        </w:tabs>
        <w:snapToGrid w:val="0"/>
        <w:spacing w:line="240" w:lineRule="auto"/>
        <w:ind w:firstLine="480" w:firstLineChars="200"/>
        <w:rPr>
          <w:rFonts w:hint="eastAsia"/>
        </w:rPr>
      </w:pPr>
      <w:r>
        <w:rPr>
          <w:rFonts w:hint="eastAsia" w:ascii="宋体" w:hAnsi="宋体" w:eastAsia="宋体" w:cs="宋体"/>
          <w:color w:val="auto"/>
          <w:sz w:val="24"/>
          <w:szCs w:val="24"/>
          <w:highlight w:val="none"/>
        </w:rPr>
        <w:t>比选项目名称：</w:t>
      </w:r>
      <w:r>
        <w:rPr>
          <w:rFonts w:hint="eastAsia" w:ascii="宋体" w:hAnsi="宋体" w:eastAsia="宋体" w:cs="宋体"/>
          <w:color w:val="auto"/>
          <w:sz w:val="24"/>
          <w:szCs w:val="24"/>
          <w:highlight w:val="none"/>
          <w:u w:val="single"/>
        </w:rPr>
        <w:t xml:space="preserve">                                                </w:t>
      </w:r>
    </w:p>
    <w:p w14:paraId="630D64EF">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致                   </w:t>
      </w: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389463C8">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我方收到____________________________（项目名称）及_____________（项目编号）的</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，经详细研究，决定参加该项目的比选。</w:t>
      </w:r>
    </w:p>
    <w:p w14:paraId="12B6F6BD">
      <w:pPr>
        <w:numPr>
          <w:ilvl w:val="0"/>
          <w:numId w:val="6"/>
        </w:numPr>
        <w:tabs>
          <w:tab w:val="left" w:pos="6300"/>
        </w:tabs>
        <w:snapToGrid w:val="0"/>
        <w:spacing w:line="400" w:lineRule="exact"/>
        <w:ind w:firstLine="480" w:firstLineChars="200"/>
        <w:jc w:val="left"/>
        <w:rPr>
          <w:rFonts w:hint="eastAsia"/>
          <w:lang w:eastAsia="zh-CN"/>
        </w:rPr>
      </w:pPr>
      <w:r>
        <w:rPr>
          <w:rFonts w:hint="eastAsia" w:ascii="宋体" w:hAnsi="宋体" w:cs="宋体"/>
          <w:color w:val="auto"/>
          <w:sz w:val="24"/>
          <w:szCs w:val="24"/>
          <w:highlight w:val="none"/>
          <w:lang w:val="en-US" w:eastAsia="zh-CN"/>
        </w:rPr>
        <w:t>承诺</w:t>
      </w:r>
      <w:r>
        <w:rPr>
          <w:rFonts w:hint="eastAsia" w:ascii="宋体" w:hAnsi="宋体" w:eastAsia="宋体" w:cs="宋体"/>
          <w:color w:val="auto"/>
          <w:sz w:val="24"/>
          <w:szCs w:val="24"/>
          <w:highlight w:val="none"/>
        </w:rPr>
        <w:t>按照</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中的一切要求，提供本项目的服务</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比选</w:t>
      </w:r>
      <w:r>
        <w:rPr>
          <w:rFonts w:hint="eastAsia" w:ascii="宋体" w:hAnsi="宋体" w:cs="宋体"/>
          <w:b w:val="0"/>
          <w:bCs w:val="0"/>
          <w:color w:val="auto"/>
          <w:sz w:val="24"/>
          <w:szCs w:val="24"/>
          <w:highlight w:val="none"/>
        </w:rPr>
        <w:t>报价</w:t>
      </w:r>
      <w:r>
        <w:rPr>
          <w:rFonts w:hint="eastAsia" w:ascii="宋体" w:hAnsi="宋体" w:eastAsia="宋体" w:cs="宋体"/>
          <w:b w:val="0"/>
          <w:bCs w:val="0"/>
          <w:color w:val="auto"/>
          <w:sz w:val="24"/>
          <w:szCs w:val="24"/>
          <w:highlight w:val="none"/>
        </w:rPr>
        <w:t>为</w:t>
      </w:r>
      <w:r>
        <w:rPr>
          <w:rFonts w:hint="eastAsia" w:ascii="宋体" w:hAnsi="宋体" w:cs="宋体"/>
          <w:color w:val="auto"/>
          <w:sz w:val="24"/>
          <w:szCs w:val="24"/>
          <w:highlight w:val="none"/>
          <w:lang w:eastAsia="zh-CN"/>
        </w:rPr>
        <w:t>：</w:t>
      </w:r>
    </w:p>
    <w:tbl>
      <w:tblPr>
        <w:tblStyle w:val="20"/>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3778"/>
        <w:gridCol w:w="1110"/>
        <w:gridCol w:w="1430"/>
        <w:gridCol w:w="1770"/>
        <w:gridCol w:w="760"/>
      </w:tblGrid>
      <w:tr w14:paraId="587C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14:paraId="28A3E480">
            <w:pPr>
              <w:adjustRightInd w:val="0"/>
              <w:snapToGrid w:val="0"/>
              <w:jc w:val="center"/>
              <w:rPr>
                <w:rFonts w:ascii="宋体" w:hAnsi="宋体" w:cs="宋体-18030"/>
                <w:b/>
                <w:bCs/>
                <w:sz w:val="24"/>
                <w:szCs w:val="24"/>
              </w:rPr>
            </w:pPr>
            <w:bookmarkStart w:id="136" w:name="_Hlk163489424"/>
            <w:r>
              <w:rPr>
                <w:rFonts w:ascii="宋体" w:hAnsi="宋体"/>
                <w:b/>
                <w:bCs/>
                <w:sz w:val="24"/>
                <w:szCs w:val="24"/>
              </w:rPr>
              <w:t>供应商名称</w:t>
            </w:r>
          </w:p>
        </w:tc>
        <w:tc>
          <w:tcPr>
            <w:tcW w:w="3778" w:type="dxa"/>
            <w:tcBorders>
              <w:top w:val="single" w:color="auto" w:sz="4" w:space="0"/>
              <w:left w:val="single" w:color="auto" w:sz="4" w:space="0"/>
              <w:bottom w:val="single" w:color="auto" w:sz="4" w:space="0"/>
              <w:right w:val="single" w:color="auto" w:sz="4" w:space="0"/>
            </w:tcBorders>
            <w:vAlign w:val="center"/>
          </w:tcPr>
          <w:p w14:paraId="319A4CDD">
            <w:pPr>
              <w:pStyle w:val="12"/>
              <w:adjustRightInd w:val="0"/>
              <w:snapToGrid w:val="0"/>
              <w:jc w:val="center"/>
              <w:rPr>
                <w:rFonts w:ascii="宋体" w:hAnsi="宋体"/>
                <w:b/>
                <w:bCs/>
                <w:sz w:val="24"/>
                <w:szCs w:val="24"/>
              </w:rPr>
            </w:pPr>
            <w:r>
              <w:rPr>
                <w:rFonts w:hint="eastAsia" w:ascii="宋体" w:hAnsi="宋体"/>
                <w:b/>
                <w:bCs/>
                <w:sz w:val="24"/>
                <w:szCs w:val="24"/>
              </w:rPr>
              <w:t>报</w:t>
            </w:r>
            <w:r>
              <w:rPr>
                <w:rFonts w:hint="eastAsia" w:hAnsi="宋体"/>
                <w:b/>
                <w:bCs/>
                <w:sz w:val="24"/>
                <w:szCs w:val="24"/>
                <w:lang w:val="en-US" w:eastAsia="zh-CN"/>
              </w:rPr>
              <w:t xml:space="preserve"> </w:t>
            </w:r>
            <w:r>
              <w:rPr>
                <w:rFonts w:hint="eastAsia" w:ascii="宋体" w:hAnsi="宋体"/>
                <w:b/>
                <w:bCs/>
                <w:sz w:val="24"/>
                <w:szCs w:val="24"/>
              </w:rPr>
              <w:t>价</w:t>
            </w:r>
          </w:p>
        </w:tc>
        <w:tc>
          <w:tcPr>
            <w:tcW w:w="1110" w:type="dxa"/>
            <w:tcBorders>
              <w:top w:val="single" w:color="auto" w:sz="4" w:space="0"/>
              <w:left w:val="single" w:color="auto" w:sz="4" w:space="0"/>
              <w:bottom w:val="single" w:color="auto" w:sz="4" w:space="0"/>
              <w:right w:val="single" w:color="auto" w:sz="4" w:space="0"/>
            </w:tcBorders>
            <w:vAlign w:val="center"/>
          </w:tcPr>
          <w:p w14:paraId="444D7AED">
            <w:pPr>
              <w:adjustRightInd w:val="0"/>
              <w:snapToGrid w:val="0"/>
              <w:jc w:val="center"/>
              <w:rPr>
                <w:rFonts w:ascii="宋体" w:hAnsi="宋体" w:cs="宋体-18030"/>
                <w:b/>
                <w:bCs/>
                <w:sz w:val="24"/>
                <w:szCs w:val="24"/>
              </w:rPr>
            </w:pPr>
            <w:r>
              <w:rPr>
                <w:rFonts w:hint="eastAsia" w:ascii="宋体" w:hAnsi="宋体"/>
                <w:b/>
                <w:bCs/>
                <w:sz w:val="24"/>
                <w:szCs w:val="24"/>
              </w:rPr>
              <w:t>服务期</w:t>
            </w:r>
          </w:p>
        </w:tc>
        <w:tc>
          <w:tcPr>
            <w:tcW w:w="1430" w:type="dxa"/>
            <w:tcBorders>
              <w:top w:val="single" w:color="auto" w:sz="4" w:space="0"/>
              <w:left w:val="single" w:color="auto" w:sz="4" w:space="0"/>
              <w:bottom w:val="single" w:color="auto" w:sz="4" w:space="0"/>
              <w:right w:val="single" w:color="auto" w:sz="4" w:space="0"/>
            </w:tcBorders>
            <w:vAlign w:val="center"/>
          </w:tcPr>
          <w:p w14:paraId="609417C4">
            <w:pPr>
              <w:adjustRightInd w:val="0"/>
              <w:snapToGrid w:val="0"/>
              <w:jc w:val="center"/>
              <w:rPr>
                <w:rFonts w:ascii="宋体" w:hAnsi="宋体" w:cs="宋体-18030"/>
                <w:b/>
                <w:bCs/>
                <w:sz w:val="24"/>
                <w:szCs w:val="24"/>
              </w:rPr>
            </w:pPr>
            <w:r>
              <w:rPr>
                <w:rFonts w:hint="eastAsia" w:ascii="宋体" w:hAnsi="宋体"/>
                <w:b/>
                <w:bCs/>
                <w:sz w:val="24"/>
                <w:szCs w:val="24"/>
              </w:rPr>
              <w:t>服务</w:t>
            </w:r>
            <w:r>
              <w:rPr>
                <w:rFonts w:ascii="宋体" w:hAnsi="宋体"/>
                <w:b/>
                <w:bCs/>
                <w:sz w:val="24"/>
                <w:szCs w:val="24"/>
              </w:rPr>
              <w:t>地点</w:t>
            </w:r>
          </w:p>
        </w:tc>
        <w:tc>
          <w:tcPr>
            <w:tcW w:w="1770" w:type="dxa"/>
            <w:tcBorders>
              <w:top w:val="single" w:color="auto" w:sz="4" w:space="0"/>
              <w:left w:val="single" w:color="auto" w:sz="4" w:space="0"/>
              <w:bottom w:val="single" w:color="auto" w:sz="4" w:space="0"/>
              <w:right w:val="single" w:color="auto" w:sz="4" w:space="0"/>
            </w:tcBorders>
            <w:vAlign w:val="center"/>
          </w:tcPr>
          <w:p w14:paraId="342424EC">
            <w:pPr>
              <w:adjustRightInd w:val="0"/>
              <w:snapToGrid w:val="0"/>
              <w:jc w:val="center"/>
              <w:rPr>
                <w:rFonts w:ascii="宋体" w:hAnsi="宋体" w:cs="宋体-18030"/>
                <w:b/>
                <w:bCs/>
                <w:sz w:val="24"/>
                <w:szCs w:val="24"/>
              </w:rPr>
            </w:pPr>
            <w:r>
              <w:rPr>
                <w:rFonts w:hint="eastAsia" w:ascii="宋体" w:hAnsi="宋体" w:cs="宋体-18030"/>
                <w:b/>
                <w:bCs/>
                <w:sz w:val="24"/>
                <w:szCs w:val="24"/>
              </w:rPr>
              <w:t>保证金形式</w:t>
            </w:r>
          </w:p>
        </w:tc>
        <w:tc>
          <w:tcPr>
            <w:tcW w:w="760" w:type="dxa"/>
            <w:tcBorders>
              <w:top w:val="single" w:color="auto" w:sz="4" w:space="0"/>
              <w:left w:val="single" w:color="auto" w:sz="4" w:space="0"/>
              <w:bottom w:val="single" w:color="auto" w:sz="4" w:space="0"/>
              <w:right w:val="single" w:color="auto" w:sz="4" w:space="0"/>
            </w:tcBorders>
            <w:vAlign w:val="center"/>
          </w:tcPr>
          <w:p w14:paraId="2FD738C7">
            <w:pPr>
              <w:adjustRightInd w:val="0"/>
              <w:snapToGrid w:val="0"/>
              <w:jc w:val="center"/>
              <w:rPr>
                <w:rFonts w:ascii="宋体" w:hAnsi="宋体" w:cs="宋体-18030"/>
                <w:b/>
                <w:bCs/>
                <w:sz w:val="24"/>
                <w:szCs w:val="24"/>
              </w:rPr>
            </w:pPr>
            <w:r>
              <w:rPr>
                <w:rFonts w:hint="eastAsia" w:ascii="宋体" w:hAnsi="宋体" w:cs="宋体-18030"/>
                <w:b/>
                <w:bCs/>
                <w:sz w:val="24"/>
                <w:szCs w:val="24"/>
              </w:rPr>
              <w:t>备注</w:t>
            </w:r>
          </w:p>
        </w:tc>
      </w:tr>
      <w:bookmarkEnd w:id="136"/>
      <w:tr w14:paraId="79C8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14:paraId="20570ACC">
            <w:pPr>
              <w:adjustRightInd w:val="0"/>
              <w:snapToGrid w:val="0"/>
              <w:jc w:val="center"/>
              <w:rPr>
                <w:rFonts w:ascii="宋体" w:hAnsi="宋体"/>
                <w:sz w:val="24"/>
                <w:szCs w:val="24"/>
              </w:rPr>
            </w:pPr>
          </w:p>
        </w:tc>
        <w:tc>
          <w:tcPr>
            <w:tcW w:w="3778" w:type="dxa"/>
            <w:tcBorders>
              <w:top w:val="single" w:color="auto" w:sz="4" w:space="0"/>
              <w:left w:val="single" w:color="auto" w:sz="4" w:space="0"/>
              <w:bottom w:val="single" w:color="auto" w:sz="4" w:space="0"/>
              <w:right w:val="single" w:color="auto" w:sz="4" w:space="0"/>
            </w:tcBorders>
            <w:vAlign w:val="center"/>
          </w:tcPr>
          <w:p w14:paraId="7296D4EE">
            <w:pPr>
              <w:pStyle w:val="12"/>
              <w:adjustRightInd w:val="0"/>
              <w:snapToGrid w:val="0"/>
              <w:jc w:val="left"/>
              <w:rPr>
                <w:rFonts w:ascii="宋体" w:hAnsi="宋体"/>
                <w:sz w:val="24"/>
                <w:szCs w:val="24"/>
              </w:rPr>
            </w:pPr>
            <w:r>
              <w:rPr>
                <w:rFonts w:hint="eastAsia" w:asciiTheme="minorEastAsia" w:hAnsiTheme="minorEastAsia" w:eastAsiaTheme="minorEastAsia" w:cstheme="minorEastAsia"/>
                <w:kern w:val="2"/>
                <w:sz w:val="24"/>
                <w:szCs w:val="28"/>
              </w:rPr>
              <w:t>患者陪护费（一对多）：</w:t>
            </w:r>
            <w:r>
              <w:rPr>
                <w:rFonts w:hint="eastAsia" w:asciiTheme="minorEastAsia" w:hAnsiTheme="minorEastAsia" w:eastAsiaTheme="minorEastAsia" w:cstheme="minorEastAsia"/>
                <w:kern w:val="2"/>
                <w:sz w:val="24"/>
                <w:szCs w:val="28"/>
                <w:u w:val="single"/>
              </w:rPr>
              <w:t xml:space="preserve"> </w:t>
            </w:r>
            <w:r>
              <w:rPr>
                <w:rFonts w:asciiTheme="minorEastAsia" w:hAnsiTheme="minorEastAsia" w:eastAsiaTheme="minorEastAsia" w:cstheme="minorEastAsia"/>
                <w:kern w:val="2"/>
                <w:sz w:val="24"/>
                <w:szCs w:val="28"/>
                <w:u w:val="single"/>
              </w:rPr>
              <w:t xml:space="preserve">  </w:t>
            </w:r>
            <w:r>
              <w:rPr>
                <w:rFonts w:hint="eastAsia" w:ascii="宋体" w:hAnsi="宋体"/>
                <w:sz w:val="24"/>
                <w:szCs w:val="24"/>
              </w:rPr>
              <w:t>元</w:t>
            </w:r>
            <w:r>
              <w:rPr>
                <w:rFonts w:ascii="宋体" w:hAnsi="宋体"/>
                <w:sz w:val="24"/>
                <w:szCs w:val="24"/>
              </w:rPr>
              <w:t>/</w:t>
            </w:r>
            <w:r>
              <w:rPr>
                <w:rFonts w:hint="eastAsia" w:ascii="宋体" w:hAnsi="宋体"/>
                <w:sz w:val="24"/>
                <w:szCs w:val="24"/>
              </w:rPr>
              <w:t>天</w:t>
            </w:r>
          </w:p>
          <w:p w14:paraId="48C12E77">
            <w:pPr>
              <w:pStyle w:val="12"/>
              <w:adjustRightInd w:val="0"/>
              <w:snapToGrid w:val="0"/>
              <w:jc w:val="left"/>
              <w:rPr>
                <w:rFonts w:hint="eastAsia" w:ascii="宋体" w:hAnsi="宋体"/>
                <w:sz w:val="24"/>
                <w:szCs w:val="24"/>
              </w:rPr>
            </w:pPr>
            <w:r>
              <w:rPr>
                <w:rFonts w:hint="eastAsia" w:asciiTheme="minorEastAsia" w:hAnsiTheme="minorEastAsia" w:eastAsiaTheme="minorEastAsia" w:cstheme="minorEastAsia"/>
                <w:kern w:val="2"/>
                <w:sz w:val="24"/>
                <w:szCs w:val="28"/>
              </w:rPr>
              <w:t>患者陪护费（</w:t>
            </w:r>
            <w:r>
              <w:rPr>
                <w:rFonts w:hint="eastAsia" w:ascii="宋体" w:hAnsi="宋体"/>
                <w:sz w:val="24"/>
                <w:szCs w:val="24"/>
              </w:rPr>
              <w:t>一对</w:t>
            </w:r>
            <w:r>
              <w:rPr>
                <w:rFonts w:hint="eastAsia" w:hAnsi="宋体"/>
                <w:sz w:val="24"/>
                <w:szCs w:val="24"/>
                <w:lang w:val="en-US" w:eastAsia="zh-CN"/>
              </w:rPr>
              <w:t>二</w:t>
            </w:r>
            <w:r>
              <w:rPr>
                <w:rFonts w:hint="eastAsia" w:asciiTheme="minorEastAsia" w:hAnsiTheme="minorEastAsia" w:eastAsiaTheme="minorEastAsia" w:cstheme="minorEastAsia"/>
                <w:kern w:val="2"/>
                <w:sz w:val="24"/>
                <w:szCs w:val="28"/>
              </w:rPr>
              <w:t>）</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rPr>
              <w:t>元/天</w:t>
            </w:r>
          </w:p>
          <w:p w14:paraId="133F96D6">
            <w:pPr>
              <w:pStyle w:val="12"/>
              <w:adjustRightInd w:val="0"/>
              <w:snapToGrid w:val="0"/>
              <w:jc w:val="left"/>
              <w:rPr>
                <w:rFonts w:hint="eastAsia" w:ascii="宋体" w:hAnsi="宋体"/>
                <w:sz w:val="24"/>
                <w:szCs w:val="24"/>
              </w:rPr>
            </w:pPr>
            <w:r>
              <w:rPr>
                <w:rFonts w:hint="eastAsia" w:asciiTheme="minorEastAsia" w:hAnsiTheme="minorEastAsia" w:eastAsiaTheme="minorEastAsia" w:cstheme="minorEastAsia"/>
                <w:kern w:val="2"/>
                <w:sz w:val="24"/>
                <w:szCs w:val="28"/>
              </w:rPr>
              <w:t>患者陪护费（</w:t>
            </w:r>
            <w:r>
              <w:rPr>
                <w:rFonts w:hint="eastAsia" w:ascii="宋体" w:hAnsi="宋体"/>
                <w:sz w:val="24"/>
                <w:szCs w:val="24"/>
              </w:rPr>
              <w:t>一对一</w:t>
            </w:r>
            <w:r>
              <w:rPr>
                <w:rFonts w:hint="eastAsia" w:asciiTheme="minorEastAsia" w:hAnsiTheme="minorEastAsia" w:eastAsiaTheme="minorEastAsia" w:cstheme="minorEastAsia"/>
                <w:kern w:val="2"/>
                <w:sz w:val="24"/>
                <w:szCs w:val="28"/>
              </w:rPr>
              <w:t>）</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rPr>
              <w:t>元/天</w:t>
            </w:r>
          </w:p>
        </w:tc>
        <w:tc>
          <w:tcPr>
            <w:tcW w:w="1110" w:type="dxa"/>
            <w:tcBorders>
              <w:top w:val="single" w:color="auto" w:sz="4" w:space="0"/>
              <w:left w:val="single" w:color="auto" w:sz="4" w:space="0"/>
              <w:bottom w:val="single" w:color="auto" w:sz="4" w:space="0"/>
              <w:right w:val="single" w:color="auto" w:sz="4" w:space="0"/>
            </w:tcBorders>
            <w:vAlign w:val="center"/>
          </w:tcPr>
          <w:p w14:paraId="77973D65">
            <w:pPr>
              <w:adjustRightInd w:val="0"/>
              <w:snapToGrid w:val="0"/>
              <w:jc w:val="center"/>
              <w:rPr>
                <w:rFonts w:hint="default" w:ascii="宋体" w:hAnsi="宋体" w:eastAsia="宋体"/>
                <w:sz w:val="24"/>
                <w:szCs w:val="24"/>
                <w:lang w:val="en-US" w:eastAsia="zh-CN"/>
              </w:rPr>
            </w:pPr>
            <w:r>
              <w:rPr>
                <w:rFonts w:hint="eastAsia" w:ascii="宋体" w:hAnsi="宋体"/>
                <w:sz w:val="24"/>
                <w:szCs w:val="24"/>
                <w:lang w:val="en-US" w:eastAsia="zh-CN"/>
              </w:rPr>
              <w:t>二年</w:t>
            </w:r>
          </w:p>
        </w:tc>
        <w:tc>
          <w:tcPr>
            <w:tcW w:w="1430" w:type="dxa"/>
            <w:tcBorders>
              <w:top w:val="single" w:color="auto" w:sz="4" w:space="0"/>
              <w:left w:val="single" w:color="auto" w:sz="4" w:space="0"/>
              <w:bottom w:val="single" w:color="auto" w:sz="4" w:space="0"/>
              <w:right w:val="single" w:color="auto" w:sz="4" w:space="0"/>
            </w:tcBorders>
            <w:vAlign w:val="center"/>
          </w:tcPr>
          <w:p w14:paraId="68850F17">
            <w:pPr>
              <w:adjustRightInd w:val="0"/>
              <w:snapToGrid w:val="0"/>
              <w:jc w:val="center"/>
              <w:rPr>
                <w:rFonts w:ascii="宋体" w:hAnsi="宋体"/>
                <w:sz w:val="24"/>
                <w:szCs w:val="24"/>
                <w:u w:val="single"/>
              </w:rPr>
            </w:pPr>
          </w:p>
        </w:tc>
        <w:tc>
          <w:tcPr>
            <w:tcW w:w="1770" w:type="dxa"/>
            <w:tcBorders>
              <w:top w:val="single" w:color="auto" w:sz="4" w:space="0"/>
              <w:left w:val="single" w:color="auto" w:sz="4" w:space="0"/>
              <w:bottom w:val="single" w:color="auto" w:sz="4" w:space="0"/>
              <w:right w:val="single" w:color="auto" w:sz="4" w:space="0"/>
            </w:tcBorders>
            <w:vAlign w:val="center"/>
          </w:tcPr>
          <w:p w14:paraId="79A210EB">
            <w:pPr>
              <w:adjustRightInd w:val="0"/>
              <w:snapToGrid w:val="0"/>
              <w:jc w:val="center"/>
              <w:rPr>
                <w:rFonts w:ascii="宋体" w:hAnsi="宋体" w:cs="宋体-18030"/>
                <w:sz w:val="24"/>
                <w:szCs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04F5DD87">
            <w:pPr>
              <w:adjustRightInd w:val="0"/>
              <w:snapToGrid w:val="0"/>
              <w:jc w:val="center"/>
              <w:rPr>
                <w:rFonts w:ascii="宋体" w:hAnsi="宋体" w:cs="宋体-18030"/>
                <w:sz w:val="24"/>
                <w:szCs w:val="24"/>
              </w:rPr>
            </w:pPr>
          </w:p>
        </w:tc>
      </w:tr>
    </w:tbl>
    <w:p w14:paraId="19E471B4">
      <w:pPr>
        <w:numPr>
          <w:ilvl w:val="0"/>
          <w:numId w:val="0"/>
        </w:numPr>
        <w:tabs>
          <w:tab w:val="left" w:pos="6300"/>
        </w:tabs>
        <w:snapToGrid w:val="0"/>
        <w:spacing w:line="400" w:lineRule="exact"/>
        <w:jc w:val="left"/>
        <w:rPr>
          <w:rFonts w:hint="eastAsia" w:ascii="宋体" w:hAnsi="宋体" w:cs="宋体"/>
          <w:color w:val="auto"/>
          <w:sz w:val="24"/>
          <w:szCs w:val="24"/>
          <w:highlight w:val="none"/>
          <w:lang w:eastAsia="zh-CN"/>
        </w:rPr>
      </w:pPr>
    </w:p>
    <w:p w14:paraId="3E9CCC76">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2、我方现提交的比选响应文件为：响应文件电子文档壹份。</w:t>
      </w:r>
    </w:p>
    <w:p w14:paraId="41D4A0C8">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3、我方承诺：本次比选的有效期为提交比选响应文件截止时间起90天。</w:t>
      </w:r>
    </w:p>
    <w:p w14:paraId="25B4BFCE">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的一切规定和要求及评审办法。</w:t>
      </w:r>
    </w:p>
    <w:p w14:paraId="78A5BE50">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过程中，我方若有违规行为，接受按照《中华人民共和国政府采购法》及其实施条例等规定给予惩罚。</w:t>
      </w:r>
    </w:p>
    <w:p w14:paraId="54F1DEDD">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6、我方若成为成交供应商，将按照最终比选结果签订合同，并且严格履行合同义务。本承诺函将成为合同不可分割的一部分，与合同具有同等的法律效力。</w:t>
      </w:r>
    </w:p>
    <w:p w14:paraId="7A3F51C1">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w:t>
      </w:r>
      <w:r>
        <w:rPr>
          <w:rFonts w:hint="eastAsia" w:ascii="宋体" w:hAnsi="宋体" w:cs="宋体"/>
          <w:color w:val="auto"/>
          <w:sz w:val="24"/>
          <w:szCs w:val="24"/>
          <w:highlight w:val="none"/>
          <w:lang w:val="en-US" w:eastAsia="zh-CN"/>
        </w:rPr>
        <w:t>低</w:t>
      </w:r>
      <w:r>
        <w:rPr>
          <w:rFonts w:hint="eastAsia" w:ascii="宋体" w:hAnsi="宋体" w:eastAsia="宋体" w:cs="宋体"/>
          <w:color w:val="auto"/>
          <w:sz w:val="24"/>
          <w:szCs w:val="24"/>
          <w:highlight w:val="none"/>
        </w:rPr>
        <w:t>报价不是成交的唯一条件</w:t>
      </w:r>
      <w:r>
        <w:rPr>
          <w:rFonts w:hint="eastAsia" w:ascii="宋体" w:hAnsi="宋体" w:eastAsia="宋体" w:cs="宋体"/>
          <w:color w:val="auto"/>
          <w:sz w:val="24"/>
          <w:szCs w:val="28"/>
          <w:highlight w:val="none"/>
        </w:rPr>
        <w:t>。</w:t>
      </w:r>
    </w:p>
    <w:p w14:paraId="02DE34B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8、如果我方成为成交供应商，保证在接到成交通知书后，向采购代理机构交纳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规定的采购代理服务费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向行采家平台缴纳平台服务费</w:t>
      </w:r>
      <w:r>
        <w:rPr>
          <w:rFonts w:hint="eastAsia" w:ascii="宋体" w:hAnsi="宋体" w:eastAsia="宋体" w:cs="宋体"/>
          <w:color w:val="auto"/>
          <w:sz w:val="24"/>
          <w:szCs w:val="24"/>
          <w:highlight w:val="none"/>
        </w:rPr>
        <w:t>。</w:t>
      </w:r>
    </w:p>
    <w:p w14:paraId="3A67C0A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4B085708">
      <w:pPr>
        <w:tabs>
          <w:tab w:val="left" w:pos="6300"/>
        </w:tabs>
        <w:snapToGrid w:val="0"/>
        <w:spacing w:line="312" w:lineRule="auto"/>
        <w:ind w:firstLine="570"/>
        <w:rPr>
          <w:rFonts w:hint="eastAsia" w:ascii="宋体" w:hAnsi="宋体" w:eastAsia="宋体" w:cs="宋体"/>
          <w:color w:val="auto"/>
          <w:sz w:val="24"/>
          <w:szCs w:val="24"/>
          <w:highlight w:val="none"/>
        </w:rPr>
      </w:pPr>
    </w:p>
    <w:p w14:paraId="58C8EC8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0D46D1EB">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32092C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C8339B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C21A90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50A0DB21">
      <w:pPr>
        <w:snapToGrid w:val="0"/>
        <w:spacing w:line="312" w:lineRule="auto"/>
        <w:ind w:firstLine="480" w:firstLineChars="200"/>
        <w:rPr>
          <w:rFonts w:hint="eastAsia" w:ascii="宋体" w:hAnsi="宋体" w:eastAsia="宋体" w:cs="宋体"/>
          <w:color w:val="auto"/>
          <w:highlight w:val="none"/>
          <w:lang w:val="en-US" w:eastAsia="zh-CN"/>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年   月  </w:t>
      </w:r>
      <w:r>
        <w:rPr>
          <w:rFonts w:hint="eastAsia" w:ascii="宋体" w:hAnsi="宋体" w:eastAsia="宋体" w:cs="宋体"/>
          <w:color w:val="auto"/>
          <w:highlight w:val="none"/>
          <w:lang w:val="en-US" w:eastAsia="zh-CN"/>
        </w:rPr>
        <w:t>日</w:t>
      </w:r>
    </w:p>
    <w:p w14:paraId="15EAC2AB">
      <w:pPr>
        <w:pStyle w:val="5"/>
        <w:spacing w:line="360" w:lineRule="auto"/>
        <w:rPr>
          <w:rFonts w:hint="eastAsia" w:ascii="宋体" w:hAnsi="宋体" w:eastAsia="宋体" w:cs="宋体"/>
          <w:color w:val="auto"/>
          <w:sz w:val="24"/>
          <w:szCs w:val="24"/>
          <w:highlight w:val="none"/>
        </w:rPr>
      </w:pPr>
      <w:bookmarkStart w:id="137" w:name="_Toc342913420"/>
      <w:bookmarkStart w:id="138" w:name="_Toc27063"/>
      <w:bookmarkStart w:id="139" w:name="_Toc313008357"/>
      <w:bookmarkStart w:id="140" w:name="_Toc313888361"/>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、服务部分</w:t>
      </w:r>
      <w:bookmarkEnd w:id="137"/>
      <w:bookmarkEnd w:id="138"/>
      <w:bookmarkEnd w:id="139"/>
      <w:bookmarkEnd w:id="140"/>
    </w:p>
    <w:p w14:paraId="7ED8E7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281A81E4">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626"/>
        <w:gridCol w:w="2727"/>
        <w:gridCol w:w="2044"/>
      </w:tblGrid>
      <w:tr w14:paraId="2BEF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CD1B9C8">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33CB23D4">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2BD26439">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40FF2053">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5B88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D6C32D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BC22660">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CD4C1F5">
            <w:pPr>
              <w:spacing w:line="500" w:lineRule="exact"/>
              <w:rPr>
                <w:rFonts w:hint="eastAsia" w:ascii="宋体" w:hAnsi="宋体" w:eastAsia="宋体" w:cs="宋体"/>
                <w:color w:val="auto"/>
                <w:sz w:val="21"/>
                <w:szCs w:val="21"/>
                <w:highlight w:val="none"/>
              </w:rPr>
            </w:pPr>
          </w:p>
        </w:tc>
        <w:tc>
          <w:tcPr>
            <w:tcW w:w="2309" w:type="dxa"/>
            <w:vAlign w:val="center"/>
          </w:tcPr>
          <w:p w14:paraId="5D1C700A">
            <w:pPr>
              <w:spacing w:line="500" w:lineRule="exact"/>
              <w:ind w:firstLine="525" w:firstLineChars="250"/>
              <w:rPr>
                <w:rFonts w:hint="eastAsia" w:ascii="宋体" w:hAnsi="宋体" w:eastAsia="宋体" w:cs="宋体"/>
                <w:color w:val="auto"/>
                <w:sz w:val="21"/>
                <w:szCs w:val="21"/>
                <w:highlight w:val="none"/>
              </w:rPr>
            </w:pPr>
          </w:p>
        </w:tc>
      </w:tr>
      <w:tr w14:paraId="1A39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C2DDA6D">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61CECF7">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5539BF2">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265599A8">
            <w:pPr>
              <w:spacing w:line="500" w:lineRule="exact"/>
              <w:ind w:firstLine="525" w:firstLineChars="250"/>
              <w:rPr>
                <w:rFonts w:hint="eastAsia" w:ascii="宋体" w:hAnsi="宋体" w:eastAsia="宋体" w:cs="宋体"/>
                <w:color w:val="auto"/>
                <w:sz w:val="21"/>
                <w:szCs w:val="21"/>
                <w:highlight w:val="none"/>
              </w:rPr>
            </w:pPr>
          </w:p>
        </w:tc>
      </w:tr>
      <w:tr w14:paraId="519F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B1BC92F">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78529FA">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AB84EB1">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22ADB1D">
            <w:pPr>
              <w:spacing w:line="500" w:lineRule="exact"/>
              <w:ind w:firstLine="525" w:firstLineChars="250"/>
              <w:rPr>
                <w:rFonts w:hint="eastAsia" w:ascii="宋体" w:hAnsi="宋体" w:eastAsia="宋体" w:cs="宋体"/>
                <w:color w:val="auto"/>
                <w:sz w:val="21"/>
                <w:szCs w:val="21"/>
                <w:highlight w:val="none"/>
              </w:rPr>
            </w:pPr>
          </w:p>
        </w:tc>
      </w:tr>
      <w:tr w14:paraId="0B12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FE8D2BA">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30ED319">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BE512CD">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187E8FD">
            <w:pPr>
              <w:spacing w:line="500" w:lineRule="exact"/>
              <w:ind w:firstLine="525" w:firstLineChars="250"/>
              <w:rPr>
                <w:rFonts w:hint="eastAsia" w:ascii="宋体" w:hAnsi="宋体" w:eastAsia="宋体" w:cs="宋体"/>
                <w:color w:val="auto"/>
                <w:sz w:val="21"/>
                <w:szCs w:val="21"/>
                <w:highlight w:val="none"/>
              </w:rPr>
            </w:pPr>
          </w:p>
        </w:tc>
      </w:tr>
      <w:tr w14:paraId="09CD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720C9D4">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892B33D">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E26BF14">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AFB3AC3">
            <w:pPr>
              <w:spacing w:line="500" w:lineRule="exact"/>
              <w:ind w:firstLine="525" w:firstLineChars="250"/>
              <w:rPr>
                <w:rFonts w:hint="eastAsia" w:ascii="宋体" w:hAnsi="宋体" w:eastAsia="宋体" w:cs="宋体"/>
                <w:color w:val="auto"/>
                <w:sz w:val="21"/>
                <w:szCs w:val="21"/>
                <w:highlight w:val="none"/>
              </w:rPr>
            </w:pPr>
          </w:p>
        </w:tc>
      </w:tr>
      <w:tr w14:paraId="16AD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012E4D5">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0FDC6A5">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79FE4A02">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6C6991E4">
            <w:pPr>
              <w:spacing w:line="500" w:lineRule="exact"/>
              <w:ind w:firstLine="525" w:firstLineChars="250"/>
              <w:rPr>
                <w:rFonts w:hint="eastAsia" w:ascii="宋体" w:hAnsi="宋体" w:eastAsia="宋体" w:cs="宋体"/>
                <w:color w:val="auto"/>
                <w:sz w:val="21"/>
                <w:szCs w:val="21"/>
                <w:highlight w:val="none"/>
              </w:rPr>
            </w:pPr>
          </w:p>
        </w:tc>
      </w:tr>
      <w:tr w14:paraId="0460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054594B">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3D3FD09">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5E9C0B0">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FEEA406">
            <w:pPr>
              <w:spacing w:line="500" w:lineRule="exact"/>
              <w:ind w:firstLine="525" w:firstLineChars="250"/>
              <w:rPr>
                <w:rFonts w:hint="eastAsia" w:ascii="宋体" w:hAnsi="宋体" w:eastAsia="宋体" w:cs="宋体"/>
                <w:color w:val="auto"/>
                <w:sz w:val="21"/>
                <w:szCs w:val="21"/>
                <w:highlight w:val="none"/>
              </w:rPr>
            </w:pPr>
          </w:p>
        </w:tc>
      </w:tr>
      <w:tr w14:paraId="012A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6D544A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5DED997">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2947130">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16B1BB7">
            <w:pPr>
              <w:spacing w:line="500" w:lineRule="exact"/>
              <w:ind w:firstLine="525" w:firstLineChars="250"/>
              <w:rPr>
                <w:rFonts w:hint="eastAsia" w:ascii="宋体" w:hAnsi="宋体" w:eastAsia="宋体" w:cs="宋体"/>
                <w:color w:val="auto"/>
                <w:sz w:val="21"/>
                <w:szCs w:val="21"/>
                <w:highlight w:val="none"/>
              </w:rPr>
            </w:pPr>
          </w:p>
        </w:tc>
      </w:tr>
      <w:tr w14:paraId="294E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4F6DD11">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1F4D7A40">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2740EEA8">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1180799">
            <w:pPr>
              <w:spacing w:line="500" w:lineRule="exact"/>
              <w:ind w:firstLine="525" w:firstLineChars="250"/>
              <w:rPr>
                <w:rFonts w:hint="eastAsia" w:ascii="宋体" w:hAnsi="宋体" w:eastAsia="宋体" w:cs="宋体"/>
                <w:color w:val="auto"/>
                <w:sz w:val="21"/>
                <w:szCs w:val="21"/>
                <w:highlight w:val="none"/>
              </w:rPr>
            </w:pPr>
          </w:p>
        </w:tc>
      </w:tr>
      <w:tr w14:paraId="1773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E7C7BBA">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214C2F5C">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77962ACF">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3481602">
            <w:pPr>
              <w:spacing w:line="500" w:lineRule="exact"/>
              <w:ind w:firstLine="525" w:firstLineChars="250"/>
              <w:rPr>
                <w:rFonts w:hint="eastAsia" w:ascii="宋体" w:hAnsi="宋体" w:eastAsia="宋体" w:cs="宋体"/>
                <w:color w:val="auto"/>
                <w:sz w:val="21"/>
                <w:szCs w:val="21"/>
                <w:highlight w:val="none"/>
              </w:rPr>
            </w:pPr>
          </w:p>
        </w:tc>
      </w:tr>
    </w:tbl>
    <w:p w14:paraId="7A813873">
      <w:pPr>
        <w:spacing w:line="500" w:lineRule="exact"/>
        <w:ind w:firstLine="240" w:firstLineChars="100"/>
        <w:rPr>
          <w:rFonts w:hint="eastAsia" w:ascii="宋体" w:hAnsi="宋体" w:eastAsia="宋体" w:cs="宋体"/>
          <w:color w:val="auto"/>
          <w:sz w:val="24"/>
          <w:szCs w:val="28"/>
          <w:highlight w:val="none"/>
        </w:rPr>
      </w:pPr>
      <w:bookmarkStart w:id="141" w:name="_Toc342913421"/>
      <w:bookmarkStart w:id="142" w:name="_Toc313888362"/>
      <w:bookmarkStart w:id="143" w:name="_Toc313008358"/>
      <w:r>
        <w:rPr>
          <w:rFonts w:hint="eastAsia" w:ascii="宋体" w:hAnsi="宋体" w:eastAsia="宋体" w:cs="宋体"/>
          <w:color w:val="auto"/>
          <w:sz w:val="24"/>
          <w:szCs w:val="28"/>
          <w:highlight w:val="none"/>
        </w:rPr>
        <w:t>供应商：                   法定代表人（或其授权代表）或自然人：</w:t>
      </w:r>
    </w:p>
    <w:p w14:paraId="4ACCF84F">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（供应商公章）                                 </w:t>
      </w:r>
      <w:r>
        <w:rPr>
          <w:rFonts w:hint="eastAsia" w:ascii="宋体" w:hAnsi="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（签署或盖章）</w:t>
      </w:r>
    </w:p>
    <w:p w14:paraId="08B535C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5EB7DEA9">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5614677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注：</w:t>
      </w:r>
    </w:p>
    <w:p w14:paraId="288B273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.本表即为对本项目“第二篇  项目服务需求”中所列条款进行比较和响应</w:t>
      </w:r>
      <w:r>
        <w:rPr>
          <w:rFonts w:hint="eastAsia" w:ascii="宋体" w:hAnsi="宋体" w:cs="宋体"/>
          <w:color w:val="auto"/>
          <w:sz w:val="24"/>
          <w:szCs w:val="24"/>
          <w:highlight w:val="none"/>
        </w:rPr>
        <w:t>，在“差异说明”项填写正偏离或负偏离，完全符合的填写“无差异”；</w:t>
      </w:r>
    </w:p>
    <w:p w14:paraId="626F10E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2.本表可扩展</w:t>
      </w:r>
      <w:r>
        <w:rPr>
          <w:rFonts w:hint="eastAsia" w:ascii="宋体" w:hAnsi="宋体" w:eastAsia="宋体" w:cs="宋体"/>
          <w:color w:val="auto"/>
          <w:sz w:val="24"/>
          <w:highlight w:val="none"/>
        </w:rPr>
        <w:t>。</w:t>
      </w:r>
    </w:p>
    <w:p w14:paraId="14CB17A4">
      <w:pPr>
        <w:spacing w:line="500" w:lineRule="exact"/>
        <w:rPr>
          <w:rFonts w:hint="eastAsia" w:ascii="宋体" w:hAnsi="宋体" w:eastAsia="宋体" w:cs="宋体"/>
          <w:bCs/>
          <w:color w:val="auto"/>
          <w:sz w:val="24"/>
          <w:szCs w:val="24"/>
          <w:highlight w:val="none"/>
        </w:rPr>
      </w:pPr>
    </w:p>
    <w:p w14:paraId="2C222C20">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09FE2B39">
      <w:pPr>
        <w:spacing w:line="500" w:lineRule="exact"/>
        <w:ind w:firstLine="720" w:firstLineChars="3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（二）人员登记表</w:t>
      </w:r>
    </w:p>
    <w:tbl>
      <w:tblPr>
        <w:tblStyle w:val="21"/>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011"/>
        <w:gridCol w:w="1011"/>
        <w:gridCol w:w="1012"/>
        <w:gridCol w:w="795"/>
        <w:gridCol w:w="1225"/>
        <w:gridCol w:w="1341"/>
        <w:gridCol w:w="1012"/>
      </w:tblGrid>
      <w:tr w14:paraId="10CF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011" w:type="dxa"/>
          </w:tcPr>
          <w:p w14:paraId="38CF1A5B">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序号</w:t>
            </w:r>
          </w:p>
        </w:tc>
        <w:tc>
          <w:tcPr>
            <w:tcW w:w="1011" w:type="dxa"/>
          </w:tcPr>
          <w:p w14:paraId="0032132A">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岗位</w:t>
            </w:r>
          </w:p>
        </w:tc>
        <w:tc>
          <w:tcPr>
            <w:tcW w:w="1011" w:type="dxa"/>
          </w:tcPr>
          <w:p w14:paraId="4F0C0763">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姓名</w:t>
            </w:r>
          </w:p>
        </w:tc>
        <w:tc>
          <w:tcPr>
            <w:tcW w:w="1012" w:type="dxa"/>
          </w:tcPr>
          <w:p w14:paraId="0C9A7415">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性别</w:t>
            </w:r>
          </w:p>
        </w:tc>
        <w:tc>
          <w:tcPr>
            <w:tcW w:w="795" w:type="dxa"/>
          </w:tcPr>
          <w:p w14:paraId="489630F2">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年龄</w:t>
            </w:r>
          </w:p>
        </w:tc>
        <w:tc>
          <w:tcPr>
            <w:tcW w:w="1225" w:type="dxa"/>
          </w:tcPr>
          <w:p w14:paraId="2B984441">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身份证号</w:t>
            </w:r>
          </w:p>
        </w:tc>
        <w:tc>
          <w:tcPr>
            <w:tcW w:w="1341" w:type="dxa"/>
          </w:tcPr>
          <w:p w14:paraId="57F0835A">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资格证件名称</w:t>
            </w:r>
          </w:p>
        </w:tc>
        <w:tc>
          <w:tcPr>
            <w:tcW w:w="1012" w:type="dxa"/>
          </w:tcPr>
          <w:p w14:paraId="1E0F98C0">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证件编号</w:t>
            </w:r>
          </w:p>
        </w:tc>
      </w:tr>
      <w:tr w14:paraId="0F85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11" w:type="dxa"/>
          </w:tcPr>
          <w:p w14:paraId="1B08B12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205EEEF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6B047C4">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9A8886A">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3294B9B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023483E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0FE6D3A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29DA7135">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3BF8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11" w:type="dxa"/>
          </w:tcPr>
          <w:p w14:paraId="4FD8B653">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0DB6CDD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5A8820A">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643D44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73A0856B">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53274A9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65A45A6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62C56C07">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0A09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6AA9D03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376F115C">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18862EF4">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452FE784">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50DA621F">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18675F67">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2A1C4C2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89E1FE8">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2997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08D21807">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1DF8D5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0F26476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3BC824A9">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5D4EECA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7ACF2E39">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0C383F1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3E33295">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0903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3F108E8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57CFC7C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119361B">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0BF362DF">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62D5D11A">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2D48830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3B005CA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FE22A44">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3391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63E19177">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3F8D7935">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550F4621">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2DD0FD2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44E2383C">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0DCB383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59BAAEE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499C3EE3">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44A4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61582C73">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2AC9004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667F3CD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7729396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6556B6E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308E6212">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783FD969">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18187AAA">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bl>
    <w:p w14:paraId="77F497BE">
      <w:pPr>
        <w:spacing w:line="500" w:lineRule="exact"/>
        <w:ind w:firstLine="720" w:firstLineChars="300"/>
        <w:rPr>
          <w:rFonts w:hint="default" w:ascii="宋体" w:hAnsi="宋体" w:cs="宋体"/>
          <w:bCs/>
          <w:color w:val="auto"/>
          <w:sz w:val="24"/>
          <w:szCs w:val="24"/>
          <w:highlight w:val="none"/>
          <w:lang w:val="en-US" w:eastAsia="zh-CN"/>
        </w:rPr>
      </w:pPr>
    </w:p>
    <w:p w14:paraId="5244B0E7">
      <w:pPr>
        <w:spacing w:line="500" w:lineRule="exact"/>
        <w:ind w:firstLine="720" w:firstLineChars="300"/>
        <w:rPr>
          <w:rFonts w:hint="eastAsia" w:ascii="宋体" w:hAnsi="宋体" w:eastAsia="宋体" w:cs="宋体"/>
          <w:bCs/>
          <w:color w:val="auto"/>
          <w:sz w:val="24"/>
          <w:szCs w:val="24"/>
          <w:highlight w:val="none"/>
        </w:rPr>
      </w:pPr>
    </w:p>
    <w:p w14:paraId="4B5C25E1">
      <w:pPr>
        <w:spacing w:line="500" w:lineRule="exact"/>
        <w:ind w:firstLine="720" w:firstLineChars="300"/>
        <w:rPr>
          <w:rFonts w:hint="eastAsia" w:ascii="宋体" w:hAnsi="宋体" w:eastAsia="宋体" w:cs="宋体"/>
          <w:bCs/>
          <w:color w:val="auto"/>
          <w:sz w:val="24"/>
          <w:szCs w:val="24"/>
          <w:highlight w:val="none"/>
        </w:rPr>
      </w:pPr>
    </w:p>
    <w:p w14:paraId="61B6741E">
      <w:pPr>
        <w:spacing w:line="500" w:lineRule="exact"/>
        <w:ind w:firstLine="720" w:firstLineChars="300"/>
        <w:rPr>
          <w:rFonts w:hint="eastAsia" w:ascii="宋体" w:hAnsi="宋体" w:eastAsia="宋体" w:cs="宋体"/>
          <w:bCs/>
          <w:color w:val="auto"/>
          <w:sz w:val="24"/>
          <w:szCs w:val="24"/>
          <w:highlight w:val="none"/>
        </w:rPr>
      </w:pPr>
    </w:p>
    <w:p w14:paraId="4DE10314">
      <w:pPr>
        <w:spacing w:line="500" w:lineRule="exact"/>
        <w:ind w:firstLine="720" w:firstLineChars="300"/>
        <w:rPr>
          <w:rFonts w:hint="eastAsia" w:ascii="宋体" w:hAnsi="宋体" w:eastAsia="宋体" w:cs="宋体"/>
          <w:bCs/>
          <w:color w:val="auto"/>
          <w:sz w:val="24"/>
          <w:szCs w:val="24"/>
          <w:highlight w:val="none"/>
        </w:rPr>
      </w:pPr>
    </w:p>
    <w:p w14:paraId="13CD9415">
      <w:pPr>
        <w:spacing w:line="500" w:lineRule="exact"/>
        <w:ind w:firstLine="720" w:firstLineChars="300"/>
        <w:rPr>
          <w:rFonts w:hint="eastAsia" w:ascii="宋体" w:hAnsi="宋体" w:eastAsia="宋体" w:cs="宋体"/>
          <w:bCs/>
          <w:color w:val="auto"/>
          <w:sz w:val="24"/>
          <w:szCs w:val="24"/>
          <w:highlight w:val="none"/>
        </w:rPr>
      </w:pPr>
    </w:p>
    <w:p w14:paraId="1A1D182C">
      <w:pPr>
        <w:spacing w:line="500" w:lineRule="exact"/>
        <w:ind w:firstLine="720" w:firstLineChars="300"/>
        <w:rPr>
          <w:rFonts w:hint="eastAsia" w:ascii="宋体" w:hAnsi="宋体" w:eastAsia="宋体" w:cs="宋体"/>
          <w:bCs/>
          <w:color w:val="auto"/>
          <w:sz w:val="24"/>
          <w:szCs w:val="24"/>
          <w:highlight w:val="none"/>
        </w:rPr>
      </w:pPr>
    </w:p>
    <w:p w14:paraId="386F4765">
      <w:pPr>
        <w:spacing w:line="500" w:lineRule="exact"/>
        <w:ind w:firstLine="720" w:firstLineChars="300"/>
        <w:rPr>
          <w:rFonts w:hint="eastAsia" w:ascii="宋体" w:hAnsi="宋体" w:eastAsia="宋体" w:cs="宋体"/>
          <w:bCs/>
          <w:color w:val="auto"/>
          <w:sz w:val="24"/>
          <w:szCs w:val="24"/>
          <w:highlight w:val="none"/>
        </w:rPr>
      </w:pPr>
    </w:p>
    <w:p w14:paraId="7976F8CB">
      <w:pPr>
        <w:spacing w:line="500" w:lineRule="exact"/>
        <w:ind w:firstLine="720" w:firstLineChars="300"/>
        <w:rPr>
          <w:rFonts w:hint="eastAsia" w:ascii="宋体" w:hAnsi="宋体" w:eastAsia="宋体" w:cs="宋体"/>
          <w:bCs/>
          <w:color w:val="auto"/>
          <w:sz w:val="24"/>
          <w:szCs w:val="24"/>
          <w:highlight w:val="none"/>
        </w:rPr>
      </w:pPr>
    </w:p>
    <w:p w14:paraId="47C0D2F8">
      <w:pPr>
        <w:spacing w:line="500" w:lineRule="exact"/>
        <w:ind w:firstLine="720" w:firstLineChars="300"/>
        <w:rPr>
          <w:rFonts w:hint="eastAsia" w:ascii="宋体" w:hAnsi="宋体" w:eastAsia="宋体" w:cs="宋体"/>
          <w:bCs/>
          <w:color w:val="auto"/>
          <w:sz w:val="24"/>
          <w:szCs w:val="24"/>
          <w:highlight w:val="none"/>
        </w:rPr>
      </w:pPr>
    </w:p>
    <w:p w14:paraId="5A628EFB">
      <w:pPr>
        <w:spacing w:line="500" w:lineRule="exact"/>
        <w:ind w:firstLine="720" w:firstLineChars="300"/>
        <w:rPr>
          <w:rFonts w:hint="eastAsia" w:ascii="宋体" w:hAnsi="宋体" w:eastAsia="宋体" w:cs="宋体"/>
          <w:bCs/>
          <w:color w:val="auto"/>
          <w:sz w:val="24"/>
          <w:szCs w:val="24"/>
          <w:highlight w:val="none"/>
        </w:rPr>
      </w:pPr>
    </w:p>
    <w:p w14:paraId="035831DA">
      <w:pPr>
        <w:spacing w:line="500" w:lineRule="exact"/>
        <w:ind w:firstLine="720" w:firstLineChars="300"/>
        <w:rPr>
          <w:rFonts w:hint="eastAsia" w:ascii="宋体" w:hAnsi="宋体" w:eastAsia="宋体" w:cs="宋体"/>
          <w:bCs/>
          <w:color w:val="auto"/>
          <w:sz w:val="24"/>
          <w:szCs w:val="24"/>
          <w:highlight w:val="none"/>
        </w:rPr>
      </w:pPr>
    </w:p>
    <w:p w14:paraId="5626E912">
      <w:pPr>
        <w:spacing w:line="500" w:lineRule="exact"/>
        <w:ind w:firstLine="720" w:firstLineChars="300"/>
        <w:rPr>
          <w:rFonts w:hint="eastAsia" w:ascii="宋体" w:hAnsi="宋体" w:eastAsia="宋体" w:cs="宋体"/>
          <w:bCs/>
          <w:color w:val="auto"/>
          <w:sz w:val="24"/>
          <w:szCs w:val="24"/>
          <w:highlight w:val="none"/>
        </w:rPr>
      </w:pPr>
    </w:p>
    <w:p w14:paraId="6D987A1D">
      <w:pPr>
        <w:spacing w:line="500" w:lineRule="exact"/>
        <w:ind w:firstLine="720" w:firstLineChars="300"/>
        <w:rPr>
          <w:rFonts w:hint="eastAsia" w:ascii="宋体" w:hAnsi="宋体" w:eastAsia="宋体" w:cs="宋体"/>
          <w:bCs/>
          <w:color w:val="auto"/>
          <w:sz w:val="24"/>
          <w:szCs w:val="24"/>
          <w:highlight w:val="none"/>
        </w:rPr>
      </w:pPr>
    </w:p>
    <w:p w14:paraId="7FF32778">
      <w:pPr>
        <w:spacing w:line="500" w:lineRule="exact"/>
        <w:ind w:firstLine="720" w:firstLineChars="300"/>
        <w:rPr>
          <w:rFonts w:hint="eastAsia" w:ascii="宋体" w:hAnsi="宋体" w:eastAsia="宋体" w:cs="宋体"/>
          <w:bCs/>
          <w:color w:val="auto"/>
          <w:sz w:val="24"/>
          <w:szCs w:val="24"/>
          <w:highlight w:val="none"/>
        </w:rPr>
      </w:pPr>
    </w:p>
    <w:p w14:paraId="50F4FB73">
      <w:pPr>
        <w:spacing w:line="500" w:lineRule="exact"/>
        <w:ind w:firstLine="720" w:firstLineChars="300"/>
        <w:rPr>
          <w:rFonts w:hint="eastAsia" w:ascii="宋体" w:hAnsi="宋体" w:eastAsia="宋体" w:cs="宋体"/>
          <w:bCs/>
          <w:color w:val="auto"/>
          <w:sz w:val="24"/>
          <w:szCs w:val="24"/>
          <w:highlight w:val="none"/>
        </w:rPr>
      </w:pPr>
    </w:p>
    <w:p w14:paraId="4B2C8459">
      <w:pPr>
        <w:spacing w:line="500" w:lineRule="exact"/>
        <w:ind w:firstLine="720" w:firstLineChars="300"/>
        <w:rPr>
          <w:rFonts w:hint="eastAsia" w:ascii="宋体" w:hAnsi="宋体" w:eastAsia="宋体" w:cs="宋体"/>
          <w:bCs/>
          <w:color w:val="auto"/>
          <w:sz w:val="24"/>
          <w:szCs w:val="24"/>
          <w:highlight w:val="none"/>
        </w:rPr>
      </w:pPr>
    </w:p>
    <w:p w14:paraId="7474B72E">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）其他资料（格式自定）</w:t>
      </w:r>
    </w:p>
    <w:p w14:paraId="605B7038">
      <w:pPr>
        <w:rPr>
          <w:rFonts w:hint="eastAsia" w:ascii="宋体" w:hAnsi="宋体" w:eastAsia="宋体" w:cs="宋体"/>
          <w:color w:val="auto"/>
          <w:highlight w:val="none"/>
        </w:rPr>
      </w:pPr>
    </w:p>
    <w:p w14:paraId="1BBCA96F">
      <w:pPr>
        <w:pStyle w:val="10"/>
        <w:rPr>
          <w:rFonts w:hint="eastAsia" w:ascii="宋体" w:hAnsi="宋体" w:eastAsia="宋体" w:cs="宋体"/>
          <w:color w:val="auto"/>
          <w:highlight w:val="none"/>
        </w:rPr>
      </w:pPr>
    </w:p>
    <w:p w14:paraId="7DF81713">
      <w:pPr>
        <w:pStyle w:val="16"/>
        <w:rPr>
          <w:rFonts w:hint="eastAsia" w:ascii="宋体" w:hAnsi="宋体" w:eastAsia="宋体" w:cs="宋体"/>
          <w:color w:val="auto"/>
          <w:highlight w:val="none"/>
        </w:rPr>
      </w:pPr>
    </w:p>
    <w:p w14:paraId="24A00028">
      <w:pPr>
        <w:rPr>
          <w:rFonts w:hint="eastAsia" w:ascii="宋体" w:hAnsi="宋体" w:eastAsia="宋体" w:cs="宋体"/>
          <w:color w:val="auto"/>
          <w:highlight w:val="none"/>
        </w:rPr>
      </w:pPr>
    </w:p>
    <w:p w14:paraId="4FEE77DA">
      <w:pPr>
        <w:pStyle w:val="10"/>
        <w:rPr>
          <w:rFonts w:hint="eastAsia" w:ascii="宋体" w:hAnsi="宋体" w:eastAsia="宋体" w:cs="宋体"/>
          <w:color w:val="auto"/>
          <w:highlight w:val="none"/>
        </w:rPr>
      </w:pPr>
    </w:p>
    <w:p w14:paraId="74842268">
      <w:pPr>
        <w:pStyle w:val="16"/>
        <w:rPr>
          <w:rFonts w:hint="eastAsia" w:ascii="宋体" w:hAnsi="宋体" w:eastAsia="宋体" w:cs="宋体"/>
          <w:color w:val="auto"/>
          <w:highlight w:val="none"/>
        </w:rPr>
      </w:pPr>
    </w:p>
    <w:p w14:paraId="380E66A4">
      <w:pPr>
        <w:rPr>
          <w:rFonts w:hint="eastAsia" w:ascii="宋体" w:hAnsi="宋体" w:eastAsia="宋体" w:cs="宋体"/>
          <w:color w:val="auto"/>
          <w:highlight w:val="none"/>
        </w:rPr>
      </w:pPr>
    </w:p>
    <w:p w14:paraId="01119E00">
      <w:pPr>
        <w:pStyle w:val="10"/>
        <w:rPr>
          <w:rFonts w:hint="eastAsia" w:ascii="宋体" w:hAnsi="宋体" w:eastAsia="宋体" w:cs="宋体"/>
          <w:color w:val="auto"/>
          <w:highlight w:val="none"/>
        </w:rPr>
      </w:pPr>
    </w:p>
    <w:p w14:paraId="3A90CD54">
      <w:pPr>
        <w:pStyle w:val="16"/>
        <w:rPr>
          <w:rFonts w:hint="eastAsia" w:ascii="宋体" w:hAnsi="宋体" w:eastAsia="宋体" w:cs="宋体"/>
          <w:color w:val="auto"/>
          <w:highlight w:val="none"/>
        </w:rPr>
      </w:pPr>
    </w:p>
    <w:p w14:paraId="2E291167">
      <w:pPr>
        <w:rPr>
          <w:rFonts w:hint="eastAsia" w:ascii="宋体" w:hAnsi="宋体" w:eastAsia="宋体" w:cs="宋体"/>
          <w:color w:val="auto"/>
          <w:highlight w:val="none"/>
        </w:rPr>
      </w:pPr>
    </w:p>
    <w:p w14:paraId="588ED8B2">
      <w:pPr>
        <w:pStyle w:val="10"/>
        <w:rPr>
          <w:rFonts w:hint="eastAsia" w:ascii="宋体" w:hAnsi="宋体" w:eastAsia="宋体" w:cs="宋体"/>
          <w:color w:val="auto"/>
          <w:highlight w:val="none"/>
        </w:rPr>
      </w:pPr>
    </w:p>
    <w:p w14:paraId="2511395D">
      <w:pPr>
        <w:pStyle w:val="16"/>
        <w:rPr>
          <w:rFonts w:hint="eastAsia" w:ascii="宋体" w:hAnsi="宋体" w:eastAsia="宋体" w:cs="宋体"/>
          <w:color w:val="auto"/>
          <w:highlight w:val="none"/>
        </w:rPr>
      </w:pPr>
    </w:p>
    <w:p w14:paraId="5127C060">
      <w:pPr>
        <w:rPr>
          <w:rFonts w:hint="eastAsia" w:ascii="宋体" w:hAnsi="宋体" w:eastAsia="宋体" w:cs="宋体"/>
          <w:color w:val="auto"/>
          <w:highlight w:val="none"/>
        </w:rPr>
      </w:pPr>
    </w:p>
    <w:p w14:paraId="16161788">
      <w:pPr>
        <w:pStyle w:val="10"/>
        <w:rPr>
          <w:rFonts w:hint="eastAsia" w:ascii="宋体" w:hAnsi="宋体" w:eastAsia="宋体" w:cs="宋体"/>
          <w:color w:val="auto"/>
          <w:highlight w:val="none"/>
        </w:rPr>
      </w:pPr>
    </w:p>
    <w:p w14:paraId="6BA0D020">
      <w:pPr>
        <w:pStyle w:val="16"/>
        <w:rPr>
          <w:rFonts w:hint="eastAsia" w:ascii="宋体" w:hAnsi="宋体" w:eastAsia="宋体" w:cs="宋体"/>
          <w:color w:val="auto"/>
          <w:highlight w:val="none"/>
        </w:rPr>
      </w:pPr>
    </w:p>
    <w:p w14:paraId="16F7DFBB">
      <w:pPr>
        <w:rPr>
          <w:rFonts w:hint="eastAsia" w:ascii="宋体" w:hAnsi="宋体" w:eastAsia="宋体" w:cs="宋体"/>
          <w:color w:val="auto"/>
          <w:highlight w:val="none"/>
        </w:rPr>
      </w:pPr>
    </w:p>
    <w:p w14:paraId="08EECC9E">
      <w:pPr>
        <w:pStyle w:val="10"/>
        <w:rPr>
          <w:rFonts w:hint="eastAsia" w:ascii="宋体" w:hAnsi="宋体" w:eastAsia="宋体" w:cs="宋体"/>
          <w:color w:val="auto"/>
          <w:highlight w:val="none"/>
        </w:rPr>
      </w:pPr>
    </w:p>
    <w:p w14:paraId="7D547524">
      <w:pPr>
        <w:pStyle w:val="16"/>
        <w:rPr>
          <w:rFonts w:hint="eastAsia" w:ascii="宋体" w:hAnsi="宋体" w:eastAsia="宋体" w:cs="宋体"/>
          <w:color w:val="auto"/>
          <w:highlight w:val="none"/>
        </w:rPr>
      </w:pPr>
    </w:p>
    <w:p w14:paraId="7CE116B3">
      <w:pPr>
        <w:rPr>
          <w:rFonts w:hint="eastAsia" w:ascii="宋体" w:hAnsi="宋体" w:eastAsia="宋体" w:cs="宋体"/>
          <w:color w:val="auto"/>
          <w:highlight w:val="none"/>
        </w:rPr>
      </w:pPr>
    </w:p>
    <w:p w14:paraId="1C46B336">
      <w:pPr>
        <w:pStyle w:val="10"/>
        <w:rPr>
          <w:rFonts w:hint="eastAsia" w:ascii="宋体" w:hAnsi="宋体" w:eastAsia="宋体" w:cs="宋体"/>
          <w:color w:val="auto"/>
          <w:highlight w:val="none"/>
        </w:rPr>
      </w:pPr>
    </w:p>
    <w:p w14:paraId="065F5414">
      <w:pPr>
        <w:pStyle w:val="16"/>
        <w:rPr>
          <w:rFonts w:hint="eastAsia" w:ascii="宋体" w:hAnsi="宋体" w:eastAsia="宋体" w:cs="宋体"/>
          <w:color w:val="auto"/>
          <w:highlight w:val="none"/>
        </w:rPr>
      </w:pPr>
    </w:p>
    <w:p w14:paraId="77CD255D">
      <w:pPr>
        <w:pStyle w:val="5"/>
        <w:spacing w:line="360" w:lineRule="auto"/>
        <w:rPr>
          <w:rFonts w:hint="eastAsia" w:ascii="宋体" w:hAnsi="宋体" w:eastAsia="宋体" w:cs="宋体"/>
          <w:color w:val="auto"/>
          <w:sz w:val="24"/>
          <w:szCs w:val="24"/>
          <w:highlight w:val="none"/>
        </w:rPr>
      </w:pPr>
      <w:bookmarkStart w:id="144" w:name="_Toc22721"/>
      <w:r>
        <w:rPr>
          <w:rFonts w:hint="eastAsia" w:ascii="宋体" w:hAnsi="宋体" w:eastAsia="宋体" w:cs="宋体"/>
          <w:color w:val="auto"/>
          <w:sz w:val="24"/>
          <w:szCs w:val="24"/>
          <w:highlight w:val="none"/>
        </w:rPr>
        <w:t>三、商务部分</w:t>
      </w:r>
      <w:bookmarkEnd w:id="141"/>
      <w:bookmarkEnd w:id="142"/>
      <w:bookmarkEnd w:id="143"/>
      <w:bookmarkEnd w:id="144"/>
    </w:p>
    <w:p w14:paraId="55CCE5A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45" w:name="_Toc283382459"/>
      <w:r>
        <w:rPr>
          <w:rFonts w:hint="eastAsia" w:ascii="宋体" w:hAnsi="宋体" w:eastAsia="宋体" w:cs="宋体"/>
          <w:color w:val="auto"/>
          <w:sz w:val="24"/>
          <w:szCs w:val="24"/>
          <w:highlight w:val="none"/>
        </w:rPr>
        <w:t>商务响应偏离表</w:t>
      </w:r>
    </w:p>
    <w:p w14:paraId="3C95C659">
      <w:pPr>
        <w:pStyle w:val="13"/>
        <w:tabs>
          <w:tab w:val="left" w:pos="6300"/>
        </w:tabs>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20"/>
        <w:tblW w:w="87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1814"/>
        <w:gridCol w:w="2200"/>
      </w:tblGrid>
      <w:tr w14:paraId="02E3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418B97">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vAlign w:val="center"/>
          </w:tcPr>
          <w:p w14:paraId="1A8FC706">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比选项目商务需求</w:t>
            </w:r>
          </w:p>
        </w:tc>
        <w:tc>
          <w:tcPr>
            <w:tcW w:w="1814" w:type="dxa"/>
            <w:vAlign w:val="center"/>
          </w:tcPr>
          <w:p w14:paraId="5B575328">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00" w:type="dxa"/>
            <w:vAlign w:val="center"/>
          </w:tcPr>
          <w:p w14:paraId="3DA17C25">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7CD7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510" w:type="dxa"/>
            <w:vAlign w:val="center"/>
          </w:tcPr>
          <w:p w14:paraId="678EC91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5264D5B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2D02CA3A">
            <w:pPr>
              <w:tabs>
                <w:tab w:val="left" w:pos="6300"/>
              </w:tabs>
              <w:snapToGrid w:val="0"/>
              <w:outlineLvl w:val="0"/>
              <w:rPr>
                <w:rFonts w:hint="eastAsia" w:ascii="宋体" w:hAnsi="宋体" w:eastAsia="宋体" w:cs="宋体"/>
                <w:color w:val="auto"/>
                <w:sz w:val="21"/>
                <w:szCs w:val="21"/>
                <w:highlight w:val="none"/>
              </w:rPr>
            </w:pPr>
          </w:p>
        </w:tc>
        <w:tc>
          <w:tcPr>
            <w:tcW w:w="2200" w:type="dxa"/>
            <w:vAlign w:val="center"/>
          </w:tcPr>
          <w:p w14:paraId="782F602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CEB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44A39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1A6AAB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083EC00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48DA491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76B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BE470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0160EAA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502A093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58540CE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923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D0CF6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DC802D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57B67B5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4259F03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985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BD6BE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762BE6B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1E49948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6CDBE60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4E4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B01C5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69AF154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4655989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2090FAA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4EF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5007A6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471BB1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4AD260C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238DE43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8E0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4F828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03FA89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3FD4E0A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3E19930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2837B600">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6492A0CF">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28F5D73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C4393CD">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E44CFDC">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 项目商务需求”中所列条款进行比较和响应</w:t>
      </w:r>
      <w:r>
        <w:rPr>
          <w:rFonts w:hint="eastAsia" w:ascii="宋体" w:hAnsi="宋体" w:cs="宋体"/>
          <w:color w:val="auto"/>
          <w:sz w:val="24"/>
          <w:szCs w:val="24"/>
          <w:highlight w:val="none"/>
        </w:rPr>
        <w:t>，在“差异说明”项填写正偏离或负偏离，完全符合的填写“无差异”；</w:t>
      </w:r>
    </w:p>
    <w:p w14:paraId="15B7674F">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cs="宋体"/>
          <w:color w:val="auto"/>
          <w:sz w:val="24"/>
          <w:highlight w:val="none"/>
        </w:rPr>
        <w:t>2.本表可扩展。</w:t>
      </w:r>
    </w:p>
    <w:p w14:paraId="75A0AAE9">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（二）其它优惠承诺（格式自定）</w:t>
      </w:r>
    </w:p>
    <w:p w14:paraId="719B4C4C">
      <w:pPr>
        <w:spacing w:line="360" w:lineRule="auto"/>
        <w:ind w:firstLine="480" w:firstLineChars="200"/>
        <w:rPr>
          <w:rFonts w:hint="eastAsia" w:ascii="宋体" w:hAnsi="宋体" w:eastAsia="宋体" w:cs="宋体"/>
          <w:color w:val="auto"/>
          <w:sz w:val="24"/>
          <w:szCs w:val="24"/>
          <w:highlight w:val="none"/>
        </w:rPr>
      </w:pPr>
    </w:p>
    <w:p w14:paraId="741CFD47">
      <w:pPr>
        <w:spacing w:line="360" w:lineRule="auto"/>
        <w:ind w:firstLine="480" w:firstLineChars="200"/>
        <w:rPr>
          <w:rFonts w:hint="eastAsia" w:ascii="宋体" w:hAnsi="宋体" w:eastAsia="宋体" w:cs="宋体"/>
          <w:color w:val="auto"/>
          <w:sz w:val="24"/>
          <w:szCs w:val="24"/>
          <w:highlight w:val="none"/>
        </w:rPr>
      </w:pPr>
    </w:p>
    <w:p w14:paraId="08B5BB7F">
      <w:pPr>
        <w:spacing w:line="360" w:lineRule="auto"/>
        <w:ind w:firstLine="480" w:firstLineChars="200"/>
        <w:rPr>
          <w:rFonts w:hint="eastAsia" w:ascii="宋体" w:hAnsi="宋体" w:eastAsia="宋体" w:cs="宋体"/>
          <w:color w:val="auto"/>
          <w:sz w:val="24"/>
          <w:szCs w:val="24"/>
          <w:highlight w:val="none"/>
        </w:rPr>
      </w:pPr>
    </w:p>
    <w:p w14:paraId="77996F75">
      <w:pPr>
        <w:spacing w:line="360" w:lineRule="auto"/>
        <w:ind w:firstLine="480" w:firstLineChars="200"/>
        <w:rPr>
          <w:rFonts w:hint="eastAsia" w:ascii="宋体" w:hAnsi="宋体" w:eastAsia="宋体" w:cs="宋体"/>
          <w:color w:val="auto"/>
          <w:sz w:val="24"/>
          <w:szCs w:val="24"/>
          <w:highlight w:val="none"/>
        </w:rPr>
      </w:pPr>
    </w:p>
    <w:p w14:paraId="5BE59AE4">
      <w:pPr>
        <w:spacing w:line="360" w:lineRule="auto"/>
        <w:ind w:firstLine="480" w:firstLineChars="200"/>
        <w:rPr>
          <w:rFonts w:hint="eastAsia" w:ascii="宋体" w:hAnsi="宋体" w:eastAsia="宋体" w:cs="宋体"/>
          <w:color w:val="auto"/>
          <w:sz w:val="24"/>
          <w:szCs w:val="24"/>
          <w:highlight w:val="none"/>
        </w:rPr>
      </w:pPr>
    </w:p>
    <w:p w14:paraId="24D5141C">
      <w:pPr>
        <w:spacing w:line="360" w:lineRule="auto"/>
        <w:ind w:firstLine="480" w:firstLineChars="200"/>
        <w:rPr>
          <w:rFonts w:hint="eastAsia" w:ascii="宋体" w:hAnsi="宋体" w:eastAsia="宋体" w:cs="宋体"/>
          <w:color w:val="auto"/>
          <w:sz w:val="24"/>
          <w:szCs w:val="24"/>
          <w:highlight w:val="none"/>
        </w:rPr>
      </w:pPr>
    </w:p>
    <w:p w14:paraId="119E6ED0">
      <w:pPr>
        <w:spacing w:line="360" w:lineRule="auto"/>
        <w:ind w:firstLine="480" w:firstLineChars="200"/>
        <w:rPr>
          <w:rFonts w:hint="eastAsia" w:ascii="宋体" w:hAnsi="宋体" w:eastAsia="宋体" w:cs="宋体"/>
          <w:color w:val="auto"/>
          <w:sz w:val="24"/>
          <w:szCs w:val="24"/>
          <w:highlight w:val="none"/>
        </w:rPr>
      </w:pPr>
    </w:p>
    <w:p w14:paraId="10EC390D">
      <w:pPr>
        <w:spacing w:line="360" w:lineRule="auto"/>
        <w:ind w:firstLine="480" w:firstLineChars="200"/>
        <w:rPr>
          <w:rFonts w:hint="eastAsia" w:ascii="宋体" w:hAnsi="宋体" w:eastAsia="宋体" w:cs="宋体"/>
          <w:color w:val="auto"/>
          <w:sz w:val="24"/>
          <w:szCs w:val="24"/>
          <w:highlight w:val="none"/>
        </w:rPr>
      </w:pPr>
    </w:p>
    <w:p w14:paraId="35DFC23E">
      <w:pPr>
        <w:spacing w:line="360" w:lineRule="auto"/>
        <w:ind w:firstLine="480" w:firstLineChars="200"/>
        <w:rPr>
          <w:rFonts w:hint="eastAsia" w:ascii="宋体" w:hAnsi="宋体" w:eastAsia="宋体" w:cs="宋体"/>
          <w:color w:val="auto"/>
          <w:sz w:val="24"/>
          <w:szCs w:val="24"/>
          <w:highlight w:val="none"/>
        </w:rPr>
      </w:pPr>
    </w:p>
    <w:p w14:paraId="4557EDBC">
      <w:pPr>
        <w:spacing w:line="360" w:lineRule="auto"/>
        <w:ind w:firstLine="480" w:firstLineChars="200"/>
        <w:rPr>
          <w:rFonts w:hint="eastAsia" w:ascii="宋体" w:hAnsi="宋体" w:eastAsia="宋体" w:cs="宋体"/>
          <w:color w:val="auto"/>
          <w:sz w:val="24"/>
          <w:szCs w:val="24"/>
          <w:highlight w:val="none"/>
        </w:rPr>
      </w:pPr>
    </w:p>
    <w:p w14:paraId="5567B81D">
      <w:pPr>
        <w:spacing w:line="360" w:lineRule="auto"/>
        <w:ind w:firstLine="480" w:firstLineChars="200"/>
        <w:rPr>
          <w:rFonts w:hint="eastAsia" w:ascii="宋体" w:hAnsi="宋体" w:eastAsia="宋体" w:cs="宋体"/>
          <w:color w:val="auto"/>
          <w:sz w:val="24"/>
          <w:szCs w:val="24"/>
          <w:highlight w:val="none"/>
        </w:rPr>
      </w:pPr>
    </w:p>
    <w:p w14:paraId="7DD7974D">
      <w:pPr>
        <w:spacing w:line="360" w:lineRule="auto"/>
        <w:ind w:firstLine="480" w:firstLineChars="200"/>
        <w:rPr>
          <w:rFonts w:hint="eastAsia" w:ascii="宋体" w:hAnsi="宋体" w:eastAsia="宋体" w:cs="宋体"/>
          <w:color w:val="auto"/>
          <w:sz w:val="24"/>
          <w:szCs w:val="24"/>
          <w:highlight w:val="none"/>
        </w:rPr>
      </w:pPr>
    </w:p>
    <w:p w14:paraId="2E5FB458">
      <w:pPr>
        <w:spacing w:line="360" w:lineRule="auto"/>
        <w:ind w:firstLine="480" w:firstLineChars="200"/>
        <w:rPr>
          <w:rFonts w:hint="eastAsia" w:ascii="宋体" w:hAnsi="宋体" w:eastAsia="宋体" w:cs="宋体"/>
          <w:color w:val="auto"/>
          <w:sz w:val="24"/>
          <w:szCs w:val="24"/>
          <w:highlight w:val="none"/>
        </w:rPr>
      </w:pPr>
    </w:p>
    <w:p w14:paraId="2A83569D">
      <w:pPr>
        <w:spacing w:line="360" w:lineRule="auto"/>
        <w:ind w:firstLine="480" w:firstLineChars="200"/>
        <w:rPr>
          <w:rFonts w:hint="eastAsia" w:ascii="宋体" w:hAnsi="宋体" w:eastAsia="宋体" w:cs="宋体"/>
          <w:color w:val="auto"/>
          <w:sz w:val="24"/>
          <w:szCs w:val="24"/>
          <w:highlight w:val="none"/>
        </w:rPr>
      </w:pPr>
    </w:p>
    <w:p w14:paraId="4194E891">
      <w:pPr>
        <w:spacing w:line="360" w:lineRule="auto"/>
        <w:ind w:firstLine="480" w:firstLineChars="200"/>
        <w:rPr>
          <w:rFonts w:hint="eastAsia" w:ascii="宋体" w:hAnsi="宋体" w:eastAsia="宋体" w:cs="宋体"/>
          <w:color w:val="auto"/>
          <w:sz w:val="24"/>
          <w:szCs w:val="24"/>
          <w:highlight w:val="none"/>
        </w:rPr>
      </w:pPr>
    </w:p>
    <w:p w14:paraId="5334EB6A">
      <w:pPr>
        <w:spacing w:line="360" w:lineRule="auto"/>
        <w:ind w:firstLine="480" w:firstLineChars="200"/>
        <w:rPr>
          <w:rFonts w:hint="eastAsia" w:ascii="宋体" w:hAnsi="宋体" w:eastAsia="宋体" w:cs="宋体"/>
          <w:color w:val="auto"/>
          <w:sz w:val="24"/>
          <w:szCs w:val="24"/>
          <w:highlight w:val="none"/>
        </w:rPr>
      </w:pPr>
    </w:p>
    <w:p w14:paraId="24883183">
      <w:pPr>
        <w:spacing w:line="360" w:lineRule="auto"/>
        <w:ind w:firstLine="480" w:firstLineChars="200"/>
        <w:rPr>
          <w:rFonts w:hint="eastAsia" w:ascii="宋体" w:hAnsi="宋体" w:eastAsia="宋体" w:cs="宋体"/>
          <w:color w:val="auto"/>
          <w:sz w:val="24"/>
          <w:szCs w:val="24"/>
          <w:highlight w:val="none"/>
        </w:rPr>
      </w:pPr>
    </w:p>
    <w:p w14:paraId="76358BDD">
      <w:pPr>
        <w:pStyle w:val="10"/>
        <w:rPr>
          <w:rFonts w:hint="eastAsia" w:ascii="宋体" w:hAnsi="宋体" w:eastAsia="宋体" w:cs="宋体"/>
          <w:color w:val="auto"/>
          <w:sz w:val="24"/>
          <w:szCs w:val="24"/>
          <w:highlight w:val="none"/>
        </w:rPr>
      </w:pPr>
    </w:p>
    <w:p w14:paraId="7C0F68CC">
      <w:pPr>
        <w:pStyle w:val="11"/>
        <w:rPr>
          <w:rFonts w:hint="eastAsia" w:ascii="宋体" w:hAnsi="宋体" w:eastAsia="宋体" w:cs="宋体"/>
          <w:color w:val="auto"/>
          <w:sz w:val="24"/>
          <w:szCs w:val="24"/>
          <w:highlight w:val="none"/>
        </w:rPr>
      </w:pPr>
    </w:p>
    <w:p w14:paraId="13352DF0">
      <w:pPr>
        <w:rPr>
          <w:rFonts w:hint="eastAsia" w:ascii="宋体" w:hAnsi="宋体" w:eastAsia="宋体" w:cs="宋体"/>
          <w:color w:val="auto"/>
          <w:sz w:val="24"/>
          <w:szCs w:val="24"/>
          <w:highlight w:val="none"/>
        </w:rPr>
      </w:pPr>
    </w:p>
    <w:p w14:paraId="2F230C93">
      <w:pPr>
        <w:pStyle w:val="10"/>
        <w:rPr>
          <w:rFonts w:hint="eastAsia" w:ascii="宋体" w:hAnsi="宋体" w:eastAsia="宋体" w:cs="宋体"/>
          <w:color w:val="auto"/>
          <w:sz w:val="24"/>
          <w:szCs w:val="24"/>
          <w:highlight w:val="none"/>
        </w:rPr>
      </w:pPr>
    </w:p>
    <w:p w14:paraId="32551B40">
      <w:pPr>
        <w:pStyle w:val="11"/>
        <w:rPr>
          <w:rFonts w:hint="eastAsia" w:ascii="宋体" w:hAnsi="宋体" w:eastAsia="宋体" w:cs="宋体"/>
          <w:color w:val="auto"/>
          <w:sz w:val="24"/>
          <w:szCs w:val="24"/>
          <w:highlight w:val="none"/>
        </w:rPr>
      </w:pPr>
    </w:p>
    <w:p w14:paraId="257CDD97">
      <w:pPr>
        <w:rPr>
          <w:rFonts w:hint="eastAsia" w:ascii="宋体" w:hAnsi="宋体" w:eastAsia="宋体" w:cs="宋体"/>
          <w:color w:val="auto"/>
          <w:sz w:val="24"/>
          <w:szCs w:val="24"/>
          <w:highlight w:val="none"/>
        </w:rPr>
      </w:pPr>
    </w:p>
    <w:p w14:paraId="2EAD4171">
      <w:pPr>
        <w:pStyle w:val="10"/>
        <w:rPr>
          <w:rFonts w:hint="eastAsia" w:ascii="宋体" w:hAnsi="宋体" w:eastAsia="宋体" w:cs="宋体"/>
          <w:color w:val="auto"/>
          <w:sz w:val="24"/>
          <w:szCs w:val="24"/>
          <w:highlight w:val="none"/>
        </w:rPr>
      </w:pPr>
    </w:p>
    <w:p w14:paraId="5299B807">
      <w:pPr>
        <w:pStyle w:val="11"/>
        <w:rPr>
          <w:rFonts w:hint="eastAsia" w:ascii="宋体" w:hAnsi="宋体" w:eastAsia="宋体" w:cs="宋体"/>
          <w:color w:val="auto"/>
          <w:sz w:val="24"/>
          <w:szCs w:val="24"/>
          <w:highlight w:val="none"/>
        </w:rPr>
      </w:pPr>
    </w:p>
    <w:p w14:paraId="58A47F31">
      <w:pPr>
        <w:rPr>
          <w:rFonts w:hint="eastAsia" w:ascii="宋体" w:hAnsi="宋体" w:eastAsia="宋体" w:cs="宋体"/>
          <w:color w:val="auto"/>
          <w:sz w:val="24"/>
          <w:szCs w:val="24"/>
          <w:highlight w:val="none"/>
        </w:rPr>
      </w:pPr>
    </w:p>
    <w:p w14:paraId="29D1D542">
      <w:pPr>
        <w:pStyle w:val="10"/>
        <w:rPr>
          <w:rFonts w:hint="eastAsia"/>
          <w:highlight w:val="none"/>
        </w:rPr>
      </w:pPr>
    </w:p>
    <w:p w14:paraId="66AFB415">
      <w:pPr>
        <w:spacing w:line="360" w:lineRule="auto"/>
        <w:ind w:firstLine="480" w:firstLineChars="200"/>
        <w:rPr>
          <w:rFonts w:hint="eastAsia" w:ascii="宋体" w:hAnsi="宋体" w:eastAsia="宋体" w:cs="宋体"/>
          <w:color w:val="auto"/>
          <w:sz w:val="24"/>
          <w:szCs w:val="24"/>
          <w:highlight w:val="none"/>
        </w:rPr>
      </w:pPr>
    </w:p>
    <w:p w14:paraId="77D2F2A4">
      <w:pPr>
        <w:spacing w:line="360" w:lineRule="auto"/>
        <w:ind w:firstLine="480" w:firstLineChars="200"/>
        <w:rPr>
          <w:rFonts w:hint="eastAsia" w:ascii="宋体" w:hAnsi="宋体" w:eastAsia="宋体" w:cs="宋体"/>
          <w:color w:val="auto"/>
          <w:sz w:val="24"/>
          <w:szCs w:val="24"/>
          <w:highlight w:val="none"/>
        </w:rPr>
      </w:pPr>
    </w:p>
    <w:p w14:paraId="36C6B1B0">
      <w:pPr>
        <w:spacing w:line="360" w:lineRule="auto"/>
        <w:ind w:firstLine="480" w:firstLineChars="200"/>
        <w:rPr>
          <w:rFonts w:hint="eastAsia" w:ascii="宋体" w:hAnsi="宋体" w:eastAsia="宋体" w:cs="宋体"/>
          <w:color w:val="auto"/>
          <w:sz w:val="24"/>
          <w:szCs w:val="24"/>
          <w:highlight w:val="none"/>
        </w:rPr>
      </w:pPr>
    </w:p>
    <w:p w14:paraId="2722B793">
      <w:pPr>
        <w:spacing w:line="360" w:lineRule="auto"/>
        <w:ind w:firstLine="480" w:firstLineChars="200"/>
        <w:rPr>
          <w:rFonts w:hint="eastAsia" w:ascii="宋体" w:hAnsi="宋体" w:eastAsia="宋体" w:cs="宋体"/>
          <w:color w:val="auto"/>
          <w:sz w:val="24"/>
          <w:szCs w:val="24"/>
          <w:highlight w:val="none"/>
        </w:rPr>
      </w:pPr>
    </w:p>
    <w:p w14:paraId="4CF78EDA">
      <w:pPr>
        <w:spacing w:line="360" w:lineRule="auto"/>
        <w:ind w:firstLine="480" w:firstLineChars="200"/>
        <w:rPr>
          <w:rFonts w:hint="eastAsia" w:ascii="宋体" w:hAnsi="宋体" w:eastAsia="宋体" w:cs="宋体"/>
          <w:color w:val="auto"/>
          <w:sz w:val="24"/>
          <w:szCs w:val="24"/>
          <w:highlight w:val="none"/>
        </w:rPr>
      </w:pPr>
    </w:p>
    <w:bookmarkEnd w:id="145"/>
    <w:p w14:paraId="1F19E1AC">
      <w:pPr>
        <w:pStyle w:val="5"/>
        <w:spacing w:line="360" w:lineRule="auto"/>
        <w:rPr>
          <w:rFonts w:hint="eastAsia" w:ascii="宋体" w:hAnsi="宋体" w:eastAsia="宋体" w:cs="宋体"/>
          <w:color w:val="auto"/>
          <w:highlight w:val="none"/>
        </w:rPr>
      </w:pPr>
      <w:bookmarkStart w:id="146" w:name="_Toc28644"/>
      <w:bookmarkStart w:id="147" w:name="_Toc342913422"/>
      <w:bookmarkStart w:id="148" w:name="_Toc313888363"/>
      <w:bookmarkStart w:id="149" w:name="_Toc313008359"/>
      <w:r>
        <w:rPr>
          <w:rFonts w:hint="eastAsia" w:ascii="宋体" w:hAnsi="宋体" w:eastAsia="宋体" w:cs="宋体"/>
          <w:color w:val="auto"/>
          <w:sz w:val="24"/>
          <w:szCs w:val="24"/>
          <w:highlight w:val="none"/>
        </w:rPr>
        <w:t>四、资格条件及其他</w:t>
      </w:r>
      <w:bookmarkEnd w:id="146"/>
      <w:bookmarkEnd w:id="147"/>
      <w:bookmarkEnd w:id="148"/>
      <w:bookmarkEnd w:id="149"/>
    </w:p>
    <w:p w14:paraId="54F1E44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AA34CD8">
      <w:pPr>
        <w:tabs>
          <w:tab w:val="left" w:pos="6300"/>
        </w:tabs>
        <w:snapToGrid w:val="0"/>
        <w:spacing w:line="500" w:lineRule="exact"/>
        <w:ind w:firstLine="570"/>
        <w:rPr>
          <w:rFonts w:hint="eastAsia" w:ascii="宋体" w:hAnsi="宋体" w:eastAsia="宋体" w:cs="宋体"/>
          <w:color w:val="auto"/>
          <w:sz w:val="24"/>
          <w:szCs w:val="24"/>
          <w:highlight w:val="none"/>
        </w:rPr>
      </w:pPr>
    </w:p>
    <w:p w14:paraId="232EEE92">
      <w:pPr>
        <w:tabs>
          <w:tab w:val="left" w:pos="6300"/>
        </w:tabs>
        <w:snapToGrid w:val="0"/>
        <w:spacing w:line="500" w:lineRule="exact"/>
        <w:ind w:firstLine="570"/>
        <w:rPr>
          <w:rFonts w:hint="eastAsia" w:ascii="宋体" w:hAnsi="宋体" w:eastAsia="宋体" w:cs="宋体"/>
          <w:color w:val="auto"/>
          <w:highlight w:val="none"/>
        </w:rPr>
      </w:pPr>
    </w:p>
    <w:p w14:paraId="6D9F14EF">
      <w:pPr>
        <w:widowControl/>
        <w:rPr>
          <w:rFonts w:hint="eastAsia" w:ascii="宋体" w:hAnsi="宋体" w:eastAsia="宋体" w:cs="宋体"/>
          <w:color w:val="auto"/>
          <w:highlight w:val="none"/>
        </w:rPr>
      </w:pPr>
    </w:p>
    <w:p w14:paraId="6F5E842F">
      <w:pPr>
        <w:widowControl/>
        <w:ind w:firstLine="56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br w:type="page"/>
      </w:r>
      <w:r>
        <w:rPr>
          <w:rFonts w:hint="eastAsia" w:ascii="宋体" w:hAnsi="宋体" w:eastAsia="宋体" w:cs="宋体"/>
          <w:color w:val="auto"/>
          <w:szCs w:val="28"/>
          <w:highlight w:val="none"/>
        </w:rPr>
        <w:t>（二）法定代表人身份证明书（格式）</w:t>
      </w:r>
    </w:p>
    <w:p w14:paraId="3D5106FA">
      <w:pPr>
        <w:tabs>
          <w:tab w:val="left" w:pos="6300"/>
        </w:tabs>
        <w:snapToGrid w:val="0"/>
        <w:spacing w:line="500" w:lineRule="exact"/>
        <w:ind w:firstLine="570"/>
        <w:rPr>
          <w:rFonts w:hint="eastAsia" w:ascii="宋体" w:hAnsi="宋体" w:eastAsia="宋体" w:cs="宋体"/>
          <w:color w:val="auto"/>
          <w:sz w:val="24"/>
          <w:szCs w:val="24"/>
          <w:highlight w:val="none"/>
        </w:rPr>
      </w:pPr>
    </w:p>
    <w:p w14:paraId="787F7EF1">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1768DE95">
      <w:pPr>
        <w:tabs>
          <w:tab w:val="left" w:pos="6300"/>
        </w:tabs>
        <w:snapToGrid w:val="0"/>
        <w:spacing w:line="500" w:lineRule="exact"/>
        <w:ind w:firstLine="570"/>
        <w:rPr>
          <w:rFonts w:hint="eastAsia" w:ascii="宋体" w:hAnsi="宋体" w:eastAsia="宋体" w:cs="宋体"/>
          <w:color w:val="auto"/>
          <w:sz w:val="24"/>
          <w:szCs w:val="24"/>
          <w:highlight w:val="none"/>
        </w:rPr>
      </w:pPr>
    </w:p>
    <w:p w14:paraId="33F66787">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796C8811">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04353CE3">
      <w:pPr>
        <w:tabs>
          <w:tab w:val="left" w:pos="6300"/>
        </w:tabs>
        <w:snapToGrid w:val="0"/>
        <w:spacing w:line="500" w:lineRule="exact"/>
        <w:ind w:firstLine="570"/>
        <w:rPr>
          <w:rFonts w:hint="eastAsia" w:ascii="宋体" w:hAnsi="宋体" w:eastAsia="宋体" w:cs="宋体"/>
          <w:color w:val="auto"/>
          <w:sz w:val="24"/>
          <w:szCs w:val="24"/>
          <w:highlight w:val="none"/>
        </w:rPr>
      </w:pPr>
    </w:p>
    <w:p w14:paraId="5161668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1690B19">
      <w:pPr>
        <w:tabs>
          <w:tab w:val="left" w:pos="6300"/>
        </w:tabs>
        <w:snapToGrid w:val="0"/>
        <w:spacing w:line="500" w:lineRule="exact"/>
        <w:ind w:firstLine="570"/>
        <w:rPr>
          <w:rFonts w:hint="eastAsia" w:ascii="宋体" w:hAnsi="宋体" w:eastAsia="宋体" w:cs="宋体"/>
          <w:color w:val="auto"/>
          <w:sz w:val="24"/>
          <w:szCs w:val="24"/>
          <w:highlight w:val="none"/>
        </w:rPr>
      </w:pPr>
    </w:p>
    <w:p w14:paraId="2051DA90">
      <w:pPr>
        <w:tabs>
          <w:tab w:val="left" w:pos="6300"/>
        </w:tabs>
        <w:snapToGrid w:val="0"/>
        <w:spacing w:line="500" w:lineRule="exact"/>
        <w:ind w:firstLine="570"/>
        <w:rPr>
          <w:rFonts w:hint="eastAsia" w:ascii="宋体" w:hAnsi="宋体" w:eastAsia="宋体" w:cs="宋体"/>
          <w:color w:val="auto"/>
          <w:sz w:val="24"/>
          <w:szCs w:val="24"/>
          <w:highlight w:val="none"/>
        </w:rPr>
      </w:pPr>
    </w:p>
    <w:p w14:paraId="4AE2FAE3">
      <w:pPr>
        <w:tabs>
          <w:tab w:val="left" w:pos="6300"/>
        </w:tabs>
        <w:snapToGrid w:val="0"/>
        <w:spacing w:line="500" w:lineRule="exact"/>
        <w:ind w:firstLine="570"/>
        <w:rPr>
          <w:rFonts w:hint="eastAsia" w:ascii="宋体" w:hAnsi="宋体" w:eastAsia="宋体" w:cs="宋体"/>
          <w:color w:val="auto"/>
          <w:sz w:val="24"/>
          <w:szCs w:val="24"/>
          <w:highlight w:val="none"/>
        </w:rPr>
      </w:pPr>
    </w:p>
    <w:p w14:paraId="5E2646B9">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471F8450">
      <w:pPr>
        <w:tabs>
          <w:tab w:val="left" w:pos="6300"/>
        </w:tabs>
        <w:snapToGrid w:val="0"/>
        <w:spacing w:line="500" w:lineRule="exact"/>
        <w:ind w:firstLine="570"/>
        <w:rPr>
          <w:rFonts w:hint="eastAsia" w:ascii="宋体" w:hAnsi="宋体" w:eastAsia="宋体" w:cs="宋体"/>
          <w:color w:val="auto"/>
          <w:sz w:val="24"/>
          <w:szCs w:val="24"/>
          <w:highlight w:val="none"/>
        </w:rPr>
      </w:pPr>
    </w:p>
    <w:p w14:paraId="69FB542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FB4956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电子邮箱：XXXXXX@XXXXX（若授权他人办理并签署比选响应文件的可不填写）</w:t>
      </w:r>
    </w:p>
    <w:p w14:paraId="565421E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0D8FE2EC">
      <w:pPr>
        <w:tabs>
          <w:tab w:val="left" w:pos="6300"/>
        </w:tabs>
        <w:snapToGrid w:val="0"/>
        <w:spacing w:line="500" w:lineRule="exact"/>
        <w:ind w:firstLine="570"/>
        <w:rPr>
          <w:rFonts w:hint="eastAsia" w:ascii="宋体" w:hAnsi="宋体" w:eastAsia="宋体" w:cs="宋体"/>
          <w:color w:val="auto"/>
          <w:sz w:val="24"/>
          <w:szCs w:val="24"/>
          <w:highlight w:val="none"/>
        </w:rPr>
      </w:pPr>
    </w:p>
    <w:p w14:paraId="341A34B1">
      <w:pPr>
        <w:tabs>
          <w:tab w:val="left" w:pos="6300"/>
        </w:tabs>
        <w:snapToGrid w:val="0"/>
        <w:spacing w:line="500" w:lineRule="exact"/>
        <w:ind w:firstLine="570"/>
        <w:rPr>
          <w:rFonts w:hint="eastAsia" w:ascii="宋体" w:hAnsi="宋体" w:eastAsia="宋体" w:cs="宋体"/>
          <w:color w:val="auto"/>
          <w:sz w:val="24"/>
          <w:szCs w:val="24"/>
          <w:highlight w:val="none"/>
        </w:rPr>
      </w:pPr>
    </w:p>
    <w:p w14:paraId="031E2292">
      <w:pPr>
        <w:tabs>
          <w:tab w:val="left" w:pos="6300"/>
        </w:tabs>
        <w:snapToGrid w:val="0"/>
        <w:spacing w:line="500" w:lineRule="exact"/>
        <w:ind w:firstLine="570"/>
        <w:rPr>
          <w:rFonts w:hint="eastAsia" w:ascii="宋体" w:hAnsi="宋体" w:eastAsia="宋体" w:cs="宋体"/>
          <w:color w:val="auto"/>
          <w:sz w:val="24"/>
          <w:highlight w:val="none"/>
        </w:rPr>
      </w:pPr>
    </w:p>
    <w:p w14:paraId="051B06CE">
      <w:pPr>
        <w:tabs>
          <w:tab w:val="left" w:pos="6300"/>
        </w:tabs>
        <w:snapToGrid w:val="0"/>
        <w:spacing w:line="500" w:lineRule="exact"/>
        <w:ind w:firstLine="570"/>
        <w:rPr>
          <w:rFonts w:hint="eastAsia" w:ascii="宋体" w:hAnsi="宋体" w:eastAsia="宋体" w:cs="宋体"/>
          <w:color w:val="auto"/>
          <w:sz w:val="24"/>
          <w:highlight w:val="none"/>
        </w:rPr>
      </w:pPr>
    </w:p>
    <w:p w14:paraId="12401CC1">
      <w:pPr>
        <w:tabs>
          <w:tab w:val="left" w:pos="6300"/>
        </w:tabs>
        <w:snapToGrid w:val="0"/>
        <w:spacing w:line="500" w:lineRule="exact"/>
        <w:ind w:firstLine="570"/>
        <w:rPr>
          <w:rFonts w:hint="eastAsia" w:ascii="宋体" w:hAnsi="宋体" w:eastAsia="宋体" w:cs="宋体"/>
          <w:color w:val="auto"/>
          <w:sz w:val="24"/>
          <w:highlight w:val="none"/>
        </w:rPr>
      </w:pPr>
    </w:p>
    <w:p w14:paraId="4BE94312">
      <w:pPr>
        <w:tabs>
          <w:tab w:val="left" w:pos="6300"/>
        </w:tabs>
        <w:snapToGrid w:val="0"/>
        <w:spacing w:line="500" w:lineRule="exact"/>
        <w:ind w:firstLine="570"/>
        <w:rPr>
          <w:rFonts w:hint="eastAsia" w:ascii="宋体" w:hAnsi="宋体" w:eastAsia="宋体" w:cs="宋体"/>
          <w:color w:val="auto"/>
          <w:sz w:val="24"/>
          <w:highlight w:val="none"/>
        </w:rPr>
      </w:pPr>
    </w:p>
    <w:p w14:paraId="661F9887">
      <w:pPr>
        <w:tabs>
          <w:tab w:val="left" w:pos="6300"/>
        </w:tabs>
        <w:snapToGrid w:val="0"/>
        <w:spacing w:line="500" w:lineRule="exact"/>
        <w:ind w:firstLine="570"/>
        <w:rPr>
          <w:rFonts w:hint="eastAsia" w:ascii="宋体" w:hAnsi="宋体" w:eastAsia="宋体" w:cs="宋体"/>
          <w:color w:val="auto"/>
          <w:sz w:val="24"/>
          <w:highlight w:val="none"/>
        </w:rPr>
      </w:pPr>
    </w:p>
    <w:p w14:paraId="00A5B164">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574E5E3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C6162C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19ED600">
      <w:pPr>
        <w:tabs>
          <w:tab w:val="left" w:pos="6300"/>
        </w:tabs>
        <w:snapToGrid w:val="0"/>
        <w:spacing w:line="500" w:lineRule="exact"/>
        <w:ind w:firstLine="570"/>
        <w:rPr>
          <w:rFonts w:hint="eastAsia" w:ascii="宋体" w:hAnsi="宋体" w:eastAsia="宋体" w:cs="宋体"/>
          <w:color w:val="auto"/>
          <w:sz w:val="24"/>
          <w:highlight w:val="none"/>
        </w:rPr>
      </w:pPr>
    </w:p>
    <w:p w14:paraId="5A2176F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DCA536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（被授权人姓名及身份证代码）代表我单位全权办理上述项目的比选、签约等具体工作，并签署全部有关文件、协议及合同。</w:t>
      </w:r>
    </w:p>
    <w:p w14:paraId="00A3FB4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07934FE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547D9BCD">
      <w:pPr>
        <w:tabs>
          <w:tab w:val="left" w:pos="6300"/>
        </w:tabs>
        <w:snapToGrid w:val="0"/>
        <w:spacing w:line="500" w:lineRule="exact"/>
        <w:ind w:firstLine="570"/>
        <w:rPr>
          <w:rFonts w:hint="eastAsia" w:ascii="宋体" w:hAnsi="宋体" w:eastAsia="宋体" w:cs="宋体"/>
          <w:color w:val="auto"/>
          <w:sz w:val="24"/>
          <w:highlight w:val="none"/>
        </w:rPr>
      </w:pPr>
    </w:p>
    <w:p w14:paraId="1FE0261B">
      <w:pPr>
        <w:tabs>
          <w:tab w:val="left" w:pos="6300"/>
        </w:tabs>
        <w:snapToGrid w:val="0"/>
        <w:spacing w:line="500" w:lineRule="exact"/>
        <w:ind w:firstLine="570"/>
        <w:rPr>
          <w:rFonts w:hint="eastAsia" w:ascii="宋体" w:hAnsi="宋体" w:eastAsia="宋体" w:cs="宋体"/>
          <w:color w:val="auto"/>
          <w:sz w:val="24"/>
          <w:highlight w:val="none"/>
        </w:rPr>
      </w:pPr>
    </w:p>
    <w:p w14:paraId="0989A0C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01566176">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45647B4">
      <w:pPr>
        <w:tabs>
          <w:tab w:val="left" w:pos="6300"/>
        </w:tabs>
        <w:snapToGrid w:val="0"/>
        <w:spacing w:line="500" w:lineRule="exact"/>
        <w:ind w:firstLine="570"/>
        <w:rPr>
          <w:rFonts w:hint="eastAsia" w:ascii="宋体" w:hAnsi="宋体" w:eastAsia="宋体" w:cs="宋体"/>
          <w:color w:val="auto"/>
          <w:sz w:val="24"/>
          <w:szCs w:val="28"/>
          <w:highlight w:val="none"/>
        </w:rPr>
      </w:pPr>
    </w:p>
    <w:p w14:paraId="5AA21599">
      <w:pPr>
        <w:tabs>
          <w:tab w:val="left" w:pos="6300"/>
        </w:tabs>
        <w:snapToGrid w:val="0"/>
        <w:spacing w:line="500" w:lineRule="exact"/>
        <w:ind w:firstLine="570"/>
        <w:rPr>
          <w:rFonts w:hint="eastAsia" w:ascii="宋体" w:hAnsi="宋体" w:eastAsia="宋体" w:cs="宋体"/>
          <w:color w:val="auto"/>
          <w:sz w:val="24"/>
          <w:highlight w:val="none"/>
        </w:rPr>
      </w:pPr>
    </w:p>
    <w:p w14:paraId="30ED9F0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239FE64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7E0355B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748CA8D">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电子邮箱：XXXXXX@XXXXX（若法定代表人办理并签署比选响应文件的可不填写）</w:t>
      </w:r>
    </w:p>
    <w:p w14:paraId="66D4DB26">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375D74C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注：若为法定代表人办理并签署比选响应文件的，不提供此文件。</w:t>
      </w:r>
    </w:p>
    <w:p w14:paraId="4D6C2FD1">
      <w:pPr>
        <w:tabs>
          <w:tab w:val="left" w:pos="6300"/>
        </w:tabs>
        <w:snapToGrid w:val="0"/>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highlight w:val="none"/>
        </w:rPr>
        <w:t>（</w:t>
      </w:r>
      <w:r>
        <w:rPr>
          <w:rFonts w:hint="eastAsia" w:ascii="宋体" w:hAnsi="宋体" w:cs="宋体"/>
          <w:color w:val="auto"/>
          <w:highlight w:val="none"/>
          <w:lang w:val="en-US" w:eastAsia="zh-CN"/>
        </w:rPr>
        <w:t>四</w:t>
      </w:r>
      <w:r>
        <w:rPr>
          <w:rFonts w:hint="eastAsia" w:ascii="宋体" w:hAnsi="宋体" w:eastAsia="宋体" w:cs="宋体"/>
          <w:color w:val="auto"/>
          <w:highlight w:val="none"/>
        </w:rPr>
        <w:t>）</w:t>
      </w:r>
      <w:r>
        <w:rPr>
          <w:rFonts w:hint="eastAsia" w:ascii="宋体" w:hAnsi="宋体" w:cs="宋体"/>
          <w:color w:val="auto"/>
          <w:highlight w:val="none"/>
          <w:lang w:val="en-US" w:eastAsia="zh-CN"/>
        </w:rPr>
        <w:t>服务技术要求</w:t>
      </w:r>
      <w:r>
        <w:rPr>
          <w:rFonts w:hint="eastAsia" w:ascii="宋体" w:hAnsi="宋体" w:eastAsia="宋体" w:cs="宋体"/>
          <w:color w:val="auto"/>
          <w:highlight w:val="none"/>
        </w:rPr>
        <w:t>承诺函</w:t>
      </w:r>
    </w:p>
    <w:p w14:paraId="158E1BAF">
      <w:pPr>
        <w:tabs>
          <w:tab w:val="left" w:pos="6300"/>
        </w:tabs>
        <w:snapToGrid w:val="0"/>
        <w:ind w:firstLine="480" w:firstLineChars="200"/>
        <w:rPr>
          <w:rFonts w:hint="eastAsia" w:ascii="宋体" w:hAnsi="宋体" w:eastAsia="宋体" w:cs="宋体"/>
          <w:color w:val="auto"/>
          <w:sz w:val="24"/>
          <w:szCs w:val="24"/>
          <w:highlight w:val="none"/>
        </w:rPr>
      </w:pPr>
    </w:p>
    <w:p w14:paraId="3C7A6CEF">
      <w:pPr>
        <w:tabs>
          <w:tab w:val="left" w:pos="6300"/>
        </w:tabs>
        <w:snapToGrid w:val="0"/>
        <w:ind w:firstLine="480" w:firstLineChars="200"/>
        <w:rPr>
          <w:rFonts w:hint="eastAsia" w:ascii="宋体" w:hAnsi="宋体" w:eastAsia="宋体" w:cs="宋体"/>
          <w:color w:val="auto"/>
          <w:sz w:val="24"/>
          <w:szCs w:val="24"/>
          <w:highlight w:val="none"/>
        </w:rPr>
      </w:pPr>
    </w:p>
    <w:p w14:paraId="4E376961">
      <w:pPr>
        <w:tabs>
          <w:tab w:val="left" w:pos="630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D15073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000A4BD5">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2C6125F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根据贵方关于“________项目”的招标文件要求，我单位经仔细审阅，现就项目中“医疗</w:t>
      </w:r>
      <w:r>
        <w:rPr>
          <w:rFonts w:hint="eastAsia" w:ascii="宋体" w:hAnsi="宋体" w:cs="宋体"/>
          <w:color w:val="auto"/>
          <w:sz w:val="24"/>
          <w:highlight w:val="none"/>
          <w:lang w:val="en-US" w:eastAsia="zh-CN"/>
        </w:rPr>
        <w:t>保洁</w:t>
      </w:r>
      <w:r>
        <w:rPr>
          <w:rFonts w:hint="eastAsia" w:ascii="宋体" w:hAnsi="宋体" w:eastAsia="宋体" w:cs="宋体"/>
          <w:color w:val="auto"/>
          <w:sz w:val="24"/>
          <w:highlight w:val="none"/>
        </w:rPr>
        <w:t>人员服务”的技术要求，郑重承诺如下：</w:t>
      </w:r>
    </w:p>
    <w:p w14:paraId="7763020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人员配置承诺： 我单位承诺，在合同期内，将严格并持续为贵院无偿提供不低于</w:t>
      </w:r>
      <w:r>
        <w:rPr>
          <w:rFonts w:hint="eastAsia" w:ascii="宋体" w:hAnsi="宋体" w:cs="宋体"/>
          <w:sz w:val="24"/>
          <w:szCs w:val="24"/>
          <w:highlight w:val="none"/>
          <w:lang w:val="en-US" w:eastAsia="zh-CN"/>
        </w:rPr>
        <w:t>6名医疗</w:t>
      </w:r>
      <w:r>
        <w:rPr>
          <w:rFonts w:hint="eastAsia" w:ascii="宋体" w:hAnsi="宋体" w:cs="宋体"/>
          <w:color w:val="C00000"/>
          <w:sz w:val="24"/>
          <w:szCs w:val="24"/>
          <w:highlight w:val="none"/>
          <w:lang w:val="en-US" w:eastAsia="zh-CN"/>
        </w:rPr>
        <w:t>保洁</w:t>
      </w:r>
      <w:r>
        <w:rPr>
          <w:rFonts w:hint="eastAsia" w:ascii="宋体" w:hAnsi="宋体" w:cs="宋体"/>
          <w:sz w:val="24"/>
          <w:szCs w:val="24"/>
          <w:highlight w:val="none"/>
          <w:lang w:val="en-US" w:eastAsia="zh-CN"/>
        </w:rPr>
        <w:t>人员</w:t>
      </w:r>
      <w:r>
        <w:rPr>
          <w:rFonts w:hint="eastAsia" w:ascii="宋体" w:hAnsi="宋体" w:eastAsia="宋体" w:cs="宋体"/>
          <w:color w:val="auto"/>
          <w:sz w:val="24"/>
          <w:highlight w:val="none"/>
        </w:rPr>
        <w:t>。所有人员岗位性质均为非卫生技术岗位。</w:t>
      </w:r>
    </w:p>
    <w:p w14:paraId="0173739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管理与考核承诺： 我单位承诺，将制定并执行一套明确、详尽的人员管理与服务质量考核制度，</w:t>
      </w:r>
      <w:bookmarkStart w:id="152" w:name="_GoBack"/>
      <w:bookmarkEnd w:id="152"/>
      <w:r>
        <w:rPr>
          <w:rFonts w:hint="eastAsia" w:ascii="宋体" w:hAnsi="宋体" w:eastAsia="宋体" w:cs="宋体"/>
          <w:color w:val="auto"/>
          <w:sz w:val="24"/>
          <w:highlight w:val="none"/>
        </w:rPr>
        <w:t>包括但不限于：岗前与在岗培训、日常监督、定期考核及应急处理机制，以确保所有服务人员行为规范、响应迅速、专业可靠。</w:t>
      </w:r>
    </w:p>
    <w:p w14:paraId="69BEFFE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服务目标承诺： 我单位将通过对上述人员的专业化管理，全力保障贵院病理科及门诊部的相关工作流程顺畅、高效，为贵院的整体运营提供坚实可靠的辅助支持。</w:t>
      </w:r>
    </w:p>
    <w:p w14:paraId="691DBD0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费用承诺： 我方确认，此项服务的全部费用已包含在本项目的最终报价中，贵院无需就本承诺函所涉服务内容支付任何额外费用。</w:t>
      </w:r>
    </w:p>
    <w:p w14:paraId="0600CAE0">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13BC2FE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688082E">
      <w:pPr>
        <w:tabs>
          <w:tab w:val="left" w:pos="6300"/>
        </w:tabs>
        <w:snapToGrid w:val="0"/>
        <w:ind w:right="480" w:firstLine="570"/>
        <w:jc w:val="right"/>
        <w:rPr>
          <w:rFonts w:hint="eastAsia" w:ascii="宋体" w:hAnsi="宋体" w:eastAsia="宋体" w:cs="宋体"/>
          <w:color w:val="auto"/>
          <w:sz w:val="24"/>
          <w:szCs w:val="24"/>
          <w:highlight w:val="none"/>
        </w:rPr>
      </w:pPr>
    </w:p>
    <w:p w14:paraId="00F5052A">
      <w:pPr>
        <w:tabs>
          <w:tab w:val="left" w:pos="6300"/>
        </w:tabs>
        <w:snapToGrid w:val="0"/>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0349B647">
      <w:pPr>
        <w:tabs>
          <w:tab w:val="left" w:pos="6300"/>
        </w:tabs>
        <w:snapToGrid w:val="0"/>
        <w:spacing w:line="500" w:lineRule="exact"/>
        <w:ind w:right="480" w:firstLine="6000" w:firstLineChars="2500"/>
        <w:jc w:val="right"/>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7BD01CBC"/>
    <w:p w14:paraId="6069A601">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7D056DC5">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3AF785D2">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0F072026">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3B62FE8E">
      <w:pPr>
        <w:tabs>
          <w:tab w:val="left" w:pos="6300"/>
        </w:tabs>
        <w:snapToGrid w:val="0"/>
        <w:spacing w:line="500" w:lineRule="exact"/>
        <w:ind w:firstLine="0" w:firstLineChars="0"/>
        <w:jc w:val="center"/>
        <w:rPr>
          <w:rFonts w:hint="eastAsia" w:ascii="宋体" w:hAnsi="宋体" w:eastAsia="宋体" w:cs="宋体"/>
          <w:color w:val="auto"/>
          <w:highlight w:val="none"/>
        </w:rPr>
      </w:pPr>
    </w:p>
    <w:p w14:paraId="237DF3B3">
      <w:pPr>
        <w:tabs>
          <w:tab w:val="left" w:pos="6300"/>
        </w:tabs>
        <w:snapToGrid w:val="0"/>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五</w:t>
      </w:r>
      <w:r>
        <w:rPr>
          <w:rFonts w:hint="eastAsia" w:ascii="宋体" w:hAnsi="宋体" w:eastAsia="宋体" w:cs="宋体"/>
          <w:color w:val="auto"/>
          <w:highlight w:val="none"/>
        </w:rPr>
        <w:t>）基本资格条件承诺函</w:t>
      </w:r>
    </w:p>
    <w:p w14:paraId="5C0B0673">
      <w:pPr>
        <w:tabs>
          <w:tab w:val="left" w:pos="6300"/>
        </w:tabs>
        <w:snapToGrid w:val="0"/>
        <w:ind w:firstLine="480" w:firstLineChars="200"/>
        <w:jc w:val="center"/>
        <w:rPr>
          <w:rFonts w:hint="eastAsia" w:ascii="宋体" w:hAnsi="宋体" w:eastAsia="宋体" w:cs="宋体"/>
          <w:color w:val="auto"/>
          <w:sz w:val="24"/>
          <w:szCs w:val="24"/>
          <w:highlight w:val="none"/>
        </w:rPr>
      </w:pPr>
    </w:p>
    <w:p w14:paraId="244D9D3A">
      <w:pPr>
        <w:tabs>
          <w:tab w:val="left" w:pos="630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比选项目名称：</w:t>
      </w:r>
      <w:r>
        <w:rPr>
          <w:rFonts w:hint="eastAsia" w:ascii="宋体" w:hAnsi="宋体" w:eastAsia="宋体" w:cs="宋体"/>
          <w:color w:val="auto"/>
          <w:sz w:val="24"/>
          <w:szCs w:val="24"/>
          <w:highlight w:val="none"/>
          <w:u w:val="single"/>
        </w:rPr>
        <w:t xml:space="preserve">                                                </w:t>
      </w:r>
    </w:p>
    <w:p w14:paraId="7D6CDCB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2251BC0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535F363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696AD10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2D45D4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基本资格条件。</w:t>
      </w:r>
    </w:p>
    <w:p w14:paraId="149DE78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33CCBFF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4BDB3E4">
      <w:pPr>
        <w:tabs>
          <w:tab w:val="left" w:pos="6300"/>
        </w:tabs>
        <w:snapToGrid w:val="0"/>
        <w:ind w:firstLine="480" w:firstLineChars="200"/>
        <w:rPr>
          <w:rFonts w:hint="eastAsia" w:ascii="宋体" w:hAnsi="宋体" w:eastAsia="宋体" w:cs="宋体"/>
          <w:color w:val="auto"/>
          <w:sz w:val="24"/>
          <w:szCs w:val="24"/>
          <w:highlight w:val="none"/>
        </w:rPr>
      </w:pPr>
    </w:p>
    <w:p w14:paraId="01BA5600">
      <w:pPr>
        <w:tabs>
          <w:tab w:val="left" w:pos="6300"/>
        </w:tabs>
        <w:snapToGrid w:val="0"/>
        <w:ind w:firstLine="570"/>
        <w:rPr>
          <w:rFonts w:hint="eastAsia" w:ascii="宋体" w:hAnsi="宋体" w:eastAsia="宋体" w:cs="宋体"/>
          <w:color w:val="auto"/>
          <w:sz w:val="32"/>
          <w:szCs w:val="22"/>
          <w:highlight w:val="none"/>
        </w:rPr>
      </w:pPr>
    </w:p>
    <w:p w14:paraId="4E260354">
      <w:pPr>
        <w:tabs>
          <w:tab w:val="left" w:pos="6300"/>
        </w:tabs>
        <w:snapToGrid w:val="0"/>
        <w:ind w:firstLine="570"/>
        <w:rPr>
          <w:rFonts w:hint="eastAsia" w:ascii="宋体" w:hAnsi="宋体" w:eastAsia="宋体" w:cs="宋体"/>
          <w:color w:val="auto"/>
          <w:sz w:val="32"/>
          <w:szCs w:val="22"/>
          <w:highlight w:val="none"/>
        </w:rPr>
      </w:pPr>
    </w:p>
    <w:p w14:paraId="1882001B">
      <w:pPr>
        <w:tabs>
          <w:tab w:val="left" w:pos="6300"/>
        </w:tabs>
        <w:snapToGrid w:val="0"/>
        <w:ind w:firstLine="570"/>
        <w:rPr>
          <w:rFonts w:hint="eastAsia" w:ascii="宋体" w:hAnsi="宋体" w:eastAsia="宋体" w:cs="宋体"/>
          <w:color w:val="auto"/>
          <w:sz w:val="32"/>
          <w:szCs w:val="22"/>
          <w:highlight w:val="none"/>
        </w:rPr>
      </w:pPr>
    </w:p>
    <w:p w14:paraId="2B5C35C3">
      <w:pPr>
        <w:tabs>
          <w:tab w:val="left" w:pos="6300"/>
        </w:tabs>
        <w:snapToGrid w:val="0"/>
        <w:ind w:firstLine="570"/>
        <w:rPr>
          <w:rFonts w:hint="eastAsia" w:ascii="宋体" w:hAnsi="宋体" w:eastAsia="宋体" w:cs="宋体"/>
          <w:color w:val="auto"/>
          <w:sz w:val="32"/>
          <w:szCs w:val="22"/>
          <w:highlight w:val="none"/>
        </w:rPr>
      </w:pPr>
    </w:p>
    <w:p w14:paraId="2B71F550">
      <w:pPr>
        <w:tabs>
          <w:tab w:val="left" w:pos="6300"/>
        </w:tabs>
        <w:snapToGrid w:val="0"/>
        <w:ind w:right="480"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5233EAC8">
      <w:pPr>
        <w:tabs>
          <w:tab w:val="left" w:pos="6300"/>
        </w:tabs>
        <w:snapToGrid w:val="0"/>
        <w:spacing w:line="500" w:lineRule="exact"/>
        <w:ind w:right="480" w:firstLine="6000" w:firstLineChars="2500"/>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5E24682A">
      <w:pPr>
        <w:rPr>
          <w:rFonts w:hint="eastAsia" w:ascii="宋体" w:hAnsi="宋体" w:eastAsia="宋体" w:cs="宋体"/>
          <w:color w:val="auto"/>
          <w:highlight w:val="none"/>
        </w:rPr>
      </w:pPr>
    </w:p>
    <w:p w14:paraId="5EBBDE14">
      <w:pP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50" w:name="_Toc14422"/>
    </w:p>
    <w:bookmarkEnd w:id="150"/>
    <w:p w14:paraId="4231798A">
      <w:pPr>
        <w:pStyle w:val="5"/>
        <w:spacing w:line="360" w:lineRule="auto"/>
        <w:rPr>
          <w:rFonts w:hint="eastAsia" w:ascii="宋体" w:hAnsi="宋体" w:eastAsia="宋体" w:cs="宋体"/>
          <w:color w:val="auto"/>
          <w:highlight w:val="none"/>
        </w:rPr>
      </w:pPr>
      <w:bookmarkStart w:id="151" w:name="_Toc13478"/>
      <w:r>
        <w:rPr>
          <w:rFonts w:hint="eastAsia" w:ascii="宋体" w:hAnsi="宋体" w:eastAsia="宋体" w:cs="宋体"/>
          <w:color w:val="auto"/>
          <w:sz w:val="24"/>
          <w:szCs w:val="24"/>
          <w:highlight w:val="none"/>
        </w:rPr>
        <w:t>五、其他资料</w:t>
      </w:r>
      <w:bookmarkEnd w:id="151"/>
    </w:p>
    <w:p w14:paraId="44EE19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7754177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0582BFF5">
      <w:pPr>
        <w:spacing w:line="360" w:lineRule="auto"/>
        <w:rPr>
          <w:rFonts w:hint="eastAsia" w:ascii="宋体" w:hAnsi="宋体" w:eastAsia="宋体" w:cs="宋体"/>
          <w:color w:val="auto"/>
          <w:sz w:val="24"/>
          <w:szCs w:val="24"/>
          <w:highlight w:val="none"/>
        </w:rPr>
      </w:pPr>
    </w:p>
    <w:p w14:paraId="5040E9B0">
      <w:pPr>
        <w:pStyle w:val="7"/>
        <w:rPr>
          <w:rFonts w:hint="eastAsia" w:ascii="宋体" w:hAnsi="宋体" w:eastAsia="宋体" w:cs="宋体"/>
          <w:color w:val="auto"/>
          <w:szCs w:val="24"/>
          <w:highlight w:val="none"/>
        </w:rPr>
      </w:pPr>
    </w:p>
    <w:p w14:paraId="2C006426">
      <w:pPr>
        <w:pStyle w:val="7"/>
        <w:rPr>
          <w:rFonts w:hint="eastAsia" w:ascii="宋体" w:hAnsi="宋体" w:eastAsia="宋体" w:cs="宋体"/>
          <w:color w:val="auto"/>
          <w:szCs w:val="24"/>
          <w:highlight w:val="none"/>
        </w:rPr>
      </w:pPr>
    </w:p>
    <w:p w14:paraId="57D85BED">
      <w:pPr>
        <w:pStyle w:val="7"/>
        <w:rPr>
          <w:rFonts w:hint="eastAsia" w:ascii="宋体" w:hAnsi="宋体" w:eastAsia="宋体" w:cs="宋体"/>
          <w:color w:val="auto"/>
          <w:szCs w:val="24"/>
          <w:highlight w:val="none"/>
        </w:rPr>
      </w:pPr>
    </w:p>
    <w:p w14:paraId="7C3E2697">
      <w:pPr>
        <w:pStyle w:val="7"/>
        <w:rPr>
          <w:rFonts w:hint="eastAsia" w:ascii="宋体" w:hAnsi="宋体" w:eastAsia="宋体" w:cs="宋体"/>
          <w:color w:val="auto"/>
          <w:szCs w:val="24"/>
          <w:highlight w:val="none"/>
        </w:rPr>
      </w:pPr>
    </w:p>
    <w:p w14:paraId="3A19B68F">
      <w:pPr>
        <w:pStyle w:val="7"/>
        <w:rPr>
          <w:rFonts w:hint="eastAsia" w:ascii="宋体" w:hAnsi="宋体" w:eastAsia="宋体" w:cs="宋体"/>
          <w:color w:val="auto"/>
          <w:szCs w:val="24"/>
          <w:highlight w:val="none"/>
        </w:rPr>
      </w:pPr>
    </w:p>
    <w:p w14:paraId="1DC7913C">
      <w:pPr>
        <w:pStyle w:val="7"/>
        <w:rPr>
          <w:rFonts w:hint="eastAsia" w:ascii="宋体" w:hAnsi="宋体" w:eastAsia="宋体" w:cs="宋体"/>
          <w:color w:val="auto"/>
          <w:szCs w:val="24"/>
          <w:highlight w:val="none"/>
        </w:rPr>
      </w:pPr>
    </w:p>
    <w:p w14:paraId="39112001">
      <w:pPr>
        <w:pStyle w:val="7"/>
        <w:rPr>
          <w:rFonts w:hint="eastAsia" w:ascii="宋体" w:hAnsi="宋体" w:eastAsia="宋体" w:cs="宋体"/>
          <w:color w:val="auto"/>
          <w:szCs w:val="24"/>
          <w:highlight w:val="none"/>
        </w:rPr>
      </w:pPr>
    </w:p>
    <w:p w14:paraId="791396ED">
      <w:pPr>
        <w:pStyle w:val="7"/>
        <w:rPr>
          <w:rFonts w:hint="eastAsia" w:ascii="宋体" w:hAnsi="宋体" w:eastAsia="宋体" w:cs="宋体"/>
          <w:color w:val="auto"/>
          <w:szCs w:val="24"/>
          <w:highlight w:val="none"/>
        </w:rPr>
      </w:pPr>
    </w:p>
    <w:p w14:paraId="49E19087">
      <w:pPr>
        <w:pStyle w:val="7"/>
        <w:rPr>
          <w:rFonts w:hint="eastAsia" w:ascii="宋体" w:hAnsi="宋体" w:eastAsia="宋体" w:cs="宋体"/>
          <w:color w:val="auto"/>
          <w:szCs w:val="24"/>
          <w:highlight w:val="none"/>
        </w:rPr>
      </w:pPr>
    </w:p>
    <w:p w14:paraId="0ED59D73">
      <w:pPr>
        <w:pStyle w:val="7"/>
        <w:rPr>
          <w:rFonts w:hint="eastAsia" w:ascii="宋体" w:hAnsi="宋体" w:eastAsia="宋体" w:cs="宋体"/>
          <w:color w:val="auto"/>
          <w:szCs w:val="24"/>
          <w:highlight w:val="none"/>
        </w:rPr>
      </w:pPr>
    </w:p>
    <w:p w14:paraId="3138A870">
      <w:pPr>
        <w:pStyle w:val="7"/>
        <w:rPr>
          <w:rFonts w:hint="eastAsia" w:ascii="宋体" w:hAnsi="宋体" w:eastAsia="宋体" w:cs="宋体"/>
          <w:color w:val="auto"/>
          <w:szCs w:val="24"/>
          <w:highlight w:val="none"/>
        </w:rPr>
      </w:pPr>
    </w:p>
    <w:p w14:paraId="59D9ED74">
      <w:pPr>
        <w:pStyle w:val="7"/>
        <w:rPr>
          <w:rFonts w:hint="eastAsia" w:ascii="宋体" w:hAnsi="宋体" w:eastAsia="宋体" w:cs="宋体"/>
          <w:color w:val="auto"/>
          <w:szCs w:val="24"/>
          <w:highlight w:val="none"/>
        </w:rPr>
      </w:pPr>
    </w:p>
    <w:p w14:paraId="14E34546">
      <w:pPr>
        <w:pStyle w:val="7"/>
        <w:rPr>
          <w:rFonts w:hint="eastAsia" w:ascii="宋体" w:hAnsi="宋体" w:eastAsia="宋体" w:cs="宋体"/>
          <w:color w:val="auto"/>
          <w:szCs w:val="24"/>
          <w:highlight w:val="none"/>
        </w:rPr>
      </w:pPr>
    </w:p>
    <w:p w14:paraId="51235780">
      <w:pPr>
        <w:pStyle w:val="7"/>
        <w:rPr>
          <w:rFonts w:hint="eastAsia" w:ascii="宋体" w:hAnsi="宋体" w:eastAsia="宋体" w:cs="宋体"/>
          <w:color w:val="auto"/>
          <w:szCs w:val="24"/>
          <w:highlight w:val="none"/>
        </w:rPr>
      </w:pPr>
    </w:p>
    <w:p w14:paraId="35202024">
      <w:pPr>
        <w:pStyle w:val="7"/>
        <w:rPr>
          <w:rFonts w:hint="eastAsia" w:ascii="宋体" w:hAnsi="宋体" w:eastAsia="宋体" w:cs="宋体"/>
          <w:color w:val="auto"/>
          <w:szCs w:val="24"/>
          <w:highlight w:val="none"/>
        </w:rPr>
      </w:pPr>
    </w:p>
    <w:p w14:paraId="18F71B3C">
      <w:pPr>
        <w:pStyle w:val="7"/>
        <w:rPr>
          <w:rFonts w:hint="eastAsia" w:ascii="宋体" w:hAnsi="宋体" w:eastAsia="宋体" w:cs="宋体"/>
          <w:color w:val="auto"/>
          <w:szCs w:val="24"/>
          <w:highlight w:val="none"/>
        </w:rPr>
      </w:pPr>
    </w:p>
    <w:p w14:paraId="5DAC79E6">
      <w:pPr>
        <w:pStyle w:val="7"/>
        <w:rPr>
          <w:rFonts w:hint="eastAsia" w:ascii="宋体" w:hAnsi="宋体" w:eastAsia="宋体" w:cs="宋体"/>
          <w:color w:val="auto"/>
          <w:szCs w:val="24"/>
          <w:highlight w:val="none"/>
        </w:rPr>
      </w:pPr>
    </w:p>
    <w:p w14:paraId="09A186B1">
      <w:pPr>
        <w:pStyle w:val="7"/>
        <w:rPr>
          <w:rFonts w:hint="eastAsia" w:ascii="宋体" w:hAnsi="宋体" w:eastAsia="宋体" w:cs="宋体"/>
          <w:color w:val="auto"/>
          <w:szCs w:val="24"/>
          <w:highlight w:val="none"/>
        </w:rPr>
      </w:pPr>
    </w:p>
    <w:p w14:paraId="604CD0D4">
      <w:pPr>
        <w:pStyle w:val="7"/>
        <w:rPr>
          <w:rFonts w:hint="eastAsia" w:ascii="宋体" w:hAnsi="宋体" w:eastAsia="宋体" w:cs="宋体"/>
          <w:color w:val="auto"/>
          <w:szCs w:val="24"/>
          <w:highlight w:val="none"/>
        </w:rPr>
      </w:pPr>
    </w:p>
    <w:p w14:paraId="0C879E40">
      <w:pPr>
        <w:pStyle w:val="7"/>
        <w:rPr>
          <w:rFonts w:hint="eastAsia" w:ascii="宋体" w:hAnsi="宋体" w:eastAsia="宋体" w:cs="宋体"/>
          <w:color w:val="auto"/>
          <w:szCs w:val="24"/>
          <w:highlight w:val="none"/>
        </w:rPr>
      </w:pPr>
    </w:p>
    <w:p w14:paraId="33C31EED">
      <w:pPr>
        <w:pStyle w:val="7"/>
        <w:rPr>
          <w:rFonts w:hint="eastAsia" w:ascii="宋体" w:hAnsi="宋体" w:eastAsia="宋体" w:cs="宋体"/>
          <w:color w:val="auto"/>
          <w:szCs w:val="24"/>
          <w:highlight w:val="none"/>
        </w:rPr>
      </w:pPr>
    </w:p>
    <w:p w14:paraId="66B59E83">
      <w:pPr>
        <w:pStyle w:val="7"/>
        <w:rPr>
          <w:rFonts w:hint="eastAsia" w:ascii="宋体" w:hAnsi="宋体" w:eastAsia="宋体" w:cs="宋体"/>
          <w:color w:val="auto"/>
          <w:szCs w:val="24"/>
          <w:highlight w:val="none"/>
        </w:rPr>
      </w:pPr>
    </w:p>
    <w:p w14:paraId="14E52827">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6CB9413F">
      <w:pPr>
        <w:pStyle w:val="10"/>
        <w:rPr>
          <w:rFonts w:hint="eastAsia" w:ascii="宋体" w:hAnsi="宋体" w:eastAsia="宋体" w:cs="宋体"/>
          <w:color w:val="auto"/>
          <w:sz w:val="24"/>
          <w:szCs w:val="24"/>
          <w:highlight w:val="none"/>
        </w:rPr>
      </w:pPr>
    </w:p>
    <w:p w14:paraId="37B8C785">
      <w:pPr>
        <w:pStyle w:val="10"/>
        <w:rPr>
          <w:rFonts w:hint="eastAsia" w:ascii="宋体" w:hAnsi="宋体" w:eastAsia="宋体" w:cs="宋体"/>
          <w:color w:val="auto"/>
          <w:sz w:val="24"/>
          <w:szCs w:val="24"/>
          <w:highlight w:val="none"/>
          <w:lang w:val="en-US" w:eastAsia="zh-CN"/>
        </w:rPr>
      </w:pPr>
    </w:p>
    <w:p w14:paraId="0126FE04">
      <w:pPr>
        <w:pStyle w:val="10"/>
        <w:rPr>
          <w:rFonts w:hint="default" w:eastAsia="宋体"/>
          <w:b/>
          <w:bCs/>
          <w:highlight w:val="none"/>
          <w:lang w:val="en-US" w:eastAsia="zh-CN"/>
        </w:rPr>
      </w:pPr>
      <w:r>
        <w:rPr>
          <w:rFonts w:hint="eastAsia" w:ascii="宋体" w:hAnsi="宋体" w:eastAsia="宋体" w:cs="宋体"/>
          <w:b/>
          <w:bCs/>
          <w:color w:val="auto"/>
          <w:sz w:val="24"/>
          <w:szCs w:val="24"/>
          <w:highlight w:val="none"/>
          <w:lang w:val="en-US" w:eastAsia="zh-CN"/>
        </w:rPr>
        <w:t>附件1《陪护人员质量考核表》</w:t>
      </w:r>
    </w:p>
    <w:tbl>
      <w:tblPr>
        <w:tblStyle w:val="20"/>
        <w:tblpPr w:leftFromText="180" w:rightFromText="180" w:vertAnchor="text" w:horzAnchor="page" w:tblpX="1356" w:tblpY="311"/>
        <w:tblOverlap w:val="never"/>
        <w:tblW w:w="9546" w:type="dxa"/>
        <w:jc w:val="center"/>
        <w:tblLayout w:type="fixed"/>
        <w:tblCellMar>
          <w:top w:w="0" w:type="dxa"/>
          <w:left w:w="108" w:type="dxa"/>
          <w:bottom w:w="0" w:type="dxa"/>
          <w:right w:w="108" w:type="dxa"/>
        </w:tblCellMar>
      </w:tblPr>
      <w:tblGrid>
        <w:gridCol w:w="564"/>
        <w:gridCol w:w="519"/>
        <w:gridCol w:w="640"/>
        <w:gridCol w:w="5059"/>
        <w:gridCol w:w="664"/>
        <w:gridCol w:w="2100"/>
      </w:tblGrid>
      <w:tr w14:paraId="17C6DAC4">
        <w:tblPrEx>
          <w:tblCellMar>
            <w:top w:w="0" w:type="dxa"/>
            <w:left w:w="108" w:type="dxa"/>
            <w:bottom w:w="0" w:type="dxa"/>
            <w:right w:w="108" w:type="dxa"/>
          </w:tblCellMar>
        </w:tblPrEx>
        <w:trPr>
          <w:trHeight w:val="615" w:hRule="atLeast"/>
          <w:jc w:val="center"/>
        </w:trPr>
        <w:tc>
          <w:tcPr>
            <w:tcW w:w="9546" w:type="dxa"/>
            <w:gridSpan w:val="6"/>
            <w:tcBorders>
              <w:top w:val="nil"/>
              <w:left w:val="nil"/>
              <w:bottom w:val="nil"/>
              <w:right w:val="nil"/>
            </w:tcBorders>
            <w:noWrap/>
            <w:vAlign w:val="center"/>
          </w:tcPr>
          <w:p w14:paraId="6BF987D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陪护人员</w:t>
            </w:r>
            <w:r>
              <w:rPr>
                <w:rFonts w:hint="eastAsia" w:ascii="宋体" w:hAnsi="宋体" w:eastAsia="宋体" w:cs="宋体"/>
                <w:color w:val="auto"/>
                <w:kern w:val="0"/>
                <w:sz w:val="24"/>
                <w:szCs w:val="24"/>
                <w:highlight w:val="none"/>
                <w:lang w:bidi="ar"/>
              </w:rPr>
              <w:t>质量考核表</w:t>
            </w:r>
          </w:p>
        </w:tc>
      </w:tr>
      <w:tr w14:paraId="550F7896">
        <w:tblPrEx>
          <w:tblCellMar>
            <w:top w:w="0" w:type="dxa"/>
            <w:left w:w="108" w:type="dxa"/>
            <w:bottom w:w="0" w:type="dxa"/>
            <w:right w:w="108" w:type="dxa"/>
          </w:tblCellMar>
        </w:tblPrEx>
        <w:trPr>
          <w:trHeight w:val="419" w:hRule="atLeast"/>
          <w:jc w:val="center"/>
        </w:trPr>
        <w:tc>
          <w:tcPr>
            <w:tcW w:w="9546" w:type="dxa"/>
            <w:gridSpan w:val="6"/>
            <w:tcBorders>
              <w:top w:val="single" w:color="000000" w:sz="4" w:space="0"/>
              <w:left w:val="single" w:color="000000" w:sz="4" w:space="0"/>
              <w:bottom w:val="single" w:color="000000" w:sz="4" w:space="0"/>
              <w:right w:val="single" w:color="000000" w:sz="4" w:space="0"/>
            </w:tcBorders>
            <w:noWrap/>
            <w:vAlign w:val="center"/>
          </w:tcPr>
          <w:p w14:paraId="6ED5562F">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 xml:space="preserve">日期：    </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 xml:space="preserve"> </w:t>
            </w:r>
            <w:r>
              <w:rPr>
                <w:rFonts w:hint="eastAsia" w:ascii="宋体" w:hAnsi="宋体" w:eastAsia="宋体" w:cs="宋体"/>
                <w:b w:val="0"/>
                <w:bCs w:val="0"/>
                <w:color w:val="auto"/>
                <w:kern w:val="0"/>
                <w:sz w:val="24"/>
                <w:szCs w:val="24"/>
                <w:highlight w:val="none"/>
                <w:lang w:val="en-US" w:eastAsia="zh-CN" w:bidi="ar"/>
              </w:rPr>
              <w:t xml:space="preserve">科室：               考核人：         </w:t>
            </w:r>
            <w:r>
              <w:rPr>
                <w:rFonts w:hint="eastAsia" w:ascii="宋体" w:hAnsi="宋体" w:eastAsia="宋体" w:cs="宋体"/>
                <w:b w:val="0"/>
                <w:bCs w:val="0"/>
                <w:color w:val="auto"/>
                <w:kern w:val="0"/>
                <w:sz w:val="24"/>
                <w:szCs w:val="24"/>
                <w:highlight w:val="none"/>
                <w:lang w:bidi="ar"/>
              </w:rPr>
              <w:t xml:space="preserve">     </w:t>
            </w:r>
            <w:r>
              <w:rPr>
                <w:rFonts w:hint="eastAsia" w:ascii="宋体" w:hAnsi="宋体" w:eastAsia="宋体" w:cs="宋体"/>
                <w:b w:val="0"/>
                <w:bCs w:val="0"/>
                <w:color w:val="auto"/>
                <w:kern w:val="0"/>
                <w:sz w:val="24"/>
                <w:szCs w:val="24"/>
                <w:highlight w:val="none"/>
                <w:lang w:val="en-US" w:eastAsia="zh-CN" w:bidi="ar"/>
              </w:rPr>
              <w:t>得分</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val="en-US" w:eastAsia="zh-CN" w:bidi="ar"/>
              </w:rPr>
              <w:t xml:space="preserve">         </w:t>
            </w:r>
          </w:p>
        </w:tc>
      </w:tr>
      <w:tr w14:paraId="6745B6D3">
        <w:tblPrEx>
          <w:tblCellMar>
            <w:top w:w="0" w:type="dxa"/>
            <w:left w:w="108" w:type="dxa"/>
            <w:bottom w:w="0" w:type="dxa"/>
            <w:right w:w="108" w:type="dxa"/>
          </w:tblCellMar>
        </w:tblPrEx>
        <w:trPr>
          <w:trHeight w:val="828"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F3C6FE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序号</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16965D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项目</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676D3E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考核内容</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8E5BEA6">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评</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分</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标</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27F38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分值标准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DE032B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一项一分；</w:t>
            </w:r>
            <w:r>
              <w:rPr>
                <w:rFonts w:hint="eastAsia" w:ascii="宋体" w:hAnsi="宋体" w:eastAsia="宋体" w:cs="宋体"/>
                <w:b w:val="0"/>
                <w:bCs w:val="0"/>
                <w:color w:val="auto"/>
                <w:kern w:val="0"/>
                <w:sz w:val="24"/>
                <w:szCs w:val="24"/>
                <w:highlight w:val="none"/>
                <w:lang w:val="en-US" w:eastAsia="zh-CN" w:bidi="ar"/>
              </w:rPr>
              <w:t>可以</w:t>
            </w:r>
            <w:r>
              <w:rPr>
                <w:rFonts w:hint="eastAsia" w:ascii="宋体" w:hAnsi="宋体" w:eastAsia="宋体" w:cs="宋体"/>
                <w:b w:val="0"/>
                <w:bCs w:val="0"/>
                <w:color w:val="auto"/>
                <w:kern w:val="0"/>
                <w:sz w:val="24"/>
                <w:szCs w:val="24"/>
                <w:highlight w:val="none"/>
                <w:lang w:bidi="ar"/>
              </w:rPr>
              <w:t>叠加扣分</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可注明护理员姓名</w:t>
            </w:r>
            <w:r>
              <w:rPr>
                <w:rFonts w:hint="eastAsia" w:ascii="宋体" w:hAnsi="宋体" w:eastAsia="宋体" w:cs="宋体"/>
                <w:b w:val="0"/>
                <w:bCs w:val="0"/>
                <w:color w:val="auto"/>
                <w:kern w:val="0"/>
                <w:sz w:val="24"/>
                <w:szCs w:val="24"/>
                <w:highlight w:val="none"/>
                <w:lang w:eastAsia="zh-CN" w:bidi="ar"/>
              </w:rPr>
              <w:t>）</w:t>
            </w:r>
          </w:p>
        </w:tc>
      </w:tr>
      <w:tr w14:paraId="4A28EC1A">
        <w:tblPrEx>
          <w:tblCellMar>
            <w:top w:w="0" w:type="dxa"/>
            <w:left w:w="108" w:type="dxa"/>
            <w:bottom w:w="0" w:type="dxa"/>
            <w:right w:w="108" w:type="dxa"/>
          </w:tblCellMar>
        </w:tblPrEx>
        <w:trPr>
          <w:trHeight w:val="618" w:hRule="atLeast"/>
          <w:jc w:val="center"/>
        </w:trPr>
        <w:tc>
          <w:tcPr>
            <w:tcW w:w="564" w:type="dxa"/>
            <w:tcBorders>
              <w:top w:val="single" w:color="000000" w:sz="4" w:space="0"/>
              <w:left w:val="single" w:color="000000" w:sz="4" w:space="0"/>
              <w:right w:val="single" w:color="000000" w:sz="4" w:space="0"/>
            </w:tcBorders>
            <w:noWrap w:val="0"/>
            <w:vAlign w:val="center"/>
          </w:tcPr>
          <w:p w14:paraId="2F47094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1</w:t>
            </w:r>
          </w:p>
        </w:tc>
        <w:tc>
          <w:tcPr>
            <w:tcW w:w="519" w:type="dxa"/>
            <w:vMerge w:val="restart"/>
            <w:tcBorders>
              <w:top w:val="single" w:color="000000" w:sz="4" w:space="0"/>
              <w:left w:val="single" w:color="000000" w:sz="4" w:space="0"/>
              <w:right w:val="single" w:color="000000" w:sz="4" w:space="0"/>
            </w:tcBorders>
            <w:noWrap w:val="0"/>
            <w:vAlign w:val="center"/>
          </w:tcPr>
          <w:p w14:paraId="277F974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
              </w:rPr>
              <w:t>工作作风</w:t>
            </w:r>
          </w:p>
        </w:tc>
        <w:tc>
          <w:tcPr>
            <w:tcW w:w="640" w:type="dxa"/>
            <w:vMerge w:val="restart"/>
            <w:tcBorders>
              <w:top w:val="single" w:color="000000" w:sz="4" w:space="0"/>
              <w:left w:val="single" w:color="000000" w:sz="4" w:space="0"/>
              <w:right w:val="single" w:color="000000" w:sz="4" w:space="0"/>
            </w:tcBorders>
            <w:noWrap w:val="0"/>
            <w:vAlign w:val="center"/>
          </w:tcPr>
          <w:p w14:paraId="40C8123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个人仪表</w:t>
            </w:r>
          </w:p>
        </w:tc>
        <w:tc>
          <w:tcPr>
            <w:tcW w:w="5059" w:type="dxa"/>
            <w:tcBorders>
              <w:top w:val="single" w:color="000000" w:sz="4" w:space="0"/>
              <w:left w:val="single" w:color="000000" w:sz="4" w:space="0"/>
              <w:right w:val="single" w:color="000000" w:sz="4" w:space="0"/>
            </w:tcBorders>
            <w:noWrap w:val="0"/>
            <w:vAlign w:val="center"/>
          </w:tcPr>
          <w:p w14:paraId="368AFA8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在岗期间</w:t>
            </w:r>
            <w:r>
              <w:rPr>
                <w:rFonts w:hint="eastAsia" w:ascii="宋体" w:hAnsi="宋体" w:eastAsia="宋体" w:cs="宋体"/>
                <w:b w:val="0"/>
                <w:bCs w:val="0"/>
                <w:color w:val="auto"/>
                <w:kern w:val="0"/>
                <w:sz w:val="24"/>
                <w:szCs w:val="24"/>
                <w:highlight w:val="none"/>
                <w:lang w:bidi="ar"/>
              </w:rPr>
              <w:t>形象整洁、</w:t>
            </w:r>
            <w:r>
              <w:rPr>
                <w:rFonts w:hint="eastAsia" w:ascii="宋体" w:hAnsi="宋体" w:eastAsia="宋体" w:cs="宋体"/>
                <w:b w:val="0"/>
                <w:bCs w:val="0"/>
                <w:color w:val="auto"/>
                <w:kern w:val="0"/>
                <w:sz w:val="24"/>
                <w:szCs w:val="24"/>
                <w:highlight w:val="none"/>
                <w:lang w:val="en-US" w:eastAsia="zh-CN" w:bidi="ar"/>
              </w:rPr>
              <w:t>规范</w:t>
            </w:r>
            <w:r>
              <w:rPr>
                <w:rFonts w:hint="eastAsia" w:ascii="宋体" w:hAnsi="宋体" w:eastAsia="宋体" w:cs="宋体"/>
                <w:b w:val="0"/>
                <w:bCs w:val="0"/>
                <w:color w:val="auto"/>
                <w:kern w:val="0"/>
                <w:sz w:val="24"/>
                <w:szCs w:val="24"/>
                <w:highlight w:val="none"/>
                <w:lang w:bidi="ar"/>
              </w:rPr>
              <w:t>着装、</w:t>
            </w:r>
            <w:r>
              <w:rPr>
                <w:rFonts w:hint="eastAsia" w:ascii="宋体" w:hAnsi="宋体" w:eastAsia="宋体" w:cs="宋体"/>
                <w:b w:val="0"/>
                <w:bCs w:val="0"/>
                <w:color w:val="auto"/>
                <w:kern w:val="0"/>
                <w:sz w:val="24"/>
                <w:szCs w:val="24"/>
                <w:highlight w:val="none"/>
                <w:lang w:val="en-US" w:eastAsia="zh-CN" w:bidi="ar"/>
              </w:rPr>
              <w:t>仪表端庄、佩戴胸牌</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color w:val="auto"/>
                <w:sz w:val="24"/>
                <w:szCs w:val="24"/>
                <w:highlight w:val="none"/>
              </w:rPr>
              <w:t>不得穿工作服外出医院、进食堂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会议室</w:t>
            </w:r>
            <w:r>
              <w:rPr>
                <w:rFonts w:hint="eastAsia" w:ascii="宋体" w:hAnsi="宋体" w:eastAsia="宋体" w:cs="宋体"/>
                <w:color w:val="auto"/>
                <w:sz w:val="24"/>
                <w:szCs w:val="24"/>
                <w:highlight w:val="none"/>
              </w:rPr>
              <w:t>。</w:t>
            </w:r>
          </w:p>
        </w:tc>
        <w:tc>
          <w:tcPr>
            <w:tcW w:w="664" w:type="dxa"/>
            <w:tcBorders>
              <w:top w:val="single" w:color="000000" w:sz="4" w:space="0"/>
              <w:left w:val="single" w:color="000000" w:sz="4" w:space="0"/>
              <w:right w:val="single" w:color="000000" w:sz="4" w:space="0"/>
            </w:tcBorders>
            <w:noWrap w:val="0"/>
            <w:vAlign w:val="center"/>
          </w:tcPr>
          <w:p w14:paraId="391A278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right w:val="single" w:color="000000" w:sz="4" w:space="0"/>
            </w:tcBorders>
            <w:noWrap w:val="0"/>
            <w:vAlign w:val="center"/>
          </w:tcPr>
          <w:p w14:paraId="3291FFF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rPr>
            </w:pPr>
          </w:p>
        </w:tc>
      </w:tr>
      <w:tr w14:paraId="57C12878">
        <w:tblPrEx>
          <w:tblCellMar>
            <w:top w:w="0" w:type="dxa"/>
            <w:left w:w="108" w:type="dxa"/>
            <w:bottom w:w="0" w:type="dxa"/>
            <w:right w:w="108" w:type="dxa"/>
          </w:tblCellMar>
        </w:tblPrEx>
        <w:trPr>
          <w:trHeight w:val="379" w:hRule="atLeast"/>
          <w:jc w:val="center"/>
        </w:trPr>
        <w:tc>
          <w:tcPr>
            <w:tcW w:w="564" w:type="dxa"/>
            <w:tcBorders>
              <w:top w:val="single" w:color="000000" w:sz="4" w:space="0"/>
              <w:left w:val="single" w:color="000000" w:sz="4" w:space="0"/>
              <w:right w:val="single" w:color="000000" w:sz="4" w:space="0"/>
            </w:tcBorders>
            <w:noWrap w:val="0"/>
            <w:vAlign w:val="center"/>
          </w:tcPr>
          <w:p w14:paraId="6ABB3FD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w:t>
            </w:r>
          </w:p>
        </w:tc>
        <w:tc>
          <w:tcPr>
            <w:tcW w:w="519" w:type="dxa"/>
            <w:vMerge w:val="continue"/>
            <w:tcBorders>
              <w:left w:val="single" w:color="000000" w:sz="4" w:space="0"/>
              <w:right w:val="single" w:color="000000" w:sz="4" w:space="0"/>
            </w:tcBorders>
            <w:noWrap w:val="0"/>
            <w:vAlign w:val="center"/>
          </w:tcPr>
          <w:p w14:paraId="69266C4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val="en-US" w:eastAsia="zh-CN" w:bidi="ar"/>
              </w:rPr>
            </w:pPr>
          </w:p>
        </w:tc>
        <w:tc>
          <w:tcPr>
            <w:tcW w:w="640" w:type="dxa"/>
            <w:vMerge w:val="continue"/>
            <w:tcBorders>
              <w:left w:val="single" w:color="000000" w:sz="4" w:space="0"/>
              <w:right w:val="single" w:color="000000" w:sz="4" w:space="0"/>
            </w:tcBorders>
            <w:noWrap w:val="0"/>
            <w:vAlign w:val="center"/>
          </w:tcPr>
          <w:p w14:paraId="30809EF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bidi="ar"/>
              </w:rPr>
            </w:pPr>
          </w:p>
        </w:tc>
        <w:tc>
          <w:tcPr>
            <w:tcW w:w="5059" w:type="dxa"/>
            <w:tcBorders>
              <w:top w:val="single" w:color="000000" w:sz="4" w:space="0"/>
              <w:left w:val="single" w:color="000000" w:sz="4" w:space="0"/>
              <w:right w:val="single" w:color="000000" w:sz="4" w:space="0"/>
            </w:tcBorders>
            <w:noWrap w:val="0"/>
            <w:vAlign w:val="center"/>
          </w:tcPr>
          <w:p w14:paraId="36A1CED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不穿响底鞋，首饰不外露、不留长指甲。</w:t>
            </w:r>
          </w:p>
        </w:tc>
        <w:tc>
          <w:tcPr>
            <w:tcW w:w="664" w:type="dxa"/>
            <w:tcBorders>
              <w:top w:val="single" w:color="000000" w:sz="4" w:space="0"/>
              <w:left w:val="single" w:color="000000" w:sz="4" w:space="0"/>
              <w:right w:val="single" w:color="000000" w:sz="4" w:space="0"/>
            </w:tcBorders>
            <w:noWrap w:val="0"/>
            <w:vAlign w:val="center"/>
          </w:tcPr>
          <w:p w14:paraId="0A9466EC">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right w:val="single" w:color="000000" w:sz="4" w:space="0"/>
            </w:tcBorders>
            <w:noWrap w:val="0"/>
            <w:vAlign w:val="center"/>
          </w:tcPr>
          <w:p w14:paraId="56796B3C">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rPr>
            </w:pPr>
          </w:p>
        </w:tc>
      </w:tr>
      <w:tr w14:paraId="4434093D">
        <w:tblPrEx>
          <w:tblCellMar>
            <w:top w:w="0" w:type="dxa"/>
            <w:left w:w="108" w:type="dxa"/>
            <w:bottom w:w="0" w:type="dxa"/>
            <w:right w:w="108" w:type="dxa"/>
          </w:tblCellMar>
        </w:tblPrEx>
        <w:trPr>
          <w:trHeight w:val="67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791FB7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bidi="ar"/>
              </w:rPr>
              <w:t>3</w:t>
            </w:r>
          </w:p>
        </w:tc>
        <w:tc>
          <w:tcPr>
            <w:tcW w:w="519" w:type="dxa"/>
            <w:vMerge w:val="continue"/>
            <w:tcBorders>
              <w:left w:val="single" w:color="000000" w:sz="4" w:space="0"/>
              <w:right w:val="single" w:color="000000" w:sz="4" w:space="0"/>
            </w:tcBorders>
            <w:noWrap w:val="0"/>
            <w:vAlign w:val="center"/>
          </w:tcPr>
          <w:p w14:paraId="125E55CB">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snapToGrid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74A130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工作态度</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479403D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语言文明、微笑服务、礼貌待人；不与病人发生争吵、打架；</w:t>
            </w:r>
            <w:r>
              <w:rPr>
                <w:rFonts w:hint="eastAsia" w:ascii="宋体" w:hAnsi="宋体" w:eastAsia="宋体" w:cs="宋体"/>
                <w:b w:val="0"/>
                <w:bCs w:val="0"/>
                <w:color w:val="auto"/>
                <w:kern w:val="0"/>
                <w:sz w:val="24"/>
                <w:szCs w:val="24"/>
                <w:highlight w:val="none"/>
                <w:lang w:bidi="ar"/>
              </w:rPr>
              <w:t>工作</w:t>
            </w:r>
            <w:r>
              <w:rPr>
                <w:rFonts w:hint="eastAsia" w:ascii="宋体" w:hAnsi="宋体" w:eastAsia="宋体" w:cs="宋体"/>
                <w:b w:val="0"/>
                <w:bCs w:val="0"/>
                <w:color w:val="auto"/>
                <w:kern w:val="0"/>
                <w:sz w:val="24"/>
                <w:szCs w:val="24"/>
                <w:highlight w:val="none"/>
                <w:lang w:val="en-US" w:eastAsia="zh-CN" w:bidi="ar"/>
              </w:rPr>
              <w:t>期间</w:t>
            </w:r>
            <w:r>
              <w:rPr>
                <w:rFonts w:hint="eastAsia" w:ascii="宋体" w:hAnsi="宋体" w:eastAsia="宋体" w:cs="宋体"/>
                <w:b w:val="0"/>
                <w:bCs w:val="0"/>
                <w:color w:val="auto"/>
                <w:kern w:val="0"/>
                <w:sz w:val="24"/>
                <w:szCs w:val="24"/>
                <w:highlight w:val="none"/>
                <w:lang w:bidi="ar"/>
              </w:rPr>
              <w:t>认真负责，</w:t>
            </w:r>
            <w:r>
              <w:rPr>
                <w:rFonts w:hint="eastAsia" w:ascii="宋体" w:hAnsi="宋体" w:eastAsia="宋体" w:cs="宋体"/>
                <w:b w:val="0"/>
                <w:bCs w:val="0"/>
                <w:color w:val="auto"/>
                <w:kern w:val="0"/>
                <w:sz w:val="24"/>
                <w:szCs w:val="24"/>
                <w:highlight w:val="none"/>
                <w:lang w:val="en-US" w:eastAsia="zh-CN" w:bidi="ar"/>
              </w:rPr>
              <w:t>不</w:t>
            </w:r>
            <w:r>
              <w:rPr>
                <w:rFonts w:hint="eastAsia" w:ascii="宋体" w:hAnsi="宋体" w:eastAsia="宋体" w:cs="宋体"/>
                <w:b w:val="0"/>
                <w:bCs w:val="0"/>
                <w:color w:val="auto"/>
                <w:kern w:val="0"/>
                <w:sz w:val="24"/>
                <w:szCs w:val="24"/>
                <w:highlight w:val="none"/>
                <w:lang w:bidi="ar"/>
              </w:rPr>
              <w:t>干私活</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听从安排。</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C0586A">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0461A5E">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5D85232">
        <w:tblPrEx>
          <w:tblCellMar>
            <w:top w:w="0" w:type="dxa"/>
            <w:left w:w="108" w:type="dxa"/>
            <w:bottom w:w="0" w:type="dxa"/>
            <w:right w:w="108" w:type="dxa"/>
          </w:tblCellMar>
        </w:tblPrEx>
        <w:trPr>
          <w:trHeight w:val="600"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419603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4</w:t>
            </w:r>
          </w:p>
        </w:tc>
        <w:tc>
          <w:tcPr>
            <w:tcW w:w="519" w:type="dxa"/>
            <w:vMerge w:val="continue"/>
            <w:tcBorders>
              <w:left w:val="single" w:color="000000" w:sz="4" w:space="0"/>
              <w:right w:val="single" w:color="000000" w:sz="4" w:space="0"/>
            </w:tcBorders>
            <w:noWrap w:val="0"/>
            <w:vAlign w:val="center"/>
          </w:tcPr>
          <w:p w14:paraId="6AB3932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vMerge w:val="restart"/>
            <w:tcBorders>
              <w:top w:val="single" w:color="000000" w:sz="4" w:space="0"/>
              <w:left w:val="single" w:color="000000" w:sz="4" w:space="0"/>
              <w:right w:val="single" w:color="000000" w:sz="4" w:space="0"/>
            </w:tcBorders>
            <w:noWrap w:val="0"/>
            <w:vAlign w:val="center"/>
          </w:tcPr>
          <w:p w14:paraId="5430E82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工作纪律</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690A06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遵守医院规章制度</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认真履行岗位职责，严格遵守操作流程。随时满足病人和临床工作需要，无上访投诉现象。</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F704A3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0BC5D31">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373E2408">
        <w:tblPrEx>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D4EF43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519" w:type="dxa"/>
            <w:vMerge w:val="continue"/>
            <w:tcBorders>
              <w:left w:val="single" w:color="000000" w:sz="4" w:space="0"/>
              <w:right w:val="single" w:color="000000" w:sz="4" w:space="0"/>
            </w:tcBorders>
            <w:noWrap w:val="0"/>
            <w:vAlign w:val="center"/>
          </w:tcPr>
          <w:p w14:paraId="6A14935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19D871D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AA98A4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严格执行保护性医疗制度，不探听、不泄露与传递患者与工作人员的隐私。</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158D705">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EAEEE3D">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1EF4BBC">
        <w:tblPrEx>
          <w:tblCellMar>
            <w:top w:w="0" w:type="dxa"/>
            <w:left w:w="108" w:type="dxa"/>
            <w:bottom w:w="0" w:type="dxa"/>
            <w:right w:w="108" w:type="dxa"/>
          </w:tblCellMar>
        </w:tblPrEx>
        <w:trPr>
          <w:trHeight w:val="55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B816DA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w:t>
            </w:r>
          </w:p>
        </w:tc>
        <w:tc>
          <w:tcPr>
            <w:tcW w:w="519" w:type="dxa"/>
            <w:vMerge w:val="continue"/>
            <w:tcBorders>
              <w:left w:val="single" w:color="000000" w:sz="4" w:space="0"/>
              <w:right w:val="single" w:color="000000" w:sz="4" w:space="0"/>
            </w:tcBorders>
            <w:noWrap w:val="0"/>
            <w:vAlign w:val="center"/>
          </w:tcPr>
          <w:p w14:paraId="2EA7D72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7BB100B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07F4A0F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提前10分钟到岗，不迟到、不早退、不串岗、不脱岗。服从领导与安排，按时参加学习培训、会议和活动。</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E3934AF">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09B06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E90DE8E">
        <w:tblPrEx>
          <w:tblCellMar>
            <w:top w:w="0" w:type="dxa"/>
            <w:left w:w="108" w:type="dxa"/>
            <w:bottom w:w="0" w:type="dxa"/>
            <w:right w:w="108" w:type="dxa"/>
          </w:tblCellMar>
        </w:tblPrEx>
        <w:trPr>
          <w:trHeight w:val="43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E50F42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w:t>
            </w:r>
          </w:p>
        </w:tc>
        <w:tc>
          <w:tcPr>
            <w:tcW w:w="519" w:type="dxa"/>
            <w:vMerge w:val="continue"/>
            <w:tcBorders>
              <w:left w:val="single" w:color="000000" w:sz="4" w:space="0"/>
              <w:bottom w:val="single" w:color="000000" w:sz="4" w:space="0"/>
              <w:right w:val="single" w:color="000000" w:sz="4" w:space="0"/>
            </w:tcBorders>
            <w:noWrap w:val="0"/>
            <w:vAlign w:val="center"/>
          </w:tcPr>
          <w:p w14:paraId="12EF33B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0CF9BB4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FE1B13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不吃拿病人食物、钱财，不收取小费。不得在病区内抽烟和私藏布草，不得参与殡葬服务。</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47BD84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D516E4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E1277D7">
        <w:tblPrEx>
          <w:tblCellMar>
            <w:top w:w="0" w:type="dxa"/>
            <w:left w:w="108" w:type="dxa"/>
            <w:bottom w:w="0" w:type="dxa"/>
            <w:right w:w="108" w:type="dxa"/>
          </w:tblCellMar>
        </w:tblPrEx>
        <w:trPr>
          <w:trHeight w:val="529"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0472A2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8</w:t>
            </w:r>
          </w:p>
        </w:tc>
        <w:tc>
          <w:tcPr>
            <w:tcW w:w="519" w:type="dxa"/>
            <w:vMerge w:val="restart"/>
            <w:tcBorders>
              <w:top w:val="single" w:color="000000" w:sz="4" w:space="0"/>
              <w:left w:val="single" w:color="000000" w:sz="4" w:space="0"/>
              <w:right w:val="single" w:color="000000" w:sz="4" w:space="0"/>
            </w:tcBorders>
            <w:noWrap w:val="0"/>
            <w:vAlign w:val="center"/>
          </w:tcPr>
          <w:p w14:paraId="0DD1B75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工作质量</w:t>
            </w:r>
          </w:p>
        </w:tc>
        <w:tc>
          <w:tcPr>
            <w:tcW w:w="640" w:type="dxa"/>
            <w:vMerge w:val="restart"/>
            <w:tcBorders>
              <w:top w:val="single" w:color="000000" w:sz="4" w:space="0"/>
              <w:left w:val="single" w:color="000000" w:sz="4" w:space="0"/>
              <w:right w:val="single" w:color="000000" w:sz="4" w:space="0"/>
            </w:tcBorders>
            <w:noWrap w:val="0"/>
            <w:vAlign w:val="center"/>
          </w:tcPr>
          <w:p w14:paraId="3F9F275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生活护理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3ACFC9A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做好病人的晨晚间生活护理，保持三短七洁；</w:t>
            </w:r>
            <w:r>
              <w:rPr>
                <w:rFonts w:hint="eastAsia" w:ascii="宋体" w:hAnsi="宋体" w:eastAsia="宋体" w:cs="宋体"/>
                <w:b w:val="0"/>
                <w:bCs w:val="0"/>
                <w:color w:val="auto"/>
                <w:kern w:val="0"/>
                <w:sz w:val="24"/>
                <w:szCs w:val="24"/>
                <w:highlight w:val="none"/>
                <w:lang w:bidi="ar"/>
              </w:rPr>
              <w:t>无压疮、无烫伤、无坠床</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无走失。</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56D1D62">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03BA812">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705C18E">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7829FEB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9</w:t>
            </w:r>
          </w:p>
        </w:tc>
        <w:tc>
          <w:tcPr>
            <w:tcW w:w="519" w:type="dxa"/>
            <w:vMerge w:val="continue"/>
            <w:tcBorders>
              <w:left w:val="single" w:color="000000" w:sz="4" w:space="0"/>
              <w:right w:val="single" w:color="000000" w:sz="4" w:space="0"/>
            </w:tcBorders>
            <w:noWrap w:val="0"/>
            <w:vAlign w:val="center"/>
          </w:tcPr>
          <w:p w14:paraId="6BB76B2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4061A36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021BF41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协助患者进食及不能进食的患者喂食，协助患者起床活动和肢体的功能锻炼。</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98CD273">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7A2864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EB4B315">
        <w:tblPrEx>
          <w:tblCellMar>
            <w:top w:w="0" w:type="dxa"/>
            <w:left w:w="108" w:type="dxa"/>
            <w:bottom w:w="0" w:type="dxa"/>
            <w:right w:w="108" w:type="dxa"/>
          </w:tblCellMar>
        </w:tblPrEx>
        <w:trPr>
          <w:trHeight w:val="398"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FDD538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w:t>
            </w:r>
          </w:p>
        </w:tc>
        <w:tc>
          <w:tcPr>
            <w:tcW w:w="519" w:type="dxa"/>
            <w:vMerge w:val="continue"/>
            <w:tcBorders>
              <w:left w:val="single" w:color="000000" w:sz="4" w:space="0"/>
              <w:right w:val="single" w:color="000000" w:sz="4" w:space="0"/>
            </w:tcBorders>
            <w:noWrap w:val="0"/>
            <w:vAlign w:val="center"/>
          </w:tcPr>
          <w:p w14:paraId="240A78A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bottom w:val="single" w:color="000000" w:sz="4" w:space="0"/>
              <w:right w:val="single" w:color="000000" w:sz="4" w:space="0"/>
            </w:tcBorders>
            <w:noWrap w:val="0"/>
            <w:vAlign w:val="center"/>
          </w:tcPr>
          <w:p w14:paraId="754D878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5A4ABE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协助患者大小便，递送便器及整理个人卫生，保持床单元清洁。</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C906AF4">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418705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4AD6FAA3">
        <w:tblPrEx>
          <w:tblCellMar>
            <w:top w:w="0" w:type="dxa"/>
            <w:left w:w="108" w:type="dxa"/>
            <w:bottom w:w="0" w:type="dxa"/>
            <w:right w:w="108" w:type="dxa"/>
          </w:tblCellMar>
        </w:tblPrEx>
        <w:trPr>
          <w:trHeight w:val="78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2A0115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11</w:t>
            </w:r>
          </w:p>
        </w:tc>
        <w:tc>
          <w:tcPr>
            <w:tcW w:w="519" w:type="dxa"/>
            <w:vMerge w:val="continue"/>
            <w:tcBorders>
              <w:left w:val="single" w:color="000000" w:sz="4" w:space="0"/>
              <w:right w:val="single" w:color="000000" w:sz="4" w:space="0"/>
            </w:tcBorders>
            <w:noWrap w:val="0"/>
            <w:vAlign w:val="center"/>
          </w:tcPr>
          <w:p w14:paraId="7124F42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right w:val="single" w:color="000000" w:sz="4" w:space="0"/>
            </w:tcBorders>
            <w:noWrap w:val="0"/>
            <w:vAlign w:val="center"/>
          </w:tcPr>
          <w:p w14:paraId="59B562B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物品管理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B7BF57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患者物品摆放整齐、床铺平整、床下无杂物。</w:t>
            </w:r>
            <w:r>
              <w:rPr>
                <w:rFonts w:hint="eastAsia" w:ascii="宋体" w:hAnsi="宋体" w:eastAsia="宋体" w:cs="宋体"/>
                <w:b w:val="0"/>
                <w:bCs w:val="0"/>
                <w:color w:val="auto"/>
                <w:kern w:val="0"/>
                <w:sz w:val="24"/>
                <w:szCs w:val="24"/>
                <w:highlight w:val="none"/>
                <w:lang w:bidi="ar"/>
              </w:rPr>
              <w:t>护理员物品</w:t>
            </w:r>
            <w:r>
              <w:rPr>
                <w:rFonts w:hint="eastAsia" w:ascii="宋体" w:hAnsi="宋体" w:eastAsia="宋体" w:cs="宋体"/>
                <w:b w:val="0"/>
                <w:bCs w:val="0"/>
                <w:color w:val="auto"/>
                <w:kern w:val="0"/>
                <w:sz w:val="24"/>
                <w:szCs w:val="24"/>
                <w:highlight w:val="none"/>
                <w:lang w:val="en-US" w:eastAsia="zh-CN" w:bidi="ar"/>
              </w:rPr>
              <w:t>按规定存放</w:t>
            </w:r>
            <w:r>
              <w:rPr>
                <w:rFonts w:hint="eastAsia" w:ascii="宋体" w:hAnsi="宋体" w:eastAsia="宋体" w:cs="宋体"/>
                <w:b w:val="0"/>
                <w:bCs w:val="0"/>
                <w:color w:val="auto"/>
                <w:kern w:val="0"/>
                <w:sz w:val="24"/>
                <w:szCs w:val="24"/>
                <w:highlight w:val="none"/>
                <w:lang w:bidi="ar"/>
              </w:rPr>
              <w:t>指定区域内，</w:t>
            </w:r>
            <w:r>
              <w:rPr>
                <w:rFonts w:hint="eastAsia" w:ascii="宋体" w:hAnsi="宋体" w:eastAsia="宋体" w:cs="宋体"/>
                <w:b w:val="0"/>
                <w:bCs w:val="0"/>
                <w:color w:val="auto"/>
                <w:kern w:val="0"/>
                <w:sz w:val="24"/>
                <w:szCs w:val="24"/>
                <w:highlight w:val="none"/>
                <w:lang w:val="en-US" w:eastAsia="zh-CN" w:bidi="ar"/>
              </w:rPr>
              <w:t>不得</w:t>
            </w:r>
            <w:r>
              <w:rPr>
                <w:rFonts w:hint="eastAsia" w:ascii="宋体" w:hAnsi="宋体" w:eastAsia="宋体" w:cs="宋体"/>
                <w:b w:val="0"/>
                <w:bCs w:val="0"/>
                <w:color w:val="auto"/>
                <w:kern w:val="0"/>
                <w:sz w:val="24"/>
                <w:szCs w:val="24"/>
                <w:highlight w:val="none"/>
                <w:lang w:bidi="ar"/>
              </w:rPr>
              <w:t>与患者混放，影响病房整洁。</w:t>
            </w:r>
            <w:r>
              <w:rPr>
                <w:rFonts w:hint="eastAsia" w:ascii="宋体" w:hAnsi="宋体" w:eastAsia="宋体" w:cs="宋体"/>
                <w:b w:val="0"/>
                <w:bCs w:val="0"/>
                <w:color w:val="auto"/>
                <w:kern w:val="0"/>
                <w:sz w:val="24"/>
                <w:szCs w:val="24"/>
                <w:highlight w:val="none"/>
                <w:lang w:val="en-US" w:eastAsia="zh-CN" w:bidi="ar"/>
              </w:rPr>
              <w:t>不得使用大功率电器。不乱扔乱放臧被服。</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784B09">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F0EA20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608BE5B">
        <w:tblPrEx>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26B7C6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12</w:t>
            </w:r>
          </w:p>
        </w:tc>
        <w:tc>
          <w:tcPr>
            <w:tcW w:w="519" w:type="dxa"/>
            <w:vMerge w:val="continue"/>
            <w:tcBorders>
              <w:left w:val="single" w:color="000000" w:sz="4" w:space="0"/>
              <w:right w:val="single" w:color="000000" w:sz="4" w:space="0"/>
            </w:tcBorders>
            <w:noWrap w:val="0"/>
            <w:vAlign w:val="center"/>
          </w:tcPr>
          <w:p w14:paraId="1B73B28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2E565A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患者体位</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62470B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维持</w:t>
            </w:r>
            <w:r>
              <w:rPr>
                <w:rFonts w:hint="eastAsia" w:ascii="宋体" w:hAnsi="宋体" w:eastAsia="宋体" w:cs="宋体"/>
                <w:b w:val="0"/>
                <w:bCs w:val="0"/>
                <w:color w:val="auto"/>
                <w:kern w:val="0"/>
                <w:sz w:val="24"/>
                <w:szCs w:val="24"/>
                <w:highlight w:val="none"/>
                <w:lang w:bidi="ar"/>
              </w:rPr>
              <w:t>患者体位</w:t>
            </w:r>
            <w:r>
              <w:rPr>
                <w:rFonts w:hint="eastAsia" w:ascii="宋体" w:hAnsi="宋体" w:eastAsia="宋体" w:cs="宋体"/>
                <w:b w:val="0"/>
                <w:bCs w:val="0"/>
                <w:color w:val="auto"/>
                <w:kern w:val="0"/>
                <w:sz w:val="24"/>
                <w:szCs w:val="24"/>
                <w:highlight w:val="none"/>
                <w:lang w:val="en-US" w:eastAsia="zh-CN" w:bidi="ar"/>
              </w:rPr>
              <w:t>舒适或按要求</w:t>
            </w:r>
            <w:r>
              <w:rPr>
                <w:rFonts w:hint="eastAsia" w:ascii="宋体" w:hAnsi="宋体" w:eastAsia="宋体" w:cs="宋体"/>
                <w:b w:val="0"/>
                <w:bCs w:val="0"/>
                <w:color w:val="auto"/>
                <w:kern w:val="0"/>
                <w:sz w:val="24"/>
                <w:szCs w:val="24"/>
                <w:highlight w:val="none"/>
                <w:lang w:bidi="ar"/>
              </w:rPr>
              <w:t>处于良肢位，2小时翻身。</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F662CB3">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D3781D0">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5230217D">
        <w:tblPrEx>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4452B8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13</w:t>
            </w:r>
          </w:p>
        </w:tc>
        <w:tc>
          <w:tcPr>
            <w:tcW w:w="519" w:type="dxa"/>
            <w:vMerge w:val="continue"/>
            <w:tcBorders>
              <w:left w:val="single" w:color="000000" w:sz="4" w:space="0"/>
              <w:right w:val="single" w:color="000000" w:sz="4" w:space="0"/>
            </w:tcBorders>
            <w:noWrap w:val="0"/>
            <w:vAlign w:val="center"/>
          </w:tcPr>
          <w:p w14:paraId="3F91BBA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045111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导管管理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EEE51B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保持</w:t>
            </w:r>
            <w:r>
              <w:rPr>
                <w:rFonts w:hint="eastAsia" w:ascii="宋体" w:hAnsi="宋体" w:eastAsia="宋体" w:cs="宋体"/>
                <w:b w:val="0"/>
                <w:bCs w:val="0"/>
                <w:color w:val="auto"/>
                <w:kern w:val="0"/>
                <w:sz w:val="24"/>
                <w:szCs w:val="24"/>
                <w:highlight w:val="none"/>
                <w:lang w:bidi="ar"/>
              </w:rPr>
              <w:t>导管</w:t>
            </w:r>
            <w:r>
              <w:rPr>
                <w:rFonts w:hint="eastAsia" w:ascii="宋体" w:hAnsi="宋体" w:eastAsia="宋体" w:cs="宋体"/>
                <w:b w:val="0"/>
                <w:bCs w:val="0"/>
                <w:color w:val="auto"/>
                <w:kern w:val="0"/>
                <w:sz w:val="24"/>
                <w:szCs w:val="24"/>
                <w:highlight w:val="none"/>
                <w:lang w:val="en-US" w:eastAsia="zh-CN" w:bidi="ar"/>
              </w:rPr>
              <w:t>通畅，不</w:t>
            </w:r>
            <w:r>
              <w:rPr>
                <w:rFonts w:hint="eastAsia" w:ascii="宋体" w:hAnsi="宋体" w:eastAsia="宋体" w:cs="宋体"/>
                <w:b w:val="0"/>
                <w:bCs w:val="0"/>
                <w:color w:val="auto"/>
                <w:kern w:val="0"/>
                <w:sz w:val="24"/>
                <w:szCs w:val="24"/>
                <w:highlight w:val="none"/>
                <w:lang w:bidi="ar"/>
              </w:rPr>
              <w:t>扭曲受压、</w:t>
            </w:r>
            <w:r>
              <w:rPr>
                <w:rFonts w:hint="eastAsia" w:ascii="宋体" w:hAnsi="宋体" w:eastAsia="宋体" w:cs="宋体"/>
                <w:b w:val="0"/>
                <w:bCs w:val="0"/>
                <w:color w:val="auto"/>
                <w:kern w:val="0"/>
                <w:sz w:val="24"/>
                <w:szCs w:val="24"/>
                <w:highlight w:val="none"/>
                <w:lang w:val="en-US" w:eastAsia="zh-CN" w:bidi="ar"/>
              </w:rPr>
              <w:t>不</w:t>
            </w:r>
            <w:r>
              <w:rPr>
                <w:rFonts w:hint="eastAsia" w:ascii="宋体" w:hAnsi="宋体" w:eastAsia="宋体" w:cs="宋体"/>
                <w:b w:val="0"/>
                <w:bCs w:val="0"/>
                <w:color w:val="auto"/>
                <w:kern w:val="0"/>
                <w:sz w:val="24"/>
                <w:szCs w:val="24"/>
                <w:highlight w:val="none"/>
                <w:lang w:bidi="ar"/>
              </w:rPr>
              <w:t>脱落；输液时异常及时汇报（疼痛、液体不畅、鼓针、擅调滴速）</w:t>
            </w:r>
            <w:r>
              <w:rPr>
                <w:rFonts w:hint="eastAsia" w:ascii="宋体" w:hAnsi="宋体" w:eastAsia="宋体" w:cs="宋体"/>
                <w:b w:val="0"/>
                <w:bCs w:val="0"/>
                <w:color w:val="auto"/>
                <w:kern w:val="0"/>
                <w:sz w:val="24"/>
                <w:szCs w:val="24"/>
                <w:highlight w:val="none"/>
                <w:lang w:eastAsia="zh-CN" w:bidi="ar"/>
              </w:rPr>
              <w:t>。</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798CFD1E">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884097A">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56AED957">
        <w:tblPrEx>
          <w:tblCellMar>
            <w:top w:w="0" w:type="dxa"/>
            <w:left w:w="108" w:type="dxa"/>
            <w:bottom w:w="0" w:type="dxa"/>
            <w:right w:w="108" w:type="dxa"/>
          </w:tblCellMar>
        </w:tblPrEx>
        <w:trPr>
          <w:trHeight w:val="454"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2F360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14</w:t>
            </w:r>
          </w:p>
        </w:tc>
        <w:tc>
          <w:tcPr>
            <w:tcW w:w="519" w:type="dxa"/>
            <w:vMerge w:val="continue"/>
            <w:tcBorders>
              <w:left w:val="single" w:color="000000" w:sz="4" w:space="0"/>
              <w:bottom w:val="single" w:color="000000" w:sz="4" w:space="0"/>
              <w:right w:val="single" w:color="000000" w:sz="4" w:space="0"/>
            </w:tcBorders>
            <w:noWrap w:val="0"/>
            <w:vAlign w:val="center"/>
          </w:tcPr>
          <w:p w14:paraId="6D87FED5">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380BB4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观察病情</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DFE7F0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细心观察病情，及时将病人有关情况报告医务人员。</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7622208">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3A0D865">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BDCC605">
        <w:tblPrEx>
          <w:tblCellMar>
            <w:top w:w="0" w:type="dxa"/>
            <w:left w:w="108" w:type="dxa"/>
            <w:bottom w:w="0" w:type="dxa"/>
            <w:right w:w="108" w:type="dxa"/>
          </w:tblCellMar>
        </w:tblPrEx>
        <w:trPr>
          <w:trHeight w:val="55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AEEA8B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15</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9C33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eastAsia="zh-CN" w:bidi="ar"/>
              </w:rPr>
              <w:t>公司</w:t>
            </w:r>
            <w:r>
              <w:rPr>
                <w:rFonts w:hint="eastAsia" w:ascii="宋体" w:hAnsi="宋体" w:eastAsia="宋体" w:cs="宋体"/>
                <w:b w:val="0"/>
                <w:bCs w:val="0"/>
                <w:color w:val="auto"/>
                <w:kern w:val="0"/>
                <w:sz w:val="24"/>
                <w:szCs w:val="24"/>
                <w:highlight w:val="none"/>
                <w:lang w:bidi="ar"/>
              </w:rPr>
              <w:t>管理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E02500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主管在岗</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DB4A6C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驻院主管</w:t>
            </w:r>
            <w:r>
              <w:rPr>
                <w:rFonts w:hint="eastAsia" w:ascii="宋体" w:hAnsi="宋体" w:eastAsia="宋体" w:cs="宋体"/>
                <w:b w:val="0"/>
                <w:bCs w:val="0"/>
                <w:color w:val="auto"/>
                <w:kern w:val="0"/>
                <w:sz w:val="24"/>
                <w:szCs w:val="24"/>
                <w:highlight w:val="none"/>
                <w:lang w:val="en-US" w:eastAsia="zh-CN" w:bidi="ar"/>
              </w:rPr>
              <w:t>8</w:t>
            </w:r>
            <w:r>
              <w:rPr>
                <w:rFonts w:hint="eastAsia" w:ascii="宋体" w:hAnsi="宋体" w:eastAsia="宋体" w:cs="宋体"/>
                <w:b w:val="0"/>
                <w:bCs w:val="0"/>
                <w:color w:val="auto"/>
                <w:kern w:val="0"/>
                <w:sz w:val="24"/>
                <w:szCs w:val="24"/>
                <w:highlight w:val="none"/>
                <w:lang w:bidi="ar"/>
              </w:rPr>
              <w:t>小时在岗，</w:t>
            </w:r>
            <w:r>
              <w:rPr>
                <w:rFonts w:hint="eastAsia" w:ascii="宋体" w:hAnsi="宋体" w:eastAsia="宋体" w:cs="宋体"/>
                <w:b w:val="0"/>
                <w:bCs w:val="0"/>
                <w:color w:val="auto"/>
                <w:kern w:val="0"/>
                <w:sz w:val="24"/>
                <w:szCs w:val="24"/>
                <w:highlight w:val="none"/>
                <w:lang w:val="en-US" w:eastAsia="zh-CN" w:bidi="ar"/>
              </w:rPr>
              <w:t>24小时值班制，</w:t>
            </w:r>
            <w:r>
              <w:rPr>
                <w:rFonts w:hint="eastAsia" w:ascii="宋体" w:hAnsi="宋体" w:eastAsia="宋体" w:cs="宋体"/>
                <w:b w:val="0"/>
                <w:bCs w:val="0"/>
                <w:color w:val="auto"/>
                <w:kern w:val="0"/>
                <w:sz w:val="24"/>
                <w:szCs w:val="24"/>
                <w:highlight w:val="none"/>
                <w:lang w:bidi="ar"/>
              </w:rPr>
              <w:t>及时处理</w:t>
            </w:r>
            <w:r>
              <w:rPr>
                <w:rFonts w:hint="eastAsia" w:ascii="宋体" w:hAnsi="宋体" w:eastAsia="宋体" w:cs="宋体"/>
                <w:b w:val="0"/>
                <w:bCs w:val="0"/>
                <w:color w:val="auto"/>
                <w:kern w:val="0"/>
                <w:sz w:val="24"/>
                <w:szCs w:val="24"/>
                <w:highlight w:val="none"/>
                <w:lang w:val="en-US" w:eastAsia="zh-CN" w:bidi="ar"/>
              </w:rPr>
              <w:t>和</w:t>
            </w:r>
            <w:r>
              <w:rPr>
                <w:rFonts w:hint="eastAsia" w:ascii="宋体" w:hAnsi="宋体" w:eastAsia="宋体" w:cs="宋体"/>
                <w:b w:val="0"/>
                <w:bCs w:val="0"/>
                <w:color w:val="auto"/>
                <w:kern w:val="0"/>
                <w:sz w:val="24"/>
                <w:szCs w:val="24"/>
                <w:highlight w:val="none"/>
                <w:lang w:bidi="ar"/>
              </w:rPr>
              <w:t>安排各种护理员</w:t>
            </w:r>
            <w:r>
              <w:rPr>
                <w:rFonts w:hint="eastAsia" w:ascii="宋体" w:hAnsi="宋体" w:eastAsia="宋体" w:cs="宋体"/>
                <w:b w:val="0"/>
                <w:bCs w:val="0"/>
                <w:color w:val="auto"/>
                <w:kern w:val="0"/>
                <w:sz w:val="24"/>
                <w:szCs w:val="24"/>
                <w:highlight w:val="none"/>
                <w:lang w:val="en-US" w:eastAsia="zh-CN" w:bidi="ar"/>
              </w:rPr>
              <w:t>相关</w:t>
            </w:r>
            <w:r>
              <w:rPr>
                <w:rFonts w:hint="eastAsia" w:ascii="宋体" w:hAnsi="宋体" w:eastAsia="宋体" w:cs="宋体"/>
                <w:b w:val="0"/>
                <w:bCs w:val="0"/>
                <w:color w:val="auto"/>
                <w:kern w:val="0"/>
                <w:sz w:val="24"/>
                <w:szCs w:val="24"/>
                <w:highlight w:val="none"/>
                <w:lang w:bidi="ar"/>
              </w:rPr>
              <w:t>突发事件等。</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A0571CD">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00CCCDF">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D36B276">
        <w:tblPrEx>
          <w:tblCellMar>
            <w:top w:w="0" w:type="dxa"/>
            <w:left w:w="108" w:type="dxa"/>
            <w:bottom w:w="0" w:type="dxa"/>
            <w:right w:w="108" w:type="dxa"/>
          </w:tblCellMar>
        </w:tblPrEx>
        <w:trPr>
          <w:trHeight w:val="386"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BCC9F9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16</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517CE">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55FFB1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协调沟通</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43FA727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能及时与临床科室沟通护理员问题，及时整改。</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8996C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B930D7B">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8A61C77">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252F62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17</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1E0A1">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2D85BA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收集意见</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F49CF5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公司定期进行患者及临床科室服务及满意度调查，了解服务质量。</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8FC1A9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76145F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289C928">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5820A7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18</w:t>
            </w:r>
          </w:p>
        </w:tc>
        <w:tc>
          <w:tcPr>
            <w:tcW w:w="1159" w:type="dxa"/>
            <w:gridSpan w:val="2"/>
            <w:tcBorders>
              <w:top w:val="single" w:color="000000" w:sz="4" w:space="0"/>
              <w:left w:val="single" w:color="000000" w:sz="4" w:space="0"/>
              <w:bottom w:val="single" w:color="000000" w:sz="4" w:space="0"/>
              <w:right w:val="single" w:color="000000" w:sz="4" w:space="0"/>
            </w:tcBorders>
            <w:noWrap w:val="0"/>
            <w:vAlign w:val="center"/>
          </w:tcPr>
          <w:p w14:paraId="3022EF5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患方</w:t>
            </w:r>
            <w:r>
              <w:rPr>
                <w:rFonts w:hint="eastAsia" w:ascii="宋体" w:hAnsi="宋体" w:eastAsia="宋体" w:cs="宋体"/>
                <w:b w:val="0"/>
                <w:bCs w:val="0"/>
                <w:color w:val="auto"/>
                <w:kern w:val="0"/>
                <w:sz w:val="24"/>
                <w:szCs w:val="24"/>
                <w:highlight w:val="none"/>
                <w:lang w:val="en-US" w:eastAsia="zh-CN" w:bidi="ar"/>
              </w:rPr>
              <w:t>及科室</w:t>
            </w:r>
            <w:r>
              <w:rPr>
                <w:rFonts w:hint="eastAsia" w:ascii="宋体" w:hAnsi="宋体" w:eastAsia="宋体" w:cs="宋体"/>
                <w:b w:val="0"/>
                <w:bCs w:val="0"/>
                <w:color w:val="auto"/>
                <w:kern w:val="0"/>
                <w:sz w:val="24"/>
                <w:szCs w:val="24"/>
                <w:highlight w:val="none"/>
                <w:lang w:bidi="ar"/>
              </w:rPr>
              <w:t>投诉</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7EE050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有效投诉一次扣10分。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3ECF95">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70B1662">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bl>
    <w:p w14:paraId="49DBACAF">
      <w:pPr>
        <w:pStyle w:val="10"/>
        <w:rPr>
          <w:rFonts w:hint="eastAsia" w:eastAsia="宋体"/>
          <w:highlight w:val="none"/>
          <w:lang w:val="en-US" w:eastAsia="zh-CN"/>
        </w:rPr>
      </w:pPr>
    </w:p>
    <w:p w14:paraId="403DB5E1"/>
    <w:p w14:paraId="3246EDED"/>
    <w:p w14:paraId="407A8F71">
      <w:pPr>
        <w:pStyle w:val="2"/>
      </w:pPr>
    </w:p>
    <w:p w14:paraId="7D1B7C53"/>
    <w:p w14:paraId="3F9DE007">
      <w:pPr>
        <w:pStyle w:val="2"/>
      </w:pPr>
    </w:p>
    <w:p w14:paraId="0E7D2B87"/>
    <w:p w14:paraId="4D3C0977">
      <w:pPr>
        <w:pStyle w:val="2"/>
      </w:pPr>
    </w:p>
    <w:p w14:paraId="6DFC15F8"/>
    <w:p w14:paraId="4F0A51F5">
      <w:pPr>
        <w:pStyle w:val="2"/>
      </w:pPr>
    </w:p>
    <w:p w14:paraId="020186C7"/>
    <w:p w14:paraId="0C004748">
      <w:pPr>
        <w:pStyle w:val="2"/>
      </w:pPr>
    </w:p>
    <w:p w14:paraId="5E7B12F0"/>
    <w:p w14:paraId="3A232CBC">
      <w:pPr>
        <w:pStyle w:val="2"/>
      </w:pPr>
    </w:p>
    <w:p w14:paraId="543EB6DF">
      <w:pPr>
        <w:ind w:firstLine="3082" w:firstLineChars="700"/>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lang w:val="en-US" w:eastAsia="zh-CN"/>
        </w:rPr>
        <w:t>询比</w:t>
      </w:r>
      <w:r>
        <w:rPr>
          <w:rFonts w:hint="eastAsia" w:ascii="微软雅黑" w:hAnsi="微软雅黑" w:eastAsia="微软雅黑" w:cs="微软雅黑"/>
          <w:b/>
          <w:bCs/>
          <w:sz w:val="44"/>
          <w:szCs w:val="44"/>
        </w:rPr>
        <w:t>文件发售登记表</w:t>
      </w:r>
    </w:p>
    <w:p w14:paraId="5A6BF528">
      <w:pPr>
        <w:jc w:val="left"/>
        <w:rPr>
          <w:rFonts w:hint="eastAsia" w:ascii="微软雅黑" w:hAnsi="微软雅黑" w:eastAsia="微软雅黑" w:cs="微软雅黑"/>
          <w:b/>
          <w:bCs/>
          <w:spacing w:val="40"/>
        </w:rPr>
      </w:pPr>
    </w:p>
    <w:tbl>
      <w:tblPr>
        <w:tblStyle w:val="20"/>
        <w:tblW w:w="91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185"/>
        <w:gridCol w:w="1511"/>
        <w:gridCol w:w="3449"/>
      </w:tblGrid>
      <w:tr w14:paraId="6AFCF3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54" w:type="dxa"/>
            <w:noWrap w:val="0"/>
            <w:vAlign w:val="center"/>
          </w:tcPr>
          <w:p w14:paraId="1BD72EB0">
            <w:pPr>
              <w:jc w:val="center"/>
              <w:rPr>
                <w:rFonts w:hint="eastAsia" w:ascii="微软雅黑" w:hAnsi="微软雅黑" w:eastAsia="微软雅黑" w:cs="微软雅黑"/>
                <w:szCs w:val="28"/>
              </w:rPr>
            </w:pPr>
            <w:r>
              <w:rPr>
                <w:rFonts w:hint="eastAsia" w:ascii="微软雅黑" w:hAnsi="微软雅黑" w:eastAsia="微软雅黑" w:cs="微软雅黑"/>
                <w:szCs w:val="28"/>
              </w:rPr>
              <w:t>项目编号</w:t>
            </w:r>
          </w:p>
        </w:tc>
        <w:tc>
          <w:tcPr>
            <w:tcW w:w="7145" w:type="dxa"/>
            <w:gridSpan w:val="3"/>
            <w:noWrap w:val="0"/>
            <w:vAlign w:val="center"/>
          </w:tcPr>
          <w:p w14:paraId="5D4A46BB">
            <w:pPr>
              <w:jc w:val="center"/>
              <w:rPr>
                <w:rFonts w:hint="default" w:ascii="微软雅黑" w:hAnsi="微软雅黑" w:eastAsia="微软雅黑" w:cs="微软雅黑"/>
                <w:szCs w:val="28"/>
                <w:lang w:val="en-US" w:eastAsia="zh-CN"/>
              </w:rPr>
            </w:pPr>
            <w:r>
              <w:rPr>
                <w:rFonts w:hint="eastAsia" w:ascii="微软雅黑" w:hAnsi="微软雅黑" w:eastAsia="微软雅黑" w:cs="微软雅黑"/>
                <w:color w:val="C00000"/>
                <w:szCs w:val="28"/>
                <w:lang w:val="en-US" w:eastAsia="zh-CN"/>
              </w:rPr>
              <w:t>XXXXX</w:t>
            </w:r>
          </w:p>
        </w:tc>
      </w:tr>
      <w:tr w14:paraId="0B453C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54" w:type="dxa"/>
            <w:noWrap w:val="0"/>
            <w:vAlign w:val="center"/>
          </w:tcPr>
          <w:p w14:paraId="7D6F9302">
            <w:pPr>
              <w:jc w:val="center"/>
              <w:rPr>
                <w:rFonts w:hint="eastAsia" w:ascii="微软雅黑" w:hAnsi="微软雅黑" w:eastAsia="微软雅黑" w:cs="微软雅黑"/>
                <w:szCs w:val="28"/>
              </w:rPr>
            </w:pPr>
            <w:r>
              <w:rPr>
                <w:rFonts w:hint="eastAsia" w:ascii="微软雅黑" w:hAnsi="微软雅黑" w:eastAsia="微软雅黑" w:cs="微软雅黑"/>
                <w:szCs w:val="28"/>
              </w:rPr>
              <w:t>项目名称</w:t>
            </w:r>
          </w:p>
        </w:tc>
        <w:tc>
          <w:tcPr>
            <w:tcW w:w="7145" w:type="dxa"/>
            <w:gridSpan w:val="3"/>
            <w:noWrap w:val="0"/>
            <w:vAlign w:val="center"/>
          </w:tcPr>
          <w:p w14:paraId="7352C138">
            <w:pPr>
              <w:jc w:val="center"/>
              <w:rPr>
                <w:rFonts w:hint="eastAsia" w:ascii="微软雅黑" w:hAnsi="微软雅黑" w:eastAsia="微软雅黑" w:cs="微软雅黑"/>
                <w:szCs w:val="28"/>
                <w:lang w:eastAsia="zh-CN"/>
              </w:rPr>
            </w:pPr>
            <w:r>
              <w:rPr>
                <w:rFonts w:hint="eastAsia" w:ascii="微软雅黑" w:hAnsi="微软雅黑" w:eastAsia="微软雅黑" w:cs="微软雅黑"/>
                <w:szCs w:val="28"/>
                <w:lang w:eastAsia="zh-CN"/>
              </w:rPr>
              <w:t>奉节县人民医院医疗护理员服务项目</w:t>
            </w:r>
          </w:p>
        </w:tc>
      </w:tr>
      <w:tr w14:paraId="7BDC8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054" w:type="dxa"/>
            <w:noWrap w:val="0"/>
            <w:vAlign w:val="center"/>
          </w:tcPr>
          <w:p w14:paraId="51C9788A">
            <w:pPr>
              <w:jc w:val="center"/>
              <w:rPr>
                <w:rFonts w:hint="eastAsia" w:ascii="微软雅黑" w:hAnsi="微软雅黑" w:eastAsia="微软雅黑" w:cs="微软雅黑"/>
                <w:szCs w:val="28"/>
              </w:rPr>
            </w:pPr>
            <w:r>
              <w:rPr>
                <w:rFonts w:hint="eastAsia" w:ascii="微软雅黑" w:hAnsi="微软雅黑" w:eastAsia="微软雅黑" w:cs="微软雅黑"/>
                <w:szCs w:val="28"/>
                <w:lang w:val="en-US" w:eastAsia="zh-CN"/>
              </w:rPr>
              <w:t>供应商</w:t>
            </w:r>
            <w:r>
              <w:rPr>
                <w:rFonts w:hint="eastAsia" w:ascii="微软雅黑" w:hAnsi="微软雅黑" w:eastAsia="微软雅黑" w:cs="微软雅黑"/>
                <w:szCs w:val="28"/>
              </w:rPr>
              <w:t>名称</w:t>
            </w:r>
          </w:p>
        </w:tc>
        <w:tc>
          <w:tcPr>
            <w:tcW w:w="7145" w:type="dxa"/>
            <w:gridSpan w:val="3"/>
            <w:noWrap w:val="0"/>
            <w:vAlign w:val="bottom"/>
          </w:tcPr>
          <w:p w14:paraId="5BC982EC">
            <w:pPr>
              <w:jc w:val="right"/>
              <w:rPr>
                <w:rFonts w:hint="eastAsia" w:ascii="微软雅黑" w:hAnsi="微软雅黑" w:eastAsia="微软雅黑" w:cs="微软雅黑"/>
                <w:szCs w:val="28"/>
              </w:rPr>
            </w:pPr>
          </w:p>
          <w:p w14:paraId="5269FF68">
            <w:pPr>
              <w:jc w:val="right"/>
              <w:rPr>
                <w:rFonts w:hint="eastAsia" w:ascii="微软雅黑" w:hAnsi="微软雅黑" w:eastAsia="微软雅黑" w:cs="微软雅黑"/>
                <w:szCs w:val="28"/>
              </w:rPr>
            </w:pPr>
          </w:p>
          <w:p w14:paraId="076185B0">
            <w:pPr>
              <w:rPr>
                <w:rFonts w:hint="eastAsia" w:ascii="微软雅黑" w:hAnsi="微软雅黑" w:eastAsia="微软雅黑" w:cs="微软雅黑"/>
                <w:szCs w:val="28"/>
              </w:rPr>
            </w:pPr>
          </w:p>
          <w:p w14:paraId="527FAF16">
            <w:pPr>
              <w:jc w:val="right"/>
              <w:rPr>
                <w:rFonts w:hint="eastAsia" w:ascii="微软雅黑" w:hAnsi="微软雅黑" w:eastAsia="微软雅黑" w:cs="微软雅黑"/>
                <w:szCs w:val="28"/>
              </w:rPr>
            </w:pPr>
            <w:r>
              <w:rPr>
                <w:rFonts w:hint="eastAsia" w:ascii="微软雅黑" w:hAnsi="微软雅黑" w:eastAsia="微软雅黑" w:cs="微软雅黑"/>
                <w:szCs w:val="28"/>
              </w:rPr>
              <w:t>（</w:t>
            </w:r>
            <w:r>
              <w:rPr>
                <w:rFonts w:hint="eastAsia" w:ascii="微软雅黑" w:hAnsi="微软雅黑" w:eastAsia="微软雅黑" w:cs="微软雅黑"/>
                <w:szCs w:val="28"/>
                <w:lang w:val="en-US" w:eastAsia="zh-CN"/>
              </w:rPr>
              <w:t>供应商</w:t>
            </w:r>
            <w:r>
              <w:rPr>
                <w:rFonts w:hint="eastAsia" w:ascii="微软雅黑" w:hAnsi="微软雅黑" w:eastAsia="微软雅黑" w:cs="微软雅黑"/>
                <w:szCs w:val="28"/>
              </w:rPr>
              <w:t>公章）</w:t>
            </w:r>
          </w:p>
        </w:tc>
      </w:tr>
      <w:tr w14:paraId="3850D0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noWrap w:val="0"/>
            <w:vAlign w:val="center"/>
          </w:tcPr>
          <w:p w14:paraId="0B7452C6">
            <w:pPr>
              <w:jc w:val="center"/>
              <w:rPr>
                <w:rFonts w:hint="eastAsia" w:ascii="微软雅黑" w:hAnsi="微软雅黑" w:eastAsia="微软雅黑" w:cs="微软雅黑"/>
                <w:szCs w:val="28"/>
              </w:rPr>
            </w:pPr>
            <w:r>
              <w:rPr>
                <w:rFonts w:hint="eastAsia" w:ascii="微软雅黑" w:hAnsi="微软雅黑" w:eastAsia="微软雅黑" w:cs="微软雅黑"/>
                <w:szCs w:val="28"/>
              </w:rPr>
              <w:t>联系人</w:t>
            </w:r>
          </w:p>
        </w:tc>
        <w:tc>
          <w:tcPr>
            <w:tcW w:w="2185" w:type="dxa"/>
            <w:noWrap w:val="0"/>
            <w:vAlign w:val="center"/>
          </w:tcPr>
          <w:p w14:paraId="65FF7DB1">
            <w:pPr>
              <w:jc w:val="left"/>
              <w:rPr>
                <w:rFonts w:hint="eastAsia" w:ascii="微软雅黑" w:hAnsi="微软雅黑" w:eastAsia="微软雅黑" w:cs="微软雅黑"/>
                <w:szCs w:val="28"/>
              </w:rPr>
            </w:pPr>
          </w:p>
        </w:tc>
        <w:tc>
          <w:tcPr>
            <w:tcW w:w="1511" w:type="dxa"/>
            <w:noWrap w:val="0"/>
            <w:vAlign w:val="center"/>
          </w:tcPr>
          <w:p w14:paraId="70694206">
            <w:pPr>
              <w:jc w:val="left"/>
              <w:rPr>
                <w:rFonts w:hint="eastAsia" w:ascii="微软雅黑" w:hAnsi="微软雅黑" w:eastAsia="微软雅黑" w:cs="微软雅黑"/>
                <w:szCs w:val="28"/>
              </w:rPr>
            </w:pPr>
            <w:r>
              <w:rPr>
                <w:rFonts w:hint="eastAsia" w:ascii="微软雅黑" w:hAnsi="微软雅黑" w:eastAsia="微软雅黑" w:cs="微软雅黑"/>
                <w:szCs w:val="28"/>
              </w:rPr>
              <w:t>手机</w:t>
            </w:r>
          </w:p>
        </w:tc>
        <w:tc>
          <w:tcPr>
            <w:tcW w:w="3449" w:type="dxa"/>
            <w:noWrap w:val="0"/>
            <w:vAlign w:val="center"/>
          </w:tcPr>
          <w:p w14:paraId="6B47178F">
            <w:pPr>
              <w:jc w:val="left"/>
              <w:rPr>
                <w:rFonts w:hint="eastAsia" w:ascii="微软雅黑" w:hAnsi="微软雅黑" w:eastAsia="微软雅黑" w:cs="微软雅黑"/>
                <w:szCs w:val="28"/>
              </w:rPr>
            </w:pPr>
          </w:p>
        </w:tc>
      </w:tr>
      <w:tr w14:paraId="4492DF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noWrap w:val="0"/>
            <w:vAlign w:val="center"/>
          </w:tcPr>
          <w:p w14:paraId="1F934917">
            <w:pPr>
              <w:jc w:val="center"/>
              <w:rPr>
                <w:rFonts w:hint="eastAsia" w:ascii="微软雅黑" w:hAnsi="微软雅黑" w:eastAsia="微软雅黑" w:cs="微软雅黑"/>
                <w:szCs w:val="28"/>
              </w:rPr>
            </w:pPr>
            <w:r>
              <w:rPr>
                <w:rFonts w:hint="eastAsia" w:ascii="微软雅黑" w:hAnsi="微软雅黑" w:eastAsia="微软雅黑" w:cs="微软雅黑"/>
                <w:szCs w:val="28"/>
              </w:rPr>
              <w:t>办公电话</w:t>
            </w:r>
          </w:p>
        </w:tc>
        <w:tc>
          <w:tcPr>
            <w:tcW w:w="2185" w:type="dxa"/>
            <w:noWrap w:val="0"/>
            <w:vAlign w:val="center"/>
          </w:tcPr>
          <w:p w14:paraId="35003FCC">
            <w:pPr>
              <w:jc w:val="left"/>
              <w:rPr>
                <w:rFonts w:hint="eastAsia" w:ascii="微软雅黑" w:hAnsi="微软雅黑" w:eastAsia="微软雅黑" w:cs="微软雅黑"/>
                <w:szCs w:val="28"/>
              </w:rPr>
            </w:pPr>
          </w:p>
        </w:tc>
        <w:tc>
          <w:tcPr>
            <w:tcW w:w="1511" w:type="dxa"/>
            <w:noWrap w:val="0"/>
            <w:vAlign w:val="center"/>
          </w:tcPr>
          <w:p w14:paraId="0300168B">
            <w:pPr>
              <w:jc w:val="left"/>
              <w:rPr>
                <w:rFonts w:hint="eastAsia" w:ascii="微软雅黑" w:hAnsi="微软雅黑" w:eastAsia="微软雅黑" w:cs="微软雅黑"/>
                <w:szCs w:val="28"/>
              </w:rPr>
            </w:pPr>
            <w:r>
              <w:rPr>
                <w:rFonts w:hint="eastAsia" w:ascii="微软雅黑" w:hAnsi="微软雅黑" w:eastAsia="微软雅黑" w:cs="微软雅黑"/>
                <w:szCs w:val="28"/>
              </w:rPr>
              <w:t>传真</w:t>
            </w:r>
          </w:p>
        </w:tc>
        <w:tc>
          <w:tcPr>
            <w:tcW w:w="3449" w:type="dxa"/>
            <w:noWrap w:val="0"/>
            <w:vAlign w:val="center"/>
          </w:tcPr>
          <w:p w14:paraId="7839D2E2">
            <w:pPr>
              <w:jc w:val="left"/>
              <w:rPr>
                <w:rFonts w:hint="eastAsia" w:ascii="微软雅黑" w:hAnsi="微软雅黑" w:eastAsia="微软雅黑" w:cs="微软雅黑"/>
                <w:szCs w:val="28"/>
              </w:rPr>
            </w:pPr>
          </w:p>
        </w:tc>
      </w:tr>
      <w:tr w14:paraId="2EF431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noWrap w:val="0"/>
            <w:vAlign w:val="center"/>
          </w:tcPr>
          <w:p w14:paraId="4ED92364">
            <w:pPr>
              <w:jc w:val="center"/>
              <w:rPr>
                <w:rFonts w:hint="eastAsia" w:ascii="微软雅黑" w:hAnsi="微软雅黑" w:eastAsia="微软雅黑" w:cs="微软雅黑"/>
                <w:szCs w:val="28"/>
              </w:rPr>
            </w:pPr>
            <w:r>
              <w:rPr>
                <w:rFonts w:hint="eastAsia" w:ascii="微软雅黑" w:hAnsi="微软雅黑" w:eastAsia="微软雅黑" w:cs="微软雅黑"/>
                <w:szCs w:val="28"/>
              </w:rPr>
              <w:t>E-mail</w:t>
            </w:r>
          </w:p>
        </w:tc>
        <w:tc>
          <w:tcPr>
            <w:tcW w:w="7145" w:type="dxa"/>
            <w:gridSpan w:val="3"/>
            <w:noWrap w:val="0"/>
            <w:vAlign w:val="center"/>
          </w:tcPr>
          <w:p w14:paraId="59B7F04D">
            <w:pPr>
              <w:jc w:val="left"/>
              <w:rPr>
                <w:rFonts w:hint="eastAsia" w:ascii="微软雅黑" w:hAnsi="微软雅黑" w:eastAsia="微软雅黑" w:cs="微软雅黑"/>
                <w:szCs w:val="28"/>
              </w:rPr>
            </w:pPr>
          </w:p>
        </w:tc>
      </w:tr>
      <w:tr w14:paraId="654C6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054" w:type="dxa"/>
            <w:noWrap w:val="0"/>
            <w:vAlign w:val="center"/>
          </w:tcPr>
          <w:p w14:paraId="362C1748">
            <w:pPr>
              <w:jc w:val="center"/>
              <w:rPr>
                <w:rFonts w:hint="eastAsia" w:ascii="微软雅黑" w:hAnsi="微软雅黑" w:eastAsia="微软雅黑" w:cs="微软雅黑"/>
                <w:szCs w:val="28"/>
              </w:rPr>
            </w:pPr>
            <w:r>
              <w:rPr>
                <w:rFonts w:hint="eastAsia" w:ascii="微软雅黑" w:hAnsi="微软雅黑" w:eastAsia="微软雅黑" w:cs="微软雅黑"/>
                <w:szCs w:val="28"/>
              </w:rPr>
              <w:t>单位地址</w:t>
            </w:r>
          </w:p>
        </w:tc>
        <w:tc>
          <w:tcPr>
            <w:tcW w:w="7145" w:type="dxa"/>
            <w:gridSpan w:val="3"/>
            <w:noWrap w:val="0"/>
            <w:vAlign w:val="center"/>
          </w:tcPr>
          <w:p w14:paraId="3B7F35DD">
            <w:pPr>
              <w:jc w:val="left"/>
              <w:rPr>
                <w:rFonts w:hint="eastAsia" w:ascii="微软雅黑" w:hAnsi="微软雅黑" w:eastAsia="微软雅黑" w:cs="微软雅黑"/>
                <w:szCs w:val="28"/>
              </w:rPr>
            </w:pPr>
          </w:p>
        </w:tc>
      </w:tr>
      <w:tr w14:paraId="188F9B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54" w:type="dxa"/>
            <w:noWrap w:val="0"/>
            <w:vAlign w:val="center"/>
          </w:tcPr>
          <w:p w14:paraId="1C3679F6">
            <w:pPr>
              <w:jc w:val="center"/>
              <w:rPr>
                <w:rFonts w:hint="eastAsia" w:ascii="微软雅黑" w:hAnsi="微软雅黑" w:eastAsia="微软雅黑" w:cs="微软雅黑"/>
                <w:szCs w:val="28"/>
              </w:rPr>
            </w:pPr>
            <w:r>
              <w:rPr>
                <w:rFonts w:hint="eastAsia" w:ascii="微软雅黑" w:hAnsi="微软雅黑" w:eastAsia="微软雅黑" w:cs="微软雅黑"/>
                <w:szCs w:val="28"/>
              </w:rPr>
              <w:t>购买时间</w:t>
            </w:r>
          </w:p>
        </w:tc>
        <w:tc>
          <w:tcPr>
            <w:tcW w:w="7145" w:type="dxa"/>
            <w:gridSpan w:val="3"/>
            <w:noWrap w:val="0"/>
            <w:vAlign w:val="center"/>
          </w:tcPr>
          <w:p w14:paraId="013CB96D">
            <w:pPr>
              <w:jc w:val="center"/>
              <w:rPr>
                <w:rFonts w:hint="eastAsia" w:ascii="微软雅黑" w:hAnsi="微软雅黑" w:eastAsia="微软雅黑" w:cs="微软雅黑"/>
                <w:szCs w:val="28"/>
              </w:rPr>
            </w:pPr>
            <w:r>
              <w:rPr>
                <w:rFonts w:hint="eastAsia" w:ascii="微软雅黑" w:hAnsi="微软雅黑" w:eastAsia="微软雅黑" w:cs="微软雅黑"/>
                <w:szCs w:val="28"/>
              </w:rPr>
              <w:t>年   月   日</w:t>
            </w:r>
          </w:p>
        </w:tc>
      </w:tr>
      <w:tr w14:paraId="5AC63F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054" w:type="dxa"/>
            <w:noWrap w:val="0"/>
            <w:vAlign w:val="center"/>
          </w:tcPr>
          <w:p w14:paraId="7ED30894">
            <w:pPr>
              <w:jc w:val="center"/>
              <w:rPr>
                <w:rFonts w:hint="eastAsia" w:ascii="微软雅黑" w:hAnsi="微软雅黑" w:eastAsia="微软雅黑" w:cs="微软雅黑"/>
                <w:szCs w:val="28"/>
              </w:rPr>
            </w:pPr>
            <w:r>
              <w:rPr>
                <w:rFonts w:hint="eastAsia" w:ascii="微软雅黑" w:hAnsi="微软雅黑" w:eastAsia="微软雅黑" w:cs="微软雅黑"/>
                <w:szCs w:val="28"/>
                <w:lang w:val="en-US" w:eastAsia="zh-CN"/>
              </w:rPr>
              <w:t>询比</w:t>
            </w:r>
            <w:r>
              <w:rPr>
                <w:rFonts w:hint="eastAsia" w:ascii="微软雅黑" w:hAnsi="微软雅黑" w:eastAsia="微软雅黑" w:cs="微软雅黑"/>
                <w:szCs w:val="28"/>
              </w:rPr>
              <w:t>文件售价</w:t>
            </w:r>
          </w:p>
        </w:tc>
        <w:tc>
          <w:tcPr>
            <w:tcW w:w="7145" w:type="dxa"/>
            <w:gridSpan w:val="3"/>
            <w:noWrap w:val="0"/>
            <w:vAlign w:val="center"/>
          </w:tcPr>
          <w:p w14:paraId="1E48245E">
            <w:pPr>
              <w:jc w:val="center"/>
              <w:rPr>
                <w:rFonts w:hint="eastAsia" w:ascii="微软雅黑" w:hAnsi="微软雅黑" w:eastAsia="微软雅黑" w:cs="微软雅黑"/>
                <w:szCs w:val="28"/>
              </w:rPr>
            </w:pPr>
            <w:r>
              <w:rPr>
                <w:rFonts w:hint="eastAsia" w:ascii="微软雅黑" w:hAnsi="微软雅黑" w:eastAsia="微软雅黑" w:cs="微软雅黑"/>
                <w:szCs w:val="28"/>
              </w:rPr>
              <w:t>人民币：</w:t>
            </w:r>
            <w:r>
              <w:rPr>
                <w:rFonts w:hint="eastAsia" w:ascii="微软雅黑" w:hAnsi="微软雅黑" w:eastAsia="微软雅黑" w:cs="微软雅黑"/>
                <w:szCs w:val="28"/>
                <w:lang w:val="en-US" w:eastAsia="zh-CN"/>
              </w:rPr>
              <w:t>0</w:t>
            </w:r>
            <w:r>
              <w:rPr>
                <w:rFonts w:hint="eastAsia" w:ascii="微软雅黑" w:hAnsi="微软雅黑" w:eastAsia="微软雅黑" w:cs="微软雅黑"/>
                <w:szCs w:val="28"/>
              </w:rPr>
              <w:t>元/份（售后不退）。</w:t>
            </w:r>
          </w:p>
        </w:tc>
      </w:tr>
      <w:tr w14:paraId="2170D3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054" w:type="dxa"/>
            <w:noWrap w:val="0"/>
            <w:vAlign w:val="center"/>
          </w:tcPr>
          <w:p w14:paraId="5FED8C3E">
            <w:pPr>
              <w:jc w:val="center"/>
              <w:rPr>
                <w:rFonts w:hint="eastAsia" w:ascii="微软雅黑" w:hAnsi="微软雅黑" w:eastAsia="微软雅黑" w:cs="微软雅黑"/>
                <w:szCs w:val="28"/>
              </w:rPr>
            </w:pPr>
            <w:r>
              <w:rPr>
                <w:rFonts w:hint="eastAsia" w:ascii="微软雅黑" w:hAnsi="微软雅黑" w:eastAsia="微软雅黑" w:cs="微软雅黑"/>
                <w:szCs w:val="28"/>
              </w:rPr>
              <w:t>备注</w:t>
            </w:r>
          </w:p>
        </w:tc>
        <w:tc>
          <w:tcPr>
            <w:tcW w:w="7145" w:type="dxa"/>
            <w:gridSpan w:val="3"/>
            <w:noWrap w:val="0"/>
            <w:vAlign w:val="center"/>
          </w:tcPr>
          <w:p w14:paraId="4EF4BF45">
            <w:pPr>
              <w:jc w:val="center"/>
              <w:rPr>
                <w:rFonts w:hint="eastAsia" w:ascii="微软雅黑" w:hAnsi="微软雅黑" w:eastAsia="微软雅黑" w:cs="微软雅黑"/>
                <w:szCs w:val="28"/>
              </w:rPr>
            </w:pPr>
          </w:p>
        </w:tc>
      </w:tr>
    </w:tbl>
    <w:p w14:paraId="652B719D">
      <w:pPr>
        <w:rPr>
          <w:rFonts w:hint="eastAsia"/>
        </w:rPr>
      </w:pPr>
      <w:r>
        <w:rPr>
          <w:rFonts w:hint="eastAsia" w:ascii="微软雅黑" w:hAnsi="微软雅黑" w:eastAsia="微软雅黑" w:cs="微软雅黑"/>
          <w:szCs w:val="28"/>
        </w:rPr>
        <w:t>文件发售期：</w:t>
      </w:r>
      <w:r>
        <w:rPr>
          <w:rFonts w:hint="eastAsia" w:ascii="微软雅黑" w:hAnsi="微软雅黑" w:eastAsia="微软雅黑" w:cs="微软雅黑"/>
          <w:szCs w:val="28"/>
          <w:lang w:eastAsia="zh-CN"/>
        </w:rPr>
        <w:t>2025年</w:t>
      </w:r>
      <w:r>
        <w:rPr>
          <w:rFonts w:hint="eastAsia" w:ascii="微软雅黑" w:hAnsi="微软雅黑" w:eastAsia="微软雅黑" w:cs="微软雅黑"/>
          <w:szCs w:val="28"/>
          <w:lang w:val="en-US" w:eastAsia="zh-CN"/>
        </w:rPr>
        <w:t>12</w:t>
      </w:r>
      <w:r>
        <w:rPr>
          <w:rFonts w:hint="eastAsia" w:ascii="微软雅黑" w:hAnsi="微软雅黑" w:eastAsia="微软雅黑" w:cs="微软雅黑"/>
          <w:szCs w:val="28"/>
        </w:rPr>
        <w:t>月</w:t>
      </w:r>
      <w:r>
        <w:rPr>
          <w:rFonts w:hint="eastAsia" w:ascii="微软雅黑" w:hAnsi="微软雅黑" w:eastAsia="微软雅黑" w:cs="微软雅黑"/>
          <w:szCs w:val="28"/>
          <w:lang w:val="en-US" w:eastAsia="zh-CN"/>
        </w:rPr>
        <w:t xml:space="preserve">22 </w:t>
      </w:r>
      <w:r>
        <w:rPr>
          <w:rFonts w:hint="eastAsia" w:ascii="微软雅黑" w:hAnsi="微软雅黑" w:eastAsia="微软雅黑" w:cs="微软雅黑"/>
          <w:szCs w:val="28"/>
        </w:rPr>
        <w:t>日-</w:t>
      </w:r>
      <w:r>
        <w:rPr>
          <w:rFonts w:hint="eastAsia" w:ascii="微软雅黑" w:hAnsi="微软雅黑" w:eastAsia="微软雅黑" w:cs="微软雅黑"/>
          <w:szCs w:val="28"/>
          <w:lang w:eastAsia="zh-CN"/>
        </w:rPr>
        <w:t>2025年</w:t>
      </w:r>
      <w:r>
        <w:rPr>
          <w:rFonts w:hint="eastAsia" w:ascii="微软雅黑" w:hAnsi="微软雅黑" w:eastAsia="微软雅黑" w:cs="微软雅黑"/>
          <w:szCs w:val="28"/>
          <w:lang w:val="en-US" w:eastAsia="zh-CN"/>
        </w:rPr>
        <w:t>12</w:t>
      </w:r>
      <w:r>
        <w:rPr>
          <w:rFonts w:hint="eastAsia" w:ascii="微软雅黑" w:hAnsi="微软雅黑" w:eastAsia="微软雅黑" w:cs="微软雅黑"/>
          <w:szCs w:val="28"/>
        </w:rPr>
        <w:t>月</w:t>
      </w:r>
      <w:r>
        <w:rPr>
          <w:rFonts w:hint="eastAsia" w:ascii="微软雅黑" w:hAnsi="微软雅黑" w:eastAsia="微软雅黑" w:cs="微软雅黑"/>
          <w:szCs w:val="28"/>
          <w:lang w:val="en-US" w:eastAsia="zh-CN"/>
        </w:rPr>
        <w:t>24</w:t>
      </w:r>
      <w:r>
        <w:rPr>
          <w:rFonts w:hint="eastAsia" w:ascii="微软雅黑" w:hAnsi="微软雅黑" w:eastAsia="微软雅黑" w:cs="微软雅黑"/>
          <w:szCs w:val="28"/>
        </w:rPr>
        <w:t>日</w:t>
      </w:r>
    </w:p>
    <w:p w14:paraId="4C765E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24EC">
    <w:pPr>
      <w:pStyle w:val="14"/>
      <w:jc w:val="center"/>
      <w:rPr>
        <w:rFonts w:ascii="宋体" w:hAnsi="宋体"/>
        <w:szCs w:val="18"/>
      </w:rPr>
    </w:pPr>
    <w:r>
      <w:rPr>
        <w:rFonts w:ascii="宋体" w:hAnsi="宋体"/>
        <w:szCs w:val="18"/>
      </w:rPr>
      <w:fldChar w:fldCharType="begin"/>
    </w:r>
    <w:r>
      <w:rPr>
        <w:rStyle w:val="23"/>
        <w:rFonts w:ascii="宋体" w:hAnsi="宋体"/>
        <w:szCs w:val="18"/>
      </w:rPr>
      <w:instrText xml:space="preserve"> PAGE </w:instrText>
    </w:r>
    <w:r>
      <w:rPr>
        <w:rFonts w:ascii="宋体" w:hAnsi="宋体"/>
        <w:szCs w:val="18"/>
      </w:rPr>
      <w:fldChar w:fldCharType="separate"/>
    </w:r>
    <w:r>
      <w:rPr>
        <w:rStyle w:val="23"/>
        <w:rFonts w:ascii="宋体" w:hAnsi="宋体"/>
        <w:szCs w:val="18"/>
      </w:rPr>
      <w:t>- 22 -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54E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DBA80"/>
    <w:multiLevelType w:val="singleLevel"/>
    <w:tmpl w:val="D07DBA80"/>
    <w:lvl w:ilvl="0" w:tentative="0">
      <w:start w:val="1"/>
      <w:numFmt w:val="decimal"/>
      <w:suff w:val="nothing"/>
      <w:lvlText w:val="%1、"/>
      <w:lvlJc w:val="left"/>
    </w:lvl>
  </w:abstractNum>
  <w:abstractNum w:abstractNumId="1">
    <w:nsid w:val="0707CC4A"/>
    <w:multiLevelType w:val="singleLevel"/>
    <w:tmpl w:val="0707CC4A"/>
    <w:lvl w:ilvl="0" w:tentative="0">
      <w:start w:val="6"/>
      <w:numFmt w:val="chineseCounting"/>
      <w:suff w:val="space"/>
      <w:lvlText w:val="第%1篇"/>
      <w:lvlJc w:val="left"/>
      <w:rPr>
        <w:rFonts w:hint="eastAsia"/>
      </w:rPr>
    </w:lvl>
  </w:abstractNum>
  <w:abstractNum w:abstractNumId="2">
    <w:nsid w:val="0EB30828"/>
    <w:multiLevelType w:val="singleLevel"/>
    <w:tmpl w:val="0EB30828"/>
    <w:lvl w:ilvl="0" w:tentative="0">
      <w:start w:val="2"/>
      <w:numFmt w:val="chineseCounting"/>
      <w:suff w:val="space"/>
      <w:lvlText w:val="第%1篇"/>
      <w:lvlJc w:val="left"/>
      <w:rPr>
        <w:rFonts w:hint="eastAsia"/>
        <w:sz w:val="32"/>
        <w:szCs w:val="32"/>
      </w:rPr>
    </w:lvl>
  </w:abstractNum>
  <w:abstractNum w:abstractNumId="3">
    <w:nsid w:val="223F173C"/>
    <w:multiLevelType w:val="singleLevel"/>
    <w:tmpl w:val="223F173C"/>
    <w:lvl w:ilvl="0" w:tentative="0">
      <w:start w:val="1"/>
      <w:numFmt w:val="chineseCounting"/>
      <w:suff w:val="nothing"/>
      <w:lvlText w:val="%1、"/>
      <w:lvlJc w:val="left"/>
      <w:rPr>
        <w:rFonts w:hint="eastAsia"/>
      </w:rPr>
    </w:lvl>
  </w:abstractNum>
  <w:abstractNum w:abstractNumId="4">
    <w:nsid w:val="4174BBBA"/>
    <w:multiLevelType w:val="singleLevel"/>
    <w:tmpl w:val="4174BBBA"/>
    <w:lvl w:ilvl="0" w:tentative="0">
      <w:start w:val="2"/>
      <w:numFmt w:val="chineseCounting"/>
      <w:suff w:val="nothing"/>
      <w:lvlText w:val="（%1）"/>
      <w:lvlJc w:val="left"/>
      <w:rPr>
        <w:rFonts w:hint="eastAsia"/>
      </w:rPr>
    </w:lvl>
  </w:abstractNum>
  <w:abstractNum w:abstractNumId="5">
    <w:nsid w:val="56AA1B72"/>
    <w:multiLevelType w:val="singleLevel"/>
    <w:tmpl w:val="56AA1B72"/>
    <w:lvl w:ilvl="0" w:tentative="0">
      <w:start w:val="2"/>
      <w:numFmt w:val="chineseCounting"/>
      <w:suff w:val="nothing"/>
      <w:lvlText w:val="（%1）"/>
      <w:lvlJc w:val="left"/>
      <w:pPr>
        <w:ind w:left="-200"/>
      </w:pPr>
      <w:rPr>
        <w:rFonts w:hint="eastAsia"/>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3CEC"/>
    <w:rsid w:val="02C61B5F"/>
    <w:rsid w:val="03CC21CB"/>
    <w:rsid w:val="05750F1F"/>
    <w:rsid w:val="09EB0ED1"/>
    <w:rsid w:val="0AAC173E"/>
    <w:rsid w:val="0BCE1DED"/>
    <w:rsid w:val="0F2A6C27"/>
    <w:rsid w:val="0F856611"/>
    <w:rsid w:val="137365CA"/>
    <w:rsid w:val="13A9735D"/>
    <w:rsid w:val="162C4310"/>
    <w:rsid w:val="19A03A86"/>
    <w:rsid w:val="1A246465"/>
    <w:rsid w:val="1A697374"/>
    <w:rsid w:val="1F600F69"/>
    <w:rsid w:val="206A4C4C"/>
    <w:rsid w:val="249812E3"/>
    <w:rsid w:val="30994329"/>
    <w:rsid w:val="30E468C3"/>
    <w:rsid w:val="3599181C"/>
    <w:rsid w:val="3A850402"/>
    <w:rsid w:val="3C68259C"/>
    <w:rsid w:val="48427065"/>
    <w:rsid w:val="4871646A"/>
    <w:rsid w:val="49631A1B"/>
    <w:rsid w:val="5A0E3B19"/>
    <w:rsid w:val="607E12CC"/>
    <w:rsid w:val="627B5AF7"/>
    <w:rsid w:val="63D43661"/>
    <w:rsid w:val="641C5084"/>
    <w:rsid w:val="6EE3511C"/>
    <w:rsid w:val="710C3DA0"/>
    <w:rsid w:val="761C7166"/>
    <w:rsid w:val="7A9F7E0B"/>
    <w:rsid w:val="7D42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cs="宋体"/>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Arial" w:hAnsi="Arial" w:eastAsia="黑体"/>
      <w:b/>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1"/>
    <w:qFormat/>
    <w:uiPriority w:val="0"/>
    <w:rPr>
      <w:rFonts w:ascii="仿宋_GB2312" w:eastAsia="仿宋_GB2312"/>
      <w:sz w:val="32"/>
    </w:rPr>
  </w:style>
  <w:style w:type="paragraph" w:customStyle="1" w:styleId="11">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index 7"/>
    <w:basedOn w:val="1"/>
    <w:next w:val="1"/>
    <w:qFormat/>
    <w:uiPriority w:val="0"/>
    <w:pPr>
      <w:ind w:left="2520"/>
    </w:pPr>
  </w:style>
  <w:style w:type="paragraph" w:styleId="17">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18">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19">
    <w:name w:val="Body Text First Indent"/>
    <w:basedOn w:val="10"/>
    <w:next w:val="1"/>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paragraph" w:customStyle="1" w:styleId="24">
    <w:name w:val="正文-公1"/>
    <w:basedOn w:val="1"/>
    <w:qFormat/>
    <w:uiPriority w:val="0"/>
    <w:pPr>
      <w:ind w:firstLine="200" w:firstLineChars="200"/>
    </w:pPr>
    <w:rPr>
      <w:rFonts w:ascii="Calibri" w:hAnsi="Calibri"/>
      <w:szCs w:val="24"/>
    </w:rPr>
  </w:style>
  <w:style w:type="paragraph" w:customStyle="1" w:styleId="25">
    <w:name w:val="图例"/>
    <w:basedOn w:val="1"/>
    <w:qFormat/>
    <w:uiPriority w:val="0"/>
    <w:pPr>
      <w:spacing w:line="360" w:lineRule="auto"/>
      <w:jc w:val="center"/>
    </w:pPr>
    <w:rPr>
      <w:rFonts w:eastAsia="仿宋_GB2312"/>
      <w:b/>
      <w:sz w:val="24"/>
    </w:rPr>
  </w:style>
  <w:style w:type="paragraph" w:customStyle="1" w:styleId="26">
    <w:name w:val="1"/>
    <w:basedOn w:val="1"/>
    <w:next w:val="12"/>
    <w:qFormat/>
    <w:uiPriority w:val="0"/>
    <w:rPr>
      <w:rFonts w:ascii="宋体" w:hAnsi="Courier New"/>
      <w:sz w:val="21"/>
    </w:rPr>
  </w:style>
  <w:style w:type="paragraph" w:customStyle="1" w:styleId="2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8">
    <w:name w:val="正文（缩进）"/>
    <w:qFormat/>
    <w:uiPriority w:val="0"/>
    <w:pPr>
      <w:widowControl w:val="0"/>
      <w:spacing w:before="156" w:after="156" w:line="600" w:lineRule="exact"/>
      <w:ind w:firstLine="480" w:firstLineChars="200"/>
      <w:jc w:val="both"/>
    </w:pPr>
    <w:rPr>
      <w:rFonts w:ascii="Times New Roman" w:hAnsi="Times New Roman" w:eastAsia="方正仿宋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16289</Words>
  <Characters>16858</Characters>
  <Lines>0</Lines>
  <Paragraphs>0</Paragraphs>
  <TotalTime>2</TotalTime>
  <ScaleCrop>false</ScaleCrop>
  <LinksUpToDate>false</LinksUpToDate>
  <CharactersWithSpaces>17230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2025-11-17T02:41:00Z</dcterms:created>
  <dc:creator>Dell</dc:creator>
  <cp:lastModifiedBy>今生只为卿</cp:lastModifiedBy>
  <dcterms:modified xsi:type="dcterms:W3CDTF">2025-12-24T02:38:10Z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eyJoZGlkIjoiYTU5MTBjOGE3MmM1YjU4MTNjODRlYjM1MTIzOTQ4ODAiLCJ1c2VySWQiOiIyOTcwMTYxMzkifQ==</vt:lpwstr>
  </property>
  <property fmtid="{D5CDD505-2E9C-101B-9397-08002B2CF9AE}" pid="4" name="ICV">
    <vt:lpwstr>92FA453DDF4E49B9B9FFF9DAFDFBFE14_13</vt:lpwstr>
  </property>
</Properties>
</file>