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947BC">
      <w:pPr>
        <w:snapToGrid w:val="0"/>
        <w:jc w:val="center"/>
        <w:rPr>
          <w:rFonts w:hint="eastAsia" w:ascii="仿宋" w:hAnsi="仿宋" w:eastAsia="仿宋" w:cs="仿宋"/>
          <w:color w:val="auto"/>
          <w:sz w:val="144"/>
          <w:szCs w:val="144"/>
          <w:highlight w:val="none"/>
          <w:lang w:val="en-US"/>
        </w:rPr>
      </w:pPr>
      <w:r>
        <w:rPr>
          <w:rFonts w:hint="eastAsia" w:ascii="仿宋" w:hAnsi="仿宋" w:eastAsia="仿宋" w:cs="仿宋"/>
          <w:b/>
          <w:bCs/>
          <w:color w:val="auto"/>
          <w:sz w:val="36"/>
          <w:szCs w:val="36"/>
          <w:highlight w:val="none"/>
        </w:rPr>
        <w:t>项目名称</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重庆市南岸区南坪实验幼儿园茶园园区（暂定名）新建工程漏水维修改造工程（第二次）</w:t>
      </w:r>
    </w:p>
    <w:p w14:paraId="75A34878">
      <w:pPr>
        <w:snapToGrid w:val="0"/>
        <w:jc w:val="center"/>
        <w:rPr>
          <w:rFonts w:hint="eastAsia" w:ascii="仿宋" w:hAnsi="仿宋" w:eastAsia="仿宋" w:cs="仿宋"/>
          <w:color w:val="auto"/>
          <w:sz w:val="110"/>
          <w:szCs w:val="110"/>
          <w:highlight w:val="none"/>
        </w:rPr>
      </w:pPr>
    </w:p>
    <w:p w14:paraId="5B938BBB">
      <w:pPr>
        <w:snapToGrid w:val="0"/>
        <w:jc w:val="center"/>
        <w:rPr>
          <w:rFonts w:hint="eastAsia" w:ascii="仿宋" w:hAnsi="仿宋" w:eastAsia="仿宋" w:cs="仿宋"/>
          <w:color w:val="auto"/>
          <w:sz w:val="110"/>
          <w:szCs w:val="110"/>
          <w:highlight w:val="none"/>
          <w:lang w:val="en-US" w:eastAsia="zh-CN"/>
        </w:rPr>
      </w:pPr>
    </w:p>
    <w:p w14:paraId="58C30196">
      <w:pPr>
        <w:pStyle w:val="4"/>
        <w:rPr>
          <w:rFonts w:hint="eastAsia" w:ascii="仿宋" w:hAnsi="仿宋" w:eastAsia="仿宋" w:cs="仿宋"/>
          <w:highlight w:val="none"/>
          <w:lang w:val="en-US" w:eastAsia="zh-CN"/>
        </w:rPr>
      </w:pPr>
    </w:p>
    <w:p w14:paraId="60B38111">
      <w:pPr>
        <w:snapToGrid w:val="0"/>
        <w:jc w:val="center"/>
        <w:rPr>
          <w:rFonts w:hint="eastAsia" w:ascii="仿宋" w:hAnsi="仿宋" w:eastAsia="仿宋" w:cs="仿宋"/>
          <w:color w:val="auto"/>
          <w:sz w:val="110"/>
          <w:szCs w:val="110"/>
          <w:highlight w:val="none"/>
          <w:lang w:val="en-US" w:eastAsia="zh-CN"/>
        </w:rPr>
      </w:pPr>
      <w:r>
        <w:rPr>
          <w:rFonts w:hint="eastAsia" w:ascii="仿宋" w:hAnsi="仿宋" w:eastAsia="仿宋" w:cs="仿宋"/>
          <w:color w:val="auto"/>
          <w:sz w:val="110"/>
          <w:szCs w:val="110"/>
          <w:highlight w:val="none"/>
          <w:lang w:val="en-US" w:eastAsia="zh-CN"/>
        </w:rPr>
        <w:t>招 标 文 件</w:t>
      </w:r>
    </w:p>
    <w:p w14:paraId="1FF34FAE">
      <w:pPr>
        <w:spacing w:line="700" w:lineRule="exact"/>
        <w:jc w:val="center"/>
        <w:rPr>
          <w:rFonts w:hint="eastAsia" w:ascii="仿宋" w:hAnsi="仿宋" w:eastAsia="仿宋" w:cs="仿宋"/>
          <w:color w:val="auto"/>
          <w:sz w:val="40"/>
          <w:szCs w:val="22"/>
          <w:highlight w:val="none"/>
        </w:rPr>
      </w:pPr>
    </w:p>
    <w:p w14:paraId="2827980F">
      <w:pPr>
        <w:spacing w:line="500" w:lineRule="exact"/>
        <w:outlineLvl w:val="0"/>
        <w:rPr>
          <w:rFonts w:hint="eastAsia" w:ascii="仿宋" w:hAnsi="仿宋" w:eastAsia="仿宋" w:cs="仿宋"/>
          <w:color w:val="auto"/>
          <w:sz w:val="44"/>
          <w:szCs w:val="22"/>
          <w:highlight w:val="none"/>
        </w:rPr>
      </w:pPr>
    </w:p>
    <w:p w14:paraId="0DF7E63A">
      <w:pPr>
        <w:pStyle w:val="31"/>
        <w:rPr>
          <w:rFonts w:hint="eastAsia" w:ascii="仿宋" w:hAnsi="仿宋" w:eastAsia="仿宋" w:cs="仿宋"/>
          <w:color w:val="auto"/>
          <w:highlight w:val="none"/>
        </w:rPr>
      </w:pPr>
    </w:p>
    <w:p w14:paraId="5A3283AE">
      <w:pPr>
        <w:rPr>
          <w:rFonts w:hint="eastAsia" w:ascii="仿宋" w:hAnsi="仿宋" w:eastAsia="仿宋" w:cs="仿宋"/>
          <w:color w:val="auto"/>
          <w:highlight w:val="none"/>
        </w:rPr>
      </w:pPr>
    </w:p>
    <w:p w14:paraId="37547414">
      <w:pPr>
        <w:pStyle w:val="4"/>
        <w:rPr>
          <w:rFonts w:hint="eastAsia" w:ascii="仿宋" w:hAnsi="仿宋" w:eastAsia="仿宋" w:cs="仿宋"/>
          <w:highlight w:val="none"/>
        </w:rPr>
      </w:pPr>
    </w:p>
    <w:p w14:paraId="44685707">
      <w:pPr>
        <w:pStyle w:val="4"/>
        <w:rPr>
          <w:rFonts w:hint="eastAsia" w:ascii="仿宋" w:hAnsi="仿宋" w:eastAsia="仿宋" w:cs="仿宋"/>
          <w:color w:val="auto"/>
          <w:highlight w:val="none"/>
        </w:rPr>
      </w:pPr>
    </w:p>
    <w:p w14:paraId="0FA735CD">
      <w:pPr>
        <w:rPr>
          <w:rFonts w:hint="eastAsia" w:ascii="仿宋" w:hAnsi="仿宋" w:eastAsia="仿宋" w:cs="仿宋"/>
          <w:color w:val="auto"/>
          <w:highlight w:val="none"/>
        </w:rPr>
      </w:pPr>
    </w:p>
    <w:p w14:paraId="737095A7">
      <w:pPr>
        <w:spacing w:line="360" w:lineRule="auto"/>
        <w:jc w:val="center"/>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招 标 </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重庆市南岸区江南新城南坪实验幼儿园</w:t>
      </w:r>
    </w:p>
    <w:p w14:paraId="5D937636">
      <w:pPr>
        <w:spacing w:line="360" w:lineRule="auto"/>
        <w:ind w:firstLine="1280" w:firstLineChars="400"/>
        <w:jc w:val="both"/>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招标代理机构：重庆腾锐阳工程项目管理有限公司</w:t>
      </w:r>
    </w:p>
    <w:p w14:paraId="0BADE79E">
      <w:pPr>
        <w:snapToGrid w:val="0"/>
        <w:spacing w:line="560" w:lineRule="exact"/>
        <w:jc w:val="center"/>
        <w:rPr>
          <w:rFonts w:hint="eastAsia" w:ascii="仿宋" w:hAnsi="仿宋" w:eastAsia="仿宋" w:cs="仿宋"/>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p>
    <w:p w14:paraId="5CBC342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目   录</w:t>
      </w:r>
    </w:p>
    <w:p w14:paraId="3BA85195">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_Toc32491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第一篇  </w:t>
      </w:r>
      <w:r>
        <w:rPr>
          <w:rFonts w:hint="eastAsia" w:ascii="仿宋" w:hAnsi="仿宋" w:eastAsia="仿宋" w:cs="仿宋"/>
          <w:color w:val="auto"/>
          <w:sz w:val="28"/>
          <w:szCs w:val="28"/>
          <w:highlight w:val="none"/>
          <w:lang w:val="en-US" w:eastAsia="zh-CN"/>
        </w:rPr>
        <w:t>招标公告</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_Toc32491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31287D0D">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_Toc18443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第二篇  </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服务需求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_Toc18443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16764AB8">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_Toc4743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lang w:val="en-US" w:eastAsia="zh-CN"/>
        </w:rPr>
        <w:t>第三篇  项目商务需求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_Toc4743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5D78971D">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_Toc19698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rPr>
        <w:t>第四篇  评审程序及方法、评审标准、无效响应和采购终止</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_Toc19698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16</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1787C2A">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_Toc8803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第五篇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_Toc8803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F6A62B7">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_Toc8319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第六篇  合同草案条款</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_Toc8319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3BD9EE9E">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_Toc12120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 xml:space="preserve">第七篇  </w:t>
      </w:r>
      <w:r>
        <w:rPr>
          <w:rFonts w:hint="eastAsia" w:ascii="仿宋" w:hAnsi="仿宋" w:eastAsia="仿宋" w:cs="仿宋"/>
          <w:color w:val="auto"/>
          <w:sz w:val="28"/>
          <w:szCs w:val="32"/>
          <w:highlight w:val="none"/>
          <w:lang w:eastAsia="zh-CN"/>
        </w:rPr>
        <w:t>投标文件</w:t>
      </w:r>
      <w:r>
        <w:rPr>
          <w:rFonts w:hint="eastAsia" w:ascii="仿宋" w:hAnsi="仿宋" w:eastAsia="仿宋" w:cs="仿宋"/>
          <w:color w:val="auto"/>
          <w:sz w:val="28"/>
          <w:szCs w:val="32"/>
          <w:highlight w:val="none"/>
        </w:rPr>
        <w:t>格式要求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_Toc12120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36</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12B1AD65">
      <w:pPr>
        <w:pStyle w:val="11"/>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_Toc31231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一、经济部分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_Toc31231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1A2A28B">
      <w:pPr>
        <w:pStyle w:val="11"/>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_Toc12453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二、技术</w:t>
      </w:r>
      <w:r>
        <w:rPr>
          <w:rFonts w:hint="eastAsia" w:ascii="仿宋" w:hAnsi="仿宋" w:eastAsia="仿宋" w:cs="仿宋"/>
          <w:color w:val="auto"/>
          <w:sz w:val="28"/>
          <w:szCs w:val="32"/>
          <w:highlight w:val="none"/>
          <w:lang w:eastAsia="zh-CN"/>
        </w:rPr>
        <w:t>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_Toc12453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39</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6F38FCD7">
      <w:pPr>
        <w:pStyle w:val="11"/>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_Toc5199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三、商务部分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_Toc5199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40</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63B70F88">
      <w:pPr>
        <w:pStyle w:val="11"/>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_Toc12335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四、资格条件</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_Toc12335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42</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5380F9BC">
      <w:pPr>
        <w:pStyle w:val="11"/>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_Toc12008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五、其他应提供的资料</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_Toc12008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48</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B16CFEB">
      <w:pPr>
        <w:pStyle w:val="20"/>
        <w:keepNext w:val="0"/>
        <w:keepLines w:val="0"/>
        <w:pageBreakBefore w:val="0"/>
        <w:widowControl w:val="0"/>
        <w:tabs>
          <w:tab w:val="right" w:leader="dot" w:pos="9402"/>
        </w:tabs>
        <w:kinsoku/>
        <w:wordWrap/>
        <w:overflowPunct/>
        <w:topLinePunct w:val="0"/>
        <w:autoSpaceDE/>
        <w:autoSpaceDN/>
        <w:bidi w:val="0"/>
        <w:adjustRightInd/>
        <w:snapToGrid/>
        <w:spacing w:line="480" w:lineRule="exact"/>
        <w:ind w:left="560"/>
        <w:textAlignment w:val="auto"/>
        <w:rPr>
          <w:rFonts w:hint="eastAsia" w:ascii="仿宋" w:hAnsi="仿宋" w:eastAsia="仿宋" w:cs="仿宋"/>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4"/>
          <w:highlight w:val="none"/>
        </w:rPr>
        <w:fldChar w:fldCharType="end"/>
      </w:r>
    </w:p>
    <w:p w14:paraId="1B8478A7">
      <w:pPr>
        <w:pStyle w:val="3"/>
        <w:pageBreakBefore w:val="0"/>
        <w:widowControl w:val="0"/>
        <w:kinsoku/>
        <w:wordWrap/>
        <w:overflowPunct/>
        <w:topLinePunct w:val="0"/>
        <w:autoSpaceDE/>
        <w:autoSpaceDN/>
        <w:bidi w:val="0"/>
        <w:adjustRightInd/>
        <w:snapToGrid w:val="0"/>
        <w:spacing w:before="0" w:after="0" w:line="440" w:lineRule="exact"/>
        <w:jc w:val="center"/>
        <w:textAlignment w:val="auto"/>
        <w:rPr>
          <w:rFonts w:hint="eastAsia" w:ascii="仿宋" w:hAnsi="仿宋" w:eastAsia="仿宋" w:cs="仿宋"/>
          <w:color w:val="auto"/>
          <w:sz w:val="36"/>
          <w:szCs w:val="28"/>
          <w:highlight w:val="none"/>
          <w:lang w:val="en-US"/>
        </w:rPr>
      </w:pPr>
      <w:bookmarkStart w:id="0" w:name="_Toc32491"/>
      <w:bookmarkStart w:id="1" w:name="_Toc11641050"/>
      <w:bookmarkStart w:id="2" w:name="_Toc12789052"/>
      <w:r>
        <w:rPr>
          <w:rFonts w:hint="eastAsia" w:ascii="仿宋" w:hAnsi="仿宋" w:eastAsia="仿宋" w:cs="仿宋"/>
          <w:color w:val="auto"/>
          <w:sz w:val="36"/>
          <w:szCs w:val="28"/>
          <w:highlight w:val="none"/>
        </w:rPr>
        <w:t xml:space="preserve">第一篇  </w:t>
      </w:r>
      <w:bookmarkEnd w:id="0"/>
      <w:bookmarkEnd w:id="1"/>
      <w:bookmarkEnd w:id="2"/>
      <w:r>
        <w:rPr>
          <w:rFonts w:hint="eastAsia" w:ascii="仿宋" w:hAnsi="仿宋" w:eastAsia="仿宋" w:cs="仿宋"/>
          <w:color w:val="auto"/>
          <w:sz w:val="36"/>
          <w:szCs w:val="28"/>
          <w:highlight w:val="none"/>
          <w:lang w:val="en-US" w:eastAsia="zh-CN"/>
        </w:rPr>
        <w:t>招标公告</w:t>
      </w:r>
    </w:p>
    <w:p w14:paraId="72653E5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3" w:name="_Toc317775175"/>
      <w:bookmarkStart w:id="4" w:name="_Toc313893526"/>
      <w:r>
        <w:rPr>
          <w:rFonts w:hint="eastAsia" w:ascii="仿宋" w:hAnsi="仿宋" w:eastAsia="仿宋" w:cs="仿宋"/>
          <w:color w:val="auto"/>
          <w:sz w:val="24"/>
          <w:szCs w:val="24"/>
          <w:highlight w:val="none"/>
          <w:u w:val="single"/>
          <w:lang w:val="en-US" w:eastAsia="zh-CN"/>
        </w:rPr>
        <w:t>重庆腾锐阳工程项目管理有限公司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代理机构）接受</w:t>
      </w:r>
      <w:r>
        <w:rPr>
          <w:rFonts w:hint="eastAsia" w:ascii="仿宋" w:hAnsi="仿宋" w:eastAsia="仿宋" w:cs="仿宋"/>
          <w:color w:val="auto"/>
          <w:sz w:val="24"/>
          <w:szCs w:val="24"/>
          <w:highlight w:val="none"/>
          <w:u w:val="single"/>
          <w:lang w:val="en-US" w:eastAsia="zh-CN"/>
        </w:rPr>
        <w:t xml:space="preserve"> 重庆市南岸区江南新城南坪实验幼儿园 </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人）的委托，对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重庆市南岸区南坪实验幼儿园茶园园区（暂定名）新建工程漏水维修改造工程</w:t>
      </w:r>
      <w:r>
        <w:rPr>
          <w:rFonts w:hint="eastAsia" w:ascii="仿宋" w:hAnsi="仿宋" w:eastAsia="仿宋" w:cs="仿宋"/>
          <w:color w:val="auto"/>
          <w:sz w:val="24"/>
          <w:szCs w:val="24"/>
          <w:highlight w:val="none"/>
          <w:u w:val="single"/>
          <w:lang w:val="en-US" w:eastAsia="zh-CN"/>
        </w:rPr>
        <w:t xml:space="preserve">（第二次） </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，欢迎有资格的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前来参加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tbl>
      <w:tblPr>
        <w:tblStyle w:val="23"/>
        <w:tblpPr w:leftFromText="180" w:rightFromText="180" w:vertAnchor="text" w:horzAnchor="margin" w:tblpXSpec="center" w:tblpY="596"/>
        <w:tblOverlap w:val="never"/>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083"/>
        <w:gridCol w:w="2183"/>
        <w:gridCol w:w="1558"/>
      </w:tblGrid>
      <w:tr w14:paraId="573F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431" w:type="dxa"/>
            <w:noWrap w:val="0"/>
            <w:vAlign w:val="center"/>
          </w:tcPr>
          <w:p w14:paraId="36F35361">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2083" w:type="dxa"/>
            <w:noWrap w:val="0"/>
            <w:vAlign w:val="center"/>
          </w:tcPr>
          <w:p w14:paraId="7773F4C8">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p>
        </w:tc>
        <w:tc>
          <w:tcPr>
            <w:tcW w:w="2183" w:type="dxa"/>
            <w:noWrap w:val="0"/>
            <w:vAlign w:val="center"/>
          </w:tcPr>
          <w:p w14:paraId="161A5219">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中标人数量</w:t>
            </w:r>
            <w:r>
              <w:rPr>
                <w:rFonts w:hint="eastAsia" w:ascii="仿宋" w:hAnsi="仿宋" w:eastAsia="仿宋" w:cs="仿宋"/>
                <w:b/>
                <w:color w:val="auto"/>
                <w:sz w:val="24"/>
                <w:szCs w:val="24"/>
                <w:highlight w:val="none"/>
              </w:rPr>
              <w:t>（名）</w:t>
            </w:r>
          </w:p>
        </w:tc>
        <w:tc>
          <w:tcPr>
            <w:tcW w:w="1558" w:type="dxa"/>
            <w:noWrap w:val="0"/>
            <w:vAlign w:val="center"/>
          </w:tcPr>
          <w:p w14:paraId="5F83B211">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35D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431" w:type="dxa"/>
            <w:noWrap w:val="0"/>
            <w:vAlign w:val="center"/>
          </w:tcPr>
          <w:p w14:paraId="248FA1C0">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重庆市南岸区南坪实验幼儿园茶园园区（暂定名）新建工程漏水维修改造工程（第二次）</w:t>
            </w:r>
          </w:p>
        </w:tc>
        <w:tc>
          <w:tcPr>
            <w:tcW w:w="2083" w:type="dxa"/>
            <w:noWrap w:val="0"/>
            <w:vAlign w:val="center"/>
          </w:tcPr>
          <w:p w14:paraId="594BA9AF">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667225.49</w:t>
            </w:r>
          </w:p>
        </w:tc>
        <w:tc>
          <w:tcPr>
            <w:tcW w:w="2183" w:type="dxa"/>
            <w:noWrap w:val="0"/>
            <w:vAlign w:val="center"/>
          </w:tcPr>
          <w:p w14:paraId="450FFF99">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558" w:type="dxa"/>
            <w:noWrap w:val="0"/>
            <w:vAlign w:val="center"/>
          </w:tcPr>
          <w:p w14:paraId="524A2D51">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p>
        </w:tc>
      </w:tr>
    </w:tbl>
    <w:p w14:paraId="30BA5EAD">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5" w:name="_Toc1387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内容</w:t>
      </w:r>
      <w:bookmarkEnd w:id="3"/>
      <w:bookmarkEnd w:id="4"/>
      <w:bookmarkEnd w:id="5"/>
      <w:bookmarkStart w:id="6" w:name="_Toc403569770"/>
      <w:bookmarkStart w:id="7" w:name="_Toc19074"/>
      <w:bookmarkStart w:id="8" w:name="_Toc373860293"/>
      <w:bookmarkStart w:id="9" w:name="_Toc317775178"/>
    </w:p>
    <w:p w14:paraId="55CCE02B">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End w:id="6"/>
      <w:r>
        <w:rPr>
          <w:rFonts w:hint="eastAsia" w:ascii="仿宋" w:hAnsi="仿宋" w:eastAsia="仿宋" w:cs="仿宋"/>
          <w:color w:val="auto"/>
          <w:sz w:val="24"/>
          <w:szCs w:val="24"/>
          <w:highlight w:val="none"/>
        </w:rPr>
        <w:t>资金来源</w:t>
      </w:r>
      <w:bookmarkEnd w:id="7"/>
    </w:p>
    <w:p w14:paraId="6812B372">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原项目质保金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p>
    <w:p w14:paraId="100F7313">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0" w:name="_Toc403569771"/>
      <w:bookmarkStart w:id="11" w:name="_Toc1173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w:t>
      </w:r>
      <w:bookmarkEnd w:id="10"/>
      <w:r>
        <w:rPr>
          <w:rFonts w:hint="eastAsia" w:ascii="仿宋" w:hAnsi="仿宋" w:eastAsia="仿宋" w:cs="仿宋"/>
          <w:color w:val="auto"/>
          <w:sz w:val="24"/>
          <w:szCs w:val="24"/>
          <w:highlight w:val="none"/>
        </w:rPr>
        <w:t>条件</w:t>
      </w:r>
      <w:bookmarkEnd w:id="11"/>
    </w:p>
    <w:bookmarkEnd w:id="8"/>
    <w:p w14:paraId="7AAA77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基本资格条件：</w:t>
      </w:r>
    </w:p>
    <w:p w14:paraId="2BF6EC78">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08A7BE0D">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265BAE8E">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5E2172B7">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10C0F8CE">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1FD240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1D8BF0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w:t>
      </w:r>
    </w:p>
    <w:p w14:paraId="0BC4219D">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w:t>
      </w:r>
      <w:r>
        <w:rPr>
          <w:rFonts w:hint="eastAsia" w:ascii="仿宋" w:hAnsi="仿宋" w:eastAsia="仿宋" w:cs="仿宋"/>
          <w:b/>
          <w:bCs/>
          <w:color w:val="auto"/>
          <w:sz w:val="24"/>
          <w:szCs w:val="24"/>
          <w:highlight w:val="none"/>
          <w:lang w:val="en-US" w:eastAsia="zh-CN"/>
        </w:rPr>
        <w:t>建筑工程施工总承包叁级及以上或建筑装修装饰工程专业承包贰级及以上资质</w:t>
      </w:r>
      <w:r>
        <w:rPr>
          <w:rFonts w:hint="eastAsia" w:ascii="仿宋" w:hAnsi="仿宋" w:eastAsia="仿宋" w:cs="仿宋"/>
          <w:color w:val="auto"/>
          <w:sz w:val="24"/>
          <w:szCs w:val="24"/>
          <w:highlight w:val="none"/>
        </w:rPr>
        <w:t>（须提供有效的资质证书复印件并加盖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0929E9E">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须具备建设行政主管部门颁发的有效的安全生产许可证（须提供有效的安全生产许可证复印件并加盖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9C1D0A4">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2" w:name="_Toc30463"/>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有关说明</w:t>
      </w:r>
      <w:bookmarkEnd w:id="12"/>
    </w:p>
    <w:p w14:paraId="4D50D6C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需通过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进行注册，成为行采家平台供应商。</w:t>
      </w:r>
    </w:p>
    <w:p w14:paraId="4A5C76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，请在“行采家”（https://www.gec123.com/）采购公告发布之日起至提交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截止时间之前自行下载本项目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文件以及补遗等</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前公布的所有项目资料，无论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下载与否，均视为已知晓所有实质性要求内容。</w:t>
      </w:r>
    </w:p>
    <w:p w14:paraId="6DA270D4">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3" w:name="_Toc26901"/>
      <w:bookmarkStart w:id="14" w:name="_Toc27572"/>
      <w:bookmarkStart w:id="15" w:name="_Toc13746"/>
      <w:bookmarkStart w:id="16" w:name="_Toc403569774"/>
      <w:r>
        <w:rPr>
          <w:rFonts w:hint="eastAsia" w:ascii="仿宋" w:hAnsi="仿宋" w:eastAsia="仿宋" w:cs="仿宋"/>
          <w:strike w:val="0"/>
          <w:dstrike w:val="0"/>
          <w:color w:val="auto"/>
          <w:sz w:val="24"/>
          <w:szCs w:val="24"/>
          <w:highlight w:val="none"/>
          <w:lang w:val="en-US" w:eastAsia="zh-CN"/>
        </w:rPr>
        <w:t>（三）报名及招标文件发售</w:t>
      </w:r>
      <w:bookmarkEnd w:id="13"/>
    </w:p>
    <w:p w14:paraId="3AF353EF">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7" w:name="_Toc32516"/>
      <w:r>
        <w:rPr>
          <w:rFonts w:hint="eastAsia" w:ascii="仿宋" w:hAnsi="仿宋" w:eastAsia="仿宋" w:cs="仿宋"/>
          <w:strike w:val="0"/>
          <w:dstrike w:val="0"/>
          <w:color w:val="auto"/>
          <w:sz w:val="24"/>
          <w:szCs w:val="24"/>
          <w:highlight w:val="none"/>
          <w:lang w:val="en-US" w:eastAsia="zh-CN"/>
        </w:rPr>
        <w:t>1.报名和招标文件发售期：</w:t>
      </w:r>
      <w:r>
        <w:rPr>
          <w:rFonts w:hint="eastAsia" w:ascii="仿宋" w:hAnsi="仿宋" w:eastAsia="仿宋" w:cs="仿宋"/>
          <w:strike w:val="0"/>
          <w:dstrike w:val="0"/>
          <w:color w:val="auto"/>
          <w:sz w:val="24"/>
          <w:szCs w:val="24"/>
          <w:highlight w:val="none"/>
          <w:lang w:val="en-US" w:eastAsia="zh-CN"/>
        </w:rPr>
        <w:t>2025年7月23日-2025年7月28日17:00（工作时间）</w:t>
      </w:r>
      <w:bookmarkEnd w:id="17"/>
      <w:r>
        <w:rPr>
          <w:rFonts w:hint="eastAsia" w:ascii="仿宋" w:hAnsi="仿宋" w:eastAsia="仿宋" w:cs="仿宋"/>
          <w:strike w:val="0"/>
          <w:dstrike w:val="0"/>
          <w:color w:val="auto"/>
          <w:sz w:val="24"/>
          <w:szCs w:val="24"/>
          <w:highlight w:val="none"/>
          <w:lang w:val="en-US" w:eastAsia="zh-CN"/>
        </w:rPr>
        <w:t>。</w:t>
      </w:r>
    </w:p>
    <w:p w14:paraId="63BB9332">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8" w:name="_Toc9421"/>
      <w:r>
        <w:rPr>
          <w:rFonts w:hint="eastAsia" w:ascii="仿宋" w:hAnsi="仿宋" w:eastAsia="仿宋" w:cs="仿宋"/>
          <w:strike w:val="0"/>
          <w:dstrike w:val="0"/>
          <w:color w:val="auto"/>
          <w:sz w:val="24"/>
          <w:szCs w:val="24"/>
          <w:highlight w:val="none"/>
          <w:lang w:val="en-US" w:eastAsia="zh-CN"/>
        </w:rPr>
        <w:fldChar w:fldCharType="begin"/>
      </w:r>
      <w:r>
        <w:rPr>
          <w:rFonts w:hint="eastAsia" w:ascii="仿宋" w:hAnsi="仿宋" w:eastAsia="仿宋" w:cs="仿宋"/>
          <w:strike w:val="0"/>
          <w:dstrike w:val="0"/>
          <w:color w:val="auto"/>
          <w:sz w:val="24"/>
          <w:szCs w:val="24"/>
          <w:highlight w:val="none"/>
          <w:lang w:val="en-US" w:eastAsia="zh-CN"/>
        </w:rPr>
        <w:instrText xml:space="preserve"> HYPERLINK "mailto:（2）在比选文件发售期内，比选申请人将《比选文件发售登记表》加盖投标人公章鲜章扫描后发送至850742771@qq.com。" </w:instrText>
      </w:r>
      <w:r>
        <w:rPr>
          <w:rFonts w:hint="eastAsia" w:ascii="仿宋" w:hAnsi="仿宋" w:eastAsia="仿宋" w:cs="仿宋"/>
          <w:strike w:val="0"/>
          <w:dstrike w:val="0"/>
          <w:color w:val="auto"/>
          <w:sz w:val="24"/>
          <w:szCs w:val="24"/>
          <w:highlight w:val="none"/>
          <w:lang w:val="en-US" w:eastAsia="zh-CN"/>
        </w:rPr>
        <w:fldChar w:fldCharType="separate"/>
      </w:r>
      <w:r>
        <w:rPr>
          <w:rFonts w:hint="eastAsia" w:ascii="仿宋" w:hAnsi="仿宋" w:eastAsia="仿宋" w:cs="仿宋"/>
          <w:strike w:val="0"/>
          <w:dstrike w:val="0"/>
          <w:color w:val="auto"/>
          <w:sz w:val="24"/>
          <w:szCs w:val="24"/>
          <w:highlight w:val="none"/>
          <w:lang w:val="en-US" w:eastAsia="zh-CN"/>
        </w:rPr>
        <w:t>2.在招标文件发售期内，投标人将《招标文件发售登记表》加盖投标人公章扫描后发送至1341535808@qq.com，</w:t>
      </w:r>
      <w:r>
        <w:rPr>
          <w:rFonts w:hint="eastAsia" w:ascii="仿宋" w:hAnsi="仿宋" w:eastAsia="仿宋" w:cs="仿宋"/>
          <w:strike w:val="0"/>
          <w:dstrike w:val="0"/>
          <w:color w:val="auto"/>
          <w:sz w:val="24"/>
          <w:szCs w:val="24"/>
          <w:highlight w:val="none"/>
          <w:lang w:val="en-US" w:eastAsia="zh-CN"/>
        </w:rPr>
        <w:fldChar w:fldCharType="end"/>
      </w:r>
      <w:r>
        <w:rPr>
          <w:rFonts w:hint="eastAsia" w:ascii="仿宋" w:hAnsi="仿宋" w:eastAsia="仿宋" w:cs="仿宋"/>
          <w:strike w:val="0"/>
          <w:dstrike w:val="0"/>
          <w:color w:val="auto"/>
          <w:sz w:val="24"/>
          <w:szCs w:val="24"/>
          <w:highlight w:val="none"/>
          <w:lang w:val="en-US" w:eastAsia="zh-CN"/>
        </w:rPr>
        <w:t>并电话通知招标代理机构（联系人：刘老师 电话：023-62876939）</w:t>
      </w:r>
      <w:bookmarkEnd w:id="18"/>
    </w:p>
    <w:p w14:paraId="1645C627">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color w:val="auto"/>
          <w:sz w:val="24"/>
          <w:szCs w:val="24"/>
          <w:highlight w:val="none"/>
          <w:lang w:val="en-US" w:eastAsia="zh-CN"/>
        </w:rPr>
      </w:pPr>
      <w:bookmarkStart w:id="19" w:name="_Toc8290"/>
      <w:r>
        <w:rPr>
          <w:rFonts w:hint="eastAsia" w:ascii="仿宋" w:hAnsi="仿宋" w:eastAsia="仿宋" w:cs="仿宋"/>
          <w:color w:val="auto"/>
          <w:sz w:val="24"/>
          <w:szCs w:val="24"/>
          <w:highlight w:val="none"/>
          <w:lang w:val="en-US" w:eastAsia="zh-CN"/>
        </w:rPr>
        <w:t>3.招标文件每套售价500.00元，在报名和招标文件发售期内报名的投标人，其投标文件才被接受。招标文件购买费用和投标文件一并递交。</w:t>
      </w:r>
      <w:bookmarkEnd w:id="19"/>
    </w:p>
    <w:p w14:paraId="4B18C71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（四）线上报价</w:t>
      </w:r>
    </w:p>
    <w:p w14:paraId="669C7AE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1.线上报价时间：按本项目网上公告规定的报价截止时间为准。</w:t>
      </w:r>
    </w:p>
    <w:p w14:paraId="6F6738A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2.线上报价要求：按本项目规定的时间在行采家（https://www.gec123.com/）进行网上报价，并在规定的时间内上传投标文件电子文档。未在规定时间内报价和上传投标文件电子文档的投标人不具备竞标资格。</w:t>
      </w:r>
    </w:p>
    <w:p w14:paraId="0736C40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（五）线下纸质文件的递交</w:t>
      </w:r>
    </w:p>
    <w:p w14:paraId="439210F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1.递交投标文件地点：重庆市南岸区江南新城南坪实验幼儿园4楼会议室（重庆市南岸区天文大道7号）</w:t>
      </w:r>
      <w:r>
        <w:rPr>
          <w:rFonts w:hint="eastAsia" w:ascii="仿宋" w:hAnsi="仿宋" w:eastAsia="仿宋" w:cs="仿宋"/>
          <w:color w:val="auto"/>
          <w:sz w:val="24"/>
          <w:szCs w:val="24"/>
          <w:highlight w:val="none"/>
          <w:lang w:eastAsia="zh-CN"/>
        </w:rPr>
        <w:t>。</w:t>
      </w:r>
      <w:bookmarkStart w:id="194" w:name="_GoBack"/>
      <w:bookmarkEnd w:id="194"/>
    </w:p>
    <w:p w14:paraId="639F1C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2.投标文件递交开始时间：</w:t>
      </w:r>
      <w:r>
        <w:rPr>
          <w:rFonts w:hint="eastAsia" w:ascii="仿宋" w:hAnsi="仿宋" w:eastAsia="仿宋" w:cs="仿宋"/>
          <w:color w:val="auto"/>
          <w:sz w:val="24"/>
          <w:szCs w:val="24"/>
          <w:highlight w:val="none"/>
          <w:lang w:val="en-US" w:eastAsia="zh-CN"/>
        </w:rPr>
        <w:t>2025年7月29日北京时间14:00；</w:t>
      </w:r>
    </w:p>
    <w:p w14:paraId="7A3CD2AC">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投标文件递交截止时间：2025年7月29日北京时间14:30。</w:t>
      </w:r>
    </w:p>
    <w:p w14:paraId="4F94087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3.现场递交纸质投标文件一式三份，其中正本一份，副本两份，副本可为正本的复印件。上传的投标文件电子文档内容应与纸质文件正本一致。如纸质投标文件正本与副本不一致，以正本为准。</w:t>
      </w:r>
    </w:p>
    <w:p w14:paraId="577A87C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4.已参与线上报价的投标人应在规定的时间内现场递交纸质投标文件，否则按无效投标处理</w:t>
      </w:r>
      <w:r>
        <w:rPr>
          <w:rFonts w:hint="eastAsia" w:ascii="仿宋" w:hAnsi="仿宋" w:eastAsia="仿宋" w:cs="仿宋"/>
          <w:color w:val="auto"/>
          <w:sz w:val="24"/>
          <w:szCs w:val="24"/>
          <w:highlight w:val="none"/>
        </w:rPr>
        <w:t>。</w:t>
      </w:r>
    </w:p>
    <w:p w14:paraId="68E47DC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14:30</w:t>
      </w:r>
      <w:r>
        <w:rPr>
          <w:rFonts w:hint="eastAsia" w:ascii="仿宋" w:hAnsi="仿宋" w:eastAsia="仿宋" w:cs="仿宋"/>
          <w:color w:val="auto"/>
          <w:sz w:val="24"/>
          <w:szCs w:val="24"/>
          <w:highlight w:val="none"/>
        </w:rPr>
        <w:t>。</w:t>
      </w:r>
    </w:p>
    <w:p w14:paraId="3A384ED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（七）逾期送达或者未送达指定地点的投标文件，招标人不予受理。</w:t>
      </w:r>
    </w:p>
    <w:bookmarkEnd w:id="14"/>
    <w:bookmarkEnd w:id="15"/>
    <w:p w14:paraId="1777E4AB">
      <w:pPr>
        <w:pStyle w:val="4"/>
        <w:pageBreakBefore w:val="0"/>
        <w:widowControl w:val="0"/>
        <w:kinsoku/>
        <w:wordWrap/>
        <w:overflowPunct/>
        <w:topLinePunct w:val="0"/>
        <w:autoSpaceDE/>
        <w:autoSpaceDN/>
        <w:bidi w:val="0"/>
        <w:adjustRightInd/>
        <w:spacing w:before="0" w:after="0" w:line="440" w:lineRule="exact"/>
        <w:ind w:firstLine="241" w:firstLineChars="100"/>
        <w:textAlignment w:val="auto"/>
        <w:rPr>
          <w:rFonts w:hint="eastAsia" w:ascii="仿宋" w:hAnsi="仿宋" w:eastAsia="仿宋" w:cs="仿宋"/>
          <w:color w:val="auto"/>
          <w:sz w:val="24"/>
          <w:szCs w:val="24"/>
          <w:highlight w:val="none"/>
        </w:rPr>
      </w:pPr>
      <w:bookmarkStart w:id="20" w:name="_Toc1606"/>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、其它有关规定</w:t>
      </w:r>
      <w:bookmarkEnd w:id="16"/>
      <w:bookmarkEnd w:id="20"/>
    </w:p>
    <w:bookmarkEnd w:id="9"/>
    <w:p w14:paraId="7DF4C09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，不得参加同一合同项（分包）下的政府采购活动，否则均为无效响应。</w:t>
      </w:r>
    </w:p>
    <w:p w14:paraId="6145659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，不得再参加该采购项目的其他采购活动。</w:t>
      </w:r>
    </w:p>
    <w:p w14:paraId="006E826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8"/>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已知晓本项目补遗文件（如果有）的内容。</w:t>
      </w:r>
    </w:p>
    <w:p w14:paraId="11B674B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投标有关</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683BF3A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（五）本项目不接受联合体参与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7F7EBC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（六）按照《财政部关于在政府采购活动中查询及使用信用记录有关问题的通知》财库〔2016〕125号，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，将拒绝其参与政府采购活动。</w:t>
      </w:r>
    </w:p>
    <w:p w14:paraId="28594765">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21" w:name="_Toc2959"/>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、联系方式</w:t>
      </w:r>
      <w:bookmarkEnd w:id="21"/>
    </w:p>
    <w:p w14:paraId="08B75DF2">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22" w:name="_Toc24944"/>
      <w:bookmarkStart w:id="23" w:name="_Toc32633"/>
      <w:bookmarkStart w:id="24" w:name="_Toc10222731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招标人：</w:t>
      </w:r>
      <w:bookmarkEnd w:id="22"/>
      <w:bookmarkEnd w:id="23"/>
      <w:r>
        <w:rPr>
          <w:rFonts w:hint="eastAsia" w:ascii="仿宋" w:hAnsi="仿宋" w:eastAsia="仿宋" w:cs="仿宋"/>
          <w:color w:val="auto"/>
          <w:sz w:val="24"/>
          <w:szCs w:val="24"/>
          <w:highlight w:val="none"/>
          <w:lang w:val="en-US" w:eastAsia="zh-CN"/>
        </w:rPr>
        <w:t>重庆市南岸区江南新城南坪实验幼儿园</w:t>
      </w:r>
    </w:p>
    <w:p w14:paraId="5662CD6E">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联系人：侯老师</w:t>
      </w:r>
    </w:p>
    <w:p w14:paraId="0906F75C">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  话：18523909162 </w:t>
      </w:r>
    </w:p>
    <w:p w14:paraId="63C07947">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址：重庆市南岸区天文大道7号</w:t>
      </w:r>
    </w:p>
    <w:p w14:paraId="4AD3470A">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rPr>
      </w:pPr>
      <w:bookmarkStart w:id="25" w:name="_Toc22583"/>
      <w:bookmarkStart w:id="26" w:name="_Toc27048"/>
    </w:p>
    <w:p w14:paraId="27C9722C">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招标代理机构：</w:t>
      </w:r>
      <w:bookmarkEnd w:id="25"/>
      <w:bookmarkEnd w:id="26"/>
      <w:r>
        <w:rPr>
          <w:rFonts w:hint="eastAsia" w:ascii="仿宋" w:hAnsi="仿宋" w:eastAsia="仿宋" w:cs="仿宋"/>
          <w:color w:val="auto"/>
          <w:sz w:val="24"/>
          <w:szCs w:val="24"/>
          <w:highlight w:val="none"/>
          <w:lang w:eastAsia="zh-CN"/>
        </w:rPr>
        <w:t>重庆腾锐阳工程项目管理有限公司</w:t>
      </w:r>
    </w:p>
    <w:p w14:paraId="7955CF5F">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刘老师</w:t>
      </w:r>
    </w:p>
    <w:p w14:paraId="4443A060">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023-62876939</w:t>
      </w:r>
    </w:p>
    <w:p w14:paraId="19909548">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eastAsia="zh-CN"/>
        </w:rPr>
        <w:sectPr>
          <w:footerReference r:id="rId10" w:type="default"/>
          <w:pgSz w:w="11907" w:h="16840"/>
          <w:pgMar w:top="1440" w:right="1080" w:bottom="1440" w:left="1080" w:header="397" w:footer="992" w:gutter="0"/>
          <w:pgNumType w:fmt="decimal" w:start="1"/>
          <w:cols w:space="720" w:num="1"/>
          <w:docGrid w:linePitch="312" w:charSpace="0"/>
        </w:sectPr>
      </w:pPr>
      <w:r>
        <w:rPr>
          <w:rFonts w:hint="eastAsia" w:ascii="仿宋" w:hAnsi="仿宋" w:eastAsia="仿宋" w:cs="仿宋"/>
          <w:color w:val="auto"/>
          <w:sz w:val="24"/>
          <w:szCs w:val="24"/>
          <w:highlight w:val="none"/>
          <w:lang w:eastAsia="zh-CN"/>
        </w:rPr>
        <w:t>地  址：重庆市南岸区长生桥镇美林路27号8-2</w:t>
      </w:r>
      <w:r>
        <w:rPr>
          <w:rFonts w:hint="eastAsia" w:ascii="仿宋" w:hAnsi="仿宋" w:eastAsia="仿宋" w:cs="仿宋"/>
          <w:color w:val="auto"/>
          <w:sz w:val="24"/>
          <w:szCs w:val="24"/>
          <w:highlight w:val="none"/>
          <w:lang w:val="en-US" w:eastAsia="zh-CN"/>
        </w:rPr>
        <w:t xml:space="preserve"> </w:t>
      </w:r>
    </w:p>
    <w:p w14:paraId="122C3293">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仿宋" w:hAnsi="仿宋" w:eastAsia="仿宋" w:cs="仿宋"/>
          <w:color w:val="auto"/>
          <w:sz w:val="36"/>
          <w:szCs w:val="28"/>
          <w:highlight w:val="none"/>
          <w:lang w:eastAsia="zh-CN"/>
        </w:rPr>
      </w:pPr>
      <w:bookmarkStart w:id="27" w:name="_Toc18443"/>
      <w:r>
        <w:rPr>
          <w:rFonts w:hint="eastAsia" w:ascii="仿宋" w:hAnsi="仿宋" w:eastAsia="仿宋" w:cs="仿宋"/>
          <w:color w:val="auto"/>
          <w:sz w:val="36"/>
          <w:szCs w:val="28"/>
          <w:highlight w:val="none"/>
        </w:rPr>
        <w:t xml:space="preserve">第二篇  </w:t>
      </w:r>
      <w:r>
        <w:rPr>
          <w:rFonts w:hint="eastAsia" w:ascii="仿宋" w:hAnsi="仿宋" w:eastAsia="仿宋" w:cs="仿宋"/>
          <w:color w:val="auto"/>
          <w:sz w:val="36"/>
          <w:szCs w:val="28"/>
          <w:highlight w:val="none"/>
          <w:lang w:eastAsia="zh-CN"/>
        </w:rPr>
        <w:t>项目</w:t>
      </w:r>
      <w:r>
        <w:rPr>
          <w:rFonts w:hint="eastAsia" w:ascii="仿宋" w:hAnsi="仿宋" w:eastAsia="仿宋" w:cs="仿宋"/>
          <w:color w:val="auto"/>
          <w:sz w:val="36"/>
          <w:szCs w:val="28"/>
          <w:highlight w:val="none"/>
          <w:lang w:val="en-US" w:eastAsia="zh-CN"/>
        </w:rPr>
        <w:t>服务需求</w:t>
      </w:r>
      <w:bookmarkEnd w:id="27"/>
    </w:p>
    <w:p w14:paraId="46F1EC9E">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color w:val="auto"/>
          <w:sz w:val="24"/>
          <w:szCs w:val="16"/>
          <w:highlight w:val="none"/>
          <w:lang w:val="en-US" w:eastAsia="zh-CN"/>
        </w:rPr>
      </w:pPr>
      <w:bookmarkStart w:id="28" w:name="_Toc24430"/>
      <w:bookmarkStart w:id="29" w:name="_Toc26338"/>
      <w:bookmarkStart w:id="30" w:name="_Toc16585"/>
      <w:bookmarkStart w:id="31" w:name="_Toc12519"/>
      <w:bookmarkStart w:id="32" w:name="_Toc832"/>
      <w:bookmarkStart w:id="33" w:name="_Toc1794"/>
      <w:bookmarkStart w:id="34" w:name="_Toc12789059"/>
      <w:bookmarkStart w:id="35" w:name="_Toc11641055"/>
      <w:r>
        <w:rPr>
          <w:rFonts w:hint="eastAsia" w:ascii="仿宋" w:hAnsi="仿宋" w:eastAsia="仿宋" w:cs="仿宋"/>
          <w:color w:val="auto"/>
          <w:sz w:val="24"/>
          <w:szCs w:val="16"/>
          <w:highlight w:val="none"/>
          <w:lang w:val="en-US" w:eastAsia="zh-CN"/>
        </w:rPr>
        <w:t>一、项目概况</w:t>
      </w:r>
    </w:p>
    <w:p w14:paraId="608B863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（一）基本情况</w:t>
      </w:r>
    </w:p>
    <w:p w14:paraId="473BC80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建设地点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重庆市南岸区天文大道7号。</w:t>
      </w:r>
    </w:p>
    <w:p w14:paraId="64FE01C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建设内容：</w:t>
      </w:r>
      <w:r>
        <w:rPr>
          <w:rFonts w:hint="eastAsia" w:ascii="仿宋" w:hAnsi="仿宋" w:eastAsia="仿宋" w:cs="仿宋"/>
          <w:color w:val="auto"/>
          <w:sz w:val="24"/>
          <w:szCs w:val="24"/>
          <w:highlight w:val="none"/>
          <w:u w:val="single"/>
          <w:lang w:val="en-US" w:eastAsia="zh-CN"/>
        </w:rPr>
        <w:t>主要内容包括屋面、挑檐以及校内卫生间的改造等内容，具体建设内容详见发布的工程量清单</w:t>
      </w:r>
      <w:r>
        <w:rPr>
          <w:rFonts w:hint="eastAsia" w:ascii="仿宋" w:hAnsi="仿宋" w:eastAsia="仿宋" w:cs="仿宋"/>
          <w:color w:val="auto"/>
          <w:sz w:val="24"/>
          <w:szCs w:val="24"/>
          <w:highlight w:val="none"/>
          <w:lang w:val="en-US" w:eastAsia="zh-CN"/>
        </w:rPr>
        <w:t>。</w:t>
      </w:r>
    </w:p>
    <w:p w14:paraId="4231C2D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（二）招标范围</w:t>
      </w:r>
    </w:p>
    <w:p w14:paraId="2B3566B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具体详见</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提供的工程量清单</w:t>
      </w:r>
      <w:r>
        <w:rPr>
          <w:rFonts w:hint="eastAsia" w:ascii="仿宋" w:hAnsi="仿宋" w:eastAsia="仿宋" w:cs="仿宋"/>
          <w:color w:val="auto"/>
          <w:sz w:val="24"/>
          <w:szCs w:val="24"/>
          <w:highlight w:val="none"/>
          <w:lang w:val="en-US" w:eastAsia="zh-CN"/>
        </w:rPr>
        <w:t>、图纸、招标</w:t>
      </w:r>
      <w:r>
        <w:rPr>
          <w:rFonts w:hint="eastAsia" w:ascii="仿宋" w:hAnsi="仿宋" w:eastAsia="仿宋" w:cs="仿宋"/>
          <w:color w:val="auto"/>
          <w:sz w:val="24"/>
          <w:szCs w:val="24"/>
          <w:highlight w:val="none"/>
        </w:rPr>
        <w:t>文件以及</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补遗、答疑、澄清中补充的全部工程内容。</w:t>
      </w:r>
    </w:p>
    <w:p w14:paraId="27221643">
      <w:pPr>
        <w:pStyle w:val="3"/>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color w:val="auto"/>
          <w:kern w:val="2"/>
          <w:sz w:val="24"/>
          <w:szCs w:val="16"/>
          <w:highlight w:val="none"/>
          <w:lang w:val="en-US" w:eastAsia="zh-CN" w:bidi="ar-SA"/>
        </w:rPr>
        <w:t>二、</w:t>
      </w:r>
      <w:r>
        <w:rPr>
          <w:rFonts w:hint="eastAsia" w:ascii="仿宋" w:hAnsi="仿宋" w:eastAsia="仿宋" w:cs="仿宋"/>
          <w:color w:val="auto"/>
          <w:sz w:val="24"/>
          <w:szCs w:val="16"/>
          <w:highlight w:val="none"/>
        </w:rPr>
        <w:t>项目服务需求</w:t>
      </w:r>
    </w:p>
    <w:p w14:paraId="565ACBC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（一）质量要求：符合强制性质量标准，符合国家和重庆市现行有关施工质量验收规范要求，并达到合格标准。</w:t>
      </w:r>
    </w:p>
    <w:p w14:paraId="72A2E09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（二）工程量清单</w:t>
      </w:r>
      <w:r>
        <w:rPr>
          <w:rFonts w:hint="eastAsia" w:ascii="仿宋" w:hAnsi="仿宋" w:eastAsia="仿宋" w:cs="仿宋"/>
          <w:color w:val="auto"/>
          <w:sz w:val="24"/>
          <w:szCs w:val="24"/>
          <w:highlight w:val="none"/>
          <w:lang w:val="en-US" w:eastAsia="zh-CN"/>
        </w:rPr>
        <w:t>、施工图</w:t>
      </w:r>
      <w:r>
        <w:rPr>
          <w:rFonts w:hint="eastAsia" w:ascii="仿宋" w:hAnsi="仿宋" w:eastAsia="仿宋" w:cs="仿宋"/>
          <w:color w:val="auto"/>
          <w:sz w:val="24"/>
          <w:szCs w:val="24"/>
          <w:highlight w:val="none"/>
        </w:rPr>
        <w:t>：工程量清单</w:t>
      </w:r>
      <w:r>
        <w:rPr>
          <w:rFonts w:hint="eastAsia" w:ascii="仿宋" w:hAnsi="仿宋" w:eastAsia="仿宋" w:cs="仿宋"/>
          <w:color w:val="auto"/>
          <w:sz w:val="24"/>
          <w:szCs w:val="24"/>
          <w:highlight w:val="none"/>
          <w:lang w:val="en-US" w:eastAsia="zh-CN"/>
        </w:rPr>
        <w:t>、施工图</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8"/>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上自行下载。</w:t>
      </w:r>
    </w:p>
    <w:p w14:paraId="20B8CFA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（三）现场踏勘</w:t>
      </w:r>
    </w:p>
    <w:p w14:paraId="740B6D4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人不统一组织踏勘项目现场。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可以在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递交截止时间之前自行对本项目现场进行踏勘、询问。无论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是否踏勘过现场，均被视为在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递交截止时间之前对本项目潜在的风险和义务已完全了解，并在其</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中已充分考虑了本项目可能面临的不确定因素可能导致的风险。</w:t>
      </w:r>
    </w:p>
    <w:p w14:paraId="2EA1195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）计划工期与缺陷责任期：</w:t>
      </w:r>
    </w:p>
    <w:p w14:paraId="3BFAF09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1、计划工期：</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日历天；</w:t>
      </w:r>
    </w:p>
    <w:p w14:paraId="233B07E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2、缺陷责任期：24个月。</w:t>
      </w:r>
    </w:p>
    <w:p w14:paraId="4F16FA3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）分包：本项目不允许分包。</w:t>
      </w:r>
    </w:p>
    <w:p w14:paraId="79A959F9">
      <w:pPr>
        <w:pStyle w:val="3"/>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color w:val="auto"/>
          <w:kern w:val="2"/>
          <w:sz w:val="24"/>
          <w:szCs w:val="16"/>
          <w:highlight w:val="none"/>
          <w:lang w:val="en-US" w:eastAsia="zh-CN" w:bidi="ar-SA"/>
        </w:rPr>
        <w:t>、</w:t>
      </w:r>
      <w:r>
        <w:rPr>
          <w:rFonts w:hint="eastAsia" w:ascii="仿宋" w:hAnsi="仿宋" w:eastAsia="仿宋" w:cs="仿宋"/>
          <w:color w:val="auto"/>
          <w:sz w:val="24"/>
          <w:szCs w:val="16"/>
          <w:highlight w:val="none"/>
        </w:rPr>
        <w:t>人员要求</w:t>
      </w:r>
    </w:p>
    <w:p w14:paraId="1F91C946">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（一）项目经理（1人）</w:t>
      </w:r>
    </w:p>
    <w:p w14:paraId="49CB91A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拟派的项目经理必须已在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本单位注册并应具有</w:t>
      </w:r>
      <w:r>
        <w:rPr>
          <w:rFonts w:hint="eastAsia" w:ascii="仿宋" w:hAnsi="仿宋" w:eastAsia="仿宋" w:cs="仿宋"/>
          <w:b/>
          <w:bCs/>
          <w:color w:val="auto"/>
          <w:sz w:val="24"/>
          <w:szCs w:val="24"/>
          <w:highlight w:val="none"/>
          <w:lang w:val="en-US" w:eastAsia="zh-CN"/>
        </w:rPr>
        <w:t>建筑工程</w:t>
      </w:r>
      <w:r>
        <w:rPr>
          <w:rFonts w:hint="eastAsia" w:ascii="仿宋" w:hAnsi="仿宋" w:eastAsia="仿宋" w:cs="仿宋"/>
          <w:b/>
          <w:bCs/>
          <w:color w:val="auto"/>
          <w:sz w:val="24"/>
          <w:szCs w:val="24"/>
          <w:highlight w:val="none"/>
        </w:rPr>
        <w:t>专业贰级及以上</w:t>
      </w:r>
      <w:r>
        <w:rPr>
          <w:rFonts w:hint="eastAsia" w:ascii="仿宋" w:hAnsi="仿宋" w:eastAsia="仿宋" w:cs="仿宋"/>
          <w:color w:val="auto"/>
          <w:sz w:val="24"/>
          <w:szCs w:val="24"/>
          <w:highlight w:val="none"/>
        </w:rPr>
        <w:t>注册建造师执业资格</w:t>
      </w:r>
      <w:r>
        <w:rPr>
          <w:rFonts w:hint="eastAsia" w:ascii="仿宋" w:hAnsi="仿宋" w:eastAsia="仿宋" w:cs="仿宋"/>
          <w:color w:val="auto"/>
          <w:sz w:val="24"/>
          <w:szCs w:val="24"/>
          <w:highlight w:val="none"/>
          <w:lang w:eastAsia="zh-CN"/>
        </w:rPr>
        <w:t>，具有建设行政主管部门颁发的有效的安全生产考核合格证书（B证）</w:t>
      </w:r>
      <w:r>
        <w:rPr>
          <w:rFonts w:hint="eastAsia" w:ascii="仿宋" w:hAnsi="仿宋" w:eastAsia="仿宋" w:cs="仿宋"/>
          <w:color w:val="auto"/>
          <w:sz w:val="24"/>
          <w:szCs w:val="24"/>
          <w:highlight w:val="none"/>
        </w:rPr>
        <w:t>。</w:t>
      </w:r>
    </w:p>
    <w:p w14:paraId="562F1763">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w:t>
      </w:r>
      <w:r>
        <w:rPr>
          <w:rFonts w:hint="eastAsia" w:ascii="仿宋" w:hAnsi="仿宋" w:eastAsia="仿宋" w:cs="仿宋"/>
          <w:color w:val="auto"/>
          <w:sz w:val="24"/>
          <w:szCs w:val="24"/>
          <w:highlight w:val="none"/>
          <w:lang w:val="en-US" w:eastAsia="zh-CN"/>
        </w:rPr>
        <w:t>供拟派项目经理建造师注册证书（若为建造师电子注册证书，须在使用有效期内）、安全生产考核合格证书（B类），投标人本单位为其缴纳的养老保险证明材料复印件。以上证明材料均需加盖投标人公章。</w:t>
      </w:r>
    </w:p>
    <w:p w14:paraId="061799DB">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（二）项目技术负责人（1人）</w:t>
      </w:r>
    </w:p>
    <w:p w14:paraId="11A73A1F">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拟派的项目技术负责人应具有</w:t>
      </w:r>
      <w:r>
        <w:rPr>
          <w:rFonts w:hint="eastAsia" w:ascii="仿宋" w:hAnsi="仿宋" w:eastAsia="仿宋" w:cs="仿宋"/>
          <w:b/>
          <w:bCs/>
          <w:color w:val="auto"/>
          <w:sz w:val="24"/>
          <w:szCs w:val="24"/>
          <w:highlight w:val="none"/>
        </w:rPr>
        <w:t>工程类中级及以上</w:t>
      </w:r>
      <w:r>
        <w:rPr>
          <w:rFonts w:hint="eastAsia" w:ascii="仿宋" w:hAnsi="仿宋" w:eastAsia="仿宋" w:cs="仿宋"/>
          <w:b w:val="0"/>
          <w:bCs w:val="0"/>
          <w:color w:val="auto"/>
          <w:sz w:val="24"/>
          <w:szCs w:val="24"/>
          <w:highlight w:val="none"/>
          <w:lang w:val="en-US" w:eastAsia="zh-CN"/>
        </w:rPr>
        <w:t>技术</w:t>
      </w:r>
      <w:r>
        <w:rPr>
          <w:rFonts w:hint="eastAsia" w:ascii="仿宋" w:hAnsi="仿宋" w:eastAsia="仿宋" w:cs="仿宋"/>
          <w:color w:val="auto"/>
          <w:sz w:val="24"/>
          <w:szCs w:val="24"/>
          <w:highlight w:val="none"/>
        </w:rPr>
        <w:t>职称。</w:t>
      </w:r>
    </w:p>
    <w:p w14:paraId="56A72F9B">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须提供拟派技术负责人职称证、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本单位为其缴纳的养老保险证明材料复印件。以上证明材料均需加盖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24D7698">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（三）主要管理人员</w:t>
      </w:r>
    </w:p>
    <w:p w14:paraId="4F2D66FE">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自行承诺成交后在签订合同之前，须按照主管部门的要求组建施工项目部，配置项目管理班子，出具任命文件。</w:t>
      </w:r>
      <w:r>
        <w:rPr>
          <w:rFonts w:hint="eastAsia" w:ascii="仿宋" w:hAnsi="仿宋" w:eastAsia="仿宋" w:cs="仿宋"/>
          <w:b/>
          <w:bCs/>
          <w:color w:val="auto"/>
          <w:sz w:val="24"/>
          <w:szCs w:val="24"/>
          <w:highlight w:val="none"/>
        </w:rPr>
        <w:t>拟派的项目经理、项目技术负责人未经过</w:t>
      </w:r>
      <w:r>
        <w:rPr>
          <w:rFonts w:hint="eastAsia" w:ascii="仿宋" w:hAnsi="仿宋" w:eastAsia="仿宋" w:cs="仿宋"/>
          <w:b/>
          <w:bCs/>
          <w:color w:val="auto"/>
          <w:sz w:val="24"/>
          <w:szCs w:val="24"/>
          <w:highlight w:val="none"/>
          <w:lang w:eastAsia="zh-CN"/>
        </w:rPr>
        <w:t>招标人</w:t>
      </w:r>
      <w:r>
        <w:rPr>
          <w:rFonts w:hint="eastAsia" w:ascii="仿宋" w:hAnsi="仿宋" w:eastAsia="仿宋" w:cs="仿宋"/>
          <w:b/>
          <w:bCs/>
          <w:color w:val="auto"/>
          <w:sz w:val="24"/>
          <w:szCs w:val="24"/>
          <w:highlight w:val="none"/>
        </w:rPr>
        <w:t>同意，不得变更。</w:t>
      </w:r>
      <w:r>
        <w:rPr>
          <w:rFonts w:hint="eastAsia" w:ascii="仿宋" w:hAnsi="仿宋" w:eastAsia="仿宋" w:cs="仿宋"/>
          <w:color w:val="auto"/>
          <w:sz w:val="24"/>
          <w:szCs w:val="24"/>
          <w:highlight w:val="none"/>
        </w:rPr>
        <w:t>任命文件应当明确施工项目部的职责、岗位设置、人员配备，并书面通知</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。相关岗位管理人员应持有主管部门要求的岗位证书，并提供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本单位为其缴纳的养老保险证明材料复印件。成交后不能满足该要求的，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依法承担违约赔偿责任。</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lang w:val="en-US" w:eastAsia="zh-CN"/>
        </w:rPr>
        <w:t>中</w:t>
      </w:r>
      <w:r>
        <w:rPr>
          <w:rFonts w:hint="eastAsia" w:ascii="仿宋" w:hAnsi="仿宋" w:eastAsia="仿宋" w:cs="仿宋"/>
          <w:b/>
          <w:bCs/>
          <w:color w:val="auto"/>
          <w:sz w:val="24"/>
          <w:szCs w:val="24"/>
          <w:highlight w:val="none"/>
        </w:rPr>
        <w:t>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r>
        <w:rPr>
          <w:rFonts w:hint="eastAsia" w:ascii="仿宋" w:hAnsi="仿宋" w:eastAsia="仿宋" w:cs="仿宋"/>
          <w:b/>
          <w:bCs/>
          <w:color w:val="auto"/>
          <w:sz w:val="24"/>
          <w:szCs w:val="24"/>
          <w:highlight w:val="none"/>
          <w:lang w:eastAsia="zh-CN"/>
        </w:rPr>
        <w:t>。</w:t>
      </w:r>
    </w:p>
    <w:p w14:paraId="5F9F6894">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承诺，承诺严格按照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人给出的施工图及工程量清单施工，不得擅自增减项，若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人后期对施工内容调整，</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承诺严格遵守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人的调整内容；项目经理未经</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人同意不得随意更换。</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lang w:val="en-US" w:eastAsia="zh-CN"/>
        </w:rPr>
        <w:t>中</w:t>
      </w:r>
      <w:r>
        <w:rPr>
          <w:rFonts w:hint="eastAsia" w:ascii="仿宋" w:hAnsi="仿宋" w:eastAsia="仿宋" w:cs="仿宋"/>
          <w:b/>
          <w:bCs/>
          <w:color w:val="auto"/>
          <w:sz w:val="24"/>
          <w:szCs w:val="24"/>
          <w:highlight w:val="none"/>
        </w:rPr>
        <w:t>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r>
        <w:rPr>
          <w:rFonts w:hint="eastAsia" w:ascii="仿宋" w:hAnsi="仿宋" w:eastAsia="仿宋" w:cs="仿宋"/>
          <w:b/>
          <w:bCs/>
          <w:color w:val="auto"/>
          <w:sz w:val="24"/>
          <w:szCs w:val="24"/>
          <w:highlight w:val="none"/>
          <w:lang w:eastAsia="zh-CN"/>
        </w:rPr>
        <w:t>。</w:t>
      </w:r>
    </w:p>
    <w:p w14:paraId="0EFC8F63">
      <w:pPr>
        <w:pageBreakBefore w:val="0"/>
        <w:widowControl w:val="0"/>
        <w:kinsoku/>
        <w:wordWrap/>
        <w:overflowPunct/>
        <w:topLinePunct w:val="0"/>
        <w:autoSpaceDE/>
        <w:autoSpaceDN/>
        <w:bidi w:val="0"/>
        <w:snapToGrid w:val="0"/>
        <w:spacing w:line="440" w:lineRule="exact"/>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p w14:paraId="0220AF71">
      <w:pPr>
        <w:pageBreakBefore w:val="0"/>
        <w:widowControl w:val="0"/>
        <w:numPr>
          <w:ilvl w:val="0"/>
          <w:numId w:val="0"/>
        </w:numPr>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eastAsia="zh-CN"/>
        </w:rPr>
        <w:t>项目经理、项目技术负责人和主要管理人员不得相互兼任。</w:t>
      </w:r>
    </w:p>
    <w:p w14:paraId="41443D59">
      <w:pPr>
        <w:pageBreakBefore w:val="0"/>
        <w:widowControl w:val="0"/>
        <w:numPr>
          <w:ilvl w:val="0"/>
          <w:numId w:val="0"/>
        </w:numPr>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上述要求须提交的相关证明材料均为扫描件（原件或复印件的扫描件均可），扫描件须清晰可辨，有一条不满足，则</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作否决投标处理。</w:t>
      </w:r>
    </w:p>
    <w:p w14:paraId="4680100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须</w:t>
      </w:r>
      <w:r>
        <w:rPr>
          <w:rFonts w:hint="eastAsia" w:ascii="仿宋" w:hAnsi="仿宋" w:eastAsia="仿宋" w:cs="仿宋"/>
          <w:b/>
          <w:bCs/>
          <w:color w:val="auto"/>
          <w:sz w:val="24"/>
          <w:szCs w:val="24"/>
          <w:highlight w:val="none"/>
        </w:rPr>
        <w:t>自行承诺</w:t>
      </w:r>
      <w:r>
        <w:rPr>
          <w:rFonts w:hint="eastAsia" w:ascii="仿宋" w:hAnsi="仿宋" w:eastAsia="仿宋" w:cs="仿宋"/>
          <w:color w:val="auto"/>
          <w:sz w:val="24"/>
          <w:szCs w:val="24"/>
          <w:highlight w:val="none"/>
        </w:rPr>
        <w:t>其提供的上述相关证明材料真实有效，不存在弄虚作假情形。</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在合同签订前均有权对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提供的资料进行核实，若发现弄虚作假，按相关规定取消其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资格，并按相关法律法规报监督部门，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承担因此造成的相关责任并赔偿相应损失。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lang w:val="en-US" w:eastAsia="zh-CN"/>
        </w:rPr>
        <w:t>中</w:t>
      </w:r>
      <w:r>
        <w:rPr>
          <w:rFonts w:hint="eastAsia" w:ascii="仿宋" w:hAnsi="仿宋" w:eastAsia="仿宋" w:cs="仿宋"/>
          <w:b/>
          <w:bCs/>
          <w:color w:val="auto"/>
          <w:sz w:val="24"/>
          <w:szCs w:val="24"/>
          <w:highlight w:val="none"/>
        </w:rPr>
        <w:t>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r>
        <w:rPr>
          <w:rFonts w:hint="eastAsia" w:ascii="仿宋" w:hAnsi="仿宋" w:eastAsia="仿宋" w:cs="仿宋"/>
          <w:b/>
          <w:bCs/>
          <w:color w:val="auto"/>
          <w:sz w:val="24"/>
          <w:szCs w:val="24"/>
          <w:highlight w:val="none"/>
          <w:lang w:eastAsia="zh-CN"/>
        </w:rPr>
        <w:t>。</w:t>
      </w:r>
    </w:p>
    <w:p w14:paraId="21890A8F">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文件中所要求的人员养老保险证明要求如下：</w:t>
      </w:r>
    </w:p>
    <w:p w14:paraId="756643F6">
      <w:pPr>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①企业提供养老保险证明，事业单位提供养老保险证明或行政主管部门在编证明。</w:t>
      </w:r>
    </w:p>
    <w:p w14:paraId="07DA80B5">
      <w:pPr>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②项目经理、项目技术负责人的养老保险证明期限须包含 </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 xml:space="preserve"> 年任意一个月</w:t>
      </w:r>
      <w:r>
        <w:rPr>
          <w:rFonts w:hint="eastAsia" w:ascii="仿宋" w:hAnsi="仿宋" w:eastAsia="仿宋" w:cs="仿宋"/>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14:paraId="10D7ECE6">
      <w:pPr>
        <w:numPr>
          <w:ilvl w:val="0"/>
          <w:numId w:val="0"/>
        </w:numPr>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成立日期在2025年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月1日及以后或拟派的项目经理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文件递交截止时间入职时间不足1个月，无法提供养老保险证明材料的，可提供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与拟派的项目经理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rPr>
        <w:t>签订的劳动合同扫描件</w:t>
      </w:r>
      <w:r>
        <w:rPr>
          <w:rFonts w:hint="eastAsia" w:ascii="仿宋" w:hAnsi="仿宋" w:eastAsia="仿宋" w:cs="仿宋"/>
          <w:color w:val="auto"/>
          <w:sz w:val="24"/>
          <w:szCs w:val="24"/>
          <w:highlight w:val="none"/>
          <w:lang w:eastAsia="zh-CN"/>
        </w:rPr>
        <w:t>。</w:t>
      </w:r>
    </w:p>
    <w:p w14:paraId="15FBC4F1">
      <w:pPr>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bookmarkStart w:id="36" w:name="_Toc2705"/>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、安全生产</w:t>
      </w:r>
      <w:bookmarkEnd w:id="36"/>
    </w:p>
    <w:p w14:paraId="11325BAA">
      <w:pPr>
        <w:pageBreakBefore w:val="0"/>
        <w:widowControl w:val="0"/>
        <w:kinsoku/>
        <w:wordWrap/>
        <w:overflowPunct/>
        <w:topLinePunct w:val="0"/>
        <w:autoSpaceDE/>
        <w:autoSpaceDN/>
        <w:bidi w:val="0"/>
        <w:spacing w:line="4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按国家及行业的相关规定做好安全文明施工管理工作，制定严格的安全防护措施，确保安全施工，若因</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原因（包括但不仅限于：①周边环境复杂，工程施工涉及用电安全，由此由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所引起的漏电导致自身员工伤亡、行人伤亡或财产损失；②</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自行承担。</w:t>
      </w:r>
      <w:r>
        <w:rPr>
          <w:rFonts w:hint="eastAsia" w:ascii="仿宋" w:hAnsi="仿宋" w:eastAsia="仿宋" w:cs="仿宋"/>
          <w:color w:val="auto"/>
          <w:sz w:val="24"/>
          <w:szCs w:val="24"/>
          <w:highlight w:val="none"/>
        </w:rPr>
        <w:t>由此给</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还应当赔偿。</w:t>
      </w:r>
    </w:p>
    <w:p w14:paraId="3B064BB7">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）在施工过程中，</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须做到安全施工、文明施工，并做好相应的施工安全公告及警戒标识，</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应当与其施工人员建立劳动关系，承担全部用人用工主体责任。</w:t>
      </w:r>
    </w:p>
    <w:p w14:paraId="43E495C6">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）施工中</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必须按照安全文明施工管理规定设置明显的标识标志。</w:t>
      </w:r>
    </w:p>
    <w:p w14:paraId="7F457CE7">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应做好文明施工，杜绝野蛮施工，及时做好施工现场的整理、整顿、清洁工作。</w:t>
      </w:r>
    </w:p>
    <w:p w14:paraId="7D8CB767">
      <w:pPr>
        <w:rPr>
          <w:rFonts w:hint="eastAsia" w:ascii="仿宋" w:hAnsi="仿宋" w:eastAsia="仿宋" w:cs="仿宋"/>
          <w:color w:val="auto"/>
          <w:sz w:val="36"/>
          <w:szCs w:val="36"/>
          <w:highlight w:val="none"/>
          <w:lang w:val="en-US" w:eastAsia="zh-CN"/>
        </w:rPr>
      </w:pPr>
      <w:bookmarkStart w:id="37" w:name="_Toc4743"/>
      <w:r>
        <w:rPr>
          <w:rFonts w:hint="eastAsia" w:ascii="仿宋" w:hAnsi="仿宋" w:eastAsia="仿宋" w:cs="仿宋"/>
          <w:color w:val="auto"/>
          <w:sz w:val="36"/>
          <w:szCs w:val="36"/>
          <w:highlight w:val="none"/>
          <w:lang w:val="en-US" w:eastAsia="zh-CN"/>
        </w:rPr>
        <w:br w:type="page"/>
      </w:r>
    </w:p>
    <w:p w14:paraId="5577CC6B">
      <w:pPr>
        <w:pStyle w:val="3"/>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 xml:space="preserve">第三篇  </w:t>
      </w:r>
      <w:bookmarkEnd w:id="28"/>
      <w:bookmarkEnd w:id="29"/>
      <w:bookmarkEnd w:id="30"/>
      <w:bookmarkEnd w:id="31"/>
      <w:bookmarkEnd w:id="32"/>
      <w:bookmarkEnd w:id="33"/>
      <w:r>
        <w:rPr>
          <w:rFonts w:hint="eastAsia" w:ascii="仿宋" w:hAnsi="仿宋" w:eastAsia="仿宋" w:cs="仿宋"/>
          <w:color w:val="auto"/>
          <w:sz w:val="36"/>
          <w:szCs w:val="36"/>
          <w:highlight w:val="none"/>
          <w:lang w:val="en-US" w:eastAsia="zh-CN"/>
        </w:rPr>
        <w:t>项目商务需求</w:t>
      </w:r>
      <w:bookmarkEnd w:id="37"/>
    </w:p>
    <w:bookmarkEnd w:id="24"/>
    <w:bookmarkEnd w:id="34"/>
    <w:bookmarkEnd w:id="35"/>
    <w:p w14:paraId="635EE59A">
      <w:pPr>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kern w:val="0"/>
          <w:sz w:val="24"/>
          <w:szCs w:val="24"/>
          <w:highlight w:val="none"/>
          <w:lang w:val="en-US" w:eastAsia="zh-CN"/>
        </w:rPr>
      </w:pPr>
      <w:bookmarkStart w:id="38" w:name="_Toc4837"/>
      <w:bookmarkStart w:id="39" w:name="_Toc516231412"/>
      <w:bookmarkStart w:id="40" w:name="_Toc179714298"/>
      <w:bookmarkStart w:id="41" w:name="_Toc102227319"/>
      <w:bookmarkStart w:id="42" w:name="_Toc24569665"/>
      <w:bookmarkStart w:id="43" w:name="_Toc31319"/>
      <w:bookmarkStart w:id="44" w:name="_Toc267320051"/>
      <w:bookmarkStart w:id="45" w:name="_Toc8808"/>
      <w:bookmarkStart w:id="46" w:name="_Toc525658704"/>
      <w:bookmarkStart w:id="47" w:name="_Toc342913393"/>
      <w:bookmarkStart w:id="48" w:name="_Toc21783685"/>
      <w:r>
        <w:rPr>
          <w:rFonts w:hint="eastAsia" w:ascii="仿宋" w:hAnsi="仿宋" w:eastAsia="仿宋" w:cs="仿宋"/>
          <w:b/>
          <w:bCs/>
          <w:color w:val="auto"/>
          <w:kern w:val="0"/>
          <w:sz w:val="24"/>
          <w:szCs w:val="24"/>
          <w:highlight w:val="none"/>
          <w:lang w:val="en-US" w:eastAsia="zh-CN"/>
        </w:rPr>
        <w:t>一、工期、地点及验收方式</w:t>
      </w:r>
      <w:bookmarkEnd w:id="38"/>
    </w:p>
    <w:bookmarkEnd w:id="39"/>
    <w:bookmarkEnd w:id="40"/>
    <w:bookmarkEnd w:id="41"/>
    <w:bookmarkEnd w:id="42"/>
    <w:bookmarkEnd w:id="43"/>
    <w:bookmarkEnd w:id="44"/>
    <w:bookmarkEnd w:id="45"/>
    <w:bookmarkEnd w:id="46"/>
    <w:bookmarkEnd w:id="47"/>
    <w:p w14:paraId="6A5724A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9" w:name="_Toc267320050"/>
      <w:r>
        <w:rPr>
          <w:rFonts w:hint="eastAsia" w:ascii="仿宋" w:hAnsi="仿宋" w:eastAsia="仿宋" w:cs="仿宋"/>
          <w:color w:val="auto"/>
          <w:kern w:val="0"/>
          <w:sz w:val="24"/>
          <w:szCs w:val="24"/>
          <w:highlight w:val="none"/>
          <w:lang w:val="en-US" w:eastAsia="zh-CN"/>
        </w:rPr>
        <w:t>（一）工期：30日历天。</w:t>
      </w:r>
    </w:p>
    <w:p w14:paraId="53A04A1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（二）建设地点：重庆市南岸区天文大道7号。</w:t>
      </w:r>
    </w:p>
    <w:p w14:paraId="3CC0751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（三）验收方式</w:t>
      </w:r>
      <w:bookmarkEnd w:id="49"/>
    </w:p>
    <w:p w14:paraId="0E4ECB3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施工过程应遵照现行国家有关规范进行，招标人按照有关要求自行组织进行检查验收。中标人应保证工程质量，工程用建筑材料须符合国家及行业标准，项目工程达到国家现行有关施工质量验收规范要求，并达到合格标准。</w:t>
      </w:r>
    </w:p>
    <w:p w14:paraId="41C36E3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2.工程完工后，按国家相关标准验收程序和规程进行验收并签字确认。验收的相关费用由中标人承担。</w:t>
      </w:r>
    </w:p>
    <w:p w14:paraId="048EE6D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3.中标人未达到采购文件的要求，且对招标人造成损失的，由中标人承担一切责任，并赔偿所造成的损失。</w:t>
      </w:r>
    </w:p>
    <w:p w14:paraId="0DFE21CE">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50" w:name="_Toc29345"/>
      <w:bookmarkStart w:id="51" w:name="_Toc15594"/>
      <w:bookmarkStart w:id="52" w:name="_Toc8488"/>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计价方式和</w:t>
      </w:r>
      <w:r>
        <w:rPr>
          <w:rFonts w:hint="eastAsia" w:ascii="仿宋" w:hAnsi="仿宋" w:eastAsia="仿宋" w:cs="仿宋"/>
          <w:color w:val="auto"/>
          <w:sz w:val="24"/>
          <w:szCs w:val="24"/>
          <w:highlight w:val="none"/>
        </w:rPr>
        <w:t>报价要求</w:t>
      </w:r>
      <w:bookmarkEnd w:id="50"/>
      <w:bookmarkEnd w:id="51"/>
      <w:bookmarkEnd w:id="52"/>
    </w:p>
    <w:p w14:paraId="34046B9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53" w:name="_Toc8523"/>
      <w:bookmarkStart w:id="54" w:name="_Toc344475121"/>
      <w:bookmarkStart w:id="55" w:name="_Toc20397"/>
      <w:bookmarkStart w:id="56" w:name="_Toc30477"/>
      <w:bookmarkStart w:id="57" w:name="_Toc24569666"/>
      <w:bookmarkStart w:id="58" w:name="_Toc31674"/>
      <w:bookmarkStart w:id="59" w:name="_Toc403569791"/>
      <w:r>
        <w:rPr>
          <w:rFonts w:hint="eastAsia" w:ascii="仿宋" w:hAnsi="仿宋" w:eastAsia="仿宋" w:cs="仿宋"/>
          <w:color w:val="auto"/>
          <w:kern w:val="0"/>
          <w:sz w:val="24"/>
          <w:szCs w:val="24"/>
          <w:highlight w:val="none"/>
          <w:lang w:val="en-US" w:eastAsia="zh-CN"/>
        </w:rPr>
        <w:t>（一）计价方式：本项目实行工程量清单计价。</w:t>
      </w:r>
    </w:p>
    <w:p w14:paraId="048109C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60" w:name="_Toc13734"/>
      <w:r>
        <w:rPr>
          <w:rFonts w:hint="eastAsia" w:ascii="仿宋" w:hAnsi="仿宋" w:eastAsia="仿宋" w:cs="仿宋"/>
          <w:color w:val="auto"/>
          <w:kern w:val="0"/>
          <w:sz w:val="24"/>
          <w:szCs w:val="24"/>
          <w:highlight w:val="none"/>
          <w:lang w:val="en-US" w:eastAsia="zh-CN"/>
        </w:rPr>
        <w:t>（二）报价要求</w:t>
      </w:r>
      <w:bookmarkEnd w:id="60"/>
    </w:p>
    <w:p w14:paraId="662E19F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报价须为人民币报价，投标人以招标文件、工程量清单、国家技术和经济规范及标准为依据，由投标人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p>
    <w:p w14:paraId="4A25D32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61" w:name="_Toc6412"/>
      <w:r>
        <w:rPr>
          <w:rFonts w:hint="eastAsia" w:ascii="仿宋" w:hAnsi="仿宋" w:eastAsia="仿宋" w:cs="仿宋"/>
          <w:color w:val="auto"/>
          <w:kern w:val="0"/>
          <w:sz w:val="24"/>
          <w:szCs w:val="24"/>
          <w:highlight w:val="none"/>
          <w:lang w:val="en-US" w:eastAsia="zh-CN"/>
        </w:rPr>
        <w:t>（三）报价依据：</w:t>
      </w:r>
      <w:bookmarkEnd w:id="61"/>
    </w:p>
    <w:p w14:paraId="59CDDDA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各投标人以招标文件、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kern w:val="0"/>
          <w:sz w:val="24"/>
          <w:szCs w:val="24"/>
          <w:highlight w:val="none"/>
          <w:lang w:val="en-US" w:eastAsia="zh-CN"/>
        </w:rPr>
        <w:t>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14:paraId="30BEB06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将被否决。投标人须按招标人提供的工程量清单填报价格，不得随意更改工程量清单内的项目编码、项目名称、项目特征、计量单位、工程量（措施项目清单除外），否则作无效响应处理。</w:t>
      </w:r>
    </w:p>
    <w:p w14:paraId="4611871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3、报价函中的总报价必须与已标价工程量清单总报价一致，否则作无效响应处理。</w:t>
      </w:r>
    </w:p>
    <w:p w14:paraId="0858D9A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4、安全文明施工费</w:t>
      </w:r>
    </w:p>
    <w:p w14:paraId="00B93DE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4.1根据《重庆市建设工程费用定额》（CQFYDE-2018）规定，安全文明施工费由安全施工费、文明施工费、环境保护费及临时设施费四部分组成。</w:t>
      </w:r>
    </w:p>
    <w:p w14:paraId="7313BC7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本工程安全文明施工费由招标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rPr>
        <w:t>的相关规定和费用标准单列计算，安全文明施工费为暂定金额，与最高限价一起公布。《报价函》中的安全文明施工费金额或工程量清单中安全文明施工费的汇总金额未按照招标人给出的暂定金额填报的，视为对招标文件不作实质性响应，其投标文件由评标委员会作否决投标处理。</w:t>
      </w:r>
    </w:p>
    <w:p w14:paraId="58A3539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4.3安全文明施工费的要求与内容、提取支付方法以及违反约定造成损失的赔偿等条款，按照现行规范性要求执行，做到专款专用。</w:t>
      </w:r>
    </w:p>
    <w:p w14:paraId="32C9751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本工程所需材料、设备由投标人参照重庆市建设工程造价管理总站发布的《重庆工程造价信息》或工程造价管理机构发布的工程造价信息（造价信息引用时限为招标文件发布日期前一期），并结合市场行情及自身实力进行自主报价。材料运输距离由投标人根据自身情况及踏勘现场情况自行确定并考虑在响应报价中。</w:t>
      </w:r>
    </w:p>
    <w:p w14:paraId="08EC916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人工费由投标人按重庆市建设工程造价管理总站发布的《重庆工程造价信息》或工程造价管理机构发布的工程造价信息（造价信息引用时限为招标文件发布日期前一期）公布的人工价并结合市场行情及自身实力进行自主报价，由各投标人结合市场行情自主测算计入各分部分项综合单价中。</w:t>
      </w:r>
    </w:p>
    <w:p w14:paraId="78E7845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7、措施项目费：措施项目费清单包括施工组织措施项目清单和施工技术措施项目清单两部分。</w:t>
      </w:r>
    </w:p>
    <w:p w14:paraId="2526BB2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7.1施工组织措施项目清单：投标人结合本工程的实际情况和国家及重庆市相关管理规定自行增减项目，并进行报价。如果漏项或不报价，视为已包含在其他项目清单综合单价内。</w:t>
      </w:r>
    </w:p>
    <w:p w14:paraId="5C030AD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14:paraId="27D4DE0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8、规费：按照《重庆市建设工程费用定额》（CQFYDE-2018）所规定费率执行。</w:t>
      </w:r>
    </w:p>
    <w:p w14:paraId="08B7604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税金：按《重庆市城乡建设委员会关于建筑业营业税改征增值税调整建设工程计价依据的通知》（渝建（2016）35号）、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编制预算。</w:t>
      </w:r>
    </w:p>
    <w:p w14:paraId="4223190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10.本工程招标将设置投标总报价最高限价，投标总报价最高限价为</w:t>
      </w:r>
      <w:r>
        <w:rPr>
          <w:rFonts w:hint="eastAsia" w:ascii="仿宋" w:hAnsi="仿宋" w:eastAsia="仿宋" w:cs="仿宋"/>
          <w:b/>
          <w:bCs/>
          <w:color w:val="auto"/>
          <w:kern w:val="0"/>
          <w:sz w:val="24"/>
          <w:szCs w:val="24"/>
          <w:highlight w:val="none"/>
          <w:u w:val="single"/>
          <w:lang w:val="en-US" w:eastAsia="zh-CN"/>
        </w:rPr>
        <w:t xml:space="preserve"> 667225.49 </w:t>
      </w:r>
      <w:r>
        <w:rPr>
          <w:rFonts w:hint="eastAsia" w:ascii="仿宋" w:hAnsi="仿宋" w:eastAsia="仿宋" w:cs="仿宋"/>
          <w:b/>
          <w:bCs/>
          <w:color w:val="auto"/>
          <w:kern w:val="0"/>
          <w:sz w:val="24"/>
          <w:szCs w:val="24"/>
          <w:highlight w:val="none"/>
          <w:lang w:val="en-US" w:eastAsia="zh-CN"/>
        </w:rPr>
        <w:t>元（大写：</w:t>
      </w:r>
      <w:r>
        <w:rPr>
          <w:rFonts w:hint="eastAsia" w:ascii="仿宋" w:hAnsi="仿宋" w:eastAsia="仿宋" w:cs="仿宋"/>
          <w:b/>
          <w:bCs/>
          <w:color w:val="auto"/>
          <w:kern w:val="0"/>
          <w:sz w:val="24"/>
          <w:szCs w:val="24"/>
          <w:highlight w:val="none"/>
          <w:u w:val="single"/>
          <w:lang w:val="en-US" w:eastAsia="zh-CN"/>
        </w:rPr>
        <w:t xml:space="preserve"> 陆拾陆万柒仟贰佰贰拾伍元肆角玖分 </w:t>
      </w:r>
      <w:r>
        <w:rPr>
          <w:rFonts w:hint="eastAsia" w:ascii="仿宋" w:hAnsi="仿宋" w:eastAsia="仿宋" w:cs="仿宋"/>
          <w:b/>
          <w:bCs/>
          <w:color w:val="auto"/>
          <w:kern w:val="0"/>
          <w:sz w:val="24"/>
          <w:szCs w:val="24"/>
          <w:highlight w:val="none"/>
          <w:lang w:val="en-US" w:eastAsia="zh-CN"/>
        </w:rPr>
        <w:t>），安全文明施工费暂定金额</w:t>
      </w:r>
      <w:r>
        <w:rPr>
          <w:rFonts w:hint="eastAsia" w:ascii="仿宋" w:hAnsi="仿宋" w:eastAsia="仿宋" w:cs="仿宋"/>
          <w:b/>
          <w:bCs/>
          <w:color w:val="auto"/>
          <w:kern w:val="0"/>
          <w:sz w:val="24"/>
          <w:szCs w:val="24"/>
          <w:highlight w:val="none"/>
          <w:u w:val="single"/>
          <w:lang w:val="en-US" w:eastAsia="zh-CN"/>
        </w:rPr>
        <w:t xml:space="preserve"> 19310.2 </w:t>
      </w:r>
      <w:r>
        <w:rPr>
          <w:rFonts w:hint="eastAsia" w:ascii="仿宋" w:hAnsi="仿宋" w:eastAsia="仿宋" w:cs="仿宋"/>
          <w:b/>
          <w:bCs/>
          <w:color w:val="auto"/>
          <w:kern w:val="0"/>
          <w:sz w:val="24"/>
          <w:szCs w:val="24"/>
          <w:highlight w:val="none"/>
          <w:lang w:val="en-US" w:eastAsia="zh-CN"/>
        </w:rPr>
        <w:t>元，投标人的投标总报价不得超过投标总报价最高限价，否则视为对招标文件不作实质性响应。</w:t>
      </w:r>
    </w:p>
    <w:p w14:paraId="64ED73E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p>
    <w:p w14:paraId="51FF5C5F">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11.</w:t>
      </w:r>
      <w:r>
        <w:rPr>
          <w:rFonts w:hint="eastAsia" w:ascii="仿宋" w:hAnsi="仿宋" w:eastAsia="仿宋" w:cs="仿宋"/>
          <w:color w:val="auto"/>
          <w:kern w:val="0"/>
          <w:sz w:val="24"/>
          <w:szCs w:val="24"/>
          <w:highlight w:val="none"/>
          <w:lang w:val="en-US" w:eastAsia="zh-CN"/>
        </w:rPr>
        <w:t>招标人在工程量清单中所列出的安全文明施工费、暂列金额（如有）、暂估价（如有）等暂定金额，投标人不得修改，否则视为对招标文件不作实质性响应。</w:t>
      </w:r>
    </w:p>
    <w:p w14:paraId="7922921B">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12.</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en-US" w:eastAsia="zh-CN" w:bidi="ar-SA"/>
        </w:rPr>
        <w:t>在合同签订前将对中标人已标价工程量清单进行清标。若发现中标人的工程量清单综合单价报价超过开标时给出的工程量清单综合单价最高限价的，在工程结算时招标人将以发出的工程量清单综合单价最高限价为基础，按照中标人所报总报价与本工程的总价最高限价的下浮比例进行同比例下调，中标人必须无条件接受，否则按中标人违约处理。</w:t>
      </w:r>
    </w:p>
    <w:p w14:paraId="6E62BD1C">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三、履约担保</w:t>
      </w:r>
    </w:p>
    <w:p w14:paraId="5D195FF3">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19D9E1E6">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1440D111">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0A9A612A">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7F965A23">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（三）履约担保的提交时间：在合同签订前，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按担保金额向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并上报政府采购主管部门，并追究其法律责任。</w:t>
      </w:r>
    </w:p>
    <w:p w14:paraId="6C96163B">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bookmarkStart w:id="62" w:name="_Toc19136"/>
      <w:bookmarkStart w:id="63" w:name="_Toc13388"/>
      <w:bookmarkStart w:id="64" w:name="_Toc16641"/>
      <w:r>
        <w:rPr>
          <w:rFonts w:hint="eastAsia" w:ascii="仿宋" w:hAnsi="仿宋" w:eastAsia="仿宋" w:cs="仿宋"/>
          <w:color w:val="auto"/>
          <w:sz w:val="24"/>
          <w:szCs w:val="24"/>
          <w:highlight w:val="none"/>
        </w:rPr>
        <w:t>（四）履约担保的期限：提交履约担保之日起至竣工验收合格之日止</w:t>
      </w:r>
      <w:r>
        <w:rPr>
          <w:rFonts w:hint="eastAsia" w:ascii="仿宋" w:hAnsi="仿宋" w:eastAsia="仿宋" w:cs="仿宋"/>
          <w:color w:val="auto"/>
          <w:sz w:val="24"/>
          <w:szCs w:val="24"/>
          <w:highlight w:val="none"/>
          <w:lang w:eastAsia="zh-CN"/>
        </w:rPr>
        <w:t>。</w:t>
      </w:r>
    </w:p>
    <w:p w14:paraId="77D28347">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履约担保的退还时间：工程通过竣工验收并达到合格标准后一次性无息退还。</w:t>
      </w:r>
      <w:bookmarkEnd w:id="62"/>
      <w:bookmarkEnd w:id="63"/>
      <w:bookmarkEnd w:id="64"/>
    </w:p>
    <w:p w14:paraId="3DE5F32D">
      <w:pPr>
        <w:pageBreakBefore w:val="0"/>
        <w:widowControl w:val="0"/>
        <w:tabs>
          <w:tab w:val="left" w:pos="-280"/>
        </w:tabs>
        <w:kinsoku/>
        <w:wordWrap/>
        <w:overflowPunct/>
        <w:topLinePunct w:val="0"/>
        <w:autoSpaceDE/>
        <w:autoSpaceDN/>
        <w:bidi w:val="0"/>
        <w:adjustRightInd/>
        <w:snapToGrid w:val="0"/>
        <w:spacing w:line="440" w:lineRule="exact"/>
        <w:ind w:left="-115" w:leftChars="-41" w:firstLine="164" w:firstLineChars="68"/>
        <w:textAlignment w:val="auto"/>
        <w:rPr>
          <w:rFonts w:hint="eastAsia" w:ascii="仿宋" w:hAnsi="仿宋" w:eastAsia="仿宋" w:cs="仿宋"/>
          <w:b/>
          <w:bCs/>
          <w:color w:val="auto"/>
          <w:kern w:val="0"/>
          <w:sz w:val="24"/>
          <w:szCs w:val="24"/>
          <w:highlight w:val="none"/>
        </w:rPr>
      </w:pPr>
      <w:bookmarkStart w:id="65" w:name="_Toc500346129"/>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结算原则</w:t>
      </w:r>
      <w:bookmarkEnd w:id="65"/>
      <w:bookmarkStart w:id="66" w:name="_Toc396501789"/>
    </w:p>
    <w:bookmarkEnd w:id="66"/>
    <w:p w14:paraId="56FD02B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12FEB2A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12D406E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28748B3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046DE07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58A022E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7BC904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eastAsia="zh-CN"/>
        </w:rPr>
        <w:t>及其配套文件规定的</w:t>
      </w:r>
      <w:r>
        <w:rPr>
          <w:rFonts w:hint="eastAsia" w:ascii="仿宋" w:hAnsi="仿宋" w:eastAsia="仿宋" w:cs="仿宋"/>
          <w:color w:val="auto"/>
          <w:sz w:val="24"/>
          <w:szCs w:val="24"/>
          <w:highlight w:val="none"/>
        </w:rPr>
        <w:t>计量规则计算的合格工程量作为结算依据。</w:t>
      </w:r>
    </w:p>
    <w:p w14:paraId="101FC8B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0487CE9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21DDB22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30F4BE3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391B3D1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62ACBBD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b/>
          <w:bCs/>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43D10E3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投标人报价浮动率按下列公式计算：投标人报价浮动率=(1-中标价/最高限价)×100%。</w:t>
      </w:r>
    </w:p>
    <w:p w14:paraId="32F5FFE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56C6F52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5569062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6808D9F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29CC130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6EE10E9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067C1EB4">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1EBECDD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632BB9ED">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5.规费：</w:t>
      </w:r>
      <w:r>
        <w:rPr>
          <w:rFonts w:hint="eastAsia" w:ascii="仿宋" w:hAnsi="仿宋" w:eastAsia="仿宋" w:cs="仿宋"/>
          <w:color w:val="auto"/>
          <w:sz w:val="24"/>
          <w:szCs w:val="24"/>
          <w:highlight w:val="none"/>
          <w:lang w:val="zh-CN"/>
        </w:rPr>
        <w:t>按《重庆市建设工程费用定额》（CQFYDE-2018）费用标准进行计算</w:t>
      </w:r>
      <w:r>
        <w:rPr>
          <w:rFonts w:hint="eastAsia" w:ascii="仿宋" w:hAnsi="仿宋" w:eastAsia="仿宋" w:cs="仿宋"/>
          <w:color w:val="auto"/>
          <w:sz w:val="24"/>
          <w:szCs w:val="24"/>
          <w:highlight w:val="none"/>
        </w:rPr>
        <w:t>。</w:t>
      </w:r>
    </w:p>
    <w:p w14:paraId="7FC9EE6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6.税金：</w:t>
      </w:r>
      <w:r>
        <w:rPr>
          <w:rFonts w:hint="eastAsia" w:ascii="仿宋" w:hAnsi="仿宋" w:eastAsia="仿宋" w:cs="仿宋"/>
          <w:color w:val="auto"/>
          <w:sz w:val="24"/>
          <w:szCs w:val="24"/>
          <w:highlight w:val="none"/>
          <w:lang w:val="zh-CN"/>
        </w:rPr>
        <w:t>包含增值税、城市维护建设税、教育费附加、地方教育附加以及环境保护税。其中增值税按《重庆市建设工程费用定额》（CQFYDE-2018）规定及配套文件执行</w:t>
      </w:r>
      <w:r>
        <w:rPr>
          <w:rFonts w:hint="eastAsia" w:ascii="仿宋" w:hAnsi="仿宋" w:eastAsia="仿宋" w:cs="仿宋"/>
          <w:color w:val="auto"/>
          <w:sz w:val="24"/>
          <w:szCs w:val="24"/>
          <w:highlight w:val="none"/>
        </w:rPr>
        <w:t>。</w:t>
      </w:r>
    </w:p>
    <w:p w14:paraId="7BE4B5F6">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7.本工程综合单价结算价和结算总价最终以南岸区相关审计部门审定的金额为准。</w:t>
      </w:r>
    </w:p>
    <w:p w14:paraId="1BDBD532">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04D0953C">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bookmarkEnd w:id="53"/>
      <w:bookmarkEnd w:id="54"/>
      <w:bookmarkEnd w:id="55"/>
      <w:bookmarkEnd w:id="56"/>
      <w:bookmarkEnd w:id="57"/>
      <w:bookmarkEnd w:id="58"/>
      <w:bookmarkEnd w:id="59"/>
      <w:bookmarkStart w:id="67" w:name="_Toc28250"/>
      <w:bookmarkStart w:id="68" w:name="_Toc19901"/>
      <w:bookmarkStart w:id="69" w:name="_Toc10176"/>
      <w:bookmarkStart w:id="70" w:name="_Toc24569667"/>
      <w:r>
        <w:rPr>
          <w:rFonts w:hint="eastAsia" w:ascii="仿宋" w:hAnsi="仿宋" w:eastAsia="仿宋" w:cs="仿宋"/>
          <w:b/>
          <w:bCs/>
          <w:color w:val="auto"/>
          <w:sz w:val="24"/>
          <w:szCs w:val="24"/>
          <w:highlight w:val="none"/>
        </w:rPr>
        <w:t>质量保修期</w:t>
      </w:r>
    </w:p>
    <w:p w14:paraId="47E7838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（一）根据《建设工程质量管理条例》及有关规定，本工程质量保修期约定如下：</w:t>
      </w:r>
    </w:p>
    <w:p w14:paraId="60368623">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1.基础设施工程、房屋建筑的地基基础工程和主体结构工程，为设计文件规定的该工程的合理使用年限；</w:t>
      </w:r>
    </w:p>
    <w:p w14:paraId="787930E1">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2.屋面防水工程、有防水要求的卫生间、房间和外墙面的防渗漏，为5年；</w:t>
      </w:r>
    </w:p>
    <w:p w14:paraId="4008F235">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3.供热与供冷系统，为2个采暖期、供冷期；</w:t>
      </w:r>
    </w:p>
    <w:p w14:paraId="1C5FE770">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4.电气管线、给排水管道、设备安装和装修工程，为2年；</w:t>
      </w:r>
    </w:p>
    <w:p w14:paraId="51248399">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5.其他项目保修期限：2年；</w:t>
      </w:r>
    </w:p>
    <w:p w14:paraId="120B8E32">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（二）建设工程的保修期，自工程竣工验收合格之日起计算。</w:t>
      </w:r>
    </w:p>
    <w:p w14:paraId="79E3CBB7">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（三）质量保修责任</w:t>
      </w:r>
    </w:p>
    <w:p w14:paraId="38CAA9F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1.属于保修范围、内容的项目，成交投标人应当在接到保修通知之日起3天内派人保修。成交投标人不在约定期限内派人保修的，招标人可以委托他人修理，维修费用由成交投标人承担。</w:t>
      </w:r>
    </w:p>
    <w:p w14:paraId="50A1FE3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2.发生紧急事故需抢修的，成交投标人在接到事故通知后，应当立即到达事故现场抢修。</w:t>
      </w:r>
    </w:p>
    <w:p w14:paraId="665D52D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对于涉及结构安全的质量问题，应当按照《房屋建筑工程质量保修办法》的规定，立即向当地建设行政主管部门报告，采取安全防范措施；由原设计单位或者具有相应资质等级的设计单位提出保修方案，成交投标人实施保修。</w:t>
      </w:r>
    </w:p>
    <w:p w14:paraId="413688F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4.质量保修完成后，由招标人组织验收。</w:t>
      </w:r>
    </w:p>
    <w:p w14:paraId="4F6F9CB0">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、付款方式</w:t>
      </w:r>
      <w:bookmarkEnd w:id="67"/>
      <w:bookmarkEnd w:id="68"/>
      <w:bookmarkEnd w:id="69"/>
      <w:bookmarkEnd w:id="70"/>
    </w:p>
    <w:p w14:paraId="14E36C4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bookmarkStart w:id="71" w:name="_Toc12794"/>
      <w:bookmarkStart w:id="72" w:name="_Toc520204758"/>
      <w:bookmarkStart w:id="73" w:name="_Toc13040"/>
      <w:bookmarkStart w:id="74" w:name="_Toc24569668"/>
      <w:bookmarkStart w:id="75" w:name="_Toc4293"/>
      <w:bookmarkStart w:id="76" w:name="_Toc31427"/>
      <w:bookmarkStart w:id="77" w:name="_Toc267320052"/>
      <w:r>
        <w:rPr>
          <w:rFonts w:hint="eastAsia" w:ascii="仿宋" w:hAnsi="仿宋" w:eastAsia="仿宋" w:cs="仿宋"/>
          <w:color w:val="auto"/>
          <w:sz w:val="24"/>
          <w:szCs w:val="24"/>
          <w:highlight w:val="none"/>
          <w:lang w:val="en-US" w:eastAsia="zh-CN"/>
        </w:rPr>
        <w:t>（一）工程经财评中心结算审计后出具审计报告，移交档案资料且通过档案验收后，由中标人向招标人支付结算审定总额的3%作为质保金后，招标人按合同约定支付至结算审定总额的100%。</w:t>
      </w:r>
    </w:p>
    <w:p w14:paraId="71198C01">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（二）缺陷责任期为24个月，缺陷责任期满后1个月内无息退还工程质保金。</w:t>
      </w:r>
    </w:p>
    <w:p w14:paraId="2A164F44">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lang w:eastAsia="zh-CN"/>
        </w:rPr>
      </w:pPr>
      <w:bookmarkStart w:id="78" w:name="_Toc12582"/>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其他要求</w:t>
      </w:r>
    </w:p>
    <w:p w14:paraId="124679E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（一）中标人在项目施工、安装、维护等工作所涉及所有设备产品、主辅材料、施工工艺、项目管理均须符合国家相关技术规范、安全标准和环保要求。以及招标人合理的特有的管理要求。</w:t>
      </w:r>
    </w:p>
    <w:p w14:paraId="46B4ED4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（二）施工及维护过程中不得破坏招标人现有附属建筑物等设施设备，同时应加强招标人现有附属建筑物及成品保护，如因施工造成损坏的，由中标人承担由此造成的一切责任。</w:t>
      </w:r>
    </w:p>
    <w:p w14:paraId="0336D66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（三）涉及本次项目建设范围内设备（含附属设备、配件）的外观，要与招标人建筑、绿化、景观布局实际等方面要协调统一，招标人有权选择，中标人应予无条件支持配合。</w:t>
      </w:r>
    </w:p>
    <w:p w14:paraId="383D287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对于本项目建设</w:t>
      </w:r>
      <w:r>
        <w:rPr>
          <w:rFonts w:hint="eastAsia" w:ascii="仿宋" w:hAnsi="仿宋" w:eastAsia="仿宋" w:cs="仿宋"/>
          <w:color w:val="auto"/>
          <w:sz w:val="24"/>
          <w:highlight w:val="none"/>
          <w:lang w:val="en-US" w:eastAsia="zh-CN"/>
        </w:rPr>
        <w:t>内容及相关技术方案、建设方案等均属于保密信息，中标人应予以保密，不透露给任何其他方。</w:t>
      </w:r>
    </w:p>
    <w:p w14:paraId="78BFEFC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219CD35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（六）施工工期结束15日内将施工相关档案资料完善并提交，大于30万的工程项目按相关要求须进行财评的应报财评。</w:t>
      </w:r>
    </w:p>
    <w:p w14:paraId="1C4B5015">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、知识产权</w:t>
      </w:r>
      <w:bookmarkEnd w:id="71"/>
      <w:bookmarkEnd w:id="72"/>
      <w:bookmarkEnd w:id="73"/>
      <w:bookmarkEnd w:id="74"/>
      <w:bookmarkEnd w:id="75"/>
      <w:bookmarkEnd w:id="76"/>
      <w:bookmarkEnd w:id="77"/>
      <w:bookmarkEnd w:id="78"/>
    </w:p>
    <w:p w14:paraId="5AF6F76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在中华人民共和国境内使用</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提供的货物及服务时免受第三方提出的侵犯其专利权或其它知识产权的起诉。如果第三方提出侵权指控，</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应承担由此而引起的一切法律责任和费用。</w:t>
      </w:r>
    </w:p>
    <w:p w14:paraId="30E40247">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79" w:name="_Toc23606"/>
      <w:bookmarkStart w:id="80" w:name="_Toc22916"/>
      <w:bookmarkStart w:id="81" w:name="_Toc24896"/>
      <w:bookmarkStart w:id="82" w:name="_Toc24569670"/>
      <w:bookmarkStart w:id="83" w:name="_Toc729"/>
      <w:bookmarkStart w:id="84" w:name="_Toc403569795"/>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bookmarkEnd w:id="79"/>
      <w:bookmarkEnd w:id="80"/>
      <w:bookmarkEnd w:id="81"/>
      <w:bookmarkStart w:id="85" w:name="_Toc16375"/>
      <w:bookmarkStart w:id="86" w:name="_Toc22485"/>
      <w:bookmarkStart w:id="87" w:name="_Toc18676"/>
      <w:bookmarkStart w:id="88" w:name="_Toc18376"/>
      <w:bookmarkStart w:id="89" w:name="_Toc344475125"/>
      <w:r>
        <w:rPr>
          <w:rFonts w:hint="eastAsia" w:ascii="仿宋" w:hAnsi="仿宋" w:eastAsia="仿宋" w:cs="仿宋"/>
          <w:color w:val="auto"/>
          <w:sz w:val="24"/>
          <w:szCs w:val="24"/>
          <w:highlight w:val="none"/>
        </w:rPr>
        <w:t>违约责任</w:t>
      </w:r>
      <w:bookmarkEnd w:id="85"/>
      <w:bookmarkEnd w:id="86"/>
      <w:bookmarkEnd w:id="87"/>
      <w:bookmarkEnd w:id="88"/>
    </w:p>
    <w:p w14:paraId="4955563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按要求向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支付违约金，具体金额由双方协商决定。如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达10天，</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有权解除合同，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解除合同的通知自到达</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时生效。</w:t>
      </w:r>
    </w:p>
    <w:p w14:paraId="05BA3424">
      <w:pPr>
        <w:pageBreakBefore w:val="0"/>
        <w:widowControl w:val="0"/>
        <w:numPr>
          <w:ilvl w:val="0"/>
          <w:numId w:val="1"/>
        </w:numPr>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所交付的货物不符合本合同规定的，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有权拒收，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赔偿因此造成的损失。</w:t>
      </w:r>
    </w:p>
    <w:p w14:paraId="6EC9703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无正当理由不得拒收货物、拒付货款。</w:t>
      </w:r>
    </w:p>
    <w:p w14:paraId="23A07EE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（四）其他违约责任按照《中华人民共和国民法典》、《中华人民共和国产品质量法》等相关条款执行。</w:t>
      </w:r>
    </w:p>
    <w:p w14:paraId="1429797A">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90" w:name="_Toc21784"/>
      <w:bookmarkStart w:id="91" w:name="_Toc25408"/>
      <w:bookmarkStart w:id="92" w:name="_Toc15269"/>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、其他</w:t>
      </w:r>
      <w:bookmarkEnd w:id="82"/>
      <w:bookmarkEnd w:id="83"/>
      <w:bookmarkEnd w:id="84"/>
      <w:bookmarkEnd w:id="90"/>
      <w:bookmarkEnd w:id="91"/>
      <w:bookmarkEnd w:id="92"/>
    </w:p>
    <w:bookmarkEnd w:id="89"/>
    <w:p w14:paraId="2AE9A9E3">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确定后，由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按照相关规定和程序办理有关手续，签订合同。</w:t>
      </w:r>
    </w:p>
    <w:p w14:paraId="5D565275">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36"/>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）其他未尽事宜由供需双方在采购合同中详细约定。</w:t>
      </w:r>
    </w:p>
    <w:p w14:paraId="066870EA">
      <w:pPr>
        <w:pStyle w:val="8"/>
        <w:rPr>
          <w:rFonts w:hint="eastAsia" w:ascii="仿宋" w:hAnsi="仿宋" w:eastAsia="仿宋" w:cs="仿宋"/>
          <w:b/>
          <w:bCs/>
          <w:color w:val="auto"/>
          <w:sz w:val="36"/>
          <w:szCs w:val="28"/>
          <w:highlight w:val="none"/>
        </w:rPr>
      </w:pPr>
    </w:p>
    <w:p w14:paraId="0C4687A4">
      <w:pPr>
        <w:rPr>
          <w:rFonts w:hint="eastAsia" w:ascii="仿宋" w:hAnsi="仿宋" w:eastAsia="仿宋" w:cs="仿宋"/>
          <w:b/>
          <w:bCs/>
          <w:color w:val="auto"/>
          <w:sz w:val="36"/>
          <w:szCs w:val="28"/>
          <w:highlight w:val="none"/>
        </w:rPr>
      </w:pPr>
    </w:p>
    <w:p w14:paraId="452DAC43">
      <w:pPr>
        <w:rPr>
          <w:rFonts w:hint="eastAsia" w:ascii="仿宋" w:hAnsi="仿宋" w:eastAsia="仿宋" w:cs="仿宋"/>
          <w:color w:val="auto"/>
          <w:sz w:val="36"/>
          <w:szCs w:val="36"/>
          <w:highlight w:val="none"/>
        </w:rPr>
      </w:pPr>
      <w:bookmarkStart w:id="93" w:name="_Toc19698"/>
    </w:p>
    <w:p w14:paraId="4B9A2565">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0D32E8B1">
      <w:pPr>
        <w:pStyle w:val="3"/>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 xml:space="preserve">第四篇  </w:t>
      </w:r>
      <w:bookmarkEnd w:id="48"/>
      <w:r>
        <w:rPr>
          <w:rFonts w:hint="eastAsia" w:ascii="仿宋" w:hAnsi="仿宋" w:eastAsia="仿宋" w:cs="仿宋"/>
          <w:color w:val="auto"/>
          <w:sz w:val="36"/>
          <w:szCs w:val="36"/>
          <w:highlight w:val="none"/>
        </w:rPr>
        <w:t>评审程序及方法、评审标准、无效响应和采购终止</w:t>
      </w:r>
      <w:bookmarkEnd w:id="93"/>
    </w:p>
    <w:p w14:paraId="36CDBF47">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94" w:name="_Toc9780"/>
      <w:r>
        <w:rPr>
          <w:rFonts w:hint="eastAsia" w:ascii="仿宋" w:hAnsi="仿宋" w:eastAsia="仿宋" w:cs="仿宋"/>
          <w:color w:val="auto"/>
          <w:sz w:val="24"/>
          <w:szCs w:val="24"/>
          <w:highlight w:val="none"/>
        </w:rPr>
        <w:t>一、评审程序及方法</w:t>
      </w:r>
      <w:bookmarkEnd w:id="94"/>
    </w:p>
    <w:p w14:paraId="43F194E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规定的评审方式进行，本项目依法组建的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分别对各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进行综合评分。</w:t>
      </w:r>
    </w:p>
    <w:p w14:paraId="49CDDC1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的资格条件、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只有完全符合要求的前提下，才能参与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6607C542">
      <w:pPr>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1.资格审查。依据法律法规和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中的资格证明等进行审查，以确定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是否具备</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资格。资格性检查资料表如下：</w:t>
      </w:r>
    </w:p>
    <w:tbl>
      <w:tblPr>
        <w:tblStyle w:val="23"/>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5539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noWrap w:val="0"/>
            <w:vAlign w:val="center"/>
          </w:tcPr>
          <w:p w14:paraId="50A6F617">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20" w:type="dxa"/>
            <w:gridSpan w:val="2"/>
            <w:noWrap w:val="0"/>
            <w:vAlign w:val="center"/>
          </w:tcPr>
          <w:p w14:paraId="2F5F5646">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5635" w:type="dxa"/>
            <w:noWrap w:val="0"/>
            <w:vAlign w:val="center"/>
          </w:tcPr>
          <w:p w14:paraId="71D580BB">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7222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65A70A0F">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（一）</w:t>
            </w:r>
          </w:p>
        </w:tc>
        <w:tc>
          <w:tcPr>
            <w:tcW w:w="814" w:type="dxa"/>
            <w:vMerge w:val="restart"/>
            <w:noWrap w:val="0"/>
            <w:vAlign w:val="center"/>
          </w:tcPr>
          <w:p w14:paraId="75715B44">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2906" w:type="dxa"/>
            <w:noWrap w:val="0"/>
            <w:vAlign w:val="center"/>
          </w:tcPr>
          <w:p w14:paraId="6241C612">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635" w:type="dxa"/>
            <w:noWrap w:val="0"/>
            <w:vAlign w:val="center"/>
          </w:tcPr>
          <w:p w14:paraId="193CC5FB">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法人营业执照（副本）或事业单位法人证书（副本）或个体工商户营业执照或有效的自然人身份证明或社会团体法人登记证书（提供复印件）。 </w:t>
            </w:r>
          </w:p>
          <w:p w14:paraId="21B01618">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法定代表人身份证明和法定代表人授权代表委托书。</w:t>
            </w:r>
          </w:p>
        </w:tc>
      </w:tr>
      <w:tr w14:paraId="6A3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14:paraId="579F2968">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814" w:type="dxa"/>
            <w:vMerge w:val="continue"/>
            <w:noWrap w:val="0"/>
            <w:vAlign w:val="center"/>
          </w:tcPr>
          <w:p w14:paraId="0368A044">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p>
        </w:tc>
        <w:tc>
          <w:tcPr>
            <w:tcW w:w="2906" w:type="dxa"/>
            <w:noWrap w:val="0"/>
            <w:vAlign w:val="center"/>
          </w:tcPr>
          <w:p w14:paraId="60FB70E3">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5635" w:type="dxa"/>
            <w:vMerge w:val="restart"/>
            <w:noWrap w:val="0"/>
            <w:vAlign w:val="center"/>
          </w:tcPr>
          <w:p w14:paraId="2FB23470">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提供基本资格条件承诺函</w:t>
            </w:r>
            <w:r>
              <w:rPr>
                <w:rFonts w:hint="eastAsia" w:ascii="仿宋" w:hAnsi="仿宋" w:eastAsia="仿宋" w:cs="仿宋"/>
                <w:b/>
                <w:bCs/>
                <w:color w:val="auto"/>
                <w:sz w:val="24"/>
                <w:szCs w:val="24"/>
                <w:highlight w:val="none"/>
              </w:rPr>
              <w:t>（格式详见第七篇）</w:t>
            </w:r>
          </w:p>
        </w:tc>
      </w:tr>
      <w:tr w14:paraId="27C6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A60C6D1">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814" w:type="dxa"/>
            <w:vMerge w:val="continue"/>
            <w:noWrap w:val="0"/>
            <w:vAlign w:val="center"/>
          </w:tcPr>
          <w:p w14:paraId="700CF1B3">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p>
        </w:tc>
        <w:tc>
          <w:tcPr>
            <w:tcW w:w="2906" w:type="dxa"/>
            <w:noWrap w:val="0"/>
            <w:vAlign w:val="center"/>
          </w:tcPr>
          <w:p w14:paraId="6AF6B661">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5635" w:type="dxa"/>
            <w:vMerge w:val="continue"/>
            <w:noWrap w:val="0"/>
            <w:vAlign w:val="center"/>
          </w:tcPr>
          <w:p w14:paraId="14476823">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p>
        </w:tc>
      </w:tr>
      <w:tr w14:paraId="30C8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noWrap w:val="0"/>
            <w:vAlign w:val="center"/>
          </w:tcPr>
          <w:p w14:paraId="031C7308">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814" w:type="dxa"/>
            <w:vMerge w:val="continue"/>
            <w:noWrap w:val="0"/>
            <w:vAlign w:val="center"/>
          </w:tcPr>
          <w:p w14:paraId="476BD624">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p>
        </w:tc>
        <w:tc>
          <w:tcPr>
            <w:tcW w:w="2906" w:type="dxa"/>
            <w:noWrap w:val="0"/>
            <w:vAlign w:val="center"/>
          </w:tcPr>
          <w:p w14:paraId="28F2EE12">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5635" w:type="dxa"/>
            <w:vMerge w:val="continue"/>
            <w:noWrap w:val="0"/>
            <w:vAlign w:val="center"/>
          </w:tcPr>
          <w:p w14:paraId="3960DC4D">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p>
        </w:tc>
      </w:tr>
      <w:tr w14:paraId="0F90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2194588">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814" w:type="dxa"/>
            <w:vMerge w:val="continue"/>
            <w:noWrap w:val="0"/>
            <w:vAlign w:val="center"/>
          </w:tcPr>
          <w:p w14:paraId="656D0950">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p>
        </w:tc>
        <w:tc>
          <w:tcPr>
            <w:tcW w:w="2906" w:type="dxa"/>
            <w:noWrap w:val="0"/>
            <w:vAlign w:val="center"/>
          </w:tcPr>
          <w:p w14:paraId="13365D5E">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5635" w:type="dxa"/>
            <w:vMerge w:val="continue"/>
            <w:noWrap w:val="0"/>
            <w:vAlign w:val="center"/>
          </w:tcPr>
          <w:p w14:paraId="2DF799E1">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p>
        </w:tc>
      </w:tr>
      <w:tr w14:paraId="6F2B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35D2F9FB">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814" w:type="dxa"/>
            <w:vMerge w:val="continue"/>
            <w:noWrap w:val="0"/>
            <w:vAlign w:val="center"/>
          </w:tcPr>
          <w:p w14:paraId="7E79F836">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zh-CN"/>
              </w:rPr>
            </w:pPr>
          </w:p>
        </w:tc>
        <w:tc>
          <w:tcPr>
            <w:tcW w:w="2906" w:type="dxa"/>
            <w:noWrap w:val="0"/>
            <w:vAlign w:val="center"/>
          </w:tcPr>
          <w:p w14:paraId="09A2CB78">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635" w:type="dxa"/>
            <w:vMerge w:val="continue"/>
            <w:noWrap w:val="0"/>
            <w:vAlign w:val="center"/>
          </w:tcPr>
          <w:p w14:paraId="647B7542">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p>
        </w:tc>
      </w:tr>
      <w:tr w14:paraId="50CC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noWrap w:val="0"/>
            <w:vAlign w:val="center"/>
          </w:tcPr>
          <w:p w14:paraId="62E208CB">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720" w:type="dxa"/>
            <w:gridSpan w:val="2"/>
            <w:noWrap w:val="0"/>
            <w:vAlign w:val="center"/>
          </w:tcPr>
          <w:p w14:paraId="0B3DECE9">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特定资格要求</w:t>
            </w:r>
          </w:p>
        </w:tc>
        <w:tc>
          <w:tcPr>
            <w:tcW w:w="5635" w:type="dxa"/>
            <w:noWrap w:val="0"/>
            <w:vAlign w:val="center"/>
          </w:tcPr>
          <w:p w14:paraId="6F8C3573">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按第一篇“三、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资格条件 （</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）本项目的特定资格要求”的要求提交（如果有）。</w:t>
            </w:r>
          </w:p>
        </w:tc>
      </w:tr>
    </w:tbl>
    <w:p w14:paraId="189DF06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0BD2A4FB">
      <w:pPr>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2"/>
          <w:szCs w:val="22"/>
          <w:highlight w:val="none"/>
        </w:rPr>
        <w:fldChar w:fldCharType="begin"/>
      </w:r>
      <w:r>
        <w:rPr>
          <w:rFonts w:hint="eastAsia" w:ascii="仿宋" w:hAnsi="仿宋" w:eastAsia="仿宋" w:cs="仿宋"/>
          <w:color w:val="auto"/>
          <w:kern w:val="0"/>
          <w:sz w:val="22"/>
          <w:szCs w:val="22"/>
          <w:highlight w:val="none"/>
        </w:rPr>
        <w:instrText xml:space="preserve">eq \o\ac(</w:instrText>
      </w:r>
      <w:r>
        <w:rPr>
          <w:rFonts w:hint="eastAsia" w:ascii="仿宋" w:hAnsi="仿宋" w:eastAsia="仿宋" w:cs="仿宋"/>
          <w:color w:val="auto"/>
          <w:kern w:val="0"/>
          <w:position w:val="-4"/>
          <w:sz w:val="33"/>
          <w:szCs w:val="22"/>
          <w:highlight w:val="none"/>
        </w:rPr>
        <w:instrText xml:space="preserve">○</w:instrText>
      </w:r>
      <w:r>
        <w:rPr>
          <w:rFonts w:hint="eastAsia" w:ascii="仿宋" w:hAnsi="仿宋" w:eastAsia="仿宋" w:cs="仿宋"/>
          <w:color w:val="auto"/>
          <w:kern w:val="0"/>
          <w:sz w:val="22"/>
          <w:szCs w:val="22"/>
          <w:highlight w:val="none"/>
        </w:rPr>
        <w:instrText xml:space="preserve">,1)</w:instrText>
      </w:r>
      <w:r>
        <w:rPr>
          <w:rFonts w:hint="eastAsia" w:ascii="仿宋" w:hAnsi="仿宋" w:eastAsia="仿宋" w:cs="仿宋"/>
          <w:color w:val="auto"/>
          <w:kern w:val="0"/>
          <w:sz w:val="22"/>
          <w:szCs w:val="22"/>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按“多证合一”登记制度办理营业执照的，组织机构代码证、税务登记证（副本）和社会保险登记证以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所提供的营业执照（副本）复印件为准。</w:t>
      </w:r>
    </w:p>
    <w:p w14:paraId="1E2DF3A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3CA7260">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w:t>
      </w:r>
    </w:p>
    <w:p w14:paraId="0DBC07A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对符合资格的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的实质性要求。符合性审查资料表如下：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3B85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noWrap w:val="0"/>
            <w:vAlign w:val="center"/>
          </w:tcPr>
          <w:p w14:paraId="16E543F5">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b/>
                <w:color w:val="auto"/>
                <w:kern w:val="0"/>
                <w:sz w:val="24"/>
                <w:szCs w:val="24"/>
                <w:highlight w:val="none"/>
              </w:rPr>
            </w:pPr>
            <w:bookmarkStart w:id="95" w:name="_Toc80104349"/>
            <w:r>
              <w:rPr>
                <w:rFonts w:hint="eastAsia" w:ascii="仿宋" w:hAnsi="仿宋" w:eastAsia="仿宋" w:cs="仿宋"/>
                <w:b/>
                <w:color w:val="auto"/>
                <w:kern w:val="0"/>
                <w:sz w:val="24"/>
                <w:szCs w:val="24"/>
                <w:highlight w:val="none"/>
              </w:rPr>
              <w:t>序号</w:t>
            </w:r>
          </w:p>
        </w:tc>
        <w:tc>
          <w:tcPr>
            <w:tcW w:w="4136" w:type="dxa"/>
            <w:gridSpan w:val="2"/>
            <w:noWrap w:val="0"/>
            <w:vAlign w:val="center"/>
          </w:tcPr>
          <w:p w14:paraId="30A6EB7B">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4968" w:type="dxa"/>
            <w:noWrap w:val="0"/>
            <w:vAlign w:val="center"/>
          </w:tcPr>
          <w:p w14:paraId="17252358">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3FB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noWrap w:val="0"/>
            <w:vAlign w:val="center"/>
          </w:tcPr>
          <w:p w14:paraId="0504665D">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28" w:type="dxa"/>
            <w:vMerge w:val="restart"/>
            <w:noWrap w:val="0"/>
            <w:vAlign w:val="center"/>
          </w:tcPr>
          <w:p w14:paraId="7770AA70">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608" w:type="dxa"/>
            <w:noWrap w:val="0"/>
            <w:vAlign w:val="center"/>
          </w:tcPr>
          <w:p w14:paraId="253EAE75">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签署或盖章</w:t>
            </w:r>
          </w:p>
        </w:tc>
        <w:tc>
          <w:tcPr>
            <w:tcW w:w="4968" w:type="dxa"/>
            <w:noWrap w:val="0"/>
            <w:vAlign w:val="center"/>
          </w:tcPr>
          <w:p w14:paraId="2253EF8A">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“第七篇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格式要求”要求签署或盖章。</w:t>
            </w:r>
          </w:p>
        </w:tc>
      </w:tr>
      <w:tr w14:paraId="74C9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noWrap w:val="0"/>
            <w:vAlign w:val="center"/>
          </w:tcPr>
          <w:p w14:paraId="0D82DB5F">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0"/>
                <w:sz w:val="24"/>
                <w:szCs w:val="24"/>
                <w:highlight w:val="none"/>
              </w:rPr>
            </w:pPr>
          </w:p>
        </w:tc>
        <w:tc>
          <w:tcPr>
            <w:tcW w:w="1528" w:type="dxa"/>
            <w:vMerge w:val="continue"/>
            <w:noWrap w:val="0"/>
            <w:vAlign w:val="center"/>
          </w:tcPr>
          <w:p w14:paraId="06C0DE25">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p>
        </w:tc>
        <w:tc>
          <w:tcPr>
            <w:tcW w:w="2608" w:type="dxa"/>
            <w:noWrap w:val="0"/>
            <w:vAlign w:val="center"/>
          </w:tcPr>
          <w:p w14:paraId="7AB97EEF">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4968" w:type="dxa"/>
            <w:noWrap w:val="0"/>
            <w:vAlign w:val="center"/>
          </w:tcPr>
          <w:p w14:paraId="01D841D4">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规定的格式，签署或盖章齐全。</w:t>
            </w:r>
          </w:p>
        </w:tc>
      </w:tr>
      <w:tr w14:paraId="78FD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noWrap w:val="0"/>
            <w:vAlign w:val="center"/>
          </w:tcPr>
          <w:p w14:paraId="536B0D49">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0"/>
                <w:sz w:val="24"/>
                <w:szCs w:val="24"/>
                <w:highlight w:val="none"/>
              </w:rPr>
            </w:pPr>
          </w:p>
        </w:tc>
        <w:tc>
          <w:tcPr>
            <w:tcW w:w="1528" w:type="dxa"/>
            <w:vMerge w:val="continue"/>
            <w:noWrap w:val="0"/>
            <w:vAlign w:val="center"/>
          </w:tcPr>
          <w:p w14:paraId="48D902D6">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p>
        </w:tc>
        <w:tc>
          <w:tcPr>
            <w:tcW w:w="2608" w:type="dxa"/>
            <w:noWrap w:val="0"/>
            <w:vAlign w:val="center"/>
          </w:tcPr>
          <w:p w14:paraId="68F91470">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4968" w:type="dxa"/>
            <w:noWrap w:val="0"/>
            <w:vAlign w:val="center"/>
          </w:tcPr>
          <w:p w14:paraId="49FECD5A">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06FF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noWrap w:val="0"/>
            <w:vAlign w:val="center"/>
          </w:tcPr>
          <w:p w14:paraId="386D76CD">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0"/>
                <w:sz w:val="24"/>
                <w:szCs w:val="24"/>
                <w:highlight w:val="none"/>
              </w:rPr>
            </w:pPr>
          </w:p>
        </w:tc>
        <w:tc>
          <w:tcPr>
            <w:tcW w:w="1528" w:type="dxa"/>
            <w:vMerge w:val="continue"/>
            <w:noWrap w:val="0"/>
            <w:vAlign w:val="center"/>
          </w:tcPr>
          <w:p w14:paraId="52282A97">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p>
        </w:tc>
        <w:tc>
          <w:tcPr>
            <w:tcW w:w="2608" w:type="dxa"/>
            <w:noWrap w:val="0"/>
            <w:vAlign w:val="center"/>
          </w:tcPr>
          <w:p w14:paraId="7426EE43">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4968" w:type="dxa"/>
            <w:noWrap w:val="0"/>
            <w:vAlign w:val="center"/>
          </w:tcPr>
          <w:p w14:paraId="154560DB">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5C9A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noWrap w:val="0"/>
            <w:vAlign w:val="center"/>
          </w:tcPr>
          <w:p w14:paraId="41F40509">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28" w:type="dxa"/>
            <w:noWrap w:val="0"/>
            <w:vAlign w:val="center"/>
          </w:tcPr>
          <w:p w14:paraId="331AFECE">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608" w:type="dxa"/>
            <w:noWrap w:val="0"/>
            <w:vAlign w:val="center"/>
          </w:tcPr>
          <w:p w14:paraId="0D53A866">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文件份数</w:t>
            </w:r>
          </w:p>
        </w:tc>
        <w:tc>
          <w:tcPr>
            <w:tcW w:w="4968" w:type="dxa"/>
            <w:noWrap w:val="0"/>
            <w:vAlign w:val="center"/>
          </w:tcPr>
          <w:p w14:paraId="754F4391">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sz w:val="24"/>
                <w:szCs w:val="24"/>
                <w:highlight w:val="none"/>
                <w:lang w:val="zh-CN"/>
              </w:rPr>
              <w:t>要求。</w:t>
            </w:r>
          </w:p>
        </w:tc>
      </w:tr>
      <w:tr w14:paraId="5A42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noWrap w:val="0"/>
            <w:vAlign w:val="center"/>
          </w:tcPr>
          <w:p w14:paraId="4F74EE7E">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28" w:type="dxa"/>
            <w:vMerge w:val="restart"/>
            <w:noWrap w:val="0"/>
            <w:vAlign w:val="center"/>
          </w:tcPr>
          <w:p w14:paraId="6601EE27">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的响应程度审查</w:t>
            </w:r>
          </w:p>
        </w:tc>
        <w:tc>
          <w:tcPr>
            <w:tcW w:w="2608" w:type="dxa"/>
            <w:noWrap w:val="0"/>
            <w:vAlign w:val="center"/>
          </w:tcPr>
          <w:p w14:paraId="72D6033D">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文件内容</w:t>
            </w:r>
          </w:p>
        </w:tc>
        <w:tc>
          <w:tcPr>
            <w:tcW w:w="4968" w:type="dxa"/>
            <w:noWrap w:val="0"/>
            <w:vAlign w:val="center"/>
          </w:tcPr>
          <w:p w14:paraId="61013F2F">
            <w:pPr>
              <w:pStyle w:val="13"/>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第二篇、第三篇</w:t>
            </w:r>
            <w:r>
              <w:rPr>
                <w:rFonts w:hint="eastAsia" w:ascii="仿宋" w:hAnsi="仿宋" w:eastAsia="仿宋" w:cs="仿宋"/>
                <w:color w:val="auto"/>
                <w:kern w:val="0"/>
                <w:sz w:val="24"/>
                <w:szCs w:val="24"/>
                <w:highlight w:val="none"/>
                <w:lang w:val="en-US" w:eastAsia="zh-CN"/>
              </w:rPr>
              <w:t>的全部</w:t>
            </w:r>
            <w:r>
              <w:rPr>
                <w:rFonts w:hint="eastAsia" w:ascii="仿宋" w:hAnsi="仿宋" w:eastAsia="仿宋" w:cs="仿宋"/>
                <w:color w:val="auto"/>
                <w:sz w:val="24"/>
                <w:szCs w:val="24"/>
                <w:highlight w:val="none"/>
              </w:rPr>
              <w:t>内容作出实质性响应。</w:t>
            </w:r>
          </w:p>
        </w:tc>
      </w:tr>
      <w:tr w14:paraId="14AC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noWrap w:val="0"/>
            <w:vAlign w:val="center"/>
          </w:tcPr>
          <w:p w14:paraId="76EC59F4">
            <w:pPr>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0"/>
                <w:sz w:val="24"/>
                <w:szCs w:val="24"/>
                <w:highlight w:val="none"/>
              </w:rPr>
            </w:pPr>
          </w:p>
        </w:tc>
        <w:tc>
          <w:tcPr>
            <w:tcW w:w="1528" w:type="dxa"/>
            <w:vMerge w:val="continue"/>
            <w:noWrap w:val="0"/>
            <w:vAlign w:val="center"/>
          </w:tcPr>
          <w:p w14:paraId="0F385B34">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zh-CN"/>
              </w:rPr>
            </w:pPr>
          </w:p>
        </w:tc>
        <w:tc>
          <w:tcPr>
            <w:tcW w:w="2608" w:type="dxa"/>
            <w:noWrap w:val="0"/>
            <w:vAlign w:val="center"/>
          </w:tcPr>
          <w:p w14:paraId="5A8C70A2">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4968" w:type="dxa"/>
            <w:noWrap w:val="0"/>
            <w:vAlign w:val="center"/>
          </w:tcPr>
          <w:p w14:paraId="721938E0">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及有关承诺文件有效期为提交</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截止时间起90天。</w:t>
            </w:r>
          </w:p>
        </w:tc>
      </w:tr>
    </w:tbl>
    <w:p w14:paraId="7FD451D1">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在对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的有效性、完整性和响应程度进行审查时，可以要求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中含义不明确、同类问题表述不一致或者有明显文字和计算错误的内容等作出必要的澄清、说明或者更正。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的澄清、说明或者更正不得超出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的范围或者改变</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的实质性内容。</w:t>
      </w:r>
    </w:p>
    <w:p w14:paraId="2EACF73C">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澄清、说明或者更正</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应当以书面形式作出。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的澄清、说明或者更正应当由法定代表人（或其授权代表）或自然人（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为自然人）签署或者加盖公章。由授权代表签署的，应当附法定代表人授权书。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为自然人的，应当由本人签署并附身份证明。</w:t>
      </w:r>
    </w:p>
    <w:p w14:paraId="39080D65">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的任何一方不得向他人透露与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有关的技术资料、价格或其他信息。</w:t>
      </w:r>
    </w:p>
    <w:p w14:paraId="26BD5EB5">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可以根据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情况实质性变动采购需求中的服务、商务要求以及合同草案条款，但不得变动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中的其他内容。实质性变动的内容，须经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代表确认。对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出的实质性变动是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应当及时以书面形式同时通知所有参加</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7B8EDFDD">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（5）本项目采用综合评分法进行评分。综合评分法，是指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的评审方法。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总得分为价格、技术、商务等评定因素分别按照相应权重值计算分项得分后相加，满分为100分。（详见评审标准）。</w:t>
      </w:r>
    </w:p>
    <w:p w14:paraId="1ECE63D7">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各成员独立对每个</w:t>
      </w:r>
      <w:r>
        <w:rPr>
          <w:rFonts w:hint="eastAsia" w:ascii="仿宋" w:hAnsi="仿宋" w:eastAsia="仿宋" w:cs="仿宋"/>
          <w:color w:val="auto"/>
          <w:sz w:val="24"/>
          <w:szCs w:val="24"/>
          <w:highlight w:val="none"/>
          <w:lang w:val="en-US" w:eastAsia="zh-CN"/>
        </w:rPr>
        <w:t>满足招标文件</w:t>
      </w:r>
      <w:r>
        <w:rPr>
          <w:rFonts w:hint="eastAsia" w:ascii="仿宋" w:hAnsi="仿宋" w:eastAsia="仿宋" w:cs="仿宋"/>
          <w:color w:val="auto"/>
          <w:sz w:val="24"/>
          <w:szCs w:val="24"/>
          <w:highlight w:val="none"/>
        </w:rPr>
        <w:t>实质性</w:t>
      </w:r>
      <w:r>
        <w:rPr>
          <w:rFonts w:hint="eastAsia" w:ascii="仿宋" w:hAnsi="仿宋" w:eastAsia="仿宋" w:cs="仿宋"/>
          <w:color w:val="auto"/>
          <w:sz w:val="24"/>
          <w:szCs w:val="24"/>
          <w:highlight w:val="none"/>
          <w:lang w:val="en-US" w:eastAsia="zh-CN"/>
        </w:rPr>
        <w:t>要求的投标</w:t>
      </w:r>
      <w:r>
        <w:rPr>
          <w:rFonts w:hint="eastAsia" w:ascii="仿宋" w:hAnsi="仿宋" w:eastAsia="仿宋" w:cs="仿宋"/>
          <w:color w:val="auto"/>
          <w:sz w:val="24"/>
          <w:szCs w:val="24"/>
          <w:highlight w:val="none"/>
        </w:rPr>
        <w:t>文件进行评价、打分，然后汇总每个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每项评分因素的得分，并根据综合评分情况按照评审得分由高到低顺序推荐3名及以上</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，并编写评审报告。若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的评审得分相同的，按照报价由低到高的顺序排列推荐。评审得分且报价相同的，按照服务指标优劣顺序排列推荐。</w:t>
      </w:r>
    </w:p>
    <w:p w14:paraId="55ADF3F1">
      <w:pPr>
        <w:pStyle w:val="4"/>
        <w:snapToGrid w:val="0"/>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二、评审标准</w:t>
      </w:r>
    </w:p>
    <w:bookmarkEnd w:id="95"/>
    <w:tbl>
      <w:tblPr>
        <w:tblStyle w:val="23"/>
        <w:tblpPr w:leftFromText="180" w:rightFromText="180" w:vertAnchor="text" w:horzAnchor="page" w:tblpXSpec="center" w:tblpY="443"/>
        <w:tblOverlap w:val="never"/>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1868"/>
      </w:tblGrid>
      <w:tr w14:paraId="5082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14:paraId="25E717E0">
            <w:pPr>
              <w:widowControl/>
              <w:wordWrap w:val="0"/>
              <w:spacing w:line="440" w:lineRule="exact"/>
              <w:jc w:val="center"/>
              <w:rPr>
                <w:rFonts w:hint="eastAsia" w:ascii="仿宋" w:hAnsi="仿宋" w:eastAsia="仿宋" w:cs="仿宋"/>
                <w:color w:val="auto"/>
                <w:sz w:val="24"/>
                <w:szCs w:val="24"/>
                <w:highlight w:val="none"/>
              </w:rPr>
            </w:pPr>
            <w:bookmarkStart w:id="96" w:name="_Toc17078"/>
            <w:r>
              <w:rPr>
                <w:rFonts w:hint="eastAsia" w:ascii="仿宋" w:hAnsi="仿宋" w:eastAsia="仿宋" w:cs="仿宋"/>
                <w:color w:val="auto"/>
                <w:sz w:val="24"/>
                <w:szCs w:val="24"/>
                <w:highlight w:val="none"/>
              </w:rPr>
              <w:t>序号</w:t>
            </w:r>
          </w:p>
        </w:tc>
        <w:tc>
          <w:tcPr>
            <w:tcW w:w="1259" w:type="dxa"/>
            <w:vAlign w:val="center"/>
          </w:tcPr>
          <w:p w14:paraId="6DAD7A10">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评分因素及权值</w:t>
            </w:r>
          </w:p>
        </w:tc>
        <w:tc>
          <w:tcPr>
            <w:tcW w:w="1130" w:type="dxa"/>
            <w:vAlign w:val="center"/>
          </w:tcPr>
          <w:p w14:paraId="31150251">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537" w:type="dxa"/>
            <w:vAlign w:val="center"/>
          </w:tcPr>
          <w:p w14:paraId="3A1D1516">
            <w:pPr>
              <w:widowControl/>
              <w:wordWrap w:val="0"/>
              <w:spacing w:line="44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868" w:type="dxa"/>
            <w:vAlign w:val="center"/>
          </w:tcPr>
          <w:p w14:paraId="7CA4441C">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F3C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14:paraId="7E78C96A">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59" w:type="dxa"/>
            <w:vAlign w:val="center"/>
          </w:tcPr>
          <w:p w14:paraId="6B86B8E8">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2FF8BDED">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1130" w:type="dxa"/>
            <w:vAlign w:val="center"/>
          </w:tcPr>
          <w:p w14:paraId="061DD8AD">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tc>
        <w:tc>
          <w:tcPr>
            <w:tcW w:w="5537" w:type="dxa"/>
            <w:vAlign w:val="center"/>
          </w:tcPr>
          <w:p w14:paraId="67931310">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满足资格性、符合性要求且报价最低的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的价格为评标基准价，其价格分为满足，其余</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价格分按照下列公式计算：</w:t>
            </w:r>
          </w:p>
          <w:p w14:paraId="1F8AE079">
            <w:pPr>
              <w:widowControl/>
              <w:wordWrap w:val="0"/>
              <w:spacing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rPr>
              <w:t>得分=（评标基准价/各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报价）×价格权值×100</w:t>
            </w:r>
          </w:p>
        </w:tc>
        <w:tc>
          <w:tcPr>
            <w:tcW w:w="1868" w:type="dxa"/>
            <w:vAlign w:val="center"/>
          </w:tcPr>
          <w:p w14:paraId="11F79381">
            <w:pPr>
              <w:widowControl/>
              <w:wordWrap w:val="0"/>
              <w:spacing w:line="400" w:lineRule="exact"/>
              <w:ind w:firstLine="240" w:firstLineChars="100"/>
              <w:jc w:val="left"/>
              <w:rPr>
                <w:rFonts w:hint="eastAsia" w:ascii="仿宋" w:hAnsi="仿宋" w:eastAsia="仿宋" w:cs="仿宋"/>
                <w:color w:val="auto"/>
                <w:sz w:val="24"/>
                <w:szCs w:val="24"/>
                <w:highlight w:val="none"/>
              </w:rPr>
            </w:pPr>
          </w:p>
        </w:tc>
      </w:tr>
      <w:tr w14:paraId="7167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14:paraId="52C668A9">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59" w:type="dxa"/>
            <w:vMerge w:val="restart"/>
            <w:vAlign w:val="center"/>
          </w:tcPr>
          <w:p w14:paraId="0C248F66">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技术部分（60%）</w:t>
            </w:r>
          </w:p>
        </w:tc>
        <w:tc>
          <w:tcPr>
            <w:tcW w:w="1130" w:type="dxa"/>
            <w:vAlign w:val="center"/>
          </w:tcPr>
          <w:p w14:paraId="7634B2C6">
            <w:pPr>
              <w:widowControl/>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施工方案与技术措施</w:t>
            </w:r>
          </w:p>
          <w:p w14:paraId="79C80E3D">
            <w:pPr>
              <w:widowControl/>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5537" w:type="dxa"/>
            <w:vAlign w:val="center"/>
          </w:tcPr>
          <w:p w14:paraId="42054285">
            <w:pPr>
              <w:widowControl/>
              <w:wordWrap w:val="0"/>
              <w:spacing w:line="34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针对本项目编制施工方案与技术措施（包括但不限于：项目管理机构配备、施工组织设计、施工技术关键点、施工重难点、施工方法、施工设备等内容）。</w:t>
            </w:r>
          </w:p>
          <w:p w14:paraId="3C33AFE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方案内容不存在瑕疵，得15分；</w:t>
            </w:r>
          </w:p>
          <w:p w14:paraId="18F37CA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方案内容存在1处瑕疵，得11分；</w:t>
            </w:r>
          </w:p>
          <w:p w14:paraId="2001CBD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方案内容存在2处瑕疵，得7分；</w:t>
            </w:r>
          </w:p>
          <w:p w14:paraId="434DC3B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方案内容存在3处瑕疵，得4分；</w:t>
            </w:r>
          </w:p>
          <w:p w14:paraId="348B264D">
            <w:pPr>
              <w:widowControl/>
              <w:wordWrap w:val="0"/>
              <w:spacing w:line="340" w:lineRule="exact"/>
              <w:ind w:firstLine="240" w:firstLineChars="10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方案内容存在4处及以上瑕疵或未提供方案得0分。</w:t>
            </w:r>
          </w:p>
        </w:tc>
        <w:tc>
          <w:tcPr>
            <w:tcW w:w="1868" w:type="dxa"/>
            <w:vMerge w:val="restart"/>
            <w:vAlign w:val="center"/>
          </w:tcPr>
          <w:p w14:paraId="4248826F">
            <w:pPr>
              <w:widowControl/>
              <w:wordWrap w:val="0"/>
              <w:spacing w:line="3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1、技术部分原则上不超过50页。</w:t>
            </w:r>
          </w:p>
          <w:p w14:paraId="0BF31C01">
            <w:pPr>
              <w:widowControl/>
              <w:wordWrap w:val="0"/>
              <w:spacing w:line="3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2、技术方案格式由投标人自拟。</w:t>
            </w:r>
          </w:p>
          <w:p w14:paraId="56B2963C">
            <w:pPr>
              <w:widowControl/>
              <w:wordWrap w:val="0"/>
              <w:spacing w:line="3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3、评标委员会根据投标人提供的技术方案独立评审打分。投标人的技术部分最后得分为各评标委员会成员的平均分。（按四舍五入法保留两位小数）</w:t>
            </w:r>
          </w:p>
        </w:tc>
      </w:tr>
      <w:tr w14:paraId="382D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14:paraId="7FB8F856">
            <w:pPr>
              <w:widowControl/>
              <w:wordWrap w:val="0"/>
              <w:spacing w:line="440" w:lineRule="exact"/>
              <w:jc w:val="center"/>
              <w:rPr>
                <w:rFonts w:hint="eastAsia" w:ascii="仿宋" w:hAnsi="仿宋" w:eastAsia="仿宋" w:cs="仿宋"/>
                <w:color w:val="auto"/>
                <w:sz w:val="24"/>
                <w:szCs w:val="24"/>
                <w:highlight w:val="none"/>
              </w:rPr>
            </w:pPr>
          </w:p>
        </w:tc>
        <w:tc>
          <w:tcPr>
            <w:tcW w:w="1259" w:type="dxa"/>
            <w:vMerge w:val="continue"/>
            <w:vAlign w:val="center"/>
          </w:tcPr>
          <w:p w14:paraId="65733112">
            <w:pPr>
              <w:widowControl/>
              <w:wordWrap w:val="0"/>
              <w:spacing w:line="440" w:lineRule="exact"/>
              <w:jc w:val="center"/>
              <w:rPr>
                <w:rFonts w:hint="eastAsia" w:ascii="仿宋" w:hAnsi="仿宋" w:eastAsia="仿宋" w:cs="仿宋"/>
                <w:color w:val="auto"/>
                <w:sz w:val="24"/>
                <w:szCs w:val="24"/>
                <w:highlight w:val="none"/>
              </w:rPr>
            </w:pPr>
          </w:p>
        </w:tc>
        <w:tc>
          <w:tcPr>
            <w:tcW w:w="1130" w:type="dxa"/>
            <w:vAlign w:val="center"/>
          </w:tcPr>
          <w:p w14:paraId="48549C05">
            <w:pPr>
              <w:pStyle w:val="8"/>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质量管理体系与措施（</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5537" w:type="dxa"/>
            <w:vAlign w:val="center"/>
          </w:tcPr>
          <w:p w14:paraId="4393697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针对本项目编制质量管理体系与措施（包括但不限于：</w:t>
            </w:r>
            <w:r>
              <w:rPr>
                <w:rFonts w:hint="eastAsia" w:ascii="仿宋" w:hAnsi="仿宋" w:eastAsia="仿宋" w:cs="仿宋"/>
                <w:sz w:val="24"/>
                <w:szCs w:val="24"/>
                <w:highlight w:val="none"/>
                <w:u w:val="none"/>
                <w:lang w:val="en-US" w:eastAsia="zh-CN"/>
              </w:rPr>
              <w:t>施工质量保证体系、制定质量管理监督工作程序和管理职能、有效的控制措施和手段</w:t>
            </w:r>
            <w:r>
              <w:rPr>
                <w:rFonts w:hint="eastAsia" w:ascii="仿宋" w:hAnsi="仿宋" w:eastAsia="仿宋" w:cs="仿宋"/>
                <w:color w:val="000000"/>
                <w:sz w:val="24"/>
                <w:szCs w:val="24"/>
                <w:highlight w:val="none"/>
              </w:rPr>
              <w:t>等内容）。</w:t>
            </w:r>
          </w:p>
          <w:p w14:paraId="7C81EEF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方案内容不存在瑕疵，得15分；</w:t>
            </w:r>
          </w:p>
          <w:p w14:paraId="404E73D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方案内容存在1处瑕疵，得11分；</w:t>
            </w:r>
          </w:p>
          <w:p w14:paraId="0A6D55E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方案内容存在2处瑕疵，得7分；</w:t>
            </w:r>
          </w:p>
          <w:p w14:paraId="1C3E513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方案内容存在3处瑕疵，得4分；</w:t>
            </w:r>
          </w:p>
          <w:p w14:paraId="18352BCB">
            <w:pPr>
              <w:widowControl/>
              <w:wordWrap w:val="0"/>
              <w:spacing w:line="3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方案内容存在4处及以上瑕疵或未提供方案得0分。</w:t>
            </w:r>
          </w:p>
        </w:tc>
        <w:tc>
          <w:tcPr>
            <w:tcW w:w="1868" w:type="dxa"/>
            <w:vMerge w:val="continue"/>
            <w:vAlign w:val="center"/>
          </w:tcPr>
          <w:p w14:paraId="59807866">
            <w:pPr>
              <w:widowControl/>
              <w:wordWrap w:val="0"/>
              <w:ind w:firstLine="480" w:firstLineChars="200"/>
              <w:jc w:val="left"/>
              <w:rPr>
                <w:rFonts w:hint="eastAsia" w:ascii="仿宋" w:hAnsi="仿宋" w:eastAsia="仿宋" w:cs="仿宋"/>
                <w:color w:val="auto"/>
                <w:sz w:val="24"/>
                <w:szCs w:val="24"/>
                <w:highlight w:val="none"/>
              </w:rPr>
            </w:pPr>
          </w:p>
        </w:tc>
      </w:tr>
      <w:tr w14:paraId="6C0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14:paraId="4AB9FD32">
            <w:pPr>
              <w:widowControl/>
              <w:wordWrap w:val="0"/>
              <w:spacing w:line="440" w:lineRule="exact"/>
              <w:jc w:val="center"/>
              <w:rPr>
                <w:rFonts w:hint="eastAsia" w:ascii="仿宋" w:hAnsi="仿宋" w:eastAsia="仿宋" w:cs="仿宋"/>
                <w:color w:val="auto"/>
                <w:sz w:val="24"/>
                <w:szCs w:val="24"/>
                <w:highlight w:val="none"/>
              </w:rPr>
            </w:pPr>
          </w:p>
        </w:tc>
        <w:tc>
          <w:tcPr>
            <w:tcW w:w="1259" w:type="dxa"/>
            <w:vMerge w:val="continue"/>
            <w:vAlign w:val="center"/>
          </w:tcPr>
          <w:p w14:paraId="09BDCE3F">
            <w:pPr>
              <w:widowControl/>
              <w:wordWrap w:val="0"/>
              <w:spacing w:line="440" w:lineRule="exact"/>
              <w:jc w:val="center"/>
              <w:rPr>
                <w:rFonts w:hint="eastAsia" w:ascii="仿宋" w:hAnsi="仿宋" w:eastAsia="仿宋" w:cs="仿宋"/>
                <w:color w:val="auto"/>
                <w:sz w:val="24"/>
                <w:szCs w:val="24"/>
                <w:highlight w:val="none"/>
              </w:rPr>
            </w:pPr>
          </w:p>
        </w:tc>
        <w:tc>
          <w:tcPr>
            <w:tcW w:w="1130" w:type="dxa"/>
            <w:vAlign w:val="center"/>
          </w:tcPr>
          <w:p w14:paraId="637288D6">
            <w:pP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安全管理体系与措施</w:t>
            </w:r>
          </w:p>
          <w:p w14:paraId="38293C25">
            <w:pPr>
              <w:pStyle w:val="8"/>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5537" w:type="dxa"/>
            <w:vAlign w:val="center"/>
          </w:tcPr>
          <w:p w14:paraId="1C65DBD9">
            <w:pPr>
              <w:widowControl/>
              <w:wordWrap w:val="0"/>
              <w:spacing w:line="3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针对本项目编制安全管理体系与措施（包括但不限于</w:t>
            </w:r>
            <w:r>
              <w:rPr>
                <w:rFonts w:hint="eastAsia" w:ascii="仿宋" w:hAnsi="仿宋" w:eastAsia="仿宋" w:cs="仿宋"/>
                <w:color w:val="auto"/>
                <w:sz w:val="24"/>
                <w:szCs w:val="24"/>
                <w:highlight w:val="none"/>
                <w:lang w:eastAsia="zh-CN"/>
              </w:rPr>
              <w:t>：施工安全管理体系、</w:t>
            </w:r>
            <w:r>
              <w:rPr>
                <w:rFonts w:hint="eastAsia" w:ascii="仿宋" w:hAnsi="仿宋" w:eastAsia="仿宋" w:cs="仿宋"/>
                <w:sz w:val="24"/>
                <w:szCs w:val="24"/>
                <w:highlight w:val="none"/>
                <w:u w:val="none"/>
                <w:lang w:val="en-US" w:eastAsia="zh-CN"/>
              </w:rPr>
              <w:t>施工现场管理人员安全生产职责明确</w:t>
            </w:r>
            <w:r>
              <w:rPr>
                <w:rFonts w:hint="eastAsia" w:ascii="仿宋" w:hAnsi="仿宋" w:eastAsia="仿宋" w:cs="仿宋"/>
                <w:color w:val="auto"/>
                <w:sz w:val="24"/>
                <w:szCs w:val="24"/>
                <w:highlight w:val="none"/>
                <w:lang w:eastAsia="zh-CN"/>
              </w:rPr>
              <w:t>、项目安全生产管理制度，施工安全措施、劳动保护措施</w:t>
            </w:r>
            <w:r>
              <w:rPr>
                <w:rFonts w:hint="eastAsia" w:ascii="仿宋" w:hAnsi="仿宋" w:eastAsia="仿宋" w:cs="仿宋"/>
                <w:color w:val="000000"/>
                <w:sz w:val="24"/>
                <w:szCs w:val="24"/>
                <w:highlight w:val="none"/>
              </w:rPr>
              <w:t>等内容</w:t>
            </w:r>
            <w:r>
              <w:rPr>
                <w:rFonts w:hint="eastAsia" w:ascii="仿宋" w:hAnsi="仿宋" w:eastAsia="仿宋" w:cs="仿宋"/>
                <w:color w:val="auto"/>
                <w:sz w:val="24"/>
                <w:szCs w:val="24"/>
                <w:highlight w:val="none"/>
              </w:rPr>
              <w:t>）。</w:t>
            </w:r>
          </w:p>
          <w:p w14:paraId="36BCA93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方案内容不存在瑕疵，得15分；</w:t>
            </w:r>
          </w:p>
          <w:p w14:paraId="4F296513">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方案内容存在1处瑕疵，得11分；</w:t>
            </w:r>
          </w:p>
          <w:p w14:paraId="66160F4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方案内容存在2处瑕疵，得7分；</w:t>
            </w:r>
          </w:p>
          <w:p w14:paraId="1DB59C1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方案内容存在3处瑕疵，得4分；</w:t>
            </w:r>
          </w:p>
          <w:p w14:paraId="3BD9DFF6">
            <w:pPr>
              <w:widowControl/>
              <w:wordWrap w:val="0"/>
              <w:spacing w:line="3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方案内容存在4处及以上瑕疵或未提供方案得0分。</w:t>
            </w:r>
          </w:p>
        </w:tc>
        <w:tc>
          <w:tcPr>
            <w:tcW w:w="1868" w:type="dxa"/>
            <w:vMerge w:val="continue"/>
            <w:vAlign w:val="center"/>
          </w:tcPr>
          <w:p w14:paraId="0A10E0F1">
            <w:pPr>
              <w:widowControl/>
              <w:wordWrap w:val="0"/>
              <w:ind w:firstLine="480" w:firstLineChars="200"/>
              <w:jc w:val="left"/>
              <w:rPr>
                <w:rFonts w:hint="eastAsia" w:ascii="仿宋" w:hAnsi="仿宋" w:eastAsia="仿宋" w:cs="仿宋"/>
                <w:color w:val="auto"/>
                <w:sz w:val="24"/>
                <w:szCs w:val="24"/>
                <w:highlight w:val="none"/>
              </w:rPr>
            </w:pPr>
          </w:p>
        </w:tc>
      </w:tr>
      <w:tr w14:paraId="417F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14:paraId="197DC20D">
            <w:pPr>
              <w:widowControl/>
              <w:wordWrap w:val="0"/>
              <w:spacing w:line="440" w:lineRule="exact"/>
              <w:jc w:val="center"/>
              <w:rPr>
                <w:rFonts w:hint="eastAsia" w:ascii="仿宋" w:hAnsi="仿宋" w:eastAsia="仿宋" w:cs="仿宋"/>
                <w:color w:val="auto"/>
                <w:sz w:val="24"/>
                <w:szCs w:val="24"/>
                <w:highlight w:val="none"/>
              </w:rPr>
            </w:pPr>
          </w:p>
        </w:tc>
        <w:tc>
          <w:tcPr>
            <w:tcW w:w="1259" w:type="dxa"/>
            <w:vMerge w:val="continue"/>
            <w:vAlign w:val="center"/>
          </w:tcPr>
          <w:p w14:paraId="0506F4F7">
            <w:pPr>
              <w:widowControl/>
              <w:wordWrap w:val="0"/>
              <w:spacing w:line="440" w:lineRule="exact"/>
              <w:jc w:val="center"/>
              <w:rPr>
                <w:rFonts w:hint="eastAsia" w:ascii="仿宋" w:hAnsi="仿宋" w:eastAsia="仿宋" w:cs="仿宋"/>
                <w:color w:val="auto"/>
                <w:sz w:val="24"/>
                <w:szCs w:val="24"/>
                <w:highlight w:val="none"/>
              </w:rPr>
            </w:pPr>
          </w:p>
        </w:tc>
        <w:tc>
          <w:tcPr>
            <w:tcW w:w="1130" w:type="dxa"/>
            <w:vAlign w:val="center"/>
          </w:tcPr>
          <w:p w14:paraId="45C6D227">
            <w:pPr>
              <w:pStyle w:val="8"/>
              <w:widowControl/>
              <w:jc w:val="center"/>
              <w:rPr>
                <w:rFonts w:hint="eastAsia" w:ascii="仿宋" w:hAnsi="仿宋" w:eastAsia="仿宋" w:cs="仿宋"/>
                <w:color w:val="auto"/>
                <w:sz w:val="24"/>
                <w:szCs w:val="24"/>
                <w:highlight w:val="none"/>
              </w:rPr>
            </w:pPr>
            <w:r>
              <w:rPr>
                <w:rFonts w:hint="eastAsia" w:ascii="仿宋" w:hAnsi="仿宋" w:eastAsia="仿宋" w:cs="仿宋"/>
                <w:b w:val="0"/>
                <w:bCs w:val="0"/>
                <w:color w:val="000000"/>
                <w:sz w:val="24"/>
                <w:szCs w:val="24"/>
                <w:highlight w:val="none"/>
              </w:rPr>
              <w:t>工</w:t>
            </w:r>
            <w:r>
              <w:rPr>
                <w:rFonts w:hint="eastAsia" w:ascii="仿宋" w:hAnsi="仿宋" w:eastAsia="仿宋" w:cs="仿宋"/>
                <w:b w:val="0"/>
                <w:bCs w:val="0"/>
                <w:color w:val="000000"/>
                <w:sz w:val="24"/>
                <w:szCs w:val="24"/>
                <w:highlight w:val="none"/>
                <w:lang w:val="en-US" w:eastAsia="zh-CN"/>
              </w:rPr>
              <w:t>程进度计划与措施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5537" w:type="dxa"/>
            <w:vAlign w:val="center"/>
          </w:tcPr>
          <w:p w14:paraId="6CFA2EFA">
            <w:pPr>
              <w:widowControl/>
              <w:wordWrap w:val="0"/>
              <w:spacing w:line="34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eastAsia="zh-CN"/>
              </w:rPr>
              <w:t>针对本项目编制工程进度计划与措施（包括但不限于：</w:t>
            </w:r>
            <w:r>
              <w:rPr>
                <w:rFonts w:hint="eastAsia" w:ascii="仿宋" w:hAnsi="仿宋" w:eastAsia="仿宋" w:cs="仿宋"/>
                <w:color w:val="000000"/>
                <w:sz w:val="24"/>
                <w:szCs w:val="24"/>
                <w:highlight w:val="none"/>
                <w:lang w:val="en-US" w:eastAsia="zh-CN"/>
              </w:rPr>
              <w:t>施工</w:t>
            </w:r>
            <w:r>
              <w:rPr>
                <w:rFonts w:hint="eastAsia" w:ascii="仿宋" w:hAnsi="仿宋" w:eastAsia="仿宋" w:cs="仿宋"/>
                <w:color w:val="000000"/>
                <w:sz w:val="24"/>
                <w:szCs w:val="24"/>
                <w:highlight w:val="none"/>
                <w:lang w:eastAsia="zh-CN"/>
              </w:rPr>
              <w:t>进度</w:t>
            </w:r>
            <w:r>
              <w:rPr>
                <w:rFonts w:hint="eastAsia" w:ascii="仿宋" w:hAnsi="仿宋" w:eastAsia="仿宋" w:cs="仿宋"/>
                <w:color w:val="000000"/>
                <w:sz w:val="24"/>
                <w:szCs w:val="24"/>
                <w:highlight w:val="none"/>
                <w:lang w:val="en-US" w:eastAsia="zh-CN"/>
              </w:rPr>
              <w:t>计划、施工进度计划管理</w:t>
            </w:r>
            <w:r>
              <w:rPr>
                <w:rFonts w:hint="eastAsia" w:ascii="仿宋" w:hAnsi="仿宋" w:eastAsia="仿宋" w:cs="仿宋"/>
                <w:color w:val="000000"/>
                <w:sz w:val="24"/>
                <w:szCs w:val="24"/>
                <w:highlight w:val="none"/>
                <w:lang w:eastAsia="zh-CN"/>
              </w:rPr>
              <w:t>、工期安排、</w:t>
            </w:r>
            <w:r>
              <w:rPr>
                <w:rFonts w:hint="eastAsia" w:ascii="仿宋" w:hAnsi="仿宋" w:eastAsia="仿宋" w:cs="仿宋"/>
                <w:color w:val="000000"/>
                <w:sz w:val="24"/>
                <w:szCs w:val="24"/>
                <w:highlight w:val="none"/>
                <w:lang w:val="en-US" w:eastAsia="zh-CN"/>
              </w:rPr>
              <w:t>工期保证措施</w:t>
            </w:r>
            <w:r>
              <w:rPr>
                <w:rFonts w:hint="eastAsia" w:ascii="仿宋" w:hAnsi="仿宋" w:eastAsia="仿宋" w:cs="仿宋"/>
                <w:color w:val="000000"/>
                <w:sz w:val="24"/>
                <w:szCs w:val="24"/>
                <w:highlight w:val="none"/>
                <w:lang w:eastAsia="zh-CN"/>
              </w:rPr>
              <w:t>等内容）</w:t>
            </w:r>
            <w:r>
              <w:rPr>
                <w:rFonts w:hint="eastAsia" w:ascii="仿宋" w:hAnsi="仿宋" w:eastAsia="仿宋" w:cs="仿宋"/>
                <w:color w:val="auto"/>
                <w:sz w:val="24"/>
                <w:szCs w:val="24"/>
                <w:highlight w:val="none"/>
                <w:lang w:val="en-US" w:eastAsia="zh-CN"/>
              </w:rPr>
              <w:t>。</w:t>
            </w:r>
          </w:p>
          <w:p w14:paraId="084DA89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方案内容不存在瑕疵，得15分；</w:t>
            </w:r>
          </w:p>
          <w:p w14:paraId="1B53826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方案内容存在1处瑕疵，得11分；</w:t>
            </w:r>
          </w:p>
          <w:p w14:paraId="41E7ECB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方案内容存在2处瑕疵，得7分；</w:t>
            </w:r>
          </w:p>
          <w:p w14:paraId="663508A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方案内容存在3处瑕疵，得4分；</w:t>
            </w:r>
          </w:p>
          <w:p w14:paraId="6E31FD5B">
            <w:pPr>
              <w:widowControl/>
              <w:wordWrap w:val="0"/>
              <w:spacing w:line="340" w:lineRule="exact"/>
              <w:ind w:firstLine="240" w:firstLineChars="10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方案内容存在4处及以上瑕疵或未提供方案得0分。</w:t>
            </w:r>
          </w:p>
        </w:tc>
        <w:tc>
          <w:tcPr>
            <w:tcW w:w="1868" w:type="dxa"/>
            <w:vMerge w:val="continue"/>
            <w:vAlign w:val="center"/>
          </w:tcPr>
          <w:p w14:paraId="6B4006ED">
            <w:pPr>
              <w:widowControl/>
              <w:wordWrap w:val="0"/>
              <w:ind w:firstLine="480" w:firstLineChars="200"/>
              <w:jc w:val="left"/>
              <w:rPr>
                <w:rFonts w:hint="eastAsia" w:ascii="仿宋" w:hAnsi="仿宋" w:eastAsia="仿宋" w:cs="仿宋"/>
                <w:color w:val="auto"/>
                <w:sz w:val="24"/>
                <w:szCs w:val="24"/>
                <w:highlight w:val="none"/>
              </w:rPr>
            </w:pPr>
          </w:p>
        </w:tc>
      </w:tr>
      <w:tr w14:paraId="4499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581" w:type="dxa"/>
            <w:gridSpan w:val="5"/>
            <w:vAlign w:val="center"/>
          </w:tcPr>
          <w:p w14:paraId="30D23A78">
            <w:pPr>
              <w:widowControl/>
              <w:wordWrap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注：本项内容中所称的“瑕疵”指：</w:t>
            </w:r>
          </w:p>
          <w:p w14:paraId="5E4D3A0E">
            <w:pPr>
              <w:widowControl/>
              <w:numPr>
                <w:ilvl w:val="0"/>
                <w:numId w:val="2"/>
              </w:numPr>
              <w:wordWrap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方案内容缺项、内容表述不完整或缺少关键分析点；</w:t>
            </w:r>
          </w:p>
          <w:p w14:paraId="74AD3438">
            <w:pPr>
              <w:widowControl/>
              <w:numPr>
                <w:ilvl w:val="0"/>
                <w:numId w:val="2"/>
              </w:numPr>
              <w:wordWrap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方案内容表述前后矛盾、无连贯性；</w:t>
            </w:r>
          </w:p>
          <w:p w14:paraId="72B97D39">
            <w:pPr>
              <w:widowControl/>
              <w:numPr>
                <w:ilvl w:val="0"/>
                <w:numId w:val="2"/>
              </w:numPr>
              <w:wordWrap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内容存在逻辑漏洞、常识错误；</w:t>
            </w:r>
          </w:p>
          <w:p w14:paraId="4E1E828E">
            <w:pPr>
              <w:widowControl/>
              <w:wordWrap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14:paraId="3644C317">
            <w:pPr>
              <w:widowControl/>
              <w:wordWrap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（5）方案中提出的措施举措不利于本项目目标的实现；</w:t>
            </w:r>
          </w:p>
          <w:p w14:paraId="6D5BF0AD">
            <w:pPr>
              <w:widowControl/>
              <w:wordWrap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（6）现有技术条件下不可能出现的情形。</w:t>
            </w:r>
          </w:p>
        </w:tc>
      </w:tr>
      <w:tr w14:paraId="1E35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14:paraId="75E6A7C4">
            <w:pPr>
              <w:widowControl/>
              <w:wordWrap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59" w:type="dxa"/>
            <w:vAlign w:val="center"/>
          </w:tcPr>
          <w:p w14:paraId="1ADEBC05">
            <w:pPr>
              <w:widowControl/>
              <w:wordWrap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p w14:paraId="72FF5AB6">
            <w:pPr>
              <w:widowControl/>
              <w:wordWrap w:val="0"/>
              <w:spacing w:line="40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c>
          <w:tcPr>
            <w:tcW w:w="1130" w:type="dxa"/>
            <w:vAlign w:val="center"/>
          </w:tcPr>
          <w:p w14:paraId="63686663">
            <w:pPr>
              <w:widowControl/>
              <w:wordWrap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2429E2D3">
            <w:pPr>
              <w:widowControl/>
              <w:wordWrap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5537" w:type="dxa"/>
            <w:vAlign w:val="center"/>
          </w:tcPr>
          <w:p w14:paraId="243D62BA">
            <w:pPr>
              <w:widowControl/>
              <w:wordWrap w:val="0"/>
              <w:spacing w:line="40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2022年1月1日至投标文件递交截止时间（以合同时间为准），投标人承接过建筑工程或装饰装修施工业绩的，每提供1个业绩得5分，本</w:t>
            </w:r>
            <w:r>
              <w:rPr>
                <w:rFonts w:hint="eastAsia" w:ascii="仿宋" w:hAnsi="仿宋" w:eastAsia="仿宋" w:cs="仿宋"/>
                <w:color w:val="auto"/>
                <w:sz w:val="24"/>
                <w:szCs w:val="24"/>
                <w:highlight w:val="none"/>
              </w:rPr>
              <w:t>项最多得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868" w:type="dxa"/>
            <w:vAlign w:val="center"/>
          </w:tcPr>
          <w:p w14:paraId="1B84D852">
            <w:pPr>
              <w:widowControl/>
              <w:wordWrap w:val="0"/>
              <w:spacing w:line="40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提供合同协议书复印件并加盖投标人公章。</w:t>
            </w:r>
          </w:p>
        </w:tc>
      </w:tr>
    </w:tbl>
    <w:p w14:paraId="67134164">
      <w:pPr>
        <w:snapToGrid w:val="0"/>
        <w:spacing w:line="360" w:lineRule="auto"/>
        <w:ind w:firstLine="465"/>
        <w:rPr>
          <w:rFonts w:hint="eastAsia" w:ascii="仿宋" w:hAnsi="仿宋" w:eastAsia="仿宋" w:cs="仿宋"/>
          <w:color w:val="auto"/>
          <w:highlight w:val="none"/>
        </w:rPr>
      </w:pPr>
      <w:r>
        <w:rPr>
          <w:rFonts w:hint="eastAsia" w:ascii="仿宋" w:hAnsi="仿宋" w:eastAsia="仿宋" w:cs="仿宋"/>
          <w:color w:val="auto"/>
          <w:sz w:val="24"/>
          <w:szCs w:val="24"/>
          <w:highlight w:val="none"/>
        </w:rPr>
        <w:t>说明：评标委员会认为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不能证明其报价合理性的，评标委员会应当将其作为无效投标处理。</w:t>
      </w:r>
    </w:p>
    <w:p w14:paraId="64DA2B7B">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97" w:name="_Toc20096"/>
      <w:r>
        <w:rPr>
          <w:rFonts w:hint="eastAsia" w:ascii="仿宋" w:hAnsi="仿宋" w:eastAsia="仿宋" w:cs="仿宋"/>
          <w:color w:val="auto"/>
          <w:sz w:val="24"/>
          <w:szCs w:val="24"/>
          <w:highlight w:val="none"/>
        </w:rPr>
        <w:t>三、无效响应</w:t>
      </w:r>
      <w:bookmarkEnd w:id="96"/>
      <w:bookmarkEnd w:id="97"/>
    </w:p>
    <w:p w14:paraId="69205E5F">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bookmarkStart w:id="98" w:name="_Toc4550"/>
      <w:bookmarkStart w:id="99" w:name="_Toc27033"/>
      <w:bookmarkStart w:id="100" w:name="_Toc22128"/>
      <w:bookmarkStart w:id="101" w:name="_Toc9808"/>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发生以下条款情况之一者，其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作无效响应处理：</w:t>
      </w:r>
    </w:p>
    <w:p w14:paraId="7CE802B3">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未通过资格性检查或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未通过符合性检查的；</w:t>
      </w:r>
    </w:p>
    <w:p w14:paraId="4A4182B1">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不按第七篇“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格式要求”规定签字、盖章；</w:t>
      </w:r>
    </w:p>
    <w:p w14:paraId="0B3D9662">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的报价超过采购预算或最高限价的；</w:t>
      </w:r>
    </w:p>
    <w:p w14:paraId="2D2E8587">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，参加同一合同项下的政府采购活动的；</w:t>
      </w:r>
    </w:p>
    <w:p w14:paraId="0466D056">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再参加本项目的采购活动的；</w:t>
      </w:r>
    </w:p>
    <w:p w14:paraId="2CFCC37E">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投标人投标文件</w:t>
      </w:r>
      <w:r>
        <w:rPr>
          <w:rFonts w:hint="eastAsia" w:ascii="仿宋" w:hAnsi="仿宋" w:eastAsia="仿宋" w:cs="仿宋"/>
          <w:color w:val="auto"/>
          <w:sz w:val="24"/>
          <w:szCs w:val="24"/>
          <w:highlight w:val="none"/>
        </w:rPr>
        <w:t>内容有与国家现行法律法规相违背的内容，或附有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无法接受的条件；</w:t>
      </w:r>
    </w:p>
    <w:p w14:paraId="5FB9EB34">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（七）同一合同项（分包）下的货物，制造商参与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的，再委托代理商参与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w:t>
      </w:r>
    </w:p>
    <w:p w14:paraId="5EAB10A3">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以联合体形式参与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w:t>
      </w:r>
    </w:p>
    <w:p w14:paraId="54B962D7">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进行合同分包的；</w:t>
      </w:r>
    </w:p>
    <w:p w14:paraId="5E3F430B">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规定的其他无效响应情形；</w:t>
      </w:r>
    </w:p>
    <w:p w14:paraId="2960E0F3">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（十一）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5762EBE2">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8"/>
          <w:szCs w:val="28"/>
          <w:highlight w:val="none"/>
        </w:rPr>
      </w:pPr>
      <w:bookmarkStart w:id="102" w:name="_Toc1028"/>
      <w:r>
        <w:rPr>
          <w:rFonts w:hint="eastAsia" w:ascii="仿宋" w:hAnsi="仿宋" w:eastAsia="仿宋" w:cs="仿宋"/>
          <w:color w:val="auto"/>
          <w:sz w:val="24"/>
          <w:szCs w:val="24"/>
          <w:highlight w:val="none"/>
        </w:rPr>
        <w:t>四、采购终止</w:t>
      </w:r>
      <w:bookmarkEnd w:id="98"/>
      <w:bookmarkEnd w:id="99"/>
      <w:bookmarkEnd w:id="100"/>
      <w:bookmarkEnd w:id="101"/>
      <w:bookmarkEnd w:id="102"/>
    </w:p>
    <w:p w14:paraId="0E633AD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应当终止本次采购活动，发布项目终止公告并说明原因，重新开展采购活动：</w:t>
      </w:r>
    </w:p>
    <w:p w14:paraId="54BF8387">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采购采购方式适用情形的；</w:t>
      </w:r>
    </w:p>
    <w:p w14:paraId="086EE09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2357292">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（三）因重大变故，采购任务取消的；</w:t>
      </w:r>
    </w:p>
    <w:p w14:paraId="24042292">
      <w:pPr>
        <w:pageBreakBefore w:val="0"/>
        <w:widowControl w:val="0"/>
        <w:kinsoku/>
        <w:wordWrap/>
        <w:overflowPunct/>
        <w:topLinePunct w:val="0"/>
        <w:autoSpaceDE/>
        <w:autoSpaceDN/>
        <w:bidi w:val="0"/>
        <w:adjustRightInd/>
        <w:snapToGrid w:val="0"/>
        <w:spacing w:line="480" w:lineRule="exact"/>
        <w:ind w:firstLine="480" w:firstLineChars="200"/>
        <w:jc w:val="center"/>
        <w:textAlignment w:val="auto"/>
        <w:rPr>
          <w:rFonts w:hint="eastAsia" w:ascii="仿宋" w:hAnsi="仿宋" w:eastAsia="仿宋" w:cs="仿宋"/>
          <w:color w:val="auto"/>
          <w:sz w:val="40"/>
          <w:szCs w:val="32"/>
          <w:highlight w:val="none"/>
        </w:rPr>
      </w:pPr>
      <w:r>
        <w:rPr>
          <w:rFonts w:hint="eastAsia" w:ascii="仿宋" w:hAnsi="仿宋" w:eastAsia="仿宋" w:cs="仿宋"/>
          <w:color w:val="auto"/>
          <w:sz w:val="24"/>
          <w:szCs w:val="24"/>
          <w:highlight w:val="none"/>
        </w:rPr>
        <w:t>（四）在采购过程中符合要求的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或者报价未超过采购预算的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w:t>
      </w:r>
      <w:bookmarkStart w:id="103" w:name="_Toc21783690"/>
      <w:r>
        <w:rPr>
          <w:rFonts w:hint="eastAsia" w:ascii="仿宋" w:hAnsi="仿宋" w:eastAsia="仿宋" w:cs="仿宋"/>
          <w:color w:val="auto"/>
          <w:sz w:val="40"/>
          <w:szCs w:val="32"/>
          <w:highlight w:val="none"/>
        </w:rPr>
        <w:br w:type="page"/>
      </w:r>
      <w:bookmarkStart w:id="104" w:name="_Toc8803"/>
      <w:r>
        <w:rPr>
          <w:rFonts w:hint="eastAsia" w:ascii="仿宋" w:hAnsi="仿宋" w:eastAsia="仿宋" w:cs="仿宋"/>
          <w:b/>
          <w:bCs/>
          <w:color w:val="auto"/>
          <w:sz w:val="36"/>
          <w:szCs w:val="28"/>
          <w:highlight w:val="none"/>
        </w:rPr>
        <w:t xml:space="preserve">第五篇  </w:t>
      </w:r>
      <w:r>
        <w:rPr>
          <w:rFonts w:hint="eastAsia" w:ascii="仿宋" w:hAnsi="仿宋" w:eastAsia="仿宋" w:cs="仿宋"/>
          <w:b/>
          <w:bCs/>
          <w:color w:val="auto"/>
          <w:sz w:val="36"/>
          <w:szCs w:val="28"/>
          <w:highlight w:val="none"/>
          <w:lang w:eastAsia="zh-CN"/>
        </w:rPr>
        <w:t>投标人</w:t>
      </w:r>
      <w:r>
        <w:rPr>
          <w:rFonts w:hint="eastAsia" w:ascii="仿宋" w:hAnsi="仿宋" w:eastAsia="仿宋" w:cs="仿宋"/>
          <w:b/>
          <w:bCs/>
          <w:color w:val="auto"/>
          <w:sz w:val="36"/>
          <w:szCs w:val="28"/>
          <w:highlight w:val="none"/>
        </w:rPr>
        <w:t>须知</w:t>
      </w:r>
      <w:bookmarkEnd w:id="103"/>
      <w:bookmarkEnd w:id="104"/>
    </w:p>
    <w:p w14:paraId="7FAC01F1">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105" w:name="_Toc952"/>
      <w:bookmarkStart w:id="106" w:name="_Toc15608"/>
      <w:bookmarkStart w:id="107" w:name="_Toc53751346"/>
      <w:bookmarkStart w:id="108" w:name="_Toc342913389"/>
      <w:bookmarkStart w:id="109" w:name="_Toc507411003"/>
      <w:bookmarkStart w:id="110" w:name="_Toc8010435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费用</w:t>
      </w:r>
      <w:bookmarkEnd w:id="105"/>
      <w:bookmarkEnd w:id="106"/>
      <w:bookmarkEnd w:id="107"/>
      <w:bookmarkEnd w:id="108"/>
    </w:p>
    <w:p w14:paraId="65065EA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应承担其编制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与递交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所涉及的一切费用，不论结果如何，</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在任何情况下无义务也无责任承担这些费用。</w:t>
      </w:r>
    </w:p>
    <w:p w14:paraId="76F2E309">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lang w:eastAsia="zh-CN"/>
        </w:rPr>
      </w:pPr>
      <w:bookmarkStart w:id="111" w:name="_Toc342913391"/>
      <w:bookmarkStart w:id="112" w:name="_Toc13521"/>
      <w:bookmarkStart w:id="113" w:name="_Toc4017"/>
      <w:bookmarkStart w:id="114" w:name="_Toc53751347"/>
      <w:r>
        <w:rPr>
          <w:rFonts w:hint="eastAsia" w:ascii="仿宋" w:hAnsi="仿宋" w:eastAsia="仿宋" w:cs="仿宋"/>
          <w:color w:val="auto"/>
          <w:sz w:val="24"/>
          <w:szCs w:val="24"/>
          <w:highlight w:val="none"/>
        </w:rPr>
        <w:t>二、</w:t>
      </w:r>
      <w:bookmarkEnd w:id="111"/>
      <w:bookmarkEnd w:id="112"/>
      <w:bookmarkEnd w:id="113"/>
      <w:bookmarkEnd w:id="114"/>
      <w:r>
        <w:rPr>
          <w:rFonts w:hint="eastAsia" w:ascii="仿宋" w:hAnsi="仿宋" w:eastAsia="仿宋" w:cs="仿宋"/>
          <w:color w:val="auto"/>
          <w:sz w:val="24"/>
          <w:szCs w:val="24"/>
          <w:highlight w:val="none"/>
          <w:lang w:eastAsia="zh-CN"/>
        </w:rPr>
        <w:t>招标文件</w:t>
      </w:r>
    </w:p>
    <w:p w14:paraId="5F9067C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招标公告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、项目商务需求、评审程序及方法、评审标准、无效响应条款和采购终止、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bCs/>
          <w:color w:val="auto"/>
          <w:sz w:val="24"/>
          <w:szCs w:val="24"/>
          <w:highlight w:val="none"/>
        </w:rPr>
        <w:t>、合同草案条款、</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编制要求七部分组成。</w:t>
      </w:r>
    </w:p>
    <w:p w14:paraId="157E73A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）所作的一切有效的书面通知、修改及补充，都是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不可分割的部分。</w:t>
      </w:r>
    </w:p>
    <w:p w14:paraId="6643E9F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bookmarkStart w:id="115" w:name="_Toc318159780"/>
      <w:bookmarkStart w:id="116" w:name="_Toc318159160"/>
      <w:bookmarkStart w:id="117" w:name="_Toc318166429"/>
      <w:bookmarkStart w:id="118" w:name="_Toc318159349"/>
      <w:r>
        <w:rPr>
          <w:rFonts w:hint="eastAsia" w:ascii="仿宋" w:hAnsi="仿宋" w:eastAsia="仿宋" w:cs="仿宋"/>
          <w:color w:val="auto"/>
          <w:sz w:val="24"/>
          <w:szCs w:val="24"/>
          <w:highlight w:val="none"/>
        </w:rPr>
        <w:t>（三）评审的依据为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（含有效的书面承诺）。</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判断</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的响应，仅基于</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本身而不靠外部证据。</w:t>
      </w:r>
    </w:p>
    <w:bookmarkEnd w:id="115"/>
    <w:bookmarkEnd w:id="116"/>
    <w:bookmarkEnd w:id="117"/>
    <w:bookmarkEnd w:id="118"/>
    <w:p w14:paraId="292F63D5">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119" w:name="_Toc102227318"/>
      <w:bookmarkStart w:id="120" w:name="_Toc53751348"/>
      <w:bookmarkStart w:id="121" w:name="_Toc179714297"/>
      <w:bookmarkStart w:id="122" w:name="_Toc342913392"/>
      <w:bookmarkStart w:id="123" w:name="_Toc15467"/>
      <w:bookmarkStart w:id="124" w:name="_Toc27179"/>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要求</w:t>
      </w:r>
      <w:bookmarkEnd w:id="119"/>
      <w:bookmarkEnd w:id="120"/>
      <w:bookmarkEnd w:id="121"/>
      <w:bookmarkEnd w:id="122"/>
      <w:bookmarkEnd w:id="123"/>
      <w:bookmarkEnd w:id="124"/>
    </w:p>
    <w:p w14:paraId="3208D04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投标文件</w:t>
      </w:r>
    </w:p>
    <w:p w14:paraId="3365F66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bookmarkStart w:id="125" w:name="_Toc53751349"/>
      <w:bookmarkStart w:id="126" w:name="_Toc7867"/>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提出的要求和条件作出实质性响应，</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原则上采用软面订本，同时应编制完整的页码、目录。</w:t>
      </w:r>
    </w:p>
    <w:p w14:paraId="0942660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组成</w:t>
      </w:r>
    </w:p>
    <w:p w14:paraId="461DACD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由第七篇“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编制要求”规定的部分和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自定格式。</w:t>
      </w:r>
    </w:p>
    <w:p w14:paraId="6F45BB0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56DDB78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本项目不接受以联合体形式参与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125C044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有效期</w:t>
      </w:r>
    </w:p>
    <w:p w14:paraId="4FDD6FB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截止时间起90天。</w:t>
      </w:r>
    </w:p>
    <w:p w14:paraId="2E1C4F7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）修正错误</w:t>
      </w:r>
    </w:p>
    <w:p w14:paraId="57B0790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所递交的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的价格出现大写金额和小写金额不一致的错误，以大写金额修正为准。</w:t>
      </w:r>
    </w:p>
    <w:p w14:paraId="6E33E46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按上述修正错误的原则及方法修正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不接受修正后的价格，将失去成为成交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w:t>
      </w:r>
    </w:p>
    <w:p w14:paraId="79DFA61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）提交纸质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的份数和签署</w:t>
      </w:r>
    </w:p>
    <w:p w14:paraId="101AA02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1.投标人须在线上上传盖章后的投标文件电子文档一份。</w:t>
      </w:r>
    </w:p>
    <w:p w14:paraId="782F279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2.投标人须在现场递交纸质投标文件一式三份，其中正本一份，副本两份，副本可为正本的复印件。上传的投标文件电子文档内容应与纸质文件正本一致。如纸质投标文件正本与副本不一致，以正本为准。</w:t>
      </w:r>
    </w:p>
    <w:p w14:paraId="42F17B1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的递交</w:t>
      </w:r>
    </w:p>
    <w:p w14:paraId="7D5F55F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lang w:val="en-US" w:eastAsia="zh-CN"/>
        </w:rPr>
        <w:t>的正本、副本均应密封送达投标地点，应在封套上注明项目名称、投标人名称。若正本、副本分别进行密封的，还应在封套上注明“正本”、“副本”字样。</w:t>
      </w:r>
    </w:p>
    <w:p w14:paraId="31D3771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参与人员</w:t>
      </w:r>
    </w:p>
    <w:p w14:paraId="483F1E5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可派1名代表参与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，应为法定代表人或具有法定代表人授权委托书的授权代表。</w:t>
      </w:r>
    </w:p>
    <w:p w14:paraId="38E56F21">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127" w:name="_Toc18010"/>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的确认和变更</w:t>
      </w:r>
      <w:bookmarkEnd w:id="125"/>
      <w:bookmarkEnd w:id="126"/>
      <w:bookmarkEnd w:id="127"/>
    </w:p>
    <w:p w14:paraId="46A8BCB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w:t>
      </w:r>
    </w:p>
    <w:p w14:paraId="2689A8A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应当在评审结束后2个工作日内将评审报告送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应当在收到评审报告后5个工作日内，从评审报告提出的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，也可以书面授权</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逾期未确定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1D8E2FF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的变更</w:t>
      </w:r>
    </w:p>
    <w:p w14:paraId="47848AA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bookmarkStart w:id="128" w:name="_Toc102227321"/>
      <w:bookmarkStart w:id="129" w:name="_Toc342913395"/>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签订合同的，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可以按照评标报告推荐的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，也可以重新开展政府采购活动。</w:t>
      </w:r>
    </w:p>
    <w:p w14:paraId="7B5B34A8">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130" w:name="_Toc15298"/>
      <w:bookmarkStart w:id="131" w:name="_Toc14208"/>
      <w:bookmarkStart w:id="132" w:name="_Toc53751350"/>
      <w:r>
        <w:rPr>
          <w:rFonts w:hint="eastAsia" w:ascii="仿宋" w:hAnsi="仿宋" w:eastAsia="仿宋" w:cs="仿宋"/>
          <w:color w:val="auto"/>
          <w:sz w:val="24"/>
          <w:szCs w:val="24"/>
          <w:highlight w:val="none"/>
        </w:rPr>
        <w:t>五、成交通知</w:t>
      </w:r>
      <w:bookmarkEnd w:id="128"/>
      <w:bookmarkEnd w:id="129"/>
      <w:bookmarkEnd w:id="130"/>
      <w:bookmarkEnd w:id="131"/>
      <w:bookmarkEnd w:id="132"/>
    </w:p>
    <w:p w14:paraId="325428B7">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bookmarkStart w:id="133" w:name="_Toc638"/>
      <w:bookmarkStart w:id="134" w:name="_Toc53751351"/>
      <w:r>
        <w:rPr>
          <w:rFonts w:hint="eastAsia" w:ascii="仿宋" w:hAnsi="仿宋" w:eastAsia="仿宋" w:cs="仿宋"/>
          <w:color w:val="auto"/>
          <w:sz w:val="24"/>
          <w:highlight w:val="none"/>
          <w:lang w:eastAsia="zh-CN"/>
        </w:rPr>
        <w:t>（一）中标人</w:t>
      </w:r>
      <w:r>
        <w:rPr>
          <w:rFonts w:hint="eastAsia" w:ascii="仿宋" w:hAnsi="仿宋" w:eastAsia="仿宋" w:cs="仿宋"/>
          <w:color w:val="auto"/>
          <w:sz w:val="24"/>
          <w:highlight w:val="none"/>
        </w:rPr>
        <w:t>确定后，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将在“行采家”网上发布</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结果公示，公示期为</w:t>
      </w:r>
      <w:r>
        <w:rPr>
          <w:rFonts w:hint="eastAsia" w:ascii="仿宋" w:hAnsi="仿宋" w:eastAsia="仿宋" w:cs="仿宋"/>
          <w:color w:val="auto"/>
          <w:sz w:val="24"/>
          <w:highlight w:val="none"/>
          <w:lang w:val="en-US" w:eastAsia="zh-CN"/>
        </w:rPr>
        <w:t>1个工作日</w:t>
      </w:r>
      <w:r>
        <w:rPr>
          <w:rFonts w:hint="eastAsia" w:ascii="仿宋" w:hAnsi="仿宋" w:eastAsia="仿宋" w:cs="仿宋"/>
          <w:color w:val="auto"/>
          <w:sz w:val="24"/>
          <w:highlight w:val="none"/>
        </w:rPr>
        <w:t>。</w:t>
      </w:r>
    </w:p>
    <w:p w14:paraId="3838C523">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公示期结束没有收到在本次</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过程中有违法行为投诉或相关质疑、或投诉质疑不成立的，</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将按规定发出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2C5FD458">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通知书》将作为签订合同的依据。</w:t>
      </w:r>
    </w:p>
    <w:p w14:paraId="0197F6A5">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结果提出质疑的，在质疑处理完毕后发出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5081BF5D">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135" w:name="_Toc416"/>
      <w:r>
        <w:rPr>
          <w:rFonts w:hint="eastAsia" w:ascii="仿宋" w:hAnsi="仿宋" w:eastAsia="仿宋" w:cs="仿宋"/>
          <w:color w:val="auto"/>
          <w:sz w:val="24"/>
          <w:szCs w:val="24"/>
          <w:highlight w:val="none"/>
        </w:rPr>
        <w:t>六、关于质疑和投诉</w:t>
      </w:r>
      <w:bookmarkEnd w:id="133"/>
      <w:bookmarkEnd w:id="134"/>
      <w:bookmarkEnd w:id="135"/>
    </w:p>
    <w:p w14:paraId="413E96C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质疑内容、时限</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结果有异议的，应当在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结果公示期内以书面形式向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提出质疑，并附相关证明材料。</w:t>
      </w:r>
    </w:p>
    <w:p w14:paraId="7FE6057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质疑答复</w:t>
      </w:r>
    </w:p>
    <w:p w14:paraId="6A98B84F">
      <w:pPr>
        <w:pageBreakBefore w:val="0"/>
        <w:widowControl w:val="0"/>
        <w:kinsoku/>
        <w:wordWrap/>
        <w:overflowPunct/>
        <w:topLinePunct w:val="0"/>
        <w:autoSpaceDE/>
        <w:autoSpaceDN/>
        <w:bidi w:val="0"/>
        <w:adjustRightInd/>
        <w:spacing w:line="480" w:lineRule="exact"/>
        <w:ind w:left="545" w:leftChars="170" w:hanging="69" w:hangingChars="29"/>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书面质疑后七个工作日内，对质疑内容作出答复</w:t>
      </w:r>
      <w:r>
        <w:rPr>
          <w:rFonts w:hint="eastAsia" w:ascii="仿宋" w:hAnsi="仿宋" w:eastAsia="仿宋" w:cs="仿宋"/>
          <w:color w:val="auto"/>
          <w:sz w:val="24"/>
          <w:highlight w:val="none"/>
          <w:lang w:eastAsia="zh-CN"/>
        </w:rPr>
        <w:t>。</w:t>
      </w:r>
    </w:p>
    <w:p w14:paraId="16C8E73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不予受理或暂缓受理</w:t>
      </w:r>
    </w:p>
    <w:p w14:paraId="03828D23">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质疑有下列情形之一的，不予受理：</w:t>
      </w:r>
    </w:p>
    <w:p w14:paraId="4CE4A673">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参与了比选活动后，再对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内容提出质疑的；</w:t>
      </w:r>
    </w:p>
    <w:p w14:paraId="29069C72">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1.2质疑超过有效期的；</w:t>
      </w:r>
    </w:p>
    <w:p w14:paraId="333F927D">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1.3对同一事项重复质疑的。</w:t>
      </w:r>
    </w:p>
    <w:p w14:paraId="09F5742B">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质疑有下列情形之一的，应暂不受理并告知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补充材料。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及时补充材料的，应予受理；逾期未补充的，不予受理：</w:t>
      </w:r>
    </w:p>
    <w:p w14:paraId="5C7FE7D0">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2.1质疑书格式和内容不符合国家或重庆市相关规定的；</w:t>
      </w:r>
    </w:p>
    <w:p w14:paraId="635876DB">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2.2质疑书提供的依据或证明材料不全的；</w:t>
      </w:r>
    </w:p>
    <w:p w14:paraId="44CFBC81">
      <w:pPr>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2.3质疑书副本数量不足的。</w:t>
      </w:r>
    </w:p>
    <w:p w14:paraId="2634AC79">
      <w:pPr>
        <w:pStyle w:val="4"/>
        <w:pageBreakBefore w:val="0"/>
        <w:widowControl w:val="0"/>
        <w:kinsoku/>
        <w:wordWrap/>
        <w:overflowPunct/>
        <w:topLinePunct w:val="0"/>
        <w:autoSpaceDE/>
        <w:autoSpaceDN/>
        <w:bidi w:val="0"/>
        <w:adjustRightInd/>
        <w:snapToGrid w:val="0"/>
        <w:spacing w:before="0" w:after="0" w:line="480" w:lineRule="exact"/>
        <w:textAlignment w:val="auto"/>
        <w:rPr>
          <w:rFonts w:hint="eastAsia" w:ascii="仿宋" w:hAnsi="仿宋" w:eastAsia="仿宋" w:cs="仿宋"/>
          <w:color w:val="auto"/>
          <w:sz w:val="24"/>
          <w:szCs w:val="24"/>
          <w:highlight w:val="none"/>
        </w:rPr>
      </w:pPr>
      <w:bookmarkStart w:id="136" w:name="_Toc24251"/>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代理服务费</w:t>
      </w:r>
      <w:bookmarkEnd w:id="109"/>
      <w:bookmarkEnd w:id="110"/>
      <w:bookmarkEnd w:id="136"/>
    </w:p>
    <w:p w14:paraId="4BC1579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lang w:val="en-US" w:eastAsia="zh-CN"/>
        </w:rPr>
      </w:pPr>
      <w:bookmarkStart w:id="137" w:name="OLE_LINK8"/>
      <w:bookmarkStart w:id="138" w:name="OLE_LINK7"/>
      <w:bookmarkStart w:id="139" w:name="_Toc21783697"/>
      <w:bookmarkStart w:id="140" w:name="_Toc6265"/>
      <w:r>
        <w:rPr>
          <w:rFonts w:hint="eastAsia" w:ascii="仿宋" w:hAnsi="仿宋" w:eastAsia="仿宋" w:cs="仿宋"/>
          <w:color w:val="auto"/>
          <w:sz w:val="24"/>
          <w:szCs w:val="24"/>
          <w:highlight w:val="none"/>
          <w:lang w:val="en-US" w:eastAsia="zh-CN"/>
        </w:rPr>
        <w:t>本项目招标</w:t>
      </w:r>
      <w:r>
        <w:rPr>
          <w:rFonts w:hint="eastAsia" w:ascii="仿宋" w:hAnsi="仿宋" w:eastAsia="仿宋" w:cs="仿宋"/>
          <w:color w:val="auto"/>
          <w:sz w:val="24"/>
          <w:szCs w:val="24"/>
          <w:highlight w:val="none"/>
        </w:rPr>
        <w:t>代理</w:t>
      </w:r>
      <w:r>
        <w:rPr>
          <w:rFonts w:hint="eastAsia" w:ascii="仿宋" w:hAnsi="仿宋" w:eastAsia="仿宋" w:cs="仿宋"/>
          <w:color w:val="auto"/>
          <w:sz w:val="24"/>
          <w:szCs w:val="24"/>
          <w:highlight w:val="none"/>
          <w:lang w:val="en-US" w:eastAsia="zh-CN"/>
        </w:rPr>
        <w:t>服务费由招标人支付。</w:t>
      </w:r>
      <w:bookmarkEnd w:id="137"/>
      <w:bookmarkEnd w:id="138"/>
      <w:bookmarkStart w:id="141" w:name="_Toc106030900"/>
      <w:bookmarkStart w:id="142" w:name="_Toc76462345"/>
    </w:p>
    <w:bookmarkEnd w:id="141"/>
    <w:bookmarkEnd w:id="142"/>
    <w:p w14:paraId="1C6038BC">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八、签订合同</w:t>
      </w:r>
      <w:bookmarkEnd w:id="139"/>
      <w:bookmarkEnd w:id="140"/>
    </w:p>
    <w:p w14:paraId="614901E4">
      <w:pPr>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应当自成交通知书发出之日起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十日内，按照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中标人投标文件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作实质性修改。</w:t>
      </w:r>
    </w:p>
    <w:p w14:paraId="1A01C92A">
      <w:pPr>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及补遗文件等，均为签订政府采购合同的依据。</w:t>
      </w:r>
    </w:p>
    <w:p w14:paraId="1386823D">
      <w:pPr>
        <w:pageBreakBefore w:val="0"/>
        <w:widowControl w:val="0"/>
        <w:kinsoku/>
        <w:wordWrap/>
        <w:overflowPunct/>
        <w:topLinePunct w:val="0"/>
        <w:autoSpaceDE/>
        <w:autoSpaceDN/>
        <w:bidi w:val="0"/>
        <w:adjustRightInd/>
        <w:snapToGrid w:val="0"/>
        <w:spacing w:line="480" w:lineRule="exact"/>
        <w:ind w:firstLine="360" w:firstLineChars="150"/>
        <w:jc w:val="left"/>
        <w:textAlignment w:val="auto"/>
        <w:rPr>
          <w:rFonts w:hint="eastAsia" w:ascii="仿宋" w:hAnsi="仿宋" w:eastAsia="仿宋" w:cs="仿宋"/>
          <w:color w:val="auto"/>
          <w:sz w:val="36"/>
          <w:szCs w:val="30"/>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bookmarkStart w:id="143" w:name="_Toc88569292"/>
      <w:bookmarkStart w:id="144" w:name="_Toc12789072"/>
      <w:r>
        <w:rPr>
          <w:rFonts w:hint="eastAsia" w:ascii="仿宋" w:hAnsi="仿宋" w:eastAsia="仿宋" w:cs="仿宋"/>
          <w:color w:val="auto"/>
          <w:sz w:val="36"/>
          <w:szCs w:val="30"/>
          <w:highlight w:val="none"/>
        </w:rPr>
        <w:br w:type="page"/>
      </w:r>
      <w:bookmarkStart w:id="145" w:name="_Toc8319"/>
    </w:p>
    <w:p w14:paraId="5AEB9ED6">
      <w:pPr>
        <w:pageBreakBefore w:val="0"/>
        <w:widowControl w:val="0"/>
        <w:kinsoku/>
        <w:wordWrap/>
        <w:overflowPunct/>
        <w:topLinePunct w:val="0"/>
        <w:autoSpaceDE/>
        <w:autoSpaceDN/>
        <w:bidi w:val="0"/>
        <w:adjustRightInd/>
        <w:snapToGrid w:val="0"/>
        <w:spacing w:line="480" w:lineRule="exact"/>
        <w:ind w:firstLine="540" w:firstLineChars="150"/>
        <w:jc w:val="center"/>
        <w:textAlignment w:val="auto"/>
        <w:rPr>
          <w:rFonts w:hint="eastAsia" w:ascii="仿宋" w:hAnsi="仿宋" w:eastAsia="仿宋" w:cs="仿宋"/>
          <w:color w:val="auto"/>
          <w:sz w:val="36"/>
          <w:szCs w:val="30"/>
          <w:highlight w:val="none"/>
        </w:rPr>
      </w:pPr>
    </w:p>
    <w:p w14:paraId="356F7248">
      <w:pPr>
        <w:pageBreakBefore w:val="0"/>
        <w:widowControl w:val="0"/>
        <w:kinsoku/>
        <w:wordWrap/>
        <w:overflowPunct/>
        <w:topLinePunct w:val="0"/>
        <w:autoSpaceDE/>
        <w:autoSpaceDN/>
        <w:bidi w:val="0"/>
        <w:adjustRightInd/>
        <w:snapToGrid w:val="0"/>
        <w:spacing w:line="480" w:lineRule="exact"/>
        <w:ind w:firstLine="542" w:firstLineChars="15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36"/>
          <w:szCs w:val="30"/>
          <w:highlight w:val="none"/>
        </w:rPr>
        <w:t>第六篇  合同草案条款</w:t>
      </w:r>
      <w:bookmarkEnd w:id="143"/>
      <w:bookmarkEnd w:id="145"/>
    </w:p>
    <w:p w14:paraId="7A22AFFD">
      <w:pPr>
        <w:jc w:val="center"/>
        <w:rPr>
          <w:rFonts w:hint="eastAsia" w:ascii="仿宋" w:hAnsi="仿宋" w:eastAsia="仿宋" w:cs="仿宋"/>
          <w:bCs/>
          <w:color w:val="auto"/>
          <w:sz w:val="24"/>
          <w:szCs w:val="24"/>
          <w:highlight w:val="none"/>
        </w:rPr>
      </w:pPr>
    </w:p>
    <w:p w14:paraId="56FCD37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注：（以下合同格式为</w:t>
      </w:r>
      <w:r>
        <w:rPr>
          <w:rFonts w:hint="eastAsia" w:ascii="仿宋" w:hAnsi="仿宋" w:eastAsia="仿宋" w:cs="仿宋"/>
          <w:bCs/>
          <w:color w:val="auto"/>
          <w:sz w:val="24"/>
          <w:szCs w:val="24"/>
          <w:highlight w:val="none"/>
          <w:lang w:val="en-US" w:eastAsia="zh-CN"/>
        </w:rPr>
        <w:t>参考</w:t>
      </w:r>
      <w:r>
        <w:rPr>
          <w:rFonts w:hint="eastAsia" w:ascii="仿宋" w:hAnsi="仿宋" w:eastAsia="仿宋" w:cs="仿宋"/>
          <w:bCs/>
          <w:color w:val="auto"/>
          <w:sz w:val="24"/>
          <w:szCs w:val="24"/>
          <w:highlight w:val="none"/>
        </w:rPr>
        <w:t>版本，合同格式的最终版以签订合同时</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提供的版本为准）</w:t>
      </w:r>
      <w:bookmarkStart w:id="146" w:name="_Toc335223532"/>
      <w:bookmarkStart w:id="147" w:name="_Toc509218786"/>
      <w:bookmarkStart w:id="148" w:name="_Toc144974827"/>
      <w:bookmarkStart w:id="149" w:name="_Toc240180917"/>
      <w:bookmarkStart w:id="150" w:name="_Toc424558729"/>
      <w:bookmarkStart w:id="151" w:name="_Toc240180916"/>
      <w:bookmarkStart w:id="152" w:name="_Toc509390696"/>
      <w:bookmarkStart w:id="153" w:name="_Toc351203494"/>
      <w:bookmarkStart w:id="154" w:name="_Toc467164258"/>
      <w:bookmarkStart w:id="155" w:name="_Toc424558369"/>
      <w:bookmarkStart w:id="156" w:name="_Toc509390697"/>
      <w:bookmarkStart w:id="157" w:name="_Toc467164257"/>
      <w:bookmarkStart w:id="158" w:name="_Toc57820637"/>
      <w:bookmarkStart w:id="159" w:name="_Toc152042547"/>
      <w:bookmarkStart w:id="160" w:name="_Toc534185765"/>
      <w:bookmarkStart w:id="161" w:name="_Toc152045768"/>
      <w:bookmarkStart w:id="162" w:name="_Toc32387"/>
      <w:bookmarkStart w:id="163" w:name="_Toc335223531"/>
      <w:bookmarkStart w:id="164" w:name="_Toc424558368"/>
      <w:bookmarkStart w:id="165" w:name="_Toc424558728"/>
    </w:p>
    <w:p w14:paraId="49FE7130">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642C561B">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p>
    <w:p w14:paraId="72C4395E">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发包人（简称甲方）：</w:t>
      </w:r>
      <w:r>
        <w:rPr>
          <w:rFonts w:hint="eastAsia" w:ascii="仿宋" w:hAnsi="仿宋" w:eastAsia="仿宋" w:cs="仿宋"/>
          <w:b/>
          <w:bCs/>
          <w:color w:val="auto"/>
          <w:sz w:val="24"/>
          <w:szCs w:val="24"/>
          <w:highlight w:val="none"/>
          <w:u w:val="single"/>
        </w:rPr>
        <w:t xml:space="preserve">                   </w:t>
      </w:r>
    </w:p>
    <w:p w14:paraId="0A7F34EB">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承包人（简称乙方）：</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p>
    <w:p w14:paraId="22201CD3">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依照《中华人民共和国民法典》及其他有关法律、行政法规、遵循平等、自愿、公平和诚实信用的原则，甲、乙双方就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重庆市南岸区南坪实验幼儿园茶园园区（暂定名）新建工程漏水维修改造工程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，经过充分协商、并明确双方权利和义务，商达成以下合同协议条款。</w:t>
      </w:r>
    </w:p>
    <w:p w14:paraId="46EEB62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一、工程概况</w:t>
      </w:r>
    </w:p>
    <w:p w14:paraId="305FB47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1．工程名称：</w:t>
      </w:r>
      <w:r>
        <w:rPr>
          <w:rFonts w:hint="eastAsia" w:ascii="仿宋" w:hAnsi="仿宋" w:eastAsia="仿宋" w:cs="仿宋"/>
          <w:color w:val="auto"/>
          <w:sz w:val="24"/>
          <w:szCs w:val="24"/>
          <w:highlight w:val="none"/>
          <w:u w:val="single"/>
          <w:lang w:eastAsia="zh-CN"/>
        </w:rPr>
        <w:t>重庆市南岸区南坪实验幼儿园茶园园区（暂定名）新建工程漏水维修改造工程</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245AB15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2．工程地点：</w:t>
      </w:r>
      <w:r>
        <w:rPr>
          <w:rFonts w:hint="eastAsia" w:ascii="仿宋" w:hAnsi="仿宋" w:eastAsia="仿宋" w:cs="仿宋"/>
          <w:color w:val="auto"/>
          <w:sz w:val="24"/>
          <w:szCs w:val="24"/>
          <w:highlight w:val="none"/>
          <w:u w:val="single"/>
          <w:lang w:val="en-US" w:eastAsia="zh-CN"/>
        </w:rPr>
        <w:t>重庆市南岸区天文大道7号</w:t>
      </w:r>
      <w:r>
        <w:rPr>
          <w:rFonts w:hint="eastAsia" w:ascii="仿宋" w:hAnsi="仿宋" w:eastAsia="仿宋" w:cs="仿宋"/>
          <w:color w:val="auto"/>
          <w:sz w:val="24"/>
          <w:szCs w:val="24"/>
          <w:highlight w:val="none"/>
        </w:rPr>
        <w:t xml:space="preserve"> </w:t>
      </w:r>
    </w:p>
    <w:p w14:paraId="5DD7772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3．资金来源：</w:t>
      </w:r>
      <w:r>
        <w:rPr>
          <w:rFonts w:hint="eastAsia" w:ascii="仿宋" w:hAnsi="仿宋" w:eastAsia="仿宋" w:cs="仿宋"/>
          <w:color w:val="auto"/>
          <w:sz w:val="24"/>
          <w:szCs w:val="24"/>
          <w:highlight w:val="none"/>
          <w:u w:val="single"/>
          <w:lang w:val="en-US" w:eastAsia="zh-CN"/>
        </w:rPr>
        <w:t>原项目质保金</w:t>
      </w:r>
    </w:p>
    <w:p w14:paraId="14A4F5F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工程内容：</w:t>
      </w:r>
      <w:r>
        <w:rPr>
          <w:rFonts w:hint="eastAsia" w:ascii="仿宋" w:hAnsi="仿宋" w:eastAsia="仿宋" w:cs="仿宋"/>
          <w:color w:val="auto"/>
          <w:sz w:val="24"/>
          <w:szCs w:val="24"/>
          <w:highlight w:val="none"/>
          <w:u w:val="single"/>
          <w:lang w:val="en-US" w:eastAsia="zh-CN"/>
        </w:rPr>
        <w:t>主要内容包括屋面、挑檐以及校内卫生间的改造等内容，具体建设内容详见发布的工程量清单</w:t>
      </w:r>
      <w:r>
        <w:rPr>
          <w:rFonts w:hint="eastAsia" w:ascii="仿宋" w:hAnsi="仿宋" w:eastAsia="仿宋" w:cs="仿宋"/>
          <w:color w:val="auto"/>
          <w:sz w:val="24"/>
          <w:szCs w:val="24"/>
          <w:highlight w:val="none"/>
        </w:rPr>
        <w:t>。</w:t>
      </w:r>
    </w:p>
    <w:p w14:paraId="03CF479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6.工程承包范围：</w:t>
      </w:r>
      <w:r>
        <w:rPr>
          <w:rFonts w:hint="eastAsia" w:ascii="仿宋" w:hAnsi="仿宋" w:eastAsia="仿宋" w:cs="仿宋"/>
          <w:color w:val="auto"/>
          <w:sz w:val="24"/>
          <w:szCs w:val="24"/>
          <w:highlight w:val="none"/>
          <w:u w:val="single"/>
          <w:lang w:val="en-US" w:eastAsia="zh-CN"/>
        </w:rPr>
        <w:t>具体详见招标人提供的工程量清单、图纸、招标文件以及招标文件补遗、答疑、澄清中补充的全部工程内容</w:t>
      </w:r>
      <w:r>
        <w:rPr>
          <w:rFonts w:hint="eastAsia" w:ascii="仿宋" w:hAnsi="仿宋" w:eastAsia="仿宋" w:cs="仿宋"/>
          <w:color w:val="auto"/>
          <w:sz w:val="24"/>
          <w:szCs w:val="24"/>
          <w:highlight w:val="none"/>
        </w:rPr>
        <w:t>。</w:t>
      </w:r>
    </w:p>
    <w:p w14:paraId="0207DF7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7．质量要求：符合强制性质量标准，符合国家和重庆市现行有关施工质量验收规范要求，并达到合格标准。</w:t>
      </w:r>
    </w:p>
    <w:p w14:paraId="68605F54">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bookmarkStart w:id="166" w:name="_Toc532377167"/>
      <w:bookmarkStart w:id="167" w:name="_Toc532375574"/>
      <w:bookmarkStart w:id="168" w:name="_Toc351203482"/>
      <w:r>
        <w:rPr>
          <w:rFonts w:hint="eastAsia" w:ascii="仿宋" w:hAnsi="仿宋" w:eastAsia="仿宋" w:cs="仿宋"/>
          <w:b/>
          <w:bCs/>
          <w:color w:val="auto"/>
          <w:sz w:val="24"/>
          <w:szCs w:val="24"/>
          <w:highlight w:val="none"/>
        </w:rPr>
        <w:t>二、合同工期</w:t>
      </w:r>
      <w:bookmarkEnd w:id="166"/>
      <w:bookmarkEnd w:id="167"/>
      <w:bookmarkEnd w:id="168"/>
    </w:p>
    <w:p w14:paraId="5569729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合同工期：</w:t>
      </w:r>
      <w:r>
        <w:rPr>
          <w:rFonts w:hint="eastAsia" w:ascii="仿宋" w:hAnsi="仿宋" w:eastAsia="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rPr>
        <w:t>日历天。</w:t>
      </w:r>
    </w:p>
    <w:p w14:paraId="13019A75">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计划开工日期：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日，实际开工日期以监理工程师签发的工程开工通知明确的开工日期为准。</w:t>
      </w:r>
    </w:p>
    <w:p w14:paraId="331FFF5F">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计划竣工日期：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日，实际竣工日期以工程竣工验收合格之日为准。</w:t>
      </w:r>
    </w:p>
    <w:p w14:paraId="5D5F09AD">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工期总日历天数</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天。工期总日历天数与根据前述计划开竣工日期计算的工期天数不一</w:t>
      </w:r>
      <w:r>
        <w:rPr>
          <w:rFonts w:hint="eastAsia" w:ascii="仿宋" w:hAnsi="仿宋" w:eastAsia="仿宋" w:cs="仿宋"/>
          <w:color w:val="auto"/>
          <w:sz w:val="24"/>
          <w:highlight w:val="none"/>
        </w:rPr>
        <w:t>致的，以工期总日历天数为准。</w:t>
      </w:r>
    </w:p>
    <w:p w14:paraId="56D70881">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bookmarkStart w:id="169" w:name="_Toc532375575"/>
      <w:bookmarkStart w:id="170" w:name="_Toc532377168"/>
      <w:bookmarkStart w:id="171" w:name="_Toc351203483"/>
      <w:r>
        <w:rPr>
          <w:rFonts w:hint="eastAsia" w:ascii="仿宋" w:hAnsi="仿宋" w:eastAsia="仿宋" w:cs="仿宋"/>
          <w:b/>
          <w:bCs/>
          <w:color w:val="auto"/>
          <w:sz w:val="24"/>
          <w:szCs w:val="24"/>
          <w:highlight w:val="none"/>
        </w:rPr>
        <w:t>三、质量标准</w:t>
      </w:r>
      <w:bookmarkEnd w:id="169"/>
      <w:bookmarkEnd w:id="170"/>
      <w:bookmarkEnd w:id="171"/>
    </w:p>
    <w:p w14:paraId="5CA3C8D6">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工程质量符合强制性质量标准，</w:t>
      </w:r>
      <w:r>
        <w:rPr>
          <w:rFonts w:hint="eastAsia" w:ascii="仿宋" w:hAnsi="仿宋" w:eastAsia="仿宋" w:cs="仿宋"/>
          <w:color w:val="auto"/>
          <w:sz w:val="24"/>
          <w:highlight w:val="none"/>
          <w:u w:val="single"/>
        </w:rPr>
        <w:t>符合国家和重庆市现行有关施工质量验收规范要求，并达到合格</w:t>
      </w:r>
      <w:r>
        <w:rPr>
          <w:rFonts w:hint="eastAsia" w:ascii="仿宋" w:hAnsi="仿宋" w:eastAsia="仿宋" w:cs="仿宋"/>
          <w:color w:val="auto"/>
          <w:sz w:val="24"/>
          <w:highlight w:val="none"/>
        </w:rPr>
        <w:t>标准。</w:t>
      </w:r>
    </w:p>
    <w:p w14:paraId="37239EA8">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bookmarkStart w:id="172" w:name="_Toc351203485"/>
      <w:bookmarkStart w:id="173" w:name="_Toc532375577"/>
      <w:bookmarkStart w:id="174" w:name="_Toc532377170"/>
      <w:r>
        <w:rPr>
          <w:rFonts w:hint="eastAsia" w:ascii="仿宋" w:hAnsi="仿宋" w:eastAsia="仿宋" w:cs="仿宋"/>
          <w:b/>
          <w:bCs/>
          <w:color w:val="auto"/>
          <w:sz w:val="24"/>
          <w:szCs w:val="24"/>
          <w:highlight w:val="none"/>
        </w:rPr>
        <w:t>四、</w:t>
      </w:r>
      <w:bookmarkEnd w:id="172"/>
      <w:r>
        <w:rPr>
          <w:rFonts w:hint="eastAsia" w:ascii="仿宋" w:hAnsi="仿宋" w:eastAsia="仿宋" w:cs="仿宋"/>
          <w:b/>
          <w:bCs/>
          <w:color w:val="auto"/>
          <w:sz w:val="24"/>
          <w:szCs w:val="24"/>
          <w:highlight w:val="none"/>
        </w:rPr>
        <w:t>项目经理及技术负责人</w:t>
      </w:r>
      <w:bookmarkEnd w:id="173"/>
      <w:bookmarkEnd w:id="174"/>
    </w:p>
    <w:p w14:paraId="7DB24692">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中承诺的项目经理：</w:t>
      </w:r>
    </w:p>
    <w:p w14:paraId="24C5BB2C">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30EB40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E7CD8C">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E91764">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中承诺的技术负责人：</w:t>
      </w:r>
    </w:p>
    <w:p w14:paraId="3103B7AA">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1B6AE04">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F4F3C22">
      <w:pPr>
        <w:pStyle w:val="8"/>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证书名称及号码：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D7E5F3B">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bookmarkStart w:id="175" w:name="_Toc351203484"/>
      <w:bookmarkStart w:id="176" w:name="_Toc532377169"/>
      <w:bookmarkStart w:id="177" w:name="_Toc532375576"/>
      <w:r>
        <w:rPr>
          <w:rFonts w:hint="eastAsia" w:ascii="仿宋" w:hAnsi="仿宋" w:eastAsia="仿宋" w:cs="仿宋"/>
          <w:b/>
          <w:bCs/>
          <w:color w:val="auto"/>
          <w:sz w:val="24"/>
          <w:szCs w:val="24"/>
          <w:highlight w:val="none"/>
        </w:rPr>
        <w:t>五、签约合同价与合同价格形式</w:t>
      </w:r>
      <w:bookmarkEnd w:id="175"/>
      <w:bookmarkEnd w:id="176"/>
      <w:bookmarkEnd w:id="177"/>
      <w:r>
        <w:rPr>
          <w:rFonts w:hint="eastAsia" w:ascii="仿宋" w:hAnsi="仿宋" w:eastAsia="仿宋" w:cs="仿宋"/>
          <w:b/>
          <w:bCs/>
          <w:color w:val="auto"/>
          <w:sz w:val="24"/>
          <w:szCs w:val="24"/>
          <w:highlight w:val="none"/>
        </w:rPr>
        <w:tab/>
      </w:r>
    </w:p>
    <w:p w14:paraId="3EEC234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039B25F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6058464">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xml:space="preserve">   固定综合单价合同  </w:t>
      </w:r>
      <w:r>
        <w:rPr>
          <w:rFonts w:hint="eastAsia" w:ascii="仿宋" w:hAnsi="仿宋" w:eastAsia="仿宋" w:cs="仿宋"/>
          <w:color w:val="auto"/>
          <w:sz w:val="24"/>
          <w:szCs w:val="24"/>
          <w:highlight w:val="none"/>
        </w:rPr>
        <w:t>。</w:t>
      </w:r>
    </w:p>
    <w:p w14:paraId="7B73A8DB">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六、付款方式</w:t>
      </w:r>
    </w:p>
    <w:p w14:paraId="39AD73AD">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（一）工程经财评中心结算审计后出具审计报告，移交档案资料且通过档案验收后，由中标人向招标人支付结算审定总额的3%作为质保金后，招标人按合同约定支付至结算审定总额的100%。</w:t>
      </w:r>
    </w:p>
    <w:p w14:paraId="5F6F88C1">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（二）缺陷责任期为24个月，缺陷责任期满后1个月内无息退还工程质保金。</w:t>
      </w:r>
    </w:p>
    <w:p w14:paraId="78764D12">
      <w:pPr>
        <w:pStyle w:val="12"/>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七、履约担保</w:t>
      </w:r>
    </w:p>
    <w:p w14:paraId="30DC2885">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5BC7550D">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7481DE20">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46FE4517">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7F7842A7">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（三）履约担保的提交时间：在合同签订前，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按担保金额向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并上报政府采购主管部门，并追究其法律责任。</w:t>
      </w:r>
    </w:p>
    <w:p w14:paraId="64FBE1C5">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（四）履约担保的期限：提交履约担保之日起至竣工验收合格之日止</w:t>
      </w:r>
      <w:r>
        <w:rPr>
          <w:rFonts w:hint="eastAsia" w:ascii="仿宋" w:hAnsi="仿宋" w:eastAsia="仿宋" w:cs="仿宋"/>
          <w:color w:val="auto"/>
          <w:sz w:val="24"/>
          <w:szCs w:val="24"/>
          <w:highlight w:val="none"/>
          <w:lang w:eastAsia="zh-CN"/>
        </w:rPr>
        <w:t>。</w:t>
      </w:r>
    </w:p>
    <w:p w14:paraId="1D0D355C">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履约担保的退还时间：工程通过竣工验收并达到合格标准后一次性无息退还。</w:t>
      </w:r>
    </w:p>
    <w:p w14:paraId="14DFD11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八、结算原则</w:t>
      </w:r>
    </w:p>
    <w:p w14:paraId="07538137">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42A5711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0653BAF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28612AC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12F4ACE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60DDC6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2357783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eastAsia="zh-CN"/>
        </w:rPr>
        <w:t>及其配套文件规定的</w:t>
      </w:r>
      <w:r>
        <w:rPr>
          <w:rFonts w:hint="eastAsia" w:ascii="仿宋" w:hAnsi="仿宋" w:eastAsia="仿宋" w:cs="仿宋"/>
          <w:color w:val="auto"/>
          <w:sz w:val="24"/>
          <w:szCs w:val="24"/>
          <w:highlight w:val="none"/>
        </w:rPr>
        <w:t>计量规则计算的合格工程量作为结算依据。</w:t>
      </w:r>
    </w:p>
    <w:p w14:paraId="0A4E13C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11EFBFB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7E3290B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540D26DE">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487754A4">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6998381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b/>
          <w:bCs/>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48A7C83F">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投标人报价浮动率按下列公式计算：投标人报价浮动率=(1-中标价/最高限价)×100%</w:t>
      </w:r>
    </w:p>
    <w:p w14:paraId="4A98CAA7">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4CCD6BEA">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515EEAC0">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4BBD85C8">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3F1BAF76">
      <w:pPr>
        <w:pageBreakBefore w:val="0"/>
        <w:widowControl w:val="0"/>
        <w:kinsoku/>
        <w:wordWrap/>
        <w:overflowPunct/>
        <w:topLinePunct w:val="0"/>
        <w:autoSpaceDE/>
        <w:autoSpaceDN/>
        <w:bidi w:val="0"/>
        <w:adjustRightInd/>
        <w:snapToGrid/>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62C88204">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1D79A679">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69396A1E">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673193A3">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5.规费：</w:t>
      </w:r>
      <w:r>
        <w:rPr>
          <w:rFonts w:hint="eastAsia" w:ascii="仿宋" w:hAnsi="仿宋" w:eastAsia="仿宋" w:cs="仿宋"/>
          <w:color w:val="auto"/>
          <w:sz w:val="24"/>
          <w:szCs w:val="24"/>
          <w:highlight w:val="none"/>
          <w:lang w:val="zh-CN"/>
        </w:rPr>
        <w:t>按《重庆市建设工程费用定额》（CQFYDE-2018）费用标准进行计算</w:t>
      </w:r>
      <w:r>
        <w:rPr>
          <w:rFonts w:hint="eastAsia" w:ascii="仿宋" w:hAnsi="仿宋" w:eastAsia="仿宋" w:cs="仿宋"/>
          <w:color w:val="auto"/>
          <w:sz w:val="24"/>
          <w:szCs w:val="24"/>
          <w:highlight w:val="none"/>
        </w:rPr>
        <w:t>。</w:t>
      </w:r>
    </w:p>
    <w:p w14:paraId="143676EA">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6.税金：</w:t>
      </w:r>
      <w:r>
        <w:rPr>
          <w:rFonts w:hint="eastAsia" w:ascii="仿宋" w:hAnsi="仿宋" w:eastAsia="仿宋" w:cs="仿宋"/>
          <w:color w:val="auto"/>
          <w:sz w:val="24"/>
          <w:szCs w:val="24"/>
          <w:highlight w:val="none"/>
          <w:lang w:val="zh-CN"/>
        </w:rPr>
        <w:t>包含增值税、城市维护建设税、教育费附加、地方教育附加以及环境保护税。其中增值税按《重庆市建设工程费用定额》（CQFYDE-2018）规定及配套文件执行</w:t>
      </w:r>
      <w:r>
        <w:rPr>
          <w:rFonts w:hint="eastAsia" w:ascii="仿宋" w:hAnsi="仿宋" w:eastAsia="仿宋" w:cs="仿宋"/>
          <w:color w:val="auto"/>
          <w:sz w:val="24"/>
          <w:szCs w:val="24"/>
          <w:highlight w:val="none"/>
        </w:rPr>
        <w:t>。</w:t>
      </w:r>
    </w:p>
    <w:p w14:paraId="51CE41F5">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7.本工程综合单价结算价和结算总价最终以南岸区相关审计部门审定的金额为准。</w:t>
      </w:r>
    </w:p>
    <w:p w14:paraId="7262C832">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8.</w:t>
      </w:r>
      <w:r>
        <w:rPr>
          <w:rFonts w:hint="eastAsia" w:ascii="仿宋" w:hAnsi="仿宋" w:eastAsia="仿宋" w:cs="仿宋"/>
          <w:color w:val="auto"/>
          <w:sz w:val="24"/>
          <w:highlight w:val="none"/>
          <w:lang w:val="en-US" w:eastAsia="zh-CN"/>
        </w:rPr>
        <w:t>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1DD601F1">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九、双方权利及责任</w:t>
      </w:r>
    </w:p>
    <w:p w14:paraId="32DC609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1.甲方权利及责任</w:t>
      </w:r>
    </w:p>
    <w:p w14:paraId="2D69F77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1.1组织有关单位及人员对施工图等技术资料进行审定。</w:t>
      </w:r>
    </w:p>
    <w:p w14:paraId="4E7D8E8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1.2提供乙方施工临时用水、用电等。</w:t>
      </w:r>
    </w:p>
    <w:p w14:paraId="628B89B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1.3按合同约定及时支付乙方工程款项。</w:t>
      </w:r>
    </w:p>
    <w:p w14:paraId="3670499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1.4协调第三方检测机构进行相关检测。</w:t>
      </w:r>
    </w:p>
    <w:p w14:paraId="226EC40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2D7AD17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1.6向乙方提供施工相关要求及标准。</w:t>
      </w:r>
    </w:p>
    <w:p w14:paraId="2AFEB0B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6EC9EC8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29002B4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1.9工程施工过程中的设计变更和材料更换等现场签证均由甲方现场代表签字生效，作为决算依据。</w:t>
      </w:r>
    </w:p>
    <w:p w14:paraId="6E5C7EE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2.乙方权利及责任</w:t>
      </w:r>
    </w:p>
    <w:p w14:paraId="0722976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4CC7300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18D0D7A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2.3乙方在现场施工时，必须服从甲方的统一管理和协调。</w:t>
      </w:r>
    </w:p>
    <w:p w14:paraId="76965B9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2.4严格按照合同的相关约定组织货物材料设备和器材进场。</w:t>
      </w:r>
    </w:p>
    <w:p w14:paraId="1F25A52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4DB2F95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1CC016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432E33F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2.7项目施工结束后，乙方应积极配合甲方进行第三方专业检测验收等。</w:t>
      </w:r>
    </w:p>
    <w:p w14:paraId="37B8C8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002C634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76746D6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2.10乙方在施工期间，需采取设置安全警示牌等形式，提示相关人员。乙方必须加强施工期间安全管理，履行和落实安全主体责任，施工或准备过程中发生的安全事故由成交</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自行负责，所有安全责任等与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无关。</w:t>
      </w:r>
    </w:p>
    <w:p w14:paraId="4DD9284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2.11乙方承建的本合同涉及的工程，不允许转包或分包给第三方，如出现转包、分包情况，甲方有权终止合同。</w:t>
      </w:r>
    </w:p>
    <w:p w14:paraId="32FA6B5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5494BAC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59134A8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64645DA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745E4FA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2.16乙方原因无法在承诺交货期内完成交货，按逾期10000元/天从工程进度款中予以扣除。</w:t>
      </w:r>
    </w:p>
    <w:p w14:paraId="11E78798">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十、项目质量及验收的约定</w:t>
      </w:r>
    </w:p>
    <w:p w14:paraId="0EB8947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19FE68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2.本项目质量应达到国家质量评定合格标准，属乙方原因造成的不合格工程，承包方返修后必须达到合格标准，并承担返修费用。</w:t>
      </w:r>
    </w:p>
    <w:p w14:paraId="7108C778">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6864E37F">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十一、质量保修期及售后服务</w:t>
      </w:r>
    </w:p>
    <w:p w14:paraId="370BF6E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工程质量保修期限：满足重庆市建设工程质量监督总站监制《重庆市建设工程质量保修书》等相关要求。工程的质量保修期如下：</w:t>
      </w:r>
    </w:p>
    <w:p w14:paraId="44E8A7C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基础设施工程、房屋建筑的地基基础工程和主体结构工程，为设计文件规定的该工程的合理使用年限；</w:t>
      </w:r>
    </w:p>
    <w:p w14:paraId="67EA012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屋面防水工程、有防水要求的卫生间、房间和外墙面的防渗漏，为5年；</w:t>
      </w:r>
    </w:p>
    <w:p w14:paraId="449BBAE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供热与供冷系统，为2个采暖期、供冷期；</w:t>
      </w:r>
    </w:p>
    <w:p w14:paraId="7749879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电气管线、给排水管道、设备安装和装修工程，为2年；</w:t>
      </w:r>
    </w:p>
    <w:p w14:paraId="3FA7C73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其他项目保修期限：2年；</w:t>
      </w:r>
    </w:p>
    <w:p w14:paraId="33F031B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保修期内，施工质量缺陷的维护及维修（非人为损坏）均为免费。</w:t>
      </w:r>
    </w:p>
    <w:p w14:paraId="3C9B70C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保修期内，施工质量缺陷维修均为现场服务，由此产生的费用均不再收取。</w:t>
      </w:r>
    </w:p>
    <w:p w14:paraId="1C22264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工程缺陷责任期为24个月，缺陷责任期自工程通过竣工验收之日起计算。缺陷责任期终止后，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应退还剩余的质量保证金。</w:t>
      </w:r>
    </w:p>
    <w:p w14:paraId="573988D2">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、违约责任</w:t>
      </w:r>
    </w:p>
    <w:p w14:paraId="73A9D55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结果，授予下一名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，以此类推。</w:t>
      </w:r>
    </w:p>
    <w:p w14:paraId="27490EF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48A8443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3.乙方应妥善保护甲方提供的设备及现场堆放的家具、陈设和工程成品，如造成损失，应照价赔偿。</w:t>
      </w:r>
    </w:p>
    <w:p w14:paraId="7102B88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09606BD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5.因一方原因，合同无法继续履行时，应通知对方，办理合同终止协议，并由责任方赔偿对方由此造成的一切经济损失。</w:t>
      </w:r>
    </w:p>
    <w:p w14:paraId="127D659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6.乙方施工的任一工程验收不合格，甲方有权要求乙方拆除并重做，由此造成的损失由乙方承担赔付。</w:t>
      </w:r>
    </w:p>
    <w:p w14:paraId="023FDB8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4824645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8.其它应承担的违约责任，以《中华人民共和国民法典》、《政府采购法》和其它有关法律、法规规定为准，无相关规定的，双方协商解决。</w:t>
      </w:r>
    </w:p>
    <w:p w14:paraId="3AD5BE8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78022E23">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、其它</w:t>
      </w:r>
    </w:p>
    <w:p w14:paraId="16B4FEF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6A0738E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45AB656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3.乙方未经甲方批准，不得擅自修改设计及变更材料，否则，甲方有权要求乙方无条件返工，一切损失由乙方负责，由此影响的工期不予顺延。 </w:t>
      </w:r>
    </w:p>
    <w:p w14:paraId="70CECF4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4.甲方有权在任何情况下对用于本项目的货物、材料、设备的技术指标、样品标准、功能项目选择等进行调整变更。</w:t>
      </w:r>
    </w:p>
    <w:p w14:paraId="60CF8ED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42CE9F3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5362D3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7.本补充条款与上述合同正本条款具有同等法律效力，但若存在内容矛盾，以本补充条款的约定为准。 </w:t>
      </w:r>
    </w:p>
    <w:p w14:paraId="12DE1050">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、争议或纠纷处理</w:t>
      </w:r>
    </w:p>
    <w:p w14:paraId="4E5F235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1.本合同在履行期间，双方发生争议，双方可采取协商解决或请有关部门进行调解。</w:t>
      </w:r>
    </w:p>
    <w:p w14:paraId="7B372EF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2.当事人不愿通过协商、调解解决或者协商、调解不成时，按下列方式解决：</w:t>
      </w:r>
    </w:p>
    <w:p w14:paraId="1582DB7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向甲方所在地人民法院起诉。</w:t>
      </w:r>
    </w:p>
    <w:p w14:paraId="70AD723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3.本合同经双方签章盖章后生效，本合同一式  份，甲方  份，乙方  份，具同等法律效力。本合同及</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未尽事宜，双方本着实事求是的原则协商解决。</w:t>
      </w:r>
    </w:p>
    <w:p w14:paraId="589ECDC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4.本合同履行完成后自动终止。</w:t>
      </w:r>
    </w:p>
    <w:p w14:paraId="6ED6FB0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5.附件与本合同具有同等法律效力，附件包括</w:t>
      </w:r>
    </w:p>
    <w:p w14:paraId="564F583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14:paraId="264B74F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文件，合同未尽事宜，以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文件为准；</w:t>
      </w:r>
    </w:p>
    <w:p w14:paraId="07FEB50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时的投标文件。</w:t>
      </w:r>
    </w:p>
    <w:p w14:paraId="280D76A5">
      <w:pPr>
        <w:widowControl/>
        <w:spacing w:line="360" w:lineRule="auto"/>
        <w:ind w:firstLine="480" w:firstLineChars="200"/>
        <w:rPr>
          <w:rFonts w:hint="eastAsia" w:ascii="仿宋" w:hAnsi="仿宋" w:eastAsia="仿宋" w:cs="仿宋"/>
          <w:color w:val="auto"/>
          <w:sz w:val="24"/>
          <w:szCs w:val="24"/>
          <w:highlight w:val="none"/>
        </w:rPr>
      </w:pPr>
    </w:p>
    <w:p w14:paraId="072EE644">
      <w:pPr>
        <w:spacing w:line="360" w:lineRule="auto"/>
        <w:ind w:firstLine="480" w:firstLineChars="200"/>
        <w:rPr>
          <w:rFonts w:hint="eastAsia" w:ascii="仿宋" w:hAnsi="仿宋" w:eastAsia="仿宋" w:cs="仿宋"/>
          <w:color w:val="auto"/>
          <w:sz w:val="24"/>
          <w:szCs w:val="24"/>
          <w:highlight w:val="none"/>
        </w:rPr>
      </w:pPr>
    </w:p>
    <w:p w14:paraId="480DB362">
      <w:pPr>
        <w:widowControl/>
        <w:spacing w:line="360" w:lineRule="auto"/>
        <w:ind w:firstLine="480" w:firstLineChars="200"/>
        <w:rPr>
          <w:rFonts w:hint="eastAsia" w:ascii="仿宋" w:hAnsi="仿宋" w:eastAsia="仿宋" w:cs="仿宋"/>
          <w:color w:val="auto"/>
          <w:sz w:val="24"/>
          <w:szCs w:val="24"/>
          <w:highlight w:val="none"/>
        </w:rPr>
      </w:pPr>
    </w:p>
    <w:p w14:paraId="134252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867106A">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（本页无正文）</w:t>
      </w:r>
    </w:p>
    <w:p w14:paraId="008E4013">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发包人（甲方盖章）：</w:t>
      </w:r>
      <w:bookmarkStart w:id="178" w:name="OLE_LINK9"/>
      <w:r>
        <w:rPr>
          <w:rFonts w:hint="eastAsia" w:ascii="仿宋" w:hAnsi="仿宋" w:eastAsia="仿宋" w:cs="仿宋"/>
          <w:color w:val="auto"/>
          <w:sz w:val="24"/>
          <w:szCs w:val="24"/>
          <w:highlight w:val="none"/>
        </w:rPr>
        <w:t xml:space="preserve">              承包人（乙方盖章）：</w:t>
      </w:r>
    </w:p>
    <w:p w14:paraId="343C83B9">
      <w:pPr>
        <w:widowControl/>
        <w:spacing w:line="360" w:lineRule="auto"/>
        <w:ind w:firstLine="480" w:firstLineChars="200"/>
        <w:rPr>
          <w:rFonts w:hint="eastAsia" w:ascii="仿宋" w:hAnsi="仿宋" w:eastAsia="仿宋" w:cs="仿宋"/>
          <w:color w:val="auto"/>
          <w:sz w:val="24"/>
          <w:szCs w:val="24"/>
          <w:highlight w:val="none"/>
        </w:rPr>
      </w:pPr>
    </w:p>
    <w:p w14:paraId="7ABA40A6">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End w:id="178"/>
      <w:r>
        <w:rPr>
          <w:rFonts w:hint="eastAsia" w:ascii="仿宋" w:hAnsi="仿宋" w:eastAsia="仿宋" w:cs="仿宋"/>
          <w:color w:val="auto"/>
          <w:sz w:val="24"/>
          <w:szCs w:val="24"/>
          <w:highlight w:val="none"/>
        </w:rPr>
        <w:t xml:space="preserve">       </w:t>
      </w:r>
    </w:p>
    <w:p w14:paraId="00AF0D58">
      <w:pPr>
        <w:widowControl/>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                       法定代表人或</w:t>
      </w:r>
    </w:p>
    <w:p w14:paraId="68ACEFBC">
      <w:pPr>
        <w:widowControl/>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                 授权代表（签字）：</w:t>
      </w:r>
    </w:p>
    <w:p w14:paraId="384E67F7">
      <w:pPr>
        <w:widowControl/>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联系电话：</w:t>
      </w:r>
    </w:p>
    <w:p w14:paraId="7F00F094">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FE36A9C">
      <w:pPr>
        <w:widowControl/>
        <w:spacing w:line="360" w:lineRule="auto"/>
        <w:ind w:firstLine="480" w:firstLineChars="200"/>
        <w:rPr>
          <w:rFonts w:hint="eastAsia" w:ascii="仿宋" w:hAnsi="仿宋" w:eastAsia="仿宋" w:cs="仿宋"/>
          <w:color w:val="auto"/>
          <w:sz w:val="24"/>
          <w:szCs w:val="24"/>
          <w:highlight w:val="none"/>
        </w:rPr>
      </w:pPr>
    </w:p>
    <w:p w14:paraId="06BAE279">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签订日期：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签订日期：   年  月  日</w:t>
      </w:r>
    </w:p>
    <w:p w14:paraId="652F2008">
      <w:pPr>
        <w:snapToGrid w:val="0"/>
        <w:spacing w:line="360" w:lineRule="auto"/>
        <w:ind w:firstLine="550" w:firstLineChars="250"/>
        <w:rPr>
          <w:rFonts w:hint="eastAsia" w:ascii="仿宋" w:hAnsi="仿宋" w:eastAsia="仿宋" w:cs="仿宋"/>
          <w:bCs/>
          <w:color w:val="auto"/>
          <w:sz w:val="22"/>
          <w:szCs w:val="18"/>
          <w:highlight w:val="none"/>
        </w:rPr>
      </w:pPr>
    </w:p>
    <w:p w14:paraId="2ECC637E">
      <w:pPr>
        <w:rPr>
          <w:rFonts w:hint="eastAsia" w:ascii="仿宋" w:hAnsi="仿宋" w:eastAsia="仿宋" w:cs="仿宋"/>
          <w:color w:val="auto"/>
          <w:sz w:val="40"/>
          <w:szCs w:val="32"/>
          <w:highlight w:val="none"/>
        </w:rPr>
      </w:pPr>
      <w:bookmarkStart w:id="179" w:name="_Toc12120"/>
      <w:r>
        <w:rPr>
          <w:rFonts w:hint="eastAsia" w:ascii="仿宋" w:hAnsi="仿宋" w:eastAsia="仿宋" w:cs="仿宋"/>
          <w:color w:val="auto"/>
          <w:sz w:val="40"/>
          <w:szCs w:val="32"/>
          <w:highlight w:val="none"/>
        </w:rPr>
        <w:br w:type="page"/>
      </w:r>
    </w:p>
    <w:p w14:paraId="7A93025E">
      <w:pPr>
        <w:pStyle w:val="3"/>
        <w:pageBreakBefore w:val="0"/>
        <w:widowControl w:val="0"/>
        <w:kinsoku/>
        <w:wordWrap/>
        <w:overflowPunct/>
        <w:topLinePunct w:val="0"/>
        <w:autoSpaceDE/>
        <w:autoSpaceDN/>
        <w:bidi w:val="0"/>
        <w:adjustRightInd/>
        <w:snapToGrid w:val="0"/>
        <w:spacing w:before="0" w:after="0" w:line="480" w:lineRule="exact"/>
        <w:jc w:val="center"/>
        <w:textAlignment w:val="auto"/>
        <w:rPr>
          <w:rFonts w:hint="eastAsia" w:ascii="仿宋" w:hAnsi="仿宋" w:eastAsia="仿宋" w:cs="仿宋"/>
          <w:color w:val="auto"/>
          <w:sz w:val="40"/>
          <w:szCs w:val="32"/>
          <w:highlight w:val="none"/>
        </w:rPr>
      </w:pPr>
      <w:r>
        <w:rPr>
          <w:rFonts w:hint="eastAsia" w:ascii="仿宋" w:hAnsi="仿宋" w:eastAsia="仿宋" w:cs="仿宋"/>
          <w:color w:val="auto"/>
          <w:sz w:val="40"/>
          <w:szCs w:val="32"/>
          <w:highlight w:val="none"/>
        </w:rPr>
        <w:t xml:space="preserve">第七篇  </w:t>
      </w:r>
      <w:r>
        <w:rPr>
          <w:rFonts w:hint="eastAsia" w:ascii="仿宋" w:hAnsi="仿宋" w:eastAsia="仿宋" w:cs="仿宋"/>
          <w:color w:val="auto"/>
          <w:sz w:val="40"/>
          <w:szCs w:val="32"/>
          <w:highlight w:val="none"/>
          <w:lang w:eastAsia="zh-CN"/>
        </w:rPr>
        <w:t>投标文件</w:t>
      </w:r>
      <w:r>
        <w:rPr>
          <w:rFonts w:hint="eastAsia" w:ascii="仿宋" w:hAnsi="仿宋" w:eastAsia="仿宋" w:cs="仿宋"/>
          <w:color w:val="auto"/>
          <w:sz w:val="40"/>
          <w:szCs w:val="32"/>
          <w:highlight w:val="none"/>
        </w:rPr>
        <w:t>格式要求</w:t>
      </w:r>
      <w:bookmarkEnd w:id="144"/>
      <w:bookmarkEnd w:id="179"/>
    </w:p>
    <w:p w14:paraId="4E7A4561">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40713DB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2E3FA7C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（二）已标价工程量清单</w:t>
      </w:r>
    </w:p>
    <w:p w14:paraId="7EA5AA7F">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w:t>
      </w:r>
      <w:r>
        <w:rPr>
          <w:rFonts w:hint="eastAsia" w:ascii="仿宋" w:hAnsi="仿宋" w:eastAsia="仿宋" w:cs="仿宋"/>
          <w:b/>
          <w:bCs/>
          <w:color w:val="auto"/>
          <w:sz w:val="24"/>
          <w:szCs w:val="24"/>
          <w:highlight w:val="none"/>
          <w:lang w:eastAsia="zh-CN"/>
        </w:rPr>
        <w:t>部分</w:t>
      </w:r>
    </w:p>
    <w:p w14:paraId="25717AA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3BA6952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0186C820">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342E2D8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4DD12CC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14:paraId="24FE0CBB">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四、资格条件部分</w:t>
      </w:r>
    </w:p>
    <w:p w14:paraId="14EE56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427C120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4456AF7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1DA064D6">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2D204F0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7860FF00">
      <w:pPr>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46A1BC48">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（一）其他与项目有关的资料（自附）</w:t>
      </w:r>
    </w:p>
    <w:p w14:paraId="7F487366">
      <w:pPr>
        <w:pStyle w:val="4"/>
        <w:pageBreakBefore w:val="0"/>
        <w:widowControl w:val="0"/>
        <w:kinsoku/>
        <w:wordWrap/>
        <w:overflowPunct/>
        <w:topLinePunct w:val="0"/>
        <w:autoSpaceDE/>
        <w:autoSpaceDN/>
        <w:bidi w:val="0"/>
        <w:adjustRightInd/>
        <w:spacing w:before="0" w:after="0" w:line="480" w:lineRule="exact"/>
        <w:textAlignment w:val="auto"/>
        <w:rPr>
          <w:rFonts w:hint="eastAsia" w:ascii="仿宋" w:hAnsi="仿宋" w:eastAsia="仿宋" w:cs="仿宋"/>
          <w:color w:val="auto"/>
          <w:sz w:val="28"/>
          <w:szCs w:val="28"/>
          <w:highlight w:val="none"/>
        </w:rPr>
      </w:pPr>
      <w:bookmarkStart w:id="180" w:name="_Toc31231"/>
      <w:r>
        <w:rPr>
          <w:rFonts w:hint="eastAsia" w:ascii="仿宋" w:hAnsi="仿宋" w:eastAsia="仿宋" w:cs="仿宋"/>
          <w:color w:val="auto"/>
          <w:sz w:val="28"/>
          <w:szCs w:val="28"/>
          <w:highlight w:val="none"/>
        </w:rPr>
        <w:t>一、经济部分</w:t>
      </w:r>
      <w:bookmarkEnd w:id="180"/>
    </w:p>
    <w:p w14:paraId="5495A8C8">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1FCCB3EE">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2F9DCECE">
      <w:pPr>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6AFECE1D">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3B3D6C70">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（项目名称）招标文件的全部内容，愿意以人民币（大写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）的投标总报价进行报价（其中，安全</w:t>
      </w:r>
      <w:r>
        <w:rPr>
          <w:rFonts w:hint="eastAsia" w:ascii="仿宋" w:hAnsi="仿宋" w:eastAsia="仿宋" w:cs="仿宋"/>
          <w:color w:val="auto"/>
          <w:sz w:val="24"/>
          <w:szCs w:val="24"/>
          <w:highlight w:val="none"/>
          <w:lang w:eastAsia="zh-CN"/>
        </w:rPr>
        <w:t>文明施工费暂定金额为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），该工程项目经理为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日历天</w:t>
      </w:r>
      <w:r>
        <w:rPr>
          <w:rFonts w:hint="eastAsia" w:ascii="仿宋" w:hAnsi="仿宋" w:eastAsia="仿宋" w:cs="仿宋"/>
          <w:color w:val="auto"/>
          <w:sz w:val="24"/>
          <w:szCs w:val="24"/>
          <w:highlight w:val="none"/>
        </w:rPr>
        <w:t xml:space="preserve"> ，缺陷责任期：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w:t>
      </w:r>
    </w:p>
    <w:p w14:paraId="7B07AA2E">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198468EA">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71576350">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的一切规定和要求及评审办法。</w:t>
      </w:r>
    </w:p>
    <w:p w14:paraId="11CC9E0D">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文件》之规定给予惩罚。</w:t>
      </w:r>
    </w:p>
    <w:p w14:paraId="5AA00059">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，将按照最终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64F0D999">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p>
    <w:p w14:paraId="7E4355AB">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p>
    <w:p w14:paraId="44BF679B">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FE2D0D1">
      <w:pPr>
        <w:pageBreakBefore w:val="0"/>
        <w:widowControl w:val="0"/>
        <w:tabs>
          <w:tab w:val="left" w:pos="6300"/>
        </w:tabs>
        <w:kinsoku/>
        <w:wordWrap/>
        <w:overflowPunct/>
        <w:topLinePunct w:val="0"/>
        <w:autoSpaceDE/>
        <w:autoSpaceDN/>
        <w:bidi w:val="0"/>
        <w:adjustRightInd/>
        <w:snapToGrid w:val="0"/>
        <w:spacing w:line="480" w:lineRule="exact"/>
        <w:ind w:firstLine="1682" w:firstLineChars="70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57BD5245">
      <w:pPr>
        <w:pageBreakBefore w:val="0"/>
        <w:widowControl w:val="0"/>
        <w:tabs>
          <w:tab w:val="left" w:pos="6300"/>
        </w:tabs>
        <w:kinsoku/>
        <w:wordWrap/>
        <w:overflowPunct/>
        <w:topLinePunct w:val="0"/>
        <w:autoSpaceDE/>
        <w:autoSpaceDN/>
        <w:bidi w:val="0"/>
        <w:adjustRightInd/>
        <w:snapToGrid w:val="0"/>
        <w:spacing w:line="480" w:lineRule="exact"/>
        <w:ind w:firstLine="1682" w:firstLineChars="70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745A1D29">
      <w:pPr>
        <w:pageBreakBefore w:val="0"/>
        <w:widowControl w:val="0"/>
        <w:tabs>
          <w:tab w:val="left" w:pos="6300"/>
        </w:tabs>
        <w:kinsoku/>
        <w:wordWrap/>
        <w:overflowPunct/>
        <w:topLinePunct w:val="0"/>
        <w:autoSpaceDE/>
        <w:autoSpaceDN/>
        <w:bidi w:val="0"/>
        <w:adjustRightInd/>
        <w:snapToGrid w:val="0"/>
        <w:spacing w:line="480" w:lineRule="exact"/>
        <w:ind w:firstLine="1682" w:firstLineChars="70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1488D9B7">
      <w:pPr>
        <w:pageBreakBefore w:val="0"/>
        <w:widowControl w:val="0"/>
        <w:tabs>
          <w:tab w:val="left" w:pos="6300"/>
        </w:tabs>
        <w:kinsoku/>
        <w:wordWrap/>
        <w:overflowPunct/>
        <w:topLinePunct w:val="0"/>
        <w:autoSpaceDE/>
        <w:autoSpaceDN/>
        <w:bidi w:val="0"/>
        <w:adjustRightInd/>
        <w:snapToGrid w:val="0"/>
        <w:spacing w:line="480" w:lineRule="exact"/>
        <w:ind w:firstLine="1440" w:firstLineChars="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5FBBF01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sectPr>
          <w:headerReference r:id="rId13" w:type="default"/>
          <w:footerReference r:id="rId14" w:type="default"/>
          <w:pgSz w:w="11907" w:h="16840"/>
          <w:pgMar w:top="1134" w:right="1191" w:bottom="1134" w:left="1304" w:header="851" w:footer="992" w:gutter="0"/>
          <w:pgNumType w:fmt="decimal"/>
          <w:cols w:space="720" w:num="1"/>
          <w:rtlGutter w:val="1"/>
          <w:docGrid w:linePitch="380" w:charSpace="-5735"/>
        </w:sectPr>
      </w:pPr>
      <w:r>
        <w:rPr>
          <w:rFonts w:hint="eastAsia" w:ascii="仿宋" w:hAnsi="仿宋" w:eastAsia="仿宋" w:cs="仿宋"/>
          <w:color w:val="auto"/>
          <w:sz w:val="24"/>
          <w:szCs w:val="24"/>
          <w:highlight w:val="none"/>
        </w:rPr>
        <w:t xml:space="preserve">                                                  年   月   日</w:t>
      </w:r>
    </w:p>
    <w:p w14:paraId="3F1F6022">
      <w:pPr>
        <w:snapToGrid w:val="0"/>
        <w:spacing w:line="360" w:lineRule="auto"/>
        <w:ind w:firstLine="480" w:firstLineChars="200"/>
        <w:rPr>
          <w:rFonts w:hint="eastAsia" w:ascii="仿宋" w:hAnsi="仿宋" w:eastAsia="仿宋" w:cs="仿宋"/>
          <w:color w:val="auto"/>
          <w:sz w:val="24"/>
          <w:szCs w:val="24"/>
          <w:highlight w:val="none"/>
        </w:rPr>
      </w:pPr>
      <w:bookmarkStart w:id="181" w:name="_Toc161727399"/>
      <w:r>
        <w:rPr>
          <w:rFonts w:hint="eastAsia" w:ascii="仿宋" w:hAnsi="仿宋" w:eastAsia="仿宋" w:cs="仿宋"/>
          <w:color w:val="auto"/>
          <w:sz w:val="24"/>
          <w:szCs w:val="18"/>
          <w:highlight w:val="none"/>
        </w:rPr>
        <w:t>（二）</w:t>
      </w:r>
      <w:bookmarkEnd w:id="181"/>
      <w:r>
        <w:rPr>
          <w:rFonts w:hint="eastAsia" w:ascii="仿宋" w:hAnsi="仿宋" w:eastAsia="仿宋" w:cs="仿宋"/>
          <w:color w:val="auto"/>
          <w:sz w:val="24"/>
          <w:szCs w:val="24"/>
          <w:highlight w:val="none"/>
        </w:rPr>
        <w:t>已标价工程量清单</w:t>
      </w:r>
    </w:p>
    <w:p w14:paraId="4CFB64C6">
      <w:pPr>
        <w:snapToGrid w:val="0"/>
        <w:spacing w:line="500" w:lineRule="exact"/>
        <w:ind w:firstLine="480" w:firstLineChars="200"/>
        <w:rPr>
          <w:rFonts w:hint="eastAsia" w:ascii="仿宋" w:hAnsi="仿宋" w:eastAsia="仿宋" w:cs="仿宋"/>
          <w:color w:val="auto"/>
          <w:sz w:val="24"/>
          <w:szCs w:val="24"/>
          <w:highlight w:val="none"/>
        </w:rPr>
      </w:pPr>
    </w:p>
    <w:p w14:paraId="4868D16F">
      <w:pPr>
        <w:snapToGrid w:val="0"/>
        <w:spacing w:line="500" w:lineRule="exact"/>
        <w:ind w:firstLine="480" w:firstLineChars="200"/>
        <w:rPr>
          <w:rFonts w:hint="eastAsia" w:ascii="仿宋" w:hAnsi="仿宋" w:eastAsia="仿宋" w:cs="仿宋"/>
          <w:color w:val="auto"/>
          <w:sz w:val="24"/>
          <w:szCs w:val="24"/>
          <w:highlight w:val="none"/>
        </w:rPr>
        <w:sectPr>
          <w:headerReference r:id="rId15" w:type="default"/>
          <w:pgSz w:w="11907" w:h="16840"/>
          <w:pgMar w:top="1134" w:right="1191" w:bottom="1134" w:left="1304" w:header="851" w:footer="992" w:gutter="0"/>
          <w:pgNumType w:fmt="decimal"/>
          <w:cols w:space="720" w:num="1"/>
          <w:docGrid w:linePitch="380" w:charSpace="-5735"/>
        </w:sectPr>
      </w:pPr>
    </w:p>
    <w:p w14:paraId="2B9AAF46">
      <w:pPr>
        <w:pStyle w:val="4"/>
        <w:spacing w:before="0" w:after="0" w:line="360" w:lineRule="auto"/>
        <w:rPr>
          <w:rFonts w:hint="eastAsia" w:ascii="仿宋" w:hAnsi="仿宋" w:eastAsia="仿宋" w:cs="仿宋"/>
          <w:color w:val="auto"/>
          <w:sz w:val="28"/>
          <w:szCs w:val="28"/>
          <w:highlight w:val="none"/>
          <w:lang w:eastAsia="zh-CN"/>
        </w:rPr>
      </w:pPr>
      <w:bookmarkStart w:id="182" w:name="_Toc313888361"/>
      <w:bookmarkStart w:id="183" w:name="_Toc313008357"/>
      <w:bookmarkStart w:id="184" w:name="_Toc342913420"/>
      <w:bookmarkStart w:id="185" w:name="_Toc12453"/>
      <w:r>
        <w:rPr>
          <w:rFonts w:hint="eastAsia" w:ascii="仿宋" w:hAnsi="仿宋" w:eastAsia="仿宋" w:cs="仿宋"/>
          <w:color w:val="auto"/>
          <w:sz w:val="28"/>
          <w:szCs w:val="28"/>
          <w:highlight w:val="none"/>
        </w:rPr>
        <w:t>二、</w:t>
      </w:r>
      <w:bookmarkEnd w:id="182"/>
      <w:bookmarkEnd w:id="183"/>
      <w:bookmarkEnd w:id="184"/>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bookmarkEnd w:id="185"/>
    </w:p>
    <w:p w14:paraId="797D880F">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5685EBCD">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0C0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noWrap w:val="0"/>
            <w:vAlign w:val="center"/>
          </w:tcPr>
          <w:p w14:paraId="2D358682">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28" w:type="dxa"/>
            <w:noWrap w:val="0"/>
            <w:vAlign w:val="center"/>
          </w:tcPr>
          <w:p w14:paraId="4EB29DEC">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项目服务</w:t>
            </w:r>
            <w:r>
              <w:rPr>
                <w:rFonts w:hint="eastAsia" w:ascii="仿宋" w:hAnsi="仿宋" w:eastAsia="仿宋" w:cs="仿宋"/>
                <w:color w:val="auto"/>
                <w:sz w:val="24"/>
                <w:szCs w:val="24"/>
                <w:highlight w:val="none"/>
              </w:rPr>
              <w:t>需求</w:t>
            </w:r>
          </w:p>
        </w:tc>
        <w:tc>
          <w:tcPr>
            <w:tcW w:w="2520" w:type="dxa"/>
            <w:noWrap w:val="0"/>
            <w:vAlign w:val="center"/>
          </w:tcPr>
          <w:p w14:paraId="02707CFF">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5E850A3E">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224E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C2D6DF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0435B2C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E29BE5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5093F7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535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64AE3D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AAF8C8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E858DA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D5C690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E6A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ECC4FF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3538EC7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0E050C4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7CBA60E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E32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011DDB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BC7DF2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3EBF7AB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C59D1E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23B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3B2DB4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5705314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05CC200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DF749C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21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F0AF03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BE3B17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E73F29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BDF474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F46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55AD60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D1CBA4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5E648E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741AA1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692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7292F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31CB065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A3F08F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662D92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968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84EBA1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0EFB38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D412E0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FB5AC9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CE2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933240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5C44A1E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8D1682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7F5C16D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23A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1CBE416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2FB219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7EA377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FEDC05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105FDD0A">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2B59288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F2FC79">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6BEB4794">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D6E77E9">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FA9689F">
      <w:pPr>
        <w:tabs>
          <w:tab w:val="left" w:pos="6300"/>
        </w:tabs>
        <w:snapToGrid w:val="0"/>
        <w:spacing w:line="360" w:lineRule="auto"/>
        <w:ind w:firstLine="570"/>
        <w:jc w:val="left"/>
        <w:rPr>
          <w:rFonts w:hint="eastAsia" w:ascii="仿宋" w:hAnsi="仿宋" w:eastAsia="仿宋" w:cs="仿宋"/>
          <w:color w:val="auto"/>
          <w:sz w:val="24"/>
          <w:szCs w:val="24"/>
          <w:highlight w:val="none"/>
        </w:rPr>
      </w:pPr>
      <w:bookmarkStart w:id="186" w:name="_Toc80104370"/>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”中所列条款进行比较和响应；</w:t>
      </w:r>
    </w:p>
    <w:p w14:paraId="2532F200">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0181A318">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229478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1830843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color w:val="auto"/>
          <w:sz w:val="24"/>
          <w:szCs w:val="24"/>
          <w:highlight w:val="none"/>
          <w:lang w:val="en-US" w:eastAsia="zh-CN"/>
        </w:rPr>
      </w:pPr>
      <w:bookmarkStart w:id="187" w:name="_Toc5199"/>
      <w:r>
        <w:rPr>
          <w:rFonts w:hint="eastAsia" w:ascii="仿宋" w:hAnsi="仿宋" w:eastAsia="仿宋" w:cs="仿宋"/>
          <w:color w:val="auto"/>
          <w:sz w:val="24"/>
          <w:szCs w:val="24"/>
          <w:highlight w:val="none"/>
          <w:lang w:val="en-US" w:eastAsia="zh-CN"/>
        </w:rPr>
        <w:t>投标人根据招标文件“评审程序及方法、评审标准、无效响应和采购终止”中技术部分的评审标准编制，格式自拟。</w:t>
      </w:r>
    </w:p>
    <w:p w14:paraId="62F2E548">
      <w:pPr>
        <w:pStyle w:val="4"/>
        <w:pageBreakBefore w:val="0"/>
        <w:widowControl w:val="0"/>
        <w:kinsoku/>
        <w:wordWrap/>
        <w:overflowPunct/>
        <w:topLinePunct w:val="0"/>
        <w:autoSpaceDE/>
        <w:autoSpaceDN/>
        <w:bidi w:val="0"/>
        <w:adjustRightInd/>
        <w:spacing w:before="0" w:after="0" w:line="480" w:lineRule="exact"/>
        <w:jc w:val="center"/>
        <w:textAlignment w:val="auto"/>
        <w:rPr>
          <w:rFonts w:hint="eastAsia" w:ascii="仿宋" w:hAnsi="仿宋" w:eastAsia="仿宋" w:cs="仿宋"/>
          <w:color w:val="auto"/>
          <w:szCs w:val="32"/>
          <w:highlight w:val="none"/>
        </w:rPr>
      </w:pPr>
      <w:r>
        <w:rPr>
          <w:rFonts w:hint="eastAsia" w:ascii="仿宋" w:hAnsi="仿宋" w:eastAsia="仿宋" w:cs="仿宋"/>
          <w:b w:val="0"/>
          <w:color w:val="auto"/>
          <w:highlight w:val="none"/>
        </w:rPr>
        <w:br w:type="page"/>
      </w:r>
      <w:r>
        <w:rPr>
          <w:rFonts w:hint="eastAsia" w:ascii="仿宋" w:hAnsi="仿宋" w:eastAsia="仿宋" w:cs="仿宋"/>
          <w:color w:val="auto"/>
          <w:sz w:val="28"/>
          <w:szCs w:val="28"/>
          <w:highlight w:val="none"/>
        </w:rPr>
        <w:t>三、商务部分</w:t>
      </w:r>
      <w:bookmarkEnd w:id="186"/>
      <w:bookmarkEnd w:id="187"/>
    </w:p>
    <w:p w14:paraId="3E83AF91">
      <w:pPr>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10284CFB">
      <w:pPr>
        <w:pageBreakBefore w:val="0"/>
        <w:widowControl w:val="0"/>
        <w:tabs>
          <w:tab w:val="left" w:pos="2145"/>
        </w:tabs>
        <w:kinsoku/>
        <w:wordWrap/>
        <w:overflowPunct/>
        <w:topLinePunct w:val="0"/>
        <w:autoSpaceDE/>
        <w:autoSpaceDN/>
        <w:bidi w:val="0"/>
        <w:adjustRightInd/>
        <w:spacing w:line="480" w:lineRule="exact"/>
        <w:ind w:firstLine="840" w:firstLine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D95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F56B3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28" w:type="dxa"/>
            <w:noWrap w:val="0"/>
            <w:vAlign w:val="center"/>
          </w:tcPr>
          <w:p w14:paraId="10F937B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w:t>
            </w:r>
          </w:p>
        </w:tc>
        <w:tc>
          <w:tcPr>
            <w:tcW w:w="2520" w:type="dxa"/>
            <w:noWrap w:val="0"/>
            <w:vAlign w:val="center"/>
          </w:tcPr>
          <w:p w14:paraId="11CECA3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71554CE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0CC7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321A7BB">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5561626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35D798AD">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5F44F5E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294A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A2804D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7E7E08A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4A35CCA2">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1E28DE7F">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69A4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80EEFE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1998F7E1">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392F4E7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04332D39">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42EE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38DCEAC">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4B4D87C5">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2F28C46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4016F77D">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6830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02D1042">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36F8A2E5">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2BAB6841">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55F4BDB4">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7341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FCEC68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4604887F">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10674A5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4A08C29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39B2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732AA6B">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0574024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5D4E0FED">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71C85E9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3F08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6815794">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7742678F">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35BE0A4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1C2BE555">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3E66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97058B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0158E8E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33881D7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1FE1E831">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10F0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AE32D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416116A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18ADB7DE">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196535AC">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r w14:paraId="3B41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3037ED4">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428" w:type="dxa"/>
            <w:noWrap w:val="0"/>
            <w:vAlign w:val="center"/>
          </w:tcPr>
          <w:p w14:paraId="2B334AB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2520" w:type="dxa"/>
            <w:noWrap w:val="0"/>
            <w:vAlign w:val="center"/>
          </w:tcPr>
          <w:p w14:paraId="78B30BF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c>
          <w:tcPr>
            <w:tcW w:w="1888" w:type="dxa"/>
            <w:noWrap w:val="0"/>
            <w:vAlign w:val="center"/>
          </w:tcPr>
          <w:p w14:paraId="2AD5236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仿宋" w:hAnsi="仿宋" w:eastAsia="仿宋" w:cs="仿宋"/>
                <w:color w:val="auto"/>
                <w:sz w:val="24"/>
                <w:szCs w:val="24"/>
                <w:highlight w:val="none"/>
              </w:rPr>
            </w:pPr>
          </w:p>
        </w:tc>
      </w:tr>
    </w:tbl>
    <w:p w14:paraId="4B3EDBC3">
      <w:pPr>
        <w:pageBreakBefore w:val="0"/>
        <w:widowControl w:val="0"/>
        <w:kinsoku/>
        <w:wordWrap/>
        <w:overflowPunct/>
        <w:topLinePunct w:val="0"/>
        <w:autoSpaceDE/>
        <w:autoSpaceDN/>
        <w:bidi w:val="0"/>
        <w:adjustRightInd/>
        <w:spacing w:line="48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6E70FC2A">
      <w:pPr>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C60EB39">
      <w:pPr>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2539C61F">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9D115E7">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606DA7A">
      <w:pPr>
        <w:pageBreakBefore w:val="0"/>
        <w:widowControl w:val="0"/>
        <w:tabs>
          <w:tab w:val="left" w:pos="6300"/>
        </w:tabs>
        <w:kinsoku/>
        <w:wordWrap/>
        <w:overflowPunct/>
        <w:topLinePunct w:val="0"/>
        <w:autoSpaceDE/>
        <w:autoSpaceDN/>
        <w:bidi w:val="0"/>
        <w:adjustRightInd/>
        <w:snapToGrid w:val="0"/>
        <w:spacing w:line="480" w:lineRule="exact"/>
        <w:ind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3997F01D">
      <w:pPr>
        <w:pageBreakBefore w:val="0"/>
        <w:widowControl w:val="0"/>
        <w:tabs>
          <w:tab w:val="left" w:pos="6300"/>
        </w:tabs>
        <w:kinsoku/>
        <w:wordWrap/>
        <w:overflowPunct/>
        <w:topLinePunct w:val="0"/>
        <w:autoSpaceDE/>
        <w:autoSpaceDN/>
        <w:bidi w:val="0"/>
        <w:adjustRightInd/>
        <w:snapToGrid w:val="0"/>
        <w:spacing w:line="480" w:lineRule="exact"/>
        <w:ind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1034EFBF">
      <w:pPr>
        <w:pageBreakBefore w:val="0"/>
        <w:widowControl w:val="0"/>
        <w:tabs>
          <w:tab w:val="left" w:pos="6300"/>
        </w:tabs>
        <w:kinsoku/>
        <w:wordWrap/>
        <w:overflowPunct/>
        <w:topLinePunct w:val="0"/>
        <w:autoSpaceDE/>
        <w:autoSpaceDN/>
        <w:bidi w:val="0"/>
        <w:adjustRightInd/>
        <w:snapToGrid w:val="0"/>
        <w:spacing w:line="480" w:lineRule="exact"/>
        <w:ind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7E1EC63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w:t>
      </w:r>
      <w:bookmarkStart w:id="188" w:name="_Toc313008358"/>
      <w:bookmarkStart w:id="189" w:name="_Toc342913421"/>
      <w:bookmarkStart w:id="190" w:name="_Toc313888362"/>
      <w:bookmarkStart w:id="191" w:name="_Toc80104371"/>
      <w:bookmarkStart w:id="192" w:name="_Toc12335"/>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部分其他资料</w:t>
      </w:r>
      <w:r>
        <w:rPr>
          <w:rFonts w:hint="eastAsia" w:ascii="仿宋" w:hAnsi="仿宋" w:eastAsia="仿宋" w:cs="仿宋"/>
          <w:color w:val="auto"/>
          <w:sz w:val="24"/>
          <w:szCs w:val="24"/>
          <w:highlight w:val="none"/>
        </w:rPr>
        <w:t>（格式自拟）</w:t>
      </w:r>
    </w:p>
    <w:p w14:paraId="0F3DAA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投标人根据招标文件“评审程序及方法、评审标准、无效响应和采购终止”中商务部分的评审标准编制，格式自拟。</w:t>
      </w:r>
    </w:p>
    <w:p w14:paraId="7A2476E1">
      <w:pPr>
        <w:pStyle w:val="4"/>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color w:val="auto"/>
          <w:sz w:val="40"/>
          <w:szCs w:val="22"/>
          <w:highlight w:val="none"/>
        </w:rPr>
      </w:pPr>
      <w:r>
        <w:rPr>
          <w:rFonts w:hint="eastAsia" w:ascii="仿宋" w:hAnsi="仿宋" w:eastAsia="仿宋" w:cs="仿宋"/>
          <w:color w:val="auto"/>
          <w:szCs w:val="32"/>
          <w:highlight w:val="none"/>
        </w:rPr>
        <w:br w:type="column"/>
      </w:r>
      <w:r>
        <w:rPr>
          <w:rFonts w:hint="eastAsia" w:ascii="仿宋" w:hAnsi="仿宋" w:eastAsia="仿宋" w:cs="仿宋"/>
          <w:color w:val="auto"/>
          <w:sz w:val="28"/>
          <w:szCs w:val="28"/>
          <w:highlight w:val="none"/>
        </w:rPr>
        <w:t>四、</w:t>
      </w:r>
      <w:bookmarkEnd w:id="188"/>
      <w:bookmarkEnd w:id="189"/>
      <w:bookmarkEnd w:id="190"/>
      <w:r>
        <w:rPr>
          <w:rFonts w:hint="eastAsia" w:ascii="仿宋" w:hAnsi="仿宋" w:eastAsia="仿宋" w:cs="仿宋"/>
          <w:color w:val="auto"/>
          <w:sz w:val="28"/>
          <w:szCs w:val="28"/>
          <w:highlight w:val="none"/>
        </w:rPr>
        <w:t>资格条件</w:t>
      </w:r>
      <w:bookmarkEnd w:id="191"/>
      <w:bookmarkEnd w:id="192"/>
    </w:p>
    <w:p w14:paraId="5355EC7A">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2EF30E7D">
      <w:pPr>
        <w:tabs>
          <w:tab w:val="left" w:pos="6300"/>
        </w:tabs>
        <w:snapToGrid w:val="0"/>
        <w:spacing w:line="500" w:lineRule="exact"/>
        <w:ind w:firstLine="570"/>
        <w:rPr>
          <w:rFonts w:hint="eastAsia" w:ascii="仿宋" w:hAnsi="仿宋" w:eastAsia="仿宋" w:cs="仿宋"/>
          <w:color w:val="auto"/>
          <w:sz w:val="32"/>
          <w:szCs w:val="32"/>
          <w:highlight w:val="none"/>
        </w:rPr>
      </w:pPr>
    </w:p>
    <w:p w14:paraId="06DDED97">
      <w:pPr>
        <w:tabs>
          <w:tab w:val="left" w:pos="6300"/>
        </w:tabs>
        <w:snapToGrid w:val="0"/>
        <w:spacing w:line="500" w:lineRule="exact"/>
        <w:ind w:firstLine="570"/>
        <w:rPr>
          <w:rFonts w:hint="eastAsia" w:ascii="仿宋" w:hAnsi="仿宋" w:eastAsia="仿宋" w:cs="仿宋"/>
          <w:color w:val="auto"/>
          <w:sz w:val="32"/>
          <w:szCs w:val="32"/>
          <w:highlight w:val="none"/>
        </w:rPr>
      </w:pPr>
    </w:p>
    <w:p w14:paraId="765D0784">
      <w:pPr>
        <w:tabs>
          <w:tab w:val="left" w:pos="6300"/>
        </w:tabs>
        <w:snapToGrid w:val="0"/>
        <w:spacing w:line="500" w:lineRule="exact"/>
        <w:ind w:firstLine="570"/>
        <w:rPr>
          <w:rFonts w:hint="eastAsia" w:ascii="仿宋" w:hAnsi="仿宋" w:eastAsia="仿宋" w:cs="仿宋"/>
          <w:color w:val="auto"/>
          <w:sz w:val="32"/>
          <w:szCs w:val="32"/>
          <w:highlight w:val="none"/>
        </w:rPr>
      </w:pPr>
    </w:p>
    <w:p w14:paraId="4E4A7510">
      <w:pPr>
        <w:widowControl/>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8"/>
          <w:szCs w:val="28"/>
          <w:highlight w:val="none"/>
        </w:rPr>
        <w:t>（二）法定代表人身份证明书（格式）</w:t>
      </w:r>
    </w:p>
    <w:p w14:paraId="50950A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32"/>
          <w:szCs w:val="32"/>
          <w:highlight w:val="none"/>
        </w:rPr>
      </w:pPr>
    </w:p>
    <w:p w14:paraId="000B6C8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35DE80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p>
    <w:p w14:paraId="02B863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699F7A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1292CD6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p>
    <w:p w14:paraId="493809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32463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p>
    <w:p w14:paraId="0FD2AE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p>
    <w:p w14:paraId="5159DD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p>
    <w:p w14:paraId="65608EF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center"/>
        <w:textAlignment w:val="auto"/>
        <w:rPr>
          <w:rFonts w:hint="eastAsia" w:ascii="仿宋" w:hAnsi="仿宋" w:eastAsia="仿宋" w:cs="仿宋"/>
          <w:color w:val="auto"/>
          <w:sz w:val="24"/>
          <w:szCs w:val="24"/>
          <w:highlight w:val="none"/>
        </w:rPr>
      </w:pPr>
    </w:p>
    <w:p w14:paraId="6BE54A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D444A5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p>
    <w:p w14:paraId="035877E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8FE579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szCs w:val="24"/>
          <w:highlight w:val="none"/>
        </w:rPr>
      </w:pPr>
    </w:p>
    <w:p w14:paraId="09455D7A">
      <w:pPr>
        <w:pStyle w:val="18"/>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p>
    <w:p w14:paraId="44F65D1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p>
    <w:p w14:paraId="57544879">
      <w:pPr>
        <w:pStyle w:val="18"/>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highlight w:val="none"/>
        </w:rPr>
      </w:pPr>
    </w:p>
    <w:p w14:paraId="62D219D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（附：法定代表人身份证正反面复印件）</w:t>
      </w:r>
    </w:p>
    <w:p w14:paraId="651CA4A6">
      <w:pPr>
        <w:tabs>
          <w:tab w:val="left" w:pos="6300"/>
        </w:tabs>
        <w:snapToGrid w:val="0"/>
        <w:spacing w:line="500" w:lineRule="exact"/>
        <w:ind w:firstLine="570"/>
        <w:rPr>
          <w:rFonts w:hint="eastAsia" w:ascii="仿宋" w:hAnsi="仿宋" w:eastAsia="仿宋" w:cs="仿宋"/>
          <w:color w:val="auto"/>
          <w:sz w:val="24"/>
          <w:szCs w:val="24"/>
          <w:highlight w:val="none"/>
        </w:rPr>
      </w:pPr>
    </w:p>
    <w:p w14:paraId="3A47339D">
      <w:pPr>
        <w:tabs>
          <w:tab w:val="left" w:pos="6300"/>
        </w:tabs>
        <w:snapToGrid w:val="0"/>
        <w:spacing w:line="500" w:lineRule="exact"/>
        <w:ind w:firstLine="570"/>
        <w:rPr>
          <w:rFonts w:hint="eastAsia" w:ascii="仿宋" w:hAnsi="仿宋" w:eastAsia="仿宋" w:cs="仿宋"/>
          <w:color w:val="auto"/>
          <w:sz w:val="32"/>
          <w:szCs w:val="32"/>
          <w:highlight w:val="none"/>
        </w:rPr>
      </w:pPr>
    </w:p>
    <w:p w14:paraId="793E7093">
      <w:pPr>
        <w:tabs>
          <w:tab w:val="left" w:pos="6300"/>
        </w:tabs>
        <w:snapToGrid w:val="0"/>
        <w:spacing w:line="500" w:lineRule="exact"/>
        <w:ind w:firstLine="570"/>
        <w:rPr>
          <w:rFonts w:hint="eastAsia" w:ascii="仿宋" w:hAnsi="仿宋" w:eastAsia="仿宋" w:cs="仿宋"/>
          <w:color w:val="auto"/>
          <w:sz w:val="32"/>
          <w:szCs w:val="32"/>
          <w:highlight w:val="none"/>
        </w:rPr>
      </w:pPr>
    </w:p>
    <w:p w14:paraId="504CCD4F">
      <w:pPr>
        <w:tabs>
          <w:tab w:val="left" w:pos="6300"/>
        </w:tabs>
        <w:snapToGrid w:val="0"/>
        <w:spacing w:line="500" w:lineRule="exact"/>
        <w:ind w:firstLine="570"/>
        <w:rPr>
          <w:rFonts w:hint="eastAsia" w:ascii="仿宋" w:hAnsi="仿宋" w:eastAsia="仿宋" w:cs="仿宋"/>
          <w:color w:val="auto"/>
          <w:sz w:val="32"/>
          <w:szCs w:val="32"/>
          <w:highlight w:val="none"/>
        </w:rPr>
      </w:pPr>
    </w:p>
    <w:p w14:paraId="34174F87">
      <w:pPr>
        <w:tabs>
          <w:tab w:val="left" w:pos="6300"/>
        </w:tabs>
        <w:snapToGrid w:val="0"/>
        <w:spacing w:line="500" w:lineRule="exact"/>
        <w:ind w:firstLine="570"/>
        <w:rPr>
          <w:rFonts w:hint="eastAsia" w:ascii="仿宋" w:hAnsi="仿宋" w:eastAsia="仿宋" w:cs="仿宋"/>
          <w:color w:val="auto"/>
          <w:sz w:val="32"/>
          <w:szCs w:val="32"/>
          <w:highlight w:val="none"/>
        </w:rPr>
      </w:pPr>
    </w:p>
    <w:p w14:paraId="5489D65B">
      <w:pPr>
        <w:tabs>
          <w:tab w:val="left" w:pos="6300"/>
        </w:tabs>
        <w:snapToGrid w:val="0"/>
        <w:spacing w:line="500" w:lineRule="exact"/>
        <w:ind w:firstLine="570"/>
        <w:rPr>
          <w:rFonts w:hint="eastAsia" w:ascii="仿宋" w:hAnsi="仿宋" w:eastAsia="仿宋" w:cs="仿宋"/>
          <w:color w:val="auto"/>
          <w:sz w:val="32"/>
          <w:szCs w:val="32"/>
          <w:highlight w:val="none"/>
        </w:rPr>
      </w:pPr>
    </w:p>
    <w:p w14:paraId="15B01663">
      <w:pPr>
        <w:tabs>
          <w:tab w:val="left" w:pos="6300"/>
        </w:tabs>
        <w:snapToGrid w:val="0"/>
        <w:spacing w:line="500" w:lineRule="exact"/>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column"/>
      </w:r>
      <w:r>
        <w:rPr>
          <w:rFonts w:hint="eastAsia" w:ascii="仿宋" w:hAnsi="仿宋" w:eastAsia="仿宋" w:cs="仿宋"/>
          <w:color w:val="auto"/>
          <w:sz w:val="28"/>
          <w:szCs w:val="28"/>
          <w:highlight w:val="none"/>
        </w:rPr>
        <w:t>（三）法定代表人授权委托书（格式）</w:t>
      </w:r>
    </w:p>
    <w:p w14:paraId="11095F6D">
      <w:pPr>
        <w:tabs>
          <w:tab w:val="left" w:pos="6300"/>
        </w:tabs>
        <w:snapToGrid w:val="0"/>
        <w:spacing w:line="500" w:lineRule="exact"/>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22B463E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4FAB90C">
      <w:pPr>
        <w:tabs>
          <w:tab w:val="left" w:pos="6300"/>
        </w:tabs>
        <w:snapToGrid w:val="0"/>
        <w:spacing w:line="500" w:lineRule="exact"/>
        <w:ind w:firstLine="570"/>
        <w:rPr>
          <w:rFonts w:hint="eastAsia" w:ascii="仿宋" w:hAnsi="仿宋" w:eastAsia="仿宋" w:cs="仿宋"/>
          <w:color w:val="auto"/>
          <w:sz w:val="24"/>
          <w:szCs w:val="24"/>
          <w:highlight w:val="none"/>
        </w:rPr>
      </w:pPr>
    </w:p>
    <w:p w14:paraId="48BCA495">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0CC26C7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、签约等具体工作，并签署全部有关文件、协议及合同。</w:t>
      </w:r>
    </w:p>
    <w:p w14:paraId="654B41E3">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2208F05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5109EC50">
      <w:pPr>
        <w:tabs>
          <w:tab w:val="left" w:pos="6300"/>
        </w:tabs>
        <w:snapToGrid w:val="0"/>
        <w:spacing w:line="500" w:lineRule="exact"/>
        <w:ind w:firstLine="570"/>
        <w:rPr>
          <w:rFonts w:hint="eastAsia" w:ascii="仿宋" w:hAnsi="仿宋" w:eastAsia="仿宋" w:cs="仿宋"/>
          <w:color w:val="auto"/>
          <w:sz w:val="24"/>
          <w:szCs w:val="24"/>
          <w:highlight w:val="none"/>
        </w:rPr>
      </w:pPr>
    </w:p>
    <w:p w14:paraId="0F6D2457">
      <w:pPr>
        <w:tabs>
          <w:tab w:val="left" w:pos="6300"/>
        </w:tabs>
        <w:snapToGrid w:val="0"/>
        <w:spacing w:line="500" w:lineRule="exact"/>
        <w:ind w:firstLine="570"/>
        <w:rPr>
          <w:rFonts w:hint="eastAsia" w:ascii="仿宋" w:hAnsi="仿宋" w:eastAsia="仿宋" w:cs="仿宋"/>
          <w:color w:val="auto"/>
          <w:sz w:val="24"/>
          <w:szCs w:val="24"/>
          <w:highlight w:val="none"/>
        </w:rPr>
      </w:pPr>
    </w:p>
    <w:p w14:paraId="635FAB8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w:t>
      </w:r>
    </w:p>
    <w:p w14:paraId="304A7D24">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7547AB4F">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CE6596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917519F">
      <w:pPr>
        <w:tabs>
          <w:tab w:val="left" w:pos="6300"/>
        </w:tabs>
        <w:snapToGrid w:val="0"/>
        <w:spacing w:line="500" w:lineRule="exact"/>
        <w:ind w:firstLine="570"/>
        <w:rPr>
          <w:rFonts w:hint="eastAsia" w:ascii="仿宋" w:hAnsi="仿宋" w:eastAsia="仿宋" w:cs="仿宋"/>
          <w:color w:val="auto"/>
          <w:sz w:val="24"/>
          <w:szCs w:val="24"/>
          <w:highlight w:val="none"/>
        </w:rPr>
      </w:pPr>
    </w:p>
    <w:p w14:paraId="67057998">
      <w:pPr>
        <w:tabs>
          <w:tab w:val="left" w:pos="6300"/>
        </w:tabs>
        <w:snapToGrid w:val="0"/>
        <w:spacing w:line="500" w:lineRule="exact"/>
        <w:ind w:firstLine="570"/>
        <w:rPr>
          <w:rFonts w:hint="eastAsia" w:ascii="仿宋" w:hAnsi="仿宋" w:eastAsia="仿宋" w:cs="仿宋"/>
          <w:color w:val="auto"/>
          <w:sz w:val="24"/>
          <w:szCs w:val="24"/>
          <w:highlight w:val="none"/>
        </w:rPr>
      </w:pPr>
    </w:p>
    <w:p w14:paraId="7793BA92">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6F35E31E">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4E1DEBD">
      <w:pPr>
        <w:tabs>
          <w:tab w:val="left" w:pos="6300"/>
        </w:tabs>
        <w:snapToGrid w:val="0"/>
        <w:spacing w:line="500" w:lineRule="exact"/>
        <w:ind w:firstLine="570"/>
        <w:rPr>
          <w:rFonts w:hint="eastAsia" w:ascii="仿宋" w:hAnsi="仿宋" w:eastAsia="仿宋" w:cs="仿宋"/>
          <w:color w:val="auto"/>
          <w:sz w:val="24"/>
          <w:szCs w:val="24"/>
          <w:highlight w:val="none"/>
        </w:rPr>
      </w:pPr>
    </w:p>
    <w:p w14:paraId="1F28456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57B49E80">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A075E0D">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w:t>
      </w:r>
    </w:p>
    <w:p w14:paraId="227D99EA">
      <w:pPr>
        <w:tabs>
          <w:tab w:val="left" w:pos="6300"/>
        </w:tabs>
        <w:snapToGrid w:val="0"/>
        <w:spacing w:line="500" w:lineRule="exact"/>
        <w:ind w:firstLine="57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基本资格条件承诺函</w:t>
      </w:r>
    </w:p>
    <w:p w14:paraId="4EA65790">
      <w:pPr>
        <w:tabs>
          <w:tab w:val="left" w:pos="6300"/>
        </w:tabs>
        <w:snapToGrid w:val="0"/>
        <w:spacing w:line="530" w:lineRule="exact"/>
        <w:rPr>
          <w:rFonts w:hint="eastAsia" w:ascii="仿宋" w:hAnsi="仿宋" w:eastAsia="仿宋" w:cs="仿宋"/>
          <w:color w:val="auto"/>
          <w:sz w:val="24"/>
          <w:szCs w:val="24"/>
          <w:highlight w:val="none"/>
        </w:rPr>
      </w:pPr>
    </w:p>
    <w:p w14:paraId="5F6BAA72">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620C93ED">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名称）郑重承诺：</w:t>
      </w:r>
    </w:p>
    <w:p w14:paraId="7AB7E2CC">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0D05F9A5">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041F255">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的检查验证，配合提供相关证明材料，证明符合《中华人民共和国政府采购法》规定的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基本资格条件。</w:t>
      </w:r>
    </w:p>
    <w:p w14:paraId="55C364E3">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791B9A66">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7DF5916">
      <w:pPr>
        <w:tabs>
          <w:tab w:val="left" w:pos="6300"/>
        </w:tabs>
        <w:snapToGrid w:val="0"/>
        <w:spacing w:line="530" w:lineRule="exact"/>
        <w:rPr>
          <w:rFonts w:hint="eastAsia" w:ascii="仿宋" w:hAnsi="仿宋" w:eastAsia="仿宋" w:cs="仿宋"/>
          <w:color w:val="auto"/>
          <w:sz w:val="24"/>
          <w:szCs w:val="24"/>
          <w:highlight w:val="none"/>
        </w:rPr>
      </w:pPr>
    </w:p>
    <w:p w14:paraId="706F0673">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6E83AF0">
      <w:pPr>
        <w:pStyle w:val="22"/>
        <w:jc w:val="right"/>
        <w:rPr>
          <w:rFonts w:hint="eastAsia" w:ascii="仿宋" w:hAnsi="仿宋" w:eastAsia="仿宋" w:cs="仿宋"/>
          <w:color w:val="auto"/>
          <w:szCs w:val="24"/>
          <w:highlight w:val="none"/>
        </w:rPr>
      </w:pPr>
    </w:p>
    <w:p w14:paraId="3B4248FD">
      <w:pPr>
        <w:pStyle w:val="22"/>
        <w:jc w:val="center"/>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年   月   日</w:t>
      </w:r>
    </w:p>
    <w:p w14:paraId="36453D41">
      <w:pPr>
        <w:pStyle w:val="22"/>
        <w:rPr>
          <w:rFonts w:hint="eastAsia" w:ascii="仿宋" w:hAnsi="仿宋" w:eastAsia="仿宋" w:cs="仿宋"/>
          <w:color w:val="auto"/>
          <w:sz w:val="32"/>
          <w:szCs w:val="32"/>
          <w:highlight w:val="none"/>
        </w:rPr>
      </w:pPr>
    </w:p>
    <w:p w14:paraId="72B3D828">
      <w:pPr>
        <w:pStyle w:val="22"/>
        <w:rPr>
          <w:rFonts w:hint="eastAsia" w:ascii="仿宋" w:hAnsi="仿宋" w:eastAsia="仿宋" w:cs="仿宋"/>
          <w:color w:val="auto"/>
          <w:sz w:val="32"/>
          <w:szCs w:val="32"/>
          <w:highlight w:val="none"/>
        </w:rPr>
      </w:pPr>
    </w:p>
    <w:p w14:paraId="3DAB2EC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（五）特定资格条件证书或证明文件（如果有）</w:t>
      </w:r>
    </w:p>
    <w:p w14:paraId="24A58F79">
      <w:pPr>
        <w:pStyle w:val="22"/>
        <w:rPr>
          <w:rFonts w:hint="eastAsia" w:ascii="仿宋" w:hAnsi="仿宋" w:eastAsia="仿宋" w:cs="仿宋"/>
          <w:color w:val="auto"/>
          <w:sz w:val="32"/>
          <w:szCs w:val="32"/>
          <w:highlight w:val="none"/>
        </w:rPr>
      </w:pPr>
    </w:p>
    <w:p w14:paraId="39090B96">
      <w:pPr>
        <w:pStyle w:val="22"/>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6D81B95">
      <w:pPr>
        <w:pStyle w:val="4"/>
        <w:spacing w:before="0" w:after="0" w:line="360" w:lineRule="auto"/>
        <w:rPr>
          <w:rFonts w:hint="eastAsia" w:ascii="仿宋" w:hAnsi="仿宋" w:eastAsia="仿宋" w:cs="仿宋"/>
          <w:color w:val="auto"/>
          <w:sz w:val="28"/>
          <w:szCs w:val="28"/>
          <w:highlight w:val="none"/>
        </w:rPr>
      </w:pPr>
      <w:bookmarkStart w:id="193" w:name="_Toc12008"/>
      <w:r>
        <w:rPr>
          <w:rFonts w:hint="eastAsia" w:ascii="仿宋" w:hAnsi="仿宋" w:eastAsia="仿宋" w:cs="仿宋"/>
          <w:color w:val="auto"/>
          <w:sz w:val="28"/>
          <w:szCs w:val="28"/>
          <w:highlight w:val="none"/>
        </w:rPr>
        <w:t>五、其他应提供的资料</w:t>
      </w:r>
      <w:bookmarkEnd w:id="193"/>
    </w:p>
    <w:p w14:paraId="18C0ADC3">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（一）其他与项目有关的资料（自附）</w:t>
      </w:r>
    </w:p>
    <w:p w14:paraId="7F5E5594">
      <w:pPr>
        <w:spacing w:line="360" w:lineRule="auto"/>
        <w:ind w:firstLine="640" w:firstLineChars="200"/>
        <w:jc w:val="center"/>
        <w:rPr>
          <w:rFonts w:hint="eastAsia" w:ascii="仿宋" w:hAnsi="仿宋" w:eastAsia="仿宋" w:cs="仿宋"/>
          <w:color w:val="auto"/>
          <w:sz w:val="32"/>
          <w:szCs w:val="32"/>
          <w:highlight w:val="none"/>
        </w:rPr>
      </w:pPr>
    </w:p>
    <w:p w14:paraId="7F38FEE1">
      <w:pPr>
        <w:spacing w:line="360" w:lineRule="auto"/>
        <w:ind w:firstLine="640" w:firstLineChars="200"/>
        <w:jc w:val="center"/>
        <w:rPr>
          <w:rFonts w:hint="eastAsia" w:ascii="仿宋" w:hAnsi="仿宋" w:eastAsia="仿宋" w:cs="仿宋"/>
          <w:color w:val="auto"/>
          <w:sz w:val="32"/>
          <w:szCs w:val="32"/>
          <w:highlight w:val="none"/>
        </w:rPr>
      </w:pPr>
    </w:p>
    <w:p w14:paraId="6DF85E5D">
      <w:pPr>
        <w:spacing w:line="360" w:lineRule="auto"/>
        <w:ind w:firstLine="640" w:firstLineChars="200"/>
        <w:jc w:val="center"/>
        <w:rPr>
          <w:rFonts w:hint="eastAsia" w:ascii="仿宋" w:hAnsi="仿宋" w:eastAsia="仿宋" w:cs="仿宋"/>
          <w:color w:val="auto"/>
          <w:sz w:val="32"/>
          <w:szCs w:val="32"/>
          <w:highlight w:val="none"/>
        </w:rPr>
      </w:pPr>
    </w:p>
    <w:p w14:paraId="24163FDC">
      <w:pPr>
        <w:spacing w:line="360" w:lineRule="auto"/>
        <w:ind w:firstLine="640" w:firstLineChars="200"/>
        <w:jc w:val="center"/>
        <w:rPr>
          <w:rFonts w:hint="eastAsia" w:ascii="仿宋" w:hAnsi="仿宋" w:eastAsia="仿宋" w:cs="仿宋"/>
          <w:color w:val="auto"/>
          <w:sz w:val="32"/>
          <w:szCs w:val="32"/>
          <w:highlight w:val="none"/>
        </w:rPr>
      </w:pPr>
    </w:p>
    <w:p w14:paraId="0A6EEFC5">
      <w:pPr>
        <w:spacing w:line="360" w:lineRule="auto"/>
        <w:ind w:firstLine="640" w:firstLineChars="200"/>
        <w:jc w:val="center"/>
        <w:rPr>
          <w:rFonts w:hint="eastAsia" w:ascii="仿宋" w:hAnsi="仿宋" w:eastAsia="仿宋" w:cs="仿宋"/>
          <w:color w:val="auto"/>
          <w:sz w:val="32"/>
          <w:szCs w:val="32"/>
          <w:highlight w:val="none"/>
        </w:rPr>
      </w:pPr>
    </w:p>
    <w:p w14:paraId="052964A2">
      <w:pPr>
        <w:spacing w:line="360" w:lineRule="auto"/>
        <w:rPr>
          <w:rFonts w:hint="eastAsia" w:ascii="仿宋" w:hAnsi="仿宋" w:eastAsia="仿宋" w:cs="仿宋"/>
          <w:color w:val="auto"/>
          <w:sz w:val="32"/>
          <w:szCs w:val="32"/>
          <w:highlight w:val="none"/>
        </w:rPr>
      </w:pPr>
    </w:p>
    <w:p w14:paraId="010FD011">
      <w:pPr>
        <w:spacing w:line="360" w:lineRule="auto"/>
        <w:ind w:firstLine="640" w:firstLineChars="200"/>
        <w:jc w:val="center"/>
        <w:rPr>
          <w:rFonts w:hint="eastAsia" w:ascii="仿宋" w:hAnsi="仿宋" w:eastAsia="仿宋" w:cs="仿宋"/>
          <w:color w:val="auto"/>
          <w:sz w:val="32"/>
          <w:szCs w:val="32"/>
          <w:highlight w:val="none"/>
        </w:rPr>
      </w:pPr>
    </w:p>
    <w:p w14:paraId="1AA0533D">
      <w:pPr>
        <w:spacing w:line="360" w:lineRule="auto"/>
        <w:ind w:firstLine="640" w:firstLineChars="200"/>
        <w:jc w:val="center"/>
        <w:rPr>
          <w:rFonts w:hint="eastAsia" w:ascii="仿宋" w:hAnsi="仿宋" w:eastAsia="仿宋" w:cs="仿宋"/>
          <w:color w:val="auto"/>
          <w:sz w:val="32"/>
          <w:szCs w:val="32"/>
          <w:highlight w:val="none"/>
        </w:rPr>
      </w:pPr>
    </w:p>
    <w:p w14:paraId="66F7133E">
      <w:pPr>
        <w:spacing w:line="360" w:lineRule="auto"/>
        <w:ind w:firstLine="640" w:firstLineChars="200"/>
        <w:jc w:val="center"/>
        <w:rPr>
          <w:rFonts w:hint="eastAsia" w:ascii="仿宋" w:hAnsi="仿宋" w:eastAsia="仿宋" w:cs="仿宋"/>
          <w:color w:val="auto"/>
          <w:sz w:val="32"/>
          <w:szCs w:val="32"/>
          <w:highlight w:val="none"/>
        </w:rPr>
      </w:pPr>
    </w:p>
    <w:p w14:paraId="6E97C9CA">
      <w:pPr>
        <w:spacing w:line="360" w:lineRule="auto"/>
        <w:ind w:firstLine="640" w:firstLineChars="200"/>
        <w:jc w:val="center"/>
        <w:rPr>
          <w:rFonts w:hint="eastAsia" w:ascii="仿宋" w:hAnsi="仿宋" w:eastAsia="仿宋" w:cs="仿宋"/>
          <w:color w:val="auto"/>
          <w:sz w:val="32"/>
          <w:szCs w:val="32"/>
          <w:highlight w:val="none"/>
        </w:rPr>
      </w:pPr>
    </w:p>
    <w:p w14:paraId="3BBA73F8">
      <w:pPr>
        <w:spacing w:line="360" w:lineRule="auto"/>
        <w:rPr>
          <w:rFonts w:hint="eastAsia" w:ascii="仿宋" w:hAnsi="仿宋" w:eastAsia="仿宋" w:cs="仿宋"/>
          <w:color w:val="auto"/>
          <w:sz w:val="32"/>
          <w:szCs w:val="32"/>
          <w:highlight w:val="none"/>
        </w:rPr>
      </w:pPr>
    </w:p>
    <w:p w14:paraId="33C85DD8">
      <w:pPr>
        <w:spacing w:line="360" w:lineRule="auto"/>
        <w:ind w:firstLine="640" w:firstLineChars="200"/>
        <w:jc w:val="center"/>
        <w:rPr>
          <w:rFonts w:hint="eastAsia" w:ascii="仿宋" w:hAnsi="仿宋" w:eastAsia="仿宋" w:cs="仿宋"/>
          <w:color w:val="auto"/>
          <w:sz w:val="32"/>
          <w:szCs w:val="32"/>
          <w:highlight w:val="none"/>
        </w:rPr>
      </w:pPr>
    </w:p>
    <w:p w14:paraId="0F1F0023">
      <w:pPr>
        <w:spacing w:line="360" w:lineRule="auto"/>
        <w:ind w:firstLine="560" w:firstLineChars="200"/>
        <w:jc w:val="center"/>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（结束）</w:t>
      </w:r>
    </w:p>
    <w:p w14:paraId="24B180FB">
      <w:pPr>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br w:type="page"/>
      </w:r>
    </w:p>
    <w:p w14:paraId="06A83EF2">
      <w:pPr>
        <w:shd w:val="clear"/>
        <w:jc w:val="center"/>
        <w:rPr>
          <w:rFonts w:hint="eastAsia" w:ascii="仿宋" w:hAnsi="仿宋" w:eastAsia="仿宋" w:cs="仿宋"/>
          <w:b w:val="0"/>
          <w:bCs w:val="0"/>
          <w:color w:val="auto"/>
          <w:spacing w:val="40"/>
          <w:highlight w:val="none"/>
        </w:rPr>
      </w:pPr>
      <w:r>
        <w:rPr>
          <w:rFonts w:hint="eastAsia" w:ascii="仿宋" w:hAnsi="仿宋" w:eastAsia="仿宋" w:cs="仿宋"/>
          <w:b/>
          <w:bCs/>
          <w:color w:val="auto"/>
          <w:sz w:val="44"/>
          <w:szCs w:val="44"/>
          <w:highlight w:val="none"/>
          <w:lang w:val="en-US" w:eastAsia="zh-CN"/>
        </w:rPr>
        <w:t>招标</w:t>
      </w:r>
      <w:r>
        <w:rPr>
          <w:rFonts w:hint="eastAsia" w:ascii="仿宋" w:hAnsi="仿宋" w:eastAsia="仿宋" w:cs="仿宋"/>
          <w:b/>
          <w:bCs/>
          <w:color w:val="auto"/>
          <w:sz w:val="44"/>
          <w:szCs w:val="44"/>
          <w:highlight w:val="none"/>
        </w:rPr>
        <w:t>文件发售登记表</w:t>
      </w:r>
    </w:p>
    <w:tbl>
      <w:tblPr>
        <w:tblStyle w:val="23"/>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825"/>
      </w:tblGrid>
      <w:tr w14:paraId="1ABC9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004" w:type="dxa"/>
            <w:noWrap w:val="0"/>
            <w:vAlign w:val="center"/>
          </w:tcPr>
          <w:p w14:paraId="0FDF50DE">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项目名称</w:t>
            </w:r>
          </w:p>
        </w:tc>
        <w:tc>
          <w:tcPr>
            <w:tcW w:w="6825" w:type="dxa"/>
            <w:noWrap w:val="0"/>
            <w:vAlign w:val="center"/>
          </w:tcPr>
          <w:p w14:paraId="1D24639A">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 xml:space="preserve"> </w:t>
            </w:r>
          </w:p>
        </w:tc>
      </w:tr>
      <w:tr w14:paraId="76B83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004" w:type="dxa"/>
            <w:noWrap w:val="0"/>
            <w:vAlign w:val="center"/>
          </w:tcPr>
          <w:p w14:paraId="5628B02C">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投标人</w:t>
            </w:r>
            <w:r>
              <w:rPr>
                <w:rFonts w:hint="eastAsia" w:ascii="仿宋" w:hAnsi="仿宋" w:eastAsia="仿宋" w:cs="仿宋"/>
                <w:b w:val="0"/>
                <w:bCs w:val="0"/>
                <w:color w:val="auto"/>
                <w:sz w:val="30"/>
                <w:szCs w:val="30"/>
                <w:highlight w:val="none"/>
              </w:rPr>
              <w:t>名称</w:t>
            </w:r>
          </w:p>
        </w:tc>
        <w:tc>
          <w:tcPr>
            <w:tcW w:w="6825" w:type="dxa"/>
            <w:noWrap w:val="0"/>
            <w:vAlign w:val="center"/>
          </w:tcPr>
          <w:p w14:paraId="5C818DEB">
            <w:pPr>
              <w:shd w:val="clear"/>
              <w:jc w:val="center"/>
              <w:rPr>
                <w:rFonts w:hint="eastAsia" w:ascii="仿宋" w:hAnsi="仿宋" w:eastAsia="仿宋" w:cs="仿宋"/>
                <w:b w:val="0"/>
                <w:bCs w:val="0"/>
                <w:color w:val="auto"/>
                <w:sz w:val="30"/>
                <w:szCs w:val="30"/>
                <w:highlight w:val="none"/>
              </w:rPr>
            </w:pPr>
          </w:p>
        </w:tc>
      </w:tr>
      <w:tr w14:paraId="5E793E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004" w:type="dxa"/>
            <w:noWrap w:val="0"/>
            <w:vAlign w:val="center"/>
          </w:tcPr>
          <w:p w14:paraId="11AF7459">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单位</w:t>
            </w:r>
            <w:r>
              <w:rPr>
                <w:rFonts w:hint="eastAsia" w:ascii="仿宋" w:hAnsi="仿宋" w:eastAsia="仿宋" w:cs="仿宋"/>
                <w:b w:val="0"/>
                <w:bCs w:val="0"/>
                <w:color w:val="auto"/>
                <w:sz w:val="30"/>
                <w:szCs w:val="30"/>
                <w:highlight w:val="none"/>
              </w:rPr>
              <w:t>地址</w:t>
            </w:r>
          </w:p>
        </w:tc>
        <w:tc>
          <w:tcPr>
            <w:tcW w:w="6825" w:type="dxa"/>
            <w:noWrap w:val="0"/>
            <w:vAlign w:val="center"/>
          </w:tcPr>
          <w:p w14:paraId="6C255FA9">
            <w:pPr>
              <w:shd w:val="clear"/>
              <w:jc w:val="center"/>
              <w:rPr>
                <w:rFonts w:hint="eastAsia" w:ascii="仿宋" w:hAnsi="仿宋" w:eastAsia="仿宋" w:cs="仿宋"/>
                <w:b w:val="0"/>
                <w:bCs w:val="0"/>
                <w:color w:val="auto"/>
                <w:sz w:val="30"/>
                <w:szCs w:val="30"/>
                <w:highlight w:val="none"/>
              </w:rPr>
            </w:pPr>
          </w:p>
        </w:tc>
      </w:tr>
      <w:tr w14:paraId="220CA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004" w:type="dxa"/>
            <w:noWrap w:val="0"/>
            <w:vAlign w:val="center"/>
          </w:tcPr>
          <w:p w14:paraId="55913A54">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联系人</w:t>
            </w:r>
          </w:p>
        </w:tc>
        <w:tc>
          <w:tcPr>
            <w:tcW w:w="6825" w:type="dxa"/>
            <w:noWrap w:val="0"/>
            <w:vAlign w:val="center"/>
          </w:tcPr>
          <w:p w14:paraId="5C3D96E5">
            <w:pPr>
              <w:shd w:val="clear"/>
              <w:jc w:val="center"/>
              <w:rPr>
                <w:rFonts w:hint="eastAsia" w:ascii="仿宋" w:hAnsi="仿宋" w:eastAsia="仿宋" w:cs="仿宋"/>
                <w:b w:val="0"/>
                <w:bCs w:val="0"/>
                <w:color w:val="auto"/>
                <w:sz w:val="30"/>
                <w:szCs w:val="30"/>
                <w:highlight w:val="none"/>
              </w:rPr>
            </w:pPr>
          </w:p>
        </w:tc>
      </w:tr>
      <w:tr w14:paraId="088F1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004" w:type="dxa"/>
            <w:noWrap w:val="0"/>
            <w:vAlign w:val="center"/>
          </w:tcPr>
          <w:p w14:paraId="7F5F50B2">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电话</w:t>
            </w:r>
          </w:p>
        </w:tc>
        <w:tc>
          <w:tcPr>
            <w:tcW w:w="6825" w:type="dxa"/>
            <w:noWrap w:val="0"/>
            <w:vAlign w:val="center"/>
          </w:tcPr>
          <w:p w14:paraId="0AF9DED3">
            <w:pPr>
              <w:shd w:val="clear"/>
              <w:jc w:val="center"/>
              <w:rPr>
                <w:rFonts w:hint="eastAsia" w:ascii="仿宋" w:hAnsi="仿宋" w:eastAsia="仿宋" w:cs="仿宋"/>
                <w:b w:val="0"/>
                <w:bCs w:val="0"/>
                <w:color w:val="auto"/>
                <w:sz w:val="30"/>
                <w:szCs w:val="30"/>
                <w:highlight w:val="none"/>
              </w:rPr>
            </w:pPr>
          </w:p>
        </w:tc>
      </w:tr>
      <w:tr w14:paraId="30BA62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04" w:type="dxa"/>
            <w:noWrap w:val="0"/>
            <w:vAlign w:val="center"/>
          </w:tcPr>
          <w:p w14:paraId="75F3FF48">
            <w:pPr>
              <w:shd w:val="clear"/>
              <w:jc w:val="center"/>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lang w:eastAsia="zh-CN"/>
              </w:rPr>
              <w:t>邮箱</w:t>
            </w:r>
          </w:p>
        </w:tc>
        <w:tc>
          <w:tcPr>
            <w:tcW w:w="6825" w:type="dxa"/>
            <w:noWrap w:val="0"/>
            <w:vAlign w:val="center"/>
          </w:tcPr>
          <w:p w14:paraId="1546EE02">
            <w:pPr>
              <w:shd w:val="clear"/>
              <w:jc w:val="center"/>
              <w:rPr>
                <w:rFonts w:hint="eastAsia" w:ascii="仿宋" w:hAnsi="仿宋" w:eastAsia="仿宋" w:cs="仿宋"/>
                <w:b w:val="0"/>
                <w:bCs w:val="0"/>
                <w:color w:val="auto"/>
                <w:sz w:val="30"/>
                <w:szCs w:val="30"/>
                <w:highlight w:val="none"/>
              </w:rPr>
            </w:pPr>
          </w:p>
        </w:tc>
      </w:tr>
      <w:tr w14:paraId="17453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004" w:type="dxa"/>
            <w:noWrap w:val="0"/>
            <w:vAlign w:val="center"/>
          </w:tcPr>
          <w:p w14:paraId="0B1CE6F1">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eastAsia="zh-CN"/>
              </w:rPr>
              <w:t>报名</w:t>
            </w:r>
            <w:r>
              <w:rPr>
                <w:rFonts w:hint="eastAsia" w:ascii="仿宋" w:hAnsi="仿宋" w:eastAsia="仿宋" w:cs="仿宋"/>
                <w:b w:val="0"/>
                <w:bCs w:val="0"/>
                <w:color w:val="auto"/>
                <w:sz w:val="30"/>
                <w:szCs w:val="30"/>
                <w:highlight w:val="none"/>
              </w:rPr>
              <w:t>时间</w:t>
            </w:r>
          </w:p>
        </w:tc>
        <w:tc>
          <w:tcPr>
            <w:tcW w:w="6825" w:type="dxa"/>
            <w:noWrap w:val="0"/>
            <w:vAlign w:val="center"/>
          </w:tcPr>
          <w:p w14:paraId="358C4C78">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年   月   日</w:t>
            </w:r>
          </w:p>
        </w:tc>
      </w:tr>
      <w:tr w14:paraId="770BFF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004" w:type="dxa"/>
            <w:noWrap w:val="0"/>
            <w:vAlign w:val="center"/>
          </w:tcPr>
          <w:p w14:paraId="7271CE1F">
            <w:pPr>
              <w:shd w:val="clear"/>
              <w:jc w:val="center"/>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备注</w:t>
            </w:r>
          </w:p>
        </w:tc>
        <w:tc>
          <w:tcPr>
            <w:tcW w:w="6825" w:type="dxa"/>
            <w:noWrap w:val="0"/>
            <w:vAlign w:val="center"/>
          </w:tcPr>
          <w:p w14:paraId="351E95F0">
            <w:pPr>
              <w:shd w:val="clear"/>
              <w:jc w:val="center"/>
              <w:rPr>
                <w:rFonts w:hint="eastAsia" w:ascii="仿宋" w:hAnsi="仿宋" w:eastAsia="仿宋" w:cs="仿宋"/>
                <w:b w:val="0"/>
                <w:bCs w:val="0"/>
                <w:color w:val="auto"/>
                <w:sz w:val="30"/>
                <w:szCs w:val="30"/>
                <w:highlight w:val="none"/>
              </w:rPr>
            </w:pPr>
          </w:p>
        </w:tc>
      </w:tr>
    </w:tbl>
    <w:p w14:paraId="32A1F15E">
      <w:pPr>
        <w:pStyle w:val="22"/>
        <w:rPr>
          <w:rFonts w:hint="eastAsia" w:ascii="仿宋" w:hAnsi="仿宋" w:eastAsia="仿宋" w:cs="仿宋"/>
          <w:highlight w:val="none"/>
        </w:rPr>
      </w:pPr>
    </w:p>
    <w:p w14:paraId="4548E083">
      <w:pPr>
        <w:spacing w:line="360" w:lineRule="auto"/>
        <w:ind w:firstLine="720" w:firstLineChars="200"/>
        <w:jc w:val="center"/>
        <w:rPr>
          <w:rFonts w:hint="eastAsia" w:ascii="仿宋" w:hAnsi="仿宋" w:eastAsia="仿宋" w:cs="仿宋"/>
          <w:color w:val="auto"/>
          <w:sz w:val="36"/>
          <w:szCs w:val="22"/>
          <w:highlight w:val="none"/>
        </w:rPr>
      </w:pPr>
    </w:p>
    <w:p w14:paraId="1F475445">
      <w:pPr>
        <w:rPr>
          <w:rFonts w:hint="eastAsia" w:ascii="仿宋" w:hAnsi="仿宋" w:eastAsia="仿宋" w:cs="仿宋"/>
          <w:color w:val="auto"/>
          <w:highlight w:val="none"/>
        </w:rPr>
      </w:pPr>
    </w:p>
    <w:sectPr>
      <w:headerReference r:id="rId16"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2A51">
    <w:pPr>
      <w:pStyle w:val="16"/>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7E92">
    <w:pPr>
      <w:pStyle w:val="16"/>
      <w:framePr w:wrap="around" w:vAnchor="text" w:hAnchor="margin" w:xAlign="center" w:yAlign="top"/>
      <w:tabs>
        <w:tab w:val="center" w:pos="4153"/>
        <w:tab w:val="right" w:pos="8306"/>
        <w:tab w:val="clear" w:pos="4140"/>
        <w:tab w:val="clear" w:pos="8300"/>
      </w:tabs>
      <w:rPr>
        <w:rStyle w:val="26"/>
      </w:rPr>
    </w:pPr>
    <w:r>
      <w:fldChar w:fldCharType="begin"/>
    </w:r>
    <w:r>
      <w:rPr>
        <w:rStyle w:val="26"/>
      </w:rPr>
      <w:instrText xml:space="preserve">PAGE  </w:instrText>
    </w:r>
    <w:r>
      <w:fldChar w:fldCharType="separate"/>
    </w:r>
    <w:r>
      <w:fldChar w:fldCharType="end"/>
    </w:r>
  </w:p>
  <w:p w14:paraId="735A6C6B">
    <w:pPr>
      <w:pStyle w:val="16"/>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E1B6">
    <w:pPr>
      <w:pStyle w:val="16"/>
      <w:tabs>
        <w:tab w:val="center" w:pos="4153"/>
        <w:tab w:val="right" w:pos="8306"/>
        <w:tab w:val="clear" w:pos="4140"/>
        <w:tab w:val="clear" w:pos="8300"/>
      </w:tabs>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2529">
    <w:pPr>
      <w:pStyle w:val="16"/>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D578">
    <w:pPr>
      <w:pStyle w:val="16"/>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965F25">
                          <w:pPr>
                            <w:pStyle w:val="1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0s78sBAACd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2TiGqA9dWaRcD8LrY8ImSm+5wgg7FcapFXbThuW1+PNesu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QtLO/LAQAAnQMAAA4AAAAAAAAAAQAgAAAAHgEAAGRycy9lMm9E&#10;b2MueG1sUEsFBgAAAAAGAAYAWQEAAFsFAAAAAA==&#10;">
              <v:fill on="f" focussize="0,0"/>
              <v:stroke on="f"/>
              <v:imagedata o:title=""/>
              <o:lock v:ext="edit" aspectratio="f"/>
              <v:textbox inset="0mm,0mm,0mm,0mm" style="mso-fit-shape-to-text:t;">
                <w:txbxContent>
                  <w:p w14:paraId="4C965F25">
                    <w:pPr>
                      <w:pStyle w:val="1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79BA">
    <w:pPr>
      <w:pStyle w:val="16"/>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EDA40">
                          <w:pPr>
                            <w:pStyle w:val="16"/>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39EDA40">
                    <w:pPr>
                      <w:pStyle w:val="16"/>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C4A4">
    <w:pPr>
      <w:pStyle w:val="16"/>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EE0D">
                          <w:pPr>
                            <w:pStyle w:val="16"/>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A23EE0D">
                    <w:pPr>
                      <w:pStyle w:val="16"/>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5DD9A">
    <w:pPr>
      <w:pStyle w:val="17"/>
      <w:pBdr>
        <w:bottom w:val="none" w:color="auto" w:sz="0" w:space="0"/>
      </w:pBdr>
      <w:tabs>
        <w:tab w:val="center" w:pos="4153"/>
        <w:tab w:val="right" w:pos="8306"/>
        <w:tab w:val="clear" w:pos="4140"/>
        <w:tab w:val="clear" w:pos="8300"/>
      </w:tabs>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743E">
    <w:pPr>
      <w:pStyle w:val="17"/>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19F9">
    <w:pPr>
      <w:pStyle w:val="17"/>
      <w:pBdr>
        <w:bottom w:val="none" w:color="auto" w:sz="0" w:space="0"/>
      </w:pBdr>
      <w:tabs>
        <w:tab w:val="center" w:pos="4153"/>
        <w:tab w:val="right" w:pos="8306"/>
        <w:tab w:val="clear" w:pos="4140"/>
        <w:tab w:val="clear" w:pos="8300"/>
      </w:tabs>
      <w:ind w:firstLine="440" w:firstLineChars="200"/>
      <w:jc w:val="both"/>
      <w:rPr>
        <w:rFonts w:hint="eastAsia"/>
        <w:sz w:val="22"/>
        <w:szCs w:val="24"/>
      </w:rPr>
    </w:pPr>
    <w:r>
      <w:rPr>
        <w:rFonts w:hint="eastAsia"/>
        <w:sz w:val="22"/>
        <w:szCs w:val="24"/>
      </w:rPr>
      <w:t xml:space="preserve">                                     </w:t>
    </w:r>
  </w:p>
  <w:p w14:paraId="7DBB9E9A">
    <w:pPr>
      <w:pStyle w:val="17"/>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1B19">
    <w:pPr>
      <w:pStyle w:val="17"/>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A4537">
    <w:pPr>
      <w:pStyle w:val="17"/>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364C">
    <w:pPr>
      <w:pStyle w:val="17"/>
      <w:pBdr>
        <w:bottom w:val="none" w:color="auto" w:sz="0" w:space="0"/>
      </w:pBdr>
      <w:tabs>
        <w:tab w:val="center" w:pos="4153"/>
        <w:tab w:val="right" w:pos="8306"/>
        <w:tab w:val="clear" w:pos="4140"/>
        <w:tab w:val="clear" w:pos="8300"/>
      </w:tabs>
      <w:jc w:val="both"/>
      <w:rPr>
        <w:rFonts w:hint="eastAsia" w:eastAsia="宋体"/>
        <w:sz w:val="24"/>
        <w:szCs w:val="24"/>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0326">
    <w:pPr>
      <w:pStyle w:val="17"/>
      <w:pBdr>
        <w:bottom w:val="none" w:color="auto" w:sz="0"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E73BAFCB"/>
    <w:multiLevelType w:val="singleLevel"/>
    <w:tmpl w:val="E73BAFC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DU0NzFkOWY1M2M3YzU4ZGY3YWVhMWU5MGFlYzQifQ=="/>
  </w:docVars>
  <w:rsids>
    <w:rsidRoot w:val="7C270787"/>
    <w:rsid w:val="02200D4C"/>
    <w:rsid w:val="02275007"/>
    <w:rsid w:val="024863AD"/>
    <w:rsid w:val="026D3588"/>
    <w:rsid w:val="03D572F8"/>
    <w:rsid w:val="04D27139"/>
    <w:rsid w:val="05027306"/>
    <w:rsid w:val="055B3806"/>
    <w:rsid w:val="057407DA"/>
    <w:rsid w:val="05EE00CC"/>
    <w:rsid w:val="06417482"/>
    <w:rsid w:val="0709503F"/>
    <w:rsid w:val="07343B5D"/>
    <w:rsid w:val="073C5822"/>
    <w:rsid w:val="07B93E4E"/>
    <w:rsid w:val="09690066"/>
    <w:rsid w:val="097D04E3"/>
    <w:rsid w:val="0A357812"/>
    <w:rsid w:val="0BBA3B85"/>
    <w:rsid w:val="0BE45432"/>
    <w:rsid w:val="0C9341B4"/>
    <w:rsid w:val="0CBF48AB"/>
    <w:rsid w:val="0D0E344C"/>
    <w:rsid w:val="0D86592C"/>
    <w:rsid w:val="0E596262"/>
    <w:rsid w:val="0F8408FC"/>
    <w:rsid w:val="12452F59"/>
    <w:rsid w:val="12B4677B"/>
    <w:rsid w:val="12CD6A63"/>
    <w:rsid w:val="12EC4BA6"/>
    <w:rsid w:val="140C50F1"/>
    <w:rsid w:val="15E10FC5"/>
    <w:rsid w:val="15E51CAB"/>
    <w:rsid w:val="165226FA"/>
    <w:rsid w:val="166D1417"/>
    <w:rsid w:val="16AE750E"/>
    <w:rsid w:val="19335911"/>
    <w:rsid w:val="19AE608B"/>
    <w:rsid w:val="19B96255"/>
    <w:rsid w:val="1A733BBF"/>
    <w:rsid w:val="1B860A5A"/>
    <w:rsid w:val="1C600287"/>
    <w:rsid w:val="1E9E4BA5"/>
    <w:rsid w:val="1F666789"/>
    <w:rsid w:val="20654120"/>
    <w:rsid w:val="21BF4300"/>
    <w:rsid w:val="228268B4"/>
    <w:rsid w:val="22BE570A"/>
    <w:rsid w:val="22DF7C3A"/>
    <w:rsid w:val="24D871B2"/>
    <w:rsid w:val="2B3E7AB6"/>
    <w:rsid w:val="2D524C40"/>
    <w:rsid w:val="302E75E3"/>
    <w:rsid w:val="31146950"/>
    <w:rsid w:val="31A43C6E"/>
    <w:rsid w:val="320E5997"/>
    <w:rsid w:val="328C55DF"/>
    <w:rsid w:val="32F955B2"/>
    <w:rsid w:val="36500B5A"/>
    <w:rsid w:val="36CE17DB"/>
    <w:rsid w:val="36D1792F"/>
    <w:rsid w:val="3B617FB2"/>
    <w:rsid w:val="3C67792D"/>
    <w:rsid w:val="3C891294"/>
    <w:rsid w:val="3D657E37"/>
    <w:rsid w:val="3E8B13DF"/>
    <w:rsid w:val="3ECD322E"/>
    <w:rsid w:val="3FAD044A"/>
    <w:rsid w:val="40CF23D7"/>
    <w:rsid w:val="419544CE"/>
    <w:rsid w:val="42C27AAA"/>
    <w:rsid w:val="44EF2301"/>
    <w:rsid w:val="45D16A62"/>
    <w:rsid w:val="46361669"/>
    <w:rsid w:val="482B25AB"/>
    <w:rsid w:val="496C18D9"/>
    <w:rsid w:val="4CA73A3A"/>
    <w:rsid w:val="4F1162B1"/>
    <w:rsid w:val="4F9F5BE4"/>
    <w:rsid w:val="51390AE7"/>
    <w:rsid w:val="5168196D"/>
    <w:rsid w:val="5284461E"/>
    <w:rsid w:val="537D1B6E"/>
    <w:rsid w:val="54CA2EF2"/>
    <w:rsid w:val="54D961C1"/>
    <w:rsid w:val="54EE0E44"/>
    <w:rsid w:val="555E2640"/>
    <w:rsid w:val="556233C2"/>
    <w:rsid w:val="5603579C"/>
    <w:rsid w:val="56651DFB"/>
    <w:rsid w:val="5678528D"/>
    <w:rsid w:val="575824D0"/>
    <w:rsid w:val="57811AFA"/>
    <w:rsid w:val="57C42F48"/>
    <w:rsid w:val="589E3A64"/>
    <w:rsid w:val="58D203C6"/>
    <w:rsid w:val="597E18D0"/>
    <w:rsid w:val="598F11D3"/>
    <w:rsid w:val="5A36306F"/>
    <w:rsid w:val="5A576F72"/>
    <w:rsid w:val="5BD91F04"/>
    <w:rsid w:val="5C7B3200"/>
    <w:rsid w:val="5DE23CF2"/>
    <w:rsid w:val="5EA031AD"/>
    <w:rsid w:val="608E02A7"/>
    <w:rsid w:val="61723EC8"/>
    <w:rsid w:val="6198016C"/>
    <w:rsid w:val="62A23210"/>
    <w:rsid w:val="64E93878"/>
    <w:rsid w:val="658A53A4"/>
    <w:rsid w:val="69EE74FD"/>
    <w:rsid w:val="6CBA534F"/>
    <w:rsid w:val="6E5A0C83"/>
    <w:rsid w:val="6F92162B"/>
    <w:rsid w:val="725E61D7"/>
    <w:rsid w:val="734D27C2"/>
    <w:rsid w:val="73E10D40"/>
    <w:rsid w:val="75C7149C"/>
    <w:rsid w:val="76227BF9"/>
    <w:rsid w:val="762576DC"/>
    <w:rsid w:val="76E62FF9"/>
    <w:rsid w:val="774150D6"/>
    <w:rsid w:val="7AF00B90"/>
    <w:rsid w:val="7C270787"/>
    <w:rsid w:val="7E002F8A"/>
    <w:rsid w:val="7E15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5">
    <w:name w:val="heading 4"/>
    <w:basedOn w:val="1"/>
    <w:next w:val="1"/>
    <w:qFormat/>
    <w:uiPriority w:val="0"/>
    <w:pPr>
      <w:widowControl/>
      <w:spacing w:before="100" w:beforeLines="0" w:beforeAutospacing="1" w:after="100" w:afterLines="0" w:afterAutospacing="1"/>
      <w:jc w:val="left"/>
      <w:outlineLvl w:val="3"/>
    </w:pPr>
    <w:rPr>
      <w:rFonts w:ascii="宋体" w:hAnsi="宋体"/>
      <w:kern w:val="0"/>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Document Map"/>
    <w:basedOn w:val="1"/>
    <w:next w:val="1"/>
    <w:qFormat/>
    <w:uiPriority w:val="0"/>
    <w:pPr>
      <w:shd w:val="clear" w:color="auto" w:fill="000080"/>
    </w:pPr>
  </w:style>
  <w:style w:type="paragraph" w:styleId="8">
    <w:name w:val="Body Text"/>
    <w:basedOn w:val="1"/>
    <w:next w:val="1"/>
    <w:qFormat/>
    <w:uiPriority w:val="0"/>
    <w:rPr>
      <w:rFonts w:ascii="仿宋_GB2312" w:hAnsi="Times New Roman" w:eastAsia="仿宋_GB2312"/>
      <w:sz w:val="32"/>
    </w:rPr>
  </w:style>
  <w:style w:type="paragraph" w:styleId="9">
    <w:name w:val="Body Text Indent"/>
    <w:basedOn w:val="1"/>
    <w:next w:val="10"/>
    <w:qFormat/>
    <w:uiPriority w:val="0"/>
    <w:pPr>
      <w:spacing w:line="700" w:lineRule="exact"/>
      <w:ind w:left="960"/>
    </w:pPr>
    <w:rPr>
      <w:rFonts w:ascii="Times New Roman" w:hAnsi="Times New Roman"/>
      <w:sz w:val="44"/>
    </w:rPr>
  </w:style>
  <w:style w:type="paragraph" w:styleId="10">
    <w:name w:val="envelope return"/>
    <w:basedOn w:val="1"/>
    <w:semiHidden/>
    <w:qFormat/>
    <w:uiPriority w:val="0"/>
    <w:pPr>
      <w:snapToGrid w:val="0"/>
    </w:pPr>
    <w:rPr>
      <w:rFonts w:ascii="Arial" w:hAnsi="Arial" w:cs="Arial"/>
    </w:rPr>
  </w:style>
  <w:style w:type="paragraph" w:styleId="11">
    <w:name w:val="toc 3"/>
    <w:basedOn w:val="1"/>
    <w:next w:val="1"/>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12">
    <w:name w:val="Plain Text"/>
    <w:basedOn w:val="1"/>
    <w:next w:val="7"/>
    <w:qFormat/>
    <w:uiPriority w:val="0"/>
    <w:rPr>
      <w:rFonts w:ascii="宋体" w:hAnsi="Courier New"/>
      <w:sz w:val="21"/>
    </w:rPr>
  </w:style>
  <w:style w:type="paragraph" w:styleId="13">
    <w:name w:val="Date"/>
    <w:basedOn w:val="1"/>
    <w:next w:val="1"/>
    <w:qFormat/>
    <w:uiPriority w:val="0"/>
    <w:pPr>
      <w:widowControl w:val="0"/>
      <w:spacing w:after="0"/>
      <w:jc w:val="both"/>
    </w:pPr>
    <w:rPr>
      <w:rFonts w:ascii="Times New Roman" w:hAnsi="Times New Roman"/>
    </w:rPr>
  </w:style>
  <w:style w:type="paragraph" w:styleId="14">
    <w:name w:val="Body Text Indent 2"/>
    <w:basedOn w:val="1"/>
    <w:qFormat/>
    <w:uiPriority w:val="0"/>
    <w:pPr>
      <w:snapToGrid w:val="0"/>
      <w:spacing w:line="560" w:lineRule="atLeast"/>
      <w:ind w:firstLine="540"/>
    </w:pPr>
  </w:style>
  <w:style w:type="paragraph" w:styleId="15">
    <w:name w:val="Balloon Text"/>
    <w:basedOn w:val="1"/>
    <w:qFormat/>
    <w:uiPriority w:val="0"/>
    <w:rPr>
      <w:sz w:val="18"/>
    </w:rPr>
  </w:style>
  <w:style w:type="paragraph" w:styleId="16">
    <w:name w:val="footer"/>
    <w:basedOn w:val="1"/>
    <w:qFormat/>
    <w:uiPriority w:val="99"/>
    <w:pPr>
      <w:widowControl w:val="0"/>
      <w:tabs>
        <w:tab w:val="center" w:pos="4140"/>
        <w:tab w:val="right" w:pos="8300"/>
      </w:tabs>
      <w:snapToGrid w:val="0"/>
      <w:spacing w:after="0"/>
      <w:jc w:val="left"/>
    </w:pPr>
    <w:rPr>
      <w:rFonts w:ascii="Times New Roman" w:hAnsi="Times New Roman"/>
      <w:sz w:val="18"/>
    </w:rPr>
  </w:style>
  <w:style w:type="paragraph" w:styleId="17">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8">
    <w:name w:val="toc 1"/>
    <w:basedOn w:val="1"/>
    <w:next w:val="1"/>
    <w:qFormat/>
    <w:uiPriority w:val="39"/>
    <w:pPr>
      <w:widowControl w:val="0"/>
      <w:spacing w:after="0" w:line="180" w:lineRule="auto"/>
      <w:jc w:val="center"/>
    </w:pPr>
    <w:rPr>
      <w:rFonts w:ascii="Times New Roman" w:hAnsi="Times New Roman" w:eastAsia="宋体" w:cs="Times New Roman"/>
      <w:kern w:val="2"/>
      <w:sz w:val="30"/>
      <w:lang w:val="en-US" w:eastAsia="zh-CN" w:bidi="ar-SA"/>
    </w:rPr>
  </w:style>
  <w:style w:type="paragraph" w:styleId="19">
    <w:name w:val="index 7"/>
    <w:basedOn w:val="1"/>
    <w:next w:val="1"/>
    <w:qFormat/>
    <w:uiPriority w:val="0"/>
    <w:pPr>
      <w:ind w:left="2520"/>
    </w:pPr>
  </w:style>
  <w:style w:type="paragraph" w:styleId="20">
    <w:name w:val="toc 2"/>
    <w:basedOn w:val="1"/>
    <w:next w:val="1"/>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21">
    <w:name w:val="Body Text 2"/>
    <w:basedOn w:val="1"/>
    <w:qFormat/>
    <w:uiPriority w:val="0"/>
    <w:pPr>
      <w:adjustRightInd w:val="0"/>
      <w:snapToGrid w:val="0"/>
      <w:spacing w:after="120" w:afterAutospacing="0" w:line="480" w:lineRule="auto"/>
    </w:pPr>
    <w:rPr>
      <w:sz w:val="24"/>
    </w:rPr>
  </w:style>
  <w:style w:type="paragraph" w:styleId="22">
    <w:name w:val="Body Text First Indent"/>
    <w:basedOn w:val="8"/>
    <w:next w:val="1"/>
    <w:qFormat/>
    <w:uiPriority w:val="0"/>
    <w:pPr>
      <w:spacing w:line="360" w:lineRule="auto"/>
      <w:ind w:firstLine="420"/>
    </w:pPr>
    <w:rPr>
      <w:rFonts w:ascii="宋体" w:hAnsi="宋体"/>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Times New Roman" w:hAnsi="Times New Roman" w:eastAsia="宋体" w:cs="Times New Roman"/>
    </w:rPr>
  </w:style>
  <w:style w:type="character" w:styleId="27">
    <w:name w:val="Emphasis"/>
    <w:basedOn w:val="25"/>
    <w:qFormat/>
    <w:uiPriority w:val="0"/>
    <w:rPr>
      <w:i/>
    </w:rPr>
  </w:style>
  <w:style w:type="character" w:styleId="28">
    <w:name w:val="Hyperlink"/>
    <w:qFormat/>
    <w:uiPriority w:val="99"/>
    <w:rPr>
      <w:rFonts w:ascii="Times New Roman" w:hAnsi="Times New Roman" w:eastAsia="宋体" w:cs="Times New Roman"/>
      <w:color w:val="0000FF"/>
      <w:u w:val="single"/>
    </w:rPr>
  </w:style>
  <w:style w:type="paragraph" w:customStyle="1" w:styleId="29">
    <w:name w:val="标准正文"/>
    <w:basedOn w:val="9"/>
    <w:qFormat/>
    <w:uiPriority w:val="0"/>
    <w:pPr>
      <w:spacing w:before="60" w:after="60" w:line="360" w:lineRule="auto"/>
      <w:ind w:left="0" w:firstLine="482"/>
    </w:pPr>
    <w:rPr>
      <w:rFonts w:ascii="Arial" w:hAnsi="Arial" w:eastAsia="宋体" w:cs="Times New Roman"/>
      <w:sz w:val="24"/>
    </w:rPr>
  </w:style>
  <w:style w:type="paragraph" w:customStyle="1" w:styleId="30">
    <w:name w:val="样式 正文首行缩进 + 首行缩进:  2 字符1 Char Char"/>
    <w:basedOn w:val="22"/>
    <w:qFormat/>
    <w:uiPriority w:val="0"/>
    <w:pPr>
      <w:adjustRightInd w:val="0"/>
      <w:spacing w:line="400" w:lineRule="exact"/>
      <w:ind w:firstLine="480" w:firstLineChars="200"/>
      <w:textAlignment w:val="baseline"/>
    </w:pPr>
    <w:rPr>
      <w:rFonts w:eastAsia="仿宋_GB2312" w:cs="宋体"/>
      <w:color w:val="000000"/>
      <w:szCs w:val="24"/>
    </w:rPr>
  </w:style>
  <w:style w:type="paragraph" w:customStyle="1" w:styleId="3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图例"/>
    <w:basedOn w:val="1"/>
    <w:qFormat/>
    <w:uiPriority w:val="0"/>
    <w:pPr>
      <w:spacing w:before="120" w:beforeAutospacing="0" w:after="120" w:afterAutospacing="0" w:line="360" w:lineRule="auto"/>
      <w:jc w:val="center"/>
    </w:pPr>
    <w:rPr>
      <w:rFonts w:ascii="Times New Roman" w:hAnsi="Times New Roman" w:eastAsia="仿宋_GB2312" w:cs="Times New Roman"/>
      <w:b/>
      <w:sz w:val="24"/>
    </w:rPr>
  </w:style>
  <w:style w:type="paragraph" w:customStyle="1" w:styleId="33">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14685</Words>
  <Characters>15801</Characters>
  <Lines>0</Lines>
  <Paragraphs>0</Paragraphs>
  <TotalTime>18</TotalTime>
  <ScaleCrop>false</ScaleCrop>
  <LinksUpToDate>false</LinksUpToDate>
  <CharactersWithSpaces>15890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2023-05-11T07:01:00Z</dcterms:created>
  <dc:creator>ZB</dc:creator>
  <cp:lastModifiedBy>Lucky°</cp:lastModifiedBy>
  <dcterms:modified xsi:type="dcterms:W3CDTF">2025-07-23T08:50:33Z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71F5D1890FC646C4BC1DFC2F1958740A</vt:lpwstr>
  </property>
  <property fmtid="{D5CDD505-2E9C-101B-9397-08002B2CF9AE}" pid="4" name="KSOTemplateDocerSaveRecord">
    <vt:lpwstr>eyJoZGlkIjoiZmVlMTg3YWE5YTQyNDkzZGIwYThhYmQ2MmJjOGI3NTMiLCJ1c2VySWQiOiIxOTI2OTYyNzIifQ==</vt:lpwstr>
  </property>
</Properties>
</file>