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CC5F8">
      <w:pPr>
        <w:autoSpaceDE w:val="0"/>
        <w:autoSpaceDN w:val="0"/>
        <w:adjustRightInd w:val="0"/>
        <w:snapToGrid w:val="0"/>
        <w:spacing w:line="360" w:lineRule="auto"/>
        <w:jc w:val="center"/>
        <w:rPr>
          <w:b/>
          <w:color w:val="auto"/>
          <w:kern w:val="0"/>
          <w:sz w:val="28"/>
          <w:szCs w:val="28"/>
          <w:highlight w:val="none"/>
        </w:rPr>
      </w:pPr>
      <w:bookmarkStart w:id="0" w:name="_Toc9785"/>
      <w:bookmarkStart w:id="1" w:name="_Toc31730"/>
      <w:bookmarkStart w:id="2" w:name="_Toc287620665"/>
      <w:bookmarkStart w:id="833" w:name="_GoBack"/>
      <w:bookmarkEnd w:id="833"/>
    </w:p>
    <w:p w14:paraId="22DB1D16">
      <w:pPr>
        <w:autoSpaceDE w:val="0"/>
        <w:autoSpaceDN w:val="0"/>
        <w:adjustRightInd w:val="0"/>
        <w:snapToGrid w:val="0"/>
        <w:spacing w:line="360" w:lineRule="auto"/>
        <w:jc w:val="center"/>
        <w:rPr>
          <w:rFonts w:hint="eastAsia" w:ascii="宋体" w:hAnsi="宋体" w:eastAsia="宋体"/>
          <w:b/>
          <w:color w:val="auto"/>
          <w:sz w:val="52"/>
          <w:szCs w:val="52"/>
          <w:highlight w:val="none"/>
          <w:lang w:eastAsia="zh-CN"/>
        </w:rPr>
      </w:pPr>
      <w:r>
        <w:rPr>
          <w:rFonts w:hint="eastAsia"/>
          <w:b/>
          <w:color w:val="auto"/>
          <w:kern w:val="0"/>
          <w:sz w:val="32"/>
          <w:szCs w:val="32"/>
          <w:highlight w:val="none"/>
          <w:lang w:eastAsia="zh-CN"/>
        </w:rPr>
        <w:t>重庆市南岸区学校老旧线路改造及设备安装工程监理</w:t>
      </w:r>
    </w:p>
    <w:p w14:paraId="369AA5B7">
      <w:pPr>
        <w:pStyle w:val="10"/>
        <w:snapToGrid w:val="0"/>
        <w:spacing w:line="360" w:lineRule="auto"/>
        <w:ind w:left="0" w:right="0" w:firstLine="0" w:firstLineChars="0"/>
        <w:rPr>
          <w:rFonts w:ascii="宋体" w:hAnsi="宋体" w:eastAsia="宋体"/>
          <w:b/>
          <w:color w:val="auto"/>
          <w:sz w:val="56"/>
          <w:szCs w:val="56"/>
          <w:highlight w:val="none"/>
        </w:rPr>
      </w:pPr>
    </w:p>
    <w:p w14:paraId="76303A44">
      <w:pPr>
        <w:pStyle w:val="10"/>
        <w:snapToGrid w:val="0"/>
        <w:spacing w:line="360" w:lineRule="auto"/>
        <w:ind w:left="0" w:right="0" w:firstLine="0" w:firstLineChars="0"/>
        <w:jc w:val="center"/>
        <w:rPr>
          <w:rFonts w:ascii="宋体" w:hAnsi="宋体" w:eastAsia="宋体"/>
          <w:b/>
          <w:color w:val="auto"/>
          <w:sz w:val="84"/>
          <w:szCs w:val="84"/>
          <w:highlight w:val="none"/>
        </w:rPr>
      </w:pPr>
    </w:p>
    <w:p w14:paraId="3F60E59A">
      <w:pPr>
        <w:autoSpaceDE w:val="0"/>
        <w:autoSpaceDN w:val="0"/>
        <w:adjustRightInd w:val="0"/>
        <w:snapToGrid w:val="0"/>
        <w:spacing w:line="360" w:lineRule="auto"/>
        <w:jc w:val="center"/>
        <w:rPr>
          <w:rFonts w:ascii="黑体" w:hAnsi="黑体" w:eastAsia="黑体" w:cs="黑体"/>
          <w:b/>
          <w:color w:val="auto"/>
          <w:kern w:val="0"/>
          <w:sz w:val="72"/>
          <w:szCs w:val="72"/>
          <w:highlight w:val="none"/>
        </w:rPr>
      </w:pPr>
      <w:r>
        <w:rPr>
          <w:rFonts w:hint="eastAsia" w:ascii="黑体" w:hAnsi="黑体" w:eastAsia="黑体" w:cs="黑体"/>
          <w:b/>
          <w:color w:val="auto"/>
          <w:kern w:val="0"/>
          <w:sz w:val="72"/>
          <w:szCs w:val="72"/>
          <w:highlight w:val="none"/>
        </w:rPr>
        <w:t>竞争性比选文件</w:t>
      </w:r>
    </w:p>
    <w:p w14:paraId="6ADA5849">
      <w:pPr>
        <w:autoSpaceDE w:val="0"/>
        <w:autoSpaceDN w:val="0"/>
        <w:adjustRightInd w:val="0"/>
        <w:snapToGrid w:val="0"/>
        <w:spacing w:line="360" w:lineRule="auto"/>
        <w:jc w:val="center"/>
        <w:rPr>
          <w:rFonts w:ascii="宋体" w:hAnsi="宋体"/>
          <w:color w:val="auto"/>
          <w:kern w:val="0"/>
          <w:position w:val="-5"/>
          <w:sz w:val="44"/>
          <w:szCs w:val="44"/>
          <w:highlight w:val="none"/>
        </w:rPr>
      </w:pPr>
    </w:p>
    <w:p w14:paraId="1646AAB3">
      <w:pPr>
        <w:pStyle w:val="8"/>
        <w:rPr>
          <w:color w:val="auto"/>
          <w:highlight w:val="none"/>
        </w:rPr>
      </w:pPr>
    </w:p>
    <w:p w14:paraId="29CC99BF">
      <w:pPr>
        <w:pStyle w:val="5"/>
        <w:rPr>
          <w:color w:val="auto"/>
          <w:highlight w:val="none"/>
        </w:rPr>
      </w:pPr>
    </w:p>
    <w:p w14:paraId="10B147F4">
      <w:pPr>
        <w:rPr>
          <w:color w:val="auto"/>
          <w:highlight w:val="none"/>
        </w:rPr>
      </w:pPr>
    </w:p>
    <w:p w14:paraId="40DA67AD">
      <w:pPr>
        <w:rPr>
          <w:color w:val="auto"/>
          <w:highlight w:val="none"/>
        </w:rPr>
      </w:pPr>
    </w:p>
    <w:p w14:paraId="6600F8E6">
      <w:pPr>
        <w:rPr>
          <w:color w:val="auto"/>
          <w:highlight w:val="none"/>
        </w:rPr>
      </w:pPr>
    </w:p>
    <w:p w14:paraId="4CC6E9FF">
      <w:pPr>
        <w:rPr>
          <w:color w:val="auto"/>
          <w:highlight w:val="none"/>
        </w:rPr>
      </w:pPr>
    </w:p>
    <w:p w14:paraId="45C0B25A">
      <w:pPr>
        <w:rPr>
          <w:color w:val="auto"/>
          <w:highlight w:val="none"/>
        </w:rPr>
      </w:pPr>
    </w:p>
    <w:p w14:paraId="6BE6A2A1">
      <w:pPr>
        <w:rPr>
          <w:color w:val="auto"/>
          <w:highlight w:val="none"/>
        </w:rPr>
      </w:pPr>
    </w:p>
    <w:p w14:paraId="535994BD">
      <w:pPr>
        <w:rPr>
          <w:color w:val="auto"/>
          <w:highlight w:val="none"/>
        </w:rPr>
      </w:pPr>
    </w:p>
    <w:p w14:paraId="6A78779E">
      <w:pPr>
        <w:autoSpaceDE w:val="0"/>
        <w:autoSpaceDN w:val="0"/>
        <w:adjustRightInd w:val="0"/>
        <w:snapToGrid w:val="0"/>
        <w:spacing w:line="360" w:lineRule="auto"/>
        <w:jc w:val="center"/>
        <w:rPr>
          <w:rFonts w:ascii="宋体" w:hAnsi="宋体"/>
          <w:b/>
          <w:color w:val="auto"/>
          <w:kern w:val="0"/>
          <w:position w:val="-5"/>
          <w:sz w:val="32"/>
          <w:szCs w:val="48"/>
          <w:highlight w:val="none"/>
        </w:rPr>
      </w:pPr>
    </w:p>
    <w:p w14:paraId="7F66F978">
      <w:pPr>
        <w:spacing w:line="800" w:lineRule="exact"/>
        <w:ind w:firstLine="843" w:firstLineChars="300"/>
        <w:rPr>
          <w:color w:val="auto"/>
          <w:sz w:val="28"/>
          <w:szCs w:val="28"/>
          <w:highlight w:val="none"/>
        </w:rPr>
      </w:pPr>
      <w:r>
        <w:rPr>
          <w:rFonts w:hint="eastAsia" w:ascii="宋体" w:hAnsi="宋体" w:cs="宋体"/>
          <w:b/>
          <w:color w:val="auto"/>
          <w:sz w:val="28"/>
          <w:szCs w:val="28"/>
          <w:highlight w:val="none"/>
        </w:rPr>
        <w:t>比选人：</w:t>
      </w:r>
      <w:r>
        <w:rPr>
          <w:rFonts w:hint="eastAsia" w:ascii="宋体" w:hAnsi="宋体" w:cs="宋体"/>
          <w:b/>
          <w:color w:val="auto"/>
          <w:sz w:val="28"/>
          <w:szCs w:val="28"/>
          <w:highlight w:val="none"/>
          <w:u w:val="single"/>
          <w:lang w:eastAsia="zh-CN"/>
        </w:rPr>
        <w:t>重庆市南岸区城市建设发展（集团）有限公司</w:t>
      </w:r>
      <w:r>
        <w:rPr>
          <w:rFonts w:hint="eastAsia" w:ascii="宋体" w:hAnsi="宋体" w:cs="宋体"/>
          <w:b/>
          <w:color w:val="auto"/>
          <w:sz w:val="28"/>
          <w:szCs w:val="28"/>
          <w:highlight w:val="none"/>
          <w:u w:val="single"/>
        </w:rPr>
        <w:t>（盖单位法人章）</w:t>
      </w:r>
    </w:p>
    <w:p w14:paraId="7F41F3E0">
      <w:pPr>
        <w:spacing w:line="800" w:lineRule="exact"/>
        <w:ind w:firstLine="843" w:firstLineChars="300"/>
        <w:rPr>
          <w:rFonts w:ascii="宋体" w:hAnsi="宋体" w:cs="宋体"/>
          <w:b/>
          <w:color w:val="auto"/>
          <w:sz w:val="28"/>
          <w:szCs w:val="28"/>
          <w:highlight w:val="none"/>
        </w:rPr>
      </w:pPr>
      <w:r>
        <w:rPr>
          <w:rFonts w:hint="eastAsia" w:ascii="宋体" w:hAnsi="宋体" w:cs="宋体"/>
          <w:b/>
          <w:color w:val="auto"/>
          <w:sz w:val="28"/>
          <w:szCs w:val="28"/>
          <w:highlight w:val="none"/>
        </w:rPr>
        <w:t>比选代理机构：</w:t>
      </w:r>
      <w:r>
        <w:rPr>
          <w:rFonts w:hint="eastAsia" w:ascii="宋体" w:hAnsi="宋体" w:cs="宋体"/>
          <w:b/>
          <w:color w:val="auto"/>
          <w:sz w:val="28"/>
          <w:szCs w:val="28"/>
          <w:highlight w:val="none"/>
          <w:u w:val="single"/>
        </w:rPr>
        <w:t>中资（重庆）工程咨询有限公司 （盖单位法人章）</w:t>
      </w:r>
    </w:p>
    <w:p w14:paraId="45B1703F">
      <w:pPr>
        <w:pStyle w:val="44"/>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0B5164E8">
      <w:pPr>
        <w:pStyle w:val="44"/>
        <w:jc w:val="center"/>
        <w:rPr>
          <w:rFonts w:ascii="宋体" w:hAnsi="宋体" w:cs="宋体"/>
          <w:b/>
          <w:color w:val="auto"/>
          <w:sz w:val="30"/>
          <w:szCs w:val="30"/>
          <w:highlight w:val="none"/>
        </w:rPr>
      </w:pPr>
    </w:p>
    <w:p w14:paraId="10CEC493">
      <w:pPr>
        <w:pStyle w:val="44"/>
        <w:jc w:val="center"/>
        <w:rPr>
          <w:rFonts w:ascii="宋体" w:hAnsi="宋体" w:cs="宋体"/>
          <w:b/>
          <w:color w:val="auto"/>
          <w:sz w:val="30"/>
          <w:szCs w:val="30"/>
          <w:highlight w:val="none"/>
        </w:rPr>
      </w:pPr>
    </w:p>
    <w:p w14:paraId="69D959E4">
      <w:pPr>
        <w:autoSpaceDE w:val="0"/>
        <w:autoSpaceDN w:val="0"/>
        <w:adjustRightInd w:val="0"/>
        <w:snapToGrid w:val="0"/>
        <w:spacing w:line="360" w:lineRule="auto"/>
        <w:jc w:val="center"/>
        <w:rPr>
          <w:rFonts w:ascii="宋体" w:hAnsi="宋体"/>
          <w:b/>
          <w:color w:val="auto"/>
          <w:spacing w:val="8"/>
          <w:kern w:val="0"/>
          <w:sz w:val="28"/>
          <w:szCs w:val="28"/>
          <w:highlight w:val="none"/>
        </w:rPr>
      </w:pPr>
      <w:r>
        <w:rPr>
          <w:rFonts w:hint="eastAsia" w:ascii="宋体" w:hAnsi="宋体"/>
          <w:b/>
          <w:color w:val="auto"/>
          <w:spacing w:val="8"/>
          <w:kern w:val="0"/>
          <w:sz w:val="28"/>
          <w:szCs w:val="28"/>
          <w:highlight w:val="none"/>
          <w:u w:val="single"/>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6</w:t>
      </w:r>
      <w:r>
        <w:rPr>
          <w:rFonts w:ascii="宋体" w:hAnsi="宋体"/>
          <w:b/>
          <w:color w:val="auto"/>
          <w:spacing w:val="8"/>
          <w:kern w:val="0"/>
          <w:sz w:val="28"/>
          <w:szCs w:val="28"/>
          <w:highlight w:val="none"/>
        </w:rPr>
        <w:t>月</w:t>
      </w:r>
    </w:p>
    <w:p w14:paraId="49220132">
      <w:pPr>
        <w:rPr>
          <w:rFonts w:ascii="宋体" w:hAnsi="宋体"/>
          <w:b/>
          <w:color w:val="auto"/>
          <w:spacing w:val="8"/>
          <w:kern w:val="0"/>
          <w:sz w:val="28"/>
          <w:szCs w:val="28"/>
          <w:highlight w:val="none"/>
        </w:rPr>
      </w:pPr>
    </w:p>
    <w:p w14:paraId="2ED6ACDF">
      <w:pPr>
        <w:pStyle w:val="5"/>
        <w:jc w:val="center"/>
        <w:rPr>
          <w:color w:val="auto"/>
          <w:highlight w:val="none"/>
        </w:rPr>
      </w:pPr>
      <w:r>
        <w:rPr>
          <w:rFonts w:hint="eastAsia"/>
          <w:color w:val="auto"/>
          <w:highlight w:val="none"/>
        </w:rPr>
        <w:t>目  录</w:t>
      </w:r>
    </w:p>
    <w:p w14:paraId="067BA0FB">
      <w:pPr>
        <w:pStyle w:val="5"/>
        <w:rPr>
          <w:color w:val="auto"/>
          <w:sz w:val="28"/>
          <w:szCs w:val="28"/>
          <w:highlight w:val="none"/>
        </w:rPr>
      </w:pPr>
      <w:r>
        <w:rPr>
          <w:rFonts w:hint="eastAsia"/>
          <w:color w:val="auto"/>
          <w:sz w:val="28"/>
          <w:szCs w:val="28"/>
          <w:highlight w:val="none"/>
        </w:rPr>
        <w:t>第一章 比选公告</w:t>
      </w:r>
    </w:p>
    <w:p w14:paraId="6DD44CB9">
      <w:pPr>
        <w:pStyle w:val="5"/>
        <w:rPr>
          <w:color w:val="auto"/>
          <w:sz w:val="28"/>
          <w:szCs w:val="28"/>
          <w:highlight w:val="none"/>
        </w:rPr>
      </w:pPr>
      <w:r>
        <w:rPr>
          <w:rFonts w:hint="eastAsia"/>
          <w:color w:val="auto"/>
          <w:sz w:val="28"/>
          <w:szCs w:val="28"/>
          <w:highlight w:val="none"/>
        </w:rPr>
        <w:t>第二章 竞选人须知</w:t>
      </w:r>
    </w:p>
    <w:p w14:paraId="3CCC546C">
      <w:pPr>
        <w:pStyle w:val="5"/>
        <w:rPr>
          <w:color w:val="auto"/>
          <w:sz w:val="28"/>
          <w:szCs w:val="28"/>
          <w:highlight w:val="none"/>
        </w:rPr>
      </w:pPr>
      <w:r>
        <w:rPr>
          <w:rFonts w:hint="eastAsia"/>
          <w:color w:val="auto"/>
          <w:sz w:val="28"/>
          <w:szCs w:val="28"/>
          <w:highlight w:val="none"/>
        </w:rPr>
        <w:t>第三章 评选办法</w:t>
      </w:r>
    </w:p>
    <w:p w14:paraId="762A2394">
      <w:pPr>
        <w:pStyle w:val="5"/>
        <w:rPr>
          <w:color w:val="auto"/>
          <w:sz w:val="28"/>
          <w:szCs w:val="28"/>
          <w:highlight w:val="none"/>
        </w:rPr>
      </w:pPr>
      <w:r>
        <w:rPr>
          <w:rFonts w:hint="eastAsia"/>
          <w:color w:val="auto"/>
          <w:sz w:val="28"/>
          <w:szCs w:val="28"/>
          <w:highlight w:val="none"/>
        </w:rPr>
        <w:t>第四章 合同条款及格式</w:t>
      </w:r>
    </w:p>
    <w:p w14:paraId="0C977AFF">
      <w:pPr>
        <w:rPr>
          <w:b/>
          <w:bCs/>
          <w:color w:val="auto"/>
          <w:sz w:val="28"/>
          <w:szCs w:val="28"/>
          <w:highlight w:val="none"/>
        </w:rPr>
      </w:pPr>
      <w:r>
        <w:rPr>
          <w:rFonts w:hint="eastAsia"/>
          <w:b/>
          <w:bCs/>
          <w:color w:val="auto"/>
          <w:sz w:val="28"/>
          <w:szCs w:val="28"/>
          <w:highlight w:val="none"/>
        </w:rPr>
        <w:t>第五章 竞选文件格式</w:t>
      </w:r>
    </w:p>
    <w:bookmarkEnd w:id="0"/>
    <w:bookmarkEnd w:id="1"/>
    <w:bookmarkEnd w:id="2"/>
    <w:sdt>
      <w:sdtPr>
        <w:rPr>
          <w:rFonts w:ascii="宋体" w:hAnsi="宋体"/>
          <w:color w:val="auto"/>
          <w:highlight w:val="none"/>
        </w:rPr>
        <w:id w:val="147455173"/>
        <w:showingPlcHdr/>
        <w:docPartObj>
          <w:docPartGallery w:val="Table of Contents"/>
          <w:docPartUnique/>
        </w:docPartObj>
      </w:sdtPr>
      <w:sdtEndPr>
        <w:rPr>
          <w:rFonts w:ascii="宋体" w:hAnsi="宋体" w:cs="宋体"/>
          <w:b/>
          <w:bCs/>
          <w:color w:val="auto"/>
          <w:sz w:val="32"/>
          <w:szCs w:val="40"/>
          <w:highlight w:val="none"/>
        </w:rPr>
      </w:sdtEndPr>
      <w:sdtContent>
        <w:p w14:paraId="310D01BF">
          <w:pPr>
            <w:jc w:val="center"/>
            <w:rPr>
              <w:color w:val="auto"/>
              <w:highlight w:val="none"/>
            </w:rPr>
          </w:pPr>
          <w:bookmarkStart w:id="3" w:name="_Toc430530415"/>
          <w:bookmarkStart w:id="4" w:name="_Toc287620666"/>
          <w:bookmarkStart w:id="5" w:name="_Toc224103298"/>
          <w:bookmarkStart w:id="6" w:name="_Toc287607727"/>
          <w:bookmarkStart w:id="7" w:name="_Toc509218691"/>
          <w:bookmarkStart w:id="8" w:name="_Toc2534"/>
          <w:bookmarkStart w:id="9" w:name="_Toc8580"/>
          <w:bookmarkStart w:id="10" w:name="_Toc277082535"/>
          <w:r>
            <w:rPr>
              <w:rFonts w:hint="eastAsia" w:ascii="宋体" w:hAnsi="宋体"/>
              <w:color w:val="auto"/>
              <w:highlight w:val="none"/>
            </w:rPr>
            <w:t xml:space="preserve">     </w:t>
          </w:r>
        </w:p>
      </w:sdtContent>
    </w:sdt>
    <w:p w14:paraId="693AE180">
      <w:pPr>
        <w:spacing w:line="360" w:lineRule="auto"/>
        <w:rPr>
          <w:rFonts w:ascii="宋体" w:hAnsi="宋体" w:cs="宋体"/>
          <w:snapToGrid w:val="0"/>
          <w:color w:val="auto"/>
          <w:kern w:val="0"/>
          <w:sz w:val="15"/>
          <w:szCs w:val="15"/>
          <w:highlight w:val="none"/>
        </w:rPr>
      </w:pPr>
    </w:p>
    <w:p w14:paraId="4118BA84">
      <w:pPr>
        <w:rPr>
          <w:rFonts w:ascii="宋体" w:hAnsi="宋体" w:cs="宋体"/>
          <w:snapToGrid w:val="0"/>
          <w:color w:val="auto"/>
          <w:kern w:val="0"/>
          <w:sz w:val="15"/>
          <w:szCs w:val="15"/>
          <w:highlight w:val="none"/>
        </w:rPr>
      </w:pPr>
    </w:p>
    <w:p w14:paraId="7B6C5788">
      <w:pPr>
        <w:pStyle w:val="8"/>
        <w:rPr>
          <w:rFonts w:ascii="宋体" w:hAnsi="宋体" w:cs="宋体"/>
          <w:snapToGrid w:val="0"/>
          <w:color w:val="auto"/>
          <w:kern w:val="0"/>
          <w:sz w:val="15"/>
          <w:szCs w:val="15"/>
          <w:highlight w:val="none"/>
        </w:rPr>
      </w:pPr>
    </w:p>
    <w:p w14:paraId="6F044D45">
      <w:pPr>
        <w:rPr>
          <w:rFonts w:ascii="宋体" w:hAnsi="宋体" w:cs="宋体"/>
          <w:snapToGrid w:val="0"/>
          <w:color w:val="auto"/>
          <w:kern w:val="0"/>
          <w:sz w:val="15"/>
          <w:szCs w:val="15"/>
          <w:highlight w:val="none"/>
        </w:rPr>
      </w:pPr>
    </w:p>
    <w:p w14:paraId="2B9B198F">
      <w:pPr>
        <w:pStyle w:val="8"/>
        <w:rPr>
          <w:rFonts w:ascii="宋体" w:hAnsi="宋体" w:cs="宋体"/>
          <w:snapToGrid w:val="0"/>
          <w:color w:val="auto"/>
          <w:kern w:val="0"/>
          <w:sz w:val="15"/>
          <w:szCs w:val="15"/>
          <w:highlight w:val="none"/>
        </w:rPr>
      </w:pPr>
    </w:p>
    <w:p w14:paraId="22B83EE2">
      <w:pPr>
        <w:rPr>
          <w:rFonts w:ascii="宋体" w:hAnsi="宋体" w:cs="宋体"/>
          <w:snapToGrid w:val="0"/>
          <w:color w:val="auto"/>
          <w:kern w:val="0"/>
          <w:sz w:val="15"/>
          <w:szCs w:val="15"/>
          <w:highlight w:val="none"/>
        </w:rPr>
      </w:pPr>
    </w:p>
    <w:p w14:paraId="75953C24">
      <w:pPr>
        <w:pStyle w:val="8"/>
        <w:rPr>
          <w:rFonts w:ascii="宋体" w:hAnsi="宋体" w:cs="宋体"/>
          <w:snapToGrid w:val="0"/>
          <w:color w:val="auto"/>
          <w:kern w:val="0"/>
          <w:sz w:val="15"/>
          <w:szCs w:val="15"/>
          <w:highlight w:val="none"/>
        </w:rPr>
      </w:pPr>
    </w:p>
    <w:p w14:paraId="51894B41">
      <w:pPr>
        <w:rPr>
          <w:rFonts w:ascii="宋体" w:hAnsi="宋体" w:cs="宋体"/>
          <w:snapToGrid w:val="0"/>
          <w:color w:val="auto"/>
          <w:kern w:val="0"/>
          <w:sz w:val="15"/>
          <w:szCs w:val="15"/>
          <w:highlight w:val="none"/>
        </w:rPr>
      </w:pPr>
    </w:p>
    <w:p w14:paraId="208FEA4C">
      <w:pPr>
        <w:pStyle w:val="8"/>
        <w:rPr>
          <w:rFonts w:ascii="宋体" w:hAnsi="宋体" w:cs="宋体"/>
          <w:snapToGrid w:val="0"/>
          <w:color w:val="auto"/>
          <w:kern w:val="0"/>
          <w:sz w:val="15"/>
          <w:szCs w:val="15"/>
          <w:highlight w:val="none"/>
        </w:rPr>
      </w:pPr>
    </w:p>
    <w:p w14:paraId="03185AD2">
      <w:pPr>
        <w:rPr>
          <w:rFonts w:ascii="宋体" w:hAnsi="宋体" w:cs="宋体"/>
          <w:snapToGrid w:val="0"/>
          <w:color w:val="auto"/>
          <w:kern w:val="0"/>
          <w:sz w:val="15"/>
          <w:szCs w:val="15"/>
          <w:highlight w:val="none"/>
        </w:rPr>
      </w:pPr>
    </w:p>
    <w:p w14:paraId="29A109EC">
      <w:pPr>
        <w:pStyle w:val="8"/>
        <w:rPr>
          <w:rFonts w:ascii="宋体" w:hAnsi="宋体" w:cs="宋体"/>
          <w:snapToGrid w:val="0"/>
          <w:color w:val="auto"/>
          <w:kern w:val="0"/>
          <w:sz w:val="15"/>
          <w:szCs w:val="15"/>
          <w:highlight w:val="none"/>
        </w:rPr>
      </w:pPr>
    </w:p>
    <w:p w14:paraId="4AC5F824">
      <w:pPr>
        <w:rPr>
          <w:rFonts w:ascii="宋体" w:hAnsi="宋体" w:cs="宋体"/>
          <w:snapToGrid w:val="0"/>
          <w:color w:val="auto"/>
          <w:kern w:val="0"/>
          <w:sz w:val="15"/>
          <w:szCs w:val="15"/>
          <w:highlight w:val="none"/>
        </w:rPr>
      </w:pPr>
    </w:p>
    <w:p w14:paraId="5EB10630">
      <w:pPr>
        <w:pStyle w:val="8"/>
        <w:rPr>
          <w:color w:val="auto"/>
          <w:highlight w:val="none"/>
        </w:rPr>
      </w:pPr>
    </w:p>
    <w:p w14:paraId="594A9388">
      <w:pPr>
        <w:rPr>
          <w:color w:val="auto"/>
          <w:highlight w:val="none"/>
        </w:rPr>
      </w:pPr>
    </w:p>
    <w:p w14:paraId="3255B9D0">
      <w:pPr>
        <w:rPr>
          <w:color w:val="auto"/>
          <w:highlight w:val="none"/>
        </w:rPr>
      </w:pPr>
    </w:p>
    <w:p w14:paraId="3A879988">
      <w:pPr>
        <w:pStyle w:val="2"/>
        <w:rPr>
          <w:color w:val="auto"/>
          <w:highlight w:val="none"/>
        </w:rPr>
      </w:pPr>
    </w:p>
    <w:p w14:paraId="23F40D9D">
      <w:pPr>
        <w:rPr>
          <w:color w:val="auto"/>
          <w:highlight w:val="none"/>
        </w:rPr>
      </w:pPr>
    </w:p>
    <w:p w14:paraId="22C64591">
      <w:pPr>
        <w:pStyle w:val="8"/>
        <w:rPr>
          <w:color w:val="auto"/>
          <w:highlight w:val="none"/>
        </w:rPr>
      </w:pPr>
    </w:p>
    <w:p w14:paraId="255D7F52">
      <w:pPr>
        <w:pStyle w:val="8"/>
        <w:rPr>
          <w:color w:val="auto"/>
          <w:highlight w:val="none"/>
        </w:rPr>
      </w:pPr>
    </w:p>
    <w:p w14:paraId="4751F330">
      <w:pPr>
        <w:pStyle w:val="8"/>
        <w:rPr>
          <w:color w:val="auto"/>
          <w:highlight w:val="none"/>
        </w:rPr>
      </w:pPr>
    </w:p>
    <w:p w14:paraId="3ADC69D9">
      <w:pPr>
        <w:rPr>
          <w:color w:val="auto"/>
          <w:highlight w:val="none"/>
        </w:rPr>
      </w:pPr>
    </w:p>
    <w:p w14:paraId="3C4F0609">
      <w:pPr>
        <w:pStyle w:val="2"/>
        <w:rPr>
          <w:color w:val="auto"/>
          <w:highlight w:val="none"/>
        </w:rPr>
      </w:pPr>
    </w:p>
    <w:p w14:paraId="28B4C2CE">
      <w:pPr>
        <w:rPr>
          <w:rFonts w:ascii="宋体" w:hAnsi="宋体" w:cs="宋体"/>
          <w:snapToGrid w:val="0"/>
          <w:color w:val="auto"/>
          <w:kern w:val="0"/>
          <w:highlight w:val="none"/>
        </w:rPr>
      </w:pPr>
    </w:p>
    <w:p w14:paraId="3C82C196">
      <w:pPr>
        <w:pStyle w:val="3"/>
        <w:spacing w:before="0" w:after="0" w:line="360" w:lineRule="auto"/>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第一章  比选公告</w:t>
      </w:r>
      <w:bookmarkEnd w:id="3"/>
      <w:bookmarkEnd w:id="4"/>
      <w:bookmarkEnd w:id="5"/>
      <w:bookmarkEnd w:id="6"/>
      <w:bookmarkEnd w:id="7"/>
      <w:bookmarkEnd w:id="8"/>
      <w:bookmarkEnd w:id="9"/>
      <w:bookmarkEnd w:id="10"/>
    </w:p>
    <w:p w14:paraId="5E7BF2E9">
      <w:pPr>
        <w:autoSpaceDE w:val="0"/>
        <w:autoSpaceDN w:val="0"/>
        <w:adjustRightInd w:val="0"/>
        <w:snapToGrid w:val="0"/>
        <w:spacing w:line="360" w:lineRule="auto"/>
        <w:jc w:val="center"/>
        <w:rPr>
          <w:rFonts w:hint="eastAsia" w:ascii="宋体" w:hAnsi="宋体" w:eastAsia="宋体" w:cs="宋体"/>
          <w:b/>
          <w:snapToGrid w:val="0"/>
          <w:color w:val="auto"/>
          <w:kern w:val="0"/>
          <w:sz w:val="28"/>
          <w:szCs w:val="28"/>
          <w:highlight w:val="none"/>
          <w:lang w:eastAsia="zh-CN"/>
        </w:rPr>
      </w:pPr>
      <w:bookmarkStart w:id="11" w:name="OLE_LINK2"/>
      <w:r>
        <w:rPr>
          <w:rFonts w:hint="eastAsia" w:ascii="宋体" w:hAnsi="宋体" w:cs="宋体"/>
          <w:b/>
          <w:snapToGrid w:val="0"/>
          <w:color w:val="auto"/>
          <w:kern w:val="0"/>
          <w:sz w:val="28"/>
          <w:szCs w:val="28"/>
          <w:highlight w:val="none"/>
          <w:lang w:eastAsia="zh-CN"/>
        </w:rPr>
        <w:t>重庆市南岸区学校老旧线路改造及设备安装工程监理</w:t>
      </w:r>
    </w:p>
    <w:p w14:paraId="250A4CDE">
      <w:pPr>
        <w:autoSpaceDE w:val="0"/>
        <w:autoSpaceDN w:val="0"/>
        <w:adjustRightInd w:val="0"/>
        <w:snapToGrid w:val="0"/>
        <w:spacing w:line="360" w:lineRule="auto"/>
        <w:jc w:val="center"/>
        <w:rPr>
          <w:rFonts w:ascii="宋体" w:hAnsi="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rPr>
        <w:t>竞争性比选公告</w:t>
      </w:r>
    </w:p>
    <w:p w14:paraId="2B98D8F6">
      <w:pPr>
        <w:pStyle w:val="4"/>
        <w:spacing w:before="100" w:after="100" w:line="400" w:lineRule="exact"/>
        <w:rPr>
          <w:rFonts w:ascii="宋体" w:hAnsi="宋体" w:cs="宋体"/>
          <w:bCs w:val="0"/>
          <w:snapToGrid w:val="0"/>
          <w:color w:val="auto"/>
          <w:sz w:val="21"/>
          <w:szCs w:val="21"/>
          <w:highlight w:val="none"/>
        </w:rPr>
      </w:pPr>
      <w:bookmarkStart w:id="12" w:name="_Toc13786"/>
      <w:bookmarkStart w:id="13" w:name="_Toc7072"/>
      <w:bookmarkStart w:id="14" w:name="_Toc31381"/>
      <w:r>
        <w:rPr>
          <w:rFonts w:hint="eastAsia" w:ascii="宋体" w:hAnsi="宋体" w:cs="宋体"/>
          <w:bCs w:val="0"/>
          <w:snapToGrid w:val="0"/>
          <w:color w:val="auto"/>
          <w:sz w:val="21"/>
          <w:szCs w:val="21"/>
          <w:highlight w:val="none"/>
        </w:rPr>
        <w:t>一、比选条件</w:t>
      </w:r>
      <w:bookmarkEnd w:id="12"/>
      <w:bookmarkEnd w:id="13"/>
      <w:bookmarkEnd w:id="14"/>
    </w:p>
    <w:p w14:paraId="0D53C452">
      <w:pPr>
        <w:tabs>
          <w:tab w:val="left" w:pos="3315"/>
          <w:tab w:val="left" w:pos="3390"/>
          <w:tab w:val="left" w:pos="6120"/>
          <w:tab w:val="left" w:pos="8850"/>
        </w:tabs>
        <w:adjustRightInd w:val="0"/>
        <w:snapToGrid w:val="0"/>
        <w:spacing w:line="480" w:lineRule="exact"/>
        <w:ind w:firstLine="420"/>
        <w:jc w:val="left"/>
        <w:rPr>
          <w:rFonts w:ascii="宋体" w:hAnsi="宋体"/>
          <w:snapToGrid w:val="0"/>
          <w:color w:val="auto"/>
          <w:kern w:val="0"/>
          <w:szCs w:val="21"/>
          <w:highlight w:val="none"/>
        </w:rPr>
      </w:pPr>
      <w:r>
        <w:rPr>
          <w:rFonts w:hint="eastAsia" w:asciiTheme="minorEastAsia" w:hAnsiTheme="minorEastAsia" w:eastAsiaTheme="minorEastAsia"/>
          <w:color w:val="auto"/>
          <w:szCs w:val="21"/>
          <w:highlight w:val="none"/>
        </w:rPr>
        <w:t>本比选项目</w:t>
      </w:r>
      <w:r>
        <w:rPr>
          <w:rFonts w:hint="eastAsia" w:ascii="宋体" w:hAnsi="宋体" w:eastAsia="宋体" w:cs="宋体"/>
          <w:i w:val="0"/>
          <w:iCs w:val="0"/>
          <w:caps w:val="0"/>
          <w:color w:val="auto"/>
          <w:spacing w:val="0"/>
          <w:sz w:val="21"/>
          <w:szCs w:val="21"/>
          <w:highlight w:val="none"/>
          <w:u w:val="single"/>
          <w:shd w:val="clear" w:fill="FFFFFF"/>
        </w:rPr>
        <w:t>重庆市南岸区学校老旧线路改造及设备安装工程</w:t>
      </w:r>
      <w:r>
        <w:rPr>
          <w:rFonts w:hint="eastAsia" w:asciiTheme="minorEastAsia" w:hAnsiTheme="minorEastAsia" w:eastAsiaTheme="minorEastAsia"/>
          <w:color w:val="auto"/>
          <w:szCs w:val="21"/>
          <w:highlight w:val="none"/>
        </w:rPr>
        <w:t>已由</w:t>
      </w:r>
      <w:r>
        <w:rPr>
          <w:rFonts w:hint="eastAsia" w:ascii="宋体" w:hAnsi="宋体"/>
          <w:snapToGrid w:val="0"/>
          <w:color w:val="auto"/>
          <w:kern w:val="0"/>
          <w:szCs w:val="21"/>
          <w:highlight w:val="none"/>
          <w:u w:val="single"/>
        </w:rPr>
        <w:t>重庆市南岸区发展和改革委员会</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南岸发改〔202</w:t>
      </w:r>
      <w:r>
        <w:rPr>
          <w:rFonts w:hint="eastAsia" w:ascii="宋体" w:hAnsi="宋体"/>
          <w:snapToGrid w:val="0"/>
          <w:color w:val="auto"/>
          <w:kern w:val="0"/>
          <w:szCs w:val="21"/>
          <w:highlight w:val="none"/>
          <w:u w:val="single"/>
          <w:lang w:val="en-US" w:eastAsia="zh-CN"/>
        </w:rPr>
        <w:t>5</w:t>
      </w:r>
      <w:r>
        <w:rPr>
          <w:rFonts w:hint="eastAsia"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124</w:t>
      </w:r>
      <w:r>
        <w:rPr>
          <w:rFonts w:hint="eastAsia" w:ascii="宋体" w:hAnsi="宋体"/>
          <w:snapToGrid w:val="0"/>
          <w:color w:val="auto"/>
          <w:kern w:val="0"/>
          <w:szCs w:val="21"/>
          <w:highlight w:val="none"/>
          <w:u w:val="single"/>
        </w:rPr>
        <w:t>号</w:t>
      </w:r>
      <w:r>
        <w:rPr>
          <w:rFonts w:hint="eastAsia" w:ascii="宋体" w:hAnsi="宋体"/>
          <w:snapToGrid w:val="0"/>
          <w:color w:val="auto"/>
          <w:kern w:val="0"/>
          <w:szCs w:val="21"/>
          <w:highlight w:val="none"/>
          <w:u w:val="single"/>
          <w:lang w:val="en-US" w:eastAsia="zh-CN"/>
        </w:rPr>
        <w:t>文</w:t>
      </w:r>
      <w:r>
        <w:rPr>
          <w:rFonts w:ascii="宋体" w:hAnsi="宋体"/>
          <w:snapToGrid w:val="0"/>
          <w:color w:val="auto"/>
          <w:kern w:val="0"/>
          <w:szCs w:val="21"/>
          <w:highlight w:val="none"/>
        </w:rPr>
        <w:t>批准建设</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lang w:eastAsia="zh-CN"/>
        </w:rPr>
        <w:t>重庆市南岸区城市建设发展（集团）有限公司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一般债券资金及业主自筹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100% </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重庆市南岸区城市建设发展（集团）有限公司</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该项目的监理</w:t>
      </w:r>
      <w:r>
        <w:rPr>
          <w:rFonts w:ascii="宋体" w:hAnsi="宋体"/>
          <w:snapToGrid w:val="0"/>
          <w:color w:val="auto"/>
          <w:kern w:val="0"/>
          <w:position w:val="-2"/>
          <w:szCs w:val="21"/>
          <w:highlight w:val="none"/>
        </w:rPr>
        <w:t>进行</w:t>
      </w:r>
      <w:r>
        <w:rPr>
          <w:rFonts w:hint="eastAsia" w:ascii="宋体" w:hAnsi="宋体"/>
          <w:snapToGrid w:val="0"/>
          <w:color w:val="auto"/>
          <w:kern w:val="0"/>
          <w:szCs w:val="21"/>
          <w:highlight w:val="none"/>
        </w:rPr>
        <w:t>公开竞争性比选，欢迎各潜在竞选人参与竞选。</w:t>
      </w:r>
    </w:p>
    <w:p w14:paraId="1E0AF1DB">
      <w:pPr>
        <w:pStyle w:val="4"/>
        <w:numPr>
          <w:ilvl w:val="0"/>
          <w:numId w:val="1"/>
        </w:numPr>
        <w:spacing w:before="100" w:after="100" w:line="400" w:lineRule="exact"/>
        <w:rPr>
          <w:rFonts w:ascii="宋体" w:hAnsi="宋体" w:cs="宋体"/>
          <w:bCs w:val="0"/>
          <w:snapToGrid w:val="0"/>
          <w:color w:val="auto"/>
          <w:sz w:val="21"/>
          <w:szCs w:val="21"/>
          <w:highlight w:val="none"/>
        </w:rPr>
      </w:pPr>
      <w:bookmarkStart w:id="15" w:name="_Toc17229"/>
      <w:bookmarkStart w:id="16" w:name="_Toc30487"/>
      <w:bookmarkStart w:id="17" w:name="_Toc13219"/>
      <w:r>
        <w:rPr>
          <w:rFonts w:hint="eastAsia" w:ascii="宋体" w:hAnsi="宋体" w:cs="宋体"/>
          <w:bCs w:val="0"/>
          <w:snapToGrid w:val="0"/>
          <w:color w:val="auto"/>
          <w:sz w:val="21"/>
          <w:szCs w:val="21"/>
          <w:highlight w:val="none"/>
        </w:rPr>
        <w:t>项目概况与比选范围</w:t>
      </w:r>
    </w:p>
    <w:p w14:paraId="025CF2C4">
      <w:pPr>
        <w:tabs>
          <w:tab w:val="left" w:pos="3840"/>
          <w:tab w:val="left" w:pos="5300"/>
        </w:tabs>
        <w:adjustRightInd w:val="0"/>
        <w:snapToGrid w:val="0"/>
        <w:spacing w:line="480" w:lineRule="exact"/>
        <w:ind w:firstLine="420" w:firstLineChars="200"/>
        <w:jc w:val="left"/>
        <w:rPr>
          <w:rFonts w:ascii="宋体" w:hAnsi="宋体"/>
          <w:snapToGrid w:val="0"/>
          <w:color w:val="auto"/>
          <w:kern w:val="0"/>
          <w:szCs w:val="21"/>
          <w:highlight w:val="none"/>
          <w:u w:val="single"/>
        </w:rPr>
      </w:pPr>
      <w:bookmarkStart w:id="18" w:name="_Hlk536432704"/>
      <w:r>
        <w:rPr>
          <w:rFonts w:hint="eastAsia" w:asciiTheme="minorEastAsia" w:hAnsiTheme="minorEastAsia" w:eastAsiaTheme="minorEastAsia"/>
          <w:color w:val="auto"/>
          <w:szCs w:val="21"/>
          <w:highlight w:val="none"/>
        </w:rPr>
        <w:t>2.1 建设地点：</w:t>
      </w:r>
      <w:r>
        <w:rPr>
          <w:rFonts w:hint="eastAsia" w:asciiTheme="minorEastAsia" w:hAnsiTheme="minorEastAsia" w:eastAsiaTheme="minorEastAsia"/>
          <w:color w:val="auto"/>
          <w:szCs w:val="21"/>
          <w:highlight w:val="none"/>
          <w:u w:val="single"/>
        </w:rPr>
        <w:t>南岸区53所学校范围内</w:t>
      </w:r>
      <w:r>
        <w:rPr>
          <w:rFonts w:hint="eastAsia" w:ascii="宋体" w:hAnsi="宋体"/>
          <w:snapToGrid w:val="0"/>
          <w:color w:val="auto"/>
          <w:kern w:val="0"/>
          <w:szCs w:val="21"/>
          <w:highlight w:val="none"/>
          <w:u w:val="single"/>
        </w:rPr>
        <w:t>；</w:t>
      </w:r>
    </w:p>
    <w:p w14:paraId="72CDEEA9">
      <w:pPr>
        <w:tabs>
          <w:tab w:val="left" w:pos="3840"/>
          <w:tab w:val="left" w:pos="5300"/>
        </w:tabs>
        <w:adjustRightInd w:val="0"/>
        <w:snapToGrid w:val="0"/>
        <w:spacing w:line="480" w:lineRule="exact"/>
        <w:ind w:firstLine="420" w:firstLineChars="200"/>
        <w:jc w:val="left"/>
        <w:rPr>
          <w:rFonts w:ascii="宋体" w:hAnsi="宋体" w:eastAsiaTheme="minorEastAsia"/>
          <w:i/>
          <w:snapToGrid w:val="0"/>
          <w:color w:val="auto"/>
          <w:kern w:val="0"/>
          <w:szCs w:val="21"/>
          <w:highlight w:val="none"/>
        </w:rPr>
      </w:pPr>
      <w:r>
        <w:rPr>
          <w:rFonts w:hint="eastAsia" w:asciiTheme="minorEastAsia" w:hAnsiTheme="minorEastAsia" w:eastAsiaTheme="minorEastAsia"/>
          <w:color w:val="auto"/>
          <w:szCs w:val="21"/>
          <w:highlight w:val="none"/>
        </w:rPr>
        <w:t xml:space="preserve">2.2 </w:t>
      </w:r>
      <w:r>
        <w:rPr>
          <w:rFonts w:hint="eastAsia" w:asciiTheme="minorEastAsia" w:hAnsiTheme="minorEastAsia" w:eastAsiaTheme="minorEastAsia"/>
          <w:snapToGrid w:val="0"/>
          <w:color w:val="auto"/>
          <w:kern w:val="0"/>
          <w:szCs w:val="21"/>
          <w:highlight w:val="none"/>
        </w:rPr>
        <w:t>项目概况与建设规模</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本项目拟在重庆市南岸区53所中小学校内新增空调3678台，并对部分学校的老旧线路、配电设备进行升级改造，包括新建变配电站、已有变配电站增容改造，以及配备必要的变压器、开关设备、供配电设备、输电线路等。</w:t>
      </w:r>
    </w:p>
    <w:p w14:paraId="2D4F609A">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Theme="minorEastAsia" w:hAnsiTheme="minorEastAsia" w:eastAsiaTheme="minorEastAsia"/>
          <w:color w:val="auto"/>
          <w:szCs w:val="21"/>
          <w:highlight w:val="none"/>
        </w:rPr>
        <w:t xml:space="preserve">2.3 </w:t>
      </w:r>
      <w:r>
        <w:rPr>
          <w:rFonts w:hint="eastAsia" w:asciiTheme="minorEastAsia" w:hAnsiTheme="minorEastAsia" w:eastAsiaTheme="minorEastAsia"/>
          <w:snapToGrid w:val="0"/>
          <w:color w:val="auto"/>
          <w:kern w:val="0"/>
          <w:szCs w:val="21"/>
          <w:highlight w:val="none"/>
        </w:rPr>
        <w:t>本次</w:t>
      </w:r>
      <w:r>
        <w:rPr>
          <w:rFonts w:hint="eastAsia" w:ascii="宋体" w:hAnsi="宋体"/>
          <w:snapToGrid w:val="0"/>
          <w:color w:val="auto"/>
          <w:szCs w:val="21"/>
          <w:highlight w:val="none"/>
        </w:rPr>
        <w:t>比选</w:t>
      </w:r>
      <w:r>
        <w:rPr>
          <w:rFonts w:hint="eastAsia" w:asciiTheme="minorEastAsia" w:hAnsiTheme="minorEastAsia" w:eastAsiaTheme="minorEastAsia"/>
          <w:snapToGrid w:val="0"/>
          <w:color w:val="auto"/>
          <w:kern w:val="0"/>
          <w:szCs w:val="21"/>
          <w:highlight w:val="none"/>
        </w:rPr>
        <w:t>项目建筑安装工程费估算金额：</w:t>
      </w:r>
      <w:r>
        <w:rPr>
          <w:rFonts w:hint="eastAsia" w:ascii="宋体" w:hAnsi="宋体"/>
          <w:color w:val="auto"/>
          <w:highlight w:val="none"/>
          <w:u w:val="single"/>
          <w:lang w:val="en-US" w:eastAsia="zh-CN"/>
        </w:rPr>
        <w:t>4470.443872</w:t>
      </w:r>
      <w:r>
        <w:rPr>
          <w:rFonts w:hint="eastAsia"/>
          <w:color w:val="auto"/>
          <w:spacing w:val="-1"/>
          <w:highlight w:val="none"/>
          <w:u w:val="single"/>
          <w:lang w:val="en-US" w:eastAsia="zh-CN"/>
        </w:rPr>
        <w:t>万元</w:t>
      </w:r>
      <w:r>
        <w:rPr>
          <w:rFonts w:hint="eastAsia" w:ascii="宋体" w:hAnsi="宋体"/>
          <w:snapToGrid w:val="0"/>
          <w:color w:val="auto"/>
          <w:kern w:val="0"/>
          <w:szCs w:val="21"/>
          <w:highlight w:val="none"/>
          <w:u w:val="single"/>
        </w:rPr>
        <w:t xml:space="preserve">  </w:t>
      </w:r>
    </w:p>
    <w:p w14:paraId="4066DADA">
      <w:pPr>
        <w:tabs>
          <w:tab w:val="left" w:pos="3840"/>
          <w:tab w:val="left" w:pos="5300"/>
        </w:tabs>
        <w:adjustRightInd w:val="0"/>
        <w:snapToGrid w:val="0"/>
        <w:spacing w:line="480" w:lineRule="exact"/>
        <w:ind w:firstLine="840" w:firstLineChars="400"/>
        <w:jc w:val="left"/>
        <w:rPr>
          <w:rFonts w:ascii="宋体" w:hAnsi="宋体"/>
          <w:i/>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本次</w:t>
      </w:r>
      <w:r>
        <w:rPr>
          <w:rFonts w:hint="eastAsia" w:ascii="宋体" w:hAnsi="宋体"/>
          <w:snapToGrid w:val="0"/>
          <w:color w:val="auto"/>
          <w:szCs w:val="21"/>
          <w:highlight w:val="none"/>
        </w:rPr>
        <w:t>比选</w:t>
      </w:r>
      <w:r>
        <w:rPr>
          <w:rFonts w:hint="eastAsia" w:asciiTheme="minorEastAsia" w:hAnsiTheme="minorEastAsia" w:eastAsiaTheme="minorEastAsia"/>
          <w:snapToGrid w:val="0"/>
          <w:color w:val="auto"/>
          <w:kern w:val="0"/>
          <w:szCs w:val="21"/>
          <w:highlight w:val="none"/>
        </w:rPr>
        <w:t>项目监理合同估算金额：</w:t>
      </w:r>
      <w:r>
        <w:rPr>
          <w:rFonts w:hint="eastAsia" w:ascii="宋体" w:hAnsi="宋体" w:eastAsiaTheme="minorEastAsia"/>
          <w:snapToGrid w:val="0"/>
          <w:color w:val="auto"/>
          <w:kern w:val="0"/>
          <w:szCs w:val="21"/>
          <w:highlight w:val="none"/>
          <w:u w:val="single"/>
          <w:lang w:val="en-US" w:eastAsia="zh-CN"/>
        </w:rPr>
        <w:t>76.645876</w:t>
      </w:r>
      <w:r>
        <w:rPr>
          <w:rFonts w:hint="eastAsia" w:ascii="宋体" w:hAnsi="宋体"/>
          <w:snapToGrid w:val="0"/>
          <w:color w:val="auto"/>
          <w:kern w:val="0"/>
          <w:szCs w:val="21"/>
          <w:highlight w:val="none"/>
          <w:u w:val="single"/>
        </w:rPr>
        <w:t>万元</w:t>
      </w:r>
    </w:p>
    <w:p w14:paraId="5363E4F8">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Theme="minorEastAsia" w:hAnsiTheme="minorEastAsia" w:eastAsiaTheme="minorEastAsia"/>
          <w:color w:val="auto"/>
          <w:szCs w:val="21"/>
          <w:highlight w:val="none"/>
        </w:rPr>
        <w:t xml:space="preserve">2.4 </w:t>
      </w:r>
      <w:r>
        <w:rPr>
          <w:rFonts w:hint="eastAsia" w:ascii="宋体" w:hAnsi="宋体"/>
          <w:snapToGrid w:val="0"/>
          <w:color w:val="auto"/>
          <w:szCs w:val="21"/>
          <w:highlight w:val="none"/>
        </w:rPr>
        <w:t>比选</w:t>
      </w:r>
      <w:r>
        <w:rPr>
          <w:rFonts w:hint="eastAsia" w:asciiTheme="minorEastAsia" w:hAnsiTheme="minorEastAsia" w:eastAsiaTheme="minorEastAsia"/>
          <w:color w:val="auto"/>
          <w:szCs w:val="21"/>
          <w:highlight w:val="none"/>
        </w:rPr>
        <w:t>范围：</w:t>
      </w:r>
      <w:r>
        <w:rPr>
          <w:rFonts w:hint="eastAsia" w:ascii="宋体" w:hAnsi="宋体" w:cs="宋体"/>
          <w:color w:val="auto"/>
          <w:szCs w:val="21"/>
          <w:highlight w:val="none"/>
          <w:u w:val="single"/>
        </w:rPr>
        <w:t>包含施工、缺陷责任期内表现出的任何缺陷修复的监理服务。具体如下：</w:t>
      </w:r>
    </w:p>
    <w:p w14:paraId="76A0D5CD">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施工阶段：含施工图设计及清单范围内全部工程施工及竣工验收的监理服务，包括施工准备阶段，施工过程中的质量，进度，费用控制，安全、文明施工监理，合同、信息方面的协调管理等。</w:t>
      </w:r>
    </w:p>
    <w:p w14:paraId="3ABE71FA">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color w:val="auto"/>
          <w:szCs w:val="21"/>
          <w:highlight w:val="none"/>
        </w:rPr>
        <w:t>。</w:t>
      </w:r>
    </w:p>
    <w:p w14:paraId="7371B2D4">
      <w:pPr>
        <w:tabs>
          <w:tab w:val="left" w:pos="3840"/>
          <w:tab w:val="left" w:pos="5300"/>
        </w:tabs>
        <w:adjustRightInd w:val="0"/>
        <w:snapToGrid w:val="0"/>
        <w:spacing w:line="480" w:lineRule="exact"/>
        <w:ind w:firstLine="420" w:firstLineChars="200"/>
        <w:jc w:val="left"/>
        <w:rPr>
          <w:rFonts w:ascii="宋体" w:hAnsi="宋体" w:cs="宋体"/>
          <w:color w:val="auto"/>
          <w:highlight w:val="none"/>
          <w:u w:val="single"/>
        </w:rPr>
      </w:pPr>
      <w:r>
        <w:rPr>
          <w:rFonts w:hint="eastAsia" w:asciiTheme="minorEastAsia" w:hAnsiTheme="minorEastAsia" w:eastAsiaTheme="minorEastAsia"/>
          <w:color w:val="auto"/>
          <w:szCs w:val="21"/>
          <w:highlight w:val="none"/>
        </w:rPr>
        <w:t>2.5 监理服务期要求</w:t>
      </w:r>
      <w:bookmarkEnd w:id="15"/>
      <w:bookmarkEnd w:id="16"/>
      <w:bookmarkEnd w:id="17"/>
      <w:bookmarkEnd w:id="18"/>
      <w:bookmarkStart w:id="19" w:name="_Toc6792"/>
      <w:bookmarkStart w:id="20" w:name="_Toc3686"/>
      <w:bookmarkStart w:id="21" w:name="_Toc4964"/>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从监理合同签订之日起至缺陷责任期满止，其中：计划施工工期:暂定施工阶段服务期</w:t>
      </w:r>
      <w:r>
        <w:rPr>
          <w:rFonts w:hint="eastAsia" w:asciiTheme="minorEastAsia" w:hAnsiTheme="minorEastAsia" w:eastAsiaTheme="minorEastAsia"/>
          <w:color w:val="auto"/>
          <w:szCs w:val="21"/>
          <w:highlight w:val="none"/>
          <w:u w:val="single"/>
          <w:lang w:val="en-US" w:eastAsia="zh-CN"/>
        </w:rPr>
        <w:t>6</w:t>
      </w:r>
      <w:r>
        <w:rPr>
          <w:rFonts w:hint="eastAsia" w:asciiTheme="minorEastAsia" w:hAnsiTheme="minorEastAsia" w:eastAsiaTheme="minorEastAsia"/>
          <w:color w:val="auto"/>
          <w:szCs w:val="21"/>
          <w:highlight w:val="none"/>
          <w:u w:val="single"/>
        </w:rPr>
        <w:t>0日历天，缺陷责任期：24个月，具体以招标人的书面进场通知为监理服务期的起始时间，以项目竣工验收合格且监理资料交接完成并协助建设单位取得工程备案验收证书且缺陷责任期满为监理服务期的完成时间。</w:t>
      </w:r>
    </w:p>
    <w:p w14:paraId="16575479">
      <w:pPr>
        <w:tabs>
          <w:tab w:val="left" w:pos="3840"/>
          <w:tab w:val="left" w:pos="5300"/>
        </w:tabs>
        <w:adjustRightInd w:val="0"/>
        <w:snapToGrid w:val="0"/>
        <w:spacing w:line="480" w:lineRule="exact"/>
        <w:ind w:firstLine="422" w:firstLineChars="200"/>
        <w:jc w:val="lef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注：①如实际完工时间与计划完工时间有差异，以实际完工时间为准。</w:t>
      </w:r>
    </w:p>
    <w:p w14:paraId="1D49A1E2">
      <w:pPr>
        <w:tabs>
          <w:tab w:val="left" w:pos="3840"/>
          <w:tab w:val="left" w:pos="5300"/>
        </w:tabs>
        <w:adjustRightInd w:val="0"/>
        <w:snapToGrid w:val="0"/>
        <w:spacing w:line="480" w:lineRule="exact"/>
        <w:ind w:firstLine="843" w:firstLineChars="400"/>
        <w:jc w:val="left"/>
        <w:rPr>
          <w:rFonts w:ascii="宋体" w:hAnsi="宋体"/>
          <w:i/>
          <w:snapToGrid w:val="0"/>
          <w:color w:val="auto"/>
          <w:kern w:val="0"/>
          <w:szCs w:val="21"/>
          <w:highlight w:val="none"/>
        </w:rPr>
      </w:pPr>
      <w:r>
        <w:rPr>
          <w:rFonts w:hint="eastAsia" w:ascii="宋体" w:hAnsi="宋体"/>
          <w:b/>
          <w:bCs/>
          <w:snapToGrid w:val="0"/>
          <w:color w:val="auto"/>
          <w:kern w:val="0"/>
          <w:szCs w:val="21"/>
          <w:highlight w:val="none"/>
        </w:rPr>
        <w:t>②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0710FC27">
      <w:pPr>
        <w:tabs>
          <w:tab w:val="left" w:pos="3840"/>
          <w:tab w:val="left" w:pos="5300"/>
        </w:tabs>
        <w:autoSpaceDE w:val="0"/>
        <w:autoSpaceDN w:val="0"/>
        <w:adjustRightInd w:val="0"/>
        <w:snapToGrid w:val="0"/>
        <w:spacing w:line="460" w:lineRule="exact"/>
        <w:jc w:val="lef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三、竞选人资格要求</w:t>
      </w:r>
      <w:bookmarkEnd w:id="19"/>
      <w:bookmarkEnd w:id="20"/>
      <w:bookmarkEnd w:id="21"/>
    </w:p>
    <w:p w14:paraId="2FE146F5">
      <w:pPr>
        <w:tabs>
          <w:tab w:val="left" w:pos="3840"/>
          <w:tab w:val="left" w:pos="5300"/>
        </w:tabs>
        <w:adjustRightInd w:val="0"/>
        <w:snapToGrid w:val="0"/>
        <w:spacing w:line="480" w:lineRule="exact"/>
        <w:ind w:firstLine="420" w:firstLineChars="200"/>
        <w:jc w:val="left"/>
        <w:rPr>
          <w:rFonts w:ascii="宋体" w:hAnsi="宋体"/>
          <w:snapToGrid w:val="0"/>
          <w:color w:val="auto"/>
          <w:kern w:val="0"/>
          <w:szCs w:val="21"/>
          <w:highlight w:val="none"/>
        </w:rPr>
      </w:pPr>
      <w:bookmarkStart w:id="22" w:name="_Toc22348"/>
      <w:bookmarkStart w:id="23" w:name="_Toc26534"/>
      <w:bookmarkStart w:id="24" w:name="_Toc29881"/>
      <w:r>
        <w:rPr>
          <w:rFonts w:hint="eastAsia" w:ascii="宋体" w:hAnsi="宋体"/>
          <w:snapToGrid w:val="0"/>
          <w:color w:val="auto"/>
          <w:kern w:val="0"/>
          <w:szCs w:val="21"/>
          <w:highlight w:val="none"/>
        </w:rPr>
        <w:t>1.竞选人具有独立的法人资格，具备建设行政主管部门颁发的工程监理综合资质或</w:t>
      </w:r>
      <w:r>
        <w:rPr>
          <w:rFonts w:hint="eastAsia" w:ascii="宋体" w:hAnsi="宋体"/>
          <w:snapToGrid w:val="0"/>
          <w:color w:val="auto"/>
          <w:kern w:val="0"/>
          <w:szCs w:val="21"/>
          <w:highlight w:val="none"/>
          <w:lang w:val="en-US" w:eastAsia="zh-CN"/>
        </w:rPr>
        <w:t>电力</w:t>
      </w:r>
      <w:r>
        <w:rPr>
          <w:rFonts w:hint="eastAsia" w:ascii="宋体" w:hAnsi="宋体"/>
          <w:snapToGrid w:val="0"/>
          <w:color w:val="auto"/>
          <w:kern w:val="0"/>
          <w:szCs w:val="21"/>
          <w:highlight w:val="none"/>
        </w:rPr>
        <w:t>工程监理乙级</w:t>
      </w:r>
      <w:r>
        <w:rPr>
          <w:rFonts w:hint="eastAsia" w:ascii="宋体" w:hAnsi="宋体"/>
          <w:snapToGrid w:val="0"/>
          <w:color w:val="auto"/>
          <w:kern w:val="0"/>
          <w:szCs w:val="21"/>
          <w:highlight w:val="none"/>
        </w:rPr>
        <w:t xml:space="preserve">及以上资质，并在人员、设备、资金等方面具有相应的能力。 </w:t>
      </w:r>
    </w:p>
    <w:p w14:paraId="7B84EEC3">
      <w:pPr>
        <w:tabs>
          <w:tab w:val="left" w:pos="3840"/>
          <w:tab w:val="left" w:pos="5300"/>
        </w:tabs>
        <w:adjustRightInd w:val="0"/>
        <w:snapToGrid w:val="0"/>
        <w:spacing w:line="48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2.具备有效的营业执照。 </w:t>
      </w:r>
    </w:p>
    <w:p w14:paraId="35D10A1F">
      <w:pPr>
        <w:tabs>
          <w:tab w:val="left" w:pos="3045"/>
          <w:tab w:val="left" w:pos="8310"/>
        </w:tabs>
        <w:adjustRightInd w:val="0"/>
        <w:snapToGrid w:val="0"/>
        <w:spacing w:line="48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3.本次比选不接受联合体参加竞选</w:t>
      </w:r>
      <w:r>
        <w:rPr>
          <w:rFonts w:ascii="宋体" w:hAnsi="宋体"/>
          <w:snapToGrid w:val="0"/>
          <w:color w:val="auto"/>
          <w:kern w:val="0"/>
          <w:szCs w:val="21"/>
          <w:highlight w:val="none"/>
        </w:rPr>
        <w:t>。</w:t>
      </w:r>
    </w:p>
    <w:p w14:paraId="6D2183AD">
      <w:pPr>
        <w:pStyle w:val="17"/>
        <w:widowControl/>
        <w:snapToGrid w:val="0"/>
        <w:spacing w:beforeAutospacing="0" w:afterAutospacing="0" w:line="420" w:lineRule="exact"/>
        <w:rPr>
          <w:rFonts w:ascii="宋体" w:hAnsi="宋体" w:cs="宋体"/>
          <w:snapToGrid w:val="0"/>
          <w:color w:val="auto"/>
          <w:sz w:val="22"/>
          <w:szCs w:val="22"/>
          <w:highlight w:val="none"/>
        </w:rPr>
      </w:pPr>
      <w:r>
        <w:rPr>
          <w:rFonts w:hint="eastAsia" w:ascii="宋体" w:hAnsi="宋体" w:cs="宋体"/>
          <w:b/>
          <w:bCs/>
          <w:snapToGrid w:val="0"/>
          <w:color w:val="auto"/>
          <w:sz w:val="22"/>
          <w:szCs w:val="22"/>
          <w:highlight w:val="none"/>
        </w:rPr>
        <w:t>四、比选文件的购买</w:t>
      </w:r>
    </w:p>
    <w:p w14:paraId="1D1D41E5">
      <w:pPr>
        <w:adjustRightInd w:val="0"/>
        <w:snapToGrid w:val="0"/>
        <w:spacing w:line="480" w:lineRule="exact"/>
        <w:ind w:firstLine="409" w:firstLineChars="186"/>
        <w:jc w:val="left"/>
        <w:rPr>
          <w:rFonts w:cs="宋体" w:asciiTheme="minorEastAsia" w:hAnsiTheme="minorEastAsia" w:eastAsiaTheme="minorEastAsia"/>
          <w:snapToGrid w:val="0"/>
          <w:color w:val="auto"/>
          <w:kern w:val="0"/>
          <w:szCs w:val="21"/>
          <w:highlight w:val="none"/>
        </w:rPr>
      </w:pPr>
      <w:r>
        <w:rPr>
          <w:rFonts w:hint="eastAsia" w:asciiTheme="minorEastAsia" w:hAnsiTheme="minorEastAsia" w:eastAsiaTheme="minorEastAsia"/>
          <w:snapToGrid w:val="0"/>
          <w:color w:val="auto"/>
          <w:kern w:val="0"/>
          <w:sz w:val="22"/>
          <w:szCs w:val="22"/>
          <w:highlight w:val="none"/>
        </w:rPr>
        <w:t xml:space="preserve">4.1 </w:t>
      </w:r>
      <w:r>
        <w:rPr>
          <w:rFonts w:hint="eastAsia" w:ascii="宋体" w:hAnsi="宋体" w:cs="宋体"/>
          <w:snapToGrid w:val="0"/>
          <w:color w:val="auto"/>
          <w:kern w:val="0"/>
          <w:szCs w:val="21"/>
          <w:highlight w:val="none"/>
        </w:rPr>
        <w:t>凡有意参加比选的比选申请人在行采家（https://www.gec123.com/）上获取竞争性比选文件以及补遗等开标前公布的所有项目资料，无论比选申请人领取或下载与否，均视为已知晓所有比选内容，并在</w:t>
      </w:r>
      <w:r>
        <w:rPr>
          <w:rFonts w:hint="eastAsia" w:ascii="宋体" w:hAnsi="宋体" w:cs="宋体"/>
          <w:snapToGrid w:val="0"/>
          <w:color w:val="auto"/>
          <w:kern w:val="0"/>
          <w:szCs w:val="21"/>
          <w:highlight w:val="none"/>
          <w:u w:val="single"/>
        </w:rPr>
        <w:t xml:space="preserve"> 2025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6</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12</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日下午</w:t>
      </w:r>
      <w:r>
        <w:rPr>
          <w:rFonts w:hint="eastAsia" w:ascii="宋体" w:hAnsi="宋体" w:cs="宋体"/>
          <w:snapToGrid w:val="0"/>
          <w:color w:val="auto"/>
          <w:kern w:val="0"/>
          <w:szCs w:val="21"/>
          <w:highlight w:val="none"/>
          <w:u w:val="single"/>
        </w:rPr>
        <w:t>17：00时前</w:t>
      </w:r>
      <w:r>
        <w:rPr>
          <w:rFonts w:hint="eastAsia" w:ascii="宋体" w:hAnsi="宋体" w:cs="宋体"/>
          <w:snapToGrid w:val="0"/>
          <w:color w:val="auto"/>
          <w:kern w:val="0"/>
          <w:szCs w:val="21"/>
          <w:highlight w:val="none"/>
        </w:rPr>
        <w:t>持单位授权委托书至中资（重庆）工程咨询有限公司（地址：重庆市沙坪坝区龙湖光年2号楼14层）递交《登记表》（加盖投人公章）报名或《登记表》（加盖投人公章）的扫描件发至邮箱（</w:t>
      </w:r>
      <w:r>
        <w:rPr>
          <w:rFonts w:ascii="宋体" w:hAnsi="宋体" w:cs="宋体"/>
          <w:snapToGrid w:val="0"/>
          <w:color w:val="auto"/>
          <w:kern w:val="0"/>
          <w:szCs w:val="21"/>
          <w:highlight w:val="none"/>
        </w:rPr>
        <w:t>1944310</w:t>
      </w:r>
      <w:r>
        <w:rPr>
          <w:rFonts w:hint="eastAsia" w:ascii="宋体" w:hAnsi="宋体" w:cs="宋体"/>
          <w:snapToGrid w:val="0"/>
          <w:color w:val="auto"/>
          <w:kern w:val="0"/>
          <w:szCs w:val="21"/>
          <w:highlight w:val="none"/>
        </w:rPr>
        <w:t>@qq.com）报名。</w:t>
      </w:r>
    </w:p>
    <w:p w14:paraId="2587C078">
      <w:pPr>
        <w:adjustRightInd w:val="0"/>
        <w:snapToGrid w:val="0"/>
        <w:spacing w:line="48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 本次竞争性比选不采用邮寄等方式报名。</w:t>
      </w:r>
    </w:p>
    <w:p w14:paraId="6C0CFA9A">
      <w:pPr>
        <w:adjustRightInd w:val="0"/>
        <w:snapToGrid w:val="0"/>
        <w:spacing w:line="48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 比选文件每套售价</w:t>
      </w:r>
      <w:r>
        <w:rPr>
          <w:rFonts w:cs="宋体" w:asciiTheme="minorEastAsia" w:hAnsiTheme="minorEastAsia" w:eastAsiaTheme="minorEastAsia"/>
          <w:snapToGrid w:val="0"/>
          <w:color w:val="auto"/>
          <w:kern w:val="0"/>
          <w:szCs w:val="21"/>
          <w:highlight w:val="none"/>
        </w:rPr>
        <w:t>5</w:t>
      </w:r>
      <w:r>
        <w:rPr>
          <w:rFonts w:hint="eastAsia" w:cs="宋体" w:asciiTheme="minorEastAsia" w:hAnsiTheme="minorEastAsia" w:eastAsiaTheme="minorEastAsia"/>
          <w:snapToGrid w:val="0"/>
          <w:color w:val="auto"/>
          <w:kern w:val="0"/>
          <w:szCs w:val="21"/>
          <w:highlight w:val="none"/>
        </w:rPr>
        <w:t>00元/份，在递交比选文件时支付给代理机构，售后不退。</w:t>
      </w:r>
    </w:p>
    <w:p w14:paraId="2F7DBC93">
      <w:pPr>
        <w:adjustRightInd w:val="0"/>
        <w:snapToGrid w:val="0"/>
        <w:spacing w:line="48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 比选申请人须满足以下要件，其比选申请文件才被接受：</w:t>
      </w:r>
    </w:p>
    <w:p w14:paraId="1D4A6E24">
      <w:pPr>
        <w:adjustRightInd w:val="0"/>
        <w:snapToGrid w:val="0"/>
        <w:spacing w:line="48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4.4.1  按时递交了比选申请文件；</w:t>
      </w:r>
    </w:p>
    <w:p w14:paraId="06BC8A54">
      <w:pPr>
        <w:adjustRightInd w:val="0"/>
        <w:snapToGrid w:val="0"/>
        <w:spacing w:line="48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4.4.2  按时报名并签到。</w:t>
      </w:r>
    </w:p>
    <w:p w14:paraId="1D28E06B">
      <w:pPr>
        <w:pStyle w:val="17"/>
        <w:widowControl/>
        <w:snapToGrid w:val="0"/>
        <w:spacing w:beforeAutospacing="0" w:afterAutospacing="0" w:line="420" w:lineRule="exact"/>
        <w:jc w:val="both"/>
        <w:rPr>
          <w:rFonts w:ascii="宋体" w:hAnsi="宋体" w:cs="宋体"/>
          <w:color w:val="auto"/>
          <w:sz w:val="22"/>
          <w:szCs w:val="22"/>
          <w:highlight w:val="none"/>
        </w:rPr>
      </w:pPr>
      <w:r>
        <w:rPr>
          <w:rFonts w:hint="eastAsia" w:ascii="宋体" w:hAnsi="宋体" w:cs="宋体"/>
          <w:b/>
          <w:snapToGrid w:val="0"/>
          <w:color w:val="auto"/>
          <w:sz w:val="22"/>
          <w:szCs w:val="22"/>
          <w:highlight w:val="none"/>
        </w:rPr>
        <w:t>五、竞选文件的递交</w:t>
      </w:r>
    </w:p>
    <w:p w14:paraId="46E440A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5.1  竞选文件递交的截止时间（竞选截止时间，下同）为</w:t>
      </w:r>
      <w:r>
        <w:rPr>
          <w:rFonts w:hint="eastAsia" w:ascii="宋体" w:hAnsi="宋体" w:cs="宋体"/>
          <w:snapToGrid w:val="0"/>
          <w:color w:val="auto"/>
          <w:kern w:val="0"/>
          <w:szCs w:val="21"/>
          <w:highlight w:val="none"/>
          <w:u w:val="single"/>
        </w:rPr>
        <w:t xml:space="preserve"> 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6</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13</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10</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00</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分，地点为</w:t>
      </w:r>
      <w:r>
        <w:rPr>
          <w:rFonts w:hint="eastAsia" w:ascii="宋体" w:hAnsi="宋体" w:cs="宋体"/>
          <w:snapToGrid w:val="0"/>
          <w:color w:val="auto"/>
          <w:kern w:val="0"/>
          <w:szCs w:val="21"/>
          <w:highlight w:val="none"/>
          <w:u w:val="single"/>
        </w:rPr>
        <w:t xml:space="preserve"> 重庆市南岸区行政服务中心B区3号楼</w:t>
      </w:r>
      <w:r>
        <w:rPr>
          <w:rFonts w:ascii="宋体" w:hAnsi="宋体" w:cs="宋体"/>
          <w:snapToGrid w:val="0"/>
          <w:color w:val="auto"/>
          <w:kern w:val="0"/>
          <w:szCs w:val="21"/>
          <w:highlight w:val="none"/>
          <w:u w:val="single"/>
        </w:rPr>
        <w:t>2</w:t>
      </w:r>
      <w:r>
        <w:rPr>
          <w:rFonts w:hint="eastAsia" w:ascii="宋体" w:hAnsi="宋体" w:cs="宋体"/>
          <w:snapToGrid w:val="0"/>
          <w:color w:val="auto"/>
          <w:kern w:val="0"/>
          <w:szCs w:val="21"/>
          <w:highlight w:val="none"/>
          <w:u w:val="single"/>
          <w:lang w:val="en-US" w:eastAsia="zh-CN"/>
        </w:rPr>
        <w:t>012</w:t>
      </w:r>
      <w:r>
        <w:rPr>
          <w:rFonts w:hint="eastAsia" w:ascii="宋体" w:hAnsi="宋体" w:cs="宋体"/>
          <w:snapToGrid w:val="0"/>
          <w:color w:val="auto"/>
          <w:kern w:val="0"/>
          <w:szCs w:val="21"/>
          <w:highlight w:val="none"/>
          <w:u w:val="single"/>
        </w:rPr>
        <w:t xml:space="preserve">室 </w:t>
      </w:r>
      <w:r>
        <w:rPr>
          <w:rFonts w:hint="eastAsia" w:ascii="宋体" w:hAnsi="宋体" w:cs="宋体"/>
          <w:snapToGrid w:val="0"/>
          <w:color w:val="auto"/>
          <w:kern w:val="0"/>
          <w:szCs w:val="21"/>
          <w:highlight w:val="none"/>
        </w:rPr>
        <w:t>。</w:t>
      </w:r>
    </w:p>
    <w:p w14:paraId="77D0F83C">
      <w:pPr>
        <w:autoSpaceDE w:val="0"/>
        <w:autoSpaceDN w:val="0"/>
        <w:adjustRightInd w:val="0"/>
        <w:snapToGrid w:val="0"/>
        <w:spacing w:line="45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  逾期送达的或者未送达指定地点的竞选文件，比选人不予受理。</w:t>
      </w:r>
    </w:p>
    <w:p w14:paraId="3D109C4F">
      <w:pPr>
        <w:pStyle w:val="17"/>
        <w:widowControl/>
        <w:snapToGrid w:val="0"/>
        <w:spacing w:beforeAutospacing="0" w:afterAutospacing="0" w:line="420" w:lineRule="exact"/>
        <w:jc w:val="both"/>
        <w:rPr>
          <w:rFonts w:ascii="宋体" w:hAnsi="宋体" w:cs="宋体"/>
          <w:b/>
          <w:snapToGrid w:val="0"/>
          <w:color w:val="auto"/>
          <w:sz w:val="22"/>
          <w:szCs w:val="22"/>
          <w:highlight w:val="none"/>
        </w:rPr>
      </w:pPr>
      <w:r>
        <w:rPr>
          <w:rFonts w:hint="eastAsia" w:ascii="宋体" w:hAnsi="宋体" w:cs="宋体"/>
          <w:b/>
          <w:snapToGrid w:val="0"/>
          <w:color w:val="auto"/>
          <w:sz w:val="22"/>
          <w:szCs w:val="22"/>
          <w:highlight w:val="none"/>
        </w:rPr>
        <w:t>六、发布公告的媒介</w:t>
      </w:r>
    </w:p>
    <w:p w14:paraId="6C9B4676">
      <w:pPr>
        <w:pStyle w:val="17"/>
        <w:widowControl/>
        <w:snapToGrid w:val="0"/>
        <w:spacing w:beforeAutospacing="0" w:afterAutospacing="0" w:line="480" w:lineRule="exact"/>
        <w:ind w:firstLine="420" w:firstLineChars="200"/>
        <w:jc w:val="both"/>
        <w:rPr>
          <w:rFonts w:ascii="宋体" w:hAnsi="宋体" w:cs="宋体"/>
          <w:color w:val="auto"/>
          <w:sz w:val="21"/>
          <w:szCs w:val="21"/>
          <w:highlight w:val="none"/>
        </w:rPr>
      </w:pPr>
      <w:r>
        <w:rPr>
          <w:rFonts w:hint="eastAsia" w:ascii="宋体" w:hAnsi="宋体" w:cs="宋体"/>
          <w:snapToGrid w:val="0"/>
          <w:color w:val="auto"/>
          <w:sz w:val="21"/>
          <w:szCs w:val="21"/>
          <w:highlight w:val="none"/>
        </w:rPr>
        <w:t>本次比选公告在</w:t>
      </w:r>
      <w:r>
        <w:rPr>
          <w:rFonts w:hint="eastAsia" w:ascii="宋体" w:hAnsi="宋体" w:cs="宋体"/>
          <w:snapToGrid w:val="0"/>
          <w:color w:val="auto"/>
          <w:kern w:val="0"/>
          <w:sz w:val="21"/>
          <w:szCs w:val="21"/>
          <w:highlight w:val="none"/>
          <w:u w:val="single"/>
        </w:rPr>
        <w:t>行采家（http://www.gec123.com）</w:t>
      </w:r>
      <w:r>
        <w:rPr>
          <w:rFonts w:hint="eastAsia" w:ascii="宋体" w:hAnsi="宋体" w:cs="宋体"/>
          <w:snapToGrid w:val="0"/>
          <w:color w:val="auto"/>
          <w:kern w:val="0"/>
          <w:sz w:val="21"/>
          <w:szCs w:val="21"/>
          <w:highlight w:val="none"/>
          <w:u w:val="single"/>
          <w:lang w:eastAsia="zh-CN"/>
        </w:rPr>
        <w:t>、中国招标投标公共服务平台 （http://www.cebpubservice.com）</w:t>
      </w:r>
      <w:r>
        <w:rPr>
          <w:rFonts w:hint="eastAsia" w:ascii="宋体" w:hAnsi="宋体" w:cs="宋体"/>
          <w:snapToGrid w:val="0"/>
          <w:color w:val="auto"/>
          <w:sz w:val="21"/>
          <w:szCs w:val="21"/>
          <w:highlight w:val="none"/>
        </w:rPr>
        <w:t>上发布。</w:t>
      </w:r>
    </w:p>
    <w:p w14:paraId="2D31301C">
      <w:pPr>
        <w:pStyle w:val="17"/>
        <w:widowControl/>
        <w:snapToGrid w:val="0"/>
        <w:spacing w:beforeAutospacing="0" w:afterAutospacing="0" w:line="420" w:lineRule="exact"/>
        <w:jc w:val="both"/>
        <w:rPr>
          <w:color w:val="auto"/>
          <w:highlight w:val="none"/>
        </w:rPr>
      </w:pPr>
      <w:r>
        <w:rPr>
          <w:rFonts w:hint="eastAsia" w:ascii="宋体" w:hAnsi="宋体" w:cs="宋体"/>
          <w:b/>
          <w:snapToGrid w:val="0"/>
          <w:color w:val="auto"/>
          <w:sz w:val="22"/>
          <w:szCs w:val="22"/>
          <w:highlight w:val="none"/>
        </w:rPr>
        <w:t>七、联系方式</w:t>
      </w:r>
    </w:p>
    <w:bookmarkEnd w:id="11"/>
    <w:bookmarkEnd w:id="22"/>
    <w:bookmarkEnd w:id="23"/>
    <w:bookmarkEnd w:id="24"/>
    <w:p w14:paraId="678C9BFF">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bookmarkStart w:id="25" w:name="_Toc287607744"/>
      <w:bookmarkStart w:id="26" w:name="_Toc287620683"/>
      <w:bookmarkStart w:id="27" w:name="_Toc30449"/>
      <w:bookmarkStart w:id="28" w:name="_Toc224103315"/>
      <w:bookmarkStart w:id="29" w:name="_Toc1178"/>
      <w:bookmarkStart w:id="30" w:name="_Toc430530432"/>
      <w:r>
        <w:rPr>
          <w:rFonts w:hint="eastAsia" w:ascii="宋体" w:hAnsi="宋体"/>
          <w:color w:val="auto"/>
          <w:szCs w:val="21"/>
          <w:highlight w:val="none"/>
        </w:rPr>
        <w:t xml:space="preserve"> 比选人：</w:t>
      </w:r>
      <w:r>
        <w:rPr>
          <w:rFonts w:hint="eastAsia" w:ascii="宋体" w:hAnsi="宋体"/>
          <w:color w:val="auto"/>
          <w:szCs w:val="21"/>
          <w:highlight w:val="none"/>
          <w:lang w:eastAsia="zh-CN"/>
        </w:rPr>
        <w:t>重庆市南岸区城市建设发展（集团）有限公司</w:t>
      </w:r>
      <w:r>
        <w:rPr>
          <w:rFonts w:hint="eastAsia" w:ascii="宋体" w:hAnsi="宋体"/>
          <w:color w:val="auto"/>
          <w:szCs w:val="21"/>
          <w:highlight w:val="none"/>
        </w:rPr>
        <w:t xml:space="preserve">      </w:t>
      </w:r>
    </w:p>
    <w:p w14:paraId="1E39BDBA">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地址：重庆市南岸区行政中心B区三号楼                        </w:t>
      </w:r>
    </w:p>
    <w:p w14:paraId="16CB9681">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联系人：李老师                                           </w:t>
      </w:r>
    </w:p>
    <w:p w14:paraId="006B889D">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电  话：023-62905607</w:t>
      </w:r>
    </w:p>
    <w:p w14:paraId="2409AF39">
      <w:pPr>
        <w:pStyle w:val="8"/>
        <w:spacing w:line="420" w:lineRule="exact"/>
        <w:rPr>
          <w:color w:val="auto"/>
          <w:szCs w:val="21"/>
          <w:highlight w:val="none"/>
        </w:rPr>
      </w:pPr>
    </w:p>
    <w:p w14:paraId="12BC3A74">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比选代理机构：中资（重庆）工程咨询有限公司</w:t>
      </w:r>
    </w:p>
    <w:p w14:paraId="13B9F091">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snapToGrid w:val="0"/>
          <w:color w:val="auto"/>
          <w:kern w:val="0"/>
          <w:szCs w:val="21"/>
          <w:highlight w:val="none"/>
        </w:rPr>
        <w:t>重庆市沙坪坝区龙湖光年2号楼14层</w:t>
      </w:r>
    </w:p>
    <w:p w14:paraId="3A7E9B9B">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联系人：冉老师  </w:t>
      </w:r>
    </w:p>
    <w:p w14:paraId="6DB4A8DC">
      <w:pPr>
        <w:autoSpaceDE w:val="0"/>
        <w:autoSpaceDN w:val="0"/>
        <w:adjustRightInd w:val="0"/>
        <w:snapToGrid w:val="0"/>
        <w:spacing w:line="440" w:lineRule="exact"/>
        <w:ind w:firstLine="420" w:firstLineChars="200"/>
        <w:rPr>
          <w:rFonts w:ascii="宋体" w:hAnsi="宋体"/>
          <w:snapToGrid w:val="0"/>
          <w:color w:val="auto"/>
          <w:kern w:val="0"/>
          <w:sz w:val="20"/>
          <w:szCs w:val="20"/>
          <w:highlight w:val="none"/>
        </w:rPr>
      </w:pPr>
      <w:r>
        <w:rPr>
          <w:rFonts w:hint="eastAsia" w:ascii="宋体" w:hAnsi="宋体"/>
          <w:color w:val="auto"/>
          <w:szCs w:val="21"/>
          <w:highlight w:val="none"/>
        </w:rPr>
        <w:t xml:space="preserve">电  话：18680861765 </w:t>
      </w:r>
      <w:r>
        <w:rPr>
          <w:rFonts w:hint="eastAsia" w:ascii="宋体" w:hAnsi="宋体"/>
          <w:snapToGrid w:val="0"/>
          <w:color w:val="auto"/>
          <w:kern w:val="0"/>
          <w:szCs w:val="21"/>
          <w:highlight w:val="none"/>
        </w:rPr>
        <w:t xml:space="preserve">  </w:t>
      </w:r>
    </w:p>
    <w:p w14:paraId="3E4F08AF">
      <w:pPr>
        <w:rPr>
          <w:rFonts w:ascii="宋体" w:hAnsi="宋体" w:cs="宋体"/>
          <w:snapToGrid w:val="0"/>
          <w:color w:val="auto"/>
          <w:kern w:val="0"/>
          <w:highlight w:val="none"/>
        </w:rPr>
      </w:pPr>
      <w:r>
        <w:rPr>
          <w:rFonts w:hint="eastAsia" w:ascii="宋体" w:hAnsi="宋体" w:cs="宋体"/>
          <w:snapToGrid w:val="0"/>
          <w:color w:val="auto"/>
          <w:kern w:val="0"/>
          <w:highlight w:val="none"/>
        </w:rPr>
        <w:br w:type="page"/>
      </w:r>
    </w:p>
    <w:p w14:paraId="7529BA09">
      <w:pPr>
        <w:pStyle w:val="3"/>
        <w:spacing w:before="0" w:after="0" w:line="360" w:lineRule="auto"/>
        <w:jc w:val="center"/>
        <w:rPr>
          <w:rFonts w:ascii="宋体" w:hAnsi="宋体" w:cs="宋体"/>
          <w:bCs w:val="0"/>
          <w:snapToGrid w:val="0"/>
          <w:color w:val="auto"/>
          <w:kern w:val="0"/>
          <w:highlight w:val="none"/>
        </w:rPr>
      </w:pPr>
      <w:r>
        <w:rPr>
          <w:rFonts w:hint="eastAsia" w:ascii="宋体" w:hAnsi="宋体" w:cs="宋体"/>
          <w:snapToGrid w:val="0"/>
          <w:color w:val="auto"/>
          <w:kern w:val="0"/>
          <w:highlight w:val="none"/>
        </w:rPr>
        <w:t>第二章  竞选人须知</w:t>
      </w:r>
      <w:bookmarkEnd w:id="25"/>
      <w:bookmarkEnd w:id="26"/>
      <w:bookmarkEnd w:id="27"/>
      <w:bookmarkEnd w:id="28"/>
      <w:bookmarkEnd w:id="29"/>
      <w:bookmarkEnd w:id="30"/>
      <w:bookmarkStart w:id="31" w:name="_Toc287620684"/>
      <w:bookmarkStart w:id="32" w:name="_Toc430530433"/>
      <w:bookmarkStart w:id="33" w:name="_Toc287607745"/>
      <w:bookmarkStart w:id="34" w:name="_Toc277082551"/>
      <w:bookmarkStart w:id="35" w:name="_Toc224103316"/>
    </w:p>
    <w:p w14:paraId="13F914FC">
      <w:pPr>
        <w:pStyle w:val="4"/>
        <w:spacing w:before="100" w:after="100" w:line="360" w:lineRule="auto"/>
        <w:rPr>
          <w:rFonts w:ascii="宋体" w:hAnsi="宋体" w:cs="宋体"/>
          <w:color w:val="auto"/>
          <w:highlight w:val="none"/>
        </w:rPr>
      </w:pPr>
      <w:bookmarkStart w:id="36" w:name="_Toc4746"/>
      <w:bookmarkStart w:id="37" w:name="_Toc509218708"/>
      <w:bookmarkStart w:id="38" w:name="_Toc15182"/>
      <w:bookmarkStart w:id="39" w:name="_Toc9850"/>
      <w:r>
        <w:rPr>
          <w:rFonts w:hint="eastAsia" w:ascii="宋体" w:hAnsi="宋体" w:cs="宋体"/>
          <w:color w:val="auto"/>
          <w:highlight w:val="none"/>
        </w:rPr>
        <w:t>竞选人须知前附表</w:t>
      </w:r>
      <w:bookmarkEnd w:id="31"/>
      <w:bookmarkEnd w:id="32"/>
      <w:bookmarkEnd w:id="33"/>
      <w:bookmarkEnd w:id="34"/>
      <w:bookmarkEnd w:id="35"/>
      <w:bookmarkEnd w:id="36"/>
      <w:bookmarkEnd w:id="37"/>
      <w:bookmarkEnd w:id="38"/>
      <w:bookmarkEnd w:id="39"/>
    </w:p>
    <w:p w14:paraId="4E679EB6">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若竞选人须知前附表与正文不一致的地方，以竞选人须知前附表为准。</w:t>
      </w:r>
    </w:p>
    <w:tbl>
      <w:tblPr>
        <w:tblStyle w:val="2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72"/>
      </w:tblGrid>
      <w:tr w14:paraId="127FF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14:paraId="67E07C94">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964" w:type="dxa"/>
            <w:vAlign w:val="center"/>
          </w:tcPr>
          <w:p w14:paraId="26390E49">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372" w:type="dxa"/>
            <w:vAlign w:val="center"/>
          </w:tcPr>
          <w:p w14:paraId="13B4D6B4">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59456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79775F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964" w:type="dxa"/>
            <w:vAlign w:val="center"/>
          </w:tcPr>
          <w:p w14:paraId="317235A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372" w:type="dxa"/>
          </w:tcPr>
          <w:p w14:paraId="7EFEAD7F">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olor w:val="auto"/>
                <w:kern w:val="0"/>
                <w:szCs w:val="21"/>
                <w:highlight w:val="none"/>
                <w:lang w:eastAsia="zh-CN"/>
              </w:rPr>
              <w:t>重庆市南岸区城市建设发展（集团）有限公司</w:t>
            </w:r>
          </w:p>
          <w:p w14:paraId="31E0FE60">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kern w:val="0"/>
                <w:szCs w:val="21"/>
                <w:highlight w:val="none"/>
              </w:rPr>
              <w:t>重庆市南岸区行政中心B区三号楼</w:t>
            </w:r>
          </w:p>
          <w:p w14:paraId="07FC6F02">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s="宋体"/>
                <w:color w:val="auto"/>
                <w:kern w:val="0"/>
                <w:szCs w:val="21"/>
                <w:highlight w:val="none"/>
              </w:rPr>
              <w:t>李老师</w:t>
            </w:r>
          </w:p>
          <w:p w14:paraId="63F23AFD">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023-62905607</w:t>
            </w:r>
          </w:p>
        </w:tc>
      </w:tr>
      <w:tr w14:paraId="439B0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6DF01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964" w:type="dxa"/>
            <w:vAlign w:val="center"/>
          </w:tcPr>
          <w:p w14:paraId="579A345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372" w:type="dxa"/>
          </w:tcPr>
          <w:p w14:paraId="3343AE9B">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color w:val="auto"/>
                <w:highlight w:val="none"/>
              </w:rPr>
              <w:fldChar w:fldCharType="begin"/>
            </w:r>
            <w:r>
              <w:rPr>
                <w:color w:val="auto"/>
                <w:highlight w:val="none"/>
              </w:rPr>
              <w:instrText xml:space="preserve"> HYPERLINK "http://183.66.171.75:88/CQCollect/Qy_Query/Zjzxjg/javascript:__doPostBack('DataGrid1$_ctl2$_ctl0','')" </w:instrText>
            </w:r>
            <w:r>
              <w:rPr>
                <w:color w:val="auto"/>
                <w:highlight w:val="none"/>
              </w:rPr>
              <w:fldChar w:fldCharType="separate"/>
            </w:r>
            <w:r>
              <w:rPr>
                <w:rFonts w:hint="eastAsia" w:ascii="宋体" w:hAnsi="宋体"/>
                <w:color w:val="auto"/>
                <w:szCs w:val="21"/>
                <w:highlight w:val="none"/>
              </w:rPr>
              <w:t>中资（重庆）工程咨询有限公司</w:t>
            </w:r>
            <w:r>
              <w:rPr>
                <w:rFonts w:hint="eastAsia" w:ascii="宋体" w:hAnsi="宋体"/>
                <w:color w:val="auto"/>
                <w:szCs w:val="21"/>
                <w:highlight w:val="none"/>
              </w:rPr>
              <w:fldChar w:fldCharType="end"/>
            </w:r>
          </w:p>
          <w:p w14:paraId="421FDB51">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snapToGrid w:val="0"/>
                <w:color w:val="auto"/>
                <w:kern w:val="0"/>
                <w:szCs w:val="21"/>
                <w:highlight w:val="none"/>
              </w:rPr>
              <w:t>重庆市沙坪坝区龙湖光年2号楼14层</w:t>
            </w:r>
          </w:p>
          <w:p w14:paraId="651A726B">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szCs w:val="21"/>
                <w:highlight w:val="none"/>
              </w:rPr>
              <w:t>冉老师</w:t>
            </w:r>
          </w:p>
          <w:p w14:paraId="6303156A">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Cs w:val="21"/>
                <w:highlight w:val="none"/>
              </w:rPr>
              <w:t>18680861765</w:t>
            </w:r>
          </w:p>
        </w:tc>
      </w:tr>
      <w:tr w14:paraId="21FC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EBFB9E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964" w:type="dxa"/>
            <w:vAlign w:val="center"/>
          </w:tcPr>
          <w:p w14:paraId="203709D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372" w:type="dxa"/>
          </w:tcPr>
          <w:p w14:paraId="0BB98944">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lang w:eastAsia="zh-CN"/>
              </w:rPr>
              <w:t>重庆市南岸区学校老旧线路改造及设备安装工程监理</w:t>
            </w:r>
            <w:r>
              <w:rPr>
                <w:rFonts w:hint="eastAsia" w:ascii="宋体" w:hAnsi="宋体"/>
                <w:color w:val="auto"/>
                <w:kern w:val="0"/>
                <w:szCs w:val="21"/>
                <w:highlight w:val="none"/>
              </w:rPr>
              <w:t xml:space="preserve">                </w:t>
            </w:r>
          </w:p>
        </w:tc>
      </w:tr>
      <w:tr w14:paraId="20034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9A1655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964" w:type="dxa"/>
            <w:vAlign w:val="center"/>
          </w:tcPr>
          <w:p w14:paraId="64547C3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372" w:type="dxa"/>
          </w:tcPr>
          <w:p w14:paraId="044C9C5D">
            <w:pPr>
              <w:rPr>
                <w:color w:val="auto"/>
                <w:highlight w:val="none"/>
              </w:rPr>
            </w:pPr>
            <w:r>
              <w:rPr>
                <w:rFonts w:hint="eastAsia" w:ascii="宋体" w:hAnsi="宋体"/>
                <w:color w:val="auto"/>
                <w:szCs w:val="21"/>
                <w:highlight w:val="none"/>
              </w:rPr>
              <w:t>南岸区53所学校范围内</w:t>
            </w:r>
          </w:p>
        </w:tc>
      </w:tr>
      <w:tr w14:paraId="591CF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C64FA2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1.1.6</w:t>
            </w:r>
          </w:p>
        </w:tc>
        <w:tc>
          <w:tcPr>
            <w:tcW w:w="1964" w:type="dxa"/>
            <w:vAlign w:val="center"/>
          </w:tcPr>
          <w:p w14:paraId="15D8120D">
            <w:pPr>
              <w:snapToGri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项目总投资及</w:t>
            </w:r>
          </w:p>
          <w:p w14:paraId="1FE606F9">
            <w:pPr>
              <w:snapToGrid w:val="0"/>
              <w:spacing w:line="400" w:lineRule="exact"/>
              <w:jc w:val="center"/>
              <w:rPr>
                <w:rFonts w:ascii="宋体" w:hAnsi="宋体" w:cs="宋体"/>
                <w:color w:val="auto"/>
                <w:kern w:val="0"/>
                <w:szCs w:val="21"/>
                <w:highlight w:val="none"/>
              </w:rPr>
            </w:pPr>
            <w:r>
              <w:rPr>
                <w:rFonts w:hint="eastAsia" w:ascii="宋体" w:hAnsi="宋体"/>
                <w:snapToGrid w:val="0"/>
                <w:color w:val="auto"/>
                <w:kern w:val="0"/>
                <w:szCs w:val="21"/>
                <w:highlight w:val="none"/>
              </w:rPr>
              <w:t>建设内容</w:t>
            </w:r>
          </w:p>
        </w:tc>
        <w:tc>
          <w:tcPr>
            <w:tcW w:w="6372" w:type="dxa"/>
            <w:vAlign w:val="center"/>
          </w:tcPr>
          <w:p w14:paraId="14D0B014">
            <w:pPr>
              <w:widowControl/>
              <w:shd w:val="clear" w:color="auto" w:fill="FFFFFF"/>
              <w:spacing w:line="420" w:lineRule="exact"/>
              <w:jc w:val="left"/>
              <w:rPr>
                <w:rFonts w:ascii="宋体" w:hAnsi="宋体"/>
                <w:snapToGrid w:val="0"/>
                <w:color w:val="auto"/>
                <w:kern w:val="0"/>
                <w:szCs w:val="21"/>
                <w:highlight w:val="none"/>
              </w:rPr>
            </w:pPr>
            <w:r>
              <w:rPr>
                <w:rFonts w:hint="eastAsia" w:asciiTheme="minorEastAsia" w:hAnsiTheme="minorEastAsia" w:eastAsiaTheme="minorEastAsia"/>
                <w:color w:val="auto"/>
                <w:szCs w:val="21"/>
                <w:highlight w:val="none"/>
                <w:u w:val="single"/>
              </w:rPr>
              <w:t>本项目拟在重庆市南岸区53所中小学校内新增空调3678台，并对部分学校的老旧线路、配电设备进行升级改造，包括新建变配电站、已有变配电站增容改造，以及配备必要的变压器、开关设备、供配电设备、输电线路等。</w:t>
            </w:r>
          </w:p>
        </w:tc>
      </w:tr>
      <w:tr w14:paraId="516DD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D248C6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964" w:type="dxa"/>
            <w:vAlign w:val="center"/>
          </w:tcPr>
          <w:p w14:paraId="13DBBFF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372" w:type="dxa"/>
            <w:vAlign w:val="center"/>
          </w:tcPr>
          <w:p w14:paraId="03328835">
            <w:pPr>
              <w:snapToGrid w:val="0"/>
              <w:spacing w:line="400" w:lineRule="exact"/>
              <w:rPr>
                <w:rFonts w:ascii="宋体" w:hAnsi="宋体" w:cs="宋体"/>
                <w:color w:val="auto"/>
                <w:szCs w:val="21"/>
                <w:highlight w:val="none"/>
              </w:rPr>
            </w:pPr>
            <w:r>
              <w:rPr>
                <w:rFonts w:hint="eastAsia" w:ascii="宋体" w:hAnsi="宋体"/>
                <w:color w:val="auto"/>
                <w:szCs w:val="21"/>
                <w:highlight w:val="none"/>
              </w:rPr>
              <w:t>一般债券资金及业主自筹</w:t>
            </w:r>
          </w:p>
        </w:tc>
      </w:tr>
      <w:tr w14:paraId="76337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8C4022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1964" w:type="dxa"/>
            <w:vAlign w:val="center"/>
          </w:tcPr>
          <w:p w14:paraId="09E33EA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出资比例</w:t>
            </w:r>
          </w:p>
        </w:tc>
        <w:tc>
          <w:tcPr>
            <w:tcW w:w="6372" w:type="dxa"/>
            <w:vAlign w:val="center"/>
          </w:tcPr>
          <w:p w14:paraId="011CA349">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100%</w:t>
            </w:r>
          </w:p>
        </w:tc>
      </w:tr>
      <w:tr w14:paraId="3963F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44EFF5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1964" w:type="dxa"/>
            <w:vAlign w:val="center"/>
          </w:tcPr>
          <w:p w14:paraId="55AFB0BA">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372" w:type="dxa"/>
            <w:vAlign w:val="center"/>
          </w:tcPr>
          <w:p w14:paraId="7A29C674">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已落实</w:t>
            </w:r>
          </w:p>
        </w:tc>
      </w:tr>
      <w:tr w14:paraId="67776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F00940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964" w:type="dxa"/>
            <w:vAlign w:val="center"/>
          </w:tcPr>
          <w:p w14:paraId="639921F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比选范围</w:t>
            </w:r>
          </w:p>
        </w:tc>
        <w:tc>
          <w:tcPr>
            <w:tcW w:w="6372" w:type="dxa"/>
            <w:vAlign w:val="center"/>
          </w:tcPr>
          <w:p w14:paraId="4C4F2FCF">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包含施工、缺陷责任期内表现出的任何缺陷修复的监理服务。具体如下：</w:t>
            </w:r>
          </w:p>
          <w:p w14:paraId="4E9D57C4">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施工阶段：含施工图设计及清单范围内全部工程施工及竣工验收的监理服务，包括施工准备阶段，施工过程中的质量，进度，费用控制，安全、文明施工监理，合同、信息方面的协助管理等。</w:t>
            </w:r>
          </w:p>
          <w:p w14:paraId="6919AE10">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color w:val="auto"/>
                <w:szCs w:val="21"/>
                <w:highlight w:val="none"/>
              </w:rPr>
              <w:t>。</w:t>
            </w:r>
          </w:p>
        </w:tc>
      </w:tr>
      <w:tr w14:paraId="19772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44B89D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1964" w:type="dxa"/>
            <w:vAlign w:val="center"/>
          </w:tcPr>
          <w:p w14:paraId="1300B75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监理服务期</w:t>
            </w:r>
          </w:p>
        </w:tc>
        <w:tc>
          <w:tcPr>
            <w:tcW w:w="6372" w:type="dxa"/>
            <w:vAlign w:val="center"/>
          </w:tcPr>
          <w:p w14:paraId="01CECA7D">
            <w:pPr>
              <w:tabs>
                <w:tab w:val="left" w:pos="3840"/>
                <w:tab w:val="left" w:pos="5300"/>
              </w:tabs>
              <w:autoSpaceDE w:val="0"/>
              <w:autoSpaceDN w:val="0"/>
              <w:adjustRightInd w:val="0"/>
              <w:snapToGrid w:val="0"/>
              <w:spacing w:line="360" w:lineRule="auto"/>
              <w:ind w:firstLine="420" w:firstLineChars="200"/>
              <w:jc w:val="left"/>
              <w:rPr>
                <w:rFonts w:ascii="宋体" w:hAnsi="宋体" w:cs="宋体"/>
                <w:color w:val="auto"/>
                <w:highlight w:val="none"/>
                <w:u w:val="single"/>
              </w:rPr>
            </w:pPr>
            <w:r>
              <w:rPr>
                <w:rFonts w:hint="eastAsia" w:asciiTheme="minorEastAsia" w:hAnsiTheme="minorEastAsia" w:eastAsiaTheme="minorEastAsia"/>
                <w:color w:val="auto"/>
                <w:szCs w:val="21"/>
                <w:highlight w:val="none"/>
                <w:u w:val="single"/>
              </w:rPr>
              <w:t>从监理合同签订之日起至缺陷责任期满止，其中：计划施工工期:暂定施工阶段服务期</w:t>
            </w:r>
            <w:r>
              <w:rPr>
                <w:rFonts w:hint="eastAsia" w:asciiTheme="minorEastAsia" w:hAnsiTheme="minorEastAsia" w:eastAsiaTheme="minorEastAsia"/>
                <w:color w:val="auto"/>
                <w:szCs w:val="21"/>
                <w:highlight w:val="none"/>
                <w:u w:val="single"/>
                <w:lang w:val="en-US" w:eastAsia="zh-CN"/>
              </w:rPr>
              <w:t>6</w:t>
            </w:r>
            <w:r>
              <w:rPr>
                <w:rFonts w:hint="eastAsia" w:asciiTheme="minorEastAsia" w:hAnsiTheme="minorEastAsia" w:eastAsiaTheme="minorEastAsia"/>
                <w:color w:val="auto"/>
                <w:szCs w:val="21"/>
                <w:highlight w:val="none"/>
                <w:u w:val="single"/>
              </w:rPr>
              <w:t>0日历天，缺陷责任期：24个月，具体以招标人的书面进场通知为监理服务期的起始时间，以项目竣工验收合格且监理资料交接完成并协助建设单位取得工程备案验收证书且缺陷责任期满为监理服务期的完成时间。</w:t>
            </w:r>
          </w:p>
          <w:p w14:paraId="1B7E6C14">
            <w:pPr>
              <w:tabs>
                <w:tab w:val="left" w:pos="3840"/>
                <w:tab w:val="left" w:pos="5300"/>
              </w:tabs>
              <w:autoSpaceDE w:val="0"/>
              <w:autoSpaceDN w:val="0"/>
              <w:adjustRightInd w:val="0"/>
              <w:snapToGrid w:val="0"/>
              <w:spacing w:line="360" w:lineRule="auto"/>
              <w:ind w:firstLine="422" w:firstLineChars="200"/>
              <w:jc w:val="lef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注：①如实际完工时间与计划完工时间有差异，将以实际完工时间为准。</w:t>
            </w:r>
          </w:p>
          <w:p w14:paraId="64450D7C">
            <w:pPr>
              <w:tabs>
                <w:tab w:val="left" w:pos="3840"/>
                <w:tab w:val="left" w:pos="5300"/>
              </w:tabs>
              <w:autoSpaceDE w:val="0"/>
              <w:autoSpaceDN w:val="0"/>
              <w:adjustRightInd w:val="0"/>
              <w:snapToGrid w:val="0"/>
              <w:spacing w:line="360" w:lineRule="auto"/>
              <w:ind w:firstLine="422" w:firstLineChars="200"/>
              <w:jc w:val="left"/>
              <w:rPr>
                <w:rFonts w:ascii="宋体" w:hAnsi="宋体"/>
                <w:i/>
                <w:snapToGrid w:val="0"/>
                <w:color w:val="auto"/>
                <w:kern w:val="0"/>
                <w:szCs w:val="21"/>
                <w:highlight w:val="none"/>
              </w:rPr>
            </w:pPr>
            <w:r>
              <w:rPr>
                <w:rFonts w:hint="eastAsia" w:ascii="宋体" w:hAnsi="宋体"/>
                <w:b/>
                <w:bCs/>
                <w:snapToGrid w:val="0"/>
                <w:color w:val="auto"/>
                <w:kern w:val="0"/>
                <w:szCs w:val="21"/>
                <w:highlight w:val="none"/>
              </w:rPr>
              <w:t>②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r w14:paraId="53730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127D9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964" w:type="dxa"/>
            <w:vAlign w:val="center"/>
          </w:tcPr>
          <w:p w14:paraId="03EBDC25">
            <w:pPr>
              <w:pStyle w:val="39"/>
              <w:spacing w:line="400" w:lineRule="exact"/>
              <w:jc w:val="center"/>
              <w:rPr>
                <w:rFonts w:ascii="宋体" w:hAnsi="宋体"/>
                <w:color w:val="auto"/>
                <w:szCs w:val="21"/>
                <w:highlight w:val="none"/>
              </w:rPr>
            </w:pPr>
            <w:r>
              <w:rPr>
                <w:rFonts w:hint="eastAsia"/>
                <w:color w:val="auto"/>
                <w:szCs w:val="21"/>
                <w:highlight w:val="none"/>
              </w:rPr>
              <w:t>质量标准</w:t>
            </w:r>
          </w:p>
        </w:tc>
        <w:tc>
          <w:tcPr>
            <w:tcW w:w="6372" w:type="dxa"/>
            <w:vAlign w:val="center"/>
          </w:tcPr>
          <w:p w14:paraId="73F58BDC">
            <w:pPr>
              <w:pStyle w:val="39"/>
              <w:spacing w:line="400" w:lineRule="exact"/>
              <w:ind w:firstLine="420" w:firstLineChars="200"/>
              <w:rPr>
                <w:rFonts w:ascii="宋体" w:hAnsi="宋体"/>
                <w:color w:val="auto"/>
                <w:szCs w:val="21"/>
                <w:highlight w:val="none"/>
              </w:rPr>
            </w:pPr>
            <w:r>
              <w:rPr>
                <w:rFonts w:hint="eastAsia" w:asciiTheme="minorEastAsia" w:hAnsiTheme="minorEastAsia" w:eastAsiaTheme="minorEastAsia"/>
                <w:color w:val="auto"/>
                <w:szCs w:val="21"/>
                <w:highlight w:val="none"/>
                <w:u w:val="single"/>
              </w:rPr>
              <w:t>服务质量达到《建设工程监理规范》（GB/T50319—2013）等国家现行有关法规要求</w:t>
            </w:r>
            <w:r>
              <w:rPr>
                <w:rFonts w:hint="eastAsia"/>
                <w:snapToGrid w:val="0"/>
                <w:color w:val="auto"/>
                <w:szCs w:val="21"/>
                <w:highlight w:val="none"/>
              </w:rPr>
              <w:t>。</w:t>
            </w:r>
          </w:p>
        </w:tc>
      </w:tr>
      <w:tr w14:paraId="151BC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D6F0C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1.3.4</w:t>
            </w:r>
          </w:p>
        </w:tc>
        <w:tc>
          <w:tcPr>
            <w:tcW w:w="1964" w:type="dxa"/>
            <w:vAlign w:val="center"/>
          </w:tcPr>
          <w:p w14:paraId="51E2577E">
            <w:pPr>
              <w:pStyle w:val="39"/>
              <w:spacing w:line="400" w:lineRule="exact"/>
              <w:jc w:val="center"/>
              <w:rPr>
                <w:color w:val="auto"/>
                <w:szCs w:val="21"/>
                <w:highlight w:val="none"/>
              </w:rPr>
            </w:pPr>
            <w:r>
              <w:rPr>
                <w:rFonts w:hint="eastAsia" w:ascii="宋体" w:hAnsi="宋体"/>
                <w:color w:val="auto"/>
                <w:kern w:val="0"/>
                <w:szCs w:val="21"/>
                <w:highlight w:val="none"/>
              </w:rPr>
              <w:t>服务目标</w:t>
            </w:r>
          </w:p>
        </w:tc>
        <w:tc>
          <w:tcPr>
            <w:tcW w:w="6372" w:type="dxa"/>
            <w:vAlign w:val="center"/>
          </w:tcPr>
          <w:p w14:paraId="7D1A8198">
            <w:pPr>
              <w:spacing w:line="40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（1）质量控制目标：</w:t>
            </w:r>
            <w:r>
              <w:rPr>
                <w:rFonts w:hint="eastAsia" w:asciiTheme="minorEastAsia" w:hAnsiTheme="minorEastAsia" w:eastAsiaTheme="minorEastAsia"/>
                <w:color w:val="auto"/>
                <w:szCs w:val="21"/>
                <w:highlight w:val="none"/>
                <w:u w:val="single"/>
              </w:rPr>
              <w:t>达到国家现行有关施工质量验收规范要求并验收合格</w:t>
            </w:r>
            <w:r>
              <w:rPr>
                <w:rFonts w:hint="eastAsia" w:asciiTheme="minorEastAsia" w:hAnsiTheme="minorEastAsia" w:eastAsiaTheme="minorEastAsia"/>
                <w:color w:val="auto"/>
                <w:szCs w:val="21"/>
                <w:highlight w:val="none"/>
              </w:rPr>
              <w:t>。</w:t>
            </w:r>
          </w:p>
          <w:p w14:paraId="5F9C10EB">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（2）造价控制目标：</w:t>
            </w:r>
            <w:r>
              <w:rPr>
                <w:rFonts w:hint="eastAsia" w:asciiTheme="minorEastAsia" w:hAnsiTheme="minorEastAsia" w:eastAsiaTheme="minorEastAsia"/>
                <w:color w:val="auto"/>
                <w:szCs w:val="21"/>
                <w:highlight w:val="none"/>
                <w:u w:val="single"/>
              </w:rPr>
              <w:t>控制在概算批复内，无超前支付发生，严格控制工程变更</w:t>
            </w:r>
            <w:r>
              <w:rPr>
                <w:rFonts w:hint="eastAsia" w:asciiTheme="minorEastAsia" w:hAnsiTheme="minorEastAsia" w:eastAsiaTheme="minorEastAsia"/>
                <w:color w:val="auto"/>
                <w:szCs w:val="21"/>
                <w:highlight w:val="none"/>
              </w:rPr>
              <w:t>。</w:t>
            </w:r>
          </w:p>
          <w:p w14:paraId="3A437690">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（3）进度控制目标：</w:t>
            </w:r>
            <w:r>
              <w:rPr>
                <w:rFonts w:hint="eastAsia" w:asciiTheme="minorEastAsia" w:hAnsiTheme="minorEastAsia" w:eastAsiaTheme="minorEastAsia"/>
                <w:color w:val="auto"/>
                <w:szCs w:val="21"/>
                <w:highlight w:val="none"/>
                <w:u w:val="single"/>
              </w:rPr>
              <w:t>督促施工单位采用合理的施工工艺和工序按期完工</w:t>
            </w:r>
            <w:r>
              <w:rPr>
                <w:rFonts w:hint="eastAsia" w:asciiTheme="minorEastAsia" w:hAnsiTheme="minorEastAsia" w:eastAsiaTheme="minorEastAsia"/>
                <w:color w:val="auto"/>
                <w:szCs w:val="21"/>
                <w:highlight w:val="none"/>
              </w:rPr>
              <w:t>。</w:t>
            </w:r>
          </w:p>
          <w:p w14:paraId="011E3DE9">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（4）合同管理：</w:t>
            </w:r>
            <w:r>
              <w:rPr>
                <w:rFonts w:hint="eastAsia" w:asciiTheme="minorEastAsia" w:hAnsiTheme="minorEastAsia" w:eastAsiaTheme="minorEastAsia"/>
                <w:color w:val="auto"/>
                <w:szCs w:val="21"/>
                <w:highlight w:val="none"/>
                <w:u w:val="single"/>
              </w:rPr>
              <w:t>正确处理项目有关的合同索赔和合同纠纷</w:t>
            </w:r>
            <w:r>
              <w:rPr>
                <w:rFonts w:hint="eastAsia" w:asciiTheme="minorEastAsia" w:hAnsiTheme="minorEastAsia" w:eastAsiaTheme="minorEastAsia"/>
                <w:color w:val="auto"/>
                <w:szCs w:val="21"/>
                <w:highlight w:val="none"/>
              </w:rPr>
              <w:t>。</w:t>
            </w:r>
          </w:p>
          <w:p w14:paraId="541A4913">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（5）信息管理：</w:t>
            </w:r>
            <w:r>
              <w:rPr>
                <w:rFonts w:hint="eastAsia" w:asciiTheme="minorEastAsia" w:hAnsiTheme="minorEastAsia" w:eastAsiaTheme="minorEastAsia"/>
                <w:color w:val="auto"/>
                <w:szCs w:val="21"/>
                <w:highlight w:val="none"/>
                <w:u w:val="single"/>
              </w:rPr>
              <w:t>对项目施工阶段的信息进行收集、整理和保管，保证过程中重要环节的可追溯性</w:t>
            </w:r>
            <w:r>
              <w:rPr>
                <w:rFonts w:hint="eastAsia" w:asciiTheme="minorEastAsia" w:hAnsiTheme="minorEastAsia" w:eastAsiaTheme="minorEastAsia"/>
                <w:color w:val="auto"/>
                <w:szCs w:val="21"/>
                <w:highlight w:val="none"/>
              </w:rPr>
              <w:t>。</w:t>
            </w:r>
          </w:p>
          <w:p w14:paraId="2A887B64">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（6）协调管理：</w:t>
            </w:r>
            <w:r>
              <w:rPr>
                <w:rFonts w:hint="eastAsia" w:asciiTheme="minorEastAsia" w:hAnsiTheme="minorEastAsia" w:eastAsiaTheme="minorEastAsia"/>
                <w:color w:val="auto"/>
                <w:szCs w:val="21"/>
                <w:highlight w:val="none"/>
                <w:u w:val="single"/>
              </w:rPr>
              <w:t>对工程建设相关方的关系进行协调</w:t>
            </w:r>
            <w:r>
              <w:rPr>
                <w:rFonts w:hint="eastAsia" w:asciiTheme="minorEastAsia" w:hAnsiTheme="minorEastAsia" w:eastAsiaTheme="minorEastAsia"/>
                <w:color w:val="auto"/>
                <w:szCs w:val="21"/>
                <w:highlight w:val="none"/>
              </w:rPr>
              <w:t>。</w:t>
            </w:r>
          </w:p>
          <w:p w14:paraId="7E34F08D">
            <w:pPr>
              <w:pStyle w:val="39"/>
              <w:spacing w:line="40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（7）安全生产履职：</w:t>
            </w:r>
            <w:r>
              <w:rPr>
                <w:rFonts w:hint="eastAsia" w:asciiTheme="minorEastAsia" w:hAnsiTheme="minorEastAsia" w:eastAsiaTheme="minorEastAsia"/>
                <w:color w:val="auto"/>
                <w:szCs w:val="21"/>
                <w:highlight w:val="none"/>
                <w:u w:val="single"/>
              </w:rPr>
              <w:t>履行建设工程安全生产管理法定职责</w:t>
            </w:r>
            <w:r>
              <w:rPr>
                <w:rFonts w:hint="eastAsia" w:asciiTheme="minorEastAsia" w:hAnsiTheme="minorEastAsia" w:eastAsiaTheme="minorEastAsia"/>
                <w:color w:val="auto"/>
                <w:szCs w:val="21"/>
                <w:highlight w:val="none"/>
              </w:rPr>
              <w:t>。</w:t>
            </w:r>
          </w:p>
        </w:tc>
      </w:tr>
      <w:tr w14:paraId="22D50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3DFE022">
            <w:pPr>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1.3.5</w:t>
            </w:r>
          </w:p>
        </w:tc>
        <w:tc>
          <w:tcPr>
            <w:tcW w:w="1964" w:type="dxa"/>
            <w:vAlign w:val="center"/>
          </w:tcPr>
          <w:p w14:paraId="2A9293FD">
            <w:pPr>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监理工作内容</w:t>
            </w:r>
          </w:p>
        </w:tc>
        <w:tc>
          <w:tcPr>
            <w:tcW w:w="6372" w:type="dxa"/>
            <w:vAlign w:val="center"/>
          </w:tcPr>
          <w:p w14:paraId="10152622">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u w:val="single"/>
              </w:rPr>
              <w:t>施工阶段及缺陷责任期全过程监理，包括：“三控制、两管理、一协调、一履职”即：质量控制、造价控制、进度控制，合同管理、信息管理，对工程建设相关方的关系进行协调，履行建设工程安全生产管理法定职责</w:t>
            </w:r>
            <w:r>
              <w:rPr>
                <w:rFonts w:hint="eastAsia" w:asciiTheme="minorEastAsia" w:hAnsiTheme="minorEastAsia" w:eastAsiaTheme="minorEastAsia"/>
                <w:b/>
                <w:color w:val="auto"/>
                <w:szCs w:val="21"/>
                <w:highlight w:val="none"/>
              </w:rPr>
              <w:t>。</w:t>
            </w:r>
          </w:p>
        </w:tc>
      </w:tr>
      <w:tr w14:paraId="7E537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45A9910">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1.3.6</w:t>
            </w:r>
          </w:p>
        </w:tc>
        <w:tc>
          <w:tcPr>
            <w:tcW w:w="1964" w:type="dxa"/>
            <w:vAlign w:val="center"/>
          </w:tcPr>
          <w:p w14:paraId="25A7DA41">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监理工作的其他说明</w:t>
            </w:r>
          </w:p>
        </w:tc>
        <w:tc>
          <w:tcPr>
            <w:tcW w:w="6372" w:type="dxa"/>
            <w:vAlign w:val="center"/>
          </w:tcPr>
          <w:p w14:paraId="33631F73">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中选人应按委托人批准的监理规划和监理细则开展监理工作：</w:t>
            </w:r>
          </w:p>
          <w:p w14:paraId="4A7B7B7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1、协助委托人编写开工报告；</w:t>
            </w:r>
          </w:p>
          <w:p w14:paraId="37CBE325">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审查承包人各项施工准备工作，下达开工通知书</w:t>
            </w:r>
            <w:r>
              <w:rPr>
                <w:rFonts w:hint="eastAsia" w:ascii="宋体" w:hAnsi="宋体" w:cs="宋体"/>
                <w:color w:val="auto"/>
                <w:szCs w:val="21"/>
                <w:highlight w:val="none"/>
              </w:rPr>
              <w:t>；</w:t>
            </w:r>
          </w:p>
          <w:p w14:paraId="37C8F907">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10"/>
                <w:kern w:val="0"/>
                <w:szCs w:val="21"/>
                <w:highlight w:val="none"/>
              </w:rPr>
              <w:t>督促承包人施工管理制度和质量保证体系的建立、健全与实施；</w:t>
            </w:r>
          </w:p>
          <w:p w14:paraId="5B4C1ABA">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4、审查承包人提交的施工组织设计、施工技术方案、施工质量保证措施、安全文明施工措施和专项安全技术方案并督促实施；</w:t>
            </w:r>
          </w:p>
          <w:p w14:paraId="18FA22E8">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5、组织技术交底，图纸会审，审查设计变更；</w:t>
            </w:r>
          </w:p>
          <w:p w14:paraId="5F00DA0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6、根据施工合同约定，审核承包人提出的分包工程项目及选择分包的单位；</w:t>
            </w:r>
          </w:p>
          <w:p w14:paraId="24842C1E">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7、编制投资目标控制计划，审核承包人的已完工程量及月进度报表，签署工程中期付款凭证，经招标人批准后支付；</w:t>
            </w:r>
          </w:p>
          <w:p w14:paraId="0E161D1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8、设计变更经设计咨询单位审核、委托人批准后，发布施工工程变更令，检查工程变更执行情况并作出书面记录；</w:t>
            </w:r>
          </w:p>
          <w:p w14:paraId="3C2EBAA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检查施工现场原材料、构配件的采购、入库、保管、领用等管理制度及其执行情况；审查工程使用的原材料、半成品、成品、构配件和设备的实物质量和资料，并按规定进行检测和监控，对有疑问的必须进行复测；</w:t>
            </w:r>
          </w:p>
          <w:p w14:paraId="13ECD01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w:t>
            </w:r>
            <w:r>
              <w:rPr>
                <w:rFonts w:hint="eastAsia"/>
                <w:color w:val="auto"/>
                <w:highlight w:val="none"/>
              </w:rPr>
              <w:t>协助发包人进行材料设备的核价工作，对承包人提交的材料核价单进行审核。</w:t>
            </w:r>
          </w:p>
          <w:p w14:paraId="59D4857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11、监督承包人严格按技术和设计文件施工，控制工程质量，重要工程部位督促承包商实施预控措施；</w:t>
            </w:r>
          </w:p>
          <w:p w14:paraId="682DB07A">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12、抽查工程施工质量，对隐蔽工程进行复验签证，参与工程质量事故的分析及处理；</w:t>
            </w:r>
          </w:p>
          <w:p w14:paraId="3C19715F">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13、编制进度目标控制计划、审查承包商编制的网络进度计划，经招标人批准后组织实施；分阶段进行进度控制，及时提出调整意见；</w:t>
            </w:r>
          </w:p>
          <w:p w14:paraId="02EF2FC9">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14、对工程承发包合同实施管理；协助处理合同纠纷和索赔事宜，协调委托人与承包人之间的争议；</w:t>
            </w:r>
          </w:p>
          <w:p w14:paraId="2CB84615">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15、督促检查安全生产，文明施工；</w:t>
            </w:r>
          </w:p>
          <w:p w14:paraId="777EC395">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16、现场监理工程师如实填写监理日志并报总监审核。监理人如实编制监理工作月报、监理工作总结和质检运行报告，报委托人和市有关主管部门；</w:t>
            </w:r>
          </w:p>
          <w:p w14:paraId="72E28DF7">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17、督促承包人整理合同文件及施工技术档案资料；</w:t>
            </w:r>
          </w:p>
          <w:p w14:paraId="347F1B59">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18、组织对工程验收预备会，参与工程竣工验收，对施工质量提出评价意见；</w:t>
            </w:r>
          </w:p>
          <w:p w14:paraId="2385A78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19、督促承包人按合同规定及要求整理施工技术档案资料；认真审核竣工图纸和其他技术文件资料；</w:t>
            </w:r>
          </w:p>
          <w:p w14:paraId="35C7413F">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20、编制监理工作竣工文件和项目工程最终总结；</w:t>
            </w:r>
          </w:p>
          <w:p w14:paraId="1C354A2E">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21、签发交工验收证书和工程缺陷责任终止证书；</w:t>
            </w:r>
          </w:p>
          <w:p w14:paraId="609A0C4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严格按照《建筑工程安全施工管理条例》、《安全生产法》和《关于落实建设工程安全生产监理责任的若干意见》（建市[2006]248号）等国家、地方颁布的安全法律、法规开展安全监理工作，认真履行监理的安全责任；</w:t>
            </w:r>
          </w:p>
          <w:p w14:paraId="2D2FFFC2">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23、签发最终支付证书；</w:t>
            </w:r>
          </w:p>
          <w:p w14:paraId="3E22033A">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24、监理人可采用现场远程监控设备对现场各承包人进行管理；</w:t>
            </w:r>
          </w:p>
          <w:p w14:paraId="271FE6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25、督促承包人施工管理制度和质量保证体系的建立、健全与实施；编制质量目标控制计划，对工程的重要部位督促承包人实施预控措施；</w:t>
            </w:r>
          </w:p>
          <w:p w14:paraId="0709C4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26、每月提供监理月报，工程完工后，编制监理工作档案资料和项目监理工作总结； </w:t>
            </w:r>
          </w:p>
          <w:p w14:paraId="6E526A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27、按照旁站监理规定进行旁站监理；完成《建设工程监理规范》（GB50319—2013）规定的其他相应监理工作内容；</w:t>
            </w:r>
          </w:p>
          <w:p w14:paraId="72C83694">
            <w:pPr>
              <w:adjustRightInd w:val="0"/>
              <w:snapToGrid w:val="0"/>
              <w:spacing w:line="360" w:lineRule="auto"/>
              <w:ind w:firstLine="420" w:firstLineChars="200"/>
              <w:rPr>
                <w:color w:val="auto"/>
                <w:highlight w:val="none"/>
              </w:rPr>
            </w:pPr>
            <w:r>
              <w:rPr>
                <w:rFonts w:hint="eastAsia" w:ascii="宋体" w:hAnsi="宋体" w:cs="宋体"/>
                <w:bCs/>
                <w:color w:val="auto"/>
                <w:szCs w:val="21"/>
                <w:highlight w:val="none"/>
              </w:rPr>
              <w:t>28、具体监理内容以签订合同时，发包人最终确认为准</w:t>
            </w:r>
            <w:r>
              <w:rPr>
                <w:rFonts w:hint="eastAsia" w:ascii="宋体" w:hAnsi="宋体" w:cs="宋体"/>
                <w:color w:val="auto"/>
                <w:szCs w:val="21"/>
                <w:highlight w:val="none"/>
              </w:rPr>
              <w:t>。</w:t>
            </w:r>
          </w:p>
          <w:p w14:paraId="6717D0F6">
            <w:pPr>
              <w:spacing w:line="400" w:lineRule="exact"/>
              <w:ind w:firstLine="420" w:firstLineChars="200"/>
              <w:rPr>
                <w:rFonts w:asciiTheme="minorEastAsia" w:hAnsiTheme="minorEastAsia" w:eastAsiaTheme="minorEastAsia"/>
                <w:color w:val="auto"/>
                <w:szCs w:val="21"/>
                <w:highlight w:val="none"/>
                <w:u w:val="single"/>
              </w:rPr>
            </w:pPr>
            <w:r>
              <w:rPr>
                <w:rFonts w:hint="eastAsia" w:ascii="宋体" w:hAnsi="宋体" w:cs="宋体"/>
                <w:color w:val="auto"/>
                <w:szCs w:val="21"/>
                <w:highlight w:val="none"/>
              </w:rPr>
              <w:t>注：以上未尽事项，参照《建设工程监理规范》及房屋建筑工程监理实施细则执行。</w:t>
            </w:r>
          </w:p>
        </w:tc>
      </w:tr>
      <w:tr w14:paraId="78C95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14:paraId="23D69AEF">
            <w:pPr>
              <w:snapToGrid w:val="0"/>
              <w:spacing w:line="400" w:lineRule="exact"/>
              <w:jc w:val="center"/>
              <w:rPr>
                <w:rFonts w:ascii="宋体" w:hAnsi="宋体" w:cs="宋体"/>
                <w:color w:val="auto"/>
                <w:kern w:val="0"/>
                <w:szCs w:val="21"/>
                <w:highlight w:val="none"/>
              </w:rPr>
            </w:pPr>
          </w:p>
          <w:p w14:paraId="329AFF86">
            <w:pPr>
              <w:snapToGrid w:val="0"/>
              <w:spacing w:line="400" w:lineRule="exact"/>
              <w:jc w:val="center"/>
              <w:rPr>
                <w:rFonts w:ascii="宋体" w:hAnsi="宋体" w:cs="宋体"/>
                <w:color w:val="auto"/>
                <w:kern w:val="0"/>
                <w:szCs w:val="21"/>
                <w:highlight w:val="none"/>
              </w:rPr>
            </w:pPr>
          </w:p>
          <w:p w14:paraId="1846AB7C">
            <w:pPr>
              <w:snapToGrid w:val="0"/>
              <w:spacing w:line="400" w:lineRule="exact"/>
              <w:jc w:val="center"/>
              <w:rPr>
                <w:rFonts w:ascii="宋体" w:hAnsi="宋体" w:cs="宋体"/>
                <w:color w:val="auto"/>
                <w:kern w:val="0"/>
                <w:szCs w:val="21"/>
                <w:highlight w:val="none"/>
              </w:rPr>
            </w:pPr>
          </w:p>
          <w:p w14:paraId="74A908CD">
            <w:pPr>
              <w:snapToGrid w:val="0"/>
              <w:spacing w:line="400" w:lineRule="exact"/>
              <w:jc w:val="center"/>
              <w:rPr>
                <w:rFonts w:ascii="宋体" w:hAnsi="宋体" w:cs="宋体"/>
                <w:color w:val="auto"/>
                <w:kern w:val="0"/>
                <w:szCs w:val="21"/>
                <w:highlight w:val="none"/>
              </w:rPr>
            </w:pPr>
          </w:p>
          <w:p w14:paraId="7D4F36C2">
            <w:pPr>
              <w:snapToGrid w:val="0"/>
              <w:spacing w:line="400" w:lineRule="exact"/>
              <w:jc w:val="center"/>
              <w:rPr>
                <w:rFonts w:ascii="宋体" w:hAnsi="宋体" w:cs="宋体"/>
                <w:color w:val="auto"/>
                <w:kern w:val="0"/>
                <w:szCs w:val="21"/>
                <w:highlight w:val="none"/>
              </w:rPr>
            </w:pPr>
          </w:p>
          <w:p w14:paraId="55241482">
            <w:pPr>
              <w:snapToGrid w:val="0"/>
              <w:spacing w:line="400" w:lineRule="exact"/>
              <w:jc w:val="center"/>
              <w:rPr>
                <w:rFonts w:ascii="宋体" w:hAnsi="宋体" w:cs="宋体"/>
                <w:color w:val="auto"/>
                <w:kern w:val="0"/>
                <w:szCs w:val="21"/>
                <w:highlight w:val="none"/>
              </w:rPr>
            </w:pPr>
          </w:p>
          <w:p w14:paraId="7E743E67">
            <w:pPr>
              <w:snapToGrid w:val="0"/>
              <w:spacing w:line="400" w:lineRule="exact"/>
              <w:jc w:val="center"/>
              <w:rPr>
                <w:rFonts w:ascii="宋体" w:hAnsi="宋体" w:cs="宋体"/>
                <w:color w:val="auto"/>
                <w:kern w:val="0"/>
                <w:szCs w:val="21"/>
                <w:highlight w:val="none"/>
              </w:rPr>
            </w:pPr>
          </w:p>
          <w:p w14:paraId="57A7601C">
            <w:pPr>
              <w:snapToGrid w:val="0"/>
              <w:spacing w:line="400" w:lineRule="exact"/>
              <w:jc w:val="center"/>
              <w:rPr>
                <w:rFonts w:ascii="宋体" w:hAnsi="宋体" w:cs="宋体"/>
                <w:color w:val="auto"/>
                <w:kern w:val="0"/>
                <w:szCs w:val="21"/>
                <w:highlight w:val="none"/>
              </w:rPr>
            </w:pPr>
          </w:p>
          <w:p w14:paraId="5F50233E">
            <w:pPr>
              <w:snapToGrid w:val="0"/>
              <w:spacing w:line="400" w:lineRule="exact"/>
              <w:jc w:val="center"/>
              <w:rPr>
                <w:rFonts w:ascii="宋体" w:hAnsi="宋体" w:cs="宋体"/>
                <w:color w:val="auto"/>
                <w:kern w:val="0"/>
                <w:szCs w:val="21"/>
                <w:highlight w:val="none"/>
              </w:rPr>
            </w:pPr>
          </w:p>
          <w:p w14:paraId="7C0B40E4">
            <w:pPr>
              <w:snapToGrid w:val="0"/>
              <w:spacing w:line="400" w:lineRule="exact"/>
              <w:jc w:val="center"/>
              <w:rPr>
                <w:rFonts w:ascii="宋体" w:hAnsi="宋体" w:cs="宋体"/>
                <w:color w:val="auto"/>
                <w:kern w:val="0"/>
                <w:szCs w:val="21"/>
                <w:highlight w:val="none"/>
              </w:rPr>
            </w:pPr>
          </w:p>
          <w:p w14:paraId="1E2D507B">
            <w:pPr>
              <w:snapToGrid w:val="0"/>
              <w:spacing w:line="400" w:lineRule="exact"/>
              <w:jc w:val="center"/>
              <w:rPr>
                <w:rFonts w:ascii="宋体" w:hAnsi="宋体" w:cs="宋体"/>
                <w:color w:val="auto"/>
                <w:kern w:val="0"/>
                <w:szCs w:val="21"/>
                <w:highlight w:val="none"/>
              </w:rPr>
            </w:pPr>
          </w:p>
          <w:p w14:paraId="516D6470">
            <w:pPr>
              <w:snapToGrid w:val="0"/>
              <w:spacing w:line="400" w:lineRule="exact"/>
              <w:jc w:val="center"/>
              <w:rPr>
                <w:rFonts w:ascii="宋体" w:hAnsi="宋体" w:cs="宋体"/>
                <w:color w:val="auto"/>
                <w:kern w:val="0"/>
                <w:szCs w:val="21"/>
                <w:highlight w:val="none"/>
              </w:rPr>
            </w:pPr>
          </w:p>
          <w:p w14:paraId="1A567B8E">
            <w:pPr>
              <w:snapToGrid w:val="0"/>
              <w:spacing w:line="400" w:lineRule="exact"/>
              <w:jc w:val="center"/>
              <w:rPr>
                <w:rFonts w:ascii="宋体" w:hAnsi="宋体" w:cs="宋体"/>
                <w:color w:val="auto"/>
                <w:kern w:val="0"/>
                <w:szCs w:val="21"/>
                <w:highlight w:val="none"/>
              </w:rPr>
            </w:pPr>
          </w:p>
          <w:p w14:paraId="6CCC60A2">
            <w:pPr>
              <w:snapToGrid w:val="0"/>
              <w:spacing w:line="400" w:lineRule="exact"/>
              <w:jc w:val="center"/>
              <w:rPr>
                <w:rFonts w:ascii="宋体" w:hAnsi="宋体" w:cs="宋体"/>
                <w:color w:val="auto"/>
                <w:kern w:val="0"/>
                <w:szCs w:val="21"/>
                <w:highlight w:val="none"/>
              </w:rPr>
            </w:pPr>
          </w:p>
          <w:p w14:paraId="21F10617">
            <w:pPr>
              <w:snapToGrid w:val="0"/>
              <w:spacing w:line="400" w:lineRule="exact"/>
              <w:jc w:val="center"/>
              <w:rPr>
                <w:rFonts w:ascii="宋体" w:hAnsi="宋体" w:cs="宋体"/>
                <w:color w:val="auto"/>
                <w:kern w:val="0"/>
                <w:szCs w:val="21"/>
                <w:highlight w:val="none"/>
              </w:rPr>
            </w:pPr>
          </w:p>
          <w:p w14:paraId="09A9FBE9">
            <w:pPr>
              <w:snapToGrid w:val="0"/>
              <w:spacing w:line="400" w:lineRule="exact"/>
              <w:jc w:val="center"/>
              <w:rPr>
                <w:rFonts w:ascii="宋体" w:hAnsi="宋体" w:cs="宋体"/>
                <w:color w:val="auto"/>
                <w:kern w:val="0"/>
                <w:szCs w:val="21"/>
                <w:highlight w:val="none"/>
              </w:rPr>
            </w:pPr>
          </w:p>
          <w:p w14:paraId="00C40977">
            <w:pPr>
              <w:snapToGrid w:val="0"/>
              <w:spacing w:line="400" w:lineRule="exact"/>
              <w:jc w:val="center"/>
              <w:rPr>
                <w:rFonts w:ascii="宋体" w:hAnsi="宋体" w:cs="宋体"/>
                <w:color w:val="auto"/>
                <w:kern w:val="0"/>
                <w:szCs w:val="21"/>
                <w:highlight w:val="none"/>
              </w:rPr>
            </w:pPr>
          </w:p>
          <w:p w14:paraId="745BE09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p w14:paraId="234440EE">
            <w:pPr>
              <w:snapToGrid w:val="0"/>
              <w:spacing w:line="400" w:lineRule="exact"/>
              <w:jc w:val="center"/>
              <w:rPr>
                <w:rFonts w:ascii="宋体" w:hAnsi="宋体" w:cs="宋体"/>
                <w:color w:val="auto"/>
                <w:kern w:val="0"/>
                <w:szCs w:val="21"/>
                <w:highlight w:val="none"/>
              </w:rPr>
            </w:pPr>
          </w:p>
          <w:p w14:paraId="76BF147C">
            <w:pPr>
              <w:snapToGrid w:val="0"/>
              <w:spacing w:line="400" w:lineRule="exact"/>
              <w:jc w:val="center"/>
              <w:rPr>
                <w:rFonts w:ascii="宋体" w:hAnsi="宋体" w:cs="宋体"/>
                <w:color w:val="auto"/>
                <w:kern w:val="0"/>
                <w:szCs w:val="21"/>
                <w:highlight w:val="none"/>
              </w:rPr>
            </w:pPr>
          </w:p>
          <w:p w14:paraId="7F581DDC">
            <w:pPr>
              <w:snapToGrid w:val="0"/>
              <w:spacing w:line="400" w:lineRule="exact"/>
              <w:jc w:val="center"/>
              <w:rPr>
                <w:rFonts w:ascii="宋体" w:hAnsi="宋体" w:cs="宋体"/>
                <w:color w:val="auto"/>
                <w:kern w:val="0"/>
                <w:szCs w:val="21"/>
                <w:highlight w:val="none"/>
              </w:rPr>
            </w:pPr>
          </w:p>
          <w:p w14:paraId="165F78C0">
            <w:pPr>
              <w:snapToGrid w:val="0"/>
              <w:spacing w:line="400" w:lineRule="exact"/>
              <w:jc w:val="center"/>
              <w:rPr>
                <w:rFonts w:ascii="宋体" w:hAnsi="宋体" w:cs="宋体"/>
                <w:color w:val="auto"/>
                <w:kern w:val="0"/>
                <w:szCs w:val="21"/>
                <w:highlight w:val="none"/>
              </w:rPr>
            </w:pPr>
          </w:p>
          <w:p w14:paraId="60005DE2">
            <w:pPr>
              <w:snapToGrid w:val="0"/>
              <w:spacing w:line="400" w:lineRule="exact"/>
              <w:jc w:val="center"/>
              <w:rPr>
                <w:rFonts w:ascii="宋体" w:hAnsi="宋体" w:cs="宋体"/>
                <w:color w:val="auto"/>
                <w:kern w:val="0"/>
                <w:szCs w:val="21"/>
                <w:highlight w:val="none"/>
              </w:rPr>
            </w:pPr>
          </w:p>
          <w:p w14:paraId="5EAB3D43">
            <w:pPr>
              <w:snapToGrid w:val="0"/>
              <w:spacing w:line="400" w:lineRule="exact"/>
              <w:jc w:val="center"/>
              <w:rPr>
                <w:rFonts w:ascii="宋体" w:hAnsi="宋体" w:cs="宋体"/>
                <w:color w:val="auto"/>
                <w:kern w:val="0"/>
                <w:szCs w:val="21"/>
                <w:highlight w:val="none"/>
              </w:rPr>
            </w:pPr>
          </w:p>
          <w:p w14:paraId="4B25F87F">
            <w:pPr>
              <w:snapToGrid w:val="0"/>
              <w:spacing w:line="400" w:lineRule="exact"/>
              <w:jc w:val="center"/>
              <w:rPr>
                <w:rFonts w:ascii="宋体" w:hAnsi="宋体" w:cs="宋体"/>
                <w:color w:val="auto"/>
                <w:kern w:val="0"/>
                <w:szCs w:val="21"/>
                <w:highlight w:val="none"/>
              </w:rPr>
            </w:pPr>
          </w:p>
          <w:p w14:paraId="5CFB26EC">
            <w:pPr>
              <w:snapToGrid w:val="0"/>
              <w:spacing w:line="400" w:lineRule="exact"/>
              <w:jc w:val="center"/>
              <w:rPr>
                <w:rFonts w:ascii="宋体" w:hAnsi="宋体" w:cs="宋体"/>
                <w:color w:val="auto"/>
                <w:kern w:val="0"/>
                <w:szCs w:val="21"/>
                <w:highlight w:val="none"/>
              </w:rPr>
            </w:pPr>
          </w:p>
          <w:p w14:paraId="2759D377">
            <w:pPr>
              <w:snapToGrid w:val="0"/>
              <w:spacing w:line="400" w:lineRule="exact"/>
              <w:jc w:val="center"/>
              <w:rPr>
                <w:rFonts w:ascii="宋体" w:hAnsi="宋体" w:cs="宋体"/>
                <w:color w:val="auto"/>
                <w:kern w:val="0"/>
                <w:szCs w:val="21"/>
                <w:highlight w:val="none"/>
              </w:rPr>
            </w:pPr>
          </w:p>
          <w:p w14:paraId="0CF55F79">
            <w:pPr>
              <w:snapToGrid w:val="0"/>
              <w:spacing w:line="400" w:lineRule="exact"/>
              <w:jc w:val="center"/>
              <w:rPr>
                <w:rFonts w:ascii="宋体" w:hAnsi="宋体" w:cs="宋体"/>
                <w:color w:val="auto"/>
                <w:kern w:val="0"/>
                <w:szCs w:val="21"/>
                <w:highlight w:val="none"/>
              </w:rPr>
            </w:pPr>
          </w:p>
          <w:p w14:paraId="220C8E99">
            <w:pPr>
              <w:snapToGrid w:val="0"/>
              <w:spacing w:line="400" w:lineRule="exact"/>
              <w:jc w:val="center"/>
              <w:rPr>
                <w:rFonts w:ascii="宋体" w:hAnsi="宋体" w:cs="宋体"/>
                <w:color w:val="auto"/>
                <w:kern w:val="0"/>
                <w:szCs w:val="21"/>
                <w:highlight w:val="none"/>
              </w:rPr>
            </w:pPr>
          </w:p>
          <w:p w14:paraId="6CBBD187">
            <w:pPr>
              <w:snapToGrid w:val="0"/>
              <w:spacing w:line="400" w:lineRule="exact"/>
              <w:jc w:val="center"/>
              <w:rPr>
                <w:rFonts w:ascii="宋体" w:hAnsi="宋体" w:cs="宋体"/>
                <w:color w:val="auto"/>
                <w:kern w:val="0"/>
                <w:szCs w:val="21"/>
                <w:highlight w:val="none"/>
              </w:rPr>
            </w:pPr>
          </w:p>
          <w:p w14:paraId="7F2E104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1964" w:type="dxa"/>
            <w:vAlign w:val="center"/>
          </w:tcPr>
          <w:p w14:paraId="3815CDF4">
            <w:pPr>
              <w:snapToGrid w:val="0"/>
              <w:spacing w:line="400" w:lineRule="exact"/>
              <w:jc w:val="center"/>
              <w:rPr>
                <w:rFonts w:ascii="宋体" w:hAnsi="宋体" w:cs="宋体"/>
                <w:color w:val="auto"/>
                <w:kern w:val="0"/>
                <w:szCs w:val="21"/>
                <w:highlight w:val="none"/>
              </w:rPr>
            </w:pPr>
          </w:p>
          <w:p w14:paraId="0C47E28F">
            <w:pPr>
              <w:snapToGrid w:val="0"/>
              <w:spacing w:line="400" w:lineRule="exact"/>
              <w:jc w:val="center"/>
              <w:rPr>
                <w:rFonts w:ascii="宋体" w:hAnsi="宋体" w:cs="宋体"/>
                <w:color w:val="auto"/>
                <w:kern w:val="0"/>
                <w:szCs w:val="21"/>
                <w:highlight w:val="none"/>
              </w:rPr>
            </w:pPr>
          </w:p>
          <w:p w14:paraId="09639B97">
            <w:pPr>
              <w:snapToGrid w:val="0"/>
              <w:spacing w:line="400" w:lineRule="exact"/>
              <w:jc w:val="center"/>
              <w:rPr>
                <w:rFonts w:ascii="宋体" w:hAnsi="宋体" w:cs="宋体"/>
                <w:color w:val="auto"/>
                <w:kern w:val="0"/>
                <w:szCs w:val="21"/>
                <w:highlight w:val="none"/>
              </w:rPr>
            </w:pPr>
          </w:p>
          <w:p w14:paraId="2981033B">
            <w:pPr>
              <w:snapToGrid w:val="0"/>
              <w:spacing w:line="400" w:lineRule="exact"/>
              <w:jc w:val="center"/>
              <w:rPr>
                <w:rFonts w:ascii="宋体" w:hAnsi="宋体" w:cs="宋体"/>
                <w:color w:val="auto"/>
                <w:kern w:val="0"/>
                <w:szCs w:val="21"/>
                <w:highlight w:val="none"/>
              </w:rPr>
            </w:pPr>
          </w:p>
          <w:p w14:paraId="111BDC8A">
            <w:pPr>
              <w:snapToGrid w:val="0"/>
              <w:spacing w:line="400" w:lineRule="exact"/>
              <w:jc w:val="center"/>
              <w:rPr>
                <w:rFonts w:ascii="宋体" w:hAnsi="宋体" w:cs="宋体"/>
                <w:color w:val="auto"/>
                <w:kern w:val="0"/>
                <w:szCs w:val="21"/>
                <w:highlight w:val="none"/>
              </w:rPr>
            </w:pPr>
          </w:p>
          <w:p w14:paraId="3FE37BA9">
            <w:pPr>
              <w:snapToGrid w:val="0"/>
              <w:spacing w:line="400" w:lineRule="exact"/>
              <w:jc w:val="center"/>
              <w:rPr>
                <w:rFonts w:ascii="宋体" w:hAnsi="宋体" w:cs="宋体"/>
                <w:color w:val="auto"/>
                <w:kern w:val="0"/>
                <w:szCs w:val="21"/>
                <w:highlight w:val="none"/>
              </w:rPr>
            </w:pPr>
          </w:p>
          <w:p w14:paraId="7A13660C">
            <w:pPr>
              <w:snapToGrid w:val="0"/>
              <w:spacing w:line="400" w:lineRule="exact"/>
              <w:jc w:val="center"/>
              <w:rPr>
                <w:rFonts w:ascii="宋体" w:hAnsi="宋体" w:cs="宋体"/>
                <w:color w:val="auto"/>
                <w:kern w:val="0"/>
                <w:szCs w:val="21"/>
                <w:highlight w:val="none"/>
              </w:rPr>
            </w:pPr>
          </w:p>
          <w:p w14:paraId="7BE74607">
            <w:pPr>
              <w:snapToGrid w:val="0"/>
              <w:spacing w:line="400" w:lineRule="exact"/>
              <w:jc w:val="center"/>
              <w:rPr>
                <w:rFonts w:ascii="宋体" w:hAnsi="宋体" w:cs="宋体"/>
                <w:color w:val="auto"/>
                <w:kern w:val="0"/>
                <w:szCs w:val="21"/>
                <w:highlight w:val="none"/>
              </w:rPr>
            </w:pPr>
          </w:p>
          <w:p w14:paraId="6BCE9226">
            <w:pPr>
              <w:snapToGrid w:val="0"/>
              <w:spacing w:line="400" w:lineRule="exact"/>
              <w:jc w:val="center"/>
              <w:rPr>
                <w:rFonts w:ascii="宋体" w:hAnsi="宋体" w:cs="宋体"/>
                <w:color w:val="auto"/>
                <w:kern w:val="0"/>
                <w:szCs w:val="21"/>
                <w:highlight w:val="none"/>
              </w:rPr>
            </w:pPr>
          </w:p>
          <w:p w14:paraId="43719AFC">
            <w:pPr>
              <w:snapToGrid w:val="0"/>
              <w:spacing w:line="400" w:lineRule="exact"/>
              <w:jc w:val="center"/>
              <w:rPr>
                <w:rFonts w:ascii="宋体" w:hAnsi="宋体" w:cs="宋体"/>
                <w:color w:val="auto"/>
                <w:kern w:val="0"/>
                <w:szCs w:val="21"/>
                <w:highlight w:val="none"/>
              </w:rPr>
            </w:pPr>
          </w:p>
          <w:p w14:paraId="2174142A">
            <w:pPr>
              <w:snapToGrid w:val="0"/>
              <w:spacing w:line="400" w:lineRule="exact"/>
              <w:jc w:val="center"/>
              <w:rPr>
                <w:rFonts w:ascii="宋体" w:hAnsi="宋体" w:cs="宋体"/>
                <w:color w:val="auto"/>
                <w:kern w:val="0"/>
                <w:szCs w:val="21"/>
                <w:highlight w:val="none"/>
              </w:rPr>
            </w:pPr>
          </w:p>
          <w:p w14:paraId="33B8F890">
            <w:pPr>
              <w:snapToGrid w:val="0"/>
              <w:spacing w:line="400" w:lineRule="exact"/>
              <w:jc w:val="center"/>
              <w:rPr>
                <w:rFonts w:ascii="宋体" w:hAnsi="宋体" w:cs="宋体"/>
                <w:color w:val="auto"/>
                <w:kern w:val="0"/>
                <w:szCs w:val="21"/>
                <w:highlight w:val="none"/>
              </w:rPr>
            </w:pPr>
          </w:p>
          <w:p w14:paraId="6814BADD">
            <w:pPr>
              <w:snapToGrid w:val="0"/>
              <w:spacing w:line="400" w:lineRule="exact"/>
              <w:jc w:val="center"/>
              <w:rPr>
                <w:rFonts w:ascii="宋体" w:hAnsi="宋体" w:cs="宋体"/>
                <w:color w:val="auto"/>
                <w:kern w:val="0"/>
                <w:szCs w:val="21"/>
                <w:highlight w:val="none"/>
              </w:rPr>
            </w:pPr>
          </w:p>
          <w:p w14:paraId="1653C318">
            <w:pPr>
              <w:snapToGrid w:val="0"/>
              <w:spacing w:line="400" w:lineRule="exact"/>
              <w:jc w:val="center"/>
              <w:rPr>
                <w:rFonts w:ascii="宋体" w:hAnsi="宋体" w:cs="宋体"/>
                <w:color w:val="auto"/>
                <w:kern w:val="0"/>
                <w:szCs w:val="21"/>
                <w:highlight w:val="none"/>
              </w:rPr>
            </w:pPr>
          </w:p>
          <w:p w14:paraId="2ABB6C96">
            <w:pPr>
              <w:snapToGrid w:val="0"/>
              <w:spacing w:line="400" w:lineRule="exact"/>
              <w:jc w:val="center"/>
              <w:rPr>
                <w:rFonts w:ascii="宋体" w:hAnsi="宋体" w:cs="宋体"/>
                <w:color w:val="auto"/>
                <w:kern w:val="0"/>
                <w:szCs w:val="21"/>
                <w:highlight w:val="none"/>
              </w:rPr>
            </w:pPr>
          </w:p>
          <w:p w14:paraId="2D477108">
            <w:pPr>
              <w:snapToGrid w:val="0"/>
              <w:spacing w:line="400" w:lineRule="exact"/>
              <w:jc w:val="center"/>
              <w:rPr>
                <w:rFonts w:ascii="宋体" w:hAnsi="宋体" w:cs="宋体"/>
                <w:color w:val="auto"/>
                <w:kern w:val="0"/>
                <w:szCs w:val="21"/>
                <w:highlight w:val="none"/>
              </w:rPr>
            </w:pPr>
          </w:p>
          <w:p w14:paraId="1AF1CF39">
            <w:pPr>
              <w:snapToGrid w:val="0"/>
              <w:spacing w:line="400" w:lineRule="exact"/>
              <w:jc w:val="center"/>
              <w:rPr>
                <w:rFonts w:ascii="宋体" w:hAnsi="宋体" w:cs="宋体"/>
                <w:color w:val="auto"/>
                <w:kern w:val="0"/>
                <w:szCs w:val="21"/>
                <w:highlight w:val="none"/>
              </w:rPr>
            </w:pPr>
          </w:p>
          <w:p w14:paraId="4BC961F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p w14:paraId="4A9F5E76">
            <w:pPr>
              <w:snapToGrid w:val="0"/>
              <w:spacing w:line="400" w:lineRule="exact"/>
              <w:jc w:val="center"/>
              <w:rPr>
                <w:rFonts w:ascii="宋体" w:hAnsi="宋体" w:cs="宋体"/>
                <w:color w:val="auto"/>
                <w:kern w:val="0"/>
                <w:szCs w:val="21"/>
                <w:highlight w:val="none"/>
              </w:rPr>
            </w:pPr>
          </w:p>
          <w:p w14:paraId="12B93087">
            <w:pPr>
              <w:snapToGrid w:val="0"/>
              <w:spacing w:line="400" w:lineRule="exact"/>
              <w:jc w:val="center"/>
              <w:rPr>
                <w:rFonts w:ascii="宋体" w:hAnsi="宋体" w:cs="宋体"/>
                <w:color w:val="auto"/>
                <w:kern w:val="0"/>
                <w:szCs w:val="21"/>
                <w:highlight w:val="none"/>
              </w:rPr>
            </w:pPr>
          </w:p>
          <w:p w14:paraId="359DE064">
            <w:pPr>
              <w:snapToGrid w:val="0"/>
              <w:spacing w:line="400" w:lineRule="exact"/>
              <w:jc w:val="center"/>
              <w:rPr>
                <w:rFonts w:ascii="宋体" w:hAnsi="宋体" w:cs="宋体"/>
                <w:color w:val="auto"/>
                <w:kern w:val="0"/>
                <w:szCs w:val="21"/>
                <w:highlight w:val="none"/>
              </w:rPr>
            </w:pPr>
          </w:p>
          <w:p w14:paraId="0FF8E0CF">
            <w:pPr>
              <w:snapToGrid w:val="0"/>
              <w:spacing w:line="400" w:lineRule="exact"/>
              <w:jc w:val="center"/>
              <w:rPr>
                <w:rFonts w:ascii="宋体" w:hAnsi="宋体" w:cs="宋体"/>
                <w:color w:val="auto"/>
                <w:kern w:val="0"/>
                <w:szCs w:val="21"/>
                <w:highlight w:val="none"/>
              </w:rPr>
            </w:pPr>
          </w:p>
          <w:p w14:paraId="14F3699A">
            <w:pPr>
              <w:snapToGrid w:val="0"/>
              <w:spacing w:line="400" w:lineRule="exact"/>
              <w:jc w:val="center"/>
              <w:rPr>
                <w:rFonts w:ascii="宋体" w:hAnsi="宋体" w:cs="宋体"/>
                <w:color w:val="auto"/>
                <w:kern w:val="0"/>
                <w:szCs w:val="21"/>
                <w:highlight w:val="none"/>
              </w:rPr>
            </w:pPr>
          </w:p>
          <w:p w14:paraId="5D93EC7C">
            <w:pPr>
              <w:snapToGrid w:val="0"/>
              <w:spacing w:line="400" w:lineRule="exact"/>
              <w:jc w:val="center"/>
              <w:rPr>
                <w:rFonts w:ascii="宋体" w:hAnsi="宋体" w:cs="宋体"/>
                <w:color w:val="auto"/>
                <w:kern w:val="0"/>
                <w:szCs w:val="21"/>
                <w:highlight w:val="none"/>
              </w:rPr>
            </w:pPr>
          </w:p>
          <w:p w14:paraId="4A3346CD">
            <w:pPr>
              <w:snapToGrid w:val="0"/>
              <w:spacing w:line="400" w:lineRule="exact"/>
              <w:jc w:val="center"/>
              <w:rPr>
                <w:rFonts w:ascii="宋体" w:hAnsi="宋体" w:cs="宋体"/>
                <w:color w:val="auto"/>
                <w:kern w:val="0"/>
                <w:szCs w:val="21"/>
                <w:highlight w:val="none"/>
              </w:rPr>
            </w:pPr>
          </w:p>
          <w:p w14:paraId="5B766729">
            <w:pPr>
              <w:snapToGrid w:val="0"/>
              <w:spacing w:line="400" w:lineRule="exact"/>
              <w:jc w:val="center"/>
              <w:rPr>
                <w:rFonts w:ascii="宋体" w:hAnsi="宋体" w:cs="宋体"/>
                <w:color w:val="auto"/>
                <w:kern w:val="0"/>
                <w:szCs w:val="21"/>
                <w:highlight w:val="none"/>
              </w:rPr>
            </w:pPr>
          </w:p>
          <w:p w14:paraId="27C2FB06">
            <w:pPr>
              <w:snapToGrid w:val="0"/>
              <w:spacing w:line="400" w:lineRule="exact"/>
              <w:jc w:val="center"/>
              <w:rPr>
                <w:rFonts w:ascii="宋体" w:hAnsi="宋体" w:cs="宋体"/>
                <w:color w:val="auto"/>
                <w:kern w:val="0"/>
                <w:szCs w:val="21"/>
                <w:highlight w:val="none"/>
              </w:rPr>
            </w:pPr>
          </w:p>
          <w:p w14:paraId="2A9836EA">
            <w:pPr>
              <w:snapToGrid w:val="0"/>
              <w:spacing w:line="400" w:lineRule="exact"/>
              <w:jc w:val="center"/>
              <w:rPr>
                <w:rFonts w:ascii="宋体" w:hAnsi="宋体" w:cs="宋体"/>
                <w:color w:val="auto"/>
                <w:kern w:val="0"/>
                <w:szCs w:val="21"/>
                <w:highlight w:val="none"/>
              </w:rPr>
            </w:pPr>
          </w:p>
          <w:p w14:paraId="74A4AD42">
            <w:pPr>
              <w:snapToGrid w:val="0"/>
              <w:spacing w:line="400" w:lineRule="exact"/>
              <w:rPr>
                <w:rFonts w:ascii="宋体" w:hAnsi="宋体" w:cs="宋体"/>
                <w:color w:val="auto"/>
                <w:kern w:val="0"/>
                <w:szCs w:val="21"/>
                <w:highlight w:val="none"/>
              </w:rPr>
            </w:pPr>
          </w:p>
          <w:p w14:paraId="096CEF8B">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tc>
        <w:tc>
          <w:tcPr>
            <w:tcW w:w="6372" w:type="dxa"/>
            <w:vAlign w:val="center"/>
          </w:tcPr>
          <w:p w14:paraId="530CF5B4">
            <w:pPr>
              <w:snapToGrid w:val="0"/>
              <w:spacing w:line="400" w:lineRule="exact"/>
              <w:ind w:firstLine="420" w:firstLineChars="200"/>
              <w:rPr>
                <w:rFonts w:ascii="宋体" w:hAnsi="宋体" w:cs="宋体"/>
                <w:color w:val="auto"/>
                <w:highlight w:val="none"/>
              </w:rPr>
            </w:pPr>
            <w:bookmarkStart w:id="40" w:name="OLE_LINK1"/>
            <w:r>
              <w:rPr>
                <w:rFonts w:hint="eastAsia" w:ascii="宋体" w:hAnsi="宋体" w:cs="宋体"/>
                <w:color w:val="auto"/>
                <w:highlight w:val="none"/>
              </w:rPr>
              <w:t>本次比选实行资格后审，</w:t>
            </w:r>
            <w:bookmarkStart w:id="41" w:name="一是"/>
            <w:bookmarkEnd w:id="41"/>
            <w:r>
              <w:rPr>
                <w:rFonts w:hint="eastAsia" w:ascii="宋体" w:hAnsi="宋体" w:cs="宋体"/>
                <w:color w:val="auto"/>
                <w:highlight w:val="none"/>
              </w:rPr>
              <w:t>竞选人须具备以下资格条件：</w:t>
            </w:r>
          </w:p>
          <w:bookmarkEnd w:id="40"/>
          <w:p w14:paraId="50F14D62">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1.资质条件、营业执照</w:t>
            </w:r>
          </w:p>
          <w:p w14:paraId="594B215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（1）具备建设行政主管部门颁发的工程监理综合资质或</w:t>
            </w:r>
            <w:r>
              <w:rPr>
                <w:rFonts w:hint="eastAsia" w:ascii="宋体" w:hAnsi="宋体" w:cs="宋体"/>
                <w:color w:val="auto"/>
                <w:highlight w:val="none"/>
                <w:lang w:val="en-US" w:eastAsia="zh-CN"/>
              </w:rPr>
              <w:t>电力</w:t>
            </w:r>
            <w:r>
              <w:rPr>
                <w:rFonts w:hint="eastAsia" w:ascii="宋体" w:hAnsi="宋体" w:cs="宋体"/>
                <w:color w:val="auto"/>
                <w:highlight w:val="none"/>
              </w:rPr>
              <w:t>工程监理</w:t>
            </w:r>
            <w:r>
              <w:rPr>
                <w:rFonts w:hint="eastAsia" w:ascii="宋体" w:hAnsi="宋体"/>
                <w:snapToGrid w:val="0"/>
                <w:color w:val="auto"/>
                <w:kern w:val="0"/>
                <w:szCs w:val="21"/>
                <w:highlight w:val="none"/>
              </w:rPr>
              <w:t>乙</w:t>
            </w:r>
            <w:r>
              <w:rPr>
                <w:rFonts w:hint="eastAsia" w:ascii="宋体" w:hAnsi="宋体" w:cs="宋体"/>
                <w:color w:val="auto"/>
                <w:highlight w:val="none"/>
              </w:rPr>
              <w:t>级</w:t>
            </w:r>
            <w:r>
              <w:rPr>
                <w:rFonts w:hint="eastAsia" w:ascii="宋体" w:hAnsi="宋体" w:cs="宋体"/>
                <w:color w:val="auto"/>
                <w:highlight w:val="none"/>
              </w:rPr>
              <w:t>及以上资质。</w:t>
            </w:r>
          </w:p>
          <w:p w14:paraId="4947A7DB">
            <w:pPr>
              <w:snapToGrid w:val="0"/>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竞选人须在竞选文件资格审查部分提供提供有效的资质证书。</w:t>
            </w:r>
          </w:p>
          <w:p w14:paraId="433142B3">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（2）具备有效的营业执照。</w:t>
            </w:r>
          </w:p>
          <w:p w14:paraId="2248623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竞选人须在竞选文件资格审查部分</w:t>
            </w:r>
            <w:r>
              <w:rPr>
                <w:rFonts w:hint="eastAsia" w:asciiTheme="minorEastAsia" w:hAnsiTheme="minorEastAsia" w:eastAsiaTheme="minorEastAsia" w:cstheme="minorEastAsia"/>
                <w:color w:val="auto"/>
                <w:szCs w:val="21"/>
                <w:highlight w:val="none"/>
              </w:rPr>
              <w:t>提供有效的营业执照。注：不得将投标人营业执照记载的经营范围作为评审因素。</w:t>
            </w:r>
          </w:p>
          <w:p w14:paraId="48C64D1A">
            <w:pPr>
              <w:snapToGrid w:val="0"/>
              <w:spacing w:line="400" w:lineRule="exact"/>
              <w:ind w:firstLine="422" w:firstLineChars="200"/>
              <w:rPr>
                <w:rFonts w:ascii="宋体" w:hAnsi="宋体" w:cs="宋体"/>
                <w:color w:val="auto"/>
                <w:highlight w:val="none"/>
              </w:rPr>
            </w:pPr>
            <w:r>
              <w:rPr>
                <w:rFonts w:hint="eastAsia" w:ascii="宋体" w:hAnsi="宋体" w:cs="宋体"/>
                <w:b/>
                <w:color w:val="auto"/>
                <w:highlight w:val="none"/>
              </w:rPr>
              <w:t>2.财务要求：</w:t>
            </w:r>
            <w:r>
              <w:rPr>
                <w:rFonts w:hint="eastAsia" w:ascii="宋体" w:hAnsi="宋体" w:cs="宋体"/>
                <w:color w:val="auto"/>
                <w:highlight w:val="none"/>
              </w:rPr>
              <w:t>2023年</w:t>
            </w:r>
            <w:r>
              <w:rPr>
                <w:rFonts w:hint="eastAsia" w:ascii="宋体" w:hAnsi="宋体" w:cs="宋体"/>
                <w:color w:val="auto"/>
                <w:highlight w:val="none"/>
                <w:lang w:val="en-US" w:eastAsia="zh-CN"/>
              </w:rPr>
              <w:t>度或2024年度的</w:t>
            </w:r>
            <w:r>
              <w:rPr>
                <w:rFonts w:hint="eastAsia" w:ascii="宋体" w:hAnsi="宋体" w:cs="宋体"/>
                <w:color w:val="auto"/>
                <w:highlight w:val="none"/>
              </w:rPr>
              <w:t>财务状况不亏损。</w:t>
            </w:r>
          </w:p>
          <w:p w14:paraId="5E6FF30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竞选人须在竞选文件资格审查部分提供经会计师事务所或审计机构出具的合法有效的财务审计报告或财务报表复印件加盖竞选人公章，财务报表须至少包括现金流量表、资产负债表、利润表。</w:t>
            </w:r>
          </w:p>
          <w:p w14:paraId="7CA7492F">
            <w:pPr>
              <w:autoSpaceDE w:val="0"/>
              <w:autoSpaceDN w:val="0"/>
              <w:adjustRightInd w:val="0"/>
              <w:snapToGrid w:val="0"/>
              <w:spacing w:line="40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3.业绩要求</w:t>
            </w:r>
          </w:p>
          <w:p w14:paraId="5F22055A">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投标人提供的类似业绩应同时满足以下要求：</w:t>
            </w:r>
          </w:p>
          <w:p w14:paraId="31A2F51F">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3.1业绩时间要求：</w:t>
            </w:r>
          </w:p>
          <w:p w14:paraId="22BDB771">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竞选人</w:t>
            </w: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color w:val="auto"/>
                <w:szCs w:val="21"/>
                <w:highlight w:val="none"/>
                <w:u w:val="single"/>
              </w:rPr>
              <w:t>2022</w:t>
            </w:r>
            <w:r>
              <w:rPr>
                <w:rFonts w:hint="eastAsia" w:asciiTheme="minorEastAsia" w:hAnsiTheme="minorEastAsia" w:eastAsiaTheme="minorEastAsia" w:cstheme="minorEastAsia"/>
                <w:color w:val="auto"/>
                <w:szCs w:val="21"/>
                <w:highlight w:val="none"/>
              </w:rPr>
              <w:t>年1月1日起至投标截止日止（以□交工□完工☑</w:t>
            </w:r>
            <w:r>
              <w:rPr>
                <w:rFonts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zCs w:val="21"/>
                <w:highlight w:val="none"/>
              </w:rPr>
              <w:t>时间为准）完成的</w:t>
            </w:r>
            <w:r>
              <w:rPr>
                <w:rFonts w:hint="eastAsia" w:asciiTheme="minorEastAsia" w:hAnsiTheme="minorEastAsia" w:eastAsiaTheme="minorEastAsia" w:cstheme="minorEastAsia"/>
                <w:color w:val="auto"/>
                <w:szCs w:val="21"/>
                <w:highlight w:val="none"/>
                <w:u w:val="single"/>
              </w:rPr>
              <w:t>1个</w:t>
            </w:r>
            <w:r>
              <w:rPr>
                <w:rFonts w:hint="eastAsia" w:asciiTheme="minorEastAsia" w:hAnsiTheme="minorEastAsia" w:eastAsiaTheme="minorEastAsia" w:cstheme="minorEastAsia"/>
                <w:color w:val="auto"/>
                <w:szCs w:val="21"/>
                <w:highlight w:val="none"/>
              </w:rPr>
              <w:t>类似项目监理业绩，或</w:t>
            </w:r>
            <w:r>
              <w:rPr>
                <w:rFonts w:hint="eastAsia" w:asciiTheme="minorEastAsia" w:hAnsiTheme="minorEastAsia" w:eastAsiaTheme="minorEastAsia" w:cstheme="minorEastAsia"/>
                <w:color w:val="auto"/>
                <w:szCs w:val="21"/>
                <w:highlight w:val="none"/>
                <w:u w:val="single"/>
              </w:rPr>
              <w:t>1个</w:t>
            </w:r>
            <w:r>
              <w:rPr>
                <w:rFonts w:hint="eastAsia" w:asciiTheme="minorEastAsia" w:hAnsiTheme="minorEastAsia" w:eastAsiaTheme="minorEastAsia" w:cstheme="minorEastAsia"/>
                <w:color w:val="auto"/>
                <w:szCs w:val="21"/>
                <w:highlight w:val="none"/>
              </w:rPr>
              <w:t>包含类似监理工作的全过程咨询业绩。</w:t>
            </w:r>
          </w:p>
          <w:p w14:paraId="0304E2A3">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3.2业绩规模要求：</w:t>
            </w:r>
          </w:p>
          <w:p w14:paraId="33998C6A">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（1）工程类别：</w:t>
            </w:r>
            <w:r>
              <w:rPr>
                <w:rFonts w:hint="eastAsia" w:asciiTheme="minorEastAsia" w:hAnsiTheme="minorEastAsia" w:eastAsiaTheme="minorEastAsia" w:cstheme="minorEastAsia"/>
                <w:color w:val="auto"/>
                <w:szCs w:val="21"/>
                <w:highlight w:val="none"/>
                <w:u w:val="single"/>
                <w:lang w:val="en-US" w:eastAsia="zh-CN"/>
              </w:rPr>
              <w:t>电力</w:t>
            </w:r>
            <w:r>
              <w:rPr>
                <w:rFonts w:hint="eastAsia" w:asciiTheme="minorEastAsia" w:hAnsiTheme="minorEastAsia" w:eastAsiaTheme="minorEastAsia" w:cstheme="minorEastAsia"/>
                <w:color w:val="auto"/>
                <w:szCs w:val="21"/>
                <w:highlight w:val="none"/>
                <w:u w:val="single"/>
              </w:rPr>
              <w:t>工程</w:t>
            </w:r>
          </w:p>
          <w:p w14:paraId="7C09D3DA">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（2）项目金额：</w:t>
            </w:r>
          </w:p>
          <w:p w14:paraId="0AF7D8D5">
            <w:pPr>
              <w:autoSpaceDE w:val="0"/>
              <w:autoSpaceDN w:val="0"/>
              <w:adjustRightInd w:val="0"/>
              <w:snapToGrid w:val="0"/>
              <w:spacing w:line="400" w:lineRule="exact"/>
              <w:ind w:firstLine="630" w:firstLineChars="3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监理合同金额：</w:t>
            </w:r>
            <w:r>
              <w:rPr>
                <w:rFonts w:hint="eastAsia" w:asciiTheme="minorEastAsia" w:hAnsiTheme="minorEastAsia" w:eastAsiaTheme="minorEastAsia" w:cstheme="minorEastAsia"/>
                <w:color w:val="auto"/>
                <w:szCs w:val="21"/>
                <w:highlight w:val="none"/>
                <w:u w:val="single"/>
              </w:rPr>
              <w:t>15万元及以上</w:t>
            </w:r>
            <w:r>
              <w:rPr>
                <w:rFonts w:hint="eastAsia" w:asciiTheme="minorEastAsia" w:hAnsiTheme="minorEastAsia" w:eastAsiaTheme="minorEastAsia" w:cstheme="minorEastAsia"/>
                <w:color w:val="auto"/>
                <w:szCs w:val="21"/>
                <w:highlight w:val="none"/>
              </w:rPr>
              <w:t>（注：提供全过程咨询业绩的，全过程咨询业绩中监理部分的合同金额须达到该金额要求。）</w:t>
            </w:r>
          </w:p>
          <w:p w14:paraId="494B6585">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3.3业绩证明材料要求：</w:t>
            </w:r>
          </w:p>
          <w:p w14:paraId="7E7E7F10">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竞选人</w:t>
            </w:r>
            <w:r>
              <w:rPr>
                <w:rFonts w:hint="eastAsia" w:asciiTheme="minorEastAsia" w:hAnsiTheme="minorEastAsia" w:eastAsiaTheme="minorEastAsia" w:cstheme="minorEastAsia"/>
                <w:color w:val="auto"/>
                <w:szCs w:val="21"/>
                <w:highlight w:val="none"/>
              </w:rPr>
              <w:t>须在竞选文件中提供该业绩的中标通知书（直接发包的项目可提供项目发包人出具的项目直接发包情况说明或证明文书代替）、合同协议书、竣工验收证明材料（或监理业务手册）。</w:t>
            </w:r>
          </w:p>
          <w:p w14:paraId="74312D5E">
            <w:pPr>
              <w:autoSpaceDE w:val="0"/>
              <w:autoSpaceDN w:val="0"/>
              <w:adjustRightInd w:val="0"/>
              <w:snapToGrid w:val="0"/>
              <w:spacing w:line="400" w:lineRule="exact"/>
              <w:ind w:firstLine="415" w:firstLineChars="19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r>
              <w:rPr>
                <w:rFonts w:hint="eastAsia" w:ascii="宋体" w:hAnsi="宋体" w:cs="宋体"/>
                <w:color w:val="auto"/>
                <w:highlight w:val="none"/>
              </w:rPr>
              <w:t>竞选人</w:t>
            </w:r>
            <w:r>
              <w:rPr>
                <w:rFonts w:hint="eastAsia" w:asciiTheme="minorEastAsia" w:hAnsiTheme="minorEastAsia" w:eastAsiaTheme="minorEastAsia" w:cstheme="minorEastAsia"/>
                <w:color w:val="auto"/>
                <w:szCs w:val="21"/>
                <w:highlight w:val="none"/>
              </w:rPr>
              <w:t>应对其提供的业绩证明材料的真实性负责。业绩证明材料应能体现□交工□完工☑</w:t>
            </w:r>
            <w:r>
              <w:rPr>
                <w:rFonts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zCs w:val="21"/>
                <w:highlight w:val="none"/>
              </w:rPr>
              <w:t>时间、工程类别、项目金额（如有）、工程规模（如有）的信息，当上述资料中针对同一指标存在不一致时，以</w:t>
            </w:r>
            <w:r>
              <w:rPr>
                <w:rFonts w:hint="eastAsia" w:asciiTheme="minorEastAsia" w:hAnsiTheme="minorEastAsia" w:eastAsiaTheme="minorEastAsia" w:cstheme="minorEastAsia"/>
                <w:color w:val="auto"/>
                <w:szCs w:val="21"/>
                <w:highlight w:val="none"/>
                <w:u w:val="single"/>
              </w:rPr>
              <w:t xml:space="preserve"> 以竣工验收证明材料  </w:t>
            </w:r>
            <w:r>
              <w:rPr>
                <w:rFonts w:hint="eastAsia" w:asciiTheme="minorEastAsia" w:hAnsiTheme="minorEastAsia" w:eastAsiaTheme="minorEastAsia" w:cstheme="minorEastAsia"/>
                <w:color w:val="auto"/>
                <w:szCs w:val="21"/>
                <w:highlight w:val="none"/>
              </w:rPr>
              <w:t>体现的信息为准。</w:t>
            </w:r>
          </w:p>
          <w:p w14:paraId="2F5255A8">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不满足上述业绩要求的视为业绩无效。</w:t>
            </w:r>
          </w:p>
          <w:p w14:paraId="6313E6BA">
            <w:pPr>
              <w:spacing w:line="400" w:lineRule="exact"/>
              <w:ind w:firstLine="420" w:firstLineChars="200"/>
              <w:rPr>
                <w:rFonts w:asciiTheme="minorEastAsia" w:hAnsiTheme="minorEastAsia" w:eastAsiaTheme="minorEastAsia" w:cstheme="minorEastAsia"/>
                <w:b/>
                <w:color w:val="auto"/>
                <w:szCs w:val="21"/>
                <w:highlight w:val="none"/>
              </w:rPr>
            </w:pPr>
            <w:r>
              <w:rPr>
                <w:rFonts w:hint="eastAsia" w:ascii="宋体" w:hAnsi="宋体" w:cs="宋体"/>
                <w:color w:val="auto"/>
                <w:highlight w:val="none"/>
              </w:rPr>
              <w:t>4.</w:t>
            </w:r>
            <w:r>
              <w:rPr>
                <w:rFonts w:hint="eastAsia" w:asciiTheme="minorEastAsia" w:hAnsiTheme="minorEastAsia" w:eastAsiaTheme="minorEastAsia" w:cstheme="minorEastAsia"/>
                <w:b/>
                <w:color w:val="auto"/>
                <w:szCs w:val="21"/>
                <w:highlight w:val="none"/>
              </w:rPr>
              <w:t>投标截止日投标资格情况</w:t>
            </w:r>
          </w:p>
          <w:p w14:paraId="68A06985">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竞标人须自行承诺（格式见第五章投标文件格式）投标截止日投标资格情况不得存在下列情形之一：</w:t>
            </w:r>
          </w:p>
          <w:p w14:paraId="1788519C">
            <w:pPr>
              <w:snapToGrid w:val="0"/>
              <w:spacing w:line="40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（1）被人民法院列入失信被执行人名单且在被执行期内；</w:t>
            </w:r>
          </w:p>
          <w:p w14:paraId="00BC3E0E">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（2）被列入《重庆市工程建设领域招标投标信用管理暂行办法》规定的重点关注名单且记分达到12分且在记分有效期内；</w:t>
            </w:r>
          </w:p>
          <w:p w14:paraId="32E57221">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（3）被列入《重庆市工程建设领域招标投标信用管理暂行办法》规定的重庆市工程建设领域招标投标失信惩戒对象名单（以下称黑名单）且在记分有效期内；</w:t>
            </w:r>
          </w:p>
          <w:p w14:paraId="2D3476CE">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（4）被国家、重庆市（含市或任意区县）有关行政部门处以暂停投标资格行政处罚，且在处罚期限内；</w:t>
            </w:r>
          </w:p>
          <w:p w14:paraId="0B7230D9">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（5）被重庆市市级有关行业主管部门暂停在渝承揽新业务且在暂停期内。</w:t>
            </w:r>
          </w:p>
          <w:p w14:paraId="7863B8AB">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竞标人须在</w:t>
            </w:r>
            <w:r>
              <w:rPr>
                <w:rFonts w:hint="eastAsia" w:ascii="宋体" w:hAnsi="宋体" w:cs="宋体"/>
                <w:color w:val="auto"/>
                <w:highlight w:val="none"/>
              </w:rPr>
              <w:t>竞选文件</w:t>
            </w:r>
            <w:r>
              <w:rPr>
                <w:rFonts w:hint="eastAsia" w:asciiTheme="minorEastAsia" w:hAnsiTheme="minorEastAsia" w:eastAsiaTheme="minorEastAsia" w:cstheme="minorEastAsia"/>
                <w:color w:val="auto"/>
                <w:szCs w:val="21"/>
                <w:highlight w:val="none"/>
              </w:rPr>
              <w:t>资格审查部分提供承诺。</w:t>
            </w:r>
          </w:p>
          <w:p w14:paraId="55B2B844">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5.拟派监理人员</w:t>
            </w:r>
          </w:p>
          <w:p w14:paraId="25961107">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5.1总监理工程师1名：</w:t>
            </w:r>
            <w:r>
              <w:rPr>
                <w:rFonts w:hint="eastAsia" w:ascii="宋体" w:hAnsi="宋体" w:cs="宋体"/>
                <w:color w:val="auto"/>
                <w:highlight w:val="none"/>
              </w:rPr>
              <w:t>应具备建设行政主管部门颁发的有效电力工程</w:t>
            </w:r>
            <w:r>
              <w:rPr>
                <w:rFonts w:hint="eastAsia"/>
                <w:color w:val="auto"/>
                <w:highlight w:val="none"/>
              </w:rPr>
              <w:t>专业注册监理</w:t>
            </w:r>
            <w:r>
              <w:rPr>
                <w:rFonts w:hint="eastAsia" w:ascii="宋体" w:hAnsi="宋体" w:cs="宋体"/>
                <w:color w:val="auto"/>
                <w:highlight w:val="none"/>
              </w:rPr>
              <w:t>工程师证书</w:t>
            </w:r>
            <w:r>
              <w:rPr>
                <w:rFonts w:hint="eastAsia" w:ascii="宋体" w:hAnsi="宋体" w:cs="宋体"/>
                <w:color w:val="auto"/>
                <w:highlight w:val="none"/>
              </w:rPr>
              <w:t>（必须在本单位注册），且具有工程类中级及以上职称。</w:t>
            </w:r>
          </w:p>
          <w:p w14:paraId="15B0E099">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5.2专业监理工程师1名：专业监理工程师提供全国注册监理工程师注册证书或监理工程师岗位证书复印件。</w:t>
            </w:r>
          </w:p>
          <w:p w14:paraId="7166FD91">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5.3监理员：</w:t>
            </w:r>
          </w:p>
          <w:p w14:paraId="22BEC2CA">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监理员至少2名：监理员提供全国注册监理工程师注册证书或监理工程师岗位证书或监理员上岗证书（或监理业务培训合格证书），且必须到场，由竞选人自行承诺。</w:t>
            </w:r>
            <w:r>
              <w:rPr>
                <w:rFonts w:hint="eastAsia" w:ascii="宋体" w:hAnsi="宋体"/>
                <w:color w:val="auto"/>
                <w:kern w:val="0"/>
                <w:highlight w:val="none"/>
              </w:rPr>
              <w:t>（合格证为监理协会颁发）</w:t>
            </w:r>
          </w:p>
          <w:p w14:paraId="61E23946">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6.其他要求</w:t>
            </w:r>
          </w:p>
          <w:p w14:paraId="528B265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（1）委托代理人：</w:t>
            </w:r>
          </w:p>
          <w:p w14:paraId="0585921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委托代理人必须为投标人本单位在职人员。</w:t>
            </w:r>
          </w:p>
          <w:p w14:paraId="498BB2D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竞选人须在</w:t>
            </w:r>
            <w:r>
              <w:rPr>
                <w:rFonts w:hint="eastAsia" w:ascii="宋体" w:hAnsi="宋体" w:cs="宋体"/>
                <w:color w:val="auto"/>
                <w:highlight w:val="none"/>
              </w:rPr>
              <w:t>竞选文件</w:t>
            </w:r>
            <w:r>
              <w:rPr>
                <w:rFonts w:hint="eastAsia" w:asciiTheme="minorEastAsia" w:hAnsiTheme="minorEastAsia" w:eastAsiaTheme="minorEastAsia" w:cstheme="minorEastAsia"/>
                <w:color w:val="auto"/>
                <w:kern w:val="0"/>
                <w:szCs w:val="21"/>
                <w:highlight w:val="none"/>
              </w:rPr>
              <w:t>资格审查部分提供投标人为该委托代理人缴纳的养老保险证明。否则，将由评选委员会作否决投标处理。</w:t>
            </w:r>
          </w:p>
          <w:p w14:paraId="0D343D7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特别说明：</w:t>
            </w:r>
          </w:p>
          <w:p w14:paraId="293B59CC">
            <w:pPr>
              <w:snapToGrid w:val="0"/>
              <w:spacing w:line="400" w:lineRule="exact"/>
              <w:ind w:firstLine="420" w:firstLineChars="200"/>
              <w:rPr>
                <w:b/>
                <w:bCs/>
                <w:color w:val="auto"/>
                <w:highlight w:val="none"/>
              </w:rPr>
            </w:pPr>
            <w:r>
              <w:rPr>
                <w:rFonts w:hint="eastAsia" w:ascii="宋体" w:hAnsi="宋体" w:cs="宋体"/>
                <w:color w:val="auto"/>
                <w:highlight w:val="none"/>
              </w:rPr>
              <w:t>（1）上述1～6条所须提交的相关证明材料复印件均应加盖竞选单位公章并装入竞选文件资格审查部分中。上述1～6条，有一条不满足，则竞选文件由评选委员会作否决投标处理；</w:t>
            </w:r>
          </w:p>
          <w:p w14:paraId="7854A5D1">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（2）比选人在合同签订前均有权对潜在竞选人提供的上述相关证明材料进行核实，若发现资料存在弄虚作假，按照相关法律法规处理， 其比选保证金不予退还，潜在竞选人承担因此造成的相关责任并赔偿相应损失。 </w:t>
            </w:r>
          </w:p>
          <w:p w14:paraId="643BAF9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（3）本竞选文件中所要求的人员养老保险证明要求如下：</w:t>
            </w:r>
          </w:p>
          <w:p w14:paraId="57D3DEC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①企业提供养老保险证明，事业单位提供养老保险证明或行政主管部门在编证明。</w:t>
            </w:r>
          </w:p>
          <w:p w14:paraId="76251874">
            <w:pPr>
              <w:autoSpaceDE w:val="0"/>
              <w:autoSpaceDN w:val="0"/>
              <w:adjustRightInd w:val="0"/>
              <w:snapToGrid w:val="0"/>
              <w:spacing w:line="400" w:lineRule="exact"/>
              <w:ind w:firstLine="420" w:firstLineChars="200"/>
              <w:rPr>
                <w:rFonts w:ascii="宋体" w:hAnsi="宋体" w:cs="宋体"/>
                <w:color w:val="auto"/>
                <w:kern w:val="0"/>
                <w:szCs w:val="21"/>
                <w:highlight w:val="none"/>
              </w:rPr>
            </w:pPr>
            <w:r>
              <w:rPr>
                <w:rFonts w:hint="eastAsia" w:asciiTheme="minorEastAsia" w:hAnsiTheme="minorEastAsia" w:eastAsiaTheme="minorEastAsia" w:cstheme="minorEastAsia"/>
                <w:bCs/>
                <w:color w:val="auto"/>
                <w:kern w:val="0"/>
                <w:szCs w:val="21"/>
                <w:highlight w:val="none"/>
              </w:rPr>
              <w:t>②</w:t>
            </w:r>
            <w:r>
              <w:rPr>
                <w:rFonts w:hint="eastAsia" w:asciiTheme="minorEastAsia" w:hAnsiTheme="minorEastAsia" w:eastAsiaTheme="minorEastAsia" w:cstheme="minorEastAsia"/>
                <w:bCs/>
                <w:snapToGrid w:val="0"/>
                <w:color w:val="auto"/>
                <w:kern w:val="0"/>
                <w:szCs w:val="21"/>
                <w:highlight w:val="none"/>
              </w:rPr>
              <w:t>总监理工程师、专业监理工程师、监理员和委托代理人的连续养老保险证明期限须包含</w:t>
            </w:r>
            <w:r>
              <w:rPr>
                <w:rFonts w:hint="eastAsia" w:asciiTheme="minorEastAsia" w:hAnsiTheme="minorEastAsia" w:eastAsiaTheme="minorEastAsia" w:cstheme="minorEastAsia"/>
                <w:bCs/>
                <w:snapToGrid w:val="0"/>
                <w:color w:val="auto"/>
                <w:kern w:val="0"/>
                <w:szCs w:val="21"/>
                <w:highlight w:val="none"/>
                <w:u w:val="single"/>
              </w:rPr>
              <w:t xml:space="preserve"> 2024年11</w:t>
            </w:r>
            <w:r>
              <w:rPr>
                <w:rFonts w:hint="eastAsia" w:asciiTheme="minorEastAsia" w:hAnsiTheme="minorEastAsia" w:eastAsiaTheme="minorEastAsia" w:cstheme="minorEastAsia"/>
                <w:bCs/>
                <w:snapToGrid w:val="0"/>
                <w:color w:val="auto"/>
                <w:kern w:val="0"/>
                <w:szCs w:val="21"/>
                <w:highlight w:val="none"/>
              </w:rPr>
              <w:t>月至</w:t>
            </w:r>
            <w:r>
              <w:rPr>
                <w:rFonts w:hint="eastAsia" w:asciiTheme="minorEastAsia" w:hAnsiTheme="minorEastAsia" w:eastAsiaTheme="minorEastAsia" w:cstheme="minorEastAsia"/>
                <w:bCs/>
                <w:snapToGrid w:val="0"/>
                <w:color w:val="auto"/>
                <w:kern w:val="0"/>
                <w:szCs w:val="21"/>
                <w:highlight w:val="none"/>
                <w:u w:val="single"/>
              </w:rPr>
              <w:t xml:space="preserve">2025 </w:t>
            </w:r>
            <w:r>
              <w:rPr>
                <w:rFonts w:hint="eastAsia" w:asciiTheme="minorEastAsia" w:hAnsiTheme="minorEastAsia" w:eastAsiaTheme="minorEastAsia" w:cstheme="minorEastAsia"/>
                <w:bCs/>
                <w:snapToGrid w:val="0"/>
                <w:color w:val="auto"/>
                <w:kern w:val="0"/>
                <w:szCs w:val="21"/>
                <w:highlight w:val="none"/>
              </w:rPr>
              <w:t>年</w:t>
            </w:r>
            <w:r>
              <w:rPr>
                <w:rFonts w:hint="eastAsia" w:asciiTheme="minorEastAsia" w:hAnsiTheme="minorEastAsia" w:eastAsiaTheme="minorEastAsia" w:cstheme="minorEastAsia"/>
                <w:bCs/>
                <w:snapToGrid w:val="0"/>
                <w:color w:val="auto"/>
                <w:kern w:val="0"/>
                <w:szCs w:val="21"/>
                <w:highlight w:val="none"/>
                <w:u w:val="single"/>
              </w:rPr>
              <w:t>4</w:t>
            </w:r>
            <w:r>
              <w:rPr>
                <w:rFonts w:hint="eastAsia" w:asciiTheme="minorEastAsia" w:hAnsiTheme="minorEastAsia" w:eastAsiaTheme="minorEastAsia" w:cstheme="minorEastAsia"/>
                <w:bCs/>
                <w:snapToGrid w:val="0"/>
                <w:color w:val="auto"/>
                <w:kern w:val="0"/>
                <w:szCs w:val="21"/>
                <w:highlight w:val="none"/>
              </w:rPr>
              <w:t>月</w:t>
            </w:r>
            <w:r>
              <w:rPr>
                <w:rFonts w:hint="eastAsia" w:asciiTheme="minorEastAsia" w:hAnsiTheme="minorEastAsia" w:eastAsiaTheme="minorEastAsia" w:cstheme="minorEastAsia"/>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54F0C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B3FACE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1964" w:type="dxa"/>
            <w:vAlign w:val="center"/>
          </w:tcPr>
          <w:p w14:paraId="1BF1C09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5B50429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联合体竞选</w:t>
            </w:r>
          </w:p>
        </w:tc>
        <w:tc>
          <w:tcPr>
            <w:tcW w:w="6372" w:type="dxa"/>
            <w:vAlign w:val="center"/>
          </w:tcPr>
          <w:p w14:paraId="5A650A7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509A5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F76B4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1964" w:type="dxa"/>
            <w:vAlign w:val="center"/>
          </w:tcPr>
          <w:p w14:paraId="42C8034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372" w:type="dxa"/>
            <w:vAlign w:val="center"/>
          </w:tcPr>
          <w:p w14:paraId="7729D631">
            <w:pPr>
              <w:snapToGrid w:val="0"/>
              <w:spacing w:line="400" w:lineRule="exact"/>
              <w:ind w:firstLine="420" w:firstLineChars="200"/>
              <w:rPr>
                <w:rFonts w:ascii="宋体" w:hAnsi="宋体" w:cs="宋体"/>
                <w:color w:val="auto"/>
                <w:kern w:val="0"/>
                <w:szCs w:val="21"/>
                <w:highlight w:val="none"/>
              </w:rPr>
            </w:pPr>
            <w:r>
              <w:rPr>
                <w:rFonts w:hint="eastAsia" w:ascii="MS Gothic" w:hAnsi="MS Gothic" w:eastAsia="MS Gothic" w:cs="MS Gothic"/>
                <w:color w:val="auto"/>
                <w:kern w:val="0"/>
                <w:szCs w:val="21"/>
                <w:highlight w:val="none"/>
              </w:rPr>
              <w:t>☑</w:t>
            </w:r>
            <w:r>
              <w:rPr>
                <w:rFonts w:hint="eastAsia" w:ascii="宋体" w:hAnsi="宋体" w:cs="宋体"/>
                <w:color w:val="auto"/>
                <w:kern w:val="0"/>
                <w:szCs w:val="21"/>
                <w:highlight w:val="none"/>
              </w:rPr>
              <w:t>不组织，由竞选人自行踏勘现场。</w:t>
            </w:r>
          </w:p>
        </w:tc>
      </w:tr>
      <w:tr w14:paraId="3D2D1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710B6F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1.10.1</w:t>
            </w:r>
          </w:p>
        </w:tc>
        <w:tc>
          <w:tcPr>
            <w:tcW w:w="1964" w:type="dxa"/>
            <w:vAlign w:val="center"/>
          </w:tcPr>
          <w:p w14:paraId="0C244AC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比选预备会</w:t>
            </w:r>
          </w:p>
        </w:tc>
        <w:tc>
          <w:tcPr>
            <w:tcW w:w="6372" w:type="dxa"/>
            <w:vAlign w:val="center"/>
          </w:tcPr>
          <w:p w14:paraId="0BB5D821">
            <w:pPr>
              <w:snapToGrid w:val="0"/>
              <w:spacing w:line="400" w:lineRule="exact"/>
              <w:ind w:firstLine="420" w:firstLineChars="200"/>
              <w:rPr>
                <w:rFonts w:ascii="宋体" w:hAnsi="宋体" w:cs="宋体"/>
                <w:color w:val="auto"/>
                <w:kern w:val="0"/>
                <w:szCs w:val="21"/>
                <w:highlight w:val="none"/>
              </w:rPr>
            </w:pPr>
            <w:r>
              <w:rPr>
                <w:rFonts w:hint="eastAsia" w:ascii="MS Gothic" w:hAnsi="MS Gothic" w:eastAsia="MS Gothic" w:cs="MS Gothic"/>
                <w:color w:val="auto"/>
                <w:kern w:val="0"/>
                <w:szCs w:val="21"/>
                <w:highlight w:val="none"/>
              </w:rPr>
              <w:t>☑</w:t>
            </w:r>
            <w:r>
              <w:rPr>
                <w:rFonts w:hint="eastAsia" w:ascii="宋体" w:hAnsi="宋体" w:cs="宋体"/>
                <w:color w:val="auto"/>
                <w:kern w:val="0"/>
                <w:szCs w:val="21"/>
                <w:highlight w:val="none"/>
              </w:rPr>
              <w:t>不召开</w:t>
            </w:r>
          </w:p>
        </w:tc>
      </w:tr>
      <w:tr w14:paraId="54703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FBA6A5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1964" w:type="dxa"/>
            <w:vAlign w:val="center"/>
          </w:tcPr>
          <w:p w14:paraId="493F956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6372" w:type="dxa"/>
            <w:vAlign w:val="center"/>
          </w:tcPr>
          <w:p w14:paraId="21548A1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不允许</w:t>
            </w:r>
          </w:p>
        </w:tc>
      </w:tr>
      <w:tr w14:paraId="4A574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47DEF7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964" w:type="dxa"/>
            <w:vAlign w:val="center"/>
          </w:tcPr>
          <w:p w14:paraId="2DDCE473">
            <w:pPr>
              <w:snapToGrid w:val="0"/>
              <w:spacing w:after="15" w:afterLines="5"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372" w:type="dxa"/>
            <w:vAlign w:val="center"/>
          </w:tcPr>
          <w:p w14:paraId="37257D9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比选人发出的答疑及补遗书</w:t>
            </w:r>
          </w:p>
        </w:tc>
      </w:tr>
      <w:tr w14:paraId="6E698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FABC3B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1964" w:type="dxa"/>
            <w:tcBorders>
              <w:bottom w:val="single" w:color="auto" w:sz="4" w:space="0"/>
            </w:tcBorders>
            <w:vAlign w:val="center"/>
          </w:tcPr>
          <w:p w14:paraId="1B592D9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竞选人对比选文件提出疑问的</w:t>
            </w:r>
          </w:p>
          <w:p w14:paraId="699DC19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截止时间</w:t>
            </w:r>
          </w:p>
        </w:tc>
        <w:tc>
          <w:tcPr>
            <w:tcW w:w="6372" w:type="dxa"/>
            <w:vAlign w:val="center"/>
          </w:tcPr>
          <w:p w14:paraId="69C6D80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竞选人在收到比选文件后，应仔细检查比选文件的所有内容，如有残缺或文字表述不清，图纸尺寸标注不明以及存在错、碰、漏、缺、概念模糊和有可能出现歧义或理解上的偏差的内容等应</w:t>
            </w:r>
            <w:r>
              <w:rPr>
                <w:rFonts w:hint="eastAsia" w:ascii="宋体" w:hAnsi="宋体" w:cs="宋体"/>
                <w:color w:val="auto"/>
                <w:kern w:val="0"/>
                <w:szCs w:val="21"/>
                <w:highlight w:val="none"/>
                <w:u w:val="single"/>
              </w:rPr>
              <w:t xml:space="preserve"> 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6</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12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00 </w:t>
            </w:r>
            <w:r>
              <w:rPr>
                <w:rFonts w:hint="eastAsia" w:ascii="宋体" w:hAnsi="宋体" w:cs="宋体"/>
                <w:color w:val="auto"/>
                <w:szCs w:val="21"/>
                <w:highlight w:val="none"/>
              </w:rPr>
              <w:t>分（北京时间）</w:t>
            </w:r>
            <w:r>
              <w:rPr>
                <w:rFonts w:hint="eastAsia" w:ascii="宋体" w:hAnsi="宋体" w:cs="宋体"/>
                <w:color w:val="auto"/>
                <w:kern w:val="0"/>
                <w:szCs w:val="21"/>
                <w:highlight w:val="none"/>
              </w:rPr>
              <w:t>前以书面形式提交。</w:t>
            </w:r>
          </w:p>
        </w:tc>
      </w:tr>
      <w:tr w14:paraId="3C8A9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Merge w:val="restart"/>
            <w:vAlign w:val="center"/>
          </w:tcPr>
          <w:p w14:paraId="4219061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1964" w:type="dxa"/>
            <w:tcBorders>
              <w:top w:val="single" w:color="auto" w:sz="4" w:space="0"/>
            </w:tcBorders>
            <w:vAlign w:val="center"/>
          </w:tcPr>
          <w:p w14:paraId="7757B87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比选人对比选文件答疑的截止时间</w:t>
            </w:r>
          </w:p>
        </w:tc>
        <w:tc>
          <w:tcPr>
            <w:tcW w:w="6372" w:type="dxa"/>
            <w:vAlign w:val="center"/>
          </w:tcPr>
          <w:p w14:paraId="7E63AECB">
            <w:pPr>
              <w:snapToGrid w:val="0"/>
              <w:spacing w:line="400" w:lineRule="exact"/>
              <w:ind w:firstLine="420" w:firstLineChars="200"/>
              <w:rPr>
                <w:rFonts w:ascii="宋体" w:hAnsi="宋体" w:cs="宋体"/>
                <w:snapToGrid w:val="0"/>
                <w:color w:val="auto"/>
                <w:kern w:val="0"/>
                <w:szCs w:val="21"/>
                <w:highlight w:val="none"/>
              </w:rPr>
            </w:pPr>
            <w:r>
              <w:rPr>
                <w:rFonts w:hint="eastAsia" w:cs="宋体" w:asciiTheme="minorEastAsia" w:hAnsiTheme="minorEastAsia" w:eastAsiaTheme="minorEastAsia"/>
                <w:color w:val="auto"/>
                <w:szCs w:val="21"/>
                <w:highlight w:val="none"/>
                <w:u w:val="single"/>
              </w:rPr>
              <w:t>2025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6</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10</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1</w:t>
            </w:r>
            <w:r>
              <w:rPr>
                <w:rFonts w:cs="宋体" w:asciiTheme="minorEastAsia" w:hAnsiTheme="minorEastAsia" w:eastAsiaTheme="minorEastAsia"/>
                <w:color w:val="auto"/>
                <w:szCs w:val="21"/>
                <w:highlight w:val="none"/>
                <w:u w:val="single"/>
              </w:rPr>
              <w:t>7</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时</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u w:val="single"/>
              </w:rPr>
              <w:t xml:space="preserve">0 </w:t>
            </w:r>
            <w:r>
              <w:rPr>
                <w:rFonts w:hint="eastAsia" w:cs="宋体" w:asciiTheme="minorEastAsia" w:hAnsiTheme="minorEastAsia" w:eastAsiaTheme="minorEastAsia"/>
                <w:color w:val="auto"/>
                <w:szCs w:val="21"/>
                <w:highlight w:val="none"/>
              </w:rPr>
              <w:t>分（北京时间）</w:t>
            </w:r>
            <w:r>
              <w:rPr>
                <w:rFonts w:hint="eastAsia" w:cs="宋体" w:asciiTheme="minorEastAsia" w:hAnsiTheme="minorEastAsia" w:eastAsiaTheme="minorEastAsia"/>
                <w:color w:val="auto"/>
                <w:kern w:val="0"/>
                <w:szCs w:val="21"/>
                <w:highlight w:val="none"/>
              </w:rPr>
              <w:t>前对所有比选申请人提出的问题在《行采家》https://www.gec123.com/发布，比选申请人在开标前因未随时关注发布的补遗通知而产生的一切后果由比选申请人自负。</w:t>
            </w:r>
            <w:r>
              <w:rPr>
                <w:rFonts w:hint="eastAsia" w:ascii="宋体" w:hAnsi="宋体" w:cs="宋体"/>
                <w:color w:val="auto"/>
                <w:kern w:val="0"/>
                <w:highlight w:val="none"/>
              </w:rPr>
              <w:t xml:space="preserve"> </w:t>
            </w:r>
          </w:p>
        </w:tc>
      </w:tr>
      <w:tr w14:paraId="64278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Merge w:val="continue"/>
            <w:vAlign w:val="center"/>
          </w:tcPr>
          <w:p w14:paraId="4A101820">
            <w:pPr>
              <w:snapToGrid w:val="0"/>
              <w:spacing w:line="400" w:lineRule="exact"/>
              <w:jc w:val="center"/>
              <w:rPr>
                <w:rFonts w:ascii="宋体" w:hAnsi="宋体" w:cs="宋体"/>
                <w:color w:val="auto"/>
                <w:kern w:val="0"/>
                <w:szCs w:val="21"/>
                <w:highlight w:val="none"/>
              </w:rPr>
            </w:pPr>
          </w:p>
        </w:tc>
        <w:tc>
          <w:tcPr>
            <w:tcW w:w="1964" w:type="dxa"/>
            <w:vAlign w:val="center"/>
          </w:tcPr>
          <w:p w14:paraId="2BA54E3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竞选文件递交</w:t>
            </w:r>
          </w:p>
          <w:p w14:paraId="52EC7AC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截止时间</w:t>
            </w:r>
          </w:p>
        </w:tc>
        <w:tc>
          <w:tcPr>
            <w:tcW w:w="6372" w:type="dxa"/>
            <w:vAlign w:val="center"/>
          </w:tcPr>
          <w:p w14:paraId="307F5187">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u w:val="single"/>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00 </w:t>
            </w:r>
            <w:r>
              <w:rPr>
                <w:rFonts w:hint="eastAsia" w:ascii="宋体" w:hAnsi="宋体" w:cs="宋体"/>
                <w:color w:val="auto"/>
                <w:szCs w:val="21"/>
                <w:highlight w:val="none"/>
              </w:rPr>
              <w:t>分</w:t>
            </w:r>
            <w:r>
              <w:rPr>
                <w:rFonts w:hint="eastAsia" w:ascii="宋体" w:hAnsi="宋体" w:cs="宋体"/>
                <w:color w:val="auto"/>
                <w:szCs w:val="21"/>
                <w:highlight w:val="none"/>
              </w:rPr>
              <w:t>（北京时间）</w:t>
            </w:r>
          </w:p>
        </w:tc>
      </w:tr>
      <w:tr w14:paraId="44DC7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A7AA05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964" w:type="dxa"/>
            <w:vAlign w:val="center"/>
          </w:tcPr>
          <w:p w14:paraId="36CC58EE">
            <w:pPr>
              <w:snapToGrid w:val="0"/>
              <w:spacing w:after="31" w:afterLines="1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构成竞选文件</w:t>
            </w:r>
          </w:p>
          <w:p w14:paraId="74868F63">
            <w:pPr>
              <w:snapToGrid w:val="0"/>
              <w:spacing w:after="31" w:afterLines="1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的其他材料</w:t>
            </w:r>
          </w:p>
        </w:tc>
        <w:tc>
          <w:tcPr>
            <w:tcW w:w="6372" w:type="dxa"/>
            <w:vAlign w:val="center"/>
          </w:tcPr>
          <w:p w14:paraId="36EAEA5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竞选人的书面澄清、说明和补正（但不得改变竞选文件的实质性内容）</w:t>
            </w:r>
          </w:p>
        </w:tc>
      </w:tr>
      <w:tr w14:paraId="54BC6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79927DF">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w:t>
            </w:r>
          </w:p>
        </w:tc>
        <w:tc>
          <w:tcPr>
            <w:tcW w:w="1964" w:type="dxa"/>
            <w:vAlign w:val="center"/>
          </w:tcPr>
          <w:p w14:paraId="41429E8A">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增值税税金的计算方式</w:t>
            </w:r>
          </w:p>
        </w:tc>
        <w:tc>
          <w:tcPr>
            <w:tcW w:w="6372" w:type="dxa"/>
            <w:vAlign w:val="center"/>
          </w:tcPr>
          <w:p w14:paraId="75DD2850">
            <w:pPr>
              <w:pStyle w:val="8"/>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增值税计税方法由招标人依据国家税法规定选择：</w:t>
            </w:r>
          </w:p>
          <w:p w14:paraId="38C0BB4F">
            <w:pPr>
              <w:pStyle w:val="8"/>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color w:val="auto"/>
                <w:szCs w:val="21"/>
                <w:highlight w:val="none"/>
              </w:rPr>
            </w:pPr>
            <w:r>
              <w:rPr>
                <w:rFonts w:hint="eastAsia" w:ascii="MS Gothic" w:hAnsi="MS Gothic" w:eastAsia="MS Gothic" w:cs="MS Gothic"/>
                <w:snapToGrid w:val="0"/>
                <w:color w:val="auto"/>
                <w:kern w:val="0"/>
                <w:szCs w:val="21"/>
                <w:highlight w:val="none"/>
              </w:rPr>
              <w:t>☑</w:t>
            </w:r>
            <w:r>
              <w:rPr>
                <w:rFonts w:hint="eastAsia" w:asciiTheme="minorEastAsia" w:hAnsiTheme="minorEastAsia" w:eastAsiaTheme="minorEastAsia" w:cstheme="minorEastAsia"/>
                <w:color w:val="auto"/>
                <w:szCs w:val="21"/>
                <w:highlight w:val="none"/>
              </w:rPr>
              <w:t>一般计税法</w:t>
            </w:r>
          </w:p>
          <w:p w14:paraId="5D97E1BF">
            <w:pPr>
              <w:pStyle w:val="8"/>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□简易计税法</w:t>
            </w:r>
          </w:p>
        </w:tc>
      </w:tr>
      <w:tr w14:paraId="1AB8E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4AD9C9">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w:t>
            </w:r>
          </w:p>
        </w:tc>
        <w:tc>
          <w:tcPr>
            <w:tcW w:w="1964" w:type="dxa"/>
            <w:vAlign w:val="center"/>
          </w:tcPr>
          <w:p w14:paraId="2194561D">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报价方式</w:t>
            </w:r>
          </w:p>
        </w:tc>
        <w:tc>
          <w:tcPr>
            <w:tcW w:w="6372" w:type="dxa"/>
            <w:vAlign w:val="center"/>
          </w:tcPr>
          <w:p w14:paraId="07E9CB93">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本次招标采用的报价方式为：取费比例报价，暂定总价。</w:t>
            </w:r>
          </w:p>
        </w:tc>
      </w:tr>
      <w:tr w14:paraId="26E02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1539112">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w:t>
            </w:r>
          </w:p>
        </w:tc>
        <w:tc>
          <w:tcPr>
            <w:tcW w:w="1964" w:type="dxa"/>
            <w:vAlign w:val="center"/>
          </w:tcPr>
          <w:p w14:paraId="48DD6BCC">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最高投标限价</w:t>
            </w:r>
          </w:p>
        </w:tc>
        <w:tc>
          <w:tcPr>
            <w:tcW w:w="6372" w:type="dxa"/>
            <w:vAlign w:val="center"/>
          </w:tcPr>
          <w:p w14:paraId="0B2ADF7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本项目监理服务计算基数暂按</w:t>
            </w:r>
            <w:r>
              <w:rPr>
                <w:rFonts w:hint="eastAsia" w:asciiTheme="minorEastAsia" w:hAnsiTheme="minorEastAsia" w:eastAsiaTheme="minorEastAsia" w:cstheme="minorEastAsia"/>
                <w:color w:val="auto"/>
                <w:szCs w:val="21"/>
                <w:highlight w:val="none"/>
                <w:u w:val="single"/>
              </w:rPr>
              <w:t>4470</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rPr>
              <w:t>443872</w:t>
            </w:r>
            <w:r>
              <w:rPr>
                <w:rFonts w:hint="eastAsia" w:asciiTheme="minorEastAsia" w:hAnsiTheme="minorEastAsia" w:eastAsiaTheme="minorEastAsia" w:cstheme="minorEastAsia"/>
                <w:color w:val="auto"/>
                <w:szCs w:val="21"/>
                <w:highlight w:val="none"/>
                <w:u w:val="none"/>
              </w:rPr>
              <w:t>万</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rPr>
              <w:t>计算；本项目监理</w:t>
            </w:r>
            <w:r>
              <w:rPr>
                <w:rFonts w:hint="eastAsia" w:asciiTheme="minorEastAsia" w:hAnsiTheme="minorEastAsia" w:eastAsiaTheme="minorEastAsia" w:cstheme="minorEastAsia"/>
                <w:color w:val="auto"/>
                <w:szCs w:val="21"/>
                <w:highlight w:val="none"/>
              </w:rPr>
              <w:t>费率最高限价为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1.71</w:t>
            </w:r>
            <w:r>
              <w:rPr>
                <w:rFonts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，暂定监理费用最高限价为</w:t>
            </w:r>
            <w:r>
              <w:rPr>
                <w:rFonts w:hint="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76.645876</w:t>
            </w:r>
            <w:r>
              <w:rPr>
                <w:rFonts w:hint="eastAsia" w:eastAsiaTheme="minorEastAsia"/>
                <w:color w:val="auto"/>
                <w:szCs w:val="21"/>
                <w:highlight w:val="none"/>
                <w:u w:val="none"/>
              </w:rPr>
              <w:t>万</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rPr>
              <w:t>；投标报价不得高于最高限价，</w:t>
            </w:r>
            <w:r>
              <w:rPr>
                <w:rFonts w:hint="eastAsia" w:asciiTheme="minorEastAsia" w:hAnsiTheme="minorEastAsia" w:eastAsiaTheme="minorEastAsia" w:cstheme="minorEastAsia"/>
                <w:color w:val="auto"/>
                <w:szCs w:val="21"/>
                <w:highlight w:val="none"/>
              </w:rPr>
              <w:t>监理服务费比例百分号前保留小数点后两位数，第三位四舍五入。否则按否决投标处理。</w:t>
            </w:r>
          </w:p>
          <w:p w14:paraId="7EEC95EE">
            <w:pPr>
              <w:spacing w:line="400" w:lineRule="exact"/>
              <w:ind w:firstLine="420" w:firstLineChars="200"/>
              <w:rPr>
                <w:color w:val="auto"/>
                <w:szCs w:val="21"/>
                <w:highlight w:val="none"/>
              </w:rPr>
            </w:pPr>
            <w:r>
              <w:rPr>
                <w:rFonts w:hint="eastAsia" w:asciiTheme="minorEastAsia" w:hAnsiTheme="minorEastAsia" w:eastAsiaTheme="minorEastAsia" w:cstheme="minorEastAsia"/>
                <w:color w:val="auto"/>
                <w:szCs w:val="21"/>
                <w:highlight w:val="none"/>
              </w:rPr>
              <w:t>注：评标委员会发现投标人的投标费率明显低于其他投标投标费率，使得其投标费率可能低于其个别成本的，应要求该投标人作出书面说明并提供相应的证明材料。投标人不能合理说明或不能提供相应证明材料的，评标委员会应认定该投标人以低</w:t>
            </w:r>
            <w:r>
              <w:rPr>
                <w:rFonts w:hint="eastAsia"/>
                <w:color w:val="auto"/>
                <w:highlight w:val="none"/>
              </w:rPr>
              <w:t>于成本报价竞标，并否决其投标。</w:t>
            </w:r>
          </w:p>
        </w:tc>
      </w:tr>
      <w:tr w14:paraId="66D6D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51454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964" w:type="dxa"/>
            <w:vAlign w:val="center"/>
          </w:tcPr>
          <w:p w14:paraId="5C3B05E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竞选报价</w:t>
            </w:r>
          </w:p>
        </w:tc>
        <w:tc>
          <w:tcPr>
            <w:tcW w:w="6372" w:type="dxa"/>
            <w:vAlign w:val="center"/>
          </w:tcPr>
          <w:p w14:paraId="35C0E9E9">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竞选人的竞选报价为完成本次比选确定的监理范围和监理工作内容所需的全部费用（含施工准备阶段、施工阶段及缺陷责任期）。具体包括为实施和完成本项目全部监理工作所需的劳务费、技术服务费、设备的使用和管理、检测和试验费用、办公家具、办公设施、通讯工具、通讯费用、生活用房、生活设施及生活费用、交通工具、保险、税费、利润及协调费等实施工程监理所产生的一切费用。比选人除此以外不支付其它费用，竞选人也不得与本项目的承包人发生任何经济关系。</w:t>
            </w:r>
          </w:p>
          <w:p w14:paraId="7FA5D66C">
            <w:pPr>
              <w:spacing w:line="400" w:lineRule="exact"/>
              <w:ind w:firstLine="420" w:firstLineChars="200"/>
              <w:rPr>
                <w:color w:val="auto"/>
                <w:highlight w:val="none"/>
              </w:rPr>
            </w:pPr>
            <w:r>
              <w:rPr>
                <w:rFonts w:ascii="宋体" w:hAnsi="宋体"/>
                <w:color w:val="auto"/>
                <w:kern w:val="0"/>
                <w:szCs w:val="21"/>
                <w:highlight w:val="none"/>
              </w:rPr>
              <w:t>竞选人的监理报酬包含监理机构按相关规范及要求利用必要的检查、检测手段或委托专业实验单位在监理单位自检的基础上，按比例独立进行平行抽检的相关费用及相应的试验检测费。</w:t>
            </w:r>
          </w:p>
          <w:p w14:paraId="2AC10B98">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Theme="minorEastAsia" w:hAnsiTheme="minorEastAsia" w:eastAsiaTheme="minorEastAsia" w:cstheme="minorEastAsia"/>
                <w:color w:val="auto"/>
                <w:szCs w:val="21"/>
                <w:highlight w:val="none"/>
              </w:rPr>
              <w:t xml:space="preserve"> 监理费竞选报价包括在施工准备阶段、施工阶段及完工验收、</w:t>
            </w:r>
            <w:r>
              <w:rPr>
                <w:rFonts w:hint="eastAsia" w:ascii="宋体" w:hAnsi="宋体"/>
                <w:color w:val="auto"/>
                <w:kern w:val="0"/>
                <w:szCs w:val="21"/>
                <w:highlight w:val="none"/>
              </w:rPr>
              <w:t>竣工验收、办理</w:t>
            </w:r>
            <w:r>
              <w:rPr>
                <w:rFonts w:hint="eastAsia" w:asciiTheme="minorEastAsia" w:hAnsiTheme="minorEastAsia" w:eastAsiaTheme="minorEastAsia" w:cstheme="minorEastAsia"/>
                <w:color w:val="auto"/>
                <w:szCs w:val="21"/>
                <w:highlight w:val="none"/>
              </w:rPr>
              <w:t>结算、缺陷责任期（含配合审计工作）期间的总费用。在监理服务合同有效期内无论物价变动、国家或地方政府的法律法规的变动，均不增减监理费。</w:t>
            </w:r>
            <w:r>
              <w:rPr>
                <w:rFonts w:asciiTheme="minorEastAsia" w:hAnsiTheme="minorEastAsia" w:eastAsiaTheme="minorEastAsia" w:cstheme="minorEastAsia"/>
                <w:color w:val="auto"/>
                <w:szCs w:val="21"/>
                <w:highlight w:val="none"/>
              </w:rPr>
              <w:t>非监理人的原因导致工程延期</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监理合同</w:t>
            </w:r>
            <w:r>
              <w:rPr>
                <w:rFonts w:hint="eastAsia" w:asciiTheme="minorEastAsia" w:hAnsiTheme="minorEastAsia" w:eastAsiaTheme="minorEastAsia" w:cstheme="minorEastAsia"/>
                <w:color w:val="auto"/>
                <w:szCs w:val="21"/>
                <w:highlight w:val="none"/>
              </w:rPr>
              <w:t>相</w:t>
            </w:r>
            <w:r>
              <w:rPr>
                <w:rFonts w:asciiTheme="minorEastAsia" w:hAnsiTheme="minorEastAsia" w:eastAsiaTheme="minorEastAsia" w:cstheme="minorEastAsia"/>
                <w:color w:val="auto"/>
                <w:szCs w:val="21"/>
                <w:highlight w:val="none"/>
              </w:rPr>
              <w:t>应延期</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延期的监理报酬计算方式：</w:t>
            </w:r>
            <w:r>
              <w:rPr>
                <w:rFonts w:hint="eastAsia" w:asciiTheme="minorEastAsia" w:hAnsiTheme="minorEastAsia" w:eastAsiaTheme="minorEastAsia" w:cstheme="minorEastAsia"/>
                <w:color w:val="auto"/>
                <w:szCs w:val="21"/>
                <w:highlight w:val="none"/>
                <w:u w:val="single"/>
              </w:rPr>
              <w:t xml:space="preserve">不调整 </w:t>
            </w:r>
            <w:r>
              <w:rPr>
                <w:rFonts w:hint="eastAsia" w:ascii="宋体" w:hAnsi="宋体"/>
                <w:color w:val="auto"/>
                <w:kern w:val="0"/>
                <w:szCs w:val="21"/>
                <w:highlight w:val="none"/>
              </w:rPr>
              <w:t>。</w:t>
            </w:r>
          </w:p>
          <w:p w14:paraId="3E0C7B0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3.结算原则</w:t>
            </w:r>
          </w:p>
          <w:p w14:paraId="1EE37770">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本项目监理服务费结算价=工程监理收费基价（按项目最终结算审定金额计取）×中标固定费率。</w:t>
            </w:r>
          </w:p>
        </w:tc>
      </w:tr>
      <w:tr w14:paraId="4B986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7F8E3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3.3.1</w:t>
            </w:r>
          </w:p>
        </w:tc>
        <w:tc>
          <w:tcPr>
            <w:tcW w:w="1964" w:type="dxa"/>
            <w:vAlign w:val="center"/>
          </w:tcPr>
          <w:p w14:paraId="4AA2EA3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372" w:type="dxa"/>
            <w:vAlign w:val="center"/>
          </w:tcPr>
          <w:p w14:paraId="010D356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日历天（从提交竞选文件截止日起计算）</w:t>
            </w:r>
          </w:p>
        </w:tc>
      </w:tr>
      <w:tr w14:paraId="56F23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A31C5A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964" w:type="dxa"/>
            <w:vAlign w:val="center"/>
          </w:tcPr>
          <w:p w14:paraId="195A5A7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比选保证金</w:t>
            </w:r>
          </w:p>
        </w:tc>
        <w:tc>
          <w:tcPr>
            <w:tcW w:w="6372" w:type="dxa"/>
            <w:vAlign w:val="center"/>
          </w:tcPr>
          <w:p w14:paraId="602575A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投标保证金的交纳方式：投标人可选择以下二种方式之一。</w:t>
            </w:r>
          </w:p>
          <w:p w14:paraId="370E8DA8">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方式一</w:t>
            </w:r>
          </w:p>
          <w:p w14:paraId="6DADBA8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一、以转账支票或电汇形式交纳投标保证金</w:t>
            </w:r>
          </w:p>
          <w:p w14:paraId="4712191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color w:val="auto"/>
                <w:kern w:val="0"/>
                <w:szCs w:val="21"/>
                <w:highlight w:val="none"/>
              </w:rPr>
              <w:t>不满足上述要求的投标保证金无效。</w:t>
            </w:r>
          </w:p>
          <w:p w14:paraId="4A8C9E4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投标人自行考虑汇入时间风险，如同城汇入、异地汇入、跨行汇入的时间要求。</w:t>
            </w:r>
          </w:p>
          <w:p w14:paraId="1C863371">
            <w:pPr>
              <w:numPr>
                <w:ilvl w:val="0"/>
                <w:numId w:val="2"/>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以转账支票或电汇形式提交投标保证金的金额：</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000</w:t>
            </w:r>
            <w:r>
              <w:rPr>
                <w:rFonts w:ascii="宋体" w:hAnsi="宋体" w:cs="宋体"/>
                <w:color w:val="auto"/>
                <w:highlight w:val="none"/>
                <w:u w:val="single"/>
              </w:rPr>
              <w:t>.00</w:t>
            </w:r>
            <w:r>
              <w:rPr>
                <w:rFonts w:hint="eastAsia" w:ascii="宋体" w:hAnsi="宋体" w:cs="宋体"/>
                <w:color w:val="auto"/>
                <w:highlight w:val="none"/>
              </w:rPr>
              <w:t>元整（人民币）。</w:t>
            </w:r>
          </w:p>
          <w:p w14:paraId="6AF6797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 投标保证金账户及账号：</w:t>
            </w:r>
          </w:p>
          <w:p w14:paraId="213A86F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开户名：中资（重庆）工程咨询有限公司</w:t>
            </w:r>
          </w:p>
          <w:p w14:paraId="47B485D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开户行：中国银行股份有限公司重庆空港支行</w:t>
            </w:r>
          </w:p>
          <w:p w14:paraId="5BE44A2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帐  号：108885534992</w:t>
            </w:r>
          </w:p>
          <w:p w14:paraId="6AABC7E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投标保证金以开标现场展示的保证金交纳情况为准。投标人须在投标文件资格审查部分</w:t>
            </w:r>
            <w:r>
              <w:rPr>
                <w:rFonts w:hint="eastAsia" w:ascii="宋体" w:hAnsi="宋体" w:cs="宋体"/>
                <w:color w:val="auto"/>
                <w:kern w:val="0"/>
                <w:szCs w:val="21"/>
                <w:highlight w:val="none"/>
              </w:rPr>
              <w:t>“其他资料”中</w:t>
            </w:r>
            <w:r>
              <w:rPr>
                <w:rFonts w:hint="eastAsia" w:ascii="宋体" w:hAnsi="宋体" w:cs="宋体"/>
                <w:color w:val="auto"/>
                <w:highlight w:val="none"/>
              </w:rPr>
              <w:t>提供企业基本账户开户证明文件。</w:t>
            </w:r>
          </w:p>
          <w:p w14:paraId="27159DC5">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4. 投标人必须在付款凭证备注栏中注明是“</w:t>
            </w:r>
            <w:r>
              <w:rPr>
                <w:rFonts w:hint="eastAsia" w:ascii="宋体" w:hAnsi="宋体" w:cs="宋体"/>
                <w:color w:val="auto"/>
                <w:highlight w:val="none"/>
                <w:u w:val="single"/>
                <w:lang w:eastAsia="zh-CN"/>
              </w:rPr>
              <w:t>重庆市南岸区学校老旧线路改造及设备安装工程监理</w:t>
            </w:r>
            <w:r>
              <w:rPr>
                <w:rFonts w:hint="eastAsia" w:ascii="宋体" w:hAnsi="宋体" w:cs="宋体"/>
                <w:color w:val="auto"/>
                <w:highlight w:val="none"/>
              </w:rPr>
              <w:t>项目投标保证金”。项目名称可简写成：</w:t>
            </w:r>
            <w:r>
              <w:rPr>
                <w:rFonts w:hint="eastAsia" w:ascii="宋体" w:hAnsi="宋体" w:cs="宋体"/>
                <w:color w:val="auto"/>
                <w:highlight w:val="none"/>
                <w:u w:val="single"/>
              </w:rPr>
              <w:t>南岸学校线路改造及设备安装</w:t>
            </w:r>
            <w:r>
              <w:rPr>
                <w:rFonts w:hint="eastAsia" w:ascii="宋体" w:hAnsi="宋体" w:cs="宋体"/>
                <w:color w:val="auto"/>
                <w:highlight w:val="none"/>
                <w:u w:val="single"/>
                <w:lang w:val="en-US" w:eastAsia="zh-CN"/>
              </w:rPr>
              <w:t>监理</w:t>
            </w:r>
            <w:r>
              <w:rPr>
                <w:rFonts w:hint="eastAsia" w:ascii="宋体" w:hAnsi="宋体" w:cs="宋体"/>
                <w:color w:val="auto"/>
                <w:highlight w:val="none"/>
              </w:rPr>
              <w:t>。</w:t>
            </w:r>
          </w:p>
          <w:p w14:paraId="59763ED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 投标保证金有效期与投标有效期一致。</w:t>
            </w:r>
          </w:p>
          <w:p w14:paraId="6129CFDC">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6. 评标过程中由评标委员会根据投标人在投标文件中提供的企业基本账户开户证明文件核实其投标保证金是否由基本账户转入，未从基本账户转入的，由评标委员会作否决投标处理。</w:t>
            </w:r>
          </w:p>
          <w:p w14:paraId="01B9983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二、投标保证金的退还</w:t>
            </w:r>
          </w:p>
          <w:p w14:paraId="0B40138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招标人应当在法定时间内确定中标人。招标人应当在中标通知书发出后2个工作日内退还。</w:t>
            </w:r>
          </w:p>
          <w:p w14:paraId="47421062">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highlight w:val="none"/>
              </w:rPr>
              <w:t>招标人应当在法定时间内和中标人签订合同。招标人应当在合同生效后2个工作日内退还。</w:t>
            </w:r>
          </w:p>
          <w:p w14:paraId="37095C16">
            <w:pPr>
              <w:snapToGrid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方式二</w:t>
            </w:r>
          </w:p>
          <w:p w14:paraId="5551CCF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一、以纸质投标保函形式交纳投标保证金</w:t>
            </w:r>
          </w:p>
          <w:p w14:paraId="084BCAD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纸质投标保函交纳形式及要求：</w:t>
            </w:r>
          </w:p>
          <w:p w14:paraId="76ADE1D6">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（1）缴纳形式：纸质投标保函包括银行保函、保证保险和担保保函，其示范文本详见第八章投标文件格式。投标人提交的纸质投标保函应严格执行其示范文本，不得对示范文本中的实质性内容进行修改。</w:t>
            </w:r>
          </w:p>
          <w:p w14:paraId="7579B66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6B7807A0">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投标人须在投标文件资格审查部分“其他资料”中提供纸质投标保函扫描件，纸质投标保函原件应当于投标截止时间前在开标现场递交招标人保管。</w:t>
            </w:r>
          </w:p>
          <w:p w14:paraId="13AFA54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若投标截止时间延期，则纸质投标保函递交的截止时间和投标截止时间保持一致。</w:t>
            </w:r>
          </w:p>
          <w:p w14:paraId="5EBBF414">
            <w:pPr>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不满足上述要求的纸质投标保函无效。</w:t>
            </w:r>
          </w:p>
          <w:p w14:paraId="57220276">
            <w:pPr>
              <w:numPr>
                <w:ilvl w:val="0"/>
                <w:numId w:val="2"/>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以纸质投标保函形式担保的投标保证金的金额</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rPr>
              <w:t>000</w:t>
            </w:r>
            <w:r>
              <w:rPr>
                <w:rFonts w:ascii="宋体" w:hAnsi="宋体" w:cs="宋体"/>
                <w:color w:val="auto"/>
                <w:kern w:val="0"/>
                <w:szCs w:val="21"/>
                <w:highlight w:val="none"/>
                <w:u w:val="single"/>
              </w:rPr>
              <w:t>.00</w:t>
            </w:r>
            <w:r>
              <w:rPr>
                <w:rFonts w:hint="eastAsia" w:ascii="宋体" w:hAnsi="宋体" w:cs="宋体"/>
                <w:color w:val="auto"/>
                <w:kern w:val="0"/>
                <w:szCs w:val="21"/>
                <w:highlight w:val="none"/>
              </w:rPr>
              <w:t>元整（人民币）</w:t>
            </w:r>
            <w:r>
              <w:rPr>
                <w:rFonts w:hint="eastAsia" w:ascii="宋体" w:hAnsi="宋体" w:cs="宋体"/>
                <w:color w:val="auto"/>
                <w:highlight w:val="none"/>
              </w:rPr>
              <w:t>。</w:t>
            </w:r>
          </w:p>
          <w:p w14:paraId="308CA59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投标人须</w:t>
            </w:r>
            <w:r>
              <w:rPr>
                <w:rFonts w:hint="eastAsia" w:ascii="宋体" w:hAnsi="宋体" w:cs="宋体"/>
                <w:color w:val="auto"/>
                <w:highlight w:val="none"/>
              </w:rPr>
              <w:t>在</w:t>
            </w:r>
            <w:r>
              <w:rPr>
                <w:rFonts w:hint="eastAsia" w:ascii="宋体" w:hAnsi="宋体" w:cs="宋体"/>
                <w:color w:val="auto"/>
                <w:kern w:val="0"/>
                <w:szCs w:val="21"/>
                <w:highlight w:val="none"/>
              </w:rPr>
              <w:t>纸质投标保函中注明在重庆市辖区范围内的核验地址和核验方式，并确保其递交的纸质投标保函能在开立人在渝的总部或者分支机构进行核验。</w:t>
            </w:r>
          </w:p>
          <w:p w14:paraId="176DDC0D">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 投标人在开标现场递交的纸质投标保函原件应与投标文件中提供的纸质投标保函扫描件一致，否则由评标委员会作否决投标处理。</w:t>
            </w:r>
          </w:p>
          <w:p w14:paraId="6C1BF2F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highlight w:val="none"/>
              </w:rPr>
              <w:t>已取得中标候选人资格或中标资格的投标人，按相关规定取消中标候选人资格或中标资格</w:t>
            </w:r>
            <w:r>
              <w:rPr>
                <w:rFonts w:hint="eastAsia" w:ascii="宋体" w:hAnsi="宋体" w:cs="宋体"/>
                <w:color w:val="auto"/>
                <w:kern w:val="0"/>
                <w:szCs w:val="21"/>
                <w:highlight w:val="none"/>
              </w:rPr>
              <w:t>，</w:t>
            </w:r>
            <w:r>
              <w:rPr>
                <w:rFonts w:hint="eastAsia" w:ascii="宋体" w:hAnsi="宋体" w:cs="宋体"/>
                <w:color w:val="auto"/>
                <w:szCs w:val="21"/>
                <w:highlight w:val="none"/>
              </w:rPr>
              <w:t>给招标人造成损失的，投标人依法承担赔偿责任。</w:t>
            </w:r>
            <w:r>
              <w:rPr>
                <w:rFonts w:hint="eastAsia" w:ascii="宋体" w:hAnsi="宋体" w:cs="宋体"/>
                <w:color w:val="auto"/>
                <w:kern w:val="0"/>
                <w:szCs w:val="21"/>
                <w:highlight w:val="none"/>
              </w:rPr>
              <w:t>投标人提交的纸质投标</w:t>
            </w:r>
            <w:r>
              <w:rPr>
                <w:rFonts w:hint="eastAsia" w:ascii="宋体" w:hAnsi="宋体" w:cs="宋体"/>
                <w:color w:val="auto"/>
                <w:szCs w:val="21"/>
                <w:highlight w:val="none"/>
              </w:rPr>
              <w:t>保函涉及弄虚作假或其他违法违规情形的，移送相关部门处理</w:t>
            </w:r>
            <w:r>
              <w:rPr>
                <w:rFonts w:hint="eastAsia" w:ascii="宋体" w:hAnsi="宋体" w:cs="宋体"/>
                <w:color w:val="auto"/>
                <w:kern w:val="0"/>
                <w:szCs w:val="21"/>
                <w:highlight w:val="none"/>
              </w:rPr>
              <w:t>。</w:t>
            </w:r>
          </w:p>
          <w:p w14:paraId="6CDD666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二、纸质投标保函的退还、注销</w:t>
            </w:r>
          </w:p>
          <w:p w14:paraId="0EB3AE00">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2540F757">
            <w:pPr>
              <w:pStyle w:val="8"/>
              <w:spacing w:after="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招标人应在法定时间内和中标人签订合同，并同时书面通知相关金融机构向中标人和其他中标候选人注销纸质投标保函。具体注销事宜由投标人与金融机构协商。</w:t>
            </w:r>
          </w:p>
        </w:tc>
      </w:tr>
      <w:tr w14:paraId="427A0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BD9B7C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3.5.1</w:t>
            </w:r>
          </w:p>
        </w:tc>
        <w:tc>
          <w:tcPr>
            <w:tcW w:w="1964" w:type="dxa"/>
            <w:vAlign w:val="center"/>
          </w:tcPr>
          <w:p w14:paraId="1C33C61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资格审查资料</w:t>
            </w:r>
          </w:p>
        </w:tc>
        <w:tc>
          <w:tcPr>
            <w:tcW w:w="6372" w:type="dxa"/>
            <w:vAlign w:val="center"/>
          </w:tcPr>
          <w:p w14:paraId="640552C2">
            <w:pPr>
              <w:snapToGrid w:val="0"/>
              <w:spacing w:after="93" w:afterLines="3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按1.4.1要求提供</w:t>
            </w:r>
          </w:p>
        </w:tc>
      </w:tr>
      <w:tr w14:paraId="36D05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8F465A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3.5.2</w:t>
            </w:r>
          </w:p>
        </w:tc>
        <w:tc>
          <w:tcPr>
            <w:tcW w:w="1964" w:type="dxa"/>
            <w:vAlign w:val="center"/>
          </w:tcPr>
          <w:p w14:paraId="45945D4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近年财务状况</w:t>
            </w:r>
          </w:p>
          <w:p w14:paraId="38167DF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的年份要求</w:t>
            </w:r>
          </w:p>
        </w:tc>
        <w:tc>
          <w:tcPr>
            <w:tcW w:w="6372" w:type="dxa"/>
            <w:vAlign w:val="center"/>
          </w:tcPr>
          <w:p w14:paraId="445191C2">
            <w:pPr>
              <w:snapToGrid w:val="0"/>
              <w:spacing w:after="93" w:afterLines="30"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按1.4.1要求提供</w:t>
            </w:r>
          </w:p>
        </w:tc>
      </w:tr>
      <w:tr w14:paraId="3E09A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A56FAB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964" w:type="dxa"/>
            <w:vAlign w:val="center"/>
          </w:tcPr>
          <w:p w14:paraId="452F198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是否允许递交</w:t>
            </w:r>
          </w:p>
          <w:p w14:paraId="4A404007">
            <w:pPr>
              <w:snapToGrid w:val="0"/>
              <w:spacing w:after="93" w:afterLines="3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备选竞选方案</w:t>
            </w:r>
          </w:p>
        </w:tc>
        <w:tc>
          <w:tcPr>
            <w:tcW w:w="6372" w:type="dxa"/>
            <w:vAlign w:val="center"/>
          </w:tcPr>
          <w:p w14:paraId="55CC3E0E">
            <w:pPr>
              <w:snapToGrid w:val="0"/>
              <w:spacing w:line="400" w:lineRule="exact"/>
              <w:ind w:firstLine="420" w:firstLineChars="200"/>
              <w:rPr>
                <w:rFonts w:ascii="宋体" w:hAnsi="宋体" w:cs="宋体"/>
                <w:color w:val="auto"/>
                <w:kern w:val="0"/>
                <w:szCs w:val="21"/>
                <w:highlight w:val="none"/>
              </w:rPr>
            </w:pPr>
            <w:r>
              <w:rPr>
                <w:rFonts w:hint="eastAsia" w:ascii="MS Gothic" w:hAnsi="MS Gothic" w:eastAsia="MS Gothic" w:cs="MS Gothic"/>
                <w:color w:val="auto"/>
                <w:kern w:val="0"/>
                <w:szCs w:val="21"/>
                <w:highlight w:val="none"/>
              </w:rPr>
              <w:t>☑</w:t>
            </w:r>
            <w:r>
              <w:rPr>
                <w:rFonts w:hint="eastAsia" w:ascii="宋体" w:hAnsi="宋体" w:cs="宋体"/>
                <w:color w:val="auto"/>
                <w:kern w:val="0"/>
                <w:szCs w:val="21"/>
                <w:highlight w:val="none"/>
              </w:rPr>
              <w:t>不允许</w:t>
            </w:r>
          </w:p>
        </w:tc>
      </w:tr>
      <w:tr w14:paraId="032D2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32B50A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3.7.3</w:t>
            </w:r>
          </w:p>
        </w:tc>
        <w:tc>
          <w:tcPr>
            <w:tcW w:w="1964" w:type="dxa"/>
            <w:vAlign w:val="center"/>
          </w:tcPr>
          <w:p w14:paraId="231A3DC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372" w:type="dxa"/>
            <w:vAlign w:val="center"/>
          </w:tcPr>
          <w:p w14:paraId="0E0C5C3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0D644F0C">
            <w:pPr>
              <w:snapToGrid w:val="0"/>
              <w:spacing w:line="400" w:lineRule="exact"/>
              <w:ind w:firstLine="420" w:firstLineChars="200"/>
              <w:rPr>
                <w:rFonts w:ascii="宋体" w:hAnsi="宋体" w:cs="宋体"/>
                <w:i/>
                <w:color w:val="auto"/>
                <w:szCs w:val="21"/>
                <w:highlight w:val="none"/>
              </w:rPr>
            </w:pPr>
            <w:r>
              <w:rPr>
                <w:rFonts w:hint="eastAsia" w:ascii="宋体" w:hAnsi="宋体" w:cs="宋体"/>
                <w:color w:val="auto"/>
                <w:szCs w:val="21"/>
                <w:highlight w:val="none"/>
              </w:rPr>
              <w:t>未按上述规定执行的，交由评选委员会作否决竞选处理。</w:t>
            </w:r>
          </w:p>
        </w:tc>
      </w:tr>
      <w:tr w14:paraId="254117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DD84DA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3.7.4</w:t>
            </w:r>
          </w:p>
        </w:tc>
        <w:tc>
          <w:tcPr>
            <w:tcW w:w="1964" w:type="dxa"/>
            <w:vAlign w:val="center"/>
          </w:tcPr>
          <w:p w14:paraId="3C9D1959">
            <w:pPr>
              <w:snapToGrid w:val="0"/>
              <w:spacing w:line="400" w:lineRule="exac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竞选文件的份数</w:t>
            </w:r>
          </w:p>
        </w:tc>
        <w:tc>
          <w:tcPr>
            <w:tcW w:w="6372" w:type="dxa"/>
            <w:vAlign w:val="center"/>
          </w:tcPr>
          <w:p w14:paraId="0C7D3E63">
            <w:pPr>
              <w:pStyle w:val="46"/>
              <w:snapToGrid w:val="0"/>
              <w:spacing w:before="105" w:line="400" w:lineRule="exact"/>
              <w:ind w:right="74" w:firstLine="420" w:firstLineChars="200"/>
              <w:rPr>
                <w:rFonts w:cs="宋体"/>
                <w:color w:val="auto"/>
                <w:kern w:val="0"/>
                <w:szCs w:val="21"/>
                <w:highlight w:val="none"/>
              </w:rPr>
            </w:pPr>
            <w:r>
              <w:rPr>
                <w:rStyle w:val="47"/>
                <w:rFonts w:hint="eastAsia"/>
                <w:color w:val="auto"/>
                <w:highlight w:val="none"/>
              </w:rPr>
              <w:t>竞选文件</w:t>
            </w:r>
            <w:r>
              <w:rPr>
                <w:rStyle w:val="47"/>
                <w:color w:val="auto"/>
                <w:highlight w:val="none"/>
              </w:rPr>
              <w:t>正本</w:t>
            </w:r>
            <w:r>
              <w:rPr>
                <w:rStyle w:val="47"/>
                <w:rFonts w:hint="eastAsia"/>
                <w:color w:val="auto"/>
                <w:highlight w:val="none"/>
              </w:rPr>
              <w:t>一</w:t>
            </w:r>
            <w:r>
              <w:rPr>
                <w:rStyle w:val="47"/>
                <w:color w:val="auto"/>
                <w:highlight w:val="none"/>
              </w:rPr>
              <w:t>份</w:t>
            </w:r>
            <w:r>
              <w:rPr>
                <w:rStyle w:val="47"/>
                <w:rFonts w:hint="eastAsia"/>
                <w:color w:val="auto"/>
                <w:highlight w:val="none"/>
              </w:rPr>
              <w:t>，副本</w:t>
            </w:r>
            <w:r>
              <w:rPr>
                <w:rStyle w:val="47"/>
                <w:rFonts w:hint="eastAsia"/>
                <w:color w:val="auto"/>
                <w:highlight w:val="none"/>
                <w:lang w:val="en-US"/>
              </w:rPr>
              <w:t>2份，</w:t>
            </w:r>
            <w:r>
              <w:rPr>
                <w:rStyle w:val="47"/>
                <w:color w:val="auto"/>
                <w:highlight w:val="none"/>
              </w:rPr>
              <w:t>电子文档（U盘</w:t>
            </w:r>
            <w:r>
              <w:rPr>
                <w:rStyle w:val="47"/>
                <w:rFonts w:hint="eastAsia"/>
                <w:color w:val="auto"/>
                <w:highlight w:val="none"/>
              </w:rPr>
              <w:t>或光盘为载体）</w:t>
            </w:r>
            <w:r>
              <w:rPr>
                <w:rStyle w:val="47"/>
                <w:color w:val="auto"/>
                <w:highlight w:val="none"/>
              </w:rPr>
              <w:t>1</w:t>
            </w:r>
            <w:r>
              <w:rPr>
                <w:rStyle w:val="47"/>
                <w:rFonts w:hint="eastAsia"/>
                <w:color w:val="auto"/>
                <w:highlight w:val="none"/>
              </w:rPr>
              <w:t>个</w:t>
            </w:r>
            <w:r>
              <w:rPr>
                <w:rStyle w:val="47"/>
                <w:color w:val="auto"/>
                <w:highlight w:val="none"/>
              </w:rPr>
              <w:t>，包含</w:t>
            </w:r>
            <w:r>
              <w:rPr>
                <w:rStyle w:val="47"/>
                <w:rFonts w:hint="eastAsia"/>
                <w:color w:val="auto"/>
                <w:highlight w:val="none"/>
              </w:rPr>
              <w:t>竞选函</w:t>
            </w:r>
            <w:r>
              <w:rPr>
                <w:rStyle w:val="47"/>
                <w:color w:val="auto"/>
                <w:highlight w:val="none"/>
              </w:rPr>
              <w:t>部分、资格审查部分、技术部分的所有资料的电子版，U盘需标明项目名称、</w:t>
            </w:r>
            <w:r>
              <w:rPr>
                <w:rStyle w:val="47"/>
                <w:rFonts w:hint="eastAsia"/>
                <w:color w:val="auto"/>
                <w:highlight w:val="none"/>
              </w:rPr>
              <w:t>竞选单位</w:t>
            </w:r>
            <w:r>
              <w:rPr>
                <w:rStyle w:val="47"/>
                <w:color w:val="auto"/>
                <w:highlight w:val="none"/>
              </w:rPr>
              <w:t>名称并加盖公章），装入</w:t>
            </w:r>
            <w:r>
              <w:rPr>
                <w:rStyle w:val="47"/>
                <w:rFonts w:hint="eastAsia"/>
                <w:color w:val="auto"/>
                <w:highlight w:val="none"/>
              </w:rPr>
              <w:t>竞选函</w:t>
            </w:r>
            <w:r>
              <w:rPr>
                <w:rStyle w:val="47"/>
                <w:color w:val="auto"/>
                <w:highlight w:val="none"/>
              </w:rPr>
              <w:t>袋中提交。</w:t>
            </w:r>
          </w:p>
        </w:tc>
      </w:tr>
      <w:tr w14:paraId="1ECA0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B71BD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3.7.5</w:t>
            </w:r>
          </w:p>
        </w:tc>
        <w:tc>
          <w:tcPr>
            <w:tcW w:w="1964" w:type="dxa"/>
            <w:vAlign w:val="center"/>
          </w:tcPr>
          <w:p w14:paraId="2F59331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装订要求</w:t>
            </w:r>
          </w:p>
        </w:tc>
        <w:tc>
          <w:tcPr>
            <w:tcW w:w="6372" w:type="dxa"/>
            <w:vAlign w:val="center"/>
          </w:tcPr>
          <w:p w14:paraId="2AD545E5">
            <w:pPr>
              <w:adjustRightInd w:val="0"/>
              <w:snapToGrid w:val="0"/>
              <w:spacing w:line="360" w:lineRule="auto"/>
              <w:ind w:firstLine="420" w:firstLineChars="200"/>
              <w:rPr>
                <w:color w:val="auto"/>
                <w:highlight w:val="none"/>
              </w:rPr>
            </w:pPr>
            <w:r>
              <w:rPr>
                <w:rFonts w:hint="eastAsia"/>
                <w:color w:val="auto"/>
                <w:highlight w:val="none"/>
              </w:rPr>
              <w:t>1、资格审查资料、竞选函部分、技术部分资料各自分别装订成册。</w:t>
            </w:r>
          </w:p>
          <w:p w14:paraId="68E5B32C">
            <w:pPr>
              <w:adjustRightInd w:val="0"/>
              <w:snapToGrid w:val="0"/>
              <w:spacing w:line="360" w:lineRule="auto"/>
              <w:ind w:firstLine="420" w:firstLineChars="200"/>
              <w:rPr>
                <w:color w:val="auto"/>
                <w:highlight w:val="none"/>
              </w:rPr>
            </w:pPr>
            <w:r>
              <w:rPr>
                <w:rFonts w:hint="eastAsia"/>
                <w:color w:val="auto"/>
                <w:highlight w:val="none"/>
              </w:rPr>
              <w:t>2、装订</w:t>
            </w:r>
          </w:p>
          <w:p w14:paraId="5BDC8824">
            <w:pPr>
              <w:adjustRightInd w:val="0"/>
              <w:snapToGrid w:val="0"/>
              <w:spacing w:line="360" w:lineRule="auto"/>
              <w:ind w:firstLine="420" w:firstLineChars="200"/>
              <w:rPr>
                <w:color w:val="auto"/>
                <w:highlight w:val="none"/>
              </w:rPr>
            </w:pPr>
            <w:r>
              <w:rPr>
                <w:rFonts w:hint="eastAsia"/>
                <w:color w:val="auto"/>
                <w:highlight w:val="none"/>
              </w:rPr>
              <w:t>（1）资格审查资料的装订要求</w:t>
            </w:r>
          </w:p>
          <w:p w14:paraId="54F8FE35">
            <w:pPr>
              <w:adjustRightInd w:val="0"/>
              <w:snapToGrid w:val="0"/>
              <w:spacing w:line="360" w:lineRule="auto"/>
              <w:ind w:firstLine="420" w:firstLineChars="200"/>
              <w:rPr>
                <w:color w:val="auto"/>
                <w:highlight w:val="none"/>
              </w:rPr>
            </w:pPr>
            <w:r>
              <w:rPr>
                <w:rFonts w:hint="eastAsia"/>
                <w:color w:val="auto"/>
                <w:highlight w:val="none"/>
              </w:rPr>
              <w:t>按照第五章规定格式装订成册。</w:t>
            </w:r>
          </w:p>
          <w:p w14:paraId="37CF7A46">
            <w:pPr>
              <w:adjustRightInd w:val="0"/>
              <w:snapToGrid w:val="0"/>
              <w:spacing w:line="360" w:lineRule="auto"/>
              <w:ind w:firstLine="420" w:firstLineChars="200"/>
              <w:rPr>
                <w:color w:val="auto"/>
                <w:highlight w:val="none"/>
              </w:rPr>
            </w:pPr>
            <w:r>
              <w:rPr>
                <w:rFonts w:hint="eastAsia"/>
                <w:color w:val="auto"/>
                <w:highlight w:val="none"/>
              </w:rPr>
              <w:t>（2）竞选函部分资料的装订要求</w:t>
            </w:r>
          </w:p>
          <w:p w14:paraId="5755C416">
            <w:pPr>
              <w:adjustRightInd w:val="0"/>
              <w:snapToGrid w:val="0"/>
              <w:spacing w:line="360" w:lineRule="auto"/>
              <w:ind w:firstLine="420" w:firstLineChars="200"/>
              <w:rPr>
                <w:color w:val="auto"/>
                <w:highlight w:val="none"/>
              </w:rPr>
            </w:pPr>
            <w:r>
              <w:rPr>
                <w:rFonts w:hint="eastAsia"/>
                <w:color w:val="auto"/>
                <w:highlight w:val="none"/>
              </w:rPr>
              <w:t>按照第五章规定格式装订成册。</w:t>
            </w:r>
          </w:p>
          <w:p w14:paraId="77CDCD6C">
            <w:pPr>
              <w:numPr>
                <w:ilvl w:val="0"/>
                <w:numId w:val="3"/>
              </w:numPr>
              <w:snapToGrid w:val="0"/>
              <w:spacing w:line="360" w:lineRule="auto"/>
              <w:ind w:firstLine="420" w:firstLineChars="200"/>
              <w:rPr>
                <w:color w:val="auto"/>
                <w:highlight w:val="none"/>
              </w:rPr>
            </w:pPr>
            <w:r>
              <w:rPr>
                <w:rFonts w:hint="eastAsia"/>
                <w:color w:val="auto"/>
                <w:highlight w:val="none"/>
              </w:rPr>
              <w:t>技术部分的装订要求</w:t>
            </w:r>
          </w:p>
          <w:p w14:paraId="50FA43D7">
            <w:pPr>
              <w:snapToGrid w:val="0"/>
              <w:spacing w:line="360" w:lineRule="auto"/>
              <w:ind w:firstLine="420" w:firstLineChars="200"/>
              <w:rPr>
                <w:color w:val="auto"/>
                <w:highlight w:val="none"/>
              </w:rPr>
            </w:pPr>
            <w:r>
              <w:rPr>
                <w:rFonts w:hint="eastAsia"/>
                <w:color w:val="auto"/>
                <w:highlight w:val="none"/>
              </w:rPr>
              <w:t>按照第五章规定格式装订成册。(技术部分采用明标评审，原则上不得超过200页)</w:t>
            </w:r>
          </w:p>
        </w:tc>
      </w:tr>
      <w:tr w14:paraId="34514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361327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4.1.1</w:t>
            </w:r>
          </w:p>
        </w:tc>
        <w:tc>
          <w:tcPr>
            <w:tcW w:w="1964" w:type="dxa"/>
            <w:vAlign w:val="center"/>
          </w:tcPr>
          <w:p w14:paraId="7C83E3A9">
            <w:pPr>
              <w:snapToGrid w:val="0"/>
              <w:spacing w:line="40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竞选文件的密封</w:t>
            </w:r>
          </w:p>
        </w:tc>
        <w:tc>
          <w:tcPr>
            <w:tcW w:w="6372" w:type="dxa"/>
            <w:vAlign w:val="center"/>
          </w:tcPr>
          <w:p w14:paraId="72E9ED84">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的正本、副本、电子文档均应密封送达递交地点，应按本表第4.1.2项的规定在封套上写明相应内容。若正本、副本、电子文档分别进行密封的，还应在封套上注明“正本”、“副本”、“电子文档”字样。封套的封口处应加盖竞选人公章或由法定代表人授权代表签字。</w:t>
            </w:r>
          </w:p>
          <w:p w14:paraId="20ACBD0A">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如果未按上述规定进行密封和标记，比选代理机构对竞选文件误投、丢失或提前拆封不负责任。</w:t>
            </w:r>
          </w:p>
        </w:tc>
      </w:tr>
      <w:tr w14:paraId="0B9E9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B4A90C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4.1.2</w:t>
            </w:r>
          </w:p>
        </w:tc>
        <w:tc>
          <w:tcPr>
            <w:tcW w:w="1964" w:type="dxa"/>
            <w:vAlign w:val="center"/>
          </w:tcPr>
          <w:p w14:paraId="268E922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372" w:type="dxa"/>
            <w:vAlign w:val="center"/>
          </w:tcPr>
          <w:p w14:paraId="11BC4036">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应在封套上写明如下内容：</w:t>
            </w:r>
          </w:p>
          <w:p w14:paraId="3B7CBA9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竞选人名称：</w:t>
            </w:r>
          </w:p>
          <w:p w14:paraId="3B715C1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竞选文件</w:t>
            </w:r>
          </w:p>
          <w:p w14:paraId="0E1142C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5F447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DDFE04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4.2.2</w:t>
            </w:r>
          </w:p>
        </w:tc>
        <w:tc>
          <w:tcPr>
            <w:tcW w:w="1964" w:type="dxa"/>
            <w:vAlign w:val="center"/>
          </w:tcPr>
          <w:p w14:paraId="3DBE879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递交竞选文件截止时间和地点</w:t>
            </w:r>
          </w:p>
        </w:tc>
        <w:tc>
          <w:tcPr>
            <w:tcW w:w="6372" w:type="dxa"/>
            <w:vAlign w:val="center"/>
          </w:tcPr>
          <w:p w14:paraId="7A40DD3D">
            <w:pPr>
              <w:adjustRightInd w:val="0"/>
              <w:snapToGri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u w:val="single"/>
              </w:rPr>
              <w:t>202</w:t>
            </w:r>
            <w:r>
              <w:rPr>
                <w:rFonts w:hint="eastAsia" w:ascii="宋体" w:hAnsi="宋体" w:cs="宋体"/>
                <w:color w:val="auto"/>
                <w:szCs w:val="21"/>
                <w:highlight w:val="none"/>
                <w:u w:val="single"/>
              </w:rPr>
              <w:t>5</w:t>
            </w:r>
            <w:r>
              <w:rPr>
                <w:rFonts w:ascii="宋体" w:hAnsi="宋体" w:cs="宋体"/>
                <w:color w:val="auto"/>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6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 xml:space="preserve"> </w:t>
            </w:r>
            <w:r>
              <w:rPr>
                <w:rFonts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ascii="宋体" w:hAnsi="宋体" w:cs="宋体"/>
                <w:color w:val="auto"/>
                <w:szCs w:val="21"/>
                <w:highlight w:val="none"/>
              </w:rPr>
              <w:t>分</w:t>
            </w:r>
            <w:r>
              <w:rPr>
                <w:rFonts w:ascii="宋体" w:hAnsi="宋体" w:cs="宋体"/>
                <w:color w:val="auto"/>
                <w:szCs w:val="21"/>
                <w:highlight w:val="none"/>
              </w:rPr>
              <w:t>（北京时间）。</w:t>
            </w:r>
          </w:p>
          <w:p w14:paraId="2071636C">
            <w:pPr>
              <w:adjustRightInd w:val="0"/>
              <w:snapToGrid w:val="0"/>
              <w:spacing w:line="400" w:lineRule="exact"/>
              <w:ind w:firstLine="420" w:firstLineChars="200"/>
              <w:rPr>
                <w:rFonts w:ascii="宋体" w:hAnsi="宋体" w:cs="宋体"/>
                <w:bCs/>
                <w:i/>
                <w:color w:val="auto"/>
                <w:szCs w:val="21"/>
                <w:highlight w:val="none"/>
              </w:rPr>
            </w:pPr>
            <w:r>
              <w:rPr>
                <w:rFonts w:hint="eastAsia" w:cs="宋体" w:asciiTheme="minorEastAsia" w:hAnsiTheme="minorEastAsia" w:eastAsiaTheme="minorEastAsia"/>
                <w:color w:val="auto"/>
                <w:szCs w:val="21"/>
                <w:highlight w:val="none"/>
              </w:rPr>
              <w:t>重庆市南岸区行政服务中心B区3号楼</w:t>
            </w:r>
            <w:r>
              <w:rPr>
                <w:rFonts w:hint="eastAsia" w:cs="宋体" w:asciiTheme="minorEastAsia" w:hAnsiTheme="minorEastAsia" w:eastAsiaTheme="minorEastAsia"/>
                <w:color w:val="auto"/>
                <w:szCs w:val="21"/>
                <w:highlight w:val="none"/>
                <w:lang w:val="en-US" w:eastAsia="zh-CN"/>
              </w:rPr>
              <w:t>2012</w:t>
            </w:r>
            <w:r>
              <w:rPr>
                <w:rFonts w:hint="eastAsia" w:cs="宋体" w:asciiTheme="minorEastAsia" w:hAnsiTheme="minorEastAsia" w:eastAsiaTheme="minorEastAsia"/>
                <w:color w:val="auto"/>
                <w:szCs w:val="21"/>
                <w:highlight w:val="none"/>
              </w:rPr>
              <w:t>室</w:t>
            </w:r>
          </w:p>
        </w:tc>
      </w:tr>
      <w:tr w14:paraId="5F048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FFAEC3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4.2.3</w:t>
            </w:r>
          </w:p>
        </w:tc>
        <w:tc>
          <w:tcPr>
            <w:tcW w:w="1964" w:type="dxa"/>
            <w:vAlign w:val="center"/>
          </w:tcPr>
          <w:p w14:paraId="059AB30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372" w:type="dxa"/>
            <w:vAlign w:val="center"/>
          </w:tcPr>
          <w:p w14:paraId="380F2074">
            <w:pPr>
              <w:spacing w:line="400" w:lineRule="exact"/>
              <w:ind w:firstLine="210" w:firstLineChars="100"/>
              <w:rPr>
                <w:rFonts w:ascii="宋体" w:hAnsi="宋体" w:cs="宋体"/>
                <w:color w:val="auto"/>
                <w:kern w:val="0"/>
                <w:szCs w:val="21"/>
                <w:highlight w:val="none"/>
              </w:rPr>
            </w:pPr>
            <w:r>
              <w:rPr>
                <w:rFonts w:hint="eastAsia" w:ascii="MS Gothic" w:hAnsi="MS Gothic" w:eastAsia="MS Gothic" w:cs="MS Gothic"/>
                <w:color w:val="auto"/>
                <w:szCs w:val="21"/>
                <w:highlight w:val="none"/>
              </w:rPr>
              <w:t>☑</w:t>
            </w:r>
            <w:r>
              <w:rPr>
                <w:rFonts w:hint="eastAsia" w:ascii="宋体" w:hAnsi="宋体" w:cs="宋体"/>
                <w:color w:val="auto"/>
                <w:szCs w:val="21"/>
                <w:highlight w:val="none"/>
              </w:rPr>
              <w:t>否</w:t>
            </w:r>
          </w:p>
        </w:tc>
      </w:tr>
      <w:tr w14:paraId="15F12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1389B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5.1.1</w:t>
            </w:r>
          </w:p>
        </w:tc>
        <w:tc>
          <w:tcPr>
            <w:tcW w:w="1964" w:type="dxa"/>
            <w:vAlign w:val="center"/>
          </w:tcPr>
          <w:p w14:paraId="2A38C3E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评选时间和地点</w:t>
            </w:r>
          </w:p>
        </w:tc>
        <w:tc>
          <w:tcPr>
            <w:tcW w:w="6372" w:type="dxa"/>
            <w:vAlign w:val="center"/>
          </w:tcPr>
          <w:p w14:paraId="20B99C64">
            <w:pPr>
              <w:snapToGrid w:val="0"/>
              <w:spacing w:line="400" w:lineRule="exact"/>
              <w:ind w:firstLine="420" w:firstLineChars="200"/>
              <w:rPr>
                <w:rFonts w:ascii="宋体" w:hAnsi="宋体" w:cs="宋体"/>
                <w:bCs/>
                <w:i/>
                <w:color w:val="auto"/>
                <w:szCs w:val="21"/>
                <w:highlight w:val="none"/>
              </w:rPr>
            </w:pPr>
            <w:r>
              <w:rPr>
                <w:rFonts w:hint="eastAsia" w:ascii="宋体" w:hAnsi="宋体" w:cs="宋体"/>
                <w:color w:val="auto"/>
                <w:kern w:val="0"/>
                <w:szCs w:val="21"/>
                <w:highlight w:val="none"/>
              </w:rPr>
              <w:t>同竞选文件递交截止时间和地点</w:t>
            </w:r>
          </w:p>
        </w:tc>
      </w:tr>
      <w:tr w14:paraId="0A1EE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0CA7B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964" w:type="dxa"/>
            <w:vAlign w:val="center"/>
          </w:tcPr>
          <w:p w14:paraId="1D8F03B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竞选文件开启</w:t>
            </w:r>
          </w:p>
          <w:p w14:paraId="7D5AB62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及唱标程序</w:t>
            </w:r>
          </w:p>
        </w:tc>
        <w:tc>
          <w:tcPr>
            <w:tcW w:w="6372" w:type="dxa"/>
            <w:vAlign w:val="center"/>
          </w:tcPr>
          <w:p w14:paraId="6A8C6A0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 宣布评选纪律；</w:t>
            </w:r>
          </w:p>
          <w:p w14:paraId="7B1B0D6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公布在竞选文件递交截止时间前递交竞选文件的竞选人名称，并点名确认竞选人是否派人到场；竞选人如未派人到场，视作其默认所有唱标及评审结果。</w:t>
            </w:r>
          </w:p>
          <w:p w14:paraId="225962A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 核验竞选单位法定代表人或授权委托人本人身份证（原件），以确认其身份合法有效；核验身份未通过的人员不得参加文件袋开启和唱标程序，视作该竞选单位未派人到场处理。</w:t>
            </w:r>
          </w:p>
          <w:p w14:paraId="1AF5C7E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密封情况检查：竞选人或者其推选的代表检查竞选文件的密封情况并确认。密封检查不合格的竞选文件当场退还，拒绝其参与本次比选。</w:t>
            </w:r>
          </w:p>
          <w:p w14:paraId="58AB217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 开启竞选文件顺序：随机开启；</w:t>
            </w:r>
          </w:p>
          <w:p w14:paraId="08DEB6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6.当众开启竞选文件袋，公布竞选人名称、项目名称、竞选总报价、监理服务期及其他竞选函上内容；</w:t>
            </w:r>
          </w:p>
          <w:p w14:paraId="316C15E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 竞选人代表、比选人代表、监督人员、记录人员等有关人员在报价记录上签字确认；</w:t>
            </w:r>
          </w:p>
          <w:p w14:paraId="09545888">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8. 唱标结束。</w:t>
            </w:r>
          </w:p>
        </w:tc>
      </w:tr>
      <w:tr w14:paraId="4E33B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C4F6CA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6.1.1</w:t>
            </w:r>
          </w:p>
        </w:tc>
        <w:tc>
          <w:tcPr>
            <w:tcW w:w="1964" w:type="dxa"/>
            <w:vAlign w:val="center"/>
          </w:tcPr>
          <w:p w14:paraId="68728E4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评选委员会的组建</w:t>
            </w:r>
          </w:p>
        </w:tc>
        <w:tc>
          <w:tcPr>
            <w:tcW w:w="6372" w:type="dxa"/>
            <w:vAlign w:val="center"/>
          </w:tcPr>
          <w:p w14:paraId="5B70803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1、评选委员会构成：</w:t>
            </w:r>
            <w:r>
              <w:rPr>
                <w:rFonts w:ascii="宋体" w:hAnsi="宋体"/>
                <w:color w:val="auto"/>
                <w:szCs w:val="21"/>
                <w:highlight w:val="none"/>
              </w:rPr>
              <w:t>3</w:t>
            </w:r>
            <w:r>
              <w:rPr>
                <w:rFonts w:hint="eastAsia" w:ascii="宋体" w:hAnsi="宋体"/>
                <w:color w:val="auto"/>
                <w:szCs w:val="21"/>
                <w:highlight w:val="none"/>
              </w:rPr>
              <w:t>人。</w:t>
            </w:r>
          </w:p>
          <w:p w14:paraId="41B9050A">
            <w:pPr>
              <w:pStyle w:val="8"/>
              <w:spacing w:line="400" w:lineRule="exact"/>
              <w:ind w:firstLine="420" w:firstLineChars="200"/>
              <w:rPr>
                <w:color w:val="auto"/>
                <w:highlight w:val="none"/>
              </w:rPr>
            </w:pPr>
            <w:r>
              <w:rPr>
                <w:rFonts w:hint="eastAsia" w:ascii="宋体" w:hAnsi="宋体"/>
                <w:color w:val="auto"/>
                <w:szCs w:val="21"/>
                <w:highlight w:val="none"/>
              </w:rPr>
              <w:t>2、评选专家确定方式：由比选人按法律法规及相关规定依法组建评标委员会。</w:t>
            </w:r>
          </w:p>
        </w:tc>
      </w:tr>
      <w:tr w14:paraId="6CF4A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0034D2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964" w:type="dxa"/>
            <w:vAlign w:val="center"/>
          </w:tcPr>
          <w:p w14:paraId="3465A0B3">
            <w:pPr>
              <w:snapToGrid w:val="0"/>
              <w:spacing w:after="62" w:afterLines="2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是否授权评选委员会确定中选人</w:t>
            </w:r>
          </w:p>
        </w:tc>
        <w:tc>
          <w:tcPr>
            <w:tcW w:w="6372" w:type="dxa"/>
            <w:vAlign w:val="center"/>
          </w:tcPr>
          <w:p w14:paraId="7B307CA8">
            <w:pPr>
              <w:snapToGrid w:val="0"/>
              <w:spacing w:line="400" w:lineRule="exact"/>
              <w:ind w:firstLine="210" w:firstLineChars="100"/>
              <w:rPr>
                <w:rFonts w:ascii="宋体" w:hAnsi="宋体" w:cs="宋体"/>
                <w:i/>
                <w:color w:val="auto"/>
                <w:kern w:val="0"/>
                <w:szCs w:val="21"/>
                <w:highlight w:val="none"/>
              </w:rPr>
            </w:pPr>
            <w:r>
              <w:rPr>
                <w:rFonts w:hint="eastAsia" w:ascii="宋体" w:hAnsi="宋体" w:cs="宋体"/>
                <w:color w:val="auto"/>
                <w:kern w:val="0"/>
                <w:szCs w:val="21"/>
                <w:highlight w:val="none"/>
              </w:rPr>
              <w:t>☑否，</w:t>
            </w:r>
            <w:r>
              <w:rPr>
                <w:rFonts w:ascii="宋体" w:hAnsi="宋体" w:cs="宋体"/>
                <w:color w:val="auto"/>
                <w:szCs w:val="21"/>
                <w:highlight w:val="none"/>
              </w:rPr>
              <w:t>推荐经评审综合得分由高到低排名前三名为</w:t>
            </w:r>
            <w:r>
              <w:rPr>
                <w:rFonts w:hint="eastAsia" w:ascii="宋体" w:hAnsi="宋体" w:cs="宋体"/>
                <w:color w:val="auto"/>
                <w:szCs w:val="21"/>
                <w:highlight w:val="none"/>
              </w:rPr>
              <w:t>中选</w:t>
            </w:r>
            <w:r>
              <w:rPr>
                <w:rFonts w:ascii="宋体" w:hAnsi="宋体" w:cs="宋体"/>
                <w:color w:val="auto"/>
                <w:szCs w:val="21"/>
                <w:highlight w:val="none"/>
              </w:rPr>
              <w:t>候选人</w:t>
            </w:r>
            <w:r>
              <w:rPr>
                <w:rFonts w:hint="eastAsia" w:ascii="宋体" w:hAnsi="宋体" w:cs="宋体"/>
                <w:color w:val="auto"/>
                <w:kern w:val="0"/>
                <w:szCs w:val="21"/>
                <w:highlight w:val="none"/>
              </w:rPr>
              <w:t>。</w:t>
            </w:r>
            <w:r>
              <w:rPr>
                <w:rFonts w:hint="eastAsia" w:ascii="宋体" w:hAnsi="宋体" w:cs="宋体"/>
                <w:i/>
                <w:color w:val="auto"/>
                <w:kern w:val="0"/>
                <w:szCs w:val="21"/>
                <w:highlight w:val="none"/>
              </w:rPr>
              <w:t xml:space="preserve"> </w:t>
            </w:r>
          </w:p>
        </w:tc>
      </w:tr>
      <w:tr w14:paraId="315E2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0A1B5F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7.2</w:t>
            </w:r>
          </w:p>
        </w:tc>
        <w:tc>
          <w:tcPr>
            <w:tcW w:w="1964" w:type="dxa"/>
            <w:vAlign w:val="center"/>
          </w:tcPr>
          <w:p w14:paraId="235E5B18">
            <w:pPr>
              <w:snapToGrid w:val="0"/>
              <w:spacing w:after="62" w:afterLines="2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中选结果公告</w:t>
            </w:r>
          </w:p>
        </w:tc>
        <w:tc>
          <w:tcPr>
            <w:tcW w:w="6372" w:type="dxa"/>
            <w:vAlign w:val="center"/>
          </w:tcPr>
          <w:p w14:paraId="0DEDF0A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评选结果在“</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w:t>
            </w:r>
          </w:p>
        </w:tc>
      </w:tr>
      <w:tr w14:paraId="37CAE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339F8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7.3.1</w:t>
            </w:r>
          </w:p>
        </w:tc>
        <w:tc>
          <w:tcPr>
            <w:tcW w:w="1964" w:type="dxa"/>
            <w:vAlign w:val="center"/>
          </w:tcPr>
          <w:p w14:paraId="35D4445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履约担保</w:t>
            </w:r>
          </w:p>
        </w:tc>
        <w:tc>
          <w:tcPr>
            <w:tcW w:w="6372" w:type="dxa"/>
            <w:vAlign w:val="center"/>
          </w:tcPr>
          <w:p w14:paraId="40EA63F9">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1.担保形式：</w:t>
            </w:r>
            <w:r>
              <w:rPr>
                <w:rFonts w:hint="eastAsia" w:ascii="宋体" w:hAnsi="宋体"/>
                <w:color w:val="auto"/>
                <w:kern w:val="0"/>
                <w:szCs w:val="21"/>
                <w:highlight w:val="none"/>
                <w:u w:val="single"/>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Style w:val="47"/>
                <w:rFonts w:hint="eastAsia" w:ascii="宋体" w:hAnsi="宋体" w:cs="宋体"/>
                <w:color w:val="auto"/>
                <w:kern w:val="0"/>
                <w:szCs w:val="21"/>
                <w:highlight w:val="none"/>
              </w:rPr>
              <w:t>；</w:t>
            </w:r>
          </w:p>
          <w:p w14:paraId="342DF83A">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2.担保金额：</w:t>
            </w:r>
            <w:r>
              <w:rPr>
                <w:rStyle w:val="47"/>
                <w:rFonts w:hint="eastAsia" w:ascii="宋体" w:hAnsi="宋体" w:cs="宋体"/>
                <w:color w:val="auto"/>
                <w:kern w:val="0"/>
                <w:szCs w:val="21"/>
                <w:highlight w:val="none"/>
                <w:u w:val="single"/>
              </w:rPr>
              <w:t xml:space="preserve"> 合同签约金额的10% ；</w:t>
            </w:r>
          </w:p>
          <w:p w14:paraId="2330CB12">
            <w:pPr>
              <w:snapToGrid w:val="0"/>
              <w:spacing w:after="48" w:line="400" w:lineRule="exact"/>
              <w:ind w:firstLine="420" w:firstLineChars="200"/>
              <w:rPr>
                <w:rStyle w:val="47"/>
                <w:rFonts w:hint="eastAsia" w:ascii="宋体" w:hAnsi="宋体" w:cs="宋体"/>
                <w:color w:val="auto"/>
                <w:kern w:val="0"/>
                <w:szCs w:val="21"/>
                <w:highlight w:val="none"/>
              </w:rPr>
            </w:pPr>
            <w:r>
              <w:rPr>
                <w:rStyle w:val="47"/>
                <w:rFonts w:hint="eastAsia" w:ascii="宋体" w:hAnsi="宋体" w:cs="宋体"/>
                <w:color w:val="auto"/>
                <w:kern w:val="0"/>
                <w:szCs w:val="21"/>
                <w:highlight w:val="none"/>
              </w:rPr>
              <w:t>3.提交时间：承包人领取中选通知书后，并作为签订合同的必备条件。其中：</w:t>
            </w:r>
          </w:p>
          <w:p w14:paraId="2CA10BBD">
            <w:pPr>
              <w:snapToGrid w:val="0"/>
              <w:spacing w:after="48" w:line="400" w:lineRule="exact"/>
              <w:ind w:firstLine="420" w:firstLineChars="200"/>
              <w:rPr>
                <w:rStyle w:val="47"/>
                <w:rFonts w:hint="eastAsia" w:ascii="宋体" w:hAnsi="宋体" w:cs="宋体"/>
                <w:color w:val="auto"/>
                <w:kern w:val="0"/>
                <w:szCs w:val="21"/>
                <w:highlight w:val="none"/>
              </w:rPr>
            </w:pPr>
            <w:r>
              <w:rPr>
                <w:rStyle w:val="47"/>
                <w:rFonts w:hint="eastAsia" w:ascii="宋体" w:hAnsi="宋体" w:cs="宋体"/>
                <w:color w:val="auto"/>
                <w:kern w:val="0"/>
                <w:szCs w:val="21"/>
                <w:highlight w:val="none"/>
              </w:rPr>
              <w:t>①履约担保采用商业担保的，保函必须为发包人认可的担保公司或银行提供的不可撤销且见索即付，且应选择在渝依法设立总部或者设有分支机构的金融机构开具履约保函（包括纸质保函或电子保函）；</w:t>
            </w:r>
          </w:p>
          <w:p w14:paraId="75FE7C86">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②履约担保为银行转账的，承包人须从其企业基本账户将相应的履约担保金额打入比选人下述指定账户。</w:t>
            </w:r>
          </w:p>
          <w:p w14:paraId="4C677117">
            <w:pPr>
              <w:snapToGrid w:val="0"/>
              <w:spacing w:after="48" w:line="400" w:lineRule="exact"/>
              <w:ind w:firstLine="420" w:firstLineChars="200"/>
              <w:rPr>
                <w:rStyle w:val="47"/>
                <w:rFonts w:ascii="宋体" w:hAnsi="宋体" w:cs="宋体"/>
                <w:color w:val="auto"/>
                <w:highlight w:val="none"/>
              </w:rPr>
            </w:pPr>
            <w:r>
              <w:rPr>
                <w:rStyle w:val="47"/>
                <w:rFonts w:hint="eastAsia" w:ascii="宋体" w:hAnsi="宋体" w:cs="宋体"/>
                <w:color w:val="auto"/>
                <w:highlight w:val="none"/>
              </w:rPr>
              <w:t>4.退还时间：施工完成后通过审核并经发包人认可后退还（履约保证金不计算利息）。</w:t>
            </w:r>
          </w:p>
          <w:p w14:paraId="0074D462">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5.贯彻落实上级文件精神，进一步减轻企业负担，主要推行以保函方式缴纳，由承包人根据自身情况自行选择缴纳方式。</w:t>
            </w:r>
          </w:p>
          <w:p w14:paraId="4B16911A">
            <w:pPr>
              <w:overflowPunct w:val="0"/>
              <w:autoSpaceDE w:val="0"/>
              <w:autoSpaceDN w:val="0"/>
              <w:adjustRightInd w:val="0"/>
              <w:snapToGrid w:val="0"/>
              <w:spacing w:line="360" w:lineRule="auto"/>
              <w:ind w:firstLine="422" w:firstLineChars="200"/>
              <w:jc w:val="left"/>
              <w:rPr>
                <w:rFonts w:ascii="宋体" w:hAnsi="宋体"/>
                <w:color w:val="auto"/>
                <w:kern w:val="0"/>
                <w:szCs w:val="21"/>
                <w:highlight w:val="none"/>
              </w:rPr>
            </w:pPr>
            <w:r>
              <w:rPr>
                <w:rStyle w:val="47"/>
                <w:rFonts w:hint="eastAsia" w:ascii="宋体" w:hAnsi="宋体"/>
                <w:b/>
                <w:bCs/>
                <w:color w:val="auto"/>
                <w:kern w:val="0"/>
                <w:szCs w:val="21"/>
                <w:highlight w:val="none"/>
              </w:rPr>
              <w:t>注：1.承包人提供虚假银行保函的，发包人取消其中选资格，比选保证金不予退还，同时由比选人将其不良行为上报监督部门记分处理并纳入黑名单。2.中选通知书发出之日起30日内，比选人与承包人须完成合同签订事宜。</w:t>
            </w:r>
          </w:p>
        </w:tc>
      </w:tr>
      <w:tr w14:paraId="15C65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876F30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964" w:type="dxa"/>
            <w:vAlign w:val="center"/>
          </w:tcPr>
          <w:p w14:paraId="14ECE07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重新比选</w:t>
            </w:r>
          </w:p>
        </w:tc>
        <w:tc>
          <w:tcPr>
            <w:tcW w:w="6372" w:type="dxa"/>
            <w:vAlign w:val="center"/>
          </w:tcPr>
          <w:p w14:paraId="0F95EA1A">
            <w:pPr>
              <w:autoSpaceDE w:val="0"/>
              <w:autoSpaceDN w:val="0"/>
              <w:adjustRightInd w:val="0"/>
              <w:snapToGrid w:val="0"/>
              <w:spacing w:after="62" w:afterLines="20"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1.按竞选人须知第8.1（1）执行；</w:t>
            </w:r>
          </w:p>
          <w:p w14:paraId="44093DE1">
            <w:pPr>
              <w:autoSpaceDE w:val="0"/>
              <w:autoSpaceDN w:val="0"/>
              <w:adjustRightInd w:val="0"/>
              <w:snapToGrid w:val="0"/>
              <w:spacing w:after="62" w:afterLines="20"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2.按竞选人须知第8.1（2）执行；</w:t>
            </w:r>
          </w:p>
          <w:p w14:paraId="79D25AA9">
            <w:pPr>
              <w:autoSpaceDE w:val="0"/>
              <w:autoSpaceDN w:val="0"/>
              <w:adjustRightInd w:val="0"/>
              <w:snapToGrid w:val="0"/>
              <w:spacing w:after="62" w:afterLines="20"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3.按竞选人须知第8.1（3）执行；</w:t>
            </w:r>
          </w:p>
          <w:p w14:paraId="45F2A908">
            <w:pPr>
              <w:autoSpaceDE w:val="0"/>
              <w:autoSpaceDN w:val="0"/>
              <w:adjustRightInd w:val="0"/>
              <w:snapToGrid w:val="0"/>
              <w:spacing w:after="62" w:afterLines="20"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4.按竞选人须知第8.1（4）执行。</w:t>
            </w:r>
          </w:p>
        </w:tc>
      </w:tr>
      <w:tr w14:paraId="554E0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9AB398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336" w:type="dxa"/>
            <w:gridSpan w:val="2"/>
            <w:vAlign w:val="center"/>
          </w:tcPr>
          <w:p w14:paraId="346F991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需要补充的其他内容</w:t>
            </w:r>
          </w:p>
        </w:tc>
      </w:tr>
      <w:tr w14:paraId="70EE5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A23C8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9.1</w:t>
            </w:r>
          </w:p>
        </w:tc>
        <w:tc>
          <w:tcPr>
            <w:tcW w:w="1964" w:type="dxa"/>
            <w:vAlign w:val="center"/>
          </w:tcPr>
          <w:p w14:paraId="789792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关于对比选文件及竞选文件理解争议的解释</w:t>
            </w:r>
          </w:p>
        </w:tc>
        <w:tc>
          <w:tcPr>
            <w:tcW w:w="6372" w:type="dxa"/>
            <w:vAlign w:val="center"/>
          </w:tcPr>
          <w:p w14:paraId="678F62A2">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对比选文件的评选标准和方法，以及资格审查和否决条款理解有争议的，应当作出不利于比选人的解释，但违背国家利益、社会公共利益的除外。</w:t>
            </w:r>
          </w:p>
          <w:p w14:paraId="7B91F319">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对竞选文件理解有争议的，应当作出不利于提交该竞选文件的竞选人的解释。</w:t>
            </w:r>
          </w:p>
        </w:tc>
      </w:tr>
      <w:tr w14:paraId="529E3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D1D1534">
            <w:pPr>
              <w:snapToGrid w:val="0"/>
              <w:spacing w:line="400" w:lineRule="exact"/>
              <w:jc w:val="center"/>
              <w:rPr>
                <w:rFonts w:ascii="宋体" w:hAnsi="宋体" w:cs="宋体"/>
                <w:color w:val="auto"/>
                <w:kern w:val="0"/>
                <w:szCs w:val="21"/>
                <w:highlight w:val="none"/>
              </w:rPr>
            </w:pPr>
            <w:r>
              <w:rPr>
                <w:rFonts w:hint="eastAsia" w:ascii="宋体" w:hAnsi="宋体" w:cs="宋体"/>
                <w:color w:val="auto"/>
                <w:highlight w:val="none"/>
              </w:rPr>
              <w:t>9.2</w:t>
            </w:r>
          </w:p>
        </w:tc>
        <w:tc>
          <w:tcPr>
            <w:tcW w:w="1964" w:type="dxa"/>
            <w:vAlign w:val="center"/>
          </w:tcPr>
          <w:p w14:paraId="545EFD0F">
            <w:pPr>
              <w:snapToGrid w:val="0"/>
              <w:spacing w:line="400" w:lineRule="exact"/>
              <w:jc w:val="center"/>
              <w:rPr>
                <w:rFonts w:ascii="宋体" w:hAnsi="宋体" w:cs="宋体"/>
                <w:color w:val="auto"/>
                <w:kern w:val="0"/>
                <w:szCs w:val="21"/>
                <w:highlight w:val="none"/>
              </w:rPr>
            </w:pPr>
            <w:r>
              <w:rPr>
                <w:rFonts w:hint="eastAsia" w:ascii="宋体" w:hAnsi="宋体"/>
                <w:color w:val="auto"/>
                <w:kern w:val="0"/>
                <w:szCs w:val="21"/>
                <w:highlight w:val="none"/>
              </w:rPr>
              <w:t xml:space="preserve">支付原则 </w:t>
            </w:r>
          </w:p>
        </w:tc>
        <w:tc>
          <w:tcPr>
            <w:tcW w:w="6372" w:type="dxa"/>
            <w:vAlign w:val="center"/>
          </w:tcPr>
          <w:p w14:paraId="441E7F24">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本项目监理费用按施工进度付款：</w:t>
            </w:r>
          </w:p>
          <w:p w14:paraId="1981CBC1">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①委托人按每季度审核完成进度支付监理酬金，每期实际支付为：委托人确认的</w:t>
            </w:r>
            <w:r>
              <w:rPr>
                <w:rFonts w:hint="eastAsia"/>
                <w:color w:val="auto"/>
                <w:highlight w:val="none"/>
              </w:rPr>
              <w:t>建筑安装工程费×中标监理费费率</w:t>
            </w:r>
            <w:r>
              <w:rPr>
                <w:rFonts w:hint="eastAsia" w:ascii="宋体" w:hAnsi="宋体"/>
                <w:color w:val="auto"/>
                <w:szCs w:val="21"/>
                <w:highlight w:val="none"/>
              </w:rPr>
              <w:t>×70%。监理人于次月提出申请，委托人自收到监理人提出的申请经确认且收到等额的增值税专用发票后的28日内，支付上一个季度的监理酬金；</w:t>
            </w:r>
          </w:p>
          <w:p w14:paraId="46B69865">
            <w:pPr>
              <w:overflowPunct w:val="0"/>
              <w:autoSpaceDE w:val="0"/>
              <w:autoSpaceDN w:val="0"/>
              <w:adjustRightInd w:val="0"/>
              <w:snapToGrid w:val="0"/>
              <w:spacing w:line="360" w:lineRule="auto"/>
              <w:ind w:firstLine="420" w:firstLineChars="200"/>
              <w:jc w:val="left"/>
              <w:textAlignment w:val="baseline"/>
              <w:rPr>
                <w:rFonts w:ascii="宋体" w:hAnsi="宋体" w:cs="宋体"/>
                <w:color w:val="auto"/>
                <w:highlight w:val="none"/>
              </w:rPr>
            </w:pPr>
            <w:r>
              <w:rPr>
                <w:rFonts w:hint="eastAsia" w:ascii="宋体" w:hAnsi="宋体"/>
                <w:color w:val="auto"/>
                <w:szCs w:val="21"/>
                <w:highlight w:val="none"/>
              </w:rPr>
              <w:t>②项目竣工验收合格、监理人提出申请经确认且收到等额的增值税专用发票后的【60】日内后支付至</w:t>
            </w:r>
            <w:r>
              <w:rPr>
                <w:rFonts w:hint="eastAsia"/>
                <w:color w:val="auto"/>
                <w:highlight w:val="none"/>
              </w:rPr>
              <w:t>合同计算酬金</w:t>
            </w:r>
            <w:r>
              <w:rPr>
                <w:rFonts w:hint="eastAsia" w:ascii="宋体" w:hAnsi="宋体"/>
                <w:color w:val="auto"/>
                <w:szCs w:val="21"/>
                <w:highlight w:val="none"/>
              </w:rPr>
              <w:t>的70%；所有监理资料按规范整理完毕并移交、监理人提出申请经确认且收到等额的增值税专用发票后的【60】日内支付至</w:t>
            </w:r>
            <w:r>
              <w:rPr>
                <w:rFonts w:hint="eastAsia"/>
                <w:color w:val="auto"/>
                <w:highlight w:val="none"/>
              </w:rPr>
              <w:t>合同计算酬金</w:t>
            </w:r>
            <w:r>
              <w:rPr>
                <w:rFonts w:hint="eastAsia" w:ascii="宋体" w:hAnsi="宋体"/>
                <w:color w:val="auto"/>
                <w:szCs w:val="21"/>
                <w:highlight w:val="none"/>
              </w:rPr>
              <w:t>的</w:t>
            </w:r>
            <w:r>
              <w:rPr>
                <w:rFonts w:hint="eastAsia" w:ascii="宋体" w:hAnsi="宋体" w:cs="宋体"/>
                <w:color w:val="auto"/>
                <w:szCs w:val="21"/>
                <w:highlight w:val="none"/>
              </w:rPr>
              <w:t>80%；办理完结算审定最终监理酬金</w:t>
            </w:r>
            <w:r>
              <w:rPr>
                <w:rFonts w:hint="eastAsia" w:ascii="宋体" w:hAnsi="宋体"/>
                <w:color w:val="auto"/>
                <w:szCs w:val="21"/>
                <w:highlight w:val="none"/>
              </w:rPr>
              <w:t>、监理人提出申请经确认且收到等额的增值税专用发票后的【60】日内</w:t>
            </w:r>
            <w:r>
              <w:rPr>
                <w:rFonts w:hint="eastAsia" w:ascii="宋体" w:hAnsi="宋体" w:cs="宋体"/>
                <w:color w:val="auto"/>
                <w:szCs w:val="21"/>
                <w:highlight w:val="none"/>
              </w:rPr>
              <w:t>支付至结算金额的95%；</w:t>
            </w:r>
            <w:r>
              <w:rPr>
                <w:rFonts w:ascii="宋体" w:hAnsi="宋体" w:cs="宋体"/>
                <w:color w:val="auto"/>
                <w:highlight w:val="none"/>
              </w:rPr>
              <w:t xml:space="preserve"> </w:t>
            </w:r>
          </w:p>
          <w:p w14:paraId="3F46A2EC">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ascii="宋体" w:hAnsi="宋体"/>
                <w:color w:val="auto"/>
                <w:szCs w:val="21"/>
                <w:highlight w:val="none"/>
              </w:rPr>
              <w:t>保修阶段服务</w:t>
            </w:r>
            <w:r>
              <w:rPr>
                <w:rFonts w:hint="eastAsia" w:ascii="宋体" w:hAnsi="宋体"/>
                <w:color w:val="auto"/>
                <w:szCs w:val="21"/>
                <w:highlight w:val="none"/>
              </w:rPr>
              <w:t>（5%）</w:t>
            </w:r>
            <w:r>
              <w:rPr>
                <w:rFonts w:ascii="宋体" w:hAnsi="宋体"/>
                <w:color w:val="auto"/>
                <w:szCs w:val="21"/>
                <w:highlight w:val="none"/>
              </w:rPr>
              <w:t>：缺陷责任期满</w:t>
            </w:r>
            <w:r>
              <w:rPr>
                <w:rFonts w:hint="eastAsia" w:ascii="宋体" w:hAnsi="宋体"/>
                <w:color w:val="auto"/>
                <w:szCs w:val="21"/>
                <w:highlight w:val="none"/>
              </w:rPr>
              <w:t>，验收合格、监理人提出申请经确认且收到等额的增值税专用发票后的【60】日内</w:t>
            </w:r>
            <w:r>
              <w:rPr>
                <w:rFonts w:ascii="宋体" w:hAnsi="宋体"/>
                <w:color w:val="auto"/>
                <w:szCs w:val="21"/>
                <w:highlight w:val="none"/>
              </w:rPr>
              <w:t>内一次性支付</w:t>
            </w:r>
            <w:r>
              <w:rPr>
                <w:rFonts w:hint="eastAsia" w:ascii="宋体" w:hAnsi="宋体"/>
                <w:color w:val="auto"/>
                <w:szCs w:val="21"/>
                <w:highlight w:val="none"/>
              </w:rPr>
              <w:t>剩余5%</w:t>
            </w:r>
            <w:r>
              <w:rPr>
                <w:rFonts w:ascii="宋体" w:hAnsi="宋体"/>
                <w:color w:val="auto"/>
                <w:szCs w:val="21"/>
                <w:highlight w:val="none"/>
              </w:rPr>
              <w:t>（无息）；</w:t>
            </w:r>
          </w:p>
          <w:p w14:paraId="7A042763">
            <w:pPr>
              <w:overflowPunct w:val="0"/>
              <w:autoSpaceDE w:val="0"/>
              <w:autoSpaceDN w:val="0"/>
              <w:adjustRightInd w:val="0"/>
              <w:snapToGrid w:val="0"/>
              <w:spacing w:line="360" w:lineRule="auto"/>
              <w:ind w:firstLine="420"/>
              <w:jc w:val="left"/>
              <w:textAlignment w:val="baseline"/>
              <w:rPr>
                <w:rFonts w:ascii="宋体" w:hAnsi="宋体" w:cs="宋体"/>
                <w:color w:val="auto"/>
                <w:kern w:val="1"/>
                <w:szCs w:val="21"/>
                <w:highlight w:val="none"/>
              </w:rPr>
            </w:pPr>
            <w:r>
              <w:rPr>
                <w:rFonts w:hint="eastAsia" w:ascii="宋体" w:hAnsi="宋体" w:cs="宋体"/>
                <w:color w:val="auto"/>
                <w:kern w:val="1"/>
                <w:szCs w:val="21"/>
                <w:highlight w:val="none"/>
              </w:rPr>
              <w:t>注：若存在下列情形时，下列情形作为付款条件之一，同时适用，若涉及进度款则不包括下列情形第4种：</w:t>
            </w:r>
          </w:p>
          <w:p w14:paraId="6FA788B1">
            <w:pPr>
              <w:overflowPunct w:val="0"/>
              <w:autoSpaceDE w:val="0"/>
              <w:autoSpaceDN w:val="0"/>
              <w:adjustRightInd w:val="0"/>
              <w:snapToGrid w:val="0"/>
              <w:spacing w:line="360" w:lineRule="auto"/>
              <w:ind w:firstLine="420"/>
              <w:jc w:val="left"/>
              <w:textAlignment w:val="baseline"/>
              <w:rPr>
                <w:rFonts w:ascii="宋体" w:hAnsi="宋体"/>
                <w:color w:val="auto"/>
                <w:highlight w:val="none"/>
              </w:rPr>
            </w:pPr>
            <w:r>
              <w:rPr>
                <w:rFonts w:hint="eastAsia" w:ascii="宋体" w:hAnsi="宋体" w:cs="宋体"/>
                <w:color w:val="auto"/>
                <w:kern w:val="1"/>
                <w:szCs w:val="21"/>
                <w:highlight w:val="none"/>
              </w:rPr>
              <w:t>（1）每次付款前，监理单位须向委托人提供有效等额增值税专用发票。</w:t>
            </w:r>
            <w:r>
              <w:rPr>
                <w:rFonts w:hint="eastAsia" w:ascii="宋体" w:hAnsi="宋体"/>
                <w:color w:val="auto"/>
                <w:highlight w:val="none"/>
              </w:rPr>
              <w:t>在付款前监理人应当提供等额增值税发票，未足额提供的发票的，委托人有权拒绝付款；</w:t>
            </w:r>
          </w:p>
          <w:p w14:paraId="2CB2C972">
            <w:pPr>
              <w:overflowPunct w:val="0"/>
              <w:autoSpaceDE w:val="0"/>
              <w:autoSpaceDN w:val="0"/>
              <w:adjustRightInd w:val="0"/>
              <w:snapToGrid w:val="0"/>
              <w:spacing w:line="360" w:lineRule="auto"/>
              <w:ind w:firstLine="420"/>
              <w:jc w:val="left"/>
              <w:textAlignment w:val="baseline"/>
              <w:rPr>
                <w:rFonts w:ascii="宋体" w:hAnsi="宋体"/>
                <w:color w:val="auto"/>
                <w:highlight w:val="none"/>
              </w:rPr>
            </w:pPr>
            <w:r>
              <w:rPr>
                <w:rFonts w:hint="eastAsia" w:ascii="宋体" w:hAnsi="宋体"/>
                <w:color w:val="auto"/>
                <w:highlight w:val="none"/>
              </w:rPr>
              <w:t>（2）若合同计算酬金在支付款项时尚无法确定，则以本合同载明工程暂定的建筑安装工程费为基数乘以中标费率做为酬金；</w:t>
            </w:r>
          </w:p>
          <w:p w14:paraId="679581A8">
            <w:pPr>
              <w:overflowPunct w:val="0"/>
              <w:autoSpaceDE w:val="0"/>
              <w:autoSpaceDN w:val="0"/>
              <w:adjustRightInd w:val="0"/>
              <w:snapToGrid w:val="0"/>
              <w:spacing w:line="360" w:lineRule="auto"/>
              <w:ind w:firstLine="420"/>
              <w:jc w:val="left"/>
              <w:textAlignment w:val="baseline"/>
              <w:rPr>
                <w:rFonts w:ascii="宋体" w:hAnsi="宋体"/>
                <w:color w:val="auto"/>
                <w:highlight w:val="none"/>
              </w:rPr>
            </w:pPr>
            <w:r>
              <w:rPr>
                <w:rFonts w:hint="eastAsia" w:ascii="宋体" w:hAnsi="宋体"/>
                <w:color w:val="auto"/>
                <w:highlight w:val="none"/>
              </w:rPr>
              <w:t>（3）若本合同涉及财政资金或专项资金支持，在委托人未收到财政资金或专项资金的情形下，委托人有权迟延付款且不承担违约责任，在符合其他付款条件且收到财政资金或专项资金后付款；</w:t>
            </w:r>
          </w:p>
          <w:p w14:paraId="287EDB86">
            <w:pPr>
              <w:overflowPunct w:val="0"/>
              <w:autoSpaceDE w:val="0"/>
              <w:autoSpaceDN w:val="0"/>
              <w:adjustRightInd w:val="0"/>
              <w:snapToGrid w:val="0"/>
              <w:spacing w:line="360" w:lineRule="auto"/>
              <w:ind w:firstLine="420"/>
              <w:jc w:val="left"/>
              <w:textAlignment w:val="baseline"/>
              <w:rPr>
                <w:rFonts w:ascii="宋体" w:hAnsi="宋体"/>
                <w:color w:val="auto"/>
                <w:highlight w:val="none"/>
              </w:rPr>
            </w:pPr>
            <w:r>
              <w:rPr>
                <w:rFonts w:hint="eastAsia" w:ascii="宋体" w:hAnsi="宋体"/>
                <w:color w:val="auto"/>
                <w:highlight w:val="none"/>
              </w:rPr>
              <w:t>（4）若需对工程进行审计或财评，则在审计或财评结果未出之前，委托人有权迟延付款且不承担违约责任。</w:t>
            </w:r>
          </w:p>
          <w:p w14:paraId="26C3A58A">
            <w:pPr>
              <w:spacing w:line="400" w:lineRule="exact"/>
              <w:ind w:firstLine="420" w:firstLineChars="200"/>
              <w:rPr>
                <w:rFonts w:ascii="宋体" w:hAnsi="宋体" w:cs="宋体"/>
                <w:color w:val="auto"/>
                <w:szCs w:val="21"/>
                <w:highlight w:val="none"/>
              </w:rPr>
            </w:pPr>
            <w:r>
              <w:rPr>
                <w:rFonts w:hint="eastAsia" w:ascii="宋体" w:hAnsi="宋体"/>
                <w:color w:val="auto"/>
                <w:highlight w:val="none"/>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p>
        </w:tc>
      </w:tr>
      <w:tr w14:paraId="555E3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7B415F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9.3</w:t>
            </w:r>
          </w:p>
        </w:tc>
        <w:tc>
          <w:tcPr>
            <w:tcW w:w="1964" w:type="dxa"/>
            <w:vAlign w:val="center"/>
          </w:tcPr>
          <w:p w14:paraId="03E9C4A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中选候选人和中选人无故放弃中选或不签订合同的后果</w:t>
            </w:r>
          </w:p>
        </w:tc>
        <w:tc>
          <w:tcPr>
            <w:tcW w:w="6372" w:type="dxa"/>
            <w:vAlign w:val="center"/>
          </w:tcPr>
          <w:p w14:paraId="77D7887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1.不予退还比选保证金；</w:t>
            </w:r>
          </w:p>
          <w:p w14:paraId="6D36C9E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2.给比选人造成经济损失的，要赔偿比选人合理损失；</w:t>
            </w:r>
          </w:p>
          <w:p w14:paraId="3EF4CD3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3.由比选人将其不良行为上报监督部门记分处理并纳入黑名单。</w:t>
            </w:r>
          </w:p>
        </w:tc>
      </w:tr>
      <w:tr w14:paraId="30887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8A7821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9</w:t>
            </w:r>
            <w:r>
              <w:rPr>
                <w:rFonts w:ascii="宋体" w:hAnsi="宋体"/>
                <w:color w:val="auto"/>
                <w:kern w:val="0"/>
                <w:szCs w:val="21"/>
                <w:highlight w:val="none"/>
              </w:rPr>
              <w:t>.4</w:t>
            </w:r>
          </w:p>
        </w:tc>
        <w:tc>
          <w:tcPr>
            <w:tcW w:w="1964" w:type="dxa"/>
            <w:vAlign w:val="center"/>
          </w:tcPr>
          <w:p w14:paraId="4E3CA53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tc>
        <w:tc>
          <w:tcPr>
            <w:tcW w:w="6372" w:type="dxa"/>
            <w:vAlign w:val="center"/>
          </w:tcPr>
          <w:p w14:paraId="0854C5FC">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w:t>
            </w:r>
          </w:p>
          <w:p w14:paraId="6E948C80">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14:paraId="70124F37">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（1）低价风险担保的形式：现金或银行保函</w:t>
            </w:r>
            <w:r>
              <w:rPr>
                <w:rFonts w:hint="eastAsia" w:asciiTheme="minorEastAsia" w:hAnsiTheme="minorEastAsia" w:eastAsiaTheme="minorEastAsia" w:cstheme="minorEastAsia"/>
                <w:color w:val="auto"/>
                <w:szCs w:val="21"/>
                <w:highlight w:val="none"/>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color w:val="auto"/>
                <w:kern w:val="0"/>
                <w:szCs w:val="21"/>
                <w:highlight w:val="none"/>
              </w:rPr>
              <w:t>。</w:t>
            </w:r>
          </w:p>
          <w:p w14:paraId="4834F1A5">
            <w:pPr>
              <w:autoSpaceDE w:val="0"/>
              <w:autoSpaceDN w:val="0"/>
              <w:adjustRightInd w:val="0"/>
              <w:snapToGrid w:val="0"/>
              <w:spacing w:line="400" w:lineRule="exact"/>
              <w:ind w:firstLine="420" w:firstLineChars="200"/>
              <w:rPr>
                <w:rFonts w:asciiTheme="minorEastAsia" w:hAnsiTheme="minorEastAsia" w:eastAsiaTheme="minorEastAsia" w:cstheme="minorEastAsia"/>
                <w:i/>
                <w:iCs/>
                <w:color w:val="auto"/>
                <w:kern w:val="0"/>
                <w:szCs w:val="21"/>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32"/>
                <w:rFonts w:hint="eastAsia" w:asciiTheme="minorEastAsia" w:hAnsiTheme="minorEastAsia" w:eastAsiaTheme="minorEastAsia" w:cstheme="minorEastAsia"/>
                <w:color w:val="auto"/>
                <w:highlight w:val="none"/>
              </w:rPr>
              <w:t>，且最高不超过最高限价的85%。</w:t>
            </w:r>
          </w:p>
          <w:p w14:paraId="768BE3D9">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（3）低价风险担保送达招标人的时间：</w:t>
            </w:r>
            <w:r>
              <w:rPr>
                <w:rFonts w:hint="eastAsia" w:asciiTheme="minorEastAsia" w:hAnsiTheme="minorEastAsia" w:eastAsiaTheme="minorEastAsia" w:cstheme="minorEastAsia"/>
                <w:color w:val="auto"/>
                <w:szCs w:val="21"/>
                <w:highlight w:val="none"/>
              </w:rPr>
              <w:t>从招标人中标通知书送达拟中标人之日起</w:t>
            </w:r>
            <w:r>
              <w:rPr>
                <w:rFonts w:hint="eastAsia" w:asciiTheme="minorEastAsia" w:hAnsiTheme="minorEastAsia" w:eastAsiaTheme="minorEastAsia" w:cstheme="minorEastAsia"/>
                <w:color w:val="auto"/>
                <w:szCs w:val="21"/>
                <w:highlight w:val="none"/>
                <w:u w:val="single"/>
              </w:rPr>
              <w:t xml:space="preserve"> 10 </w:t>
            </w:r>
            <w:r>
              <w:rPr>
                <w:rFonts w:hint="eastAsia" w:asciiTheme="minorEastAsia" w:hAnsiTheme="minorEastAsia" w:eastAsiaTheme="minorEastAsia" w:cstheme="minorEastAsia"/>
                <w:color w:val="auto"/>
                <w:szCs w:val="21"/>
                <w:highlight w:val="none"/>
              </w:rPr>
              <w:t>工作日内</w:t>
            </w:r>
            <w:r>
              <w:rPr>
                <w:rFonts w:hint="eastAsia" w:asciiTheme="minorEastAsia" w:hAnsiTheme="minorEastAsia" w:eastAsiaTheme="minorEastAsia" w:cstheme="minorEastAsia"/>
                <w:color w:val="auto"/>
                <w:kern w:val="0"/>
                <w:szCs w:val="21"/>
                <w:highlight w:val="none"/>
              </w:rPr>
              <w:t>；</w:t>
            </w:r>
          </w:p>
          <w:p w14:paraId="27552497">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14:paraId="0FFF356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w:t>
            </w:r>
            <w:r>
              <w:rPr>
                <w:rFonts w:hint="eastAsia" w:asciiTheme="minorEastAsia" w:hAnsiTheme="minorEastAsia" w:eastAsiaTheme="minorEastAsia" w:cstheme="minorEastAsia"/>
                <w:color w:val="auto"/>
                <w:kern w:val="0"/>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Cs w:val="21"/>
                <w:highlight w:val="none"/>
              </w:rPr>
              <w:t>。</w:t>
            </w:r>
          </w:p>
          <w:p w14:paraId="1A9325C8">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3、低价风险担保的退还时间：采用现金担保的，工程竣工验收合格后14天内退还，合同履行期间允许承包人用符合要求的银行保函进行置换；采用银行保函的，工程竣工验收合格后14天内退还。</w:t>
            </w:r>
          </w:p>
          <w:p w14:paraId="697D67E4">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4D6D318B">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14:paraId="573A5FF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5、投标总报价低于最高限价85%的，投标人应在编制投标文件时，在投标函部分中递交低价风险担保提交承诺书。承诺书格式详见第五章投标文件格式。</w:t>
            </w:r>
          </w:p>
        </w:tc>
      </w:tr>
      <w:tr w14:paraId="67C64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D8662FA">
            <w:pPr>
              <w:snapToGrid w:val="0"/>
              <w:spacing w:line="400" w:lineRule="exact"/>
              <w:jc w:val="center"/>
              <w:rPr>
                <w:rFonts w:ascii="宋体" w:hAnsi="宋体" w:eastAsiaTheme="minorEastAsia"/>
                <w:color w:val="auto"/>
                <w:kern w:val="0"/>
                <w:szCs w:val="21"/>
                <w:highlight w:val="none"/>
              </w:rPr>
            </w:pPr>
            <w:r>
              <w:rPr>
                <w:rFonts w:hint="eastAsia" w:asciiTheme="minorEastAsia" w:hAnsiTheme="minorEastAsia" w:eastAsiaTheme="minorEastAsia"/>
                <w:color w:val="auto"/>
                <w:kern w:val="0"/>
                <w:szCs w:val="21"/>
                <w:highlight w:val="none"/>
              </w:rPr>
              <w:t>9.</w:t>
            </w:r>
            <w:r>
              <w:rPr>
                <w:rFonts w:asciiTheme="minorEastAsia" w:hAnsiTheme="minorEastAsia" w:eastAsiaTheme="minorEastAsia"/>
                <w:color w:val="auto"/>
                <w:kern w:val="0"/>
                <w:szCs w:val="21"/>
                <w:highlight w:val="none"/>
              </w:rPr>
              <w:t>5</w:t>
            </w:r>
          </w:p>
        </w:tc>
        <w:tc>
          <w:tcPr>
            <w:tcW w:w="1964" w:type="dxa"/>
            <w:vAlign w:val="center"/>
          </w:tcPr>
          <w:p w14:paraId="02AF119B">
            <w:pPr>
              <w:snapToGrid w:val="0"/>
              <w:spacing w:line="400" w:lineRule="exact"/>
              <w:jc w:val="center"/>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代理服务费</w:t>
            </w:r>
          </w:p>
        </w:tc>
        <w:tc>
          <w:tcPr>
            <w:tcW w:w="6372" w:type="dxa"/>
            <w:vAlign w:val="center"/>
          </w:tcPr>
          <w:p w14:paraId="7668F41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比选代理服务费：按照《招标代理服务收费管理暂行办法》（计价格[2002]1980号）收费标准70%计算；计算金额如低于6000.00元则按照6000.00元计。由中标人在领取中标通知书时一次性支付。</w:t>
            </w:r>
          </w:p>
        </w:tc>
      </w:tr>
      <w:tr w14:paraId="5A828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921C9B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9.</w:t>
            </w:r>
            <w:r>
              <w:rPr>
                <w:rFonts w:ascii="宋体" w:hAnsi="宋体"/>
                <w:color w:val="auto"/>
                <w:kern w:val="0"/>
                <w:szCs w:val="21"/>
                <w:highlight w:val="none"/>
              </w:rPr>
              <w:t>6</w:t>
            </w:r>
          </w:p>
        </w:tc>
        <w:tc>
          <w:tcPr>
            <w:tcW w:w="1964" w:type="dxa"/>
            <w:vAlign w:val="center"/>
          </w:tcPr>
          <w:p w14:paraId="39C24B33">
            <w:pPr>
              <w:snapToGrid w:val="0"/>
              <w:spacing w:line="400" w:lineRule="exact"/>
              <w:jc w:val="center"/>
              <w:rPr>
                <w:rFonts w:ascii="宋体" w:hAnsi="宋体"/>
                <w:color w:val="auto"/>
                <w:kern w:val="0"/>
                <w:szCs w:val="21"/>
                <w:highlight w:val="none"/>
              </w:rPr>
            </w:pPr>
            <w:r>
              <w:rPr>
                <w:rFonts w:hint="eastAsia" w:ascii="宋体" w:hAnsi="宋体"/>
                <w:b/>
                <w:bCs/>
                <w:color w:val="auto"/>
                <w:kern w:val="0"/>
                <w:szCs w:val="21"/>
                <w:highlight w:val="none"/>
              </w:rPr>
              <w:t>特别提醒</w:t>
            </w:r>
          </w:p>
        </w:tc>
        <w:tc>
          <w:tcPr>
            <w:tcW w:w="6372" w:type="dxa"/>
            <w:vAlign w:val="center"/>
          </w:tcPr>
          <w:p w14:paraId="3E796E98">
            <w:pPr>
              <w:autoSpaceDE w:val="0"/>
              <w:autoSpaceDN w:val="0"/>
              <w:adjustRightInd w:val="0"/>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1.中选候选人或中选人放弃中选项目，无正当理由不与比选人签订合同，在签订合同时向比选人提出附加条件或者更改合同实质性内容，或者拒不提交履约担保的，取消其中选资格，比选保证金不予退还，给比选人的损失超过比选保证金数额的，中选候选人或中选人应对超过部分予以赔偿。竞选人应对上述要求在竞选文件中无条件予以响应，否则由评选委员会作否决竞选处理。</w:t>
            </w:r>
          </w:p>
          <w:p w14:paraId="0BF7EEDE">
            <w:pPr>
              <w:autoSpaceDE w:val="0"/>
              <w:autoSpaceDN w:val="0"/>
              <w:adjustRightInd w:val="0"/>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中选单位派驻项目现场的监理人员必须与竞选文件承诺的人员一致，除特殊原因不得更换。凡发现派驻的监理人员和与竞选文件不同的，建设单位视为监理单位存在违法挂靠承包行为，责令改正，并给予相应经济处罚，并将该处理情况上报监督部门纳入信用考核，相关信息纳入全市信用监管平台。</w:t>
            </w:r>
          </w:p>
          <w:p w14:paraId="2815BA37">
            <w:pPr>
              <w:autoSpaceDE w:val="0"/>
              <w:autoSpaceDN w:val="0"/>
              <w:adjustRightInd w:val="0"/>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59BF916F">
      <w:pPr>
        <w:pStyle w:val="8"/>
        <w:rPr>
          <w:rFonts w:ascii="宋体" w:hAnsi="宋体" w:cs="宋体"/>
          <w:bCs/>
          <w:snapToGrid w:val="0"/>
          <w:color w:val="auto"/>
          <w:sz w:val="24"/>
          <w:highlight w:val="none"/>
        </w:rPr>
      </w:pPr>
      <w:bookmarkStart w:id="42" w:name="_Toc224103317"/>
      <w:bookmarkStart w:id="43" w:name="_Toc277082552"/>
      <w:bookmarkStart w:id="44" w:name="_Toc430530435"/>
      <w:bookmarkStart w:id="45" w:name="_Toc200513126"/>
      <w:bookmarkStart w:id="46" w:name="_Toc287620685"/>
      <w:bookmarkStart w:id="47" w:name="_Toc509218710"/>
      <w:bookmarkStart w:id="48" w:name="_Toc287607746"/>
    </w:p>
    <w:p w14:paraId="3480EB8F">
      <w:pPr>
        <w:pStyle w:val="8"/>
        <w:rPr>
          <w:rFonts w:ascii="宋体" w:hAnsi="宋体" w:cs="宋体"/>
          <w:bCs/>
          <w:snapToGrid w:val="0"/>
          <w:color w:val="auto"/>
          <w:sz w:val="24"/>
          <w:highlight w:val="none"/>
        </w:rPr>
      </w:pPr>
    </w:p>
    <w:p w14:paraId="6F3A9DB4">
      <w:pPr>
        <w:pStyle w:val="8"/>
        <w:rPr>
          <w:rFonts w:ascii="宋体" w:hAnsi="宋体" w:cs="宋体"/>
          <w:bCs/>
          <w:snapToGrid w:val="0"/>
          <w:color w:val="auto"/>
          <w:sz w:val="24"/>
          <w:highlight w:val="none"/>
        </w:rPr>
      </w:pPr>
    </w:p>
    <w:p w14:paraId="3910539F">
      <w:pPr>
        <w:pStyle w:val="8"/>
        <w:rPr>
          <w:rFonts w:ascii="宋体" w:hAnsi="宋体" w:cs="宋体"/>
          <w:bCs/>
          <w:snapToGrid w:val="0"/>
          <w:color w:val="auto"/>
          <w:sz w:val="24"/>
          <w:highlight w:val="none"/>
        </w:rPr>
      </w:pPr>
    </w:p>
    <w:p w14:paraId="301DA2E0">
      <w:pPr>
        <w:pStyle w:val="8"/>
        <w:rPr>
          <w:rFonts w:ascii="宋体" w:hAnsi="宋体" w:cs="宋体"/>
          <w:bCs/>
          <w:snapToGrid w:val="0"/>
          <w:color w:val="auto"/>
          <w:sz w:val="24"/>
          <w:highlight w:val="none"/>
        </w:rPr>
      </w:pPr>
    </w:p>
    <w:p w14:paraId="42A241FD">
      <w:pPr>
        <w:pStyle w:val="8"/>
        <w:rPr>
          <w:rFonts w:ascii="宋体" w:hAnsi="宋体" w:cs="宋体"/>
          <w:bCs/>
          <w:snapToGrid w:val="0"/>
          <w:color w:val="auto"/>
          <w:sz w:val="24"/>
          <w:highlight w:val="none"/>
        </w:rPr>
      </w:pPr>
    </w:p>
    <w:p w14:paraId="0C14728C">
      <w:pPr>
        <w:rPr>
          <w:rFonts w:ascii="宋体" w:hAnsi="宋体" w:cs="宋体"/>
          <w:bCs/>
          <w:snapToGrid w:val="0"/>
          <w:color w:val="auto"/>
          <w:sz w:val="24"/>
          <w:highlight w:val="none"/>
        </w:rPr>
      </w:pPr>
      <w:r>
        <w:rPr>
          <w:rFonts w:hint="eastAsia" w:ascii="宋体" w:hAnsi="宋体" w:cs="宋体"/>
          <w:bCs/>
          <w:snapToGrid w:val="0"/>
          <w:color w:val="auto"/>
          <w:sz w:val="24"/>
          <w:highlight w:val="none"/>
        </w:rPr>
        <w:br w:type="page"/>
      </w:r>
    </w:p>
    <w:p w14:paraId="115726A8">
      <w:pPr>
        <w:pStyle w:val="8"/>
        <w:rPr>
          <w:rFonts w:ascii="宋体" w:hAnsi="宋体" w:cs="宋体"/>
          <w:bCs/>
          <w:snapToGrid w:val="0"/>
          <w:color w:val="auto"/>
          <w:sz w:val="24"/>
          <w:highlight w:val="none"/>
        </w:rPr>
      </w:pPr>
      <w:r>
        <w:rPr>
          <w:rFonts w:hint="eastAsia" w:ascii="宋体" w:hAnsi="宋体" w:cs="宋体"/>
          <w:bCs/>
          <w:snapToGrid w:val="0"/>
          <w:color w:val="auto"/>
          <w:sz w:val="24"/>
          <w:highlight w:val="none"/>
        </w:rPr>
        <w:t>1.  总则</w:t>
      </w:r>
      <w:bookmarkEnd w:id="42"/>
      <w:bookmarkEnd w:id="43"/>
      <w:bookmarkEnd w:id="44"/>
      <w:bookmarkEnd w:id="45"/>
      <w:bookmarkEnd w:id="46"/>
      <w:bookmarkEnd w:id="47"/>
      <w:bookmarkEnd w:id="48"/>
    </w:p>
    <w:p w14:paraId="1D8F0AF2">
      <w:pPr>
        <w:pStyle w:val="5"/>
        <w:snapToGrid w:val="0"/>
        <w:spacing w:before="0" w:after="0" w:line="360" w:lineRule="auto"/>
        <w:rPr>
          <w:rFonts w:ascii="宋体" w:hAnsi="宋体" w:cs="宋体"/>
          <w:b w:val="0"/>
          <w:snapToGrid w:val="0"/>
          <w:color w:val="auto"/>
          <w:sz w:val="24"/>
          <w:szCs w:val="24"/>
          <w:highlight w:val="none"/>
        </w:rPr>
      </w:pPr>
      <w:bookmarkStart w:id="49" w:name="_Toc40569046"/>
      <w:bookmarkStart w:id="50" w:name="_Toc200513127"/>
      <w:bookmarkStart w:id="51" w:name="_Toc32083"/>
      <w:bookmarkStart w:id="52" w:name="_Toc224103318"/>
      <w:bookmarkStart w:id="53" w:name="_Toc3411"/>
      <w:bookmarkStart w:id="54" w:name="_Toc277082553"/>
      <w:bookmarkStart w:id="55" w:name="_Toc430530436"/>
      <w:bookmarkStart w:id="56" w:name="_Toc40569141"/>
      <w:bookmarkStart w:id="57" w:name="_Toc509218711"/>
      <w:bookmarkStart w:id="58" w:name="_Toc287607747"/>
      <w:bookmarkStart w:id="59" w:name="_Toc287620686"/>
      <w:bookmarkStart w:id="60" w:name="_Toc10890"/>
      <w:r>
        <w:rPr>
          <w:rFonts w:hint="eastAsia" w:ascii="宋体" w:hAnsi="宋体" w:cs="宋体"/>
          <w:b w:val="0"/>
          <w:snapToGrid w:val="0"/>
          <w:color w:val="auto"/>
          <w:sz w:val="24"/>
          <w:szCs w:val="24"/>
          <w:highlight w:val="none"/>
        </w:rPr>
        <w:t>1.1  项目概况</w:t>
      </w:r>
      <w:bookmarkEnd w:id="49"/>
      <w:bookmarkEnd w:id="50"/>
      <w:bookmarkEnd w:id="51"/>
      <w:bookmarkEnd w:id="52"/>
      <w:bookmarkEnd w:id="53"/>
      <w:bookmarkEnd w:id="54"/>
      <w:bookmarkEnd w:id="55"/>
      <w:bookmarkEnd w:id="56"/>
      <w:bookmarkEnd w:id="57"/>
      <w:bookmarkEnd w:id="58"/>
      <w:bookmarkEnd w:id="59"/>
      <w:bookmarkEnd w:id="60"/>
    </w:p>
    <w:p w14:paraId="1F1ED2D3">
      <w:pPr>
        <w:autoSpaceDE w:val="0"/>
        <w:autoSpaceDN w:val="0"/>
        <w:adjustRightInd w:val="0"/>
        <w:snapToGrid w:val="0"/>
        <w:spacing w:line="360" w:lineRule="auto"/>
        <w:ind w:firstLine="357" w:firstLineChars="17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  根据《中华人民共和国招标投标法》等有关法律、法规和规章的规定，本发包项目已具备比选条件，现对本项目监理进行竞争性比选。</w:t>
      </w:r>
    </w:p>
    <w:p w14:paraId="15D2BB78">
      <w:pPr>
        <w:autoSpaceDE w:val="0"/>
        <w:autoSpaceDN w:val="0"/>
        <w:adjustRightInd w:val="0"/>
        <w:snapToGrid w:val="0"/>
        <w:spacing w:line="360" w:lineRule="auto"/>
        <w:ind w:firstLine="357" w:firstLineChars="17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本发包项目比选人：见竞选人须知前附表。</w:t>
      </w:r>
    </w:p>
    <w:p w14:paraId="5D90D860">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  本项目比选代理机构：见竞选人须知前附表。</w:t>
      </w:r>
    </w:p>
    <w:p w14:paraId="5059B02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1.1.4  本发包项目名称：见竞选人须知前附表。</w:t>
      </w:r>
    </w:p>
    <w:p w14:paraId="7DEE3BA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1.1.5  本项目建设地点：见竞选人须知前附表。</w:t>
      </w:r>
    </w:p>
    <w:p w14:paraId="08C42E33">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1.1.6  本项目建设规模：见竞选人须知前附表。</w:t>
      </w:r>
    </w:p>
    <w:p w14:paraId="3FDAA4AF">
      <w:pPr>
        <w:pStyle w:val="5"/>
        <w:snapToGrid w:val="0"/>
        <w:spacing w:before="0" w:after="0" w:line="360" w:lineRule="auto"/>
        <w:rPr>
          <w:rFonts w:ascii="宋体" w:hAnsi="宋体" w:cs="宋体"/>
          <w:b w:val="0"/>
          <w:snapToGrid w:val="0"/>
          <w:color w:val="auto"/>
          <w:sz w:val="24"/>
          <w:szCs w:val="24"/>
          <w:highlight w:val="none"/>
        </w:rPr>
      </w:pPr>
      <w:bookmarkStart w:id="61" w:name="_Toc200513128"/>
      <w:bookmarkStart w:id="62" w:name="_Toc224103319"/>
      <w:bookmarkStart w:id="63" w:name="_Toc40569142"/>
      <w:bookmarkStart w:id="64" w:name="_Toc25629"/>
      <w:bookmarkStart w:id="65" w:name="_Toc509218712"/>
      <w:bookmarkStart w:id="66" w:name="_Toc2933"/>
      <w:bookmarkStart w:id="67" w:name="_Toc430530437"/>
      <w:bookmarkStart w:id="68" w:name="_Toc287620687"/>
      <w:bookmarkStart w:id="69" w:name="_Toc40569047"/>
      <w:bookmarkStart w:id="70" w:name="_Toc21234"/>
      <w:bookmarkStart w:id="71" w:name="_Toc287607748"/>
      <w:bookmarkStart w:id="72" w:name="_Toc277082554"/>
      <w:r>
        <w:rPr>
          <w:rFonts w:hint="eastAsia" w:ascii="宋体" w:hAnsi="宋体" w:cs="宋体"/>
          <w:b w:val="0"/>
          <w:snapToGrid w:val="0"/>
          <w:color w:val="auto"/>
          <w:sz w:val="24"/>
          <w:szCs w:val="24"/>
          <w:highlight w:val="none"/>
        </w:rPr>
        <w:t>1.2  资金来源和落实情况</w:t>
      </w:r>
      <w:bookmarkEnd w:id="61"/>
      <w:bookmarkEnd w:id="62"/>
      <w:bookmarkEnd w:id="63"/>
      <w:bookmarkEnd w:id="64"/>
      <w:bookmarkEnd w:id="65"/>
      <w:bookmarkEnd w:id="66"/>
      <w:bookmarkEnd w:id="67"/>
      <w:bookmarkEnd w:id="68"/>
      <w:bookmarkEnd w:id="69"/>
      <w:bookmarkEnd w:id="70"/>
      <w:bookmarkEnd w:id="71"/>
      <w:bookmarkEnd w:id="72"/>
    </w:p>
    <w:p w14:paraId="596A7C4C">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1.2.1  本发包项目的资金来源：见竞选人须知前附表。</w:t>
      </w:r>
    </w:p>
    <w:p w14:paraId="27113D7E">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1.2.2  本发包项目的出资比例：见竞选人须知前附表。</w:t>
      </w:r>
    </w:p>
    <w:p w14:paraId="63CAC72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1.2.3  本发包项目的资金落实情况：见竞选人须知前附表。</w:t>
      </w:r>
    </w:p>
    <w:p w14:paraId="027E0742">
      <w:pPr>
        <w:pStyle w:val="5"/>
        <w:snapToGrid w:val="0"/>
        <w:spacing w:before="0" w:after="0" w:line="360" w:lineRule="auto"/>
        <w:rPr>
          <w:rFonts w:ascii="宋体" w:hAnsi="宋体" w:cs="宋体"/>
          <w:b w:val="0"/>
          <w:snapToGrid w:val="0"/>
          <w:color w:val="auto"/>
          <w:sz w:val="24"/>
          <w:szCs w:val="24"/>
          <w:highlight w:val="none"/>
        </w:rPr>
      </w:pPr>
      <w:bookmarkStart w:id="73" w:name="_Toc287607749"/>
      <w:bookmarkStart w:id="74" w:name="_Toc430530438"/>
      <w:bookmarkStart w:id="75" w:name="_Toc509218713"/>
      <w:bookmarkStart w:id="76" w:name="_Toc21182"/>
      <w:bookmarkStart w:id="77" w:name="_Toc224103320"/>
      <w:bookmarkStart w:id="78" w:name="_Toc23212"/>
      <w:bookmarkStart w:id="79" w:name="_Toc3621"/>
      <w:bookmarkStart w:id="80" w:name="_Toc40569143"/>
      <w:bookmarkStart w:id="81" w:name="_Toc200513129"/>
      <w:bookmarkStart w:id="82" w:name="_Toc287620688"/>
      <w:bookmarkStart w:id="83" w:name="_Toc40569048"/>
      <w:bookmarkStart w:id="84" w:name="_Toc277082555"/>
      <w:r>
        <w:rPr>
          <w:rFonts w:hint="eastAsia" w:ascii="宋体" w:hAnsi="宋体" w:cs="宋体"/>
          <w:b w:val="0"/>
          <w:snapToGrid w:val="0"/>
          <w:color w:val="auto"/>
          <w:sz w:val="24"/>
          <w:szCs w:val="24"/>
          <w:highlight w:val="none"/>
        </w:rPr>
        <w:t>1.3  比选范围、监理服务期和质量要求</w:t>
      </w:r>
      <w:bookmarkEnd w:id="73"/>
      <w:bookmarkEnd w:id="74"/>
      <w:bookmarkEnd w:id="75"/>
      <w:bookmarkEnd w:id="76"/>
      <w:bookmarkEnd w:id="77"/>
      <w:bookmarkEnd w:id="78"/>
      <w:bookmarkEnd w:id="79"/>
      <w:bookmarkEnd w:id="80"/>
      <w:bookmarkEnd w:id="81"/>
      <w:bookmarkEnd w:id="82"/>
      <w:bookmarkEnd w:id="83"/>
      <w:bookmarkEnd w:id="84"/>
    </w:p>
    <w:p w14:paraId="0E7AC70D">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本次比选范围：见竞选人须知前附表。</w:t>
      </w:r>
    </w:p>
    <w:p w14:paraId="164BB7A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1.3.2  本项目的监理服务期：见竞选人须知前附表。</w:t>
      </w:r>
    </w:p>
    <w:p w14:paraId="4AC5A7DA">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1.3.3  本项目的质量要求：见竞选人须知前附表。</w:t>
      </w:r>
    </w:p>
    <w:p w14:paraId="0F63E5EA">
      <w:pPr>
        <w:pStyle w:val="5"/>
        <w:snapToGrid w:val="0"/>
        <w:spacing w:before="0" w:after="0" w:line="360" w:lineRule="auto"/>
        <w:rPr>
          <w:rFonts w:ascii="宋体" w:hAnsi="宋体" w:cs="宋体"/>
          <w:b w:val="0"/>
          <w:snapToGrid w:val="0"/>
          <w:color w:val="auto"/>
          <w:sz w:val="24"/>
          <w:szCs w:val="24"/>
          <w:highlight w:val="none"/>
        </w:rPr>
      </w:pPr>
      <w:bookmarkStart w:id="85" w:name="_Toc430530439"/>
      <w:bookmarkStart w:id="86" w:name="_Toc509218714"/>
      <w:bookmarkStart w:id="87" w:name="_Toc287620689"/>
      <w:bookmarkStart w:id="88" w:name="_Toc287607750"/>
      <w:bookmarkStart w:id="89" w:name="_Toc224103321"/>
      <w:bookmarkStart w:id="90" w:name="_Toc277082556"/>
      <w:bookmarkStart w:id="91" w:name="_Toc200513130"/>
      <w:bookmarkStart w:id="92" w:name="_Toc40569144"/>
      <w:bookmarkStart w:id="93" w:name="_Toc28521"/>
      <w:bookmarkStart w:id="94" w:name="_Toc30002"/>
      <w:bookmarkStart w:id="95" w:name="_Toc40569049"/>
      <w:bookmarkStart w:id="96" w:name="_Toc5712"/>
      <w:r>
        <w:rPr>
          <w:rFonts w:hint="eastAsia" w:ascii="宋体" w:hAnsi="宋体" w:cs="宋体"/>
          <w:b w:val="0"/>
          <w:snapToGrid w:val="0"/>
          <w:color w:val="auto"/>
          <w:sz w:val="24"/>
          <w:szCs w:val="24"/>
          <w:highlight w:val="none"/>
        </w:rPr>
        <w:t xml:space="preserve">1.4  </w:t>
      </w:r>
      <w:bookmarkEnd w:id="85"/>
      <w:bookmarkEnd w:id="86"/>
      <w:bookmarkEnd w:id="87"/>
      <w:bookmarkEnd w:id="88"/>
      <w:bookmarkEnd w:id="89"/>
      <w:bookmarkEnd w:id="90"/>
      <w:bookmarkEnd w:id="91"/>
      <w:bookmarkStart w:id="97" w:name="_Toc277082557"/>
      <w:bookmarkStart w:id="98" w:name="_Toc430530440"/>
      <w:bookmarkStart w:id="99" w:name="_Toc509218715"/>
      <w:bookmarkStart w:id="100" w:name="_Toc287620690"/>
      <w:bookmarkStart w:id="101" w:name="_Toc224103322"/>
      <w:bookmarkStart w:id="102" w:name="_Toc200513131"/>
      <w:bookmarkStart w:id="103" w:name="_Toc287607751"/>
      <w:r>
        <w:rPr>
          <w:rFonts w:hint="eastAsia" w:ascii="宋体" w:hAnsi="宋体" w:cs="宋体"/>
          <w:b w:val="0"/>
          <w:snapToGrid w:val="0"/>
          <w:color w:val="auto"/>
          <w:sz w:val="24"/>
          <w:szCs w:val="24"/>
          <w:highlight w:val="none"/>
        </w:rPr>
        <w:t>竞选人资格要求</w:t>
      </w:r>
      <w:bookmarkEnd w:id="92"/>
      <w:bookmarkEnd w:id="93"/>
      <w:bookmarkEnd w:id="94"/>
      <w:bookmarkEnd w:id="95"/>
      <w:bookmarkEnd w:id="96"/>
      <w:bookmarkEnd w:id="97"/>
      <w:bookmarkEnd w:id="98"/>
      <w:bookmarkEnd w:id="99"/>
      <w:bookmarkEnd w:id="100"/>
      <w:bookmarkEnd w:id="101"/>
      <w:bookmarkEnd w:id="102"/>
      <w:bookmarkEnd w:id="103"/>
    </w:p>
    <w:p w14:paraId="4D78B6D3">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竞选人应具备承担本项目的资质条件、能力和信誉。</w:t>
      </w:r>
    </w:p>
    <w:p w14:paraId="5CA3BF8A">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（1）资质条件、营业执照：见竞选人须知前附表；</w:t>
      </w:r>
    </w:p>
    <w:p w14:paraId="780EB421">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（2）财务要求：见竞选人须知前附表；</w:t>
      </w:r>
    </w:p>
    <w:p w14:paraId="2E6A526F">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（3）业绩要求：见竞选人须知前附表；</w:t>
      </w:r>
    </w:p>
    <w:p w14:paraId="35FE2781">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4</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竞选截止日竞选资格情况</w:t>
      </w:r>
      <w:r>
        <w:rPr>
          <w:rFonts w:ascii="宋体" w:hAnsi="宋体" w:cs="宋体"/>
          <w:snapToGrid w:val="0"/>
          <w:color w:val="auto"/>
          <w:kern w:val="0"/>
          <w:szCs w:val="21"/>
          <w:highlight w:val="none"/>
        </w:rPr>
        <w:t>要求：见</w:t>
      </w:r>
      <w:r>
        <w:rPr>
          <w:rFonts w:hint="eastAsia" w:ascii="宋体" w:hAnsi="宋体" w:cs="宋体"/>
          <w:snapToGrid w:val="0"/>
          <w:color w:val="auto"/>
          <w:kern w:val="0"/>
          <w:szCs w:val="21"/>
          <w:highlight w:val="none"/>
        </w:rPr>
        <w:t>竞选人</w:t>
      </w:r>
      <w:r>
        <w:rPr>
          <w:rFonts w:ascii="宋体" w:hAnsi="宋体" w:cs="宋体"/>
          <w:snapToGrid w:val="0"/>
          <w:color w:val="auto"/>
          <w:kern w:val="0"/>
          <w:szCs w:val="21"/>
          <w:highlight w:val="none"/>
        </w:rPr>
        <w:t>须知前附表；</w:t>
      </w:r>
    </w:p>
    <w:p w14:paraId="42530131">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（5）监理人员要求：见竞选人须知前附表；</w:t>
      </w:r>
    </w:p>
    <w:p w14:paraId="39FF3755">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（6）其他要求：见竞选人须知前附表。</w:t>
      </w:r>
    </w:p>
    <w:p w14:paraId="4E8438FB">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  竞选人须知前附表规定接受联合体参与竞选的，除应符合本章第1.4.1项和竞选人须知前附表的要求外，还应遵守以下规定：</w:t>
      </w:r>
    </w:p>
    <w:p w14:paraId="717535BB">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（1）联合体各方应按比选文件提供的格式签订联合体协议书，明确联合体牵头人和各方权利义务；</w:t>
      </w:r>
    </w:p>
    <w:p w14:paraId="007F4625">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（2）联合体各方均应当具备承担竞选项目的相应能力；联合体协议约定同一专业分工由两个及以上单位共同承担的，按照就低不就高的原则确定联合体资质；</w:t>
      </w:r>
    </w:p>
    <w:p w14:paraId="1EFF6F20">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（3）联合体各方不得再以自己名义单独或参加其他联合体在同一标段中竞选。</w:t>
      </w:r>
    </w:p>
    <w:p w14:paraId="47BFC330">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竞选人不得存在下列情形之一：</w:t>
      </w:r>
    </w:p>
    <w:p w14:paraId="6CDF6B16">
      <w:pPr>
        <w:spacing w:line="400" w:lineRule="exact"/>
        <w:ind w:firstLine="420" w:firstLineChars="200"/>
        <w:rPr>
          <w:rFonts w:ascii="宋体" w:hAnsi="宋体"/>
          <w:color w:val="auto"/>
          <w:szCs w:val="21"/>
          <w:highlight w:val="none"/>
        </w:rPr>
      </w:pPr>
      <w:bookmarkStart w:id="104" w:name="_Toc5221"/>
      <w:bookmarkStart w:id="105" w:name="_Toc224103323"/>
      <w:bookmarkStart w:id="106" w:name="_Toc287607752"/>
      <w:bookmarkStart w:id="107" w:name="_Toc9192"/>
      <w:bookmarkStart w:id="108" w:name="_Toc430530441"/>
      <w:bookmarkStart w:id="109" w:name="_Toc277082558"/>
      <w:bookmarkStart w:id="110" w:name="_Toc7266"/>
      <w:bookmarkStart w:id="111" w:name="_Toc40569050"/>
      <w:bookmarkStart w:id="112" w:name="_Toc287620691"/>
      <w:bookmarkStart w:id="113" w:name="_Toc509218716"/>
      <w:bookmarkStart w:id="114" w:name="_Toc40569145"/>
      <w:bookmarkStart w:id="115" w:name="_Toc200513132"/>
      <w:r>
        <w:rPr>
          <w:rFonts w:hint="eastAsia" w:ascii="宋体" w:hAnsi="宋体"/>
          <w:color w:val="auto"/>
          <w:szCs w:val="21"/>
          <w:highlight w:val="none"/>
        </w:rPr>
        <w:t>（1）与比选人存在利害关系可能影响招标公正性的法人、其他组织或者个人；</w:t>
      </w:r>
    </w:p>
    <w:p w14:paraId="2E10DB4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（2）为本项目的代理人；</w:t>
      </w:r>
    </w:p>
    <w:p w14:paraId="2230BB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（3）为本项目的代建人；</w:t>
      </w:r>
    </w:p>
    <w:p w14:paraId="4531F31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（4）为本项目提供比选代理服务的；</w:t>
      </w:r>
    </w:p>
    <w:p w14:paraId="43CA6DD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（5）与本项目的代建人或比选代理机构同为一个法定代表人的；</w:t>
      </w:r>
    </w:p>
    <w:p w14:paraId="56D27F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（6）与本项目的代建人或比选代理机构相互控股或参股的；</w:t>
      </w:r>
    </w:p>
    <w:p w14:paraId="0D2384C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（7）与本项目的代建人或比选代理机构相互任职或工作的；</w:t>
      </w:r>
    </w:p>
    <w:p w14:paraId="2704435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（8）被责令停业的；</w:t>
      </w:r>
    </w:p>
    <w:p w14:paraId="200A34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（9）被暂停或取消投标资格的；</w:t>
      </w:r>
    </w:p>
    <w:p w14:paraId="6956D89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（10）财产被接管或冻结的；</w:t>
      </w:r>
    </w:p>
    <w:p w14:paraId="542826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（11）单位负责人为同一人或者存在控股、管理关系的不同单位，不得在同一标段中同时参与竞选。</w:t>
      </w:r>
    </w:p>
    <w:p w14:paraId="1C52B33C">
      <w:pPr>
        <w:pStyle w:val="5"/>
        <w:snapToGrid w:val="0"/>
        <w:spacing w:before="0" w:after="0" w:line="360" w:lineRule="auto"/>
        <w:rPr>
          <w:rFonts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1.5  费用承担</w:t>
      </w:r>
      <w:bookmarkEnd w:id="104"/>
      <w:bookmarkEnd w:id="105"/>
      <w:bookmarkEnd w:id="106"/>
      <w:bookmarkEnd w:id="107"/>
      <w:bookmarkEnd w:id="108"/>
      <w:bookmarkEnd w:id="109"/>
      <w:bookmarkEnd w:id="110"/>
      <w:bookmarkEnd w:id="111"/>
      <w:bookmarkEnd w:id="112"/>
      <w:bookmarkEnd w:id="113"/>
      <w:bookmarkEnd w:id="114"/>
      <w:bookmarkEnd w:id="115"/>
    </w:p>
    <w:p w14:paraId="0FAD3DD0">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竞选人准备和参加竞选活动发生的费用自理。</w:t>
      </w:r>
    </w:p>
    <w:p w14:paraId="2021AF4F">
      <w:pPr>
        <w:pStyle w:val="5"/>
        <w:snapToGrid w:val="0"/>
        <w:spacing w:before="0" w:after="0" w:line="360" w:lineRule="auto"/>
        <w:rPr>
          <w:rFonts w:ascii="宋体" w:hAnsi="宋体" w:cs="宋体"/>
          <w:b w:val="0"/>
          <w:snapToGrid w:val="0"/>
          <w:color w:val="auto"/>
          <w:sz w:val="24"/>
          <w:szCs w:val="24"/>
          <w:highlight w:val="none"/>
        </w:rPr>
      </w:pPr>
      <w:bookmarkStart w:id="116" w:name="_Toc509218717"/>
      <w:bookmarkStart w:id="117" w:name="_Toc20139"/>
      <w:bookmarkStart w:id="118" w:name="_Toc430530442"/>
      <w:bookmarkStart w:id="119" w:name="_Toc224103324"/>
      <w:bookmarkStart w:id="120" w:name="_Toc5293"/>
      <w:bookmarkStart w:id="121" w:name="_Toc5781"/>
      <w:bookmarkStart w:id="122" w:name="_Toc40569051"/>
      <w:bookmarkStart w:id="123" w:name="_Toc287607753"/>
      <w:bookmarkStart w:id="124" w:name="_Toc40569146"/>
      <w:bookmarkStart w:id="125" w:name="_Toc200513133"/>
      <w:bookmarkStart w:id="126" w:name="_Toc287620692"/>
      <w:bookmarkStart w:id="127" w:name="_Toc277082559"/>
      <w:r>
        <w:rPr>
          <w:rFonts w:hint="eastAsia" w:ascii="宋体" w:hAnsi="宋体" w:cs="宋体"/>
          <w:b w:val="0"/>
          <w:snapToGrid w:val="0"/>
          <w:color w:val="auto"/>
          <w:sz w:val="24"/>
          <w:szCs w:val="24"/>
          <w:highlight w:val="none"/>
        </w:rPr>
        <w:t>1.6  保密</w:t>
      </w:r>
      <w:bookmarkEnd w:id="116"/>
      <w:bookmarkEnd w:id="117"/>
      <w:bookmarkEnd w:id="118"/>
      <w:bookmarkEnd w:id="119"/>
      <w:bookmarkEnd w:id="120"/>
      <w:bookmarkEnd w:id="121"/>
      <w:bookmarkEnd w:id="122"/>
      <w:bookmarkEnd w:id="123"/>
      <w:bookmarkEnd w:id="124"/>
      <w:bookmarkEnd w:id="125"/>
      <w:bookmarkEnd w:id="126"/>
      <w:bookmarkEnd w:id="127"/>
    </w:p>
    <w:p w14:paraId="1B506419">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参与比选活动的各方应对比选文件和竞选文件中的商业和技术等秘密保密，违者应对由此造成的后果承担法律责任。</w:t>
      </w:r>
    </w:p>
    <w:p w14:paraId="712A0525">
      <w:pPr>
        <w:pStyle w:val="5"/>
        <w:snapToGrid w:val="0"/>
        <w:spacing w:before="0" w:after="0" w:line="360" w:lineRule="auto"/>
        <w:rPr>
          <w:rFonts w:ascii="宋体" w:hAnsi="宋体" w:cs="宋体"/>
          <w:b w:val="0"/>
          <w:snapToGrid w:val="0"/>
          <w:color w:val="auto"/>
          <w:sz w:val="24"/>
          <w:szCs w:val="24"/>
          <w:highlight w:val="none"/>
        </w:rPr>
      </w:pPr>
      <w:bookmarkStart w:id="128" w:name="_Toc287620693"/>
      <w:bookmarkStart w:id="129" w:name="_Toc40569052"/>
      <w:bookmarkStart w:id="130" w:name="_Toc509218718"/>
      <w:bookmarkStart w:id="131" w:name="_Toc430530443"/>
      <w:bookmarkStart w:id="132" w:name="_Toc224103325"/>
      <w:bookmarkStart w:id="133" w:name="_Toc40569147"/>
      <w:bookmarkStart w:id="134" w:name="_Toc7317"/>
      <w:bookmarkStart w:id="135" w:name="_Toc287607754"/>
      <w:bookmarkStart w:id="136" w:name="_Toc32367"/>
      <w:bookmarkStart w:id="137" w:name="_Toc277082560"/>
      <w:bookmarkStart w:id="138" w:name="_Toc10589"/>
      <w:bookmarkStart w:id="139" w:name="_Toc200513134"/>
      <w:r>
        <w:rPr>
          <w:rFonts w:hint="eastAsia" w:ascii="宋体" w:hAnsi="宋体" w:cs="宋体"/>
          <w:b w:val="0"/>
          <w:snapToGrid w:val="0"/>
          <w:color w:val="auto"/>
          <w:sz w:val="24"/>
          <w:szCs w:val="24"/>
          <w:highlight w:val="none"/>
        </w:rPr>
        <w:t>1.7  语言文字</w:t>
      </w:r>
      <w:bookmarkEnd w:id="128"/>
      <w:bookmarkEnd w:id="129"/>
      <w:bookmarkEnd w:id="130"/>
      <w:bookmarkEnd w:id="131"/>
      <w:bookmarkEnd w:id="132"/>
      <w:bookmarkEnd w:id="133"/>
      <w:bookmarkEnd w:id="134"/>
      <w:bookmarkEnd w:id="135"/>
      <w:bookmarkEnd w:id="136"/>
      <w:bookmarkEnd w:id="137"/>
      <w:bookmarkEnd w:id="138"/>
      <w:bookmarkEnd w:id="139"/>
    </w:p>
    <w:p w14:paraId="4E3A659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除专用术语外，与比选有关的语言均使用中文。必要时专用术语应附有中文注释。</w:t>
      </w:r>
    </w:p>
    <w:p w14:paraId="45210245">
      <w:pPr>
        <w:pStyle w:val="5"/>
        <w:snapToGrid w:val="0"/>
        <w:spacing w:before="0" w:after="0" w:line="360" w:lineRule="auto"/>
        <w:rPr>
          <w:rFonts w:ascii="宋体" w:hAnsi="宋体" w:cs="宋体"/>
          <w:b w:val="0"/>
          <w:snapToGrid w:val="0"/>
          <w:color w:val="auto"/>
          <w:sz w:val="24"/>
          <w:szCs w:val="24"/>
          <w:highlight w:val="none"/>
        </w:rPr>
      </w:pPr>
      <w:bookmarkStart w:id="140" w:name="_Toc23841"/>
      <w:bookmarkStart w:id="141" w:name="_Toc277082561"/>
      <w:bookmarkStart w:id="142" w:name="_Toc1276"/>
      <w:bookmarkStart w:id="143" w:name="_Toc509218719"/>
      <w:bookmarkStart w:id="144" w:name="_Toc7911"/>
      <w:bookmarkStart w:id="145" w:name="_Toc40569053"/>
      <w:bookmarkStart w:id="146" w:name="_Toc430530444"/>
      <w:bookmarkStart w:id="147" w:name="_Toc287607755"/>
      <w:bookmarkStart w:id="148" w:name="_Toc287620694"/>
      <w:bookmarkStart w:id="149" w:name="_Toc200513135"/>
      <w:bookmarkStart w:id="150" w:name="_Toc40569148"/>
      <w:bookmarkStart w:id="151" w:name="_Toc224103326"/>
      <w:r>
        <w:rPr>
          <w:rFonts w:hint="eastAsia" w:ascii="宋体" w:hAnsi="宋体" w:cs="宋体"/>
          <w:b w:val="0"/>
          <w:snapToGrid w:val="0"/>
          <w:color w:val="auto"/>
          <w:sz w:val="24"/>
          <w:szCs w:val="24"/>
          <w:highlight w:val="none"/>
        </w:rPr>
        <w:t>1.8  计量单位</w:t>
      </w:r>
      <w:bookmarkEnd w:id="140"/>
      <w:bookmarkEnd w:id="141"/>
      <w:bookmarkEnd w:id="142"/>
      <w:bookmarkEnd w:id="143"/>
      <w:bookmarkEnd w:id="144"/>
      <w:bookmarkEnd w:id="145"/>
      <w:bookmarkEnd w:id="146"/>
      <w:bookmarkEnd w:id="147"/>
      <w:bookmarkEnd w:id="148"/>
      <w:bookmarkEnd w:id="149"/>
      <w:bookmarkEnd w:id="150"/>
      <w:bookmarkEnd w:id="151"/>
    </w:p>
    <w:p w14:paraId="305564E9">
      <w:pPr>
        <w:autoSpaceDE w:val="0"/>
        <w:autoSpaceDN w:val="0"/>
        <w:adjustRightInd w:val="0"/>
        <w:snapToGrid w:val="0"/>
        <w:spacing w:line="360" w:lineRule="auto"/>
        <w:ind w:firstLine="424" w:firstLineChars="202"/>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所有计量均采用中华人民共和国法定计量单位。</w:t>
      </w:r>
    </w:p>
    <w:p w14:paraId="2475A426">
      <w:pPr>
        <w:pStyle w:val="5"/>
        <w:snapToGrid w:val="0"/>
        <w:spacing w:before="0" w:after="0" w:line="360" w:lineRule="auto"/>
        <w:rPr>
          <w:rFonts w:ascii="宋体" w:hAnsi="宋体" w:cs="宋体"/>
          <w:b w:val="0"/>
          <w:snapToGrid w:val="0"/>
          <w:color w:val="auto"/>
          <w:sz w:val="24"/>
          <w:szCs w:val="24"/>
          <w:highlight w:val="none"/>
        </w:rPr>
      </w:pPr>
      <w:bookmarkStart w:id="152" w:name="_Toc11881"/>
      <w:bookmarkStart w:id="153" w:name="_Toc5120"/>
      <w:bookmarkStart w:id="154" w:name="_Toc40569054"/>
      <w:bookmarkStart w:id="155" w:name="_Toc200513136"/>
      <w:bookmarkStart w:id="156" w:name="_Toc287620695"/>
      <w:bookmarkStart w:id="157" w:name="_Toc277082562"/>
      <w:bookmarkStart w:id="158" w:name="_Toc287607756"/>
      <w:bookmarkStart w:id="159" w:name="_Toc224103327"/>
      <w:bookmarkStart w:id="160" w:name="_Toc509218720"/>
      <w:bookmarkStart w:id="161" w:name="_Toc5390"/>
      <w:bookmarkStart w:id="162" w:name="_Toc430530445"/>
      <w:bookmarkStart w:id="163" w:name="_Toc40569149"/>
      <w:r>
        <w:rPr>
          <w:rFonts w:hint="eastAsia" w:ascii="宋体" w:hAnsi="宋体" w:cs="宋体"/>
          <w:b w:val="0"/>
          <w:snapToGrid w:val="0"/>
          <w:color w:val="auto"/>
          <w:sz w:val="24"/>
          <w:szCs w:val="24"/>
          <w:highlight w:val="none"/>
        </w:rPr>
        <w:t>1.9  踏勘现场</w:t>
      </w:r>
      <w:bookmarkEnd w:id="152"/>
      <w:bookmarkEnd w:id="153"/>
      <w:bookmarkEnd w:id="154"/>
      <w:bookmarkEnd w:id="155"/>
      <w:bookmarkEnd w:id="156"/>
      <w:bookmarkEnd w:id="157"/>
      <w:bookmarkEnd w:id="158"/>
      <w:bookmarkEnd w:id="159"/>
      <w:bookmarkEnd w:id="160"/>
      <w:bookmarkEnd w:id="161"/>
      <w:bookmarkEnd w:id="162"/>
      <w:bookmarkEnd w:id="163"/>
    </w:p>
    <w:p w14:paraId="050CE4E4">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1.9.1  竞选人须知前附表规定组织踏勘现场的，比选人按竞选人须知前附表规定的时间、 地点组织竞选人踏勘项目现场。</w:t>
      </w:r>
    </w:p>
    <w:p w14:paraId="77C5F9D3">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1.9.2  竞选人踏勘现场发生的费用自理。</w:t>
      </w:r>
    </w:p>
    <w:p w14:paraId="11912801">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1.9.3  除比选人的原因外，竞选人自行负责在踏勘现场中所发生的人员伤亡和财产损失。</w:t>
      </w:r>
    </w:p>
    <w:p w14:paraId="099D49AA">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1.9.4  比选人在踏勘现场中介绍的工程场地和相关的周边环境情况，供竞选人在编制竞选文件时参考，比选人不对竞选人据此做出的判断和决策负责。</w:t>
      </w:r>
    </w:p>
    <w:p w14:paraId="6CBB5CAB">
      <w:pPr>
        <w:pStyle w:val="5"/>
        <w:snapToGrid w:val="0"/>
        <w:spacing w:before="0" w:after="0" w:line="360" w:lineRule="auto"/>
        <w:rPr>
          <w:rFonts w:ascii="宋体" w:hAnsi="宋体" w:cs="宋体"/>
          <w:b w:val="0"/>
          <w:snapToGrid w:val="0"/>
          <w:color w:val="auto"/>
          <w:sz w:val="24"/>
          <w:szCs w:val="24"/>
          <w:highlight w:val="none"/>
        </w:rPr>
      </w:pPr>
      <w:bookmarkStart w:id="164" w:name="_Toc10229"/>
      <w:bookmarkStart w:id="165" w:name="_Toc287607757"/>
      <w:bookmarkStart w:id="166" w:name="_Toc224103328"/>
      <w:bookmarkStart w:id="167" w:name="_Toc27798"/>
      <w:bookmarkStart w:id="168" w:name="_Toc40569055"/>
      <w:bookmarkStart w:id="169" w:name="_Toc509218721"/>
      <w:bookmarkStart w:id="170" w:name="_Toc287620696"/>
      <w:bookmarkStart w:id="171" w:name="_Toc40569150"/>
      <w:bookmarkStart w:id="172" w:name="_Toc14731"/>
      <w:bookmarkStart w:id="173" w:name="_Toc430530446"/>
      <w:bookmarkStart w:id="174" w:name="_Toc200513137"/>
      <w:bookmarkStart w:id="175" w:name="_Toc277082563"/>
      <w:r>
        <w:rPr>
          <w:rFonts w:hint="eastAsia" w:ascii="宋体" w:hAnsi="宋体" w:cs="宋体"/>
          <w:b w:val="0"/>
          <w:snapToGrid w:val="0"/>
          <w:color w:val="auto"/>
          <w:sz w:val="24"/>
          <w:szCs w:val="24"/>
          <w:highlight w:val="none"/>
        </w:rPr>
        <w:t>1.10  比选预备会</w:t>
      </w:r>
      <w:bookmarkEnd w:id="164"/>
      <w:bookmarkEnd w:id="165"/>
      <w:bookmarkEnd w:id="166"/>
      <w:bookmarkEnd w:id="167"/>
      <w:bookmarkEnd w:id="168"/>
      <w:bookmarkEnd w:id="169"/>
      <w:bookmarkEnd w:id="170"/>
      <w:bookmarkEnd w:id="171"/>
      <w:bookmarkEnd w:id="172"/>
      <w:bookmarkEnd w:id="173"/>
      <w:bookmarkEnd w:id="174"/>
      <w:bookmarkEnd w:id="175"/>
    </w:p>
    <w:p w14:paraId="2263CB2D">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1.10.1  竞选人须知前附表规定召开比选预备会的，比选人按竞选人须知前附表规定的时间和地点召开预备会，澄清竞选人提出的问题。</w:t>
      </w:r>
    </w:p>
    <w:p w14:paraId="5909B8E8">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1.10.2  竞选人应在竞选人须知前附表</w:t>
      </w:r>
      <w:r>
        <w:rPr>
          <w:rFonts w:hint="eastAsia" w:ascii="宋体" w:hAnsi="宋体" w:cs="宋体"/>
          <w:color w:val="auto"/>
          <w:kern w:val="0"/>
          <w:szCs w:val="21"/>
          <w:highlight w:val="none"/>
        </w:rPr>
        <w:t>2.2.4</w:t>
      </w:r>
      <w:r>
        <w:rPr>
          <w:rFonts w:hint="eastAsia" w:ascii="宋体" w:hAnsi="宋体" w:cs="宋体"/>
          <w:snapToGrid w:val="0"/>
          <w:color w:val="auto"/>
          <w:kern w:val="0"/>
          <w:szCs w:val="21"/>
          <w:highlight w:val="none"/>
        </w:rPr>
        <w:t>规定的时间前，以书面形式将提出的问题送达比选人，以便比选人澄清。</w:t>
      </w:r>
    </w:p>
    <w:p w14:paraId="76FF4088">
      <w:pPr>
        <w:autoSpaceDE w:val="0"/>
        <w:autoSpaceDN w:val="0"/>
        <w:adjustRightInd w:val="0"/>
        <w:snapToGrid w:val="0"/>
        <w:spacing w:line="360" w:lineRule="auto"/>
        <w:ind w:firstLine="424" w:firstLineChars="202"/>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1.10.3  比选人在竞选人须知前附表规定的时间内，将对竞选人所提</w:t>
      </w:r>
      <w:r>
        <w:rPr>
          <w:rFonts w:hint="eastAsia" w:ascii="宋体" w:hAnsi="宋体" w:cs="宋体"/>
          <w:snapToGrid w:val="0"/>
          <w:color w:val="auto"/>
          <w:kern w:val="0"/>
          <w:position w:val="-2"/>
          <w:szCs w:val="21"/>
          <w:highlight w:val="none"/>
        </w:rPr>
        <w:t>的</w:t>
      </w:r>
      <w:r>
        <w:rPr>
          <w:rFonts w:hint="eastAsia" w:ascii="宋体" w:hAnsi="宋体" w:cs="宋体"/>
          <w:snapToGrid w:val="0"/>
          <w:color w:val="auto"/>
          <w:kern w:val="0"/>
          <w:szCs w:val="21"/>
          <w:highlight w:val="none"/>
        </w:rPr>
        <w:t>问题</w:t>
      </w:r>
      <w:r>
        <w:rPr>
          <w:rFonts w:hint="eastAsia" w:ascii="宋体" w:hAnsi="宋体" w:cs="宋体"/>
          <w:snapToGrid w:val="0"/>
          <w:color w:val="auto"/>
          <w:kern w:val="0"/>
          <w:position w:val="-2"/>
          <w:szCs w:val="21"/>
          <w:highlight w:val="none"/>
        </w:rPr>
        <w:t>进行澄清。该澄清内容为比选文件的组成部分。</w:t>
      </w:r>
    </w:p>
    <w:p w14:paraId="7A5DFA2C">
      <w:pPr>
        <w:pStyle w:val="5"/>
        <w:snapToGrid w:val="0"/>
        <w:spacing w:before="0" w:after="0" w:line="360" w:lineRule="auto"/>
        <w:rPr>
          <w:rFonts w:ascii="宋体" w:hAnsi="宋体" w:cs="宋体"/>
          <w:b w:val="0"/>
          <w:snapToGrid w:val="0"/>
          <w:color w:val="auto"/>
          <w:sz w:val="24"/>
          <w:szCs w:val="24"/>
          <w:highlight w:val="none"/>
        </w:rPr>
      </w:pPr>
      <w:bookmarkStart w:id="176" w:name="_Toc287607758"/>
      <w:bookmarkStart w:id="177" w:name="_Toc277082564"/>
      <w:bookmarkStart w:id="178" w:name="_Toc21877"/>
      <w:bookmarkStart w:id="179" w:name="_Toc40569151"/>
      <w:bookmarkStart w:id="180" w:name="_Toc287620697"/>
      <w:bookmarkStart w:id="181" w:name="_Toc200513138"/>
      <w:bookmarkStart w:id="182" w:name="_Toc40569056"/>
      <w:bookmarkStart w:id="183" w:name="_Toc7176"/>
      <w:bookmarkStart w:id="184" w:name="_Toc224103329"/>
      <w:bookmarkStart w:id="185" w:name="_Toc430530447"/>
      <w:bookmarkStart w:id="186" w:name="_Toc509218722"/>
      <w:bookmarkStart w:id="187" w:name="_Toc28064"/>
      <w:r>
        <w:rPr>
          <w:rFonts w:hint="eastAsia" w:ascii="宋体" w:hAnsi="宋体" w:cs="宋体"/>
          <w:b w:val="0"/>
          <w:snapToGrid w:val="0"/>
          <w:color w:val="auto"/>
          <w:sz w:val="24"/>
          <w:szCs w:val="24"/>
          <w:highlight w:val="none"/>
        </w:rPr>
        <w:t>1.11  分包</w:t>
      </w:r>
      <w:bookmarkEnd w:id="176"/>
      <w:bookmarkEnd w:id="177"/>
      <w:bookmarkEnd w:id="178"/>
      <w:bookmarkEnd w:id="179"/>
      <w:bookmarkEnd w:id="180"/>
      <w:bookmarkEnd w:id="181"/>
      <w:bookmarkEnd w:id="182"/>
      <w:bookmarkEnd w:id="183"/>
      <w:bookmarkEnd w:id="184"/>
      <w:bookmarkEnd w:id="185"/>
      <w:bookmarkEnd w:id="186"/>
      <w:bookmarkEnd w:id="187"/>
    </w:p>
    <w:p w14:paraId="26C85687">
      <w:pPr>
        <w:autoSpaceDE w:val="0"/>
        <w:autoSpaceDN w:val="0"/>
        <w:adjustRightInd w:val="0"/>
        <w:snapToGrid w:val="0"/>
        <w:spacing w:line="360" w:lineRule="auto"/>
        <w:ind w:firstLine="426"/>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竞选人拟在中选后将中选项目的部分非主体、非关键性工作进行分包的，应符合竞选人须知前附表规定的分包内容、分包金额和接受分包的第三人资质要求等限制性条件。</w:t>
      </w:r>
    </w:p>
    <w:p w14:paraId="108E4044">
      <w:pPr>
        <w:pStyle w:val="5"/>
        <w:snapToGrid w:val="0"/>
        <w:spacing w:before="0" w:after="0" w:line="360" w:lineRule="auto"/>
        <w:rPr>
          <w:rFonts w:ascii="宋体" w:hAnsi="宋体" w:cs="宋体"/>
          <w:b w:val="0"/>
          <w:snapToGrid w:val="0"/>
          <w:color w:val="auto"/>
          <w:sz w:val="24"/>
          <w:szCs w:val="24"/>
          <w:highlight w:val="none"/>
        </w:rPr>
      </w:pPr>
      <w:bookmarkStart w:id="188" w:name="_Toc277082565"/>
      <w:bookmarkStart w:id="189" w:name="_Toc200513139"/>
      <w:bookmarkStart w:id="190" w:name="_Toc5934"/>
      <w:bookmarkStart w:id="191" w:name="_Toc29373"/>
      <w:bookmarkStart w:id="192" w:name="_Toc287620698"/>
      <w:bookmarkStart w:id="193" w:name="_Toc509218723"/>
      <w:bookmarkStart w:id="194" w:name="_Toc40569057"/>
      <w:bookmarkStart w:id="195" w:name="_Toc23307"/>
      <w:bookmarkStart w:id="196" w:name="_Toc287607759"/>
      <w:bookmarkStart w:id="197" w:name="_Toc430530448"/>
      <w:bookmarkStart w:id="198" w:name="_Toc40569152"/>
      <w:bookmarkStart w:id="199" w:name="_Toc224103330"/>
      <w:r>
        <w:rPr>
          <w:rFonts w:hint="eastAsia" w:ascii="宋体" w:hAnsi="宋体" w:cs="宋体"/>
          <w:b w:val="0"/>
          <w:snapToGrid w:val="0"/>
          <w:color w:val="auto"/>
          <w:sz w:val="24"/>
          <w:szCs w:val="24"/>
          <w:highlight w:val="none"/>
        </w:rPr>
        <w:t>1.12  偏离</w:t>
      </w:r>
      <w:bookmarkEnd w:id="188"/>
      <w:bookmarkEnd w:id="189"/>
      <w:bookmarkEnd w:id="190"/>
      <w:bookmarkEnd w:id="191"/>
      <w:bookmarkEnd w:id="192"/>
      <w:bookmarkEnd w:id="193"/>
      <w:bookmarkEnd w:id="194"/>
      <w:bookmarkEnd w:id="195"/>
      <w:bookmarkEnd w:id="196"/>
      <w:bookmarkEnd w:id="197"/>
      <w:bookmarkEnd w:id="198"/>
      <w:bookmarkEnd w:id="199"/>
    </w:p>
    <w:p w14:paraId="2120D78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竞选人须知前附表允许竞选文件偏离比选文件某些要求的，偏离应当符合比选文件规定的偏离范围和幅度。</w:t>
      </w:r>
    </w:p>
    <w:p w14:paraId="6D9C40CA">
      <w:pPr>
        <w:pStyle w:val="4"/>
        <w:spacing w:before="0" w:after="0" w:line="360" w:lineRule="auto"/>
        <w:rPr>
          <w:rFonts w:ascii="宋体" w:hAnsi="宋体" w:cs="宋体"/>
          <w:b w:val="0"/>
          <w:snapToGrid w:val="0"/>
          <w:color w:val="auto"/>
          <w:sz w:val="24"/>
          <w:szCs w:val="24"/>
          <w:highlight w:val="none"/>
        </w:rPr>
      </w:pPr>
      <w:bookmarkStart w:id="200" w:name="_Toc287607760"/>
      <w:bookmarkStart w:id="201" w:name="_Toc200513140"/>
      <w:bookmarkStart w:id="202" w:name="_Toc10764"/>
      <w:bookmarkStart w:id="203" w:name="_Toc23017"/>
      <w:bookmarkStart w:id="204" w:name="_Toc224103331"/>
      <w:bookmarkStart w:id="205" w:name="_Toc509218724"/>
      <w:bookmarkStart w:id="206" w:name="_Toc430530449"/>
      <w:bookmarkStart w:id="207" w:name="_Toc7676"/>
      <w:bookmarkStart w:id="208" w:name="_Toc287620699"/>
      <w:bookmarkStart w:id="209" w:name="_Toc277082566"/>
      <w:r>
        <w:rPr>
          <w:rFonts w:hint="eastAsia" w:ascii="宋体" w:hAnsi="宋体" w:cs="宋体"/>
          <w:b w:val="0"/>
          <w:snapToGrid w:val="0"/>
          <w:color w:val="auto"/>
          <w:sz w:val="24"/>
          <w:szCs w:val="24"/>
          <w:highlight w:val="none"/>
        </w:rPr>
        <w:t>2.  比选文件</w:t>
      </w:r>
      <w:bookmarkEnd w:id="200"/>
      <w:bookmarkEnd w:id="201"/>
      <w:bookmarkEnd w:id="202"/>
      <w:bookmarkEnd w:id="203"/>
      <w:bookmarkEnd w:id="204"/>
      <w:bookmarkEnd w:id="205"/>
      <w:bookmarkEnd w:id="206"/>
      <w:bookmarkEnd w:id="207"/>
      <w:bookmarkEnd w:id="208"/>
      <w:bookmarkEnd w:id="209"/>
    </w:p>
    <w:p w14:paraId="296F3507">
      <w:pPr>
        <w:pStyle w:val="5"/>
        <w:snapToGrid w:val="0"/>
        <w:spacing w:before="0" w:after="0" w:line="360" w:lineRule="auto"/>
        <w:rPr>
          <w:rFonts w:ascii="宋体" w:hAnsi="宋体" w:cs="宋体"/>
          <w:b w:val="0"/>
          <w:snapToGrid w:val="0"/>
          <w:color w:val="auto"/>
          <w:sz w:val="24"/>
          <w:szCs w:val="24"/>
          <w:highlight w:val="none"/>
        </w:rPr>
      </w:pPr>
      <w:bookmarkStart w:id="210" w:name="_Toc224103332"/>
      <w:bookmarkStart w:id="211" w:name="_Toc430530450"/>
      <w:bookmarkStart w:id="212" w:name="_Toc1329"/>
      <w:bookmarkStart w:id="213" w:name="_Toc287620700"/>
      <w:bookmarkStart w:id="214" w:name="_Toc21327"/>
      <w:bookmarkStart w:id="215" w:name="_Toc509218725"/>
      <w:bookmarkStart w:id="216" w:name="_Toc31485"/>
      <w:bookmarkStart w:id="217" w:name="_Toc277082567"/>
      <w:bookmarkStart w:id="218" w:name="_Toc40569154"/>
      <w:bookmarkStart w:id="219" w:name="_Toc287607761"/>
      <w:bookmarkStart w:id="220" w:name="_Toc200513141"/>
      <w:bookmarkStart w:id="221" w:name="_Toc40569059"/>
      <w:r>
        <w:rPr>
          <w:rFonts w:hint="eastAsia" w:ascii="宋体" w:hAnsi="宋体" w:cs="宋体"/>
          <w:b w:val="0"/>
          <w:snapToGrid w:val="0"/>
          <w:color w:val="auto"/>
          <w:sz w:val="24"/>
          <w:szCs w:val="24"/>
          <w:highlight w:val="none"/>
        </w:rPr>
        <w:t>2.1  比选文件的组成</w:t>
      </w:r>
      <w:bookmarkEnd w:id="210"/>
      <w:bookmarkEnd w:id="211"/>
      <w:bookmarkEnd w:id="212"/>
      <w:bookmarkEnd w:id="213"/>
      <w:bookmarkEnd w:id="214"/>
      <w:bookmarkEnd w:id="215"/>
      <w:bookmarkEnd w:id="216"/>
      <w:bookmarkEnd w:id="217"/>
      <w:bookmarkEnd w:id="218"/>
      <w:bookmarkEnd w:id="219"/>
      <w:bookmarkEnd w:id="220"/>
      <w:bookmarkEnd w:id="221"/>
    </w:p>
    <w:p w14:paraId="2E52768C">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本比选文件包括：</w:t>
      </w:r>
    </w:p>
    <w:p w14:paraId="02150847">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（1）比选公告；</w:t>
      </w:r>
    </w:p>
    <w:p w14:paraId="5D2A67AB">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（2）竞选人须知；</w:t>
      </w:r>
    </w:p>
    <w:p w14:paraId="7B931B3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（3）评选办法；</w:t>
      </w:r>
    </w:p>
    <w:p w14:paraId="6219FF7A">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（4）合同条款及格式；</w:t>
      </w:r>
    </w:p>
    <w:p w14:paraId="185BB3BE">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（5）监理工作规范及技术标准；</w:t>
      </w:r>
    </w:p>
    <w:p w14:paraId="7A59814A">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（6）竞选文件格式；</w:t>
      </w:r>
    </w:p>
    <w:p w14:paraId="25FF40C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（7）竞选人须知前附表规定的其他材料。</w:t>
      </w:r>
    </w:p>
    <w:p w14:paraId="058B32D9">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根据本章第1.10款、第2.2款和第2.3款对比选文件所作的澄清、修改，构成比选文件的组成部分。</w:t>
      </w:r>
    </w:p>
    <w:p w14:paraId="5F9FFD13">
      <w:pPr>
        <w:pStyle w:val="5"/>
        <w:snapToGrid w:val="0"/>
        <w:spacing w:before="0" w:after="0" w:line="360" w:lineRule="auto"/>
        <w:rPr>
          <w:rFonts w:ascii="宋体" w:hAnsi="宋体" w:cs="宋体"/>
          <w:b w:val="0"/>
          <w:snapToGrid w:val="0"/>
          <w:color w:val="auto"/>
          <w:sz w:val="24"/>
          <w:szCs w:val="24"/>
          <w:highlight w:val="none"/>
        </w:rPr>
      </w:pPr>
      <w:bookmarkStart w:id="222" w:name="_Toc40569155"/>
      <w:bookmarkStart w:id="223" w:name="_Toc430530451"/>
      <w:bookmarkStart w:id="224" w:name="_Toc509218726"/>
      <w:bookmarkStart w:id="225" w:name="_Toc20393"/>
      <w:bookmarkStart w:id="226" w:name="_Toc40569060"/>
      <w:bookmarkStart w:id="227" w:name="_Toc5751"/>
      <w:bookmarkStart w:id="228" w:name="_Toc25357"/>
      <w:r>
        <w:rPr>
          <w:rFonts w:hint="eastAsia" w:ascii="宋体" w:hAnsi="宋体" w:cs="宋体"/>
          <w:b w:val="0"/>
          <w:snapToGrid w:val="0"/>
          <w:color w:val="auto"/>
          <w:sz w:val="24"/>
          <w:szCs w:val="24"/>
          <w:highlight w:val="none"/>
        </w:rPr>
        <w:t>2.2  比选文件的澄清</w:t>
      </w:r>
      <w:bookmarkEnd w:id="222"/>
      <w:bookmarkEnd w:id="223"/>
      <w:bookmarkEnd w:id="224"/>
      <w:bookmarkEnd w:id="225"/>
      <w:bookmarkEnd w:id="226"/>
      <w:bookmarkEnd w:id="227"/>
      <w:bookmarkEnd w:id="228"/>
    </w:p>
    <w:p w14:paraId="483290F4">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auto"/>
          <w:kern w:val="0"/>
          <w:szCs w:val="21"/>
          <w:highlight w:val="none"/>
        </w:rPr>
        <w:t>以书面形式向比选人或代理机构提出</w:t>
      </w:r>
      <w:r>
        <w:rPr>
          <w:rFonts w:hint="eastAsia" w:ascii="宋体" w:hAnsi="宋体" w:cs="宋体"/>
          <w:snapToGrid w:val="0"/>
          <w:color w:val="auto"/>
          <w:kern w:val="0"/>
          <w:szCs w:val="21"/>
          <w:highlight w:val="none"/>
        </w:rPr>
        <w:t>，要求比选人对比选文件予以澄清。</w:t>
      </w:r>
    </w:p>
    <w:p w14:paraId="3B2417D1">
      <w:pPr>
        <w:pStyle w:val="5"/>
        <w:snapToGrid w:val="0"/>
        <w:spacing w:before="0" w:after="0" w:line="360" w:lineRule="auto"/>
        <w:rPr>
          <w:rFonts w:ascii="宋体" w:hAnsi="宋体" w:cs="宋体"/>
          <w:b w:val="0"/>
          <w:snapToGrid w:val="0"/>
          <w:color w:val="auto"/>
          <w:sz w:val="24"/>
          <w:szCs w:val="24"/>
          <w:highlight w:val="none"/>
        </w:rPr>
      </w:pPr>
      <w:bookmarkStart w:id="229" w:name="_Toc14087"/>
      <w:bookmarkStart w:id="230" w:name="_Toc200513143"/>
      <w:bookmarkStart w:id="231" w:name="_Toc26098"/>
      <w:bookmarkStart w:id="232" w:name="_Toc224103334"/>
      <w:bookmarkStart w:id="233" w:name="_Toc509218727"/>
      <w:bookmarkStart w:id="234" w:name="_Toc40569061"/>
      <w:bookmarkStart w:id="235" w:name="_Toc8378"/>
      <w:bookmarkStart w:id="236" w:name="_Toc287607763"/>
      <w:bookmarkStart w:id="237" w:name="_Toc430530452"/>
      <w:bookmarkStart w:id="238" w:name="_Toc40569156"/>
      <w:bookmarkStart w:id="239" w:name="_Toc287620702"/>
      <w:bookmarkStart w:id="240" w:name="_Toc277082569"/>
      <w:r>
        <w:rPr>
          <w:rFonts w:hint="eastAsia" w:ascii="宋体" w:hAnsi="宋体" w:cs="宋体"/>
          <w:b w:val="0"/>
          <w:snapToGrid w:val="0"/>
          <w:color w:val="auto"/>
          <w:sz w:val="24"/>
          <w:szCs w:val="24"/>
          <w:highlight w:val="none"/>
        </w:rPr>
        <w:t>2.3  比选文件的修改</w:t>
      </w:r>
      <w:bookmarkEnd w:id="229"/>
      <w:bookmarkEnd w:id="230"/>
      <w:bookmarkEnd w:id="231"/>
      <w:bookmarkEnd w:id="232"/>
      <w:bookmarkEnd w:id="233"/>
      <w:bookmarkEnd w:id="234"/>
      <w:bookmarkEnd w:id="235"/>
      <w:bookmarkEnd w:id="236"/>
      <w:bookmarkEnd w:id="237"/>
      <w:bookmarkEnd w:id="238"/>
      <w:bookmarkEnd w:id="239"/>
      <w:bookmarkEnd w:id="240"/>
    </w:p>
    <w:p w14:paraId="5640D43D">
      <w:pPr>
        <w:autoSpaceDE w:val="0"/>
        <w:autoSpaceDN w:val="0"/>
        <w:adjustRightInd w:val="0"/>
        <w:snapToGrid w:val="0"/>
        <w:spacing w:line="360" w:lineRule="auto"/>
        <w:ind w:firstLine="420"/>
        <w:rPr>
          <w:rFonts w:ascii="宋体" w:hAnsi="宋体" w:cs="宋体"/>
          <w:snapToGrid w:val="0"/>
          <w:color w:val="auto"/>
          <w:highlight w:val="none"/>
        </w:rPr>
      </w:pPr>
      <w:bookmarkStart w:id="241" w:name="_Toc277082570"/>
      <w:bookmarkStart w:id="242" w:name="_Toc287620703"/>
      <w:bookmarkStart w:id="243" w:name="_Toc200513144"/>
      <w:bookmarkStart w:id="244" w:name="_Toc287607764"/>
      <w:bookmarkStart w:id="245" w:name="_Toc224103335"/>
      <w:r>
        <w:rPr>
          <w:rFonts w:hint="eastAsia" w:ascii="宋体" w:hAnsi="宋体" w:cs="宋体"/>
          <w:snapToGrid w:val="0"/>
          <w:color w:val="auto"/>
          <w:highlight w:val="none"/>
        </w:rPr>
        <w:t>按照本章2.2比选文件的澄清相关内容及方式执行。</w:t>
      </w:r>
    </w:p>
    <w:p w14:paraId="03D833B1">
      <w:pPr>
        <w:pStyle w:val="4"/>
        <w:spacing w:before="0" w:after="0" w:line="360" w:lineRule="auto"/>
        <w:rPr>
          <w:rFonts w:ascii="宋体" w:hAnsi="宋体" w:cs="宋体"/>
          <w:b w:val="0"/>
          <w:snapToGrid w:val="0"/>
          <w:color w:val="auto"/>
          <w:sz w:val="24"/>
          <w:szCs w:val="24"/>
          <w:highlight w:val="none"/>
        </w:rPr>
      </w:pPr>
      <w:bookmarkStart w:id="246" w:name="_Toc5400"/>
      <w:bookmarkStart w:id="247" w:name="_Toc6009"/>
      <w:bookmarkStart w:id="248" w:name="_Toc22016"/>
      <w:bookmarkStart w:id="249" w:name="_Toc430530453"/>
      <w:bookmarkStart w:id="250" w:name="_Toc509218728"/>
      <w:r>
        <w:rPr>
          <w:rFonts w:hint="eastAsia" w:ascii="宋体" w:hAnsi="宋体" w:cs="宋体"/>
          <w:b w:val="0"/>
          <w:snapToGrid w:val="0"/>
          <w:color w:val="auto"/>
          <w:sz w:val="24"/>
          <w:szCs w:val="24"/>
          <w:highlight w:val="none"/>
        </w:rPr>
        <w:t xml:space="preserve">3.  </w:t>
      </w:r>
      <w:bookmarkEnd w:id="241"/>
      <w:bookmarkEnd w:id="242"/>
      <w:bookmarkEnd w:id="243"/>
      <w:bookmarkEnd w:id="244"/>
      <w:bookmarkEnd w:id="245"/>
      <w:bookmarkEnd w:id="246"/>
      <w:bookmarkEnd w:id="247"/>
      <w:bookmarkEnd w:id="248"/>
      <w:bookmarkEnd w:id="249"/>
      <w:bookmarkEnd w:id="250"/>
      <w:r>
        <w:rPr>
          <w:rFonts w:hint="eastAsia" w:ascii="宋体" w:hAnsi="宋体" w:cs="宋体"/>
          <w:b w:val="0"/>
          <w:snapToGrid w:val="0"/>
          <w:color w:val="auto"/>
          <w:sz w:val="24"/>
          <w:szCs w:val="24"/>
          <w:highlight w:val="none"/>
        </w:rPr>
        <w:t>竞选文件</w:t>
      </w:r>
    </w:p>
    <w:p w14:paraId="0281E42B">
      <w:pPr>
        <w:pStyle w:val="5"/>
        <w:snapToGrid w:val="0"/>
        <w:spacing w:before="0" w:after="0" w:line="360" w:lineRule="auto"/>
        <w:rPr>
          <w:rFonts w:ascii="宋体" w:hAnsi="宋体" w:cs="宋体"/>
          <w:b w:val="0"/>
          <w:snapToGrid w:val="0"/>
          <w:color w:val="auto"/>
          <w:sz w:val="24"/>
          <w:szCs w:val="24"/>
          <w:highlight w:val="none"/>
        </w:rPr>
      </w:pPr>
      <w:bookmarkStart w:id="251" w:name="_Toc40569158"/>
      <w:bookmarkStart w:id="252" w:name="_Toc287607765"/>
      <w:bookmarkStart w:id="253" w:name="_Toc29196"/>
      <w:bookmarkStart w:id="254" w:name="_Toc40569063"/>
      <w:bookmarkStart w:id="255" w:name="_Toc224103336"/>
      <w:bookmarkStart w:id="256" w:name="_Toc430530454"/>
      <w:bookmarkStart w:id="257" w:name="_Toc509218729"/>
      <w:bookmarkStart w:id="258" w:name="_Toc200513145"/>
      <w:bookmarkStart w:id="259" w:name="_Toc287620704"/>
      <w:bookmarkStart w:id="260" w:name="_Toc277082571"/>
      <w:bookmarkStart w:id="261" w:name="_Toc7795"/>
      <w:bookmarkStart w:id="262" w:name="_Toc13714"/>
      <w:r>
        <w:rPr>
          <w:rFonts w:hint="eastAsia" w:ascii="宋体" w:hAnsi="宋体" w:cs="宋体"/>
          <w:b w:val="0"/>
          <w:snapToGrid w:val="0"/>
          <w:color w:val="auto"/>
          <w:sz w:val="24"/>
          <w:szCs w:val="24"/>
          <w:highlight w:val="none"/>
        </w:rPr>
        <w:t>3.1  竞选文件的组成</w:t>
      </w:r>
      <w:bookmarkEnd w:id="251"/>
      <w:bookmarkEnd w:id="252"/>
      <w:bookmarkEnd w:id="253"/>
      <w:bookmarkEnd w:id="254"/>
      <w:bookmarkEnd w:id="255"/>
      <w:bookmarkEnd w:id="256"/>
      <w:bookmarkEnd w:id="257"/>
      <w:bookmarkEnd w:id="258"/>
      <w:bookmarkEnd w:id="259"/>
      <w:bookmarkEnd w:id="260"/>
      <w:bookmarkEnd w:id="261"/>
      <w:bookmarkEnd w:id="262"/>
    </w:p>
    <w:p w14:paraId="324A227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 竞选文件应包括下列内容：</w:t>
      </w:r>
    </w:p>
    <w:p w14:paraId="4D2E9E80">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（1）竞选函及竞选函附录；</w:t>
      </w:r>
    </w:p>
    <w:p w14:paraId="70C84516">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（2）法定代表人身份证明或附有法定代表人身份证明的授权委托书；</w:t>
      </w:r>
    </w:p>
    <w:p w14:paraId="7498E53D">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（3）比选保证金；</w:t>
      </w:r>
    </w:p>
    <w:p w14:paraId="4FB5AFA9">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（4）监理大纲；</w:t>
      </w:r>
    </w:p>
    <w:p w14:paraId="71322BF3">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（5）资格审查资料；</w:t>
      </w:r>
    </w:p>
    <w:p w14:paraId="4CFCAD7D">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（6）竞选人须知前附表规定的其他材料。</w:t>
      </w:r>
    </w:p>
    <w:p w14:paraId="09F1D77C">
      <w:pPr>
        <w:pStyle w:val="5"/>
        <w:snapToGrid w:val="0"/>
        <w:spacing w:before="0" w:after="0" w:line="360" w:lineRule="auto"/>
        <w:rPr>
          <w:rFonts w:ascii="宋体" w:hAnsi="宋体" w:cs="宋体"/>
          <w:b w:val="0"/>
          <w:snapToGrid w:val="0"/>
          <w:color w:val="auto"/>
          <w:sz w:val="24"/>
          <w:szCs w:val="24"/>
          <w:highlight w:val="none"/>
        </w:rPr>
      </w:pPr>
      <w:bookmarkStart w:id="263" w:name="_Toc40569159"/>
      <w:bookmarkStart w:id="264" w:name="_Toc287607766"/>
      <w:bookmarkStart w:id="265" w:name="_Toc509218730"/>
      <w:bookmarkStart w:id="266" w:name="_Toc430530455"/>
      <w:bookmarkStart w:id="267" w:name="_Toc2578"/>
      <w:bookmarkStart w:id="268" w:name="_Toc200513146"/>
      <w:bookmarkStart w:id="269" w:name="_Toc224103337"/>
      <w:bookmarkStart w:id="270" w:name="_Toc277082572"/>
      <w:bookmarkStart w:id="271" w:name="_Toc3265"/>
      <w:bookmarkStart w:id="272" w:name="_Toc287620705"/>
      <w:bookmarkStart w:id="273" w:name="_Toc40569064"/>
      <w:bookmarkStart w:id="274" w:name="_Toc5935"/>
      <w:r>
        <w:rPr>
          <w:rFonts w:hint="eastAsia" w:ascii="宋体" w:hAnsi="宋体" w:cs="宋体"/>
          <w:b w:val="0"/>
          <w:snapToGrid w:val="0"/>
          <w:color w:val="auto"/>
          <w:sz w:val="24"/>
          <w:szCs w:val="24"/>
          <w:highlight w:val="none"/>
        </w:rPr>
        <w:t>3.2  竞选报价</w:t>
      </w:r>
      <w:bookmarkEnd w:id="263"/>
      <w:bookmarkEnd w:id="264"/>
      <w:bookmarkEnd w:id="265"/>
      <w:bookmarkEnd w:id="266"/>
      <w:bookmarkEnd w:id="267"/>
      <w:bookmarkEnd w:id="268"/>
      <w:bookmarkEnd w:id="269"/>
      <w:bookmarkEnd w:id="270"/>
      <w:bookmarkEnd w:id="271"/>
      <w:bookmarkEnd w:id="272"/>
      <w:bookmarkEnd w:id="273"/>
      <w:bookmarkEnd w:id="274"/>
    </w:p>
    <w:p w14:paraId="5E8208C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  竞选人应按第五章“竞选文件格式”的要求填写相应表格。</w:t>
      </w:r>
    </w:p>
    <w:p w14:paraId="36766E4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3.2.2  竞选人应认真阅读比选文件规定的计价、结算要求，自行填报报价。</w:t>
      </w:r>
    </w:p>
    <w:p w14:paraId="1510E4FC">
      <w:pPr>
        <w:pStyle w:val="5"/>
        <w:snapToGrid w:val="0"/>
        <w:spacing w:before="0" w:after="0" w:line="360" w:lineRule="auto"/>
        <w:rPr>
          <w:rFonts w:ascii="宋体" w:hAnsi="宋体" w:cs="宋体"/>
          <w:b w:val="0"/>
          <w:snapToGrid w:val="0"/>
          <w:color w:val="auto"/>
          <w:sz w:val="24"/>
          <w:szCs w:val="24"/>
          <w:highlight w:val="none"/>
        </w:rPr>
      </w:pPr>
      <w:bookmarkStart w:id="275" w:name="_Toc287607767"/>
      <w:bookmarkStart w:id="276" w:name="_Toc27583"/>
      <w:bookmarkStart w:id="277" w:name="_Toc200513147"/>
      <w:bookmarkStart w:id="278" w:name="_Toc277082573"/>
      <w:bookmarkStart w:id="279" w:name="_Toc40569065"/>
      <w:bookmarkStart w:id="280" w:name="_Toc15462"/>
      <w:bookmarkStart w:id="281" w:name="_Toc509218731"/>
      <w:bookmarkStart w:id="282" w:name="_Toc40569160"/>
      <w:bookmarkStart w:id="283" w:name="_Toc224103338"/>
      <w:bookmarkStart w:id="284" w:name="_Toc430530456"/>
      <w:bookmarkStart w:id="285" w:name="_Toc287620706"/>
      <w:bookmarkStart w:id="286" w:name="_Toc915"/>
      <w:r>
        <w:rPr>
          <w:rFonts w:hint="eastAsia" w:ascii="宋体" w:hAnsi="宋体" w:cs="宋体"/>
          <w:b w:val="0"/>
          <w:snapToGrid w:val="0"/>
          <w:color w:val="auto"/>
          <w:sz w:val="24"/>
          <w:szCs w:val="24"/>
          <w:highlight w:val="none"/>
        </w:rPr>
        <w:t>3.3  比选有效期</w:t>
      </w:r>
      <w:bookmarkEnd w:id="275"/>
      <w:bookmarkEnd w:id="276"/>
      <w:bookmarkEnd w:id="277"/>
      <w:bookmarkEnd w:id="278"/>
      <w:bookmarkEnd w:id="279"/>
      <w:bookmarkEnd w:id="280"/>
      <w:bookmarkEnd w:id="281"/>
      <w:bookmarkEnd w:id="282"/>
      <w:bookmarkEnd w:id="283"/>
      <w:bookmarkEnd w:id="284"/>
      <w:bookmarkEnd w:id="285"/>
      <w:bookmarkEnd w:id="286"/>
    </w:p>
    <w:p w14:paraId="34A5CD86">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3.3.1  在竞选人须知前附表规定的比选有效期内，竞选人不得要求撤销或修改其竞选文件。</w:t>
      </w:r>
    </w:p>
    <w:p w14:paraId="1D0435AB">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14:paraId="004E75D4">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出现特殊情况需要延长比选有效期的，比选人以书面形式通知所有竞选人延长比选有效期。竞选人同意延长的，应相应延长其比选保证金的有效期，但不得要求或被允许修改或撤销其竞选文件；竞选人拒绝延长的，其竞选文件失效，但竞选人有权收回其比选保证金。（适用于比选保证金采用银行转账形式的）</w:t>
      </w:r>
    </w:p>
    <w:p w14:paraId="272210ED">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287" w:name="_Toc40569161"/>
      <w:bookmarkStart w:id="288" w:name="_Toc277082574"/>
      <w:bookmarkStart w:id="289" w:name="_Toc287607768"/>
      <w:bookmarkStart w:id="290" w:name="_Toc287620707"/>
      <w:bookmarkStart w:id="291" w:name="_Toc509218732"/>
      <w:bookmarkStart w:id="292" w:name="_Toc430530457"/>
      <w:bookmarkStart w:id="293" w:name="_Toc14235"/>
      <w:bookmarkStart w:id="294" w:name="_Toc200513148"/>
      <w:bookmarkStart w:id="295" w:name="_Toc26206"/>
      <w:bookmarkStart w:id="296" w:name="_Toc19857"/>
      <w:bookmarkStart w:id="297" w:name="_Toc224103339"/>
      <w:bookmarkStart w:id="298" w:name="_Toc40569066"/>
      <w:r>
        <w:rPr>
          <w:rFonts w:hint="eastAsia" w:ascii="宋体" w:hAnsi="宋体" w:cs="宋体"/>
          <w:b w:val="0"/>
          <w:snapToGrid w:val="0"/>
          <w:color w:val="auto"/>
          <w:sz w:val="24"/>
          <w:szCs w:val="24"/>
          <w:highlight w:val="none"/>
        </w:rPr>
        <w:t xml:space="preserve">3.4  </w:t>
      </w:r>
      <w:bookmarkEnd w:id="287"/>
      <w:bookmarkEnd w:id="288"/>
      <w:bookmarkEnd w:id="289"/>
      <w:bookmarkEnd w:id="290"/>
      <w:bookmarkEnd w:id="291"/>
      <w:bookmarkEnd w:id="292"/>
      <w:bookmarkEnd w:id="293"/>
      <w:bookmarkEnd w:id="294"/>
      <w:bookmarkEnd w:id="295"/>
      <w:bookmarkEnd w:id="296"/>
      <w:bookmarkEnd w:id="297"/>
      <w:bookmarkEnd w:id="298"/>
      <w:r>
        <w:rPr>
          <w:rFonts w:hint="eastAsia" w:ascii="宋体" w:hAnsi="宋体" w:cs="宋体"/>
          <w:b w:val="0"/>
          <w:snapToGrid w:val="0"/>
          <w:color w:val="auto"/>
          <w:sz w:val="24"/>
          <w:szCs w:val="24"/>
          <w:highlight w:val="none"/>
        </w:rPr>
        <w:t>比选保证金</w:t>
      </w:r>
    </w:p>
    <w:p w14:paraId="2074684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3.4.1  竞选人在递交竞选文件前，应按竞选人须知前附表规定的金额、担保形式递交比选保证金，并作为其竞选文件的组成部分。联合体竞选的，其比选保证金由牵头人递交，并应符合竞选人须知前附表的规定。</w:t>
      </w:r>
    </w:p>
    <w:p w14:paraId="04BE1AF3">
      <w:pPr>
        <w:autoSpaceDE w:val="0"/>
        <w:autoSpaceDN w:val="0"/>
        <w:adjustRightInd w:val="0"/>
        <w:snapToGrid w:val="0"/>
        <w:spacing w:line="360" w:lineRule="auto"/>
        <w:ind w:left="13" w:leftChars="6" w:firstLine="405" w:firstLineChars="19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3.4.2  竞选人不按本章第 3.4.1 项要求提交比选保证金的，其竞选文件作否决竞选处理。</w:t>
      </w:r>
    </w:p>
    <w:p w14:paraId="0208F9FF">
      <w:pPr>
        <w:autoSpaceDE w:val="0"/>
        <w:autoSpaceDN w:val="0"/>
        <w:adjustRightInd w:val="0"/>
        <w:snapToGrid w:val="0"/>
        <w:spacing w:line="360" w:lineRule="auto"/>
        <w:ind w:left="13" w:leftChars="6" w:firstLine="405" w:firstLineChars="19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3.4.3  比选保证金（保函）退还：见竞选人须知前附表</w:t>
      </w:r>
      <w:r>
        <w:rPr>
          <w:rFonts w:hint="eastAsia" w:ascii="宋体" w:hAnsi="宋体" w:cs="宋体"/>
          <w:snapToGrid w:val="0"/>
          <w:color w:val="auto"/>
          <w:kern w:val="0"/>
          <w:position w:val="-2"/>
          <w:szCs w:val="21"/>
          <w:highlight w:val="none"/>
        </w:rPr>
        <w:t>。</w:t>
      </w:r>
    </w:p>
    <w:p w14:paraId="71877EA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3.4.4  有下列情形之一的，比选保证金将不予退还：</w:t>
      </w:r>
    </w:p>
    <w:p w14:paraId="1FAE3AB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（1）竞选人在规定的比选有效期内撤销或修改其竞选文件；</w:t>
      </w:r>
    </w:p>
    <w:p w14:paraId="715DED1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（2）中选人在收到中选通知书后，无正当理由拒签合同协议书或未按比选文件规定提交履约担保；</w:t>
      </w:r>
    </w:p>
    <w:p w14:paraId="5743E35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（3）违反本章9.2条对竞选人的纪律要求的；</w:t>
      </w:r>
    </w:p>
    <w:p w14:paraId="22F708B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（4）法律法规和本比选文件规定的其他情形。</w:t>
      </w:r>
    </w:p>
    <w:p w14:paraId="27695CC1">
      <w:pPr>
        <w:tabs>
          <w:tab w:val="left" w:pos="611"/>
          <w:tab w:val="left" w:pos="669"/>
        </w:tabs>
        <w:snapToGrid w:val="0"/>
        <w:spacing w:line="360" w:lineRule="auto"/>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3.4.5</w:t>
      </w:r>
      <w:r>
        <w:rPr>
          <w:rFonts w:hint="eastAsia" w:ascii="宋体" w:hAnsi="宋体" w:cs="宋体"/>
          <w:color w:val="auto"/>
          <w:kern w:val="0"/>
          <w:highlight w:val="none"/>
        </w:rPr>
        <w:t>（1）比选保证金为无条件担保；</w:t>
      </w:r>
    </w:p>
    <w:p w14:paraId="1F3A1446">
      <w:pPr>
        <w:tabs>
          <w:tab w:val="left" w:pos="611"/>
          <w:tab w:val="left" w:pos="669"/>
        </w:tabs>
        <w:snapToGrid w:val="0"/>
        <w:spacing w:line="360" w:lineRule="auto"/>
        <w:ind w:firstLine="945" w:firstLineChars="450"/>
        <w:rPr>
          <w:rFonts w:ascii="宋体" w:hAnsi="宋体" w:cs="宋体"/>
          <w:color w:val="auto"/>
          <w:kern w:val="0"/>
          <w:highlight w:val="none"/>
        </w:rPr>
      </w:pPr>
      <w:r>
        <w:rPr>
          <w:rFonts w:hint="eastAsia" w:ascii="宋体" w:hAnsi="宋体" w:cs="宋体"/>
          <w:color w:val="auto"/>
          <w:kern w:val="0"/>
          <w:highlight w:val="none"/>
        </w:rPr>
        <w:t>（2）比选保证金的受益人为比选人。</w:t>
      </w:r>
    </w:p>
    <w:p w14:paraId="1C86623E">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299" w:name="_Toc287620709"/>
      <w:bookmarkStart w:id="300" w:name="_Toc7055"/>
      <w:bookmarkStart w:id="301" w:name="_Toc287607770"/>
      <w:bookmarkStart w:id="302" w:name="_Toc277082576"/>
      <w:bookmarkStart w:id="303" w:name="_Toc40569067"/>
      <w:bookmarkStart w:id="304" w:name="_Toc224103341"/>
      <w:bookmarkStart w:id="305" w:name="_Toc8188"/>
      <w:bookmarkStart w:id="306" w:name="_Toc509218734"/>
      <w:bookmarkStart w:id="307" w:name="_Toc430530459"/>
      <w:bookmarkStart w:id="308" w:name="_Toc200513150"/>
      <w:bookmarkStart w:id="309" w:name="_Toc30972"/>
      <w:bookmarkStart w:id="310" w:name="_Toc40569162"/>
      <w:r>
        <w:rPr>
          <w:rFonts w:hint="eastAsia" w:ascii="宋体" w:hAnsi="宋体" w:cs="宋体"/>
          <w:b w:val="0"/>
          <w:snapToGrid w:val="0"/>
          <w:color w:val="auto"/>
          <w:sz w:val="24"/>
          <w:szCs w:val="24"/>
          <w:highlight w:val="none"/>
        </w:rPr>
        <w:t>3.5  资格审查资料</w:t>
      </w:r>
      <w:bookmarkEnd w:id="299"/>
      <w:bookmarkEnd w:id="300"/>
      <w:bookmarkEnd w:id="301"/>
      <w:bookmarkEnd w:id="302"/>
      <w:bookmarkEnd w:id="303"/>
      <w:bookmarkEnd w:id="304"/>
      <w:bookmarkEnd w:id="305"/>
      <w:bookmarkEnd w:id="306"/>
      <w:bookmarkEnd w:id="307"/>
      <w:bookmarkEnd w:id="308"/>
      <w:bookmarkEnd w:id="309"/>
      <w:bookmarkEnd w:id="310"/>
    </w:p>
    <w:p w14:paraId="4A8AB084">
      <w:pPr>
        <w:autoSpaceDE w:val="0"/>
        <w:autoSpaceDN w:val="0"/>
        <w:adjustRightInd w:val="0"/>
        <w:snapToGrid w:val="0"/>
        <w:spacing w:line="360" w:lineRule="auto"/>
        <w:ind w:left="103" w:leftChars="49" w:right="37" w:firstLine="420" w:firstLineChars="200"/>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kern w:val="0"/>
          <w:szCs w:val="21"/>
          <w:highlight w:val="none"/>
        </w:rPr>
        <w:t>竞选人须知前附表</w:t>
      </w:r>
      <w:r>
        <w:rPr>
          <w:rFonts w:hint="eastAsia" w:ascii="宋体" w:hAnsi="宋体" w:cs="宋体"/>
          <w:color w:val="auto"/>
          <w:szCs w:val="21"/>
          <w:highlight w:val="none"/>
        </w:rPr>
        <w:t>。</w:t>
      </w:r>
    </w:p>
    <w:p w14:paraId="3A4CC9F9">
      <w:pPr>
        <w:autoSpaceDE w:val="0"/>
        <w:autoSpaceDN w:val="0"/>
        <w:adjustRightInd w:val="0"/>
        <w:snapToGrid w:val="0"/>
        <w:spacing w:line="360" w:lineRule="auto"/>
        <w:ind w:left="103" w:leftChars="49" w:right="37"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联合体竞选的，详见竞选人须知前附表联合体竞选相关内容。</w:t>
      </w:r>
    </w:p>
    <w:p w14:paraId="5EEE6E17">
      <w:pPr>
        <w:pStyle w:val="5"/>
        <w:snapToGrid w:val="0"/>
        <w:spacing w:before="0" w:after="0" w:line="360" w:lineRule="auto"/>
        <w:rPr>
          <w:rFonts w:ascii="宋体" w:hAnsi="宋体" w:cs="宋体"/>
          <w:b w:val="0"/>
          <w:snapToGrid w:val="0"/>
          <w:color w:val="auto"/>
          <w:sz w:val="24"/>
          <w:szCs w:val="24"/>
          <w:highlight w:val="none"/>
        </w:rPr>
      </w:pPr>
      <w:bookmarkStart w:id="311" w:name="_Toc287607771"/>
      <w:bookmarkStart w:id="312" w:name="_Toc430530460"/>
      <w:bookmarkStart w:id="313" w:name="_Toc9341"/>
      <w:bookmarkStart w:id="314" w:name="_Toc40569163"/>
      <w:bookmarkStart w:id="315" w:name="_Toc200513151"/>
      <w:bookmarkStart w:id="316" w:name="_Toc224103342"/>
      <w:bookmarkStart w:id="317" w:name="_Toc277082577"/>
      <w:bookmarkStart w:id="318" w:name="_Toc509218735"/>
      <w:bookmarkStart w:id="319" w:name="_Toc40569068"/>
      <w:bookmarkStart w:id="320" w:name="_Toc287620710"/>
      <w:bookmarkStart w:id="321" w:name="_Toc26526"/>
      <w:bookmarkStart w:id="322" w:name="_Toc7522"/>
      <w:r>
        <w:rPr>
          <w:rFonts w:hint="eastAsia" w:ascii="宋体" w:hAnsi="宋体" w:cs="宋体"/>
          <w:b w:val="0"/>
          <w:snapToGrid w:val="0"/>
          <w:color w:val="auto"/>
          <w:sz w:val="24"/>
          <w:szCs w:val="24"/>
          <w:highlight w:val="none"/>
        </w:rPr>
        <w:t>3.6  备选竞选方案</w:t>
      </w:r>
      <w:bookmarkEnd w:id="311"/>
      <w:bookmarkEnd w:id="312"/>
      <w:bookmarkEnd w:id="313"/>
      <w:bookmarkEnd w:id="314"/>
      <w:bookmarkEnd w:id="315"/>
      <w:bookmarkEnd w:id="316"/>
      <w:bookmarkEnd w:id="317"/>
      <w:bookmarkEnd w:id="318"/>
      <w:bookmarkEnd w:id="319"/>
      <w:bookmarkEnd w:id="320"/>
      <w:bookmarkEnd w:id="321"/>
      <w:bookmarkEnd w:id="322"/>
    </w:p>
    <w:p w14:paraId="4D61581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竞选人须知前附表另有规定外，竞选人不得递交备选竞选方案。允许竞选人递交备选竞选方案的，只有中选人所递交的备选竞选方案方可予以考虑。评选委员会认为中选人的备选竞选方案优于其按照比选文件要求编制的竞选方案的，比选人可以接受该备选竞选方案。</w:t>
      </w:r>
    </w:p>
    <w:p w14:paraId="785B61B6">
      <w:pPr>
        <w:pStyle w:val="5"/>
        <w:snapToGrid w:val="0"/>
        <w:spacing w:before="0" w:after="0" w:line="360" w:lineRule="auto"/>
        <w:rPr>
          <w:rFonts w:ascii="宋体" w:hAnsi="宋体" w:cs="宋体"/>
          <w:b w:val="0"/>
          <w:snapToGrid w:val="0"/>
          <w:color w:val="auto"/>
          <w:sz w:val="24"/>
          <w:szCs w:val="24"/>
          <w:highlight w:val="none"/>
        </w:rPr>
      </w:pPr>
      <w:bookmarkStart w:id="323" w:name="_Toc287607772"/>
      <w:bookmarkStart w:id="324" w:name="_Toc29274"/>
      <w:bookmarkStart w:id="325" w:name="_Toc25048"/>
      <w:bookmarkStart w:id="326" w:name="_Toc277082578"/>
      <w:bookmarkStart w:id="327" w:name="_Toc29561"/>
      <w:bookmarkStart w:id="328" w:name="_Toc224103343"/>
      <w:bookmarkStart w:id="329" w:name="_Toc509218736"/>
      <w:bookmarkStart w:id="330" w:name="_Toc287620711"/>
      <w:bookmarkStart w:id="331" w:name="_Toc40569069"/>
      <w:bookmarkStart w:id="332" w:name="_Toc40569164"/>
      <w:bookmarkStart w:id="333" w:name="_Toc200513152"/>
      <w:bookmarkStart w:id="334" w:name="_Toc430530461"/>
      <w:r>
        <w:rPr>
          <w:rFonts w:hint="eastAsia" w:ascii="宋体" w:hAnsi="宋体" w:cs="宋体"/>
          <w:b w:val="0"/>
          <w:snapToGrid w:val="0"/>
          <w:color w:val="auto"/>
          <w:sz w:val="24"/>
          <w:szCs w:val="24"/>
          <w:highlight w:val="none"/>
        </w:rPr>
        <w:t>3.7  竞选文件的编制</w:t>
      </w:r>
      <w:bookmarkEnd w:id="323"/>
      <w:bookmarkEnd w:id="324"/>
      <w:bookmarkEnd w:id="325"/>
      <w:bookmarkEnd w:id="326"/>
      <w:bookmarkEnd w:id="327"/>
      <w:bookmarkEnd w:id="328"/>
      <w:bookmarkEnd w:id="329"/>
      <w:bookmarkEnd w:id="330"/>
      <w:bookmarkEnd w:id="331"/>
      <w:bookmarkEnd w:id="332"/>
      <w:bookmarkEnd w:id="333"/>
      <w:bookmarkEnd w:id="334"/>
    </w:p>
    <w:p w14:paraId="350B8ACA">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3.7.1  竞选文件应按第五章“竞选文件格式”进行编写，如有必要，可以增加附页，作为竞选文件的组成部分。其中，竞选函附录在满足比选文件实质性要求的基础上，可以提出高于比选文件要求且更有利于比选人的承诺。</w:t>
      </w:r>
    </w:p>
    <w:p w14:paraId="465BBD5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3.7.2  竞选文件应当对比选文件有关监理服务期、比选有效期、质量要求、</w:t>
      </w:r>
      <w:r>
        <w:rPr>
          <w:rFonts w:hint="eastAsia" w:ascii="宋体" w:hAnsi="宋体"/>
          <w:color w:val="auto"/>
          <w:highlight w:val="none"/>
        </w:rPr>
        <w:t>监理工作规范和技术标准</w:t>
      </w:r>
      <w:r>
        <w:rPr>
          <w:rFonts w:hint="eastAsia" w:ascii="宋体" w:hAnsi="宋体" w:cs="宋体"/>
          <w:snapToGrid w:val="0"/>
          <w:color w:val="auto"/>
          <w:kern w:val="0"/>
          <w:szCs w:val="21"/>
          <w:highlight w:val="none"/>
        </w:rPr>
        <w:t>、比选范围等实质性内容做出响应。</w:t>
      </w:r>
    </w:p>
    <w:p w14:paraId="41FC67D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position w:val="-2"/>
          <w:szCs w:val="21"/>
          <w:highlight w:val="none"/>
        </w:rPr>
        <w:t>3.7.3  签字盖章要求按竞选人须知前附表3.7.3款执行。</w:t>
      </w:r>
    </w:p>
    <w:p w14:paraId="7BF57675">
      <w:pPr>
        <w:autoSpaceDE w:val="0"/>
        <w:autoSpaceDN w:val="0"/>
        <w:adjustRightInd w:val="0"/>
        <w:snapToGrid w:val="0"/>
        <w:spacing w:line="360" w:lineRule="auto"/>
        <w:ind w:right="-164" w:firstLine="420" w:firstLineChars="200"/>
        <w:rPr>
          <w:rFonts w:ascii="宋体" w:hAnsi="宋体" w:cs="宋体"/>
          <w:i/>
          <w:snapToGrid w:val="0"/>
          <w:color w:val="auto"/>
          <w:kern w:val="0"/>
          <w:szCs w:val="21"/>
          <w:highlight w:val="none"/>
        </w:rPr>
      </w:pPr>
      <w:r>
        <w:rPr>
          <w:rFonts w:hint="eastAsia" w:ascii="宋体" w:hAnsi="宋体" w:cs="宋体"/>
          <w:snapToGrid w:val="0"/>
          <w:color w:val="auto"/>
          <w:kern w:val="0"/>
          <w:szCs w:val="21"/>
          <w:highlight w:val="none"/>
        </w:rPr>
        <w:t>3.7.4  竞选文件的份数见竞选人须知前附表，不按规定递交足够份数的竞选文件作否决处理。</w:t>
      </w:r>
    </w:p>
    <w:p w14:paraId="69A35CDE">
      <w:pPr>
        <w:autoSpaceDE w:val="0"/>
        <w:autoSpaceDN w:val="0"/>
        <w:adjustRightInd w:val="0"/>
        <w:snapToGrid w:val="0"/>
        <w:spacing w:line="360" w:lineRule="auto"/>
        <w:ind w:right="-109"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3.7.5  竞选文件应装订成册，并编制目录，具体装订要求见竞选人须知前附表规定。</w:t>
      </w:r>
    </w:p>
    <w:p w14:paraId="647F56A0">
      <w:pPr>
        <w:pStyle w:val="4"/>
        <w:spacing w:before="0" w:after="0" w:line="360" w:lineRule="auto"/>
        <w:rPr>
          <w:rFonts w:ascii="宋体" w:hAnsi="宋体" w:cs="宋体"/>
          <w:b w:val="0"/>
          <w:snapToGrid w:val="0"/>
          <w:color w:val="auto"/>
          <w:sz w:val="24"/>
          <w:szCs w:val="24"/>
          <w:highlight w:val="none"/>
        </w:rPr>
      </w:pPr>
      <w:bookmarkStart w:id="335" w:name="_Toc200513153"/>
      <w:bookmarkStart w:id="336" w:name="_Toc224103344"/>
      <w:bookmarkStart w:id="337" w:name="_Toc277082579"/>
      <w:bookmarkStart w:id="338" w:name="_Toc26662"/>
      <w:bookmarkStart w:id="339" w:name="_Toc17781"/>
      <w:bookmarkStart w:id="340" w:name="_Toc31627"/>
      <w:bookmarkStart w:id="341" w:name="_Toc509218737"/>
      <w:bookmarkStart w:id="342" w:name="_Toc430530462"/>
      <w:bookmarkStart w:id="343" w:name="_Toc287620712"/>
      <w:bookmarkStart w:id="344" w:name="_Toc287607773"/>
      <w:r>
        <w:rPr>
          <w:rFonts w:hint="eastAsia" w:ascii="宋体" w:hAnsi="宋体" w:cs="宋体"/>
          <w:b w:val="0"/>
          <w:snapToGrid w:val="0"/>
          <w:color w:val="auto"/>
          <w:sz w:val="24"/>
          <w:szCs w:val="24"/>
          <w:highlight w:val="none"/>
        </w:rPr>
        <w:t>4.  投标</w:t>
      </w:r>
      <w:bookmarkEnd w:id="335"/>
      <w:bookmarkEnd w:id="336"/>
      <w:bookmarkEnd w:id="337"/>
      <w:bookmarkEnd w:id="338"/>
      <w:bookmarkEnd w:id="339"/>
      <w:bookmarkEnd w:id="340"/>
      <w:bookmarkEnd w:id="341"/>
      <w:bookmarkEnd w:id="342"/>
      <w:bookmarkEnd w:id="343"/>
      <w:bookmarkEnd w:id="344"/>
    </w:p>
    <w:p w14:paraId="79AFE766">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45" w:name="_Toc430530463"/>
      <w:bookmarkStart w:id="346" w:name="_Toc1906"/>
      <w:bookmarkStart w:id="347" w:name="_Toc287607774"/>
      <w:bookmarkStart w:id="348" w:name="_Toc200513154"/>
      <w:bookmarkStart w:id="349" w:name="_Toc30123"/>
      <w:bookmarkStart w:id="350" w:name="_Toc224103345"/>
      <w:bookmarkStart w:id="351" w:name="_Toc277082580"/>
      <w:bookmarkStart w:id="352" w:name="_Toc21526"/>
      <w:bookmarkStart w:id="353" w:name="_Toc509218738"/>
      <w:bookmarkStart w:id="354" w:name="_Toc40569166"/>
      <w:bookmarkStart w:id="355" w:name="_Toc287620713"/>
      <w:bookmarkStart w:id="356" w:name="_Toc40569071"/>
      <w:r>
        <w:rPr>
          <w:rFonts w:hint="eastAsia" w:ascii="宋体" w:hAnsi="宋体" w:cs="宋体"/>
          <w:b w:val="0"/>
          <w:snapToGrid w:val="0"/>
          <w:color w:val="auto"/>
          <w:sz w:val="24"/>
          <w:szCs w:val="24"/>
          <w:highlight w:val="none"/>
        </w:rPr>
        <w:t>4.1  竞选文件的密封和标记</w:t>
      </w:r>
      <w:bookmarkEnd w:id="345"/>
      <w:bookmarkEnd w:id="346"/>
      <w:bookmarkEnd w:id="347"/>
      <w:bookmarkEnd w:id="348"/>
      <w:bookmarkEnd w:id="349"/>
      <w:bookmarkEnd w:id="350"/>
      <w:bookmarkEnd w:id="351"/>
      <w:bookmarkEnd w:id="352"/>
      <w:bookmarkEnd w:id="353"/>
      <w:bookmarkEnd w:id="354"/>
      <w:bookmarkEnd w:id="355"/>
      <w:bookmarkEnd w:id="356"/>
    </w:p>
    <w:p w14:paraId="08A9601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bookmarkStart w:id="357" w:name="_Toc200513155"/>
      <w:r>
        <w:rPr>
          <w:rFonts w:hint="eastAsia" w:ascii="宋体" w:hAnsi="宋体" w:cs="宋体"/>
          <w:snapToGrid w:val="0"/>
          <w:color w:val="auto"/>
          <w:kern w:val="0"/>
          <w:szCs w:val="21"/>
          <w:highlight w:val="none"/>
        </w:rPr>
        <w:t>4.1.1  竞选文件的正本密封见竞选人须知前附表。</w:t>
      </w:r>
    </w:p>
    <w:p w14:paraId="3BF9480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4.1.2  竞选文件的封套上应写明的内容见竞选人须知前附表。</w:t>
      </w:r>
    </w:p>
    <w:p w14:paraId="25BD3445">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58" w:name="_Toc287607775"/>
      <w:bookmarkStart w:id="359" w:name="_Toc7699"/>
      <w:bookmarkStart w:id="360" w:name="_Toc224103346"/>
      <w:bookmarkStart w:id="361" w:name="_Toc40569072"/>
      <w:bookmarkStart w:id="362" w:name="_Toc277082581"/>
      <w:bookmarkStart w:id="363" w:name="_Toc40569167"/>
      <w:bookmarkStart w:id="364" w:name="_Toc287620714"/>
      <w:bookmarkStart w:id="365" w:name="_Toc430530464"/>
      <w:bookmarkStart w:id="366" w:name="_Toc26108"/>
      <w:bookmarkStart w:id="367" w:name="_Toc11740"/>
      <w:bookmarkStart w:id="368" w:name="_Toc509218739"/>
      <w:r>
        <w:rPr>
          <w:rFonts w:hint="eastAsia" w:ascii="宋体" w:hAnsi="宋体" w:cs="宋体"/>
          <w:b w:val="0"/>
          <w:snapToGrid w:val="0"/>
          <w:color w:val="auto"/>
          <w:sz w:val="24"/>
          <w:szCs w:val="24"/>
          <w:highlight w:val="none"/>
        </w:rPr>
        <w:t>4.2  竞选文件的递交</w:t>
      </w:r>
      <w:bookmarkEnd w:id="357"/>
      <w:bookmarkEnd w:id="358"/>
      <w:bookmarkEnd w:id="359"/>
      <w:bookmarkEnd w:id="360"/>
      <w:bookmarkEnd w:id="361"/>
      <w:bookmarkEnd w:id="362"/>
      <w:bookmarkEnd w:id="363"/>
      <w:bookmarkEnd w:id="364"/>
      <w:bookmarkEnd w:id="365"/>
      <w:bookmarkEnd w:id="366"/>
      <w:bookmarkEnd w:id="367"/>
      <w:bookmarkEnd w:id="368"/>
    </w:p>
    <w:p w14:paraId="066E3AE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4.2.1  竞选人应在竞选人须知前附表第 2.2.2 项规定的竞选文件递交截止时间前递交竞选文件。</w:t>
      </w:r>
    </w:p>
    <w:p w14:paraId="634DE01D">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4.2.2  竞选人递交竞选文件的地点：见竞选人须知前附表。</w:t>
      </w:r>
    </w:p>
    <w:p w14:paraId="0048D14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4.2.3  除竞选人须知前附表另有规定外，竞选人所递交的竞选文件不予退还。</w:t>
      </w:r>
    </w:p>
    <w:p w14:paraId="3AC1B4E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4.2.4  比选人收到竞选文件后，向竞选人出具签收凭证。</w:t>
      </w:r>
    </w:p>
    <w:p w14:paraId="401DCA2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4.2.5  逾期送达的或者未送达指定地点的竞选文件，比选人不予受理。</w:t>
      </w:r>
    </w:p>
    <w:p w14:paraId="72F710BD">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69" w:name="_Toc430530465"/>
      <w:bookmarkStart w:id="370" w:name="_Toc23344"/>
      <w:bookmarkStart w:id="371" w:name="_Toc40569073"/>
      <w:bookmarkStart w:id="372" w:name="_Toc509218740"/>
      <w:bookmarkStart w:id="373" w:name="_Toc30961"/>
      <w:bookmarkStart w:id="374" w:name="_Toc287607776"/>
      <w:bookmarkStart w:id="375" w:name="_Toc277082582"/>
      <w:bookmarkStart w:id="376" w:name="_Toc40569168"/>
      <w:bookmarkStart w:id="377" w:name="_Toc224103347"/>
      <w:bookmarkStart w:id="378" w:name="_Toc200513156"/>
      <w:bookmarkStart w:id="379" w:name="_Toc287620715"/>
      <w:bookmarkStart w:id="380" w:name="_Toc13850"/>
      <w:r>
        <w:rPr>
          <w:rFonts w:hint="eastAsia" w:ascii="宋体" w:hAnsi="宋体" w:cs="宋体"/>
          <w:b w:val="0"/>
          <w:snapToGrid w:val="0"/>
          <w:color w:val="auto"/>
          <w:sz w:val="24"/>
          <w:szCs w:val="24"/>
          <w:highlight w:val="none"/>
        </w:rPr>
        <w:t>4.3  竞选文件的修改与撤回</w:t>
      </w:r>
      <w:bookmarkEnd w:id="369"/>
      <w:bookmarkEnd w:id="370"/>
      <w:bookmarkEnd w:id="371"/>
      <w:bookmarkEnd w:id="372"/>
      <w:bookmarkEnd w:id="373"/>
      <w:bookmarkEnd w:id="374"/>
      <w:bookmarkEnd w:id="375"/>
      <w:bookmarkEnd w:id="376"/>
      <w:bookmarkEnd w:id="377"/>
      <w:bookmarkEnd w:id="378"/>
      <w:bookmarkEnd w:id="379"/>
      <w:bookmarkEnd w:id="380"/>
    </w:p>
    <w:p w14:paraId="4933EAC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4.3.1  在竞选人须知前附表第2.2.2项规定的竞选文件递交截止时间前，竞选人可以修改或撤回已递交的竞选文件，但应以书面形式通知比选人。</w:t>
      </w:r>
    </w:p>
    <w:p w14:paraId="1D935B1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4.3.2  竞选人修改或撤回已递交竞选文件的书面通知应按照本章第3.7.3项的要求签字或盖章。比选人收到书面通知后，向竞选人出具签收凭证。</w:t>
      </w:r>
    </w:p>
    <w:p w14:paraId="022079C4">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4.3.3  修改的内容为竞选文件的组成部分。修改的竞选文件应按照本章第3条、第4条规定进行编制、密封、标记和递交，并标明“修改”字样。</w:t>
      </w:r>
    </w:p>
    <w:p w14:paraId="151498FF">
      <w:pPr>
        <w:pStyle w:val="4"/>
        <w:spacing w:before="0" w:after="0" w:line="360" w:lineRule="auto"/>
        <w:rPr>
          <w:rFonts w:ascii="宋体" w:hAnsi="宋体" w:cs="宋体"/>
          <w:b w:val="0"/>
          <w:snapToGrid w:val="0"/>
          <w:color w:val="auto"/>
          <w:sz w:val="24"/>
          <w:szCs w:val="24"/>
          <w:highlight w:val="none"/>
        </w:rPr>
      </w:pPr>
      <w:bookmarkStart w:id="381" w:name="_Toc430530466"/>
      <w:bookmarkStart w:id="382" w:name="_Toc24445"/>
      <w:bookmarkStart w:id="383" w:name="_Toc287620716"/>
      <w:bookmarkStart w:id="384" w:name="_Toc224103348"/>
      <w:bookmarkStart w:id="385" w:name="_Toc287607777"/>
      <w:bookmarkStart w:id="386" w:name="_Toc200513157"/>
      <w:bookmarkStart w:id="387" w:name="_Toc7310"/>
      <w:bookmarkStart w:id="388" w:name="_Toc277082583"/>
      <w:bookmarkStart w:id="389" w:name="_Toc509218741"/>
      <w:bookmarkStart w:id="390" w:name="_Toc18092"/>
      <w:r>
        <w:rPr>
          <w:rFonts w:hint="eastAsia" w:ascii="宋体" w:hAnsi="宋体" w:cs="宋体"/>
          <w:b w:val="0"/>
          <w:snapToGrid w:val="0"/>
          <w:color w:val="auto"/>
          <w:sz w:val="24"/>
          <w:szCs w:val="24"/>
          <w:highlight w:val="none"/>
        </w:rPr>
        <w:t>5.  开标</w:t>
      </w:r>
      <w:bookmarkEnd w:id="381"/>
      <w:bookmarkEnd w:id="382"/>
      <w:bookmarkEnd w:id="383"/>
      <w:bookmarkEnd w:id="384"/>
      <w:bookmarkEnd w:id="385"/>
      <w:bookmarkEnd w:id="386"/>
      <w:bookmarkEnd w:id="387"/>
      <w:bookmarkEnd w:id="388"/>
      <w:bookmarkEnd w:id="389"/>
      <w:bookmarkEnd w:id="390"/>
    </w:p>
    <w:p w14:paraId="5042DEB5">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91" w:name="_Toc21177"/>
      <w:bookmarkStart w:id="392" w:name="_Toc430530467"/>
      <w:bookmarkStart w:id="393" w:name="_Toc200513158"/>
      <w:bookmarkStart w:id="394" w:name="_Toc509218742"/>
      <w:bookmarkStart w:id="395" w:name="_Toc277082584"/>
      <w:bookmarkStart w:id="396" w:name="_Toc287620717"/>
      <w:bookmarkStart w:id="397" w:name="_Toc40569170"/>
      <w:bookmarkStart w:id="398" w:name="_Toc40569075"/>
      <w:bookmarkStart w:id="399" w:name="_Toc21647"/>
      <w:bookmarkStart w:id="400" w:name="_Toc287607778"/>
      <w:bookmarkStart w:id="401" w:name="_Toc23360"/>
      <w:bookmarkStart w:id="402" w:name="_Toc224103349"/>
      <w:r>
        <w:rPr>
          <w:rFonts w:hint="eastAsia" w:ascii="宋体" w:hAnsi="宋体" w:cs="宋体"/>
          <w:b w:val="0"/>
          <w:snapToGrid w:val="0"/>
          <w:color w:val="auto"/>
          <w:sz w:val="24"/>
          <w:szCs w:val="24"/>
          <w:highlight w:val="none"/>
        </w:rPr>
        <w:t>5.1  开标时间和地点</w:t>
      </w:r>
      <w:bookmarkEnd w:id="391"/>
      <w:bookmarkEnd w:id="392"/>
      <w:bookmarkEnd w:id="393"/>
      <w:bookmarkEnd w:id="394"/>
      <w:bookmarkEnd w:id="395"/>
      <w:bookmarkEnd w:id="396"/>
      <w:bookmarkEnd w:id="397"/>
      <w:bookmarkEnd w:id="398"/>
      <w:bookmarkEnd w:id="399"/>
      <w:bookmarkEnd w:id="400"/>
      <w:bookmarkEnd w:id="401"/>
      <w:bookmarkEnd w:id="402"/>
    </w:p>
    <w:p w14:paraId="261D5B4E">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比选人在竞选人须知前附表第 2.2.2 项规定的竞选文件递交截止时间和竞选人须知前附表规定的地点公开开标，并邀请所有竞选人的法定代表人或其委托代理人准时参加。</w:t>
      </w:r>
    </w:p>
    <w:p w14:paraId="01B62894">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403" w:name="_Toc9819"/>
      <w:bookmarkStart w:id="404" w:name="_Toc224103350"/>
      <w:bookmarkStart w:id="405" w:name="_Toc430530468"/>
      <w:bookmarkStart w:id="406" w:name="_Toc287607779"/>
      <w:bookmarkStart w:id="407" w:name="_Toc4086"/>
      <w:bookmarkStart w:id="408" w:name="_Toc277082585"/>
      <w:bookmarkStart w:id="409" w:name="_Toc200513159"/>
      <w:bookmarkStart w:id="410" w:name="_Toc287620718"/>
      <w:bookmarkStart w:id="411" w:name="_Toc40569171"/>
      <w:bookmarkStart w:id="412" w:name="_Toc40569076"/>
      <w:bookmarkStart w:id="413" w:name="_Toc2116"/>
      <w:bookmarkStart w:id="414" w:name="_Toc509218743"/>
      <w:r>
        <w:rPr>
          <w:rFonts w:hint="eastAsia" w:ascii="宋体" w:hAnsi="宋体" w:cs="宋体"/>
          <w:b w:val="0"/>
          <w:snapToGrid w:val="0"/>
          <w:color w:val="auto"/>
          <w:sz w:val="24"/>
          <w:szCs w:val="24"/>
          <w:highlight w:val="none"/>
        </w:rPr>
        <w:t>5.2  开标程序</w:t>
      </w:r>
      <w:bookmarkEnd w:id="403"/>
      <w:bookmarkEnd w:id="404"/>
      <w:bookmarkEnd w:id="405"/>
      <w:bookmarkEnd w:id="406"/>
      <w:bookmarkEnd w:id="407"/>
      <w:bookmarkEnd w:id="408"/>
      <w:bookmarkEnd w:id="409"/>
      <w:bookmarkEnd w:id="410"/>
      <w:bookmarkEnd w:id="411"/>
      <w:bookmarkEnd w:id="412"/>
      <w:bookmarkEnd w:id="413"/>
      <w:bookmarkEnd w:id="414"/>
    </w:p>
    <w:p w14:paraId="104802F0">
      <w:pPr>
        <w:autoSpaceDE w:val="0"/>
        <w:autoSpaceDN w:val="0"/>
        <w:adjustRightInd w:val="0"/>
        <w:snapToGrid w:val="0"/>
        <w:spacing w:line="360" w:lineRule="auto"/>
        <w:ind w:firstLine="420" w:firstLineChars="200"/>
        <w:rPr>
          <w:rFonts w:ascii="宋体" w:hAnsi="宋体" w:cs="宋体"/>
          <w:color w:val="auto"/>
          <w:szCs w:val="21"/>
          <w:highlight w:val="none"/>
        </w:rPr>
      </w:pPr>
      <w:bookmarkStart w:id="415" w:name="_Toc287607780"/>
      <w:bookmarkStart w:id="416" w:name="_Toc200513160"/>
      <w:bookmarkStart w:id="417" w:name="_Toc287620719"/>
      <w:bookmarkStart w:id="418" w:name="_Toc224103351"/>
      <w:bookmarkStart w:id="419" w:name="_Toc277082586"/>
      <w:r>
        <w:rPr>
          <w:rFonts w:hint="eastAsia" w:ascii="宋体" w:hAnsi="宋体" w:cs="宋体"/>
          <w:color w:val="auto"/>
          <w:szCs w:val="21"/>
          <w:highlight w:val="none"/>
        </w:rPr>
        <w:t>详见竞选人须知前附表5.2开标程序。</w:t>
      </w:r>
    </w:p>
    <w:p w14:paraId="7F6E36BD">
      <w:pPr>
        <w:pStyle w:val="4"/>
        <w:spacing w:before="0" w:after="0" w:line="360" w:lineRule="auto"/>
        <w:rPr>
          <w:rFonts w:ascii="宋体" w:hAnsi="宋体" w:cs="宋体"/>
          <w:b w:val="0"/>
          <w:snapToGrid w:val="0"/>
          <w:color w:val="auto"/>
          <w:sz w:val="24"/>
          <w:szCs w:val="24"/>
          <w:highlight w:val="none"/>
        </w:rPr>
      </w:pPr>
      <w:bookmarkStart w:id="420" w:name="_Toc29670"/>
      <w:bookmarkStart w:id="421" w:name="_Toc509218744"/>
      <w:bookmarkStart w:id="422" w:name="_Toc28222"/>
      <w:bookmarkStart w:id="423" w:name="_Toc20444"/>
      <w:bookmarkStart w:id="424" w:name="_Toc430530469"/>
      <w:r>
        <w:rPr>
          <w:rFonts w:hint="eastAsia" w:ascii="宋体" w:hAnsi="宋体" w:cs="宋体"/>
          <w:b w:val="0"/>
          <w:snapToGrid w:val="0"/>
          <w:color w:val="auto"/>
          <w:sz w:val="24"/>
          <w:szCs w:val="24"/>
          <w:highlight w:val="none"/>
        </w:rPr>
        <w:t xml:space="preserve">6.  </w:t>
      </w:r>
      <w:bookmarkEnd w:id="415"/>
      <w:bookmarkEnd w:id="416"/>
      <w:bookmarkEnd w:id="417"/>
      <w:bookmarkEnd w:id="418"/>
      <w:bookmarkEnd w:id="419"/>
      <w:bookmarkEnd w:id="420"/>
      <w:bookmarkEnd w:id="421"/>
      <w:bookmarkEnd w:id="422"/>
      <w:bookmarkEnd w:id="423"/>
      <w:bookmarkEnd w:id="424"/>
      <w:r>
        <w:rPr>
          <w:rFonts w:hint="eastAsia" w:ascii="宋体" w:hAnsi="宋体" w:cs="宋体"/>
          <w:b w:val="0"/>
          <w:snapToGrid w:val="0"/>
          <w:color w:val="auto"/>
          <w:sz w:val="24"/>
          <w:szCs w:val="24"/>
          <w:highlight w:val="none"/>
        </w:rPr>
        <w:t>评选</w:t>
      </w:r>
    </w:p>
    <w:p w14:paraId="5D8170D0">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425" w:name="_Toc200513161"/>
      <w:bookmarkStart w:id="426" w:name="_Toc11628"/>
      <w:bookmarkStart w:id="427" w:name="_Toc224103352"/>
      <w:bookmarkStart w:id="428" w:name="_Toc277082587"/>
      <w:bookmarkStart w:id="429" w:name="_Toc287607781"/>
      <w:bookmarkStart w:id="430" w:name="_Toc8411"/>
      <w:bookmarkStart w:id="431" w:name="_Toc40569173"/>
      <w:bookmarkStart w:id="432" w:name="_Toc40569078"/>
      <w:bookmarkStart w:id="433" w:name="_Toc287620720"/>
      <w:bookmarkStart w:id="434" w:name="_Toc509218745"/>
      <w:bookmarkStart w:id="435" w:name="_Toc430530470"/>
      <w:bookmarkStart w:id="436" w:name="_Toc1171"/>
      <w:r>
        <w:rPr>
          <w:rFonts w:hint="eastAsia" w:ascii="宋体" w:hAnsi="宋体" w:cs="宋体"/>
          <w:b w:val="0"/>
          <w:snapToGrid w:val="0"/>
          <w:color w:val="auto"/>
          <w:sz w:val="24"/>
          <w:szCs w:val="24"/>
          <w:highlight w:val="none"/>
        </w:rPr>
        <w:t>6.1  评选委员会</w:t>
      </w:r>
      <w:bookmarkEnd w:id="425"/>
      <w:bookmarkEnd w:id="426"/>
      <w:bookmarkEnd w:id="427"/>
      <w:bookmarkEnd w:id="428"/>
      <w:bookmarkEnd w:id="429"/>
      <w:bookmarkEnd w:id="430"/>
      <w:bookmarkEnd w:id="431"/>
      <w:bookmarkEnd w:id="432"/>
      <w:bookmarkEnd w:id="433"/>
      <w:bookmarkEnd w:id="434"/>
      <w:bookmarkEnd w:id="435"/>
      <w:bookmarkEnd w:id="436"/>
    </w:p>
    <w:p w14:paraId="66DE203D">
      <w:pPr>
        <w:autoSpaceDE w:val="0"/>
        <w:autoSpaceDN w:val="0"/>
        <w:adjustRightInd w:val="0"/>
        <w:snapToGrid w:val="0"/>
        <w:spacing w:line="360" w:lineRule="auto"/>
        <w:ind w:firstLine="420" w:firstLineChars="200"/>
        <w:rPr>
          <w:rFonts w:ascii="宋体" w:hAnsi="宋体" w:cs="宋体"/>
          <w:b/>
          <w:snapToGrid w:val="0"/>
          <w:color w:val="auto"/>
          <w:kern w:val="0"/>
          <w:szCs w:val="21"/>
          <w:highlight w:val="none"/>
        </w:rPr>
      </w:pPr>
      <w:r>
        <w:rPr>
          <w:rFonts w:hint="eastAsia" w:ascii="宋体" w:hAnsi="宋体" w:cs="宋体"/>
          <w:snapToGrid w:val="0"/>
          <w:color w:val="auto"/>
          <w:kern w:val="0"/>
          <w:szCs w:val="21"/>
          <w:highlight w:val="none"/>
        </w:rPr>
        <w:t>6.1.1  评选由比选人依据法律法规和相关规范性文件组建的评选委员会负责。</w:t>
      </w:r>
    </w:p>
    <w:p w14:paraId="1588E0C4">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6.1.2  评选委员会成员有下列情形之一的，应当回避：</w:t>
      </w:r>
    </w:p>
    <w:p w14:paraId="73DFB85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（1）竞选人或竞选人的主要负责人的近亲属；</w:t>
      </w:r>
    </w:p>
    <w:p w14:paraId="2754E3D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（2）项目主管部门或者行政监督部门的人员；</w:t>
      </w:r>
    </w:p>
    <w:p w14:paraId="01AD2B4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（3）与竞选人有利害关系，可能影响对竞选公正评审的；</w:t>
      </w:r>
    </w:p>
    <w:p w14:paraId="7F9713C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（4）曾因在招标、评选以及其他与招标投标有关活动中从事违法行为而受过行政处罚或刑事处罚的。</w:t>
      </w:r>
    </w:p>
    <w:p w14:paraId="5AFBB820">
      <w:pPr>
        <w:pStyle w:val="5"/>
        <w:snapToGrid w:val="0"/>
        <w:spacing w:before="0" w:after="0" w:line="360" w:lineRule="auto"/>
        <w:rPr>
          <w:rFonts w:ascii="宋体" w:hAnsi="宋体" w:cs="宋体"/>
          <w:b w:val="0"/>
          <w:snapToGrid w:val="0"/>
          <w:color w:val="auto"/>
          <w:sz w:val="24"/>
          <w:szCs w:val="24"/>
          <w:highlight w:val="none"/>
        </w:rPr>
      </w:pPr>
      <w:bookmarkStart w:id="437" w:name="_Toc5380"/>
      <w:bookmarkStart w:id="438" w:name="_Toc224103353"/>
      <w:bookmarkStart w:id="439" w:name="_Toc1737"/>
      <w:bookmarkStart w:id="440" w:name="_Toc287607782"/>
      <w:bookmarkStart w:id="441" w:name="_Toc19907"/>
      <w:bookmarkStart w:id="442" w:name="_Toc40569079"/>
      <w:bookmarkStart w:id="443" w:name="_Toc277082588"/>
      <w:bookmarkStart w:id="444" w:name="_Toc509218746"/>
      <w:bookmarkStart w:id="445" w:name="_Toc430530471"/>
      <w:bookmarkStart w:id="446" w:name="_Toc287620721"/>
      <w:bookmarkStart w:id="447" w:name="_Toc40569174"/>
      <w:bookmarkStart w:id="448" w:name="_Toc200513162"/>
      <w:r>
        <w:rPr>
          <w:rFonts w:hint="eastAsia" w:ascii="宋体" w:hAnsi="宋体" w:cs="宋体"/>
          <w:b w:val="0"/>
          <w:snapToGrid w:val="0"/>
          <w:color w:val="auto"/>
          <w:sz w:val="24"/>
          <w:szCs w:val="24"/>
          <w:highlight w:val="none"/>
        </w:rPr>
        <w:t>6.2  评选原则</w:t>
      </w:r>
      <w:bookmarkEnd w:id="437"/>
      <w:bookmarkEnd w:id="438"/>
      <w:bookmarkEnd w:id="439"/>
      <w:bookmarkEnd w:id="440"/>
      <w:bookmarkEnd w:id="441"/>
      <w:bookmarkEnd w:id="442"/>
      <w:bookmarkEnd w:id="443"/>
      <w:bookmarkEnd w:id="444"/>
      <w:bookmarkEnd w:id="445"/>
      <w:bookmarkEnd w:id="446"/>
      <w:bookmarkEnd w:id="447"/>
      <w:bookmarkEnd w:id="448"/>
    </w:p>
    <w:p w14:paraId="66A716C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评选活动遵循公平、公正、科学和择优的原则。</w:t>
      </w:r>
    </w:p>
    <w:p w14:paraId="6BDBA0A0">
      <w:pPr>
        <w:pStyle w:val="5"/>
        <w:snapToGrid w:val="0"/>
        <w:spacing w:before="0" w:after="0" w:line="360" w:lineRule="auto"/>
        <w:rPr>
          <w:rFonts w:ascii="宋体" w:hAnsi="宋体" w:cs="宋体"/>
          <w:b w:val="0"/>
          <w:snapToGrid w:val="0"/>
          <w:color w:val="auto"/>
          <w:sz w:val="24"/>
          <w:szCs w:val="24"/>
          <w:highlight w:val="none"/>
        </w:rPr>
      </w:pPr>
      <w:bookmarkStart w:id="449" w:name="_Toc509218747"/>
      <w:bookmarkStart w:id="450" w:name="_Toc40569175"/>
      <w:bookmarkStart w:id="451" w:name="_Toc29814"/>
      <w:bookmarkStart w:id="452" w:name="_Toc32653"/>
      <w:bookmarkStart w:id="453" w:name="_Toc287620722"/>
      <w:bookmarkStart w:id="454" w:name="_Toc430530472"/>
      <w:bookmarkStart w:id="455" w:name="_Toc17901"/>
      <w:bookmarkStart w:id="456" w:name="_Toc40569080"/>
      <w:bookmarkStart w:id="457" w:name="_Toc287607783"/>
      <w:bookmarkStart w:id="458" w:name="_Toc224103354"/>
      <w:bookmarkStart w:id="459" w:name="_Toc200513163"/>
      <w:bookmarkStart w:id="460" w:name="_Toc277082589"/>
      <w:r>
        <w:rPr>
          <w:rFonts w:hint="eastAsia" w:ascii="宋体" w:hAnsi="宋体" w:cs="宋体"/>
          <w:b w:val="0"/>
          <w:snapToGrid w:val="0"/>
          <w:color w:val="auto"/>
          <w:sz w:val="24"/>
          <w:szCs w:val="24"/>
          <w:highlight w:val="none"/>
        </w:rPr>
        <w:t xml:space="preserve">6.3  </w:t>
      </w:r>
      <w:bookmarkEnd w:id="449"/>
      <w:bookmarkEnd w:id="450"/>
      <w:bookmarkEnd w:id="451"/>
      <w:bookmarkEnd w:id="452"/>
      <w:bookmarkEnd w:id="453"/>
      <w:bookmarkEnd w:id="454"/>
      <w:bookmarkEnd w:id="455"/>
      <w:bookmarkEnd w:id="456"/>
      <w:bookmarkEnd w:id="457"/>
      <w:bookmarkEnd w:id="458"/>
      <w:bookmarkEnd w:id="459"/>
      <w:bookmarkEnd w:id="460"/>
      <w:r>
        <w:rPr>
          <w:rFonts w:hint="eastAsia" w:ascii="宋体" w:hAnsi="宋体" w:cs="宋体"/>
          <w:b w:val="0"/>
          <w:snapToGrid w:val="0"/>
          <w:color w:val="auto"/>
          <w:sz w:val="24"/>
          <w:szCs w:val="24"/>
          <w:highlight w:val="none"/>
        </w:rPr>
        <w:t>评选</w:t>
      </w:r>
    </w:p>
    <w:p w14:paraId="637D411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评选委员会按照第三章“评选办法”规定的方法、评审因素、标准和程序对竞选文件进行评审。第三章“评选办法”没有规定的方法、评审因素和标准，不得作为评选依据。</w:t>
      </w:r>
    </w:p>
    <w:p w14:paraId="47047A52">
      <w:pPr>
        <w:pStyle w:val="4"/>
        <w:spacing w:before="0" w:after="0" w:line="360" w:lineRule="auto"/>
        <w:rPr>
          <w:rFonts w:ascii="宋体" w:hAnsi="宋体" w:cs="宋体"/>
          <w:b w:val="0"/>
          <w:snapToGrid w:val="0"/>
          <w:color w:val="auto"/>
          <w:sz w:val="24"/>
          <w:szCs w:val="24"/>
          <w:highlight w:val="none"/>
        </w:rPr>
      </w:pPr>
      <w:bookmarkStart w:id="461" w:name="_Toc677"/>
      <w:bookmarkStart w:id="462" w:name="_Toc224103355"/>
      <w:bookmarkStart w:id="463" w:name="_Toc287620723"/>
      <w:bookmarkStart w:id="464" w:name="_Toc23357"/>
      <w:bookmarkStart w:id="465" w:name="_Toc430530473"/>
      <w:bookmarkStart w:id="466" w:name="_Toc27760"/>
      <w:bookmarkStart w:id="467" w:name="_Toc287607784"/>
      <w:bookmarkStart w:id="468" w:name="_Toc277082590"/>
      <w:bookmarkStart w:id="469" w:name="_Toc200513164"/>
      <w:bookmarkStart w:id="470" w:name="_Toc509218748"/>
      <w:r>
        <w:rPr>
          <w:rFonts w:hint="eastAsia" w:ascii="宋体" w:hAnsi="宋体" w:cs="宋体"/>
          <w:b w:val="0"/>
          <w:snapToGrid w:val="0"/>
          <w:color w:val="auto"/>
          <w:sz w:val="24"/>
          <w:szCs w:val="24"/>
          <w:highlight w:val="none"/>
        </w:rPr>
        <w:t>7.  合同授予</w:t>
      </w:r>
      <w:bookmarkEnd w:id="461"/>
      <w:bookmarkEnd w:id="462"/>
      <w:bookmarkEnd w:id="463"/>
      <w:bookmarkEnd w:id="464"/>
      <w:bookmarkEnd w:id="465"/>
      <w:bookmarkEnd w:id="466"/>
      <w:bookmarkEnd w:id="467"/>
      <w:bookmarkEnd w:id="468"/>
      <w:bookmarkEnd w:id="469"/>
      <w:bookmarkEnd w:id="470"/>
    </w:p>
    <w:p w14:paraId="76D44214">
      <w:pPr>
        <w:pStyle w:val="5"/>
        <w:snapToGrid w:val="0"/>
        <w:spacing w:before="0" w:after="0" w:line="360" w:lineRule="auto"/>
        <w:rPr>
          <w:rFonts w:ascii="宋体" w:hAnsi="宋体" w:cs="宋体"/>
          <w:b w:val="0"/>
          <w:snapToGrid w:val="0"/>
          <w:color w:val="auto"/>
          <w:sz w:val="24"/>
          <w:szCs w:val="24"/>
          <w:highlight w:val="none"/>
        </w:rPr>
      </w:pPr>
      <w:bookmarkStart w:id="471" w:name="_Toc12014"/>
      <w:bookmarkStart w:id="472" w:name="_Toc509218749"/>
      <w:bookmarkStart w:id="473" w:name="_Toc14144"/>
      <w:bookmarkStart w:id="474" w:name="_Toc40569177"/>
      <w:bookmarkStart w:id="475" w:name="_Toc12616"/>
      <w:bookmarkStart w:id="476" w:name="_Toc430530474"/>
      <w:bookmarkStart w:id="477" w:name="_Toc277082591"/>
      <w:bookmarkStart w:id="478" w:name="_Toc287607785"/>
      <w:bookmarkStart w:id="479" w:name="_Toc40569082"/>
      <w:bookmarkStart w:id="480" w:name="_Toc287620724"/>
      <w:bookmarkStart w:id="481" w:name="_Toc224103356"/>
      <w:bookmarkStart w:id="482" w:name="_Toc200513165"/>
      <w:r>
        <w:rPr>
          <w:rFonts w:hint="eastAsia" w:ascii="宋体" w:hAnsi="宋体" w:cs="宋体"/>
          <w:b w:val="0"/>
          <w:snapToGrid w:val="0"/>
          <w:color w:val="auto"/>
          <w:sz w:val="24"/>
          <w:szCs w:val="24"/>
          <w:highlight w:val="none"/>
        </w:rPr>
        <w:t>7.1  定标方式</w:t>
      </w:r>
      <w:bookmarkEnd w:id="471"/>
      <w:bookmarkEnd w:id="472"/>
      <w:bookmarkEnd w:id="473"/>
      <w:bookmarkEnd w:id="474"/>
      <w:bookmarkEnd w:id="475"/>
      <w:bookmarkEnd w:id="476"/>
      <w:bookmarkEnd w:id="477"/>
      <w:bookmarkEnd w:id="478"/>
      <w:bookmarkEnd w:id="479"/>
      <w:bookmarkEnd w:id="480"/>
      <w:bookmarkEnd w:id="481"/>
      <w:bookmarkEnd w:id="482"/>
    </w:p>
    <w:p w14:paraId="6ACC0E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07D189C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评选委员会推荐中选候选人的人数见竞选人须知前附表。</w:t>
      </w:r>
    </w:p>
    <w:p w14:paraId="314DF640">
      <w:pPr>
        <w:pStyle w:val="5"/>
        <w:snapToGrid w:val="0"/>
        <w:spacing w:before="0" w:after="0" w:line="360" w:lineRule="auto"/>
        <w:rPr>
          <w:rFonts w:ascii="宋体" w:hAnsi="宋体" w:cs="宋体"/>
          <w:b w:val="0"/>
          <w:snapToGrid w:val="0"/>
          <w:color w:val="auto"/>
          <w:sz w:val="24"/>
          <w:szCs w:val="24"/>
          <w:highlight w:val="none"/>
        </w:rPr>
      </w:pPr>
      <w:bookmarkStart w:id="483" w:name="_Toc40569178"/>
      <w:bookmarkStart w:id="484" w:name="_Toc757"/>
      <w:bookmarkStart w:id="485" w:name="_Toc430530475"/>
      <w:bookmarkStart w:id="486" w:name="_Toc40569083"/>
      <w:bookmarkStart w:id="487" w:name="_Toc509218750"/>
      <w:bookmarkStart w:id="488" w:name="_Toc3480"/>
      <w:bookmarkStart w:id="489" w:name="_Toc23600"/>
      <w:r>
        <w:rPr>
          <w:rFonts w:hint="eastAsia" w:ascii="宋体" w:hAnsi="宋体" w:cs="宋体"/>
          <w:b w:val="0"/>
          <w:snapToGrid w:val="0"/>
          <w:color w:val="auto"/>
          <w:sz w:val="24"/>
          <w:szCs w:val="24"/>
          <w:highlight w:val="none"/>
        </w:rPr>
        <w:t>7.2  中选公示及中选通知</w:t>
      </w:r>
      <w:bookmarkEnd w:id="483"/>
      <w:bookmarkEnd w:id="484"/>
      <w:bookmarkEnd w:id="485"/>
      <w:bookmarkEnd w:id="486"/>
      <w:bookmarkEnd w:id="487"/>
      <w:bookmarkEnd w:id="488"/>
      <w:bookmarkEnd w:id="489"/>
    </w:p>
    <w:p w14:paraId="6E796B9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详见竞选人须知前附表。</w:t>
      </w:r>
    </w:p>
    <w:p w14:paraId="771FB3BD">
      <w:pPr>
        <w:pStyle w:val="5"/>
        <w:snapToGrid w:val="0"/>
        <w:spacing w:before="0" w:after="0" w:line="360" w:lineRule="auto"/>
        <w:rPr>
          <w:rFonts w:ascii="宋体" w:hAnsi="宋体" w:cs="宋体"/>
          <w:b w:val="0"/>
          <w:snapToGrid w:val="0"/>
          <w:color w:val="auto"/>
          <w:sz w:val="24"/>
          <w:szCs w:val="24"/>
          <w:highlight w:val="none"/>
        </w:rPr>
      </w:pPr>
      <w:bookmarkStart w:id="490" w:name="_Toc430530476"/>
      <w:bookmarkStart w:id="491" w:name="_Toc509218751"/>
      <w:bookmarkStart w:id="492" w:name="_Toc40569179"/>
      <w:bookmarkStart w:id="493" w:name="_Toc20679"/>
      <w:bookmarkStart w:id="494" w:name="_Toc200513167"/>
      <w:bookmarkStart w:id="495" w:name="_Toc31150"/>
      <w:bookmarkStart w:id="496" w:name="_Toc287607787"/>
      <w:bookmarkStart w:id="497" w:name="_Toc224103358"/>
      <w:bookmarkStart w:id="498" w:name="_Toc1444"/>
      <w:bookmarkStart w:id="499" w:name="_Toc40569084"/>
      <w:bookmarkStart w:id="500" w:name="_Toc287620726"/>
      <w:bookmarkStart w:id="501" w:name="_Toc277082593"/>
      <w:r>
        <w:rPr>
          <w:rFonts w:hint="eastAsia" w:ascii="宋体" w:hAnsi="宋体" w:cs="宋体"/>
          <w:b w:val="0"/>
          <w:snapToGrid w:val="0"/>
          <w:color w:val="auto"/>
          <w:sz w:val="24"/>
          <w:szCs w:val="24"/>
          <w:highlight w:val="none"/>
        </w:rPr>
        <w:t>7.3  履约担保</w:t>
      </w:r>
      <w:bookmarkEnd w:id="490"/>
      <w:bookmarkEnd w:id="491"/>
      <w:bookmarkEnd w:id="492"/>
      <w:bookmarkEnd w:id="493"/>
      <w:bookmarkEnd w:id="494"/>
      <w:bookmarkEnd w:id="495"/>
      <w:bookmarkEnd w:id="496"/>
      <w:bookmarkEnd w:id="497"/>
      <w:bookmarkEnd w:id="498"/>
      <w:bookmarkEnd w:id="499"/>
      <w:bookmarkEnd w:id="500"/>
      <w:bookmarkEnd w:id="501"/>
    </w:p>
    <w:p w14:paraId="0E6E55E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14:paraId="5135ED0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7.3.2  中选人不能按本章第 7.3.1 项要求提交履约担保的，视为放弃中选，其比选保证金不予退还，给比选人造成的损失超过比选保证金数额的，中选人还应当对超过部分予以赔偿。</w:t>
      </w:r>
    </w:p>
    <w:p w14:paraId="4D09A94E">
      <w:pPr>
        <w:pStyle w:val="5"/>
        <w:snapToGrid w:val="0"/>
        <w:spacing w:before="0" w:after="0" w:line="360" w:lineRule="auto"/>
        <w:rPr>
          <w:rFonts w:ascii="宋体" w:hAnsi="宋体" w:cs="宋体"/>
          <w:b w:val="0"/>
          <w:snapToGrid w:val="0"/>
          <w:color w:val="auto"/>
          <w:sz w:val="24"/>
          <w:szCs w:val="24"/>
          <w:highlight w:val="none"/>
        </w:rPr>
      </w:pPr>
      <w:bookmarkStart w:id="502" w:name="_Toc224103359"/>
      <w:bookmarkStart w:id="503" w:name="_Toc23731"/>
      <w:bookmarkStart w:id="504" w:name="_Toc509218752"/>
      <w:bookmarkStart w:id="505" w:name="_Toc40569085"/>
      <w:bookmarkStart w:id="506" w:name="_Toc1871"/>
      <w:bookmarkStart w:id="507" w:name="_Toc277082594"/>
      <w:bookmarkStart w:id="508" w:name="_Toc200513168"/>
      <w:bookmarkStart w:id="509" w:name="_Toc287620727"/>
      <w:bookmarkStart w:id="510" w:name="_Toc3209"/>
      <w:bookmarkStart w:id="511" w:name="_Toc40569180"/>
      <w:bookmarkStart w:id="512" w:name="_Toc287607788"/>
      <w:bookmarkStart w:id="513" w:name="_Toc430530477"/>
      <w:r>
        <w:rPr>
          <w:rFonts w:hint="eastAsia" w:ascii="宋体" w:hAnsi="宋体" w:cs="宋体"/>
          <w:b w:val="0"/>
          <w:snapToGrid w:val="0"/>
          <w:color w:val="auto"/>
          <w:sz w:val="24"/>
          <w:szCs w:val="24"/>
          <w:highlight w:val="none"/>
        </w:rPr>
        <w:t>7.4  签订合同</w:t>
      </w:r>
      <w:bookmarkEnd w:id="502"/>
      <w:bookmarkEnd w:id="503"/>
      <w:bookmarkEnd w:id="504"/>
      <w:bookmarkEnd w:id="505"/>
      <w:bookmarkEnd w:id="506"/>
      <w:bookmarkEnd w:id="507"/>
      <w:bookmarkEnd w:id="508"/>
      <w:bookmarkEnd w:id="509"/>
      <w:bookmarkEnd w:id="510"/>
      <w:bookmarkEnd w:id="511"/>
      <w:bookmarkEnd w:id="512"/>
      <w:bookmarkEnd w:id="513"/>
    </w:p>
    <w:p w14:paraId="3AB366ED">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7.4.1 比选人和中选人应当自中选通知书发出之日起 30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14:paraId="3C866034">
      <w:pPr>
        <w:pStyle w:val="4"/>
        <w:spacing w:before="0" w:after="0" w:line="360" w:lineRule="auto"/>
        <w:rPr>
          <w:rFonts w:ascii="宋体" w:hAnsi="宋体" w:cs="宋体"/>
          <w:b w:val="0"/>
          <w:snapToGrid w:val="0"/>
          <w:color w:val="auto"/>
          <w:sz w:val="24"/>
          <w:szCs w:val="24"/>
          <w:highlight w:val="none"/>
        </w:rPr>
      </w:pPr>
      <w:bookmarkStart w:id="514" w:name="_Toc509218753"/>
      <w:bookmarkStart w:id="515" w:name="_Toc200513169"/>
      <w:bookmarkStart w:id="516" w:name="_Toc224103360"/>
      <w:bookmarkStart w:id="517" w:name="_Toc387"/>
      <w:bookmarkStart w:id="518" w:name="_Toc287620728"/>
      <w:bookmarkStart w:id="519" w:name="_Toc4906"/>
      <w:bookmarkStart w:id="520" w:name="_Toc287607789"/>
      <w:bookmarkStart w:id="521" w:name="_Toc32452"/>
      <w:bookmarkStart w:id="522" w:name="_Toc430530478"/>
      <w:bookmarkStart w:id="523" w:name="_Toc277082595"/>
      <w:r>
        <w:rPr>
          <w:rFonts w:hint="eastAsia" w:ascii="宋体" w:hAnsi="宋体" w:cs="宋体"/>
          <w:b w:val="0"/>
          <w:snapToGrid w:val="0"/>
          <w:color w:val="auto"/>
          <w:sz w:val="24"/>
          <w:szCs w:val="24"/>
          <w:highlight w:val="none"/>
        </w:rPr>
        <w:t>8.  重新</w:t>
      </w:r>
      <w:bookmarkEnd w:id="514"/>
      <w:bookmarkEnd w:id="515"/>
      <w:bookmarkEnd w:id="516"/>
      <w:bookmarkEnd w:id="517"/>
      <w:bookmarkEnd w:id="518"/>
      <w:bookmarkEnd w:id="519"/>
      <w:bookmarkEnd w:id="520"/>
      <w:bookmarkEnd w:id="521"/>
      <w:bookmarkEnd w:id="522"/>
      <w:bookmarkEnd w:id="523"/>
      <w:r>
        <w:rPr>
          <w:rFonts w:hint="eastAsia" w:ascii="宋体" w:hAnsi="宋体" w:cs="宋体"/>
          <w:b w:val="0"/>
          <w:snapToGrid w:val="0"/>
          <w:color w:val="auto"/>
          <w:sz w:val="24"/>
          <w:szCs w:val="24"/>
          <w:highlight w:val="none"/>
        </w:rPr>
        <w:t>比选</w:t>
      </w:r>
    </w:p>
    <w:p w14:paraId="1685B9DF">
      <w:pPr>
        <w:pStyle w:val="5"/>
        <w:snapToGrid w:val="0"/>
        <w:spacing w:before="0" w:after="0" w:line="360" w:lineRule="auto"/>
        <w:rPr>
          <w:rFonts w:ascii="宋体" w:hAnsi="宋体" w:cs="宋体"/>
          <w:b w:val="0"/>
          <w:snapToGrid w:val="0"/>
          <w:color w:val="auto"/>
          <w:sz w:val="24"/>
          <w:szCs w:val="24"/>
          <w:highlight w:val="none"/>
        </w:rPr>
      </w:pPr>
      <w:bookmarkStart w:id="524" w:name="_Toc287607790"/>
      <w:bookmarkStart w:id="525" w:name="_Toc287620729"/>
      <w:bookmarkStart w:id="526" w:name="_Toc23599"/>
      <w:bookmarkStart w:id="527" w:name="_Toc40569182"/>
      <w:bookmarkStart w:id="528" w:name="_Toc40569087"/>
      <w:bookmarkStart w:id="529" w:name="_Toc16710"/>
      <w:bookmarkStart w:id="530" w:name="_Toc5411"/>
      <w:bookmarkStart w:id="531" w:name="_Toc200513170"/>
      <w:bookmarkStart w:id="532" w:name="_Toc509218754"/>
      <w:bookmarkStart w:id="533" w:name="_Toc277082596"/>
      <w:bookmarkStart w:id="534" w:name="_Toc430530479"/>
      <w:bookmarkStart w:id="535" w:name="_Toc224103361"/>
      <w:r>
        <w:rPr>
          <w:rFonts w:hint="eastAsia" w:ascii="宋体" w:hAnsi="宋体" w:cs="宋体"/>
          <w:b w:val="0"/>
          <w:snapToGrid w:val="0"/>
          <w:color w:val="auto"/>
          <w:sz w:val="24"/>
          <w:szCs w:val="24"/>
          <w:highlight w:val="none"/>
        </w:rPr>
        <w:t>8.1  重新</w:t>
      </w:r>
      <w:bookmarkEnd w:id="524"/>
      <w:bookmarkEnd w:id="525"/>
      <w:bookmarkEnd w:id="526"/>
      <w:bookmarkEnd w:id="527"/>
      <w:bookmarkEnd w:id="528"/>
      <w:bookmarkEnd w:id="529"/>
      <w:bookmarkEnd w:id="530"/>
      <w:bookmarkEnd w:id="531"/>
      <w:bookmarkEnd w:id="532"/>
      <w:bookmarkEnd w:id="533"/>
      <w:bookmarkEnd w:id="534"/>
      <w:bookmarkEnd w:id="535"/>
      <w:r>
        <w:rPr>
          <w:rFonts w:hint="eastAsia" w:ascii="宋体" w:hAnsi="宋体" w:cs="宋体"/>
          <w:b w:val="0"/>
          <w:snapToGrid w:val="0"/>
          <w:color w:val="auto"/>
          <w:sz w:val="24"/>
          <w:szCs w:val="24"/>
          <w:highlight w:val="none"/>
        </w:rPr>
        <w:t>比选</w:t>
      </w:r>
    </w:p>
    <w:p w14:paraId="55816F3E">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有下列情形之一的，比选人将重新开展比选活动：</w:t>
      </w:r>
    </w:p>
    <w:p w14:paraId="4B52A46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（1）竞选文件递交截止时间为止，竞选人少于3个的；</w:t>
      </w:r>
    </w:p>
    <w:p w14:paraId="04AD37B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（2）经评选委员会评审后否决所有竞选人的；</w:t>
      </w:r>
    </w:p>
    <w:p w14:paraId="5B117E17">
      <w:pPr>
        <w:widowControl/>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经评选委员会评审后部分竞选人被否决，导致有效竞选人不足3个的，原则上应否决全部竞选。但是有效竞选人的经济、技术等指标仍然具有市场竞争力，能够满足比选文件要求的，评选委员会可以继续评选并确定中选候选人。</w:t>
      </w:r>
    </w:p>
    <w:p w14:paraId="0BB76503">
      <w:pPr>
        <w:widowControl/>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（4）法律法规规定的其他情形。</w:t>
      </w:r>
    </w:p>
    <w:p w14:paraId="6B4806C2">
      <w:pPr>
        <w:pStyle w:val="4"/>
        <w:spacing w:before="0" w:after="0" w:line="360" w:lineRule="auto"/>
        <w:rPr>
          <w:rFonts w:ascii="宋体" w:hAnsi="宋体" w:cs="宋体"/>
          <w:b w:val="0"/>
          <w:snapToGrid w:val="0"/>
          <w:color w:val="auto"/>
          <w:sz w:val="24"/>
          <w:szCs w:val="24"/>
          <w:highlight w:val="none"/>
        </w:rPr>
      </w:pPr>
      <w:bookmarkStart w:id="536" w:name="_Toc509218756"/>
      <w:bookmarkStart w:id="537" w:name="_Toc277082598"/>
      <w:bookmarkStart w:id="538" w:name="_Toc30342"/>
      <w:bookmarkStart w:id="539" w:name="_Toc32459"/>
      <w:bookmarkStart w:id="540" w:name="_Toc287607792"/>
      <w:bookmarkStart w:id="541" w:name="_Toc200513172"/>
      <w:bookmarkStart w:id="542" w:name="_Toc287620731"/>
      <w:bookmarkStart w:id="543" w:name="_Toc224103363"/>
      <w:bookmarkStart w:id="544" w:name="_Toc7059"/>
      <w:bookmarkStart w:id="545" w:name="_Toc430530481"/>
      <w:r>
        <w:rPr>
          <w:rFonts w:hint="eastAsia" w:ascii="宋体" w:hAnsi="宋体" w:cs="宋体"/>
          <w:b w:val="0"/>
          <w:snapToGrid w:val="0"/>
          <w:color w:val="auto"/>
          <w:sz w:val="24"/>
          <w:szCs w:val="24"/>
          <w:highlight w:val="none"/>
        </w:rPr>
        <w:t>9.  纪律和监督</w:t>
      </w:r>
      <w:bookmarkEnd w:id="536"/>
      <w:bookmarkEnd w:id="537"/>
      <w:bookmarkEnd w:id="538"/>
      <w:bookmarkEnd w:id="539"/>
      <w:bookmarkEnd w:id="540"/>
      <w:bookmarkEnd w:id="541"/>
      <w:bookmarkEnd w:id="542"/>
      <w:bookmarkEnd w:id="543"/>
      <w:bookmarkEnd w:id="544"/>
      <w:bookmarkEnd w:id="545"/>
    </w:p>
    <w:p w14:paraId="37AD31E9">
      <w:pPr>
        <w:pStyle w:val="5"/>
        <w:snapToGrid w:val="0"/>
        <w:spacing w:before="0" w:after="0" w:line="360" w:lineRule="auto"/>
        <w:rPr>
          <w:rFonts w:ascii="宋体" w:hAnsi="宋体" w:cs="宋体"/>
          <w:b w:val="0"/>
          <w:snapToGrid w:val="0"/>
          <w:color w:val="auto"/>
          <w:sz w:val="24"/>
          <w:szCs w:val="24"/>
          <w:highlight w:val="none"/>
        </w:rPr>
      </w:pPr>
      <w:bookmarkStart w:id="546" w:name="_Toc40569090"/>
      <w:bookmarkStart w:id="547" w:name="_Toc200513173"/>
      <w:bookmarkStart w:id="548" w:name="_Toc287607793"/>
      <w:bookmarkStart w:id="549" w:name="_Toc14823"/>
      <w:bookmarkStart w:id="550" w:name="_Toc509218757"/>
      <w:bookmarkStart w:id="551" w:name="_Toc277082599"/>
      <w:bookmarkStart w:id="552" w:name="_Toc15838"/>
      <w:bookmarkStart w:id="553" w:name="_Toc20555"/>
      <w:bookmarkStart w:id="554" w:name="_Toc224103364"/>
      <w:bookmarkStart w:id="555" w:name="_Toc40569185"/>
      <w:bookmarkStart w:id="556" w:name="_Toc287620732"/>
      <w:bookmarkStart w:id="557" w:name="_Toc430530482"/>
      <w:r>
        <w:rPr>
          <w:rFonts w:hint="eastAsia" w:ascii="宋体" w:hAnsi="宋体" w:cs="宋体"/>
          <w:b w:val="0"/>
          <w:snapToGrid w:val="0"/>
          <w:color w:val="auto"/>
          <w:sz w:val="24"/>
          <w:szCs w:val="24"/>
          <w:highlight w:val="none"/>
        </w:rPr>
        <w:t>9.1  对比选人的纪律要求</w:t>
      </w:r>
      <w:bookmarkEnd w:id="546"/>
      <w:bookmarkEnd w:id="547"/>
      <w:bookmarkEnd w:id="548"/>
      <w:bookmarkEnd w:id="549"/>
      <w:bookmarkEnd w:id="550"/>
      <w:bookmarkEnd w:id="551"/>
      <w:bookmarkEnd w:id="552"/>
      <w:bookmarkEnd w:id="553"/>
      <w:bookmarkEnd w:id="554"/>
      <w:bookmarkEnd w:id="555"/>
      <w:bookmarkEnd w:id="556"/>
      <w:bookmarkEnd w:id="557"/>
    </w:p>
    <w:p w14:paraId="00B72A74">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snapToGrid w:val="0"/>
          <w:color w:val="auto"/>
          <w:kern w:val="0"/>
          <w:szCs w:val="21"/>
          <w:highlight w:val="none"/>
        </w:rPr>
        <w:t>比选人不得泄漏比选活动中应当保密的情况和资料，不得与竞选人串通损害国家利益、社会公共利益或者他人合法权益，</w:t>
      </w:r>
      <w:r>
        <w:rPr>
          <w:rFonts w:hint="eastAsia" w:ascii="宋体" w:hAnsi="宋体" w:cs="宋体"/>
          <w:color w:val="auto"/>
          <w:highlight w:val="none"/>
        </w:rPr>
        <w:t>禁止比选人与竞选人串通投标。</w:t>
      </w:r>
    </w:p>
    <w:p w14:paraId="7DB06DCD">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有下列情形之一的，属于比选人与竞选人串通投标：</w:t>
      </w:r>
    </w:p>
    <w:p w14:paraId="112D786D">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（1）比选人在评选开始前开启竞选文件并将有关信息泄露给其他竞选人；</w:t>
      </w:r>
    </w:p>
    <w:p w14:paraId="56365875">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（2）比选人直接或者间接向竞选人泄露标底、评选委员会成员等信息；</w:t>
      </w:r>
    </w:p>
    <w:p w14:paraId="21DCB6E9">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（3）比选人明示或者暗示竞选人压低或者抬高竞选总报价；</w:t>
      </w:r>
    </w:p>
    <w:p w14:paraId="201E08AC">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（4）比选人授意竞选人撤换、修改竞选文件；</w:t>
      </w:r>
    </w:p>
    <w:p w14:paraId="42B61A9B">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（5）比选人明示或者暗示竞选人为特定竞选人中选提供方便；</w:t>
      </w:r>
    </w:p>
    <w:p w14:paraId="12752848">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color w:val="auto"/>
          <w:highlight w:val="none"/>
        </w:rPr>
        <w:t>（6）比选人与竞选人为谋求特定竞选人中选而采取的其他串通行为。</w:t>
      </w:r>
    </w:p>
    <w:p w14:paraId="674934BC">
      <w:pPr>
        <w:pStyle w:val="5"/>
        <w:snapToGrid w:val="0"/>
        <w:spacing w:before="0" w:after="0" w:line="360" w:lineRule="auto"/>
        <w:rPr>
          <w:rFonts w:ascii="宋体" w:hAnsi="宋体" w:cs="宋体"/>
          <w:b w:val="0"/>
          <w:snapToGrid w:val="0"/>
          <w:color w:val="auto"/>
          <w:sz w:val="24"/>
          <w:szCs w:val="24"/>
          <w:highlight w:val="none"/>
        </w:rPr>
      </w:pPr>
      <w:bookmarkStart w:id="558" w:name="_Toc40569186"/>
      <w:bookmarkStart w:id="559" w:name="_Toc277082600"/>
      <w:bookmarkStart w:id="560" w:name="_Toc509218758"/>
      <w:bookmarkStart w:id="561" w:name="_Toc13914"/>
      <w:bookmarkStart w:id="562" w:name="_Toc430530483"/>
      <w:bookmarkStart w:id="563" w:name="_Toc287607794"/>
      <w:bookmarkStart w:id="564" w:name="_Toc26842"/>
      <w:bookmarkStart w:id="565" w:name="_Toc224103365"/>
      <w:bookmarkStart w:id="566" w:name="_Toc1612"/>
      <w:bookmarkStart w:id="567" w:name="_Toc287620733"/>
      <w:bookmarkStart w:id="568" w:name="_Toc40569091"/>
      <w:bookmarkStart w:id="569" w:name="_Toc200513174"/>
      <w:r>
        <w:rPr>
          <w:rFonts w:hint="eastAsia" w:ascii="宋体" w:hAnsi="宋体" w:cs="宋体"/>
          <w:b w:val="0"/>
          <w:snapToGrid w:val="0"/>
          <w:color w:val="auto"/>
          <w:sz w:val="24"/>
          <w:szCs w:val="24"/>
          <w:highlight w:val="none"/>
        </w:rPr>
        <w:t>9.2  对竞选人的纪律要求</w:t>
      </w:r>
      <w:bookmarkEnd w:id="558"/>
      <w:bookmarkEnd w:id="559"/>
      <w:bookmarkEnd w:id="560"/>
      <w:bookmarkEnd w:id="561"/>
      <w:bookmarkEnd w:id="562"/>
      <w:bookmarkEnd w:id="563"/>
      <w:bookmarkEnd w:id="564"/>
      <w:bookmarkEnd w:id="565"/>
      <w:bookmarkEnd w:id="566"/>
      <w:bookmarkEnd w:id="567"/>
      <w:bookmarkEnd w:id="568"/>
      <w:bookmarkEnd w:id="569"/>
    </w:p>
    <w:p w14:paraId="3F13F057">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snapToGrid w:val="0"/>
          <w:color w:val="auto"/>
          <w:kern w:val="0"/>
          <w:szCs w:val="21"/>
          <w:highlight w:val="none"/>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auto"/>
          <w:highlight w:val="none"/>
        </w:rPr>
        <w:t>有下列情形之一的，属于竞选人相互串通投标：</w:t>
      </w:r>
    </w:p>
    <w:p w14:paraId="3E950E43">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（1）竞选人之间协商竞选总报价等竞选文件的实质性内容；</w:t>
      </w:r>
    </w:p>
    <w:p w14:paraId="5E4DBCCF">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（2）竞选人之间约定中选人；</w:t>
      </w:r>
    </w:p>
    <w:p w14:paraId="4BDD0F84">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（3）竞选人之间约定部分竞选人放弃投标或者中选；</w:t>
      </w:r>
    </w:p>
    <w:p w14:paraId="1370FB19">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（4）属于同一集团、协会、商会等组织成员的竞选人按照该组织要求协同投标；</w:t>
      </w:r>
    </w:p>
    <w:p w14:paraId="5080F366">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（5）竞选人之间为谋取中选或者排斥特定竞选人而采取的其他联合行动。</w:t>
      </w:r>
    </w:p>
    <w:p w14:paraId="53DEFD8D">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有下列情形之一的，视为竞选人相互串通投标：</w:t>
      </w:r>
    </w:p>
    <w:p w14:paraId="06EE0FE0">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（1）不同竞选人的竞选文件由同一单位或者个人编制；</w:t>
      </w:r>
    </w:p>
    <w:p w14:paraId="32CB810F">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（2）不同竞选人委托同一单位或者个人办理投标事宜；</w:t>
      </w:r>
    </w:p>
    <w:p w14:paraId="2866B13A">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（3）不同竞选人的竞选文件载明的项目管理成员为同一人；</w:t>
      </w:r>
    </w:p>
    <w:p w14:paraId="503C8A0B">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（4）不同竞选人的竞选文件异常一致或者竞选总报价呈规律性差异；</w:t>
      </w:r>
    </w:p>
    <w:p w14:paraId="5832DD54">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（5）不同竞选人的竞选文件相互混装；</w:t>
      </w:r>
    </w:p>
    <w:p w14:paraId="69FC5D96">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（6）不同竞选人的比选保证金从同一单位或者个人的账户转出。</w:t>
      </w:r>
    </w:p>
    <w:p w14:paraId="3E8D6781">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使用通过受让或者租借等方式获取的资格、资质证书投标的，属于以他人名义投标。</w:t>
      </w:r>
    </w:p>
    <w:p w14:paraId="660382DE">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竞选人有下列情形之一的，属于以其他方式弄虚作假的行为：</w:t>
      </w:r>
    </w:p>
    <w:p w14:paraId="551CCC9B">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（一）使用伪造、变造的许可证件；</w:t>
      </w:r>
    </w:p>
    <w:p w14:paraId="06D0950D">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（二）提供虚假的财务状况或者业绩；</w:t>
      </w:r>
    </w:p>
    <w:p w14:paraId="00C44BB8">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（三）提供虚假的项目负责人或者主要技术人员简历、劳动关系证明；</w:t>
      </w:r>
    </w:p>
    <w:p w14:paraId="2935B310">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（四）提供虚假的信用状况；</w:t>
      </w:r>
    </w:p>
    <w:p w14:paraId="23BC912B">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highlight w:val="none"/>
        </w:rPr>
        <w:t>（五）其他弄虚作假的行为。</w:t>
      </w:r>
    </w:p>
    <w:p w14:paraId="4EF1D4E3">
      <w:pPr>
        <w:pStyle w:val="5"/>
        <w:snapToGrid w:val="0"/>
        <w:spacing w:before="0" w:after="0" w:line="360" w:lineRule="auto"/>
        <w:rPr>
          <w:rFonts w:ascii="宋体" w:hAnsi="宋体" w:cs="宋体"/>
          <w:b w:val="0"/>
          <w:snapToGrid w:val="0"/>
          <w:color w:val="auto"/>
          <w:sz w:val="24"/>
          <w:szCs w:val="24"/>
          <w:highlight w:val="none"/>
        </w:rPr>
      </w:pPr>
      <w:bookmarkStart w:id="570" w:name="_Toc200513175"/>
      <w:bookmarkStart w:id="571" w:name="_Toc40569187"/>
      <w:bookmarkStart w:id="572" w:name="_Toc430530484"/>
      <w:bookmarkStart w:id="573" w:name="_Toc15322"/>
      <w:bookmarkStart w:id="574" w:name="_Toc509218759"/>
      <w:bookmarkStart w:id="575" w:name="_Toc287620734"/>
      <w:bookmarkStart w:id="576" w:name="_Toc30347"/>
      <w:bookmarkStart w:id="577" w:name="_Toc3385"/>
      <w:bookmarkStart w:id="578" w:name="_Toc277082601"/>
      <w:bookmarkStart w:id="579" w:name="_Toc224103366"/>
      <w:bookmarkStart w:id="580" w:name="_Toc287607795"/>
      <w:bookmarkStart w:id="581" w:name="_Toc40569092"/>
      <w:r>
        <w:rPr>
          <w:rFonts w:hint="eastAsia" w:ascii="宋体" w:hAnsi="宋体" w:cs="宋体"/>
          <w:b w:val="0"/>
          <w:snapToGrid w:val="0"/>
          <w:color w:val="auto"/>
          <w:sz w:val="24"/>
          <w:szCs w:val="24"/>
          <w:highlight w:val="none"/>
        </w:rPr>
        <w:t>9.3  对评选委员会成员的纪律要求</w:t>
      </w:r>
      <w:bookmarkEnd w:id="570"/>
      <w:bookmarkEnd w:id="571"/>
      <w:bookmarkEnd w:id="572"/>
      <w:bookmarkEnd w:id="573"/>
      <w:bookmarkEnd w:id="574"/>
      <w:bookmarkEnd w:id="575"/>
      <w:bookmarkEnd w:id="576"/>
      <w:bookmarkEnd w:id="577"/>
      <w:bookmarkEnd w:id="578"/>
      <w:bookmarkEnd w:id="579"/>
      <w:bookmarkEnd w:id="580"/>
      <w:bookmarkEnd w:id="581"/>
    </w:p>
    <w:p w14:paraId="71617FC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成员不得收受他人的财物或者其他好处，不得向他人透漏对竞选文件的评审和比较、中选候选人的推荐情况以及评选有关的其他情况。在评选活动中，评选委员会成员不得擅离职守，影响评选程序正常进行，不得使用第三章“评选办法”没有规定的评审因素和标准进行评选。</w:t>
      </w:r>
    </w:p>
    <w:p w14:paraId="4647748B">
      <w:pPr>
        <w:pStyle w:val="5"/>
        <w:snapToGrid w:val="0"/>
        <w:spacing w:before="0" w:after="0" w:line="360" w:lineRule="auto"/>
        <w:rPr>
          <w:rFonts w:ascii="宋体" w:hAnsi="宋体" w:cs="宋体"/>
          <w:b w:val="0"/>
          <w:snapToGrid w:val="0"/>
          <w:color w:val="auto"/>
          <w:sz w:val="24"/>
          <w:szCs w:val="24"/>
          <w:highlight w:val="none"/>
        </w:rPr>
      </w:pPr>
      <w:bookmarkStart w:id="582" w:name="_Toc24901"/>
      <w:bookmarkStart w:id="583" w:name="_Toc40569188"/>
      <w:bookmarkStart w:id="584" w:name="_Toc277082602"/>
      <w:bookmarkStart w:id="585" w:name="_Toc40569093"/>
      <w:bookmarkStart w:id="586" w:name="_Toc509218760"/>
      <w:bookmarkStart w:id="587" w:name="_Toc19795"/>
      <w:bookmarkStart w:id="588" w:name="_Toc287620735"/>
      <w:bookmarkStart w:id="589" w:name="_Toc430530485"/>
      <w:bookmarkStart w:id="590" w:name="_Toc14712"/>
      <w:bookmarkStart w:id="591" w:name="_Toc287607796"/>
      <w:bookmarkStart w:id="592" w:name="_Toc224103367"/>
      <w:bookmarkStart w:id="593" w:name="_Toc200513176"/>
      <w:r>
        <w:rPr>
          <w:rFonts w:hint="eastAsia" w:ascii="宋体" w:hAnsi="宋体" w:cs="宋体"/>
          <w:b w:val="0"/>
          <w:snapToGrid w:val="0"/>
          <w:color w:val="auto"/>
          <w:sz w:val="24"/>
          <w:szCs w:val="24"/>
          <w:highlight w:val="none"/>
        </w:rPr>
        <w:t>9.4  对与评选活动有关的工作人员的纪律要求</w:t>
      </w:r>
      <w:bookmarkEnd w:id="582"/>
      <w:bookmarkEnd w:id="583"/>
      <w:bookmarkEnd w:id="584"/>
      <w:bookmarkEnd w:id="585"/>
      <w:bookmarkEnd w:id="586"/>
      <w:bookmarkEnd w:id="587"/>
      <w:bookmarkEnd w:id="588"/>
      <w:bookmarkEnd w:id="589"/>
      <w:bookmarkEnd w:id="590"/>
      <w:bookmarkEnd w:id="591"/>
      <w:bookmarkEnd w:id="592"/>
      <w:bookmarkEnd w:id="593"/>
    </w:p>
    <w:p w14:paraId="319650E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与评选活动有关的工作人员不得收受他人的财物或者其他好处，不得向他人透漏对竞选文件的评审和比较、中选候选人的推荐情况以及与评选有关的其他情况。在评选活动中，与评选活动有关的工作人员不得擅离职守，影响评选程序正常进行。</w:t>
      </w:r>
    </w:p>
    <w:p w14:paraId="08D45A03">
      <w:pPr>
        <w:pStyle w:val="5"/>
        <w:snapToGrid w:val="0"/>
        <w:spacing w:before="0" w:after="0" w:line="360" w:lineRule="auto"/>
        <w:rPr>
          <w:rFonts w:ascii="宋体" w:hAnsi="宋体" w:cs="宋体"/>
          <w:b w:val="0"/>
          <w:snapToGrid w:val="0"/>
          <w:color w:val="auto"/>
          <w:sz w:val="24"/>
          <w:szCs w:val="24"/>
          <w:highlight w:val="none"/>
        </w:rPr>
      </w:pPr>
      <w:bookmarkStart w:id="594" w:name="_Toc40569094"/>
      <w:bookmarkStart w:id="595" w:name="_Toc509218761"/>
      <w:bookmarkStart w:id="596" w:name="_Toc277082603"/>
      <w:bookmarkStart w:id="597" w:name="_Toc430530486"/>
      <w:bookmarkStart w:id="598" w:name="_Toc287607797"/>
      <w:bookmarkStart w:id="599" w:name="_Toc287620736"/>
      <w:bookmarkStart w:id="600" w:name="_Toc200513177"/>
      <w:bookmarkStart w:id="601" w:name="_Toc7152"/>
      <w:bookmarkStart w:id="602" w:name="_Toc224103368"/>
      <w:bookmarkStart w:id="603" w:name="_Toc40569189"/>
      <w:bookmarkStart w:id="604" w:name="_Toc9443"/>
      <w:bookmarkStart w:id="605" w:name="_Toc24405"/>
      <w:r>
        <w:rPr>
          <w:rFonts w:hint="eastAsia" w:ascii="宋体" w:hAnsi="宋体" w:cs="宋体"/>
          <w:b w:val="0"/>
          <w:snapToGrid w:val="0"/>
          <w:color w:val="auto"/>
          <w:sz w:val="24"/>
          <w:szCs w:val="24"/>
          <w:highlight w:val="none"/>
        </w:rPr>
        <w:t>9.5  投诉</w:t>
      </w:r>
      <w:bookmarkEnd w:id="594"/>
      <w:bookmarkEnd w:id="595"/>
      <w:bookmarkEnd w:id="596"/>
      <w:bookmarkEnd w:id="597"/>
      <w:bookmarkEnd w:id="598"/>
      <w:bookmarkEnd w:id="599"/>
      <w:bookmarkEnd w:id="600"/>
      <w:bookmarkEnd w:id="601"/>
      <w:bookmarkEnd w:id="602"/>
      <w:bookmarkEnd w:id="603"/>
      <w:bookmarkEnd w:id="604"/>
      <w:bookmarkEnd w:id="605"/>
    </w:p>
    <w:p w14:paraId="0556906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竞选人和其他利害关系人认为本次比选活动违反法律、法规和规章规定的，有权向有关行政监督部门投诉。</w:t>
      </w:r>
    </w:p>
    <w:p w14:paraId="73479E3A">
      <w:pPr>
        <w:pStyle w:val="5"/>
        <w:snapToGrid w:val="0"/>
        <w:spacing w:before="0" w:after="0" w:line="360" w:lineRule="auto"/>
        <w:rPr>
          <w:rFonts w:ascii="宋体" w:hAnsi="宋体" w:cs="宋体"/>
          <w:b w:val="0"/>
          <w:snapToGrid w:val="0"/>
          <w:color w:val="auto"/>
          <w:sz w:val="24"/>
          <w:szCs w:val="24"/>
          <w:highlight w:val="none"/>
        </w:rPr>
      </w:pPr>
      <w:bookmarkStart w:id="606" w:name="_Toc287620737"/>
      <w:bookmarkStart w:id="607" w:name="_Toc6297"/>
      <w:bookmarkStart w:id="608" w:name="_Toc18945"/>
      <w:bookmarkStart w:id="609" w:name="_Toc287607798"/>
      <w:bookmarkStart w:id="610" w:name="_Toc509218762"/>
      <w:bookmarkStart w:id="611" w:name="_Toc200513178"/>
      <w:bookmarkStart w:id="612" w:name="_Toc277082604"/>
      <w:bookmarkStart w:id="613" w:name="_Toc224103369"/>
      <w:bookmarkStart w:id="614" w:name="_Toc430530487"/>
      <w:bookmarkStart w:id="615" w:name="_Toc32650"/>
      <w:r>
        <w:rPr>
          <w:rFonts w:hint="eastAsia" w:ascii="宋体" w:hAnsi="宋体" w:cs="宋体"/>
          <w:b w:val="0"/>
          <w:snapToGrid w:val="0"/>
          <w:color w:val="auto"/>
          <w:sz w:val="24"/>
          <w:szCs w:val="24"/>
          <w:highlight w:val="none"/>
        </w:rPr>
        <w:t>10. 需要补充的其他内容</w:t>
      </w:r>
      <w:bookmarkEnd w:id="606"/>
      <w:bookmarkEnd w:id="607"/>
      <w:bookmarkEnd w:id="608"/>
      <w:bookmarkEnd w:id="609"/>
      <w:bookmarkEnd w:id="610"/>
      <w:bookmarkEnd w:id="611"/>
      <w:bookmarkEnd w:id="612"/>
      <w:bookmarkEnd w:id="613"/>
      <w:bookmarkEnd w:id="614"/>
      <w:bookmarkEnd w:id="615"/>
    </w:p>
    <w:p w14:paraId="18096B1A">
      <w:pPr>
        <w:pStyle w:val="5"/>
        <w:snapToGrid w:val="0"/>
        <w:spacing w:before="0" w:after="0" w:line="360" w:lineRule="auto"/>
        <w:ind w:firstLine="480" w:firstLineChars="200"/>
        <w:rPr>
          <w:rFonts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见竞选人须知前附表。</w:t>
      </w:r>
    </w:p>
    <w:p w14:paraId="20B9B8BE">
      <w:pPr>
        <w:rPr>
          <w:color w:val="auto"/>
          <w:highlight w:val="none"/>
        </w:rPr>
      </w:pPr>
    </w:p>
    <w:p w14:paraId="0F10FE93">
      <w:pPr>
        <w:autoSpaceDE w:val="0"/>
        <w:autoSpaceDN w:val="0"/>
        <w:adjustRightInd w:val="0"/>
        <w:snapToGrid w:val="0"/>
        <w:spacing w:line="360" w:lineRule="auto"/>
        <w:jc w:val="left"/>
        <w:rPr>
          <w:rFonts w:ascii="宋体" w:hAnsi="宋体" w:cs="宋体"/>
          <w:b/>
          <w:snapToGrid w:val="0"/>
          <w:color w:val="auto"/>
          <w:kern w:val="0"/>
          <w:highlight w:val="none"/>
        </w:rPr>
      </w:pPr>
    </w:p>
    <w:p w14:paraId="2A779CC9">
      <w:pPr>
        <w:autoSpaceDE w:val="0"/>
        <w:autoSpaceDN w:val="0"/>
        <w:adjustRightInd w:val="0"/>
        <w:snapToGrid w:val="0"/>
        <w:spacing w:line="360" w:lineRule="auto"/>
        <w:jc w:val="left"/>
        <w:rPr>
          <w:rFonts w:ascii="宋体" w:hAnsi="宋体" w:cs="宋体"/>
          <w:b/>
          <w:snapToGrid w:val="0"/>
          <w:color w:val="auto"/>
          <w:kern w:val="0"/>
          <w:highlight w:val="none"/>
        </w:rPr>
      </w:pPr>
    </w:p>
    <w:p w14:paraId="5FC40B46">
      <w:pPr>
        <w:pStyle w:val="2"/>
        <w:rPr>
          <w:rFonts w:ascii="宋体" w:hAnsi="宋体" w:cs="宋体"/>
          <w:b/>
          <w:snapToGrid w:val="0"/>
          <w:color w:val="auto"/>
          <w:kern w:val="0"/>
          <w:highlight w:val="none"/>
        </w:rPr>
      </w:pPr>
    </w:p>
    <w:p w14:paraId="06216FE2">
      <w:pPr>
        <w:rPr>
          <w:rFonts w:ascii="宋体" w:hAnsi="宋体" w:cs="宋体"/>
          <w:b/>
          <w:snapToGrid w:val="0"/>
          <w:color w:val="auto"/>
          <w:kern w:val="0"/>
          <w:highlight w:val="none"/>
        </w:rPr>
      </w:pPr>
    </w:p>
    <w:p w14:paraId="106EFA7D">
      <w:pPr>
        <w:pStyle w:val="2"/>
        <w:rPr>
          <w:rFonts w:ascii="宋体" w:hAnsi="宋体" w:cs="宋体"/>
          <w:b/>
          <w:snapToGrid w:val="0"/>
          <w:color w:val="auto"/>
          <w:kern w:val="0"/>
          <w:highlight w:val="none"/>
        </w:rPr>
      </w:pPr>
    </w:p>
    <w:p w14:paraId="2BB8D956">
      <w:pPr>
        <w:rPr>
          <w:rFonts w:ascii="宋体" w:hAnsi="宋体" w:cs="宋体"/>
          <w:b/>
          <w:snapToGrid w:val="0"/>
          <w:color w:val="auto"/>
          <w:kern w:val="0"/>
          <w:highlight w:val="none"/>
        </w:rPr>
      </w:pPr>
    </w:p>
    <w:p w14:paraId="41A1AF1D">
      <w:pPr>
        <w:pStyle w:val="2"/>
        <w:rPr>
          <w:rFonts w:ascii="宋体" w:hAnsi="宋体" w:cs="宋体"/>
          <w:b/>
          <w:snapToGrid w:val="0"/>
          <w:color w:val="auto"/>
          <w:kern w:val="0"/>
          <w:highlight w:val="none"/>
        </w:rPr>
      </w:pPr>
    </w:p>
    <w:p w14:paraId="4F167AE4">
      <w:pPr>
        <w:rPr>
          <w:rFonts w:ascii="宋体" w:hAnsi="宋体" w:cs="宋体"/>
          <w:b/>
          <w:snapToGrid w:val="0"/>
          <w:color w:val="auto"/>
          <w:kern w:val="0"/>
          <w:highlight w:val="none"/>
        </w:rPr>
      </w:pPr>
    </w:p>
    <w:p w14:paraId="7A04F46A">
      <w:pPr>
        <w:pStyle w:val="2"/>
        <w:rPr>
          <w:rFonts w:ascii="宋体" w:hAnsi="宋体" w:cs="宋体"/>
          <w:b/>
          <w:snapToGrid w:val="0"/>
          <w:color w:val="auto"/>
          <w:kern w:val="0"/>
          <w:highlight w:val="none"/>
        </w:rPr>
      </w:pPr>
    </w:p>
    <w:p w14:paraId="00CC0240">
      <w:pPr>
        <w:rPr>
          <w:rFonts w:ascii="宋体" w:hAnsi="宋体" w:cs="宋体"/>
          <w:b/>
          <w:snapToGrid w:val="0"/>
          <w:color w:val="auto"/>
          <w:kern w:val="0"/>
          <w:highlight w:val="none"/>
        </w:rPr>
      </w:pPr>
    </w:p>
    <w:p w14:paraId="264196F3">
      <w:pPr>
        <w:rPr>
          <w:rFonts w:ascii="宋体" w:hAnsi="宋体" w:cs="宋体"/>
          <w:b/>
          <w:snapToGrid w:val="0"/>
          <w:color w:val="auto"/>
          <w:kern w:val="0"/>
          <w:highlight w:val="none"/>
        </w:rPr>
      </w:pPr>
    </w:p>
    <w:p w14:paraId="775C486C">
      <w:pPr>
        <w:rPr>
          <w:rFonts w:ascii="宋体" w:hAnsi="宋体" w:cs="宋体"/>
          <w:b/>
          <w:snapToGrid w:val="0"/>
          <w:color w:val="auto"/>
          <w:kern w:val="0"/>
          <w:highlight w:val="none"/>
        </w:rPr>
      </w:pPr>
    </w:p>
    <w:p w14:paraId="7D830549">
      <w:pPr>
        <w:rPr>
          <w:rFonts w:ascii="宋体" w:hAnsi="宋体" w:cs="宋体"/>
          <w:b/>
          <w:snapToGrid w:val="0"/>
          <w:color w:val="auto"/>
          <w:kern w:val="0"/>
          <w:highlight w:val="none"/>
        </w:rPr>
      </w:pPr>
    </w:p>
    <w:p w14:paraId="65B30BD7">
      <w:pPr>
        <w:rPr>
          <w:rFonts w:ascii="宋体" w:hAnsi="宋体" w:cs="宋体"/>
          <w:b/>
          <w:snapToGrid w:val="0"/>
          <w:color w:val="auto"/>
          <w:kern w:val="0"/>
          <w:highlight w:val="none"/>
        </w:rPr>
      </w:pPr>
    </w:p>
    <w:p w14:paraId="68C0E046">
      <w:pPr>
        <w:rPr>
          <w:rFonts w:ascii="宋体" w:hAnsi="宋体" w:cs="宋体"/>
          <w:b/>
          <w:snapToGrid w:val="0"/>
          <w:color w:val="auto"/>
          <w:kern w:val="0"/>
          <w:highlight w:val="none"/>
        </w:rPr>
      </w:pPr>
    </w:p>
    <w:p w14:paraId="2E50B0F7">
      <w:pPr>
        <w:rPr>
          <w:rFonts w:ascii="宋体" w:hAnsi="宋体" w:cs="宋体"/>
          <w:b/>
          <w:snapToGrid w:val="0"/>
          <w:color w:val="auto"/>
          <w:kern w:val="0"/>
          <w:highlight w:val="none"/>
        </w:rPr>
      </w:pPr>
    </w:p>
    <w:p w14:paraId="16D0A2A2">
      <w:pPr>
        <w:rPr>
          <w:rFonts w:ascii="宋体" w:hAnsi="宋体" w:cs="宋体"/>
          <w:b/>
          <w:snapToGrid w:val="0"/>
          <w:color w:val="auto"/>
          <w:kern w:val="0"/>
          <w:highlight w:val="none"/>
        </w:rPr>
      </w:pPr>
    </w:p>
    <w:p w14:paraId="5BA5192A">
      <w:pPr>
        <w:rPr>
          <w:rFonts w:ascii="宋体" w:hAnsi="宋体" w:cs="宋体"/>
          <w:b/>
          <w:snapToGrid w:val="0"/>
          <w:color w:val="auto"/>
          <w:kern w:val="0"/>
          <w:highlight w:val="none"/>
        </w:rPr>
      </w:pPr>
    </w:p>
    <w:p w14:paraId="2A3B48CF">
      <w:pPr>
        <w:rPr>
          <w:rFonts w:ascii="宋体" w:hAnsi="宋体" w:cs="宋体"/>
          <w:b/>
          <w:snapToGrid w:val="0"/>
          <w:color w:val="auto"/>
          <w:kern w:val="0"/>
          <w:highlight w:val="none"/>
        </w:rPr>
      </w:pPr>
    </w:p>
    <w:p w14:paraId="219DFC53">
      <w:pPr>
        <w:pStyle w:val="2"/>
        <w:rPr>
          <w:rFonts w:ascii="宋体" w:hAnsi="宋体" w:cs="宋体"/>
          <w:b/>
          <w:snapToGrid w:val="0"/>
          <w:color w:val="auto"/>
          <w:kern w:val="0"/>
          <w:highlight w:val="none"/>
        </w:rPr>
      </w:pPr>
    </w:p>
    <w:p w14:paraId="409EC8FF">
      <w:pPr>
        <w:rPr>
          <w:rFonts w:ascii="宋体" w:hAnsi="宋体" w:cs="宋体"/>
          <w:b/>
          <w:snapToGrid w:val="0"/>
          <w:color w:val="auto"/>
          <w:kern w:val="0"/>
          <w:highlight w:val="none"/>
        </w:rPr>
      </w:pPr>
    </w:p>
    <w:p w14:paraId="3E5A0394">
      <w:pPr>
        <w:pStyle w:val="2"/>
        <w:rPr>
          <w:color w:val="auto"/>
          <w:highlight w:val="none"/>
        </w:rPr>
      </w:pPr>
    </w:p>
    <w:p w14:paraId="349924C7">
      <w:pPr>
        <w:autoSpaceDE w:val="0"/>
        <w:autoSpaceDN w:val="0"/>
        <w:adjustRightInd w:val="0"/>
        <w:snapToGrid w:val="0"/>
        <w:spacing w:line="360" w:lineRule="auto"/>
        <w:jc w:val="left"/>
        <w:rPr>
          <w:rFonts w:ascii="宋体" w:hAnsi="宋体" w:cs="宋体"/>
          <w:b/>
          <w:snapToGrid w:val="0"/>
          <w:color w:val="auto"/>
          <w:kern w:val="0"/>
          <w:highlight w:val="none"/>
        </w:rPr>
      </w:pPr>
    </w:p>
    <w:p w14:paraId="4AD5416A">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附表一：报价记录表</w:t>
      </w:r>
    </w:p>
    <w:p w14:paraId="5B4DFEDF">
      <w:pPr>
        <w:autoSpaceDE w:val="0"/>
        <w:autoSpaceDN w:val="0"/>
        <w:adjustRightInd w:val="0"/>
        <w:snapToGrid w:val="0"/>
        <w:spacing w:line="360" w:lineRule="auto"/>
        <w:jc w:val="left"/>
        <w:rPr>
          <w:rFonts w:ascii="宋体" w:hAnsi="宋体" w:cs="宋体"/>
          <w:b/>
          <w:snapToGrid w:val="0"/>
          <w:color w:val="auto"/>
          <w:kern w:val="0"/>
          <w:highlight w:val="none"/>
        </w:rPr>
      </w:pPr>
    </w:p>
    <w:p w14:paraId="65D6E5BD">
      <w:pPr>
        <w:spacing w:line="360" w:lineRule="auto"/>
        <w:rPr>
          <w:rFonts w:ascii="宋体" w:hAnsi="宋体" w:cs="宋体"/>
          <w:b/>
          <w:snapToGrid w:val="0"/>
          <w:color w:val="auto"/>
          <w:kern w:val="0"/>
          <w:sz w:val="28"/>
          <w:szCs w:val="28"/>
          <w:highlight w:val="none"/>
        </w:rPr>
      </w:pPr>
      <w:r>
        <w:rPr>
          <w:rFonts w:hint="eastAsia" w:ascii="宋体" w:hAnsi="宋体" w:cs="宋体"/>
          <w:snapToGrid w:val="0"/>
          <w:color w:val="auto"/>
          <w:w w:val="198"/>
          <w:kern w:val="0"/>
          <w:sz w:val="28"/>
          <w:szCs w:val="28"/>
          <w:highlight w:val="none"/>
          <w:u w:val="single"/>
        </w:rPr>
        <w:t xml:space="preserve">              </w:t>
      </w:r>
      <w:r>
        <w:rPr>
          <w:rFonts w:hint="eastAsia" w:ascii="宋体" w:hAnsi="宋体" w:cs="宋体"/>
          <w:snapToGrid w:val="0"/>
          <w:color w:val="auto"/>
          <w:kern w:val="0"/>
          <w:sz w:val="28"/>
          <w:szCs w:val="28"/>
          <w:highlight w:val="none"/>
          <w:u w:val="single"/>
        </w:rPr>
        <w:t xml:space="preserve"> </w:t>
      </w:r>
      <w:r>
        <w:rPr>
          <w:rFonts w:hint="eastAsia" w:ascii="宋体" w:hAnsi="宋体" w:cs="宋体"/>
          <w:b/>
          <w:snapToGrid w:val="0"/>
          <w:color w:val="auto"/>
          <w:w w:val="99"/>
          <w:kern w:val="0"/>
          <w:sz w:val="28"/>
          <w:szCs w:val="28"/>
          <w:highlight w:val="none"/>
        </w:rPr>
        <w:t>（项目名称）报价记录表</w:t>
      </w:r>
    </w:p>
    <w:p w14:paraId="6B288767">
      <w:pPr>
        <w:tabs>
          <w:tab w:val="left" w:pos="2260"/>
          <w:tab w:val="left" w:pos="5060"/>
        </w:tabs>
        <w:autoSpaceDE w:val="0"/>
        <w:autoSpaceDN w:val="0"/>
        <w:adjustRightInd w:val="0"/>
        <w:snapToGrid w:val="0"/>
        <w:spacing w:line="360" w:lineRule="auto"/>
        <w:jc w:val="right"/>
        <w:rPr>
          <w:rFonts w:ascii="宋体" w:hAnsi="宋体" w:cs="宋体"/>
          <w:snapToGrid w:val="0"/>
          <w:color w:val="auto"/>
          <w:kern w:val="0"/>
          <w:szCs w:val="21"/>
          <w:highlight w:val="none"/>
        </w:rPr>
      </w:pPr>
      <w:r>
        <w:rPr>
          <w:rFonts w:hint="eastAsia" w:ascii="宋体" w:hAnsi="宋体" w:cs="宋体"/>
          <w:b/>
          <w:snapToGrid w:val="0"/>
          <w:color w:val="auto"/>
          <w:kern w:val="0"/>
          <w:sz w:val="28"/>
          <w:szCs w:val="28"/>
          <w:highlight w:val="none"/>
        </w:rPr>
        <w:t xml:space="preserve">                             </w:t>
      </w:r>
      <w:r>
        <w:rPr>
          <w:rFonts w:hint="eastAsia" w:ascii="宋体" w:hAnsi="宋体" w:cs="宋体"/>
          <w:snapToGrid w:val="0"/>
          <w:color w:val="auto"/>
          <w:kern w:val="0"/>
          <w:szCs w:val="21"/>
          <w:highlight w:val="none"/>
        </w:rPr>
        <w:t>时间：</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分</w:t>
      </w:r>
    </w:p>
    <w:tbl>
      <w:tblPr>
        <w:tblStyle w:val="20"/>
        <w:tblW w:w="837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08"/>
        <w:gridCol w:w="784"/>
        <w:gridCol w:w="712"/>
        <w:gridCol w:w="914"/>
        <w:gridCol w:w="1212"/>
        <w:gridCol w:w="982"/>
        <w:gridCol w:w="961"/>
        <w:gridCol w:w="1618"/>
        <w:gridCol w:w="54"/>
      </w:tblGrid>
      <w:tr w14:paraId="443F1E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851" w:hRule="exact"/>
          <w:jc w:val="center"/>
        </w:trPr>
        <w:tc>
          <w:tcPr>
            <w:tcW w:w="427" w:type="dxa"/>
            <w:vAlign w:val="center"/>
          </w:tcPr>
          <w:p w14:paraId="5B936743">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708" w:type="dxa"/>
            <w:vAlign w:val="center"/>
          </w:tcPr>
          <w:p w14:paraId="368E55F7">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w:t>
            </w:r>
          </w:p>
        </w:tc>
        <w:tc>
          <w:tcPr>
            <w:tcW w:w="784" w:type="dxa"/>
            <w:vAlign w:val="center"/>
          </w:tcPr>
          <w:p w14:paraId="5A37AB7D">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密封</w:t>
            </w:r>
          </w:p>
          <w:p w14:paraId="6FD5291B">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情况</w:t>
            </w:r>
          </w:p>
        </w:tc>
        <w:tc>
          <w:tcPr>
            <w:tcW w:w="712" w:type="dxa"/>
            <w:vAlign w:val="center"/>
          </w:tcPr>
          <w:p w14:paraId="35B1C1CF">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比选保</w:t>
            </w:r>
          </w:p>
          <w:p w14:paraId="0D02FC43">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证金</w:t>
            </w:r>
          </w:p>
        </w:tc>
        <w:tc>
          <w:tcPr>
            <w:tcW w:w="914" w:type="dxa"/>
            <w:tcBorders>
              <w:right w:val="single" w:color="auto" w:sz="4" w:space="0"/>
            </w:tcBorders>
            <w:vAlign w:val="center"/>
          </w:tcPr>
          <w:p w14:paraId="35D75589">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竞选报价</w:t>
            </w:r>
          </w:p>
        </w:tc>
        <w:tc>
          <w:tcPr>
            <w:tcW w:w="1212" w:type="dxa"/>
            <w:tcBorders>
              <w:left w:val="single" w:color="auto" w:sz="4" w:space="0"/>
            </w:tcBorders>
            <w:vAlign w:val="center"/>
          </w:tcPr>
          <w:p w14:paraId="7C493D96">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质量</w:t>
            </w:r>
          </w:p>
          <w:p w14:paraId="48287D10">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目标</w:t>
            </w:r>
          </w:p>
        </w:tc>
        <w:tc>
          <w:tcPr>
            <w:tcW w:w="982" w:type="dxa"/>
            <w:vAlign w:val="center"/>
          </w:tcPr>
          <w:p w14:paraId="12B2D6C7">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监理</w:t>
            </w:r>
          </w:p>
          <w:p w14:paraId="0D5D7E90">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服务期</w:t>
            </w:r>
          </w:p>
        </w:tc>
        <w:tc>
          <w:tcPr>
            <w:tcW w:w="961" w:type="dxa"/>
            <w:vAlign w:val="center"/>
          </w:tcPr>
          <w:p w14:paraId="1709C8A1">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1618" w:type="dxa"/>
            <w:vAlign w:val="center"/>
          </w:tcPr>
          <w:p w14:paraId="13E3A2AB">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签名</w:t>
            </w:r>
          </w:p>
        </w:tc>
      </w:tr>
      <w:tr w14:paraId="22CACC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7C8A94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7B00211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29FB645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7E1FAF9E">
            <w:pPr>
              <w:autoSpaceDE w:val="0"/>
              <w:autoSpaceDN w:val="0"/>
              <w:adjustRightInd w:val="0"/>
              <w:snapToGrid w:val="0"/>
              <w:spacing w:line="360" w:lineRule="auto"/>
              <w:jc w:val="left"/>
              <w:rPr>
                <w:rFonts w:ascii="宋体" w:hAnsi="宋体" w:cs="宋体"/>
                <w:snapToGrid w:val="0"/>
                <w:color w:val="auto"/>
                <w:kern w:val="0"/>
                <w:szCs w:val="21"/>
                <w:highlight w:val="none"/>
              </w:rPr>
            </w:pPr>
          </w:p>
        </w:tc>
        <w:tc>
          <w:tcPr>
            <w:tcW w:w="914" w:type="dxa"/>
            <w:tcBorders>
              <w:right w:val="single" w:color="auto" w:sz="4" w:space="0"/>
            </w:tcBorders>
            <w:vAlign w:val="center"/>
          </w:tcPr>
          <w:p w14:paraId="13D8E7B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02E728C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4512EB6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2FC83B1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5480829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15B404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67A19E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515B7B5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58C5B49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1EA5D6B4">
            <w:pPr>
              <w:autoSpaceDE w:val="0"/>
              <w:autoSpaceDN w:val="0"/>
              <w:adjustRightInd w:val="0"/>
              <w:snapToGrid w:val="0"/>
              <w:spacing w:line="360" w:lineRule="auto"/>
              <w:jc w:val="left"/>
              <w:rPr>
                <w:rFonts w:ascii="宋体" w:hAnsi="宋体" w:cs="宋体"/>
                <w:snapToGrid w:val="0"/>
                <w:color w:val="auto"/>
                <w:kern w:val="0"/>
                <w:szCs w:val="21"/>
                <w:highlight w:val="none"/>
              </w:rPr>
            </w:pPr>
          </w:p>
        </w:tc>
        <w:tc>
          <w:tcPr>
            <w:tcW w:w="914" w:type="dxa"/>
            <w:tcBorders>
              <w:right w:val="single" w:color="auto" w:sz="4" w:space="0"/>
            </w:tcBorders>
            <w:vAlign w:val="center"/>
          </w:tcPr>
          <w:p w14:paraId="50FE93F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6C38CE4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1565E43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7BE4FE6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67B6790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B512B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70820BE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3501DE2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5C90886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62D2730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75139AA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39406E5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3F7A8F0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6D5313C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719E39A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583048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0C1940B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44185A5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221E223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5409437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4D8A341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69DF9E4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7CBE357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6A007FC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595DC73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2C938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11D2AE2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5919D91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33983F1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468B6F4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0829ADB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2D616D1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00DFF5C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22959F4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28F1C08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2E3A97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082C428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13B4E8E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69E0D0D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176691C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20A62C4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4B57C72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2578D1D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43B93D8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41BCFDD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372150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35ACDE8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2A2BE82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19A51FD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0B9EE71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2814597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6791CDF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2483A9B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54A062B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459D484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640F4C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734EE0A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1A14269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1D7BCD7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77FC0E3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70EF4DD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38AA028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5887CE8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28AF6A7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7CFFEDD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060F7C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52FA6EB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127D5DD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24BE094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70A90F0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682CD14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1D7C699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12ED655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07AA8EB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3DE755E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267B52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E66A70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2DED50E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79EFB38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58F3843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5CF3325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588D35B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417983C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6D83DEA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555100C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232B0C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6DD6252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42E93B0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7EE4CCD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534D173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096FC14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1EE9AFE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55616BE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11F68FE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7F8C6BD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13730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1742F4D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7754859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37F6C9A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1FD145D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6D66752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152597F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6DD3F43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26A7649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27A49A9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DE9B0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528805E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451A086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5CD02C6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25B5157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77D0FC7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58FAD6A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10D8743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589FB99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5EDD797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4C50CF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23B7550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1CE342E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1D22DD2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0EDC202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6F8F5BC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29E0258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4EF9708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397B264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625E592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382107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6FBE9CE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47AF45C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785289C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4999F6E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3A87D6A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3B45A88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0C83955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5CB0987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4559A57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520FE4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01" w:hRule="exact"/>
          <w:jc w:val="center"/>
        </w:trPr>
        <w:tc>
          <w:tcPr>
            <w:tcW w:w="427" w:type="dxa"/>
            <w:vAlign w:val="center"/>
          </w:tcPr>
          <w:p w14:paraId="410A395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38646B9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1C197A3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6A45023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4115557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366FFD3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5AF28EA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3E2721B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10E5AE4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51F08A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919" w:type="dxa"/>
            <w:gridSpan w:val="3"/>
            <w:vAlign w:val="center"/>
          </w:tcPr>
          <w:p w14:paraId="0A17F52F">
            <w:pPr>
              <w:autoSpaceDE w:val="0"/>
              <w:autoSpaceDN w:val="0"/>
              <w:adjustRightInd w:val="0"/>
              <w:snapToGrid w:val="0"/>
              <w:spacing w:line="360" w:lineRule="auto"/>
              <w:jc w:val="center"/>
              <w:rPr>
                <w:rFonts w:ascii="宋体" w:hAnsi="宋体" w:cs="宋体"/>
                <w:snapToGrid w:val="0"/>
                <w:color w:val="auto"/>
                <w:kern w:val="0"/>
                <w:sz w:val="28"/>
                <w:szCs w:val="28"/>
                <w:highlight w:val="none"/>
              </w:rPr>
            </w:pPr>
            <w:r>
              <w:rPr>
                <w:rFonts w:hint="eastAsia" w:ascii="宋体" w:hAnsi="宋体" w:cs="宋体"/>
                <w:snapToGrid w:val="0"/>
                <w:color w:val="auto"/>
                <w:kern w:val="0"/>
                <w:sz w:val="28"/>
                <w:szCs w:val="28"/>
                <w:highlight w:val="none"/>
              </w:rPr>
              <w:t>最高限价</w:t>
            </w:r>
          </w:p>
        </w:tc>
        <w:tc>
          <w:tcPr>
            <w:tcW w:w="6453" w:type="dxa"/>
            <w:gridSpan w:val="7"/>
            <w:vAlign w:val="center"/>
          </w:tcPr>
          <w:p w14:paraId="27E3815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bl>
    <w:p w14:paraId="3F90D922">
      <w:pPr>
        <w:tabs>
          <w:tab w:val="left" w:pos="2740"/>
          <w:tab w:val="left" w:pos="4940"/>
          <w:tab w:val="left" w:pos="7140"/>
        </w:tabs>
        <w:autoSpaceDE w:val="0"/>
        <w:autoSpaceDN w:val="0"/>
        <w:adjustRightInd w:val="0"/>
        <w:snapToGrid w:val="0"/>
        <w:spacing w:line="360" w:lineRule="auto"/>
        <w:jc w:val="left"/>
        <w:rPr>
          <w:rFonts w:ascii="宋体" w:hAnsi="宋体" w:cs="宋体"/>
          <w:snapToGrid w:val="0"/>
          <w:color w:val="auto"/>
          <w:kern w:val="0"/>
          <w:szCs w:val="21"/>
          <w:highlight w:val="none"/>
        </w:rPr>
      </w:pPr>
    </w:p>
    <w:p w14:paraId="067BC6D5">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比选人代表：</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rPr>
        <w:t>记录人：</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rPr>
        <w:t xml:space="preserve"> 监督人员：</w:t>
      </w:r>
      <w:r>
        <w:rPr>
          <w:rFonts w:hint="eastAsia" w:ascii="宋体" w:hAnsi="宋体" w:cs="宋体"/>
          <w:snapToGrid w:val="0"/>
          <w:color w:val="auto"/>
          <w:w w:val="200"/>
          <w:kern w:val="0"/>
          <w:szCs w:val="21"/>
          <w:highlight w:val="none"/>
          <w:u w:val="single"/>
        </w:rPr>
        <w:t xml:space="preserve">          </w:t>
      </w:r>
    </w:p>
    <w:p w14:paraId="5CA109AC">
      <w:pPr>
        <w:autoSpaceDE w:val="0"/>
        <w:autoSpaceDN w:val="0"/>
        <w:adjustRightInd w:val="0"/>
        <w:snapToGrid w:val="0"/>
        <w:spacing w:before="62" w:beforeLines="20" w:line="360" w:lineRule="auto"/>
        <w:jc w:val="righ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16D62EA8">
      <w:pPr>
        <w:autoSpaceDE w:val="0"/>
        <w:autoSpaceDN w:val="0"/>
        <w:adjustRightInd w:val="0"/>
        <w:snapToGrid w:val="0"/>
        <w:spacing w:line="360" w:lineRule="auto"/>
        <w:jc w:val="left"/>
        <w:rPr>
          <w:rFonts w:ascii="宋体" w:hAnsi="宋体" w:cs="宋体"/>
          <w:b/>
          <w:snapToGrid w:val="0"/>
          <w:color w:val="auto"/>
          <w:kern w:val="0"/>
          <w:highlight w:val="none"/>
        </w:rPr>
      </w:pPr>
    </w:p>
    <w:p w14:paraId="7294242E">
      <w:pPr>
        <w:autoSpaceDE w:val="0"/>
        <w:autoSpaceDN w:val="0"/>
        <w:adjustRightInd w:val="0"/>
        <w:snapToGrid w:val="0"/>
        <w:spacing w:line="360" w:lineRule="auto"/>
        <w:jc w:val="left"/>
        <w:rPr>
          <w:rFonts w:ascii="宋体" w:hAnsi="宋体" w:cs="宋体"/>
          <w:b/>
          <w:snapToGrid w:val="0"/>
          <w:color w:val="auto"/>
          <w:kern w:val="0"/>
          <w:highlight w:val="none"/>
        </w:rPr>
      </w:pPr>
    </w:p>
    <w:p w14:paraId="171A7BB3">
      <w:pPr>
        <w:pStyle w:val="8"/>
        <w:rPr>
          <w:color w:val="auto"/>
          <w:highlight w:val="none"/>
        </w:rPr>
      </w:pPr>
    </w:p>
    <w:p w14:paraId="3AE7C737">
      <w:pPr>
        <w:autoSpaceDE w:val="0"/>
        <w:autoSpaceDN w:val="0"/>
        <w:adjustRightInd w:val="0"/>
        <w:snapToGrid w:val="0"/>
        <w:spacing w:line="360" w:lineRule="auto"/>
        <w:jc w:val="left"/>
        <w:rPr>
          <w:rFonts w:ascii="宋体" w:hAnsi="宋体" w:cs="宋体"/>
          <w:b/>
          <w:snapToGrid w:val="0"/>
          <w:color w:val="auto"/>
          <w:kern w:val="0"/>
          <w:highlight w:val="none"/>
        </w:rPr>
      </w:pPr>
    </w:p>
    <w:p w14:paraId="37AFB707">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附表二：问题澄清通知</w:t>
      </w:r>
    </w:p>
    <w:p w14:paraId="0B8376C5">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32E3FF59">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r>
        <w:rPr>
          <w:rFonts w:hint="eastAsia" w:ascii="宋体" w:hAnsi="宋体" w:cs="宋体"/>
          <w:b/>
          <w:snapToGrid w:val="0"/>
          <w:color w:val="auto"/>
          <w:w w:val="99"/>
          <w:kern w:val="0"/>
          <w:sz w:val="32"/>
          <w:szCs w:val="32"/>
          <w:highlight w:val="none"/>
        </w:rPr>
        <w:t>问题澄清通知</w:t>
      </w:r>
    </w:p>
    <w:p w14:paraId="16BF862C">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7604654C">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编号：</w:t>
      </w:r>
      <w:r>
        <w:rPr>
          <w:rFonts w:hint="eastAsia" w:ascii="宋体" w:hAnsi="宋体" w:cs="宋体"/>
          <w:snapToGrid w:val="0"/>
          <w:color w:val="auto"/>
          <w:kern w:val="0"/>
          <w:szCs w:val="21"/>
          <w:highlight w:val="none"/>
          <w:u w:val="single"/>
        </w:rPr>
        <w:t xml:space="preserve">                     </w:t>
      </w:r>
    </w:p>
    <w:p w14:paraId="6AA19AEF">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22AD5BA9">
      <w:pPr>
        <w:autoSpaceDE w:val="0"/>
        <w:autoSpaceDN w:val="0"/>
        <w:adjustRightInd w:val="0"/>
        <w:snapToGrid w:val="0"/>
        <w:spacing w:line="360" w:lineRule="auto"/>
        <w:ind w:firstLine="140" w:firstLineChars="50"/>
        <w:rPr>
          <w:rFonts w:ascii="宋体" w:hAnsi="宋体" w:cs="宋体"/>
          <w:snapToGrid w:val="0"/>
          <w:color w:val="auto"/>
          <w:kern w:val="0"/>
          <w:sz w:val="28"/>
          <w:szCs w:val="28"/>
          <w:highlight w:val="none"/>
        </w:rPr>
      </w:pPr>
    </w:p>
    <w:p w14:paraId="7A40E2C6">
      <w:pPr>
        <w:tabs>
          <w:tab w:val="left" w:pos="1580"/>
        </w:tabs>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（竞选人名称）：</w:t>
      </w:r>
    </w:p>
    <w:p w14:paraId="098FF97B">
      <w:pPr>
        <w:tabs>
          <w:tab w:val="left" w:pos="2320"/>
        </w:tabs>
        <w:autoSpaceDE w:val="0"/>
        <w:autoSpaceDN w:val="0"/>
        <w:adjustRightInd w:val="0"/>
        <w:snapToGrid w:val="0"/>
        <w:spacing w:line="360" w:lineRule="auto"/>
        <w:ind w:firstLine="424" w:firstLineChars="101"/>
        <w:jc w:val="left"/>
        <w:rPr>
          <w:rFonts w:ascii="宋体" w:hAnsi="宋体" w:cs="宋体"/>
          <w:snapToGrid w:val="0"/>
          <w:color w:val="auto"/>
          <w:kern w:val="0"/>
          <w:szCs w:val="21"/>
          <w:highlight w:val="none"/>
        </w:rPr>
      </w:pP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（项目名称）区域</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的评选委员会，对你方的竞选文件进行了仔细的审查，现需你方对下列问题以书面形式予以澄清：</w:t>
      </w:r>
    </w:p>
    <w:p w14:paraId="14B231E2">
      <w:pPr>
        <w:autoSpaceDE w:val="0"/>
        <w:autoSpaceDN w:val="0"/>
        <w:adjustRightInd w:val="0"/>
        <w:snapToGrid w:val="0"/>
        <w:spacing w:line="360" w:lineRule="auto"/>
        <w:jc w:val="left"/>
        <w:rPr>
          <w:rFonts w:ascii="宋体" w:hAnsi="宋体" w:cs="宋体"/>
          <w:snapToGrid w:val="0"/>
          <w:color w:val="auto"/>
          <w:kern w:val="0"/>
          <w:sz w:val="24"/>
          <w:highlight w:val="none"/>
        </w:rPr>
      </w:pPr>
    </w:p>
    <w:p w14:paraId="63643CEE">
      <w:pPr>
        <w:autoSpaceDE w:val="0"/>
        <w:autoSpaceDN w:val="0"/>
        <w:adjustRightInd w:val="0"/>
        <w:snapToGrid w:val="0"/>
        <w:spacing w:line="360" w:lineRule="auto"/>
        <w:jc w:val="left"/>
        <w:rPr>
          <w:rFonts w:ascii="宋体" w:hAnsi="宋体" w:cs="宋体"/>
          <w:snapToGrid w:val="0"/>
          <w:color w:val="auto"/>
          <w:kern w:val="0"/>
          <w:sz w:val="24"/>
          <w:highlight w:val="none"/>
        </w:rPr>
      </w:pPr>
    </w:p>
    <w:p w14:paraId="6D1C5BBA">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 </w:t>
      </w:r>
    </w:p>
    <w:p w14:paraId="09DD49F1">
      <w:pPr>
        <w:autoSpaceDE w:val="0"/>
        <w:autoSpaceDN w:val="0"/>
        <w:adjustRightInd w:val="0"/>
        <w:snapToGrid w:val="0"/>
        <w:spacing w:line="360" w:lineRule="auto"/>
        <w:jc w:val="left"/>
        <w:rPr>
          <w:rFonts w:ascii="宋体" w:hAnsi="宋体" w:cs="宋体"/>
          <w:snapToGrid w:val="0"/>
          <w:color w:val="auto"/>
          <w:kern w:val="0"/>
          <w:szCs w:val="21"/>
          <w:highlight w:val="none"/>
        </w:rPr>
      </w:pPr>
    </w:p>
    <w:p w14:paraId="262F7912">
      <w:pPr>
        <w:autoSpaceDE w:val="0"/>
        <w:autoSpaceDN w:val="0"/>
        <w:adjustRightInd w:val="0"/>
        <w:snapToGrid w:val="0"/>
        <w:spacing w:line="360" w:lineRule="auto"/>
        <w:jc w:val="left"/>
        <w:rPr>
          <w:rFonts w:ascii="宋体" w:hAnsi="宋体" w:cs="宋体"/>
          <w:snapToGrid w:val="0"/>
          <w:color w:val="auto"/>
          <w:kern w:val="0"/>
          <w:szCs w:val="21"/>
          <w:highlight w:val="none"/>
        </w:rPr>
      </w:pPr>
    </w:p>
    <w:p w14:paraId="179F56A4">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7D7180DC">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 </w:t>
      </w:r>
    </w:p>
    <w:p w14:paraId="450EEC8F">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2FA6C15F">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14:paraId="7884F452">
      <w:pPr>
        <w:autoSpaceDE w:val="0"/>
        <w:autoSpaceDN w:val="0"/>
        <w:adjustRightInd w:val="0"/>
        <w:snapToGrid w:val="0"/>
        <w:spacing w:line="360" w:lineRule="auto"/>
        <w:jc w:val="left"/>
        <w:rPr>
          <w:rFonts w:ascii="宋体" w:hAnsi="宋体" w:cs="宋体"/>
          <w:snapToGrid w:val="0"/>
          <w:color w:val="auto"/>
          <w:kern w:val="0"/>
          <w:sz w:val="14"/>
          <w:szCs w:val="14"/>
          <w:highlight w:val="none"/>
        </w:rPr>
      </w:pPr>
    </w:p>
    <w:p w14:paraId="2845F35A">
      <w:pPr>
        <w:autoSpaceDE w:val="0"/>
        <w:autoSpaceDN w:val="0"/>
        <w:adjustRightInd w:val="0"/>
        <w:snapToGrid w:val="0"/>
        <w:spacing w:line="360" w:lineRule="auto"/>
        <w:jc w:val="left"/>
        <w:rPr>
          <w:rFonts w:ascii="宋体" w:hAnsi="宋体" w:cs="宋体"/>
          <w:snapToGrid w:val="0"/>
          <w:color w:val="auto"/>
          <w:kern w:val="0"/>
          <w:sz w:val="14"/>
          <w:szCs w:val="14"/>
          <w:highlight w:val="none"/>
        </w:rPr>
      </w:pPr>
    </w:p>
    <w:p w14:paraId="18D992FA">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4F067959">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请将上述问题的澄清于</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时前递交至</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（详细地址）或传真至</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（传真号码）。采用传真方式的，应在</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时前将原件递交至</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（详细地址）。</w:t>
      </w:r>
    </w:p>
    <w:p w14:paraId="7F632C2C">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27F86BA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p w14:paraId="3957144D">
      <w:pPr>
        <w:tabs>
          <w:tab w:val="left" w:pos="6400"/>
        </w:tabs>
        <w:autoSpaceDE w:val="0"/>
        <w:autoSpaceDN w:val="0"/>
        <w:adjustRightInd w:val="0"/>
        <w:snapToGrid w:val="0"/>
        <w:spacing w:line="360" w:lineRule="auto"/>
        <w:jc w:val="right"/>
        <w:rPr>
          <w:rFonts w:ascii="宋体" w:hAnsi="宋体" w:cs="宋体"/>
          <w:snapToGrid w:val="0"/>
          <w:color w:val="auto"/>
          <w:kern w:val="0"/>
          <w:sz w:val="24"/>
          <w:highlight w:val="none"/>
        </w:rPr>
      </w:pPr>
      <w:r>
        <w:rPr>
          <w:rFonts w:hint="eastAsia" w:ascii="宋体" w:hAnsi="宋体" w:cs="宋体"/>
          <w:snapToGrid w:val="0"/>
          <w:color w:val="auto"/>
          <w:kern w:val="0"/>
          <w:szCs w:val="21"/>
          <w:highlight w:val="none"/>
        </w:rPr>
        <w:t xml:space="preserve">                             评选委员会：</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（签字）</w:t>
      </w:r>
      <w:r>
        <w:rPr>
          <w:rFonts w:hint="eastAsia" w:ascii="宋体" w:hAnsi="宋体" w:cs="宋体"/>
          <w:snapToGrid w:val="0"/>
          <w:color w:val="auto"/>
          <w:kern w:val="0"/>
          <w:sz w:val="24"/>
          <w:highlight w:val="none"/>
        </w:rPr>
        <w:t xml:space="preserve"> </w:t>
      </w:r>
    </w:p>
    <w:p w14:paraId="7A206E5C">
      <w:pPr>
        <w:autoSpaceDE w:val="0"/>
        <w:autoSpaceDN w:val="0"/>
        <w:adjustRightInd w:val="0"/>
        <w:snapToGrid w:val="0"/>
        <w:spacing w:line="360" w:lineRule="auto"/>
        <w:ind w:firstLine="315" w:firstLineChars="150"/>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14:paraId="107B274E">
      <w:pPr>
        <w:wordWrap w:val="0"/>
        <w:autoSpaceDE w:val="0"/>
        <w:autoSpaceDN w:val="0"/>
        <w:adjustRightInd w:val="0"/>
        <w:snapToGrid w:val="0"/>
        <w:spacing w:line="360" w:lineRule="auto"/>
        <w:ind w:firstLine="850" w:firstLineChars="40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日  </w:t>
      </w:r>
    </w:p>
    <w:p w14:paraId="08D78BA3">
      <w:pPr>
        <w:autoSpaceDE w:val="0"/>
        <w:autoSpaceDN w:val="0"/>
        <w:adjustRightInd w:val="0"/>
        <w:snapToGrid w:val="0"/>
        <w:spacing w:line="360" w:lineRule="auto"/>
        <w:jc w:val="left"/>
        <w:rPr>
          <w:rFonts w:ascii="宋体" w:hAnsi="宋体" w:cs="宋体"/>
          <w:b/>
          <w:snapToGrid w:val="0"/>
          <w:color w:val="auto"/>
          <w:kern w:val="0"/>
          <w:highlight w:val="none"/>
        </w:rPr>
      </w:pPr>
    </w:p>
    <w:p w14:paraId="16AFF578">
      <w:pPr>
        <w:autoSpaceDE w:val="0"/>
        <w:autoSpaceDN w:val="0"/>
        <w:adjustRightInd w:val="0"/>
        <w:snapToGrid w:val="0"/>
        <w:spacing w:line="360" w:lineRule="auto"/>
        <w:jc w:val="left"/>
        <w:rPr>
          <w:rFonts w:ascii="宋体" w:hAnsi="宋体" w:cs="宋体"/>
          <w:b/>
          <w:snapToGrid w:val="0"/>
          <w:color w:val="auto"/>
          <w:kern w:val="0"/>
          <w:highlight w:val="none"/>
        </w:rPr>
      </w:pPr>
    </w:p>
    <w:p w14:paraId="4B2FCFC7">
      <w:pPr>
        <w:autoSpaceDE w:val="0"/>
        <w:autoSpaceDN w:val="0"/>
        <w:adjustRightInd w:val="0"/>
        <w:snapToGrid w:val="0"/>
        <w:spacing w:line="360" w:lineRule="auto"/>
        <w:jc w:val="left"/>
        <w:rPr>
          <w:rFonts w:ascii="宋体" w:hAnsi="宋体" w:cs="宋体"/>
          <w:b/>
          <w:snapToGrid w:val="0"/>
          <w:color w:val="auto"/>
          <w:kern w:val="0"/>
          <w:highlight w:val="none"/>
        </w:rPr>
      </w:pPr>
    </w:p>
    <w:p w14:paraId="714C68BF">
      <w:pPr>
        <w:autoSpaceDE w:val="0"/>
        <w:autoSpaceDN w:val="0"/>
        <w:adjustRightInd w:val="0"/>
        <w:snapToGrid w:val="0"/>
        <w:spacing w:line="360" w:lineRule="auto"/>
        <w:jc w:val="left"/>
        <w:rPr>
          <w:rFonts w:ascii="宋体" w:hAnsi="宋体" w:cs="宋体"/>
          <w:b/>
          <w:snapToGrid w:val="0"/>
          <w:color w:val="auto"/>
          <w:kern w:val="0"/>
          <w:highlight w:val="none"/>
        </w:rPr>
      </w:pPr>
    </w:p>
    <w:p w14:paraId="5A14AA1A">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附表三：问题的澄清</w:t>
      </w:r>
    </w:p>
    <w:p w14:paraId="2EF19921">
      <w:pPr>
        <w:autoSpaceDE w:val="0"/>
        <w:autoSpaceDN w:val="0"/>
        <w:adjustRightInd w:val="0"/>
        <w:snapToGrid w:val="0"/>
        <w:spacing w:line="360" w:lineRule="auto"/>
        <w:jc w:val="left"/>
        <w:rPr>
          <w:rFonts w:ascii="宋体" w:hAnsi="宋体" w:cs="宋体"/>
          <w:b/>
          <w:snapToGrid w:val="0"/>
          <w:color w:val="auto"/>
          <w:kern w:val="0"/>
          <w:sz w:val="10"/>
          <w:szCs w:val="10"/>
          <w:highlight w:val="none"/>
        </w:rPr>
      </w:pPr>
    </w:p>
    <w:p w14:paraId="531F78E3">
      <w:pPr>
        <w:autoSpaceDE w:val="0"/>
        <w:autoSpaceDN w:val="0"/>
        <w:adjustRightInd w:val="0"/>
        <w:snapToGrid w:val="0"/>
        <w:spacing w:line="360" w:lineRule="auto"/>
        <w:jc w:val="center"/>
        <w:rPr>
          <w:rFonts w:ascii="宋体" w:hAnsi="宋体" w:cs="宋体"/>
          <w:b/>
          <w:snapToGrid w:val="0"/>
          <w:color w:val="auto"/>
          <w:kern w:val="0"/>
          <w:sz w:val="32"/>
          <w:szCs w:val="32"/>
          <w:highlight w:val="none"/>
        </w:rPr>
      </w:pPr>
      <w:r>
        <w:rPr>
          <w:rFonts w:hint="eastAsia" w:ascii="宋体" w:hAnsi="宋体" w:cs="宋体"/>
          <w:b/>
          <w:snapToGrid w:val="0"/>
          <w:color w:val="auto"/>
          <w:w w:val="99"/>
          <w:kern w:val="0"/>
          <w:sz w:val="32"/>
          <w:szCs w:val="32"/>
          <w:highlight w:val="none"/>
        </w:rPr>
        <w:t>问题的澄清</w:t>
      </w:r>
    </w:p>
    <w:p w14:paraId="6A064904">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rPr>
      </w:pPr>
    </w:p>
    <w:p w14:paraId="4BB4FAFF">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编号：</w:t>
      </w:r>
      <w:r>
        <w:rPr>
          <w:rFonts w:hint="eastAsia" w:ascii="宋体" w:hAnsi="宋体" w:cs="宋体"/>
          <w:snapToGrid w:val="0"/>
          <w:color w:val="auto"/>
          <w:kern w:val="0"/>
          <w:szCs w:val="21"/>
          <w:highlight w:val="none"/>
          <w:u w:val="single"/>
        </w:rPr>
        <w:t xml:space="preserve">                     </w:t>
      </w:r>
    </w:p>
    <w:p w14:paraId="70D36355">
      <w:pPr>
        <w:autoSpaceDE w:val="0"/>
        <w:autoSpaceDN w:val="0"/>
        <w:adjustRightInd w:val="0"/>
        <w:snapToGrid w:val="0"/>
        <w:spacing w:line="360" w:lineRule="auto"/>
        <w:ind w:firstLine="3150" w:firstLineChars="1500"/>
        <w:rPr>
          <w:rFonts w:ascii="宋体" w:hAnsi="宋体" w:cs="宋体"/>
          <w:snapToGrid w:val="0"/>
          <w:color w:val="auto"/>
          <w:kern w:val="0"/>
          <w:szCs w:val="21"/>
          <w:highlight w:val="none"/>
        </w:rPr>
      </w:pPr>
    </w:p>
    <w:p w14:paraId="24A0BCAC">
      <w:pPr>
        <w:autoSpaceDE w:val="0"/>
        <w:autoSpaceDN w:val="0"/>
        <w:adjustRightInd w:val="0"/>
        <w:snapToGrid w:val="0"/>
        <w:spacing w:line="360" w:lineRule="auto"/>
        <w:ind w:firstLine="3150" w:firstLineChars="1500"/>
        <w:rPr>
          <w:rFonts w:ascii="宋体" w:hAnsi="宋体" w:cs="宋体"/>
          <w:snapToGrid w:val="0"/>
          <w:color w:val="auto"/>
          <w:kern w:val="0"/>
          <w:szCs w:val="21"/>
          <w:highlight w:val="none"/>
        </w:rPr>
      </w:pPr>
    </w:p>
    <w:p w14:paraId="7F688207">
      <w:pPr>
        <w:tabs>
          <w:tab w:val="left" w:pos="2415"/>
          <w:tab w:val="left" w:pos="3480"/>
          <w:tab w:val="left" w:pos="4200"/>
        </w:tabs>
        <w:autoSpaceDE w:val="0"/>
        <w:autoSpaceDN w:val="0"/>
        <w:adjustRightInd w:val="0"/>
        <w:snapToGrid w:val="0"/>
        <w:spacing w:line="360" w:lineRule="auto"/>
        <w:ind w:firstLine="840" w:firstLineChars="200"/>
        <w:jc w:val="left"/>
        <w:rPr>
          <w:rFonts w:ascii="宋体" w:hAnsi="宋体" w:cs="宋体"/>
          <w:snapToGrid w:val="0"/>
          <w:color w:val="auto"/>
          <w:kern w:val="0"/>
          <w:szCs w:val="21"/>
          <w:highlight w:val="none"/>
        </w:rPr>
      </w:pP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（项目名称）区域</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评选委员会：</w:t>
      </w:r>
    </w:p>
    <w:p w14:paraId="1E94CAB8">
      <w:pPr>
        <w:tabs>
          <w:tab w:val="left" w:pos="2000"/>
          <w:tab w:val="left" w:pos="3480"/>
          <w:tab w:val="left" w:pos="4200"/>
        </w:tabs>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问题澄清通知（编号：</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）已收悉，现澄清如下：</w:t>
      </w:r>
    </w:p>
    <w:p w14:paraId="41F69F21">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 </w:t>
      </w:r>
    </w:p>
    <w:p w14:paraId="7311E576">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543A4EFB">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2CF74CFE">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403C000C">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 </w:t>
      </w:r>
    </w:p>
    <w:p w14:paraId="784B259A">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29BB2298">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11750CE6">
      <w:pPr>
        <w:autoSpaceDE w:val="0"/>
        <w:autoSpaceDN w:val="0"/>
        <w:adjustRightInd w:val="0"/>
        <w:snapToGrid w:val="0"/>
        <w:spacing w:line="360" w:lineRule="auto"/>
        <w:jc w:val="left"/>
        <w:rPr>
          <w:rFonts w:ascii="宋体" w:hAnsi="宋体" w:cs="宋体"/>
          <w:snapToGrid w:val="0"/>
          <w:color w:val="auto"/>
          <w:kern w:val="0"/>
          <w:sz w:val="22"/>
          <w:szCs w:val="22"/>
          <w:highlight w:val="none"/>
        </w:rPr>
      </w:pPr>
    </w:p>
    <w:p w14:paraId="32056D86">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14:paraId="7BC7948B">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5CE9F74A">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6A3BA85F">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09E2CA14">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0CCC80AB">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276D5631">
      <w:pPr>
        <w:tabs>
          <w:tab w:val="left" w:pos="7035"/>
        </w:tabs>
        <w:autoSpaceDE w:val="0"/>
        <w:autoSpaceDN w:val="0"/>
        <w:adjustRightInd w:val="0"/>
        <w:snapToGrid w:val="0"/>
        <w:spacing w:line="360" w:lineRule="auto"/>
        <w:ind w:firstLine="2551" w:firstLineChars="121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rPr>
        <w:t xml:space="preserve">（盖单位公章） </w:t>
      </w:r>
    </w:p>
    <w:p w14:paraId="7C4E2750">
      <w:pPr>
        <w:tabs>
          <w:tab w:val="left" w:pos="6620"/>
          <w:tab w:val="left" w:pos="7040"/>
        </w:tabs>
        <w:autoSpaceDE w:val="0"/>
        <w:autoSpaceDN w:val="0"/>
        <w:adjustRightInd w:val="0"/>
        <w:snapToGrid w:val="0"/>
        <w:spacing w:line="360" w:lineRule="auto"/>
        <w:ind w:firstLine="2551" w:firstLineChars="121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（签字或盖章）</w:t>
      </w:r>
    </w:p>
    <w:p w14:paraId="5CF325A8">
      <w:pPr>
        <w:autoSpaceDE w:val="0"/>
        <w:autoSpaceDN w:val="0"/>
        <w:adjustRightInd w:val="0"/>
        <w:snapToGrid w:val="0"/>
        <w:spacing w:line="360" w:lineRule="auto"/>
        <w:jc w:val="right"/>
        <w:rPr>
          <w:rFonts w:ascii="宋体" w:hAnsi="宋体" w:cs="宋体"/>
          <w:snapToGrid w:val="0"/>
          <w:color w:val="auto"/>
          <w:kern w:val="0"/>
          <w:sz w:val="20"/>
          <w:szCs w:val="20"/>
          <w:highlight w:val="none"/>
        </w:rPr>
      </w:pPr>
    </w:p>
    <w:p w14:paraId="32D8CF9B">
      <w:pPr>
        <w:wordWrap w:val="0"/>
        <w:autoSpaceDE w:val="0"/>
        <w:autoSpaceDN w:val="0"/>
        <w:adjustRightInd w:val="0"/>
        <w:snapToGrid w:val="0"/>
        <w:spacing w:line="360" w:lineRule="auto"/>
        <w:ind w:firstLine="315" w:firstLineChars="150"/>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日 </w:t>
      </w:r>
    </w:p>
    <w:p w14:paraId="08375953">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6AD671F9">
      <w:pPr>
        <w:autoSpaceDE w:val="0"/>
        <w:autoSpaceDN w:val="0"/>
        <w:adjustRightInd w:val="0"/>
        <w:snapToGrid w:val="0"/>
        <w:spacing w:line="360" w:lineRule="auto"/>
        <w:jc w:val="left"/>
        <w:rPr>
          <w:rFonts w:ascii="宋体" w:hAnsi="宋体" w:cs="宋体"/>
          <w:b/>
          <w:snapToGrid w:val="0"/>
          <w:color w:val="auto"/>
          <w:kern w:val="0"/>
          <w:highlight w:val="none"/>
        </w:rPr>
      </w:pPr>
    </w:p>
    <w:p w14:paraId="036D8700">
      <w:pPr>
        <w:autoSpaceDE w:val="0"/>
        <w:autoSpaceDN w:val="0"/>
        <w:adjustRightInd w:val="0"/>
        <w:snapToGrid w:val="0"/>
        <w:spacing w:line="360" w:lineRule="auto"/>
        <w:jc w:val="left"/>
        <w:rPr>
          <w:rFonts w:ascii="宋体" w:hAnsi="宋体" w:cs="宋体"/>
          <w:b/>
          <w:snapToGrid w:val="0"/>
          <w:color w:val="auto"/>
          <w:kern w:val="0"/>
          <w:highlight w:val="none"/>
        </w:rPr>
      </w:pPr>
    </w:p>
    <w:p w14:paraId="51819EC7">
      <w:pPr>
        <w:autoSpaceDE w:val="0"/>
        <w:autoSpaceDN w:val="0"/>
        <w:adjustRightInd w:val="0"/>
        <w:snapToGrid w:val="0"/>
        <w:spacing w:line="360" w:lineRule="auto"/>
        <w:jc w:val="left"/>
        <w:rPr>
          <w:rFonts w:ascii="宋体" w:hAnsi="宋体" w:cs="宋体"/>
          <w:b/>
          <w:snapToGrid w:val="0"/>
          <w:color w:val="auto"/>
          <w:kern w:val="0"/>
          <w:highlight w:val="none"/>
        </w:rPr>
      </w:pPr>
    </w:p>
    <w:p w14:paraId="275F05B9">
      <w:pPr>
        <w:autoSpaceDE w:val="0"/>
        <w:autoSpaceDN w:val="0"/>
        <w:adjustRightInd w:val="0"/>
        <w:snapToGrid w:val="0"/>
        <w:spacing w:line="360" w:lineRule="auto"/>
        <w:jc w:val="left"/>
        <w:rPr>
          <w:rFonts w:ascii="宋体" w:hAnsi="宋体" w:cs="宋体"/>
          <w:b/>
          <w:snapToGrid w:val="0"/>
          <w:color w:val="auto"/>
          <w:kern w:val="0"/>
          <w:highlight w:val="none"/>
        </w:rPr>
      </w:pPr>
    </w:p>
    <w:p w14:paraId="2749060A">
      <w:pPr>
        <w:autoSpaceDE w:val="0"/>
        <w:autoSpaceDN w:val="0"/>
        <w:adjustRightInd w:val="0"/>
        <w:snapToGrid w:val="0"/>
        <w:spacing w:line="360" w:lineRule="auto"/>
        <w:jc w:val="left"/>
        <w:rPr>
          <w:rFonts w:ascii="宋体" w:hAnsi="宋体" w:cs="宋体"/>
          <w:b/>
          <w:snapToGrid w:val="0"/>
          <w:color w:val="auto"/>
          <w:kern w:val="0"/>
          <w:highlight w:val="none"/>
        </w:rPr>
      </w:pPr>
    </w:p>
    <w:p w14:paraId="21D81187">
      <w:pPr>
        <w:pStyle w:val="8"/>
        <w:rPr>
          <w:color w:val="auto"/>
          <w:highlight w:val="none"/>
        </w:rPr>
      </w:pPr>
    </w:p>
    <w:p w14:paraId="109DA8A9">
      <w:pPr>
        <w:autoSpaceDE w:val="0"/>
        <w:autoSpaceDN w:val="0"/>
        <w:adjustRightInd w:val="0"/>
        <w:snapToGrid w:val="0"/>
        <w:spacing w:line="360" w:lineRule="auto"/>
        <w:jc w:val="left"/>
        <w:rPr>
          <w:rFonts w:ascii="宋体" w:hAnsi="宋体" w:cs="宋体"/>
          <w:b/>
          <w:snapToGrid w:val="0"/>
          <w:color w:val="auto"/>
          <w:kern w:val="0"/>
          <w:highlight w:val="none"/>
        </w:rPr>
      </w:pPr>
    </w:p>
    <w:p w14:paraId="5DCA4BCF">
      <w:pPr>
        <w:autoSpaceDE w:val="0"/>
        <w:autoSpaceDN w:val="0"/>
        <w:adjustRightInd w:val="0"/>
        <w:snapToGrid w:val="0"/>
        <w:spacing w:line="360" w:lineRule="auto"/>
        <w:jc w:val="left"/>
        <w:rPr>
          <w:rFonts w:ascii="宋体" w:hAnsi="宋体" w:cs="宋体"/>
          <w:b/>
          <w:snapToGrid w:val="0"/>
          <w:color w:val="auto"/>
          <w:kern w:val="0"/>
          <w:highlight w:val="none"/>
        </w:rPr>
      </w:pPr>
    </w:p>
    <w:p w14:paraId="0FB903DC">
      <w:pPr>
        <w:autoSpaceDE w:val="0"/>
        <w:autoSpaceDN w:val="0"/>
        <w:adjustRightInd w:val="0"/>
        <w:snapToGrid w:val="0"/>
        <w:spacing w:line="360" w:lineRule="auto"/>
        <w:jc w:val="left"/>
        <w:outlineLvl w:val="2"/>
        <w:rPr>
          <w:rFonts w:ascii="宋体" w:hAnsi="宋体" w:cs="宋体"/>
          <w:snapToGrid w:val="0"/>
          <w:color w:val="auto"/>
          <w:kern w:val="0"/>
          <w:sz w:val="20"/>
          <w:szCs w:val="20"/>
          <w:highlight w:val="none"/>
        </w:rPr>
      </w:pPr>
      <w:r>
        <w:rPr>
          <w:rFonts w:hint="eastAsia" w:ascii="宋体" w:hAnsi="宋体" w:cs="宋体"/>
          <w:b/>
          <w:snapToGrid w:val="0"/>
          <w:color w:val="auto"/>
          <w:kern w:val="0"/>
          <w:highlight w:val="none"/>
        </w:rPr>
        <w:t>附表四：中选通知书</w:t>
      </w:r>
    </w:p>
    <w:p w14:paraId="4B4E94DD">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p>
    <w:p w14:paraId="68D30FAD">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r>
        <w:rPr>
          <w:rFonts w:hint="eastAsia" w:ascii="宋体" w:hAnsi="宋体" w:cs="宋体"/>
          <w:b/>
          <w:snapToGrid w:val="0"/>
          <w:color w:val="auto"/>
          <w:w w:val="99"/>
          <w:kern w:val="0"/>
          <w:sz w:val="32"/>
          <w:szCs w:val="32"/>
          <w:highlight w:val="none"/>
        </w:rPr>
        <w:t>中选通知书</w:t>
      </w:r>
    </w:p>
    <w:p w14:paraId="589BE755">
      <w:pPr>
        <w:autoSpaceDE w:val="0"/>
        <w:autoSpaceDN w:val="0"/>
        <w:adjustRightInd w:val="0"/>
        <w:spacing w:line="360" w:lineRule="auto"/>
        <w:jc w:val="left"/>
        <w:rPr>
          <w:rFonts w:ascii="宋体" w:hAnsi="宋体" w:cs="宋体"/>
          <w:snapToGrid w:val="0"/>
          <w:color w:val="auto"/>
          <w:kern w:val="0"/>
          <w:sz w:val="20"/>
          <w:szCs w:val="20"/>
          <w:highlight w:val="none"/>
        </w:rPr>
      </w:pPr>
    </w:p>
    <w:p w14:paraId="14D42D27">
      <w:pPr>
        <w:spacing w:line="360" w:lineRule="auto"/>
        <w:rPr>
          <w:rFonts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u w:val="single"/>
        </w:rPr>
        <w:t>中选单位</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0C969C4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我单位拟建的 </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于</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日进行竞争性比选，经评选委员会评定，确定你单位为中选人，中选监理服务费</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。中选项目范围：</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 xml:space="preserve">，工程规模为 </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，中选监理服务期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，工程质量达到国家施工验收规范标准。</w:t>
      </w:r>
    </w:p>
    <w:p w14:paraId="299229C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你单位收到中选通知书后，在 </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日内到我单位签订监理合同。</w:t>
      </w:r>
    </w:p>
    <w:p w14:paraId="7ED633F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特此通知。</w:t>
      </w:r>
    </w:p>
    <w:p w14:paraId="206A178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3A31F338">
      <w:pPr>
        <w:spacing w:line="360" w:lineRule="auto"/>
        <w:rPr>
          <w:rFonts w:ascii="宋体" w:hAnsi="宋体" w:cs="宋体"/>
          <w:color w:val="auto"/>
          <w:kern w:val="0"/>
          <w:sz w:val="24"/>
          <w:highlight w:val="none"/>
        </w:rPr>
      </w:pPr>
    </w:p>
    <w:p w14:paraId="0E4B2B1C">
      <w:pPr>
        <w:spacing w:line="360" w:lineRule="auto"/>
        <w:rPr>
          <w:rFonts w:ascii="宋体" w:hAnsi="宋体" w:cs="宋体"/>
          <w:color w:val="auto"/>
          <w:kern w:val="0"/>
          <w:sz w:val="24"/>
          <w:highlight w:val="none"/>
        </w:rPr>
      </w:pPr>
    </w:p>
    <w:p w14:paraId="044D3388">
      <w:pPr>
        <w:spacing w:line="360" w:lineRule="auto"/>
        <w:jc w:val="left"/>
        <w:rPr>
          <w:rFonts w:ascii="宋体" w:hAnsi="宋体" w:cs="宋体"/>
          <w:color w:val="auto"/>
          <w:kern w:val="0"/>
          <w:szCs w:val="21"/>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Cs w:val="21"/>
          <w:highlight w:val="none"/>
        </w:rPr>
        <w:t xml:space="preserve">   比选人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snapToGrid w:val="0"/>
          <w:color w:val="auto"/>
          <w:kern w:val="0"/>
          <w:szCs w:val="21"/>
          <w:highlight w:val="none"/>
        </w:rPr>
        <w:t>盖单位公章</w:t>
      </w:r>
      <w:r>
        <w:rPr>
          <w:rFonts w:hint="eastAsia" w:ascii="宋体" w:hAnsi="宋体" w:cs="宋体"/>
          <w:color w:val="auto"/>
          <w:kern w:val="0"/>
          <w:szCs w:val="21"/>
          <w:highlight w:val="none"/>
        </w:rPr>
        <w:t>）</w:t>
      </w:r>
    </w:p>
    <w:p w14:paraId="18653599">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4B3BC726">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联系人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u w:val="single"/>
        </w:rPr>
        <w:t xml:space="preserve">                          </w:t>
      </w:r>
    </w:p>
    <w:p w14:paraId="64F4487B">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联系电话</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u w:val="single"/>
        </w:rPr>
        <w:t xml:space="preserve">                        </w:t>
      </w:r>
    </w:p>
    <w:p w14:paraId="70BDC061">
      <w:pPr>
        <w:spacing w:line="360" w:lineRule="auto"/>
        <w:ind w:firstLine="3780" w:firstLineChars="1800"/>
        <w:rPr>
          <w:rFonts w:ascii="宋体" w:hAnsi="宋体" w:cs="宋体"/>
          <w:color w:val="auto"/>
          <w:kern w:val="0"/>
          <w:szCs w:val="21"/>
          <w:highlight w:val="none"/>
        </w:rPr>
      </w:pPr>
      <w:r>
        <w:rPr>
          <w:rFonts w:hint="eastAsia" w:ascii="宋体" w:hAnsi="宋体" w:cs="宋体"/>
          <w:color w:val="auto"/>
          <w:kern w:val="0"/>
          <w:szCs w:val="21"/>
          <w:highlight w:val="none"/>
        </w:rPr>
        <w:t>签发日期</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5A0D0382">
      <w:pPr>
        <w:spacing w:line="360" w:lineRule="auto"/>
        <w:ind w:firstLine="883"/>
        <w:jc w:val="center"/>
        <w:rPr>
          <w:rFonts w:ascii="宋体" w:hAnsi="宋体" w:cs="宋体"/>
          <w:color w:val="auto"/>
          <w:kern w:val="1"/>
          <w:highlight w:val="none"/>
        </w:rPr>
      </w:pPr>
      <w:bookmarkStart w:id="616" w:name="_Toc29866"/>
      <w:bookmarkStart w:id="617" w:name="_Toc21320"/>
    </w:p>
    <w:p w14:paraId="323CCF2D">
      <w:pPr>
        <w:spacing w:line="360" w:lineRule="auto"/>
        <w:ind w:firstLine="883"/>
        <w:jc w:val="center"/>
        <w:rPr>
          <w:rFonts w:ascii="宋体" w:hAnsi="宋体" w:cs="宋体"/>
          <w:color w:val="auto"/>
          <w:kern w:val="1"/>
          <w:highlight w:val="none"/>
        </w:rPr>
      </w:pPr>
    </w:p>
    <w:p w14:paraId="5175C6E8">
      <w:pPr>
        <w:rPr>
          <w:rFonts w:ascii="宋体" w:hAnsi="宋体" w:cs="宋体"/>
          <w:color w:val="auto"/>
          <w:kern w:val="1"/>
          <w:highlight w:val="none"/>
        </w:rPr>
      </w:pPr>
    </w:p>
    <w:p w14:paraId="5BB6F8B0">
      <w:pPr>
        <w:pStyle w:val="2"/>
        <w:rPr>
          <w:rFonts w:ascii="宋体" w:hAnsi="宋体" w:cs="宋体"/>
          <w:color w:val="auto"/>
          <w:kern w:val="1"/>
          <w:highlight w:val="none"/>
        </w:rPr>
      </w:pPr>
    </w:p>
    <w:p w14:paraId="2CE9726A">
      <w:pPr>
        <w:rPr>
          <w:rFonts w:ascii="宋体" w:hAnsi="宋体" w:cs="宋体"/>
          <w:color w:val="auto"/>
          <w:kern w:val="1"/>
          <w:highlight w:val="none"/>
        </w:rPr>
      </w:pPr>
    </w:p>
    <w:p w14:paraId="425B571F">
      <w:pPr>
        <w:pStyle w:val="2"/>
        <w:rPr>
          <w:rFonts w:ascii="宋体" w:hAnsi="宋体" w:cs="宋体"/>
          <w:color w:val="auto"/>
          <w:kern w:val="1"/>
          <w:highlight w:val="none"/>
        </w:rPr>
      </w:pPr>
    </w:p>
    <w:p w14:paraId="5EBFCB76">
      <w:pPr>
        <w:rPr>
          <w:rFonts w:ascii="宋体" w:hAnsi="宋体" w:cs="宋体"/>
          <w:color w:val="auto"/>
          <w:kern w:val="1"/>
          <w:highlight w:val="none"/>
        </w:rPr>
      </w:pPr>
    </w:p>
    <w:p w14:paraId="0FFA668A">
      <w:pPr>
        <w:pStyle w:val="2"/>
        <w:rPr>
          <w:color w:val="auto"/>
          <w:highlight w:val="none"/>
        </w:rPr>
      </w:pPr>
    </w:p>
    <w:p w14:paraId="072E7071">
      <w:pPr>
        <w:pStyle w:val="3"/>
        <w:spacing w:line="360" w:lineRule="auto"/>
        <w:jc w:val="center"/>
        <w:rPr>
          <w:rFonts w:ascii="宋体" w:hAnsi="宋体" w:cs="宋体"/>
          <w:color w:val="auto"/>
          <w:kern w:val="1"/>
          <w:highlight w:val="none"/>
        </w:rPr>
      </w:pPr>
      <w:r>
        <w:rPr>
          <w:rFonts w:hint="eastAsia" w:ascii="宋体" w:hAnsi="宋体" w:cs="宋体"/>
          <w:color w:val="auto"/>
          <w:kern w:val="1"/>
          <w:highlight w:val="none"/>
        </w:rPr>
        <w:t>第三章  评选办法（综合评估法）</w:t>
      </w:r>
      <w:bookmarkEnd w:id="616"/>
      <w:bookmarkEnd w:id="617"/>
    </w:p>
    <w:p w14:paraId="6AC7E088">
      <w:pPr>
        <w:keepNext/>
        <w:keepLines/>
        <w:spacing w:before="100" w:after="100" w:line="360" w:lineRule="auto"/>
        <w:outlineLvl w:val="1"/>
        <w:rPr>
          <w:rFonts w:ascii="宋体" w:hAnsi="宋体" w:cs="宋体"/>
          <w:b/>
          <w:bCs/>
          <w:color w:val="auto"/>
          <w:kern w:val="1"/>
          <w:sz w:val="32"/>
          <w:szCs w:val="32"/>
          <w:highlight w:val="none"/>
        </w:rPr>
      </w:pPr>
      <w:bookmarkStart w:id="618" w:name="_Toc21967"/>
      <w:bookmarkStart w:id="619" w:name="_Toc9482"/>
      <w:bookmarkStart w:id="620" w:name="_Toc19136"/>
      <w:bookmarkStart w:id="621" w:name="_Toc27983300"/>
      <w:bookmarkStart w:id="622" w:name="_Toc14474"/>
      <w:bookmarkStart w:id="623" w:name="_Toc17419"/>
      <w:bookmarkStart w:id="624" w:name="_Toc7285"/>
      <w:r>
        <w:rPr>
          <w:rFonts w:hint="eastAsia" w:ascii="宋体" w:hAnsi="宋体" w:cs="宋体"/>
          <w:b/>
          <w:bCs/>
          <w:color w:val="auto"/>
          <w:kern w:val="1"/>
          <w:sz w:val="32"/>
          <w:szCs w:val="32"/>
          <w:highlight w:val="none"/>
        </w:rPr>
        <w:t>评选办法前附表</w:t>
      </w:r>
      <w:bookmarkEnd w:id="618"/>
      <w:bookmarkEnd w:id="619"/>
      <w:bookmarkEnd w:id="620"/>
    </w:p>
    <w:p w14:paraId="1CB8CEB9">
      <w:pPr>
        <w:spacing w:line="360" w:lineRule="auto"/>
        <w:ind w:firstLine="420" w:firstLineChars="200"/>
        <w:rPr>
          <w:color w:val="auto"/>
          <w:szCs w:val="21"/>
          <w:highlight w:val="none"/>
        </w:rPr>
      </w:pPr>
      <w:r>
        <w:rPr>
          <w:rFonts w:hint="eastAsia"/>
          <w:color w:val="auto"/>
          <w:szCs w:val="21"/>
          <w:highlight w:val="none"/>
        </w:rPr>
        <w:t>评选</w:t>
      </w:r>
      <w:r>
        <w:rPr>
          <w:color w:val="auto"/>
          <w:szCs w:val="21"/>
          <w:highlight w:val="none"/>
        </w:rPr>
        <w:t>办法前附表中的评审内容必须和</w:t>
      </w:r>
      <w:r>
        <w:rPr>
          <w:rFonts w:hint="eastAsia"/>
          <w:color w:val="auto"/>
          <w:szCs w:val="21"/>
          <w:highlight w:val="none"/>
        </w:rPr>
        <w:t>竞选人</w:t>
      </w:r>
      <w:r>
        <w:rPr>
          <w:color w:val="auto"/>
          <w:szCs w:val="21"/>
          <w:highlight w:val="none"/>
        </w:rPr>
        <w:t>须知前附表中的对应内容一致，若</w:t>
      </w:r>
      <w:r>
        <w:rPr>
          <w:rFonts w:hint="eastAsia"/>
          <w:color w:val="auto"/>
          <w:szCs w:val="21"/>
          <w:highlight w:val="none"/>
        </w:rPr>
        <w:t>竞选人</w:t>
      </w:r>
      <w:r>
        <w:rPr>
          <w:color w:val="auto"/>
          <w:szCs w:val="21"/>
          <w:highlight w:val="none"/>
        </w:rPr>
        <w:t>须知前附表中未作要求的内容，不得列入</w:t>
      </w:r>
      <w:r>
        <w:rPr>
          <w:rFonts w:hint="eastAsia"/>
          <w:color w:val="auto"/>
          <w:szCs w:val="21"/>
          <w:highlight w:val="none"/>
        </w:rPr>
        <w:t>评选</w:t>
      </w:r>
      <w:r>
        <w:rPr>
          <w:color w:val="auto"/>
          <w:szCs w:val="21"/>
          <w:highlight w:val="none"/>
        </w:rPr>
        <w:t>办法前附表作为评定依据。</w:t>
      </w:r>
    </w:p>
    <w:p w14:paraId="0E0749F2">
      <w:pPr>
        <w:rPr>
          <w:color w:val="auto"/>
          <w:highlight w:val="none"/>
        </w:rPr>
      </w:pPr>
    </w:p>
    <w:tbl>
      <w:tblPr>
        <w:tblStyle w:val="2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673"/>
        <w:gridCol w:w="1030"/>
        <w:gridCol w:w="985"/>
        <w:gridCol w:w="5917"/>
      </w:tblGrid>
      <w:tr w14:paraId="08F04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463E0807">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015" w:type="dxa"/>
            <w:gridSpan w:val="2"/>
            <w:vAlign w:val="center"/>
          </w:tcPr>
          <w:p w14:paraId="6238C7DD">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917" w:type="dxa"/>
            <w:vAlign w:val="center"/>
          </w:tcPr>
          <w:p w14:paraId="10F203B0">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7F94F7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4E70D40E">
            <w:pPr>
              <w:spacing w:line="360" w:lineRule="auto"/>
              <w:jc w:val="center"/>
              <w:rPr>
                <w:rFonts w:ascii="宋体" w:hAnsi="宋体"/>
                <w:b/>
                <w:color w:val="auto"/>
                <w:kern w:val="0"/>
                <w:highlight w:val="none"/>
              </w:rPr>
            </w:pPr>
            <w:r>
              <w:rPr>
                <w:rFonts w:hint="eastAsia" w:ascii="宋体" w:hAnsi="宋体"/>
                <w:color w:val="auto"/>
                <w:kern w:val="0"/>
                <w:highlight w:val="none"/>
              </w:rPr>
              <w:t>1</w:t>
            </w:r>
          </w:p>
        </w:tc>
        <w:tc>
          <w:tcPr>
            <w:tcW w:w="2015" w:type="dxa"/>
            <w:gridSpan w:val="2"/>
            <w:vAlign w:val="center"/>
          </w:tcPr>
          <w:p w14:paraId="6EF43741">
            <w:pPr>
              <w:spacing w:line="360" w:lineRule="auto"/>
              <w:jc w:val="center"/>
              <w:rPr>
                <w:rFonts w:ascii="宋体" w:hAnsi="宋体"/>
                <w:b/>
                <w:color w:val="auto"/>
                <w:kern w:val="0"/>
                <w:highlight w:val="none"/>
              </w:rPr>
            </w:pPr>
            <w:r>
              <w:rPr>
                <w:rFonts w:hint="eastAsia" w:ascii="宋体" w:hAnsi="宋体"/>
                <w:color w:val="auto"/>
                <w:kern w:val="0"/>
                <w:highlight w:val="none"/>
              </w:rPr>
              <w:t>评选</w:t>
            </w:r>
            <w:r>
              <w:rPr>
                <w:rFonts w:ascii="宋体" w:hAnsi="宋体"/>
                <w:color w:val="auto"/>
                <w:kern w:val="0"/>
                <w:highlight w:val="none"/>
              </w:rPr>
              <w:t>办法</w:t>
            </w:r>
          </w:p>
        </w:tc>
        <w:tc>
          <w:tcPr>
            <w:tcW w:w="5917" w:type="dxa"/>
            <w:vAlign w:val="center"/>
          </w:tcPr>
          <w:p w14:paraId="64181A1D">
            <w:pPr>
              <w:spacing w:line="360" w:lineRule="auto"/>
              <w:ind w:firstLine="420" w:firstLineChars="200"/>
              <w:jc w:val="left"/>
              <w:rPr>
                <w:rFonts w:ascii="宋体" w:hAnsi="宋体"/>
                <w:b/>
                <w:color w:val="auto"/>
                <w:kern w:val="0"/>
                <w:highlight w:val="none"/>
              </w:rPr>
            </w:pPr>
            <w:r>
              <w:rPr>
                <w:rFonts w:ascii="宋体" w:hAnsi="宋体"/>
                <w:color w:val="auto"/>
                <w:kern w:val="0"/>
                <w:szCs w:val="21"/>
                <w:highlight w:val="none"/>
              </w:rPr>
              <w:t>本次</w:t>
            </w:r>
            <w:r>
              <w:rPr>
                <w:rFonts w:hint="eastAsia" w:ascii="宋体" w:hAnsi="宋体"/>
                <w:color w:val="auto"/>
                <w:kern w:val="0"/>
                <w:szCs w:val="21"/>
                <w:highlight w:val="none"/>
              </w:rPr>
              <w:t>比选</w:t>
            </w:r>
            <w:r>
              <w:rPr>
                <w:rFonts w:ascii="宋体" w:hAnsi="宋体"/>
                <w:color w:val="auto"/>
                <w:kern w:val="0"/>
                <w:szCs w:val="21"/>
                <w:highlight w:val="none"/>
              </w:rPr>
              <w:t>采用综合评估法</w:t>
            </w:r>
            <w:r>
              <w:rPr>
                <w:rFonts w:ascii="宋体" w:hAnsi="宋体"/>
                <w:color w:val="auto"/>
                <w:spacing w:val="-47"/>
                <w:kern w:val="0"/>
                <w:szCs w:val="21"/>
                <w:highlight w:val="none"/>
              </w:rPr>
              <w:t>。</w:t>
            </w:r>
            <w:r>
              <w:rPr>
                <w:rFonts w:hint="eastAsia" w:ascii="宋体" w:hAnsi="宋体"/>
                <w:color w:val="auto"/>
                <w:kern w:val="0"/>
                <w:szCs w:val="21"/>
                <w:highlight w:val="none"/>
              </w:rPr>
              <w:t>评选</w:t>
            </w:r>
            <w:r>
              <w:rPr>
                <w:rFonts w:ascii="宋体" w:hAnsi="宋体"/>
                <w:color w:val="auto"/>
                <w:kern w:val="0"/>
                <w:szCs w:val="21"/>
                <w:highlight w:val="none"/>
              </w:rPr>
              <w:t xml:space="preserve">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定的评分标准进行打分，按得分由高到低顺序推荐</w:t>
            </w:r>
            <w:r>
              <w:rPr>
                <w:rFonts w:hint="eastAsia" w:ascii="宋体" w:hAnsi="宋体"/>
                <w:color w:val="auto"/>
                <w:kern w:val="0"/>
                <w:szCs w:val="21"/>
                <w:highlight w:val="none"/>
              </w:rPr>
              <w:t>中选</w:t>
            </w:r>
            <w:r>
              <w:rPr>
                <w:rFonts w:ascii="宋体" w:hAnsi="宋体"/>
                <w:color w:val="auto"/>
                <w:kern w:val="0"/>
                <w:szCs w:val="21"/>
                <w:highlight w:val="none"/>
              </w:rPr>
              <w:t>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w:t>
            </w:r>
            <w:r>
              <w:rPr>
                <w:rFonts w:hint="eastAsia" w:ascii="宋体" w:hAnsi="宋体"/>
                <w:color w:val="auto"/>
                <w:kern w:val="0"/>
                <w:szCs w:val="21"/>
                <w:highlight w:val="none"/>
              </w:rPr>
              <w:t>中选</w:t>
            </w:r>
            <w:r>
              <w:rPr>
                <w:rFonts w:ascii="宋体" w:hAnsi="宋体"/>
                <w:color w:val="auto"/>
                <w:kern w:val="0"/>
                <w:szCs w:val="21"/>
                <w:highlight w:val="none"/>
              </w:rPr>
              <w:t>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w:t>
            </w:r>
            <w:r>
              <w:rPr>
                <w:rFonts w:hint="eastAsia" w:ascii="宋体" w:hAnsi="宋体"/>
                <w:color w:val="auto"/>
                <w:kern w:val="0"/>
                <w:szCs w:val="21"/>
                <w:highlight w:val="none"/>
              </w:rPr>
              <w:t>竞选总报价</w:t>
            </w:r>
            <w:r>
              <w:rPr>
                <w:rFonts w:ascii="宋体" w:hAnsi="宋体"/>
                <w:color w:val="auto"/>
                <w:kern w:val="0"/>
                <w:szCs w:val="21"/>
                <w:highlight w:val="none"/>
              </w:rPr>
              <w:t>低的优先；</w:t>
            </w:r>
            <w:r>
              <w:rPr>
                <w:rFonts w:hint="eastAsia" w:ascii="宋体" w:hAnsi="宋体"/>
                <w:color w:val="auto"/>
                <w:kern w:val="0"/>
                <w:szCs w:val="21"/>
                <w:highlight w:val="none"/>
              </w:rPr>
              <w:t>竞选总报价</w:t>
            </w:r>
            <w:r>
              <w:rPr>
                <w:rFonts w:ascii="宋体" w:hAnsi="宋体"/>
                <w:color w:val="auto"/>
                <w:kern w:val="0"/>
                <w:szCs w:val="21"/>
                <w:highlight w:val="none"/>
              </w:rPr>
              <w:t>相等的，</w:t>
            </w:r>
            <w:r>
              <w:rPr>
                <w:rFonts w:hint="eastAsia" w:ascii="宋体" w:hAnsi="宋体"/>
                <w:color w:val="auto"/>
                <w:kern w:val="0"/>
                <w:szCs w:val="21"/>
                <w:highlight w:val="none"/>
              </w:rPr>
              <w:t>以技术（监理大纲）得分高的优先；技术得分</w:t>
            </w:r>
            <w:r>
              <w:rPr>
                <w:rFonts w:ascii="宋体" w:hAnsi="宋体"/>
                <w:color w:val="auto"/>
                <w:kern w:val="0"/>
                <w:szCs w:val="21"/>
                <w:highlight w:val="none"/>
              </w:rPr>
              <w:t>相等的</w:t>
            </w:r>
            <w:r>
              <w:rPr>
                <w:rFonts w:hint="eastAsia" w:ascii="宋体" w:hAnsi="宋体"/>
                <w:color w:val="auto"/>
                <w:kern w:val="0"/>
                <w:szCs w:val="21"/>
                <w:highlight w:val="none"/>
              </w:rPr>
              <w:t>，由评选委员会</w:t>
            </w:r>
            <w:r>
              <w:rPr>
                <w:rFonts w:hint="eastAsia" w:ascii="宋体" w:hAnsi="宋体"/>
                <w:color w:val="auto"/>
                <w:spacing w:val="4"/>
                <w:kern w:val="0"/>
                <w:szCs w:val="21"/>
                <w:highlight w:val="none"/>
                <w:u w:val="single"/>
              </w:rPr>
              <w:t>按业绩金额大的优先</w:t>
            </w:r>
            <w:r>
              <w:rPr>
                <w:rFonts w:hint="eastAsia" w:ascii="宋体" w:hAnsi="宋体"/>
                <w:color w:val="auto"/>
                <w:spacing w:val="4"/>
                <w:kern w:val="0"/>
                <w:szCs w:val="21"/>
                <w:highlight w:val="none"/>
              </w:rPr>
              <w:t>原则排序</w:t>
            </w:r>
            <w:r>
              <w:rPr>
                <w:rFonts w:hint="eastAsia" w:ascii="宋体" w:hAnsi="宋体"/>
                <w:color w:val="auto"/>
                <w:kern w:val="0"/>
                <w:szCs w:val="21"/>
                <w:highlight w:val="none"/>
              </w:rPr>
              <w:t>。</w:t>
            </w:r>
          </w:p>
        </w:tc>
      </w:tr>
      <w:tr w14:paraId="62E39C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0D5F7646">
            <w:pPr>
              <w:spacing w:line="360" w:lineRule="auto"/>
              <w:jc w:val="center"/>
              <w:rPr>
                <w:rFonts w:ascii="宋体" w:hAnsi="宋体"/>
                <w:color w:val="auto"/>
                <w:kern w:val="0"/>
                <w:highlight w:val="none"/>
              </w:rPr>
            </w:pPr>
            <w:r>
              <w:rPr>
                <w:rFonts w:ascii="宋体" w:hAnsi="宋体"/>
                <w:color w:val="auto"/>
                <w:kern w:val="0"/>
                <w:highlight w:val="none"/>
              </w:rPr>
              <w:t>2.1.1</w:t>
            </w:r>
          </w:p>
        </w:tc>
        <w:tc>
          <w:tcPr>
            <w:tcW w:w="673" w:type="dxa"/>
            <w:vMerge w:val="restart"/>
            <w:vAlign w:val="center"/>
          </w:tcPr>
          <w:p w14:paraId="3E178DDF">
            <w:pPr>
              <w:spacing w:line="360" w:lineRule="auto"/>
              <w:jc w:val="center"/>
              <w:rPr>
                <w:rFonts w:ascii="宋体" w:hAnsi="宋体"/>
                <w:color w:val="auto"/>
                <w:kern w:val="0"/>
                <w:highlight w:val="none"/>
              </w:rPr>
            </w:pPr>
            <w:r>
              <w:rPr>
                <w:rFonts w:ascii="宋体" w:hAnsi="宋体"/>
                <w:color w:val="auto"/>
                <w:kern w:val="0"/>
                <w:highlight w:val="none"/>
              </w:rPr>
              <w:t>形式评审标准</w:t>
            </w:r>
          </w:p>
        </w:tc>
        <w:tc>
          <w:tcPr>
            <w:tcW w:w="2015" w:type="dxa"/>
            <w:gridSpan w:val="2"/>
            <w:vAlign w:val="center"/>
          </w:tcPr>
          <w:p w14:paraId="4BCDBDD8">
            <w:pPr>
              <w:spacing w:line="360" w:lineRule="auto"/>
              <w:jc w:val="center"/>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名称</w:t>
            </w:r>
          </w:p>
        </w:tc>
        <w:tc>
          <w:tcPr>
            <w:tcW w:w="5917" w:type="dxa"/>
            <w:vAlign w:val="center"/>
          </w:tcPr>
          <w:p w14:paraId="1D8C210E">
            <w:pPr>
              <w:spacing w:line="360" w:lineRule="auto"/>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w:t>
            </w:r>
            <w:r>
              <w:rPr>
                <w:color w:val="auto"/>
                <w:highlight w:val="none"/>
              </w:rPr>
              <w:t>依法变更名称的应提交相应证明材料。</w:t>
            </w:r>
          </w:p>
        </w:tc>
      </w:tr>
      <w:tr w14:paraId="0590FD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15A78B93">
            <w:pPr>
              <w:spacing w:line="360" w:lineRule="auto"/>
              <w:rPr>
                <w:rFonts w:ascii="宋体" w:hAnsi="宋体"/>
                <w:color w:val="auto"/>
                <w:highlight w:val="none"/>
              </w:rPr>
            </w:pPr>
          </w:p>
        </w:tc>
        <w:tc>
          <w:tcPr>
            <w:tcW w:w="673" w:type="dxa"/>
            <w:vMerge w:val="continue"/>
          </w:tcPr>
          <w:p w14:paraId="11A759C2">
            <w:pPr>
              <w:spacing w:line="360" w:lineRule="auto"/>
              <w:rPr>
                <w:rFonts w:ascii="宋体" w:hAnsi="宋体"/>
                <w:color w:val="auto"/>
                <w:highlight w:val="none"/>
              </w:rPr>
            </w:pPr>
          </w:p>
        </w:tc>
        <w:tc>
          <w:tcPr>
            <w:tcW w:w="2015" w:type="dxa"/>
            <w:gridSpan w:val="2"/>
            <w:vAlign w:val="center"/>
          </w:tcPr>
          <w:p w14:paraId="0395B599">
            <w:pPr>
              <w:spacing w:line="360" w:lineRule="auto"/>
              <w:jc w:val="center"/>
              <w:rPr>
                <w:rFonts w:ascii="宋体" w:hAnsi="宋体"/>
                <w:color w:val="auto"/>
                <w:kern w:val="0"/>
                <w:highlight w:val="none"/>
              </w:rPr>
            </w:pPr>
            <w:r>
              <w:rPr>
                <w:rFonts w:hint="eastAsia" w:ascii="宋体" w:hAnsi="宋体"/>
                <w:color w:val="auto"/>
                <w:kern w:val="0"/>
                <w:highlight w:val="none"/>
              </w:rPr>
              <w:t>竞选函</w:t>
            </w:r>
            <w:r>
              <w:rPr>
                <w:rFonts w:ascii="宋体" w:hAnsi="宋体"/>
                <w:color w:val="auto"/>
                <w:kern w:val="0"/>
                <w:highlight w:val="none"/>
              </w:rPr>
              <w:t>签字盖章</w:t>
            </w:r>
          </w:p>
        </w:tc>
        <w:tc>
          <w:tcPr>
            <w:tcW w:w="5917" w:type="dxa"/>
            <w:vAlign w:val="center"/>
          </w:tcPr>
          <w:p w14:paraId="026FE6C3">
            <w:pPr>
              <w:spacing w:line="360" w:lineRule="auto"/>
              <w:ind w:firstLine="420" w:firstLineChars="200"/>
              <w:rPr>
                <w:rFonts w:ascii="宋体" w:hAnsi="宋体"/>
                <w:color w:val="auto"/>
                <w:kern w:val="0"/>
                <w:highlight w:val="none"/>
              </w:rPr>
            </w:pPr>
            <w:r>
              <w:rPr>
                <w:rFonts w:ascii="宋体" w:hAnsi="宋体"/>
                <w:color w:val="auto"/>
                <w:kern w:val="0"/>
                <w:highlight w:val="none"/>
              </w:rPr>
              <w:t>有法定代表人或其委托代理人签字（或盖章）、加盖单位</w:t>
            </w:r>
            <w:r>
              <w:rPr>
                <w:rFonts w:hint="eastAsia" w:ascii="宋体" w:hAnsi="宋体"/>
                <w:color w:val="auto"/>
                <w:kern w:val="0"/>
                <w:highlight w:val="none"/>
              </w:rPr>
              <w:t>公章</w:t>
            </w:r>
            <w:r>
              <w:rPr>
                <w:rFonts w:ascii="宋体" w:hAnsi="宋体"/>
                <w:color w:val="auto"/>
                <w:kern w:val="0"/>
                <w:highlight w:val="none"/>
              </w:rPr>
              <w:t>。</w:t>
            </w:r>
          </w:p>
        </w:tc>
      </w:tr>
      <w:tr w14:paraId="1C8488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7CCF121F">
            <w:pPr>
              <w:spacing w:line="360" w:lineRule="auto"/>
              <w:rPr>
                <w:rFonts w:ascii="宋体" w:hAnsi="宋体"/>
                <w:color w:val="auto"/>
                <w:highlight w:val="none"/>
              </w:rPr>
            </w:pPr>
          </w:p>
        </w:tc>
        <w:tc>
          <w:tcPr>
            <w:tcW w:w="673" w:type="dxa"/>
            <w:vMerge w:val="continue"/>
          </w:tcPr>
          <w:p w14:paraId="722F5A62">
            <w:pPr>
              <w:spacing w:line="360" w:lineRule="auto"/>
              <w:rPr>
                <w:rFonts w:ascii="宋体" w:hAnsi="宋体"/>
                <w:color w:val="auto"/>
                <w:highlight w:val="none"/>
              </w:rPr>
            </w:pPr>
          </w:p>
        </w:tc>
        <w:tc>
          <w:tcPr>
            <w:tcW w:w="2015" w:type="dxa"/>
            <w:gridSpan w:val="2"/>
            <w:vAlign w:val="center"/>
          </w:tcPr>
          <w:p w14:paraId="488D3A10">
            <w:pPr>
              <w:spacing w:line="360" w:lineRule="auto"/>
              <w:jc w:val="center"/>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格式</w:t>
            </w:r>
          </w:p>
        </w:tc>
        <w:tc>
          <w:tcPr>
            <w:tcW w:w="5917" w:type="dxa"/>
            <w:vAlign w:val="center"/>
          </w:tcPr>
          <w:p w14:paraId="172A611A">
            <w:pPr>
              <w:spacing w:line="360" w:lineRule="auto"/>
              <w:ind w:firstLine="420" w:firstLineChars="200"/>
              <w:rPr>
                <w:rFonts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五</w:t>
            </w:r>
            <w:r>
              <w:rPr>
                <w:rFonts w:ascii="宋体" w:hAnsi="宋体"/>
                <w:color w:val="auto"/>
                <w:kern w:val="0"/>
                <w:highlight w:val="none"/>
              </w:rPr>
              <w:t>章“</w:t>
            </w:r>
            <w:r>
              <w:rPr>
                <w:rFonts w:hint="eastAsia" w:ascii="宋体" w:hAnsi="宋体"/>
                <w:color w:val="auto"/>
                <w:kern w:val="0"/>
                <w:highlight w:val="none"/>
              </w:rPr>
              <w:t>竞选文件</w:t>
            </w:r>
            <w:r>
              <w:rPr>
                <w:rFonts w:ascii="宋体" w:hAnsi="宋体"/>
                <w:color w:val="auto"/>
                <w:kern w:val="0"/>
                <w:highlight w:val="none"/>
              </w:rPr>
              <w:t>格式”的要求。</w:t>
            </w:r>
          </w:p>
        </w:tc>
      </w:tr>
      <w:tr w14:paraId="0FF9AE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B20B593">
            <w:pPr>
              <w:spacing w:line="360" w:lineRule="auto"/>
              <w:rPr>
                <w:rFonts w:ascii="宋体" w:hAnsi="宋体"/>
                <w:color w:val="auto"/>
                <w:highlight w:val="none"/>
              </w:rPr>
            </w:pPr>
          </w:p>
        </w:tc>
        <w:tc>
          <w:tcPr>
            <w:tcW w:w="673" w:type="dxa"/>
            <w:vMerge w:val="continue"/>
          </w:tcPr>
          <w:p w14:paraId="05CF9F11">
            <w:pPr>
              <w:spacing w:line="360" w:lineRule="auto"/>
              <w:rPr>
                <w:rFonts w:ascii="宋体" w:hAnsi="宋体"/>
                <w:color w:val="auto"/>
                <w:highlight w:val="none"/>
              </w:rPr>
            </w:pPr>
          </w:p>
        </w:tc>
        <w:tc>
          <w:tcPr>
            <w:tcW w:w="2015" w:type="dxa"/>
            <w:gridSpan w:val="2"/>
            <w:vAlign w:val="center"/>
          </w:tcPr>
          <w:p w14:paraId="15622A9C">
            <w:pPr>
              <w:spacing w:line="360" w:lineRule="auto"/>
              <w:jc w:val="center"/>
              <w:rPr>
                <w:rFonts w:ascii="宋体" w:hAnsi="宋体"/>
                <w:color w:val="auto"/>
                <w:kern w:val="0"/>
                <w:highlight w:val="none"/>
              </w:rPr>
            </w:pPr>
            <w:r>
              <w:rPr>
                <w:rFonts w:ascii="宋体" w:hAnsi="宋体"/>
                <w:color w:val="auto"/>
                <w:kern w:val="0"/>
                <w:highlight w:val="none"/>
              </w:rPr>
              <w:t>报价唯一</w:t>
            </w:r>
          </w:p>
        </w:tc>
        <w:tc>
          <w:tcPr>
            <w:tcW w:w="5917" w:type="dxa"/>
            <w:vAlign w:val="center"/>
          </w:tcPr>
          <w:p w14:paraId="05752E6E">
            <w:pPr>
              <w:spacing w:line="360" w:lineRule="auto"/>
              <w:ind w:firstLine="420" w:firstLineChars="200"/>
              <w:rPr>
                <w:rFonts w:ascii="宋体" w:hAnsi="宋体"/>
                <w:color w:val="auto"/>
                <w:kern w:val="0"/>
                <w:highlight w:val="none"/>
              </w:rPr>
            </w:pPr>
            <w:r>
              <w:rPr>
                <w:rFonts w:ascii="宋体" w:hAnsi="宋体"/>
                <w:color w:val="auto"/>
                <w:kern w:val="0"/>
                <w:highlight w:val="none"/>
              </w:rPr>
              <w:t>只能有一个有效报价，在比选文件没有规定的情况下，不得提交选择性报价。</w:t>
            </w:r>
          </w:p>
        </w:tc>
      </w:tr>
      <w:tr w14:paraId="639BB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7ECAC19E">
            <w:pPr>
              <w:spacing w:line="360" w:lineRule="auto"/>
              <w:rPr>
                <w:rFonts w:ascii="宋体" w:hAnsi="宋体"/>
                <w:color w:val="auto"/>
                <w:highlight w:val="none"/>
              </w:rPr>
            </w:pPr>
          </w:p>
        </w:tc>
        <w:tc>
          <w:tcPr>
            <w:tcW w:w="673" w:type="dxa"/>
            <w:vMerge w:val="continue"/>
          </w:tcPr>
          <w:p w14:paraId="14F226DC">
            <w:pPr>
              <w:spacing w:line="360" w:lineRule="auto"/>
              <w:rPr>
                <w:rFonts w:ascii="宋体" w:hAnsi="宋体"/>
                <w:color w:val="auto"/>
                <w:highlight w:val="none"/>
              </w:rPr>
            </w:pPr>
          </w:p>
        </w:tc>
        <w:tc>
          <w:tcPr>
            <w:tcW w:w="2015" w:type="dxa"/>
            <w:gridSpan w:val="2"/>
            <w:vAlign w:val="center"/>
          </w:tcPr>
          <w:p w14:paraId="7EB589E8">
            <w:pPr>
              <w:spacing w:line="360" w:lineRule="auto"/>
              <w:jc w:val="center"/>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的签署</w:t>
            </w:r>
          </w:p>
        </w:tc>
        <w:tc>
          <w:tcPr>
            <w:tcW w:w="5917" w:type="dxa"/>
            <w:vAlign w:val="center"/>
          </w:tcPr>
          <w:p w14:paraId="7063E494">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上法定代表人或其委托代理人的签字（或盖章）齐全。</w:t>
            </w:r>
          </w:p>
        </w:tc>
      </w:tr>
      <w:tr w14:paraId="76F862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641D5E17">
            <w:pPr>
              <w:spacing w:line="360" w:lineRule="auto"/>
              <w:rPr>
                <w:rFonts w:ascii="宋体" w:hAnsi="宋体"/>
                <w:color w:val="auto"/>
                <w:highlight w:val="none"/>
              </w:rPr>
            </w:pPr>
          </w:p>
        </w:tc>
        <w:tc>
          <w:tcPr>
            <w:tcW w:w="673" w:type="dxa"/>
            <w:vMerge w:val="continue"/>
          </w:tcPr>
          <w:p w14:paraId="767201DC">
            <w:pPr>
              <w:spacing w:line="360" w:lineRule="auto"/>
              <w:rPr>
                <w:rFonts w:ascii="宋体" w:hAnsi="宋体"/>
                <w:color w:val="auto"/>
                <w:highlight w:val="none"/>
              </w:rPr>
            </w:pPr>
          </w:p>
        </w:tc>
        <w:tc>
          <w:tcPr>
            <w:tcW w:w="2015" w:type="dxa"/>
            <w:gridSpan w:val="2"/>
            <w:vAlign w:val="center"/>
          </w:tcPr>
          <w:p w14:paraId="1A2C7BC0">
            <w:pPr>
              <w:spacing w:line="360" w:lineRule="auto"/>
              <w:jc w:val="center"/>
              <w:rPr>
                <w:rFonts w:ascii="宋体" w:hAnsi="宋体"/>
                <w:color w:val="auto"/>
                <w:kern w:val="0"/>
                <w:highlight w:val="none"/>
              </w:rPr>
            </w:pPr>
            <w:r>
              <w:rPr>
                <w:rFonts w:ascii="宋体" w:hAnsi="宋体"/>
                <w:color w:val="auto"/>
                <w:kern w:val="0"/>
                <w:highlight w:val="none"/>
              </w:rPr>
              <w:t>委托代理人</w:t>
            </w:r>
          </w:p>
        </w:tc>
        <w:tc>
          <w:tcPr>
            <w:tcW w:w="5917" w:type="dxa"/>
            <w:vAlign w:val="center"/>
          </w:tcPr>
          <w:p w14:paraId="0F53E1AD">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w:t>
            </w:r>
          </w:p>
        </w:tc>
      </w:tr>
      <w:tr w14:paraId="3FC936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4ED25795">
            <w:pPr>
              <w:spacing w:line="360" w:lineRule="auto"/>
              <w:jc w:val="center"/>
              <w:rPr>
                <w:rFonts w:ascii="宋体" w:hAnsi="宋体"/>
                <w:color w:val="auto"/>
                <w:kern w:val="0"/>
                <w:highlight w:val="none"/>
              </w:rPr>
            </w:pPr>
            <w:r>
              <w:rPr>
                <w:rFonts w:ascii="宋体" w:hAnsi="宋体"/>
                <w:color w:val="auto"/>
                <w:kern w:val="0"/>
                <w:highlight w:val="none"/>
              </w:rPr>
              <w:t>2.1.2</w:t>
            </w:r>
          </w:p>
        </w:tc>
        <w:tc>
          <w:tcPr>
            <w:tcW w:w="673" w:type="dxa"/>
            <w:vMerge w:val="restart"/>
            <w:vAlign w:val="center"/>
          </w:tcPr>
          <w:p w14:paraId="3221AB49">
            <w:pPr>
              <w:spacing w:line="360" w:lineRule="auto"/>
              <w:jc w:val="center"/>
              <w:rPr>
                <w:rFonts w:ascii="宋体" w:hAnsi="宋体"/>
                <w:color w:val="auto"/>
                <w:kern w:val="0"/>
                <w:highlight w:val="none"/>
              </w:rPr>
            </w:pPr>
            <w:r>
              <w:rPr>
                <w:rFonts w:ascii="宋体" w:hAnsi="宋体"/>
                <w:color w:val="auto"/>
                <w:kern w:val="0"/>
                <w:highlight w:val="none"/>
              </w:rPr>
              <w:t>资格评审标准</w:t>
            </w:r>
          </w:p>
        </w:tc>
        <w:tc>
          <w:tcPr>
            <w:tcW w:w="2015" w:type="dxa"/>
            <w:gridSpan w:val="2"/>
            <w:tcBorders>
              <w:bottom w:val="single" w:color="auto" w:sz="4" w:space="0"/>
            </w:tcBorders>
            <w:vAlign w:val="center"/>
          </w:tcPr>
          <w:p w14:paraId="1F7DDE6B">
            <w:pPr>
              <w:spacing w:line="360" w:lineRule="auto"/>
              <w:jc w:val="center"/>
              <w:rPr>
                <w:rFonts w:ascii="宋体" w:hAnsi="宋体"/>
                <w:color w:val="auto"/>
                <w:kern w:val="0"/>
                <w:highlight w:val="none"/>
              </w:rPr>
            </w:pPr>
            <w:r>
              <w:rPr>
                <w:rFonts w:ascii="宋体" w:hAnsi="宋体"/>
                <w:color w:val="auto"/>
                <w:kern w:val="0"/>
                <w:highlight w:val="none"/>
              </w:rPr>
              <w:t>营业执照</w:t>
            </w:r>
          </w:p>
        </w:tc>
        <w:tc>
          <w:tcPr>
            <w:tcW w:w="5917" w:type="dxa"/>
            <w:vAlign w:val="center"/>
          </w:tcPr>
          <w:p w14:paraId="164299F4">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09D1B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04946E3">
            <w:pPr>
              <w:spacing w:line="360" w:lineRule="auto"/>
              <w:rPr>
                <w:rFonts w:ascii="宋体" w:hAnsi="宋体"/>
                <w:color w:val="auto"/>
                <w:highlight w:val="none"/>
              </w:rPr>
            </w:pPr>
          </w:p>
        </w:tc>
        <w:tc>
          <w:tcPr>
            <w:tcW w:w="673" w:type="dxa"/>
            <w:vMerge w:val="continue"/>
          </w:tcPr>
          <w:p w14:paraId="35908184">
            <w:pPr>
              <w:spacing w:line="360" w:lineRule="auto"/>
              <w:rPr>
                <w:rFonts w:ascii="宋体" w:hAnsi="宋体"/>
                <w:color w:val="auto"/>
                <w:highlight w:val="none"/>
              </w:rPr>
            </w:pPr>
          </w:p>
        </w:tc>
        <w:tc>
          <w:tcPr>
            <w:tcW w:w="2015" w:type="dxa"/>
            <w:gridSpan w:val="2"/>
            <w:tcBorders>
              <w:top w:val="single" w:color="auto" w:sz="4" w:space="0"/>
            </w:tcBorders>
          </w:tcPr>
          <w:p w14:paraId="2D5A55AD">
            <w:pPr>
              <w:spacing w:line="360" w:lineRule="auto"/>
              <w:jc w:val="center"/>
              <w:rPr>
                <w:rFonts w:ascii="宋体" w:hAnsi="宋体"/>
                <w:color w:val="auto"/>
                <w:kern w:val="0"/>
                <w:highlight w:val="none"/>
              </w:rPr>
            </w:pPr>
            <w:r>
              <w:rPr>
                <w:rFonts w:ascii="宋体" w:hAnsi="宋体"/>
                <w:color w:val="auto"/>
                <w:kern w:val="0"/>
                <w:highlight w:val="none"/>
              </w:rPr>
              <w:t>资质等级</w:t>
            </w:r>
          </w:p>
        </w:tc>
        <w:tc>
          <w:tcPr>
            <w:tcW w:w="5917" w:type="dxa"/>
            <w:vAlign w:val="center"/>
          </w:tcPr>
          <w:p w14:paraId="67CB9111">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4AB425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73529E6">
            <w:pPr>
              <w:spacing w:line="360" w:lineRule="auto"/>
              <w:rPr>
                <w:rFonts w:ascii="宋体" w:hAnsi="宋体"/>
                <w:color w:val="auto"/>
                <w:highlight w:val="none"/>
              </w:rPr>
            </w:pPr>
          </w:p>
        </w:tc>
        <w:tc>
          <w:tcPr>
            <w:tcW w:w="673" w:type="dxa"/>
            <w:vMerge w:val="continue"/>
          </w:tcPr>
          <w:p w14:paraId="1B1F0C56">
            <w:pPr>
              <w:spacing w:line="360" w:lineRule="auto"/>
              <w:rPr>
                <w:rFonts w:ascii="宋体" w:hAnsi="宋体"/>
                <w:color w:val="auto"/>
                <w:highlight w:val="none"/>
              </w:rPr>
            </w:pPr>
          </w:p>
        </w:tc>
        <w:tc>
          <w:tcPr>
            <w:tcW w:w="2015" w:type="dxa"/>
            <w:gridSpan w:val="2"/>
            <w:tcBorders>
              <w:top w:val="single" w:color="auto" w:sz="4" w:space="0"/>
            </w:tcBorders>
          </w:tcPr>
          <w:p w14:paraId="44B6B058">
            <w:pPr>
              <w:spacing w:line="360" w:lineRule="auto"/>
              <w:jc w:val="center"/>
              <w:rPr>
                <w:rFonts w:ascii="宋体" w:hAnsi="宋体"/>
                <w:color w:val="auto"/>
                <w:kern w:val="0"/>
                <w:highlight w:val="none"/>
              </w:rPr>
            </w:pPr>
            <w:r>
              <w:rPr>
                <w:rFonts w:hint="eastAsia" w:ascii="宋体" w:hAnsi="宋体"/>
                <w:color w:val="auto"/>
                <w:kern w:val="0"/>
                <w:highlight w:val="none"/>
              </w:rPr>
              <w:t>财务要求</w:t>
            </w:r>
          </w:p>
        </w:tc>
        <w:tc>
          <w:tcPr>
            <w:tcW w:w="5917" w:type="dxa"/>
            <w:vAlign w:val="center"/>
          </w:tcPr>
          <w:p w14:paraId="6900A272">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2A000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02C91B5">
            <w:pPr>
              <w:spacing w:line="360" w:lineRule="auto"/>
              <w:rPr>
                <w:rFonts w:ascii="宋体" w:hAnsi="宋体"/>
                <w:color w:val="auto"/>
                <w:highlight w:val="none"/>
              </w:rPr>
            </w:pPr>
          </w:p>
        </w:tc>
        <w:tc>
          <w:tcPr>
            <w:tcW w:w="673" w:type="dxa"/>
            <w:vMerge w:val="continue"/>
          </w:tcPr>
          <w:p w14:paraId="4455D6F7">
            <w:pPr>
              <w:spacing w:line="360" w:lineRule="auto"/>
              <w:rPr>
                <w:rFonts w:ascii="宋体" w:hAnsi="宋体"/>
                <w:color w:val="auto"/>
                <w:highlight w:val="none"/>
              </w:rPr>
            </w:pPr>
          </w:p>
        </w:tc>
        <w:tc>
          <w:tcPr>
            <w:tcW w:w="2015" w:type="dxa"/>
            <w:gridSpan w:val="2"/>
            <w:tcBorders>
              <w:top w:val="single" w:color="auto" w:sz="4" w:space="0"/>
            </w:tcBorders>
          </w:tcPr>
          <w:p w14:paraId="1620213B">
            <w:pPr>
              <w:spacing w:line="360" w:lineRule="auto"/>
              <w:jc w:val="center"/>
              <w:rPr>
                <w:rFonts w:ascii="宋体" w:hAnsi="宋体"/>
                <w:color w:val="auto"/>
                <w:kern w:val="0"/>
                <w:highlight w:val="none"/>
              </w:rPr>
            </w:pPr>
            <w:r>
              <w:rPr>
                <w:rFonts w:hint="eastAsia" w:ascii="宋体" w:hAnsi="宋体"/>
                <w:color w:val="auto"/>
                <w:kern w:val="0"/>
                <w:highlight w:val="none"/>
              </w:rPr>
              <w:t>业绩要求</w:t>
            </w:r>
          </w:p>
        </w:tc>
        <w:tc>
          <w:tcPr>
            <w:tcW w:w="5917" w:type="dxa"/>
            <w:vAlign w:val="center"/>
          </w:tcPr>
          <w:p w14:paraId="3EA2457C">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7C566B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499B208">
            <w:pPr>
              <w:spacing w:line="360" w:lineRule="auto"/>
              <w:rPr>
                <w:rFonts w:ascii="宋体" w:hAnsi="宋体"/>
                <w:color w:val="auto"/>
                <w:highlight w:val="none"/>
              </w:rPr>
            </w:pPr>
          </w:p>
        </w:tc>
        <w:tc>
          <w:tcPr>
            <w:tcW w:w="673" w:type="dxa"/>
            <w:vMerge w:val="continue"/>
          </w:tcPr>
          <w:p w14:paraId="3FC72A34">
            <w:pPr>
              <w:spacing w:line="360" w:lineRule="auto"/>
              <w:rPr>
                <w:rFonts w:ascii="宋体" w:hAnsi="宋体"/>
                <w:color w:val="auto"/>
                <w:highlight w:val="none"/>
              </w:rPr>
            </w:pPr>
          </w:p>
        </w:tc>
        <w:tc>
          <w:tcPr>
            <w:tcW w:w="2015" w:type="dxa"/>
            <w:gridSpan w:val="2"/>
            <w:tcBorders>
              <w:top w:val="single" w:color="auto" w:sz="4" w:space="0"/>
            </w:tcBorders>
          </w:tcPr>
          <w:p w14:paraId="10ED5344">
            <w:pPr>
              <w:spacing w:line="360" w:lineRule="auto"/>
              <w:jc w:val="center"/>
              <w:rPr>
                <w:rFonts w:ascii="宋体" w:hAnsi="宋体"/>
                <w:color w:val="auto"/>
                <w:kern w:val="0"/>
                <w:highlight w:val="none"/>
              </w:rPr>
            </w:pPr>
            <w:r>
              <w:rPr>
                <w:rFonts w:hint="eastAsia" w:ascii="宋体" w:hAnsi="宋体"/>
                <w:color w:val="auto"/>
                <w:kern w:val="0"/>
                <w:highlight w:val="none"/>
              </w:rPr>
              <w:t>竞选截止日竞选资格情况</w:t>
            </w:r>
          </w:p>
        </w:tc>
        <w:tc>
          <w:tcPr>
            <w:tcW w:w="5917" w:type="dxa"/>
            <w:vAlign w:val="center"/>
          </w:tcPr>
          <w:p w14:paraId="5465C198">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5D0B85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67F73675">
            <w:pPr>
              <w:spacing w:line="360" w:lineRule="auto"/>
              <w:rPr>
                <w:rFonts w:ascii="宋体" w:hAnsi="宋体"/>
                <w:color w:val="auto"/>
                <w:highlight w:val="none"/>
              </w:rPr>
            </w:pPr>
          </w:p>
        </w:tc>
        <w:tc>
          <w:tcPr>
            <w:tcW w:w="673" w:type="dxa"/>
            <w:vMerge w:val="continue"/>
          </w:tcPr>
          <w:p w14:paraId="2273503F">
            <w:pPr>
              <w:spacing w:line="360" w:lineRule="auto"/>
              <w:rPr>
                <w:rFonts w:ascii="宋体" w:hAnsi="宋体"/>
                <w:color w:val="auto"/>
                <w:highlight w:val="none"/>
              </w:rPr>
            </w:pPr>
          </w:p>
        </w:tc>
        <w:tc>
          <w:tcPr>
            <w:tcW w:w="2015" w:type="dxa"/>
            <w:gridSpan w:val="2"/>
            <w:tcBorders>
              <w:top w:val="single" w:color="auto" w:sz="4" w:space="0"/>
              <w:bottom w:val="single" w:color="auto" w:sz="4" w:space="0"/>
            </w:tcBorders>
          </w:tcPr>
          <w:p w14:paraId="1A06AB94">
            <w:pPr>
              <w:spacing w:line="360" w:lineRule="auto"/>
              <w:jc w:val="center"/>
              <w:rPr>
                <w:rFonts w:ascii="宋体" w:hAnsi="宋体"/>
                <w:color w:val="auto"/>
                <w:szCs w:val="21"/>
                <w:highlight w:val="none"/>
              </w:rPr>
            </w:pPr>
            <w:r>
              <w:rPr>
                <w:rFonts w:hint="eastAsia" w:ascii="宋体" w:hAnsi="宋体"/>
                <w:color w:val="auto"/>
                <w:kern w:val="0"/>
                <w:highlight w:val="none"/>
              </w:rPr>
              <w:t>拟派监理人员</w:t>
            </w:r>
            <w:r>
              <w:rPr>
                <w:rFonts w:ascii="宋体" w:hAnsi="宋体"/>
                <w:color w:val="auto"/>
                <w:kern w:val="0"/>
                <w:highlight w:val="none"/>
              </w:rPr>
              <w:t>资格</w:t>
            </w:r>
          </w:p>
        </w:tc>
        <w:tc>
          <w:tcPr>
            <w:tcW w:w="5917" w:type="dxa"/>
            <w:vAlign w:val="center"/>
          </w:tcPr>
          <w:p w14:paraId="59BB912F">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90A1C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41E7C80A">
            <w:pPr>
              <w:spacing w:line="360" w:lineRule="auto"/>
              <w:rPr>
                <w:rFonts w:ascii="宋体" w:hAnsi="宋体"/>
                <w:color w:val="auto"/>
                <w:highlight w:val="none"/>
              </w:rPr>
            </w:pPr>
          </w:p>
        </w:tc>
        <w:tc>
          <w:tcPr>
            <w:tcW w:w="673" w:type="dxa"/>
            <w:vMerge w:val="continue"/>
          </w:tcPr>
          <w:p w14:paraId="7B4A0F99">
            <w:pPr>
              <w:spacing w:line="360" w:lineRule="auto"/>
              <w:rPr>
                <w:rFonts w:ascii="宋体" w:hAnsi="宋体"/>
                <w:color w:val="auto"/>
                <w:highlight w:val="none"/>
              </w:rPr>
            </w:pPr>
          </w:p>
        </w:tc>
        <w:tc>
          <w:tcPr>
            <w:tcW w:w="2015" w:type="dxa"/>
            <w:gridSpan w:val="2"/>
            <w:tcBorders>
              <w:top w:val="single" w:color="auto" w:sz="4" w:space="0"/>
              <w:bottom w:val="single" w:color="auto" w:sz="4" w:space="0"/>
            </w:tcBorders>
          </w:tcPr>
          <w:p w14:paraId="39F5A35E">
            <w:pPr>
              <w:spacing w:line="360" w:lineRule="auto"/>
              <w:jc w:val="center"/>
              <w:rPr>
                <w:rFonts w:ascii="宋体" w:hAnsi="宋体"/>
                <w:color w:val="auto"/>
                <w:kern w:val="0"/>
                <w:highlight w:val="none"/>
              </w:rPr>
            </w:pPr>
            <w:r>
              <w:rPr>
                <w:rFonts w:ascii="宋体" w:hAnsi="宋体"/>
                <w:color w:val="auto"/>
                <w:kern w:val="0"/>
                <w:highlight w:val="none"/>
              </w:rPr>
              <w:t>其他要求</w:t>
            </w:r>
          </w:p>
        </w:tc>
        <w:tc>
          <w:tcPr>
            <w:tcW w:w="5917" w:type="dxa"/>
            <w:vAlign w:val="center"/>
          </w:tcPr>
          <w:p w14:paraId="0BB208AA">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B24E4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6156CE67">
            <w:pPr>
              <w:spacing w:line="360" w:lineRule="auto"/>
              <w:jc w:val="center"/>
              <w:rPr>
                <w:rFonts w:ascii="宋体" w:hAnsi="宋体"/>
                <w:color w:val="auto"/>
                <w:highlight w:val="none"/>
              </w:rPr>
            </w:pPr>
            <w:r>
              <w:rPr>
                <w:rFonts w:ascii="宋体" w:hAnsi="宋体"/>
                <w:color w:val="auto"/>
                <w:kern w:val="0"/>
                <w:highlight w:val="none"/>
              </w:rPr>
              <w:t>2.1.3</w:t>
            </w:r>
          </w:p>
        </w:tc>
        <w:tc>
          <w:tcPr>
            <w:tcW w:w="673" w:type="dxa"/>
            <w:vMerge w:val="restart"/>
            <w:vAlign w:val="center"/>
          </w:tcPr>
          <w:p w14:paraId="7A146773">
            <w:pPr>
              <w:spacing w:line="360" w:lineRule="auto"/>
              <w:jc w:val="center"/>
              <w:rPr>
                <w:rFonts w:ascii="宋体" w:hAnsi="宋体"/>
                <w:color w:val="auto"/>
                <w:highlight w:val="none"/>
              </w:rPr>
            </w:pPr>
            <w:r>
              <w:rPr>
                <w:rFonts w:ascii="宋体" w:hAnsi="宋体"/>
                <w:color w:val="auto"/>
                <w:kern w:val="0"/>
                <w:highlight w:val="none"/>
              </w:rPr>
              <w:t>响应性评审标准</w:t>
            </w:r>
          </w:p>
        </w:tc>
        <w:tc>
          <w:tcPr>
            <w:tcW w:w="2015" w:type="dxa"/>
            <w:gridSpan w:val="2"/>
            <w:vAlign w:val="center"/>
          </w:tcPr>
          <w:p w14:paraId="0F829685">
            <w:pPr>
              <w:spacing w:line="360" w:lineRule="auto"/>
              <w:jc w:val="center"/>
              <w:rPr>
                <w:rFonts w:ascii="宋体" w:hAnsi="宋体"/>
                <w:color w:val="auto"/>
                <w:kern w:val="0"/>
                <w:highlight w:val="none"/>
              </w:rPr>
            </w:pPr>
            <w:r>
              <w:rPr>
                <w:rFonts w:hint="eastAsia" w:ascii="宋体" w:hAnsi="宋体"/>
                <w:color w:val="auto"/>
                <w:kern w:val="0"/>
                <w:highlight w:val="none"/>
              </w:rPr>
              <w:t>竞选总报价</w:t>
            </w:r>
          </w:p>
        </w:tc>
        <w:tc>
          <w:tcPr>
            <w:tcW w:w="5917" w:type="dxa"/>
            <w:vAlign w:val="center"/>
          </w:tcPr>
          <w:p w14:paraId="0AB77B07">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竞选人的监理服务费总</w:t>
            </w:r>
            <w:r>
              <w:rPr>
                <w:rFonts w:ascii="宋体" w:hAnsi="宋体"/>
                <w:color w:val="auto"/>
                <w:kern w:val="0"/>
                <w:highlight w:val="none"/>
              </w:rPr>
              <w:t>报价不得高于</w:t>
            </w:r>
            <w:r>
              <w:rPr>
                <w:rFonts w:hint="eastAsia" w:ascii="宋体" w:hAnsi="宋体"/>
                <w:color w:val="auto"/>
                <w:kern w:val="0"/>
                <w:highlight w:val="none"/>
              </w:rPr>
              <w:t>比选人</w:t>
            </w:r>
            <w:r>
              <w:rPr>
                <w:rFonts w:ascii="宋体" w:hAnsi="宋体"/>
                <w:color w:val="auto"/>
                <w:kern w:val="0"/>
                <w:highlight w:val="none"/>
              </w:rPr>
              <w:t>公布的</w:t>
            </w:r>
            <w:r>
              <w:rPr>
                <w:rFonts w:hint="eastAsia"/>
                <w:color w:val="auto"/>
                <w:szCs w:val="21"/>
                <w:highlight w:val="none"/>
              </w:rPr>
              <w:t>最高限价。</w:t>
            </w:r>
          </w:p>
          <w:p w14:paraId="619C557E">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竞选总报价不得低于成本：评选</w:t>
            </w:r>
            <w:r>
              <w:rPr>
                <w:rFonts w:ascii="宋体" w:hAnsi="宋体"/>
                <w:color w:val="auto"/>
                <w:kern w:val="0"/>
                <w:highlight w:val="none"/>
              </w:rPr>
              <w:t>委员会发现</w:t>
            </w:r>
            <w:r>
              <w:rPr>
                <w:rFonts w:hint="eastAsia" w:ascii="宋体" w:hAnsi="宋体"/>
                <w:color w:val="auto"/>
                <w:kern w:val="0"/>
                <w:highlight w:val="none"/>
              </w:rPr>
              <w:t>竞选人</w:t>
            </w:r>
            <w:r>
              <w:rPr>
                <w:rFonts w:ascii="宋体" w:hAnsi="宋体"/>
                <w:color w:val="auto"/>
                <w:kern w:val="0"/>
                <w:highlight w:val="none"/>
              </w:rPr>
              <w:t>的报价明显低于其他</w:t>
            </w:r>
            <w:r>
              <w:rPr>
                <w:rFonts w:hint="eastAsia" w:ascii="宋体" w:hAnsi="宋体"/>
                <w:color w:val="auto"/>
                <w:kern w:val="0"/>
                <w:highlight w:val="none"/>
              </w:rPr>
              <w:t>竞选总报价</w:t>
            </w:r>
            <w:r>
              <w:rPr>
                <w:rFonts w:ascii="宋体" w:hAnsi="宋体"/>
                <w:color w:val="auto"/>
                <w:kern w:val="0"/>
                <w:highlight w:val="none"/>
              </w:rPr>
              <w:t>，使得其</w:t>
            </w:r>
            <w:r>
              <w:rPr>
                <w:rFonts w:hint="eastAsia" w:ascii="宋体" w:hAnsi="宋体"/>
                <w:color w:val="auto"/>
                <w:kern w:val="0"/>
                <w:highlight w:val="none"/>
              </w:rPr>
              <w:t>竞选总报价</w:t>
            </w:r>
            <w:r>
              <w:rPr>
                <w:rFonts w:ascii="宋体" w:hAnsi="宋体"/>
                <w:color w:val="auto"/>
                <w:kern w:val="0"/>
                <w:highlight w:val="none"/>
              </w:rPr>
              <w:t>可能低于其个别成本的，应当要求该</w:t>
            </w:r>
            <w:r>
              <w:rPr>
                <w:rFonts w:hint="eastAsia" w:ascii="宋体" w:hAnsi="宋体"/>
                <w:color w:val="auto"/>
                <w:kern w:val="0"/>
                <w:highlight w:val="none"/>
              </w:rPr>
              <w:t>竞选人</w:t>
            </w:r>
            <w:r>
              <w:rPr>
                <w:rFonts w:ascii="宋体" w:hAnsi="宋体"/>
                <w:color w:val="auto"/>
                <w:kern w:val="0"/>
                <w:highlight w:val="none"/>
              </w:rPr>
              <w:t>做出书面说明并提供相应的证明材料。</w:t>
            </w:r>
            <w:r>
              <w:rPr>
                <w:rFonts w:hint="eastAsia" w:ascii="宋体" w:hAnsi="宋体"/>
                <w:color w:val="auto"/>
                <w:kern w:val="0"/>
                <w:highlight w:val="none"/>
              </w:rPr>
              <w:t>竞选人</w:t>
            </w:r>
            <w:r>
              <w:rPr>
                <w:rFonts w:ascii="宋体" w:hAnsi="宋体"/>
                <w:color w:val="auto"/>
                <w:kern w:val="0"/>
                <w:highlight w:val="none"/>
              </w:rPr>
              <w:t>不能合理说明或者不能提供相应证明材料的，由</w:t>
            </w:r>
            <w:r>
              <w:rPr>
                <w:rFonts w:hint="eastAsia" w:ascii="宋体" w:hAnsi="宋体"/>
                <w:color w:val="auto"/>
                <w:kern w:val="0"/>
                <w:highlight w:val="none"/>
              </w:rPr>
              <w:t>评选</w:t>
            </w:r>
            <w:r>
              <w:rPr>
                <w:rFonts w:ascii="宋体" w:hAnsi="宋体"/>
                <w:color w:val="auto"/>
                <w:kern w:val="0"/>
                <w:highlight w:val="none"/>
              </w:rPr>
              <w:t>委员会认定该</w:t>
            </w:r>
            <w:r>
              <w:rPr>
                <w:rFonts w:hint="eastAsia" w:ascii="宋体" w:hAnsi="宋体"/>
                <w:color w:val="auto"/>
                <w:kern w:val="0"/>
                <w:highlight w:val="none"/>
              </w:rPr>
              <w:t>竞选人</w:t>
            </w:r>
            <w:r>
              <w:rPr>
                <w:rFonts w:ascii="宋体" w:hAnsi="宋体"/>
                <w:color w:val="auto"/>
                <w:kern w:val="0"/>
                <w:highlight w:val="none"/>
              </w:rPr>
              <w:t>以低于成本报价竞标，</w:t>
            </w:r>
            <w:r>
              <w:rPr>
                <w:rFonts w:hint="eastAsia" w:ascii="宋体" w:hAnsi="宋体"/>
                <w:color w:val="auto"/>
                <w:kern w:val="0"/>
                <w:highlight w:val="none"/>
              </w:rPr>
              <w:t>对该竞选人作否决竞选</w:t>
            </w:r>
            <w:r>
              <w:rPr>
                <w:rFonts w:ascii="宋体" w:hAnsi="宋体"/>
                <w:color w:val="auto"/>
                <w:kern w:val="0"/>
                <w:highlight w:val="none"/>
              </w:rPr>
              <w:t>处理。</w:t>
            </w:r>
          </w:p>
        </w:tc>
      </w:tr>
      <w:tr w14:paraId="633A70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vAlign w:val="center"/>
          </w:tcPr>
          <w:p w14:paraId="132B4D5E">
            <w:pPr>
              <w:spacing w:line="360" w:lineRule="auto"/>
              <w:jc w:val="center"/>
              <w:rPr>
                <w:rFonts w:ascii="宋体" w:hAnsi="宋体"/>
                <w:color w:val="auto"/>
                <w:kern w:val="0"/>
                <w:highlight w:val="none"/>
              </w:rPr>
            </w:pPr>
          </w:p>
        </w:tc>
        <w:tc>
          <w:tcPr>
            <w:tcW w:w="673" w:type="dxa"/>
            <w:vMerge w:val="continue"/>
            <w:textDirection w:val="tbRlV"/>
            <w:vAlign w:val="center"/>
          </w:tcPr>
          <w:p w14:paraId="2876ECD6">
            <w:pPr>
              <w:spacing w:line="360" w:lineRule="auto"/>
              <w:jc w:val="center"/>
              <w:rPr>
                <w:rFonts w:ascii="宋体" w:hAnsi="宋体"/>
                <w:color w:val="auto"/>
                <w:kern w:val="0"/>
                <w:highlight w:val="none"/>
              </w:rPr>
            </w:pPr>
          </w:p>
        </w:tc>
        <w:tc>
          <w:tcPr>
            <w:tcW w:w="2015" w:type="dxa"/>
            <w:gridSpan w:val="2"/>
            <w:vAlign w:val="center"/>
          </w:tcPr>
          <w:p w14:paraId="6DFFF676">
            <w:pPr>
              <w:spacing w:line="360" w:lineRule="auto"/>
              <w:jc w:val="center"/>
              <w:rPr>
                <w:rFonts w:ascii="宋体" w:hAnsi="宋体"/>
                <w:color w:val="auto"/>
                <w:kern w:val="0"/>
                <w:highlight w:val="none"/>
              </w:rPr>
            </w:pPr>
            <w:r>
              <w:rPr>
                <w:rFonts w:hint="eastAsia" w:ascii="宋体" w:hAnsi="宋体"/>
                <w:color w:val="auto"/>
                <w:kern w:val="0"/>
                <w:highlight w:val="none"/>
              </w:rPr>
              <w:t>竞选内容</w:t>
            </w:r>
          </w:p>
        </w:tc>
        <w:tc>
          <w:tcPr>
            <w:tcW w:w="5917" w:type="dxa"/>
            <w:vAlign w:val="center"/>
          </w:tcPr>
          <w:p w14:paraId="5EE7F860">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须知”第1.3.1项规定</w:t>
            </w:r>
          </w:p>
        </w:tc>
      </w:tr>
      <w:tr w14:paraId="04D1EF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6ADAFCF5">
            <w:pPr>
              <w:spacing w:line="360" w:lineRule="auto"/>
              <w:jc w:val="center"/>
              <w:rPr>
                <w:rFonts w:ascii="宋体" w:hAnsi="宋体"/>
                <w:color w:val="auto"/>
                <w:highlight w:val="none"/>
              </w:rPr>
            </w:pPr>
          </w:p>
        </w:tc>
        <w:tc>
          <w:tcPr>
            <w:tcW w:w="673" w:type="dxa"/>
            <w:vMerge w:val="continue"/>
          </w:tcPr>
          <w:p w14:paraId="24D9E8DB">
            <w:pPr>
              <w:spacing w:line="360" w:lineRule="auto"/>
              <w:jc w:val="center"/>
              <w:rPr>
                <w:rFonts w:ascii="宋体" w:hAnsi="宋体"/>
                <w:color w:val="auto"/>
                <w:highlight w:val="none"/>
              </w:rPr>
            </w:pPr>
          </w:p>
        </w:tc>
        <w:tc>
          <w:tcPr>
            <w:tcW w:w="2015" w:type="dxa"/>
            <w:gridSpan w:val="2"/>
            <w:vAlign w:val="center"/>
          </w:tcPr>
          <w:p w14:paraId="208902D6">
            <w:pPr>
              <w:spacing w:line="360" w:lineRule="auto"/>
              <w:jc w:val="center"/>
              <w:rPr>
                <w:rFonts w:ascii="宋体" w:hAnsi="宋体"/>
                <w:color w:val="auto"/>
                <w:kern w:val="0"/>
                <w:highlight w:val="none"/>
              </w:rPr>
            </w:pPr>
            <w:r>
              <w:rPr>
                <w:rFonts w:hint="eastAsia"/>
                <w:color w:val="auto"/>
                <w:highlight w:val="none"/>
              </w:rPr>
              <w:t>监理服务期</w:t>
            </w:r>
          </w:p>
        </w:tc>
        <w:tc>
          <w:tcPr>
            <w:tcW w:w="5917" w:type="dxa"/>
            <w:vAlign w:val="center"/>
          </w:tcPr>
          <w:p w14:paraId="451CE5BE">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须知”第1.3.2项规定</w:t>
            </w:r>
          </w:p>
        </w:tc>
      </w:tr>
      <w:tr w14:paraId="2BC770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0D9A8A21">
            <w:pPr>
              <w:spacing w:line="360" w:lineRule="auto"/>
              <w:jc w:val="center"/>
              <w:rPr>
                <w:rFonts w:ascii="宋体" w:hAnsi="宋体"/>
                <w:color w:val="auto"/>
                <w:highlight w:val="none"/>
              </w:rPr>
            </w:pPr>
          </w:p>
        </w:tc>
        <w:tc>
          <w:tcPr>
            <w:tcW w:w="673" w:type="dxa"/>
            <w:vMerge w:val="continue"/>
          </w:tcPr>
          <w:p w14:paraId="4015F9CC">
            <w:pPr>
              <w:spacing w:line="360" w:lineRule="auto"/>
              <w:jc w:val="center"/>
              <w:rPr>
                <w:rFonts w:ascii="宋体" w:hAnsi="宋体"/>
                <w:color w:val="auto"/>
                <w:highlight w:val="none"/>
              </w:rPr>
            </w:pPr>
          </w:p>
        </w:tc>
        <w:tc>
          <w:tcPr>
            <w:tcW w:w="2015" w:type="dxa"/>
            <w:gridSpan w:val="2"/>
            <w:vAlign w:val="center"/>
          </w:tcPr>
          <w:p w14:paraId="20C248A9">
            <w:pPr>
              <w:spacing w:line="360" w:lineRule="auto"/>
              <w:jc w:val="center"/>
              <w:rPr>
                <w:rFonts w:ascii="宋体" w:hAnsi="宋体"/>
                <w:color w:val="auto"/>
                <w:kern w:val="0"/>
                <w:highlight w:val="none"/>
              </w:rPr>
            </w:pPr>
            <w:r>
              <w:rPr>
                <w:rFonts w:ascii="宋体" w:hAnsi="宋体"/>
                <w:color w:val="auto"/>
                <w:kern w:val="0"/>
                <w:highlight w:val="none"/>
              </w:rPr>
              <w:t>质量</w:t>
            </w:r>
            <w:r>
              <w:rPr>
                <w:rFonts w:hint="eastAsia" w:ascii="宋体" w:hAnsi="宋体"/>
                <w:color w:val="auto"/>
                <w:kern w:val="0"/>
                <w:highlight w:val="none"/>
              </w:rPr>
              <w:t>要求</w:t>
            </w:r>
          </w:p>
        </w:tc>
        <w:tc>
          <w:tcPr>
            <w:tcW w:w="5917" w:type="dxa"/>
            <w:vAlign w:val="center"/>
          </w:tcPr>
          <w:p w14:paraId="22C9700F">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须知”第1.3.3项规定</w:t>
            </w:r>
          </w:p>
        </w:tc>
      </w:tr>
      <w:tr w14:paraId="7967C0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4F98F004">
            <w:pPr>
              <w:spacing w:line="360" w:lineRule="auto"/>
              <w:jc w:val="center"/>
              <w:rPr>
                <w:rFonts w:ascii="宋体" w:hAnsi="宋体"/>
                <w:color w:val="auto"/>
                <w:highlight w:val="none"/>
              </w:rPr>
            </w:pPr>
          </w:p>
        </w:tc>
        <w:tc>
          <w:tcPr>
            <w:tcW w:w="673" w:type="dxa"/>
            <w:vMerge w:val="continue"/>
          </w:tcPr>
          <w:p w14:paraId="3B8C631F">
            <w:pPr>
              <w:spacing w:line="360" w:lineRule="auto"/>
              <w:jc w:val="center"/>
              <w:rPr>
                <w:rFonts w:ascii="宋体" w:hAnsi="宋体"/>
                <w:color w:val="auto"/>
                <w:highlight w:val="none"/>
              </w:rPr>
            </w:pPr>
          </w:p>
        </w:tc>
        <w:tc>
          <w:tcPr>
            <w:tcW w:w="2015" w:type="dxa"/>
            <w:gridSpan w:val="2"/>
            <w:vAlign w:val="center"/>
          </w:tcPr>
          <w:p w14:paraId="45CE684A">
            <w:pPr>
              <w:spacing w:line="360" w:lineRule="auto"/>
              <w:jc w:val="center"/>
              <w:rPr>
                <w:rFonts w:ascii="宋体" w:hAnsi="宋体"/>
                <w:color w:val="auto"/>
                <w:kern w:val="0"/>
                <w:highlight w:val="none"/>
              </w:rPr>
            </w:pPr>
            <w:r>
              <w:rPr>
                <w:rFonts w:hint="eastAsia" w:ascii="宋体" w:hAnsi="宋体"/>
                <w:color w:val="auto"/>
                <w:kern w:val="0"/>
                <w:highlight w:val="none"/>
              </w:rPr>
              <w:t>比选有效期</w:t>
            </w:r>
          </w:p>
        </w:tc>
        <w:tc>
          <w:tcPr>
            <w:tcW w:w="5917" w:type="dxa"/>
            <w:vAlign w:val="center"/>
          </w:tcPr>
          <w:p w14:paraId="6A813BFF">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须知”第3.3.1项规定</w:t>
            </w:r>
          </w:p>
        </w:tc>
      </w:tr>
      <w:tr w14:paraId="14E089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CB90913">
            <w:pPr>
              <w:spacing w:line="360" w:lineRule="auto"/>
              <w:jc w:val="center"/>
              <w:rPr>
                <w:rFonts w:ascii="宋体" w:hAnsi="宋体"/>
                <w:color w:val="auto"/>
                <w:highlight w:val="none"/>
              </w:rPr>
            </w:pPr>
          </w:p>
        </w:tc>
        <w:tc>
          <w:tcPr>
            <w:tcW w:w="673" w:type="dxa"/>
            <w:vMerge w:val="continue"/>
          </w:tcPr>
          <w:p w14:paraId="26EE06B9">
            <w:pPr>
              <w:spacing w:line="360" w:lineRule="auto"/>
              <w:jc w:val="center"/>
              <w:rPr>
                <w:rFonts w:ascii="宋体" w:hAnsi="宋体"/>
                <w:color w:val="auto"/>
                <w:highlight w:val="none"/>
              </w:rPr>
            </w:pPr>
          </w:p>
        </w:tc>
        <w:tc>
          <w:tcPr>
            <w:tcW w:w="2015" w:type="dxa"/>
            <w:gridSpan w:val="2"/>
            <w:vAlign w:val="center"/>
          </w:tcPr>
          <w:p w14:paraId="726E1370">
            <w:pPr>
              <w:spacing w:line="360" w:lineRule="auto"/>
              <w:jc w:val="center"/>
              <w:rPr>
                <w:rFonts w:ascii="宋体" w:hAnsi="宋体"/>
                <w:color w:val="auto"/>
                <w:kern w:val="0"/>
                <w:highlight w:val="none"/>
              </w:rPr>
            </w:pPr>
            <w:r>
              <w:rPr>
                <w:rFonts w:hint="eastAsia" w:ascii="宋体" w:hAnsi="宋体"/>
                <w:color w:val="auto"/>
                <w:kern w:val="0"/>
                <w:highlight w:val="none"/>
              </w:rPr>
              <w:t>比选保证金</w:t>
            </w:r>
          </w:p>
        </w:tc>
        <w:tc>
          <w:tcPr>
            <w:tcW w:w="5917" w:type="dxa"/>
            <w:vAlign w:val="center"/>
          </w:tcPr>
          <w:p w14:paraId="51F6D1ED">
            <w:pPr>
              <w:tabs>
                <w:tab w:val="left" w:pos="601"/>
                <w:tab w:val="left" w:pos="669"/>
              </w:tabs>
              <w:snapToGrid w:val="0"/>
              <w:spacing w:line="360" w:lineRule="auto"/>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rPr>
              <w:t>竞选人</w:t>
            </w:r>
            <w:r>
              <w:rPr>
                <w:rFonts w:ascii="宋体" w:hAnsi="宋体"/>
                <w:color w:val="auto"/>
                <w:kern w:val="0"/>
                <w:szCs w:val="21"/>
                <w:highlight w:val="none"/>
              </w:rPr>
              <w:t>须知前附表第3.4项</w:t>
            </w:r>
            <w:r>
              <w:rPr>
                <w:rFonts w:ascii="宋体" w:hAnsi="宋体"/>
                <w:color w:val="auto"/>
                <w:kern w:val="0"/>
                <w:highlight w:val="none"/>
              </w:rPr>
              <w:t>规定</w:t>
            </w:r>
          </w:p>
        </w:tc>
      </w:tr>
      <w:tr w14:paraId="4DEE8D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217C7E6D">
            <w:pPr>
              <w:spacing w:line="360" w:lineRule="auto"/>
              <w:jc w:val="center"/>
              <w:rPr>
                <w:rFonts w:ascii="宋体" w:hAnsi="宋体"/>
                <w:color w:val="auto"/>
                <w:highlight w:val="none"/>
              </w:rPr>
            </w:pPr>
          </w:p>
        </w:tc>
        <w:tc>
          <w:tcPr>
            <w:tcW w:w="673" w:type="dxa"/>
            <w:vMerge w:val="continue"/>
          </w:tcPr>
          <w:p w14:paraId="33458D44">
            <w:pPr>
              <w:spacing w:line="360" w:lineRule="auto"/>
              <w:jc w:val="center"/>
              <w:rPr>
                <w:rFonts w:ascii="宋体" w:hAnsi="宋体"/>
                <w:color w:val="auto"/>
                <w:highlight w:val="none"/>
              </w:rPr>
            </w:pPr>
          </w:p>
        </w:tc>
        <w:tc>
          <w:tcPr>
            <w:tcW w:w="2015" w:type="dxa"/>
            <w:gridSpan w:val="2"/>
            <w:vAlign w:val="center"/>
          </w:tcPr>
          <w:p w14:paraId="6E1800B3">
            <w:pPr>
              <w:spacing w:line="360" w:lineRule="auto"/>
              <w:jc w:val="center"/>
              <w:rPr>
                <w:rFonts w:ascii="宋体" w:hAnsi="宋体"/>
                <w:color w:val="auto"/>
                <w:kern w:val="0"/>
                <w:highlight w:val="none"/>
              </w:rPr>
            </w:pPr>
            <w:r>
              <w:rPr>
                <w:rFonts w:ascii="宋体" w:hAnsi="宋体"/>
                <w:color w:val="auto"/>
                <w:kern w:val="0"/>
                <w:highlight w:val="none"/>
              </w:rPr>
              <w:t>权利义务</w:t>
            </w:r>
          </w:p>
        </w:tc>
        <w:tc>
          <w:tcPr>
            <w:tcW w:w="5917" w:type="dxa"/>
            <w:vAlign w:val="center"/>
          </w:tcPr>
          <w:p w14:paraId="0D209971">
            <w:pPr>
              <w:spacing w:after="62" w:afterLines="20" w:line="360" w:lineRule="auto"/>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p>
        </w:tc>
      </w:tr>
      <w:tr w14:paraId="1AA0C5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7AD79E9F">
            <w:pPr>
              <w:spacing w:line="360" w:lineRule="auto"/>
              <w:rPr>
                <w:rFonts w:ascii="宋体" w:hAnsi="宋体"/>
                <w:color w:val="auto"/>
                <w:highlight w:val="none"/>
              </w:rPr>
            </w:pPr>
          </w:p>
        </w:tc>
        <w:tc>
          <w:tcPr>
            <w:tcW w:w="673" w:type="dxa"/>
            <w:vMerge w:val="continue"/>
          </w:tcPr>
          <w:p w14:paraId="23903CA5">
            <w:pPr>
              <w:spacing w:line="360" w:lineRule="auto"/>
              <w:rPr>
                <w:rFonts w:ascii="宋体" w:hAnsi="宋体"/>
                <w:color w:val="auto"/>
                <w:highlight w:val="none"/>
              </w:rPr>
            </w:pPr>
          </w:p>
        </w:tc>
        <w:tc>
          <w:tcPr>
            <w:tcW w:w="2015" w:type="dxa"/>
            <w:gridSpan w:val="2"/>
            <w:vAlign w:val="center"/>
          </w:tcPr>
          <w:p w14:paraId="1A37435A">
            <w:pPr>
              <w:spacing w:line="360" w:lineRule="auto"/>
              <w:jc w:val="center"/>
              <w:rPr>
                <w:rFonts w:ascii="宋体" w:hAnsi="宋体"/>
                <w:color w:val="auto"/>
                <w:kern w:val="0"/>
                <w:highlight w:val="none"/>
              </w:rPr>
            </w:pPr>
            <w:r>
              <w:rPr>
                <w:rFonts w:ascii="宋体" w:hAnsi="宋体"/>
                <w:color w:val="auto"/>
                <w:kern w:val="0"/>
                <w:highlight w:val="none"/>
              </w:rPr>
              <w:t>实质性要求</w:t>
            </w:r>
          </w:p>
        </w:tc>
        <w:tc>
          <w:tcPr>
            <w:tcW w:w="5917" w:type="dxa"/>
            <w:vAlign w:val="center"/>
          </w:tcPr>
          <w:p w14:paraId="20A541D7">
            <w:pPr>
              <w:spacing w:after="62" w:afterLines="20" w:line="360" w:lineRule="auto"/>
              <w:ind w:firstLine="420" w:firstLineChars="200"/>
              <w:rPr>
                <w:rFonts w:ascii="宋体" w:hAnsi="宋体"/>
                <w:color w:val="auto"/>
                <w:kern w:val="0"/>
                <w:highlight w:val="none"/>
              </w:rPr>
            </w:pPr>
            <w:r>
              <w:rPr>
                <w:rFonts w:ascii="宋体" w:hAnsi="宋体"/>
                <w:color w:val="auto"/>
                <w:kern w:val="0"/>
                <w:highlight w:val="none"/>
              </w:rPr>
              <w:t>涉嫌</w:t>
            </w:r>
            <w:r>
              <w:rPr>
                <w:rFonts w:hint="eastAsia" w:ascii="宋体" w:hAnsi="宋体"/>
                <w:color w:val="auto"/>
                <w:kern w:val="0"/>
                <w:highlight w:val="none"/>
              </w:rPr>
              <w:t>串通投标</w:t>
            </w:r>
            <w:r>
              <w:rPr>
                <w:rFonts w:ascii="宋体" w:hAnsi="宋体"/>
                <w:color w:val="auto"/>
                <w:kern w:val="0"/>
                <w:highlight w:val="none"/>
              </w:rPr>
              <w:t>、弄虚作假等其他违反招投标相关法律、法规行为的。</w:t>
            </w:r>
          </w:p>
        </w:tc>
      </w:tr>
      <w:tr w14:paraId="01899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6244D0F0">
            <w:pPr>
              <w:spacing w:line="360" w:lineRule="auto"/>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015" w:type="dxa"/>
            <w:gridSpan w:val="2"/>
            <w:vAlign w:val="center"/>
          </w:tcPr>
          <w:p w14:paraId="4D614AF8">
            <w:pPr>
              <w:tabs>
                <w:tab w:val="left" w:pos="1875"/>
              </w:tabs>
              <w:spacing w:line="360" w:lineRule="auto"/>
              <w:jc w:val="center"/>
              <w:rPr>
                <w:rFonts w:ascii="宋体" w:hAnsi="宋体"/>
                <w:color w:val="auto"/>
                <w:kern w:val="0"/>
                <w:highlight w:val="none"/>
              </w:rPr>
            </w:pPr>
            <w:r>
              <w:rPr>
                <w:rFonts w:ascii="宋体" w:hAnsi="宋体"/>
                <w:color w:val="auto"/>
                <w:kern w:val="0"/>
                <w:highlight w:val="none"/>
              </w:rPr>
              <w:t xml:space="preserve">分值构成 </w:t>
            </w:r>
          </w:p>
          <w:p w14:paraId="7B23F61F">
            <w:pPr>
              <w:tabs>
                <w:tab w:val="left" w:pos="1875"/>
              </w:tabs>
              <w:spacing w:line="360" w:lineRule="auto"/>
              <w:jc w:val="center"/>
              <w:rPr>
                <w:rFonts w:ascii="宋体" w:hAnsi="宋体"/>
                <w:color w:val="auto"/>
                <w:kern w:val="0"/>
                <w:highlight w:val="none"/>
              </w:rPr>
            </w:pPr>
            <w:r>
              <w:rPr>
                <w:rFonts w:ascii="宋体" w:hAnsi="宋体"/>
                <w:color w:val="auto"/>
                <w:kern w:val="0"/>
                <w:highlight w:val="none"/>
              </w:rPr>
              <w:t>（总分1</w:t>
            </w:r>
            <w:r>
              <w:rPr>
                <w:rFonts w:hint="eastAsia" w:ascii="宋体" w:hAnsi="宋体"/>
                <w:color w:val="auto"/>
                <w:kern w:val="0"/>
                <w:highlight w:val="none"/>
              </w:rPr>
              <w:t>00</w:t>
            </w:r>
            <w:r>
              <w:rPr>
                <w:rFonts w:ascii="宋体" w:hAnsi="宋体"/>
                <w:color w:val="auto"/>
                <w:kern w:val="0"/>
                <w:highlight w:val="none"/>
              </w:rPr>
              <w:t>分）</w:t>
            </w:r>
          </w:p>
        </w:tc>
        <w:tc>
          <w:tcPr>
            <w:tcW w:w="5917" w:type="dxa"/>
            <w:vAlign w:val="center"/>
          </w:tcPr>
          <w:p w14:paraId="68116C0C">
            <w:pPr>
              <w:spacing w:line="360" w:lineRule="auto"/>
              <w:ind w:right="-23" w:firstLine="420" w:firstLineChars="200"/>
              <w:rPr>
                <w:color w:val="auto"/>
                <w:highlight w:val="none"/>
                <w:lang w:val="zh-CN"/>
              </w:rPr>
            </w:pPr>
            <w:r>
              <w:rPr>
                <w:rFonts w:hint="eastAsia"/>
                <w:color w:val="auto"/>
                <w:highlight w:val="none"/>
                <w:lang w:val="zh-CN"/>
              </w:rPr>
              <w:t>1、竞选总报价</w:t>
            </w:r>
            <w:r>
              <w:rPr>
                <w:rFonts w:hint="eastAsia"/>
                <w:color w:val="auto"/>
                <w:highlight w:val="none"/>
              </w:rPr>
              <w:t>30</w:t>
            </w:r>
            <w:r>
              <w:rPr>
                <w:rFonts w:hint="eastAsia"/>
                <w:color w:val="auto"/>
                <w:highlight w:val="none"/>
                <w:lang w:val="zh-CN"/>
              </w:rPr>
              <w:t>分；</w:t>
            </w:r>
          </w:p>
          <w:p w14:paraId="1ECADE77">
            <w:pPr>
              <w:spacing w:line="360" w:lineRule="auto"/>
              <w:ind w:right="-23" w:firstLine="420" w:firstLineChars="200"/>
              <w:rPr>
                <w:color w:val="auto"/>
                <w:highlight w:val="none"/>
              </w:rPr>
            </w:pPr>
            <w:r>
              <w:rPr>
                <w:rFonts w:hint="eastAsia"/>
                <w:color w:val="auto"/>
                <w:highlight w:val="none"/>
                <w:lang w:val="zh-CN"/>
              </w:rPr>
              <w:t>2、技术部分</w:t>
            </w:r>
            <w:r>
              <w:rPr>
                <w:rFonts w:hint="eastAsia"/>
                <w:color w:val="auto"/>
                <w:highlight w:val="none"/>
              </w:rPr>
              <w:t>70</w:t>
            </w:r>
            <w:r>
              <w:rPr>
                <w:rFonts w:hint="eastAsia"/>
                <w:color w:val="auto"/>
                <w:highlight w:val="none"/>
                <w:lang w:val="zh-CN"/>
              </w:rPr>
              <w:t>分。</w:t>
            </w:r>
          </w:p>
        </w:tc>
      </w:tr>
      <w:tr w14:paraId="1091E0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537" w:type="dxa"/>
            <w:gridSpan w:val="2"/>
            <w:vMerge w:val="restart"/>
            <w:vAlign w:val="center"/>
          </w:tcPr>
          <w:p w14:paraId="13D5A0CA">
            <w:pPr>
              <w:spacing w:line="360" w:lineRule="auto"/>
              <w:jc w:val="center"/>
              <w:rPr>
                <w:rFonts w:ascii="宋体" w:hAnsi="宋体"/>
                <w:color w:val="auto"/>
                <w:kern w:val="0"/>
                <w:highlight w:val="none"/>
              </w:rPr>
            </w:pPr>
            <w:r>
              <w:rPr>
                <w:rFonts w:ascii="宋体" w:hAnsi="宋体"/>
                <w:color w:val="auto"/>
                <w:kern w:val="0"/>
                <w:highlight w:val="none"/>
              </w:rPr>
              <w:t>2.2.2</w:t>
            </w:r>
          </w:p>
        </w:tc>
        <w:tc>
          <w:tcPr>
            <w:tcW w:w="1030" w:type="dxa"/>
            <w:vMerge w:val="restart"/>
            <w:vAlign w:val="center"/>
          </w:tcPr>
          <w:p w14:paraId="47A37A71">
            <w:pPr>
              <w:spacing w:line="360" w:lineRule="auto"/>
              <w:jc w:val="center"/>
              <w:rPr>
                <w:rFonts w:ascii="宋体" w:hAnsi="宋体"/>
                <w:color w:val="auto"/>
                <w:kern w:val="0"/>
                <w:highlight w:val="none"/>
              </w:rPr>
            </w:pPr>
            <w:r>
              <w:rPr>
                <w:rFonts w:hint="eastAsia" w:ascii="宋体" w:hAnsi="宋体"/>
                <w:color w:val="auto"/>
                <w:kern w:val="0"/>
                <w:highlight w:val="none"/>
              </w:rPr>
              <w:t>竞选</w:t>
            </w:r>
          </w:p>
          <w:p w14:paraId="1118DCE9">
            <w:pPr>
              <w:spacing w:line="360" w:lineRule="auto"/>
              <w:jc w:val="center"/>
              <w:rPr>
                <w:rFonts w:ascii="宋体" w:hAnsi="宋体"/>
                <w:color w:val="auto"/>
                <w:kern w:val="0"/>
                <w:highlight w:val="none"/>
              </w:rPr>
            </w:pPr>
            <w:r>
              <w:rPr>
                <w:rFonts w:hint="eastAsia" w:ascii="宋体" w:hAnsi="宋体"/>
                <w:color w:val="auto"/>
                <w:kern w:val="0"/>
                <w:highlight w:val="none"/>
              </w:rPr>
              <w:t>总报价</w:t>
            </w:r>
          </w:p>
          <w:p w14:paraId="4DF453DD">
            <w:pPr>
              <w:spacing w:line="360" w:lineRule="auto"/>
              <w:jc w:val="center"/>
              <w:rPr>
                <w:rFonts w:ascii="宋体" w:hAnsi="宋体"/>
                <w:color w:val="auto"/>
                <w:kern w:val="0"/>
                <w:highlight w:val="none"/>
              </w:rPr>
            </w:pPr>
            <w:r>
              <w:rPr>
                <w:rFonts w:hint="eastAsia" w:ascii="宋体" w:hAnsi="宋体"/>
                <w:color w:val="auto"/>
                <w:kern w:val="0"/>
                <w:highlight w:val="none"/>
              </w:rPr>
              <w:t>A</w:t>
            </w:r>
          </w:p>
          <w:p w14:paraId="10E70091">
            <w:pPr>
              <w:spacing w:line="360" w:lineRule="auto"/>
              <w:jc w:val="center"/>
              <w:rPr>
                <w:rFonts w:ascii="宋体" w:hAnsi="宋体"/>
                <w:color w:val="auto"/>
                <w:kern w:val="0"/>
                <w:highlight w:val="none"/>
              </w:rPr>
            </w:pPr>
            <w:r>
              <w:rPr>
                <w:rFonts w:hint="eastAsia" w:ascii="宋体" w:hAnsi="宋体"/>
                <w:color w:val="auto"/>
                <w:kern w:val="0"/>
                <w:highlight w:val="none"/>
              </w:rPr>
              <w:t>（3</w:t>
            </w:r>
            <w:r>
              <w:rPr>
                <w:rFonts w:ascii="宋体" w:hAnsi="宋体"/>
                <w:color w:val="auto"/>
                <w:kern w:val="0"/>
                <w:highlight w:val="none"/>
              </w:rPr>
              <w:t>0</w:t>
            </w:r>
            <w:r>
              <w:rPr>
                <w:rFonts w:hint="eastAsia" w:ascii="宋体" w:hAnsi="宋体"/>
                <w:color w:val="auto"/>
                <w:kern w:val="0"/>
                <w:highlight w:val="none"/>
              </w:rPr>
              <w:t>分）</w:t>
            </w:r>
          </w:p>
        </w:tc>
        <w:tc>
          <w:tcPr>
            <w:tcW w:w="985" w:type="dxa"/>
            <w:vAlign w:val="center"/>
          </w:tcPr>
          <w:p w14:paraId="4B2B28D2">
            <w:pPr>
              <w:spacing w:line="360" w:lineRule="auto"/>
              <w:jc w:val="center"/>
              <w:rPr>
                <w:rFonts w:ascii="宋体" w:hAnsi="宋体"/>
                <w:color w:val="auto"/>
                <w:kern w:val="0"/>
                <w:highlight w:val="none"/>
              </w:rPr>
            </w:pPr>
            <w:r>
              <w:rPr>
                <w:rFonts w:hint="eastAsia" w:ascii="宋体" w:hAnsi="宋体"/>
                <w:color w:val="auto"/>
                <w:kern w:val="0"/>
                <w:highlight w:val="none"/>
              </w:rPr>
              <w:t>评选</w:t>
            </w:r>
            <w:r>
              <w:rPr>
                <w:rFonts w:ascii="宋体" w:hAnsi="宋体"/>
                <w:color w:val="auto"/>
                <w:kern w:val="0"/>
                <w:highlight w:val="none"/>
              </w:rPr>
              <w:t>基准价计算方法</w:t>
            </w:r>
          </w:p>
        </w:tc>
        <w:tc>
          <w:tcPr>
            <w:tcW w:w="5917" w:type="dxa"/>
          </w:tcPr>
          <w:p w14:paraId="4A533001">
            <w:pPr>
              <w:spacing w:line="360" w:lineRule="auto"/>
              <w:ind w:right="-23" w:firstLine="420" w:firstLineChars="200"/>
              <w:rPr>
                <w:rFonts w:ascii="宋体" w:hAnsi="宋体" w:cs="宋体"/>
                <w:color w:val="auto"/>
                <w:szCs w:val="21"/>
                <w:highlight w:val="none"/>
              </w:rPr>
            </w:pPr>
            <w:r>
              <w:rPr>
                <w:rFonts w:hint="eastAsia" w:ascii="宋体" w:hAnsi="宋体" w:cs="宋体"/>
                <w:color w:val="auto"/>
                <w:szCs w:val="21"/>
                <w:highlight w:val="none"/>
              </w:rPr>
              <w:t>所有通过初步评审的竞选人（比选人设有最高限价的，则竞选总报价高于最高限价的除外）的竞选总报价中去掉六分之一（不能整除的按小数点前整数取整，不足六家报价则不去掉）的最低价和相同家数的最高价的算数平均值</w:t>
            </w:r>
            <w:r>
              <w:rPr>
                <w:rFonts w:hint="eastAsia" w:ascii="宋体" w:hAnsi="宋体"/>
                <w:color w:val="auto"/>
                <w:kern w:val="0"/>
                <w:szCs w:val="21"/>
                <w:highlight w:val="none"/>
              </w:rPr>
              <w:t>与本项目最高限价再取平均值</w:t>
            </w:r>
            <w:r>
              <w:rPr>
                <w:rFonts w:hint="eastAsia" w:ascii="宋体" w:hAnsi="宋体" w:cs="宋体"/>
                <w:color w:val="auto"/>
                <w:szCs w:val="21"/>
                <w:highlight w:val="none"/>
              </w:rPr>
              <w:t>即为评选基准价；</w:t>
            </w:r>
          </w:p>
          <w:p w14:paraId="1B328E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评选基准价计算完成后（除计算错误外），在后续的评审中不得再对其做出调整。</w:t>
            </w:r>
          </w:p>
          <w:p w14:paraId="368F7EF5">
            <w:pPr>
              <w:snapToGrid w:val="0"/>
              <w:spacing w:line="360" w:lineRule="auto"/>
              <w:ind w:firstLine="420" w:firstLineChars="200"/>
              <w:jc w:val="left"/>
              <w:rPr>
                <w:rFonts w:ascii="宋体" w:hAnsi="宋体"/>
                <w:color w:val="auto"/>
                <w:kern w:val="0"/>
                <w:szCs w:val="21"/>
                <w:highlight w:val="none"/>
              </w:rPr>
            </w:pPr>
            <w:r>
              <w:rPr>
                <w:rFonts w:hint="eastAsia" w:ascii="宋体" w:hAnsi="宋体" w:cs="宋体"/>
                <w:color w:val="auto"/>
                <w:szCs w:val="21"/>
                <w:highlight w:val="none"/>
              </w:rPr>
              <w:t>以上计算结果保留小数点后两位，第三位四舍五入。</w:t>
            </w:r>
          </w:p>
        </w:tc>
      </w:tr>
      <w:tr w14:paraId="7B0A3F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537" w:type="dxa"/>
            <w:gridSpan w:val="2"/>
            <w:vMerge w:val="continue"/>
            <w:vAlign w:val="center"/>
          </w:tcPr>
          <w:p w14:paraId="61152323">
            <w:pPr>
              <w:spacing w:line="360" w:lineRule="auto"/>
              <w:jc w:val="center"/>
              <w:rPr>
                <w:rFonts w:ascii="宋体" w:hAnsi="宋体"/>
                <w:color w:val="auto"/>
                <w:kern w:val="0"/>
                <w:highlight w:val="none"/>
              </w:rPr>
            </w:pPr>
          </w:p>
        </w:tc>
        <w:tc>
          <w:tcPr>
            <w:tcW w:w="1030" w:type="dxa"/>
            <w:vMerge w:val="continue"/>
            <w:vAlign w:val="center"/>
          </w:tcPr>
          <w:p w14:paraId="6F56124B">
            <w:pPr>
              <w:spacing w:line="360" w:lineRule="auto"/>
              <w:jc w:val="center"/>
              <w:rPr>
                <w:rFonts w:ascii="宋体" w:hAnsi="宋体"/>
                <w:color w:val="auto"/>
                <w:kern w:val="0"/>
                <w:highlight w:val="none"/>
              </w:rPr>
            </w:pPr>
          </w:p>
        </w:tc>
        <w:tc>
          <w:tcPr>
            <w:tcW w:w="985" w:type="dxa"/>
            <w:vAlign w:val="center"/>
          </w:tcPr>
          <w:p w14:paraId="49C2A94B">
            <w:pPr>
              <w:spacing w:line="360" w:lineRule="auto"/>
              <w:jc w:val="center"/>
              <w:rPr>
                <w:rFonts w:ascii="宋体" w:hAnsi="宋体"/>
                <w:color w:val="auto"/>
                <w:kern w:val="0"/>
                <w:highlight w:val="none"/>
              </w:rPr>
            </w:pPr>
            <w:r>
              <w:rPr>
                <w:rFonts w:hint="eastAsia" w:ascii="宋体" w:hAnsi="宋体"/>
                <w:color w:val="auto"/>
                <w:kern w:val="0"/>
                <w:highlight w:val="none"/>
              </w:rPr>
              <w:t>竞选</w:t>
            </w:r>
          </w:p>
          <w:p w14:paraId="79EEB7B2">
            <w:pPr>
              <w:spacing w:line="360" w:lineRule="auto"/>
              <w:jc w:val="center"/>
              <w:rPr>
                <w:rFonts w:ascii="宋体" w:hAnsi="宋体"/>
                <w:color w:val="auto"/>
                <w:kern w:val="0"/>
                <w:highlight w:val="none"/>
              </w:rPr>
            </w:pPr>
            <w:r>
              <w:rPr>
                <w:rFonts w:hint="eastAsia" w:ascii="宋体" w:hAnsi="宋体"/>
                <w:color w:val="auto"/>
                <w:kern w:val="0"/>
                <w:highlight w:val="none"/>
              </w:rPr>
              <w:t>总报价得分</w:t>
            </w:r>
          </w:p>
        </w:tc>
        <w:tc>
          <w:tcPr>
            <w:tcW w:w="5917" w:type="dxa"/>
            <w:vAlign w:val="center"/>
          </w:tcPr>
          <w:p w14:paraId="46E38C89">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所有通过初步评审的竞选人的竞选总报价先得满分30分,在此基础上，竞选总报价与评选准基价相比，每增加1%扣0.5分，每减少1%扣0.25分。</w:t>
            </w:r>
            <w:r>
              <w:rPr>
                <w:rFonts w:hint="eastAsia" w:asciiTheme="minorEastAsia" w:hAnsiTheme="minorEastAsia" w:eastAsiaTheme="minorEastAsia" w:cstheme="minorEastAsia"/>
                <w:color w:val="auto"/>
                <w:szCs w:val="21"/>
                <w:highlight w:val="none"/>
              </w:rPr>
              <w:t>最多扣</w:t>
            </w:r>
            <w:r>
              <w:rPr>
                <w:rFonts w:hint="eastAsia" w:asciiTheme="minorEastAsia" w:hAnsiTheme="minorEastAsia" w:eastAsiaTheme="minorEastAsia" w:cstheme="minorEastAsia"/>
                <w:color w:val="auto"/>
                <w:szCs w:val="21"/>
                <w:highlight w:val="none"/>
                <w:u w:val="single"/>
              </w:rPr>
              <w:t xml:space="preserve"> 5 </w:t>
            </w:r>
            <w:r>
              <w:rPr>
                <w:rFonts w:hint="eastAsia" w:asciiTheme="minorEastAsia" w:hAnsiTheme="minorEastAsia" w:eastAsiaTheme="minorEastAsia" w:cstheme="minorEastAsia"/>
                <w:color w:val="auto"/>
                <w:szCs w:val="21"/>
                <w:highlight w:val="none"/>
              </w:rPr>
              <w:t>分</w:t>
            </w:r>
            <w:r>
              <w:rPr>
                <w:rFonts w:hint="eastAsia" w:ascii="宋体" w:hAnsi="宋体"/>
                <w:color w:val="auto"/>
                <w:kern w:val="0"/>
                <w:highlight w:val="none"/>
              </w:rPr>
              <w:t>。</w:t>
            </w:r>
          </w:p>
          <w:p w14:paraId="7915458E">
            <w:pPr>
              <w:spacing w:line="360" w:lineRule="auto"/>
              <w:ind w:firstLine="420" w:firstLineChars="200"/>
              <w:rPr>
                <w:rFonts w:ascii="宋体" w:hAnsi="宋体" w:cs="宋体"/>
                <w:color w:val="auto"/>
                <w:szCs w:val="21"/>
                <w:highlight w:val="none"/>
              </w:rPr>
            </w:pPr>
            <w:r>
              <w:rPr>
                <w:rFonts w:hint="eastAsia" w:ascii="宋体" w:hAnsi="宋体"/>
                <w:color w:val="auto"/>
                <w:kern w:val="0"/>
                <w:highlight w:val="none"/>
              </w:rPr>
              <w:t>采用插入法计算，保留小数点后两位，第三位四舍五入。</w:t>
            </w:r>
          </w:p>
        </w:tc>
      </w:tr>
      <w:tr w14:paraId="1301C7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restart"/>
            <w:vAlign w:val="center"/>
          </w:tcPr>
          <w:p w14:paraId="6BA573B6">
            <w:pPr>
              <w:snapToGrid w:val="0"/>
              <w:spacing w:line="360" w:lineRule="auto"/>
              <w:rPr>
                <w:rFonts w:ascii="宋体" w:hAnsi="宋体"/>
                <w:color w:val="auto"/>
                <w:kern w:val="0"/>
                <w:szCs w:val="21"/>
                <w:highlight w:val="none"/>
              </w:rPr>
            </w:pPr>
          </w:p>
          <w:p w14:paraId="7CBBBF2E">
            <w:pPr>
              <w:snapToGrid w:val="0"/>
              <w:spacing w:line="360" w:lineRule="auto"/>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3</w:t>
            </w:r>
            <w:r>
              <w:rPr>
                <w:rFonts w:ascii="宋体" w:hAnsi="宋体"/>
                <w:color w:val="auto"/>
                <w:kern w:val="0"/>
                <w:szCs w:val="21"/>
                <w:highlight w:val="none"/>
              </w:rPr>
              <w:t xml:space="preserve"> </w:t>
            </w:r>
          </w:p>
        </w:tc>
        <w:tc>
          <w:tcPr>
            <w:tcW w:w="673" w:type="dxa"/>
            <w:vMerge w:val="restart"/>
            <w:vAlign w:val="center"/>
          </w:tcPr>
          <w:p w14:paraId="27E98F2E">
            <w:pPr>
              <w:snapToGrid w:val="0"/>
              <w:spacing w:line="360" w:lineRule="auto"/>
              <w:jc w:val="center"/>
              <w:rPr>
                <w:rFonts w:ascii="宋体" w:hAnsi="宋体"/>
                <w:color w:val="auto"/>
                <w:kern w:val="0"/>
                <w:highlight w:val="none"/>
              </w:rPr>
            </w:pPr>
            <w:r>
              <w:rPr>
                <w:rFonts w:hint="eastAsia" w:ascii="宋体" w:hAnsi="宋体"/>
                <w:color w:val="auto"/>
                <w:kern w:val="0"/>
                <w:highlight w:val="none"/>
              </w:rPr>
              <w:t>技术部分B（监理大纲）</w:t>
            </w:r>
            <w:r>
              <w:rPr>
                <w:rFonts w:ascii="宋体" w:hAnsi="宋体"/>
                <w:color w:val="auto"/>
                <w:kern w:val="0"/>
                <w:highlight w:val="none"/>
              </w:rPr>
              <w:t>评分标准</w:t>
            </w:r>
            <w:r>
              <w:rPr>
                <w:rFonts w:hint="eastAsia" w:ascii="宋体" w:hAnsi="宋体"/>
                <w:color w:val="auto"/>
                <w:kern w:val="0"/>
                <w:highlight w:val="none"/>
              </w:rPr>
              <w:t>（70分）</w:t>
            </w:r>
          </w:p>
        </w:tc>
        <w:tc>
          <w:tcPr>
            <w:tcW w:w="2015" w:type="dxa"/>
            <w:gridSpan w:val="2"/>
            <w:vAlign w:val="center"/>
          </w:tcPr>
          <w:p w14:paraId="2C9E939D">
            <w:pPr>
              <w:spacing w:line="360" w:lineRule="auto"/>
              <w:jc w:val="center"/>
              <w:rPr>
                <w:rFonts w:ascii="宋体" w:hAnsi="宋体"/>
                <w:color w:val="auto"/>
                <w:kern w:val="0"/>
                <w:highlight w:val="none"/>
              </w:rPr>
            </w:pPr>
            <w:r>
              <w:rPr>
                <w:rFonts w:hint="eastAsia" w:ascii="宋体" w:hAnsi="宋体"/>
                <w:color w:val="auto"/>
                <w:kern w:val="0"/>
                <w:highlight w:val="none"/>
              </w:rPr>
              <w:t>监理依据、监理工作目标</w:t>
            </w:r>
          </w:p>
        </w:tc>
        <w:tc>
          <w:tcPr>
            <w:tcW w:w="5917" w:type="dxa"/>
            <w:vAlign w:val="center"/>
          </w:tcPr>
          <w:p w14:paraId="3319C971">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编制要点：监理依据、监理工作目标；优得7.5分-10分，良得5分-7.5分（不含），一般得2.5分-5分（不含），差得0分-2.5分（不含）。</w:t>
            </w:r>
          </w:p>
        </w:tc>
      </w:tr>
      <w:tr w14:paraId="5C5F09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2E48F3C6">
            <w:pPr>
              <w:snapToGrid w:val="0"/>
              <w:spacing w:line="360" w:lineRule="auto"/>
              <w:rPr>
                <w:rFonts w:ascii="宋体" w:hAnsi="宋体"/>
                <w:color w:val="auto"/>
                <w:kern w:val="0"/>
                <w:szCs w:val="21"/>
                <w:highlight w:val="none"/>
              </w:rPr>
            </w:pPr>
          </w:p>
        </w:tc>
        <w:tc>
          <w:tcPr>
            <w:tcW w:w="673" w:type="dxa"/>
            <w:vMerge w:val="continue"/>
            <w:vAlign w:val="center"/>
          </w:tcPr>
          <w:p w14:paraId="21DA973D">
            <w:pPr>
              <w:snapToGrid w:val="0"/>
              <w:spacing w:line="360" w:lineRule="auto"/>
              <w:jc w:val="center"/>
              <w:rPr>
                <w:rFonts w:ascii="宋体" w:hAnsi="宋体"/>
                <w:color w:val="auto"/>
                <w:kern w:val="0"/>
                <w:highlight w:val="none"/>
              </w:rPr>
            </w:pPr>
          </w:p>
        </w:tc>
        <w:tc>
          <w:tcPr>
            <w:tcW w:w="2015" w:type="dxa"/>
            <w:gridSpan w:val="2"/>
            <w:vAlign w:val="center"/>
          </w:tcPr>
          <w:p w14:paraId="0AAE246C">
            <w:pPr>
              <w:jc w:val="center"/>
              <w:rPr>
                <w:rFonts w:ascii="宋体" w:hAnsi="宋体"/>
                <w:color w:val="auto"/>
                <w:kern w:val="0"/>
                <w:highlight w:val="none"/>
              </w:rPr>
            </w:pPr>
            <w:r>
              <w:rPr>
                <w:rFonts w:hint="eastAsia" w:ascii="宋体" w:hAnsi="宋体"/>
                <w:color w:val="auto"/>
                <w:kern w:val="0"/>
                <w:highlight w:val="none"/>
              </w:rPr>
              <w:t>监理机构设置和岗位职责</w:t>
            </w:r>
          </w:p>
        </w:tc>
        <w:tc>
          <w:tcPr>
            <w:tcW w:w="5917" w:type="dxa"/>
            <w:vAlign w:val="center"/>
          </w:tcPr>
          <w:p w14:paraId="3A09FFBC">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编制要点：监理机构设置和岗位职责；优得7.5分-10分，良得5分-7.5分（不含），一般得2.5分-5分（不含），差得0分-2.5分（不含）。</w:t>
            </w:r>
          </w:p>
        </w:tc>
      </w:tr>
      <w:tr w14:paraId="659BC1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75A2C01E">
            <w:pPr>
              <w:snapToGrid w:val="0"/>
              <w:spacing w:line="360" w:lineRule="auto"/>
              <w:rPr>
                <w:rFonts w:ascii="宋体" w:hAnsi="宋体"/>
                <w:color w:val="auto"/>
                <w:kern w:val="0"/>
                <w:szCs w:val="21"/>
                <w:highlight w:val="none"/>
              </w:rPr>
            </w:pPr>
          </w:p>
        </w:tc>
        <w:tc>
          <w:tcPr>
            <w:tcW w:w="673" w:type="dxa"/>
            <w:vMerge w:val="continue"/>
            <w:vAlign w:val="center"/>
          </w:tcPr>
          <w:p w14:paraId="4D1F96A8">
            <w:pPr>
              <w:snapToGrid w:val="0"/>
              <w:spacing w:line="360" w:lineRule="auto"/>
              <w:jc w:val="center"/>
              <w:rPr>
                <w:rFonts w:ascii="宋体" w:hAnsi="宋体"/>
                <w:color w:val="auto"/>
                <w:kern w:val="0"/>
                <w:highlight w:val="none"/>
              </w:rPr>
            </w:pPr>
          </w:p>
        </w:tc>
        <w:tc>
          <w:tcPr>
            <w:tcW w:w="2015" w:type="dxa"/>
            <w:gridSpan w:val="2"/>
            <w:vAlign w:val="center"/>
          </w:tcPr>
          <w:p w14:paraId="41C58A06">
            <w:pPr>
              <w:jc w:val="center"/>
              <w:rPr>
                <w:rFonts w:ascii="宋体" w:hAnsi="宋体" w:cs="宋体"/>
                <w:color w:val="auto"/>
                <w:kern w:val="0"/>
                <w:highlight w:val="none"/>
              </w:rPr>
            </w:pPr>
            <w:r>
              <w:rPr>
                <w:rFonts w:hint="eastAsia" w:ascii="宋体" w:hAnsi="宋体" w:cs="宋体"/>
                <w:color w:val="auto"/>
                <w:kern w:val="0"/>
                <w:highlight w:val="none"/>
              </w:rPr>
              <w:t>监理工作程序、方法和制度</w:t>
            </w:r>
          </w:p>
        </w:tc>
        <w:tc>
          <w:tcPr>
            <w:tcW w:w="5917" w:type="dxa"/>
            <w:vAlign w:val="center"/>
          </w:tcPr>
          <w:p w14:paraId="4443DD60">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编制要点：监理工作程序、方法和制度；优得7.5分-10分，良得5分-7.5分（不含），一般得2.5分-5分（不含），差得0分-2.5分（不含）。</w:t>
            </w:r>
          </w:p>
        </w:tc>
      </w:tr>
      <w:tr w14:paraId="661FCF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500EE5D3">
            <w:pPr>
              <w:snapToGrid w:val="0"/>
              <w:spacing w:line="360" w:lineRule="auto"/>
              <w:rPr>
                <w:rFonts w:ascii="宋体" w:hAnsi="宋体"/>
                <w:color w:val="auto"/>
                <w:kern w:val="0"/>
                <w:szCs w:val="21"/>
                <w:highlight w:val="none"/>
              </w:rPr>
            </w:pPr>
          </w:p>
        </w:tc>
        <w:tc>
          <w:tcPr>
            <w:tcW w:w="673" w:type="dxa"/>
            <w:vMerge w:val="continue"/>
            <w:vAlign w:val="center"/>
          </w:tcPr>
          <w:p w14:paraId="2365B4DF">
            <w:pPr>
              <w:snapToGrid w:val="0"/>
              <w:spacing w:line="360" w:lineRule="auto"/>
              <w:jc w:val="center"/>
              <w:rPr>
                <w:rFonts w:ascii="宋体" w:hAnsi="宋体"/>
                <w:color w:val="auto"/>
                <w:kern w:val="0"/>
                <w:highlight w:val="none"/>
              </w:rPr>
            </w:pPr>
          </w:p>
        </w:tc>
        <w:tc>
          <w:tcPr>
            <w:tcW w:w="2015" w:type="dxa"/>
            <w:gridSpan w:val="2"/>
            <w:vAlign w:val="center"/>
          </w:tcPr>
          <w:p w14:paraId="5CD3C33B">
            <w:pPr>
              <w:jc w:val="center"/>
              <w:rPr>
                <w:rFonts w:ascii="宋体" w:hAnsi="宋体"/>
                <w:color w:val="auto"/>
                <w:kern w:val="0"/>
                <w:highlight w:val="none"/>
              </w:rPr>
            </w:pPr>
            <w:r>
              <w:rPr>
                <w:rFonts w:hint="eastAsia" w:ascii="宋体" w:hAnsi="宋体"/>
                <w:color w:val="auto"/>
                <w:kern w:val="0"/>
                <w:highlight w:val="none"/>
              </w:rPr>
              <w:t>质量、进度、造价、安全、环保监理措施</w:t>
            </w:r>
          </w:p>
        </w:tc>
        <w:tc>
          <w:tcPr>
            <w:tcW w:w="5917" w:type="dxa"/>
            <w:vAlign w:val="center"/>
          </w:tcPr>
          <w:p w14:paraId="31B0487F">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编制要点：质量、进度、造价、安全、环保监理措施；优得7.5分-10分，良得5分-7.5分（不含），一般得2.5分-5分（不含），差得0分-2.5分（不含）。</w:t>
            </w:r>
          </w:p>
        </w:tc>
      </w:tr>
      <w:tr w14:paraId="6840F2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5" w:hRule="atLeast"/>
          <w:jc w:val="center"/>
        </w:trPr>
        <w:tc>
          <w:tcPr>
            <w:tcW w:w="864" w:type="dxa"/>
            <w:vMerge w:val="continue"/>
            <w:vAlign w:val="center"/>
          </w:tcPr>
          <w:p w14:paraId="12D78A30">
            <w:pPr>
              <w:snapToGrid w:val="0"/>
              <w:spacing w:line="360" w:lineRule="auto"/>
              <w:rPr>
                <w:rFonts w:ascii="宋体" w:hAnsi="宋体"/>
                <w:color w:val="auto"/>
                <w:kern w:val="0"/>
                <w:szCs w:val="21"/>
                <w:highlight w:val="none"/>
              </w:rPr>
            </w:pPr>
          </w:p>
        </w:tc>
        <w:tc>
          <w:tcPr>
            <w:tcW w:w="673" w:type="dxa"/>
            <w:vMerge w:val="continue"/>
            <w:vAlign w:val="center"/>
          </w:tcPr>
          <w:p w14:paraId="6C37CA75">
            <w:pPr>
              <w:snapToGrid w:val="0"/>
              <w:spacing w:line="360" w:lineRule="auto"/>
              <w:jc w:val="center"/>
              <w:rPr>
                <w:rFonts w:ascii="宋体" w:hAnsi="宋体"/>
                <w:color w:val="auto"/>
                <w:kern w:val="0"/>
                <w:highlight w:val="none"/>
              </w:rPr>
            </w:pPr>
          </w:p>
        </w:tc>
        <w:tc>
          <w:tcPr>
            <w:tcW w:w="2015" w:type="dxa"/>
            <w:gridSpan w:val="2"/>
            <w:vAlign w:val="center"/>
          </w:tcPr>
          <w:p w14:paraId="30F171D5">
            <w:pPr>
              <w:jc w:val="center"/>
              <w:rPr>
                <w:rFonts w:ascii="宋体" w:hAnsi="宋体"/>
                <w:color w:val="auto"/>
                <w:kern w:val="0"/>
                <w:highlight w:val="none"/>
              </w:rPr>
            </w:pPr>
            <w:r>
              <w:rPr>
                <w:rFonts w:hint="eastAsia" w:ascii="宋体" w:hAnsi="宋体"/>
                <w:color w:val="auto"/>
                <w:kern w:val="0"/>
                <w:highlight w:val="none"/>
              </w:rPr>
              <w:t>监理组织协调内容及措施</w:t>
            </w:r>
          </w:p>
        </w:tc>
        <w:tc>
          <w:tcPr>
            <w:tcW w:w="5917" w:type="dxa"/>
            <w:vAlign w:val="center"/>
          </w:tcPr>
          <w:p w14:paraId="0B2C5EE8">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编制要点：监理组织协调内容及措施；优得7.5分-10分，良得5分-7.5分（不含），一般得2.5分-5分（不含），差得0分-2.5分（不含）。</w:t>
            </w:r>
          </w:p>
        </w:tc>
      </w:tr>
      <w:tr w14:paraId="111023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6EE61CEF">
            <w:pPr>
              <w:snapToGrid w:val="0"/>
              <w:spacing w:line="360" w:lineRule="auto"/>
              <w:rPr>
                <w:rFonts w:ascii="宋体" w:hAnsi="宋体"/>
                <w:color w:val="auto"/>
                <w:kern w:val="0"/>
                <w:szCs w:val="21"/>
                <w:highlight w:val="none"/>
              </w:rPr>
            </w:pPr>
          </w:p>
        </w:tc>
        <w:tc>
          <w:tcPr>
            <w:tcW w:w="673" w:type="dxa"/>
            <w:vMerge w:val="continue"/>
            <w:vAlign w:val="center"/>
          </w:tcPr>
          <w:p w14:paraId="3F86F68F">
            <w:pPr>
              <w:snapToGrid w:val="0"/>
              <w:spacing w:line="360" w:lineRule="auto"/>
              <w:jc w:val="center"/>
              <w:rPr>
                <w:rFonts w:ascii="宋体" w:hAnsi="宋体"/>
                <w:color w:val="auto"/>
                <w:kern w:val="0"/>
                <w:highlight w:val="none"/>
              </w:rPr>
            </w:pPr>
          </w:p>
        </w:tc>
        <w:tc>
          <w:tcPr>
            <w:tcW w:w="2015" w:type="dxa"/>
            <w:gridSpan w:val="2"/>
            <w:vAlign w:val="center"/>
          </w:tcPr>
          <w:p w14:paraId="4D517890">
            <w:pPr>
              <w:jc w:val="center"/>
              <w:rPr>
                <w:rFonts w:ascii="宋体" w:hAnsi="宋体" w:cs="宋体"/>
                <w:color w:val="auto"/>
                <w:highlight w:val="none"/>
              </w:rPr>
            </w:pPr>
            <w:r>
              <w:rPr>
                <w:rFonts w:hint="eastAsia" w:ascii="宋体" w:hAnsi="宋体" w:cs="宋体"/>
                <w:color w:val="auto"/>
                <w:highlight w:val="none"/>
              </w:rPr>
              <w:t>监理工作重点、难点分析</w:t>
            </w:r>
          </w:p>
        </w:tc>
        <w:tc>
          <w:tcPr>
            <w:tcW w:w="5917" w:type="dxa"/>
            <w:vAlign w:val="center"/>
          </w:tcPr>
          <w:p w14:paraId="198ACBE2">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编制要点：监理工作重点、难点分析；优得7.5分-10分，良得5分-7.5分（不含），一般得2.5分-5分（不含），差得0分-2.5分（不含）。</w:t>
            </w:r>
          </w:p>
        </w:tc>
      </w:tr>
      <w:tr w14:paraId="64CD10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2E1D038F">
            <w:pPr>
              <w:snapToGrid w:val="0"/>
              <w:spacing w:line="360" w:lineRule="auto"/>
              <w:rPr>
                <w:rFonts w:ascii="宋体" w:hAnsi="宋体"/>
                <w:color w:val="auto"/>
                <w:kern w:val="0"/>
                <w:szCs w:val="21"/>
                <w:highlight w:val="none"/>
              </w:rPr>
            </w:pPr>
          </w:p>
        </w:tc>
        <w:tc>
          <w:tcPr>
            <w:tcW w:w="673" w:type="dxa"/>
            <w:vMerge w:val="continue"/>
            <w:vAlign w:val="center"/>
          </w:tcPr>
          <w:p w14:paraId="5B0E95E4">
            <w:pPr>
              <w:snapToGrid w:val="0"/>
              <w:spacing w:line="360" w:lineRule="auto"/>
              <w:jc w:val="center"/>
              <w:rPr>
                <w:rFonts w:ascii="宋体" w:hAnsi="宋体"/>
                <w:color w:val="auto"/>
                <w:kern w:val="0"/>
                <w:highlight w:val="none"/>
              </w:rPr>
            </w:pPr>
          </w:p>
        </w:tc>
        <w:tc>
          <w:tcPr>
            <w:tcW w:w="2015" w:type="dxa"/>
            <w:gridSpan w:val="2"/>
            <w:vAlign w:val="center"/>
          </w:tcPr>
          <w:p w14:paraId="695D4931">
            <w:pPr>
              <w:jc w:val="center"/>
              <w:rPr>
                <w:rFonts w:ascii="宋体" w:hAnsi="宋体" w:cs="宋体"/>
                <w:color w:val="auto"/>
                <w:highlight w:val="none"/>
              </w:rPr>
            </w:pPr>
            <w:r>
              <w:rPr>
                <w:rFonts w:hint="eastAsia" w:ascii="宋体" w:hAnsi="宋体" w:cs="宋体"/>
                <w:color w:val="auto"/>
                <w:highlight w:val="none"/>
              </w:rPr>
              <w:t>安全控制措施</w:t>
            </w:r>
          </w:p>
        </w:tc>
        <w:tc>
          <w:tcPr>
            <w:tcW w:w="5917" w:type="dxa"/>
            <w:vAlign w:val="center"/>
          </w:tcPr>
          <w:p w14:paraId="58D7C850">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编制要点：安全控制措施；优得7.5分-10分，良得5分-7.5分（不含），一般得2.5分-5分（不含），差得0分-2.5分（不含）。</w:t>
            </w:r>
          </w:p>
        </w:tc>
      </w:tr>
      <w:tr w14:paraId="38B500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Align w:val="center"/>
          </w:tcPr>
          <w:p w14:paraId="744E1B9A">
            <w:pPr>
              <w:spacing w:line="360" w:lineRule="auto"/>
              <w:jc w:val="center"/>
              <w:rPr>
                <w:rFonts w:ascii="宋体" w:hAnsi="宋体"/>
                <w:color w:val="auto"/>
                <w:kern w:val="0"/>
                <w:highlight w:val="none"/>
              </w:rPr>
            </w:pPr>
            <w:r>
              <w:rPr>
                <w:rFonts w:ascii="宋体" w:hAnsi="宋体"/>
                <w:color w:val="auto"/>
                <w:highlight w:val="none"/>
              </w:rPr>
              <w:t>3</w:t>
            </w:r>
          </w:p>
        </w:tc>
        <w:tc>
          <w:tcPr>
            <w:tcW w:w="673" w:type="dxa"/>
            <w:vAlign w:val="center"/>
          </w:tcPr>
          <w:p w14:paraId="44A1A81D">
            <w:pPr>
              <w:spacing w:line="360" w:lineRule="auto"/>
              <w:jc w:val="center"/>
              <w:rPr>
                <w:rFonts w:ascii="宋体" w:hAnsi="宋体"/>
                <w:color w:val="auto"/>
                <w:kern w:val="0"/>
                <w:highlight w:val="none"/>
              </w:rPr>
            </w:pPr>
            <w:r>
              <w:rPr>
                <w:rFonts w:hint="eastAsia" w:ascii="宋体" w:hAnsi="宋体"/>
                <w:color w:val="auto"/>
                <w:kern w:val="0"/>
                <w:highlight w:val="none"/>
              </w:rPr>
              <w:t>评选</w:t>
            </w:r>
            <w:r>
              <w:rPr>
                <w:rFonts w:ascii="宋体" w:hAnsi="宋体"/>
                <w:color w:val="auto"/>
                <w:kern w:val="0"/>
                <w:highlight w:val="none"/>
              </w:rPr>
              <w:t>程序</w:t>
            </w:r>
          </w:p>
        </w:tc>
        <w:tc>
          <w:tcPr>
            <w:tcW w:w="7932" w:type="dxa"/>
            <w:gridSpan w:val="3"/>
          </w:tcPr>
          <w:p w14:paraId="1223EBF6">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1.按本章评选办法第2.1款进行初步评审。</w:t>
            </w:r>
          </w:p>
          <w:p w14:paraId="5478A02D">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2.对初步评审合格的竞选人按照本章2.2.2项计算方法计算评选基准价及各竞选人的竞选总报价得分A。（计算结果取小数点后两位，第三位四舍五入）</w:t>
            </w:r>
          </w:p>
          <w:p w14:paraId="5FE61AF5">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3.按本章评选办法前附表2.2.3的规定的各评审因素对技术部分（监理大纲）进行评审。评选委员会全体成员对监理大纲进行评审，各评委打分的算术平均值即为该竞选人监理大纲得分B。（计算结果取小数点后两位，第三位四舍五入）</w:t>
            </w:r>
          </w:p>
          <w:p w14:paraId="179C3CD9">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4.对竞选人综合得分按照</w:t>
            </w:r>
            <w:r>
              <w:rPr>
                <w:rFonts w:hint="eastAsia" w:ascii="宋体" w:hAnsi="宋体"/>
                <w:color w:val="auto"/>
                <w:kern w:val="0"/>
                <w:highlight w:val="none"/>
                <w:u w:val="single"/>
              </w:rPr>
              <w:t>竞选总报价A+技术部分B</w:t>
            </w:r>
            <w:r>
              <w:rPr>
                <w:rFonts w:hint="eastAsia" w:ascii="宋体" w:hAnsi="宋体"/>
                <w:color w:val="auto"/>
                <w:kern w:val="0"/>
                <w:highlight w:val="none"/>
              </w:rPr>
              <w:t>进行汇总，确定综合得分由高至低前3名竞选人为中选候选人。</w:t>
            </w:r>
          </w:p>
        </w:tc>
      </w:tr>
      <w:tr w14:paraId="78DCEB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54C82BE6">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rPr>
              <w:t>4</w:t>
            </w:r>
          </w:p>
        </w:tc>
        <w:tc>
          <w:tcPr>
            <w:tcW w:w="2015" w:type="dxa"/>
            <w:gridSpan w:val="2"/>
            <w:vAlign w:val="center"/>
          </w:tcPr>
          <w:p w14:paraId="142AC241">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rPr>
              <w:t>竞选人综合</w:t>
            </w:r>
            <w:r>
              <w:rPr>
                <w:rFonts w:ascii="宋体" w:hAnsi="宋体"/>
                <w:color w:val="auto"/>
                <w:szCs w:val="21"/>
                <w:highlight w:val="none"/>
              </w:rPr>
              <w:t>得分</w:t>
            </w:r>
          </w:p>
        </w:tc>
        <w:tc>
          <w:tcPr>
            <w:tcW w:w="5917" w:type="dxa"/>
            <w:vAlign w:val="center"/>
          </w:tcPr>
          <w:p w14:paraId="72324ADB">
            <w:pPr>
              <w:jc w:val="center"/>
              <w:rPr>
                <w:rFonts w:ascii="宋体" w:hAnsi="宋体"/>
                <w:color w:val="auto"/>
                <w:szCs w:val="21"/>
                <w:highlight w:val="none"/>
                <w:u w:val="single"/>
              </w:rPr>
            </w:pPr>
            <w:r>
              <w:rPr>
                <w:rFonts w:ascii="宋体" w:hAnsi="宋体"/>
                <w:color w:val="auto"/>
                <w:szCs w:val="21"/>
                <w:highlight w:val="none"/>
              </w:rPr>
              <w:t>A+B</w:t>
            </w:r>
          </w:p>
        </w:tc>
      </w:tr>
    </w:tbl>
    <w:p w14:paraId="093C0A42">
      <w:pPr>
        <w:rPr>
          <w:rFonts w:ascii="宋体" w:hAnsi="宋体"/>
          <w:snapToGrid w:val="0"/>
          <w:color w:val="auto"/>
          <w:highlight w:val="none"/>
        </w:rPr>
      </w:pPr>
      <w:r>
        <w:rPr>
          <w:rFonts w:ascii="宋体" w:hAnsi="宋体"/>
          <w:snapToGrid w:val="0"/>
          <w:color w:val="auto"/>
          <w:highlight w:val="none"/>
        </w:rPr>
        <w:br w:type="page"/>
      </w:r>
    </w:p>
    <w:p w14:paraId="32889F4C">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t xml:space="preserve">1.  </w:t>
      </w:r>
      <w:r>
        <w:rPr>
          <w:rFonts w:hint="eastAsia" w:ascii="宋体" w:hAnsi="宋体"/>
          <w:b w:val="0"/>
          <w:snapToGrid w:val="0"/>
          <w:color w:val="auto"/>
          <w:highlight w:val="none"/>
        </w:rPr>
        <w:t>评选</w:t>
      </w:r>
      <w:r>
        <w:rPr>
          <w:rFonts w:ascii="宋体" w:hAnsi="宋体"/>
          <w:b w:val="0"/>
          <w:snapToGrid w:val="0"/>
          <w:color w:val="auto"/>
          <w:highlight w:val="none"/>
        </w:rPr>
        <w:t>方法</w:t>
      </w:r>
      <w:bookmarkEnd w:id="621"/>
    </w:p>
    <w:p w14:paraId="24EFB162">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本次</w:t>
      </w:r>
      <w:r>
        <w:rPr>
          <w:rFonts w:hint="eastAsia" w:ascii="宋体" w:hAnsi="宋体"/>
          <w:color w:val="auto"/>
          <w:kern w:val="0"/>
          <w:szCs w:val="21"/>
          <w:highlight w:val="none"/>
        </w:rPr>
        <w:t>比选</w:t>
      </w:r>
      <w:r>
        <w:rPr>
          <w:rFonts w:ascii="宋体" w:hAnsi="宋体"/>
          <w:color w:val="auto"/>
          <w:kern w:val="0"/>
          <w:szCs w:val="21"/>
          <w:highlight w:val="none"/>
        </w:rPr>
        <w:t>采用综合评估法</w:t>
      </w:r>
      <w:r>
        <w:rPr>
          <w:rFonts w:ascii="宋体" w:hAnsi="宋体"/>
          <w:color w:val="auto"/>
          <w:spacing w:val="-47"/>
          <w:kern w:val="0"/>
          <w:szCs w:val="21"/>
          <w:highlight w:val="none"/>
        </w:rPr>
        <w:t>。</w:t>
      </w:r>
      <w:r>
        <w:rPr>
          <w:rFonts w:hint="eastAsia" w:ascii="宋体" w:hAnsi="宋体"/>
          <w:color w:val="auto"/>
          <w:kern w:val="0"/>
          <w:szCs w:val="21"/>
          <w:highlight w:val="none"/>
        </w:rPr>
        <w:t>评选</w:t>
      </w:r>
      <w:r>
        <w:rPr>
          <w:rFonts w:ascii="宋体" w:hAnsi="宋体"/>
          <w:color w:val="auto"/>
          <w:kern w:val="0"/>
          <w:szCs w:val="21"/>
          <w:highlight w:val="none"/>
        </w:rPr>
        <w:t xml:space="preserve">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定的评分标准进行打分，按得分由高到低顺序推荐</w:t>
      </w:r>
      <w:r>
        <w:rPr>
          <w:rFonts w:hint="eastAsia" w:ascii="宋体" w:hAnsi="宋体"/>
          <w:color w:val="auto"/>
          <w:kern w:val="0"/>
          <w:szCs w:val="21"/>
          <w:highlight w:val="none"/>
        </w:rPr>
        <w:t>中选</w:t>
      </w:r>
      <w:r>
        <w:rPr>
          <w:rFonts w:ascii="宋体" w:hAnsi="宋体"/>
          <w:color w:val="auto"/>
          <w:kern w:val="0"/>
          <w:szCs w:val="21"/>
          <w:highlight w:val="none"/>
        </w:rPr>
        <w:t>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w:t>
      </w:r>
      <w:r>
        <w:rPr>
          <w:rFonts w:hint="eastAsia" w:ascii="宋体" w:hAnsi="宋体"/>
          <w:color w:val="auto"/>
          <w:kern w:val="0"/>
          <w:szCs w:val="21"/>
          <w:highlight w:val="none"/>
        </w:rPr>
        <w:t>中选</w:t>
      </w:r>
      <w:r>
        <w:rPr>
          <w:rFonts w:ascii="宋体" w:hAnsi="宋体"/>
          <w:color w:val="auto"/>
          <w:kern w:val="0"/>
          <w:szCs w:val="21"/>
          <w:highlight w:val="none"/>
        </w:rPr>
        <w:t>人</w:t>
      </w:r>
      <w:r>
        <w:rPr>
          <w:rFonts w:hint="eastAsia" w:ascii="宋体" w:hAnsi="宋体"/>
          <w:color w:val="auto"/>
          <w:kern w:val="0"/>
          <w:szCs w:val="21"/>
          <w:highlight w:val="none"/>
        </w:rPr>
        <w:t>，若出现竞选人综合得分相同的，以评选办法前附表约定的原则确定排序</w:t>
      </w:r>
      <w:r>
        <w:rPr>
          <w:rFonts w:ascii="宋体" w:hAnsi="宋体"/>
          <w:color w:val="auto"/>
          <w:spacing w:val="-31"/>
          <w:kern w:val="0"/>
          <w:szCs w:val="21"/>
          <w:highlight w:val="none"/>
        </w:rPr>
        <w:t>。</w:t>
      </w:r>
    </w:p>
    <w:p w14:paraId="7D95FD04">
      <w:pPr>
        <w:pStyle w:val="4"/>
        <w:spacing w:before="0" w:after="0" w:line="360" w:lineRule="auto"/>
        <w:rPr>
          <w:rFonts w:ascii="宋体" w:hAnsi="宋体"/>
          <w:b w:val="0"/>
          <w:snapToGrid w:val="0"/>
          <w:color w:val="auto"/>
          <w:highlight w:val="none"/>
        </w:rPr>
      </w:pPr>
      <w:bookmarkStart w:id="625" w:name="_Toc200513199"/>
      <w:bookmarkStart w:id="626" w:name="_Toc430530501"/>
      <w:bookmarkStart w:id="627" w:name="_Toc287607813"/>
      <w:bookmarkStart w:id="628" w:name="_Toc277082619"/>
      <w:bookmarkStart w:id="629" w:name="_Toc27983301"/>
      <w:bookmarkStart w:id="630" w:name="_Toc224103385"/>
      <w:bookmarkStart w:id="631" w:name="_Toc287620752"/>
      <w:bookmarkStart w:id="632" w:name="_Toc509218777"/>
      <w:r>
        <w:rPr>
          <w:rFonts w:ascii="宋体" w:hAnsi="宋体"/>
          <w:b w:val="0"/>
          <w:snapToGrid w:val="0"/>
          <w:color w:val="auto"/>
          <w:highlight w:val="none"/>
        </w:rPr>
        <w:t>2.  评审标准</w:t>
      </w:r>
      <w:bookmarkEnd w:id="625"/>
      <w:bookmarkEnd w:id="626"/>
      <w:bookmarkEnd w:id="627"/>
      <w:bookmarkEnd w:id="628"/>
      <w:bookmarkEnd w:id="629"/>
      <w:bookmarkEnd w:id="630"/>
      <w:bookmarkEnd w:id="631"/>
      <w:bookmarkEnd w:id="632"/>
    </w:p>
    <w:p w14:paraId="5DBE5646">
      <w:pPr>
        <w:pStyle w:val="5"/>
        <w:snapToGrid w:val="0"/>
        <w:spacing w:before="0" w:after="0" w:line="360" w:lineRule="auto"/>
        <w:rPr>
          <w:rFonts w:ascii="宋体" w:hAnsi="宋体"/>
          <w:b w:val="0"/>
          <w:snapToGrid w:val="0"/>
          <w:color w:val="auto"/>
          <w:sz w:val="24"/>
          <w:szCs w:val="24"/>
          <w:highlight w:val="none"/>
        </w:rPr>
      </w:pPr>
      <w:bookmarkStart w:id="633" w:name="_Toc287607814"/>
      <w:bookmarkStart w:id="634" w:name="_Toc509218778"/>
      <w:bookmarkStart w:id="635" w:name="_Toc277082620"/>
      <w:bookmarkStart w:id="636" w:name="_Toc27983302"/>
      <w:bookmarkStart w:id="637" w:name="_Toc200513200"/>
      <w:bookmarkStart w:id="638" w:name="_Toc430530502"/>
      <w:bookmarkStart w:id="639" w:name="_Toc287620753"/>
      <w:bookmarkStart w:id="640" w:name="_Toc224103386"/>
      <w:r>
        <w:rPr>
          <w:rFonts w:ascii="宋体" w:hAnsi="宋体"/>
          <w:b w:val="0"/>
          <w:snapToGrid w:val="0"/>
          <w:color w:val="auto"/>
          <w:sz w:val="24"/>
          <w:szCs w:val="24"/>
          <w:highlight w:val="none"/>
        </w:rPr>
        <w:t>2.1  初步评审标准</w:t>
      </w:r>
      <w:bookmarkEnd w:id="633"/>
      <w:bookmarkEnd w:id="634"/>
      <w:bookmarkEnd w:id="635"/>
      <w:bookmarkEnd w:id="636"/>
      <w:bookmarkEnd w:id="637"/>
      <w:bookmarkEnd w:id="638"/>
      <w:bookmarkEnd w:id="639"/>
      <w:bookmarkEnd w:id="640"/>
    </w:p>
    <w:p w14:paraId="5F052372">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2.1.1  形式评审标准：见</w:t>
      </w:r>
      <w:r>
        <w:rPr>
          <w:rFonts w:hint="eastAsia" w:ascii="宋体" w:hAnsi="宋体"/>
          <w:color w:val="auto"/>
          <w:kern w:val="0"/>
          <w:szCs w:val="21"/>
          <w:highlight w:val="none"/>
        </w:rPr>
        <w:t>评选</w:t>
      </w:r>
      <w:r>
        <w:rPr>
          <w:rFonts w:ascii="宋体" w:hAnsi="宋体"/>
          <w:color w:val="auto"/>
          <w:kern w:val="0"/>
          <w:szCs w:val="21"/>
          <w:highlight w:val="none"/>
        </w:rPr>
        <w:t>办法前附表。</w:t>
      </w:r>
    </w:p>
    <w:p w14:paraId="08B03F11">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2.1.2  资格评审标准：见</w:t>
      </w:r>
      <w:r>
        <w:rPr>
          <w:rFonts w:hint="eastAsia" w:ascii="宋体" w:hAnsi="宋体"/>
          <w:color w:val="auto"/>
          <w:kern w:val="0"/>
          <w:szCs w:val="21"/>
          <w:highlight w:val="none"/>
        </w:rPr>
        <w:t>评选</w:t>
      </w:r>
      <w:r>
        <w:rPr>
          <w:rFonts w:ascii="宋体" w:hAnsi="宋体"/>
          <w:color w:val="auto"/>
          <w:kern w:val="0"/>
          <w:szCs w:val="21"/>
          <w:highlight w:val="none"/>
        </w:rPr>
        <w:t>办法前附表。</w:t>
      </w:r>
    </w:p>
    <w:p w14:paraId="46AF02EF">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2.1.3  响应性评审标准：见</w:t>
      </w:r>
      <w:r>
        <w:rPr>
          <w:rFonts w:hint="eastAsia" w:ascii="宋体" w:hAnsi="宋体"/>
          <w:color w:val="auto"/>
          <w:kern w:val="0"/>
          <w:szCs w:val="21"/>
          <w:highlight w:val="none"/>
        </w:rPr>
        <w:t>评选</w:t>
      </w:r>
      <w:r>
        <w:rPr>
          <w:rFonts w:ascii="宋体" w:hAnsi="宋体"/>
          <w:color w:val="auto"/>
          <w:kern w:val="0"/>
          <w:szCs w:val="21"/>
          <w:highlight w:val="none"/>
        </w:rPr>
        <w:t>办法前附表。</w:t>
      </w:r>
    </w:p>
    <w:p w14:paraId="0BC99008">
      <w:pPr>
        <w:pStyle w:val="5"/>
        <w:snapToGrid w:val="0"/>
        <w:spacing w:before="0" w:after="0" w:line="360" w:lineRule="auto"/>
        <w:rPr>
          <w:rFonts w:ascii="宋体" w:hAnsi="宋体"/>
          <w:b w:val="0"/>
          <w:snapToGrid w:val="0"/>
          <w:color w:val="auto"/>
          <w:sz w:val="24"/>
          <w:szCs w:val="24"/>
          <w:highlight w:val="none"/>
        </w:rPr>
      </w:pPr>
      <w:bookmarkStart w:id="641" w:name="_Toc224103387"/>
      <w:bookmarkStart w:id="642" w:name="_Toc509218779"/>
      <w:bookmarkStart w:id="643" w:name="_Toc200513201"/>
      <w:bookmarkStart w:id="644" w:name="_Toc430530503"/>
      <w:bookmarkStart w:id="645" w:name="_Toc277082621"/>
      <w:bookmarkStart w:id="646" w:name="_Toc27983303"/>
      <w:bookmarkStart w:id="647" w:name="_Toc287607815"/>
      <w:bookmarkStart w:id="648" w:name="_Toc287620754"/>
      <w:r>
        <w:rPr>
          <w:rFonts w:ascii="宋体" w:hAnsi="宋体"/>
          <w:b w:val="0"/>
          <w:snapToGrid w:val="0"/>
          <w:color w:val="auto"/>
          <w:sz w:val="24"/>
          <w:szCs w:val="24"/>
          <w:highlight w:val="none"/>
        </w:rPr>
        <w:t>2.2  分值构成与评分标准</w:t>
      </w:r>
      <w:bookmarkEnd w:id="641"/>
      <w:bookmarkEnd w:id="642"/>
      <w:bookmarkEnd w:id="643"/>
      <w:bookmarkEnd w:id="644"/>
      <w:bookmarkEnd w:id="645"/>
      <w:bookmarkEnd w:id="646"/>
      <w:bookmarkEnd w:id="647"/>
      <w:bookmarkEnd w:id="648"/>
    </w:p>
    <w:p w14:paraId="6E515E8D">
      <w:pPr>
        <w:autoSpaceDE w:val="0"/>
        <w:autoSpaceDN w:val="0"/>
        <w:adjustRightInd w:val="0"/>
        <w:snapToGrid w:val="0"/>
        <w:spacing w:line="360" w:lineRule="auto"/>
        <w:ind w:firstLine="525" w:firstLineChars="250"/>
        <w:rPr>
          <w:rFonts w:ascii="宋体" w:hAnsi="宋体"/>
          <w:color w:val="auto"/>
          <w:kern w:val="0"/>
          <w:szCs w:val="21"/>
          <w:highlight w:val="none"/>
        </w:rPr>
      </w:pPr>
      <w:r>
        <w:rPr>
          <w:rFonts w:ascii="宋体" w:hAnsi="宋体"/>
          <w:color w:val="auto"/>
          <w:kern w:val="0"/>
          <w:szCs w:val="21"/>
          <w:highlight w:val="none"/>
        </w:rPr>
        <w:t>2.2.1  分值构成</w:t>
      </w:r>
    </w:p>
    <w:p w14:paraId="274C730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rPr>
        <w:t>竞选总报价</w:t>
      </w:r>
      <w:r>
        <w:rPr>
          <w:rFonts w:ascii="宋体" w:hAnsi="宋体"/>
          <w:color w:val="auto"/>
          <w:kern w:val="0"/>
          <w:szCs w:val="21"/>
          <w:highlight w:val="none"/>
        </w:rPr>
        <w:t>：见</w:t>
      </w:r>
      <w:r>
        <w:rPr>
          <w:rFonts w:hint="eastAsia" w:ascii="宋体" w:hAnsi="宋体"/>
          <w:color w:val="auto"/>
          <w:kern w:val="0"/>
          <w:szCs w:val="21"/>
          <w:highlight w:val="none"/>
        </w:rPr>
        <w:t>评选</w:t>
      </w:r>
      <w:r>
        <w:rPr>
          <w:rFonts w:ascii="宋体" w:hAnsi="宋体"/>
          <w:color w:val="auto"/>
          <w:kern w:val="0"/>
          <w:szCs w:val="21"/>
          <w:highlight w:val="none"/>
        </w:rPr>
        <w:t>办法前附表</w:t>
      </w:r>
      <w:r>
        <w:rPr>
          <w:rFonts w:hint="eastAsia" w:ascii="宋体" w:hAnsi="宋体"/>
          <w:color w:val="auto"/>
          <w:kern w:val="0"/>
          <w:szCs w:val="21"/>
          <w:highlight w:val="none"/>
        </w:rPr>
        <w:t>；</w:t>
      </w:r>
    </w:p>
    <w:p w14:paraId="42A3640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技术部分</w:t>
      </w:r>
      <w:r>
        <w:rPr>
          <w:rFonts w:ascii="宋体" w:hAnsi="宋体"/>
          <w:color w:val="auto"/>
          <w:kern w:val="0"/>
          <w:szCs w:val="21"/>
          <w:highlight w:val="none"/>
        </w:rPr>
        <w:t>：见</w:t>
      </w:r>
      <w:r>
        <w:rPr>
          <w:rFonts w:hint="eastAsia" w:ascii="宋体" w:hAnsi="宋体"/>
          <w:color w:val="auto"/>
          <w:kern w:val="0"/>
          <w:szCs w:val="21"/>
          <w:highlight w:val="none"/>
        </w:rPr>
        <w:t>评选</w:t>
      </w:r>
      <w:r>
        <w:rPr>
          <w:rFonts w:ascii="宋体" w:hAnsi="宋体"/>
          <w:color w:val="auto"/>
          <w:kern w:val="0"/>
          <w:szCs w:val="21"/>
          <w:highlight w:val="none"/>
        </w:rPr>
        <w:t>办法前附表</w:t>
      </w:r>
      <w:r>
        <w:rPr>
          <w:rFonts w:hint="eastAsia" w:ascii="宋体" w:hAnsi="宋体"/>
          <w:color w:val="auto"/>
          <w:kern w:val="0"/>
          <w:szCs w:val="21"/>
          <w:highlight w:val="none"/>
        </w:rPr>
        <w:t>；</w:t>
      </w:r>
    </w:p>
    <w:p w14:paraId="6EF3083A">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竞选总报价</w:t>
      </w:r>
    </w:p>
    <w:p w14:paraId="442686D9">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见</w:t>
      </w:r>
      <w:r>
        <w:rPr>
          <w:rFonts w:hint="eastAsia" w:ascii="宋体" w:hAnsi="宋体"/>
          <w:color w:val="auto"/>
          <w:kern w:val="0"/>
          <w:szCs w:val="21"/>
          <w:highlight w:val="none"/>
        </w:rPr>
        <w:t>评选</w:t>
      </w:r>
      <w:r>
        <w:rPr>
          <w:rFonts w:ascii="宋体" w:hAnsi="宋体"/>
          <w:color w:val="auto"/>
          <w:kern w:val="0"/>
          <w:szCs w:val="21"/>
          <w:highlight w:val="none"/>
        </w:rPr>
        <w:t>办法前附表。</w:t>
      </w:r>
    </w:p>
    <w:p w14:paraId="6622ABEB">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3</w:t>
      </w:r>
      <w:r>
        <w:rPr>
          <w:rFonts w:ascii="宋体" w:hAnsi="宋体"/>
          <w:color w:val="auto"/>
          <w:kern w:val="0"/>
          <w:szCs w:val="21"/>
          <w:highlight w:val="none"/>
        </w:rPr>
        <w:t xml:space="preserve">  </w:t>
      </w:r>
      <w:r>
        <w:rPr>
          <w:rFonts w:hint="eastAsia" w:ascii="宋体" w:hAnsi="宋体"/>
          <w:color w:val="auto"/>
          <w:kern w:val="0"/>
          <w:szCs w:val="21"/>
          <w:highlight w:val="none"/>
        </w:rPr>
        <w:t>技术部分</w:t>
      </w:r>
      <w:r>
        <w:rPr>
          <w:rFonts w:ascii="宋体" w:hAnsi="宋体"/>
          <w:color w:val="auto"/>
          <w:kern w:val="0"/>
          <w:szCs w:val="21"/>
          <w:highlight w:val="none"/>
        </w:rPr>
        <w:t>评分</w:t>
      </w:r>
      <w:r>
        <w:rPr>
          <w:rFonts w:hint="eastAsia" w:ascii="宋体" w:hAnsi="宋体"/>
          <w:color w:val="auto"/>
          <w:kern w:val="0"/>
          <w:szCs w:val="21"/>
          <w:highlight w:val="none"/>
        </w:rPr>
        <w:t>标准</w:t>
      </w:r>
    </w:p>
    <w:p w14:paraId="10A2B4BE">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见</w:t>
      </w:r>
      <w:r>
        <w:rPr>
          <w:rFonts w:hint="eastAsia" w:ascii="宋体" w:hAnsi="宋体"/>
          <w:color w:val="auto"/>
          <w:kern w:val="0"/>
          <w:szCs w:val="21"/>
          <w:highlight w:val="none"/>
        </w:rPr>
        <w:t>评选</w:t>
      </w:r>
      <w:r>
        <w:rPr>
          <w:rFonts w:ascii="宋体" w:hAnsi="宋体"/>
          <w:color w:val="auto"/>
          <w:kern w:val="0"/>
          <w:szCs w:val="21"/>
          <w:highlight w:val="none"/>
        </w:rPr>
        <w:t>办法前附表。</w:t>
      </w:r>
    </w:p>
    <w:p w14:paraId="08314677">
      <w:pPr>
        <w:pStyle w:val="4"/>
        <w:spacing w:before="0" w:after="0" w:line="360" w:lineRule="auto"/>
        <w:rPr>
          <w:rFonts w:ascii="宋体" w:hAnsi="宋体"/>
          <w:b w:val="0"/>
          <w:snapToGrid w:val="0"/>
          <w:color w:val="auto"/>
          <w:highlight w:val="none"/>
        </w:rPr>
      </w:pPr>
      <w:bookmarkStart w:id="649" w:name="_Toc224103388"/>
      <w:bookmarkStart w:id="650" w:name="_Toc200513202"/>
      <w:bookmarkStart w:id="651" w:name="_Toc27983304"/>
      <w:bookmarkStart w:id="652" w:name="_Toc509218780"/>
      <w:bookmarkStart w:id="653" w:name="_Toc287620755"/>
      <w:bookmarkStart w:id="654" w:name="_Toc277082622"/>
      <w:bookmarkStart w:id="655" w:name="_Toc430530504"/>
      <w:bookmarkStart w:id="656" w:name="_Toc287607816"/>
      <w:r>
        <w:rPr>
          <w:rFonts w:ascii="宋体" w:hAnsi="宋体"/>
          <w:b w:val="0"/>
          <w:snapToGrid w:val="0"/>
          <w:color w:val="auto"/>
          <w:highlight w:val="none"/>
        </w:rPr>
        <w:t xml:space="preserve">3.  </w:t>
      </w:r>
      <w:r>
        <w:rPr>
          <w:rFonts w:hint="eastAsia" w:ascii="宋体" w:hAnsi="宋体"/>
          <w:b w:val="0"/>
          <w:snapToGrid w:val="0"/>
          <w:color w:val="auto"/>
          <w:highlight w:val="none"/>
        </w:rPr>
        <w:t>评选</w:t>
      </w:r>
      <w:r>
        <w:rPr>
          <w:rFonts w:ascii="宋体" w:hAnsi="宋体"/>
          <w:b w:val="0"/>
          <w:snapToGrid w:val="0"/>
          <w:color w:val="auto"/>
          <w:highlight w:val="none"/>
        </w:rPr>
        <w:t>程序</w:t>
      </w:r>
      <w:bookmarkEnd w:id="649"/>
      <w:bookmarkEnd w:id="650"/>
      <w:bookmarkEnd w:id="651"/>
      <w:bookmarkEnd w:id="652"/>
      <w:bookmarkEnd w:id="653"/>
      <w:bookmarkEnd w:id="654"/>
      <w:bookmarkEnd w:id="655"/>
      <w:bookmarkEnd w:id="656"/>
    </w:p>
    <w:p w14:paraId="1EAE2960">
      <w:pPr>
        <w:pStyle w:val="5"/>
        <w:snapToGrid w:val="0"/>
        <w:spacing w:before="0" w:after="0" w:line="360" w:lineRule="auto"/>
        <w:rPr>
          <w:rFonts w:ascii="宋体" w:hAnsi="宋体"/>
          <w:b w:val="0"/>
          <w:snapToGrid w:val="0"/>
          <w:color w:val="auto"/>
          <w:sz w:val="24"/>
          <w:szCs w:val="24"/>
          <w:highlight w:val="none"/>
        </w:rPr>
      </w:pPr>
      <w:bookmarkStart w:id="657" w:name="_Toc200513203"/>
      <w:bookmarkStart w:id="658" w:name="_Toc27983305"/>
      <w:bookmarkStart w:id="659" w:name="_Toc224103389"/>
      <w:bookmarkStart w:id="660" w:name="_Toc430530505"/>
      <w:bookmarkStart w:id="661" w:name="_Toc277082623"/>
      <w:bookmarkStart w:id="662" w:name="_Toc287607817"/>
      <w:bookmarkStart w:id="663" w:name="_Toc509218781"/>
      <w:bookmarkStart w:id="664" w:name="_Toc287620756"/>
      <w:r>
        <w:rPr>
          <w:rFonts w:ascii="宋体" w:hAnsi="宋体"/>
          <w:b w:val="0"/>
          <w:snapToGrid w:val="0"/>
          <w:color w:val="auto"/>
          <w:sz w:val="24"/>
          <w:szCs w:val="24"/>
          <w:highlight w:val="none"/>
        </w:rPr>
        <w:t>3.1  初步评审</w:t>
      </w:r>
      <w:bookmarkEnd w:id="657"/>
      <w:bookmarkEnd w:id="658"/>
      <w:bookmarkEnd w:id="659"/>
      <w:bookmarkEnd w:id="660"/>
      <w:bookmarkEnd w:id="661"/>
      <w:bookmarkEnd w:id="662"/>
      <w:bookmarkEnd w:id="663"/>
      <w:bookmarkEnd w:id="664"/>
    </w:p>
    <w:p w14:paraId="40B78B70">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3.1.1  </w:t>
      </w:r>
      <w:r>
        <w:rPr>
          <w:rFonts w:hint="eastAsia" w:ascii="宋体" w:hAnsi="宋体"/>
          <w:color w:val="auto"/>
          <w:kern w:val="0"/>
          <w:szCs w:val="21"/>
          <w:highlight w:val="none"/>
        </w:rPr>
        <w:t>评选</w:t>
      </w:r>
      <w:r>
        <w:rPr>
          <w:rFonts w:ascii="宋体" w:hAnsi="宋体"/>
          <w:color w:val="auto"/>
          <w:kern w:val="0"/>
          <w:szCs w:val="21"/>
          <w:highlight w:val="none"/>
        </w:rPr>
        <w:t>委员会依据本章第2.1.1项、</w:t>
      </w:r>
      <w:r>
        <w:rPr>
          <w:rFonts w:hint="eastAsia" w:ascii="宋体" w:hAnsi="宋体"/>
          <w:color w:val="auto"/>
          <w:kern w:val="0"/>
          <w:szCs w:val="21"/>
          <w:highlight w:val="none"/>
        </w:rPr>
        <w:t>2.1.2和</w:t>
      </w:r>
      <w:r>
        <w:rPr>
          <w:rFonts w:ascii="宋体" w:hAnsi="宋体"/>
          <w:color w:val="auto"/>
          <w:kern w:val="0"/>
          <w:szCs w:val="21"/>
          <w:highlight w:val="none"/>
        </w:rPr>
        <w:t>第2.1.3项规定的评审标准对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w:t>
      </w:r>
      <w:r>
        <w:rPr>
          <w:rFonts w:hint="eastAsia" w:ascii="宋体" w:hAnsi="宋体"/>
          <w:color w:val="auto"/>
          <w:kern w:val="0"/>
          <w:szCs w:val="21"/>
          <w:highlight w:val="none"/>
        </w:rPr>
        <w:t>作否决竞选</w:t>
      </w:r>
      <w:r>
        <w:rPr>
          <w:rFonts w:ascii="宋体" w:hAnsi="宋体"/>
          <w:color w:val="auto"/>
          <w:kern w:val="0"/>
          <w:szCs w:val="21"/>
          <w:highlight w:val="none"/>
        </w:rPr>
        <w:t>处理。当</w:t>
      </w:r>
      <w:r>
        <w:rPr>
          <w:rFonts w:hint="eastAsia" w:ascii="宋体" w:hAnsi="宋体"/>
          <w:color w:val="auto"/>
          <w:kern w:val="0"/>
          <w:szCs w:val="21"/>
          <w:highlight w:val="none"/>
        </w:rPr>
        <w:t>竞选人</w:t>
      </w:r>
      <w:r>
        <w:rPr>
          <w:rFonts w:ascii="宋体" w:hAnsi="宋体"/>
          <w:color w:val="auto"/>
          <w:kern w:val="0"/>
          <w:szCs w:val="21"/>
          <w:highlight w:val="none"/>
        </w:rPr>
        <w:t>资格预审申请文件的内容发生重大变化时，</w:t>
      </w:r>
      <w:r>
        <w:rPr>
          <w:rFonts w:hint="eastAsia" w:ascii="宋体" w:hAnsi="宋体"/>
          <w:color w:val="auto"/>
          <w:kern w:val="0"/>
          <w:szCs w:val="21"/>
          <w:highlight w:val="none"/>
        </w:rPr>
        <w:t>评选</w:t>
      </w:r>
      <w:r>
        <w:rPr>
          <w:rFonts w:ascii="宋体" w:hAnsi="宋体"/>
          <w:color w:val="auto"/>
          <w:kern w:val="0"/>
          <w:szCs w:val="21"/>
          <w:highlight w:val="none"/>
        </w:rPr>
        <w:t>委员会依据本章第2.1.2项规定的标准对其更新资料进行评审。</w:t>
      </w:r>
    </w:p>
    <w:p w14:paraId="78364983">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rPr>
        <w:t>竞选人</w:t>
      </w:r>
      <w:r>
        <w:rPr>
          <w:rFonts w:ascii="宋体" w:hAnsi="宋体"/>
          <w:color w:val="auto"/>
          <w:kern w:val="0"/>
          <w:szCs w:val="21"/>
          <w:highlight w:val="none"/>
        </w:rPr>
        <w:t>有以下情形之一的，</w:t>
      </w:r>
      <w:r>
        <w:rPr>
          <w:rFonts w:hint="eastAsia" w:ascii="宋体" w:hAnsi="宋体"/>
          <w:color w:val="auto"/>
          <w:kern w:val="0"/>
          <w:szCs w:val="21"/>
          <w:highlight w:val="none"/>
        </w:rPr>
        <w:t>作否决竞选</w:t>
      </w:r>
      <w:r>
        <w:rPr>
          <w:rFonts w:ascii="宋体" w:hAnsi="宋体"/>
          <w:color w:val="auto"/>
          <w:kern w:val="0"/>
          <w:szCs w:val="21"/>
          <w:highlight w:val="none"/>
        </w:rPr>
        <w:t>处理：</w:t>
      </w:r>
    </w:p>
    <w:p w14:paraId="6E1B1CD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（1）与比选人存在利害关系可能影响比选公正性的法人、其他组织或者个人；</w:t>
      </w:r>
    </w:p>
    <w:p w14:paraId="0F0C786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（2）为本项目的代理人；</w:t>
      </w:r>
    </w:p>
    <w:p w14:paraId="4B7D67C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（3）为本项目的代建人；</w:t>
      </w:r>
    </w:p>
    <w:p w14:paraId="4927F14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（4）为本项目提供比选代理服务的；</w:t>
      </w:r>
    </w:p>
    <w:p w14:paraId="385820D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（5）与本项目的代建人或比选代理机构同为一个法定代表人的；</w:t>
      </w:r>
    </w:p>
    <w:p w14:paraId="71DB812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（6）与本项目的代建人或比选代理机构相互控股或参股的；</w:t>
      </w:r>
    </w:p>
    <w:p w14:paraId="1A32BC5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（7）与本项目的代建人或比选代理机构相互任职或工作的；</w:t>
      </w:r>
    </w:p>
    <w:p w14:paraId="5A18E35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（8）被责令停业的；</w:t>
      </w:r>
    </w:p>
    <w:p w14:paraId="2EFCE17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（9）被暂停或取消投标资格的；</w:t>
      </w:r>
    </w:p>
    <w:p w14:paraId="6FBBBF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（10）财产被接管或冻结的；</w:t>
      </w:r>
    </w:p>
    <w:p w14:paraId="79B5CCA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（11）单位负责人为同一人或者存在控股、管理关系的不同单位，不得在同一标段同时参加竞选。</w:t>
      </w:r>
    </w:p>
    <w:p w14:paraId="2395CA5A">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3.1.3  </w:t>
      </w:r>
      <w:r>
        <w:rPr>
          <w:rFonts w:hint="eastAsia" w:ascii="宋体" w:hAnsi="宋体"/>
          <w:color w:val="auto"/>
          <w:kern w:val="0"/>
          <w:szCs w:val="21"/>
          <w:highlight w:val="none"/>
        </w:rPr>
        <w:t>竞选总报价</w:t>
      </w:r>
      <w:r>
        <w:rPr>
          <w:rFonts w:ascii="宋体" w:hAnsi="宋体"/>
          <w:color w:val="auto"/>
          <w:kern w:val="0"/>
          <w:szCs w:val="21"/>
          <w:highlight w:val="none"/>
        </w:rPr>
        <w:t>有算术错误的，</w:t>
      </w:r>
      <w:r>
        <w:rPr>
          <w:rFonts w:hint="eastAsia" w:ascii="宋体" w:hAnsi="宋体"/>
          <w:color w:val="auto"/>
          <w:kern w:val="0"/>
          <w:szCs w:val="21"/>
          <w:highlight w:val="none"/>
        </w:rPr>
        <w:t>评选</w:t>
      </w:r>
      <w:r>
        <w:rPr>
          <w:rFonts w:ascii="宋体" w:hAnsi="宋体"/>
          <w:color w:val="auto"/>
          <w:kern w:val="0"/>
          <w:szCs w:val="21"/>
          <w:highlight w:val="none"/>
        </w:rPr>
        <w:t>委员会按以下原则对</w:t>
      </w:r>
      <w:r>
        <w:rPr>
          <w:rFonts w:hint="eastAsia" w:ascii="宋体" w:hAnsi="宋体"/>
          <w:color w:val="auto"/>
          <w:kern w:val="0"/>
          <w:szCs w:val="21"/>
          <w:highlight w:val="none"/>
        </w:rPr>
        <w:t>竞选总报价</w:t>
      </w:r>
      <w:r>
        <w:rPr>
          <w:rFonts w:ascii="宋体" w:hAnsi="宋体"/>
          <w:color w:val="auto"/>
          <w:kern w:val="0"/>
          <w:szCs w:val="21"/>
          <w:highlight w:val="none"/>
        </w:rPr>
        <w:t>进行修正，修正的价格经</w:t>
      </w:r>
      <w:r>
        <w:rPr>
          <w:rFonts w:hint="eastAsia" w:ascii="宋体" w:hAnsi="宋体"/>
          <w:color w:val="auto"/>
          <w:kern w:val="0"/>
          <w:szCs w:val="21"/>
          <w:highlight w:val="none"/>
        </w:rPr>
        <w:t>竞选人</w:t>
      </w:r>
      <w:r>
        <w:rPr>
          <w:rFonts w:ascii="宋体" w:hAnsi="宋体"/>
          <w:color w:val="auto"/>
          <w:kern w:val="0"/>
          <w:szCs w:val="21"/>
          <w:highlight w:val="none"/>
        </w:rPr>
        <w:t>书面确认后具有约束力。</w:t>
      </w:r>
      <w:r>
        <w:rPr>
          <w:rFonts w:hint="eastAsia" w:ascii="宋体" w:hAnsi="宋体"/>
          <w:color w:val="auto"/>
          <w:kern w:val="0"/>
          <w:szCs w:val="21"/>
          <w:highlight w:val="none"/>
        </w:rPr>
        <w:t>竞选人</w:t>
      </w:r>
      <w:r>
        <w:rPr>
          <w:rFonts w:ascii="宋体" w:hAnsi="宋体"/>
          <w:color w:val="auto"/>
          <w:kern w:val="0"/>
          <w:szCs w:val="21"/>
          <w:highlight w:val="none"/>
        </w:rPr>
        <w:t>不接受修正价格的，</w:t>
      </w:r>
      <w:r>
        <w:rPr>
          <w:rFonts w:hint="eastAsia" w:ascii="宋体" w:hAnsi="宋体"/>
          <w:color w:val="auto"/>
          <w:kern w:val="0"/>
          <w:szCs w:val="21"/>
          <w:highlight w:val="none"/>
        </w:rPr>
        <w:t>作否决竞选</w:t>
      </w:r>
      <w:r>
        <w:rPr>
          <w:rFonts w:ascii="宋体" w:hAnsi="宋体"/>
          <w:color w:val="auto"/>
          <w:kern w:val="0"/>
          <w:szCs w:val="21"/>
          <w:highlight w:val="none"/>
        </w:rPr>
        <w:t>处理。</w:t>
      </w:r>
    </w:p>
    <w:p w14:paraId="6162C3EF">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竞选文件</w:t>
      </w:r>
      <w:r>
        <w:rPr>
          <w:rFonts w:ascii="宋体" w:hAnsi="宋体"/>
          <w:color w:val="auto"/>
          <w:kern w:val="0"/>
          <w:szCs w:val="21"/>
          <w:highlight w:val="none"/>
        </w:rPr>
        <w:t>中的大写金额与小写金额不一致的，以大写金额为准；</w:t>
      </w:r>
    </w:p>
    <w:p w14:paraId="6B430545">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kern w:val="0"/>
          <w:szCs w:val="21"/>
          <w:highlight w:val="none"/>
        </w:rPr>
        <w:t>（2）总价金额与依据</w:t>
      </w:r>
      <w:r>
        <w:rPr>
          <w:rFonts w:hint="eastAsia" w:ascii="宋体" w:hAnsi="宋体"/>
          <w:color w:val="auto"/>
          <w:kern w:val="0"/>
          <w:szCs w:val="21"/>
          <w:highlight w:val="none"/>
        </w:rPr>
        <w:t>综合费率</w:t>
      </w:r>
      <w:r>
        <w:rPr>
          <w:rFonts w:ascii="宋体" w:hAnsi="宋体"/>
          <w:color w:val="auto"/>
          <w:kern w:val="0"/>
          <w:szCs w:val="21"/>
          <w:highlight w:val="none"/>
        </w:rPr>
        <w:t>计算出的结果不一致的，以</w:t>
      </w:r>
      <w:r>
        <w:rPr>
          <w:rFonts w:hint="eastAsia" w:ascii="宋体" w:hAnsi="宋体"/>
          <w:color w:val="auto"/>
          <w:kern w:val="0"/>
          <w:szCs w:val="21"/>
          <w:highlight w:val="none"/>
        </w:rPr>
        <w:t>综合费率</w:t>
      </w:r>
      <w:r>
        <w:rPr>
          <w:rFonts w:ascii="宋体" w:hAnsi="宋体"/>
          <w:color w:val="auto"/>
          <w:kern w:val="0"/>
          <w:szCs w:val="21"/>
          <w:highlight w:val="none"/>
        </w:rPr>
        <w:t>为准修正总价，但</w:t>
      </w:r>
      <w:r>
        <w:rPr>
          <w:rFonts w:hint="eastAsia" w:ascii="宋体" w:hAnsi="宋体"/>
          <w:color w:val="auto"/>
          <w:kern w:val="0"/>
          <w:szCs w:val="21"/>
          <w:highlight w:val="none"/>
        </w:rPr>
        <w:t>综合费率</w:t>
      </w:r>
      <w:r>
        <w:rPr>
          <w:rFonts w:ascii="宋体" w:hAnsi="宋体"/>
          <w:color w:val="auto"/>
          <w:kern w:val="0"/>
          <w:szCs w:val="21"/>
          <w:highlight w:val="none"/>
        </w:rPr>
        <w:t>小数点有明显错误的除外。</w:t>
      </w:r>
    </w:p>
    <w:p w14:paraId="26F1A465">
      <w:pPr>
        <w:autoSpaceDE w:val="0"/>
        <w:autoSpaceDN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（3）比选文件规定的其他关于修正的要求。</w:t>
      </w:r>
    </w:p>
    <w:p w14:paraId="175FC26F">
      <w:pPr>
        <w:pStyle w:val="5"/>
        <w:snapToGrid w:val="0"/>
        <w:spacing w:before="0" w:after="0" w:line="360" w:lineRule="auto"/>
        <w:rPr>
          <w:rFonts w:ascii="宋体" w:hAnsi="宋体"/>
          <w:b w:val="0"/>
          <w:snapToGrid w:val="0"/>
          <w:color w:val="auto"/>
          <w:sz w:val="24"/>
          <w:szCs w:val="24"/>
          <w:highlight w:val="none"/>
        </w:rPr>
      </w:pPr>
      <w:bookmarkStart w:id="665" w:name="_Toc287607818"/>
      <w:bookmarkStart w:id="666" w:name="_Toc224103390"/>
      <w:bookmarkStart w:id="667" w:name="_Toc27983306"/>
      <w:bookmarkStart w:id="668" w:name="_Toc200513204"/>
      <w:bookmarkStart w:id="669" w:name="_Toc509218782"/>
      <w:bookmarkStart w:id="670" w:name="_Toc430530506"/>
      <w:bookmarkStart w:id="671" w:name="_Toc287620757"/>
      <w:bookmarkStart w:id="672" w:name="_Toc277082624"/>
      <w:r>
        <w:rPr>
          <w:rFonts w:ascii="宋体" w:hAnsi="宋体"/>
          <w:b w:val="0"/>
          <w:snapToGrid w:val="0"/>
          <w:color w:val="auto"/>
          <w:sz w:val="24"/>
          <w:szCs w:val="24"/>
          <w:highlight w:val="none"/>
        </w:rPr>
        <w:t>3.2  详细评</w:t>
      </w:r>
      <w:bookmarkEnd w:id="665"/>
      <w:bookmarkEnd w:id="666"/>
      <w:bookmarkEnd w:id="667"/>
      <w:bookmarkEnd w:id="668"/>
      <w:bookmarkEnd w:id="669"/>
      <w:bookmarkEnd w:id="670"/>
      <w:bookmarkEnd w:id="671"/>
      <w:bookmarkEnd w:id="672"/>
      <w:r>
        <w:rPr>
          <w:rFonts w:hint="eastAsia" w:ascii="宋体" w:hAnsi="宋体"/>
          <w:b w:val="0"/>
          <w:snapToGrid w:val="0"/>
          <w:color w:val="auto"/>
          <w:sz w:val="24"/>
          <w:szCs w:val="24"/>
          <w:highlight w:val="none"/>
        </w:rPr>
        <w:t>选</w:t>
      </w:r>
    </w:p>
    <w:p w14:paraId="249D91E2">
      <w:pPr>
        <w:snapToGrid w:val="0"/>
        <w:spacing w:line="360" w:lineRule="auto"/>
        <w:ind w:firstLine="480" w:firstLineChars="200"/>
        <w:rPr>
          <w:rFonts w:ascii="宋体" w:hAnsi="宋体"/>
          <w:snapToGrid w:val="0"/>
          <w:color w:val="auto"/>
          <w:sz w:val="24"/>
          <w:highlight w:val="none"/>
        </w:rPr>
      </w:pPr>
      <w:bookmarkStart w:id="673" w:name="_Toc509218783"/>
      <w:bookmarkStart w:id="674" w:name="_Toc287607819"/>
      <w:bookmarkStart w:id="675" w:name="_Toc27983307"/>
      <w:bookmarkStart w:id="676" w:name="_Toc277082625"/>
      <w:bookmarkStart w:id="677" w:name="_Toc224103391"/>
      <w:bookmarkStart w:id="678" w:name="_Toc430530507"/>
      <w:bookmarkStart w:id="679" w:name="_Toc287620758"/>
      <w:bookmarkStart w:id="680" w:name="_Toc200513205"/>
      <w:r>
        <w:rPr>
          <w:rFonts w:hint="eastAsia" w:ascii="宋体" w:hAnsi="宋体"/>
          <w:snapToGrid w:val="0"/>
          <w:color w:val="auto"/>
          <w:sz w:val="24"/>
          <w:highlight w:val="none"/>
        </w:rPr>
        <w:t>详见评选办法前附表。</w:t>
      </w:r>
    </w:p>
    <w:p w14:paraId="651C9637">
      <w:pPr>
        <w:pStyle w:val="5"/>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的澄清和补正</w:t>
      </w:r>
      <w:bookmarkEnd w:id="673"/>
      <w:bookmarkEnd w:id="674"/>
      <w:bookmarkEnd w:id="675"/>
      <w:bookmarkEnd w:id="676"/>
      <w:bookmarkEnd w:id="677"/>
      <w:bookmarkEnd w:id="678"/>
      <w:bookmarkEnd w:id="679"/>
      <w:bookmarkEnd w:id="680"/>
    </w:p>
    <w:p w14:paraId="5073946B">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3.3.1  在</w:t>
      </w:r>
      <w:r>
        <w:rPr>
          <w:rFonts w:hint="eastAsia" w:ascii="宋体" w:hAnsi="宋体"/>
          <w:color w:val="auto"/>
          <w:kern w:val="0"/>
          <w:szCs w:val="21"/>
          <w:highlight w:val="none"/>
        </w:rPr>
        <w:t>评选</w:t>
      </w:r>
      <w:r>
        <w:rPr>
          <w:rFonts w:ascii="宋体" w:hAnsi="宋体"/>
          <w:color w:val="auto"/>
          <w:kern w:val="0"/>
          <w:szCs w:val="21"/>
          <w:highlight w:val="none"/>
        </w:rPr>
        <w:t>过程中，</w:t>
      </w:r>
      <w:r>
        <w:rPr>
          <w:rFonts w:hint="eastAsia" w:ascii="宋体" w:hAnsi="宋体"/>
          <w:color w:val="auto"/>
          <w:kern w:val="0"/>
          <w:szCs w:val="21"/>
          <w:highlight w:val="none"/>
        </w:rPr>
        <w:t>评选</w:t>
      </w:r>
      <w:r>
        <w:rPr>
          <w:rFonts w:ascii="宋体" w:hAnsi="宋体"/>
          <w:color w:val="auto"/>
          <w:kern w:val="0"/>
          <w:szCs w:val="21"/>
          <w:highlight w:val="none"/>
        </w:rPr>
        <w:t>委员会可以书面形式要求</w:t>
      </w:r>
      <w:r>
        <w:rPr>
          <w:rFonts w:hint="eastAsia" w:ascii="宋体" w:hAnsi="宋体"/>
          <w:color w:val="auto"/>
          <w:kern w:val="0"/>
          <w:szCs w:val="21"/>
          <w:highlight w:val="none"/>
        </w:rPr>
        <w:t>竞选人</w:t>
      </w:r>
      <w:r>
        <w:rPr>
          <w:rFonts w:ascii="宋体" w:hAnsi="宋体"/>
          <w:color w:val="auto"/>
          <w:kern w:val="0"/>
          <w:szCs w:val="21"/>
          <w:highlight w:val="none"/>
        </w:rPr>
        <w:t>对所提交</w:t>
      </w:r>
      <w:r>
        <w:rPr>
          <w:rFonts w:hint="eastAsia" w:ascii="宋体" w:hAnsi="宋体"/>
          <w:color w:val="auto"/>
          <w:kern w:val="0"/>
          <w:szCs w:val="21"/>
          <w:highlight w:val="none"/>
        </w:rPr>
        <w:t>竞选文件</w:t>
      </w:r>
      <w:r>
        <w:rPr>
          <w:rFonts w:ascii="宋体" w:hAnsi="宋体"/>
          <w:color w:val="auto"/>
          <w:kern w:val="0"/>
          <w:szCs w:val="21"/>
          <w:highlight w:val="none"/>
        </w:rPr>
        <w:t>中不明确的内容进行书面澄清或说明，或者对细微偏差进行补正。</w:t>
      </w:r>
      <w:r>
        <w:rPr>
          <w:rFonts w:hint="eastAsia" w:ascii="宋体" w:hAnsi="宋体"/>
          <w:color w:val="auto"/>
          <w:kern w:val="0"/>
          <w:szCs w:val="21"/>
          <w:highlight w:val="none"/>
        </w:rPr>
        <w:t>评选</w:t>
      </w:r>
      <w:r>
        <w:rPr>
          <w:rFonts w:ascii="宋体" w:hAnsi="宋体"/>
          <w:color w:val="auto"/>
          <w:kern w:val="0"/>
          <w:szCs w:val="21"/>
          <w:highlight w:val="none"/>
        </w:rPr>
        <w:t>委员会不接受</w:t>
      </w:r>
      <w:r>
        <w:rPr>
          <w:rFonts w:hint="eastAsia" w:ascii="宋体" w:hAnsi="宋体"/>
          <w:color w:val="auto"/>
          <w:kern w:val="0"/>
          <w:szCs w:val="21"/>
          <w:highlight w:val="none"/>
        </w:rPr>
        <w:t>竞选人</w:t>
      </w:r>
      <w:r>
        <w:rPr>
          <w:rFonts w:ascii="宋体" w:hAnsi="宋体"/>
          <w:color w:val="auto"/>
          <w:kern w:val="0"/>
          <w:szCs w:val="21"/>
          <w:highlight w:val="none"/>
        </w:rPr>
        <w:t>主动提出的澄清、说明或补正。</w:t>
      </w:r>
    </w:p>
    <w:p w14:paraId="31995CD0">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rPr>
        <w:t>竞选文件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rPr>
        <w:t>竞选人</w:t>
      </w:r>
      <w:r>
        <w:rPr>
          <w:rFonts w:ascii="宋体" w:hAnsi="宋体"/>
          <w:color w:val="auto"/>
          <w:kern w:val="0"/>
          <w:szCs w:val="21"/>
          <w:highlight w:val="none"/>
        </w:rPr>
        <w:t>的书面澄清、说明和补正属于</w:t>
      </w:r>
      <w:r>
        <w:rPr>
          <w:rFonts w:hint="eastAsia" w:ascii="宋体" w:hAnsi="宋体"/>
          <w:color w:val="auto"/>
          <w:kern w:val="0"/>
          <w:szCs w:val="21"/>
          <w:highlight w:val="none"/>
        </w:rPr>
        <w:t>竞选文件</w:t>
      </w:r>
      <w:r>
        <w:rPr>
          <w:rFonts w:ascii="宋体" w:hAnsi="宋体"/>
          <w:color w:val="auto"/>
          <w:kern w:val="0"/>
          <w:szCs w:val="21"/>
          <w:highlight w:val="none"/>
        </w:rPr>
        <w:t>的组成部分。</w:t>
      </w:r>
    </w:p>
    <w:p w14:paraId="4753D0DD">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3.3.3  </w:t>
      </w:r>
      <w:r>
        <w:rPr>
          <w:rFonts w:hint="eastAsia" w:ascii="宋体" w:hAnsi="宋体"/>
          <w:color w:val="auto"/>
          <w:kern w:val="0"/>
          <w:szCs w:val="21"/>
          <w:highlight w:val="none"/>
        </w:rPr>
        <w:t>评选</w:t>
      </w:r>
      <w:r>
        <w:rPr>
          <w:rFonts w:ascii="宋体" w:hAnsi="宋体"/>
          <w:color w:val="auto"/>
          <w:kern w:val="0"/>
          <w:szCs w:val="21"/>
          <w:highlight w:val="none"/>
        </w:rPr>
        <w:t>委员会对</w:t>
      </w:r>
      <w:r>
        <w:rPr>
          <w:rFonts w:hint="eastAsia" w:ascii="宋体" w:hAnsi="宋体"/>
          <w:color w:val="auto"/>
          <w:kern w:val="0"/>
          <w:szCs w:val="21"/>
          <w:highlight w:val="none"/>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rPr>
        <w:t>竞选人</w:t>
      </w:r>
      <w:r>
        <w:rPr>
          <w:rFonts w:ascii="宋体" w:hAnsi="宋体"/>
          <w:color w:val="auto"/>
          <w:kern w:val="0"/>
          <w:szCs w:val="21"/>
          <w:highlight w:val="none"/>
        </w:rPr>
        <w:t>进一步澄清、说明或补正，直至满足</w:t>
      </w:r>
      <w:r>
        <w:rPr>
          <w:rFonts w:hint="eastAsia" w:ascii="宋体" w:hAnsi="宋体"/>
          <w:color w:val="auto"/>
          <w:kern w:val="0"/>
          <w:szCs w:val="21"/>
          <w:highlight w:val="none"/>
        </w:rPr>
        <w:t>评选</w:t>
      </w:r>
      <w:r>
        <w:rPr>
          <w:rFonts w:ascii="宋体" w:hAnsi="宋体"/>
          <w:color w:val="auto"/>
          <w:kern w:val="0"/>
          <w:szCs w:val="21"/>
          <w:highlight w:val="none"/>
        </w:rPr>
        <w:t>委员会的要求。</w:t>
      </w:r>
    </w:p>
    <w:p w14:paraId="68207403">
      <w:pPr>
        <w:autoSpaceDE w:val="0"/>
        <w:autoSpaceDN w:val="0"/>
        <w:adjustRightInd w:val="0"/>
        <w:snapToGrid w:val="0"/>
        <w:spacing w:line="360" w:lineRule="auto"/>
        <w:ind w:firstLine="535" w:firstLineChars="255"/>
        <w:rPr>
          <w:rFonts w:ascii="宋体" w:hAnsi="宋体"/>
          <w:color w:val="auto"/>
          <w:kern w:val="0"/>
          <w:szCs w:val="21"/>
          <w:highlight w:val="none"/>
        </w:rPr>
      </w:pPr>
      <w:bookmarkStart w:id="681" w:name="_Toc509218784"/>
      <w:bookmarkStart w:id="682" w:name="_Toc277082626"/>
      <w:bookmarkStart w:id="683" w:name="_Toc224103392"/>
      <w:bookmarkStart w:id="684" w:name="_Toc27983308"/>
      <w:bookmarkStart w:id="685" w:name="_Toc287620759"/>
      <w:bookmarkStart w:id="686" w:name="_Toc430530508"/>
      <w:bookmarkStart w:id="687" w:name="_Toc287607820"/>
      <w:bookmarkStart w:id="688" w:name="_Toc200513206"/>
      <w:r>
        <w:rPr>
          <w:rFonts w:ascii="宋体" w:hAnsi="宋体"/>
          <w:color w:val="auto"/>
          <w:kern w:val="0"/>
          <w:szCs w:val="21"/>
          <w:highlight w:val="none"/>
        </w:rPr>
        <w:t xml:space="preserve">3.4  </w:t>
      </w:r>
      <w:r>
        <w:rPr>
          <w:rFonts w:hint="eastAsia" w:ascii="宋体" w:hAnsi="宋体"/>
          <w:color w:val="auto"/>
          <w:kern w:val="0"/>
          <w:szCs w:val="21"/>
          <w:highlight w:val="none"/>
        </w:rPr>
        <w:t>评选</w:t>
      </w:r>
      <w:r>
        <w:rPr>
          <w:rFonts w:ascii="宋体" w:hAnsi="宋体"/>
          <w:color w:val="auto"/>
          <w:kern w:val="0"/>
          <w:szCs w:val="21"/>
          <w:highlight w:val="none"/>
        </w:rPr>
        <w:t>结果</w:t>
      </w:r>
      <w:bookmarkEnd w:id="681"/>
      <w:bookmarkEnd w:id="682"/>
      <w:bookmarkEnd w:id="683"/>
      <w:bookmarkEnd w:id="684"/>
      <w:bookmarkEnd w:id="685"/>
      <w:bookmarkEnd w:id="686"/>
      <w:bookmarkEnd w:id="687"/>
      <w:bookmarkEnd w:id="688"/>
    </w:p>
    <w:p w14:paraId="15766669">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3.4.1  除第二章“</w:t>
      </w:r>
      <w:r>
        <w:rPr>
          <w:rFonts w:hint="eastAsia" w:ascii="宋体" w:hAnsi="宋体"/>
          <w:color w:val="auto"/>
          <w:kern w:val="0"/>
          <w:szCs w:val="21"/>
          <w:highlight w:val="none"/>
        </w:rPr>
        <w:t>竞选人</w:t>
      </w:r>
      <w:r>
        <w:rPr>
          <w:rFonts w:ascii="宋体" w:hAnsi="宋体"/>
          <w:color w:val="auto"/>
          <w:kern w:val="0"/>
          <w:szCs w:val="21"/>
          <w:highlight w:val="none"/>
        </w:rPr>
        <w:t>须知”前附表授权直接确定</w:t>
      </w:r>
      <w:r>
        <w:rPr>
          <w:rFonts w:hint="eastAsia" w:ascii="宋体" w:hAnsi="宋体"/>
          <w:color w:val="auto"/>
          <w:kern w:val="0"/>
          <w:szCs w:val="21"/>
          <w:highlight w:val="none"/>
        </w:rPr>
        <w:t>中选</w:t>
      </w:r>
      <w:r>
        <w:rPr>
          <w:rFonts w:ascii="宋体" w:hAnsi="宋体"/>
          <w:color w:val="auto"/>
          <w:kern w:val="0"/>
          <w:szCs w:val="21"/>
          <w:highlight w:val="none"/>
        </w:rPr>
        <w:t>人外，</w:t>
      </w:r>
      <w:r>
        <w:rPr>
          <w:rFonts w:hint="eastAsia" w:ascii="宋体" w:hAnsi="宋体"/>
          <w:color w:val="auto"/>
          <w:kern w:val="0"/>
          <w:szCs w:val="21"/>
          <w:highlight w:val="none"/>
        </w:rPr>
        <w:t>评选</w:t>
      </w:r>
      <w:r>
        <w:rPr>
          <w:rFonts w:ascii="宋体" w:hAnsi="宋体"/>
          <w:color w:val="auto"/>
          <w:kern w:val="0"/>
          <w:szCs w:val="21"/>
          <w:highlight w:val="none"/>
        </w:rPr>
        <w:t>委员会按照得分由高到低的顺序推荐</w:t>
      </w:r>
      <w:r>
        <w:rPr>
          <w:rFonts w:hint="eastAsia" w:ascii="宋体" w:hAnsi="宋体"/>
          <w:color w:val="auto"/>
          <w:kern w:val="0"/>
          <w:szCs w:val="21"/>
          <w:highlight w:val="none"/>
        </w:rPr>
        <w:t>中选</w:t>
      </w:r>
      <w:r>
        <w:rPr>
          <w:rFonts w:ascii="宋体" w:hAnsi="宋体"/>
          <w:color w:val="auto"/>
          <w:kern w:val="0"/>
          <w:szCs w:val="21"/>
          <w:highlight w:val="none"/>
        </w:rPr>
        <w:t>候选人。</w:t>
      </w:r>
    </w:p>
    <w:p w14:paraId="4F797DE2">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3.4.2  </w:t>
      </w:r>
      <w:r>
        <w:rPr>
          <w:rFonts w:hint="eastAsia" w:ascii="宋体" w:hAnsi="宋体"/>
          <w:color w:val="auto"/>
          <w:kern w:val="0"/>
          <w:szCs w:val="21"/>
          <w:highlight w:val="none"/>
        </w:rPr>
        <w:t>评选</w:t>
      </w:r>
      <w:r>
        <w:rPr>
          <w:rFonts w:ascii="宋体" w:hAnsi="宋体"/>
          <w:color w:val="auto"/>
          <w:kern w:val="0"/>
          <w:szCs w:val="21"/>
          <w:highlight w:val="none"/>
        </w:rPr>
        <w:t>委员会完成</w:t>
      </w:r>
      <w:r>
        <w:rPr>
          <w:rFonts w:hint="eastAsia" w:ascii="宋体" w:hAnsi="宋体"/>
          <w:color w:val="auto"/>
          <w:kern w:val="0"/>
          <w:szCs w:val="21"/>
          <w:highlight w:val="none"/>
        </w:rPr>
        <w:t>评选</w:t>
      </w:r>
      <w:r>
        <w:rPr>
          <w:rFonts w:ascii="宋体" w:hAnsi="宋体"/>
          <w:color w:val="auto"/>
          <w:kern w:val="0"/>
          <w:szCs w:val="21"/>
          <w:highlight w:val="none"/>
        </w:rPr>
        <w:t>后，应当向</w:t>
      </w:r>
      <w:r>
        <w:rPr>
          <w:rFonts w:hint="eastAsia" w:ascii="宋体" w:hAnsi="宋体"/>
          <w:color w:val="auto"/>
          <w:kern w:val="0"/>
          <w:szCs w:val="21"/>
          <w:highlight w:val="none"/>
        </w:rPr>
        <w:t>比选人</w:t>
      </w:r>
      <w:r>
        <w:rPr>
          <w:rFonts w:ascii="宋体" w:hAnsi="宋体"/>
          <w:color w:val="auto"/>
          <w:kern w:val="0"/>
          <w:szCs w:val="21"/>
          <w:highlight w:val="none"/>
        </w:rPr>
        <w:t>提交书面</w:t>
      </w:r>
      <w:r>
        <w:rPr>
          <w:rFonts w:hint="eastAsia" w:ascii="宋体" w:hAnsi="宋体"/>
          <w:color w:val="auto"/>
          <w:kern w:val="0"/>
          <w:szCs w:val="21"/>
          <w:highlight w:val="none"/>
        </w:rPr>
        <w:t>评选</w:t>
      </w:r>
      <w:r>
        <w:rPr>
          <w:rFonts w:ascii="宋体" w:hAnsi="宋体"/>
          <w:color w:val="auto"/>
          <w:kern w:val="0"/>
          <w:szCs w:val="21"/>
          <w:highlight w:val="none"/>
        </w:rPr>
        <w:t>报告。</w:t>
      </w:r>
    </w:p>
    <w:bookmarkEnd w:id="622"/>
    <w:bookmarkEnd w:id="623"/>
    <w:bookmarkEnd w:id="624"/>
    <w:p w14:paraId="48964A8A">
      <w:pPr>
        <w:autoSpaceDE w:val="0"/>
        <w:autoSpaceDN w:val="0"/>
        <w:adjustRightInd w:val="0"/>
        <w:snapToGrid w:val="0"/>
        <w:spacing w:line="360" w:lineRule="auto"/>
        <w:ind w:firstLine="535" w:firstLineChars="255"/>
        <w:rPr>
          <w:rFonts w:ascii="宋体" w:hAnsi="宋体"/>
          <w:color w:val="auto"/>
          <w:kern w:val="0"/>
          <w:szCs w:val="21"/>
          <w:highlight w:val="none"/>
        </w:rPr>
      </w:pPr>
    </w:p>
    <w:p w14:paraId="3173B520">
      <w:pPr>
        <w:autoSpaceDE w:val="0"/>
        <w:autoSpaceDN w:val="0"/>
        <w:adjustRightInd w:val="0"/>
        <w:snapToGrid w:val="0"/>
        <w:spacing w:line="360" w:lineRule="auto"/>
        <w:ind w:firstLine="535" w:firstLineChars="255"/>
        <w:rPr>
          <w:rFonts w:ascii="宋体" w:hAnsi="宋体"/>
          <w:color w:val="auto"/>
          <w:kern w:val="0"/>
          <w:szCs w:val="21"/>
          <w:highlight w:val="none"/>
        </w:rPr>
      </w:pPr>
    </w:p>
    <w:p w14:paraId="7EFC936B">
      <w:pPr>
        <w:autoSpaceDE w:val="0"/>
        <w:autoSpaceDN w:val="0"/>
        <w:adjustRightInd w:val="0"/>
        <w:snapToGrid w:val="0"/>
        <w:spacing w:line="360" w:lineRule="auto"/>
        <w:ind w:firstLine="535" w:firstLineChars="255"/>
        <w:rPr>
          <w:rFonts w:ascii="宋体" w:hAnsi="宋体"/>
          <w:color w:val="auto"/>
          <w:kern w:val="0"/>
          <w:szCs w:val="21"/>
          <w:highlight w:val="none"/>
        </w:rPr>
      </w:pPr>
    </w:p>
    <w:p w14:paraId="035F56D3">
      <w:pPr>
        <w:autoSpaceDE w:val="0"/>
        <w:autoSpaceDN w:val="0"/>
        <w:adjustRightInd w:val="0"/>
        <w:snapToGrid w:val="0"/>
        <w:spacing w:line="360" w:lineRule="auto"/>
        <w:ind w:firstLine="535" w:firstLineChars="255"/>
        <w:rPr>
          <w:rFonts w:ascii="宋体" w:hAnsi="宋体"/>
          <w:color w:val="auto"/>
          <w:kern w:val="0"/>
          <w:szCs w:val="21"/>
          <w:highlight w:val="none"/>
        </w:rPr>
      </w:pPr>
    </w:p>
    <w:p w14:paraId="5B5EF4F7">
      <w:pPr>
        <w:autoSpaceDE w:val="0"/>
        <w:autoSpaceDN w:val="0"/>
        <w:adjustRightInd w:val="0"/>
        <w:snapToGrid w:val="0"/>
        <w:spacing w:line="360" w:lineRule="auto"/>
        <w:ind w:firstLine="535" w:firstLineChars="255"/>
        <w:rPr>
          <w:rFonts w:ascii="宋体" w:hAnsi="宋体"/>
          <w:color w:val="auto"/>
          <w:kern w:val="0"/>
          <w:szCs w:val="21"/>
          <w:highlight w:val="none"/>
        </w:rPr>
      </w:pPr>
    </w:p>
    <w:p w14:paraId="53FAA7AB">
      <w:pPr>
        <w:autoSpaceDE w:val="0"/>
        <w:autoSpaceDN w:val="0"/>
        <w:adjustRightInd w:val="0"/>
        <w:snapToGrid w:val="0"/>
        <w:spacing w:line="360" w:lineRule="auto"/>
        <w:ind w:firstLine="535" w:firstLineChars="255"/>
        <w:rPr>
          <w:rFonts w:ascii="宋体" w:hAnsi="宋体"/>
          <w:color w:val="auto"/>
          <w:kern w:val="0"/>
          <w:szCs w:val="21"/>
          <w:highlight w:val="none"/>
        </w:rPr>
      </w:pPr>
    </w:p>
    <w:p w14:paraId="475C731F">
      <w:pPr>
        <w:autoSpaceDE w:val="0"/>
        <w:autoSpaceDN w:val="0"/>
        <w:adjustRightInd w:val="0"/>
        <w:snapToGrid w:val="0"/>
        <w:spacing w:line="360" w:lineRule="auto"/>
        <w:ind w:firstLine="535" w:firstLineChars="255"/>
        <w:rPr>
          <w:rFonts w:ascii="宋体" w:hAnsi="宋体"/>
          <w:color w:val="auto"/>
          <w:kern w:val="0"/>
          <w:szCs w:val="21"/>
          <w:highlight w:val="none"/>
        </w:rPr>
      </w:pPr>
    </w:p>
    <w:p w14:paraId="5EE0E5F9">
      <w:pPr>
        <w:autoSpaceDE w:val="0"/>
        <w:autoSpaceDN w:val="0"/>
        <w:adjustRightInd w:val="0"/>
        <w:snapToGrid w:val="0"/>
        <w:spacing w:line="360" w:lineRule="auto"/>
        <w:ind w:firstLine="535" w:firstLineChars="255"/>
        <w:rPr>
          <w:rFonts w:ascii="宋体" w:hAnsi="宋体"/>
          <w:color w:val="auto"/>
          <w:kern w:val="0"/>
          <w:szCs w:val="21"/>
          <w:highlight w:val="none"/>
        </w:rPr>
      </w:pPr>
    </w:p>
    <w:p w14:paraId="547533BF">
      <w:pPr>
        <w:autoSpaceDE w:val="0"/>
        <w:autoSpaceDN w:val="0"/>
        <w:adjustRightInd w:val="0"/>
        <w:snapToGrid w:val="0"/>
        <w:spacing w:line="360" w:lineRule="auto"/>
        <w:ind w:firstLine="535" w:firstLineChars="255"/>
        <w:rPr>
          <w:rFonts w:ascii="宋体" w:hAnsi="宋体"/>
          <w:color w:val="auto"/>
          <w:kern w:val="0"/>
          <w:szCs w:val="21"/>
          <w:highlight w:val="none"/>
        </w:rPr>
      </w:pPr>
    </w:p>
    <w:p w14:paraId="51FF33CC">
      <w:pPr>
        <w:autoSpaceDE w:val="0"/>
        <w:autoSpaceDN w:val="0"/>
        <w:adjustRightInd w:val="0"/>
        <w:snapToGrid w:val="0"/>
        <w:spacing w:line="360" w:lineRule="auto"/>
        <w:ind w:firstLine="535" w:firstLineChars="255"/>
        <w:rPr>
          <w:rFonts w:ascii="宋体" w:hAnsi="宋体"/>
          <w:color w:val="auto"/>
          <w:kern w:val="0"/>
          <w:szCs w:val="21"/>
          <w:highlight w:val="none"/>
        </w:rPr>
      </w:pPr>
    </w:p>
    <w:p w14:paraId="7EA00C77">
      <w:pPr>
        <w:autoSpaceDE w:val="0"/>
        <w:autoSpaceDN w:val="0"/>
        <w:adjustRightInd w:val="0"/>
        <w:snapToGrid w:val="0"/>
        <w:spacing w:line="360" w:lineRule="auto"/>
        <w:ind w:firstLine="535" w:firstLineChars="255"/>
        <w:rPr>
          <w:rFonts w:ascii="宋体" w:hAnsi="宋体"/>
          <w:color w:val="auto"/>
          <w:kern w:val="0"/>
          <w:szCs w:val="21"/>
          <w:highlight w:val="none"/>
        </w:rPr>
      </w:pPr>
    </w:p>
    <w:p w14:paraId="7BD6434E">
      <w:pPr>
        <w:autoSpaceDE w:val="0"/>
        <w:autoSpaceDN w:val="0"/>
        <w:adjustRightInd w:val="0"/>
        <w:snapToGrid w:val="0"/>
        <w:spacing w:line="360" w:lineRule="auto"/>
        <w:ind w:firstLine="535" w:firstLineChars="255"/>
        <w:rPr>
          <w:rFonts w:ascii="宋体" w:hAnsi="宋体"/>
          <w:color w:val="auto"/>
          <w:kern w:val="0"/>
          <w:szCs w:val="21"/>
          <w:highlight w:val="none"/>
        </w:rPr>
      </w:pPr>
    </w:p>
    <w:p w14:paraId="1FF440A6">
      <w:pPr>
        <w:autoSpaceDE w:val="0"/>
        <w:autoSpaceDN w:val="0"/>
        <w:adjustRightInd w:val="0"/>
        <w:snapToGrid w:val="0"/>
        <w:spacing w:line="360" w:lineRule="auto"/>
        <w:ind w:firstLine="535" w:firstLineChars="255"/>
        <w:rPr>
          <w:rFonts w:ascii="宋体" w:hAnsi="宋体"/>
          <w:color w:val="auto"/>
          <w:kern w:val="0"/>
          <w:szCs w:val="21"/>
          <w:highlight w:val="none"/>
        </w:rPr>
      </w:pPr>
    </w:p>
    <w:p w14:paraId="4BAE51FD">
      <w:pPr>
        <w:autoSpaceDE w:val="0"/>
        <w:autoSpaceDN w:val="0"/>
        <w:adjustRightInd w:val="0"/>
        <w:snapToGrid w:val="0"/>
        <w:spacing w:line="360" w:lineRule="auto"/>
        <w:ind w:firstLine="535" w:firstLineChars="255"/>
        <w:rPr>
          <w:rFonts w:ascii="宋体" w:hAnsi="宋体"/>
          <w:color w:val="auto"/>
          <w:kern w:val="0"/>
          <w:szCs w:val="21"/>
          <w:highlight w:val="none"/>
        </w:rPr>
      </w:pPr>
    </w:p>
    <w:p w14:paraId="2C5BDF13">
      <w:pPr>
        <w:rPr>
          <w:rFonts w:ascii="宋体" w:hAnsi="宋体"/>
          <w:color w:val="auto"/>
          <w:kern w:val="0"/>
          <w:szCs w:val="21"/>
          <w:highlight w:val="none"/>
        </w:rPr>
      </w:pPr>
      <w:r>
        <w:rPr>
          <w:rFonts w:ascii="宋体" w:hAnsi="宋体"/>
          <w:color w:val="auto"/>
          <w:kern w:val="0"/>
          <w:szCs w:val="21"/>
          <w:highlight w:val="none"/>
        </w:rPr>
        <w:br w:type="page"/>
      </w:r>
    </w:p>
    <w:p w14:paraId="1A8663E2">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附件A：综合评估法否决竞选情况一览表</w:t>
      </w:r>
    </w:p>
    <w:p w14:paraId="321DC3C3">
      <w:pPr>
        <w:pStyle w:val="15"/>
        <w:spacing w:line="360" w:lineRule="auto"/>
        <w:ind w:firstLine="420"/>
        <w:jc w:val="both"/>
        <w:rPr>
          <w:rFonts w:ascii="宋体" w:hAnsi="宋体" w:cs="宋体"/>
          <w:color w:val="auto"/>
          <w:sz w:val="21"/>
          <w:szCs w:val="21"/>
          <w:highlight w:val="none"/>
          <w:u w:val="none"/>
          <w:lang w:eastAsia="zh-CN"/>
        </w:rPr>
      </w:pPr>
      <w:r>
        <w:rPr>
          <w:rFonts w:hint="eastAsia" w:ascii="宋体" w:hAnsi="宋体" w:cs="宋体"/>
          <w:color w:val="auto"/>
          <w:sz w:val="21"/>
          <w:szCs w:val="21"/>
          <w:highlight w:val="none"/>
          <w:u w:val="none"/>
          <w:lang w:eastAsia="zh-CN"/>
        </w:rPr>
        <w:t>竞选人存在一览表中情形之一的，作否决竞选处理，否决竞选条件之外的评选委员会不得判为重大偏差。</w:t>
      </w:r>
    </w:p>
    <w:tbl>
      <w:tblPr>
        <w:tblStyle w:val="20"/>
        <w:tblW w:w="9627" w:type="dxa"/>
        <w:tblInd w:w="108" w:type="dxa"/>
        <w:tblLayout w:type="fixed"/>
        <w:tblCellMar>
          <w:top w:w="0" w:type="dxa"/>
          <w:left w:w="108" w:type="dxa"/>
          <w:bottom w:w="0" w:type="dxa"/>
          <w:right w:w="108" w:type="dxa"/>
        </w:tblCellMar>
      </w:tblPr>
      <w:tblGrid>
        <w:gridCol w:w="2319"/>
        <w:gridCol w:w="7308"/>
      </w:tblGrid>
      <w:tr w14:paraId="76FCC4DA">
        <w:tblPrEx>
          <w:tblCellMar>
            <w:top w:w="0" w:type="dxa"/>
            <w:left w:w="108" w:type="dxa"/>
            <w:bottom w:w="0" w:type="dxa"/>
            <w:right w:w="108" w:type="dxa"/>
          </w:tblCellMar>
        </w:tblPrEx>
        <w:tc>
          <w:tcPr>
            <w:tcW w:w="2319" w:type="dxa"/>
            <w:tcBorders>
              <w:top w:val="single" w:color="000000" w:sz="8" w:space="0"/>
              <w:left w:val="single" w:color="000000" w:sz="4" w:space="0"/>
              <w:bottom w:val="single" w:color="000000" w:sz="4" w:space="0"/>
              <w:right w:val="single" w:color="000000" w:sz="4" w:space="0"/>
            </w:tcBorders>
            <w:vAlign w:val="center"/>
          </w:tcPr>
          <w:p w14:paraId="74AB883A">
            <w:pPr>
              <w:spacing w:line="400" w:lineRule="exact"/>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条款名称</w:t>
            </w:r>
          </w:p>
        </w:tc>
        <w:tc>
          <w:tcPr>
            <w:tcW w:w="7308" w:type="dxa"/>
            <w:tcBorders>
              <w:top w:val="single" w:color="000000" w:sz="8" w:space="0"/>
              <w:left w:val="single" w:color="000000" w:sz="4" w:space="0"/>
              <w:bottom w:val="single" w:color="000000" w:sz="4" w:space="0"/>
              <w:right w:val="single" w:color="000000" w:sz="8" w:space="0"/>
            </w:tcBorders>
            <w:vAlign w:val="center"/>
          </w:tcPr>
          <w:p w14:paraId="2563EFC8">
            <w:pPr>
              <w:spacing w:line="400" w:lineRule="exact"/>
              <w:jc w:val="center"/>
              <w:rPr>
                <w:rFonts w:ascii="宋体" w:hAnsi="宋体" w:cs="宋体"/>
                <w:b/>
                <w:color w:val="auto"/>
                <w:kern w:val="1"/>
                <w:szCs w:val="21"/>
                <w:highlight w:val="none"/>
              </w:rPr>
            </w:pPr>
            <w:r>
              <w:rPr>
                <w:rFonts w:hint="eastAsia" w:ascii="宋体" w:hAnsi="宋体" w:cs="宋体"/>
                <w:b/>
                <w:color w:val="auto"/>
                <w:kern w:val="1"/>
                <w:szCs w:val="21"/>
                <w:highlight w:val="none"/>
              </w:rPr>
              <w:t>否决竞选条件</w:t>
            </w:r>
          </w:p>
        </w:tc>
      </w:tr>
      <w:tr w14:paraId="310D30E2">
        <w:tblPrEx>
          <w:tblCellMar>
            <w:top w:w="0" w:type="dxa"/>
            <w:left w:w="108" w:type="dxa"/>
            <w:bottom w:w="0" w:type="dxa"/>
            <w:right w:w="108" w:type="dxa"/>
          </w:tblCellMar>
        </w:tblPrEx>
        <w:tc>
          <w:tcPr>
            <w:tcW w:w="2319" w:type="dxa"/>
            <w:vMerge w:val="restart"/>
            <w:tcBorders>
              <w:top w:val="single" w:color="000000" w:sz="4" w:space="0"/>
              <w:left w:val="single" w:color="000000" w:sz="4" w:space="0"/>
              <w:bottom w:val="single" w:color="000000" w:sz="4" w:space="0"/>
              <w:right w:val="single" w:color="000000" w:sz="4" w:space="0"/>
            </w:tcBorders>
            <w:vAlign w:val="center"/>
          </w:tcPr>
          <w:p w14:paraId="0F93BAC2">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形式评审</w:t>
            </w:r>
          </w:p>
        </w:tc>
        <w:tc>
          <w:tcPr>
            <w:tcW w:w="7308" w:type="dxa"/>
            <w:tcBorders>
              <w:top w:val="single" w:color="000000" w:sz="4" w:space="0"/>
              <w:left w:val="single" w:color="000000" w:sz="4" w:space="0"/>
              <w:bottom w:val="single" w:color="000000" w:sz="4" w:space="0"/>
              <w:right w:val="single" w:color="000000" w:sz="8" w:space="0"/>
            </w:tcBorders>
          </w:tcPr>
          <w:p w14:paraId="5FB6B9BE">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A-1竞选人名称必须与营业执照、资质证书一致，</w:t>
            </w:r>
            <w:r>
              <w:rPr>
                <w:color w:val="auto"/>
                <w:highlight w:val="none"/>
              </w:rPr>
              <w:t>依法变更名称的应提交相应证明材料</w:t>
            </w:r>
            <w:r>
              <w:rPr>
                <w:rFonts w:hint="eastAsia"/>
                <w:color w:val="auto"/>
                <w:highlight w:val="none"/>
              </w:rPr>
              <w:t>，</w:t>
            </w:r>
            <w:r>
              <w:rPr>
                <w:rFonts w:hint="eastAsia" w:ascii="宋体" w:hAnsi="宋体" w:cs="宋体"/>
                <w:color w:val="auto"/>
                <w:kern w:val="1"/>
                <w:szCs w:val="21"/>
                <w:highlight w:val="none"/>
              </w:rPr>
              <w:t>否则由评选委员会作否决竞选处理。</w:t>
            </w:r>
          </w:p>
        </w:tc>
      </w:tr>
      <w:tr w14:paraId="2A05E24B">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32CA690F">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59D11F9D">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A-2竞选文件的签字盖章须按本章竞选人须知3.7.3款执行，规定签字、盖章的位置有法定代表人或其委托代理人签字（或盖章）、加盖单位公章，否则由评选委员会作否决竞选处理。</w:t>
            </w:r>
          </w:p>
        </w:tc>
      </w:tr>
      <w:tr w14:paraId="754B65D1">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0B792493">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7CCD3753">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A-3竞选文件格式符合第五章“竞选文件格式”的要求，否则由评选委员会作否决竞选处理。</w:t>
            </w:r>
          </w:p>
        </w:tc>
      </w:tr>
      <w:tr w14:paraId="55BD4F9B">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20665BED">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745FAE0A">
            <w:pPr>
              <w:spacing w:line="400" w:lineRule="exact"/>
              <w:ind w:firstLine="420"/>
              <w:rPr>
                <w:rFonts w:ascii="宋体" w:hAnsi="宋体" w:cs="宋体"/>
                <w:i/>
                <w:color w:val="auto"/>
                <w:kern w:val="1"/>
                <w:szCs w:val="21"/>
                <w:highlight w:val="none"/>
              </w:rPr>
            </w:pPr>
            <w:r>
              <w:rPr>
                <w:rFonts w:hint="eastAsia" w:ascii="宋体" w:hAnsi="宋体" w:cs="宋体"/>
                <w:color w:val="auto"/>
                <w:kern w:val="1"/>
                <w:szCs w:val="21"/>
                <w:highlight w:val="none"/>
              </w:rPr>
              <w:t>A-4</w:t>
            </w:r>
            <w:r>
              <w:rPr>
                <w:rStyle w:val="47"/>
                <w:rFonts w:hint="eastAsia" w:ascii="宋体" w:hAnsi="宋体"/>
                <w:color w:val="auto"/>
                <w:szCs w:val="21"/>
                <w:highlight w:val="none"/>
              </w:rPr>
              <w:t>竞选文件</w:t>
            </w:r>
            <w:r>
              <w:rPr>
                <w:rStyle w:val="47"/>
                <w:rFonts w:ascii="宋体" w:hAnsi="宋体"/>
                <w:color w:val="auto"/>
                <w:szCs w:val="21"/>
                <w:highlight w:val="none"/>
              </w:rPr>
              <w:t>正本</w:t>
            </w:r>
            <w:r>
              <w:rPr>
                <w:rStyle w:val="47"/>
                <w:rFonts w:hint="eastAsia" w:ascii="宋体" w:hAnsi="宋体"/>
                <w:color w:val="auto"/>
                <w:szCs w:val="21"/>
                <w:highlight w:val="none"/>
              </w:rPr>
              <w:t>、副本、</w:t>
            </w:r>
            <w:r>
              <w:rPr>
                <w:rStyle w:val="47"/>
                <w:rFonts w:ascii="宋体" w:hAnsi="宋体"/>
                <w:color w:val="auto"/>
                <w:kern w:val="0"/>
                <w:szCs w:val="21"/>
                <w:highlight w:val="none"/>
              </w:rPr>
              <w:t>电子版</w:t>
            </w:r>
            <w:r>
              <w:rPr>
                <w:rStyle w:val="47"/>
                <w:rFonts w:hint="eastAsia" w:ascii="宋体" w:hAnsi="宋体"/>
                <w:color w:val="auto"/>
                <w:kern w:val="0"/>
                <w:szCs w:val="21"/>
                <w:highlight w:val="none"/>
              </w:rPr>
              <w:t>份数及形式符合竞选文件要求</w:t>
            </w:r>
            <w:r>
              <w:rPr>
                <w:rStyle w:val="47"/>
                <w:rFonts w:ascii="宋体" w:hAnsi="宋体"/>
                <w:color w:val="auto"/>
                <w:kern w:val="0"/>
                <w:szCs w:val="21"/>
                <w:highlight w:val="none"/>
              </w:rPr>
              <w:t>。</w:t>
            </w:r>
            <w:r>
              <w:rPr>
                <w:rStyle w:val="47"/>
                <w:rFonts w:hint="eastAsia" w:ascii="宋体" w:hAnsi="宋体"/>
                <w:color w:val="auto"/>
                <w:kern w:val="0"/>
                <w:szCs w:val="21"/>
                <w:highlight w:val="none"/>
              </w:rPr>
              <w:t>不按规定递交足够份数或形式不符合要求的，</w:t>
            </w:r>
            <w:r>
              <w:rPr>
                <w:rStyle w:val="47"/>
                <w:rFonts w:ascii="宋体" w:hAnsi="宋体"/>
                <w:color w:val="auto"/>
                <w:szCs w:val="21"/>
                <w:highlight w:val="none"/>
              </w:rPr>
              <w:t>由</w:t>
            </w:r>
            <w:r>
              <w:rPr>
                <w:rStyle w:val="47"/>
                <w:rFonts w:hint="eastAsia" w:ascii="宋体" w:hAnsi="宋体"/>
                <w:color w:val="auto"/>
                <w:szCs w:val="21"/>
                <w:highlight w:val="none"/>
              </w:rPr>
              <w:t>评选</w:t>
            </w:r>
            <w:r>
              <w:rPr>
                <w:rStyle w:val="47"/>
                <w:rFonts w:ascii="宋体" w:hAnsi="宋体"/>
                <w:color w:val="auto"/>
                <w:szCs w:val="21"/>
                <w:highlight w:val="none"/>
              </w:rPr>
              <w:t>委员会</w:t>
            </w:r>
            <w:r>
              <w:rPr>
                <w:rStyle w:val="47"/>
                <w:rFonts w:hint="eastAsia" w:ascii="宋体" w:hAnsi="宋体"/>
                <w:color w:val="auto"/>
                <w:szCs w:val="21"/>
                <w:highlight w:val="none"/>
              </w:rPr>
              <w:t>作否决竞选</w:t>
            </w:r>
            <w:r>
              <w:rPr>
                <w:rStyle w:val="47"/>
                <w:rFonts w:ascii="宋体" w:hAnsi="宋体"/>
                <w:color w:val="auto"/>
                <w:szCs w:val="21"/>
                <w:highlight w:val="none"/>
              </w:rPr>
              <w:t>处理。</w:t>
            </w:r>
          </w:p>
        </w:tc>
      </w:tr>
      <w:tr w14:paraId="3A7EC199">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64221970">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3AC19085">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A-5只能有一个有效报价。在比选文件没有规定的情况下，不得提交选择性报价，不得超过最高限价，否则由评选委员会作否决竞选处理。</w:t>
            </w:r>
          </w:p>
        </w:tc>
      </w:tr>
      <w:tr w14:paraId="3D8FD02A">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23D05FCB">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259C90A0">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A-6竞选文件中竞选文件格式要求须法定代表人或其委托代理人的签字（或盖章）须齐全，否则由评选委员会作否决竞选处理。</w:t>
            </w:r>
          </w:p>
        </w:tc>
      </w:tr>
      <w:tr w14:paraId="083B4D2A">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0DEC996F">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10E890DE">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A-7竞选人法定代表人的委托代理人有法定代表人签署的授权委托书。</w:t>
            </w:r>
          </w:p>
        </w:tc>
      </w:tr>
      <w:tr w14:paraId="155DF82C">
        <w:tblPrEx>
          <w:tblCellMar>
            <w:top w:w="0" w:type="dxa"/>
            <w:left w:w="108" w:type="dxa"/>
            <w:bottom w:w="0" w:type="dxa"/>
            <w:right w:w="108" w:type="dxa"/>
          </w:tblCellMar>
        </w:tblPrEx>
        <w:tc>
          <w:tcPr>
            <w:tcW w:w="2319" w:type="dxa"/>
            <w:vMerge w:val="restart"/>
            <w:tcBorders>
              <w:top w:val="single" w:color="000000" w:sz="4" w:space="0"/>
              <w:left w:val="single" w:color="000000" w:sz="4" w:space="0"/>
              <w:right w:val="single" w:color="000000" w:sz="4" w:space="0"/>
            </w:tcBorders>
            <w:vAlign w:val="center"/>
          </w:tcPr>
          <w:p w14:paraId="36D58ACE">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资格评审</w:t>
            </w:r>
          </w:p>
        </w:tc>
        <w:tc>
          <w:tcPr>
            <w:tcW w:w="7308" w:type="dxa"/>
            <w:tcBorders>
              <w:top w:val="single" w:color="000000" w:sz="4" w:space="0"/>
              <w:left w:val="single" w:color="000000" w:sz="4" w:space="0"/>
              <w:bottom w:val="single" w:color="000000" w:sz="4" w:space="0"/>
              <w:right w:val="single" w:color="000000" w:sz="8" w:space="0"/>
            </w:tcBorders>
            <w:vAlign w:val="center"/>
          </w:tcPr>
          <w:p w14:paraId="0AC83E93">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A-8竞选人的资质条件、营业执照须满足竞选人须知前附表1.4.1项第1条的要求，否则由评选委员会作否决竞选处理。</w:t>
            </w:r>
          </w:p>
        </w:tc>
      </w:tr>
      <w:tr w14:paraId="71BCAC40">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184464D6">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527E7599">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A-9竞选人的财务状况须满足竞选人须知前附表1.4.1项第2条的要求，否则由评选委员会作否决竞选处理。</w:t>
            </w:r>
          </w:p>
        </w:tc>
      </w:tr>
      <w:tr w14:paraId="2C4F158F">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5EE0D20D">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2D2801C5">
            <w:pPr>
              <w:adjustRightInd w:val="0"/>
              <w:snapToGrid w:val="0"/>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A-10比选截止日竞选人竞选资格情况须满足竞选人须知前附表1.4.1项第3条的要求，否则由评选委员会作否决竞选处理。</w:t>
            </w:r>
          </w:p>
        </w:tc>
      </w:tr>
      <w:tr w14:paraId="4A680732">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40D9AB2E">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41BB5F69">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A-11竞选人的</w:t>
            </w:r>
            <w:r>
              <w:rPr>
                <w:rFonts w:hint="eastAsia" w:ascii="宋体" w:hAnsi="宋体" w:cs="宋体"/>
                <w:color w:val="auto"/>
                <w:highlight w:val="none"/>
              </w:rPr>
              <w:t>拟派监理人员</w:t>
            </w:r>
            <w:r>
              <w:rPr>
                <w:rFonts w:hint="eastAsia" w:ascii="宋体" w:hAnsi="宋体" w:cs="宋体"/>
                <w:color w:val="auto"/>
                <w:kern w:val="1"/>
                <w:szCs w:val="21"/>
                <w:highlight w:val="none"/>
              </w:rPr>
              <w:t>须满足竞选人须知前附表1.4.1项第4条的要求，否则由评选委员会作否决竞选处理。</w:t>
            </w:r>
          </w:p>
        </w:tc>
      </w:tr>
      <w:tr w14:paraId="7D0F3F68">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4A7D0497">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6E5D94A1">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A-12 竞选人的</w:t>
            </w:r>
            <w:r>
              <w:rPr>
                <w:rFonts w:hint="eastAsia" w:ascii="宋体" w:hAnsi="宋体" w:cs="宋体"/>
                <w:color w:val="auto"/>
                <w:highlight w:val="none"/>
              </w:rPr>
              <w:t>委托代理人</w:t>
            </w:r>
            <w:r>
              <w:rPr>
                <w:rFonts w:hint="eastAsia" w:ascii="宋体" w:hAnsi="宋体" w:cs="宋体"/>
                <w:color w:val="auto"/>
                <w:kern w:val="1"/>
                <w:szCs w:val="21"/>
                <w:highlight w:val="none"/>
              </w:rPr>
              <w:t>须满足竞选人须知前附表1.4.1项第5条的要求，否则由评选委员会作否决竞选处理。</w:t>
            </w:r>
          </w:p>
        </w:tc>
      </w:tr>
      <w:tr w14:paraId="4BCC4326">
        <w:tblPrEx>
          <w:tblCellMar>
            <w:top w:w="0" w:type="dxa"/>
            <w:left w:w="108" w:type="dxa"/>
            <w:bottom w:w="0" w:type="dxa"/>
            <w:right w:w="108" w:type="dxa"/>
          </w:tblCellMar>
        </w:tblPrEx>
        <w:tc>
          <w:tcPr>
            <w:tcW w:w="2319" w:type="dxa"/>
            <w:vMerge w:val="restart"/>
            <w:tcBorders>
              <w:top w:val="single" w:color="000000" w:sz="4" w:space="0"/>
              <w:left w:val="single" w:color="000000" w:sz="4" w:space="0"/>
              <w:bottom w:val="single" w:color="000000" w:sz="4" w:space="0"/>
              <w:right w:val="single" w:color="000000" w:sz="4" w:space="0"/>
            </w:tcBorders>
            <w:vAlign w:val="center"/>
          </w:tcPr>
          <w:p w14:paraId="6BE9CBDF">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响应性评审</w:t>
            </w:r>
          </w:p>
        </w:tc>
        <w:tc>
          <w:tcPr>
            <w:tcW w:w="7308" w:type="dxa"/>
            <w:tcBorders>
              <w:top w:val="single" w:color="000000" w:sz="4" w:space="0"/>
              <w:left w:val="single" w:color="000000" w:sz="4" w:space="0"/>
              <w:bottom w:val="single" w:color="000000" w:sz="4" w:space="0"/>
              <w:right w:val="single" w:color="000000" w:sz="8" w:space="0"/>
            </w:tcBorders>
            <w:vAlign w:val="center"/>
          </w:tcPr>
          <w:p w14:paraId="668FB186">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A-13竞选内容符合第二章“竞选人须知”第1.3.1项规定，否则由评选委员会作否决竞选处理。</w:t>
            </w:r>
          </w:p>
        </w:tc>
      </w:tr>
      <w:tr w14:paraId="4BF71C24">
        <w:tblPrEx>
          <w:tblCellMar>
            <w:top w:w="0" w:type="dxa"/>
            <w:left w:w="108" w:type="dxa"/>
            <w:bottom w:w="0" w:type="dxa"/>
            <w:right w:w="108" w:type="dxa"/>
          </w:tblCellMar>
        </w:tblPrEx>
        <w:trPr>
          <w:trHeight w:val="507"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4D7D1ED6">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60E95CFE">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A-14监理服务期符合第二章“竞选人须知”第1.3.2项规定，否则由评选委员会作否决竞选处理。</w:t>
            </w:r>
          </w:p>
        </w:tc>
      </w:tr>
      <w:tr w14:paraId="7344A804">
        <w:tblPrEx>
          <w:tblCellMar>
            <w:top w:w="0" w:type="dxa"/>
            <w:left w:w="108" w:type="dxa"/>
            <w:bottom w:w="0" w:type="dxa"/>
            <w:right w:w="108" w:type="dxa"/>
          </w:tblCellMar>
        </w:tblPrEx>
        <w:trPr>
          <w:trHeight w:val="410"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5F410753">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168E6884">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A-15工程质量符合第二章“竞选人须知”第1.3.</w:t>
            </w:r>
            <w:r>
              <w:rPr>
                <w:rFonts w:ascii="宋体" w:hAnsi="宋体" w:cs="宋体"/>
                <w:color w:val="auto"/>
                <w:kern w:val="1"/>
                <w:szCs w:val="21"/>
                <w:highlight w:val="none"/>
              </w:rPr>
              <w:t>3</w:t>
            </w:r>
            <w:r>
              <w:rPr>
                <w:rFonts w:hint="eastAsia" w:ascii="宋体" w:hAnsi="宋体" w:cs="宋体"/>
                <w:color w:val="auto"/>
                <w:kern w:val="1"/>
                <w:szCs w:val="21"/>
                <w:highlight w:val="none"/>
              </w:rPr>
              <w:t>项规定，否则由评选委员会作否决竞选处理。</w:t>
            </w:r>
          </w:p>
        </w:tc>
      </w:tr>
      <w:tr w14:paraId="581AA435">
        <w:tblPrEx>
          <w:tblCellMar>
            <w:top w:w="0" w:type="dxa"/>
            <w:left w:w="108" w:type="dxa"/>
            <w:bottom w:w="0" w:type="dxa"/>
            <w:right w:w="108" w:type="dxa"/>
          </w:tblCellMar>
        </w:tblPrEx>
        <w:trPr>
          <w:trHeight w:val="603"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6F9BD85B">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7FE52809">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A-16比选有效期符合第二章“竞选人须知”第3.3.1项规定，否则由评选委员会作否决竞选处理。</w:t>
            </w:r>
          </w:p>
        </w:tc>
      </w:tr>
      <w:tr w14:paraId="26B11E41">
        <w:tblPrEx>
          <w:tblCellMar>
            <w:top w:w="0" w:type="dxa"/>
            <w:left w:w="108" w:type="dxa"/>
            <w:bottom w:w="0" w:type="dxa"/>
            <w:right w:w="108" w:type="dxa"/>
          </w:tblCellMar>
        </w:tblPrEx>
        <w:trPr>
          <w:trHeight w:val="627"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75288054">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36628316">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A-17竞选总报价有算术错误的，评选委员会按比选文件规定的原则对竞选总报价进行修正，修正的价格经竞选人书面确认后具有约束力。竞选人不接受修正价格的，其投标由评选委员会作否决竞选处理。</w:t>
            </w:r>
          </w:p>
        </w:tc>
      </w:tr>
      <w:tr w14:paraId="29C3CBB3">
        <w:tblPrEx>
          <w:tblCellMar>
            <w:top w:w="0" w:type="dxa"/>
            <w:left w:w="108" w:type="dxa"/>
            <w:bottom w:w="0" w:type="dxa"/>
            <w:right w:w="108" w:type="dxa"/>
          </w:tblCellMar>
        </w:tblPrEx>
        <w:trPr>
          <w:trHeight w:val="668" w:hRule="atLeast"/>
        </w:trPr>
        <w:tc>
          <w:tcPr>
            <w:tcW w:w="2319" w:type="dxa"/>
            <w:vMerge w:val="continue"/>
            <w:tcBorders>
              <w:top w:val="single" w:color="000000" w:sz="4" w:space="0"/>
              <w:left w:val="single" w:color="000000" w:sz="4" w:space="0"/>
              <w:bottom w:val="single" w:color="auto" w:sz="4" w:space="0"/>
              <w:right w:val="single" w:color="000000" w:sz="4" w:space="0"/>
            </w:tcBorders>
            <w:vAlign w:val="center"/>
          </w:tcPr>
          <w:p w14:paraId="3D1C490D">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auto" w:sz="4" w:space="0"/>
              <w:right w:val="single" w:color="000000" w:sz="8" w:space="0"/>
            </w:tcBorders>
            <w:vAlign w:val="center"/>
          </w:tcPr>
          <w:p w14:paraId="51D781D3">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A-18不得有涉嫌串通投标、弄虚作假等违反招投标相关法律、法规的行为，否则由评选委员会作否决竞选处理。</w:t>
            </w:r>
          </w:p>
        </w:tc>
      </w:tr>
      <w:tr w14:paraId="32AF6E28">
        <w:tblPrEx>
          <w:tblCellMar>
            <w:top w:w="0" w:type="dxa"/>
            <w:left w:w="108" w:type="dxa"/>
            <w:bottom w:w="0" w:type="dxa"/>
            <w:right w:w="108" w:type="dxa"/>
          </w:tblCellMar>
        </w:tblPrEx>
        <w:tc>
          <w:tcPr>
            <w:tcW w:w="2319" w:type="dxa"/>
            <w:vMerge w:val="restart"/>
            <w:tcBorders>
              <w:top w:val="single" w:color="auto" w:sz="4" w:space="0"/>
              <w:left w:val="single" w:color="auto" w:sz="4" w:space="0"/>
              <w:right w:val="single" w:color="000000" w:sz="4" w:space="0"/>
            </w:tcBorders>
            <w:vAlign w:val="center"/>
          </w:tcPr>
          <w:p w14:paraId="60E7EC4B">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其他</w:t>
            </w:r>
          </w:p>
        </w:tc>
        <w:tc>
          <w:tcPr>
            <w:tcW w:w="7308" w:type="dxa"/>
            <w:tcBorders>
              <w:top w:val="single" w:color="auto" w:sz="4" w:space="0"/>
              <w:left w:val="single" w:color="000000" w:sz="4" w:space="0"/>
              <w:bottom w:val="single" w:color="000000" w:sz="4" w:space="0"/>
              <w:right w:val="single" w:color="auto" w:sz="4" w:space="0"/>
            </w:tcBorders>
          </w:tcPr>
          <w:p w14:paraId="096EBFE6">
            <w:pPr>
              <w:spacing w:line="400" w:lineRule="exact"/>
              <w:ind w:firstLine="420" w:firstLineChars="200"/>
              <w:jc w:val="left"/>
              <w:rPr>
                <w:color w:val="auto"/>
                <w:highlight w:val="none"/>
              </w:rPr>
            </w:pPr>
            <w:r>
              <w:rPr>
                <w:rFonts w:hint="eastAsia" w:ascii="宋体" w:hAnsi="宋体" w:cs="宋体"/>
                <w:color w:val="auto"/>
                <w:kern w:val="1"/>
                <w:szCs w:val="21"/>
                <w:highlight w:val="none"/>
              </w:rPr>
              <w:t>A-19竞选人不按本章第 3.4.1 项要求提交比选保证金的，其竞选文件作否决竞选处理</w:t>
            </w:r>
          </w:p>
        </w:tc>
      </w:tr>
      <w:tr w14:paraId="39FB5DFA">
        <w:tblPrEx>
          <w:tblCellMar>
            <w:top w:w="0" w:type="dxa"/>
            <w:left w:w="108" w:type="dxa"/>
            <w:bottom w:w="0" w:type="dxa"/>
            <w:right w:w="108" w:type="dxa"/>
          </w:tblCellMar>
        </w:tblPrEx>
        <w:tc>
          <w:tcPr>
            <w:tcW w:w="2319" w:type="dxa"/>
            <w:vMerge w:val="continue"/>
            <w:tcBorders>
              <w:left w:val="single" w:color="auto" w:sz="4" w:space="0"/>
              <w:right w:val="single" w:color="000000" w:sz="4" w:space="0"/>
            </w:tcBorders>
            <w:vAlign w:val="center"/>
          </w:tcPr>
          <w:p w14:paraId="60CF1EFF">
            <w:pPr>
              <w:spacing w:line="400" w:lineRule="exact"/>
              <w:jc w:val="center"/>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auto" w:sz="4" w:space="0"/>
            </w:tcBorders>
          </w:tcPr>
          <w:p w14:paraId="03096CD3">
            <w:pPr>
              <w:spacing w:line="400" w:lineRule="exact"/>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A-20评选委员会发现竞选人的报价明显低于其他竞选总报价，使得其竞选总报价可能低于其个别成本的，应当要求该竞选人做出书面说明并提供相应的证明材料。竞选人不能合理说明或者不能提供相应证明材料的，由评选委员会认定该竞选人以低于成本报价竞选，对该竞选人作否决竞选处理。</w:t>
            </w:r>
          </w:p>
        </w:tc>
      </w:tr>
      <w:tr w14:paraId="0F48D711">
        <w:tblPrEx>
          <w:tblCellMar>
            <w:top w:w="0" w:type="dxa"/>
            <w:left w:w="108" w:type="dxa"/>
            <w:bottom w:w="0" w:type="dxa"/>
            <w:right w:w="108" w:type="dxa"/>
          </w:tblCellMar>
        </w:tblPrEx>
        <w:tc>
          <w:tcPr>
            <w:tcW w:w="2319" w:type="dxa"/>
            <w:vMerge w:val="continue"/>
            <w:tcBorders>
              <w:left w:val="single" w:color="auto" w:sz="4" w:space="0"/>
              <w:right w:val="single" w:color="000000" w:sz="4" w:space="0"/>
            </w:tcBorders>
            <w:vAlign w:val="center"/>
          </w:tcPr>
          <w:p w14:paraId="70FD8F16">
            <w:pPr>
              <w:spacing w:line="400" w:lineRule="exact"/>
              <w:jc w:val="center"/>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auto" w:sz="4" w:space="0"/>
            </w:tcBorders>
          </w:tcPr>
          <w:p w14:paraId="416AB01F">
            <w:pPr>
              <w:spacing w:line="400" w:lineRule="exact"/>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A-21中选候选人或中选人放弃中选项目，无正当理由不与比选人签订合同，在签订合同时向比选人提出附加条件或者更改合同实质性内容，或者拒不提交低价风险担保或者履约担保的，取消其中选资格，比选保证金不予退还，给比选人造成的损失超过比选保证金数额的，中选候选人或中选人应对超过部分予以赔偿。竞选人应对上述要求在竞选文件中无条件予以响应，否则由评选委员会作否决竞选处理。</w:t>
            </w:r>
          </w:p>
        </w:tc>
      </w:tr>
      <w:tr w14:paraId="0C7A9586">
        <w:tblPrEx>
          <w:tblCellMar>
            <w:top w:w="0" w:type="dxa"/>
            <w:left w:w="108" w:type="dxa"/>
            <w:bottom w:w="0" w:type="dxa"/>
            <w:right w:w="108" w:type="dxa"/>
          </w:tblCellMar>
        </w:tblPrEx>
        <w:trPr>
          <w:trHeight w:val="2094" w:hRule="atLeast"/>
        </w:trPr>
        <w:tc>
          <w:tcPr>
            <w:tcW w:w="2319" w:type="dxa"/>
            <w:vMerge w:val="continue"/>
            <w:tcBorders>
              <w:left w:val="single" w:color="auto" w:sz="4" w:space="0"/>
              <w:bottom w:val="single" w:color="auto" w:sz="4" w:space="0"/>
              <w:right w:val="single" w:color="000000" w:sz="4" w:space="0"/>
            </w:tcBorders>
            <w:vAlign w:val="center"/>
          </w:tcPr>
          <w:p w14:paraId="70B76B00">
            <w:pPr>
              <w:spacing w:line="400" w:lineRule="exact"/>
              <w:jc w:val="center"/>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auto" w:sz="4" w:space="0"/>
              <w:right w:val="single" w:color="auto" w:sz="4" w:space="0"/>
            </w:tcBorders>
          </w:tcPr>
          <w:p w14:paraId="3277ED9E">
            <w:pPr>
              <w:snapToGrid w:val="0"/>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A-22</w:t>
            </w:r>
            <w:r>
              <w:rPr>
                <w:rFonts w:hint="eastAsia" w:ascii="宋体" w:hAnsi="宋体" w:cs="宋体"/>
                <w:color w:val="auto"/>
                <w:highlight w:val="none"/>
              </w:rPr>
              <w:t>竞选人自行在竞选文件中承诺拟派驻的总监理工程师、专业监理工程师和监理员在本项目比选前未有其他在监项目，如经查证承诺不实，将取消其中选资格，给比选人造成损失的，竞选人依法承担违约赔偿责任。竞选人须在竞选文件资格审查资料附承诺函（格式），否则由评选委员会作否决竞选处理。</w:t>
            </w:r>
          </w:p>
        </w:tc>
      </w:tr>
    </w:tbl>
    <w:p w14:paraId="7C55CD97">
      <w:pPr>
        <w:pStyle w:val="8"/>
        <w:spacing w:line="360" w:lineRule="auto"/>
        <w:rPr>
          <w:rFonts w:ascii="宋体" w:hAnsi="宋体" w:cs="宋体"/>
          <w:color w:val="auto"/>
          <w:kern w:val="0"/>
          <w:sz w:val="52"/>
          <w:szCs w:val="52"/>
          <w:highlight w:val="none"/>
        </w:rPr>
      </w:pPr>
    </w:p>
    <w:p w14:paraId="0BBC98A7">
      <w:pPr>
        <w:jc w:val="center"/>
        <w:rPr>
          <w:color w:val="auto"/>
          <w:highlight w:val="none"/>
        </w:rPr>
      </w:pPr>
      <w:bookmarkStart w:id="689" w:name="_Toc32462"/>
      <w:bookmarkStart w:id="690" w:name="_Toc29600"/>
    </w:p>
    <w:p w14:paraId="7221F5A3">
      <w:pPr>
        <w:pStyle w:val="2"/>
        <w:rPr>
          <w:color w:val="auto"/>
          <w:highlight w:val="none"/>
        </w:rPr>
      </w:pPr>
    </w:p>
    <w:p w14:paraId="4D06545F">
      <w:pPr>
        <w:rPr>
          <w:color w:val="auto"/>
          <w:highlight w:val="none"/>
        </w:rPr>
      </w:pPr>
    </w:p>
    <w:p w14:paraId="5DBC63C9">
      <w:pPr>
        <w:pStyle w:val="2"/>
        <w:rPr>
          <w:color w:val="auto"/>
          <w:highlight w:val="none"/>
        </w:rPr>
      </w:pPr>
    </w:p>
    <w:p w14:paraId="225F2B8F">
      <w:pPr>
        <w:rPr>
          <w:color w:val="auto"/>
          <w:highlight w:val="none"/>
        </w:rPr>
      </w:pPr>
    </w:p>
    <w:p w14:paraId="31A5A2CD">
      <w:pPr>
        <w:pStyle w:val="2"/>
        <w:rPr>
          <w:color w:val="auto"/>
          <w:highlight w:val="none"/>
        </w:rPr>
      </w:pPr>
    </w:p>
    <w:p w14:paraId="11402C5D">
      <w:pPr>
        <w:rPr>
          <w:color w:val="auto"/>
          <w:highlight w:val="none"/>
        </w:rPr>
      </w:pPr>
    </w:p>
    <w:p w14:paraId="6948B752">
      <w:pPr>
        <w:pStyle w:val="2"/>
        <w:rPr>
          <w:color w:val="auto"/>
          <w:highlight w:val="none"/>
        </w:rPr>
      </w:pPr>
    </w:p>
    <w:p w14:paraId="6EC50B8C">
      <w:pPr>
        <w:rPr>
          <w:color w:val="auto"/>
          <w:highlight w:val="none"/>
        </w:rPr>
      </w:pPr>
    </w:p>
    <w:p w14:paraId="28CA3376">
      <w:pPr>
        <w:pStyle w:val="3"/>
        <w:jc w:val="center"/>
        <w:rPr>
          <w:color w:val="auto"/>
          <w:highlight w:val="none"/>
        </w:rPr>
      </w:pPr>
      <w:r>
        <w:rPr>
          <w:rFonts w:hint="eastAsia"/>
          <w:color w:val="auto"/>
          <w:highlight w:val="none"/>
        </w:rPr>
        <w:t>第四章  合同条款及格式</w:t>
      </w:r>
    </w:p>
    <w:p w14:paraId="332A9A8A">
      <w:pPr>
        <w:rPr>
          <w:color w:val="auto"/>
          <w:highlight w:val="none"/>
        </w:rPr>
      </w:pPr>
    </w:p>
    <w:p w14:paraId="3EF874A2">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0194B2CA">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4869BB14">
      <w:pPr>
        <w:pStyle w:val="2"/>
        <w:rPr>
          <w:rFonts w:ascii="宋体" w:hAnsi="宋体"/>
          <w:b/>
          <w:bCs/>
          <w:color w:val="auto"/>
          <w:sz w:val="72"/>
          <w:szCs w:val="72"/>
          <w:highlight w:val="none"/>
        </w:rPr>
      </w:pPr>
    </w:p>
    <w:p w14:paraId="0ADD2EF9">
      <w:pPr>
        <w:rPr>
          <w:rFonts w:ascii="宋体" w:hAnsi="宋体"/>
          <w:b/>
          <w:bCs/>
          <w:color w:val="auto"/>
          <w:sz w:val="72"/>
          <w:szCs w:val="72"/>
          <w:highlight w:val="none"/>
        </w:rPr>
      </w:pPr>
    </w:p>
    <w:p w14:paraId="36158772">
      <w:pPr>
        <w:pStyle w:val="2"/>
        <w:rPr>
          <w:rFonts w:ascii="宋体" w:hAnsi="宋体"/>
          <w:b/>
          <w:bCs/>
          <w:color w:val="auto"/>
          <w:sz w:val="72"/>
          <w:szCs w:val="72"/>
          <w:highlight w:val="none"/>
        </w:rPr>
      </w:pPr>
    </w:p>
    <w:p w14:paraId="655DA948">
      <w:pPr>
        <w:rPr>
          <w:rFonts w:ascii="宋体" w:hAnsi="宋体"/>
          <w:b/>
          <w:bCs/>
          <w:color w:val="auto"/>
          <w:sz w:val="72"/>
          <w:szCs w:val="72"/>
          <w:highlight w:val="none"/>
        </w:rPr>
      </w:pPr>
    </w:p>
    <w:p w14:paraId="3B9C4A21">
      <w:pPr>
        <w:pStyle w:val="2"/>
        <w:rPr>
          <w:rFonts w:ascii="宋体" w:hAnsi="宋体"/>
          <w:b/>
          <w:bCs/>
          <w:color w:val="auto"/>
          <w:sz w:val="72"/>
          <w:szCs w:val="72"/>
          <w:highlight w:val="none"/>
        </w:rPr>
      </w:pPr>
    </w:p>
    <w:p w14:paraId="25EA81C5">
      <w:pPr>
        <w:rPr>
          <w:rFonts w:ascii="宋体" w:hAnsi="宋体"/>
          <w:b/>
          <w:bCs/>
          <w:color w:val="auto"/>
          <w:sz w:val="72"/>
          <w:szCs w:val="72"/>
          <w:highlight w:val="none"/>
        </w:rPr>
      </w:pPr>
    </w:p>
    <w:p w14:paraId="57045C6A">
      <w:pPr>
        <w:pStyle w:val="2"/>
        <w:rPr>
          <w:color w:val="auto"/>
          <w:highlight w:val="none"/>
        </w:rPr>
      </w:pPr>
    </w:p>
    <w:p w14:paraId="53BB3B29">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5E502A53">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1FA3627E">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4BCDF84F">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6DF47A7F">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44A2AF14">
      <w:pPr>
        <w:overflowPunct w:val="0"/>
        <w:autoSpaceDE w:val="0"/>
        <w:autoSpaceDN w:val="0"/>
        <w:adjustRightInd w:val="0"/>
        <w:snapToGrid w:val="0"/>
        <w:spacing w:line="720" w:lineRule="exact"/>
        <w:ind w:firstLine="1446" w:firstLineChars="200"/>
        <w:rPr>
          <w:rFonts w:hint="eastAsia" w:ascii="宋体" w:hAnsi="宋体"/>
          <w:b/>
          <w:bCs/>
          <w:color w:val="auto"/>
          <w:sz w:val="72"/>
          <w:szCs w:val="72"/>
          <w:highlight w:val="none"/>
        </w:rPr>
      </w:pPr>
      <w:bookmarkStart w:id="691" w:name="_Toc267261701"/>
    </w:p>
    <w:p w14:paraId="383CE131">
      <w:pPr>
        <w:overflowPunct w:val="0"/>
        <w:autoSpaceDE w:val="0"/>
        <w:autoSpaceDN w:val="0"/>
        <w:adjustRightInd w:val="0"/>
        <w:snapToGrid w:val="0"/>
        <w:spacing w:line="720" w:lineRule="exact"/>
        <w:ind w:firstLine="1446" w:firstLineChars="200"/>
        <w:rPr>
          <w:rFonts w:hint="eastAsia" w:ascii="宋体" w:hAnsi="宋体"/>
          <w:b/>
          <w:bCs/>
          <w:color w:val="auto"/>
          <w:sz w:val="72"/>
          <w:szCs w:val="72"/>
          <w:highlight w:val="none"/>
        </w:rPr>
      </w:pPr>
    </w:p>
    <w:p w14:paraId="61D608E0">
      <w:pPr>
        <w:overflowPunct w:val="0"/>
        <w:autoSpaceDE w:val="0"/>
        <w:autoSpaceDN w:val="0"/>
        <w:adjustRightInd w:val="0"/>
        <w:snapToGrid w:val="0"/>
        <w:spacing w:line="720" w:lineRule="exact"/>
        <w:ind w:firstLine="1446" w:firstLineChars="200"/>
        <w:rPr>
          <w:rFonts w:hint="eastAsia" w:ascii="宋体" w:hAnsi="宋体"/>
          <w:b/>
          <w:bCs/>
          <w:color w:val="auto"/>
          <w:sz w:val="72"/>
          <w:szCs w:val="72"/>
          <w:highlight w:val="none"/>
        </w:rPr>
      </w:pPr>
    </w:p>
    <w:p w14:paraId="436D919A">
      <w:pPr>
        <w:overflowPunct w:val="0"/>
        <w:autoSpaceDE w:val="0"/>
        <w:autoSpaceDN w:val="0"/>
        <w:adjustRightInd w:val="0"/>
        <w:snapToGrid w:val="0"/>
        <w:spacing w:line="720" w:lineRule="exact"/>
        <w:ind w:firstLine="1446" w:firstLineChars="200"/>
        <w:rPr>
          <w:rFonts w:ascii="宋体" w:hAnsi="宋体"/>
          <w:b/>
          <w:bCs/>
          <w:color w:val="auto"/>
          <w:sz w:val="72"/>
          <w:szCs w:val="72"/>
          <w:highlight w:val="none"/>
        </w:rPr>
      </w:pPr>
      <w:r>
        <w:rPr>
          <w:rFonts w:hint="eastAsia" w:ascii="宋体" w:hAnsi="宋体"/>
          <w:b/>
          <w:bCs/>
          <w:color w:val="auto"/>
          <w:sz w:val="72"/>
          <w:szCs w:val="72"/>
          <w:highlight w:val="none"/>
        </w:rPr>
        <w:t>建设工程监理合同</w:t>
      </w:r>
    </w:p>
    <w:p w14:paraId="4B85476A">
      <w:pPr>
        <w:overflowPunct w:val="0"/>
        <w:autoSpaceDE w:val="0"/>
        <w:autoSpaceDN w:val="0"/>
        <w:adjustRightInd w:val="0"/>
        <w:snapToGrid w:val="0"/>
        <w:spacing w:line="720" w:lineRule="exact"/>
        <w:ind w:firstLine="960" w:firstLineChars="200"/>
        <w:jc w:val="center"/>
        <w:rPr>
          <w:rFonts w:ascii="宋体" w:hAnsi="宋体"/>
          <w:bCs/>
          <w:color w:val="auto"/>
          <w:sz w:val="48"/>
          <w:szCs w:val="48"/>
          <w:highlight w:val="none"/>
        </w:rPr>
      </w:pPr>
    </w:p>
    <w:p w14:paraId="74B719F8">
      <w:pPr>
        <w:overflowPunct w:val="0"/>
        <w:autoSpaceDE w:val="0"/>
        <w:autoSpaceDN w:val="0"/>
        <w:adjustRightInd w:val="0"/>
        <w:snapToGrid w:val="0"/>
        <w:spacing w:line="720" w:lineRule="exact"/>
        <w:ind w:firstLine="480" w:firstLineChars="200"/>
        <w:jc w:val="center"/>
        <w:rPr>
          <w:rFonts w:ascii="宋体" w:hAnsi="宋体"/>
          <w:bCs/>
          <w:color w:val="auto"/>
          <w:sz w:val="24"/>
          <w:highlight w:val="none"/>
        </w:rPr>
      </w:pPr>
    </w:p>
    <w:p w14:paraId="3D6466E2">
      <w:pPr>
        <w:overflowPunct w:val="0"/>
        <w:autoSpaceDE w:val="0"/>
        <w:autoSpaceDN w:val="0"/>
        <w:adjustRightInd w:val="0"/>
        <w:snapToGrid w:val="0"/>
        <w:spacing w:line="720" w:lineRule="exact"/>
        <w:ind w:firstLine="482" w:firstLineChars="200"/>
        <w:jc w:val="center"/>
        <w:rPr>
          <w:rFonts w:ascii="宋体" w:hAnsi="宋体"/>
          <w:b/>
          <w:bCs/>
          <w:color w:val="auto"/>
          <w:sz w:val="24"/>
          <w:highlight w:val="none"/>
        </w:rPr>
      </w:pPr>
    </w:p>
    <w:p w14:paraId="47C035C3">
      <w:pPr>
        <w:overflowPunct w:val="0"/>
        <w:autoSpaceDE w:val="0"/>
        <w:autoSpaceDN w:val="0"/>
        <w:adjustRightInd w:val="0"/>
        <w:snapToGrid w:val="0"/>
        <w:spacing w:line="720" w:lineRule="exact"/>
        <w:rPr>
          <w:rFonts w:ascii="宋体" w:hAnsi="宋体"/>
          <w:b/>
          <w:bCs/>
          <w:color w:val="auto"/>
          <w:sz w:val="24"/>
          <w:highlight w:val="none"/>
        </w:rPr>
      </w:pPr>
    </w:p>
    <w:p w14:paraId="4431C859">
      <w:pPr>
        <w:overflowPunct w:val="0"/>
        <w:autoSpaceDE w:val="0"/>
        <w:autoSpaceDN w:val="0"/>
        <w:adjustRightInd w:val="0"/>
        <w:snapToGrid w:val="0"/>
        <w:spacing w:line="720" w:lineRule="exact"/>
        <w:ind w:firstLine="482" w:firstLineChars="200"/>
        <w:jc w:val="center"/>
        <w:rPr>
          <w:rFonts w:ascii="宋体" w:hAnsi="宋体"/>
          <w:b/>
          <w:bCs/>
          <w:color w:val="auto"/>
          <w:sz w:val="24"/>
          <w:highlight w:val="none"/>
        </w:rPr>
      </w:pPr>
    </w:p>
    <w:p w14:paraId="209676D0">
      <w:pPr>
        <w:overflowPunct w:val="0"/>
        <w:autoSpaceDE w:val="0"/>
        <w:autoSpaceDN w:val="0"/>
        <w:adjustRightInd w:val="0"/>
        <w:snapToGrid w:val="0"/>
        <w:spacing w:line="720" w:lineRule="exact"/>
        <w:ind w:firstLine="482" w:firstLineChars="200"/>
        <w:rPr>
          <w:rFonts w:ascii="宋体" w:hAnsi="宋体"/>
          <w:b/>
          <w:bCs/>
          <w:color w:val="auto"/>
          <w:sz w:val="24"/>
          <w:highlight w:val="none"/>
        </w:rPr>
      </w:pPr>
    </w:p>
    <w:p w14:paraId="7788BCDD">
      <w:pPr>
        <w:overflowPunct w:val="0"/>
        <w:autoSpaceDE w:val="0"/>
        <w:autoSpaceDN w:val="0"/>
        <w:adjustRightInd w:val="0"/>
        <w:snapToGrid w:val="0"/>
        <w:spacing w:line="720" w:lineRule="exact"/>
        <w:ind w:left="2168" w:leftChars="137" w:hanging="1880" w:hangingChars="600"/>
        <w:jc w:val="left"/>
        <w:rPr>
          <w:rFonts w:hint="eastAsia" w:ascii="宋体" w:hAnsi="宋体" w:cs="宋体"/>
          <w:b/>
          <w:bCs/>
          <w:color w:val="auto"/>
          <w:kern w:val="0"/>
          <w:sz w:val="28"/>
          <w:szCs w:val="28"/>
          <w:highlight w:val="none"/>
          <w:u w:val="single"/>
          <w:lang w:val="zh-TW"/>
        </w:rPr>
      </w:pPr>
      <w:r>
        <w:rPr>
          <w:rFonts w:hint="eastAsia" w:ascii="宋体" w:hAnsi="宋体"/>
          <w:b/>
          <w:snapToGrid w:val="0"/>
          <w:color w:val="auto"/>
          <w:spacing w:val="-4"/>
          <w:kern w:val="0"/>
          <w:sz w:val="32"/>
          <w:szCs w:val="32"/>
          <w:highlight w:val="none"/>
        </w:rPr>
        <w:t>项目名称：</w:t>
      </w:r>
      <w:r>
        <w:rPr>
          <w:rFonts w:hint="eastAsia" w:ascii="宋体" w:hAnsi="宋体" w:cs="宋体"/>
          <w:b/>
          <w:bCs/>
          <w:color w:val="auto"/>
          <w:kern w:val="0"/>
          <w:sz w:val="28"/>
          <w:szCs w:val="28"/>
          <w:highlight w:val="none"/>
          <w:u w:val="single"/>
        </w:rPr>
        <w:t xml:space="preserve">                                  </w:t>
      </w:r>
    </w:p>
    <w:p w14:paraId="052CE053">
      <w:pPr>
        <w:overflowPunct w:val="0"/>
        <w:autoSpaceDE w:val="0"/>
        <w:autoSpaceDN w:val="0"/>
        <w:adjustRightInd w:val="0"/>
        <w:snapToGrid w:val="0"/>
        <w:spacing w:line="720" w:lineRule="exact"/>
        <w:ind w:firstLine="313" w:firstLineChars="100"/>
        <w:jc w:val="left"/>
        <w:rPr>
          <w:rFonts w:hint="eastAsia" w:ascii="宋体" w:hAnsi="宋体" w:cs="宋体"/>
          <w:b/>
          <w:bCs/>
          <w:color w:val="auto"/>
          <w:kern w:val="0"/>
          <w:sz w:val="28"/>
          <w:szCs w:val="28"/>
          <w:highlight w:val="none"/>
          <w:u w:val="single"/>
          <w:lang w:val="zh-TW"/>
        </w:rPr>
      </w:pPr>
      <w:r>
        <w:rPr>
          <w:rFonts w:hint="eastAsia" w:ascii="宋体" w:hAnsi="宋体"/>
          <w:b/>
          <w:snapToGrid w:val="0"/>
          <w:color w:val="auto"/>
          <w:spacing w:val="-4"/>
          <w:kern w:val="0"/>
          <w:sz w:val="32"/>
          <w:szCs w:val="32"/>
          <w:highlight w:val="none"/>
        </w:rPr>
        <w:t>发包单位：</w:t>
      </w:r>
      <w:r>
        <w:rPr>
          <w:rFonts w:hint="eastAsia" w:ascii="宋体" w:hAnsi="宋体" w:cs="宋体"/>
          <w:b/>
          <w:bCs/>
          <w:color w:val="auto"/>
          <w:kern w:val="0"/>
          <w:sz w:val="28"/>
          <w:szCs w:val="28"/>
          <w:highlight w:val="none"/>
          <w:u w:val="single"/>
          <w:lang w:val="zh-TW"/>
        </w:rPr>
        <w:t xml:space="preserve">                                  </w:t>
      </w:r>
    </w:p>
    <w:p w14:paraId="4A418F1D">
      <w:pPr>
        <w:overflowPunct w:val="0"/>
        <w:autoSpaceDE w:val="0"/>
        <w:autoSpaceDN w:val="0"/>
        <w:adjustRightInd w:val="0"/>
        <w:snapToGrid w:val="0"/>
        <w:spacing w:line="720" w:lineRule="exact"/>
        <w:ind w:firstLine="313" w:firstLineChars="100"/>
        <w:jc w:val="left"/>
        <w:rPr>
          <w:rFonts w:ascii="宋体" w:hAnsi="宋体"/>
          <w:b/>
          <w:snapToGrid w:val="0"/>
          <w:color w:val="auto"/>
          <w:spacing w:val="-4"/>
          <w:kern w:val="0"/>
          <w:sz w:val="32"/>
          <w:szCs w:val="32"/>
          <w:highlight w:val="none"/>
          <w:u w:val="single"/>
        </w:rPr>
      </w:pPr>
      <w:r>
        <w:rPr>
          <w:rFonts w:hint="eastAsia" w:ascii="宋体" w:hAnsi="宋体"/>
          <w:b/>
          <w:snapToGrid w:val="0"/>
          <w:color w:val="auto"/>
          <w:spacing w:val="-4"/>
          <w:kern w:val="0"/>
          <w:sz w:val="32"/>
          <w:szCs w:val="32"/>
          <w:highlight w:val="none"/>
          <w:lang w:val="zh-TW"/>
        </w:rPr>
        <w:t>监理单位：</w:t>
      </w:r>
      <w:r>
        <w:rPr>
          <w:rFonts w:hint="eastAsia" w:ascii="宋体" w:hAnsi="宋体" w:cs="宋体"/>
          <w:b/>
          <w:bCs/>
          <w:color w:val="auto"/>
          <w:kern w:val="0"/>
          <w:sz w:val="28"/>
          <w:szCs w:val="28"/>
          <w:highlight w:val="none"/>
          <w:u w:val="single"/>
          <w:lang w:val="zh-TW"/>
        </w:rPr>
        <w:t xml:space="preserve">                                  </w:t>
      </w:r>
    </w:p>
    <w:p w14:paraId="7C65FF55">
      <w:pPr>
        <w:overflowPunct w:val="0"/>
        <w:autoSpaceDE w:val="0"/>
        <w:autoSpaceDN w:val="0"/>
        <w:adjustRightInd w:val="0"/>
        <w:snapToGrid w:val="0"/>
        <w:spacing w:line="720" w:lineRule="exact"/>
        <w:ind w:firstLine="624" w:firstLineChars="200"/>
        <w:rPr>
          <w:rFonts w:ascii="宋体" w:hAnsi="宋体"/>
          <w:snapToGrid w:val="0"/>
          <w:color w:val="auto"/>
          <w:spacing w:val="-4"/>
          <w:kern w:val="0"/>
          <w:sz w:val="32"/>
          <w:szCs w:val="32"/>
          <w:highlight w:val="none"/>
          <w:u w:val="single"/>
        </w:rPr>
      </w:pPr>
    </w:p>
    <w:p w14:paraId="0DAB5F9E">
      <w:pPr>
        <w:overflowPunct w:val="0"/>
        <w:autoSpaceDE w:val="0"/>
        <w:autoSpaceDN w:val="0"/>
        <w:adjustRightInd w:val="0"/>
        <w:snapToGrid w:val="0"/>
        <w:spacing w:line="720" w:lineRule="exact"/>
        <w:rPr>
          <w:rFonts w:ascii="宋体" w:hAnsi="宋体"/>
          <w:snapToGrid w:val="0"/>
          <w:color w:val="auto"/>
          <w:spacing w:val="-4"/>
          <w:kern w:val="0"/>
          <w:sz w:val="32"/>
          <w:szCs w:val="32"/>
          <w:highlight w:val="none"/>
        </w:rPr>
      </w:pPr>
    </w:p>
    <w:p w14:paraId="36723B9B">
      <w:pPr>
        <w:overflowPunct w:val="0"/>
        <w:autoSpaceDE w:val="0"/>
        <w:autoSpaceDN w:val="0"/>
        <w:adjustRightInd w:val="0"/>
        <w:snapToGrid w:val="0"/>
        <w:spacing w:line="720" w:lineRule="exact"/>
        <w:ind w:firstLine="627" w:firstLineChars="200"/>
        <w:rPr>
          <w:rFonts w:ascii="宋体" w:hAnsi="宋体"/>
          <w:b/>
          <w:snapToGrid w:val="0"/>
          <w:color w:val="auto"/>
          <w:spacing w:val="-4"/>
          <w:kern w:val="0"/>
          <w:sz w:val="32"/>
          <w:szCs w:val="32"/>
          <w:highlight w:val="none"/>
        </w:rPr>
      </w:pPr>
      <w:r>
        <w:rPr>
          <w:rFonts w:hint="eastAsia" w:ascii="宋体" w:hAnsi="宋体"/>
          <w:b/>
          <w:snapToGrid w:val="0"/>
          <w:color w:val="auto"/>
          <w:spacing w:val="-4"/>
          <w:kern w:val="0"/>
          <w:sz w:val="32"/>
          <w:szCs w:val="32"/>
          <w:highlight w:val="none"/>
        </w:rPr>
        <w:t>签订日期：</w:t>
      </w:r>
      <w:r>
        <w:rPr>
          <w:rFonts w:hint="eastAsia" w:ascii="宋体" w:hAnsi="宋体"/>
          <w:b/>
          <w:snapToGrid w:val="0"/>
          <w:color w:val="auto"/>
          <w:spacing w:val="-4"/>
          <w:kern w:val="0"/>
          <w:sz w:val="32"/>
          <w:szCs w:val="32"/>
          <w:highlight w:val="none"/>
          <w:u w:val="single"/>
        </w:rPr>
        <w:t xml:space="preserve">      </w:t>
      </w:r>
      <w:r>
        <w:rPr>
          <w:rFonts w:hint="eastAsia" w:ascii="宋体" w:hAnsi="宋体"/>
          <w:b/>
          <w:snapToGrid w:val="0"/>
          <w:color w:val="auto"/>
          <w:spacing w:val="-4"/>
          <w:kern w:val="0"/>
          <w:sz w:val="32"/>
          <w:szCs w:val="32"/>
          <w:highlight w:val="none"/>
        </w:rPr>
        <w:t>年</w:t>
      </w:r>
      <w:r>
        <w:rPr>
          <w:rFonts w:hint="eastAsia" w:ascii="宋体" w:hAnsi="宋体"/>
          <w:b/>
          <w:snapToGrid w:val="0"/>
          <w:color w:val="auto"/>
          <w:spacing w:val="-4"/>
          <w:kern w:val="0"/>
          <w:sz w:val="32"/>
          <w:szCs w:val="32"/>
          <w:highlight w:val="none"/>
          <w:u w:val="single"/>
        </w:rPr>
        <w:t xml:space="preserve">  </w:t>
      </w:r>
      <w:r>
        <w:rPr>
          <w:rFonts w:ascii="宋体" w:hAnsi="宋体"/>
          <w:b/>
          <w:snapToGrid w:val="0"/>
          <w:color w:val="auto"/>
          <w:spacing w:val="-4"/>
          <w:kern w:val="0"/>
          <w:sz w:val="32"/>
          <w:szCs w:val="32"/>
          <w:highlight w:val="none"/>
          <w:u w:val="single"/>
        </w:rPr>
        <w:t xml:space="preserve"> </w:t>
      </w:r>
      <w:r>
        <w:rPr>
          <w:rFonts w:hint="eastAsia" w:ascii="宋体" w:hAnsi="宋体"/>
          <w:b/>
          <w:snapToGrid w:val="0"/>
          <w:color w:val="auto"/>
          <w:spacing w:val="-4"/>
          <w:kern w:val="0"/>
          <w:sz w:val="32"/>
          <w:szCs w:val="32"/>
          <w:highlight w:val="none"/>
        </w:rPr>
        <w:t>月</w:t>
      </w:r>
      <w:r>
        <w:rPr>
          <w:rFonts w:hint="eastAsia" w:ascii="宋体" w:hAnsi="宋体"/>
          <w:b/>
          <w:snapToGrid w:val="0"/>
          <w:color w:val="auto"/>
          <w:spacing w:val="-4"/>
          <w:kern w:val="0"/>
          <w:sz w:val="32"/>
          <w:szCs w:val="32"/>
          <w:highlight w:val="none"/>
          <w:u w:val="single"/>
        </w:rPr>
        <w:t xml:space="preserve">   </w:t>
      </w:r>
      <w:r>
        <w:rPr>
          <w:rFonts w:hint="eastAsia" w:ascii="宋体" w:hAnsi="宋体"/>
          <w:b/>
          <w:snapToGrid w:val="0"/>
          <w:color w:val="auto"/>
          <w:spacing w:val="-4"/>
          <w:kern w:val="0"/>
          <w:sz w:val="32"/>
          <w:szCs w:val="32"/>
          <w:highlight w:val="none"/>
        </w:rPr>
        <w:t>日</w:t>
      </w:r>
    </w:p>
    <w:p w14:paraId="0D3368D4">
      <w:pPr>
        <w:overflowPunct w:val="0"/>
        <w:autoSpaceDE w:val="0"/>
        <w:autoSpaceDN w:val="0"/>
        <w:adjustRightInd w:val="0"/>
        <w:snapToGrid w:val="0"/>
        <w:spacing w:line="720" w:lineRule="exact"/>
        <w:ind w:firstLine="627" w:firstLineChars="200"/>
        <w:rPr>
          <w:rFonts w:hint="eastAsia" w:ascii="宋体" w:hAnsi="宋体"/>
          <w:b/>
          <w:bCs/>
          <w:snapToGrid w:val="0"/>
          <w:color w:val="auto"/>
          <w:spacing w:val="-4"/>
          <w:kern w:val="0"/>
          <w:sz w:val="32"/>
          <w:szCs w:val="32"/>
          <w:highlight w:val="none"/>
          <w:u w:val="single"/>
        </w:rPr>
      </w:pPr>
      <w:r>
        <w:rPr>
          <w:rFonts w:hint="eastAsia" w:ascii="宋体" w:hAnsi="宋体"/>
          <w:b/>
          <w:snapToGrid w:val="0"/>
          <w:color w:val="auto"/>
          <w:spacing w:val="-4"/>
          <w:kern w:val="0"/>
          <w:sz w:val="32"/>
          <w:szCs w:val="32"/>
          <w:highlight w:val="none"/>
        </w:rPr>
        <w:t>签订地点：</w:t>
      </w:r>
      <w:r>
        <w:rPr>
          <w:rFonts w:hint="eastAsia" w:ascii="宋体" w:hAnsi="宋体"/>
          <w:b/>
          <w:bCs/>
          <w:snapToGrid w:val="0"/>
          <w:color w:val="auto"/>
          <w:spacing w:val="-4"/>
          <w:kern w:val="0"/>
          <w:sz w:val="32"/>
          <w:szCs w:val="32"/>
          <w:highlight w:val="none"/>
          <w:u w:val="single"/>
        </w:rPr>
        <w:t xml:space="preserve">    重庆市南岸区   </w:t>
      </w:r>
    </w:p>
    <w:p w14:paraId="7254D5EA">
      <w:pPr>
        <w:pStyle w:val="2"/>
        <w:rPr>
          <w:rFonts w:hint="eastAsia" w:ascii="宋体" w:hAnsi="宋体"/>
          <w:b/>
          <w:bCs/>
          <w:snapToGrid w:val="0"/>
          <w:color w:val="auto"/>
          <w:spacing w:val="-4"/>
          <w:kern w:val="0"/>
          <w:sz w:val="32"/>
          <w:szCs w:val="32"/>
          <w:highlight w:val="none"/>
          <w:u w:val="single"/>
        </w:rPr>
      </w:pPr>
    </w:p>
    <w:p w14:paraId="0C0906F7">
      <w:pPr>
        <w:pStyle w:val="2"/>
        <w:rPr>
          <w:color w:val="auto"/>
          <w:highlight w:val="none"/>
        </w:rPr>
      </w:pPr>
    </w:p>
    <w:p w14:paraId="0C459B3F">
      <w:pPr>
        <w:tabs>
          <w:tab w:val="left" w:pos="3120"/>
        </w:tabs>
        <w:overflowPunct w:val="0"/>
        <w:autoSpaceDE w:val="0"/>
        <w:autoSpaceDN w:val="0"/>
        <w:adjustRightInd w:val="0"/>
        <w:snapToGrid w:val="0"/>
        <w:spacing w:line="420" w:lineRule="exact"/>
        <w:jc w:val="center"/>
        <w:rPr>
          <w:rFonts w:ascii="宋体" w:hAnsi="宋体"/>
          <w:bCs/>
          <w:color w:val="auto"/>
          <w:sz w:val="32"/>
          <w:szCs w:val="32"/>
          <w:highlight w:val="none"/>
        </w:rPr>
      </w:pPr>
    </w:p>
    <w:p w14:paraId="0813E5B6">
      <w:pPr>
        <w:tabs>
          <w:tab w:val="left" w:pos="3120"/>
        </w:tabs>
        <w:overflowPunct w:val="0"/>
        <w:autoSpaceDE w:val="0"/>
        <w:autoSpaceDN w:val="0"/>
        <w:adjustRightInd w:val="0"/>
        <w:snapToGrid w:val="0"/>
        <w:spacing w:line="420" w:lineRule="exact"/>
        <w:jc w:val="center"/>
        <w:rPr>
          <w:rFonts w:hint="eastAsia" w:ascii="宋体" w:hAnsi="宋体"/>
          <w:bCs/>
          <w:color w:val="auto"/>
          <w:sz w:val="32"/>
          <w:szCs w:val="32"/>
          <w:highlight w:val="none"/>
        </w:rPr>
        <w:sectPr>
          <w:pgSz w:w="11906" w:h="16838"/>
          <w:pgMar w:top="1191" w:right="964" w:bottom="1191" w:left="964" w:header="851" w:footer="992" w:gutter="0"/>
          <w:cols w:space="720" w:num="1"/>
          <w:docGrid w:type="lines" w:linePitch="312" w:charSpace="0"/>
        </w:sectPr>
      </w:pPr>
    </w:p>
    <w:p w14:paraId="64D94A70">
      <w:pPr>
        <w:tabs>
          <w:tab w:val="left" w:pos="3120"/>
        </w:tabs>
        <w:overflowPunct w:val="0"/>
        <w:autoSpaceDE w:val="0"/>
        <w:autoSpaceDN w:val="0"/>
        <w:adjustRightInd w:val="0"/>
        <w:snapToGrid w:val="0"/>
        <w:spacing w:line="420" w:lineRule="exact"/>
        <w:rPr>
          <w:rFonts w:hint="eastAsia" w:ascii="宋体" w:hAnsi="宋体"/>
          <w:bCs/>
          <w:color w:val="auto"/>
          <w:sz w:val="32"/>
          <w:szCs w:val="32"/>
          <w:highlight w:val="none"/>
        </w:rPr>
      </w:pPr>
    </w:p>
    <w:p w14:paraId="19A25C8D">
      <w:pPr>
        <w:tabs>
          <w:tab w:val="left" w:pos="3120"/>
        </w:tabs>
        <w:overflowPunct w:val="0"/>
        <w:autoSpaceDE w:val="0"/>
        <w:autoSpaceDN w:val="0"/>
        <w:adjustRightInd w:val="0"/>
        <w:snapToGrid w:val="0"/>
        <w:spacing w:line="420" w:lineRule="exact"/>
        <w:jc w:val="center"/>
        <w:outlineLvl w:val="0"/>
        <w:rPr>
          <w:rFonts w:ascii="宋体" w:hAnsi="宋体"/>
          <w:bCs/>
          <w:color w:val="auto"/>
          <w:sz w:val="32"/>
          <w:szCs w:val="32"/>
          <w:highlight w:val="none"/>
        </w:rPr>
      </w:pPr>
      <w:r>
        <w:rPr>
          <w:rFonts w:hint="eastAsia" w:ascii="宋体" w:hAnsi="宋体"/>
          <w:bCs/>
          <w:color w:val="auto"/>
          <w:sz w:val="32"/>
          <w:szCs w:val="32"/>
          <w:highlight w:val="none"/>
        </w:rPr>
        <w:t>第一部分  协议书</w:t>
      </w:r>
    </w:p>
    <w:p w14:paraId="22354CA8">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委托人（全称）：</w:t>
      </w:r>
      <w:r>
        <w:rPr>
          <w:rFonts w:hint="eastAsia" w:ascii="宋体" w:hAnsi="宋体"/>
          <w:b/>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bCs/>
          <w:color w:val="auto"/>
          <w:szCs w:val="21"/>
          <w:highlight w:val="none"/>
          <w:u w:val="single"/>
        </w:rPr>
        <w:t xml:space="preserve">  </w:t>
      </w:r>
    </w:p>
    <w:p w14:paraId="55D262FF">
      <w:pPr>
        <w:overflowPunct w:val="0"/>
        <w:autoSpaceDE w:val="0"/>
        <w:autoSpaceDN w:val="0"/>
        <w:adjustRightInd w:val="0"/>
        <w:snapToGrid w:val="0"/>
        <w:spacing w:line="420" w:lineRule="exact"/>
        <w:ind w:firstLine="422" w:firstLineChars="200"/>
        <w:rPr>
          <w:rFonts w:ascii="宋体" w:hAnsi="宋体"/>
          <w:color w:val="auto"/>
          <w:szCs w:val="21"/>
          <w:highlight w:val="none"/>
        </w:rPr>
      </w:pPr>
      <w:r>
        <w:rPr>
          <w:rFonts w:hint="eastAsia" w:ascii="宋体" w:hAnsi="宋体"/>
          <w:b/>
          <w:color w:val="auto"/>
          <w:szCs w:val="21"/>
          <w:highlight w:val="none"/>
        </w:rPr>
        <w:t>监理人（全称）：</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w:t>
      </w:r>
    </w:p>
    <w:p w14:paraId="03309A07">
      <w:pPr>
        <w:overflowPunct w:val="0"/>
        <w:autoSpaceDE w:val="0"/>
        <w:autoSpaceDN w:val="0"/>
        <w:adjustRightInd w:val="0"/>
        <w:snapToGrid w:val="0"/>
        <w:spacing w:line="4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根据《中华人民共和国民法典》、《中华人民共和国建筑法》及其他有关法律、法规，遵循平等、自愿、公平和诚信的原则，双方就下述工程委托监理与相关服务事项协商一致，订立本合同。</w:t>
      </w:r>
    </w:p>
    <w:p w14:paraId="49FB8822">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一、工程概况</w:t>
      </w:r>
    </w:p>
    <w:p w14:paraId="56FC7697">
      <w:pPr>
        <w:overflowPunct w:val="0"/>
        <w:autoSpaceDE w:val="0"/>
        <w:autoSpaceDN w:val="0"/>
        <w:adjustRightInd w:val="0"/>
        <w:snapToGrid w:val="0"/>
        <w:spacing w:line="420" w:lineRule="exact"/>
        <w:ind w:left="1890" w:leftChars="200" w:hanging="1470" w:hangingChars="700"/>
        <w:rPr>
          <w:rFonts w:hint="eastAsia" w:ascii="宋体" w:hAnsi="宋体" w:cs="宋体"/>
          <w:b/>
          <w:bCs/>
          <w:color w:val="auto"/>
          <w:kern w:val="0"/>
          <w:szCs w:val="21"/>
          <w:highlight w:val="none"/>
          <w:u w:val="single"/>
          <w:lang w:val="zh-TW"/>
        </w:rPr>
      </w:pPr>
      <w:r>
        <w:rPr>
          <w:rFonts w:hint="eastAsia" w:ascii="宋体" w:hAnsi="宋体"/>
          <w:color w:val="auto"/>
          <w:szCs w:val="21"/>
          <w:highlight w:val="none"/>
        </w:rPr>
        <w:t>1. 工程名称：</w:t>
      </w:r>
      <w:r>
        <w:rPr>
          <w:rFonts w:hint="eastAsia" w:ascii="宋体" w:hAnsi="宋体" w:cs="宋体"/>
          <w:b/>
          <w:bCs/>
          <w:color w:val="auto"/>
          <w:kern w:val="0"/>
          <w:szCs w:val="21"/>
          <w:highlight w:val="none"/>
          <w:u w:val="single"/>
        </w:rPr>
        <w:t xml:space="preserve">                              </w:t>
      </w:r>
    </w:p>
    <w:p w14:paraId="4A29469B">
      <w:pPr>
        <w:overflowPunct w:val="0"/>
        <w:autoSpaceDE w:val="0"/>
        <w:autoSpaceDN w:val="0"/>
        <w:adjustRightInd w:val="0"/>
        <w:snapToGrid w:val="0"/>
        <w:spacing w:line="420" w:lineRule="exact"/>
        <w:ind w:firstLine="420" w:firstLineChars="200"/>
        <w:rPr>
          <w:rFonts w:hint="eastAsia" w:ascii="宋体" w:hAnsi="宋体" w:cs="宋体"/>
          <w:b/>
          <w:bCs/>
          <w:color w:val="auto"/>
          <w:kern w:val="0"/>
          <w:szCs w:val="21"/>
          <w:highlight w:val="none"/>
          <w:u w:val="single"/>
          <w:lang w:val="zh-TW"/>
        </w:rPr>
      </w:pPr>
      <w:r>
        <w:rPr>
          <w:rFonts w:hint="eastAsia" w:ascii="宋体" w:hAnsi="宋体"/>
          <w:color w:val="auto"/>
          <w:szCs w:val="21"/>
          <w:highlight w:val="none"/>
        </w:rPr>
        <w:t>2. 工程地点：</w:t>
      </w:r>
      <w:r>
        <w:rPr>
          <w:rFonts w:hint="eastAsia" w:ascii="宋体" w:hAnsi="宋体" w:cs="宋体"/>
          <w:b/>
          <w:bCs/>
          <w:color w:val="auto"/>
          <w:kern w:val="0"/>
          <w:szCs w:val="21"/>
          <w:highlight w:val="none"/>
          <w:u w:val="single"/>
          <w:lang w:val="zh-TW"/>
        </w:rPr>
        <w:t xml:space="preserve">                              </w:t>
      </w:r>
    </w:p>
    <w:p w14:paraId="2B21DF1E">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 工程规模：</w:t>
      </w:r>
      <w:r>
        <w:rPr>
          <w:rFonts w:hint="eastAsia" w:ascii="宋体" w:hAnsi="宋体" w:cs="宋体"/>
          <w:b/>
          <w:bCs/>
          <w:color w:val="auto"/>
          <w:kern w:val="0"/>
          <w:szCs w:val="21"/>
          <w:highlight w:val="none"/>
          <w:u w:val="single"/>
          <w:lang w:val="zh-TW"/>
        </w:rPr>
        <w:t xml:space="preserve">                             </w:t>
      </w:r>
      <w:r>
        <w:rPr>
          <w:rFonts w:hint="eastAsia" w:ascii="宋体" w:hAnsi="宋体"/>
          <w:color w:val="auto"/>
          <w:szCs w:val="21"/>
          <w:highlight w:val="none"/>
        </w:rPr>
        <w:t>；</w:t>
      </w:r>
    </w:p>
    <w:p w14:paraId="2857A6CE">
      <w:pPr>
        <w:overflowPunct w:val="0"/>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4. 工程</w:t>
      </w:r>
      <w:r>
        <w:rPr>
          <w:rFonts w:hint="eastAsia" w:ascii="宋体" w:hAnsi="宋体"/>
          <w:color w:val="auto"/>
          <w:kern w:val="0"/>
          <w:szCs w:val="21"/>
          <w:highlight w:val="none"/>
        </w:rPr>
        <w:t>概算投资</w:t>
      </w:r>
      <w:r>
        <w:rPr>
          <w:rFonts w:hint="eastAsia" w:ascii="宋体" w:hAnsi="宋体" w:cs="宋体"/>
          <w:color w:val="auto"/>
          <w:kern w:val="0"/>
          <w:szCs w:val="21"/>
          <w:highlight w:val="none"/>
        </w:rPr>
        <w:t>额或建筑安装工程费</w:t>
      </w:r>
      <w:r>
        <w:rPr>
          <w:rFonts w:hint="eastAsia" w:ascii="宋体" w:hAnsi="宋体"/>
          <w:color w:val="auto"/>
          <w:szCs w:val="21"/>
          <w:highlight w:val="none"/>
        </w:rPr>
        <w:t>：</w:t>
      </w:r>
      <w:r>
        <w:rPr>
          <w:rFonts w:hint="eastAsia" w:ascii="宋体" w:hAnsi="宋体" w:cs="宋体"/>
          <w:b/>
          <w:bCs/>
          <w:color w:val="auto"/>
          <w:kern w:val="0"/>
          <w:szCs w:val="21"/>
          <w:highlight w:val="none"/>
          <w:u w:val="single"/>
          <w:lang w:val="zh-TW"/>
        </w:rPr>
        <w:t xml:space="preserve">       </w:t>
      </w:r>
      <w:r>
        <w:rPr>
          <w:rFonts w:hint="eastAsia" w:ascii="宋体" w:hAnsi="宋体" w:cs="宋体"/>
          <w:b/>
          <w:bCs/>
          <w:color w:val="auto"/>
          <w:kern w:val="0"/>
          <w:szCs w:val="21"/>
          <w:highlight w:val="none"/>
          <w:lang w:val="zh-TW"/>
        </w:rPr>
        <w:t>。</w:t>
      </w:r>
    </w:p>
    <w:p w14:paraId="7B6E4D7E">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二、词语限定</w:t>
      </w:r>
    </w:p>
    <w:p w14:paraId="39447C59">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协议书中相关词语的含义与通用条件中的定义与解释相同。</w:t>
      </w:r>
    </w:p>
    <w:p w14:paraId="56EA9580">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三、组成本合同的文件</w:t>
      </w:r>
    </w:p>
    <w:p w14:paraId="6559556A">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 协议书；</w:t>
      </w:r>
    </w:p>
    <w:p w14:paraId="5C17476B">
      <w:pPr>
        <w:overflowPunct w:val="0"/>
        <w:autoSpaceDE w:val="0"/>
        <w:autoSpaceDN w:val="0"/>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招标文件或比选文件（包括但不限于本工程的招标或比选文件、图纸、其他技术资料及招标人发出的对招标或比选文件所作的澄清、修改、补遗等资料）（若有）；</w:t>
      </w:r>
    </w:p>
    <w:p w14:paraId="005876B7">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3.中选通知书（适用于招标工程）或委托书（适用于非招标工程）；</w:t>
      </w:r>
    </w:p>
    <w:p w14:paraId="3A2238BB">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4. 竞选文件（适用于招标工程）或监理与相关服务建议书（适用于非招标工程）；</w:t>
      </w:r>
    </w:p>
    <w:p w14:paraId="35E9CD29">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 专用条件；</w:t>
      </w:r>
    </w:p>
    <w:p w14:paraId="785C91BC">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6. 通用条件；</w:t>
      </w:r>
    </w:p>
    <w:p w14:paraId="2E47AB10">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 附录，即：</w:t>
      </w:r>
    </w:p>
    <w:p w14:paraId="3A32D377">
      <w:pPr>
        <w:overflowPunct w:val="0"/>
        <w:autoSpaceDE w:val="0"/>
        <w:autoSpaceDN w:val="0"/>
        <w:adjustRightInd w:val="0"/>
        <w:snapToGrid w:val="0"/>
        <w:spacing w:line="420" w:lineRule="exact"/>
        <w:ind w:firstLine="420" w:firstLineChars="200"/>
        <w:rPr>
          <w:rFonts w:hint="eastAsia" w:ascii="宋体" w:hAnsi="宋体"/>
          <w:color w:val="auto"/>
          <w:szCs w:val="21"/>
          <w:highlight w:val="none"/>
        </w:rPr>
      </w:pPr>
      <w:bookmarkStart w:id="692" w:name="_Hlk88038364"/>
      <w:r>
        <w:rPr>
          <w:rFonts w:hint="eastAsia" w:ascii="宋体" w:hAnsi="宋体"/>
          <w:color w:val="auto"/>
          <w:szCs w:val="21"/>
          <w:highlight w:val="none"/>
        </w:rPr>
        <w:t>附录1  相关服务的范围和内容；</w:t>
      </w:r>
    </w:p>
    <w:p w14:paraId="758D2D59">
      <w:pPr>
        <w:overflowPunct w:val="0"/>
        <w:autoSpaceDE w:val="0"/>
        <w:autoSpaceDN w:val="0"/>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附录2  委托人派遣的人员和提供的</w:t>
      </w:r>
      <w:r>
        <w:rPr>
          <w:rFonts w:hint="eastAsia" w:ascii="宋体" w:hAnsi="宋体"/>
          <w:bCs/>
          <w:color w:val="auto"/>
          <w:szCs w:val="21"/>
          <w:highlight w:val="none"/>
        </w:rPr>
        <w:t>房屋、资料</w:t>
      </w:r>
      <w:r>
        <w:rPr>
          <w:rFonts w:hint="eastAsia" w:ascii="宋体" w:hAnsi="宋体"/>
          <w:color w:val="auto"/>
          <w:szCs w:val="21"/>
          <w:highlight w:val="none"/>
        </w:rPr>
        <w:t>、设备；</w:t>
      </w:r>
    </w:p>
    <w:p w14:paraId="6C8BE83B">
      <w:pPr>
        <w:overflowPunct w:val="0"/>
        <w:autoSpaceDE w:val="0"/>
        <w:autoSpaceDN w:val="0"/>
        <w:adjustRightInd w:val="0"/>
        <w:snapToGrid w:val="0"/>
        <w:spacing w:line="42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 xml:space="preserve">附录3  </w:t>
      </w:r>
      <w:r>
        <w:rPr>
          <w:rFonts w:ascii="宋体" w:hAnsi="宋体"/>
          <w:color w:val="auto"/>
          <w:szCs w:val="21"/>
          <w:highlight w:val="none"/>
        </w:rPr>
        <w:t>工程建设项目监理管理要求</w:t>
      </w:r>
      <w:r>
        <w:rPr>
          <w:rFonts w:hint="eastAsia" w:ascii="宋体" w:hAnsi="宋体"/>
          <w:color w:val="auto"/>
          <w:szCs w:val="21"/>
          <w:highlight w:val="none"/>
        </w:rPr>
        <w:t>；</w:t>
      </w:r>
    </w:p>
    <w:p w14:paraId="7DAE48B3">
      <w:pPr>
        <w:pStyle w:val="2"/>
        <w:ind w:firstLine="400" w:firstLineChars="200"/>
        <w:rPr>
          <w:rFonts w:hint="eastAsia" w:ascii="宋体" w:hAnsi="宋体"/>
          <w:caps w:val="0"/>
          <w:color w:val="auto"/>
          <w:sz w:val="21"/>
          <w:szCs w:val="21"/>
          <w:highlight w:val="none"/>
        </w:rPr>
      </w:pPr>
      <w:r>
        <w:rPr>
          <w:rFonts w:hint="eastAsia"/>
          <w:color w:val="auto"/>
          <w:highlight w:val="none"/>
        </w:rPr>
        <w:t xml:space="preserve">附录4  </w:t>
      </w:r>
      <w:r>
        <w:rPr>
          <w:rFonts w:hint="eastAsia" w:ascii="宋体" w:hAnsi="宋体"/>
          <w:caps w:val="0"/>
          <w:color w:val="auto"/>
          <w:sz w:val="21"/>
          <w:szCs w:val="21"/>
          <w:highlight w:val="none"/>
        </w:rPr>
        <w:t>现场负责人员名单；</w:t>
      </w:r>
    </w:p>
    <w:p w14:paraId="21DCD03E">
      <w:pPr>
        <w:overflowPunct w:val="0"/>
        <w:autoSpaceDE w:val="0"/>
        <w:autoSpaceDN w:val="0"/>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附录5  廉政责任书；</w:t>
      </w:r>
    </w:p>
    <w:p w14:paraId="68A68281">
      <w:pPr>
        <w:overflowPunct w:val="0"/>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附录6  </w:t>
      </w:r>
      <w:r>
        <w:rPr>
          <w:rFonts w:ascii="宋体" w:hAnsi="宋体"/>
          <w:color w:val="auto"/>
          <w:szCs w:val="21"/>
          <w:highlight w:val="none"/>
        </w:rPr>
        <w:t>建设项目安全生产管理办法</w:t>
      </w:r>
      <w:r>
        <w:rPr>
          <w:rFonts w:hint="eastAsia" w:ascii="宋体" w:hAnsi="宋体"/>
          <w:color w:val="auto"/>
          <w:szCs w:val="21"/>
          <w:highlight w:val="none"/>
        </w:rPr>
        <w:t>；</w:t>
      </w:r>
    </w:p>
    <w:p w14:paraId="46C95703">
      <w:pPr>
        <w:overflowPunct w:val="0"/>
        <w:autoSpaceDE w:val="0"/>
        <w:autoSpaceDN w:val="0"/>
        <w:adjustRightInd w:val="0"/>
        <w:snapToGrid w:val="0"/>
        <w:spacing w:line="42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附录7-1  公司安全生产违约处罚标准；</w:t>
      </w:r>
    </w:p>
    <w:p w14:paraId="6E3A1273">
      <w:pPr>
        <w:overflowPunct w:val="0"/>
        <w:autoSpaceDE w:val="0"/>
        <w:autoSpaceDN w:val="0"/>
        <w:adjustRightInd w:val="0"/>
        <w:snapToGrid w:val="0"/>
        <w:spacing w:line="420" w:lineRule="exact"/>
        <w:ind w:firstLine="420" w:firstLineChars="200"/>
        <w:rPr>
          <w:color w:val="auto"/>
          <w:highlight w:val="none"/>
        </w:rPr>
      </w:pPr>
      <w:r>
        <w:rPr>
          <w:rFonts w:hint="eastAsia" w:ascii="宋体" w:hAnsi="宋体" w:cs="宋体"/>
          <w:color w:val="auto"/>
          <w:highlight w:val="none"/>
        </w:rPr>
        <w:t xml:space="preserve">附录7-2  </w:t>
      </w:r>
      <w:r>
        <w:rPr>
          <w:rFonts w:hint="eastAsia" w:ascii="宋体" w:hAnsi="宋体" w:cs="宋体"/>
          <w:color w:val="auto"/>
          <w:szCs w:val="21"/>
          <w:highlight w:val="none"/>
        </w:rPr>
        <w:t>安全生产承诺书。</w:t>
      </w:r>
    </w:p>
    <w:bookmarkEnd w:id="692"/>
    <w:p w14:paraId="2CAD85BA">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本合同签订后，双方依法签订的补充协议与修正文件也是本合同文件的组成部分。</w:t>
      </w:r>
    </w:p>
    <w:p w14:paraId="60EA4BFE">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四、总监理工程师</w:t>
      </w:r>
    </w:p>
    <w:p w14:paraId="16AA8301">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总监理工程师姓名：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，身份证号码：</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，注册号：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，电话号码：</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。未经委托人同意，监理人不得擅自更换总监理工程师，否则视为其违约，委托人有权解除本合同，监理人按照本合同约定签约酬金的30%向委托人承担违约金。</w:t>
      </w:r>
    </w:p>
    <w:p w14:paraId="1AB8548E">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五、签约酬金</w:t>
      </w:r>
    </w:p>
    <w:p w14:paraId="23048194">
      <w:pPr>
        <w:widowControl/>
        <w:spacing w:line="400" w:lineRule="exact"/>
        <w:ind w:firstLine="420" w:firstLineChars="200"/>
        <w:jc w:val="left"/>
        <w:rPr>
          <w:rFonts w:hint="eastAsia" w:ascii="宋体" w:hAnsi="宋体"/>
          <w:b/>
          <w:color w:val="auto"/>
          <w:kern w:val="0"/>
          <w:szCs w:val="21"/>
          <w:highlight w:val="none"/>
        </w:rPr>
      </w:pPr>
      <w:r>
        <w:rPr>
          <w:rFonts w:hint="eastAsia" w:ascii="宋体" w:hAnsi="宋体"/>
          <w:color w:val="auto"/>
          <w:szCs w:val="21"/>
          <w:highlight w:val="none"/>
        </w:rPr>
        <w:t>签约酬金（大写）：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olor w:val="auto"/>
          <w:szCs w:val="21"/>
          <w:highlight w:val="none"/>
        </w:rPr>
        <w:t>元），中标费率/签约费率：</w:t>
      </w:r>
      <w:r>
        <w:rPr>
          <w:rFonts w:hint="eastAsia" w:ascii="宋体" w:hAnsi="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税率      %</w:t>
      </w:r>
      <w:r>
        <w:rPr>
          <w:rFonts w:hint="eastAsia" w:ascii="宋体" w:hAnsi="宋体"/>
          <w:color w:val="auto"/>
          <w:szCs w:val="21"/>
          <w:highlight w:val="none"/>
        </w:rPr>
        <w:t>。</w:t>
      </w:r>
      <w:r>
        <w:rPr>
          <w:rFonts w:hint="eastAsia" w:ascii="宋体" w:hAnsi="宋体"/>
          <w:color w:val="auto"/>
          <w:kern w:val="0"/>
          <w:szCs w:val="21"/>
          <w:highlight w:val="none"/>
        </w:rPr>
        <w:t>以最终审定建筑安装工程费的金额乘以中标费率</w:t>
      </w:r>
      <w:r>
        <w:rPr>
          <w:rFonts w:hint="eastAsia" w:ascii="宋体" w:hAnsi="宋体"/>
          <w:color w:val="auto"/>
          <w:szCs w:val="21"/>
          <w:highlight w:val="none"/>
        </w:rPr>
        <w:t>/签约费率</w:t>
      </w:r>
      <w:r>
        <w:rPr>
          <w:rFonts w:hint="eastAsia" w:ascii="宋体" w:hAnsi="宋体"/>
          <w:color w:val="auto"/>
          <w:kern w:val="0"/>
          <w:szCs w:val="21"/>
          <w:highlight w:val="none"/>
        </w:rPr>
        <w:t>做最终结算值，</w:t>
      </w:r>
      <w:r>
        <w:rPr>
          <w:rFonts w:hint="eastAsia" w:ascii="宋体" w:hAnsi="宋体"/>
          <w:b/>
          <w:color w:val="auto"/>
          <w:kern w:val="0"/>
          <w:szCs w:val="21"/>
          <w:highlight w:val="none"/>
        </w:rPr>
        <w:t>且结算金额不超过签约金额。</w:t>
      </w:r>
    </w:p>
    <w:p w14:paraId="255DCEF5">
      <w:pPr>
        <w:overflowPunct w:val="0"/>
        <w:autoSpaceDE w:val="0"/>
        <w:autoSpaceDN w:val="0"/>
        <w:adjustRightInd w:val="0"/>
        <w:snapToGrid w:val="0"/>
        <w:spacing w:line="42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监理人在履行本合同时，因履行本合同相应人员产生的费用以及房屋等使用所产生的费用由监理人承担。委托人与本合同项目有关的承包人签订合同另有约定按照约定执行。</w:t>
      </w:r>
    </w:p>
    <w:p w14:paraId="0A217405">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本合同所约定的酬金已包括但不限于人员工资、税费、差旅费、保险费、社会保险费用、考察费、成本费、材料费等费用。</w:t>
      </w:r>
    </w:p>
    <w:p w14:paraId="19233D12">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六、期限</w:t>
      </w:r>
    </w:p>
    <w:p w14:paraId="4D56DD40">
      <w:pPr>
        <w:overflowPunct w:val="0"/>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1. </w:t>
      </w:r>
      <w:r>
        <w:rPr>
          <w:rFonts w:hint="eastAsia" w:ascii="宋体" w:hAnsi="宋体"/>
          <w:color w:val="auto"/>
          <w:szCs w:val="21"/>
          <w:highlight w:val="none"/>
        </w:rPr>
        <w:t>监理期限：</w:t>
      </w:r>
    </w:p>
    <w:p w14:paraId="6EF5438B">
      <w:pPr>
        <w:overflowPunct w:val="0"/>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Style w:val="47"/>
          <w:rFonts w:ascii="宋体" w:hAnsi="宋体"/>
          <w:color w:val="auto"/>
          <w:szCs w:val="21"/>
          <w:highlight w:val="none"/>
        </w:rPr>
        <w:t>自</w:t>
      </w:r>
      <w:r>
        <w:rPr>
          <w:rStyle w:val="47"/>
          <w:rFonts w:ascii="宋体" w:hAnsi="宋体"/>
          <w:color w:val="auto"/>
          <w:szCs w:val="21"/>
          <w:highlight w:val="none"/>
          <w:u w:val="single"/>
        </w:rPr>
        <w:t xml:space="preserve"> </w:t>
      </w:r>
      <w:r>
        <w:rPr>
          <w:rStyle w:val="47"/>
          <w:rFonts w:hint="eastAsia" w:ascii="宋体" w:hAnsi="宋体"/>
          <w:color w:val="auto"/>
          <w:szCs w:val="21"/>
          <w:highlight w:val="none"/>
          <w:u w:val="single"/>
        </w:rPr>
        <w:t xml:space="preserve"> 开工之日  </w:t>
      </w:r>
      <w:r>
        <w:rPr>
          <w:rStyle w:val="47"/>
          <w:rFonts w:ascii="宋体" w:hAnsi="宋体"/>
          <w:color w:val="auto"/>
          <w:szCs w:val="21"/>
          <w:highlight w:val="none"/>
        </w:rPr>
        <w:t>始，至</w:t>
      </w:r>
      <w:r>
        <w:rPr>
          <w:rStyle w:val="47"/>
          <w:rFonts w:hint="eastAsia" w:ascii="宋体" w:hAnsi="宋体"/>
          <w:color w:val="auto"/>
          <w:szCs w:val="21"/>
          <w:highlight w:val="none"/>
          <w:u w:val="single"/>
        </w:rPr>
        <w:t>竣工验收及缺陷责任期验收合格之日</w:t>
      </w:r>
      <w:r>
        <w:rPr>
          <w:rStyle w:val="47"/>
          <w:rFonts w:ascii="宋体" w:hAnsi="宋体"/>
          <w:color w:val="auto"/>
          <w:szCs w:val="21"/>
          <w:highlight w:val="none"/>
        </w:rPr>
        <w:t>止</w:t>
      </w:r>
      <w:r>
        <w:rPr>
          <w:rFonts w:hint="eastAsia" w:ascii="宋体" w:hAnsi="宋体"/>
          <w:color w:val="auto"/>
          <w:szCs w:val="21"/>
          <w:highlight w:val="none"/>
        </w:rPr>
        <w:t>。</w:t>
      </w:r>
    </w:p>
    <w:p w14:paraId="1FE95691">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 xml:space="preserve">2. </w:t>
      </w:r>
      <w:r>
        <w:rPr>
          <w:rFonts w:hint="eastAsia" w:ascii="宋体" w:hAnsi="宋体"/>
          <w:color w:val="auto"/>
          <w:szCs w:val="21"/>
          <w:highlight w:val="none"/>
        </w:rPr>
        <w:t>相关服务期限：</w:t>
      </w:r>
    </w:p>
    <w:p w14:paraId="767B7F7B">
      <w:pPr>
        <w:snapToGrid w:val="0"/>
        <w:spacing w:line="420" w:lineRule="atLeast"/>
        <w:ind w:firstLine="420" w:firstLineChars="200"/>
        <w:textAlignment w:val="baseline"/>
        <w:rPr>
          <w:rStyle w:val="47"/>
          <w:rFonts w:ascii="宋体" w:hAnsi="宋体"/>
          <w:color w:val="auto"/>
          <w:szCs w:val="21"/>
          <w:highlight w:val="none"/>
        </w:rPr>
      </w:pPr>
      <w:r>
        <w:rPr>
          <w:rStyle w:val="47"/>
          <w:rFonts w:ascii="宋体" w:hAnsi="宋体"/>
          <w:color w:val="auto"/>
          <w:kern w:val="0"/>
          <w:szCs w:val="21"/>
          <w:highlight w:val="none"/>
        </w:rPr>
        <w:t>（1）保修阶段</w:t>
      </w:r>
      <w:r>
        <w:rPr>
          <w:rStyle w:val="47"/>
          <w:rFonts w:ascii="宋体" w:hAnsi="宋体"/>
          <w:color w:val="auto"/>
          <w:szCs w:val="21"/>
          <w:highlight w:val="none"/>
        </w:rPr>
        <w:t>服务期限自</w:t>
      </w:r>
      <w:r>
        <w:rPr>
          <w:rStyle w:val="47"/>
          <w:rFonts w:ascii="宋体" w:hAnsi="宋体"/>
          <w:color w:val="auto"/>
          <w:szCs w:val="21"/>
          <w:highlight w:val="none"/>
          <w:u w:val="single"/>
        </w:rPr>
        <w:t xml:space="preserve"> </w:t>
      </w:r>
      <w:r>
        <w:rPr>
          <w:rStyle w:val="47"/>
          <w:rFonts w:hint="eastAsia" w:ascii="宋体" w:hAnsi="宋体"/>
          <w:color w:val="auto"/>
          <w:szCs w:val="21"/>
          <w:highlight w:val="none"/>
          <w:u w:val="single"/>
        </w:rPr>
        <w:t>竣工验收或者交付使用之日起</w:t>
      </w:r>
      <w:r>
        <w:rPr>
          <w:rStyle w:val="47"/>
          <w:rFonts w:ascii="宋体" w:hAnsi="宋体"/>
          <w:color w:val="auto"/>
          <w:szCs w:val="21"/>
          <w:highlight w:val="none"/>
          <w:u w:val="single"/>
        </w:rPr>
        <w:t xml:space="preserve"> </w:t>
      </w:r>
      <w:r>
        <w:rPr>
          <w:rStyle w:val="47"/>
          <w:rFonts w:ascii="宋体" w:hAnsi="宋体"/>
          <w:color w:val="auto"/>
          <w:szCs w:val="21"/>
          <w:highlight w:val="none"/>
        </w:rPr>
        <w:t>至</w:t>
      </w:r>
      <w:r>
        <w:rPr>
          <w:rStyle w:val="47"/>
          <w:rFonts w:hint="eastAsia" w:ascii="宋体" w:hAnsi="宋体"/>
          <w:color w:val="auto"/>
          <w:szCs w:val="21"/>
          <w:highlight w:val="none"/>
          <w:u w:val="single"/>
        </w:rPr>
        <w:t>缺陷责任期验收合格之日</w:t>
      </w:r>
      <w:r>
        <w:rPr>
          <w:rStyle w:val="47"/>
          <w:rFonts w:ascii="宋体" w:hAnsi="宋体"/>
          <w:color w:val="auto"/>
          <w:szCs w:val="21"/>
          <w:highlight w:val="none"/>
        </w:rPr>
        <w:t>止。</w:t>
      </w:r>
    </w:p>
    <w:p w14:paraId="53449969">
      <w:pPr>
        <w:snapToGrid w:val="0"/>
        <w:spacing w:line="420" w:lineRule="atLeast"/>
        <w:ind w:firstLine="420" w:firstLineChars="200"/>
        <w:textAlignment w:val="baseline"/>
        <w:rPr>
          <w:rFonts w:ascii="宋体" w:hAnsi="宋体"/>
          <w:color w:val="auto"/>
          <w:szCs w:val="21"/>
          <w:highlight w:val="none"/>
        </w:rPr>
      </w:pPr>
      <w:r>
        <w:rPr>
          <w:rStyle w:val="47"/>
          <w:rFonts w:ascii="宋体" w:hAnsi="宋体"/>
          <w:color w:val="auto"/>
          <w:kern w:val="0"/>
          <w:szCs w:val="21"/>
          <w:highlight w:val="none"/>
        </w:rPr>
        <w:t>（2）</w:t>
      </w:r>
      <w:r>
        <w:rPr>
          <w:rStyle w:val="47"/>
          <w:rFonts w:ascii="宋体" w:hAnsi="宋体"/>
          <w:color w:val="auto"/>
          <w:szCs w:val="21"/>
          <w:highlight w:val="none"/>
        </w:rPr>
        <w:t>其他相关服务期限按第</w:t>
      </w:r>
      <w:r>
        <w:rPr>
          <w:rStyle w:val="47"/>
          <w:rFonts w:ascii="宋体" w:hAnsi="宋体"/>
          <w:color w:val="auto"/>
          <w:szCs w:val="21"/>
          <w:highlight w:val="none"/>
          <w:u w:val="single" w:color="000000"/>
        </w:rPr>
        <w:t xml:space="preserve"> </w:t>
      </w:r>
      <w:r>
        <w:rPr>
          <w:rStyle w:val="47"/>
          <w:rFonts w:hint="eastAsia" w:ascii="宋体" w:hAnsi="宋体"/>
          <w:color w:val="auto"/>
          <w:szCs w:val="21"/>
          <w:highlight w:val="none"/>
          <w:u w:val="single" w:color="000000"/>
        </w:rPr>
        <w:t xml:space="preserve">   </w:t>
      </w:r>
      <w:r>
        <w:rPr>
          <w:rStyle w:val="47"/>
          <w:rFonts w:ascii="宋体" w:hAnsi="宋体"/>
          <w:color w:val="auto"/>
          <w:szCs w:val="21"/>
          <w:highlight w:val="none"/>
          <w:u w:val="single" w:color="000000"/>
        </w:rPr>
        <w:t xml:space="preserve"> </w:t>
      </w:r>
      <w:r>
        <w:rPr>
          <w:rStyle w:val="47"/>
          <w:rFonts w:ascii="宋体" w:hAnsi="宋体"/>
          <w:color w:val="auto"/>
          <w:szCs w:val="21"/>
          <w:highlight w:val="none"/>
        </w:rPr>
        <w:t>条执行。1、待工程验收备案手续办完后；2、缺陷责任期满后</w:t>
      </w:r>
      <w:r>
        <w:rPr>
          <w:rStyle w:val="47"/>
          <w:rFonts w:ascii="宋体" w:hAnsi="宋体"/>
          <w:color w:val="auto"/>
          <w:kern w:val="0"/>
          <w:szCs w:val="21"/>
          <w:highlight w:val="none"/>
        </w:rPr>
        <w:t>。</w:t>
      </w:r>
    </w:p>
    <w:p w14:paraId="2A118556">
      <w:pPr>
        <w:overflowPunct w:val="0"/>
        <w:autoSpaceDE w:val="0"/>
        <w:autoSpaceDN w:val="0"/>
        <w:adjustRightInd w:val="0"/>
        <w:snapToGrid w:val="0"/>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七、其他</w:t>
      </w:r>
    </w:p>
    <w:p w14:paraId="4301E01C">
      <w:pPr>
        <w:overflowPunct w:val="0"/>
        <w:autoSpaceDE w:val="0"/>
        <w:autoSpaceDN w:val="0"/>
        <w:adjustRightInd w:val="0"/>
        <w:snapToGrid w:val="0"/>
        <w:spacing w:line="420" w:lineRule="exact"/>
        <w:ind w:firstLine="420" w:firstLineChars="200"/>
        <w:rPr>
          <w:rFonts w:hint="eastAsia" w:ascii="宋体" w:hAnsi="宋体"/>
          <w:b/>
          <w:color w:val="auto"/>
          <w:szCs w:val="21"/>
          <w:highlight w:val="none"/>
        </w:rPr>
      </w:pPr>
      <w:r>
        <w:rPr>
          <w:rStyle w:val="47"/>
          <w:rFonts w:ascii="宋体" w:hAnsi="宋体"/>
          <w:color w:val="auto"/>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5BE1662A">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八、双方承诺</w:t>
      </w:r>
    </w:p>
    <w:p w14:paraId="0E5DA41C">
      <w:pPr>
        <w:overflowPunct w:val="0"/>
        <w:autoSpaceDE w:val="0"/>
        <w:autoSpaceDN w:val="0"/>
        <w:adjustRightInd w:val="0"/>
        <w:snapToGrid w:val="0"/>
        <w:spacing w:line="420" w:lineRule="exact"/>
        <w:ind w:firstLine="420" w:firstLineChars="200"/>
        <w:rPr>
          <w:rFonts w:ascii="宋体" w:hAnsi="宋体"/>
          <w:b/>
          <w:color w:val="auto"/>
          <w:szCs w:val="21"/>
          <w:highlight w:val="none"/>
        </w:rPr>
      </w:pPr>
      <w:r>
        <w:rPr>
          <w:rFonts w:hint="eastAsia" w:ascii="宋体" w:hAnsi="宋体"/>
          <w:color w:val="auto"/>
          <w:szCs w:val="21"/>
          <w:highlight w:val="none"/>
        </w:rPr>
        <w:t>1. 监理人向委托人承诺，按照本合同约定</w:t>
      </w:r>
      <w:r>
        <w:rPr>
          <w:rFonts w:hint="eastAsia" w:ascii="宋体" w:hAnsi="宋体"/>
          <w:color w:val="auto"/>
          <w:kern w:val="0"/>
          <w:szCs w:val="21"/>
          <w:highlight w:val="none"/>
        </w:rPr>
        <w:t>提供</w:t>
      </w:r>
      <w:r>
        <w:rPr>
          <w:rFonts w:hint="eastAsia" w:ascii="宋体" w:hAnsi="宋体"/>
          <w:color w:val="auto"/>
          <w:szCs w:val="21"/>
          <w:highlight w:val="none"/>
        </w:rPr>
        <w:t>监理与相关服务。</w:t>
      </w:r>
    </w:p>
    <w:p w14:paraId="518A18C7">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 委托人向监理人承诺，按照本合同约定派遣相应的人员，并按本合同约定支付酬金。</w:t>
      </w:r>
    </w:p>
    <w:p w14:paraId="27195962">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九、合同订立</w:t>
      </w:r>
    </w:p>
    <w:p w14:paraId="31C25455">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 订立时间：</w:t>
      </w:r>
      <w:r>
        <w:rPr>
          <w:rFonts w:hint="eastAsia" w:ascii="宋体" w:hAnsi="宋体"/>
          <w:color w:val="auto"/>
          <w:szCs w:val="21"/>
          <w:highlight w:val="none"/>
          <w:u w:val="single"/>
        </w:rPr>
        <w:t xml:space="preserve">  2021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428F14F">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 订立地点：</w:t>
      </w:r>
      <w:r>
        <w:rPr>
          <w:rFonts w:hint="eastAsia" w:ascii="宋体" w:hAnsi="宋体"/>
          <w:color w:val="auto"/>
          <w:szCs w:val="21"/>
          <w:highlight w:val="none"/>
          <w:u w:val="single"/>
        </w:rPr>
        <w:t xml:space="preserve">  重庆市南岸区          </w:t>
      </w:r>
      <w:r>
        <w:rPr>
          <w:rFonts w:hint="eastAsia" w:ascii="宋体" w:hAnsi="宋体"/>
          <w:color w:val="auto"/>
          <w:szCs w:val="21"/>
          <w:highlight w:val="none"/>
        </w:rPr>
        <w:t>。</w:t>
      </w:r>
    </w:p>
    <w:p w14:paraId="40992371">
      <w:pPr>
        <w:overflowPunct w:val="0"/>
        <w:autoSpaceDE w:val="0"/>
        <w:autoSpaceDN w:val="0"/>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本合同自双方盖章之日起生效。本合同一式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份，具有同等法律效力，</w:t>
      </w:r>
      <w:r>
        <w:rPr>
          <w:rFonts w:hint="eastAsia" w:ascii="宋体" w:hAnsi="宋体" w:cs="宋体"/>
          <w:color w:val="auto"/>
          <w:szCs w:val="21"/>
          <w:highlight w:val="none"/>
        </w:rPr>
        <w:t>委托人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r>
        <w:rPr>
          <w:rFonts w:hint="eastAsia" w:ascii="宋体" w:hAnsi="宋体"/>
          <w:color w:val="auto"/>
          <w:szCs w:val="21"/>
          <w:highlight w:val="none"/>
        </w:rPr>
        <w:t>。合同正文若出现手写内容，手写内容未经双方盖章确认，则无效。本合同载明的委托代理人或经办人未经书面授权，仅代表在本合同签名，其他单方承诺或认可行为无效。</w:t>
      </w:r>
    </w:p>
    <w:p w14:paraId="18123B4E">
      <w:pPr>
        <w:pStyle w:val="2"/>
        <w:rPr>
          <w:rFonts w:hint="eastAsia" w:ascii="宋体" w:hAnsi="宋体"/>
          <w:color w:val="auto"/>
          <w:szCs w:val="21"/>
          <w:highlight w:val="none"/>
        </w:rPr>
      </w:pPr>
    </w:p>
    <w:p w14:paraId="0F8A14E9">
      <w:pPr>
        <w:rPr>
          <w:rFonts w:hint="eastAsia" w:ascii="宋体" w:hAnsi="宋体"/>
          <w:color w:val="auto"/>
          <w:szCs w:val="21"/>
          <w:highlight w:val="none"/>
        </w:rPr>
      </w:pPr>
    </w:p>
    <w:p w14:paraId="5FD109C1">
      <w:pPr>
        <w:pStyle w:val="2"/>
        <w:rPr>
          <w:rFonts w:hint="eastAsia"/>
          <w:color w:val="auto"/>
          <w:highlight w:val="none"/>
        </w:rPr>
      </w:pPr>
    </w:p>
    <w:p w14:paraId="3D0E4C61">
      <w:pPr>
        <w:rPr>
          <w:color w:val="auto"/>
          <w:highlight w:val="none"/>
        </w:rPr>
      </w:pPr>
      <w:r>
        <w:rPr>
          <w:rFonts w:hint="eastAsia"/>
          <w:color w:val="auto"/>
          <w:highlight w:val="none"/>
        </w:rPr>
        <w:t>（以下为盖章页）</w:t>
      </w:r>
    </w:p>
    <w:p w14:paraId="6F7B1D91">
      <w:pPr>
        <w:rPr>
          <w:rFonts w:hint="eastAsia"/>
          <w:color w:val="auto"/>
          <w:highlight w:val="none"/>
        </w:rPr>
      </w:pPr>
    </w:p>
    <w:tbl>
      <w:tblPr>
        <w:tblStyle w:val="20"/>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14:paraId="458FADED">
        <w:tblPrEx>
          <w:tblCellMar>
            <w:top w:w="0" w:type="dxa"/>
            <w:left w:w="108" w:type="dxa"/>
            <w:bottom w:w="0" w:type="dxa"/>
            <w:right w:w="108" w:type="dxa"/>
          </w:tblCellMar>
        </w:tblPrEx>
        <w:trPr>
          <w:trHeight w:val="884" w:hRule="atLeast"/>
        </w:trPr>
        <w:tc>
          <w:tcPr>
            <w:tcW w:w="4752" w:type="dxa"/>
            <w:noWrap w:val="0"/>
            <w:vAlign w:val="top"/>
          </w:tcPr>
          <w:p w14:paraId="678291C2">
            <w:pPr>
              <w:spacing w:line="560" w:lineRule="exact"/>
              <w:ind w:left="884" w:hanging="884" w:hangingChars="421"/>
              <w:jc w:val="left"/>
              <w:rPr>
                <w:rFonts w:ascii="宋体" w:hAnsi="宋体"/>
                <w:color w:val="auto"/>
                <w:szCs w:val="21"/>
                <w:highlight w:val="none"/>
              </w:rPr>
            </w:pPr>
            <w:r>
              <w:rPr>
                <w:rFonts w:ascii="宋体" w:hAnsi="宋体"/>
                <w:color w:val="auto"/>
                <w:szCs w:val="21"/>
                <w:highlight w:val="none"/>
              </w:rPr>
              <w:t>甲   方：</w:t>
            </w:r>
            <w:r>
              <w:rPr>
                <w:rFonts w:hint="eastAsia" w:ascii="宋体" w:hAnsi="宋体"/>
                <w:color w:val="auto"/>
                <w:szCs w:val="21"/>
                <w:highlight w:val="none"/>
              </w:rPr>
              <w:t xml:space="preserve"> </w:t>
            </w:r>
          </w:p>
        </w:tc>
        <w:tc>
          <w:tcPr>
            <w:tcW w:w="4599" w:type="dxa"/>
            <w:noWrap w:val="0"/>
            <w:vAlign w:val="top"/>
          </w:tcPr>
          <w:p w14:paraId="5F66436F">
            <w:pPr>
              <w:spacing w:line="560" w:lineRule="exact"/>
              <w:ind w:left="1050" w:hanging="1050" w:hangingChars="500"/>
              <w:jc w:val="left"/>
              <w:rPr>
                <w:rFonts w:ascii="宋体" w:hAnsi="宋体"/>
                <w:color w:val="auto"/>
                <w:szCs w:val="21"/>
                <w:highlight w:val="none"/>
              </w:rPr>
            </w:pPr>
            <w:r>
              <w:rPr>
                <w:rFonts w:ascii="宋体" w:hAnsi="宋体"/>
                <w:color w:val="auto"/>
                <w:szCs w:val="21"/>
                <w:highlight w:val="none"/>
              </w:rPr>
              <w:t>乙   方：</w:t>
            </w:r>
            <w:r>
              <w:rPr>
                <w:rFonts w:hint="eastAsia" w:ascii="宋体" w:hAnsi="宋体"/>
                <w:color w:val="auto"/>
                <w:szCs w:val="21"/>
                <w:highlight w:val="none"/>
              </w:rPr>
              <w:t xml:space="preserve"> </w:t>
            </w:r>
          </w:p>
        </w:tc>
      </w:tr>
      <w:tr w14:paraId="1F014F9E">
        <w:tblPrEx>
          <w:tblCellMar>
            <w:top w:w="0" w:type="dxa"/>
            <w:left w:w="108" w:type="dxa"/>
            <w:bottom w:w="0" w:type="dxa"/>
            <w:right w:w="108" w:type="dxa"/>
          </w:tblCellMar>
        </w:tblPrEx>
        <w:tc>
          <w:tcPr>
            <w:tcW w:w="4752" w:type="dxa"/>
            <w:noWrap w:val="0"/>
            <w:vAlign w:val="top"/>
          </w:tcPr>
          <w:p w14:paraId="4F68A8C1">
            <w:pPr>
              <w:spacing w:line="560" w:lineRule="exact"/>
              <w:ind w:left="1050" w:hanging="1050" w:hangingChars="500"/>
              <w:jc w:val="left"/>
              <w:rPr>
                <w:rFonts w:ascii="宋体" w:hAnsi="宋体"/>
                <w:color w:val="auto"/>
                <w:szCs w:val="21"/>
                <w:highlight w:val="none"/>
              </w:rPr>
            </w:pPr>
            <w:r>
              <w:rPr>
                <w:rFonts w:ascii="宋体" w:hAnsi="宋体"/>
                <w:color w:val="auto"/>
                <w:szCs w:val="21"/>
                <w:highlight w:val="none"/>
              </w:rPr>
              <w:t>法定代表人：</w:t>
            </w:r>
          </w:p>
          <w:p w14:paraId="5E801E79">
            <w:pPr>
              <w:pStyle w:val="8"/>
              <w:ind w:left="1050" w:hanging="1050"/>
              <w:rPr>
                <w:rFonts w:ascii="宋体" w:hAnsi="宋体"/>
                <w:color w:val="auto"/>
                <w:szCs w:val="21"/>
                <w:highlight w:val="none"/>
              </w:rPr>
            </w:pPr>
          </w:p>
          <w:p w14:paraId="13D58259">
            <w:pPr>
              <w:spacing w:line="560" w:lineRule="exact"/>
              <w:ind w:left="1050" w:hanging="1050" w:hangingChars="500"/>
              <w:jc w:val="left"/>
              <w:rPr>
                <w:rFonts w:ascii="宋体" w:hAnsi="宋体"/>
                <w:color w:val="auto"/>
                <w:szCs w:val="21"/>
                <w:highlight w:val="none"/>
              </w:rPr>
            </w:pPr>
            <w:r>
              <w:rPr>
                <w:rFonts w:hint="eastAsia" w:ascii="宋体" w:hAnsi="宋体"/>
                <w:color w:val="auto"/>
                <w:szCs w:val="21"/>
                <w:highlight w:val="none"/>
              </w:rPr>
              <w:t>或</w:t>
            </w:r>
          </w:p>
          <w:p w14:paraId="76665798">
            <w:pPr>
              <w:spacing w:line="560" w:lineRule="exact"/>
              <w:ind w:left="1050" w:hanging="1050" w:hangingChars="500"/>
              <w:jc w:val="left"/>
              <w:rPr>
                <w:rFonts w:ascii="宋体" w:hAnsi="宋体"/>
                <w:color w:val="auto"/>
                <w:szCs w:val="21"/>
                <w:highlight w:val="none"/>
              </w:rPr>
            </w:pPr>
          </w:p>
          <w:p w14:paraId="150F278A">
            <w:pPr>
              <w:spacing w:line="560" w:lineRule="exact"/>
              <w:ind w:left="1050" w:hanging="1050" w:hangingChars="500"/>
              <w:jc w:val="left"/>
              <w:rPr>
                <w:rFonts w:ascii="宋体" w:hAnsi="宋体"/>
                <w:color w:val="auto"/>
                <w:szCs w:val="21"/>
                <w:highlight w:val="none"/>
              </w:rPr>
            </w:pPr>
            <w:r>
              <w:rPr>
                <w:rFonts w:hint="eastAsia" w:ascii="宋体" w:hAnsi="宋体"/>
                <w:color w:val="auto"/>
                <w:szCs w:val="21"/>
                <w:highlight w:val="none"/>
              </w:rPr>
              <w:t>委托</w:t>
            </w:r>
            <w:r>
              <w:rPr>
                <w:rFonts w:ascii="宋体" w:hAnsi="宋体"/>
                <w:color w:val="auto"/>
                <w:szCs w:val="21"/>
                <w:highlight w:val="none"/>
              </w:rPr>
              <w:t>代理人：</w:t>
            </w:r>
          </w:p>
        </w:tc>
        <w:tc>
          <w:tcPr>
            <w:tcW w:w="4599" w:type="dxa"/>
            <w:noWrap w:val="0"/>
            <w:vAlign w:val="top"/>
          </w:tcPr>
          <w:p w14:paraId="23975CC9">
            <w:pPr>
              <w:spacing w:after="156" w:after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法定代表人：</w:t>
            </w:r>
          </w:p>
          <w:p w14:paraId="7D0D2797">
            <w:pPr>
              <w:spacing w:before="312" w:beforeLines="100" w:after="156" w:after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身份证号码：</w:t>
            </w:r>
            <w:r>
              <w:rPr>
                <w:rFonts w:hint="eastAsia" w:ascii="宋体" w:hAnsi="宋体"/>
                <w:color w:val="auto"/>
                <w:szCs w:val="21"/>
                <w:highlight w:val="none"/>
              </w:rPr>
              <w:t xml:space="preserve"> </w:t>
            </w:r>
          </w:p>
          <w:p w14:paraId="58ACA282">
            <w:pPr>
              <w:spacing w:before="312" w:beforeLines="100" w:after="156" w:after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 xml:space="preserve">委托代理人： </w:t>
            </w:r>
          </w:p>
          <w:p w14:paraId="00D53322">
            <w:pPr>
              <w:spacing w:before="312" w:beforeLines="100" w:after="156" w:after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身份证号码：</w:t>
            </w:r>
            <w:r>
              <w:rPr>
                <w:rFonts w:hint="eastAsia" w:ascii="宋体" w:hAnsi="宋体"/>
                <w:color w:val="auto"/>
                <w:szCs w:val="21"/>
                <w:highlight w:val="none"/>
              </w:rPr>
              <w:t xml:space="preserve"> </w:t>
            </w:r>
          </w:p>
        </w:tc>
      </w:tr>
      <w:tr w14:paraId="3720035D">
        <w:tblPrEx>
          <w:tblCellMar>
            <w:top w:w="0" w:type="dxa"/>
            <w:left w:w="108" w:type="dxa"/>
            <w:bottom w:w="0" w:type="dxa"/>
            <w:right w:w="108" w:type="dxa"/>
          </w:tblCellMar>
        </w:tblPrEx>
        <w:trPr>
          <w:trHeight w:val="1120" w:hRule="atLeast"/>
        </w:trPr>
        <w:tc>
          <w:tcPr>
            <w:tcW w:w="4752" w:type="dxa"/>
            <w:noWrap w:val="0"/>
            <w:vAlign w:val="top"/>
          </w:tcPr>
          <w:p w14:paraId="0C9FDFE8">
            <w:pPr>
              <w:spacing w:line="560" w:lineRule="exact"/>
              <w:ind w:left="1050" w:hanging="1050" w:hangingChars="500"/>
              <w:jc w:val="left"/>
              <w:rPr>
                <w:rFonts w:ascii="宋体" w:hAnsi="宋体"/>
                <w:color w:val="auto"/>
                <w:szCs w:val="21"/>
                <w:highlight w:val="none"/>
              </w:rPr>
            </w:pPr>
            <w:r>
              <w:rPr>
                <w:rFonts w:ascii="宋体" w:hAnsi="宋体"/>
                <w:color w:val="auto"/>
                <w:szCs w:val="21"/>
                <w:highlight w:val="none"/>
              </w:rPr>
              <w:t>经 办 人：</w:t>
            </w:r>
          </w:p>
        </w:tc>
        <w:tc>
          <w:tcPr>
            <w:tcW w:w="4599" w:type="dxa"/>
            <w:noWrap w:val="0"/>
            <w:vAlign w:val="top"/>
          </w:tcPr>
          <w:p w14:paraId="5644E033">
            <w:pPr>
              <w:spacing w:before="156" w:beforeLines="50" w:after="156" w:after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经 办 人：</w:t>
            </w:r>
            <w:r>
              <w:rPr>
                <w:rFonts w:hint="eastAsia" w:ascii="宋体" w:hAnsi="宋体"/>
                <w:color w:val="auto"/>
                <w:szCs w:val="21"/>
                <w:highlight w:val="none"/>
              </w:rPr>
              <w:t xml:space="preserve"> </w:t>
            </w:r>
          </w:p>
        </w:tc>
      </w:tr>
      <w:tr w14:paraId="75400D31">
        <w:tblPrEx>
          <w:tblCellMar>
            <w:top w:w="0" w:type="dxa"/>
            <w:left w:w="108" w:type="dxa"/>
            <w:bottom w:w="0" w:type="dxa"/>
            <w:right w:w="108" w:type="dxa"/>
          </w:tblCellMar>
        </w:tblPrEx>
        <w:trPr>
          <w:trHeight w:val="1120" w:hRule="atLeast"/>
        </w:trPr>
        <w:tc>
          <w:tcPr>
            <w:tcW w:w="4752" w:type="dxa"/>
            <w:noWrap w:val="0"/>
            <w:vAlign w:val="top"/>
          </w:tcPr>
          <w:p w14:paraId="7A3AFA77">
            <w:pPr>
              <w:spacing w:before="156" w:beforeLines="50" w:after="156" w:afterLines="50" w:line="560" w:lineRule="exact"/>
              <w:ind w:left="1050" w:hanging="1050" w:hangingChars="500"/>
              <w:jc w:val="left"/>
              <w:rPr>
                <w:rFonts w:ascii="宋体" w:hAnsi="宋体"/>
                <w:color w:val="auto"/>
                <w:szCs w:val="21"/>
                <w:highlight w:val="none"/>
              </w:rPr>
            </w:pPr>
          </w:p>
        </w:tc>
        <w:tc>
          <w:tcPr>
            <w:tcW w:w="4599" w:type="dxa"/>
            <w:noWrap w:val="0"/>
            <w:vAlign w:val="top"/>
          </w:tcPr>
          <w:p w14:paraId="56F0A8CF">
            <w:pPr>
              <w:spacing w:before="156" w:before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开 户 行：</w:t>
            </w:r>
            <w:r>
              <w:rPr>
                <w:rFonts w:hint="eastAsia" w:ascii="宋体" w:hAnsi="宋体"/>
                <w:color w:val="auto"/>
                <w:szCs w:val="21"/>
                <w:highlight w:val="none"/>
              </w:rPr>
              <w:t xml:space="preserve"> </w:t>
            </w:r>
          </w:p>
        </w:tc>
      </w:tr>
      <w:tr w14:paraId="22575CED">
        <w:tblPrEx>
          <w:tblCellMar>
            <w:top w:w="0" w:type="dxa"/>
            <w:left w:w="108" w:type="dxa"/>
            <w:bottom w:w="0" w:type="dxa"/>
            <w:right w:w="108" w:type="dxa"/>
          </w:tblCellMar>
        </w:tblPrEx>
        <w:trPr>
          <w:trHeight w:val="1120" w:hRule="atLeast"/>
        </w:trPr>
        <w:tc>
          <w:tcPr>
            <w:tcW w:w="4752" w:type="dxa"/>
            <w:noWrap w:val="0"/>
            <w:vAlign w:val="top"/>
          </w:tcPr>
          <w:p w14:paraId="1EE4046C">
            <w:pPr>
              <w:spacing w:line="560" w:lineRule="exact"/>
              <w:ind w:left="850" w:hanging="850" w:hangingChars="500"/>
              <w:jc w:val="left"/>
              <w:rPr>
                <w:rFonts w:ascii="宋体" w:hAnsi="宋体"/>
                <w:color w:val="auto"/>
                <w:szCs w:val="21"/>
                <w:highlight w:val="none"/>
              </w:rPr>
            </w:pPr>
            <w:r>
              <w:rPr>
                <w:rFonts w:ascii="宋体" w:hAnsi="宋体"/>
                <w:color w:val="auto"/>
                <w:spacing w:val="-20"/>
                <w:szCs w:val="21"/>
                <w:highlight w:val="none"/>
              </w:rPr>
              <w:t>统</w:t>
            </w:r>
            <w:r>
              <w:rPr>
                <w:rFonts w:ascii="宋体" w:hAnsi="宋体"/>
                <w:color w:val="auto"/>
                <w:spacing w:val="-18"/>
                <w:szCs w:val="21"/>
                <w:highlight w:val="none"/>
              </w:rPr>
              <w:t>一社会信用代码：</w:t>
            </w:r>
          </w:p>
        </w:tc>
        <w:tc>
          <w:tcPr>
            <w:tcW w:w="4599" w:type="dxa"/>
            <w:noWrap w:val="0"/>
            <w:vAlign w:val="top"/>
          </w:tcPr>
          <w:p w14:paraId="306DE193">
            <w:pPr>
              <w:spacing w:line="560" w:lineRule="exact"/>
              <w:ind w:left="1050" w:hanging="1050" w:hangingChars="500"/>
              <w:rPr>
                <w:rFonts w:ascii="宋体" w:hAnsi="宋体"/>
                <w:color w:val="auto"/>
                <w:szCs w:val="21"/>
                <w:highlight w:val="none"/>
              </w:rPr>
            </w:pPr>
            <w:r>
              <w:rPr>
                <w:rFonts w:ascii="宋体" w:hAnsi="宋体"/>
                <w:color w:val="auto"/>
                <w:szCs w:val="21"/>
                <w:highlight w:val="none"/>
              </w:rPr>
              <w:t>账    号：</w:t>
            </w:r>
            <w:r>
              <w:rPr>
                <w:rFonts w:hint="eastAsia" w:ascii="宋体" w:hAnsi="宋体"/>
                <w:color w:val="auto"/>
                <w:szCs w:val="21"/>
                <w:highlight w:val="none"/>
              </w:rPr>
              <w:t xml:space="preserve"> </w:t>
            </w:r>
          </w:p>
        </w:tc>
      </w:tr>
      <w:tr w14:paraId="204E1BE7">
        <w:tblPrEx>
          <w:tblCellMar>
            <w:top w:w="0" w:type="dxa"/>
            <w:left w:w="108" w:type="dxa"/>
            <w:bottom w:w="0" w:type="dxa"/>
            <w:right w:w="108" w:type="dxa"/>
          </w:tblCellMar>
        </w:tblPrEx>
        <w:trPr>
          <w:trHeight w:val="1120" w:hRule="atLeast"/>
        </w:trPr>
        <w:tc>
          <w:tcPr>
            <w:tcW w:w="4752" w:type="dxa"/>
            <w:noWrap w:val="0"/>
            <w:vAlign w:val="top"/>
          </w:tcPr>
          <w:p w14:paraId="6B15C5B2">
            <w:pPr>
              <w:spacing w:line="560" w:lineRule="exact"/>
              <w:ind w:left="1050" w:hanging="1050" w:hangingChars="500"/>
              <w:rPr>
                <w:rFonts w:ascii="宋体" w:hAnsi="宋体"/>
                <w:color w:val="auto"/>
                <w:szCs w:val="21"/>
                <w:highlight w:val="none"/>
              </w:rPr>
            </w:pPr>
            <w:r>
              <w:rPr>
                <w:rFonts w:ascii="宋体" w:hAnsi="宋体"/>
                <w:color w:val="auto"/>
                <w:szCs w:val="21"/>
                <w:highlight w:val="none"/>
              </w:rPr>
              <w:t>联系电话:</w:t>
            </w:r>
          </w:p>
        </w:tc>
        <w:tc>
          <w:tcPr>
            <w:tcW w:w="4599" w:type="dxa"/>
            <w:noWrap w:val="0"/>
            <w:vAlign w:val="top"/>
          </w:tcPr>
          <w:p w14:paraId="6E8037EA">
            <w:pPr>
              <w:spacing w:line="560" w:lineRule="exact"/>
              <w:ind w:left="1050" w:hanging="1050" w:hangingChars="500"/>
              <w:jc w:val="left"/>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 xml:space="preserve"> </w:t>
            </w:r>
          </w:p>
        </w:tc>
      </w:tr>
      <w:tr w14:paraId="1B52D6B0">
        <w:tblPrEx>
          <w:tblCellMar>
            <w:top w:w="0" w:type="dxa"/>
            <w:left w:w="108" w:type="dxa"/>
            <w:bottom w:w="0" w:type="dxa"/>
            <w:right w:w="108" w:type="dxa"/>
          </w:tblCellMar>
        </w:tblPrEx>
        <w:trPr>
          <w:trHeight w:val="1120" w:hRule="atLeast"/>
        </w:trPr>
        <w:tc>
          <w:tcPr>
            <w:tcW w:w="4752" w:type="dxa"/>
            <w:noWrap w:val="0"/>
            <w:vAlign w:val="top"/>
          </w:tcPr>
          <w:p w14:paraId="38E8B8E2">
            <w:pPr>
              <w:spacing w:line="560" w:lineRule="exact"/>
              <w:ind w:left="1050" w:hanging="1050" w:hangingChars="500"/>
              <w:rPr>
                <w:rFonts w:ascii="宋体" w:hAnsi="宋体"/>
                <w:color w:val="auto"/>
                <w:szCs w:val="21"/>
                <w:highlight w:val="none"/>
              </w:rPr>
            </w:pPr>
            <w:r>
              <w:rPr>
                <w:rFonts w:ascii="宋体" w:hAnsi="宋体"/>
                <w:color w:val="auto"/>
                <w:szCs w:val="21"/>
                <w:highlight w:val="none"/>
              </w:rPr>
              <w:t xml:space="preserve">地    址： </w:t>
            </w:r>
          </w:p>
        </w:tc>
        <w:tc>
          <w:tcPr>
            <w:tcW w:w="4599" w:type="dxa"/>
            <w:noWrap w:val="0"/>
            <w:vAlign w:val="top"/>
          </w:tcPr>
          <w:p w14:paraId="15D93DAD">
            <w:pPr>
              <w:spacing w:line="560" w:lineRule="exact"/>
              <w:ind w:left="1035" w:hanging="1035" w:hangingChars="493"/>
              <w:jc w:val="left"/>
              <w:rPr>
                <w:rFonts w:ascii="宋体" w:hAnsi="宋体"/>
                <w:color w:val="auto"/>
                <w:szCs w:val="21"/>
                <w:highlight w:val="none"/>
              </w:rPr>
            </w:pPr>
            <w:r>
              <w:rPr>
                <w:rFonts w:ascii="宋体" w:hAnsi="宋体"/>
                <w:color w:val="auto"/>
                <w:szCs w:val="21"/>
                <w:highlight w:val="none"/>
              </w:rPr>
              <w:t>地    址：</w:t>
            </w:r>
            <w:r>
              <w:rPr>
                <w:rFonts w:hint="eastAsia" w:ascii="宋体" w:hAnsi="宋体"/>
                <w:color w:val="auto"/>
                <w:szCs w:val="21"/>
                <w:highlight w:val="none"/>
              </w:rPr>
              <w:t xml:space="preserve"> </w:t>
            </w:r>
          </w:p>
        </w:tc>
      </w:tr>
      <w:tr w14:paraId="5817D6A0">
        <w:tblPrEx>
          <w:tblCellMar>
            <w:top w:w="0" w:type="dxa"/>
            <w:left w:w="108" w:type="dxa"/>
            <w:bottom w:w="0" w:type="dxa"/>
            <w:right w:w="108" w:type="dxa"/>
          </w:tblCellMar>
        </w:tblPrEx>
        <w:trPr>
          <w:trHeight w:val="1120" w:hRule="atLeast"/>
        </w:trPr>
        <w:tc>
          <w:tcPr>
            <w:tcW w:w="4752" w:type="dxa"/>
            <w:noWrap w:val="0"/>
            <w:vAlign w:val="top"/>
          </w:tcPr>
          <w:p w14:paraId="27E5225C">
            <w:pPr>
              <w:spacing w:line="560" w:lineRule="exact"/>
              <w:rPr>
                <w:rFonts w:ascii="宋体" w:hAnsi="宋体"/>
                <w:color w:val="auto"/>
                <w:szCs w:val="21"/>
                <w:highlight w:val="none"/>
              </w:rPr>
            </w:pPr>
            <w:r>
              <w:rPr>
                <w:rFonts w:ascii="宋体" w:hAnsi="宋体"/>
                <w:color w:val="auto"/>
                <w:szCs w:val="21"/>
                <w:highlight w:val="none"/>
              </w:rPr>
              <w:t>时    间：</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tc>
        <w:tc>
          <w:tcPr>
            <w:tcW w:w="4599" w:type="dxa"/>
            <w:noWrap w:val="0"/>
            <w:vAlign w:val="top"/>
          </w:tcPr>
          <w:p w14:paraId="312F8132">
            <w:pPr>
              <w:spacing w:line="560" w:lineRule="exact"/>
              <w:rPr>
                <w:rFonts w:ascii="宋体" w:hAnsi="宋体"/>
                <w:color w:val="auto"/>
                <w:szCs w:val="21"/>
                <w:highlight w:val="none"/>
              </w:rPr>
            </w:pPr>
            <w:r>
              <w:rPr>
                <w:rFonts w:ascii="宋体" w:hAnsi="宋体"/>
                <w:color w:val="auto"/>
                <w:szCs w:val="21"/>
                <w:highlight w:val="none"/>
              </w:rPr>
              <w:t>时    间：</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tc>
      </w:tr>
    </w:tbl>
    <w:p w14:paraId="74B1545E">
      <w:pPr>
        <w:pStyle w:val="2"/>
        <w:rPr>
          <w:rFonts w:hint="eastAsia"/>
          <w:color w:val="auto"/>
          <w:highlight w:val="none"/>
        </w:rPr>
      </w:pPr>
    </w:p>
    <w:p w14:paraId="5A76AB77">
      <w:pPr>
        <w:overflowPunct w:val="0"/>
        <w:autoSpaceDE w:val="0"/>
        <w:autoSpaceDN w:val="0"/>
        <w:adjustRightInd w:val="0"/>
        <w:snapToGrid w:val="0"/>
        <w:spacing w:line="480" w:lineRule="auto"/>
        <w:rPr>
          <w:rFonts w:ascii="宋体" w:hAnsi="宋体"/>
          <w:color w:val="auto"/>
          <w:sz w:val="32"/>
          <w:szCs w:val="32"/>
          <w:highlight w:val="none"/>
        </w:rPr>
      </w:pPr>
    </w:p>
    <w:p w14:paraId="67908C7A">
      <w:pPr>
        <w:pStyle w:val="2"/>
        <w:rPr>
          <w:color w:val="auto"/>
          <w:highlight w:val="none"/>
        </w:rPr>
      </w:pPr>
    </w:p>
    <w:p w14:paraId="7EC65176">
      <w:pPr>
        <w:rPr>
          <w:color w:val="auto"/>
          <w:highlight w:val="none"/>
        </w:rPr>
      </w:pPr>
    </w:p>
    <w:p w14:paraId="539DF8D2">
      <w:pPr>
        <w:overflowPunct w:val="0"/>
        <w:autoSpaceDE w:val="0"/>
        <w:autoSpaceDN w:val="0"/>
        <w:adjustRightInd w:val="0"/>
        <w:snapToGrid w:val="0"/>
        <w:spacing w:line="420" w:lineRule="exact"/>
        <w:ind w:firstLine="3200" w:firstLineChars="1000"/>
        <w:outlineLvl w:val="0"/>
        <w:rPr>
          <w:rFonts w:ascii="宋体" w:hAnsi="宋体"/>
          <w:color w:val="auto"/>
          <w:sz w:val="32"/>
          <w:szCs w:val="32"/>
          <w:highlight w:val="none"/>
        </w:rPr>
      </w:pPr>
      <w:r>
        <w:rPr>
          <w:rFonts w:hint="eastAsia" w:ascii="宋体" w:hAnsi="宋体"/>
          <w:color w:val="auto"/>
          <w:sz w:val="32"/>
          <w:szCs w:val="32"/>
          <w:highlight w:val="none"/>
        </w:rPr>
        <w:t>第二部分  通用条件</w:t>
      </w:r>
    </w:p>
    <w:p w14:paraId="41BF3A20">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定义与解释</w:t>
      </w:r>
    </w:p>
    <w:p w14:paraId="2B09B641">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1.1 </w:t>
      </w:r>
      <w:r>
        <w:rPr>
          <w:rFonts w:hint="eastAsia" w:ascii="宋体" w:hAnsi="宋体"/>
          <w:bCs/>
          <w:color w:val="auto"/>
          <w:szCs w:val="21"/>
          <w:highlight w:val="none"/>
        </w:rPr>
        <w:t>定义</w:t>
      </w:r>
    </w:p>
    <w:p w14:paraId="30075B5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除根据上下文另有其意义外，组成本合同的全部文件中的下列名词和用语应具有本款所赋予的含义：</w:t>
      </w:r>
    </w:p>
    <w:p w14:paraId="443A662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 “工程”是指按照本合同约定实施监理与相关服务的建设工程。</w:t>
      </w:r>
    </w:p>
    <w:p w14:paraId="58935D3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“委托人”是指本合同中委托监理与相关服务的一方，及其合法的继承人或受让人。</w:t>
      </w:r>
    </w:p>
    <w:p w14:paraId="02EFD82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“监理人”是指本合同中提供监理与相关服务的一方，及其合法的继承人。</w:t>
      </w:r>
    </w:p>
    <w:p w14:paraId="725F4E4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“承包人”是指在工程范围内与委托人签订勘察、设计、施工等有关合同的当事人，及其合法的继承人。</w:t>
      </w:r>
    </w:p>
    <w:p w14:paraId="05695ACE">
      <w:pPr>
        <w:overflowPunct w:val="0"/>
        <w:autoSpaceDE w:val="0"/>
        <w:autoSpaceDN w:val="0"/>
        <w:adjustRightInd w:val="0"/>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364D3C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1.1.6 “相关服务”是指监理人受委托人的委托 ，按照本合同约定，在勘察、设计、保修等阶段提供的服务活动。</w:t>
      </w:r>
    </w:p>
    <w:p w14:paraId="5810F00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1.1.7 “正常工作”指本合同订立时通用条件和专用条件中约定的监理人的工作。</w:t>
      </w:r>
    </w:p>
    <w:p w14:paraId="1005CBC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1.1.8 “附加工作”是指本合同约定的正常工作以外监理人的工作。</w:t>
      </w:r>
    </w:p>
    <w:p w14:paraId="4E17728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1.1.9 “项目监理机构”是指监理人派驻工程负责履行本合同的组织机构。</w:t>
      </w:r>
    </w:p>
    <w:p w14:paraId="60F17C5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1.1.10 “总监理工程师”是指由监理人的法定代表人书面授权，全面负责履行本合同、主持项目监理机构工作的注册监理工程师。</w:t>
      </w:r>
    </w:p>
    <w:p w14:paraId="7E9772F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1.1.11 “酬金”是指监理人履行本合同义务，委托人按照本合同约定给付监理人的金额。</w:t>
      </w:r>
    </w:p>
    <w:p w14:paraId="610485A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1.1.12 “正常工作</w:t>
      </w:r>
      <w:r>
        <w:rPr>
          <w:rFonts w:hint="eastAsia" w:ascii="宋体" w:hAnsi="宋体" w:cs="宋体"/>
          <w:color w:val="auto"/>
          <w:kern w:val="0"/>
          <w:szCs w:val="21"/>
          <w:highlight w:val="none"/>
        </w:rPr>
        <w:t>酬金”</w:t>
      </w:r>
      <w:r>
        <w:rPr>
          <w:rFonts w:hint="eastAsia" w:ascii="宋体" w:hAnsi="宋体"/>
          <w:color w:val="auto"/>
          <w:szCs w:val="21"/>
          <w:highlight w:val="none"/>
        </w:rPr>
        <w:t>是指监理人完成正常工作，委托人应给付监理人并在协议书中载明的签约</w:t>
      </w:r>
      <w:r>
        <w:rPr>
          <w:rFonts w:hint="eastAsia" w:ascii="宋体" w:hAnsi="宋体" w:cs="宋体"/>
          <w:color w:val="auto"/>
          <w:kern w:val="0"/>
          <w:szCs w:val="21"/>
          <w:highlight w:val="none"/>
        </w:rPr>
        <w:t>酬金额</w:t>
      </w:r>
      <w:r>
        <w:rPr>
          <w:rFonts w:hint="eastAsia" w:ascii="宋体" w:hAnsi="宋体"/>
          <w:color w:val="auto"/>
          <w:szCs w:val="21"/>
          <w:highlight w:val="none"/>
        </w:rPr>
        <w:t>。</w:t>
      </w:r>
    </w:p>
    <w:p w14:paraId="1494A44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1.1.13 “附加工作酬金”是指监理人完成附加工作，委托人应给付监理人的金额。</w:t>
      </w:r>
    </w:p>
    <w:p w14:paraId="340C262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1.1.14 “一方”是指委托人或监理人；“双方”是指委托人和监理人；“第三方”是指除委托人和监理人以外的有关方。</w:t>
      </w:r>
    </w:p>
    <w:p w14:paraId="014FCB0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1.1.15 “书面形式”是指合同书、信件和数据电文（包括电报、电传、传真、电子数据交换和电子邮件）等可以有形地表现所载内容的形式。</w:t>
      </w:r>
    </w:p>
    <w:p w14:paraId="024F888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1.1.16 “天”是指第一天零时至第二天零时的时间。</w:t>
      </w:r>
    </w:p>
    <w:p w14:paraId="2085B8B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1.1.17“月”是指按公历从一个月中任何一天开始的一个公历月时间。</w:t>
      </w:r>
    </w:p>
    <w:p w14:paraId="0C8D1EB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242F268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 xml:space="preserve">1.2 </w:t>
      </w:r>
      <w:r>
        <w:rPr>
          <w:rFonts w:hint="eastAsia" w:ascii="宋体" w:hAnsi="宋体"/>
          <w:color w:val="auto"/>
          <w:szCs w:val="21"/>
          <w:highlight w:val="none"/>
        </w:rPr>
        <w:t>解释</w:t>
      </w:r>
    </w:p>
    <w:p w14:paraId="4BB1C21B">
      <w:pPr>
        <w:tabs>
          <w:tab w:val="left" w:pos="6140"/>
        </w:tabs>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1.2.1本合同使用中文书写、解释和说明。如专用条件约定使用两种及以上语言文字时，应以中文为准。</w:t>
      </w:r>
    </w:p>
    <w:p w14:paraId="3A3D7DA4">
      <w:pPr>
        <w:tabs>
          <w:tab w:val="left" w:pos="6140"/>
        </w:tabs>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组成本合同的下列文件彼此应能相互解释、互为说明。除专用条件另有约定外，本合同文件的解释顺序如下：</w:t>
      </w:r>
    </w:p>
    <w:p w14:paraId="34A3EFE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（1）协议书；</w:t>
      </w:r>
    </w:p>
    <w:p w14:paraId="1907BA4D">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（2）招标文件或比选文件（包括但不限于本工程的招标或比选文件、图纸、其他技术资料及招标人发出的对招标或比选文件所作的澄清、修改、补遗等资料）（若有）；</w:t>
      </w:r>
    </w:p>
    <w:p w14:paraId="0E8487E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（3）中选通知书（适用于招标工程）或委托书（适用于非招标工程）；</w:t>
      </w:r>
    </w:p>
    <w:p w14:paraId="448C939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（4）专用条件及附录；</w:t>
      </w:r>
    </w:p>
    <w:p w14:paraId="0844A53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（5）通用条件；</w:t>
      </w:r>
    </w:p>
    <w:p w14:paraId="1C62C5B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（6）竞选文件（适用于招标工程）或监理与相关服务建议书（适用于非招标工程）。</w:t>
      </w:r>
    </w:p>
    <w:p w14:paraId="52DC2A4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双方签订的补充协议与其他文件发生矛盾或歧义时，属于同一类内容的文件，应以最新签署的为准。</w:t>
      </w:r>
    </w:p>
    <w:p w14:paraId="673F9AE4">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监理人的义务</w:t>
      </w:r>
    </w:p>
    <w:p w14:paraId="6CFF5998">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2.1 监理的范围和工作内容</w:t>
      </w:r>
    </w:p>
    <w:p w14:paraId="72DE30F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 监理范围在专用条件中约定。</w:t>
      </w:r>
    </w:p>
    <w:p w14:paraId="651D7BB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 除专用条件另有约定外，监理工作内容包括但不限于：</w:t>
      </w:r>
    </w:p>
    <w:p w14:paraId="73D0757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（1）收到工程设计文件后编制监理规划，并在第一次工地会议7天前报委托人。根据有关规定和监理工作需要，编制监理实施细则；</w:t>
      </w:r>
    </w:p>
    <w:p w14:paraId="0C0433E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（2）熟悉工程设计文件，并参加由委托人主持的图纸会审和设计交底会议；</w:t>
      </w:r>
    </w:p>
    <w:p w14:paraId="033AE75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（3）参加由委托人主持的第一次工地会议；主持监理例会并根据工程需要主持或参加专题会议；</w:t>
      </w:r>
    </w:p>
    <w:p w14:paraId="65A86D5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（4）审查施工承包人提交的施工组织设计，重点审查其中的质量安全技术措施、专项施工方案与工程建设强制性标准的符合性；</w:t>
      </w:r>
    </w:p>
    <w:p w14:paraId="27911F1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（5）检查施工承包人工程质量、安全生产管理制度及组织机构和人员资格； </w:t>
      </w:r>
    </w:p>
    <w:p w14:paraId="00D9B26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（6）检查施工承包人专职安全生产管理人员的配备情况；</w:t>
      </w:r>
    </w:p>
    <w:p w14:paraId="408EBE0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（7）审查施工承包人提交的施工进度计划，核查承包人对施工进度计划的调整；</w:t>
      </w:r>
    </w:p>
    <w:p w14:paraId="2010C98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（8）检查施工承包人的试验室；</w:t>
      </w:r>
    </w:p>
    <w:p w14:paraId="246D21E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（9）审核施工区域人资质条件；</w:t>
      </w:r>
    </w:p>
    <w:p w14:paraId="182AAAB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（10）查验施工承包人的施工测量放线成果；</w:t>
      </w:r>
    </w:p>
    <w:p w14:paraId="7FC153A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（11）审查工程开工条件，对条件具备的签发开工令；</w:t>
      </w:r>
    </w:p>
    <w:p w14:paraId="406CA91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（12）审查施工承包人报送的工程材料、构配件、设备质量证明文件的有效性和符合性，并按规定对用于工程的材料采取平行检验或见证取样方式进行抽检； </w:t>
      </w:r>
    </w:p>
    <w:p w14:paraId="5FE476F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（13）审核施工承包人提交的工程款支付申请，签发或出具工程款支付证书，并报委托人审核、批准；</w:t>
      </w:r>
    </w:p>
    <w:p w14:paraId="5AEB9AA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（14）在巡视、旁站和检验过程中，发现工程质量、施工安全存在事故隐患的，要求施工承包人整改并报委托人；</w:t>
      </w:r>
    </w:p>
    <w:p w14:paraId="7A5514D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（15）经委托人同意，签发工程暂停令和复工令；</w:t>
      </w:r>
    </w:p>
    <w:p w14:paraId="475B10B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（16）审查施工承包人提交的采用新材料、新工艺、新技术、新设备的论证材料及相关验收标准；</w:t>
      </w:r>
    </w:p>
    <w:p w14:paraId="06EB46F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（17）验收隐蔽工程、分部分项工程；</w:t>
      </w:r>
    </w:p>
    <w:p w14:paraId="529485F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（18）审查施工承包人提交的工程变更申请，协调处理施工进度调整、费用索赔、合同争议等事项；</w:t>
      </w:r>
    </w:p>
    <w:p w14:paraId="113EB18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（19）审查施工承包人提交的竣工验收申请，编写工程质量评估报告；</w:t>
      </w:r>
    </w:p>
    <w:p w14:paraId="0F060AB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（20）参加工程竣工验收，签署竣工验收意见；</w:t>
      </w:r>
    </w:p>
    <w:p w14:paraId="46246D6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（21）审查施工承包人提交的竣工结算申请并报委托人；</w:t>
      </w:r>
    </w:p>
    <w:p w14:paraId="007940B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（22）编制、整理工程监理归档文件并报委托人。</w:t>
      </w:r>
    </w:p>
    <w:p w14:paraId="2B251B6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 相关服务的范围和内容在附录1中约定。</w:t>
      </w:r>
    </w:p>
    <w:p w14:paraId="73ECB45C">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2.2 </w:t>
      </w:r>
      <w:r>
        <w:rPr>
          <w:rFonts w:hint="eastAsia" w:ascii="宋体" w:hAnsi="宋体"/>
          <w:bCs/>
          <w:color w:val="auto"/>
          <w:szCs w:val="21"/>
          <w:highlight w:val="none"/>
        </w:rPr>
        <w:t>监理与相关服务依据</w:t>
      </w:r>
    </w:p>
    <w:p w14:paraId="7BC5550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监理依据包括：</w:t>
      </w:r>
    </w:p>
    <w:p w14:paraId="2BB5784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（1）适用的法律、行政法规及部门规章；</w:t>
      </w:r>
    </w:p>
    <w:p w14:paraId="1269A6A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（2）与工程有关的标准；</w:t>
      </w:r>
    </w:p>
    <w:p w14:paraId="290F93A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（3）工程设计及有关文件；</w:t>
      </w:r>
    </w:p>
    <w:p w14:paraId="18EFA35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（4）本合同及委托人与第三方签订的与实施工程有关的其他合同。</w:t>
      </w:r>
    </w:p>
    <w:p w14:paraId="255489A5">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双方根据工程的行业和地域特点，在专用条件中具体约定监理依据。</w:t>
      </w:r>
    </w:p>
    <w:p w14:paraId="5C3B97F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相关服务依据在专用条件中约定。</w:t>
      </w:r>
    </w:p>
    <w:p w14:paraId="1E7B31C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2.3 </w:t>
      </w:r>
      <w:r>
        <w:rPr>
          <w:rFonts w:hint="eastAsia" w:ascii="宋体" w:hAnsi="宋体" w:cs="宋体"/>
          <w:color w:val="auto"/>
          <w:kern w:val="0"/>
          <w:szCs w:val="21"/>
          <w:highlight w:val="none"/>
        </w:rPr>
        <w:t>项目监理机构和人员</w:t>
      </w:r>
    </w:p>
    <w:p w14:paraId="7E9121F3">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2.3.1 监理人应组建满足工作需要的项目监理机构，配备必要的检测设备。项目监理机构的主要人员应具有相应的资格条件。</w:t>
      </w:r>
    </w:p>
    <w:p w14:paraId="36B3207F">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2.3.2本合同履行过程中，总监理工程师及重要岗位监理人员应保持相对稳定，以保证监理工作正常进行。</w:t>
      </w:r>
    </w:p>
    <w:p w14:paraId="038AD3C7">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2.3.3监理人可根据工程进展和工作需要调整项目监理机构人员。监理人更换总监理工程师、项目监理、相关服务其他监理人员时，应当提前7天向委托人书面报告，经委托人同意后方可更换。未经委托人同意，擅自更换时，视为监理人违约。</w:t>
      </w:r>
    </w:p>
    <w:p w14:paraId="696A33F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2.3.4 监理人应及时更换有下列情形之一的监理人员：</w:t>
      </w:r>
    </w:p>
    <w:p w14:paraId="1BD986BE">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（1）严重过失行为的；</w:t>
      </w:r>
    </w:p>
    <w:p w14:paraId="1BAD4F73">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（2）有违法行为不能履行职责的；</w:t>
      </w:r>
    </w:p>
    <w:p w14:paraId="4DEE74DB">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（3）涉嫌犯罪的；</w:t>
      </w:r>
    </w:p>
    <w:p w14:paraId="00387A90">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（4）不能胜任岗位职责的；</w:t>
      </w:r>
    </w:p>
    <w:p w14:paraId="1A1A0855">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（5）严重违反职业道德的；</w:t>
      </w:r>
    </w:p>
    <w:p w14:paraId="32FB206C">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（6）专用条件约定的其他情形。</w:t>
      </w:r>
    </w:p>
    <w:p w14:paraId="52E20FEC">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2.3.5 委托人可要求监理人更换不能胜任本职工作的项目监理机构人员。</w:t>
      </w:r>
    </w:p>
    <w:p w14:paraId="3C89EE84">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2.4 </w:t>
      </w:r>
      <w:r>
        <w:rPr>
          <w:rFonts w:hint="eastAsia" w:ascii="宋体" w:hAnsi="宋体" w:cs="宋体"/>
          <w:color w:val="auto"/>
          <w:kern w:val="0"/>
          <w:szCs w:val="21"/>
          <w:highlight w:val="none"/>
        </w:rPr>
        <w:t>履行职责</w:t>
      </w:r>
    </w:p>
    <w:p w14:paraId="63B0C10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监理人应遵循职业道德准则和行为规范，严格按照法律法规、工程建设有关标准及本合同履行职责。</w:t>
      </w:r>
    </w:p>
    <w:p w14:paraId="40F35E51">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2.4.1 在监理与相关服务范围内，委托人和承包人提出的意见和要求，监理人应及时提出处置意见。当委托人与承包人之间发生合同争议时，监理人应协助委托人、承包人协商解决。</w:t>
      </w:r>
    </w:p>
    <w:p w14:paraId="199791B7">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2.4.2 当委托人与承包人之间的合同争议提交仲裁机构仲裁或人民法院审理时，监理人应提供必要的证明资料。未提供，视为监理人违约，承担给委托人造成的一切损失。</w:t>
      </w:r>
    </w:p>
    <w:p w14:paraId="0B1FD1A6">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2.4.3 监理人应在专用条件约定的授权范围内，处理委托人与承包人所签订合同的变更事宜。如果变更超过授权范围，应以书面形式报委托人批准。</w:t>
      </w:r>
    </w:p>
    <w:p w14:paraId="2669C459">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在紧急情况下，为了保护财产和人身安全，监理人所发出的指令未能事先报委托人批准时，应在发出指令后的24小时内以书面形式报委托人。</w:t>
      </w:r>
    </w:p>
    <w:p w14:paraId="6B93B665">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2.4.4 除专用条件另有约定外，监理人发现承包人的人员不能胜任本职工作的，有权要求承包人予以调换，应书面告知委托人并附证明材料。</w:t>
      </w:r>
    </w:p>
    <w:p w14:paraId="062AB75B">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2.4.5 监理人在实施监理过程中，发现存在安全事故隐患的，应当要求承包人整改；情况严重的，应当要求承包人暂时停止施工，并及时报告委托人。承包人拒不整改或者不停止施工的，监理人应当及时向有关主管部门报告。</w:t>
      </w:r>
    </w:p>
    <w:p w14:paraId="4A553034">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2.4.6 监理人及其工作人员不得从与实施工程有关的第三方处获得任何经济利益。</w:t>
      </w:r>
    </w:p>
    <w:p w14:paraId="0B03DD5B">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2.4.7监理人应当按法律、法规规定，为履行本合同内容的监理与相关服务机构人员办理相关保险,保证现场监理人员的安全。承担因履行本合同过程中工作人员的安全责任。</w:t>
      </w:r>
    </w:p>
    <w:p w14:paraId="1193D887">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2.5 提交</w:t>
      </w:r>
      <w:r>
        <w:rPr>
          <w:rFonts w:hint="eastAsia" w:ascii="宋体" w:hAnsi="宋体" w:cs="宋体"/>
          <w:color w:val="auto"/>
          <w:kern w:val="0"/>
          <w:szCs w:val="21"/>
          <w:highlight w:val="none"/>
        </w:rPr>
        <w:t>报告</w:t>
      </w:r>
    </w:p>
    <w:p w14:paraId="768CE88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监理人应按专用条件约定的种类、时间和份数向委托人提交监理与相关服务的报告。</w:t>
      </w:r>
    </w:p>
    <w:p w14:paraId="356287E4">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2.6 文件资料</w:t>
      </w:r>
    </w:p>
    <w:p w14:paraId="48216D6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在本合同履行期内，监理人应在现场保留工作所用的图纸、报告及记录监理工</w:t>
      </w:r>
      <w:r>
        <w:rPr>
          <w:rFonts w:hint="eastAsia" w:ascii="宋体" w:hAnsi="宋体"/>
          <w:color w:val="auto"/>
          <w:szCs w:val="21"/>
          <w:highlight w:val="none"/>
        </w:rPr>
        <w:t>作的相关文件。工程竣工后，应当按照档案管理规定将监理有关文件归档。</w:t>
      </w:r>
    </w:p>
    <w:p w14:paraId="636168CC">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2.7 </w:t>
      </w:r>
      <w:r>
        <w:rPr>
          <w:rFonts w:hint="eastAsia" w:ascii="宋体" w:hAnsi="宋体" w:cs="宋体"/>
          <w:color w:val="auto"/>
          <w:kern w:val="0"/>
          <w:szCs w:val="21"/>
          <w:highlight w:val="none"/>
        </w:rPr>
        <w:t>使用委托人的财产</w:t>
      </w:r>
    </w:p>
    <w:p w14:paraId="2C9374E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除专用条件另有约定外，委托人提供的房屋、设备属于委托人的财产，监理人应妥善使用和保管，在本合同终止时将这些房屋、设备的清单提交委托人，并按专用条件约定的时间和方式移交。</w:t>
      </w:r>
    </w:p>
    <w:p w14:paraId="4104869B">
      <w:pPr>
        <w:overflowPunct w:val="0"/>
        <w:autoSpaceDE w:val="0"/>
        <w:autoSpaceDN w:val="0"/>
        <w:adjustRightInd w:val="0"/>
        <w:snapToGrid w:val="0"/>
        <w:spacing w:line="360" w:lineRule="auto"/>
        <w:ind w:firstLine="422" w:firstLineChars="200"/>
        <w:rPr>
          <w:rFonts w:ascii="宋体" w:hAnsi="宋体"/>
          <w:b/>
          <w:color w:val="auto"/>
          <w:kern w:val="0"/>
          <w:szCs w:val="21"/>
          <w:highlight w:val="none"/>
        </w:rPr>
      </w:pPr>
      <w:r>
        <w:rPr>
          <w:rFonts w:hint="eastAsia" w:ascii="宋体" w:hAnsi="宋体"/>
          <w:b/>
          <w:color w:val="auto"/>
          <w:kern w:val="0"/>
          <w:szCs w:val="21"/>
          <w:highlight w:val="none"/>
        </w:rPr>
        <w:t>3．委托人的义务</w:t>
      </w:r>
    </w:p>
    <w:p w14:paraId="64357E7D">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3.1 </w:t>
      </w:r>
      <w:r>
        <w:rPr>
          <w:rFonts w:hint="eastAsia" w:ascii="宋体" w:hAnsi="宋体" w:cs="宋体"/>
          <w:color w:val="auto"/>
          <w:kern w:val="0"/>
          <w:szCs w:val="21"/>
          <w:highlight w:val="none"/>
        </w:rPr>
        <w:t>告知</w:t>
      </w:r>
    </w:p>
    <w:p w14:paraId="350D191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委托人应在委托人与承包人签订的合同中明确监理人、总监理工程师和授予项目监理机构的权限。如有变更，应及时通知承包人。</w:t>
      </w:r>
    </w:p>
    <w:p w14:paraId="5C834F2C">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3.2 </w:t>
      </w:r>
      <w:r>
        <w:rPr>
          <w:rFonts w:hint="eastAsia" w:ascii="宋体" w:hAnsi="宋体" w:cs="宋体"/>
          <w:color w:val="auto"/>
          <w:kern w:val="0"/>
          <w:szCs w:val="21"/>
          <w:highlight w:val="none"/>
        </w:rPr>
        <w:t>提供资料</w:t>
      </w:r>
    </w:p>
    <w:p w14:paraId="60254E4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委托人应按照附录2约定，无偿向监理人提供工程有关的资料。</w:t>
      </w:r>
      <w:r>
        <w:rPr>
          <w:rFonts w:hint="eastAsia" w:ascii="宋体" w:hAnsi="宋体"/>
          <w:color w:val="auto"/>
          <w:szCs w:val="21"/>
          <w:highlight w:val="none"/>
        </w:rPr>
        <w:t>在本合同履行过程中，委托人应及时向监理人提供最新的与工程有关的资料。</w:t>
      </w:r>
    </w:p>
    <w:p w14:paraId="4BDDE1F0">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3.3 </w:t>
      </w:r>
      <w:r>
        <w:rPr>
          <w:rFonts w:hint="eastAsia" w:ascii="宋体" w:hAnsi="宋体" w:cs="宋体"/>
          <w:color w:val="auto"/>
          <w:kern w:val="0"/>
          <w:szCs w:val="21"/>
          <w:highlight w:val="none"/>
        </w:rPr>
        <w:t>提供工作条件</w:t>
      </w:r>
    </w:p>
    <w:p w14:paraId="6868DE7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委托人应为监理人完成监理与相关服务提供必要的条件。</w:t>
      </w:r>
    </w:p>
    <w:p w14:paraId="1383476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3.3.1 </w:t>
      </w:r>
      <w:r>
        <w:rPr>
          <w:rFonts w:hint="eastAsia" w:ascii="宋体" w:hAnsi="宋体"/>
          <w:color w:val="auto"/>
          <w:szCs w:val="21"/>
          <w:highlight w:val="none"/>
        </w:rPr>
        <w:t>委托人应按照附录B约定，派遣相应的人员。</w:t>
      </w:r>
    </w:p>
    <w:p w14:paraId="2B52341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3.3.2 </w:t>
      </w:r>
      <w:r>
        <w:rPr>
          <w:rFonts w:hint="eastAsia" w:ascii="宋体" w:hAnsi="宋体"/>
          <w:color w:val="auto"/>
          <w:szCs w:val="21"/>
          <w:highlight w:val="none"/>
        </w:rPr>
        <w:t>委托人应负责协调工程建设中所有外部关系，为监理人履行本合同提供必要的外部条件。</w:t>
      </w:r>
    </w:p>
    <w:p w14:paraId="198D865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3.4 </w:t>
      </w:r>
      <w:r>
        <w:rPr>
          <w:rFonts w:hint="eastAsia" w:ascii="宋体" w:hAnsi="宋体" w:cs="宋体"/>
          <w:color w:val="auto"/>
          <w:kern w:val="0"/>
          <w:szCs w:val="21"/>
          <w:highlight w:val="none"/>
        </w:rPr>
        <w:t>委托人代表</w:t>
      </w:r>
    </w:p>
    <w:p w14:paraId="314957F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委托人应授权一名熟悉工程情况的代表，负责与监理人联系。委托人应在双方签订本合同后</w:t>
      </w:r>
      <w:r>
        <w:rPr>
          <w:rFonts w:hint="eastAsia" w:ascii="宋体" w:hAnsi="宋体"/>
          <w:color w:val="auto"/>
          <w:szCs w:val="21"/>
          <w:highlight w:val="none"/>
          <w:u w:val="single"/>
        </w:rPr>
        <w:t>7</w:t>
      </w:r>
      <w:r>
        <w:rPr>
          <w:rFonts w:hint="eastAsia" w:ascii="宋体" w:hAnsi="宋体"/>
          <w:color w:val="auto"/>
          <w:szCs w:val="21"/>
          <w:highlight w:val="none"/>
        </w:rPr>
        <w:t>天内，将委托人代表的姓名和职责书面告知监理人。当委托人更换委托人代表时，应提前</w:t>
      </w:r>
      <w:r>
        <w:rPr>
          <w:rFonts w:hint="eastAsia" w:ascii="宋体" w:hAnsi="宋体"/>
          <w:color w:val="auto"/>
          <w:szCs w:val="21"/>
          <w:highlight w:val="none"/>
          <w:u w:val="single"/>
        </w:rPr>
        <w:t>7</w:t>
      </w:r>
      <w:r>
        <w:rPr>
          <w:rFonts w:hint="eastAsia" w:ascii="宋体" w:hAnsi="宋体"/>
          <w:color w:val="auto"/>
          <w:szCs w:val="21"/>
          <w:highlight w:val="none"/>
        </w:rPr>
        <w:t>天通知监理人。</w:t>
      </w:r>
    </w:p>
    <w:p w14:paraId="232212F7">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3.5 </w:t>
      </w:r>
      <w:r>
        <w:rPr>
          <w:rFonts w:hint="eastAsia" w:ascii="宋体" w:hAnsi="宋体" w:cs="宋体"/>
          <w:color w:val="auto"/>
          <w:kern w:val="0"/>
          <w:szCs w:val="21"/>
          <w:highlight w:val="none"/>
        </w:rPr>
        <w:t>委托人意见或要求</w:t>
      </w:r>
    </w:p>
    <w:p w14:paraId="6EE3FA5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在本合同约定的监理与相关服务工作范围内，委托人对承包人的任何意见或要求应通知监理人，由监理人向承包人发出相应指令。</w:t>
      </w:r>
    </w:p>
    <w:p w14:paraId="0086A251">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3.6 </w:t>
      </w:r>
      <w:r>
        <w:rPr>
          <w:rFonts w:hint="eastAsia" w:ascii="宋体" w:hAnsi="宋体" w:cs="宋体"/>
          <w:color w:val="auto"/>
          <w:kern w:val="0"/>
          <w:szCs w:val="21"/>
          <w:highlight w:val="none"/>
        </w:rPr>
        <w:t>答复</w:t>
      </w:r>
    </w:p>
    <w:p w14:paraId="09F4982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委托人应在专用条件约定的时间内，对监理人以书面形式提交并要求作出决定的事宜，给予书面答复。逾期未答复的，视为委托人认可。</w:t>
      </w:r>
    </w:p>
    <w:p w14:paraId="0BCB4F6C">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3.7 </w:t>
      </w:r>
      <w:r>
        <w:rPr>
          <w:rFonts w:hint="eastAsia" w:ascii="宋体" w:hAnsi="宋体" w:cs="宋体"/>
          <w:color w:val="auto"/>
          <w:kern w:val="0"/>
          <w:szCs w:val="21"/>
          <w:highlight w:val="none"/>
        </w:rPr>
        <w:t>支付</w:t>
      </w:r>
    </w:p>
    <w:p w14:paraId="0952421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委托人应按本合同约定，向监理人支付酬金。</w:t>
      </w:r>
    </w:p>
    <w:p w14:paraId="7DC9371A">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 违约责任</w:t>
      </w:r>
    </w:p>
    <w:p w14:paraId="1BDE6C94">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4.1 </w:t>
      </w:r>
      <w:r>
        <w:rPr>
          <w:rFonts w:hint="eastAsia" w:ascii="宋体" w:hAnsi="宋体" w:cs="宋体"/>
          <w:color w:val="auto"/>
          <w:kern w:val="0"/>
          <w:szCs w:val="21"/>
          <w:highlight w:val="none"/>
        </w:rPr>
        <w:t>监理人的违约责任</w:t>
      </w:r>
    </w:p>
    <w:p w14:paraId="4199C006">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　监理人的违约情形</w:t>
      </w:r>
    </w:p>
    <w:p w14:paraId="36CB859F">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 监理人明确表示或者以行为表明不履行合同义务，或履行义务不符合约定；</w:t>
      </w:r>
    </w:p>
    <w:p w14:paraId="121DE8AC">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4.1.1.2 监理人违反合同的约定，将监理与相关服务的任何部分转让或区域；</w:t>
      </w:r>
    </w:p>
    <w:p w14:paraId="1ABFECBB">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4.1.1.3 违反合同专用条款约定的其他情形。</w:t>
      </w:r>
    </w:p>
    <w:p w14:paraId="1A5CF8B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4.1.2监理人未履行本合同义务的，应承担相应的责任。</w:t>
      </w:r>
    </w:p>
    <w:p w14:paraId="384E4D44">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4.1.2.1监理人违反合同约定，在约定的时间内，未改正的，委托人有权解除合同；</w:t>
      </w:r>
    </w:p>
    <w:p w14:paraId="17159FFB">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4.1.2.2 因监理人</w:t>
      </w:r>
      <w:r>
        <w:rPr>
          <w:rFonts w:hint="eastAsia" w:ascii="宋体" w:hAnsi="宋体" w:cs="宋体"/>
          <w:color w:val="auto"/>
          <w:kern w:val="0"/>
          <w:szCs w:val="21"/>
          <w:highlight w:val="none"/>
        </w:rPr>
        <w:t>违反本合同约定</w:t>
      </w:r>
      <w:r>
        <w:rPr>
          <w:rFonts w:hint="eastAsia" w:ascii="宋体" w:hAnsi="宋体"/>
          <w:color w:val="auto"/>
          <w:szCs w:val="21"/>
          <w:highlight w:val="none"/>
        </w:rPr>
        <w:t>给委托人造成损失的，监理人应当赔偿委托人损失</w:t>
      </w:r>
      <w:r>
        <w:rPr>
          <w:rFonts w:hint="eastAsia" w:ascii="宋体" w:hAnsi="宋体"/>
          <w:color w:val="auto"/>
          <w:kern w:val="0"/>
          <w:szCs w:val="21"/>
          <w:highlight w:val="none"/>
        </w:rPr>
        <w:t>。赔偿金额的确定方法在专用条件中约定。监理人承担部分赔偿责任的，其承担赔偿金额由双方协商确定。</w:t>
      </w:r>
    </w:p>
    <w:p w14:paraId="5E1FC23A">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4.1.2.3监理人向委托人的索赔不成立时，监理人应赔偿委托人由此发生的费用。</w:t>
      </w:r>
    </w:p>
    <w:p w14:paraId="7331920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4.2 委</w:t>
      </w:r>
      <w:r>
        <w:rPr>
          <w:rFonts w:hint="eastAsia" w:ascii="宋体" w:hAnsi="宋体" w:cs="宋体"/>
          <w:color w:val="auto"/>
          <w:kern w:val="0"/>
          <w:szCs w:val="21"/>
          <w:highlight w:val="none"/>
        </w:rPr>
        <w:t>托人的违约责任</w:t>
      </w:r>
    </w:p>
    <w:p w14:paraId="1E0BB56C">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委托人未履行本合同义务的，应承担相应的责任。</w:t>
      </w:r>
    </w:p>
    <w:p w14:paraId="18DA8D8C">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4.2.1 委托人违反本合同约定造成监理人损失的，委托人应予以赔偿。</w:t>
      </w:r>
    </w:p>
    <w:p w14:paraId="5122CF6A">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4.2.2 委托人向监理人的索赔不成立时，应赔偿监理人由此引起的费用。</w:t>
      </w:r>
    </w:p>
    <w:p w14:paraId="251276C3">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 xml:space="preserve">4.2.3 </w:t>
      </w:r>
      <w:r>
        <w:rPr>
          <w:rFonts w:hint="eastAsia" w:ascii="宋体" w:hAnsi="宋体"/>
          <w:color w:val="auto"/>
          <w:kern w:val="0"/>
          <w:szCs w:val="21"/>
          <w:highlight w:val="none"/>
        </w:rPr>
        <w:t>委托人未能按期支付</w:t>
      </w:r>
      <w:r>
        <w:rPr>
          <w:rFonts w:hint="eastAsia" w:ascii="宋体" w:hAnsi="宋体"/>
          <w:color w:val="auto"/>
          <w:szCs w:val="21"/>
          <w:highlight w:val="none"/>
        </w:rPr>
        <w:t>酬金</w:t>
      </w:r>
      <w:r>
        <w:rPr>
          <w:rFonts w:hint="eastAsia" w:ascii="宋体" w:hAnsi="宋体"/>
          <w:color w:val="auto"/>
          <w:kern w:val="0"/>
          <w:szCs w:val="21"/>
          <w:highlight w:val="none"/>
        </w:rPr>
        <w:t>超过28天，</w:t>
      </w:r>
      <w:r>
        <w:rPr>
          <w:rFonts w:hint="eastAsia" w:ascii="宋体" w:hAnsi="宋体" w:cs="宋体"/>
          <w:color w:val="auto"/>
          <w:kern w:val="0"/>
          <w:szCs w:val="21"/>
          <w:highlight w:val="none"/>
        </w:rPr>
        <w:t>应按专用条件约定支付逾期付款利息</w:t>
      </w:r>
      <w:r>
        <w:rPr>
          <w:rFonts w:hint="eastAsia" w:ascii="宋体" w:hAnsi="宋体"/>
          <w:color w:val="auto"/>
          <w:kern w:val="0"/>
          <w:szCs w:val="21"/>
          <w:highlight w:val="none"/>
        </w:rPr>
        <w:t>。</w:t>
      </w:r>
    </w:p>
    <w:p w14:paraId="463B5FC1">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4.3 除外责任</w:t>
      </w:r>
    </w:p>
    <w:p w14:paraId="6CBC778B">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因非监理人的原因，且监理人无过错，发生工程质量事故、安全事故、工期延误等造成的损失，监理人不承担赔偿责任。</w:t>
      </w:r>
    </w:p>
    <w:p w14:paraId="666F7EB8">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因不可抗力导致本合同全部或部分不能履行时，双方各自承担其因此而造成的损失、损害。</w:t>
      </w:r>
    </w:p>
    <w:p w14:paraId="63D1BD9F">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5. 支付</w:t>
      </w:r>
    </w:p>
    <w:p w14:paraId="532678DC">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5.1 </w:t>
      </w:r>
      <w:r>
        <w:rPr>
          <w:rFonts w:hint="eastAsia" w:ascii="宋体" w:hAnsi="宋体"/>
          <w:bCs/>
          <w:color w:val="auto"/>
          <w:szCs w:val="21"/>
          <w:highlight w:val="none"/>
        </w:rPr>
        <w:t>支付货币</w:t>
      </w:r>
    </w:p>
    <w:p w14:paraId="33BC4E60">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除专用条件另有约定外，酬金均以人民币支付。涉及外币支付的，所采用的货币种类、比例和汇率在专用条件中约定。</w:t>
      </w:r>
    </w:p>
    <w:p w14:paraId="0E26AF33">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5.2 支付申请</w:t>
      </w:r>
    </w:p>
    <w:p w14:paraId="5A57949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除专用条件另有约定外，监理人应在本合同约定的每次应付款时间的14天前，向委托人提交支付申请书。支付申请书应当说明当期应付款总额，并列出当期应支付的款项及其金额。</w:t>
      </w:r>
    </w:p>
    <w:p w14:paraId="62C0534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5.3 支付酬金</w:t>
      </w:r>
    </w:p>
    <w:p w14:paraId="55CB95E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支付的酬金包括正常工作酬金、附加工作酬金、合理化建议奖励金额及费用。</w:t>
      </w:r>
    </w:p>
    <w:p w14:paraId="5A10F88C">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 5.4 </w:t>
      </w:r>
      <w:r>
        <w:rPr>
          <w:rFonts w:hint="eastAsia" w:ascii="宋体" w:hAnsi="宋体"/>
          <w:bCs/>
          <w:color w:val="auto"/>
          <w:szCs w:val="21"/>
          <w:highlight w:val="none"/>
        </w:rPr>
        <w:t>有争议部分的付款</w:t>
      </w:r>
    </w:p>
    <w:p w14:paraId="19AB5A8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委托人对监理人提交的支付申请书有异议时，应当在收到监理人提交的支付申请书后14天内，以书面形式向监理人发出异议通知。无异议部分的款项应按期支付，有异议部分的款项按第7条约定办理。</w:t>
      </w:r>
    </w:p>
    <w:p w14:paraId="099C0513">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6. 合同生效、变更、暂停、解除与终止</w:t>
      </w:r>
    </w:p>
    <w:p w14:paraId="223FA89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6.1生效</w:t>
      </w:r>
    </w:p>
    <w:p w14:paraId="5931555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除法律另有规定或者专用条件另有约定外，委托人和监理人的法定代表人或其授权代理人在协议书上签名并盖单位章后本合同生效。</w:t>
      </w:r>
    </w:p>
    <w:p w14:paraId="6C86D321">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6.2</w:t>
      </w:r>
      <w:r>
        <w:rPr>
          <w:rFonts w:hint="eastAsia" w:ascii="宋体" w:hAnsi="宋体"/>
          <w:bCs/>
          <w:color w:val="auto"/>
          <w:szCs w:val="21"/>
          <w:highlight w:val="none"/>
        </w:rPr>
        <w:t>变更</w:t>
      </w:r>
    </w:p>
    <w:p w14:paraId="2AFAB15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6.2.1 任何一方提出变更请求时，双方经协商一致后可进行变更。</w:t>
      </w:r>
    </w:p>
    <w:p w14:paraId="3F40EF0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20B00D4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hint="eastAsia" w:ascii="宋体" w:hAnsi="宋体"/>
          <w:color w:val="auto"/>
          <w:szCs w:val="21"/>
          <w:highlight w:val="none"/>
          <w:u w:val="single"/>
        </w:rPr>
        <w:t>28</w:t>
      </w:r>
      <w:r>
        <w:rPr>
          <w:rFonts w:hint="eastAsia" w:ascii="宋体" w:hAnsi="宋体"/>
          <w:color w:val="auto"/>
          <w:szCs w:val="21"/>
          <w:highlight w:val="none"/>
        </w:rPr>
        <w:t>天。</w:t>
      </w:r>
    </w:p>
    <w:p w14:paraId="011249C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6.2.4合同签订后，遇有与工程相关的法律法规、标准颁布或修订的，双方应遵照执行。由此引起监理与相关服务的范围、时间、酬金变化的，双方应通过协商进行相应调整。</w:t>
      </w:r>
    </w:p>
    <w:p w14:paraId="00AEC9B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6.2.5 因非监理人原因造成工程概算投资额或建筑安装工程费增加时，正常工作酬金应作相应调整。调整方法在专用条件中约定。</w:t>
      </w:r>
    </w:p>
    <w:p w14:paraId="3DB532D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6.2.6 因工程规模、监理范围的变化导致监理人的正常工作量减少时，正常工作酬金应作相应调整。调整方法在专用条件中约定。</w:t>
      </w:r>
    </w:p>
    <w:p w14:paraId="3C7F4BC6">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6.3 暂停与</w:t>
      </w:r>
      <w:r>
        <w:rPr>
          <w:rFonts w:hint="eastAsia" w:ascii="宋体" w:hAnsi="宋体"/>
          <w:bCs/>
          <w:color w:val="auto"/>
          <w:szCs w:val="21"/>
          <w:highlight w:val="none"/>
        </w:rPr>
        <w:t>解除</w:t>
      </w:r>
    </w:p>
    <w:p w14:paraId="59C3929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除双方协商一致可以解除本合同外，当一方无正当理由未履行本合同约定的义务时，另一方可以根据本合同约定暂停履行本合同直至解除本合同。</w:t>
      </w:r>
    </w:p>
    <w:p w14:paraId="5AD8B26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4F7A71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因解除本合同或解除监理人的部分义务导致监理人遭受的损失，除依法可以免除责任的情况外，应由委托人予以补偿，补偿金额由双方协商确定。</w:t>
      </w:r>
    </w:p>
    <w:p w14:paraId="560FEA5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解除本合同的协议必须采取书面形式，协议未达成之前，本合同仍然有效。</w:t>
      </w:r>
    </w:p>
    <w:p w14:paraId="3E7BE7A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616F534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olor w:val="auto"/>
          <w:kern w:val="0"/>
          <w:szCs w:val="21"/>
          <w:highlight w:val="none"/>
        </w:rPr>
        <w:t>的</w:t>
      </w:r>
      <w:r>
        <w:rPr>
          <w:rFonts w:hint="eastAsia" w:ascii="宋体" w:hAnsi="宋体"/>
          <w:color w:val="auto"/>
          <w:szCs w:val="21"/>
          <w:highlight w:val="none"/>
        </w:rPr>
        <w:t>酬金支付至本合同解除日，且应承担第4.2款约定的责任。</w:t>
      </w:r>
    </w:p>
    <w:p w14:paraId="0FE0CAE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olor w:val="auto"/>
          <w:kern w:val="0"/>
          <w:szCs w:val="21"/>
          <w:highlight w:val="none"/>
        </w:rPr>
        <w:t>的</w:t>
      </w:r>
      <w:r>
        <w:rPr>
          <w:rFonts w:hint="eastAsia" w:ascii="宋体" w:hAnsi="宋体"/>
          <w:color w:val="auto"/>
          <w:szCs w:val="21"/>
          <w:highlight w:val="none"/>
        </w:rPr>
        <w:t>酬金支付至</w:t>
      </w:r>
      <w:r>
        <w:rPr>
          <w:rFonts w:hint="eastAsia" w:ascii="宋体" w:hAnsi="宋体"/>
          <w:color w:val="auto"/>
          <w:kern w:val="0"/>
          <w:szCs w:val="21"/>
          <w:highlight w:val="none"/>
        </w:rPr>
        <w:t>限期改正通知到达监理人之日</w:t>
      </w:r>
      <w:r>
        <w:rPr>
          <w:rFonts w:hint="eastAsia" w:ascii="宋体" w:hAnsi="宋体"/>
          <w:color w:val="auto"/>
          <w:szCs w:val="21"/>
          <w:highlight w:val="none"/>
        </w:rPr>
        <w:t>，但监理人应承担第4.1款约定的责任。</w:t>
      </w:r>
    </w:p>
    <w:p w14:paraId="42B76F6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673220BB">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6.3.5 因不可抗力致使本合同部分或全部不能履行时，一方应立即通知另一方，可暂停或解除本合同。</w:t>
      </w:r>
    </w:p>
    <w:p w14:paraId="7C1D8F6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6.3.6 本合同解除后，本合同约定的有关结算、清理、争议解决方式的条件仍然有效。</w:t>
      </w:r>
    </w:p>
    <w:p w14:paraId="12674137">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6.4 </w:t>
      </w:r>
      <w:r>
        <w:rPr>
          <w:rFonts w:hint="eastAsia" w:ascii="宋体" w:hAnsi="宋体"/>
          <w:bCs/>
          <w:color w:val="auto"/>
          <w:szCs w:val="21"/>
          <w:highlight w:val="none"/>
        </w:rPr>
        <w:t>终止</w:t>
      </w:r>
    </w:p>
    <w:p w14:paraId="737EFD0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6.4.1以下条件全部满足时，本合同即告终止：</w:t>
      </w:r>
    </w:p>
    <w:p w14:paraId="751A9C2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（1）监理人完成本合同约定的全部工作；</w:t>
      </w:r>
    </w:p>
    <w:p w14:paraId="58619A8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（2）委托人与监理人结清并支付全部酬金。</w:t>
      </w:r>
    </w:p>
    <w:p w14:paraId="623544B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6.4.2合同权利义务终止后，合同约定的有关结算、清理、争议解决方式的条款仍然有效。</w:t>
      </w:r>
    </w:p>
    <w:p w14:paraId="28411F90">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7. 争议解决</w:t>
      </w:r>
    </w:p>
    <w:p w14:paraId="1F6BC296">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7.1</w:t>
      </w:r>
      <w:r>
        <w:rPr>
          <w:rFonts w:hint="eastAsia" w:ascii="宋体" w:hAnsi="宋体"/>
          <w:bCs/>
          <w:color w:val="auto"/>
          <w:szCs w:val="21"/>
          <w:highlight w:val="none"/>
        </w:rPr>
        <w:t>协商</w:t>
      </w:r>
    </w:p>
    <w:p w14:paraId="2AF3617E">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双方应本着诚信原则协商解决彼此间的争议。</w:t>
      </w:r>
    </w:p>
    <w:p w14:paraId="62F3E950">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7.2</w:t>
      </w:r>
      <w:r>
        <w:rPr>
          <w:rFonts w:hint="eastAsia" w:ascii="宋体" w:hAnsi="宋体"/>
          <w:bCs/>
          <w:color w:val="auto"/>
          <w:szCs w:val="21"/>
          <w:highlight w:val="none"/>
        </w:rPr>
        <w:t>调解</w:t>
      </w:r>
    </w:p>
    <w:p w14:paraId="628739E8">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如果双方不能在14天内或双方商定的其他时间内解决本合同争议，可以将其提交给专用条件约定的或事后达成协议的调解人进行调解。</w:t>
      </w:r>
    </w:p>
    <w:p w14:paraId="410988B0">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7.3</w:t>
      </w:r>
      <w:r>
        <w:rPr>
          <w:rFonts w:hint="eastAsia" w:ascii="宋体" w:hAnsi="宋体"/>
          <w:bCs/>
          <w:color w:val="auto"/>
          <w:szCs w:val="21"/>
          <w:highlight w:val="none"/>
        </w:rPr>
        <w:t>仲裁或诉讼</w:t>
      </w:r>
    </w:p>
    <w:p w14:paraId="50EF3B2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双方均有权不经调解直接向专用条件约定的仲裁机构申请仲裁或向项目工程所在地有管辖权的人民法院提起诉讼。</w:t>
      </w:r>
    </w:p>
    <w:p w14:paraId="1EE184CA">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8. 其他</w:t>
      </w:r>
    </w:p>
    <w:p w14:paraId="6B5900B2">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8.1 </w:t>
      </w:r>
      <w:r>
        <w:rPr>
          <w:rFonts w:hint="eastAsia" w:ascii="宋体" w:hAnsi="宋体"/>
          <w:bCs/>
          <w:color w:val="auto"/>
          <w:szCs w:val="21"/>
          <w:highlight w:val="none"/>
        </w:rPr>
        <w:t>外出考察费用</w:t>
      </w:r>
    </w:p>
    <w:p w14:paraId="22D80B6E">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经委托人同意，监理人员外出考察发生的费用由委托人审核后支付。</w:t>
      </w:r>
    </w:p>
    <w:p w14:paraId="26458899">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8.2 </w:t>
      </w:r>
      <w:r>
        <w:rPr>
          <w:rFonts w:hint="eastAsia" w:ascii="宋体" w:hAnsi="宋体"/>
          <w:bCs/>
          <w:color w:val="auto"/>
          <w:szCs w:val="21"/>
          <w:highlight w:val="none"/>
        </w:rPr>
        <w:t>检测费用</w:t>
      </w:r>
    </w:p>
    <w:p w14:paraId="6714BDB0">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委托人要求监理人进行的材料和设备检测所发生的费用，由委托人支付，支付时间在专用条件中约定。</w:t>
      </w:r>
    </w:p>
    <w:p w14:paraId="2973632C">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8.3 </w:t>
      </w:r>
      <w:r>
        <w:rPr>
          <w:rFonts w:hint="eastAsia" w:ascii="宋体" w:hAnsi="宋体"/>
          <w:bCs/>
          <w:color w:val="auto"/>
          <w:szCs w:val="21"/>
          <w:highlight w:val="none"/>
        </w:rPr>
        <w:t>咨询费用</w:t>
      </w:r>
    </w:p>
    <w:p w14:paraId="19363A3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经委托人同意，根据工程需要由监理人组织的相关咨询论证会以及聘请相关专家等发生的费用由委托人支付，支付时间在专用条件中约定。</w:t>
      </w:r>
    </w:p>
    <w:p w14:paraId="21EB686B">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8.4 </w:t>
      </w:r>
      <w:r>
        <w:rPr>
          <w:rFonts w:hint="eastAsia" w:ascii="宋体" w:hAnsi="宋体"/>
          <w:bCs/>
          <w:color w:val="auto"/>
          <w:szCs w:val="21"/>
          <w:highlight w:val="none"/>
        </w:rPr>
        <w:t>奖励</w:t>
      </w:r>
    </w:p>
    <w:p w14:paraId="149784A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20D2F946">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8.5 </w:t>
      </w:r>
      <w:r>
        <w:rPr>
          <w:rFonts w:hint="eastAsia" w:ascii="宋体" w:hAnsi="宋体"/>
          <w:bCs/>
          <w:color w:val="auto"/>
          <w:szCs w:val="21"/>
          <w:highlight w:val="none"/>
        </w:rPr>
        <w:t>守法诚信</w:t>
      </w:r>
    </w:p>
    <w:p w14:paraId="1AD654E1">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监理人及其工作人员不得从与实施工程有关的第三方处获得任何经济利益。</w:t>
      </w:r>
    </w:p>
    <w:p w14:paraId="1F0F5919">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8.6 </w:t>
      </w:r>
      <w:r>
        <w:rPr>
          <w:rFonts w:hint="eastAsia" w:ascii="宋体" w:hAnsi="宋体"/>
          <w:bCs/>
          <w:color w:val="auto"/>
          <w:szCs w:val="21"/>
          <w:highlight w:val="none"/>
        </w:rPr>
        <w:t>保密</w:t>
      </w:r>
    </w:p>
    <w:p w14:paraId="58CC7A87">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双方不得泄露对方申明的保密资料，亦不得泄露与实施工程有关的第三方所提供的保密资料，保密事项在专用条件中约定。</w:t>
      </w:r>
    </w:p>
    <w:p w14:paraId="52EAE85C">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8.7 </w:t>
      </w:r>
      <w:r>
        <w:rPr>
          <w:rFonts w:hint="eastAsia" w:ascii="宋体" w:hAnsi="宋体"/>
          <w:bCs/>
          <w:color w:val="auto"/>
          <w:szCs w:val="21"/>
          <w:highlight w:val="none"/>
        </w:rPr>
        <w:t>通知</w:t>
      </w:r>
    </w:p>
    <w:p w14:paraId="32763D26">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本合同涉及的通知均应当采用书面形式，并在送达对方时生效，收件人应书面签收。专用条款另有约定，按照约定执行。</w:t>
      </w:r>
    </w:p>
    <w:p w14:paraId="367CB045">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8.8 </w:t>
      </w:r>
      <w:r>
        <w:rPr>
          <w:rFonts w:hint="eastAsia" w:ascii="宋体" w:hAnsi="宋体"/>
          <w:bCs/>
          <w:color w:val="auto"/>
          <w:szCs w:val="21"/>
          <w:highlight w:val="none"/>
        </w:rPr>
        <w:t>著作权</w:t>
      </w:r>
    </w:p>
    <w:p w14:paraId="49A61998">
      <w:pPr>
        <w:overflowPunct w:val="0"/>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监理人因履行本合同形成的知识产权成果归委托人所有，未经委托人同意，监理人不得复制泄露或向第三人转让或用于本合同外的项目，如发生以上情况，监理人承担给委托人造成一切损失。因履行本合同产生的知识成果侵害第三方权益时，责任由监理人承担，同时视为监理人违约。</w:t>
      </w:r>
    </w:p>
    <w:p w14:paraId="244CB992">
      <w:pPr>
        <w:rPr>
          <w:rFonts w:hint="eastAsia" w:ascii="宋体" w:hAnsi="宋体"/>
          <w:color w:val="auto"/>
          <w:szCs w:val="21"/>
          <w:highlight w:val="none"/>
        </w:rPr>
      </w:pPr>
      <w:r>
        <w:rPr>
          <w:rFonts w:hint="eastAsia" w:ascii="宋体" w:hAnsi="宋体"/>
          <w:color w:val="auto"/>
          <w:szCs w:val="21"/>
          <w:highlight w:val="none"/>
        </w:rPr>
        <w:br w:type="page"/>
      </w:r>
    </w:p>
    <w:p w14:paraId="777D7DDF">
      <w:pPr>
        <w:overflowPunct w:val="0"/>
        <w:autoSpaceDE w:val="0"/>
        <w:autoSpaceDN w:val="0"/>
        <w:adjustRightInd w:val="0"/>
        <w:snapToGrid w:val="0"/>
        <w:spacing w:line="420" w:lineRule="exact"/>
        <w:ind w:firstLine="640" w:firstLineChars="200"/>
        <w:jc w:val="center"/>
        <w:outlineLvl w:val="0"/>
        <w:rPr>
          <w:rFonts w:ascii="宋体" w:hAnsi="宋体"/>
          <w:color w:val="auto"/>
          <w:sz w:val="32"/>
          <w:szCs w:val="32"/>
          <w:highlight w:val="none"/>
        </w:rPr>
      </w:pPr>
      <w:r>
        <w:rPr>
          <w:rFonts w:hint="eastAsia" w:ascii="宋体" w:hAnsi="宋体"/>
          <w:color w:val="auto"/>
          <w:sz w:val="32"/>
          <w:szCs w:val="32"/>
          <w:highlight w:val="none"/>
        </w:rPr>
        <w:t>第三部分  专用条件</w:t>
      </w:r>
    </w:p>
    <w:p w14:paraId="4E7B1A90">
      <w:pPr>
        <w:overflowPunct w:val="0"/>
        <w:autoSpaceDE w:val="0"/>
        <w:autoSpaceDN w:val="0"/>
        <w:adjustRightInd w:val="0"/>
        <w:snapToGrid w:val="0"/>
        <w:spacing w:line="420" w:lineRule="exact"/>
        <w:ind w:firstLine="482" w:firstLineChars="200"/>
        <w:jc w:val="center"/>
        <w:rPr>
          <w:rFonts w:ascii="宋体" w:hAnsi="宋体"/>
          <w:b/>
          <w:color w:val="auto"/>
          <w:sz w:val="24"/>
          <w:highlight w:val="none"/>
        </w:rPr>
      </w:pPr>
    </w:p>
    <w:p w14:paraId="1242A3AA">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定义与解释</w:t>
      </w:r>
    </w:p>
    <w:p w14:paraId="60E8D1C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  定义</w:t>
      </w:r>
    </w:p>
    <w:p w14:paraId="35E1755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1.1.19“承包人”是指除监理人以外，委托人就工程建设有关事宜签订合同的当事人。</w:t>
      </w:r>
    </w:p>
    <w:p w14:paraId="338417B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  解释</w:t>
      </w:r>
    </w:p>
    <w:p w14:paraId="7F13D47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本合同文件除使用中文外，还可用</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34C550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约定本合同文件的解释顺序为：</w:t>
      </w:r>
      <w:r>
        <w:rPr>
          <w:rFonts w:hint="eastAsia" w:ascii="宋体" w:hAnsi="宋体"/>
          <w:color w:val="auto"/>
          <w:szCs w:val="21"/>
          <w:highlight w:val="none"/>
          <w:u w:val="single"/>
        </w:rPr>
        <w:t xml:space="preserve">  按</w:t>
      </w:r>
      <w:r>
        <w:rPr>
          <w:rFonts w:ascii="宋体" w:hAnsi="宋体"/>
          <w:color w:val="auto"/>
          <w:szCs w:val="21"/>
          <w:highlight w:val="none"/>
          <w:u w:val="single"/>
        </w:rPr>
        <w:t>“</w:t>
      </w:r>
      <w:r>
        <w:rPr>
          <w:rFonts w:hint="eastAsia" w:ascii="宋体" w:hAnsi="宋体"/>
          <w:color w:val="auto"/>
          <w:szCs w:val="21"/>
          <w:highlight w:val="none"/>
          <w:u w:val="single"/>
        </w:rPr>
        <w:t>通用条件</w:t>
      </w:r>
      <w:r>
        <w:rPr>
          <w:rFonts w:ascii="宋体" w:hAnsi="宋体"/>
          <w:color w:val="auto"/>
          <w:szCs w:val="21"/>
          <w:highlight w:val="none"/>
          <w:u w:val="single"/>
        </w:rPr>
        <w:t>”</w:t>
      </w:r>
      <w:r>
        <w:rPr>
          <w:rFonts w:hint="eastAsia" w:ascii="宋体" w:hAnsi="宋体"/>
          <w:color w:val="auto"/>
          <w:szCs w:val="21"/>
          <w:highlight w:val="none"/>
          <w:u w:val="single"/>
        </w:rPr>
        <w:t xml:space="preserve">执行  </w:t>
      </w:r>
      <w:r>
        <w:rPr>
          <w:rFonts w:hint="eastAsia" w:ascii="宋体" w:hAnsi="宋体"/>
          <w:color w:val="auto"/>
          <w:szCs w:val="21"/>
          <w:highlight w:val="none"/>
        </w:rPr>
        <w:t>。</w:t>
      </w:r>
    </w:p>
    <w:p w14:paraId="52588B6F">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监理人义务</w:t>
      </w:r>
    </w:p>
    <w:p w14:paraId="0D50A52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 监理的范围和</w:t>
      </w:r>
      <w:r>
        <w:rPr>
          <w:rFonts w:hint="eastAsia" w:ascii="宋体" w:hAnsi="宋体"/>
          <w:bCs/>
          <w:color w:val="auto"/>
          <w:szCs w:val="21"/>
          <w:highlight w:val="none"/>
        </w:rPr>
        <w:t>内容</w:t>
      </w:r>
    </w:p>
    <w:p w14:paraId="4DDF742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 监理范围包括：</w:t>
      </w:r>
      <w:r>
        <w:rPr>
          <w:rFonts w:hint="eastAsia" w:ascii="宋体" w:hAnsi="宋体"/>
          <w:snapToGrid w:val="0"/>
          <w:color w:val="auto"/>
          <w:kern w:val="0"/>
          <w:szCs w:val="21"/>
          <w:highlight w:val="none"/>
        </w:rPr>
        <w:t>按照现行监理规范的要求，完成本项目监理施工图示范围内全部工程的施工准备阶段、施工阶段、竣工验收阶段、竣工结算（含：配合审计工作）至缺陷责任期满的全过程施工监理服务。监理服务内容包括：对该项目的投资控制、进度控制、质量控制、建设安全监管及文明施工的有效管理、组织协调，并进行合同管理和信息管理等</w:t>
      </w:r>
      <w:r>
        <w:rPr>
          <w:rFonts w:hint="eastAsia" w:ascii="宋体" w:hAnsi="宋体"/>
          <w:color w:val="auto"/>
          <w:szCs w:val="21"/>
          <w:highlight w:val="none"/>
        </w:rPr>
        <w:t>。</w:t>
      </w:r>
    </w:p>
    <w:p w14:paraId="00C0F0C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 监理工作内容还包括但不限于：</w:t>
      </w:r>
    </w:p>
    <w:p w14:paraId="1EA1355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ascii="宋体" w:hAnsi="宋体"/>
          <w:color w:val="auto"/>
          <w:szCs w:val="21"/>
          <w:highlight w:val="none"/>
        </w:rPr>
        <w:t>“</w:t>
      </w:r>
      <w:r>
        <w:rPr>
          <w:rFonts w:hint="eastAsia" w:ascii="宋体" w:hAnsi="宋体"/>
          <w:color w:val="auto"/>
          <w:szCs w:val="21"/>
          <w:highlight w:val="none"/>
        </w:rPr>
        <w:t>通用条件</w:t>
      </w:r>
      <w:r>
        <w:rPr>
          <w:rFonts w:ascii="宋体" w:hAnsi="宋体"/>
          <w:color w:val="auto"/>
          <w:szCs w:val="21"/>
          <w:highlight w:val="none"/>
        </w:rPr>
        <w:t>”</w:t>
      </w:r>
      <w:r>
        <w:rPr>
          <w:rFonts w:hint="eastAsia" w:ascii="宋体" w:hAnsi="宋体"/>
          <w:color w:val="auto"/>
          <w:szCs w:val="21"/>
          <w:highlight w:val="none"/>
        </w:rPr>
        <w:t>所包含的内容。</w:t>
      </w:r>
    </w:p>
    <w:p w14:paraId="0E664CD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（2）综合管理</w:t>
      </w:r>
    </w:p>
    <w:p w14:paraId="634B99E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 xml:space="preserve"> 受委托人委托全面监理承包合同履约，审查承包人拟订的区域方案和区域商资格。</w:t>
      </w:r>
    </w:p>
    <w:p w14:paraId="2752E3C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督促</w:t>
      </w:r>
      <w:r>
        <w:rPr>
          <w:rFonts w:hint="eastAsia" w:ascii="宋体" w:hAnsi="宋体"/>
          <w:color w:val="auto"/>
          <w:szCs w:val="21"/>
          <w:highlight w:val="none"/>
        </w:rPr>
        <w:t>委托人按承包合同的规定，落实必须提供的施工条件。检查承包人的开工准备工作，并在检查与审查合格后签发各单项工程的开工令。</w:t>
      </w:r>
    </w:p>
    <w:p w14:paraId="616D001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审批</w:t>
      </w:r>
      <w:r>
        <w:rPr>
          <w:rFonts w:hint="eastAsia" w:ascii="宋体" w:hAnsi="宋体"/>
          <w:color w:val="auto"/>
          <w:szCs w:val="21"/>
          <w:highlight w:val="none"/>
        </w:rPr>
        <w:t>承包人提交的采购计划、施工或安装工程组织设计、施工和设备安装工程进度计划、施工和设备安装工程技术措施计划、作业规程、试验成果、临建工程设计、主体工程施工详图、使用的原材料及试验成果等。</w:t>
      </w:r>
      <w:r>
        <w:rPr>
          <w:rFonts w:ascii="宋体" w:hAnsi="宋体"/>
          <w:color w:val="auto"/>
          <w:szCs w:val="21"/>
          <w:highlight w:val="none"/>
        </w:rPr>
        <w:t xml:space="preserve"> 签发补充的设计文件、技术规范等。</w:t>
      </w:r>
    </w:p>
    <w:p w14:paraId="195AB32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核查施工和设备安装工程</w:t>
      </w:r>
      <w:r>
        <w:rPr>
          <w:rFonts w:hint="eastAsia" w:ascii="宋体" w:hAnsi="宋体"/>
          <w:color w:val="auto"/>
          <w:szCs w:val="21"/>
          <w:highlight w:val="none"/>
        </w:rPr>
        <w:t>承包人进场施工设备的数量、种类、规格型号、设备状况是否与合同文件一致，是否能满足机电安装需要；核查劳动力进场情况及物资材料进场情况；对施工和设备安装工程承包人的组织状况、派驻现场的主要管理人员的资质和管理能力等作出评价。对上述各项中不符合施工和设备安装合同要求、不能满足施工要求者，应及时与承包人协调，要求施工和设备安装承包人采取措施限期解决，并报告委托人。</w:t>
      </w:r>
    </w:p>
    <w:p w14:paraId="2B64076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（3）工程进度控制</w:t>
      </w:r>
    </w:p>
    <w:p w14:paraId="1AFBF7B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进度控制主要应从设计、采购、施工和设备安装调试进度计划的编制、各控制性目标的确定、进度计划实施的检查监督与协调、进度的统计分析与进度计划的调整等几方面进行。</w:t>
      </w:r>
    </w:p>
    <w:p w14:paraId="6AD6CE2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内容包括</w:t>
      </w:r>
      <w:r>
        <w:rPr>
          <w:rFonts w:ascii="宋体" w:hAnsi="宋体"/>
          <w:color w:val="auto"/>
          <w:szCs w:val="21"/>
          <w:highlight w:val="none"/>
        </w:rPr>
        <w:t>(但不限于)：协助</w:t>
      </w:r>
      <w:r>
        <w:rPr>
          <w:rFonts w:hint="eastAsia" w:ascii="宋体" w:hAnsi="宋体"/>
          <w:color w:val="auto"/>
          <w:szCs w:val="21"/>
          <w:highlight w:val="none"/>
        </w:rPr>
        <w:t>委托单位</w:t>
      </w:r>
      <w:r>
        <w:rPr>
          <w:rFonts w:ascii="宋体" w:hAnsi="宋体"/>
          <w:color w:val="auto"/>
          <w:szCs w:val="21"/>
          <w:highlight w:val="none"/>
        </w:rPr>
        <w:t>对承包人编制的设计、采购、施工和设备安装调试进度计划进行审查；编制本项目的设计、采购、施工和设备安装调试控制性进度计划；对比控制性进度计划，查找实际工作进度的偏差，并责成承包人及区域人提出纠偏措施。</w:t>
      </w:r>
    </w:p>
    <w:p w14:paraId="5E920B0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（4）工程质量控制</w:t>
      </w:r>
    </w:p>
    <w:p w14:paraId="1C9FB0F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控制应依据合同文件、设计文件、技术规范与质量检验标准进行，以单元工程和工序过程为基础，通过巡视、检查、旁站、试验和验收等有效的措施和手段，对工程质量实行全面全过程质量监督和控制。内容包括</w:t>
      </w:r>
      <w:r>
        <w:rPr>
          <w:rFonts w:ascii="宋体" w:hAnsi="宋体"/>
          <w:color w:val="auto"/>
          <w:szCs w:val="21"/>
          <w:highlight w:val="none"/>
        </w:rPr>
        <w:t>(但不限于)：</w:t>
      </w:r>
    </w:p>
    <w:p w14:paraId="0BED765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对监理</w:t>
      </w:r>
      <w:r>
        <w:rPr>
          <w:rFonts w:hint="eastAsia" w:ascii="宋体" w:hAnsi="宋体"/>
          <w:color w:val="auto"/>
          <w:szCs w:val="21"/>
          <w:highlight w:val="none"/>
        </w:rPr>
        <w:t>项目的构成进行划分</w:t>
      </w:r>
      <w:r>
        <w:rPr>
          <w:rFonts w:ascii="宋体" w:hAnsi="宋体"/>
          <w:color w:val="auto"/>
          <w:szCs w:val="21"/>
          <w:highlight w:val="none"/>
        </w:rPr>
        <w:t>(单元工程、</w:t>
      </w:r>
      <w:r>
        <w:rPr>
          <w:rFonts w:hint="eastAsia" w:ascii="宋体" w:hAnsi="宋体"/>
          <w:color w:val="auto"/>
          <w:szCs w:val="21"/>
          <w:highlight w:val="none"/>
        </w:rPr>
        <w:t>分部分项</w:t>
      </w:r>
      <w:r>
        <w:rPr>
          <w:rFonts w:ascii="宋体" w:hAnsi="宋体"/>
          <w:color w:val="auto"/>
          <w:szCs w:val="21"/>
          <w:highlight w:val="none"/>
        </w:rPr>
        <w:t>工程、单位工程等)，并按</w:t>
      </w:r>
      <w:r>
        <w:rPr>
          <w:rFonts w:hint="eastAsia" w:ascii="宋体" w:hAnsi="宋体"/>
          <w:color w:val="auto"/>
          <w:szCs w:val="21"/>
          <w:highlight w:val="none"/>
        </w:rPr>
        <w:t>项目建设程序明确质量控制工作流程，分析和确定质量控制重点及其应采取的监理措施，制订质量控制的各项实施细则、规定及其它管理制度。</w:t>
      </w:r>
    </w:p>
    <w:p w14:paraId="6412FAC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核实并签发</w:t>
      </w:r>
      <w:r>
        <w:rPr>
          <w:rFonts w:hint="eastAsia" w:ascii="宋体" w:hAnsi="宋体"/>
          <w:color w:val="auto"/>
          <w:szCs w:val="21"/>
          <w:highlight w:val="none"/>
        </w:rPr>
        <w:t>采购、施工和设备安装调试必须遵循的设计要求、采用的技术标准、技术规程规范等质量文件；审核签发设备和工程施工图纸。</w:t>
      </w:r>
    </w:p>
    <w:p w14:paraId="2381D84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审查</w:t>
      </w:r>
      <w:r>
        <w:rPr>
          <w:rFonts w:hint="eastAsia" w:ascii="宋体" w:hAnsi="宋体"/>
          <w:color w:val="auto"/>
          <w:szCs w:val="21"/>
          <w:highlight w:val="none"/>
        </w:rPr>
        <w:t>承包人、供货商、施工和设备安装工程区域人的质量管理体系文件和质量措施，督促其质量管理体系的正常运作。</w:t>
      </w:r>
    </w:p>
    <w:p w14:paraId="1FAC39C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w:t>
      </w:r>
      <w:r>
        <w:rPr>
          <w:rFonts w:ascii="宋体" w:hAnsi="宋体"/>
          <w:color w:val="auto"/>
          <w:szCs w:val="21"/>
          <w:highlight w:val="none"/>
        </w:rPr>
        <w:t>审查工程</w:t>
      </w:r>
      <w:r>
        <w:rPr>
          <w:rFonts w:hint="eastAsia" w:ascii="宋体" w:hAnsi="宋体"/>
          <w:color w:val="auto"/>
          <w:szCs w:val="21"/>
          <w:highlight w:val="none"/>
        </w:rPr>
        <w:t>承包人提交的测量实施报告，其内容应包括测量人员资质、测量仪器及其它设备配备、测量工作规程、合同项目施测方案、测点保护等；审查工程总承包人引伸的测量控制网点测量成果及关键部位施工测量放样放点成果，并进行必要的复测。</w:t>
      </w:r>
    </w:p>
    <w:p w14:paraId="5126B75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 xml:space="preserve"> </w:t>
      </w:r>
      <w:r>
        <w:rPr>
          <w:rFonts w:ascii="宋体" w:hAnsi="宋体"/>
          <w:color w:val="auto"/>
          <w:szCs w:val="21"/>
          <w:highlight w:val="none"/>
        </w:rPr>
        <w:t>审查进场</w:t>
      </w:r>
      <w:r>
        <w:rPr>
          <w:rFonts w:hint="eastAsia" w:ascii="宋体" w:hAnsi="宋体"/>
          <w:color w:val="auto"/>
          <w:szCs w:val="21"/>
          <w:highlight w:val="none"/>
        </w:rPr>
        <w:t>设备、材料的质量证明文件及相关分承包人按有关规定进行的试验检测结果。</w:t>
      </w:r>
      <w:r>
        <w:rPr>
          <w:rFonts w:ascii="宋体" w:hAnsi="宋体"/>
          <w:color w:val="auto"/>
          <w:szCs w:val="21"/>
          <w:highlight w:val="none"/>
        </w:rPr>
        <w:t>不符合合同要求及国家有关规定的</w:t>
      </w:r>
      <w:r>
        <w:rPr>
          <w:rFonts w:hint="eastAsia" w:ascii="宋体" w:hAnsi="宋体"/>
          <w:color w:val="auto"/>
          <w:szCs w:val="21"/>
          <w:highlight w:val="none"/>
        </w:rPr>
        <w:t>设备、材料及其半成品不得投入施工和安装，且应限期清理出场。</w:t>
      </w:r>
    </w:p>
    <w:p w14:paraId="59FE08F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检查施工和设备安装前的其它各项准备工作是否完备(如图纸供应、水电供应、道路、场地、施工组织、施工设备以及其它环境影响因素)，尽力避免可能影响</w:t>
      </w:r>
      <w:r>
        <w:rPr>
          <w:rFonts w:hint="eastAsia" w:ascii="宋体" w:hAnsi="宋体"/>
          <w:color w:val="auto"/>
          <w:szCs w:val="21"/>
          <w:highlight w:val="none"/>
        </w:rPr>
        <w:t>工程质量的问题发生。</w:t>
      </w:r>
    </w:p>
    <w:p w14:paraId="47CD25E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对施工和安装质量进行全过程全面的监督管理，在加强现场管理工作的前提下对关键部位、关键施工工序、特殊工序、关键设备和隐蔽工程的施工必须实行旁站监理，对发现的可能影响</w:t>
      </w:r>
      <w:r>
        <w:rPr>
          <w:rFonts w:hint="eastAsia" w:ascii="宋体" w:hAnsi="宋体"/>
          <w:color w:val="auto"/>
          <w:szCs w:val="21"/>
          <w:highlight w:val="none"/>
        </w:rPr>
        <w:t>工程质量的问题及时指令承包人采取措施解决，必要时发出停工、返工的指令。</w:t>
      </w:r>
    </w:p>
    <w:p w14:paraId="387446F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充分运用监理的质量检查签证的控制手段，对施工和设备安装项目及时进行逐层次的逐项的</w:t>
      </w:r>
      <w:r>
        <w:rPr>
          <w:rFonts w:hint="eastAsia" w:ascii="宋体" w:hAnsi="宋体"/>
          <w:color w:val="auto"/>
          <w:szCs w:val="21"/>
          <w:highlight w:val="none"/>
        </w:rPr>
        <w:t>施工、安装质量认证和质量评定工作。及时组织进行隐蔽工程、重要部位、重要工序的质量检查验收和签证工作以及部分工程的检查验收工作。</w:t>
      </w:r>
    </w:p>
    <w:p w14:paraId="0A327CF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9）监理人依据相关规范对施工承包人施工过程的材料、成品、半成品、工艺、工序等进行的抽样检查试验，且抽样频率不低于承包人自检频率的15%；监理人对承包人的抽检资料独立于承包人自检。</w:t>
      </w:r>
    </w:p>
    <w:p w14:paraId="6FBB7E1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做好监理日志，随时记录施工中有关质量方面的问题，并对发生质量问题的施工现场及时拍照或录相。</w:t>
      </w:r>
      <w:r>
        <w:rPr>
          <w:rFonts w:hint="eastAsia" w:ascii="宋体" w:hAnsi="宋体"/>
          <w:color w:val="auto"/>
          <w:szCs w:val="21"/>
          <w:highlight w:val="none"/>
        </w:rPr>
        <w:t>对</w:t>
      </w:r>
      <w:r>
        <w:rPr>
          <w:rFonts w:ascii="宋体" w:hAnsi="宋体"/>
          <w:color w:val="auto"/>
          <w:szCs w:val="21"/>
          <w:highlight w:val="none"/>
        </w:rPr>
        <w:t>关键部位、关键施工工序、特殊工序、关键设备和隐蔽工程</w:t>
      </w:r>
      <w:r>
        <w:rPr>
          <w:rFonts w:hint="eastAsia" w:ascii="宋体" w:hAnsi="宋体"/>
          <w:color w:val="auto"/>
          <w:szCs w:val="21"/>
          <w:highlight w:val="none"/>
        </w:rPr>
        <w:t>检查、验收时，应进行拍照和录像，其影像资料随监理日志按月报于委托单位。</w:t>
      </w:r>
    </w:p>
    <w:p w14:paraId="7AB0001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组织并主持定期或不定期的质量检查和质量分析会，分析、通报施工和设备</w:t>
      </w:r>
      <w:r>
        <w:rPr>
          <w:rFonts w:hint="eastAsia" w:ascii="宋体" w:hAnsi="宋体"/>
          <w:color w:val="auto"/>
          <w:szCs w:val="21"/>
          <w:highlight w:val="none"/>
        </w:rPr>
        <w:t>制安质量情况，协调有关单位间的施工活动以消除影响质量的各种外部干扰因素。</w:t>
      </w:r>
    </w:p>
    <w:p w14:paraId="3F14BE1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代表或协助</w:t>
      </w:r>
      <w:r>
        <w:rPr>
          <w:rFonts w:hint="eastAsia" w:ascii="宋体" w:hAnsi="宋体"/>
          <w:color w:val="auto"/>
          <w:szCs w:val="21"/>
          <w:highlight w:val="none"/>
        </w:rPr>
        <w:t>委托人组织进行中间验收、分部分项工程验收，监理人应做好验收前的各项具体准备工作。</w:t>
      </w:r>
    </w:p>
    <w:p w14:paraId="0690695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 审查工程</w:t>
      </w:r>
      <w:r>
        <w:rPr>
          <w:rFonts w:hint="eastAsia" w:ascii="宋体" w:hAnsi="宋体"/>
          <w:color w:val="auto"/>
          <w:szCs w:val="21"/>
          <w:highlight w:val="none"/>
        </w:rPr>
        <w:t>承包人提交的质量事故报告；对质量事故进行调查、提出处理意见，并监督事故的处理。</w:t>
      </w:r>
    </w:p>
    <w:p w14:paraId="13655C5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对工程质量进行经常性的分析，并定期提出工程质量报告和按规定格式编制工程质量统计报表(年、季、月)报</w:t>
      </w:r>
      <w:r>
        <w:rPr>
          <w:rFonts w:hint="eastAsia" w:ascii="宋体" w:hAnsi="宋体"/>
          <w:color w:val="auto"/>
          <w:szCs w:val="21"/>
          <w:highlight w:val="none"/>
        </w:rPr>
        <w:t>业主。</w:t>
      </w:r>
    </w:p>
    <w:p w14:paraId="37E2824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（5）工程造价控制</w:t>
      </w:r>
    </w:p>
    <w:p w14:paraId="41FA020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监理人应配备专职的造价控制监理工程师，对承包合同费用、工程造价进行有效的控制。内容包括</w:t>
      </w:r>
      <w:r>
        <w:rPr>
          <w:rFonts w:ascii="宋体" w:hAnsi="宋体"/>
          <w:color w:val="auto"/>
          <w:szCs w:val="21"/>
          <w:highlight w:val="none"/>
        </w:rPr>
        <w:t>(但不限于)：</w:t>
      </w:r>
    </w:p>
    <w:p w14:paraId="159F723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协助</w:t>
      </w:r>
      <w:r>
        <w:rPr>
          <w:rFonts w:hint="eastAsia" w:ascii="宋体" w:hAnsi="宋体"/>
          <w:color w:val="auto"/>
          <w:szCs w:val="21"/>
          <w:highlight w:val="none"/>
        </w:rPr>
        <w:t>委托人监督、审核承包人编制的投资控制目标和分年度投资计划。编制监理工程项目以及各合同项目的投资控制目标，各年度、季度和月份的合理投资计划。审查承包人提交的资金流计划。</w:t>
      </w:r>
    </w:p>
    <w:p w14:paraId="0F48FB1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对工程计量进行审核，实现对工程量总量的控制和阶段性的控制。</w:t>
      </w:r>
    </w:p>
    <w:p w14:paraId="5DB3826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协助承包人审核各分承包人上报的申请结算工程量及工程费用等，并提供审核意见在支付凭证上签名。</w:t>
      </w:r>
    </w:p>
    <w:p w14:paraId="44BFA84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w:t>
      </w:r>
      <w:r>
        <w:rPr>
          <w:rFonts w:ascii="宋体" w:hAnsi="宋体"/>
          <w:color w:val="auto"/>
          <w:szCs w:val="21"/>
          <w:highlight w:val="none"/>
        </w:rPr>
        <w:t>为控制和减少索赔事件的发生，监理人应对</w:t>
      </w:r>
      <w:r>
        <w:rPr>
          <w:rFonts w:hint="eastAsia" w:ascii="宋体" w:hAnsi="宋体"/>
          <w:color w:val="auto"/>
          <w:szCs w:val="21"/>
          <w:highlight w:val="none"/>
        </w:rPr>
        <w:t>合同的履行进行检查监督和经常性分析，及时发现和预测可能引起索赔的条件及事项，并采取措施尽力避免索赔事件的发生；对工程实施情况做好记录以备索赔要求提出后核查；索赔事件发生后应采取有效措施，尽力避免索赔事件的扩大和延伸；受理并公正处理索赔，提出处理意见，组织各方进行协商，做好调解协调工作。</w:t>
      </w:r>
    </w:p>
    <w:p w14:paraId="6FD2665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 xml:space="preserve"> </w:t>
      </w:r>
      <w:r>
        <w:rPr>
          <w:rFonts w:ascii="宋体" w:hAnsi="宋体"/>
          <w:color w:val="auto"/>
          <w:szCs w:val="21"/>
          <w:highlight w:val="none"/>
        </w:rPr>
        <w:t>依据</w:t>
      </w:r>
      <w:r>
        <w:rPr>
          <w:rFonts w:hint="eastAsia" w:ascii="宋体" w:hAnsi="宋体"/>
          <w:color w:val="auto"/>
          <w:szCs w:val="21"/>
          <w:highlight w:val="none"/>
        </w:rPr>
        <w:t>委托人授权审核各类工程变更</w:t>
      </w:r>
      <w:r>
        <w:rPr>
          <w:rFonts w:ascii="宋体" w:hAnsi="宋体"/>
          <w:color w:val="auto"/>
          <w:szCs w:val="21"/>
          <w:highlight w:val="none"/>
        </w:rPr>
        <w:t>(合同变更及设计修改、设计变更等)，并提出处理意见，报</w:t>
      </w:r>
      <w:r>
        <w:rPr>
          <w:rFonts w:hint="eastAsia" w:ascii="宋体" w:hAnsi="宋体"/>
          <w:color w:val="auto"/>
          <w:szCs w:val="21"/>
          <w:highlight w:val="none"/>
        </w:rPr>
        <w:t>委托人批准后下达变更指令。</w:t>
      </w:r>
    </w:p>
    <w:p w14:paraId="087F39F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 xml:space="preserve"> </w:t>
      </w:r>
      <w:r>
        <w:rPr>
          <w:rFonts w:ascii="宋体" w:hAnsi="宋体"/>
          <w:color w:val="auto"/>
          <w:szCs w:val="21"/>
          <w:highlight w:val="none"/>
        </w:rPr>
        <w:t>对</w:t>
      </w:r>
      <w:r>
        <w:rPr>
          <w:rFonts w:hint="eastAsia" w:ascii="宋体" w:hAnsi="宋体"/>
          <w:color w:val="auto"/>
          <w:szCs w:val="21"/>
          <w:highlight w:val="none"/>
        </w:rPr>
        <w:t>采购、施工和设备安装合同费用支付与已完工程量、工程形象进行综合分析，编制每月、季、年的工程量和投资统计报表报业主。按工程进展情况和资金到位的可能情况，进行经常性的工程费用分析，必要时提出投资计划调整、修改和采取相应措施的处理意见上报委托人。</w:t>
      </w:r>
    </w:p>
    <w:p w14:paraId="502A8C6F">
      <w:pPr>
        <w:overflowPunct w:val="0"/>
        <w:autoSpaceDE w:val="0"/>
        <w:autoSpaceDN w:val="0"/>
        <w:adjustRightInd w:val="0"/>
        <w:snapToGrid w:val="0"/>
        <w:spacing w:line="360" w:lineRule="auto"/>
        <w:ind w:left="210" w:leftChars="100" w:firstLine="210" w:firstLineChars="1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 xml:space="preserve"> 参与</w:t>
      </w:r>
      <w:r>
        <w:rPr>
          <w:rFonts w:ascii="宋体" w:hAnsi="宋体"/>
          <w:color w:val="auto"/>
          <w:szCs w:val="21"/>
          <w:highlight w:val="none"/>
        </w:rPr>
        <w:t>对</w:t>
      </w:r>
      <w:r>
        <w:rPr>
          <w:rFonts w:hint="eastAsia" w:ascii="宋体" w:hAnsi="宋体"/>
          <w:color w:val="auto"/>
          <w:szCs w:val="21"/>
          <w:highlight w:val="none"/>
        </w:rPr>
        <w:t>承包商申报的各种材料设备结算价格审核,审定材料设备质量与价格相符,并提供审查意见。</w:t>
      </w:r>
    </w:p>
    <w:p w14:paraId="6140B493">
      <w:pPr>
        <w:overflowPunct w:val="0"/>
        <w:autoSpaceDE w:val="0"/>
        <w:autoSpaceDN w:val="0"/>
        <w:adjustRightInd w:val="0"/>
        <w:snapToGrid w:val="0"/>
        <w:spacing w:line="360" w:lineRule="auto"/>
        <w:ind w:left="210" w:leftChars="100" w:firstLine="210" w:firstLineChars="100"/>
        <w:rPr>
          <w:rFonts w:ascii="宋体" w:hAnsi="宋体"/>
          <w:color w:val="auto"/>
          <w:szCs w:val="21"/>
          <w:highlight w:val="none"/>
        </w:rPr>
      </w:pPr>
      <w:r>
        <w:rPr>
          <w:rFonts w:hint="eastAsia" w:ascii="宋体" w:hAnsi="宋体"/>
          <w:color w:val="auto"/>
          <w:szCs w:val="21"/>
          <w:highlight w:val="none"/>
        </w:rPr>
        <w:t>（6） 工程安全监督</w:t>
      </w:r>
    </w:p>
    <w:p w14:paraId="066EE52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监理人在安全监督管理工作中必须坚持“安全第一、预防为主”的原则，通过对勘测、采购、施工和设备安装调试中各种不安全因素的分析和预控制，避免安全事故的发生。内容包括</w:t>
      </w:r>
      <w:r>
        <w:rPr>
          <w:rFonts w:ascii="宋体" w:hAnsi="宋体"/>
          <w:color w:val="auto"/>
          <w:szCs w:val="21"/>
          <w:highlight w:val="none"/>
        </w:rPr>
        <w:t xml:space="preserve">(但不限于)： </w:t>
      </w:r>
    </w:p>
    <w:p w14:paraId="1414261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监理人必须配备专职有安全监督资质的监理工程师进行</w:t>
      </w:r>
      <w:r>
        <w:rPr>
          <w:rFonts w:hint="eastAsia" w:ascii="宋体" w:hAnsi="宋体"/>
          <w:color w:val="auto"/>
          <w:szCs w:val="21"/>
          <w:highlight w:val="none"/>
        </w:rPr>
        <w:t>工程安全监督工作。</w:t>
      </w:r>
    </w:p>
    <w:p w14:paraId="777CBDA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检查督促工程</w:t>
      </w:r>
      <w:r>
        <w:rPr>
          <w:rFonts w:hint="eastAsia" w:ascii="宋体" w:hAnsi="宋体"/>
          <w:color w:val="auto"/>
          <w:szCs w:val="21"/>
          <w:highlight w:val="none"/>
        </w:rPr>
        <w:t>承包人建立健全安全管理制度，督促工程承包人认真执行国家及有关部门颁发的安全生产法规、规定和总承包合同对安全生产的规定。</w:t>
      </w:r>
    </w:p>
    <w:p w14:paraId="108AB02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对施工生产及安全设施进行经常性的检查监督(定期与不定期)，对违反安全生产规定的施工及时指令整改。</w:t>
      </w:r>
    </w:p>
    <w:p w14:paraId="76E4886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检查督促工程</w:t>
      </w:r>
      <w:r>
        <w:rPr>
          <w:rFonts w:hint="eastAsia" w:ascii="宋体" w:hAnsi="宋体"/>
          <w:color w:val="auto"/>
          <w:szCs w:val="21"/>
          <w:highlight w:val="none"/>
        </w:rPr>
        <w:t>承包人按照合同规定和国家标准规定做好劳动保护、环境保护及水土保持工作，并将情况定期向业主提交专题报告。</w:t>
      </w:r>
    </w:p>
    <w:p w14:paraId="0A23A7E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定期组织安全生产检查活动和安全生产评比表彰活动。做好监理合同内施工和设备安装的安全生产协调工作，协助</w:t>
      </w:r>
      <w:r>
        <w:rPr>
          <w:rFonts w:hint="eastAsia" w:ascii="宋体" w:hAnsi="宋体"/>
          <w:color w:val="auto"/>
          <w:szCs w:val="21"/>
          <w:highlight w:val="none"/>
        </w:rPr>
        <w:t>委托人做好各施工和设备安装合同间的安全生产协调工作。</w:t>
      </w:r>
    </w:p>
    <w:p w14:paraId="5125C66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提供事故分析所需的一切资料，参加安全事故的调查分析，审查工程</w:t>
      </w:r>
      <w:r>
        <w:rPr>
          <w:rFonts w:hint="eastAsia" w:ascii="宋体" w:hAnsi="宋体"/>
          <w:color w:val="auto"/>
          <w:szCs w:val="21"/>
          <w:highlight w:val="none"/>
        </w:rPr>
        <w:t>承包人的安全事故报告及安全报表，监督工程承包人对安全事故的处理。</w:t>
      </w:r>
    </w:p>
    <w:p w14:paraId="7DDF91C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定期(每月)向</w:t>
      </w:r>
      <w:r>
        <w:rPr>
          <w:rFonts w:hint="eastAsia" w:ascii="宋体" w:hAnsi="宋体"/>
          <w:color w:val="auto"/>
          <w:szCs w:val="21"/>
          <w:highlight w:val="none"/>
        </w:rPr>
        <w:t>业主报告安全生产情况，并按规定编制监理工程项目的安全生产统计报表。对重大安全事故的处理必须及时向业主报告。</w:t>
      </w:r>
    </w:p>
    <w:p w14:paraId="4154E24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 组织协调</w:t>
      </w:r>
    </w:p>
    <w:p w14:paraId="276F6B7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监理人应通过沟通、调解和与监理工程项目建设直接有关的各方关系，使工程项目建设各方及其建设活动协调一致，以实现承包合同预定的目标。内容包括</w:t>
      </w:r>
      <w:r>
        <w:rPr>
          <w:rFonts w:ascii="宋体" w:hAnsi="宋体"/>
          <w:color w:val="auto"/>
          <w:szCs w:val="21"/>
          <w:highlight w:val="none"/>
        </w:rPr>
        <w:t>(但不限于)：</w:t>
      </w:r>
    </w:p>
    <w:p w14:paraId="74B9327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以实现总进度计划和承包合同工期为目标，做好各</w:t>
      </w:r>
      <w:r>
        <w:rPr>
          <w:rFonts w:hint="eastAsia" w:ascii="宋体" w:hAnsi="宋体"/>
          <w:color w:val="auto"/>
          <w:szCs w:val="21"/>
          <w:highlight w:val="none"/>
        </w:rPr>
        <w:t>设计、采购、施工和设备安装调试合同项目间的进度协调。</w:t>
      </w:r>
    </w:p>
    <w:p w14:paraId="55C32A6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以监理工程项目的施工总布置为依据，控制协调好各工程施工、安装合同项目的施工布置，控制协调好各施工和设备安装工程</w:t>
      </w:r>
      <w:r>
        <w:rPr>
          <w:rFonts w:hint="eastAsia" w:ascii="宋体" w:hAnsi="宋体"/>
          <w:color w:val="auto"/>
          <w:szCs w:val="21"/>
          <w:highlight w:val="none"/>
        </w:rPr>
        <w:t>分承包人对施工场地、施工道路的使用。</w:t>
      </w:r>
    </w:p>
    <w:p w14:paraId="3EE0693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组织与主持定期与不定期的工地协调会议，编写各有关问题的协调处理意见及各种协调会议的纪要。</w:t>
      </w:r>
    </w:p>
    <w:p w14:paraId="282887E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（8）其它</w:t>
      </w:r>
    </w:p>
    <w:p w14:paraId="3FDF660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信息管理：做好施工现场监理记录与信息反馈。按本合同附件要求编制监理月、季、年报，对工程资料及档案按期进行整编和管理，并在工程竣工验收或监理服务期结束后移交业主。</w:t>
      </w:r>
      <w:r>
        <w:rPr>
          <w:rFonts w:ascii="宋体" w:hAnsi="宋体"/>
          <w:color w:val="auto"/>
          <w:szCs w:val="21"/>
          <w:highlight w:val="none"/>
        </w:rPr>
        <w:t xml:space="preserve"> </w:t>
      </w:r>
    </w:p>
    <w:p w14:paraId="270DB89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协助</w:t>
      </w:r>
      <w:r>
        <w:rPr>
          <w:rFonts w:hint="eastAsia" w:ascii="宋体" w:hAnsi="宋体"/>
          <w:color w:val="auto"/>
          <w:szCs w:val="21"/>
          <w:highlight w:val="none"/>
        </w:rPr>
        <w:t>委托人按有关规定进行工程各阶段验收、单位工程验收及竣工验收，提交相应的工程监理资料，审查总承包人编制的竣工图纸和资料。督促建设工程办理竣工验收及其备案手续。</w:t>
      </w:r>
    </w:p>
    <w:p w14:paraId="0208A08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监理人应配合参加国家有关部门对工程质量安全鉴定工作，并提供相关资料。</w:t>
      </w:r>
    </w:p>
    <w:p w14:paraId="5FFDC35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w:t>
      </w:r>
      <w:r>
        <w:rPr>
          <w:rFonts w:ascii="宋体" w:hAnsi="宋体"/>
          <w:color w:val="auto"/>
          <w:szCs w:val="21"/>
          <w:highlight w:val="none"/>
        </w:rPr>
        <w:t>配合</w:t>
      </w:r>
      <w:r>
        <w:rPr>
          <w:rFonts w:hint="eastAsia" w:ascii="宋体" w:hAnsi="宋体"/>
          <w:color w:val="auto"/>
          <w:szCs w:val="21"/>
          <w:highlight w:val="none"/>
        </w:rPr>
        <w:t>委托人聘请的咨询专家工作并提供有关资料与文件；</w:t>
      </w:r>
    </w:p>
    <w:p w14:paraId="5B87730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 xml:space="preserve"> </w:t>
      </w:r>
      <w:r>
        <w:rPr>
          <w:rFonts w:ascii="宋体" w:hAnsi="宋体"/>
          <w:color w:val="auto"/>
          <w:szCs w:val="21"/>
          <w:highlight w:val="none"/>
        </w:rPr>
        <w:t>对监理合同项目有关的咨询专家建议、意见进行分析研究，并作出相应的书面意见。</w:t>
      </w:r>
    </w:p>
    <w:p w14:paraId="49ABECC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 监理与相关服务依据</w:t>
      </w:r>
    </w:p>
    <w:p w14:paraId="147A8C4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监理依据包括：</w:t>
      </w:r>
      <w:r>
        <w:rPr>
          <w:rFonts w:hint="eastAsia" w:ascii="宋体" w:hAnsi="宋体"/>
          <w:color w:val="auto"/>
          <w:szCs w:val="21"/>
          <w:highlight w:val="none"/>
          <w:u w:val="single"/>
        </w:rPr>
        <w:t>同</w:t>
      </w:r>
      <w:r>
        <w:rPr>
          <w:rFonts w:ascii="宋体" w:hAnsi="宋体"/>
          <w:color w:val="auto"/>
          <w:szCs w:val="21"/>
          <w:highlight w:val="none"/>
          <w:u w:val="single"/>
        </w:rPr>
        <w:t>“</w:t>
      </w:r>
      <w:r>
        <w:rPr>
          <w:rFonts w:hint="eastAsia" w:ascii="宋体" w:hAnsi="宋体"/>
          <w:color w:val="auto"/>
          <w:szCs w:val="21"/>
          <w:highlight w:val="none"/>
          <w:u w:val="single"/>
        </w:rPr>
        <w:t>通用条件</w:t>
      </w:r>
      <w:r>
        <w:rPr>
          <w:rFonts w:ascii="宋体" w:hAnsi="宋体"/>
          <w:color w:val="auto"/>
          <w:szCs w:val="21"/>
          <w:highlight w:val="none"/>
          <w:u w:val="single"/>
        </w:rPr>
        <w:t>”</w:t>
      </w:r>
      <w:r>
        <w:rPr>
          <w:rFonts w:hint="eastAsia" w:ascii="宋体" w:hAnsi="宋体"/>
          <w:color w:val="auto"/>
          <w:szCs w:val="21"/>
          <w:highlight w:val="none"/>
          <w:u w:val="single"/>
        </w:rPr>
        <w:t xml:space="preserve">2.2.1 </w:t>
      </w:r>
      <w:r>
        <w:rPr>
          <w:rFonts w:hint="eastAsia" w:ascii="宋体" w:hAnsi="宋体"/>
          <w:color w:val="auto"/>
          <w:szCs w:val="21"/>
          <w:highlight w:val="none"/>
        </w:rPr>
        <w:t>。</w:t>
      </w:r>
    </w:p>
    <w:p w14:paraId="1D5EB88A">
      <w:pPr>
        <w:overflowPunct w:val="0"/>
        <w:autoSpaceDE w:val="0"/>
        <w:autoSpaceDN w:val="0"/>
        <w:adjustRightInd w:val="0"/>
        <w:snapToGrid w:val="0"/>
        <w:spacing w:line="360" w:lineRule="auto"/>
        <w:ind w:firstLine="420" w:firstLineChars="200"/>
        <w:rPr>
          <w:rFonts w:ascii="宋体" w:hAnsi="宋体"/>
          <w:dstrike/>
          <w:color w:val="auto"/>
          <w:szCs w:val="21"/>
          <w:highlight w:val="none"/>
        </w:rPr>
      </w:pPr>
      <w:r>
        <w:rPr>
          <w:rFonts w:hint="eastAsia" w:ascii="宋体" w:hAnsi="宋体"/>
          <w:color w:val="auto"/>
          <w:szCs w:val="21"/>
          <w:highlight w:val="none"/>
        </w:rPr>
        <w:t>2.2.2 相关服务依据包括：</w:t>
      </w:r>
      <w:r>
        <w:rPr>
          <w:rFonts w:hint="eastAsia" w:ascii="宋体" w:hAnsi="宋体"/>
          <w:color w:val="auto"/>
          <w:szCs w:val="21"/>
          <w:highlight w:val="none"/>
          <w:u w:val="single"/>
        </w:rPr>
        <w:t>同</w:t>
      </w:r>
      <w:r>
        <w:rPr>
          <w:rFonts w:ascii="宋体" w:hAnsi="宋体"/>
          <w:color w:val="auto"/>
          <w:szCs w:val="21"/>
          <w:highlight w:val="none"/>
          <w:u w:val="single"/>
        </w:rPr>
        <w:t>“</w:t>
      </w:r>
      <w:r>
        <w:rPr>
          <w:rFonts w:hint="eastAsia" w:ascii="宋体" w:hAnsi="宋体"/>
          <w:color w:val="auto"/>
          <w:szCs w:val="21"/>
          <w:highlight w:val="none"/>
          <w:u w:val="single"/>
        </w:rPr>
        <w:t>通用条件</w:t>
      </w:r>
      <w:r>
        <w:rPr>
          <w:rFonts w:ascii="宋体" w:hAnsi="宋体"/>
          <w:color w:val="auto"/>
          <w:szCs w:val="21"/>
          <w:highlight w:val="none"/>
          <w:u w:val="single"/>
        </w:rPr>
        <w:t>”</w:t>
      </w:r>
      <w:r>
        <w:rPr>
          <w:rFonts w:hint="eastAsia" w:ascii="宋体" w:hAnsi="宋体"/>
          <w:color w:val="auto"/>
          <w:szCs w:val="21"/>
          <w:highlight w:val="none"/>
          <w:u w:val="single"/>
        </w:rPr>
        <w:t xml:space="preserve">2.2.1 </w:t>
      </w:r>
      <w:r>
        <w:rPr>
          <w:rFonts w:hint="eastAsia" w:ascii="宋体" w:hAnsi="宋体"/>
          <w:color w:val="auto"/>
          <w:szCs w:val="21"/>
          <w:highlight w:val="none"/>
        </w:rPr>
        <w:t>。</w:t>
      </w:r>
    </w:p>
    <w:p w14:paraId="319858F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w:t>
      </w:r>
      <w:r>
        <w:rPr>
          <w:rFonts w:hint="eastAsia" w:ascii="宋体" w:hAnsi="宋体" w:cs="宋体"/>
          <w:color w:val="auto"/>
          <w:kern w:val="0"/>
          <w:szCs w:val="21"/>
          <w:highlight w:val="none"/>
        </w:rPr>
        <w:t>项目监理机构和人员</w:t>
      </w:r>
    </w:p>
    <w:p w14:paraId="47DFE38E">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kern w:val="0"/>
          <w:szCs w:val="21"/>
          <w:highlight w:val="none"/>
        </w:rPr>
        <w:t>2.3.3监理人更换总监理工程师时，应提前</w:t>
      </w:r>
      <w:r>
        <w:rPr>
          <w:rFonts w:hint="eastAsia" w:ascii="宋体" w:hAnsi="宋体"/>
          <w:b/>
          <w:color w:val="auto"/>
          <w:kern w:val="0"/>
          <w:szCs w:val="21"/>
          <w:highlight w:val="none"/>
          <w:u w:val="single"/>
        </w:rPr>
        <w:t>7</w:t>
      </w:r>
      <w:r>
        <w:rPr>
          <w:rFonts w:hint="eastAsia" w:ascii="宋体" w:hAnsi="宋体"/>
          <w:color w:val="auto"/>
          <w:kern w:val="0"/>
          <w:szCs w:val="21"/>
          <w:highlight w:val="none"/>
        </w:rPr>
        <w:t>天向委托人书面报告，经委托人同意并按照</w:t>
      </w:r>
      <w:r>
        <w:rPr>
          <w:rFonts w:hint="eastAsia" w:ascii="宋体" w:hAnsi="宋体"/>
          <w:color w:val="auto"/>
          <w:kern w:val="0"/>
          <w:szCs w:val="21"/>
          <w:highlight w:val="none"/>
          <w:u w:val="single"/>
        </w:rPr>
        <w:t xml:space="preserve"> 附录3 </w:t>
      </w:r>
      <w:r>
        <w:rPr>
          <w:rFonts w:hint="eastAsia" w:ascii="宋体" w:hAnsi="宋体"/>
          <w:color w:val="auto"/>
          <w:kern w:val="0"/>
          <w:szCs w:val="21"/>
          <w:highlight w:val="none"/>
        </w:rPr>
        <w:t>承担违约金后方可更换。监理人更换项目监理机构其他监理人员，应以相当资格与能力的人员替换，并委托人同意。</w:t>
      </w:r>
    </w:p>
    <w:p w14:paraId="6DD41B9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2.3.4 </w:t>
      </w:r>
      <w:r>
        <w:rPr>
          <w:rFonts w:hint="eastAsia" w:ascii="宋体" w:hAnsi="宋体"/>
          <w:color w:val="auto"/>
          <w:kern w:val="0"/>
          <w:szCs w:val="21"/>
          <w:highlight w:val="none"/>
        </w:rPr>
        <w:t>更换监理人员的其他情形：</w:t>
      </w:r>
      <w:r>
        <w:rPr>
          <w:rFonts w:hint="eastAsia" w:ascii="宋体" w:hAnsi="宋体"/>
          <w:color w:val="auto"/>
          <w:kern w:val="0"/>
          <w:szCs w:val="21"/>
          <w:highlight w:val="none"/>
          <w:u w:val="single"/>
        </w:rPr>
        <w:t xml:space="preserve">离职、丧失职业能力（提供委托人认可的证明材料）  </w:t>
      </w:r>
      <w:r>
        <w:rPr>
          <w:rFonts w:hint="eastAsia" w:ascii="宋体" w:hAnsi="宋体"/>
          <w:color w:val="auto"/>
          <w:kern w:val="0"/>
          <w:szCs w:val="21"/>
          <w:highlight w:val="none"/>
        </w:rPr>
        <w:t>。</w:t>
      </w:r>
    </w:p>
    <w:p w14:paraId="37E3826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2.4 </w:t>
      </w:r>
      <w:r>
        <w:rPr>
          <w:rFonts w:hint="eastAsia" w:ascii="宋体" w:hAnsi="宋体" w:cs="宋体"/>
          <w:color w:val="auto"/>
          <w:kern w:val="0"/>
          <w:szCs w:val="21"/>
          <w:highlight w:val="none"/>
        </w:rPr>
        <w:t>履行职责</w:t>
      </w:r>
    </w:p>
    <w:p w14:paraId="70D4B64E">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2.4.3 对监理人的授权范围：</w:t>
      </w:r>
      <w:r>
        <w:rPr>
          <w:rFonts w:hint="eastAsia" w:ascii="宋体" w:hAnsi="宋体"/>
          <w:color w:val="auto"/>
          <w:szCs w:val="21"/>
          <w:highlight w:val="none"/>
          <w:u w:val="single"/>
        </w:rPr>
        <w:t xml:space="preserve">  本工程施工阶段的全过程监理工作：质量、进度、投资控制；合同和信息管理；施工现场协调；履行建设工程安全生产管理法定职责。 </w:t>
      </w:r>
    </w:p>
    <w:p w14:paraId="42C77EB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2.4.4 监理人有权要求承包人调换其人员</w:t>
      </w:r>
      <w:r>
        <w:rPr>
          <w:rFonts w:hint="eastAsia" w:ascii="宋体" w:hAnsi="宋体"/>
          <w:color w:val="auto"/>
          <w:szCs w:val="21"/>
          <w:highlight w:val="none"/>
        </w:rPr>
        <w:t>的限制条件：</w:t>
      </w:r>
      <w:r>
        <w:rPr>
          <w:rFonts w:hint="eastAsia" w:ascii="宋体" w:hAnsi="宋体"/>
          <w:color w:val="auto"/>
          <w:szCs w:val="21"/>
          <w:highlight w:val="none"/>
          <w:u w:val="single"/>
        </w:rPr>
        <w:t xml:space="preserve"> 经委托人同意 </w:t>
      </w:r>
      <w:r>
        <w:rPr>
          <w:rFonts w:hint="eastAsia" w:ascii="宋体" w:hAnsi="宋体"/>
          <w:color w:val="auto"/>
          <w:szCs w:val="21"/>
          <w:highlight w:val="none"/>
        </w:rPr>
        <w:t xml:space="preserve">。  </w:t>
      </w:r>
    </w:p>
    <w:p w14:paraId="151640A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2.5 </w:t>
      </w:r>
      <w:r>
        <w:rPr>
          <w:rFonts w:hint="eastAsia" w:ascii="宋体" w:hAnsi="宋体"/>
          <w:color w:val="auto"/>
          <w:szCs w:val="21"/>
          <w:highlight w:val="none"/>
        </w:rPr>
        <w:t>提交</w:t>
      </w:r>
      <w:r>
        <w:rPr>
          <w:rFonts w:hint="eastAsia" w:ascii="宋体" w:hAnsi="宋体" w:cs="宋体"/>
          <w:color w:val="auto"/>
          <w:kern w:val="0"/>
          <w:szCs w:val="21"/>
          <w:highlight w:val="none"/>
        </w:rPr>
        <w:t>报告</w:t>
      </w:r>
    </w:p>
    <w:p w14:paraId="6F3DA42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2.5.1监理规划、监理实施细则、约定的专项报告：</w:t>
      </w:r>
      <w:r>
        <w:rPr>
          <w:rFonts w:hint="eastAsia" w:ascii="宋体" w:hAnsi="宋体"/>
          <w:color w:val="auto"/>
          <w:szCs w:val="21"/>
          <w:highlight w:val="none"/>
        </w:rPr>
        <w:t xml:space="preserve">收到工程设计文件后编制监理规划，并在第一次工地例会前7天报委托人5份；编制监理实施细则，并在施工单位开工前5天报委托人5份；约定的专题报告在约定后14天内报委托人5份。逾期提交上述文件资料，视为监理人违约，委托人有权解除本合同，同时，按照本合同约定的暂定酬金签约酬金的30%承担违约金； </w:t>
      </w:r>
    </w:p>
    <w:p w14:paraId="60BAB16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2.5.2定期信息文件</w:t>
      </w:r>
    </w:p>
    <w:p w14:paraId="5FD9D209">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根据监理工程项目、范围及内容，随工程施工进展向业主报送监理周报、月报、年报，其主要内容为：</w:t>
      </w:r>
    </w:p>
    <w:p w14:paraId="4C78D569">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工程进展情况；</w:t>
      </w:r>
    </w:p>
    <w:p w14:paraId="0CE467CC">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施工安装质量情况；</w:t>
      </w:r>
    </w:p>
    <w:p w14:paraId="72068171">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进场施工机械设备及劳动力动态；</w:t>
      </w:r>
    </w:p>
    <w:p w14:paraId="36BC107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施工安全与文明施工情况；</w:t>
      </w:r>
    </w:p>
    <w:p w14:paraId="4562043C">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工程变更和机电设备安装合同索赔情况；</w:t>
      </w:r>
    </w:p>
    <w:p w14:paraId="62008897">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工程支付情况；</w:t>
      </w:r>
    </w:p>
    <w:p w14:paraId="7957433A">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安全监测信息(包括资料的整理、分析和信息报告)；</w:t>
      </w:r>
    </w:p>
    <w:p w14:paraId="0F8094B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环境保护情况；</w:t>
      </w:r>
    </w:p>
    <w:p w14:paraId="76C709D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监理工作情况；</w:t>
      </w:r>
    </w:p>
    <w:p w14:paraId="629CBE4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采购、施工和设备安装大事记；</w:t>
      </w:r>
    </w:p>
    <w:p w14:paraId="5F5BC968">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（11）监理日志</w:t>
      </w:r>
    </w:p>
    <w:p w14:paraId="7501ECB4">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其它。</w:t>
      </w:r>
    </w:p>
    <w:p w14:paraId="6A6962E8">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2.5.3根据监理工程进展情况的不定期报告</w:t>
      </w:r>
    </w:p>
    <w:p w14:paraId="63B65B88">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关于工程优化设计或变更或施工进展的建议；</w:t>
      </w:r>
    </w:p>
    <w:p w14:paraId="0FE7DDDF">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资金、资源投入及合理配置的建议；</w:t>
      </w:r>
    </w:p>
    <w:p w14:paraId="27EEE54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工程进展预测分析报告；</w:t>
      </w:r>
    </w:p>
    <w:p w14:paraId="0E8BF28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业主要求提交的其他报告；</w:t>
      </w:r>
    </w:p>
    <w:p w14:paraId="0476D69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工程阶段验收，竣工验收监理工作报告。</w:t>
      </w:r>
    </w:p>
    <w:p w14:paraId="67A49D5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2.5.4监理过程文件</w:t>
      </w:r>
    </w:p>
    <w:p w14:paraId="56BEDCF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施工措施计划批复文件；</w:t>
      </w:r>
    </w:p>
    <w:p w14:paraId="3AB07A93">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施工进度调整批复文件；</w:t>
      </w:r>
    </w:p>
    <w:p w14:paraId="3A4912C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监理协调会议纪要文件；</w:t>
      </w:r>
    </w:p>
    <w:p w14:paraId="09137F08">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施工质量事故处理文件；</w:t>
      </w:r>
    </w:p>
    <w:p w14:paraId="59036F28">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施工安全事故处理文件；</w:t>
      </w:r>
    </w:p>
    <w:p w14:paraId="02D443D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其它按合同文件规定应报送的文件。</w:t>
      </w:r>
    </w:p>
    <w:p w14:paraId="1FC3192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（7）监理人提交的监理文件份数及时间要求</w:t>
      </w:r>
    </w:p>
    <w:p w14:paraId="6A0DD660">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监理人向委托人提交的监理文件一式5份(并附电子文档1份)，其中监理周报、月报、年报一式5份。</w:t>
      </w:r>
    </w:p>
    <w:p w14:paraId="52D51950">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时间要求：周报为每周一、月报为月末、年报为1月20日。</w:t>
      </w:r>
    </w:p>
    <w:p w14:paraId="52A33ABB">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违约责任：逾期提交上述文件资料，视为监理人违约，委托人有权解除本合同，同时，按照本合同约定的暂定酬金签约酬金的30%承担违约金。</w:t>
      </w:r>
    </w:p>
    <w:p w14:paraId="31D8848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 使用委托人的财产</w:t>
      </w:r>
    </w:p>
    <w:p w14:paraId="0CFFA123">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委托人不提供的房屋、设备。</w:t>
      </w:r>
    </w:p>
    <w:p w14:paraId="72AF138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监理人应在本合同终止后</w:t>
      </w:r>
      <w:r>
        <w:rPr>
          <w:rFonts w:hint="eastAsia" w:ascii="宋体" w:hAnsi="宋体"/>
          <w:color w:val="auto"/>
          <w:szCs w:val="21"/>
          <w:highlight w:val="none"/>
          <w:u w:val="single"/>
        </w:rPr>
        <w:t xml:space="preserve"> /  </w:t>
      </w:r>
      <w:r>
        <w:rPr>
          <w:rFonts w:hint="eastAsia" w:ascii="宋体" w:hAnsi="宋体"/>
          <w:color w:val="auto"/>
          <w:szCs w:val="21"/>
          <w:highlight w:val="none"/>
        </w:rPr>
        <w:t>天内移交委托人提供的房屋、设备，移交的时间和方式为：</w:t>
      </w:r>
      <w:r>
        <w:rPr>
          <w:rFonts w:hint="eastAsia" w:ascii="宋体" w:hAnsi="宋体"/>
          <w:color w:val="auto"/>
          <w:szCs w:val="21"/>
          <w:highlight w:val="none"/>
          <w:u w:val="single"/>
        </w:rPr>
        <w:t xml:space="preserve">  /</w:t>
      </w:r>
      <w:r>
        <w:rPr>
          <w:rFonts w:hint="eastAsia" w:ascii="宋体" w:hAnsi="宋体"/>
          <w:color w:val="auto"/>
          <w:szCs w:val="21"/>
          <w:highlight w:val="none"/>
        </w:rPr>
        <w:t>。若监理人逾期移交（若有），委托人有权单方移交，若场地内留有监理人物品，视为遗弃物，委托人有权任意处置，产生的处置费或恢复场地的费用由监理人承担。</w:t>
      </w:r>
    </w:p>
    <w:p w14:paraId="5C067C69">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kern w:val="0"/>
          <w:szCs w:val="21"/>
          <w:highlight w:val="none"/>
        </w:rPr>
        <w:t xml:space="preserve">3. 委托人义务  </w:t>
      </w:r>
    </w:p>
    <w:p w14:paraId="5AC0BFC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3.3.1通用条件修改为：委托人无义务提供监理人员所需的现场办公用房，生产与生活设施、设备与物品、通讯、交通等均由监理单位自行解决，委托人与施工单位另有约定按照约定执行。</w:t>
      </w:r>
    </w:p>
    <w:p w14:paraId="17B100A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3.4 </w:t>
      </w:r>
      <w:r>
        <w:rPr>
          <w:rFonts w:hint="eastAsia" w:ascii="宋体" w:hAnsi="宋体" w:cs="宋体"/>
          <w:color w:val="auto"/>
          <w:kern w:val="0"/>
          <w:szCs w:val="21"/>
          <w:highlight w:val="none"/>
        </w:rPr>
        <w:t>委托人代表</w:t>
      </w:r>
    </w:p>
    <w:p w14:paraId="36612579">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委托人代表为：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AA18C7B">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3.6 </w:t>
      </w:r>
      <w:r>
        <w:rPr>
          <w:rFonts w:hint="eastAsia" w:ascii="宋体" w:hAnsi="宋体" w:cs="宋体"/>
          <w:color w:val="auto"/>
          <w:kern w:val="0"/>
          <w:szCs w:val="21"/>
          <w:highlight w:val="none"/>
        </w:rPr>
        <w:t>答复</w:t>
      </w:r>
    </w:p>
    <w:p w14:paraId="5C9FD5D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委托人同意在</w:t>
      </w:r>
      <w:r>
        <w:rPr>
          <w:rFonts w:hint="eastAsia" w:ascii="宋体" w:hAnsi="宋体"/>
          <w:color w:val="auto"/>
          <w:szCs w:val="21"/>
          <w:highlight w:val="none"/>
          <w:u w:val="single"/>
        </w:rPr>
        <w:t xml:space="preserve">  7  </w:t>
      </w:r>
      <w:r>
        <w:rPr>
          <w:rFonts w:hint="eastAsia" w:ascii="宋体" w:hAnsi="宋体"/>
          <w:color w:val="auto"/>
          <w:szCs w:val="21"/>
          <w:highlight w:val="none"/>
        </w:rPr>
        <w:t>天内，对监理人书面提交并要求做出决定的事宜给予答复。</w:t>
      </w:r>
    </w:p>
    <w:p w14:paraId="0BADA97B">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 违约责任</w:t>
      </w:r>
    </w:p>
    <w:p w14:paraId="71FF9561">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4.1 </w:t>
      </w:r>
      <w:r>
        <w:rPr>
          <w:rFonts w:hint="eastAsia" w:ascii="宋体" w:hAnsi="宋体" w:cs="宋体"/>
          <w:color w:val="auto"/>
          <w:kern w:val="0"/>
          <w:szCs w:val="21"/>
          <w:highlight w:val="none"/>
        </w:rPr>
        <w:t>监理人的违约责任</w:t>
      </w:r>
    </w:p>
    <w:p w14:paraId="19960D69">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 监理人违约的其他情形：</w:t>
      </w:r>
    </w:p>
    <w:p w14:paraId="3DC5134F">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4.1.1.1监理人未按本合同约定的内容、时间、数量向委托人交付报告、成果、文件的。</w:t>
      </w:r>
    </w:p>
    <w:p w14:paraId="7BD905C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4.1.1.2监理人拒绝对报告、成果、文件出现的遗漏或错误负责修改补充的。</w:t>
      </w:r>
    </w:p>
    <w:p w14:paraId="5715BCAC">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4.1.1.3监理人向第三人扩散、转让本合同中委托人提供的技术资料、文件的。</w:t>
      </w:r>
    </w:p>
    <w:p w14:paraId="6ACA5D5F">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4.1.1.4未经委托人人同意，监理人将履行本合同形成的知识成果擅自复制泄露或向第三人转让或用于本合同外的项目。</w:t>
      </w:r>
    </w:p>
    <w:p w14:paraId="5A415DE3">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4.1.1.5拒为委托人提供口头、现场咨询或参加现场论证的。</w:t>
      </w:r>
    </w:p>
    <w:p w14:paraId="35A7F283">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4.1.1.6拒绝承担监理人工作人员的现场安全责任及其工作人员给第三方或委托人造成的一切损失的。</w:t>
      </w:r>
    </w:p>
    <w:p w14:paraId="4AB697BC">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4.1.1.7未为其工作人员办理社会保险、签订劳动合同、按时支付工资的。</w:t>
      </w:r>
    </w:p>
    <w:p w14:paraId="7E3FF776">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4.1.1.8拒绝更换委托人不满意的工作人员的。</w:t>
      </w:r>
    </w:p>
    <w:p w14:paraId="1FDE18D7">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4.1.1.9本合同有关条款规定和补充协议中监理人违约情形。</w:t>
      </w:r>
    </w:p>
    <w:p w14:paraId="53DD6C47">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4.1.1.10拒绝配合办理竣工结算的。</w:t>
      </w:r>
    </w:p>
    <w:p w14:paraId="1F4A4ED4">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4.1.1.11拒绝履行本合同2.1条约定的义务的。</w:t>
      </w:r>
    </w:p>
    <w:p w14:paraId="4F521433">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4.1.1.12因监理人拒绝承担本合同约定的安全责任，致使委托人承担责任的。</w:t>
      </w:r>
    </w:p>
    <w:p w14:paraId="6B3C7E6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4.1.1.13因监理人行为给委托人造成不良影响。</w:t>
      </w:r>
    </w:p>
    <w:p w14:paraId="3EB70378">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4.1.1.14擅自将本合同约定服务进行转包或分包的。</w:t>
      </w:r>
    </w:p>
    <w:p w14:paraId="700382C4">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4.1.1.15本合同有关条款规定和补充协议中承包人应负的责任。</w:t>
      </w:r>
    </w:p>
    <w:p w14:paraId="5C81EB6A">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4.1.2监理人赔偿金额按下列方法确定：</w:t>
      </w:r>
    </w:p>
    <w:p w14:paraId="1400D9F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（1）因监理人原因而暂停或终止监理业务，其善后工作及恢复监理业务所发生的费用，由监理单位承担，赔偿金按下列方法确定：</w:t>
      </w:r>
      <w:r>
        <w:rPr>
          <w:rFonts w:hint="eastAsia" w:ascii="宋体" w:hAnsi="宋体"/>
          <w:color w:val="auto"/>
          <w:szCs w:val="21"/>
          <w:highlight w:val="none"/>
          <w:u w:val="single"/>
        </w:rPr>
        <w:t xml:space="preserve"> 扣除所有未支付费用以及履约保证金</w:t>
      </w:r>
      <w:r>
        <w:rPr>
          <w:rFonts w:hint="eastAsia" w:ascii="宋体" w:hAnsi="宋体"/>
          <w:color w:val="auto"/>
          <w:szCs w:val="21"/>
          <w:highlight w:val="none"/>
        </w:rPr>
        <w:t xml:space="preserve">。 </w:t>
      </w:r>
    </w:p>
    <w:p w14:paraId="29F55B8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（2）除</w:t>
      </w:r>
      <w:r>
        <w:rPr>
          <w:rFonts w:hint="eastAsia" w:ascii="宋体" w:hAnsi="宋体"/>
          <w:color w:val="auto"/>
          <w:kern w:val="0"/>
          <w:szCs w:val="21"/>
          <w:highlight w:val="none"/>
        </w:rPr>
        <w:t>4.1.1（1）</w:t>
      </w:r>
      <w:r>
        <w:rPr>
          <w:rFonts w:hint="eastAsia" w:ascii="宋体" w:hAnsi="宋体"/>
          <w:color w:val="auto"/>
          <w:szCs w:val="21"/>
          <w:highlight w:val="none"/>
        </w:rPr>
        <w:t>因监理人违反本合同约定给委托人造成损失的，赔偿金按下列方法确定：赔偿金＝直接经济损失</w:t>
      </w:r>
      <w:r>
        <w:rPr>
          <w:rFonts w:hint="eastAsia" w:ascii="宋体" w:hAnsi="宋体" w:cs="宋体"/>
          <w:color w:val="auto"/>
          <w:kern w:val="0"/>
          <w:szCs w:val="21"/>
          <w:highlight w:val="none"/>
        </w:rPr>
        <w:t>。监理人承担部分赔偿责任的，其承担赔偿金额由双方协商确定。</w:t>
      </w:r>
    </w:p>
    <w:p w14:paraId="5AAD8CB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4.1.3违约的处理</w:t>
      </w:r>
    </w:p>
    <w:p w14:paraId="34D472B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4.1.3.1监理人违约时，委托人有权解除本合同。</w:t>
      </w:r>
    </w:p>
    <w:p w14:paraId="1AF1514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4.1.3.2由于监理人原因延误工期或未按规定时间交付报告、成果、文件，每延误一天应承担以工程费万分之五计算的违约金，并承担给委托人造成的一切损失。若延误15天，监理人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2B1BB57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4.1.3.2交付的报告、成果、文件达不到合同约定条件的部分，委托人可要求监理人返工，监理人按委托人要求的的时间返工，直到符合约定条件，因监理人原因达不到约定条件，由监理人承担返工费，返工后仍不能达到约定条件或监理人未履行返工义务，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3A1C656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4.1.3.3监理人拒绝提供咨询、参加论证，每发生一次，按合同签约酬金的（</w:t>
      </w:r>
      <w:r>
        <w:rPr>
          <w:rFonts w:hint="eastAsia" w:ascii="宋体" w:hAnsi="宋体"/>
          <w:color w:val="auto"/>
          <w:szCs w:val="21"/>
          <w:highlight w:val="none"/>
          <w:u w:val="single"/>
        </w:rPr>
        <w:t>5%</w:t>
      </w:r>
      <w:r>
        <w:rPr>
          <w:rFonts w:hint="eastAsia" w:ascii="宋体" w:hAnsi="宋体"/>
          <w:color w:val="auto"/>
          <w:szCs w:val="21"/>
          <w:highlight w:val="none"/>
        </w:rPr>
        <w:t>）向委托人承担违约金，累计发生3次以上（含本数），委托人有权解除本合同，监理人按合同签约酬金的30%向委托人承担违约金。</w:t>
      </w:r>
    </w:p>
    <w:p w14:paraId="302643F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4.1.3.4监理人擅自更换项目工作人员，每发生一次，按合同签约酬金的（</w:t>
      </w:r>
      <w:r>
        <w:rPr>
          <w:rFonts w:hint="eastAsia" w:ascii="宋体" w:hAnsi="宋体"/>
          <w:color w:val="auto"/>
          <w:szCs w:val="21"/>
          <w:highlight w:val="none"/>
          <w:u w:val="single"/>
        </w:rPr>
        <w:t>5%</w:t>
      </w:r>
      <w:r>
        <w:rPr>
          <w:rFonts w:hint="eastAsia" w:ascii="宋体" w:hAnsi="宋体"/>
          <w:color w:val="auto"/>
          <w:szCs w:val="21"/>
          <w:highlight w:val="none"/>
        </w:rPr>
        <w:t>）%向委托人承担违约金，累计发生2次以上（含本数），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5B61C7F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4.1.3.5监理人拒绝更换工作人员，每发生一次，按合同签约酬金的（</w:t>
      </w:r>
      <w:r>
        <w:rPr>
          <w:rFonts w:hint="eastAsia" w:ascii="宋体" w:hAnsi="宋体"/>
          <w:color w:val="auto"/>
          <w:szCs w:val="21"/>
          <w:highlight w:val="none"/>
          <w:u w:val="single"/>
        </w:rPr>
        <w:t>5%</w:t>
      </w:r>
      <w:r>
        <w:rPr>
          <w:rFonts w:hint="eastAsia" w:ascii="宋体" w:hAnsi="宋体"/>
          <w:color w:val="auto"/>
          <w:szCs w:val="21"/>
          <w:highlight w:val="none"/>
        </w:rPr>
        <w:t>）%向委托人承担违约金，累计发生2次以上（含本数），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1EC6E93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4.1.3.6因监理人原因解除本合同时，委托人另行委托第三方提供监理服务时，费用由监理人承担。</w:t>
      </w:r>
    </w:p>
    <w:p w14:paraId="7909C22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4.1.3.7监理人需承诺：在项目实施期间，因工作需要，须在甲方电话通知后4小时内到达现场，一次未到支付违约金一万元，按次数累加（该违约金可在监理费中扣划）。累计超过5次（含本数），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0961784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4.1.3.8监理人拒绝对报告、成果、文件出现的遗漏或错误负责修改补充的，每延误一天应承担以工程费万分之五计算的违约金，并承担给委托人造成的一切损失。若延误15天，，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762FF53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4.1.3.9监理人向第三人扩散、转让本合同中委托人提供的技术资料、文件的，承担给委托人造成的一切损失。</w:t>
      </w:r>
    </w:p>
    <w:p w14:paraId="0EE5147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4.1.3.10未经委托人人同意，监理人将履行本合同形成的知识成果擅自复制泄露或向第三人转让或用于本合同外的项目，承担给委托人造成的一切损失。</w:t>
      </w:r>
    </w:p>
    <w:p w14:paraId="4BC18CB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4.1.3.11因监理人与其工作人员之间的纠纷或其工作人员给第三方造成损失，委托人代为承担责任时，监理人承担给委托人造成的一切损失。</w:t>
      </w:r>
    </w:p>
    <w:p w14:paraId="4C83470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4.1.3.12拒绝配合办理竣工结算，每延误一天应承担以工程费万分之五计算的违约金，并承担给委托人造成的一切损失。若延误15天，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7BE34D92">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4.1.3.13因监理人行为给委托人造成不良影响，监理人拒绝消除影响时或不良影响未消除时，委托人有权解除本合同，监理人承担给委托人造成的一切损失。因监理人未按时支付工资，出现信访、上访或到委托人处讨薪情形的，则视为监理人违约，委托人有权选择将监理人欠付的工资支付并有权从应支付给监理人的费用中扣除，同时监理人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35EEF33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4.1.3.14监理人在承担上述一项或多项违约责任后，仍应继续履行合同规定的义务（委托人解除合同的除外）。委托人未能及时追究监理人的任何一项违约责任并不代表委托人放弃追究承包人该项或其他违约责任。</w:t>
      </w:r>
    </w:p>
    <w:p w14:paraId="418D7916">
      <w:pPr>
        <w:overflowPunct w:val="0"/>
        <w:autoSpaceDE w:val="0"/>
        <w:autoSpaceDN w:val="0"/>
        <w:adjustRightInd w:val="0"/>
        <w:snapToGrid w:val="0"/>
        <w:spacing w:line="360" w:lineRule="auto"/>
        <w:ind w:firstLine="420" w:firstLineChars="200"/>
        <w:rPr>
          <w:color w:val="auto"/>
          <w:highlight w:val="none"/>
        </w:rPr>
      </w:pPr>
      <w:r>
        <w:rPr>
          <w:rFonts w:hint="eastAsia" w:ascii="宋体" w:hAnsi="宋体"/>
          <w:color w:val="auto"/>
          <w:szCs w:val="21"/>
          <w:highlight w:val="none"/>
        </w:rPr>
        <w:t>4.1.3.15委托人为维护其合法权益产生的费用由监理人承担，该费用包括但不限于律师费、诉讼费、财产保全费、财产保全担保费、差旅费、评估费、审计费、鉴定费、公证费、公告费等费用。</w:t>
      </w:r>
    </w:p>
    <w:p w14:paraId="1D84C283">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4.2 委</w:t>
      </w:r>
      <w:r>
        <w:rPr>
          <w:rFonts w:hint="eastAsia" w:ascii="宋体" w:hAnsi="宋体" w:cs="宋体"/>
          <w:color w:val="auto"/>
          <w:kern w:val="0"/>
          <w:szCs w:val="21"/>
          <w:highlight w:val="none"/>
        </w:rPr>
        <w:t>托人的违约责任</w:t>
      </w:r>
    </w:p>
    <w:p w14:paraId="3674B106">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4.2.3 委托人</w:t>
      </w:r>
      <w:r>
        <w:rPr>
          <w:rFonts w:hint="eastAsia" w:ascii="宋体" w:hAnsi="宋体"/>
          <w:color w:val="auto"/>
          <w:kern w:val="0"/>
          <w:szCs w:val="21"/>
          <w:highlight w:val="none"/>
        </w:rPr>
        <w:t>逾期付款利息按下列方法确定：</w:t>
      </w:r>
    </w:p>
    <w:p w14:paraId="062060C5">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逾期付款利息＝当期应付款总额×中国人民银行同期活期存款利息÷365天×拖延支付天数。</w:t>
      </w:r>
    </w:p>
    <w:p w14:paraId="5483F75F">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bCs/>
          <w:color w:val="auto"/>
          <w:szCs w:val="21"/>
          <w:highlight w:val="none"/>
        </w:rPr>
        <w:t>5. 支付</w:t>
      </w:r>
    </w:p>
    <w:p w14:paraId="25E2EDCB">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5.1 </w:t>
      </w:r>
      <w:r>
        <w:rPr>
          <w:rFonts w:hint="eastAsia" w:ascii="宋体" w:hAnsi="宋体"/>
          <w:bCs/>
          <w:color w:val="auto"/>
          <w:szCs w:val="21"/>
          <w:highlight w:val="none"/>
        </w:rPr>
        <w:t>支付货币</w:t>
      </w:r>
    </w:p>
    <w:p w14:paraId="55B8B7A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币种为：</w:t>
      </w:r>
      <w:r>
        <w:rPr>
          <w:rFonts w:hint="eastAsia" w:ascii="宋体" w:hAnsi="宋体"/>
          <w:color w:val="auto"/>
          <w:szCs w:val="21"/>
          <w:highlight w:val="none"/>
          <w:u w:val="single"/>
        </w:rPr>
        <w:t xml:space="preserve">  人民币 </w:t>
      </w:r>
      <w:r>
        <w:rPr>
          <w:rFonts w:hint="eastAsia" w:ascii="宋体" w:hAnsi="宋体"/>
          <w:color w:val="auto"/>
          <w:szCs w:val="21"/>
          <w:highlight w:val="none"/>
        </w:rPr>
        <w:t>，比例为：</w:t>
      </w:r>
      <w:r>
        <w:rPr>
          <w:rFonts w:hint="eastAsia" w:ascii="宋体" w:hAnsi="宋体"/>
          <w:color w:val="auto"/>
          <w:szCs w:val="21"/>
          <w:highlight w:val="none"/>
          <w:u w:val="single"/>
        </w:rPr>
        <w:t xml:space="preserve">    /  </w:t>
      </w:r>
      <w:r>
        <w:rPr>
          <w:rFonts w:hint="eastAsia" w:ascii="宋体" w:hAnsi="宋体"/>
          <w:color w:val="auto"/>
          <w:szCs w:val="21"/>
          <w:highlight w:val="none"/>
        </w:rPr>
        <w:t>，汇率为：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1BBED1A9">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 支付酬金</w:t>
      </w:r>
    </w:p>
    <w:p w14:paraId="4778E82C">
      <w:pPr>
        <w:pStyle w:val="2"/>
        <w:ind w:firstLine="400" w:firstLineChars="200"/>
        <w:rPr>
          <w:color w:val="auto"/>
          <w:highlight w:val="none"/>
        </w:rPr>
      </w:pPr>
      <w:r>
        <w:rPr>
          <w:rFonts w:hint="eastAsia"/>
          <w:color w:val="auto"/>
          <w:highlight w:val="none"/>
        </w:rPr>
        <w:t>本合同计算酬金=经审定的实际结算建筑安装工程费×中标监理费费率；监理人中标固定费率为：</w:t>
      </w:r>
      <w:r>
        <w:rPr>
          <w:rFonts w:hint="eastAsia"/>
          <w:color w:val="auto"/>
          <w:highlight w:val="none"/>
          <w:u w:val="single"/>
        </w:rPr>
        <w:t xml:space="preserve">        </w:t>
      </w:r>
      <w:r>
        <w:rPr>
          <w:rFonts w:hint="eastAsia"/>
          <w:color w:val="auto"/>
          <w:highlight w:val="none"/>
        </w:rPr>
        <w:t>。</w:t>
      </w:r>
    </w:p>
    <w:p w14:paraId="7EE4407B">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5.2.1</w:t>
      </w:r>
      <w:r>
        <w:rPr>
          <w:rFonts w:ascii="宋体" w:hAnsi="宋体"/>
          <w:color w:val="auto"/>
          <w:szCs w:val="21"/>
          <w:highlight w:val="none"/>
        </w:rPr>
        <w:t>本项目不采用预付款</w:t>
      </w:r>
    </w:p>
    <w:p w14:paraId="76C2ACE1">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5.2.2监理</w:t>
      </w:r>
      <w:r>
        <w:rPr>
          <w:rFonts w:ascii="宋体" w:hAnsi="宋体"/>
          <w:color w:val="auto"/>
          <w:szCs w:val="21"/>
          <w:highlight w:val="none"/>
        </w:rPr>
        <w:t>酬金</w:t>
      </w:r>
    </w:p>
    <w:p w14:paraId="08117496">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本项目监理费用按施工进度付款：</w:t>
      </w:r>
    </w:p>
    <w:p w14:paraId="20F53906">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①委托人按每季度审核完成进度支付监理酬金，每期实际支付为：委托人确认的</w:t>
      </w:r>
      <w:r>
        <w:rPr>
          <w:rFonts w:hint="eastAsia"/>
          <w:color w:val="auto"/>
          <w:highlight w:val="none"/>
        </w:rPr>
        <w:t>建筑安装工程费×中标监理费费率</w:t>
      </w:r>
      <w:r>
        <w:rPr>
          <w:rFonts w:hint="eastAsia" w:ascii="宋体" w:hAnsi="宋体"/>
          <w:color w:val="auto"/>
          <w:szCs w:val="21"/>
          <w:highlight w:val="none"/>
        </w:rPr>
        <w:t>×70%。监理人于次月提出申请，委托人自收到监理人提出的申请经确认且收到等额的增值税专用发票后的28日内，支付上一个季度的监理酬金；</w:t>
      </w:r>
    </w:p>
    <w:p w14:paraId="30270520">
      <w:pPr>
        <w:overflowPunct w:val="0"/>
        <w:autoSpaceDE w:val="0"/>
        <w:autoSpaceDN w:val="0"/>
        <w:adjustRightInd w:val="0"/>
        <w:snapToGrid w:val="0"/>
        <w:spacing w:line="360" w:lineRule="auto"/>
        <w:ind w:firstLine="420" w:firstLineChars="200"/>
        <w:jc w:val="left"/>
        <w:textAlignment w:val="baseline"/>
        <w:rPr>
          <w:rFonts w:hint="eastAsia" w:ascii="宋体" w:hAnsi="宋体" w:cs="宋体"/>
          <w:color w:val="auto"/>
          <w:highlight w:val="none"/>
        </w:rPr>
      </w:pPr>
      <w:r>
        <w:rPr>
          <w:rFonts w:hint="eastAsia" w:ascii="宋体" w:hAnsi="宋体"/>
          <w:color w:val="auto"/>
          <w:szCs w:val="21"/>
          <w:highlight w:val="none"/>
        </w:rPr>
        <w:t>②项目竣工验收合格、监理人提出申请经确认且收到等额的增值税专用发票后的【60】日内后支付至</w:t>
      </w:r>
      <w:r>
        <w:rPr>
          <w:rFonts w:hint="eastAsia"/>
          <w:color w:val="auto"/>
          <w:highlight w:val="none"/>
        </w:rPr>
        <w:t>合同计算酬金</w:t>
      </w:r>
      <w:r>
        <w:rPr>
          <w:rFonts w:hint="eastAsia" w:ascii="宋体" w:hAnsi="宋体"/>
          <w:color w:val="auto"/>
          <w:szCs w:val="21"/>
          <w:highlight w:val="none"/>
        </w:rPr>
        <w:t>的70%；所有监理资料按规范整理完毕并移交、监理人提出申请经确认且收到等额的增值税专用发票后的【60】日内支付至</w:t>
      </w:r>
      <w:r>
        <w:rPr>
          <w:rFonts w:hint="eastAsia"/>
          <w:color w:val="auto"/>
          <w:highlight w:val="none"/>
        </w:rPr>
        <w:t>合同计算酬金</w:t>
      </w:r>
      <w:r>
        <w:rPr>
          <w:rFonts w:hint="eastAsia" w:ascii="宋体" w:hAnsi="宋体"/>
          <w:color w:val="auto"/>
          <w:szCs w:val="21"/>
          <w:highlight w:val="none"/>
        </w:rPr>
        <w:t>的</w:t>
      </w:r>
      <w:r>
        <w:rPr>
          <w:rFonts w:hint="eastAsia" w:ascii="宋体" w:hAnsi="宋体" w:cs="宋体"/>
          <w:color w:val="auto"/>
          <w:szCs w:val="21"/>
          <w:highlight w:val="none"/>
        </w:rPr>
        <w:t>80%；办理完结算审定最终监理酬金</w:t>
      </w:r>
      <w:r>
        <w:rPr>
          <w:rFonts w:hint="eastAsia" w:ascii="宋体" w:hAnsi="宋体"/>
          <w:color w:val="auto"/>
          <w:szCs w:val="21"/>
          <w:highlight w:val="none"/>
        </w:rPr>
        <w:t>、监理人提出申请经确认且收到等额的增值税专用发票后的【60】日内</w:t>
      </w:r>
      <w:r>
        <w:rPr>
          <w:rFonts w:hint="eastAsia" w:ascii="宋体" w:hAnsi="宋体" w:cs="宋体"/>
          <w:color w:val="auto"/>
          <w:szCs w:val="21"/>
          <w:highlight w:val="none"/>
        </w:rPr>
        <w:t>支付至结算金额的95%；</w:t>
      </w:r>
      <w:r>
        <w:rPr>
          <w:rFonts w:ascii="宋体" w:hAnsi="宋体" w:cs="宋体"/>
          <w:color w:val="auto"/>
          <w:highlight w:val="none"/>
        </w:rPr>
        <w:t xml:space="preserve"> </w:t>
      </w:r>
    </w:p>
    <w:p w14:paraId="12F02ECE">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ascii="宋体" w:hAnsi="宋体"/>
          <w:color w:val="auto"/>
          <w:szCs w:val="21"/>
          <w:highlight w:val="none"/>
        </w:rPr>
        <w:t>保修阶段服务</w:t>
      </w:r>
      <w:r>
        <w:rPr>
          <w:rFonts w:hint="eastAsia" w:ascii="宋体" w:hAnsi="宋体"/>
          <w:color w:val="auto"/>
          <w:szCs w:val="21"/>
          <w:highlight w:val="none"/>
        </w:rPr>
        <w:t>（5%）</w:t>
      </w:r>
      <w:r>
        <w:rPr>
          <w:rFonts w:ascii="宋体" w:hAnsi="宋体"/>
          <w:color w:val="auto"/>
          <w:szCs w:val="21"/>
          <w:highlight w:val="none"/>
        </w:rPr>
        <w:t>：缺陷责任期满</w:t>
      </w:r>
      <w:r>
        <w:rPr>
          <w:rFonts w:hint="eastAsia" w:ascii="宋体" w:hAnsi="宋体"/>
          <w:color w:val="auto"/>
          <w:szCs w:val="21"/>
          <w:highlight w:val="none"/>
        </w:rPr>
        <w:t>，验收合格、监理人提出申请经确认且收到等额的增值税专用发票后的【60】日内</w:t>
      </w:r>
      <w:r>
        <w:rPr>
          <w:rFonts w:ascii="宋体" w:hAnsi="宋体"/>
          <w:color w:val="auto"/>
          <w:szCs w:val="21"/>
          <w:highlight w:val="none"/>
        </w:rPr>
        <w:t>内一次性支付</w:t>
      </w:r>
      <w:r>
        <w:rPr>
          <w:rFonts w:hint="eastAsia" w:ascii="宋体" w:hAnsi="宋体"/>
          <w:color w:val="auto"/>
          <w:szCs w:val="21"/>
          <w:highlight w:val="none"/>
        </w:rPr>
        <w:t>剩余5%</w:t>
      </w:r>
      <w:r>
        <w:rPr>
          <w:rFonts w:ascii="宋体" w:hAnsi="宋体"/>
          <w:color w:val="auto"/>
          <w:szCs w:val="21"/>
          <w:highlight w:val="none"/>
        </w:rPr>
        <w:t>（无息）；</w:t>
      </w:r>
    </w:p>
    <w:p w14:paraId="43ECF4E8">
      <w:pPr>
        <w:overflowPunct w:val="0"/>
        <w:autoSpaceDE w:val="0"/>
        <w:autoSpaceDN w:val="0"/>
        <w:adjustRightInd w:val="0"/>
        <w:snapToGrid w:val="0"/>
        <w:spacing w:line="360" w:lineRule="auto"/>
        <w:ind w:firstLine="420"/>
        <w:jc w:val="left"/>
        <w:textAlignment w:val="baseline"/>
        <w:rPr>
          <w:rFonts w:ascii="宋体" w:hAnsi="宋体" w:cs="宋体"/>
          <w:color w:val="auto"/>
          <w:kern w:val="1"/>
          <w:szCs w:val="21"/>
          <w:highlight w:val="none"/>
        </w:rPr>
      </w:pPr>
      <w:r>
        <w:rPr>
          <w:rFonts w:hint="eastAsia" w:ascii="宋体" w:hAnsi="宋体" w:cs="宋体"/>
          <w:color w:val="auto"/>
          <w:kern w:val="1"/>
          <w:szCs w:val="21"/>
          <w:highlight w:val="none"/>
        </w:rPr>
        <w:t>注：若存在下列情形时，下列情形作为付款条件之一，同时适用，若涉及进度款则不包括下列情形第4种：</w:t>
      </w:r>
    </w:p>
    <w:p w14:paraId="3403D380">
      <w:pPr>
        <w:overflowPunct w:val="0"/>
        <w:autoSpaceDE w:val="0"/>
        <w:autoSpaceDN w:val="0"/>
        <w:adjustRightInd w:val="0"/>
        <w:snapToGrid w:val="0"/>
        <w:spacing w:line="360" w:lineRule="auto"/>
        <w:ind w:firstLine="420"/>
        <w:jc w:val="left"/>
        <w:textAlignment w:val="baseline"/>
        <w:rPr>
          <w:rFonts w:hint="eastAsia" w:ascii="宋体" w:hAnsi="宋体"/>
          <w:color w:val="auto"/>
          <w:highlight w:val="none"/>
        </w:rPr>
      </w:pPr>
      <w:r>
        <w:rPr>
          <w:rFonts w:hint="eastAsia" w:ascii="宋体" w:hAnsi="宋体" w:cs="宋体"/>
          <w:color w:val="auto"/>
          <w:kern w:val="1"/>
          <w:szCs w:val="21"/>
          <w:highlight w:val="none"/>
        </w:rPr>
        <w:t>（1）每次付款前，监理单位须向委托人提供有效等额增值税专用发票。</w:t>
      </w:r>
      <w:r>
        <w:rPr>
          <w:rFonts w:hint="eastAsia" w:ascii="宋体" w:hAnsi="宋体"/>
          <w:color w:val="auto"/>
          <w:highlight w:val="none"/>
        </w:rPr>
        <w:t>在付款前监理人应当提供等额增值税发票，未足额提供的发票的，委托人有权拒绝付款；</w:t>
      </w:r>
    </w:p>
    <w:p w14:paraId="68DE66A5">
      <w:pPr>
        <w:overflowPunct w:val="0"/>
        <w:autoSpaceDE w:val="0"/>
        <w:autoSpaceDN w:val="0"/>
        <w:adjustRightInd w:val="0"/>
        <w:snapToGrid w:val="0"/>
        <w:spacing w:line="360" w:lineRule="auto"/>
        <w:ind w:firstLine="420"/>
        <w:jc w:val="left"/>
        <w:textAlignment w:val="baseline"/>
        <w:rPr>
          <w:rFonts w:hint="eastAsia" w:ascii="宋体" w:hAnsi="宋体"/>
          <w:color w:val="auto"/>
          <w:highlight w:val="none"/>
        </w:rPr>
      </w:pPr>
      <w:r>
        <w:rPr>
          <w:rFonts w:hint="eastAsia" w:ascii="宋体" w:hAnsi="宋体"/>
          <w:color w:val="auto"/>
          <w:highlight w:val="none"/>
        </w:rPr>
        <w:t>（2）若合同计算酬金在支付款项时尚无法确定，则以本合同载明工程暂定的建筑安装工程费为基数乘以中标费率做为酬金；</w:t>
      </w:r>
    </w:p>
    <w:p w14:paraId="3110A465">
      <w:pPr>
        <w:overflowPunct w:val="0"/>
        <w:autoSpaceDE w:val="0"/>
        <w:autoSpaceDN w:val="0"/>
        <w:adjustRightInd w:val="0"/>
        <w:snapToGrid w:val="0"/>
        <w:spacing w:line="360" w:lineRule="auto"/>
        <w:ind w:firstLine="420"/>
        <w:jc w:val="left"/>
        <w:textAlignment w:val="baseline"/>
        <w:rPr>
          <w:rFonts w:hint="eastAsia" w:ascii="宋体" w:hAnsi="宋体"/>
          <w:color w:val="auto"/>
          <w:highlight w:val="none"/>
        </w:rPr>
      </w:pPr>
      <w:r>
        <w:rPr>
          <w:rFonts w:hint="eastAsia" w:ascii="宋体" w:hAnsi="宋体"/>
          <w:color w:val="auto"/>
          <w:highlight w:val="none"/>
        </w:rPr>
        <w:t>（3）若本合同涉及财政资金或专项资金支持，在委托人未收到财政资金或专项资金的情形下，委托人有权迟延付款且不承担违约责任，在符合其他付款条件且收到财政资金或专项资金后付款；</w:t>
      </w:r>
    </w:p>
    <w:p w14:paraId="204BD348">
      <w:pPr>
        <w:overflowPunct w:val="0"/>
        <w:autoSpaceDE w:val="0"/>
        <w:autoSpaceDN w:val="0"/>
        <w:adjustRightInd w:val="0"/>
        <w:snapToGrid w:val="0"/>
        <w:spacing w:line="360" w:lineRule="auto"/>
        <w:ind w:firstLine="420"/>
        <w:jc w:val="left"/>
        <w:textAlignment w:val="baseline"/>
        <w:rPr>
          <w:rFonts w:hint="eastAsia" w:ascii="宋体" w:hAnsi="宋体"/>
          <w:color w:val="auto"/>
          <w:highlight w:val="none"/>
        </w:rPr>
      </w:pPr>
      <w:r>
        <w:rPr>
          <w:rFonts w:hint="eastAsia" w:ascii="宋体" w:hAnsi="宋体"/>
          <w:color w:val="auto"/>
          <w:highlight w:val="none"/>
        </w:rPr>
        <w:t>（4）若需对工程进行审计或财评，则在审计或财评结果未出之前，委托人有权迟延付款且不承担违约责任。</w:t>
      </w:r>
    </w:p>
    <w:p w14:paraId="2268D962">
      <w:pPr>
        <w:overflowPunct w:val="0"/>
        <w:autoSpaceDE w:val="0"/>
        <w:autoSpaceDN w:val="0"/>
        <w:adjustRightInd w:val="0"/>
        <w:snapToGrid w:val="0"/>
        <w:spacing w:line="360" w:lineRule="auto"/>
        <w:ind w:firstLine="420"/>
        <w:textAlignment w:val="baseline"/>
        <w:rPr>
          <w:rFonts w:hint="eastAsia" w:ascii="宋体" w:hAnsi="宋体"/>
          <w:color w:val="auto"/>
          <w:highlight w:val="none"/>
        </w:rPr>
      </w:pPr>
      <w:r>
        <w:rPr>
          <w:rFonts w:hint="eastAsia" w:ascii="宋体" w:hAnsi="宋体"/>
          <w:color w:val="auto"/>
          <w:highlight w:val="none"/>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p>
    <w:p w14:paraId="28A5CC19">
      <w:pPr>
        <w:overflowPunct w:val="0"/>
        <w:autoSpaceDE w:val="0"/>
        <w:autoSpaceDN w:val="0"/>
        <w:adjustRightInd w:val="0"/>
        <w:snapToGrid w:val="0"/>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6</w:t>
      </w:r>
      <w:r>
        <w:rPr>
          <w:rFonts w:hint="eastAsia" w:ascii="宋体" w:hAnsi="宋体"/>
          <w:b/>
          <w:bCs/>
          <w:color w:val="auto"/>
          <w:szCs w:val="21"/>
          <w:highlight w:val="none"/>
        </w:rPr>
        <w:t>. 合同生效、变更、暂停、解除与终止</w:t>
      </w:r>
    </w:p>
    <w:p w14:paraId="482E9FF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 生效</w:t>
      </w:r>
    </w:p>
    <w:p w14:paraId="380EED8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本合同生效条件：</w:t>
      </w:r>
      <w:r>
        <w:rPr>
          <w:rFonts w:hint="eastAsia" w:ascii="宋体" w:hAnsi="宋体"/>
          <w:color w:val="auto"/>
          <w:szCs w:val="21"/>
          <w:highlight w:val="none"/>
          <w:u w:val="single"/>
        </w:rPr>
        <w:t xml:space="preserve"> 同合同协议书 </w:t>
      </w:r>
      <w:r>
        <w:rPr>
          <w:rFonts w:hint="eastAsia" w:ascii="宋体" w:hAnsi="宋体"/>
          <w:color w:val="auto"/>
          <w:szCs w:val="21"/>
          <w:highlight w:val="none"/>
        </w:rPr>
        <w:t>。</w:t>
      </w:r>
    </w:p>
    <w:p w14:paraId="5E3C887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 变更</w:t>
      </w:r>
    </w:p>
    <w:p w14:paraId="4E23B528">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6.2.2监理人报酬</w:t>
      </w:r>
    </w:p>
    <w:p w14:paraId="3526AAB3">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p>
    <w:p w14:paraId="2C7A57DD">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p>
    <w:p w14:paraId="388B55A1">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6.2.6委托人除按5.2计算监理报酬外，不因工期延长、不因工作需要增加监理人员、以及其它任何因素另外增加监理费用。</w:t>
      </w:r>
    </w:p>
    <w:p w14:paraId="7AD81296">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6.3本合同履行过程中，在监理人无违约的情形下，委托人有权单方随时解除本合同且不承担违约责任，但应根据工程进度按比例支付费用，费用不超过本合同约定签约总金额，支付费用前，监理人应先交付等额增值税专用发票。</w:t>
      </w:r>
    </w:p>
    <w:p w14:paraId="628E2A1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6.4合同终止后2日内，监理人应退场，逾期退场，委托人有权强制监理人退场，若场地内留有监理人物品，视为遗弃物，委托人有权任意处置，处置费用由监理人承担，处置所得款项归委托人所有，场地内留有的监理人物品，委托人有权无偿使用；逾期退场，每逾期一日，监理人按照10000元/日向委托人承担损失。同时，合同终止后2日内，监理人负责将监理资料整理一套交付委托人，逾期交付的，每逾期一日，监理人按照10000元/日向委托人承担损失。</w:t>
      </w:r>
    </w:p>
    <w:p w14:paraId="118A9CC2">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bCs/>
          <w:color w:val="auto"/>
          <w:szCs w:val="21"/>
          <w:highlight w:val="none"/>
        </w:rPr>
        <w:t>7. 争议解决</w:t>
      </w:r>
    </w:p>
    <w:p w14:paraId="1343834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7.2 </w:t>
      </w:r>
      <w:r>
        <w:rPr>
          <w:rFonts w:hint="eastAsia" w:ascii="宋体" w:hAnsi="宋体"/>
          <w:bCs/>
          <w:color w:val="auto"/>
          <w:szCs w:val="21"/>
          <w:highlight w:val="none"/>
        </w:rPr>
        <w:t>调解</w:t>
      </w:r>
    </w:p>
    <w:p w14:paraId="31BA46F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本合同争议进行调解时，可提交</w:t>
      </w:r>
      <w:r>
        <w:rPr>
          <w:rFonts w:hint="eastAsia" w:ascii="宋体" w:hAnsi="宋体"/>
          <w:color w:val="auto"/>
          <w:szCs w:val="21"/>
          <w:highlight w:val="none"/>
          <w:u w:val="single"/>
        </w:rPr>
        <w:t xml:space="preserve">  双方协商 </w:t>
      </w:r>
      <w:r>
        <w:rPr>
          <w:rFonts w:hint="eastAsia" w:ascii="宋体" w:hAnsi="宋体"/>
          <w:color w:val="auto"/>
          <w:szCs w:val="21"/>
          <w:highlight w:val="none"/>
        </w:rPr>
        <w:t>进行调解。</w:t>
      </w:r>
    </w:p>
    <w:p w14:paraId="747C0A2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7.3 </w:t>
      </w:r>
      <w:r>
        <w:rPr>
          <w:rFonts w:hint="eastAsia" w:ascii="宋体" w:hAnsi="宋体"/>
          <w:bCs/>
          <w:color w:val="auto"/>
          <w:szCs w:val="21"/>
          <w:highlight w:val="none"/>
        </w:rPr>
        <w:t>仲裁或诉讼</w:t>
      </w:r>
    </w:p>
    <w:p w14:paraId="5331CD6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合同争议的最终解决方式为下列第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w:t>
      </w:r>
    </w:p>
    <w:p w14:paraId="4DA1AD4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（1）提请</w:t>
      </w:r>
      <w:r>
        <w:rPr>
          <w:rFonts w:hint="eastAsia" w:ascii="宋体" w:hAnsi="宋体"/>
          <w:color w:val="auto"/>
          <w:szCs w:val="21"/>
          <w:highlight w:val="none"/>
          <w:u w:val="single"/>
        </w:rPr>
        <w:t xml:space="preserve"> 重庆</w:t>
      </w:r>
      <w:r>
        <w:rPr>
          <w:rFonts w:hint="eastAsia" w:ascii="宋体" w:hAnsi="宋体"/>
          <w:color w:val="auto"/>
          <w:szCs w:val="21"/>
          <w:highlight w:val="none"/>
        </w:rPr>
        <w:t>仲裁委员会进行仲裁。</w:t>
      </w:r>
    </w:p>
    <w:p w14:paraId="63FA746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工程所在地 </w:t>
      </w:r>
      <w:r>
        <w:rPr>
          <w:rFonts w:hint="eastAsia" w:ascii="宋体" w:hAnsi="宋体"/>
          <w:color w:val="auto"/>
          <w:szCs w:val="21"/>
          <w:highlight w:val="none"/>
        </w:rPr>
        <w:t>人民法院提起诉讼。</w:t>
      </w:r>
    </w:p>
    <w:p w14:paraId="3C698E40">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8. 其他</w:t>
      </w:r>
    </w:p>
    <w:p w14:paraId="3A4E8639">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8.2 检测费用</w:t>
      </w:r>
    </w:p>
    <w:p w14:paraId="7083FA5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属于监理业务范围内的平行检测、抽检等正常服务，检测费用由监理人自理。属于委托人额外要求增加的监理人进行的材料和设备检测所发生的检测费用，若检测结果合格，其费用由委托人承担，若检测结果不合格检测费用由责任方承担。委托人应支付的检测费用在检测报告取得后15天内支付。</w:t>
      </w:r>
    </w:p>
    <w:p w14:paraId="2E2D753E">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8.3 咨询费用</w:t>
      </w:r>
    </w:p>
    <w:p w14:paraId="2404E87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在监理业务范围内，如需聘用专家咨询或协助，其费用由监理人承担；由委托人聘用的，其费用由委托人承担。</w:t>
      </w:r>
    </w:p>
    <w:p w14:paraId="29E541C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8.4 奖励</w:t>
      </w:r>
    </w:p>
    <w:p w14:paraId="0DA162E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合理化建议的奖励金额按下列方法确定为：</w:t>
      </w:r>
    </w:p>
    <w:p w14:paraId="3FFA91F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奖励金额＝工程投资节省额×奖励金额的比率；</w:t>
      </w:r>
    </w:p>
    <w:p w14:paraId="75002D7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奖励金额的比率为</w:t>
      </w:r>
      <w:r>
        <w:rPr>
          <w:rFonts w:hint="eastAsia" w:ascii="宋体" w:hAnsi="宋体"/>
          <w:color w:val="auto"/>
          <w:szCs w:val="21"/>
          <w:highlight w:val="none"/>
          <w:u w:val="single"/>
        </w:rPr>
        <w:t>5%-10</w:t>
      </w:r>
      <w:r>
        <w:rPr>
          <w:rFonts w:hint="eastAsia" w:ascii="宋体" w:hAnsi="宋体"/>
          <w:color w:val="auto"/>
          <w:szCs w:val="21"/>
          <w:highlight w:val="none"/>
        </w:rPr>
        <w:t>%。</w:t>
      </w:r>
    </w:p>
    <w:p w14:paraId="3F7D37F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 通知</w:t>
      </w:r>
    </w:p>
    <w:p w14:paraId="592E5D4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8.5.1双方确认如下方式为通知（包括诉讼文书）送达地址</w:t>
      </w:r>
    </w:p>
    <w:p w14:paraId="69C3607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8.5.1.1 委托人通讯地址：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；联系人（收件人）：</w:t>
      </w:r>
      <w:r>
        <w:rPr>
          <w:rFonts w:hint="eastAsia" w:ascii="宋体" w:hAnsi="宋体"/>
          <w:color w:val="auto"/>
          <w:szCs w:val="21"/>
          <w:highlight w:val="none"/>
          <w:u w:val="single"/>
        </w:rPr>
        <w:t xml:space="preserve">       </w:t>
      </w: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DAB1E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8.5.1.2 监理人通讯地址：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；联系人（收件人）：</w:t>
      </w:r>
      <w:r>
        <w:rPr>
          <w:rFonts w:hint="eastAsia" w:ascii="宋体" w:hAnsi="宋体"/>
          <w:color w:val="auto"/>
          <w:szCs w:val="21"/>
          <w:highlight w:val="none"/>
          <w:u w:val="single"/>
        </w:rPr>
        <w:t xml:space="preserve">       </w:t>
      </w: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D05655B">
      <w:pPr>
        <w:widowControl/>
        <w:spacing w:line="360" w:lineRule="auto"/>
        <w:ind w:right="-656" w:firstLine="424"/>
        <w:jc w:val="left"/>
        <w:rPr>
          <w:rFonts w:hint="eastAsia" w:ascii="宋体" w:hAnsi="宋体"/>
          <w:color w:val="auto"/>
          <w:szCs w:val="21"/>
          <w:highlight w:val="none"/>
        </w:rPr>
      </w:pPr>
      <w:r>
        <w:rPr>
          <w:rFonts w:hint="eastAsia" w:ascii="宋体" w:hAnsi="宋体"/>
          <w:color w:val="auto"/>
          <w:szCs w:val="21"/>
          <w:highlight w:val="none"/>
        </w:rPr>
        <w:t>8.5.2若一方送达地址、联系人、联系电话发生变更，应书面告知另一方。变更通知送达前，另一方按前述方式送达的文书均视为有效送达，并产生相应法律效力。若当面送达拒绝签收，一方选择邮寄时，自寄出三日起，则视为有效送达。在因本合同及本合同相关事宜发生诉讼/仲裁的情形下，上述约定的各方通信地址，同时作为各方的诉讼/仲裁文书送达地址，该通信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18CD547E">
      <w:pPr>
        <w:widowControl/>
        <w:spacing w:line="360" w:lineRule="auto"/>
        <w:ind w:right="-656" w:firstLine="424"/>
        <w:jc w:val="left"/>
        <w:rPr>
          <w:color w:val="auto"/>
          <w:highlight w:val="none"/>
        </w:rPr>
      </w:pPr>
      <w:r>
        <w:rPr>
          <w:rFonts w:hint="eastAsia" w:ascii="宋体" w:hAnsi="宋体"/>
          <w:color w:val="auto"/>
          <w:szCs w:val="21"/>
          <w:highlight w:val="none"/>
        </w:rPr>
        <w:t>8.5.3若通讯地址为空白，则以国家企业信用信息公示系统查询的住所作为通讯地址。</w:t>
      </w:r>
    </w:p>
    <w:p w14:paraId="1C23A5A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8.6 保密</w:t>
      </w:r>
    </w:p>
    <w:p w14:paraId="1D6FA1A0">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委托人申明的保密事项和期限：</w:t>
      </w:r>
      <w:r>
        <w:rPr>
          <w:rFonts w:hint="eastAsia" w:ascii="宋体" w:hAnsi="宋体"/>
          <w:color w:val="auto"/>
          <w:szCs w:val="21"/>
          <w:highlight w:val="none"/>
          <w:u w:val="single"/>
        </w:rPr>
        <w:t xml:space="preserve">     本项目的所有资料长期保密，未经委托人事先书面同意，监理人不得对外透露本项目的任何信息，否则监理人应赔偿委托人的一切损失   </w:t>
      </w:r>
      <w:r>
        <w:rPr>
          <w:rFonts w:hint="eastAsia" w:ascii="宋体" w:hAnsi="宋体"/>
          <w:color w:val="auto"/>
          <w:szCs w:val="21"/>
          <w:highlight w:val="none"/>
        </w:rPr>
        <w:t>。</w:t>
      </w:r>
    </w:p>
    <w:p w14:paraId="6169D8B5">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监理人申明的保密事项和期限：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1840D02">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第三方申明的保密事项和期限：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352166F">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8.8</w:t>
      </w:r>
      <w:r>
        <w:rPr>
          <w:rFonts w:hint="eastAsia" w:ascii="宋体" w:hAnsi="宋体"/>
          <w:bCs/>
          <w:color w:val="auto"/>
          <w:szCs w:val="21"/>
          <w:highlight w:val="none"/>
        </w:rPr>
        <w:t>著作权</w:t>
      </w:r>
    </w:p>
    <w:p w14:paraId="777143C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监理人在本合同履行期间及本合同终止后两年内出版涉及本工程的有关监理与相关服务的资料的限制条件：</w:t>
      </w:r>
      <w:r>
        <w:rPr>
          <w:rFonts w:hint="eastAsia" w:ascii="宋体" w:hAnsi="宋体"/>
          <w:color w:val="auto"/>
          <w:szCs w:val="21"/>
          <w:highlight w:val="none"/>
          <w:u w:val="single"/>
        </w:rPr>
        <w:t xml:space="preserve">  形成的知识成果归委托人所有，若监理人使用需经委托人同意 </w:t>
      </w:r>
      <w:r>
        <w:rPr>
          <w:rFonts w:hint="eastAsia" w:ascii="宋体" w:hAnsi="宋体"/>
          <w:color w:val="auto"/>
          <w:szCs w:val="21"/>
          <w:highlight w:val="none"/>
        </w:rPr>
        <w:t>。</w:t>
      </w:r>
    </w:p>
    <w:p w14:paraId="441AEB6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 补充条款</w:t>
      </w:r>
    </w:p>
    <w:p w14:paraId="6E9E33E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9.1履约担保：</w:t>
      </w:r>
    </w:p>
    <w:p w14:paraId="6CC9A449">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9.1.1担保形式：</w:t>
      </w:r>
      <w:r>
        <w:rPr>
          <w:rStyle w:val="47"/>
          <w:rFonts w:hint="eastAsia" w:ascii="宋体" w:hAnsi="宋体" w:cs="宋体"/>
          <w:color w:val="auto"/>
          <w:kern w:val="0"/>
          <w:szCs w:val="21"/>
          <w:highlight w:val="none"/>
          <w:u w:val="single"/>
        </w:rPr>
        <w:t>经委托人认可的商业担保、现金均可；</w:t>
      </w:r>
      <w:r>
        <w:rPr>
          <w:rStyle w:val="47"/>
          <w:rFonts w:hint="eastAsia" w:ascii="宋体" w:hAnsi="宋体" w:cs="宋体"/>
          <w:color w:val="auto"/>
          <w:kern w:val="0"/>
          <w:szCs w:val="21"/>
          <w:highlight w:val="none"/>
        </w:rPr>
        <w:t>；</w:t>
      </w:r>
    </w:p>
    <w:p w14:paraId="552A6936">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9.1.2担保金额：</w:t>
      </w:r>
      <w:r>
        <w:rPr>
          <w:rStyle w:val="47"/>
          <w:rFonts w:hint="eastAsia" w:ascii="宋体" w:hAnsi="宋体" w:cs="宋体"/>
          <w:color w:val="auto"/>
          <w:kern w:val="0"/>
          <w:szCs w:val="21"/>
          <w:highlight w:val="none"/>
          <w:u w:val="single"/>
        </w:rPr>
        <w:t xml:space="preserve">  合同签约金额的10%  ；</w:t>
      </w:r>
    </w:p>
    <w:p w14:paraId="601BE992">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9.1.3提交时间：承包人领取中选通知书后，并作为签订合同的必备条件。其中：</w:t>
      </w:r>
    </w:p>
    <w:p w14:paraId="7B3DEC1E">
      <w:pPr>
        <w:snapToGrid w:val="0"/>
        <w:spacing w:after="48" w:line="400" w:lineRule="exact"/>
        <w:ind w:firstLine="420" w:firstLineChars="200"/>
        <w:rPr>
          <w:rStyle w:val="47"/>
          <w:rFonts w:hint="eastAsia" w:ascii="宋体" w:hAnsi="宋体" w:cs="宋体"/>
          <w:color w:val="auto"/>
          <w:kern w:val="0"/>
          <w:szCs w:val="21"/>
          <w:highlight w:val="none"/>
        </w:rPr>
      </w:pPr>
      <w:r>
        <w:rPr>
          <w:rStyle w:val="47"/>
          <w:rFonts w:hint="eastAsia" w:ascii="宋体" w:hAnsi="宋体" w:cs="宋体"/>
          <w:color w:val="auto"/>
          <w:kern w:val="0"/>
          <w:szCs w:val="21"/>
          <w:highlight w:val="none"/>
        </w:rPr>
        <w:t>①履约担保采用商业担保的，保函必须为发包人认可的担保公司或银行提供的不可撤销且见索即付，且应选择在渝依法设立总部或者设有分支机构的金融机构开具履约保函（包括纸质保函或电子保函）；</w:t>
      </w:r>
    </w:p>
    <w:p w14:paraId="20505031">
      <w:pPr>
        <w:snapToGrid w:val="0"/>
        <w:spacing w:after="48" w:line="400" w:lineRule="exact"/>
        <w:ind w:firstLine="420" w:firstLineChars="200"/>
        <w:rPr>
          <w:rStyle w:val="47"/>
          <w:rFonts w:hint="eastAsia" w:ascii="宋体" w:hAnsi="宋体" w:cs="宋体"/>
          <w:color w:val="auto"/>
          <w:kern w:val="0"/>
          <w:szCs w:val="21"/>
          <w:highlight w:val="none"/>
        </w:rPr>
      </w:pPr>
      <w:r>
        <w:rPr>
          <w:rStyle w:val="47"/>
          <w:rFonts w:hint="eastAsia" w:ascii="宋体" w:hAnsi="宋体" w:cs="宋体"/>
          <w:color w:val="auto"/>
          <w:kern w:val="0"/>
          <w:szCs w:val="21"/>
          <w:highlight w:val="none"/>
        </w:rPr>
        <w:t>②履约担保为银行转账的，承包人须从其企业基本账户将相应的履约担保金额打入比选人下述指定账户。</w:t>
      </w:r>
    </w:p>
    <w:p w14:paraId="65865900">
      <w:pPr>
        <w:snapToGrid w:val="0"/>
        <w:spacing w:after="48" w:line="400" w:lineRule="exact"/>
        <w:ind w:firstLine="420" w:firstLineChars="200"/>
        <w:rPr>
          <w:rStyle w:val="47"/>
          <w:rFonts w:ascii="宋体" w:hAnsi="宋体" w:cs="宋体"/>
          <w:color w:val="auto"/>
          <w:highlight w:val="none"/>
        </w:rPr>
      </w:pPr>
      <w:r>
        <w:rPr>
          <w:rStyle w:val="47"/>
          <w:rFonts w:hint="eastAsia" w:ascii="宋体" w:hAnsi="宋体" w:cs="宋体"/>
          <w:color w:val="auto"/>
          <w:highlight w:val="none"/>
        </w:rPr>
        <w:t>9.1.4退还时间：施工完成后通过审核并经发包人认可后退还（履约保证金不计算利息）。</w:t>
      </w:r>
    </w:p>
    <w:p w14:paraId="484DA3B1">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9.1.5 贯彻落实上级文件精神，进一步减轻企业负担，主要推行以保函方式缴纳，由承包人根据自身情况自行选择缴纳方式。</w:t>
      </w:r>
    </w:p>
    <w:p w14:paraId="6AB0087C">
      <w:pPr>
        <w:overflowPunct w:val="0"/>
        <w:autoSpaceDE w:val="0"/>
        <w:autoSpaceDN w:val="0"/>
        <w:adjustRightInd w:val="0"/>
        <w:snapToGrid w:val="0"/>
        <w:spacing w:line="360" w:lineRule="auto"/>
        <w:ind w:firstLine="422" w:firstLineChars="200"/>
        <w:jc w:val="left"/>
        <w:rPr>
          <w:rFonts w:ascii="宋体" w:hAnsi="宋体"/>
          <w:snapToGrid w:val="0"/>
          <w:color w:val="auto"/>
          <w:kern w:val="0"/>
          <w:szCs w:val="21"/>
          <w:highlight w:val="none"/>
        </w:rPr>
      </w:pPr>
      <w:r>
        <w:rPr>
          <w:rStyle w:val="47"/>
          <w:rFonts w:ascii="宋体" w:hAnsi="宋体"/>
          <w:b/>
          <w:bCs/>
          <w:color w:val="auto"/>
          <w:kern w:val="0"/>
          <w:szCs w:val="21"/>
          <w:highlight w:val="none"/>
        </w:rPr>
        <w:t>注：</w:t>
      </w:r>
      <w:r>
        <w:rPr>
          <w:rStyle w:val="47"/>
          <w:rFonts w:hint="eastAsia" w:ascii="宋体" w:hAnsi="宋体"/>
          <w:b/>
          <w:bCs/>
          <w:color w:val="auto"/>
          <w:kern w:val="0"/>
          <w:szCs w:val="21"/>
          <w:highlight w:val="none"/>
        </w:rPr>
        <w:t>1</w:t>
      </w:r>
      <w:r>
        <w:rPr>
          <w:rStyle w:val="47"/>
          <w:rFonts w:ascii="宋体" w:hAnsi="宋体"/>
          <w:b/>
          <w:bCs/>
          <w:color w:val="auto"/>
          <w:kern w:val="0"/>
          <w:szCs w:val="21"/>
          <w:highlight w:val="none"/>
        </w:rPr>
        <w:t>.</w:t>
      </w:r>
      <w:r>
        <w:rPr>
          <w:rStyle w:val="47"/>
          <w:rFonts w:hint="eastAsia" w:ascii="宋体" w:hAnsi="宋体"/>
          <w:b/>
          <w:bCs/>
          <w:color w:val="auto"/>
          <w:kern w:val="0"/>
          <w:szCs w:val="21"/>
          <w:highlight w:val="none"/>
        </w:rPr>
        <w:t>承包人</w:t>
      </w:r>
      <w:r>
        <w:rPr>
          <w:rStyle w:val="47"/>
          <w:rFonts w:ascii="宋体" w:hAnsi="宋体"/>
          <w:b/>
          <w:bCs/>
          <w:color w:val="auto"/>
          <w:kern w:val="0"/>
          <w:szCs w:val="21"/>
          <w:highlight w:val="none"/>
        </w:rPr>
        <w:t>提供虚假银行保函的，</w:t>
      </w:r>
      <w:r>
        <w:rPr>
          <w:rStyle w:val="47"/>
          <w:rFonts w:hint="eastAsia" w:ascii="宋体" w:hAnsi="宋体"/>
          <w:b/>
          <w:bCs/>
          <w:color w:val="auto"/>
          <w:kern w:val="0"/>
          <w:szCs w:val="21"/>
          <w:highlight w:val="none"/>
        </w:rPr>
        <w:t>发包人</w:t>
      </w:r>
      <w:r>
        <w:rPr>
          <w:rStyle w:val="47"/>
          <w:rFonts w:ascii="宋体" w:hAnsi="宋体"/>
          <w:b/>
          <w:bCs/>
          <w:color w:val="auto"/>
          <w:kern w:val="0"/>
          <w:szCs w:val="21"/>
          <w:highlight w:val="none"/>
        </w:rPr>
        <w:t>取消其</w:t>
      </w:r>
      <w:r>
        <w:rPr>
          <w:rStyle w:val="47"/>
          <w:rFonts w:hint="eastAsia" w:ascii="宋体" w:hAnsi="宋体"/>
          <w:b/>
          <w:bCs/>
          <w:color w:val="auto"/>
          <w:kern w:val="0"/>
          <w:szCs w:val="21"/>
          <w:highlight w:val="none"/>
        </w:rPr>
        <w:t>中选</w:t>
      </w:r>
      <w:r>
        <w:rPr>
          <w:rStyle w:val="47"/>
          <w:rFonts w:ascii="宋体" w:hAnsi="宋体"/>
          <w:b/>
          <w:bCs/>
          <w:color w:val="auto"/>
          <w:kern w:val="0"/>
          <w:szCs w:val="21"/>
          <w:highlight w:val="none"/>
        </w:rPr>
        <w:t>资格，</w:t>
      </w:r>
      <w:r>
        <w:rPr>
          <w:rStyle w:val="47"/>
          <w:rFonts w:hint="eastAsia" w:ascii="宋体" w:hAnsi="宋体"/>
          <w:b/>
          <w:bCs/>
          <w:color w:val="auto"/>
          <w:kern w:val="0"/>
          <w:szCs w:val="21"/>
          <w:highlight w:val="none"/>
        </w:rPr>
        <w:t>比选保证金</w:t>
      </w:r>
      <w:r>
        <w:rPr>
          <w:rStyle w:val="47"/>
          <w:rFonts w:ascii="宋体" w:hAnsi="宋体"/>
          <w:b/>
          <w:bCs/>
          <w:color w:val="auto"/>
          <w:kern w:val="0"/>
          <w:szCs w:val="21"/>
          <w:highlight w:val="none"/>
        </w:rPr>
        <w:t>不予退还，同时</w:t>
      </w:r>
      <w:r>
        <w:rPr>
          <w:rStyle w:val="47"/>
          <w:rFonts w:hint="eastAsia" w:ascii="宋体" w:hAnsi="宋体"/>
          <w:b/>
          <w:bCs/>
          <w:color w:val="auto"/>
          <w:kern w:val="0"/>
          <w:szCs w:val="21"/>
          <w:highlight w:val="none"/>
        </w:rPr>
        <w:t>由比选人将其不良行为上报监督部门记分处理并</w:t>
      </w:r>
      <w:r>
        <w:rPr>
          <w:rStyle w:val="47"/>
          <w:rFonts w:ascii="宋体" w:hAnsi="宋体"/>
          <w:b/>
          <w:bCs/>
          <w:color w:val="auto"/>
          <w:kern w:val="0"/>
          <w:szCs w:val="21"/>
          <w:highlight w:val="none"/>
        </w:rPr>
        <w:t>纳入黑名单。</w:t>
      </w:r>
      <w:r>
        <w:rPr>
          <w:rStyle w:val="47"/>
          <w:rFonts w:hint="eastAsia" w:ascii="宋体" w:hAnsi="宋体"/>
          <w:b/>
          <w:bCs/>
          <w:color w:val="auto"/>
          <w:kern w:val="0"/>
          <w:szCs w:val="21"/>
          <w:highlight w:val="none"/>
        </w:rPr>
        <w:t>2</w:t>
      </w:r>
      <w:r>
        <w:rPr>
          <w:rStyle w:val="47"/>
          <w:rFonts w:ascii="宋体" w:hAnsi="宋体"/>
          <w:b/>
          <w:bCs/>
          <w:color w:val="auto"/>
          <w:kern w:val="0"/>
          <w:szCs w:val="21"/>
          <w:highlight w:val="none"/>
        </w:rPr>
        <w:t>.</w:t>
      </w:r>
      <w:r>
        <w:rPr>
          <w:rStyle w:val="47"/>
          <w:rFonts w:hint="eastAsia" w:ascii="宋体" w:hAnsi="宋体"/>
          <w:b/>
          <w:bCs/>
          <w:color w:val="auto"/>
          <w:kern w:val="0"/>
          <w:szCs w:val="21"/>
          <w:highlight w:val="none"/>
        </w:rPr>
        <w:t>中选</w:t>
      </w:r>
      <w:r>
        <w:rPr>
          <w:rStyle w:val="47"/>
          <w:rFonts w:ascii="宋体" w:hAnsi="宋体"/>
          <w:b/>
          <w:bCs/>
          <w:color w:val="auto"/>
          <w:kern w:val="0"/>
          <w:szCs w:val="21"/>
          <w:highlight w:val="none"/>
        </w:rPr>
        <w:t>通知书发出之日起30日内，比选人与</w:t>
      </w:r>
      <w:r>
        <w:rPr>
          <w:rStyle w:val="47"/>
          <w:rFonts w:hint="eastAsia" w:ascii="宋体" w:hAnsi="宋体"/>
          <w:b/>
          <w:bCs/>
          <w:color w:val="auto"/>
          <w:kern w:val="0"/>
          <w:szCs w:val="21"/>
          <w:highlight w:val="none"/>
        </w:rPr>
        <w:t>承包人</w:t>
      </w:r>
      <w:r>
        <w:rPr>
          <w:rStyle w:val="47"/>
          <w:rFonts w:ascii="宋体" w:hAnsi="宋体"/>
          <w:b/>
          <w:bCs/>
          <w:color w:val="auto"/>
          <w:kern w:val="0"/>
          <w:szCs w:val="21"/>
          <w:highlight w:val="none"/>
        </w:rPr>
        <w:t>须完成合同签订事宜。</w:t>
      </w:r>
    </w:p>
    <w:p w14:paraId="4EF3949A">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9.2缺陷责任期：</w:t>
      </w:r>
      <w:r>
        <w:rPr>
          <w:rFonts w:hint="eastAsia" w:ascii="宋体" w:hAnsi="宋体"/>
          <w:color w:val="auto"/>
          <w:szCs w:val="21"/>
          <w:highlight w:val="none"/>
          <w:u w:val="single"/>
        </w:rPr>
        <w:t xml:space="preserve"> 24 </w:t>
      </w:r>
      <w:r>
        <w:rPr>
          <w:rFonts w:hint="eastAsia" w:ascii="宋体" w:hAnsi="宋体"/>
          <w:color w:val="auto"/>
          <w:szCs w:val="21"/>
          <w:highlight w:val="none"/>
        </w:rPr>
        <w:t>个月。</w:t>
      </w:r>
    </w:p>
    <w:p w14:paraId="2168AE78">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9.3监理人从事项目监理一切工作必须服从委托人协调管理，对委托人负责。施工现场的变更签证等应得到委托人意后方可生效。监理人处理承包人文件时限为7天。</w:t>
      </w:r>
    </w:p>
    <w:p w14:paraId="0E2EEC76">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9.4对于工程所用的重要原材料、构配件、设备的规格、型号、性能、质量等发生疑问时</w:t>
      </w:r>
      <w:r>
        <w:rPr>
          <w:rFonts w:ascii="宋体" w:hAnsi="宋体"/>
          <w:color w:val="auto"/>
          <w:szCs w:val="21"/>
          <w:highlight w:val="none"/>
        </w:rPr>
        <w:t>，</w:t>
      </w:r>
      <w:r>
        <w:rPr>
          <w:rFonts w:hint="eastAsia" w:ascii="宋体" w:hAnsi="宋体"/>
          <w:color w:val="auto"/>
          <w:szCs w:val="21"/>
          <w:highlight w:val="none"/>
        </w:rPr>
        <w:t>监理人有权要求责任者在征得委托人同意后送指定的检测单位复试</w:t>
      </w:r>
      <w:r>
        <w:rPr>
          <w:rFonts w:ascii="宋体" w:hAnsi="宋体"/>
          <w:color w:val="auto"/>
          <w:szCs w:val="21"/>
          <w:highlight w:val="none"/>
        </w:rPr>
        <w:t>，</w:t>
      </w:r>
      <w:r>
        <w:rPr>
          <w:rFonts w:hint="eastAsia" w:ascii="宋体" w:hAnsi="宋体"/>
          <w:color w:val="auto"/>
          <w:szCs w:val="21"/>
          <w:highlight w:val="none"/>
        </w:rPr>
        <w:t>并通知承包人。若复试合格</w:t>
      </w:r>
      <w:r>
        <w:rPr>
          <w:rFonts w:ascii="宋体" w:hAnsi="宋体"/>
          <w:color w:val="auto"/>
          <w:szCs w:val="21"/>
          <w:highlight w:val="none"/>
        </w:rPr>
        <w:t>，</w:t>
      </w:r>
      <w:r>
        <w:rPr>
          <w:rFonts w:hint="eastAsia" w:ascii="宋体" w:hAnsi="宋体"/>
          <w:color w:val="auto"/>
          <w:szCs w:val="21"/>
          <w:highlight w:val="none"/>
        </w:rPr>
        <w:t>费用由委托人负责</w:t>
      </w:r>
      <w:r>
        <w:rPr>
          <w:rFonts w:ascii="宋体" w:hAnsi="宋体"/>
          <w:color w:val="auto"/>
          <w:szCs w:val="21"/>
          <w:highlight w:val="none"/>
        </w:rPr>
        <w:t>，</w:t>
      </w:r>
      <w:r>
        <w:rPr>
          <w:rFonts w:hint="eastAsia" w:ascii="宋体" w:hAnsi="宋体"/>
          <w:color w:val="auto"/>
          <w:szCs w:val="21"/>
          <w:highlight w:val="none"/>
        </w:rPr>
        <w:t>否则由承包人负责。但这种复试应得到业主认可并通知承包人。</w:t>
      </w:r>
    </w:p>
    <w:p w14:paraId="12955965">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kern w:val="0"/>
          <w:szCs w:val="21"/>
          <w:highlight w:val="none"/>
        </w:rPr>
      </w:pPr>
      <w:r>
        <w:rPr>
          <w:rFonts w:hint="eastAsia" w:ascii="宋体" w:hAnsi="宋体"/>
          <w:color w:val="auto"/>
          <w:szCs w:val="21"/>
          <w:highlight w:val="none"/>
        </w:rPr>
        <w:t>9.5</w:t>
      </w:r>
      <w:r>
        <w:rPr>
          <w:rFonts w:hint="eastAsia" w:ascii="宋体" w:hAnsi="宋体"/>
          <w:color w:val="auto"/>
          <w:kern w:val="0"/>
          <w:szCs w:val="21"/>
          <w:highlight w:val="none"/>
        </w:rPr>
        <w:t>监理人员工资、加班费、福利费、工会经费、教育经费、养老保险、住房公积金、办公费、差旅费、通讯费、现场补贴、公司管理费、现场必备的检测设备和交通工具的购置及使用费用以及住宿费、电话费、水电费、交通费、安全措施费、保险费、办公场所费、智慧平台建设费等为完成本工程监理服务所需的全部费用均含在监理人正常工作酬金内。</w:t>
      </w:r>
    </w:p>
    <w:p w14:paraId="30434AC6">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kern w:val="0"/>
          <w:szCs w:val="21"/>
          <w:highlight w:val="none"/>
        </w:rPr>
      </w:pPr>
      <w:r>
        <w:rPr>
          <w:rFonts w:hint="eastAsia" w:ascii="宋体" w:hAnsi="宋体"/>
          <w:color w:val="auto"/>
          <w:kern w:val="0"/>
          <w:szCs w:val="21"/>
          <w:highlight w:val="none"/>
        </w:rPr>
        <w:t>智慧平台建设费：建设智慧平台管理第三方单位管理培训费：XXX元（大写：XXX元整），承包人在合同签订后一次性支付给第三方单位管理培训机构。(合同签约金额20万元以下无费用；合同签约金额20万-50万（含）费用500元；合同签约金额50万-100万（含）费用1000元；合同签约金额100万-500万（含）费用2000元；合同签约金额500万-1000万（含）费用3000元；合同签约金额1000万以上取万分之二，不足3000元按3000元计。若同一单位无需增加系统端口，则取最高签约合同金额缴费一次，不再重复缴费。）</w:t>
      </w:r>
    </w:p>
    <w:p w14:paraId="011A215E">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kern w:val="0"/>
          <w:szCs w:val="21"/>
          <w:highlight w:val="none"/>
        </w:rPr>
        <w:t>9.6</w:t>
      </w:r>
      <w:r>
        <w:rPr>
          <w:rFonts w:hint="eastAsia" w:ascii="宋体" w:hAnsi="宋体"/>
          <w:color w:val="auto"/>
          <w:szCs w:val="21"/>
          <w:highlight w:val="none"/>
        </w:rPr>
        <w:t>属于合同范围内的正常服务，差旅费由监理人自理。根据委托人特殊要求对某些关键、重要的原材料、构配件、设备生产厂家进行考察或对主要设备进行工厂验收，并征得委托人同意，所发生的差旅费（重庆市外）由委托人负责报销。</w:t>
      </w:r>
    </w:p>
    <w:p w14:paraId="5C9C4A9C">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9.7监理人应按国家规定办理必要的保险，费用自行解决。</w:t>
      </w:r>
    </w:p>
    <w:p w14:paraId="0ABBE493">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9.8监理人利用本项目监理中形成的技术成果（或无实质性修改后）进行商业性服务得到的利润与委托人分成。</w:t>
      </w:r>
    </w:p>
    <w:p w14:paraId="59875AA0">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9.9本合同到期日，监理人应在合同完成日起一个月内向城建档案管理部门和委托人提交管理期内监理全部管理资料各一套，逾期交付时，每逾期一日，按照10000元/日的标准向委托人承担损失，若其他条款另有约定，同时适用。</w:t>
      </w:r>
    </w:p>
    <w:p w14:paraId="57C3F354">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9.10因政策调整等原因终止工程的，监理费用按实际工程量结算。</w:t>
      </w:r>
    </w:p>
    <w:p w14:paraId="2ED01BF5">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9.11监理单位应当遵守并执行附件3《</w:t>
      </w:r>
      <w:r>
        <w:rPr>
          <w:rFonts w:ascii="宋体" w:hAnsi="宋体"/>
          <w:color w:val="auto"/>
          <w:szCs w:val="21"/>
          <w:highlight w:val="none"/>
        </w:rPr>
        <w:t>工程建设项目监理管理要求</w:t>
      </w:r>
      <w:r>
        <w:rPr>
          <w:rFonts w:hint="eastAsia" w:ascii="宋体" w:hAnsi="宋体"/>
          <w:color w:val="auto"/>
          <w:szCs w:val="21"/>
          <w:highlight w:val="none"/>
        </w:rPr>
        <w:t>》的规定，并承当相应违约责任，监理单位违反该规定所产生的违约金、罚款、赔偿金等，发包单位有权在应付监理单位的任何一笔款项中或履约保证金直接扣除。本合同约定与《</w:t>
      </w:r>
      <w:r>
        <w:rPr>
          <w:rFonts w:ascii="宋体" w:hAnsi="宋体"/>
          <w:color w:val="auto"/>
          <w:szCs w:val="21"/>
          <w:highlight w:val="none"/>
        </w:rPr>
        <w:t>工程建设项目监理管理要求</w:t>
      </w:r>
      <w:r>
        <w:rPr>
          <w:rFonts w:hint="eastAsia" w:ascii="宋体" w:hAnsi="宋体"/>
          <w:color w:val="auto"/>
          <w:szCs w:val="21"/>
          <w:highlight w:val="none"/>
        </w:rPr>
        <w:t>》规定内容不一致的，以本合同约定为准。</w:t>
      </w:r>
    </w:p>
    <w:p w14:paraId="1ED62ED5">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9.12按行业主管部门要求完成监理合同备案，因监理人原因未能在合同签订后30天内完成备案手续的，按500元/天计算监理人给委托人造成的损失。</w:t>
      </w:r>
    </w:p>
    <w:p w14:paraId="533BAD19">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9.13 监理人必须遵守发包人单位的管理规章制度。</w:t>
      </w:r>
    </w:p>
    <w:p w14:paraId="0D6781E7">
      <w:pPr>
        <w:pStyle w:val="2"/>
        <w:rPr>
          <w:rFonts w:hint="eastAsia" w:ascii="宋体" w:hAnsi="宋体"/>
          <w:bCs/>
          <w:color w:val="auto"/>
          <w:sz w:val="24"/>
          <w:highlight w:val="none"/>
        </w:rPr>
      </w:pPr>
      <w:r>
        <w:rPr>
          <w:rFonts w:hint="eastAsia" w:ascii="宋体" w:hAnsi="宋体"/>
          <w:color w:val="auto"/>
          <w:szCs w:val="21"/>
          <w:highlight w:val="none"/>
        </w:rPr>
        <w:t xml:space="preserve">   </w:t>
      </w:r>
      <w:r>
        <w:rPr>
          <w:rFonts w:hint="eastAsia" w:ascii="宋体" w:hAnsi="宋体"/>
          <w:caps w:val="0"/>
          <w:color w:val="auto"/>
          <w:sz w:val="21"/>
          <w:szCs w:val="21"/>
          <w:highlight w:val="none"/>
        </w:rPr>
        <w:t xml:space="preserve"> 9.14 符合重庆市住房和城乡建设委员会《关于实施房屋市政工程监理工作“十不准”规定》。</w:t>
      </w:r>
    </w:p>
    <w:p w14:paraId="61E59E8C">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16E775F0">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3224C4F7">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23457150">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04C73FB4">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7851E182">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3D591A1B">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65D722C5">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26A251C3">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39FC18E1">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63AA2F79">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20D4E4A8">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2E503D78">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73965049">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67FE9C80">
      <w:pPr>
        <w:overflowPunct w:val="0"/>
        <w:autoSpaceDE w:val="0"/>
        <w:autoSpaceDN w:val="0"/>
        <w:adjustRightInd w:val="0"/>
        <w:snapToGrid w:val="0"/>
        <w:spacing w:line="420" w:lineRule="exact"/>
        <w:outlineLvl w:val="2"/>
        <w:rPr>
          <w:rFonts w:ascii="宋体" w:hAnsi="宋体"/>
          <w:bCs/>
          <w:color w:val="auto"/>
          <w:sz w:val="24"/>
          <w:highlight w:val="none"/>
        </w:rPr>
      </w:pPr>
      <w:r>
        <w:rPr>
          <w:rFonts w:hint="eastAsia" w:ascii="宋体" w:hAnsi="宋体"/>
          <w:bCs/>
          <w:color w:val="auto"/>
          <w:sz w:val="24"/>
          <w:highlight w:val="none"/>
        </w:rPr>
        <w:t xml:space="preserve">附录1  </w:t>
      </w:r>
    </w:p>
    <w:p w14:paraId="6B592C76">
      <w:pPr>
        <w:overflowPunct w:val="0"/>
        <w:autoSpaceDE w:val="0"/>
        <w:autoSpaceDN w:val="0"/>
        <w:adjustRightInd w:val="0"/>
        <w:snapToGrid w:val="0"/>
        <w:spacing w:line="420" w:lineRule="exact"/>
        <w:jc w:val="center"/>
        <w:rPr>
          <w:rFonts w:ascii="宋体" w:hAnsi="宋体"/>
          <w:bCs/>
          <w:color w:val="auto"/>
          <w:sz w:val="32"/>
          <w:szCs w:val="32"/>
          <w:highlight w:val="none"/>
        </w:rPr>
      </w:pPr>
      <w:r>
        <w:rPr>
          <w:rFonts w:hint="eastAsia" w:ascii="宋体" w:hAnsi="宋体"/>
          <w:bCs/>
          <w:color w:val="auto"/>
          <w:sz w:val="32"/>
          <w:szCs w:val="32"/>
          <w:highlight w:val="none"/>
        </w:rPr>
        <w:t>相关服务的范围和内容</w:t>
      </w:r>
    </w:p>
    <w:p w14:paraId="14A90F58">
      <w:pPr>
        <w:numPr>
          <w:ilvl w:val="1"/>
          <w:numId w:val="4"/>
        </w:numPr>
        <w:overflowPunct w:val="0"/>
        <w:autoSpaceDE w:val="0"/>
        <w:autoSpaceDN w:val="0"/>
        <w:adjustRightInd w:val="0"/>
        <w:snapToGrid w:val="0"/>
        <w:spacing w:line="360" w:lineRule="auto"/>
        <w:jc w:val="left"/>
        <w:textAlignment w:val="baseline"/>
        <w:rPr>
          <w:rFonts w:hint="eastAsia" w:ascii="宋体" w:hAnsi="宋体"/>
          <w:color w:val="auto"/>
          <w:szCs w:val="21"/>
          <w:highlight w:val="none"/>
        </w:rPr>
      </w:pPr>
      <w:r>
        <w:rPr>
          <w:rFonts w:hint="eastAsia" w:ascii="宋体" w:hAnsi="宋体"/>
          <w:bCs/>
          <w:color w:val="auto"/>
          <w:sz w:val="24"/>
          <w:highlight w:val="none"/>
        </w:rPr>
        <w:t>保修阶段：</w:t>
      </w:r>
    </w:p>
    <w:p w14:paraId="45CCCD75">
      <w:pPr>
        <w:overflowPunct w:val="0"/>
        <w:autoSpaceDE w:val="0"/>
        <w:autoSpaceDN w:val="0"/>
        <w:adjustRightInd w:val="0"/>
        <w:snapToGrid w:val="0"/>
        <w:spacing w:line="360" w:lineRule="auto"/>
        <w:ind w:firstLine="630" w:firstLineChars="300"/>
        <w:jc w:val="left"/>
        <w:textAlignment w:val="baseline"/>
        <w:rPr>
          <w:rFonts w:ascii="宋体" w:hAnsi="宋体"/>
          <w:color w:val="auto"/>
          <w:szCs w:val="21"/>
          <w:highlight w:val="none"/>
        </w:rPr>
      </w:pPr>
      <w:r>
        <w:rPr>
          <w:rFonts w:hint="eastAsia" w:ascii="宋体" w:hAnsi="宋体"/>
          <w:color w:val="auto"/>
          <w:szCs w:val="21"/>
          <w:highlight w:val="none"/>
        </w:rPr>
        <w:t>监理单位须督促施工单位在保修期限及缺陷责任期内履行相关义务，其中绿化植物存要求活率应达到100%，在养护期内死亡的植物，应立刻更换（因季节性气温影响除外），更换后的植物养护期及保修期按照更换日期重新计算；督促施工单位按《城市绿化养护质量标准》（DBJ50/T-098-2019）中规定的养护质量一级等级要求进行养护管理。</w:t>
      </w:r>
    </w:p>
    <w:p w14:paraId="0E2A31BD">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保修期限内，监理单位每周至少对项目现场巡视一次，巡视内容包括但不限工程质量缺陷、市容市貌（项目外观、绿化养护、杂草等所有影响市容市貌的问题），并将巡视情况形成整改台账报建设单位，督促施工单位整改到位。</w:t>
      </w:r>
    </w:p>
    <w:p w14:paraId="6D1762CF">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监理人在缺陷责任期及保修期内，未履行相关义务或者履行义务不到位的，按照500元-1000元/次支付违约金。</w:t>
      </w:r>
    </w:p>
    <w:p w14:paraId="22A7106A">
      <w:pPr>
        <w:overflowPunct w:val="0"/>
        <w:autoSpaceDE w:val="0"/>
        <w:autoSpaceDN w:val="0"/>
        <w:adjustRightInd w:val="0"/>
        <w:snapToGrid w:val="0"/>
        <w:spacing w:line="420" w:lineRule="exact"/>
        <w:ind w:firstLine="480" w:firstLineChars="200"/>
        <w:rPr>
          <w:rFonts w:ascii="宋体" w:hAnsi="宋体"/>
          <w:b/>
          <w:bCs/>
          <w:color w:val="auto"/>
          <w:sz w:val="24"/>
          <w:highlight w:val="none"/>
        </w:rPr>
      </w:pPr>
      <w:r>
        <w:rPr>
          <w:rFonts w:hint="eastAsia" w:ascii="宋体" w:hAnsi="宋体"/>
          <w:bCs/>
          <w:color w:val="auto"/>
          <w:sz w:val="24"/>
          <w:highlight w:val="none"/>
        </w:rPr>
        <w:t>1-2 其他（专业技术咨询、外部协调工作等）。</w:t>
      </w:r>
      <w:r>
        <w:rPr>
          <w:rFonts w:hint="eastAsia" w:ascii="宋体" w:hAnsi="宋体"/>
          <w:b/>
          <w:bCs/>
          <w:color w:val="auto"/>
          <w:sz w:val="24"/>
          <w:highlight w:val="none"/>
        </w:rPr>
        <w:t xml:space="preserve"> </w:t>
      </w:r>
    </w:p>
    <w:p w14:paraId="5BE82763">
      <w:pPr>
        <w:overflowPunct w:val="0"/>
        <w:autoSpaceDE w:val="0"/>
        <w:autoSpaceDN w:val="0"/>
        <w:adjustRightInd w:val="0"/>
        <w:snapToGrid w:val="0"/>
        <w:spacing w:line="420" w:lineRule="exact"/>
        <w:rPr>
          <w:rFonts w:hint="eastAsia" w:ascii="宋体" w:hAnsi="宋体"/>
          <w:bCs/>
          <w:color w:val="auto"/>
          <w:sz w:val="24"/>
          <w:highlight w:val="none"/>
        </w:rPr>
      </w:pPr>
    </w:p>
    <w:p w14:paraId="30135D3A">
      <w:pPr>
        <w:overflowPunct w:val="0"/>
        <w:autoSpaceDE w:val="0"/>
        <w:autoSpaceDN w:val="0"/>
        <w:adjustRightInd w:val="0"/>
        <w:snapToGrid w:val="0"/>
        <w:spacing w:line="420" w:lineRule="exact"/>
        <w:rPr>
          <w:rFonts w:hint="eastAsia" w:ascii="宋体" w:hAnsi="宋体"/>
          <w:bCs/>
          <w:color w:val="auto"/>
          <w:sz w:val="24"/>
          <w:highlight w:val="none"/>
        </w:rPr>
      </w:pPr>
    </w:p>
    <w:p w14:paraId="4FB7E7C1">
      <w:pPr>
        <w:pStyle w:val="2"/>
        <w:rPr>
          <w:rFonts w:hint="eastAsia" w:ascii="宋体" w:hAnsi="宋体"/>
          <w:bCs/>
          <w:color w:val="auto"/>
          <w:sz w:val="24"/>
          <w:highlight w:val="none"/>
        </w:rPr>
      </w:pPr>
    </w:p>
    <w:p w14:paraId="0A4CB59C">
      <w:pPr>
        <w:rPr>
          <w:rFonts w:hint="eastAsia" w:ascii="宋体" w:hAnsi="宋体"/>
          <w:bCs/>
          <w:color w:val="auto"/>
          <w:sz w:val="24"/>
          <w:highlight w:val="none"/>
        </w:rPr>
      </w:pPr>
    </w:p>
    <w:p w14:paraId="4199F4A7">
      <w:pPr>
        <w:pStyle w:val="2"/>
        <w:rPr>
          <w:rFonts w:hint="eastAsia" w:ascii="宋体" w:hAnsi="宋体"/>
          <w:bCs/>
          <w:color w:val="auto"/>
          <w:sz w:val="24"/>
          <w:highlight w:val="none"/>
        </w:rPr>
      </w:pPr>
    </w:p>
    <w:p w14:paraId="5CEB537B">
      <w:pPr>
        <w:rPr>
          <w:rFonts w:hint="eastAsia" w:ascii="宋体" w:hAnsi="宋体"/>
          <w:bCs/>
          <w:color w:val="auto"/>
          <w:sz w:val="24"/>
          <w:highlight w:val="none"/>
        </w:rPr>
      </w:pPr>
    </w:p>
    <w:p w14:paraId="6A4D6498">
      <w:pPr>
        <w:pStyle w:val="2"/>
        <w:rPr>
          <w:rFonts w:hint="eastAsia" w:ascii="宋体" w:hAnsi="宋体"/>
          <w:bCs/>
          <w:color w:val="auto"/>
          <w:sz w:val="24"/>
          <w:highlight w:val="none"/>
        </w:rPr>
      </w:pPr>
    </w:p>
    <w:p w14:paraId="7724A94A">
      <w:pPr>
        <w:rPr>
          <w:rFonts w:hint="eastAsia" w:ascii="宋体" w:hAnsi="宋体"/>
          <w:bCs/>
          <w:color w:val="auto"/>
          <w:sz w:val="24"/>
          <w:highlight w:val="none"/>
        </w:rPr>
      </w:pPr>
    </w:p>
    <w:p w14:paraId="388B1F0E">
      <w:pPr>
        <w:pStyle w:val="2"/>
        <w:rPr>
          <w:rFonts w:hint="eastAsia" w:ascii="宋体" w:hAnsi="宋体"/>
          <w:bCs/>
          <w:color w:val="auto"/>
          <w:sz w:val="24"/>
          <w:highlight w:val="none"/>
        </w:rPr>
      </w:pPr>
    </w:p>
    <w:p w14:paraId="04680827">
      <w:pPr>
        <w:rPr>
          <w:rFonts w:hint="eastAsia" w:ascii="宋体" w:hAnsi="宋体"/>
          <w:bCs/>
          <w:color w:val="auto"/>
          <w:sz w:val="24"/>
          <w:highlight w:val="none"/>
        </w:rPr>
      </w:pPr>
    </w:p>
    <w:p w14:paraId="473EF246">
      <w:pPr>
        <w:pStyle w:val="2"/>
        <w:rPr>
          <w:rFonts w:hint="eastAsia" w:ascii="宋体" w:hAnsi="宋体"/>
          <w:bCs/>
          <w:color w:val="auto"/>
          <w:sz w:val="24"/>
          <w:highlight w:val="none"/>
        </w:rPr>
      </w:pPr>
    </w:p>
    <w:p w14:paraId="71CDA898">
      <w:pPr>
        <w:rPr>
          <w:rFonts w:hint="eastAsia" w:ascii="宋体" w:hAnsi="宋体"/>
          <w:bCs/>
          <w:color w:val="auto"/>
          <w:sz w:val="24"/>
          <w:highlight w:val="none"/>
        </w:rPr>
      </w:pPr>
    </w:p>
    <w:p w14:paraId="667239C3">
      <w:pPr>
        <w:pStyle w:val="2"/>
        <w:rPr>
          <w:rFonts w:hint="eastAsia" w:ascii="宋体" w:hAnsi="宋体"/>
          <w:bCs/>
          <w:color w:val="auto"/>
          <w:sz w:val="24"/>
          <w:highlight w:val="none"/>
        </w:rPr>
      </w:pPr>
    </w:p>
    <w:p w14:paraId="4B2676D1">
      <w:pPr>
        <w:rPr>
          <w:rFonts w:hint="eastAsia" w:ascii="宋体" w:hAnsi="宋体"/>
          <w:bCs/>
          <w:color w:val="auto"/>
          <w:sz w:val="24"/>
          <w:highlight w:val="none"/>
        </w:rPr>
      </w:pPr>
    </w:p>
    <w:p w14:paraId="77C7753B">
      <w:pPr>
        <w:pStyle w:val="2"/>
        <w:rPr>
          <w:rFonts w:hint="eastAsia" w:ascii="宋体" w:hAnsi="宋体"/>
          <w:bCs/>
          <w:color w:val="auto"/>
          <w:sz w:val="24"/>
          <w:highlight w:val="none"/>
        </w:rPr>
      </w:pPr>
    </w:p>
    <w:p w14:paraId="0F05CEB6">
      <w:pPr>
        <w:rPr>
          <w:rFonts w:hint="eastAsia" w:ascii="宋体" w:hAnsi="宋体"/>
          <w:bCs/>
          <w:color w:val="auto"/>
          <w:sz w:val="24"/>
          <w:highlight w:val="none"/>
        </w:rPr>
      </w:pPr>
    </w:p>
    <w:p w14:paraId="722A82A2">
      <w:pPr>
        <w:pStyle w:val="2"/>
        <w:rPr>
          <w:rFonts w:hint="eastAsia" w:ascii="宋体" w:hAnsi="宋体"/>
          <w:bCs/>
          <w:color w:val="auto"/>
          <w:sz w:val="24"/>
          <w:highlight w:val="none"/>
        </w:rPr>
      </w:pPr>
    </w:p>
    <w:p w14:paraId="31B07358">
      <w:pPr>
        <w:rPr>
          <w:rFonts w:hint="eastAsia" w:ascii="宋体" w:hAnsi="宋体"/>
          <w:bCs/>
          <w:color w:val="auto"/>
          <w:sz w:val="24"/>
          <w:highlight w:val="none"/>
        </w:rPr>
      </w:pPr>
    </w:p>
    <w:p w14:paraId="0ABE6E01">
      <w:pPr>
        <w:pStyle w:val="2"/>
        <w:rPr>
          <w:rFonts w:hint="eastAsia" w:ascii="宋体" w:hAnsi="宋体"/>
          <w:bCs/>
          <w:color w:val="auto"/>
          <w:sz w:val="24"/>
          <w:highlight w:val="none"/>
        </w:rPr>
      </w:pPr>
    </w:p>
    <w:p w14:paraId="1990E4DD">
      <w:pPr>
        <w:rPr>
          <w:rFonts w:hint="eastAsia" w:ascii="宋体" w:hAnsi="宋体"/>
          <w:bCs/>
          <w:color w:val="auto"/>
          <w:sz w:val="24"/>
          <w:highlight w:val="none"/>
        </w:rPr>
      </w:pPr>
    </w:p>
    <w:p w14:paraId="3C924CC1">
      <w:pPr>
        <w:overflowPunct w:val="0"/>
        <w:autoSpaceDE w:val="0"/>
        <w:autoSpaceDN w:val="0"/>
        <w:adjustRightInd w:val="0"/>
        <w:snapToGrid w:val="0"/>
        <w:spacing w:line="420" w:lineRule="exact"/>
        <w:outlineLvl w:val="2"/>
        <w:rPr>
          <w:rFonts w:ascii="宋体" w:hAnsi="宋体"/>
          <w:bCs/>
          <w:color w:val="auto"/>
          <w:sz w:val="24"/>
          <w:highlight w:val="none"/>
        </w:rPr>
      </w:pPr>
      <w:r>
        <w:rPr>
          <w:rFonts w:hint="eastAsia" w:ascii="宋体" w:hAnsi="宋体"/>
          <w:bCs/>
          <w:color w:val="auto"/>
          <w:sz w:val="24"/>
          <w:highlight w:val="none"/>
        </w:rPr>
        <w:t xml:space="preserve">附录2  </w:t>
      </w:r>
    </w:p>
    <w:p w14:paraId="50891A42">
      <w:pPr>
        <w:overflowPunct w:val="0"/>
        <w:autoSpaceDE w:val="0"/>
        <w:autoSpaceDN w:val="0"/>
        <w:adjustRightInd w:val="0"/>
        <w:snapToGrid w:val="0"/>
        <w:spacing w:line="420" w:lineRule="exact"/>
        <w:jc w:val="center"/>
        <w:rPr>
          <w:rFonts w:ascii="宋体" w:hAnsi="宋体"/>
          <w:bCs/>
          <w:color w:val="auto"/>
          <w:sz w:val="32"/>
          <w:szCs w:val="32"/>
          <w:highlight w:val="none"/>
        </w:rPr>
      </w:pPr>
      <w:r>
        <w:rPr>
          <w:rFonts w:hint="eastAsia" w:ascii="宋体" w:hAnsi="宋体"/>
          <w:bCs/>
          <w:color w:val="auto"/>
          <w:sz w:val="32"/>
          <w:szCs w:val="32"/>
          <w:highlight w:val="none"/>
        </w:rPr>
        <w:t>委托人派遣的人员和资料</w:t>
      </w:r>
    </w:p>
    <w:p w14:paraId="380CE00B">
      <w:pPr>
        <w:overflowPunct w:val="0"/>
        <w:autoSpaceDE w:val="0"/>
        <w:autoSpaceDN w:val="0"/>
        <w:adjustRightInd w:val="0"/>
        <w:snapToGrid w:val="0"/>
        <w:spacing w:line="420" w:lineRule="exact"/>
        <w:ind w:firstLine="482" w:firstLineChars="200"/>
        <w:rPr>
          <w:rFonts w:ascii="宋体" w:hAnsi="宋体"/>
          <w:b/>
          <w:color w:val="auto"/>
          <w:kern w:val="0"/>
          <w:sz w:val="24"/>
          <w:highlight w:val="none"/>
        </w:rPr>
      </w:pPr>
      <w:r>
        <w:rPr>
          <w:rFonts w:hint="eastAsia" w:ascii="宋体" w:hAnsi="宋体"/>
          <w:b/>
          <w:color w:val="auto"/>
          <w:kern w:val="0"/>
          <w:sz w:val="24"/>
          <w:highlight w:val="none"/>
        </w:rPr>
        <w:t>2-1  委托人派遣的人员</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7DF8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06DB7A10">
            <w:pPr>
              <w:overflowPunct w:val="0"/>
              <w:autoSpaceDE w:val="0"/>
              <w:autoSpaceDN w:val="0"/>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名称</w:t>
            </w:r>
          </w:p>
        </w:tc>
        <w:tc>
          <w:tcPr>
            <w:tcW w:w="1770" w:type="dxa"/>
            <w:noWrap w:val="0"/>
            <w:vAlign w:val="top"/>
          </w:tcPr>
          <w:p w14:paraId="465E8BF1">
            <w:pPr>
              <w:overflowPunct w:val="0"/>
              <w:autoSpaceDE w:val="0"/>
              <w:autoSpaceDN w:val="0"/>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数量</w:t>
            </w:r>
          </w:p>
        </w:tc>
        <w:tc>
          <w:tcPr>
            <w:tcW w:w="2130" w:type="dxa"/>
            <w:noWrap w:val="0"/>
            <w:vAlign w:val="top"/>
          </w:tcPr>
          <w:p w14:paraId="6C7A8F6C">
            <w:pPr>
              <w:overflowPunct w:val="0"/>
              <w:autoSpaceDE w:val="0"/>
              <w:autoSpaceDN w:val="0"/>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工作要求</w:t>
            </w:r>
          </w:p>
        </w:tc>
        <w:tc>
          <w:tcPr>
            <w:tcW w:w="1860" w:type="dxa"/>
            <w:noWrap w:val="0"/>
            <w:vAlign w:val="top"/>
          </w:tcPr>
          <w:p w14:paraId="0B710ED9">
            <w:pPr>
              <w:overflowPunct w:val="0"/>
              <w:autoSpaceDE w:val="0"/>
              <w:autoSpaceDN w:val="0"/>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提供时间</w:t>
            </w:r>
          </w:p>
        </w:tc>
      </w:tr>
      <w:tr w14:paraId="7D65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76A9EE7F">
            <w:pPr>
              <w:overflowPunct w:val="0"/>
              <w:autoSpaceDE w:val="0"/>
              <w:autoSpaceDN w:val="0"/>
              <w:adjustRightInd w:val="0"/>
              <w:snapToGrid w:val="0"/>
              <w:spacing w:line="360" w:lineRule="exact"/>
              <w:rPr>
                <w:rFonts w:ascii="宋体" w:hAnsi="宋体"/>
                <w:color w:val="auto"/>
                <w:sz w:val="24"/>
                <w:highlight w:val="none"/>
              </w:rPr>
            </w:pPr>
            <w:r>
              <w:rPr>
                <w:rFonts w:hint="eastAsia" w:ascii="宋体" w:hAnsi="宋体"/>
                <w:color w:val="auto"/>
                <w:sz w:val="24"/>
                <w:highlight w:val="none"/>
              </w:rPr>
              <w:t xml:space="preserve">1. 工程技术人员 </w:t>
            </w:r>
          </w:p>
        </w:tc>
        <w:tc>
          <w:tcPr>
            <w:tcW w:w="1770" w:type="dxa"/>
            <w:noWrap w:val="0"/>
            <w:vAlign w:val="top"/>
          </w:tcPr>
          <w:p w14:paraId="55591AB0">
            <w:pPr>
              <w:overflowPunct w:val="0"/>
              <w:autoSpaceDE w:val="0"/>
              <w:autoSpaceDN w:val="0"/>
              <w:adjustRightInd w:val="0"/>
              <w:snapToGrid w:val="0"/>
              <w:spacing w:line="360" w:lineRule="exact"/>
              <w:rPr>
                <w:rFonts w:hint="eastAsia" w:ascii="宋体" w:hAnsi="宋体"/>
                <w:color w:val="auto"/>
                <w:sz w:val="24"/>
                <w:highlight w:val="none"/>
              </w:rPr>
            </w:pPr>
          </w:p>
        </w:tc>
        <w:tc>
          <w:tcPr>
            <w:tcW w:w="2130" w:type="dxa"/>
            <w:noWrap w:val="0"/>
            <w:vAlign w:val="top"/>
          </w:tcPr>
          <w:p w14:paraId="653C2561">
            <w:pPr>
              <w:overflowPunct w:val="0"/>
              <w:autoSpaceDE w:val="0"/>
              <w:autoSpaceDN w:val="0"/>
              <w:adjustRightInd w:val="0"/>
              <w:snapToGrid w:val="0"/>
              <w:spacing w:line="360" w:lineRule="exact"/>
              <w:rPr>
                <w:rFonts w:hint="eastAsia" w:ascii="宋体" w:hAnsi="宋体"/>
                <w:color w:val="auto"/>
                <w:sz w:val="24"/>
                <w:highlight w:val="none"/>
              </w:rPr>
            </w:pPr>
          </w:p>
        </w:tc>
        <w:tc>
          <w:tcPr>
            <w:tcW w:w="1860" w:type="dxa"/>
            <w:noWrap w:val="0"/>
            <w:vAlign w:val="top"/>
          </w:tcPr>
          <w:p w14:paraId="00A4DA42">
            <w:pPr>
              <w:overflowPunct w:val="0"/>
              <w:autoSpaceDE w:val="0"/>
              <w:autoSpaceDN w:val="0"/>
              <w:adjustRightInd w:val="0"/>
              <w:snapToGrid w:val="0"/>
              <w:spacing w:line="360" w:lineRule="exact"/>
              <w:rPr>
                <w:rFonts w:hint="eastAsia" w:ascii="宋体" w:hAnsi="宋体"/>
                <w:color w:val="auto"/>
                <w:sz w:val="24"/>
                <w:highlight w:val="none"/>
              </w:rPr>
            </w:pPr>
          </w:p>
        </w:tc>
      </w:tr>
      <w:tr w14:paraId="4ECC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70817A57">
            <w:pPr>
              <w:overflowPunct w:val="0"/>
              <w:autoSpaceDE w:val="0"/>
              <w:autoSpaceDN w:val="0"/>
              <w:adjustRightInd w:val="0"/>
              <w:snapToGrid w:val="0"/>
              <w:spacing w:line="360" w:lineRule="exact"/>
              <w:rPr>
                <w:rFonts w:ascii="宋体" w:hAnsi="宋体"/>
                <w:color w:val="auto"/>
                <w:sz w:val="24"/>
                <w:highlight w:val="none"/>
              </w:rPr>
            </w:pPr>
            <w:r>
              <w:rPr>
                <w:rFonts w:hint="eastAsia" w:ascii="宋体" w:hAnsi="宋体"/>
                <w:color w:val="auto"/>
                <w:sz w:val="24"/>
                <w:highlight w:val="none"/>
              </w:rPr>
              <w:t>2. 辅助工作人员</w:t>
            </w:r>
          </w:p>
        </w:tc>
        <w:tc>
          <w:tcPr>
            <w:tcW w:w="1770" w:type="dxa"/>
            <w:noWrap w:val="0"/>
            <w:vAlign w:val="top"/>
          </w:tcPr>
          <w:p w14:paraId="08490C80">
            <w:pPr>
              <w:overflowPunct w:val="0"/>
              <w:autoSpaceDE w:val="0"/>
              <w:autoSpaceDN w:val="0"/>
              <w:adjustRightInd w:val="0"/>
              <w:snapToGrid w:val="0"/>
              <w:spacing w:line="360" w:lineRule="exact"/>
              <w:rPr>
                <w:rFonts w:hint="eastAsia" w:ascii="宋体" w:hAnsi="宋体"/>
                <w:color w:val="auto"/>
                <w:sz w:val="24"/>
                <w:highlight w:val="none"/>
              </w:rPr>
            </w:pPr>
          </w:p>
        </w:tc>
        <w:tc>
          <w:tcPr>
            <w:tcW w:w="2130" w:type="dxa"/>
            <w:noWrap w:val="0"/>
            <w:vAlign w:val="top"/>
          </w:tcPr>
          <w:p w14:paraId="24E98A7B">
            <w:pPr>
              <w:overflowPunct w:val="0"/>
              <w:autoSpaceDE w:val="0"/>
              <w:autoSpaceDN w:val="0"/>
              <w:adjustRightInd w:val="0"/>
              <w:snapToGrid w:val="0"/>
              <w:spacing w:line="360" w:lineRule="exact"/>
              <w:rPr>
                <w:rFonts w:hint="eastAsia" w:ascii="宋体" w:hAnsi="宋体"/>
                <w:color w:val="auto"/>
                <w:sz w:val="24"/>
                <w:highlight w:val="none"/>
              </w:rPr>
            </w:pPr>
          </w:p>
        </w:tc>
        <w:tc>
          <w:tcPr>
            <w:tcW w:w="1860" w:type="dxa"/>
            <w:noWrap w:val="0"/>
            <w:vAlign w:val="top"/>
          </w:tcPr>
          <w:p w14:paraId="068E8389">
            <w:pPr>
              <w:overflowPunct w:val="0"/>
              <w:autoSpaceDE w:val="0"/>
              <w:autoSpaceDN w:val="0"/>
              <w:adjustRightInd w:val="0"/>
              <w:snapToGrid w:val="0"/>
              <w:spacing w:line="360" w:lineRule="exact"/>
              <w:rPr>
                <w:rFonts w:hint="eastAsia" w:ascii="宋体" w:hAnsi="宋体"/>
                <w:color w:val="auto"/>
                <w:sz w:val="24"/>
                <w:highlight w:val="none"/>
              </w:rPr>
            </w:pPr>
          </w:p>
        </w:tc>
      </w:tr>
      <w:tr w14:paraId="2ED8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3C45F5CF">
            <w:pPr>
              <w:overflowPunct w:val="0"/>
              <w:autoSpaceDE w:val="0"/>
              <w:autoSpaceDN w:val="0"/>
              <w:adjustRightInd w:val="0"/>
              <w:snapToGrid w:val="0"/>
              <w:spacing w:line="360" w:lineRule="exact"/>
              <w:rPr>
                <w:rFonts w:ascii="宋体" w:hAnsi="宋体"/>
                <w:color w:val="auto"/>
                <w:sz w:val="24"/>
                <w:highlight w:val="none"/>
              </w:rPr>
            </w:pPr>
            <w:r>
              <w:rPr>
                <w:rFonts w:hint="eastAsia" w:ascii="宋体" w:hAnsi="宋体"/>
                <w:color w:val="auto"/>
                <w:sz w:val="24"/>
                <w:highlight w:val="none"/>
              </w:rPr>
              <w:t>3. 其他人员</w:t>
            </w:r>
          </w:p>
        </w:tc>
        <w:tc>
          <w:tcPr>
            <w:tcW w:w="1770" w:type="dxa"/>
            <w:noWrap w:val="0"/>
            <w:vAlign w:val="top"/>
          </w:tcPr>
          <w:p w14:paraId="2E8D0BDD">
            <w:pPr>
              <w:overflowPunct w:val="0"/>
              <w:autoSpaceDE w:val="0"/>
              <w:autoSpaceDN w:val="0"/>
              <w:adjustRightInd w:val="0"/>
              <w:snapToGrid w:val="0"/>
              <w:spacing w:line="360" w:lineRule="exact"/>
              <w:rPr>
                <w:rFonts w:hint="eastAsia" w:ascii="宋体" w:hAnsi="宋体"/>
                <w:color w:val="auto"/>
                <w:sz w:val="24"/>
                <w:highlight w:val="none"/>
              </w:rPr>
            </w:pPr>
          </w:p>
        </w:tc>
        <w:tc>
          <w:tcPr>
            <w:tcW w:w="2130" w:type="dxa"/>
            <w:noWrap w:val="0"/>
            <w:vAlign w:val="top"/>
          </w:tcPr>
          <w:p w14:paraId="004F963F">
            <w:pPr>
              <w:overflowPunct w:val="0"/>
              <w:autoSpaceDE w:val="0"/>
              <w:autoSpaceDN w:val="0"/>
              <w:adjustRightInd w:val="0"/>
              <w:snapToGrid w:val="0"/>
              <w:spacing w:line="360" w:lineRule="exact"/>
              <w:rPr>
                <w:rFonts w:hint="eastAsia" w:ascii="宋体" w:hAnsi="宋体"/>
                <w:color w:val="auto"/>
                <w:sz w:val="24"/>
                <w:highlight w:val="none"/>
              </w:rPr>
            </w:pPr>
          </w:p>
        </w:tc>
        <w:tc>
          <w:tcPr>
            <w:tcW w:w="1860" w:type="dxa"/>
            <w:noWrap w:val="0"/>
            <w:vAlign w:val="top"/>
          </w:tcPr>
          <w:p w14:paraId="06676144">
            <w:pPr>
              <w:overflowPunct w:val="0"/>
              <w:autoSpaceDE w:val="0"/>
              <w:autoSpaceDN w:val="0"/>
              <w:adjustRightInd w:val="0"/>
              <w:snapToGrid w:val="0"/>
              <w:spacing w:line="360" w:lineRule="exact"/>
              <w:rPr>
                <w:rFonts w:hint="eastAsia" w:ascii="宋体" w:hAnsi="宋体"/>
                <w:color w:val="auto"/>
                <w:sz w:val="24"/>
                <w:highlight w:val="none"/>
              </w:rPr>
            </w:pPr>
          </w:p>
        </w:tc>
      </w:tr>
    </w:tbl>
    <w:p w14:paraId="7978D48E">
      <w:pPr>
        <w:overflowPunct w:val="0"/>
        <w:autoSpaceDE w:val="0"/>
        <w:autoSpaceDN w:val="0"/>
        <w:adjustRightInd w:val="0"/>
        <w:snapToGrid w:val="0"/>
        <w:spacing w:line="420" w:lineRule="exact"/>
        <w:ind w:firstLine="482" w:firstLineChars="200"/>
        <w:rPr>
          <w:rFonts w:ascii="宋体" w:hAnsi="宋体"/>
          <w:b/>
          <w:color w:val="auto"/>
          <w:kern w:val="0"/>
          <w:sz w:val="24"/>
          <w:highlight w:val="none"/>
        </w:rPr>
      </w:pPr>
      <w:r>
        <w:rPr>
          <w:rFonts w:hint="eastAsia" w:ascii="宋体" w:hAnsi="宋体"/>
          <w:b/>
          <w:color w:val="auto"/>
          <w:kern w:val="0"/>
          <w:sz w:val="24"/>
          <w:highlight w:val="none"/>
        </w:rPr>
        <w:t>2-2  委托人提供的资料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1426"/>
        <w:gridCol w:w="1620"/>
        <w:gridCol w:w="1080"/>
      </w:tblGrid>
      <w:tr w14:paraId="060D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38" w:type="dxa"/>
            <w:noWrap w:val="0"/>
            <w:vAlign w:val="top"/>
          </w:tcPr>
          <w:p w14:paraId="3C5E001C">
            <w:pPr>
              <w:overflowPunct w:val="0"/>
              <w:autoSpaceDE w:val="0"/>
              <w:autoSpaceDN w:val="0"/>
              <w:adjustRightInd w:val="0"/>
              <w:snapToGrid w:val="0"/>
              <w:spacing w:line="360" w:lineRule="exact"/>
              <w:jc w:val="center"/>
              <w:rPr>
                <w:rFonts w:ascii="宋体" w:hAnsi="宋体"/>
                <w:color w:val="auto"/>
                <w:kern w:val="0"/>
                <w:sz w:val="24"/>
                <w:highlight w:val="none"/>
              </w:rPr>
            </w:pPr>
            <w:r>
              <w:rPr>
                <w:rFonts w:hint="eastAsia" w:ascii="宋体" w:hAnsi="宋体"/>
                <w:color w:val="auto"/>
                <w:kern w:val="0"/>
                <w:sz w:val="24"/>
                <w:highlight w:val="none"/>
              </w:rPr>
              <w:t>名称</w:t>
            </w:r>
          </w:p>
        </w:tc>
        <w:tc>
          <w:tcPr>
            <w:tcW w:w="1426" w:type="dxa"/>
            <w:noWrap w:val="0"/>
            <w:vAlign w:val="top"/>
          </w:tcPr>
          <w:p w14:paraId="1CA5D9DB">
            <w:pPr>
              <w:overflowPunct w:val="0"/>
              <w:autoSpaceDE w:val="0"/>
              <w:autoSpaceDN w:val="0"/>
              <w:adjustRightInd w:val="0"/>
              <w:snapToGrid w:val="0"/>
              <w:spacing w:line="360" w:lineRule="exact"/>
              <w:jc w:val="center"/>
              <w:rPr>
                <w:rFonts w:ascii="宋体" w:hAnsi="宋体"/>
                <w:color w:val="auto"/>
                <w:kern w:val="0"/>
                <w:sz w:val="24"/>
                <w:highlight w:val="none"/>
              </w:rPr>
            </w:pPr>
            <w:r>
              <w:rPr>
                <w:rFonts w:hint="eastAsia" w:ascii="宋体" w:hAnsi="宋体"/>
                <w:color w:val="auto"/>
                <w:kern w:val="0"/>
                <w:sz w:val="24"/>
                <w:highlight w:val="none"/>
              </w:rPr>
              <w:t>份数</w:t>
            </w:r>
          </w:p>
        </w:tc>
        <w:tc>
          <w:tcPr>
            <w:tcW w:w="1620" w:type="dxa"/>
            <w:noWrap w:val="0"/>
            <w:vAlign w:val="top"/>
          </w:tcPr>
          <w:p w14:paraId="636A26E2">
            <w:pPr>
              <w:overflowPunct w:val="0"/>
              <w:autoSpaceDE w:val="0"/>
              <w:autoSpaceDN w:val="0"/>
              <w:adjustRightInd w:val="0"/>
              <w:snapToGrid w:val="0"/>
              <w:spacing w:line="360" w:lineRule="exact"/>
              <w:jc w:val="center"/>
              <w:rPr>
                <w:rFonts w:ascii="宋体" w:hAnsi="宋体"/>
                <w:color w:val="auto"/>
                <w:kern w:val="0"/>
                <w:sz w:val="24"/>
                <w:highlight w:val="none"/>
              </w:rPr>
            </w:pPr>
            <w:r>
              <w:rPr>
                <w:rFonts w:hint="eastAsia" w:ascii="宋体" w:hAnsi="宋体"/>
                <w:color w:val="auto"/>
                <w:kern w:val="0"/>
                <w:sz w:val="24"/>
                <w:highlight w:val="none"/>
              </w:rPr>
              <w:t>提供时间</w:t>
            </w:r>
          </w:p>
        </w:tc>
        <w:tc>
          <w:tcPr>
            <w:tcW w:w="1080" w:type="dxa"/>
            <w:noWrap w:val="0"/>
            <w:vAlign w:val="top"/>
          </w:tcPr>
          <w:p w14:paraId="00F5FA11">
            <w:pPr>
              <w:overflowPunct w:val="0"/>
              <w:autoSpaceDE w:val="0"/>
              <w:autoSpaceDN w:val="0"/>
              <w:adjustRightInd w:val="0"/>
              <w:snapToGrid w:val="0"/>
              <w:spacing w:line="360" w:lineRule="exact"/>
              <w:jc w:val="center"/>
              <w:rPr>
                <w:rFonts w:ascii="宋体" w:hAnsi="宋体"/>
                <w:color w:val="auto"/>
                <w:kern w:val="0"/>
                <w:sz w:val="24"/>
                <w:highlight w:val="none"/>
              </w:rPr>
            </w:pPr>
            <w:r>
              <w:rPr>
                <w:rFonts w:hint="eastAsia" w:ascii="宋体" w:hAnsi="宋体"/>
                <w:color w:val="auto"/>
                <w:kern w:val="0"/>
                <w:sz w:val="24"/>
                <w:highlight w:val="none"/>
              </w:rPr>
              <w:t>备注</w:t>
            </w:r>
          </w:p>
        </w:tc>
      </w:tr>
      <w:tr w14:paraId="17E2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3F77D02A">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1. 工程立项文件</w:t>
            </w:r>
          </w:p>
        </w:tc>
        <w:tc>
          <w:tcPr>
            <w:tcW w:w="1426" w:type="dxa"/>
            <w:noWrap w:val="0"/>
            <w:vAlign w:val="top"/>
          </w:tcPr>
          <w:p w14:paraId="4619523A">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7B61E9D5">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5B869A25">
            <w:pPr>
              <w:overflowPunct w:val="0"/>
              <w:autoSpaceDE w:val="0"/>
              <w:autoSpaceDN w:val="0"/>
              <w:adjustRightInd w:val="0"/>
              <w:snapToGrid w:val="0"/>
              <w:spacing w:line="360" w:lineRule="exact"/>
              <w:rPr>
                <w:rFonts w:ascii="宋体" w:hAnsi="宋体"/>
                <w:color w:val="auto"/>
                <w:kern w:val="0"/>
                <w:sz w:val="24"/>
                <w:highlight w:val="none"/>
              </w:rPr>
            </w:pPr>
          </w:p>
        </w:tc>
      </w:tr>
      <w:tr w14:paraId="7381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1ECE79E4">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2. 工程勘察文件</w:t>
            </w:r>
          </w:p>
        </w:tc>
        <w:tc>
          <w:tcPr>
            <w:tcW w:w="1426" w:type="dxa"/>
            <w:noWrap w:val="0"/>
            <w:vAlign w:val="top"/>
          </w:tcPr>
          <w:p w14:paraId="14338A0A">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582528E4">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562C605C">
            <w:pPr>
              <w:overflowPunct w:val="0"/>
              <w:autoSpaceDE w:val="0"/>
              <w:autoSpaceDN w:val="0"/>
              <w:adjustRightInd w:val="0"/>
              <w:snapToGrid w:val="0"/>
              <w:spacing w:line="360" w:lineRule="exact"/>
              <w:rPr>
                <w:rFonts w:ascii="宋体" w:hAnsi="宋体"/>
                <w:color w:val="auto"/>
                <w:kern w:val="0"/>
                <w:sz w:val="24"/>
                <w:highlight w:val="none"/>
              </w:rPr>
            </w:pPr>
          </w:p>
        </w:tc>
      </w:tr>
      <w:tr w14:paraId="2379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2D81CDFB">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3. 工程设计及施工图纸</w:t>
            </w:r>
          </w:p>
        </w:tc>
        <w:tc>
          <w:tcPr>
            <w:tcW w:w="1426" w:type="dxa"/>
            <w:noWrap w:val="0"/>
            <w:vAlign w:val="top"/>
          </w:tcPr>
          <w:p w14:paraId="44A3A492">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136ACC56">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50621542">
            <w:pPr>
              <w:overflowPunct w:val="0"/>
              <w:autoSpaceDE w:val="0"/>
              <w:autoSpaceDN w:val="0"/>
              <w:adjustRightInd w:val="0"/>
              <w:snapToGrid w:val="0"/>
              <w:spacing w:line="360" w:lineRule="exact"/>
              <w:rPr>
                <w:rFonts w:ascii="宋体" w:hAnsi="宋体"/>
                <w:color w:val="auto"/>
                <w:kern w:val="0"/>
                <w:sz w:val="24"/>
                <w:highlight w:val="none"/>
              </w:rPr>
            </w:pPr>
          </w:p>
        </w:tc>
      </w:tr>
      <w:tr w14:paraId="485D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2D14A7C0">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4. 工程承包合同及其他相关合同</w:t>
            </w:r>
          </w:p>
        </w:tc>
        <w:tc>
          <w:tcPr>
            <w:tcW w:w="1426" w:type="dxa"/>
            <w:noWrap w:val="0"/>
            <w:vAlign w:val="top"/>
          </w:tcPr>
          <w:p w14:paraId="1A4DECB4">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07FA42CD">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7B694C6E">
            <w:pPr>
              <w:overflowPunct w:val="0"/>
              <w:autoSpaceDE w:val="0"/>
              <w:autoSpaceDN w:val="0"/>
              <w:adjustRightInd w:val="0"/>
              <w:snapToGrid w:val="0"/>
              <w:spacing w:line="360" w:lineRule="exact"/>
              <w:rPr>
                <w:rFonts w:ascii="宋体" w:hAnsi="宋体"/>
                <w:color w:val="auto"/>
                <w:kern w:val="0"/>
                <w:sz w:val="24"/>
                <w:highlight w:val="none"/>
              </w:rPr>
            </w:pPr>
          </w:p>
        </w:tc>
      </w:tr>
      <w:tr w14:paraId="6FAD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647252DB">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5. 施工许可文件</w:t>
            </w:r>
          </w:p>
        </w:tc>
        <w:tc>
          <w:tcPr>
            <w:tcW w:w="1426" w:type="dxa"/>
            <w:noWrap w:val="0"/>
            <w:vAlign w:val="top"/>
          </w:tcPr>
          <w:p w14:paraId="0E2C8642">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0D4DC924">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6B43E845">
            <w:pPr>
              <w:overflowPunct w:val="0"/>
              <w:autoSpaceDE w:val="0"/>
              <w:autoSpaceDN w:val="0"/>
              <w:adjustRightInd w:val="0"/>
              <w:snapToGrid w:val="0"/>
              <w:spacing w:line="360" w:lineRule="exact"/>
              <w:rPr>
                <w:rFonts w:ascii="宋体" w:hAnsi="宋体"/>
                <w:color w:val="auto"/>
                <w:kern w:val="0"/>
                <w:sz w:val="24"/>
                <w:highlight w:val="none"/>
              </w:rPr>
            </w:pPr>
          </w:p>
        </w:tc>
      </w:tr>
      <w:tr w14:paraId="1D43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72C19715">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6. 其他文件</w:t>
            </w:r>
          </w:p>
        </w:tc>
        <w:tc>
          <w:tcPr>
            <w:tcW w:w="1426" w:type="dxa"/>
            <w:noWrap w:val="0"/>
            <w:vAlign w:val="top"/>
          </w:tcPr>
          <w:p w14:paraId="32B04C8C">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23F9BAA2">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1251E2D0">
            <w:pPr>
              <w:overflowPunct w:val="0"/>
              <w:autoSpaceDE w:val="0"/>
              <w:autoSpaceDN w:val="0"/>
              <w:adjustRightInd w:val="0"/>
              <w:snapToGrid w:val="0"/>
              <w:spacing w:line="360" w:lineRule="exact"/>
              <w:rPr>
                <w:rFonts w:ascii="宋体" w:hAnsi="宋体"/>
                <w:color w:val="auto"/>
                <w:kern w:val="0"/>
                <w:sz w:val="24"/>
                <w:highlight w:val="none"/>
              </w:rPr>
            </w:pPr>
          </w:p>
        </w:tc>
      </w:tr>
    </w:tbl>
    <w:p w14:paraId="54C37C0D">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13A45062">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0EF8B141">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35388185">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10925060">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2B0F247A">
      <w:pPr>
        <w:overflowPunct w:val="0"/>
        <w:autoSpaceDE w:val="0"/>
        <w:autoSpaceDN w:val="0"/>
        <w:adjustRightInd w:val="0"/>
        <w:snapToGrid w:val="0"/>
        <w:spacing w:line="420" w:lineRule="exact"/>
        <w:outlineLvl w:val="2"/>
        <w:rPr>
          <w:rFonts w:ascii="宋体" w:hAnsi="宋体"/>
          <w:color w:val="auto"/>
          <w:sz w:val="24"/>
          <w:highlight w:val="none"/>
        </w:rPr>
      </w:pPr>
      <w:r>
        <w:rPr>
          <w:rFonts w:hint="eastAsia" w:ascii="宋体" w:hAnsi="宋体"/>
          <w:bCs/>
          <w:color w:val="auto"/>
          <w:sz w:val="24"/>
          <w:highlight w:val="none"/>
        </w:rPr>
        <w:br w:type="page"/>
      </w:r>
      <w:r>
        <w:rPr>
          <w:rFonts w:hint="eastAsia" w:ascii="宋体" w:hAnsi="宋体"/>
          <w:bCs/>
          <w:color w:val="auto"/>
          <w:sz w:val="24"/>
          <w:highlight w:val="none"/>
        </w:rPr>
        <w:t>附录3</w:t>
      </w:r>
    </w:p>
    <w:p w14:paraId="618177CC">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r>
        <w:rPr>
          <w:rFonts w:ascii="宋体" w:hAnsi="宋体"/>
          <w:color w:val="auto"/>
          <w:sz w:val="32"/>
          <w:szCs w:val="32"/>
          <w:highlight w:val="none"/>
        </w:rPr>
        <w:t>工程建设项目监理管理要求</w:t>
      </w:r>
    </w:p>
    <w:p w14:paraId="53249312">
      <w:pPr>
        <w:overflowPunct w:val="0"/>
        <w:autoSpaceDE w:val="0"/>
        <w:autoSpaceDN w:val="0"/>
        <w:adjustRightInd w:val="0"/>
        <w:snapToGrid w:val="0"/>
        <w:spacing w:line="420" w:lineRule="exact"/>
        <w:ind w:firstLine="480" w:firstLineChars="200"/>
        <w:rPr>
          <w:rFonts w:ascii="宋体" w:hAnsi="宋体"/>
          <w:color w:val="auto"/>
          <w:sz w:val="24"/>
          <w:highlight w:val="none"/>
        </w:rPr>
      </w:pPr>
    </w:p>
    <w:p w14:paraId="2E80443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为更好地发挥监理在工程建设中的监督、管理作用，确保工程的质量、安全、进度、造价可控，满足招标文件、施工合同、设计文件及相关法律法规的要求，根据工程建设需要特规定如下：</w:t>
      </w:r>
    </w:p>
    <w:p w14:paraId="4CF065E3">
      <w:pPr>
        <w:overflowPunct w:val="0"/>
        <w:autoSpaceDE w:val="0"/>
        <w:autoSpaceDN w:val="0"/>
        <w:adjustRightInd w:val="0"/>
        <w:snapToGrid w:val="0"/>
        <w:spacing w:line="360" w:lineRule="auto"/>
        <w:ind w:left="480"/>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组织管理</w:t>
      </w:r>
    </w:p>
    <w:p w14:paraId="4D3EF8E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（一）项目监理人员配备要求</w:t>
      </w:r>
    </w:p>
    <w:p w14:paraId="1CC3720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（1）现场监理人员须与合同（</w:t>
      </w:r>
      <w:r>
        <w:rPr>
          <w:rFonts w:hint="eastAsia" w:ascii="宋体" w:hAnsi="宋体"/>
          <w:color w:val="auto"/>
          <w:szCs w:val="21"/>
          <w:highlight w:val="none"/>
        </w:rPr>
        <w:t>竞选文件</w:t>
      </w:r>
      <w:r>
        <w:rPr>
          <w:rFonts w:ascii="宋体" w:hAnsi="宋体"/>
          <w:color w:val="auto"/>
          <w:szCs w:val="21"/>
          <w:highlight w:val="none"/>
        </w:rPr>
        <w:t>）人员相符，从建设单位发出监理进场通知之日起，三日内组织监理人员进场，未按合同（</w:t>
      </w:r>
      <w:r>
        <w:rPr>
          <w:rFonts w:hint="eastAsia" w:ascii="宋体" w:hAnsi="宋体"/>
          <w:color w:val="auto"/>
          <w:szCs w:val="21"/>
          <w:highlight w:val="none"/>
        </w:rPr>
        <w:t>竞选文件</w:t>
      </w:r>
      <w:r>
        <w:rPr>
          <w:rFonts w:ascii="宋体" w:hAnsi="宋体"/>
          <w:color w:val="auto"/>
          <w:szCs w:val="21"/>
          <w:highlight w:val="none"/>
        </w:rPr>
        <w:t>）配备进场的，总监、副总监或总监代表按</w:t>
      </w:r>
      <w:r>
        <w:rPr>
          <w:rFonts w:hint="eastAsia" w:ascii="宋体" w:hAnsi="宋体"/>
          <w:color w:val="auto"/>
          <w:szCs w:val="21"/>
          <w:highlight w:val="none"/>
        </w:rPr>
        <w:t>15</w:t>
      </w:r>
      <w:r>
        <w:rPr>
          <w:rFonts w:ascii="宋体" w:hAnsi="宋体"/>
          <w:color w:val="auto"/>
          <w:szCs w:val="21"/>
          <w:highlight w:val="none"/>
        </w:rPr>
        <w:t>00元/天·人收取违约金，其他监理人员按</w:t>
      </w:r>
      <w:r>
        <w:rPr>
          <w:rFonts w:hint="eastAsia" w:ascii="宋体" w:hAnsi="宋体"/>
          <w:color w:val="auto"/>
          <w:szCs w:val="21"/>
          <w:highlight w:val="none"/>
        </w:rPr>
        <w:t>10</w:t>
      </w:r>
      <w:r>
        <w:rPr>
          <w:rFonts w:ascii="宋体" w:hAnsi="宋体"/>
          <w:color w:val="auto"/>
          <w:szCs w:val="21"/>
          <w:highlight w:val="none"/>
        </w:rPr>
        <w:t>00元/天·人收取违约金，超过</w:t>
      </w:r>
      <w:r>
        <w:rPr>
          <w:rFonts w:hint="eastAsia" w:ascii="宋体" w:hAnsi="宋体"/>
          <w:color w:val="auto"/>
          <w:szCs w:val="21"/>
          <w:highlight w:val="none"/>
        </w:rPr>
        <w:t>10天</w:t>
      </w:r>
      <w:r>
        <w:rPr>
          <w:rFonts w:ascii="宋体" w:hAnsi="宋体"/>
          <w:color w:val="auto"/>
          <w:szCs w:val="21"/>
          <w:highlight w:val="none"/>
        </w:rPr>
        <w:t>仍未按要求配置的，</w:t>
      </w:r>
      <w:r>
        <w:rPr>
          <w:rFonts w:hint="eastAsia" w:ascii="宋体" w:hAnsi="宋体"/>
          <w:color w:val="auto"/>
          <w:szCs w:val="21"/>
          <w:highlight w:val="none"/>
        </w:rPr>
        <w:t>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若其他条款另有约定，同时适用</w:t>
      </w:r>
      <w:r>
        <w:rPr>
          <w:rFonts w:ascii="宋体" w:hAnsi="宋体"/>
          <w:color w:val="auto"/>
          <w:szCs w:val="21"/>
          <w:highlight w:val="none"/>
        </w:rPr>
        <w:t xml:space="preserve">。 </w:t>
      </w:r>
    </w:p>
    <w:p w14:paraId="73F69E9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不得擅自更换现场监理人员，如有特殊原因不能履职的，需附书面证明材料提交建设单位，由工程配套部应会同合同预算部、监察审计部对监理人员变更申请材料进行审查，经分管领导、主要领导批准后方可同意人员变更，并视情况报相关行政主管部门审批；建设单位要求更换的监理人员15日内未到场视为监理未进场，按上述标准收取违约金。变更后监理人员资质和业绩不得低于原</w:t>
      </w:r>
      <w:r>
        <w:rPr>
          <w:rFonts w:hint="eastAsia" w:ascii="宋体" w:hAnsi="宋体"/>
          <w:color w:val="auto"/>
          <w:szCs w:val="21"/>
          <w:highlight w:val="none"/>
        </w:rPr>
        <w:t>竞选文件中提交的</w:t>
      </w:r>
      <w:r>
        <w:rPr>
          <w:rFonts w:ascii="宋体" w:hAnsi="宋体"/>
          <w:color w:val="auto"/>
          <w:szCs w:val="21"/>
          <w:highlight w:val="none"/>
        </w:rPr>
        <w:t>人员资质和业绩，且变更后监理人员未到场交接之前，原监理人员须正常履职。</w:t>
      </w:r>
    </w:p>
    <w:p w14:paraId="4BDFDF7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（3）擅自变更监理人员的（原监理人员</w:t>
      </w:r>
      <w:r>
        <w:rPr>
          <w:rFonts w:hint="eastAsia" w:ascii="宋体" w:hAnsi="宋体"/>
          <w:color w:val="auto"/>
          <w:szCs w:val="21"/>
          <w:highlight w:val="none"/>
        </w:rPr>
        <w:t>10天</w:t>
      </w:r>
      <w:r>
        <w:rPr>
          <w:rFonts w:ascii="宋体" w:hAnsi="宋体"/>
          <w:color w:val="auto"/>
          <w:szCs w:val="21"/>
          <w:highlight w:val="none"/>
        </w:rPr>
        <w:t>未按要求到现场履职的，视为擅自变更监理人员），变更项目总监、副总监或总监代表需交纳合同金额3%·人的违约金（最高不超20万且不低于1万）</w:t>
      </w:r>
      <w:r>
        <w:rPr>
          <w:rFonts w:hint="eastAsia" w:ascii="宋体" w:hAnsi="宋体"/>
          <w:color w:val="auto"/>
          <w:szCs w:val="21"/>
          <w:highlight w:val="none"/>
        </w:rPr>
        <w:t>，合同其他条款另有约定按照约定执行</w:t>
      </w:r>
      <w:r>
        <w:rPr>
          <w:rFonts w:ascii="宋体" w:hAnsi="宋体"/>
          <w:color w:val="auto"/>
          <w:szCs w:val="21"/>
          <w:highlight w:val="none"/>
        </w:rPr>
        <w:t>。</w:t>
      </w:r>
    </w:p>
    <w:p w14:paraId="7F77930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（二）项目监理人员考勤</w:t>
      </w:r>
    </w:p>
    <w:p w14:paraId="75E49F7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常驻</w:t>
      </w:r>
      <w:r>
        <w:rPr>
          <w:rFonts w:ascii="宋体" w:hAnsi="宋体"/>
          <w:color w:val="auto"/>
          <w:szCs w:val="21"/>
          <w:highlight w:val="none"/>
        </w:rPr>
        <w:t>监理人员</w:t>
      </w:r>
      <w:r>
        <w:rPr>
          <w:rFonts w:hint="eastAsia" w:ascii="宋体" w:hAnsi="宋体"/>
          <w:color w:val="auto"/>
          <w:szCs w:val="21"/>
          <w:highlight w:val="none"/>
        </w:rPr>
        <w:t>平常每天上班时间早上8点半至下午6点半，若现场有工人施工现场就有监理人员旁站，如有事提前1天向业主现场负责人请假，经同意后监理单位派相对应的监理人员替换，不能连续请假3次，若现场检查未在现场一次，监理人向委托人承担违约金1000元，连续3次未到场（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r>
        <w:rPr>
          <w:rFonts w:ascii="宋体" w:hAnsi="宋体"/>
          <w:color w:val="auto"/>
          <w:szCs w:val="21"/>
          <w:highlight w:val="none"/>
        </w:rPr>
        <w:t>值班时间严格遵守合同以及本管理办法要求，建设单位代表进行不定期检查；</w:t>
      </w:r>
    </w:p>
    <w:p w14:paraId="5D4AFD5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如有特殊情况须向建设单位书面请假，所有监理人员每月原则上请假离开工地不超过5天（周一至周五总监、副总监或总监代表须常驻现场，周末可轮流请假），请假期间监理部须做好工作交接，不得影响监理工作；</w:t>
      </w:r>
    </w:p>
    <w:p w14:paraId="4383EA9D">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（3）发现缺勤的总监、副总监或总监代表按</w:t>
      </w:r>
      <w:r>
        <w:rPr>
          <w:rFonts w:hint="eastAsia" w:ascii="宋体" w:hAnsi="宋体"/>
          <w:color w:val="auto"/>
          <w:szCs w:val="21"/>
          <w:highlight w:val="none"/>
        </w:rPr>
        <w:t>1500</w:t>
      </w:r>
      <w:r>
        <w:rPr>
          <w:rFonts w:ascii="宋体" w:hAnsi="宋体"/>
          <w:color w:val="auto"/>
          <w:szCs w:val="21"/>
          <w:highlight w:val="none"/>
        </w:rPr>
        <w:t>元/次·人收取违约金；无特殊原因，月累计缺勤</w:t>
      </w:r>
      <w:r>
        <w:rPr>
          <w:rFonts w:hint="eastAsia" w:ascii="宋体" w:hAnsi="宋体"/>
          <w:color w:val="auto"/>
          <w:szCs w:val="21"/>
          <w:highlight w:val="none"/>
        </w:rPr>
        <w:t>3</w:t>
      </w:r>
      <w:r>
        <w:rPr>
          <w:rFonts w:ascii="宋体" w:hAnsi="宋体"/>
          <w:color w:val="auto"/>
          <w:szCs w:val="21"/>
          <w:highlight w:val="none"/>
        </w:rPr>
        <w:t>天以上</w:t>
      </w:r>
      <w:r>
        <w:rPr>
          <w:rFonts w:hint="eastAsia" w:ascii="宋体" w:hAnsi="宋体"/>
          <w:color w:val="auto"/>
          <w:szCs w:val="21"/>
          <w:highlight w:val="none"/>
        </w:rPr>
        <w:t>（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r>
        <w:rPr>
          <w:rFonts w:ascii="宋体" w:hAnsi="宋体"/>
          <w:color w:val="auto"/>
          <w:szCs w:val="21"/>
          <w:highlight w:val="none"/>
        </w:rPr>
        <w:t>。</w:t>
      </w:r>
    </w:p>
    <w:p w14:paraId="59D4958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）发现缺勤的其他</w:t>
      </w:r>
      <w:r>
        <w:rPr>
          <w:rFonts w:hint="eastAsia" w:ascii="宋体" w:hAnsi="宋体"/>
          <w:color w:val="auto"/>
          <w:szCs w:val="21"/>
          <w:highlight w:val="none"/>
        </w:rPr>
        <w:t>监理</w:t>
      </w:r>
      <w:r>
        <w:rPr>
          <w:rFonts w:ascii="宋体" w:hAnsi="宋体"/>
          <w:color w:val="auto"/>
          <w:szCs w:val="21"/>
          <w:highlight w:val="none"/>
        </w:rPr>
        <w:t>人员按</w:t>
      </w:r>
      <w:r>
        <w:rPr>
          <w:rFonts w:hint="eastAsia" w:ascii="宋体" w:hAnsi="宋体"/>
          <w:color w:val="auto"/>
          <w:szCs w:val="21"/>
          <w:highlight w:val="none"/>
        </w:rPr>
        <w:t>1000</w:t>
      </w:r>
      <w:r>
        <w:rPr>
          <w:rFonts w:ascii="宋体" w:hAnsi="宋体"/>
          <w:color w:val="auto"/>
          <w:szCs w:val="21"/>
          <w:highlight w:val="none"/>
        </w:rPr>
        <w:t>元/次·人收取违约金；无特殊原因，月累计缺勤</w:t>
      </w:r>
      <w:r>
        <w:rPr>
          <w:rFonts w:hint="eastAsia" w:ascii="宋体" w:hAnsi="宋体"/>
          <w:color w:val="auto"/>
          <w:szCs w:val="21"/>
          <w:highlight w:val="none"/>
        </w:rPr>
        <w:t>3</w:t>
      </w:r>
      <w:r>
        <w:rPr>
          <w:rFonts w:ascii="宋体" w:hAnsi="宋体"/>
          <w:color w:val="auto"/>
          <w:szCs w:val="21"/>
          <w:highlight w:val="none"/>
        </w:rPr>
        <w:t>天以上</w:t>
      </w:r>
      <w:r>
        <w:rPr>
          <w:rFonts w:hint="eastAsia" w:ascii="宋体" w:hAnsi="宋体"/>
          <w:color w:val="auto"/>
          <w:szCs w:val="21"/>
          <w:highlight w:val="none"/>
        </w:rPr>
        <w:t>（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r>
        <w:rPr>
          <w:rFonts w:ascii="宋体" w:hAnsi="宋体"/>
          <w:color w:val="auto"/>
          <w:szCs w:val="21"/>
          <w:highlight w:val="none"/>
        </w:rPr>
        <w:t>。</w:t>
      </w:r>
    </w:p>
    <w:p w14:paraId="594D3BDA">
      <w:pPr>
        <w:overflowPunct w:val="0"/>
        <w:autoSpaceDE w:val="0"/>
        <w:autoSpaceDN w:val="0"/>
        <w:adjustRightInd w:val="0"/>
        <w:snapToGrid w:val="0"/>
        <w:spacing w:line="360" w:lineRule="auto"/>
        <w:ind w:firstLine="420" w:firstLineChars="200"/>
        <w:rPr>
          <w:color w:val="auto"/>
          <w:highlight w:val="none"/>
        </w:rPr>
      </w:pPr>
      <w:r>
        <w:rPr>
          <w:rFonts w:hint="eastAsia" w:ascii="宋体" w:hAnsi="宋体"/>
          <w:color w:val="auto"/>
          <w:szCs w:val="21"/>
          <w:highlight w:val="none"/>
        </w:rPr>
        <w:t>（5）事假要提前1天向委托人申请，填写请假条，一天以内委托人现场代表批准，两天以上委托人项目负责人批准。获准假后方可休息，同时、监理单位应另外相派对应的监理工程师接替其监理工作。</w:t>
      </w:r>
    </w:p>
    <w:p w14:paraId="2F5B7211">
      <w:pPr>
        <w:pStyle w:val="2"/>
        <w:spacing w:before="0" w:after="0" w:line="360" w:lineRule="auto"/>
        <w:ind w:firstLine="420" w:firstLineChars="200"/>
        <w:rPr>
          <w:rFonts w:hint="eastAsia" w:ascii="宋体" w:hAnsi="宋体"/>
          <w:caps w:val="0"/>
          <w:color w:val="auto"/>
          <w:sz w:val="21"/>
          <w:szCs w:val="21"/>
          <w:highlight w:val="none"/>
        </w:rPr>
      </w:pPr>
      <w:r>
        <w:rPr>
          <w:rFonts w:hint="eastAsia" w:ascii="宋体" w:hAnsi="宋体"/>
          <w:caps w:val="0"/>
          <w:color w:val="auto"/>
          <w:sz w:val="21"/>
          <w:szCs w:val="21"/>
          <w:highlight w:val="none"/>
        </w:rPr>
        <w:t>（6）现场收方：需收方施工单位提前6小时向监理单位申报，若因监理单位自身原因未及时通知业主、跟审单位或延迟收方时间超过半小时，每发生一次，按照10000元/次向委托人承担损失，累计发生3次以上（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p>
    <w:p w14:paraId="0DA2CF53">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现场施工作业：若现场有安全施工作业，监理人员必须全程旁站，直到安全操作结束，若经检查发现监理未在现场安全旁站，每发生一次按照10000元/次向委托人承担损失，累计发生3次以上（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p>
    <w:p w14:paraId="159652A3">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监理单位在审核施工单位提供的所有资料，审核通过上报业主，如审核的资料存在明显不符合常理，脱离市场规律，每发生一次按照10000元/次向委托人承担损失，累计发生3次以上（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p>
    <w:p w14:paraId="009E49BA">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根据工程进度安排需要加班时，所有监理人员必须服从。</w:t>
      </w:r>
    </w:p>
    <w:p w14:paraId="1011413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（三）项目监理人员廉政、职业操守</w:t>
      </w:r>
    </w:p>
    <w:p w14:paraId="4D75EE2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监理人员不得与施工单位勾结、弄虚作假、串通一气，故意隐瞒工程质量安全问题，虚报工程计量支付、变更等，对项目造成损失的，由监理单位承担赔偿责任，并视情况收取违约金，扣减监理费用，情节严重者追究法律责任；</w:t>
      </w:r>
    </w:p>
    <w:p w14:paraId="60EF4B5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（2）不以任何形式收受建设项目施工关联单位、个人的礼物、有价证券、支付凭证、门票等。</w:t>
      </w:r>
    </w:p>
    <w:p w14:paraId="142BF99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（3）不以任何形式参与建设项目施工关联单位、个人的宴请、娱乐、旅游等。</w:t>
      </w:r>
    </w:p>
    <w:p w14:paraId="58C046F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（4）不以任何理由、任何方式（明示、暗示）推荐或介绍材料、机械设备供应商、租赁商；各类服务单位；工程承包、区域、劳务承包单位等。</w:t>
      </w:r>
    </w:p>
    <w:p w14:paraId="4DDD3F6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（5）家人、亲属、同学等不得直接参与园区内建设项目施工关联工作，确有的，应主动报告，并申请回避。</w:t>
      </w:r>
    </w:p>
    <w:p w14:paraId="137707A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二、进度管理</w:t>
      </w:r>
    </w:p>
    <w:p w14:paraId="37C1CC1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（一）监理单位根据项目工期要求及总进度计划，审查各分部分项工程的年、季、月度计划可行性并提出可行性意见，督促施工单位严格执行。</w:t>
      </w:r>
    </w:p>
    <w:p w14:paraId="316C380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（二）监理人员须经常深入工地，了解施工单位的工、料、机的投入情况，对进度滞后的工程提出分析意见，采取有效控制措施，督促施工单位按进度计划完成。</w:t>
      </w:r>
    </w:p>
    <w:p w14:paraId="4759010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（三）项目合同工期分为准备期、建设期两个阶段，监理单位在各阶段须完成但不限于下列内容：</w:t>
      </w:r>
    </w:p>
    <w:p w14:paraId="02ACB8B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1.准备期为项目总工期的15%：</w:t>
      </w:r>
    </w:p>
    <w:p w14:paraId="0C131E6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（1）完成监理规划、细则等技术资料报审，做好现场各种检验、试验监理准备工作；</w:t>
      </w:r>
    </w:p>
    <w:p w14:paraId="752C37D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（2）完成监理单位驻地建设；</w:t>
      </w:r>
    </w:p>
    <w:p w14:paraId="01048F3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（3）督促施工单位完成各种临设搭建、方案报审及其各种检验、试验施工准备工作。</w:t>
      </w:r>
    </w:p>
    <w:p w14:paraId="1AD6598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（4）完成对施工单位进场人员、机械设备、材料的检查与审核工作。</w:t>
      </w:r>
    </w:p>
    <w:p w14:paraId="200F118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2.建设期为项目总工期的85%：</w:t>
      </w:r>
    </w:p>
    <w:p w14:paraId="71CB719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（1）按合同、招标文件、设计文件及工程量清单要求督促施工单位完成工程建设，各项过程验收手续及相关资料齐全；</w:t>
      </w:r>
    </w:p>
    <w:p w14:paraId="2A9DB157">
      <w:pPr>
        <w:spacing w:after="120"/>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（2）组织完成项目涉及的规划、环保、消防、节能、景观绿化、人防、白蚁、防雷、档案、电梯等相应的专项验收；</w:t>
      </w:r>
    </w:p>
    <w:p w14:paraId="755B0D0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（3）组织完成预验收及移交投运等。 </w:t>
      </w:r>
    </w:p>
    <w:p w14:paraId="7AFD2CA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（四）合同工期结束，项目进入竣工备案等相关服务期，时间为为项目总工期的20%，监理单位在各阶段须完成但不限于下列内容：：</w:t>
      </w:r>
    </w:p>
    <w:p w14:paraId="04C88BA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1.根据项目具体情况，现场留守专业人员，制定相应的缺陷、维护工作方案，报建设单位审批，监理并督促施工单位完成投运初期的缺陷整改和维护工作。</w:t>
      </w:r>
    </w:p>
    <w:p w14:paraId="368FD77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2.完成监理单位竣工资料移交，督促施工单位完成竣工资料移交；</w:t>
      </w:r>
    </w:p>
    <w:p w14:paraId="23216DA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3.积极配合建设单位并督促施工单位完成竣工验收及备案工作（若建设单位原因无法竣工备案的，须完成除备案手续之外的所有相关资料，达到竣工备案条件）；</w:t>
      </w:r>
    </w:p>
    <w:p w14:paraId="62A7570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4.完成竣工备案之后（建设单位原因无法备案的须满足本条款3中约定），项目进入缺陷责任期。</w:t>
      </w:r>
    </w:p>
    <w:p w14:paraId="033DA9C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三、造价管理</w:t>
      </w:r>
    </w:p>
    <w:p w14:paraId="4C6E8FA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监理工作范围包括但不限于下列内容：</w:t>
      </w:r>
    </w:p>
    <w:p w14:paraId="7560C99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（一）设计文件方面</w:t>
      </w:r>
    </w:p>
    <w:p w14:paraId="0AA6EB2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（1）严把图纸会审关，在保证工程质量及满足相关功能要求的同时，提出合理化建议减少投资；</w:t>
      </w:r>
    </w:p>
    <w:p w14:paraId="55A910F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（2）结合现场情况审核变更、洽商，审核工程造价，同时建立变更、洽商管理台账，及时清晰的掌握变更、洽商对整个项目的投资影响情况。</w:t>
      </w:r>
    </w:p>
    <w:p w14:paraId="07B2A77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（二）过程控制方面</w:t>
      </w:r>
    </w:p>
    <w:p w14:paraId="6B433A1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（1）熟悉合同文件、设计文件、工程量清单及相关法律法规，严格现场签证、准确计量、准确审核相关资料；</w:t>
      </w:r>
    </w:p>
    <w:p w14:paraId="382447B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（2）应配备相应的测量监理工程师、监理员及相关的仪器设备，对完成工程项目进行收方确认。</w:t>
      </w:r>
    </w:p>
    <w:p w14:paraId="74F5739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（3）严格工程款审批，如实审核已完工程数量及相关质量、试验资料等；</w:t>
      </w:r>
    </w:p>
    <w:p w14:paraId="36809F5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（4）正确处理和防范施工索赔，并协助建设单位做好反索赔工作，做好相关记录。</w:t>
      </w:r>
    </w:p>
    <w:p w14:paraId="6537C36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（5）若监理单位原因造成施工索赔，追究监理单位相关违约责任并视情况处以违约金；</w:t>
      </w:r>
    </w:p>
    <w:p w14:paraId="78B96C6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（三）竣工、结算、审计方面</w:t>
      </w:r>
    </w:p>
    <w:p w14:paraId="3BD1FB4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（1）监理单位应根据竣工图结合隐蔽工程资料、现场签证和变更等，审查施工单位是否按设计、规范及合同要求完成所有施工内容；</w:t>
      </w:r>
    </w:p>
    <w:p w14:paraId="5C4C0F9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（2）监理费按费率计算的，若工程结算、审计出现工程费用调整情况，按相应调整比例调整监理费用。</w:t>
      </w:r>
    </w:p>
    <w:p w14:paraId="57851D0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四、计量支付</w:t>
      </w:r>
    </w:p>
    <w:p w14:paraId="79CDDCE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（一）监理费支付（扣减各类处罚后），除按照合同约定外，须满足下列要求：</w:t>
      </w:r>
    </w:p>
    <w:p w14:paraId="2C7D718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1.完成同期监理日报、周报、月报；</w:t>
      </w:r>
    </w:p>
    <w:p w14:paraId="0BC77F0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2.完成同期《监理日志》、《工地例会纪要》等相关资料；</w:t>
      </w:r>
    </w:p>
    <w:p w14:paraId="5D8C18D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3.完成同期《监理指令》及回复等相关资料；</w:t>
      </w:r>
    </w:p>
    <w:p w14:paraId="3C19B60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4.完成同期平行检验资料；</w:t>
      </w:r>
    </w:p>
    <w:p w14:paraId="5217D26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5.完成同期监理工作相关资料。</w:t>
      </w:r>
    </w:p>
    <w:p w14:paraId="2B38A81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（二）监理单位未按照建设单位下发文件、会议纪要以及通知的具体要求进行落实或未落实到位的，多次处罚未整改到位的，暂缓或分次支付当期监理费，直至相关事项得到落实。</w:t>
      </w:r>
    </w:p>
    <w:p w14:paraId="160D59A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五、质量管理</w:t>
      </w:r>
    </w:p>
    <w:p w14:paraId="7457EEB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监理工作范围包括但不限于下列内容：</w:t>
      </w:r>
    </w:p>
    <w:p w14:paraId="0A3BF0C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（一）质量事前控制</w:t>
      </w:r>
    </w:p>
    <w:p w14:paraId="70D3221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1.组织设计图纸会审会议，严把图纸会审关，减少施工过程中的设计变更、洽商；</w:t>
      </w:r>
    </w:p>
    <w:p w14:paraId="61520A5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2.严格审核各项施工方案，使之符合项目建设需求以及法律法规、强制性条文标准，采取有效措施督促施工单位按批准的方案实施；</w:t>
      </w:r>
    </w:p>
    <w:p w14:paraId="6078B03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3.审查并复核测量控制网点以及所有测量成果；</w:t>
      </w:r>
    </w:p>
    <w:p w14:paraId="1DDC582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4.审查单位工程、分部分项工程和检验批的划分并根据监理规划进行分析和调整，确定质量控制重点并在监理过程中监督实施、组织验收；</w:t>
      </w:r>
    </w:p>
    <w:p w14:paraId="04A0046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5.审核总包、区域、检测、试验等施工关联单位资质及人员资质；</w:t>
      </w:r>
    </w:p>
    <w:p w14:paraId="2F1C270C">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6.检查特种人员（如测量工、电工、焊工、检测、预应力张拉工、起重工、脚手架工、防水工、司机等）持证上岗情况，并监督实施；</w:t>
      </w:r>
    </w:p>
    <w:p w14:paraId="0F45518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7.督促落实施工现场试验室、养护室规范建立，查验其检验、试验设备以及各种工器具的有效合格证件；</w:t>
      </w:r>
    </w:p>
    <w:p w14:paraId="3CC0E89E">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color w:val="auto"/>
          <w:szCs w:val="21"/>
          <w:highlight w:val="none"/>
        </w:rPr>
        <w:t>8.</w:t>
      </w:r>
      <w:r>
        <w:rPr>
          <w:rFonts w:ascii="宋体" w:hAnsi="宋体"/>
          <w:bCs/>
          <w:color w:val="auto"/>
          <w:szCs w:val="21"/>
          <w:highlight w:val="none"/>
        </w:rPr>
        <w:t>原材料、机械设备进场验收手续齐全，质量证明资料与实物核验符合设计及规范要求，监理应采取有效措施防止使用未经批准的材料、机械设备；</w:t>
      </w:r>
    </w:p>
    <w:p w14:paraId="7FC1C537">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9.见证取样：配备相应见证取样监理人员，对涉及结构安全的试块、试件及工程材料现场取样、封样、送检工作进行监督管理。</w:t>
      </w:r>
    </w:p>
    <w:p w14:paraId="53194037">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10.平行检验：</w:t>
      </w:r>
    </w:p>
    <w:p w14:paraId="0C76432B">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（1）配备相应试验、测量监理工程师、监理员，设备及各种工器具，按监理规范和相关质量验收及评定标准、规范等，对施工单位的测量、试验、验收工作进行检查、测量、试验、验证。</w:t>
      </w:r>
      <w:r>
        <w:rPr>
          <w:rFonts w:ascii="宋体" w:hAnsi="宋体"/>
          <w:color w:val="auto"/>
          <w:szCs w:val="21"/>
          <w:highlight w:val="none"/>
        </w:rPr>
        <w:t>平行检验结果作为进入下道工序和工程验收的依据；</w:t>
      </w:r>
    </w:p>
    <w:p w14:paraId="1B07F2E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（2）监理应根据项目具体情况编制平行检验方案，包含工程概况及特点；检验依据；检验人员；检验项目及内容、频率；检验方法；数据处理、相关表格等，</w:t>
      </w:r>
      <w:r>
        <w:rPr>
          <w:rFonts w:ascii="宋体" w:hAnsi="宋体"/>
          <w:color w:val="auto"/>
          <w:szCs w:val="21"/>
          <w:highlight w:val="none"/>
        </w:rPr>
        <w:t>报建设单位审批后实施，简单项目或1000万以下工程项目可简化平行检验工作。</w:t>
      </w:r>
    </w:p>
    <w:p w14:paraId="4AD87F0D">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（3）测量平行检验：导线测量平行检验、施工放线平行检验等。</w:t>
      </w:r>
    </w:p>
    <w:p w14:paraId="72FC7CC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4）试验平行检验：对工程，对施工单位所有试验项目（主要原材料、半成品、构配件的技术性能；施工过程中的主要施工工序、施工成果）进行平行检验，检验频率不得低于施工单位检验频率的15%（最少不少于一组），监理单位有试验资质的可自行检验；需外委托的，需提交试验单位资质报建设单</w:t>
      </w:r>
      <w:r>
        <w:rPr>
          <w:rFonts w:ascii="宋体" w:hAnsi="宋体"/>
          <w:color w:val="auto"/>
          <w:szCs w:val="21"/>
          <w:highlight w:val="none"/>
        </w:rPr>
        <w:t>位审批，对于专业检测、试验机构出具的检验、试验报告，监理机构应收集查看检测试验报告是否合格。</w:t>
      </w:r>
    </w:p>
    <w:p w14:paraId="0826C97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验收平行检验：监理人员应对全部分部、分项工程以及每个分部分项工程包括的全部检验批进行独立检查、测量、验收，分部分项工程外观验收频率100%的进行验收，全部检验项目100%的进行验收，实测实量检验项目，检验频率按不低于工程质量验收评定标准规定的施工单位质量自检频率的30%进行。</w:t>
      </w:r>
    </w:p>
    <w:p w14:paraId="7AC6D1E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（6）平行检验活动必须由监理机构组织，应按公正、独立、自主的原则进行，以确保平行检验所获得的数据和质量评估结论准确。</w:t>
      </w:r>
    </w:p>
    <w:p w14:paraId="6BFF8B1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（7）平行检验及相关费用纳入合同总价，建设单位不单独支付费用。</w:t>
      </w:r>
    </w:p>
    <w:p w14:paraId="5C17CE3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8）建设单位现场代表可对平行检验工作进行监督、抽检，若抽检结果合格，抽检费用由建设单位承担（按国家相关费用标准）；若抽检不合格，抽检费用由监理单位承担，建设单位有权视情况收取违约金，扣减监理费用。</w:t>
      </w:r>
    </w:p>
    <w:p w14:paraId="49C6D14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（二）质量事中控制</w:t>
      </w:r>
    </w:p>
    <w:p w14:paraId="6DFB70B5">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1.负责对</w:t>
      </w:r>
      <w:r>
        <w:rPr>
          <w:rFonts w:ascii="宋体" w:hAnsi="宋体"/>
          <w:color w:val="auto"/>
          <w:szCs w:val="21"/>
          <w:highlight w:val="none"/>
        </w:rPr>
        <w:t>施工</w:t>
      </w:r>
      <w:r>
        <w:rPr>
          <w:rFonts w:ascii="宋体" w:hAnsi="宋体"/>
          <w:bCs/>
          <w:color w:val="auto"/>
          <w:szCs w:val="21"/>
          <w:highlight w:val="none"/>
        </w:rPr>
        <w:t>质量进行全过程监理，使之满足合同文件、设计文件及相关技术规范要求</w:t>
      </w:r>
      <w:r>
        <w:rPr>
          <w:rFonts w:ascii="宋体" w:hAnsi="宋体"/>
          <w:color w:val="auto"/>
          <w:szCs w:val="21"/>
          <w:highlight w:val="none"/>
        </w:rPr>
        <w:t>；</w:t>
      </w:r>
    </w:p>
    <w:p w14:paraId="27FF122B">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color w:val="auto"/>
          <w:szCs w:val="21"/>
          <w:highlight w:val="none"/>
        </w:rPr>
        <w:t>2.严禁擅自修改设计内容施工，若出现变更，应及时完善相关手续，同时建立变更管理台账，</w:t>
      </w:r>
      <w:r>
        <w:rPr>
          <w:rFonts w:ascii="宋体" w:hAnsi="宋体"/>
          <w:bCs/>
          <w:color w:val="auto"/>
          <w:szCs w:val="21"/>
          <w:highlight w:val="none"/>
        </w:rPr>
        <w:t>并督促施工单位按批准的变更文件进行施工；</w:t>
      </w:r>
    </w:p>
    <w:p w14:paraId="591BDD66">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3.负责对施工现场实行监理旁站：即只要施工现场在施工，监理人员就必须坚守现场，尤其是重要部位、重要工序及隐蔽工程的施工必须实行监理旁站；</w:t>
      </w:r>
    </w:p>
    <w:p w14:paraId="5D9C019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施工过程中，监理人员应加强过程检查、主动发现并敢于指出问题，对施工过程中明显违反施工规范、与图纸不符、有严重错误的问题，应及时指出并要求施工单位限期整改，必要时签发监理通知单，以减少工序验收时不必要的返工；</w:t>
      </w:r>
    </w:p>
    <w:p w14:paraId="16F053B3">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5.若发现已经或可能形成质量事故的重大隐患，应立即告知建设单位，</w:t>
      </w:r>
      <w:r>
        <w:rPr>
          <w:rFonts w:ascii="宋体" w:hAnsi="宋体"/>
          <w:color w:val="auto"/>
          <w:szCs w:val="21"/>
          <w:highlight w:val="none"/>
        </w:rPr>
        <w:t>并且</w:t>
      </w:r>
      <w:r>
        <w:rPr>
          <w:rFonts w:ascii="宋体" w:hAnsi="宋体"/>
          <w:bCs/>
          <w:color w:val="auto"/>
          <w:szCs w:val="21"/>
          <w:highlight w:val="none"/>
        </w:rPr>
        <w:t>停工整改，整改完毕并通过验收后方可复工；</w:t>
      </w:r>
    </w:p>
    <w:p w14:paraId="4BB73697">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6.工序检查：坚持上道工序不经检查验收不准进行下道工序的原则，必须经监理工程师</w:t>
      </w:r>
      <w:r>
        <w:rPr>
          <w:rFonts w:ascii="宋体" w:hAnsi="宋体"/>
          <w:color w:val="auto"/>
          <w:szCs w:val="21"/>
          <w:highlight w:val="none"/>
        </w:rPr>
        <w:t>亲手量测各项详细数据资料</w:t>
      </w:r>
      <w:r>
        <w:rPr>
          <w:rFonts w:ascii="宋体" w:hAnsi="宋体"/>
          <w:bCs/>
          <w:color w:val="auto"/>
          <w:szCs w:val="21"/>
          <w:highlight w:val="none"/>
        </w:rPr>
        <w:t>并验收合格后才能进入下一道工序；</w:t>
      </w:r>
    </w:p>
    <w:p w14:paraId="15B0817E">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7.定期</w:t>
      </w:r>
      <w:r>
        <w:rPr>
          <w:rFonts w:ascii="宋体" w:hAnsi="宋体"/>
          <w:color w:val="auto"/>
          <w:szCs w:val="21"/>
          <w:highlight w:val="none"/>
        </w:rPr>
        <w:t>召开</w:t>
      </w:r>
      <w:r>
        <w:rPr>
          <w:rFonts w:ascii="宋体" w:hAnsi="宋体"/>
          <w:bCs/>
          <w:color w:val="auto"/>
          <w:szCs w:val="21"/>
          <w:highlight w:val="none"/>
        </w:rPr>
        <w:t>质量分析会，通报质量状况，分析质量趋势，提出改进措施并监督实施；</w:t>
      </w:r>
    </w:p>
    <w:p w14:paraId="148DB3F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8.组织各分部分项工程、关键工序和隐蔽工程的质量验收，</w:t>
      </w:r>
      <w:r>
        <w:rPr>
          <w:rFonts w:ascii="宋体" w:hAnsi="宋体"/>
          <w:color w:val="auto"/>
          <w:szCs w:val="21"/>
          <w:highlight w:val="none"/>
        </w:rPr>
        <w:t>各项验收须满足合同文件、设计文件、工程量清单以及相应规范要求并一次验收合格。</w:t>
      </w:r>
    </w:p>
    <w:p w14:paraId="33B3D3F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（三）质量事后控制</w:t>
      </w:r>
    </w:p>
    <w:p w14:paraId="5683AC4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1.参与工程分部试运行及项目试运行；</w:t>
      </w:r>
    </w:p>
    <w:p w14:paraId="1093107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2.负责对工程项目进行质量评定，如实提交质量评估报告；</w:t>
      </w:r>
    </w:p>
    <w:p w14:paraId="5E85239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3.协助建设单位准备竣工验收资料与达标投产工作；</w:t>
      </w:r>
    </w:p>
    <w:p w14:paraId="5F3DEED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4.审核施工单位的《质量保修证书》；</w:t>
      </w:r>
    </w:p>
    <w:p w14:paraId="71865C6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5.缺陷责任期满，组织各参建单位及使用单位进行验收，按验收意见督促施工单位进行整改，整改完毕后重新组织验收，直至验收通过方可终止缺陷责任期。</w:t>
      </w:r>
    </w:p>
    <w:p w14:paraId="2A6F4A3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六、档案、资料管理</w:t>
      </w:r>
    </w:p>
    <w:p w14:paraId="0449092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（一）《监理日志》、《监理周报》和《监理月报》</w:t>
      </w:r>
    </w:p>
    <w:p w14:paraId="5AC1C92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1.《监理日志》总监每周审查</w:t>
      </w:r>
      <w:r>
        <w:rPr>
          <w:rFonts w:hint="eastAsia" w:ascii="宋体" w:hAnsi="宋体"/>
          <w:color w:val="auto"/>
          <w:szCs w:val="21"/>
          <w:highlight w:val="none"/>
        </w:rPr>
        <w:t>签名</w:t>
      </w:r>
      <w:r>
        <w:rPr>
          <w:rFonts w:ascii="宋体" w:hAnsi="宋体"/>
          <w:color w:val="auto"/>
          <w:szCs w:val="21"/>
          <w:highlight w:val="none"/>
        </w:rPr>
        <w:t>，副总监或总监代表每天审查</w:t>
      </w:r>
      <w:r>
        <w:rPr>
          <w:rFonts w:hint="eastAsia" w:ascii="宋体" w:hAnsi="宋体"/>
          <w:color w:val="auto"/>
          <w:szCs w:val="21"/>
          <w:highlight w:val="none"/>
        </w:rPr>
        <w:t>签名</w:t>
      </w:r>
      <w:r>
        <w:rPr>
          <w:rFonts w:ascii="宋体" w:hAnsi="宋体"/>
          <w:color w:val="auto"/>
          <w:szCs w:val="21"/>
          <w:highlight w:val="none"/>
        </w:rPr>
        <w:t>，建设单位代表不定期检查，记录情况须准确、详细，且能真实反映现场施工情况；</w:t>
      </w:r>
    </w:p>
    <w:p w14:paraId="3FAEED8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2.《监理周报》必须真实反应现场施工质量安全情况、本周进展及下周计划、实际进展与月进度计划匹配情况以及需要建设单位协调解决的问题；</w:t>
      </w:r>
    </w:p>
    <w:p w14:paraId="311BFA6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3.《监理月报》必须真实反应现场施工质量安全情况、本月进展及下月计划、实际进展与总进度计划匹配情况、进度滞后的工期保证方案（根据项目需要）以及需要建设单位协调解决的问题等。</w:t>
      </w:r>
    </w:p>
    <w:p w14:paraId="7FD9C92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（二）会议纪要、工程资料</w:t>
      </w:r>
    </w:p>
    <w:p w14:paraId="475FBAE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1.现场会议后</w:t>
      </w:r>
      <w:r>
        <w:rPr>
          <w:rFonts w:hint="eastAsia" w:ascii="宋体" w:hAnsi="宋体"/>
          <w:color w:val="auto"/>
          <w:szCs w:val="21"/>
          <w:highlight w:val="none"/>
        </w:rPr>
        <w:t>24</w:t>
      </w:r>
      <w:r>
        <w:rPr>
          <w:rFonts w:ascii="宋体" w:hAnsi="宋体"/>
          <w:color w:val="auto"/>
          <w:szCs w:val="21"/>
          <w:highlight w:val="none"/>
        </w:rPr>
        <w:t>小时内下发会议纪要；</w:t>
      </w:r>
    </w:p>
    <w:p w14:paraId="5AC0950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2.审查工程资料，督促施工单位及时递交，并及时、真实、准确签证，杜绝漏签、错签，严禁代签；</w:t>
      </w:r>
    </w:p>
    <w:p w14:paraId="126622E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3.工程资料审查：自接到施工单位递交之日起，7天内完成审核及签认，不能按时完成时须向施工单位和建设单位说明原因。</w:t>
      </w:r>
    </w:p>
    <w:p w14:paraId="54FE202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（三）按照监理规范及相关规定，除档案馆要求的资料外，监理工作相关的其他资料，如《监理日志》、《工作联系单》等文字、语音、影像资料等均需完整的提交一份给建设单位。</w:t>
      </w:r>
    </w:p>
    <w:p w14:paraId="51B9AFE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七、安全文明管理</w:t>
      </w:r>
    </w:p>
    <w:p w14:paraId="1CB1AE4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监理工作范围包括但不限于下列内容：</w:t>
      </w:r>
    </w:p>
    <w:p w14:paraId="1B04F17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（一）配备专职安全监理工程师，做好日常安全文明监理工作以及作业前安全交底工作，自觉遵守并严格执行安全文明管理制度。</w:t>
      </w:r>
    </w:p>
    <w:p w14:paraId="002CE47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ascii="宋体" w:hAnsi="宋体"/>
          <w:bCs/>
          <w:color w:val="auto"/>
          <w:szCs w:val="21"/>
          <w:highlight w:val="none"/>
        </w:rPr>
        <w:t>审核施工安全专项方案，督促施工单位落实安全保证体系。</w:t>
      </w:r>
    </w:p>
    <w:p w14:paraId="40DC477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（三）督促施工单位建立健全安全生产责任制，人员到位、责任到人。</w:t>
      </w:r>
    </w:p>
    <w:p w14:paraId="6347728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（四）督促施工单位履行安全文明生产制度，项目监理部应定期组织现场安全文明生产的检查，对检查发现的问题应及时要求施工单位整改，并将整改结果上报建设单位。</w:t>
      </w:r>
    </w:p>
    <w:p w14:paraId="1036163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八、备注</w:t>
      </w:r>
    </w:p>
    <w:p w14:paraId="5CF075C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未按设计、相关规范、合同、本要求规定等进行监理的视为违约，建设单位有权视情况追究违约责任，并收取违约金，扣减监理费用，若监理单位对违约事项拒签的，按双倍收取违约金，建设单位可直接扣减监理费用，无需监理单位签认。</w:t>
      </w:r>
    </w:p>
    <w:p w14:paraId="304FA07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（二）1000万以下工程项目监理，建设单位可根据工程项目具体情况简化管理。</w:t>
      </w:r>
    </w:p>
    <w:p w14:paraId="340EC4ED">
      <w:pPr>
        <w:pStyle w:val="48"/>
        <w:widowControl w:val="0"/>
        <w:overflowPunct w:val="0"/>
        <w:autoSpaceDE w:val="0"/>
        <w:autoSpaceDN w:val="0"/>
        <w:adjustRightInd w:val="0"/>
        <w:snapToGrid w:val="0"/>
        <w:spacing w:before="0" w:beforeAutospacing="0" w:after="0" w:afterAutospacing="0" w:line="360" w:lineRule="auto"/>
        <w:ind w:firstLine="420" w:firstLineChars="200"/>
        <w:rPr>
          <w:rFonts w:cs="Times New Roman"/>
          <w:color w:val="auto"/>
          <w:sz w:val="21"/>
          <w:szCs w:val="21"/>
          <w:highlight w:val="none"/>
        </w:rPr>
      </w:pPr>
      <w:r>
        <w:rPr>
          <w:rFonts w:cs="Times New Roman"/>
          <w:color w:val="auto"/>
          <w:sz w:val="21"/>
          <w:szCs w:val="21"/>
          <w:highlight w:val="none"/>
        </w:rPr>
        <w:t>（三）以上违约金在当期进度产值实际支付款项中予以扣除，纳入工程结算。</w:t>
      </w:r>
    </w:p>
    <w:p w14:paraId="60168D12">
      <w:pPr>
        <w:pStyle w:val="48"/>
        <w:widowControl w:val="0"/>
        <w:overflowPunct w:val="0"/>
        <w:autoSpaceDE w:val="0"/>
        <w:autoSpaceDN w:val="0"/>
        <w:adjustRightInd w:val="0"/>
        <w:snapToGrid w:val="0"/>
        <w:spacing w:before="0" w:beforeAutospacing="0" w:after="0" w:afterAutospacing="0" w:line="360" w:lineRule="auto"/>
        <w:ind w:firstLine="420" w:firstLineChars="200"/>
        <w:rPr>
          <w:rFonts w:cs="Times New Roman"/>
          <w:color w:val="auto"/>
          <w:sz w:val="21"/>
          <w:szCs w:val="21"/>
          <w:highlight w:val="none"/>
        </w:rPr>
      </w:pPr>
      <w:r>
        <w:rPr>
          <w:rFonts w:cs="Times New Roman"/>
          <w:color w:val="auto"/>
          <w:sz w:val="21"/>
          <w:szCs w:val="21"/>
          <w:highlight w:val="none"/>
        </w:rPr>
        <w:t>（四）各级管理人员对监理单位不良行为处罚权限：工程配套部现场代表权限为单次处罚金1000元以内；工程配套部部长为单次处罚金5000元以内；分管领导为单次处罚金30000元以内；主要领导为单次处罚金50000元内；超过时应由园区相关会议决定。</w:t>
      </w:r>
    </w:p>
    <w:p w14:paraId="613C51B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（五）本要求由建设单位负责解释，并有权根据项目建设情况进行修订，若有修订按修订后的执行。</w:t>
      </w:r>
    </w:p>
    <w:p w14:paraId="10CB5714">
      <w:pPr>
        <w:overflowPunct w:val="0"/>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（六）其他要求：</w:t>
      </w:r>
    </w:p>
    <w:p w14:paraId="09E6C50F">
      <w:pPr>
        <w:overflowPunct w:val="0"/>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自工程开工之日起至竣工之日止，每天（下午5点至6点）向业主报当天施工日报(施工日报按业主要求的模板)，并附施工照片，照片要有日期、时间，如发现一次未按时向业主报施工日报，向监理单位罚款1000元/次，连续3次未报，请监理单位法人到业主单位谈话。</w:t>
      </w:r>
    </w:p>
    <w:p w14:paraId="7329228E">
      <w:pPr>
        <w:overflowPunct w:val="0"/>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2、每周例会由总监召集， 现场施工例会规定参加人员：监理单位驻工地代表；施工单位项目经理、技术及经济负责人、施工员；建设单位现场代表等；</w:t>
      </w:r>
    </w:p>
    <w:p w14:paraId="032D5374">
      <w:pPr>
        <w:overflowPunct w:val="0"/>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 现场施工工程例会内容：听取各施工单位关于本阶段工程项目的施工进度、施工质量等完成情况、下一步工作安排计划及施工存在问题的汇报；监理工程师总结评价，指出施工单位施工中的不足和问题，提出下一步工程项目的工作要点和要求；建设单位提出意见和要求，并对各单位提出的问题做答复；</w:t>
      </w:r>
    </w:p>
    <w:p w14:paraId="1135856F">
      <w:pPr>
        <w:overflowPunct w:val="0"/>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4、 现场施工工程例会在完成后的24小时内，监理工程师必须编写会议纪要，会议纪要要有各施工单位负责人、总监理工程师、建设单位现场代表签字认可。</w:t>
      </w:r>
    </w:p>
    <w:p w14:paraId="04349AC6">
      <w:pPr>
        <w:spacing w:after="120"/>
        <w:rPr>
          <w:rFonts w:ascii="宋体" w:hAnsi="宋体"/>
          <w:color w:val="auto"/>
          <w:szCs w:val="21"/>
          <w:highlight w:val="none"/>
        </w:rPr>
      </w:pPr>
    </w:p>
    <w:p w14:paraId="2975EE3C">
      <w:pPr>
        <w:rPr>
          <w:rFonts w:ascii="宋体" w:hAnsi="宋体"/>
          <w:color w:val="auto"/>
          <w:szCs w:val="21"/>
          <w:highlight w:val="none"/>
        </w:rPr>
      </w:pPr>
    </w:p>
    <w:p w14:paraId="76894F76">
      <w:pPr>
        <w:spacing w:after="120"/>
        <w:rPr>
          <w:rFonts w:ascii="宋体" w:hAnsi="宋体"/>
          <w:color w:val="auto"/>
          <w:szCs w:val="21"/>
          <w:highlight w:val="none"/>
        </w:rPr>
      </w:pPr>
    </w:p>
    <w:p w14:paraId="23CE11DA">
      <w:pPr>
        <w:rPr>
          <w:rFonts w:ascii="宋体" w:hAnsi="宋体"/>
          <w:color w:val="auto"/>
          <w:szCs w:val="21"/>
          <w:highlight w:val="none"/>
        </w:rPr>
      </w:pPr>
    </w:p>
    <w:p w14:paraId="13DAC0FD">
      <w:pPr>
        <w:spacing w:after="120"/>
        <w:rPr>
          <w:rFonts w:ascii="宋体" w:hAnsi="宋体"/>
          <w:color w:val="auto"/>
          <w:szCs w:val="21"/>
          <w:highlight w:val="none"/>
        </w:rPr>
      </w:pPr>
    </w:p>
    <w:p w14:paraId="0325A983">
      <w:pPr>
        <w:overflowPunct w:val="0"/>
        <w:autoSpaceDE w:val="0"/>
        <w:autoSpaceDN w:val="0"/>
        <w:adjustRightInd w:val="0"/>
        <w:snapToGrid w:val="0"/>
        <w:spacing w:line="420" w:lineRule="exact"/>
        <w:outlineLvl w:val="2"/>
        <w:rPr>
          <w:rFonts w:ascii="宋体" w:hAnsi="宋体" w:cs="宋体"/>
          <w:bCs/>
          <w:snapToGrid w:val="0"/>
          <w:color w:val="auto"/>
          <w:spacing w:val="-2"/>
          <w:sz w:val="24"/>
          <w:highlight w:val="none"/>
        </w:rPr>
      </w:pPr>
      <w:r>
        <w:rPr>
          <w:rFonts w:hint="eastAsia" w:ascii="宋体" w:hAnsi="宋体"/>
          <w:bCs/>
          <w:color w:val="auto"/>
          <w:sz w:val="24"/>
          <w:highlight w:val="none"/>
        </w:rPr>
        <w:br w:type="page"/>
      </w:r>
      <w:r>
        <w:rPr>
          <w:rFonts w:hint="eastAsia" w:ascii="宋体" w:hAnsi="宋体"/>
          <w:bCs/>
          <w:color w:val="auto"/>
          <w:sz w:val="24"/>
          <w:highlight w:val="none"/>
        </w:rPr>
        <w:t>附录4</w:t>
      </w:r>
    </w:p>
    <w:p w14:paraId="746DBE4A">
      <w:pPr>
        <w:widowControl/>
        <w:snapToGrid w:val="0"/>
        <w:spacing w:line="594" w:lineRule="exact"/>
        <w:jc w:val="center"/>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监理人员配置表</w:t>
      </w:r>
    </w:p>
    <w:p w14:paraId="279ED8FD">
      <w:pPr>
        <w:rPr>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1871"/>
        <w:gridCol w:w="1871"/>
        <w:gridCol w:w="1871"/>
        <w:gridCol w:w="1871"/>
      </w:tblGrid>
      <w:tr w14:paraId="36BF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71" w:type="dxa"/>
            <w:noWrap w:val="0"/>
            <w:vAlign w:val="top"/>
          </w:tcPr>
          <w:p w14:paraId="01B5A508">
            <w:pPr>
              <w:widowControl/>
              <w:snapToGrid w:val="0"/>
              <w:spacing w:line="594" w:lineRule="exact"/>
              <w:ind w:firstLine="320" w:firstLineChars="1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姓 名</w:t>
            </w:r>
          </w:p>
        </w:tc>
        <w:tc>
          <w:tcPr>
            <w:tcW w:w="1871" w:type="dxa"/>
            <w:noWrap w:val="0"/>
            <w:vAlign w:val="top"/>
          </w:tcPr>
          <w:p w14:paraId="72CB9C5F">
            <w:pPr>
              <w:widowControl/>
              <w:snapToGrid w:val="0"/>
              <w:spacing w:line="594" w:lineRule="exact"/>
              <w:jc w:val="center"/>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职务/职称</w:t>
            </w:r>
          </w:p>
        </w:tc>
        <w:tc>
          <w:tcPr>
            <w:tcW w:w="1871" w:type="dxa"/>
            <w:noWrap w:val="0"/>
            <w:vAlign w:val="top"/>
          </w:tcPr>
          <w:p w14:paraId="3CCDD1BD">
            <w:pPr>
              <w:widowControl/>
              <w:snapToGrid w:val="0"/>
              <w:spacing w:line="594" w:lineRule="exact"/>
              <w:jc w:val="center"/>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担任职责</w:t>
            </w:r>
          </w:p>
        </w:tc>
        <w:tc>
          <w:tcPr>
            <w:tcW w:w="1871" w:type="dxa"/>
            <w:noWrap w:val="0"/>
            <w:vAlign w:val="top"/>
          </w:tcPr>
          <w:p w14:paraId="22BD7BC4">
            <w:pPr>
              <w:widowControl/>
              <w:snapToGrid w:val="0"/>
              <w:spacing w:line="594" w:lineRule="exact"/>
              <w:jc w:val="center"/>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联系方式</w:t>
            </w:r>
          </w:p>
        </w:tc>
        <w:tc>
          <w:tcPr>
            <w:tcW w:w="1871" w:type="dxa"/>
            <w:noWrap w:val="0"/>
            <w:vAlign w:val="top"/>
          </w:tcPr>
          <w:p w14:paraId="113F757B">
            <w:pPr>
              <w:widowControl/>
              <w:snapToGrid w:val="0"/>
              <w:spacing w:line="594" w:lineRule="exact"/>
              <w:ind w:firstLine="320" w:firstLineChars="100"/>
              <w:rPr>
                <w:rFonts w:ascii="方正仿宋_GBK" w:hAnsi="方正仿宋_GBK" w:eastAsia="方正仿宋_GBK" w:cs="方正仿宋_GBK"/>
                <w:color w:val="auto"/>
                <w:kern w:val="0"/>
                <w:sz w:val="32"/>
                <w:szCs w:val="32"/>
                <w:highlight w:val="none"/>
              </w:rPr>
            </w:pPr>
            <w:r>
              <w:rPr>
                <w:rFonts w:ascii="方正仿宋_GBK" w:hAnsi="方正仿宋_GBK" w:eastAsia="方正仿宋_GBK" w:cs="方正仿宋_GBK"/>
                <w:color w:val="auto"/>
                <w:kern w:val="0"/>
                <w:sz w:val="32"/>
                <w:szCs w:val="32"/>
                <w:highlight w:val="none"/>
              </w:rPr>
              <w:t>备注</w:t>
            </w:r>
          </w:p>
        </w:tc>
      </w:tr>
      <w:tr w14:paraId="05D7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71" w:type="dxa"/>
            <w:noWrap w:val="0"/>
            <w:vAlign w:val="center"/>
          </w:tcPr>
          <w:p w14:paraId="16F10D4A">
            <w:pPr>
              <w:spacing w:line="594" w:lineRule="exact"/>
              <w:jc w:val="center"/>
              <w:rPr>
                <w:rFonts w:hint="eastAsia" w:ascii="宋体" w:hAnsi="宋体" w:cs="宋体"/>
                <w:bCs/>
                <w:color w:val="auto"/>
                <w:sz w:val="24"/>
                <w:highlight w:val="none"/>
              </w:rPr>
            </w:pPr>
          </w:p>
        </w:tc>
        <w:tc>
          <w:tcPr>
            <w:tcW w:w="1871" w:type="dxa"/>
            <w:noWrap w:val="0"/>
            <w:vAlign w:val="center"/>
          </w:tcPr>
          <w:p w14:paraId="1F76B8E9">
            <w:pPr>
              <w:spacing w:line="400" w:lineRule="exact"/>
              <w:jc w:val="center"/>
              <w:rPr>
                <w:rFonts w:hint="eastAsia" w:ascii="宋体" w:hAnsi="宋体" w:cs="宋体"/>
                <w:bCs/>
                <w:color w:val="auto"/>
                <w:sz w:val="24"/>
                <w:highlight w:val="none"/>
              </w:rPr>
            </w:pPr>
          </w:p>
        </w:tc>
        <w:tc>
          <w:tcPr>
            <w:tcW w:w="1871" w:type="dxa"/>
            <w:noWrap w:val="0"/>
            <w:vAlign w:val="center"/>
          </w:tcPr>
          <w:p w14:paraId="7E95490D">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60F5DCB7">
            <w:pPr>
              <w:spacing w:line="594" w:lineRule="exact"/>
              <w:jc w:val="center"/>
              <w:rPr>
                <w:rFonts w:hint="eastAsia" w:ascii="宋体" w:hAnsi="宋体" w:cs="宋体"/>
                <w:bCs/>
                <w:color w:val="auto"/>
                <w:sz w:val="24"/>
                <w:highlight w:val="none"/>
              </w:rPr>
            </w:pPr>
          </w:p>
        </w:tc>
        <w:tc>
          <w:tcPr>
            <w:tcW w:w="1871" w:type="dxa"/>
            <w:noWrap w:val="0"/>
            <w:vAlign w:val="center"/>
          </w:tcPr>
          <w:p w14:paraId="35FA9165">
            <w:pPr>
              <w:spacing w:line="594" w:lineRule="exact"/>
              <w:jc w:val="center"/>
              <w:rPr>
                <w:rFonts w:hint="eastAsia" w:ascii="宋体" w:hAnsi="宋体" w:cs="宋体"/>
                <w:bCs/>
                <w:color w:val="auto"/>
                <w:sz w:val="24"/>
                <w:highlight w:val="none"/>
              </w:rPr>
            </w:pPr>
          </w:p>
        </w:tc>
      </w:tr>
      <w:tr w14:paraId="03C2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71" w:type="dxa"/>
            <w:noWrap w:val="0"/>
            <w:vAlign w:val="center"/>
          </w:tcPr>
          <w:p w14:paraId="53EA60B0">
            <w:pPr>
              <w:spacing w:line="594" w:lineRule="exact"/>
              <w:jc w:val="center"/>
              <w:rPr>
                <w:rFonts w:hint="eastAsia" w:ascii="宋体" w:hAnsi="宋体" w:cs="宋体"/>
                <w:bCs/>
                <w:color w:val="auto"/>
                <w:sz w:val="24"/>
                <w:highlight w:val="none"/>
              </w:rPr>
            </w:pPr>
          </w:p>
        </w:tc>
        <w:tc>
          <w:tcPr>
            <w:tcW w:w="1871" w:type="dxa"/>
            <w:noWrap w:val="0"/>
            <w:vAlign w:val="center"/>
          </w:tcPr>
          <w:p w14:paraId="14BDCFA5">
            <w:pPr>
              <w:spacing w:line="594" w:lineRule="exact"/>
              <w:jc w:val="center"/>
              <w:rPr>
                <w:rFonts w:hint="eastAsia" w:ascii="宋体" w:hAnsi="宋体" w:cs="宋体"/>
                <w:bCs/>
                <w:color w:val="auto"/>
                <w:sz w:val="24"/>
                <w:highlight w:val="none"/>
              </w:rPr>
            </w:pPr>
          </w:p>
        </w:tc>
        <w:tc>
          <w:tcPr>
            <w:tcW w:w="1871" w:type="dxa"/>
            <w:noWrap w:val="0"/>
            <w:vAlign w:val="center"/>
          </w:tcPr>
          <w:p w14:paraId="724C4974">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143D3DB5">
            <w:pPr>
              <w:spacing w:line="594" w:lineRule="exact"/>
              <w:jc w:val="center"/>
              <w:rPr>
                <w:rFonts w:hint="eastAsia" w:ascii="宋体" w:hAnsi="宋体" w:cs="宋体"/>
                <w:bCs/>
                <w:color w:val="auto"/>
                <w:sz w:val="24"/>
                <w:highlight w:val="none"/>
              </w:rPr>
            </w:pPr>
          </w:p>
        </w:tc>
        <w:tc>
          <w:tcPr>
            <w:tcW w:w="1871" w:type="dxa"/>
            <w:noWrap w:val="0"/>
            <w:vAlign w:val="center"/>
          </w:tcPr>
          <w:p w14:paraId="4B2984B5">
            <w:pPr>
              <w:spacing w:line="594" w:lineRule="exact"/>
              <w:jc w:val="center"/>
              <w:rPr>
                <w:rFonts w:hint="eastAsia" w:ascii="宋体" w:hAnsi="宋体" w:cs="宋体"/>
                <w:bCs/>
                <w:color w:val="auto"/>
                <w:sz w:val="24"/>
                <w:highlight w:val="none"/>
              </w:rPr>
            </w:pPr>
          </w:p>
        </w:tc>
      </w:tr>
      <w:tr w14:paraId="6A06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71" w:type="dxa"/>
            <w:noWrap w:val="0"/>
            <w:vAlign w:val="center"/>
          </w:tcPr>
          <w:p w14:paraId="39F47826">
            <w:pPr>
              <w:spacing w:line="594" w:lineRule="exact"/>
              <w:jc w:val="center"/>
              <w:rPr>
                <w:rFonts w:hint="eastAsia" w:ascii="宋体" w:hAnsi="宋体" w:cs="宋体"/>
                <w:bCs/>
                <w:color w:val="auto"/>
                <w:sz w:val="24"/>
                <w:highlight w:val="none"/>
              </w:rPr>
            </w:pPr>
          </w:p>
        </w:tc>
        <w:tc>
          <w:tcPr>
            <w:tcW w:w="1871" w:type="dxa"/>
            <w:noWrap w:val="0"/>
            <w:vAlign w:val="center"/>
          </w:tcPr>
          <w:p w14:paraId="5A9DE661">
            <w:pPr>
              <w:spacing w:line="594" w:lineRule="exact"/>
              <w:jc w:val="center"/>
              <w:rPr>
                <w:rFonts w:hint="eastAsia" w:ascii="宋体" w:hAnsi="宋体" w:cs="宋体"/>
                <w:bCs/>
                <w:color w:val="auto"/>
                <w:sz w:val="24"/>
                <w:highlight w:val="none"/>
              </w:rPr>
            </w:pPr>
          </w:p>
        </w:tc>
        <w:tc>
          <w:tcPr>
            <w:tcW w:w="1871" w:type="dxa"/>
            <w:noWrap w:val="0"/>
            <w:vAlign w:val="center"/>
          </w:tcPr>
          <w:p w14:paraId="26CCA2C4">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5424F93F">
            <w:pPr>
              <w:spacing w:line="594" w:lineRule="exact"/>
              <w:jc w:val="center"/>
              <w:rPr>
                <w:rFonts w:hint="eastAsia" w:ascii="宋体" w:hAnsi="宋体" w:cs="宋体"/>
                <w:bCs/>
                <w:color w:val="auto"/>
                <w:sz w:val="24"/>
                <w:highlight w:val="none"/>
              </w:rPr>
            </w:pPr>
          </w:p>
        </w:tc>
        <w:tc>
          <w:tcPr>
            <w:tcW w:w="1871" w:type="dxa"/>
            <w:noWrap w:val="0"/>
            <w:vAlign w:val="center"/>
          </w:tcPr>
          <w:p w14:paraId="59C05A6C">
            <w:pPr>
              <w:spacing w:line="594" w:lineRule="exact"/>
              <w:jc w:val="center"/>
              <w:rPr>
                <w:rFonts w:hint="eastAsia" w:ascii="宋体" w:hAnsi="宋体" w:cs="宋体"/>
                <w:bCs/>
                <w:color w:val="auto"/>
                <w:sz w:val="24"/>
                <w:highlight w:val="none"/>
              </w:rPr>
            </w:pPr>
          </w:p>
        </w:tc>
      </w:tr>
      <w:tr w14:paraId="6E40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71" w:type="dxa"/>
            <w:noWrap w:val="0"/>
            <w:vAlign w:val="center"/>
          </w:tcPr>
          <w:p w14:paraId="58A13036">
            <w:pPr>
              <w:spacing w:line="594" w:lineRule="exact"/>
              <w:jc w:val="center"/>
              <w:rPr>
                <w:rFonts w:hint="eastAsia" w:ascii="宋体" w:hAnsi="宋体" w:cs="宋体"/>
                <w:bCs/>
                <w:color w:val="auto"/>
                <w:sz w:val="24"/>
                <w:highlight w:val="none"/>
              </w:rPr>
            </w:pPr>
          </w:p>
        </w:tc>
        <w:tc>
          <w:tcPr>
            <w:tcW w:w="1871" w:type="dxa"/>
            <w:noWrap w:val="0"/>
            <w:vAlign w:val="center"/>
          </w:tcPr>
          <w:p w14:paraId="44B1DE7F">
            <w:pPr>
              <w:spacing w:line="594" w:lineRule="exact"/>
              <w:jc w:val="center"/>
              <w:rPr>
                <w:rFonts w:hint="eastAsia" w:ascii="宋体" w:hAnsi="宋体" w:cs="宋体"/>
                <w:bCs/>
                <w:color w:val="auto"/>
                <w:sz w:val="24"/>
                <w:highlight w:val="none"/>
              </w:rPr>
            </w:pPr>
          </w:p>
        </w:tc>
        <w:tc>
          <w:tcPr>
            <w:tcW w:w="1871" w:type="dxa"/>
            <w:noWrap w:val="0"/>
            <w:vAlign w:val="center"/>
          </w:tcPr>
          <w:p w14:paraId="165DA1FF">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35508865">
            <w:pPr>
              <w:spacing w:line="594" w:lineRule="exact"/>
              <w:jc w:val="center"/>
              <w:rPr>
                <w:rFonts w:hint="eastAsia" w:ascii="宋体" w:hAnsi="宋体" w:cs="宋体"/>
                <w:bCs/>
                <w:color w:val="auto"/>
                <w:sz w:val="24"/>
                <w:highlight w:val="none"/>
              </w:rPr>
            </w:pPr>
          </w:p>
        </w:tc>
        <w:tc>
          <w:tcPr>
            <w:tcW w:w="1871" w:type="dxa"/>
            <w:noWrap w:val="0"/>
            <w:vAlign w:val="center"/>
          </w:tcPr>
          <w:p w14:paraId="71E6EBC4">
            <w:pPr>
              <w:spacing w:line="594" w:lineRule="exact"/>
              <w:jc w:val="center"/>
              <w:rPr>
                <w:rFonts w:hint="eastAsia" w:ascii="宋体" w:hAnsi="宋体" w:cs="宋体"/>
                <w:bCs/>
                <w:color w:val="auto"/>
                <w:sz w:val="24"/>
                <w:highlight w:val="none"/>
              </w:rPr>
            </w:pPr>
          </w:p>
        </w:tc>
      </w:tr>
      <w:tr w14:paraId="3192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71" w:type="dxa"/>
            <w:noWrap w:val="0"/>
            <w:vAlign w:val="center"/>
          </w:tcPr>
          <w:p w14:paraId="154C05EA">
            <w:pPr>
              <w:spacing w:line="594" w:lineRule="exact"/>
              <w:jc w:val="center"/>
              <w:rPr>
                <w:rFonts w:hint="eastAsia" w:ascii="宋体" w:hAnsi="宋体" w:cs="宋体"/>
                <w:bCs/>
                <w:color w:val="auto"/>
                <w:sz w:val="24"/>
                <w:highlight w:val="none"/>
              </w:rPr>
            </w:pPr>
          </w:p>
        </w:tc>
        <w:tc>
          <w:tcPr>
            <w:tcW w:w="1871" w:type="dxa"/>
            <w:noWrap w:val="0"/>
            <w:vAlign w:val="center"/>
          </w:tcPr>
          <w:p w14:paraId="50F0686B">
            <w:pPr>
              <w:spacing w:line="594" w:lineRule="exact"/>
              <w:jc w:val="center"/>
              <w:rPr>
                <w:rFonts w:hint="eastAsia" w:ascii="宋体" w:hAnsi="宋体" w:cs="宋体"/>
                <w:bCs/>
                <w:color w:val="auto"/>
                <w:sz w:val="24"/>
                <w:highlight w:val="none"/>
              </w:rPr>
            </w:pPr>
          </w:p>
        </w:tc>
        <w:tc>
          <w:tcPr>
            <w:tcW w:w="1871" w:type="dxa"/>
            <w:noWrap w:val="0"/>
            <w:vAlign w:val="center"/>
          </w:tcPr>
          <w:p w14:paraId="58E73B22">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7E114770">
            <w:pPr>
              <w:spacing w:line="594" w:lineRule="exact"/>
              <w:jc w:val="center"/>
              <w:rPr>
                <w:rFonts w:hint="eastAsia" w:ascii="宋体" w:hAnsi="宋体" w:cs="宋体"/>
                <w:bCs/>
                <w:color w:val="auto"/>
                <w:sz w:val="24"/>
                <w:highlight w:val="none"/>
              </w:rPr>
            </w:pPr>
          </w:p>
        </w:tc>
        <w:tc>
          <w:tcPr>
            <w:tcW w:w="1871" w:type="dxa"/>
            <w:noWrap w:val="0"/>
            <w:vAlign w:val="center"/>
          </w:tcPr>
          <w:p w14:paraId="6131653F">
            <w:pPr>
              <w:spacing w:line="594" w:lineRule="exact"/>
              <w:jc w:val="center"/>
              <w:rPr>
                <w:rFonts w:hint="eastAsia" w:ascii="宋体" w:hAnsi="宋体" w:cs="宋体"/>
                <w:bCs/>
                <w:color w:val="auto"/>
                <w:sz w:val="24"/>
                <w:highlight w:val="none"/>
              </w:rPr>
            </w:pPr>
          </w:p>
        </w:tc>
      </w:tr>
      <w:tr w14:paraId="7FD8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71" w:type="dxa"/>
            <w:noWrap w:val="0"/>
            <w:vAlign w:val="center"/>
          </w:tcPr>
          <w:p w14:paraId="7CC169B8">
            <w:pPr>
              <w:spacing w:line="594" w:lineRule="exact"/>
              <w:jc w:val="center"/>
              <w:rPr>
                <w:rFonts w:hint="eastAsia" w:ascii="宋体" w:hAnsi="宋体" w:cs="宋体"/>
                <w:bCs/>
                <w:color w:val="auto"/>
                <w:sz w:val="24"/>
                <w:highlight w:val="none"/>
              </w:rPr>
            </w:pPr>
          </w:p>
        </w:tc>
        <w:tc>
          <w:tcPr>
            <w:tcW w:w="1871" w:type="dxa"/>
            <w:noWrap w:val="0"/>
            <w:vAlign w:val="center"/>
          </w:tcPr>
          <w:p w14:paraId="2936C5E8">
            <w:pPr>
              <w:spacing w:line="594" w:lineRule="exact"/>
              <w:jc w:val="center"/>
              <w:rPr>
                <w:rFonts w:hint="eastAsia" w:ascii="宋体" w:hAnsi="宋体" w:cs="宋体"/>
                <w:bCs/>
                <w:color w:val="auto"/>
                <w:sz w:val="24"/>
                <w:highlight w:val="none"/>
              </w:rPr>
            </w:pPr>
          </w:p>
        </w:tc>
        <w:tc>
          <w:tcPr>
            <w:tcW w:w="1871" w:type="dxa"/>
            <w:noWrap w:val="0"/>
            <w:vAlign w:val="center"/>
          </w:tcPr>
          <w:p w14:paraId="18DA5666">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3D9DEC7E">
            <w:pPr>
              <w:spacing w:line="594" w:lineRule="exact"/>
              <w:jc w:val="center"/>
              <w:rPr>
                <w:rFonts w:hint="eastAsia" w:ascii="宋体" w:hAnsi="宋体" w:cs="宋体"/>
                <w:bCs/>
                <w:color w:val="auto"/>
                <w:sz w:val="24"/>
                <w:highlight w:val="none"/>
              </w:rPr>
            </w:pPr>
          </w:p>
        </w:tc>
        <w:tc>
          <w:tcPr>
            <w:tcW w:w="1871" w:type="dxa"/>
            <w:noWrap w:val="0"/>
            <w:vAlign w:val="center"/>
          </w:tcPr>
          <w:p w14:paraId="53DD7B0B">
            <w:pPr>
              <w:spacing w:line="594" w:lineRule="exact"/>
              <w:jc w:val="center"/>
              <w:rPr>
                <w:rFonts w:hint="eastAsia" w:ascii="宋体" w:hAnsi="宋体" w:cs="宋体"/>
                <w:bCs/>
                <w:color w:val="auto"/>
                <w:sz w:val="24"/>
                <w:highlight w:val="none"/>
              </w:rPr>
            </w:pPr>
          </w:p>
        </w:tc>
      </w:tr>
    </w:tbl>
    <w:p w14:paraId="5FACE753">
      <w:pPr>
        <w:overflowPunct w:val="0"/>
        <w:autoSpaceDE w:val="0"/>
        <w:autoSpaceDN w:val="0"/>
        <w:adjustRightInd w:val="0"/>
        <w:snapToGrid w:val="0"/>
        <w:spacing w:line="420" w:lineRule="exact"/>
        <w:ind w:firstLine="472" w:firstLineChars="200"/>
        <w:rPr>
          <w:rFonts w:hint="eastAsia" w:ascii="宋体" w:hAnsi="宋体" w:cs="宋体"/>
          <w:snapToGrid w:val="0"/>
          <w:color w:val="auto"/>
          <w:spacing w:val="-2"/>
          <w:sz w:val="24"/>
          <w:highlight w:val="none"/>
        </w:rPr>
      </w:pPr>
    </w:p>
    <w:p w14:paraId="3EC63C5D">
      <w:pPr>
        <w:overflowPunct w:val="0"/>
        <w:autoSpaceDE w:val="0"/>
        <w:autoSpaceDN w:val="0"/>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0D7D4DB2">
      <w:pPr>
        <w:overflowPunct w:val="0"/>
        <w:autoSpaceDE w:val="0"/>
        <w:autoSpaceDN w:val="0"/>
        <w:adjustRightInd w:val="0"/>
        <w:snapToGrid w:val="0"/>
        <w:spacing w:line="420" w:lineRule="exact"/>
        <w:ind w:firstLine="420" w:firstLineChars="200"/>
        <w:rPr>
          <w:rFonts w:hint="eastAsia" w:ascii="宋体" w:hAnsi="宋体" w:cs="宋体"/>
          <w:snapToGrid w:val="0"/>
          <w:color w:val="auto"/>
          <w:spacing w:val="-2"/>
          <w:sz w:val="24"/>
          <w:highlight w:val="none"/>
        </w:rPr>
      </w:pPr>
      <w:r>
        <w:rPr>
          <w:rFonts w:hint="eastAsia" w:ascii="宋体" w:hAnsi="宋体" w:cs="宋体"/>
          <w:color w:val="auto"/>
          <w:szCs w:val="21"/>
          <w:highlight w:val="none"/>
        </w:rPr>
        <w:t>1、监理人须按照渝建发〔2014〕35号、渝建发〔2014〕101号、渝建〔2016〕373号文件要求配置监理人员；有要求时，确保中标备案完成。</w:t>
      </w:r>
    </w:p>
    <w:p w14:paraId="4EA1DFC4">
      <w:pPr>
        <w:overflowPunct w:val="0"/>
        <w:autoSpaceDE w:val="0"/>
        <w:autoSpaceDN w:val="0"/>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2、签订合同时提交以上人员任命书，并附身份证、职称证书、职业资格证及社保附件加盖公章（三套）。</w:t>
      </w:r>
    </w:p>
    <w:p w14:paraId="7842D249">
      <w:pPr>
        <w:overflowPunct w:val="0"/>
        <w:autoSpaceDE w:val="0"/>
        <w:autoSpaceDN w:val="0"/>
        <w:adjustRightInd w:val="0"/>
        <w:snapToGrid w:val="0"/>
        <w:spacing w:line="420" w:lineRule="exact"/>
        <w:rPr>
          <w:rFonts w:hint="eastAsia" w:ascii="宋体" w:hAnsi="宋体"/>
          <w:bCs/>
          <w:color w:val="auto"/>
          <w:sz w:val="24"/>
          <w:highlight w:val="none"/>
        </w:rPr>
      </w:pPr>
    </w:p>
    <w:p w14:paraId="037CFCFB">
      <w:pPr>
        <w:overflowPunct w:val="0"/>
        <w:autoSpaceDE w:val="0"/>
        <w:autoSpaceDN w:val="0"/>
        <w:adjustRightInd w:val="0"/>
        <w:snapToGrid w:val="0"/>
        <w:spacing w:line="420" w:lineRule="exact"/>
        <w:rPr>
          <w:rFonts w:hint="eastAsia" w:ascii="宋体" w:hAnsi="宋体"/>
          <w:bCs/>
          <w:color w:val="auto"/>
          <w:sz w:val="24"/>
          <w:highlight w:val="none"/>
        </w:rPr>
      </w:pPr>
    </w:p>
    <w:p w14:paraId="62A98D24">
      <w:pPr>
        <w:overflowPunct w:val="0"/>
        <w:autoSpaceDE w:val="0"/>
        <w:autoSpaceDN w:val="0"/>
        <w:adjustRightInd w:val="0"/>
        <w:snapToGrid w:val="0"/>
        <w:spacing w:line="420" w:lineRule="exact"/>
        <w:rPr>
          <w:rFonts w:hint="eastAsia" w:ascii="宋体" w:hAnsi="宋体"/>
          <w:bCs/>
          <w:color w:val="auto"/>
          <w:sz w:val="24"/>
          <w:highlight w:val="none"/>
        </w:rPr>
      </w:pPr>
    </w:p>
    <w:p w14:paraId="1F08C029">
      <w:pPr>
        <w:overflowPunct w:val="0"/>
        <w:autoSpaceDE w:val="0"/>
        <w:autoSpaceDN w:val="0"/>
        <w:adjustRightInd w:val="0"/>
        <w:snapToGrid w:val="0"/>
        <w:spacing w:line="420" w:lineRule="exact"/>
        <w:rPr>
          <w:rFonts w:hint="eastAsia" w:ascii="宋体" w:hAnsi="宋体"/>
          <w:bCs/>
          <w:color w:val="auto"/>
          <w:sz w:val="24"/>
          <w:highlight w:val="none"/>
        </w:rPr>
      </w:pPr>
    </w:p>
    <w:p w14:paraId="19DE53B8">
      <w:pPr>
        <w:rPr>
          <w:rFonts w:hint="eastAsia" w:ascii="宋体" w:hAnsi="宋体" w:cs="宋体"/>
          <w:bCs/>
          <w:snapToGrid w:val="0"/>
          <w:color w:val="auto"/>
          <w:spacing w:val="-2"/>
          <w:sz w:val="24"/>
          <w:highlight w:val="none"/>
        </w:rPr>
      </w:pPr>
      <w:r>
        <w:rPr>
          <w:color w:val="auto"/>
          <w:highlight w:val="none"/>
        </w:rPr>
        <w:br w:type="page"/>
      </w:r>
      <w:r>
        <w:rPr>
          <w:rFonts w:hint="eastAsia" w:ascii="宋体" w:hAnsi="宋体"/>
          <w:bCs/>
          <w:color w:val="auto"/>
          <w:sz w:val="24"/>
          <w:highlight w:val="none"/>
        </w:rPr>
        <w:t>附录5</w:t>
      </w:r>
    </w:p>
    <w:p w14:paraId="63735A36">
      <w:pPr>
        <w:overflowPunct w:val="0"/>
        <w:autoSpaceDE w:val="0"/>
        <w:autoSpaceDN w:val="0"/>
        <w:adjustRightInd w:val="0"/>
        <w:snapToGrid w:val="0"/>
        <w:spacing w:line="420" w:lineRule="exact"/>
        <w:ind w:firstLine="632" w:firstLineChars="200"/>
        <w:jc w:val="center"/>
        <w:rPr>
          <w:rFonts w:ascii="宋体" w:hAnsi="宋体"/>
          <w:snapToGrid w:val="0"/>
          <w:color w:val="auto"/>
          <w:spacing w:val="-2"/>
          <w:sz w:val="32"/>
          <w:szCs w:val="32"/>
          <w:highlight w:val="none"/>
        </w:rPr>
      </w:pPr>
      <w:r>
        <w:rPr>
          <w:rFonts w:hint="eastAsia" w:ascii="宋体" w:hAnsi="宋体"/>
          <w:snapToGrid w:val="0"/>
          <w:color w:val="auto"/>
          <w:spacing w:val="-2"/>
          <w:sz w:val="32"/>
          <w:szCs w:val="32"/>
          <w:highlight w:val="none"/>
        </w:rPr>
        <w:t>廉政责任书</w:t>
      </w:r>
    </w:p>
    <w:p w14:paraId="42BDA310">
      <w:pPr>
        <w:overflowPunct w:val="0"/>
        <w:autoSpaceDE w:val="0"/>
        <w:autoSpaceDN w:val="0"/>
        <w:adjustRightInd w:val="0"/>
        <w:snapToGrid w:val="0"/>
        <w:spacing w:line="420" w:lineRule="exact"/>
        <w:ind w:firstLine="480" w:firstLineChars="200"/>
        <w:rPr>
          <w:rFonts w:ascii="宋体" w:hAnsi="宋体"/>
          <w:color w:val="auto"/>
          <w:sz w:val="24"/>
          <w:highlight w:val="none"/>
        </w:rPr>
      </w:pPr>
    </w:p>
    <w:p w14:paraId="7821A289">
      <w:pPr>
        <w:overflowPunct w:val="0"/>
        <w:autoSpaceDE w:val="0"/>
        <w:autoSpaceDN w:val="0"/>
        <w:adjustRightInd w:val="0"/>
        <w:snapToGrid w:val="0"/>
        <w:spacing w:line="420" w:lineRule="exact"/>
        <w:rPr>
          <w:rFonts w:ascii="宋体" w:hAnsi="宋体"/>
          <w:color w:val="auto"/>
          <w:sz w:val="24"/>
          <w:highlight w:val="none"/>
        </w:rPr>
      </w:pPr>
      <w:r>
        <w:rPr>
          <w:rFonts w:hint="eastAsia" w:ascii="宋体" w:hAnsi="宋体"/>
          <w:color w:val="auto"/>
          <w:sz w:val="24"/>
          <w:highlight w:val="none"/>
        </w:rPr>
        <w:t>委托人：</w:t>
      </w:r>
      <w:r>
        <w:rPr>
          <w:rFonts w:hint="eastAsia" w:ascii="宋体" w:hAnsi="宋体" w:cs="宋体"/>
          <w:color w:val="auto"/>
          <w:kern w:val="0"/>
          <w:szCs w:val="21"/>
          <w:highlight w:val="none"/>
          <w:u w:val="single"/>
        </w:rPr>
        <w:t xml:space="preserve">               </w:t>
      </w:r>
      <w:r>
        <w:rPr>
          <w:rFonts w:hint="eastAsia" w:ascii="宋体" w:hAnsi="宋体"/>
          <w:color w:val="auto"/>
          <w:sz w:val="24"/>
          <w:highlight w:val="none"/>
        </w:rPr>
        <w:t xml:space="preserve"> </w:t>
      </w:r>
    </w:p>
    <w:p w14:paraId="53BB5C9A">
      <w:pPr>
        <w:overflowPunct w:val="0"/>
        <w:autoSpaceDE w:val="0"/>
        <w:autoSpaceDN w:val="0"/>
        <w:adjustRightInd w:val="0"/>
        <w:snapToGrid w:val="0"/>
        <w:spacing w:line="420" w:lineRule="exact"/>
        <w:rPr>
          <w:rFonts w:ascii="宋体" w:hAnsi="宋体" w:cs="宋体"/>
          <w:color w:val="auto"/>
          <w:kern w:val="0"/>
          <w:szCs w:val="21"/>
          <w:highlight w:val="none"/>
          <w:u w:val="single"/>
        </w:rPr>
      </w:pPr>
      <w:r>
        <w:rPr>
          <w:rFonts w:hint="eastAsia" w:ascii="宋体" w:hAnsi="宋体"/>
          <w:color w:val="auto"/>
          <w:sz w:val="24"/>
          <w:highlight w:val="none"/>
        </w:rPr>
        <w:t>监理人：</w:t>
      </w:r>
      <w:r>
        <w:rPr>
          <w:rFonts w:hint="eastAsia" w:ascii="宋体" w:hAnsi="宋体"/>
          <w:color w:val="auto"/>
          <w:sz w:val="24"/>
          <w:highlight w:val="none"/>
          <w:u w:val="single"/>
        </w:rPr>
        <w:t xml:space="preserve">             </w:t>
      </w:r>
    </w:p>
    <w:p w14:paraId="400CE299">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为加强建设工程廉政建设，规范建设工程各项活动中委托人监理人双方的行为，防止谋取不正当利益的违法违纪现象的发生，保护国家、集体和当事人的合法权益，根据国家有关工程建设的法律法规和廉政建设的有关规定，订立本廉政责任书。</w:t>
      </w:r>
    </w:p>
    <w:p w14:paraId="5A0667B6">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一、双方的责任</w:t>
      </w:r>
    </w:p>
    <w:p w14:paraId="590A6411">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1.1应严格遵守国家关于建设工程的有关法律、法规，相关政策，以及廉政建设的各项规定。</w:t>
      </w:r>
    </w:p>
    <w:p w14:paraId="2E2FD0F6">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1.2严格执行建设工程合同文件，自觉按合同办事。</w:t>
      </w:r>
    </w:p>
    <w:p w14:paraId="787E3FE7">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1.3各项活动必须坚持公开、公平、公正、诚信、透明的原则(除法律法规另有规定者外)，不得为获取不正当的利益，损害国家、集体和对方利益，不得违反建设工程管理的规章制度。</w:t>
      </w:r>
    </w:p>
    <w:p w14:paraId="77B83BE5">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1.4发现对方在业务活动中有违规、违纪、违法行为的，应及时提醒对方，情节严重的，应向其上级主管部门或纪检监察、司法等有关机关举报。</w:t>
      </w:r>
    </w:p>
    <w:p w14:paraId="0A24DBAC">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二、委托人责任</w:t>
      </w:r>
    </w:p>
    <w:p w14:paraId="22FF8C51">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委托人的领导和从事该建设工程项目的工作人员，在工程建设的事前、事中、事后应遵守以下规定：</w:t>
      </w:r>
    </w:p>
    <w:p w14:paraId="53D7025A">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2.1不得向监理人和相关单位索要或接受回扣、礼金、有价证券、贵重物品和好处费、感谢费等。</w:t>
      </w:r>
    </w:p>
    <w:p w14:paraId="57A1BDEF">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2.2不得在监理人和相关单位报销任何应由委托人或个人支付的费用。</w:t>
      </w:r>
    </w:p>
    <w:p w14:paraId="1EE86866">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2.3不得要求、暗示或接受监理人和相关单位为个人装修住房、婚丧嫁娶、配偶子女的工作安排以及出国(境)、旅游等提供方便。</w:t>
      </w:r>
    </w:p>
    <w:p w14:paraId="597F30A9">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2.4不得参加有可能影响公正执行公务的监理人和相关单位的宴请、健身、娱乐等活动。</w:t>
      </w:r>
    </w:p>
    <w:p w14:paraId="0ED5960D">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2.5不得向监理人和相关单位介绍或为配偶、子女、亲属参与同委托人工程建设管理合同有关的业务活动；不得以任何理由要求监理人和相关单位使用某种产品、材料和设备。</w:t>
      </w:r>
    </w:p>
    <w:p w14:paraId="0922CBF1">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三、监理人责任</w:t>
      </w:r>
    </w:p>
    <w:p w14:paraId="65153847">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应与委托人保持正常的业务交往，按照有关法律法规和程序开展业务工作，严格执行工程建设的有关方针、政策，执行工程建设强制性标准，并遵守以下规定：</w:t>
      </w:r>
    </w:p>
    <w:p w14:paraId="78283A7A">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3.1不得以任何理由向委托人及其工作人员索要、接受或赠送礼金、有价证券、贵重物品及回扣、好处费、感谢费等。</w:t>
      </w:r>
    </w:p>
    <w:p w14:paraId="5BCB3D8F">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3.2不得以任何理由为委托人和相关单位报销应由对方或个人支付的费用。</w:t>
      </w:r>
    </w:p>
    <w:p w14:paraId="558779B3">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3.3不得接受或暗示为委托人、相关单位或个人装修住房、婚丧嫁娶、配偶子女的工作安排以及出国(境)、旅游等提供方便。</w:t>
      </w:r>
    </w:p>
    <w:p w14:paraId="38131C1F">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3.4不得以任何理由为委托人、相关单位或个人组织有可能影响公正执行公务的宴请、健身、娱乐等活动。</w:t>
      </w:r>
    </w:p>
    <w:p w14:paraId="1F05FD53">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四、违约责任</w:t>
      </w:r>
    </w:p>
    <w:p w14:paraId="0E1D2DB8">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4.1委托人工作人员有违反本责任书第一、二条责任行为的，依据有关法律、法规给予处理；涉嫌犯罪的，移交司法机关追究刑事责任；给监理人单位造成经济损失的，应予以赔偿。</w:t>
      </w:r>
    </w:p>
    <w:p w14:paraId="655AD85A">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4.2监理人工作人员有违反本责任书第一、三条责任行为的，依据有关法律法规处理；涉嫌犯罪的，移交司法机关追究刑事责任；给委托人单位造成经济损失的，应予以赔偿。</w:t>
      </w:r>
    </w:p>
    <w:p w14:paraId="509367A0">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4.3本责任书作为建设工程监理合同的组成部分，与建设工程监理合同具有同等法律效力。经双方签署后立即生效。</w:t>
      </w:r>
    </w:p>
    <w:p w14:paraId="65CBB915">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五、责任书有效期</w:t>
      </w:r>
    </w:p>
    <w:p w14:paraId="7F8E47A9">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本责任书的有效期为双方签署之日起至该工程项目竣工验收合格时止。</w:t>
      </w:r>
    </w:p>
    <w:p w14:paraId="09F66389">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六、责任书份数</w:t>
      </w:r>
    </w:p>
    <w:p w14:paraId="57567CAC">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本责任书份数同合同协议书。</w:t>
      </w:r>
    </w:p>
    <w:p w14:paraId="45BF0EE6">
      <w:pPr>
        <w:overflowPunct w:val="0"/>
        <w:autoSpaceDE w:val="0"/>
        <w:autoSpaceDN w:val="0"/>
        <w:adjustRightInd w:val="0"/>
        <w:snapToGrid w:val="0"/>
        <w:spacing w:line="420" w:lineRule="exact"/>
        <w:ind w:firstLine="480" w:firstLineChars="200"/>
        <w:rPr>
          <w:rFonts w:ascii="宋体" w:hAnsi="宋体"/>
          <w:color w:val="auto"/>
          <w:sz w:val="24"/>
          <w:highlight w:val="none"/>
        </w:rPr>
      </w:pPr>
    </w:p>
    <w:p w14:paraId="063B7AE4">
      <w:pPr>
        <w:overflowPunct w:val="0"/>
        <w:autoSpaceDE w:val="0"/>
        <w:autoSpaceDN w:val="0"/>
        <w:adjustRightInd w:val="0"/>
        <w:snapToGrid w:val="0"/>
        <w:spacing w:line="560" w:lineRule="exact"/>
        <w:ind w:right="-227" w:rightChars="-108"/>
        <w:rPr>
          <w:rFonts w:ascii="宋体" w:hAnsi="宋体"/>
          <w:color w:val="auto"/>
          <w:sz w:val="24"/>
          <w:highlight w:val="none"/>
        </w:rPr>
      </w:pPr>
      <w:r>
        <w:rPr>
          <w:rFonts w:hint="eastAsia" w:ascii="宋体" w:hAnsi="宋体"/>
          <w:color w:val="auto"/>
          <w:sz w:val="24"/>
          <w:highlight w:val="none"/>
        </w:rPr>
        <w:t>委托人: (盖章)                           监理人： (盖章)</w:t>
      </w:r>
    </w:p>
    <w:p w14:paraId="4FEA9579">
      <w:pPr>
        <w:widowControl/>
        <w:spacing w:line="360" w:lineRule="auto"/>
        <w:ind w:right="-656" w:firstLine="1922" w:firstLineChars="801"/>
        <w:jc w:val="left"/>
        <w:rPr>
          <w:rFonts w:ascii="宋体" w:hAnsi="宋体"/>
          <w:color w:val="auto"/>
          <w:sz w:val="24"/>
          <w:highlight w:val="none"/>
        </w:rPr>
      </w:pPr>
      <w:r>
        <w:rPr>
          <w:rFonts w:hint="eastAsia" w:ascii="宋体" w:hAnsi="宋体"/>
          <w:color w:val="auto"/>
          <w:sz w:val="24"/>
          <w:highlight w:val="none"/>
        </w:rPr>
        <w:t xml:space="preserve">                 </w:t>
      </w:r>
    </w:p>
    <w:p w14:paraId="6448F330">
      <w:pPr>
        <w:overflowPunct w:val="0"/>
        <w:autoSpaceDE w:val="0"/>
        <w:autoSpaceDN w:val="0"/>
        <w:adjustRightInd w:val="0"/>
        <w:snapToGrid w:val="0"/>
        <w:spacing w:line="560" w:lineRule="exact"/>
        <w:rPr>
          <w:rFonts w:ascii="宋体" w:hAnsi="宋体"/>
          <w:color w:val="auto"/>
          <w:sz w:val="24"/>
          <w:highlight w:val="none"/>
        </w:rPr>
      </w:pPr>
      <w:r>
        <w:rPr>
          <w:rFonts w:hint="eastAsia" w:ascii="宋体" w:hAnsi="宋体"/>
          <w:color w:val="auto"/>
          <w:sz w:val="24"/>
          <w:highlight w:val="none"/>
        </w:rPr>
        <w:t>法定代表人或其委托代理人：               法定代表人或其委托代理人：</w:t>
      </w:r>
    </w:p>
    <w:p w14:paraId="59C18D80">
      <w:pPr>
        <w:overflowPunct w:val="0"/>
        <w:autoSpaceDE w:val="0"/>
        <w:autoSpaceDN w:val="0"/>
        <w:adjustRightInd w:val="0"/>
        <w:snapToGrid w:val="0"/>
        <w:spacing w:line="560" w:lineRule="exact"/>
        <w:rPr>
          <w:rFonts w:ascii="宋体" w:hAnsi="宋体"/>
          <w:color w:val="auto"/>
          <w:sz w:val="24"/>
          <w:highlight w:val="none"/>
        </w:rPr>
      </w:pPr>
      <w:r>
        <w:rPr>
          <w:rFonts w:hint="eastAsia" w:ascii="宋体" w:hAnsi="宋体"/>
          <w:color w:val="auto"/>
          <w:sz w:val="24"/>
          <w:highlight w:val="none"/>
        </w:rPr>
        <w:t xml:space="preserve">电话：                                   电话：   </w:t>
      </w:r>
    </w:p>
    <w:p w14:paraId="34869342">
      <w:pPr>
        <w:overflowPunct w:val="0"/>
        <w:autoSpaceDE w:val="0"/>
        <w:autoSpaceDN w:val="0"/>
        <w:adjustRightInd w:val="0"/>
        <w:snapToGrid w:val="0"/>
        <w:spacing w:line="560" w:lineRule="exact"/>
        <w:rPr>
          <w:rFonts w:ascii="宋体" w:hAnsi="宋体"/>
          <w:color w:val="auto"/>
          <w:sz w:val="24"/>
          <w:highlight w:val="none"/>
        </w:rPr>
      </w:pPr>
      <w:r>
        <w:rPr>
          <w:rFonts w:hint="eastAsia" w:ascii="宋体" w:hAnsi="宋体"/>
          <w:color w:val="auto"/>
          <w:sz w:val="24"/>
          <w:highlight w:val="none"/>
        </w:rPr>
        <w:t>传真：                                   传真：</w:t>
      </w:r>
    </w:p>
    <w:p w14:paraId="5B087AD2">
      <w:pPr>
        <w:overflowPunct w:val="0"/>
        <w:autoSpaceDE w:val="0"/>
        <w:autoSpaceDN w:val="0"/>
        <w:adjustRightInd w:val="0"/>
        <w:snapToGrid w:val="0"/>
        <w:spacing w:line="560" w:lineRule="exact"/>
        <w:ind w:firstLine="480" w:firstLineChars="200"/>
        <w:rPr>
          <w:rFonts w:ascii="宋体" w:hAnsi="宋体"/>
          <w:color w:val="auto"/>
          <w:sz w:val="24"/>
          <w:highlight w:val="none"/>
        </w:rPr>
      </w:pPr>
    </w:p>
    <w:p w14:paraId="4F6F58AE">
      <w:pPr>
        <w:overflowPunct w:val="0"/>
        <w:autoSpaceDE w:val="0"/>
        <w:autoSpaceDN w:val="0"/>
        <w:adjustRightInd w:val="0"/>
        <w:snapToGrid w:val="0"/>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17FB5811">
      <w:pPr>
        <w:overflowPunct w:val="0"/>
        <w:autoSpaceDE w:val="0"/>
        <w:autoSpaceDN w:val="0"/>
        <w:adjustRightInd w:val="0"/>
        <w:snapToGrid w:val="0"/>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7CF0A676">
      <w:pPr>
        <w:pStyle w:val="2"/>
        <w:rPr>
          <w:rFonts w:hint="eastAsia" w:ascii="宋体" w:hAnsi="宋体"/>
          <w:color w:val="auto"/>
          <w:sz w:val="24"/>
          <w:highlight w:val="none"/>
        </w:rPr>
      </w:pPr>
    </w:p>
    <w:p w14:paraId="38B33DB6">
      <w:pPr>
        <w:rPr>
          <w:rFonts w:hint="eastAsia" w:ascii="宋体" w:hAnsi="宋体"/>
          <w:color w:val="auto"/>
          <w:sz w:val="24"/>
          <w:highlight w:val="none"/>
        </w:rPr>
      </w:pPr>
    </w:p>
    <w:p w14:paraId="253107D1">
      <w:pPr>
        <w:pStyle w:val="2"/>
        <w:rPr>
          <w:rFonts w:hint="eastAsia"/>
          <w:color w:val="auto"/>
          <w:highlight w:val="none"/>
        </w:rPr>
      </w:pPr>
    </w:p>
    <w:p w14:paraId="3E55EC38">
      <w:pPr>
        <w:rPr>
          <w:color w:val="auto"/>
          <w:highlight w:val="none"/>
        </w:rPr>
      </w:pPr>
    </w:p>
    <w:p w14:paraId="2C923595">
      <w:pPr>
        <w:rPr>
          <w:rFonts w:ascii="宋体" w:hAnsi="宋体"/>
          <w:color w:val="auto"/>
          <w:sz w:val="24"/>
          <w:highlight w:val="none"/>
        </w:rPr>
      </w:pPr>
    </w:p>
    <w:p w14:paraId="73B77E63">
      <w:pPr>
        <w:pStyle w:val="2"/>
        <w:rPr>
          <w:rFonts w:ascii="宋体" w:hAnsi="宋体"/>
          <w:color w:val="auto"/>
          <w:sz w:val="24"/>
          <w:highlight w:val="none"/>
        </w:rPr>
      </w:pPr>
    </w:p>
    <w:p w14:paraId="2D984919">
      <w:pPr>
        <w:overflowPunct w:val="0"/>
        <w:autoSpaceDE w:val="0"/>
        <w:autoSpaceDN w:val="0"/>
        <w:adjustRightInd w:val="0"/>
        <w:snapToGrid w:val="0"/>
        <w:spacing w:line="420" w:lineRule="exact"/>
        <w:outlineLvl w:val="2"/>
        <w:rPr>
          <w:rFonts w:hint="eastAsia" w:ascii="宋体" w:hAnsi="宋体" w:cs="宋体"/>
          <w:bCs/>
          <w:snapToGrid w:val="0"/>
          <w:color w:val="auto"/>
          <w:spacing w:val="-2"/>
          <w:sz w:val="24"/>
          <w:highlight w:val="none"/>
        </w:rPr>
      </w:pPr>
      <w:r>
        <w:rPr>
          <w:rFonts w:hint="eastAsia" w:ascii="宋体" w:hAnsi="宋体"/>
          <w:bCs/>
          <w:color w:val="auto"/>
          <w:sz w:val="24"/>
          <w:highlight w:val="none"/>
        </w:rPr>
        <w:t>附录6</w:t>
      </w:r>
    </w:p>
    <w:p w14:paraId="11B5827A">
      <w:pPr>
        <w:overflowPunct w:val="0"/>
        <w:autoSpaceDE w:val="0"/>
        <w:autoSpaceDN w:val="0"/>
        <w:adjustRightInd w:val="0"/>
        <w:snapToGrid w:val="0"/>
        <w:spacing w:line="420" w:lineRule="exact"/>
        <w:ind w:firstLine="602" w:firstLineChars="200"/>
        <w:jc w:val="center"/>
        <w:rPr>
          <w:rFonts w:ascii="宋体" w:hAnsi="宋体"/>
          <w:b/>
          <w:color w:val="auto"/>
          <w:sz w:val="30"/>
          <w:szCs w:val="30"/>
          <w:highlight w:val="none"/>
        </w:rPr>
      </w:pPr>
      <w:r>
        <w:rPr>
          <w:rFonts w:ascii="宋体" w:hAnsi="宋体"/>
          <w:b/>
          <w:color w:val="auto"/>
          <w:sz w:val="30"/>
          <w:szCs w:val="30"/>
          <w:highlight w:val="none"/>
        </w:rPr>
        <w:t>建设项目安全生产管理办法</w:t>
      </w:r>
    </w:p>
    <w:p w14:paraId="60E27963">
      <w:pPr>
        <w:overflowPunct w:val="0"/>
        <w:autoSpaceDE w:val="0"/>
        <w:autoSpaceDN w:val="0"/>
        <w:adjustRightInd w:val="0"/>
        <w:snapToGrid w:val="0"/>
        <w:spacing w:line="420" w:lineRule="exact"/>
        <w:ind w:firstLine="480" w:firstLineChars="200"/>
        <w:jc w:val="center"/>
        <w:rPr>
          <w:rFonts w:ascii="宋体" w:hAnsi="宋体"/>
          <w:color w:val="auto"/>
          <w:sz w:val="24"/>
          <w:highlight w:val="none"/>
        </w:rPr>
      </w:pPr>
    </w:p>
    <w:p w14:paraId="212FE3FA">
      <w:pPr>
        <w:overflowPunct w:val="0"/>
        <w:autoSpaceDE w:val="0"/>
        <w:autoSpaceDN w:val="0"/>
        <w:adjustRightInd w:val="0"/>
        <w:snapToGrid w:val="0"/>
        <w:spacing w:line="420" w:lineRule="exact"/>
        <w:ind w:firstLine="482" w:firstLineChars="200"/>
        <w:jc w:val="center"/>
        <w:rPr>
          <w:rFonts w:ascii="宋体" w:hAnsi="宋体"/>
          <w:b/>
          <w:bCs/>
          <w:color w:val="auto"/>
          <w:sz w:val="24"/>
          <w:highlight w:val="none"/>
        </w:rPr>
      </w:pPr>
      <w:r>
        <w:rPr>
          <w:rFonts w:ascii="宋体" w:hAnsi="宋体"/>
          <w:b/>
          <w:bCs/>
          <w:color w:val="auto"/>
          <w:sz w:val="24"/>
          <w:highlight w:val="none"/>
        </w:rPr>
        <w:t>第一章</w:t>
      </w:r>
      <w:r>
        <w:rPr>
          <w:rFonts w:hint="eastAsia" w:ascii="宋体" w:hAnsi="宋体"/>
          <w:b/>
          <w:bCs/>
          <w:color w:val="auto"/>
          <w:sz w:val="24"/>
          <w:highlight w:val="none"/>
        </w:rPr>
        <w:t xml:space="preserve">  </w:t>
      </w:r>
      <w:r>
        <w:rPr>
          <w:rFonts w:ascii="宋体" w:hAnsi="宋体"/>
          <w:b/>
          <w:bCs/>
          <w:color w:val="auto"/>
          <w:sz w:val="24"/>
          <w:highlight w:val="none"/>
        </w:rPr>
        <w:t>总</w:t>
      </w:r>
      <w:r>
        <w:rPr>
          <w:rFonts w:hint="eastAsia" w:ascii="宋体" w:hAnsi="宋体"/>
          <w:b/>
          <w:bCs/>
          <w:color w:val="auto"/>
          <w:sz w:val="24"/>
          <w:highlight w:val="none"/>
        </w:rPr>
        <w:t xml:space="preserve">  </w:t>
      </w:r>
      <w:r>
        <w:rPr>
          <w:rFonts w:ascii="宋体" w:hAnsi="宋体"/>
          <w:b/>
          <w:bCs/>
          <w:color w:val="auto"/>
          <w:sz w:val="24"/>
          <w:highlight w:val="none"/>
        </w:rPr>
        <w:t>则</w:t>
      </w:r>
    </w:p>
    <w:p w14:paraId="713C581C">
      <w:pPr>
        <w:overflowPunct w:val="0"/>
        <w:autoSpaceDE w:val="0"/>
        <w:autoSpaceDN w:val="0"/>
        <w:adjustRightInd w:val="0"/>
        <w:snapToGrid w:val="0"/>
        <w:spacing w:line="420" w:lineRule="exact"/>
        <w:rPr>
          <w:rFonts w:ascii="宋体" w:hAnsi="宋体"/>
          <w:color w:val="auto"/>
          <w:kern w:val="0"/>
          <w:szCs w:val="21"/>
          <w:highlight w:val="none"/>
        </w:rPr>
      </w:pPr>
      <w:r>
        <w:rPr>
          <w:rFonts w:hint="eastAsia" w:ascii="宋体" w:hAnsi="宋体"/>
          <w:color w:val="auto"/>
          <w:kern w:val="0"/>
          <w:szCs w:val="21"/>
          <w:highlight w:val="none"/>
        </w:rPr>
        <w:t xml:space="preserve">第一条  </w:t>
      </w:r>
      <w:r>
        <w:rPr>
          <w:rFonts w:ascii="宋体" w:hAnsi="宋体"/>
          <w:color w:val="auto"/>
          <w:kern w:val="0"/>
          <w:szCs w:val="21"/>
          <w:highlight w:val="none"/>
        </w:rPr>
        <w:t>为</w:t>
      </w:r>
      <w:r>
        <w:rPr>
          <w:rFonts w:hint="eastAsia" w:ascii="宋体" w:hAnsi="宋体"/>
          <w:color w:val="auto"/>
          <w:kern w:val="0"/>
          <w:szCs w:val="21"/>
          <w:highlight w:val="none"/>
        </w:rPr>
        <w:t>规范</w:t>
      </w:r>
      <w:r>
        <w:rPr>
          <w:rFonts w:hint="eastAsia" w:ascii="宋体" w:hAnsi="宋体"/>
          <w:color w:val="auto"/>
          <w:kern w:val="0"/>
          <w:szCs w:val="21"/>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kern w:val="0"/>
          <w:szCs w:val="21"/>
          <w:highlight w:val="none"/>
        </w:rPr>
        <w:t>（以下简称“</w:t>
      </w:r>
      <w:r>
        <w:rPr>
          <w:rFonts w:ascii="宋体" w:hAnsi="宋体"/>
          <w:color w:val="auto"/>
          <w:kern w:val="0"/>
          <w:szCs w:val="21"/>
          <w:highlight w:val="none"/>
        </w:rPr>
        <w:t>公司</w:t>
      </w:r>
      <w:r>
        <w:rPr>
          <w:rFonts w:hint="eastAsia" w:ascii="宋体" w:hAnsi="宋体"/>
          <w:color w:val="auto"/>
          <w:kern w:val="0"/>
          <w:szCs w:val="21"/>
          <w:highlight w:val="none"/>
        </w:rPr>
        <w:t>”）</w:t>
      </w:r>
      <w:r>
        <w:rPr>
          <w:rFonts w:ascii="宋体" w:hAnsi="宋体"/>
          <w:color w:val="auto"/>
          <w:kern w:val="0"/>
          <w:szCs w:val="21"/>
          <w:highlight w:val="none"/>
        </w:rPr>
        <w:t>的建设项目安全生产管理，根据国家《安全生产法》、《建筑工程安全生产管理条例》、《建筑施工安全检查标准》、《重庆市建设工程安全生产管理办法》等规定，制定本办法。</w:t>
      </w:r>
    </w:p>
    <w:p w14:paraId="371128B3">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第二条  </w:t>
      </w:r>
      <w:r>
        <w:rPr>
          <w:rFonts w:ascii="宋体" w:hAnsi="宋体"/>
          <w:color w:val="auto"/>
          <w:kern w:val="0"/>
          <w:szCs w:val="21"/>
          <w:highlight w:val="none"/>
        </w:rPr>
        <w:t>公司所有建设项目须遵循</w:t>
      </w:r>
      <w:r>
        <w:rPr>
          <w:rFonts w:hint="eastAsia" w:ascii="宋体" w:hAnsi="宋体"/>
          <w:color w:val="auto"/>
          <w:kern w:val="0"/>
          <w:szCs w:val="21"/>
          <w:highlight w:val="none"/>
        </w:rPr>
        <w:t>“</w:t>
      </w:r>
      <w:r>
        <w:rPr>
          <w:rFonts w:ascii="宋体" w:hAnsi="宋体"/>
          <w:color w:val="auto"/>
          <w:kern w:val="0"/>
          <w:szCs w:val="21"/>
          <w:highlight w:val="none"/>
        </w:rPr>
        <w:t>安全生产，人人有责</w:t>
      </w:r>
      <w:r>
        <w:rPr>
          <w:rFonts w:hint="eastAsia" w:ascii="宋体" w:hAnsi="宋体"/>
          <w:color w:val="auto"/>
          <w:kern w:val="0"/>
          <w:szCs w:val="21"/>
          <w:highlight w:val="none"/>
        </w:rPr>
        <w:t>”、“</w:t>
      </w:r>
      <w:r>
        <w:rPr>
          <w:rFonts w:ascii="宋体" w:hAnsi="宋体"/>
          <w:color w:val="auto"/>
          <w:kern w:val="0"/>
          <w:szCs w:val="21"/>
          <w:highlight w:val="none"/>
        </w:rPr>
        <w:t>管项目必须管安全</w:t>
      </w:r>
      <w:r>
        <w:rPr>
          <w:rFonts w:hint="eastAsia" w:ascii="宋体" w:hAnsi="宋体"/>
          <w:color w:val="auto"/>
          <w:kern w:val="0"/>
          <w:szCs w:val="21"/>
          <w:highlight w:val="none"/>
        </w:rPr>
        <w:t>”</w:t>
      </w:r>
      <w:r>
        <w:rPr>
          <w:rFonts w:ascii="宋体" w:hAnsi="宋体"/>
          <w:color w:val="auto"/>
          <w:kern w:val="0"/>
          <w:szCs w:val="21"/>
          <w:highlight w:val="none"/>
        </w:rPr>
        <w:t>的原则，实行公司统一领导，专门机构具体组织、监督的管理体制。</w:t>
      </w:r>
    </w:p>
    <w:p w14:paraId="578CBFD7">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第三条  </w:t>
      </w:r>
      <w:r>
        <w:rPr>
          <w:rFonts w:ascii="宋体" w:hAnsi="宋体"/>
          <w:color w:val="auto"/>
          <w:kern w:val="0"/>
          <w:szCs w:val="21"/>
          <w:highlight w:val="none"/>
        </w:rPr>
        <w:t>安全管理以责任死亡事故为零</w:t>
      </w:r>
      <w:r>
        <w:rPr>
          <w:rFonts w:hint="eastAsia" w:ascii="宋体" w:hAnsi="宋体"/>
          <w:color w:val="auto"/>
          <w:kern w:val="0"/>
          <w:szCs w:val="21"/>
          <w:highlight w:val="none"/>
        </w:rPr>
        <w:t>，</w:t>
      </w:r>
      <w:r>
        <w:rPr>
          <w:rFonts w:ascii="宋体" w:hAnsi="宋体"/>
          <w:color w:val="auto"/>
          <w:kern w:val="0"/>
          <w:szCs w:val="21"/>
          <w:highlight w:val="none"/>
        </w:rPr>
        <w:t>人身重伤责任事故为零</w:t>
      </w:r>
      <w:r>
        <w:rPr>
          <w:rFonts w:hint="eastAsia" w:ascii="宋体" w:hAnsi="宋体"/>
          <w:color w:val="auto"/>
          <w:kern w:val="0"/>
          <w:szCs w:val="21"/>
          <w:highlight w:val="none"/>
        </w:rPr>
        <w:t>，</w:t>
      </w:r>
      <w:r>
        <w:rPr>
          <w:rFonts w:ascii="宋体" w:hAnsi="宋体"/>
          <w:color w:val="auto"/>
          <w:kern w:val="0"/>
          <w:szCs w:val="21"/>
          <w:highlight w:val="none"/>
        </w:rPr>
        <w:t>重大机械设备责任事故为零</w:t>
      </w:r>
      <w:r>
        <w:rPr>
          <w:rFonts w:hint="eastAsia" w:ascii="宋体" w:hAnsi="宋体"/>
          <w:color w:val="auto"/>
          <w:kern w:val="0"/>
          <w:szCs w:val="21"/>
          <w:highlight w:val="none"/>
        </w:rPr>
        <w:t>，</w:t>
      </w:r>
      <w:r>
        <w:rPr>
          <w:rFonts w:ascii="宋体" w:hAnsi="宋体"/>
          <w:color w:val="auto"/>
          <w:kern w:val="0"/>
          <w:szCs w:val="21"/>
          <w:highlight w:val="none"/>
        </w:rPr>
        <w:t>重大火灾责任事故为零</w:t>
      </w:r>
      <w:r>
        <w:rPr>
          <w:rFonts w:hint="eastAsia" w:ascii="宋体" w:hAnsi="宋体"/>
          <w:color w:val="auto"/>
          <w:kern w:val="0"/>
          <w:szCs w:val="21"/>
          <w:highlight w:val="none"/>
        </w:rPr>
        <w:t>，</w:t>
      </w:r>
      <w:r>
        <w:rPr>
          <w:rFonts w:ascii="宋体" w:hAnsi="宋体"/>
          <w:color w:val="auto"/>
          <w:kern w:val="0"/>
          <w:szCs w:val="21"/>
          <w:highlight w:val="none"/>
        </w:rPr>
        <w:t>重大坍塌责任事故为零</w:t>
      </w:r>
      <w:r>
        <w:rPr>
          <w:rFonts w:hint="eastAsia" w:ascii="宋体" w:hAnsi="宋体"/>
          <w:color w:val="auto"/>
          <w:kern w:val="0"/>
          <w:szCs w:val="21"/>
          <w:highlight w:val="none"/>
        </w:rPr>
        <w:t>，</w:t>
      </w:r>
      <w:r>
        <w:rPr>
          <w:rFonts w:ascii="宋体" w:hAnsi="宋体"/>
          <w:color w:val="auto"/>
          <w:kern w:val="0"/>
          <w:szCs w:val="21"/>
          <w:highlight w:val="none"/>
        </w:rPr>
        <w:t>重大职业卫生伤害责任事故为零</w:t>
      </w:r>
      <w:r>
        <w:rPr>
          <w:rFonts w:hint="eastAsia" w:ascii="宋体" w:hAnsi="宋体"/>
          <w:color w:val="auto"/>
          <w:kern w:val="0"/>
          <w:szCs w:val="21"/>
          <w:highlight w:val="none"/>
        </w:rPr>
        <w:t>，</w:t>
      </w:r>
      <w:r>
        <w:rPr>
          <w:rFonts w:ascii="宋体" w:hAnsi="宋体"/>
          <w:color w:val="auto"/>
          <w:kern w:val="0"/>
          <w:szCs w:val="21"/>
          <w:highlight w:val="none"/>
        </w:rPr>
        <w:t>重大环境污染责任事故为零为目标。</w:t>
      </w:r>
    </w:p>
    <w:p w14:paraId="5DB027D5">
      <w:pPr>
        <w:overflowPunct w:val="0"/>
        <w:autoSpaceDE w:val="0"/>
        <w:autoSpaceDN w:val="0"/>
        <w:adjustRightInd w:val="0"/>
        <w:snapToGrid w:val="0"/>
        <w:spacing w:line="420" w:lineRule="exact"/>
        <w:ind w:firstLine="422" w:firstLineChars="200"/>
        <w:jc w:val="center"/>
        <w:rPr>
          <w:rFonts w:ascii="宋体" w:hAnsi="宋体"/>
          <w:b/>
          <w:bCs/>
          <w:color w:val="auto"/>
          <w:szCs w:val="21"/>
          <w:highlight w:val="none"/>
        </w:rPr>
      </w:pPr>
      <w:r>
        <w:rPr>
          <w:rFonts w:ascii="宋体" w:hAnsi="宋体"/>
          <w:b/>
          <w:bCs/>
          <w:color w:val="auto"/>
          <w:szCs w:val="21"/>
          <w:highlight w:val="none"/>
        </w:rPr>
        <w:t>第二章</w:t>
      </w:r>
      <w:r>
        <w:rPr>
          <w:rFonts w:hint="eastAsia" w:ascii="宋体" w:hAnsi="宋体"/>
          <w:b/>
          <w:bCs/>
          <w:color w:val="auto"/>
          <w:szCs w:val="21"/>
          <w:highlight w:val="none"/>
        </w:rPr>
        <w:t xml:space="preserve">  </w:t>
      </w:r>
      <w:r>
        <w:rPr>
          <w:rFonts w:ascii="宋体" w:hAnsi="宋体"/>
          <w:b/>
          <w:bCs/>
          <w:color w:val="auto"/>
          <w:szCs w:val="21"/>
          <w:highlight w:val="none"/>
        </w:rPr>
        <w:t>机构与人员配备</w:t>
      </w:r>
    </w:p>
    <w:p w14:paraId="5CEB7607">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第四条  </w:t>
      </w:r>
      <w:r>
        <w:rPr>
          <w:rFonts w:ascii="宋体" w:hAnsi="宋体"/>
          <w:color w:val="auto"/>
          <w:kern w:val="0"/>
          <w:szCs w:val="21"/>
          <w:highlight w:val="none"/>
        </w:rPr>
        <w:t>公司成立以总经理为组长、分管安全副总经理为常务副组长、其他领导班子成员为副组长，各内设机构负责人为成员的安全生产领导小组（以下简称</w:t>
      </w:r>
      <w:r>
        <w:rPr>
          <w:rFonts w:hint="eastAsia" w:ascii="宋体" w:hAnsi="宋体"/>
          <w:color w:val="auto"/>
          <w:kern w:val="0"/>
          <w:szCs w:val="21"/>
          <w:highlight w:val="none"/>
        </w:rPr>
        <w:t>“</w:t>
      </w:r>
      <w:r>
        <w:rPr>
          <w:rFonts w:ascii="宋体" w:hAnsi="宋体"/>
          <w:color w:val="auto"/>
          <w:kern w:val="0"/>
          <w:szCs w:val="21"/>
          <w:highlight w:val="none"/>
        </w:rPr>
        <w:t>安全领导小组</w:t>
      </w:r>
      <w:r>
        <w:rPr>
          <w:rFonts w:hint="eastAsia" w:ascii="宋体" w:hAnsi="宋体"/>
          <w:color w:val="auto"/>
          <w:kern w:val="0"/>
          <w:szCs w:val="21"/>
          <w:highlight w:val="none"/>
        </w:rPr>
        <w:t>”</w:t>
      </w:r>
      <w:r>
        <w:rPr>
          <w:rFonts w:ascii="宋体" w:hAnsi="宋体"/>
          <w:color w:val="auto"/>
          <w:kern w:val="0"/>
          <w:szCs w:val="21"/>
          <w:highlight w:val="none"/>
        </w:rPr>
        <w:t>），在公司负责安全的部门设立安全办，安全办在安全领导小组领导下，对施工生产安全进行综合管理。安全办配备专职安全员，专职安全员须经</w:t>
      </w:r>
      <w:r>
        <w:rPr>
          <w:rFonts w:hint="eastAsia" w:ascii="宋体" w:hAnsi="宋体"/>
          <w:color w:val="auto"/>
          <w:kern w:val="0"/>
          <w:szCs w:val="21"/>
          <w:highlight w:val="none"/>
        </w:rPr>
        <w:t>应急管理</w:t>
      </w:r>
      <w:r>
        <w:rPr>
          <w:rFonts w:ascii="宋体" w:hAnsi="宋体"/>
          <w:color w:val="auto"/>
          <w:kern w:val="0"/>
          <w:szCs w:val="21"/>
          <w:highlight w:val="none"/>
        </w:rPr>
        <w:t>部门培训合格后方可上岗。</w:t>
      </w:r>
    </w:p>
    <w:p w14:paraId="70A14E61">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第五条  </w:t>
      </w:r>
      <w:r>
        <w:rPr>
          <w:rFonts w:ascii="宋体" w:hAnsi="宋体"/>
          <w:color w:val="auto"/>
          <w:kern w:val="0"/>
          <w:szCs w:val="21"/>
          <w:highlight w:val="none"/>
        </w:rPr>
        <w:t>公司负责安全工作的部门是安全生产监督机构。</w:t>
      </w:r>
    </w:p>
    <w:p w14:paraId="1A959BB9">
      <w:pPr>
        <w:overflowPunct w:val="0"/>
        <w:autoSpaceDE w:val="0"/>
        <w:autoSpaceDN w:val="0"/>
        <w:adjustRightInd w:val="0"/>
        <w:snapToGrid w:val="0"/>
        <w:spacing w:line="420" w:lineRule="exact"/>
        <w:ind w:firstLine="420" w:firstLineChars="200"/>
        <w:rPr>
          <w:rFonts w:ascii="宋体" w:hAnsi="宋体"/>
          <w:b/>
          <w:color w:val="auto"/>
          <w:szCs w:val="21"/>
          <w:highlight w:val="none"/>
        </w:rPr>
      </w:pPr>
      <w:r>
        <w:rPr>
          <w:rFonts w:hint="eastAsia" w:ascii="宋体" w:hAnsi="宋体"/>
          <w:color w:val="auto"/>
          <w:kern w:val="0"/>
          <w:szCs w:val="21"/>
          <w:highlight w:val="none"/>
        </w:rPr>
        <w:t xml:space="preserve">第六条  </w:t>
      </w:r>
      <w:r>
        <w:rPr>
          <w:rFonts w:ascii="宋体" w:hAnsi="宋体"/>
          <w:color w:val="auto"/>
          <w:kern w:val="0"/>
          <w:szCs w:val="21"/>
          <w:highlight w:val="none"/>
        </w:rPr>
        <w:t>安全领导小组应当督促公司各建设项目的相关作业单位成立安全生产领导机构，按规定设置安全生产管理部门，配备相对稳定的专职安全管理人员，并负责检查、督促各项施工安全措施的落实。</w:t>
      </w:r>
    </w:p>
    <w:p w14:paraId="52CC5366">
      <w:pPr>
        <w:overflowPunct w:val="0"/>
        <w:autoSpaceDE w:val="0"/>
        <w:autoSpaceDN w:val="0"/>
        <w:adjustRightInd w:val="0"/>
        <w:snapToGrid w:val="0"/>
        <w:spacing w:line="420" w:lineRule="exact"/>
        <w:ind w:firstLine="422" w:firstLineChars="200"/>
        <w:jc w:val="center"/>
        <w:rPr>
          <w:rFonts w:ascii="宋体" w:hAnsi="宋体"/>
          <w:b/>
          <w:bCs/>
          <w:color w:val="auto"/>
          <w:szCs w:val="21"/>
          <w:highlight w:val="none"/>
        </w:rPr>
      </w:pPr>
      <w:r>
        <w:rPr>
          <w:rFonts w:ascii="宋体" w:hAnsi="宋体"/>
          <w:b/>
          <w:bCs/>
          <w:color w:val="auto"/>
          <w:szCs w:val="21"/>
          <w:highlight w:val="none"/>
        </w:rPr>
        <w:t>第三章</w:t>
      </w:r>
      <w:r>
        <w:rPr>
          <w:rFonts w:hint="eastAsia" w:ascii="宋体" w:hAnsi="宋体"/>
          <w:b/>
          <w:bCs/>
          <w:color w:val="auto"/>
          <w:szCs w:val="21"/>
          <w:highlight w:val="none"/>
        </w:rPr>
        <w:t xml:space="preserve">  </w:t>
      </w:r>
      <w:r>
        <w:rPr>
          <w:rFonts w:ascii="宋体" w:hAnsi="宋体"/>
          <w:b/>
          <w:bCs/>
          <w:color w:val="auto"/>
          <w:szCs w:val="21"/>
          <w:highlight w:val="none"/>
        </w:rPr>
        <w:t>安全生产管理职责</w:t>
      </w:r>
    </w:p>
    <w:p w14:paraId="1228BA85">
      <w:pPr>
        <w:tabs>
          <w:tab w:val="left" w:pos="662"/>
        </w:tabs>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第七条  </w:t>
      </w:r>
      <w:r>
        <w:rPr>
          <w:rFonts w:ascii="宋体" w:hAnsi="宋体"/>
          <w:color w:val="auto"/>
          <w:kern w:val="0"/>
          <w:szCs w:val="21"/>
          <w:highlight w:val="none"/>
        </w:rPr>
        <w:t>安全领导小组的职责</w:t>
      </w:r>
      <w:r>
        <w:rPr>
          <w:rFonts w:hint="eastAsia" w:ascii="宋体" w:hAnsi="宋体"/>
          <w:color w:val="auto"/>
          <w:kern w:val="0"/>
          <w:szCs w:val="21"/>
          <w:highlight w:val="none"/>
        </w:rPr>
        <w:t>：</w:t>
      </w:r>
    </w:p>
    <w:p w14:paraId="5774C3E2">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（一）负责公司安全生产工作的组织协调和管理</w:t>
      </w:r>
      <w:r>
        <w:rPr>
          <w:rFonts w:hint="eastAsia" w:ascii="宋体" w:hAnsi="宋体"/>
          <w:color w:val="auto"/>
          <w:kern w:val="0"/>
          <w:szCs w:val="21"/>
          <w:highlight w:val="none"/>
        </w:rPr>
        <w:t>，</w:t>
      </w:r>
      <w:r>
        <w:rPr>
          <w:rFonts w:ascii="宋体" w:hAnsi="宋体"/>
          <w:color w:val="auto"/>
          <w:kern w:val="0"/>
          <w:szCs w:val="21"/>
          <w:highlight w:val="none"/>
        </w:rPr>
        <w:t>负责监督安全生产相关法律法规的执行</w:t>
      </w:r>
      <w:r>
        <w:rPr>
          <w:rFonts w:hint="eastAsia" w:ascii="宋体" w:hAnsi="宋体"/>
          <w:color w:val="auto"/>
          <w:kern w:val="0"/>
          <w:szCs w:val="21"/>
          <w:highlight w:val="none"/>
        </w:rPr>
        <w:t>，</w:t>
      </w:r>
      <w:r>
        <w:rPr>
          <w:rFonts w:ascii="宋体" w:hAnsi="宋体"/>
          <w:color w:val="auto"/>
          <w:kern w:val="0"/>
          <w:szCs w:val="21"/>
          <w:highlight w:val="none"/>
        </w:rPr>
        <w:t>负责贯彻落实安全生产工作的相关政策和行业主管部门</w:t>
      </w:r>
      <w:r>
        <w:rPr>
          <w:rFonts w:hint="eastAsia" w:ascii="宋体" w:hAnsi="宋体"/>
          <w:color w:val="auto"/>
          <w:kern w:val="0"/>
          <w:szCs w:val="21"/>
          <w:highlight w:val="none"/>
        </w:rPr>
        <w:t>以及</w:t>
      </w:r>
      <w:r>
        <w:rPr>
          <w:rFonts w:ascii="宋体" w:hAnsi="宋体"/>
          <w:color w:val="auto"/>
          <w:kern w:val="0"/>
          <w:szCs w:val="21"/>
          <w:highlight w:val="none"/>
        </w:rPr>
        <w:t>公司领导的工作部署</w:t>
      </w:r>
      <w:r>
        <w:rPr>
          <w:rFonts w:hint="eastAsia" w:ascii="宋体" w:hAnsi="宋体"/>
          <w:color w:val="auto"/>
          <w:kern w:val="0"/>
          <w:szCs w:val="21"/>
          <w:highlight w:val="none"/>
        </w:rPr>
        <w:t>；</w:t>
      </w:r>
    </w:p>
    <w:p w14:paraId="6C7D73A7">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（二）加强对安全生产工作的领导，将安全生产工作纳入公司发展规划，及时协调解决安全生产工作中的重大问题</w:t>
      </w:r>
      <w:r>
        <w:rPr>
          <w:rFonts w:hint="eastAsia" w:ascii="宋体" w:hAnsi="宋体"/>
          <w:color w:val="auto"/>
          <w:kern w:val="0"/>
          <w:szCs w:val="21"/>
          <w:highlight w:val="none"/>
        </w:rPr>
        <w:t>；</w:t>
      </w:r>
    </w:p>
    <w:p w14:paraId="43B3E2DC">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三</w:t>
      </w:r>
      <w:r>
        <w:rPr>
          <w:rFonts w:ascii="宋体" w:hAnsi="宋体"/>
          <w:color w:val="auto"/>
          <w:kern w:val="0"/>
          <w:szCs w:val="21"/>
          <w:highlight w:val="none"/>
        </w:rPr>
        <w:t>）配备与安全生产工作相适应的人员，并保障必要的办公设施和工作经费</w:t>
      </w:r>
      <w:r>
        <w:rPr>
          <w:rFonts w:hint="eastAsia" w:ascii="宋体" w:hAnsi="宋体"/>
          <w:color w:val="auto"/>
          <w:kern w:val="0"/>
          <w:szCs w:val="21"/>
          <w:highlight w:val="none"/>
        </w:rPr>
        <w:t>；</w:t>
      </w:r>
    </w:p>
    <w:p w14:paraId="19BEC30F">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四</w:t>
      </w:r>
      <w:r>
        <w:rPr>
          <w:rFonts w:ascii="宋体" w:hAnsi="宋体"/>
          <w:color w:val="auto"/>
          <w:kern w:val="0"/>
          <w:szCs w:val="21"/>
          <w:highlight w:val="none"/>
        </w:rPr>
        <w:t>）负责发布公司的安全生产信息</w:t>
      </w:r>
      <w:r>
        <w:rPr>
          <w:rFonts w:hint="eastAsia" w:ascii="宋体" w:hAnsi="宋体"/>
          <w:color w:val="auto"/>
          <w:kern w:val="0"/>
          <w:szCs w:val="21"/>
          <w:highlight w:val="none"/>
        </w:rPr>
        <w:t>；</w:t>
      </w:r>
    </w:p>
    <w:p w14:paraId="309C1D92">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五</w:t>
      </w:r>
      <w:r>
        <w:rPr>
          <w:rFonts w:ascii="宋体" w:hAnsi="宋体"/>
          <w:color w:val="auto"/>
          <w:kern w:val="0"/>
          <w:szCs w:val="21"/>
          <w:highlight w:val="none"/>
        </w:rPr>
        <w:t>）制定或者审批公司各项安全生产管理制度、安全生产的考核目标和责任追究制度。</w:t>
      </w:r>
    </w:p>
    <w:p w14:paraId="0D2A78B1">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第八条  </w:t>
      </w:r>
      <w:r>
        <w:rPr>
          <w:rFonts w:ascii="宋体" w:hAnsi="宋体"/>
          <w:color w:val="auto"/>
          <w:kern w:val="0"/>
          <w:szCs w:val="21"/>
          <w:highlight w:val="none"/>
        </w:rPr>
        <w:t>安全办职责</w:t>
      </w:r>
      <w:r>
        <w:rPr>
          <w:rFonts w:hint="eastAsia" w:ascii="宋体" w:hAnsi="宋体"/>
          <w:color w:val="auto"/>
          <w:kern w:val="0"/>
          <w:szCs w:val="21"/>
          <w:highlight w:val="none"/>
        </w:rPr>
        <w:t>：</w:t>
      </w:r>
    </w:p>
    <w:p w14:paraId="17FA8E32">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（一）拟订和实施公司各项安全生产管理制度，建立公司安全生产台账</w:t>
      </w:r>
      <w:r>
        <w:rPr>
          <w:rFonts w:hint="eastAsia" w:ascii="宋体" w:hAnsi="宋体"/>
          <w:color w:val="auto"/>
          <w:kern w:val="0"/>
          <w:szCs w:val="21"/>
          <w:highlight w:val="none"/>
        </w:rPr>
        <w:t>；</w:t>
      </w:r>
    </w:p>
    <w:p w14:paraId="01717D4B">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（二）对公司各建设项目进行安全生产巡查，督促监理、施工单位对安全隐患事项及时进行整改</w:t>
      </w:r>
      <w:r>
        <w:rPr>
          <w:rFonts w:hint="eastAsia" w:ascii="宋体" w:hAnsi="宋体"/>
          <w:color w:val="auto"/>
          <w:kern w:val="0"/>
          <w:szCs w:val="21"/>
          <w:highlight w:val="none"/>
        </w:rPr>
        <w:t>；</w:t>
      </w:r>
    </w:p>
    <w:p w14:paraId="7B5AA37A">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（三）对公司区域内的重大危险源登记建档，制定监控、消除危险源的方案并负责监督实施</w:t>
      </w:r>
      <w:r>
        <w:rPr>
          <w:rFonts w:hint="eastAsia" w:ascii="宋体" w:hAnsi="宋体"/>
          <w:color w:val="auto"/>
          <w:kern w:val="0"/>
          <w:szCs w:val="21"/>
          <w:highlight w:val="none"/>
        </w:rPr>
        <w:t>；</w:t>
      </w:r>
    </w:p>
    <w:p w14:paraId="3A4CDD08">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（四）编制安全生产应急救援综合预案，定期组织演练</w:t>
      </w:r>
      <w:r>
        <w:rPr>
          <w:rFonts w:hint="eastAsia" w:ascii="宋体" w:hAnsi="宋体"/>
          <w:color w:val="auto"/>
          <w:kern w:val="0"/>
          <w:szCs w:val="21"/>
          <w:highlight w:val="none"/>
        </w:rPr>
        <w:t>；</w:t>
      </w:r>
    </w:p>
    <w:p w14:paraId="652C76E2">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（五）加强安全生产宣传教育，提高员工和参建单位的安全意识，营造良好的安全生产氛围</w:t>
      </w:r>
      <w:r>
        <w:rPr>
          <w:rFonts w:hint="eastAsia" w:ascii="宋体" w:hAnsi="宋体"/>
          <w:color w:val="auto"/>
          <w:kern w:val="0"/>
          <w:szCs w:val="21"/>
          <w:highlight w:val="none"/>
        </w:rPr>
        <w:t>；</w:t>
      </w:r>
    </w:p>
    <w:p w14:paraId="7976D687">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（六）按规定上报安全事故，有效开展救援，督促事故责任单位做好善后工作。积极配合上级部门开展事故调查，并协助将事故责任追究落实到位</w:t>
      </w:r>
      <w:r>
        <w:rPr>
          <w:rFonts w:hint="eastAsia" w:ascii="宋体" w:hAnsi="宋体"/>
          <w:color w:val="auto"/>
          <w:kern w:val="0"/>
          <w:szCs w:val="21"/>
          <w:highlight w:val="none"/>
        </w:rPr>
        <w:t>；</w:t>
      </w:r>
    </w:p>
    <w:p w14:paraId="099552C1">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七</w:t>
      </w:r>
      <w:r>
        <w:rPr>
          <w:rFonts w:ascii="宋体" w:hAnsi="宋体"/>
          <w:color w:val="auto"/>
          <w:kern w:val="0"/>
          <w:szCs w:val="21"/>
          <w:highlight w:val="none"/>
        </w:rPr>
        <w:t>）承办公司召开的安全生产工作会议及各类安全生产活动，并对主管部门作出的安全生产决定、事项进行贯彻落实</w:t>
      </w:r>
      <w:r>
        <w:rPr>
          <w:rFonts w:hint="eastAsia" w:ascii="宋体" w:hAnsi="宋体"/>
          <w:color w:val="auto"/>
          <w:kern w:val="0"/>
          <w:szCs w:val="21"/>
          <w:highlight w:val="none"/>
        </w:rPr>
        <w:t>；</w:t>
      </w:r>
    </w:p>
    <w:p w14:paraId="30B8D006">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八</w:t>
      </w:r>
      <w:r>
        <w:rPr>
          <w:rFonts w:ascii="宋体" w:hAnsi="宋体"/>
          <w:color w:val="auto"/>
          <w:kern w:val="0"/>
          <w:szCs w:val="21"/>
          <w:highlight w:val="none"/>
        </w:rPr>
        <w:t>）其它安全生产工作。</w:t>
      </w:r>
    </w:p>
    <w:p w14:paraId="5222CE00">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第九条  </w:t>
      </w:r>
      <w:r>
        <w:rPr>
          <w:rFonts w:ascii="宋体" w:hAnsi="宋体"/>
          <w:color w:val="auto"/>
          <w:kern w:val="0"/>
          <w:szCs w:val="21"/>
          <w:highlight w:val="none"/>
        </w:rPr>
        <w:t>公司负责安全部门</w:t>
      </w:r>
      <w:r>
        <w:rPr>
          <w:rFonts w:hint="eastAsia" w:ascii="宋体" w:hAnsi="宋体"/>
          <w:color w:val="auto"/>
          <w:kern w:val="0"/>
          <w:szCs w:val="21"/>
          <w:highlight w:val="none"/>
        </w:rPr>
        <w:t>的</w:t>
      </w:r>
      <w:r>
        <w:rPr>
          <w:rFonts w:ascii="宋体" w:hAnsi="宋体"/>
          <w:color w:val="auto"/>
          <w:kern w:val="0"/>
          <w:szCs w:val="21"/>
          <w:highlight w:val="none"/>
        </w:rPr>
        <w:t>职责</w:t>
      </w:r>
      <w:r>
        <w:rPr>
          <w:rFonts w:hint="eastAsia" w:ascii="宋体" w:hAnsi="宋体"/>
          <w:color w:val="auto"/>
          <w:kern w:val="0"/>
          <w:szCs w:val="21"/>
          <w:highlight w:val="none"/>
        </w:rPr>
        <w:t>：</w:t>
      </w:r>
    </w:p>
    <w:p w14:paraId="2E5829B8">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（一）负责定期或不定期对各建设项目的安全生产工作进行督查，督促相关部门和人员依法履行安全生产和监督管理职责</w:t>
      </w:r>
      <w:r>
        <w:rPr>
          <w:rFonts w:hint="eastAsia" w:ascii="宋体" w:hAnsi="宋体"/>
          <w:color w:val="auto"/>
          <w:kern w:val="0"/>
          <w:szCs w:val="21"/>
          <w:highlight w:val="none"/>
        </w:rPr>
        <w:t>；</w:t>
      </w:r>
    </w:p>
    <w:p w14:paraId="6DD8320D">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（二）对各个工程项目的整改落实情况进行监督和复查，对整改不到位或未及时整改的项目，督促公司规划建设部门对监理、施工等相关责任单位和责任人进行责任追究</w:t>
      </w:r>
      <w:r>
        <w:rPr>
          <w:rFonts w:hint="eastAsia" w:ascii="宋体" w:hAnsi="宋体"/>
          <w:color w:val="auto"/>
          <w:kern w:val="0"/>
          <w:szCs w:val="21"/>
          <w:highlight w:val="none"/>
        </w:rPr>
        <w:t>；</w:t>
      </w:r>
    </w:p>
    <w:p w14:paraId="269FC0DD">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（三）参与调查公司区域内发生的生产安全事故，查处事故涉及的以权谋私、权钱交易等违法违纪行为，构成犯罪的，依法移送司法机关处理</w:t>
      </w:r>
      <w:r>
        <w:rPr>
          <w:rFonts w:hint="eastAsia" w:ascii="宋体" w:hAnsi="宋体"/>
          <w:color w:val="auto"/>
          <w:kern w:val="0"/>
          <w:szCs w:val="21"/>
          <w:highlight w:val="none"/>
        </w:rPr>
        <w:t>；</w:t>
      </w:r>
    </w:p>
    <w:p w14:paraId="31B6F734">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（四）督促落实对生产安全事故责任人员的责任追究</w:t>
      </w:r>
      <w:r>
        <w:rPr>
          <w:rFonts w:hint="eastAsia" w:ascii="宋体" w:hAnsi="宋体"/>
          <w:color w:val="auto"/>
          <w:kern w:val="0"/>
          <w:szCs w:val="21"/>
          <w:highlight w:val="none"/>
        </w:rPr>
        <w:t>；</w:t>
      </w:r>
    </w:p>
    <w:p w14:paraId="51283123">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（五）其它安全生产职责。</w:t>
      </w:r>
    </w:p>
    <w:p w14:paraId="50DF15E8">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第十条  </w:t>
      </w:r>
      <w:r>
        <w:rPr>
          <w:rFonts w:ascii="宋体" w:hAnsi="宋体"/>
          <w:color w:val="auto"/>
          <w:kern w:val="0"/>
          <w:szCs w:val="21"/>
          <w:highlight w:val="none"/>
        </w:rPr>
        <w:t>公司现场代表职责</w:t>
      </w:r>
      <w:r>
        <w:rPr>
          <w:rFonts w:hint="eastAsia" w:ascii="宋体" w:hAnsi="宋体"/>
          <w:color w:val="auto"/>
          <w:kern w:val="0"/>
          <w:szCs w:val="21"/>
          <w:highlight w:val="none"/>
        </w:rPr>
        <w:t>：</w:t>
      </w:r>
    </w:p>
    <w:p w14:paraId="7C476EE4">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（一）严格履行</w:t>
      </w:r>
      <w:r>
        <w:rPr>
          <w:rFonts w:hint="eastAsia" w:ascii="宋体" w:hAnsi="宋体"/>
          <w:color w:val="auto"/>
          <w:kern w:val="0"/>
          <w:szCs w:val="21"/>
          <w:highlight w:val="none"/>
        </w:rPr>
        <w:t>“</w:t>
      </w:r>
      <w:r>
        <w:rPr>
          <w:rFonts w:ascii="宋体" w:hAnsi="宋体"/>
          <w:color w:val="auto"/>
          <w:kern w:val="0"/>
          <w:szCs w:val="21"/>
          <w:highlight w:val="none"/>
        </w:rPr>
        <w:t>管项目必须管安全</w:t>
      </w:r>
      <w:r>
        <w:rPr>
          <w:rFonts w:hint="eastAsia" w:ascii="宋体" w:hAnsi="宋体"/>
          <w:color w:val="auto"/>
          <w:kern w:val="0"/>
          <w:szCs w:val="21"/>
          <w:highlight w:val="none"/>
        </w:rPr>
        <w:t>”</w:t>
      </w:r>
      <w:r>
        <w:rPr>
          <w:rFonts w:ascii="宋体" w:hAnsi="宋体"/>
          <w:color w:val="auto"/>
          <w:kern w:val="0"/>
          <w:szCs w:val="21"/>
          <w:highlight w:val="none"/>
        </w:rPr>
        <w:t>的职责，坚持每天巡查，做好检查记录，督促监理、施工等工程建设单位对存在的安全隐患及时进行整改，确保隐患彻底整改</w:t>
      </w:r>
      <w:r>
        <w:rPr>
          <w:rFonts w:hint="eastAsia" w:ascii="宋体" w:hAnsi="宋体"/>
          <w:color w:val="auto"/>
          <w:kern w:val="0"/>
          <w:szCs w:val="21"/>
          <w:highlight w:val="none"/>
        </w:rPr>
        <w:t>；</w:t>
      </w:r>
    </w:p>
    <w:p w14:paraId="2CC17B67">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（二）其它安全生产职责。</w:t>
      </w:r>
    </w:p>
    <w:p w14:paraId="5D2649BF">
      <w:pPr>
        <w:tabs>
          <w:tab w:val="left" w:pos="7560"/>
        </w:tabs>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第十一条  </w:t>
      </w:r>
      <w:r>
        <w:rPr>
          <w:rFonts w:ascii="宋体" w:hAnsi="宋体"/>
          <w:color w:val="auto"/>
          <w:kern w:val="0"/>
          <w:szCs w:val="21"/>
          <w:highlight w:val="none"/>
        </w:rPr>
        <w:t>公司安全办安全员的职责</w:t>
      </w:r>
      <w:r>
        <w:rPr>
          <w:rFonts w:hint="eastAsia" w:ascii="宋体" w:hAnsi="宋体"/>
          <w:color w:val="auto"/>
          <w:kern w:val="0"/>
          <w:szCs w:val="21"/>
          <w:highlight w:val="none"/>
        </w:rPr>
        <w:t>：</w:t>
      </w:r>
    </w:p>
    <w:p w14:paraId="3DDC3D67">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（一）负责综合管理，监督、指导和协调各工程建设单位的安全生产工作</w:t>
      </w:r>
      <w:r>
        <w:rPr>
          <w:rFonts w:hint="eastAsia" w:ascii="宋体" w:hAnsi="宋体"/>
          <w:color w:val="auto"/>
          <w:kern w:val="0"/>
          <w:szCs w:val="21"/>
          <w:highlight w:val="none"/>
        </w:rPr>
        <w:t>；</w:t>
      </w:r>
    </w:p>
    <w:p w14:paraId="626C43F6">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（二）拟订安全生产工作规划和计划，调查研究并提出安全生产的措施和建议</w:t>
      </w:r>
      <w:r>
        <w:rPr>
          <w:rFonts w:hint="eastAsia" w:ascii="宋体" w:hAnsi="宋体"/>
          <w:color w:val="auto"/>
          <w:kern w:val="0"/>
          <w:szCs w:val="21"/>
          <w:highlight w:val="none"/>
        </w:rPr>
        <w:t>；</w:t>
      </w:r>
    </w:p>
    <w:p w14:paraId="74385761">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（三）编制安全生产应急救援综合预案</w:t>
      </w:r>
      <w:r>
        <w:rPr>
          <w:rFonts w:hint="eastAsia" w:ascii="宋体" w:hAnsi="宋体"/>
          <w:color w:val="auto"/>
          <w:kern w:val="0"/>
          <w:szCs w:val="21"/>
          <w:highlight w:val="none"/>
        </w:rPr>
        <w:t>；</w:t>
      </w:r>
    </w:p>
    <w:p w14:paraId="2DB76706">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（四）对公司各建设项目进行安全生产巡查，做好检查记录，督促监理、施工等工程建设单位对存在的安全隐患及时进行整改，确保隐患彻底整改</w:t>
      </w:r>
      <w:r>
        <w:rPr>
          <w:rFonts w:hint="eastAsia" w:ascii="宋体" w:hAnsi="宋体"/>
          <w:color w:val="auto"/>
          <w:kern w:val="0"/>
          <w:szCs w:val="21"/>
          <w:highlight w:val="none"/>
        </w:rPr>
        <w:t>；</w:t>
      </w:r>
    </w:p>
    <w:p w14:paraId="00E8ED0B">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（五）督促工程参建单位落实专人，做好对重大危险源的监控管理工作</w:t>
      </w:r>
      <w:r>
        <w:rPr>
          <w:rFonts w:hint="eastAsia" w:ascii="宋体" w:hAnsi="宋体"/>
          <w:color w:val="auto"/>
          <w:kern w:val="0"/>
          <w:szCs w:val="21"/>
          <w:highlight w:val="none"/>
        </w:rPr>
        <w:t>；</w:t>
      </w:r>
    </w:p>
    <w:p w14:paraId="40C6E287">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（六）负责采写公司的安全生产信息</w:t>
      </w:r>
      <w:r>
        <w:rPr>
          <w:rFonts w:hint="eastAsia" w:ascii="宋体" w:hAnsi="宋体"/>
          <w:color w:val="auto"/>
          <w:kern w:val="0"/>
          <w:szCs w:val="21"/>
          <w:highlight w:val="none"/>
        </w:rPr>
        <w:t>；</w:t>
      </w:r>
    </w:p>
    <w:p w14:paraId="79D04E16">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（七）协助领导开展安全事故应急救援和调查处理工作</w:t>
      </w:r>
      <w:r>
        <w:rPr>
          <w:rFonts w:hint="eastAsia" w:ascii="宋体" w:hAnsi="宋体"/>
          <w:color w:val="auto"/>
          <w:kern w:val="0"/>
          <w:szCs w:val="21"/>
          <w:highlight w:val="none"/>
        </w:rPr>
        <w:t>；</w:t>
      </w:r>
    </w:p>
    <w:p w14:paraId="37867D93">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（八）组织安全生产大检查和开展专项督查</w:t>
      </w:r>
      <w:r>
        <w:rPr>
          <w:rFonts w:hint="eastAsia" w:ascii="宋体" w:hAnsi="宋体"/>
          <w:color w:val="auto"/>
          <w:kern w:val="0"/>
          <w:szCs w:val="21"/>
          <w:highlight w:val="none"/>
        </w:rPr>
        <w:t>；</w:t>
      </w:r>
    </w:p>
    <w:p w14:paraId="40C0A7F8">
      <w:pPr>
        <w:overflowPunct w:val="0"/>
        <w:autoSpaceDE w:val="0"/>
        <w:autoSpaceDN w:val="0"/>
        <w:adjustRightInd w:val="0"/>
        <w:snapToGrid w:val="0"/>
        <w:spacing w:line="420" w:lineRule="exact"/>
        <w:ind w:firstLine="420" w:firstLineChars="200"/>
        <w:jc w:val="left"/>
        <w:rPr>
          <w:rFonts w:ascii="宋体" w:hAnsi="宋体"/>
          <w:b/>
          <w:color w:val="auto"/>
          <w:szCs w:val="21"/>
          <w:highlight w:val="none"/>
        </w:rPr>
      </w:pPr>
      <w:r>
        <w:rPr>
          <w:rFonts w:ascii="宋体" w:hAnsi="宋体"/>
          <w:color w:val="auto"/>
          <w:kern w:val="0"/>
          <w:szCs w:val="21"/>
          <w:highlight w:val="none"/>
        </w:rPr>
        <w:t>（九）其它安全生产职责。</w:t>
      </w:r>
    </w:p>
    <w:p w14:paraId="78128C0F">
      <w:pPr>
        <w:overflowPunct w:val="0"/>
        <w:autoSpaceDE w:val="0"/>
        <w:autoSpaceDN w:val="0"/>
        <w:adjustRightInd w:val="0"/>
        <w:snapToGrid w:val="0"/>
        <w:spacing w:line="420" w:lineRule="exact"/>
        <w:ind w:firstLine="422" w:firstLineChars="200"/>
        <w:jc w:val="center"/>
        <w:rPr>
          <w:rFonts w:ascii="宋体" w:hAnsi="宋体"/>
          <w:b/>
          <w:color w:val="auto"/>
          <w:szCs w:val="21"/>
          <w:highlight w:val="none"/>
        </w:rPr>
      </w:pPr>
      <w:r>
        <w:rPr>
          <w:rFonts w:ascii="宋体" w:hAnsi="宋体"/>
          <w:b/>
          <w:color w:val="auto"/>
          <w:szCs w:val="21"/>
          <w:highlight w:val="none"/>
        </w:rPr>
        <w:t>第四章</w:t>
      </w:r>
      <w:r>
        <w:rPr>
          <w:rFonts w:hint="eastAsia" w:ascii="宋体" w:hAnsi="宋体"/>
          <w:b/>
          <w:color w:val="auto"/>
          <w:szCs w:val="21"/>
          <w:highlight w:val="none"/>
        </w:rPr>
        <w:t xml:space="preserve">  </w:t>
      </w:r>
      <w:r>
        <w:rPr>
          <w:rFonts w:ascii="宋体" w:hAnsi="宋体"/>
          <w:b/>
          <w:color w:val="auto"/>
          <w:szCs w:val="21"/>
          <w:highlight w:val="none"/>
        </w:rPr>
        <w:t>安全生产检查监督机制</w:t>
      </w:r>
    </w:p>
    <w:p w14:paraId="392DB445">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第十二条</w:t>
      </w:r>
      <w:r>
        <w:rPr>
          <w:rFonts w:hint="eastAsia" w:ascii="宋体" w:hAnsi="宋体"/>
          <w:color w:val="auto"/>
          <w:szCs w:val="21"/>
          <w:highlight w:val="none"/>
        </w:rPr>
        <w:t xml:space="preserve">  </w:t>
      </w:r>
      <w:r>
        <w:rPr>
          <w:rFonts w:ascii="宋体" w:hAnsi="宋体"/>
          <w:color w:val="auto"/>
          <w:szCs w:val="21"/>
          <w:highlight w:val="none"/>
        </w:rPr>
        <w:t>公司所有与建设项目有关的合同，如涉及安全生产责任的，应在合同中明确约定监理单位、施工单位按照本办法规定及本办法附件</w:t>
      </w:r>
      <w:r>
        <w:rPr>
          <w:rFonts w:hint="eastAsia" w:ascii="宋体" w:hAnsi="宋体"/>
          <w:color w:val="auto"/>
          <w:szCs w:val="21"/>
          <w:highlight w:val="none"/>
        </w:rPr>
        <w:t>7-1</w:t>
      </w:r>
      <w:r>
        <w:rPr>
          <w:rFonts w:ascii="宋体" w:hAnsi="宋体"/>
          <w:color w:val="auto"/>
          <w:szCs w:val="21"/>
          <w:highlight w:val="none"/>
        </w:rPr>
        <w:t>中的标准承担违约责任，并签署承诺书（附件</w:t>
      </w:r>
      <w:r>
        <w:rPr>
          <w:rFonts w:hint="eastAsia" w:ascii="宋体" w:hAnsi="宋体"/>
          <w:color w:val="auto"/>
          <w:szCs w:val="21"/>
          <w:highlight w:val="none"/>
        </w:rPr>
        <w:t>7-2</w:t>
      </w:r>
      <w:r>
        <w:rPr>
          <w:rFonts w:ascii="宋体" w:hAnsi="宋体"/>
          <w:color w:val="auto"/>
          <w:szCs w:val="21"/>
          <w:highlight w:val="none"/>
        </w:rPr>
        <w:t>）。</w:t>
      </w:r>
    </w:p>
    <w:p w14:paraId="75F43C29">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 xml:space="preserve">第十三条  </w:t>
      </w:r>
      <w:r>
        <w:rPr>
          <w:rFonts w:ascii="宋体" w:hAnsi="宋体"/>
          <w:color w:val="auto"/>
          <w:szCs w:val="21"/>
          <w:highlight w:val="none"/>
        </w:rPr>
        <w:t>安全生产管理必须横向到边、纵向到底，坚持时时、月月、年年管理。公司安全办和现场代表每天进行安全巡查；公司安全办每月组织一次拉网式检查；每季度由分管领导带队，进行一次安全大检查；</w:t>
      </w:r>
      <w:r>
        <w:rPr>
          <w:rFonts w:ascii="宋体" w:hAnsi="宋体"/>
          <w:color w:val="auto"/>
          <w:kern w:val="0"/>
          <w:szCs w:val="21"/>
          <w:highlight w:val="none"/>
        </w:rPr>
        <w:t>公司每季度召开一次安全生产工作会，年底召开安全生产工作总结大会。</w:t>
      </w:r>
    </w:p>
    <w:p w14:paraId="3FA88A1C">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 xml:space="preserve">第十四条  </w:t>
      </w:r>
      <w:r>
        <w:rPr>
          <w:rFonts w:ascii="宋体" w:hAnsi="宋体"/>
          <w:color w:val="auto"/>
          <w:kern w:val="0"/>
          <w:szCs w:val="21"/>
          <w:highlight w:val="none"/>
        </w:rPr>
        <w:t>公司安全办应加强与区安全生产、建设主管部门的沟通联系，不定期地开展安全联合大检查。</w:t>
      </w:r>
    </w:p>
    <w:p w14:paraId="130C5DC5">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 xml:space="preserve">第十五条  </w:t>
      </w:r>
      <w:r>
        <w:rPr>
          <w:rFonts w:ascii="宋体" w:hAnsi="宋体"/>
          <w:color w:val="auto"/>
          <w:kern w:val="0"/>
          <w:szCs w:val="21"/>
          <w:highlight w:val="none"/>
        </w:rPr>
        <w:t>公司负责安全</w:t>
      </w:r>
      <w:r>
        <w:rPr>
          <w:rFonts w:hint="eastAsia" w:ascii="宋体" w:hAnsi="宋体"/>
          <w:color w:val="auto"/>
          <w:kern w:val="0"/>
          <w:szCs w:val="21"/>
          <w:highlight w:val="none"/>
        </w:rPr>
        <w:t>工作的</w:t>
      </w:r>
      <w:r>
        <w:rPr>
          <w:rFonts w:ascii="宋体" w:hAnsi="宋体"/>
          <w:color w:val="auto"/>
          <w:kern w:val="0"/>
          <w:szCs w:val="21"/>
          <w:highlight w:val="none"/>
        </w:rPr>
        <w:t>部门</w:t>
      </w:r>
      <w:r>
        <w:rPr>
          <w:rFonts w:ascii="宋体" w:hAnsi="宋体"/>
          <w:color w:val="auto"/>
          <w:szCs w:val="21"/>
          <w:highlight w:val="none"/>
        </w:rPr>
        <w:t>应不定期地对各个工地进行明察暗访，及时了解各项目安全生产情况，并对存在的安全隐患和管理问题进行督促整改。</w:t>
      </w:r>
    </w:p>
    <w:p w14:paraId="460148F7">
      <w:pPr>
        <w:overflowPunct w:val="0"/>
        <w:autoSpaceDE w:val="0"/>
        <w:autoSpaceDN w:val="0"/>
        <w:adjustRightInd w:val="0"/>
        <w:snapToGrid w:val="0"/>
        <w:spacing w:line="420" w:lineRule="exact"/>
        <w:ind w:firstLine="422" w:firstLineChars="200"/>
        <w:jc w:val="center"/>
        <w:rPr>
          <w:rFonts w:ascii="宋体" w:hAnsi="宋体"/>
          <w:b/>
          <w:color w:val="auto"/>
          <w:szCs w:val="21"/>
          <w:highlight w:val="none"/>
        </w:rPr>
      </w:pPr>
      <w:r>
        <w:rPr>
          <w:rFonts w:ascii="宋体" w:hAnsi="宋体"/>
          <w:b/>
          <w:color w:val="auto"/>
          <w:szCs w:val="21"/>
          <w:highlight w:val="none"/>
        </w:rPr>
        <w:t>第五章</w:t>
      </w:r>
      <w:r>
        <w:rPr>
          <w:rFonts w:hint="eastAsia" w:ascii="宋体" w:hAnsi="宋体"/>
          <w:b/>
          <w:color w:val="auto"/>
          <w:szCs w:val="21"/>
          <w:highlight w:val="none"/>
        </w:rPr>
        <w:t xml:space="preserve">  </w:t>
      </w:r>
      <w:r>
        <w:rPr>
          <w:rFonts w:ascii="宋体" w:hAnsi="宋体"/>
          <w:b/>
          <w:color w:val="auto"/>
          <w:szCs w:val="21"/>
          <w:highlight w:val="none"/>
        </w:rPr>
        <w:t>安全生产的责任追究</w:t>
      </w:r>
    </w:p>
    <w:p w14:paraId="3BCD6ABB">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第十六条</w:t>
      </w:r>
      <w:r>
        <w:rPr>
          <w:rFonts w:hint="eastAsia" w:ascii="宋体" w:hAnsi="宋体"/>
          <w:color w:val="auto"/>
          <w:szCs w:val="21"/>
          <w:highlight w:val="none"/>
        </w:rPr>
        <w:t xml:space="preserve">  </w:t>
      </w:r>
      <w:r>
        <w:rPr>
          <w:rFonts w:ascii="宋体" w:hAnsi="宋体"/>
          <w:color w:val="auto"/>
          <w:szCs w:val="21"/>
          <w:highlight w:val="none"/>
        </w:rPr>
        <w:t>若承包单位和监理单位未按照合同履行好安全生产职责，公司应按照本办法附件</w:t>
      </w:r>
      <w:r>
        <w:rPr>
          <w:rFonts w:hint="eastAsia" w:ascii="宋体" w:hAnsi="宋体"/>
          <w:color w:val="auto"/>
          <w:szCs w:val="21"/>
          <w:highlight w:val="none"/>
        </w:rPr>
        <w:t>7-1</w:t>
      </w:r>
      <w:r>
        <w:rPr>
          <w:rFonts w:ascii="宋体" w:hAnsi="宋体"/>
          <w:color w:val="auto"/>
          <w:szCs w:val="21"/>
          <w:highlight w:val="none"/>
        </w:rPr>
        <w:t>的规定和合同约定追究违约责任。其中，在主管部门或区级其他相关部门组织的大检查中被通报批评的项目，处以施工单位违约金20000元，监理单位违约金10000元；在区级大检查中被通报批评的项目，处以施工单位违约金10000元，监理单位违约金5000元；在公司拉网式大检查中被通报批评的项目，处以施工单位违约金5000元，监理单位违约金3000元。</w:t>
      </w:r>
    </w:p>
    <w:p w14:paraId="37C19CC2">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第十七条</w:t>
      </w:r>
      <w:r>
        <w:rPr>
          <w:rFonts w:hint="eastAsia" w:ascii="宋体" w:hAnsi="宋体"/>
          <w:color w:val="auto"/>
          <w:szCs w:val="21"/>
          <w:highlight w:val="none"/>
        </w:rPr>
        <w:t xml:space="preserve">  </w:t>
      </w:r>
      <w:r>
        <w:rPr>
          <w:rFonts w:ascii="宋体" w:hAnsi="宋体"/>
          <w:color w:val="auto"/>
          <w:szCs w:val="21"/>
          <w:highlight w:val="none"/>
        </w:rPr>
        <w:t>施工现场存在重大安全隐患，必须停工限期整改。对拒不整改的，上报建设行政主管部门予以处理。</w:t>
      </w:r>
    </w:p>
    <w:p w14:paraId="32C07E4D">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第十八条</w:t>
      </w:r>
      <w:r>
        <w:rPr>
          <w:rFonts w:hint="eastAsia" w:ascii="宋体" w:hAnsi="宋体"/>
          <w:color w:val="auto"/>
          <w:szCs w:val="21"/>
          <w:highlight w:val="none"/>
        </w:rPr>
        <w:t xml:space="preserve">  </w:t>
      </w:r>
      <w:r>
        <w:rPr>
          <w:rFonts w:ascii="宋体" w:hAnsi="宋体"/>
          <w:color w:val="auto"/>
          <w:szCs w:val="21"/>
          <w:highlight w:val="none"/>
        </w:rPr>
        <w:t>承担违约责任的单位，在接到违约责任通知单后7日内将违约金缴至公司财务部门。如超过期限</w:t>
      </w:r>
      <w:r>
        <w:rPr>
          <w:rFonts w:hint="eastAsia" w:ascii="宋体" w:hAnsi="宋体"/>
          <w:color w:val="auto"/>
          <w:szCs w:val="21"/>
          <w:highlight w:val="none"/>
        </w:rPr>
        <w:t>未缴纳违约金</w:t>
      </w:r>
      <w:r>
        <w:rPr>
          <w:rFonts w:ascii="宋体" w:hAnsi="宋体"/>
          <w:color w:val="auto"/>
          <w:szCs w:val="21"/>
          <w:highlight w:val="none"/>
        </w:rPr>
        <w:t>，公司将从工程计量支付款或监理服务费中扣除，或暂缓支付进度款。</w:t>
      </w:r>
    </w:p>
    <w:p w14:paraId="4430BA48">
      <w:pPr>
        <w:overflowPunct w:val="0"/>
        <w:autoSpaceDE w:val="0"/>
        <w:autoSpaceDN w:val="0"/>
        <w:adjustRightInd w:val="0"/>
        <w:snapToGrid w:val="0"/>
        <w:spacing w:line="420" w:lineRule="exact"/>
        <w:ind w:firstLine="420" w:firstLineChars="200"/>
        <w:rPr>
          <w:rFonts w:ascii="宋体" w:hAnsi="宋体"/>
          <w:b/>
          <w:color w:val="auto"/>
          <w:szCs w:val="21"/>
          <w:highlight w:val="none"/>
        </w:rPr>
      </w:pPr>
      <w:r>
        <w:rPr>
          <w:rFonts w:hint="eastAsia" w:ascii="宋体" w:hAnsi="宋体"/>
          <w:color w:val="auto"/>
          <w:kern w:val="0"/>
          <w:szCs w:val="21"/>
          <w:highlight w:val="none"/>
        </w:rPr>
        <w:t>第十九条</w:t>
      </w:r>
      <w:r>
        <w:rPr>
          <w:rFonts w:hint="eastAsia" w:ascii="宋体" w:hAnsi="宋体"/>
          <w:color w:val="auto"/>
          <w:szCs w:val="21"/>
          <w:highlight w:val="none"/>
        </w:rPr>
        <w:t xml:space="preserve">  </w:t>
      </w:r>
      <w:r>
        <w:rPr>
          <w:rFonts w:ascii="宋体" w:hAnsi="宋体"/>
          <w:color w:val="auto"/>
          <w:szCs w:val="21"/>
          <w:highlight w:val="none"/>
        </w:rPr>
        <w:t>对公司安全办、安全管理人员、现场代表和其它相关部门、人员在安全生产监督管理工作中涉及的失职渎职、徇私舞弊等行为，</w:t>
      </w:r>
      <w:r>
        <w:rPr>
          <w:rFonts w:ascii="宋体" w:hAnsi="宋体"/>
          <w:color w:val="auto"/>
          <w:kern w:val="0"/>
          <w:szCs w:val="21"/>
          <w:highlight w:val="none"/>
        </w:rPr>
        <w:t>公司综合部门</w:t>
      </w:r>
      <w:r>
        <w:rPr>
          <w:rFonts w:ascii="宋体" w:hAnsi="宋体"/>
          <w:color w:val="auto"/>
          <w:szCs w:val="21"/>
          <w:highlight w:val="none"/>
        </w:rPr>
        <w:t>应严格进行责任追究，对责任人予以组织处理、经济处罚和纪律处分，涉嫌犯罪的，移交司法机关依法处理。</w:t>
      </w:r>
    </w:p>
    <w:p w14:paraId="24CAE229">
      <w:pPr>
        <w:overflowPunct w:val="0"/>
        <w:autoSpaceDE w:val="0"/>
        <w:autoSpaceDN w:val="0"/>
        <w:adjustRightInd w:val="0"/>
        <w:snapToGrid w:val="0"/>
        <w:spacing w:line="420" w:lineRule="exact"/>
        <w:ind w:firstLine="422" w:firstLineChars="200"/>
        <w:jc w:val="center"/>
        <w:rPr>
          <w:rFonts w:ascii="宋体" w:hAnsi="宋体"/>
          <w:b/>
          <w:color w:val="auto"/>
          <w:szCs w:val="21"/>
          <w:highlight w:val="none"/>
        </w:rPr>
      </w:pPr>
      <w:r>
        <w:rPr>
          <w:rFonts w:ascii="宋体" w:hAnsi="宋体"/>
          <w:b/>
          <w:color w:val="auto"/>
          <w:szCs w:val="21"/>
          <w:highlight w:val="none"/>
        </w:rPr>
        <w:t>第</w:t>
      </w:r>
      <w:r>
        <w:rPr>
          <w:rFonts w:hint="eastAsia" w:ascii="宋体" w:hAnsi="宋体"/>
          <w:b/>
          <w:color w:val="auto"/>
          <w:szCs w:val="21"/>
          <w:highlight w:val="none"/>
        </w:rPr>
        <w:t>六</w:t>
      </w:r>
      <w:r>
        <w:rPr>
          <w:rFonts w:ascii="宋体" w:hAnsi="宋体"/>
          <w:b/>
          <w:color w:val="auto"/>
          <w:szCs w:val="21"/>
          <w:highlight w:val="none"/>
        </w:rPr>
        <w:t>章</w:t>
      </w:r>
      <w:r>
        <w:rPr>
          <w:rFonts w:hint="eastAsia" w:ascii="宋体" w:hAnsi="宋体"/>
          <w:b/>
          <w:color w:val="auto"/>
          <w:szCs w:val="21"/>
          <w:highlight w:val="none"/>
        </w:rPr>
        <w:t xml:space="preserve">  </w:t>
      </w:r>
      <w:r>
        <w:rPr>
          <w:rFonts w:ascii="宋体" w:hAnsi="宋体"/>
          <w:b/>
          <w:color w:val="auto"/>
          <w:szCs w:val="21"/>
          <w:highlight w:val="none"/>
        </w:rPr>
        <w:t>附</w:t>
      </w:r>
      <w:r>
        <w:rPr>
          <w:rFonts w:hint="eastAsia" w:ascii="宋体" w:hAnsi="宋体"/>
          <w:b/>
          <w:color w:val="auto"/>
          <w:szCs w:val="21"/>
          <w:highlight w:val="none"/>
        </w:rPr>
        <w:t xml:space="preserve">  </w:t>
      </w:r>
      <w:r>
        <w:rPr>
          <w:rFonts w:ascii="宋体" w:hAnsi="宋体"/>
          <w:b/>
          <w:color w:val="auto"/>
          <w:szCs w:val="21"/>
          <w:highlight w:val="none"/>
        </w:rPr>
        <w:t>则</w:t>
      </w:r>
    </w:p>
    <w:p w14:paraId="51893AF7">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第二十条</w:t>
      </w:r>
      <w:r>
        <w:rPr>
          <w:rFonts w:hint="eastAsia" w:ascii="宋体" w:hAnsi="宋体"/>
          <w:color w:val="auto"/>
          <w:szCs w:val="21"/>
          <w:highlight w:val="none"/>
        </w:rPr>
        <w:t xml:space="preserve">  </w:t>
      </w:r>
      <w:r>
        <w:rPr>
          <w:rFonts w:ascii="宋体" w:hAnsi="宋体"/>
          <w:color w:val="auto"/>
          <w:szCs w:val="21"/>
          <w:highlight w:val="none"/>
        </w:rPr>
        <w:t>本办法自发布之日起</w:t>
      </w:r>
      <w:r>
        <w:rPr>
          <w:rFonts w:hint="eastAsia" w:ascii="宋体" w:hAnsi="宋体"/>
          <w:color w:val="auto"/>
          <w:szCs w:val="21"/>
          <w:highlight w:val="none"/>
        </w:rPr>
        <w:t>实施</w:t>
      </w:r>
      <w:r>
        <w:rPr>
          <w:rFonts w:ascii="宋体" w:hAnsi="宋体"/>
          <w:color w:val="auto"/>
          <w:szCs w:val="21"/>
          <w:highlight w:val="none"/>
        </w:rPr>
        <w:t>。</w:t>
      </w:r>
    </w:p>
    <w:p w14:paraId="1A80BAD8">
      <w:pPr>
        <w:overflowPunct w:val="0"/>
        <w:autoSpaceDE w:val="0"/>
        <w:autoSpaceDN w:val="0"/>
        <w:adjustRightInd w:val="0"/>
        <w:snapToGrid w:val="0"/>
        <w:spacing w:line="420" w:lineRule="exact"/>
        <w:ind w:firstLine="420" w:firstLineChars="200"/>
        <w:rPr>
          <w:rFonts w:ascii="宋体" w:hAnsi="宋体"/>
          <w:color w:val="auto"/>
          <w:szCs w:val="21"/>
          <w:highlight w:val="none"/>
        </w:rPr>
      </w:pPr>
    </w:p>
    <w:p w14:paraId="05CFD639">
      <w:pPr>
        <w:spacing w:line="440" w:lineRule="exact"/>
        <w:outlineLvl w:val="2"/>
        <w:rPr>
          <w:rFonts w:hint="eastAsia" w:ascii="宋体" w:hAnsi="宋体"/>
          <w:color w:val="auto"/>
          <w:sz w:val="24"/>
          <w:highlight w:val="none"/>
        </w:rPr>
      </w:pPr>
      <w:bookmarkStart w:id="693" w:name="_Toc296891059"/>
      <w:bookmarkStart w:id="694" w:name="_Toc296891271"/>
      <w:bookmarkStart w:id="695" w:name="_Toc296347230"/>
      <w:bookmarkStart w:id="696" w:name="_Toc296346732"/>
      <w:bookmarkStart w:id="697" w:name="_Toc296944570"/>
      <w:bookmarkStart w:id="698" w:name="_Toc296503231"/>
    </w:p>
    <w:p w14:paraId="01518F15">
      <w:pPr>
        <w:spacing w:line="440" w:lineRule="exact"/>
        <w:outlineLvl w:val="2"/>
        <w:rPr>
          <w:rFonts w:hint="eastAsia" w:ascii="宋体" w:hAnsi="宋体"/>
          <w:color w:val="auto"/>
          <w:sz w:val="24"/>
          <w:highlight w:val="none"/>
        </w:rPr>
      </w:pPr>
    </w:p>
    <w:p w14:paraId="30E57AEA">
      <w:pPr>
        <w:spacing w:line="440" w:lineRule="exact"/>
        <w:outlineLvl w:val="2"/>
        <w:rPr>
          <w:rFonts w:hint="eastAsia" w:ascii="宋体" w:hAnsi="宋体"/>
          <w:color w:val="auto"/>
          <w:sz w:val="24"/>
          <w:highlight w:val="none"/>
        </w:rPr>
      </w:pPr>
    </w:p>
    <w:p w14:paraId="20C79C75">
      <w:pPr>
        <w:spacing w:line="440" w:lineRule="exact"/>
        <w:outlineLvl w:val="2"/>
        <w:rPr>
          <w:rFonts w:hint="eastAsia" w:ascii="宋体" w:hAnsi="宋体"/>
          <w:color w:val="auto"/>
          <w:sz w:val="24"/>
          <w:highlight w:val="none"/>
        </w:rPr>
      </w:pPr>
    </w:p>
    <w:p w14:paraId="335D59DB">
      <w:pPr>
        <w:spacing w:line="440" w:lineRule="exact"/>
        <w:outlineLvl w:val="2"/>
        <w:rPr>
          <w:rFonts w:hint="eastAsia" w:ascii="宋体" w:hAnsi="宋体"/>
          <w:color w:val="auto"/>
          <w:sz w:val="24"/>
          <w:highlight w:val="none"/>
        </w:rPr>
      </w:pPr>
    </w:p>
    <w:p w14:paraId="59A6C37A">
      <w:pPr>
        <w:spacing w:line="440" w:lineRule="exact"/>
        <w:outlineLvl w:val="2"/>
        <w:rPr>
          <w:rFonts w:hint="eastAsia" w:ascii="宋体" w:hAnsi="宋体"/>
          <w:color w:val="auto"/>
          <w:sz w:val="24"/>
          <w:highlight w:val="none"/>
        </w:rPr>
      </w:pPr>
    </w:p>
    <w:p w14:paraId="664BF5ED">
      <w:pPr>
        <w:spacing w:line="440" w:lineRule="exact"/>
        <w:outlineLvl w:val="2"/>
        <w:rPr>
          <w:rFonts w:hint="eastAsia" w:ascii="宋体" w:hAnsi="宋体"/>
          <w:color w:val="auto"/>
          <w:sz w:val="24"/>
          <w:highlight w:val="none"/>
        </w:rPr>
      </w:pPr>
    </w:p>
    <w:p w14:paraId="28ECEFDE">
      <w:pPr>
        <w:spacing w:line="440" w:lineRule="exact"/>
        <w:outlineLvl w:val="2"/>
        <w:rPr>
          <w:rFonts w:hint="eastAsia" w:ascii="宋体" w:hAnsi="宋体"/>
          <w:color w:val="auto"/>
          <w:sz w:val="24"/>
          <w:highlight w:val="none"/>
        </w:rPr>
      </w:pPr>
    </w:p>
    <w:p w14:paraId="17876CD5">
      <w:pPr>
        <w:spacing w:line="440" w:lineRule="exact"/>
        <w:outlineLvl w:val="2"/>
        <w:rPr>
          <w:rFonts w:hint="eastAsia" w:ascii="宋体" w:hAnsi="宋体"/>
          <w:color w:val="auto"/>
          <w:sz w:val="24"/>
          <w:highlight w:val="none"/>
        </w:rPr>
      </w:pPr>
    </w:p>
    <w:bookmarkEnd w:id="693"/>
    <w:bookmarkEnd w:id="694"/>
    <w:bookmarkEnd w:id="695"/>
    <w:bookmarkEnd w:id="696"/>
    <w:bookmarkEnd w:id="697"/>
    <w:bookmarkEnd w:id="698"/>
    <w:p w14:paraId="44E06423">
      <w:pPr>
        <w:overflowPunct w:val="0"/>
        <w:autoSpaceDE w:val="0"/>
        <w:autoSpaceDN w:val="0"/>
        <w:adjustRightInd w:val="0"/>
        <w:snapToGrid w:val="0"/>
        <w:spacing w:line="420" w:lineRule="exact"/>
        <w:outlineLvl w:val="3"/>
        <w:rPr>
          <w:rFonts w:ascii="宋体" w:hAnsi="宋体"/>
          <w:color w:val="auto"/>
          <w:szCs w:val="21"/>
          <w:highlight w:val="none"/>
        </w:rPr>
      </w:pPr>
      <w:r>
        <w:rPr>
          <w:rFonts w:hint="eastAsia" w:ascii="宋体" w:hAnsi="宋体"/>
          <w:bCs/>
          <w:color w:val="auto"/>
          <w:sz w:val="24"/>
          <w:highlight w:val="none"/>
        </w:rPr>
        <w:t>附录7-1   公司安全生产违约处罚标准</w:t>
      </w:r>
    </w:p>
    <w:p w14:paraId="7F5746EC">
      <w:pPr>
        <w:overflowPunct w:val="0"/>
        <w:autoSpaceDE w:val="0"/>
        <w:autoSpaceDN w:val="0"/>
        <w:adjustRightInd w:val="0"/>
        <w:snapToGrid w:val="0"/>
        <w:spacing w:line="320" w:lineRule="exact"/>
        <w:rPr>
          <w:rFonts w:ascii="宋体" w:hAnsi="宋体"/>
          <w:color w:val="auto"/>
          <w:szCs w:val="21"/>
          <w:highlight w:val="none"/>
        </w:rPr>
      </w:pPr>
    </w:p>
    <w:p w14:paraId="6FC915A8">
      <w:pPr>
        <w:spacing w:line="360" w:lineRule="auto"/>
        <w:jc w:val="center"/>
        <w:rPr>
          <w:rFonts w:ascii="宋体" w:hAnsi="宋体"/>
          <w:b/>
          <w:color w:val="auto"/>
          <w:szCs w:val="21"/>
          <w:highlight w:val="none"/>
        </w:rPr>
      </w:pPr>
      <w:r>
        <w:rPr>
          <w:rFonts w:ascii="宋体" w:hAnsi="宋体"/>
          <w:b/>
          <w:color w:val="auto"/>
          <w:szCs w:val="21"/>
          <w:highlight w:val="none"/>
        </w:rPr>
        <w:t>监理人质量安全履责行为违约金处罚标准</w:t>
      </w:r>
    </w:p>
    <w:tbl>
      <w:tblPr>
        <w:tblStyle w:val="20"/>
        <w:tblW w:w="9679" w:type="dxa"/>
        <w:jc w:val="center"/>
        <w:tblLayout w:type="fixed"/>
        <w:tblCellMar>
          <w:top w:w="0" w:type="dxa"/>
          <w:left w:w="108" w:type="dxa"/>
          <w:bottom w:w="0" w:type="dxa"/>
          <w:right w:w="108" w:type="dxa"/>
        </w:tblCellMar>
      </w:tblPr>
      <w:tblGrid>
        <w:gridCol w:w="589"/>
        <w:gridCol w:w="1374"/>
        <w:gridCol w:w="4395"/>
        <w:gridCol w:w="2471"/>
        <w:gridCol w:w="850"/>
      </w:tblGrid>
      <w:tr w14:paraId="45BEDB7B">
        <w:tblPrEx>
          <w:tblCellMar>
            <w:top w:w="0" w:type="dxa"/>
            <w:left w:w="108" w:type="dxa"/>
            <w:bottom w:w="0" w:type="dxa"/>
            <w:right w:w="108" w:type="dxa"/>
          </w:tblCellMar>
        </w:tblPrEx>
        <w:trPr>
          <w:tblHeader/>
          <w:jc w:val="center"/>
        </w:trPr>
        <w:tc>
          <w:tcPr>
            <w:tcW w:w="1963" w:type="dxa"/>
            <w:gridSpan w:val="2"/>
            <w:tcBorders>
              <w:top w:val="single" w:color="auto" w:sz="4" w:space="0"/>
              <w:left w:val="single" w:color="auto" w:sz="4" w:space="0"/>
              <w:bottom w:val="single" w:color="auto" w:sz="4" w:space="0"/>
              <w:right w:val="single" w:color="000000" w:sz="4" w:space="0"/>
            </w:tcBorders>
            <w:noWrap w:val="0"/>
            <w:vAlign w:val="center"/>
          </w:tcPr>
          <w:p w14:paraId="5678C1B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事项</w:t>
            </w:r>
          </w:p>
        </w:tc>
        <w:tc>
          <w:tcPr>
            <w:tcW w:w="4395" w:type="dxa"/>
            <w:tcBorders>
              <w:top w:val="single" w:color="auto" w:sz="4" w:space="0"/>
              <w:left w:val="nil"/>
              <w:bottom w:val="single" w:color="auto" w:sz="4" w:space="0"/>
              <w:right w:val="single" w:color="auto" w:sz="4" w:space="0"/>
            </w:tcBorders>
            <w:noWrap w:val="0"/>
            <w:vAlign w:val="center"/>
          </w:tcPr>
          <w:p w14:paraId="6C10901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违约情形</w:t>
            </w:r>
          </w:p>
        </w:tc>
        <w:tc>
          <w:tcPr>
            <w:tcW w:w="2471" w:type="dxa"/>
            <w:tcBorders>
              <w:top w:val="single" w:color="auto" w:sz="4" w:space="0"/>
              <w:left w:val="nil"/>
              <w:bottom w:val="single" w:color="auto" w:sz="4" w:space="0"/>
              <w:right w:val="single" w:color="auto" w:sz="4" w:space="0"/>
            </w:tcBorders>
            <w:noWrap w:val="0"/>
            <w:vAlign w:val="center"/>
          </w:tcPr>
          <w:p w14:paraId="66593D0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每次违约处罚标准（以签约合同价为基数计算）</w:t>
            </w:r>
          </w:p>
        </w:tc>
        <w:tc>
          <w:tcPr>
            <w:tcW w:w="850" w:type="dxa"/>
            <w:tcBorders>
              <w:top w:val="single" w:color="auto" w:sz="4" w:space="0"/>
              <w:left w:val="nil"/>
              <w:bottom w:val="single" w:color="auto" w:sz="4" w:space="0"/>
              <w:right w:val="single" w:color="auto" w:sz="4" w:space="0"/>
            </w:tcBorders>
            <w:noWrap w:val="0"/>
            <w:vAlign w:val="center"/>
          </w:tcPr>
          <w:p w14:paraId="4CBCA92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7A66E50D">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noWrap w:val="0"/>
            <w:vAlign w:val="center"/>
          </w:tcPr>
          <w:p w14:paraId="135EC8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质量控制履责</w:t>
            </w:r>
          </w:p>
        </w:tc>
        <w:tc>
          <w:tcPr>
            <w:tcW w:w="1374" w:type="dxa"/>
            <w:vMerge w:val="restart"/>
            <w:tcBorders>
              <w:top w:val="nil"/>
              <w:left w:val="single" w:color="auto" w:sz="4" w:space="0"/>
              <w:bottom w:val="single" w:color="000000" w:sz="4" w:space="0"/>
              <w:right w:val="single" w:color="auto" w:sz="4" w:space="0"/>
            </w:tcBorders>
            <w:noWrap w:val="0"/>
            <w:vAlign w:val="center"/>
          </w:tcPr>
          <w:p w14:paraId="31D5EA7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开工审批</w:t>
            </w:r>
          </w:p>
        </w:tc>
        <w:tc>
          <w:tcPr>
            <w:tcW w:w="4395" w:type="dxa"/>
            <w:tcBorders>
              <w:top w:val="nil"/>
              <w:left w:val="nil"/>
              <w:bottom w:val="single" w:color="auto" w:sz="4" w:space="0"/>
              <w:right w:val="single" w:color="auto" w:sz="4" w:space="0"/>
            </w:tcBorders>
            <w:noWrap w:val="0"/>
            <w:vAlign w:val="center"/>
          </w:tcPr>
          <w:p w14:paraId="795F333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未审查开工报审资料</w:t>
            </w:r>
          </w:p>
        </w:tc>
        <w:tc>
          <w:tcPr>
            <w:tcW w:w="2471" w:type="dxa"/>
            <w:tcBorders>
              <w:top w:val="nil"/>
              <w:left w:val="nil"/>
              <w:bottom w:val="single" w:color="auto" w:sz="4" w:space="0"/>
              <w:right w:val="single" w:color="auto" w:sz="4" w:space="0"/>
            </w:tcBorders>
            <w:noWrap w:val="0"/>
            <w:vAlign w:val="center"/>
          </w:tcPr>
          <w:p w14:paraId="24E32E0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486159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61F49A5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C52C61B">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2F94ED1D">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33E91FB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未留存开工报审资料和无明确审查意见</w:t>
            </w:r>
          </w:p>
        </w:tc>
        <w:tc>
          <w:tcPr>
            <w:tcW w:w="2471" w:type="dxa"/>
            <w:tcBorders>
              <w:top w:val="nil"/>
              <w:left w:val="nil"/>
              <w:bottom w:val="single" w:color="auto" w:sz="4" w:space="0"/>
              <w:right w:val="single" w:color="auto" w:sz="4" w:space="0"/>
            </w:tcBorders>
            <w:noWrap w:val="0"/>
            <w:vAlign w:val="center"/>
          </w:tcPr>
          <w:p w14:paraId="2D6BD4A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0.25‰-0.5‰</w:t>
            </w:r>
          </w:p>
        </w:tc>
        <w:tc>
          <w:tcPr>
            <w:tcW w:w="850" w:type="dxa"/>
            <w:tcBorders>
              <w:top w:val="nil"/>
              <w:left w:val="nil"/>
              <w:bottom w:val="single" w:color="auto" w:sz="4" w:space="0"/>
              <w:right w:val="single" w:color="auto" w:sz="4" w:space="0"/>
            </w:tcBorders>
            <w:noWrap w:val="0"/>
            <w:vAlign w:val="center"/>
          </w:tcPr>
          <w:p w14:paraId="6A4EA664">
            <w:pPr>
              <w:widowControl/>
              <w:spacing w:line="400" w:lineRule="exact"/>
              <w:jc w:val="center"/>
              <w:rPr>
                <w:rFonts w:ascii="宋体" w:hAnsi="宋体" w:cs="宋体"/>
                <w:color w:val="auto"/>
                <w:kern w:val="0"/>
                <w:szCs w:val="21"/>
                <w:highlight w:val="none"/>
              </w:rPr>
            </w:pPr>
          </w:p>
        </w:tc>
      </w:tr>
      <w:tr w14:paraId="0060570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EB511DB">
            <w:pPr>
              <w:widowControl/>
              <w:spacing w:line="400" w:lineRule="exact"/>
              <w:jc w:val="left"/>
              <w:rPr>
                <w:rFonts w:ascii="宋体" w:hAnsi="宋体" w:cs="宋体"/>
                <w:color w:val="auto"/>
                <w:kern w:val="0"/>
                <w:szCs w:val="21"/>
                <w:highlight w:val="none"/>
              </w:rPr>
            </w:pPr>
          </w:p>
        </w:tc>
        <w:tc>
          <w:tcPr>
            <w:tcW w:w="1374" w:type="dxa"/>
            <w:vMerge w:val="restart"/>
            <w:tcBorders>
              <w:top w:val="nil"/>
              <w:left w:val="single" w:color="auto" w:sz="4" w:space="0"/>
              <w:bottom w:val="nil"/>
              <w:right w:val="single" w:color="auto" w:sz="4" w:space="0"/>
            </w:tcBorders>
            <w:noWrap w:val="0"/>
            <w:vAlign w:val="center"/>
          </w:tcPr>
          <w:p w14:paraId="441511D7">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审查施工组织设计和施工方案</w:t>
            </w:r>
          </w:p>
        </w:tc>
        <w:tc>
          <w:tcPr>
            <w:tcW w:w="4395" w:type="dxa"/>
            <w:tcBorders>
              <w:top w:val="nil"/>
              <w:left w:val="nil"/>
              <w:bottom w:val="single" w:color="auto" w:sz="4" w:space="0"/>
              <w:right w:val="single" w:color="auto" w:sz="4" w:space="0"/>
            </w:tcBorders>
            <w:noWrap w:val="0"/>
            <w:vAlign w:val="center"/>
          </w:tcPr>
          <w:p w14:paraId="41410A8C">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未审查施工组织设计及专项方案</w:t>
            </w:r>
          </w:p>
        </w:tc>
        <w:tc>
          <w:tcPr>
            <w:tcW w:w="2471" w:type="dxa"/>
            <w:tcBorders>
              <w:top w:val="nil"/>
              <w:left w:val="nil"/>
              <w:bottom w:val="single" w:color="auto" w:sz="4" w:space="0"/>
              <w:right w:val="single" w:color="auto" w:sz="4" w:space="0"/>
            </w:tcBorders>
            <w:noWrap w:val="0"/>
            <w:vAlign w:val="center"/>
          </w:tcPr>
          <w:p w14:paraId="2DA53F38">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5CA85DA8">
            <w:pPr>
              <w:widowControl/>
              <w:spacing w:line="400" w:lineRule="exact"/>
              <w:jc w:val="center"/>
              <w:rPr>
                <w:rFonts w:ascii="宋体" w:hAnsi="宋体" w:cs="宋体"/>
                <w:color w:val="auto"/>
                <w:kern w:val="0"/>
                <w:szCs w:val="21"/>
                <w:highlight w:val="none"/>
              </w:rPr>
            </w:pPr>
          </w:p>
        </w:tc>
      </w:tr>
      <w:tr w14:paraId="73FF6D3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6F6381C2">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nil"/>
              <w:right w:val="single" w:color="auto" w:sz="4" w:space="0"/>
            </w:tcBorders>
            <w:noWrap w:val="0"/>
            <w:vAlign w:val="center"/>
          </w:tcPr>
          <w:p w14:paraId="124C70F8">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21973FF6">
            <w:pPr>
              <w:spacing w:line="400" w:lineRule="exact"/>
              <w:rPr>
                <w:rFonts w:ascii="宋体" w:hAnsi="宋体" w:cs="宋体"/>
                <w:color w:val="auto"/>
                <w:szCs w:val="21"/>
                <w:highlight w:val="none"/>
              </w:rPr>
            </w:pPr>
            <w:r>
              <w:rPr>
                <w:rFonts w:hint="eastAsia" w:ascii="宋体" w:hAnsi="宋体"/>
                <w:color w:val="auto"/>
                <w:szCs w:val="21"/>
                <w:highlight w:val="none"/>
              </w:rPr>
              <w:t>未识别是否符合强制性标准</w:t>
            </w:r>
          </w:p>
        </w:tc>
        <w:tc>
          <w:tcPr>
            <w:tcW w:w="2471" w:type="dxa"/>
            <w:tcBorders>
              <w:top w:val="nil"/>
              <w:left w:val="nil"/>
              <w:bottom w:val="single" w:color="auto" w:sz="4" w:space="0"/>
              <w:right w:val="single" w:color="auto" w:sz="4" w:space="0"/>
            </w:tcBorders>
            <w:noWrap w:val="0"/>
            <w:vAlign w:val="center"/>
          </w:tcPr>
          <w:p w14:paraId="2650C7CF">
            <w:pPr>
              <w:spacing w:line="400" w:lineRule="exact"/>
              <w:rPr>
                <w:rFonts w:ascii="宋体" w:hAnsi="宋体" w:cs="宋体"/>
                <w:color w:val="auto"/>
                <w:szCs w:val="21"/>
                <w:highlight w:val="none"/>
              </w:rPr>
            </w:pPr>
            <w:r>
              <w:rPr>
                <w:rFonts w:hint="eastAsia" w:ascii="宋体" w:hAnsi="宋体"/>
                <w:color w:val="auto"/>
                <w:szCs w:val="21"/>
                <w:highlight w:val="none"/>
              </w:rPr>
              <w:t>0.5‰-1‰</w:t>
            </w:r>
          </w:p>
        </w:tc>
        <w:tc>
          <w:tcPr>
            <w:tcW w:w="850" w:type="dxa"/>
            <w:tcBorders>
              <w:top w:val="nil"/>
              <w:left w:val="nil"/>
              <w:bottom w:val="single" w:color="auto" w:sz="4" w:space="0"/>
              <w:right w:val="single" w:color="auto" w:sz="4" w:space="0"/>
            </w:tcBorders>
            <w:noWrap w:val="0"/>
            <w:vAlign w:val="center"/>
          </w:tcPr>
          <w:p w14:paraId="6DF81FF9">
            <w:pPr>
              <w:widowControl/>
              <w:spacing w:line="400" w:lineRule="exact"/>
              <w:jc w:val="center"/>
              <w:rPr>
                <w:rFonts w:ascii="宋体" w:hAnsi="宋体" w:cs="宋体"/>
                <w:color w:val="auto"/>
                <w:kern w:val="0"/>
                <w:szCs w:val="21"/>
                <w:highlight w:val="none"/>
              </w:rPr>
            </w:pPr>
          </w:p>
        </w:tc>
      </w:tr>
      <w:tr w14:paraId="466A30EC">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5A2F0EA">
            <w:pPr>
              <w:widowControl/>
              <w:spacing w:line="400" w:lineRule="exact"/>
              <w:jc w:val="left"/>
              <w:rPr>
                <w:rFonts w:ascii="宋体" w:hAnsi="宋体" w:cs="宋体"/>
                <w:color w:val="auto"/>
                <w:kern w:val="0"/>
                <w:szCs w:val="21"/>
                <w:highlight w:val="none"/>
              </w:rPr>
            </w:pPr>
          </w:p>
        </w:tc>
        <w:tc>
          <w:tcPr>
            <w:tcW w:w="1374" w:type="dxa"/>
            <w:tcBorders>
              <w:top w:val="single" w:color="auto" w:sz="4" w:space="0"/>
              <w:left w:val="nil"/>
              <w:bottom w:val="single" w:color="auto" w:sz="4" w:space="0"/>
              <w:right w:val="single" w:color="auto" w:sz="4" w:space="0"/>
            </w:tcBorders>
            <w:noWrap w:val="0"/>
            <w:vAlign w:val="center"/>
          </w:tcPr>
          <w:p w14:paraId="7CF346B8">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审核区域单位</w:t>
            </w:r>
          </w:p>
        </w:tc>
        <w:tc>
          <w:tcPr>
            <w:tcW w:w="4395" w:type="dxa"/>
            <w:tcBorders>
              <w:top w:val="nil"/>
              <w:left w:val="nil"/>
              <w:bottom w:val="single" w:color="auto" w:sz="4" w:space="0"/>
              <w:right w:val="single" w:color="auto" w:sz="4" w:space="0"/>
            </w:tcBorders>
            <w:noWrap w:val="0"/>
            <w:vAlign w:val="center"/>
          </w:tcPr>
          <w:p w14:paraId="3981CE7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未审核施工单位报送的区域单位资格</w:t>
            </w:r>
          </w:p>
        </w:tc>
        <w:tc>
          <w:tcPr>
            <w:tcW w:w="2471" w:type="dxa"/>
            <w:tcBorders>
              <w:top w:val="nil"/>
              <w:left w:val="nil"/>
              <w:bottom w:val="single" w:color="auto" w:sz="4" w:space="0"/>
              <w:right w:val="single" w:color="auto" w:sz="4" w:space="0"/>
            </w:tcBorders>
            <w:noWrap w:val="0"/>
            <w:vAlign w:val="center"/>
          </w:tcPr>
          <w:p w14:paraId="07CD403C">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0F79742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08F20F18">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5AC846B2">
            <w:pPr>
              <w:widowControl/>
              <w:spacing w:line="400" w:lineRule="exact"/>
              <w:jc w:val="left"/>
              <w:rPr>
                <w:rFonts w:ascii="宋体" w:hAnsi="宋体" w:cs="宋体"/>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noWrap w:val="0"/>
            <w:vAlign w:val="center"/>
          </w:tcPr>
          <w:p w14:paraId="6449F8FF">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检查复核施工测量成果</w:t>
            </w:r>
          </w:p>
        </w:tc>
        <w:tc>
          <w:tcPr>
            <w:tcW w:w="4395" w:type="dxa"/>
            <w:tcBorders>
              <w:top w:val="nil"/>
              <w:left w:val="nil"/>
              <w:bottom w:val="single" w:color="auto" w:sz="4" w:space="0"/>
              <w:right w:val="single" w:color="auto" w:sz="4" w:space="0"/>
            </w:tcBorders>
            <w:noWrap w:val="0"/>
            <w:vAlign w:val="center"/>
          </w:tcPr>
          <w:p w14:paraId="65172B2E">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未检查、复核施工单位报审的测量人员资格或测量设备检定证书</w:t>
            </w:r>
          </w:p>
        </w:tc>
        <w:tc>
          <w:tcPr>
            <w:tcW w:w="2471" w:type="dxa"/>
            <w:tcBorders>
              <w:top w:val="nil"/>
              <w:left w:val="nil"/>
              <w:bottom w:val="single" w:color="auto" w:sz="4" w:space="0"/>
              <w:right w:val="single" w:color="auto" w:sz="4" w:space="0"/>
            </w:tcBorders>
            <w:noWrap w:val="0"/>
            <w:vAlign w:val="center"/>
          </w:tcPr>
          <w:p w14:paraId="3AB11D6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5F067FC7">
            <w:pPr>
              <w:widowControl/>
              <w:spacing w:line="400" w:lineRule="exact"/>
              <w:jc w:val="center"/>
              <w:rPr>
                <w:rFonts w:ascii="宋体" w:hAnsi="宋体" w:cs="宋体"/>
                <w:color w:val="auto"/>
                <w:kern w:val="0"/>
                <w:szCs w:val="21"/>
                <w:highlight w:val="none"/>
              </w:rPr>
            </w:pPr>
          </w:p>
        </w:tc>
      </w:tr>
      <w:tr w14:paraId="2421E070">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5C1989CC">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585166DB">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023097B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未检查、复核测量成果、交桩记录及控制桩保护措施</w:t>
            </w:r>
          </w:p>
        </w:tc>
        <w:tc>
          <w:tcPr>
            <w:tcW w:w="2471" w:type="dxa"/>
            <w:tcBorders>
              <w:top w:val="nil"/>
              <w:left w:val="nil"/>
              <w:bottom w:val="single" w:color="auto" w:sz="4" w:space="0"/>
              <w:right w:val="single" w:color="auto" w:sz="4" w:space="0"/>
            </w:tcBorders>
            <w:noWrap w:val="0"/>
            <w:vAlign w:val="center"/>
          </w:tcPr>
          <w:p w14:paraId="6497D16A">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25A3691C">
            <w:pPr>
              <w:widowControl/>
              <w:spacing w:line="400" w:lineRule="exact"/>
              <w:jc w:val="center"/>
              <w:rPr>
                <w:rFonts w:ascii="宋体" w:hAnsi="宋体" w:cs="宋体"/>
                <w:color w:val="auto"/>
                <w:kern w:val="0"/>
                <w:szCs w:val="21"/>
                <w:highlight w:val="none"/>
              </w:rPr>
            </w:pPr>
          </w:p>
        </w:tc>
      </w:tr>
      <w:tr w14:paraId="47DA1AF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34C4D9EF">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774355F8">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11E9ECAB">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未对复核测量成果进行签认</w:t>
            </w:r>
          </w:p>
        </w:tc>
        <w:tc>
          <w:tcPr>
            <w:tcW w:w="2471" w:type="dxa"/>
            <w:tcBorders>
              <w:top w:val="nil"/>
              <w:left w:val="nil"/>
              <w:bottom w:val="single" w:color="auto" w:sz="4" w:space="0"/>
              <w:right w:val="single" w:color="auto" w:sz="4" w:space="0"/>
            </w:tcBorders>
            <w:noWrap w:val="0"/>
            <w:vAlign w:val="center"/>
          </w:tcPr>
          <w:p w14:paraId="089B0075">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0.25‰-0.5‰</w:t>
            </w:r>
          </w:p>
        </w:tc>
        <w:tc>
          <w:tcPr>
            <w:tcW w:w="850" w:type="dxa"/>
            <w:tcBorders>
              <w:top w:val="nil"/>
              <w:left w:val="nil"/>
              <w:bottom w:val="single" w:color="auto" w:sz="4" w:space="0"/>
              <w:right w:val="single" w:color="auto" w:sz="4" w:space="0"/>
            </w:tcBorders>
            <w:noWrap w:val="0"/>
            <w:vAlign w:val="center"/>
          </w:tcPr>
          <w:p w14:paraId="4A5666E8">
            <w:pPr>
              <w:widowControl/>
              <w:spacing w:line="400" w:lineRule="exact"/>
              <w:jc w:val="center"/>
              <w:rPr>
                <w:rFonts w:ascii="宋体" w:hAnsi="宋体" w:cs="宋体"/>
                <w:color w:val="auto"/>
                <w:kern w:val="0"/>
                <w:szCs w:val="21"/>
                <w:highlight w:val="none"/>
              </w:rPr>
            </w:pPr>
          </w:p>
        </w:tc>
      </w:tr>
      <w:tr w14:paraId="201A035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0AA2C657">
            <w:pPr>
              <w:widowControl/>
              <w:spacing w:line="400" w:lineRule="exact"/>
              <w:jc w:val="left"/>
              <w:rPr>
                <w:rFonts w:ascii="宋体" w:hAnsi="宋体" w:cs="宋体"/>
                <w:color w:val="auto"/>
                <w:kern w:val="0"/>
                <w:szCs w:val="21"/>
                <w:highlight w:val="none"/>
              </w:rPr>
            </w:pPr>
          </w:p>
        </w:tc>
        <w:tc>
          <w:tcPr>
            <w:tcW w:w="1374" w:type="dxa"/>
            <w:vMerge w:val="restart"/>
            <w:tcBorders>
              <w:top w:val="nil"/>
              <w:left w:val="single" w:color="auto" w:sz="4" w:space="0"/>
              <w:bottom w:val="nil"/>
              <w:right w:val="single" w:color="auto" w:sz="4" w:space="0"/>
            </w:tcBorders>
            <w:noWrap w:val="0"/>
            <w:vAlign w:val="center"/>
          </w:tcPr>
          <w:p w14:paraId="4880CD46">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材料/构配件/设备审查</w:t>
            </w:r>
          </w:p>
        </w:tc>
        <w:tc>
          <w:tcPr>
            <w:tcW w:w="4395" w:type="dxa"/>
            <w:tcBorders>
              <w:top w:val="nil"/>
              <w:left w:val="nil"/>
              <w:bottom w:val="single" w:color="auto" w:sz="4" w:space="0"/>
              <w:right w:val="single" w:color="auto" w:sz="4" w:space="0"/>
            </w:tcBorders>
            <w:noWrap w:val="0"/>
            <w:vAlign w:val="center"/>
          </w:tcPr>
          <w:p w14:paraId="6C1D003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未审查质量证明文件，未对实物进行检查、验收，将不合格的签认为合格</w:t>
            </w:r>
          </w:p>
        </w:tc>
        <w:tc>
          <w:tcPr>
            <w:tcW w:w="2471" w:type="dxa"/>
            <w:tcBorders>
              <w:top w:val="nil"/>
              <w:left w:val="nil"/>
              <w:bottom w:val="single" w:color="auto" w:sz="4" w:space="0"/>
              <w:right w:val="single" w:color="auto" w:sz="4" w:space="0"/>
            </w:tcBorders>
            <w:noWrap w:val="0"/>
            <w:vAlign w:val="center"/>
          </w:tcPr>
          <w:p w14:paraId="0AE4A6E5">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4ACA578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2266E581">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11821161">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nil"/>
              <w:right w:val="single" w:color="auto" w:sz="4" w:space="0"/>
            </w:tcBorders>
            <w:noWrap w:val="0"/>
            <w:vAlign w:val="center"/>
          </w:tcPr>
          <w:p w14:paraId="405381E4">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03A1348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对进场不合格的材料、构配件、设备未要求施工单位将其撤出施工现场</w:t>
            </w:r>
          </w:p>
        </w:tc>
        <w:tc>
          <w:tcPr>
            <w:tcW w:w="2471" w:type="dxa"/>
            <w:tcBorders>
              <w:top w:val="nil"/>
              <w:left w:val="nil"/>
              <w:bottom w:val="single" w:color="auto" w:sz="4" w:space="0"/>
              <w:right w:val="single" w:color="auto" w:sz="4" w:space="0"/>
            </w:tcBorders>
            <w:noWrap w:val="0"/>
            <w:vAlign w:val="center"/>
          </w:tcPr>
          <w:p w14:paraId="41BD812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6FC6729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196F092B">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282EF7C">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nil"/>
              <w:right w:val="single" w:color="auto" w:sz="4" w:space="0"/>
            </w:tcBorders>
            <w:noWrap w:val="0"/>
            <w:vAlign w:val="center"/>
          </w:tcPr>
          <w:p w14:paraId="2959119A">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4EB8A20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未对用于工程的材料按有关规定进行见证取样</w:t>
            </w:r>
          </w:p>
        </w:tc>
        <w:tc>
          <w:tcPr>
            <w:tcW w:w="2471" w:type="dxa"/>
            <w:tcBorders>
              <w:top w:val="nil"/>
              <w:left w:val="nil"/>
              <w:bottom w:val="single" w:color="auto" w:sz="4" w:space="0"/>
              <w:right w:val="single" w:color="auto" w:sz="4" w:space="0"/>
            </w:tcBorders>
            <w:noWrap w:val="0"/>
            <w:vAlign w:val="center"/>
          </w:tcPr>
          <w:p w14:paraId="5F20A40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390A4C14">
            <w:pPr>
              <w:widowControl/>
              <w:spacing w:line="400" w:lineRule="exact"/>
              <w:jc w:val="center"/>
              <w:rPr>
                <w:rFonts w:ascii="宋体" w:hAnsi="宋体" w:cs="宋体"/>
                <w:color w:val="auto"/>
                <w:kern w:val="0"/>
                <w:szCs w:val="21"/>
                <w:highlight w:val="none"/>
              </w:rPr>
            </w:pPr>
          </w:p>
        </w:tc>
      </w:tr>
      <w:tr w14:paraId="7E6C892C">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0A745ADA">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nil"/>
              <w:right w:val="single" w:color="auto" w:sz="4" w:space="0"/>
            </w:tcBorders>
            <w:noWrap w:val="0"/>
            <w:vAlign w:val="center"/>
          </w:tcPr>
          <w:p w14:paraId="2CA7A72D">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3320930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未按监理合同约定进行平行检验</w:t>
            </w:r>
          </w:p>
        </w:tc>
        <w:tc>
          <w:tcPr>
            <w:tcW w:w="2471" w:type="dxa"/>
            <w:tcBorders>
              <w:top w:val="nil"/>
              <w:left w:val="nil"/>
              <w:bottom w:val="single" w:color="auto" w:sz="4" w:space="0"/>
              <w:right w:val="single" w:color="auto" w:sz="4" w:space="0"/>
            </w:tcBorders>
            <w:noWrap w:val="0"/>
            <w:vAlign w:val="center"/>
          </w:tcPr>
          <w:p w14:paraId="1BB5739C">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1072ADF2">
            <w:pPr>
              <w:widowControl/>
              <w:spacing w:line="400" w:lineRule="exact"/>
              <w:jc w:val="center"/>
              <w:rPr>
                <w:rFonts w:ascii="宋体" w:hAnsi="宋体" w:cs="宋体"/>
                <w:color w:val="auto"/>
                <w:kern w:val="0"/>
                <w:szCs w:val="21"/>
                <w:highlight w:val="none"/>
              </w:rPr>
            </w:pPr>
          </w:p>
        </w:tc>
      </w:tr>
      <w:tr w14:paraId="3878227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075F812">
            <w:pPr>
              <w:widowControl/>
              <w:spacing w:line="400" w:lineRule="exact"/>
              <w:jc w:val="left"/>
              <w:rPr>
                <w:rFonts w:ascii="宋体" w:hAnsi="宋体" w:cs="宋体"/>
                <w:color w:val="auto"/>
                <w:kern w:val="0"/>
                <w:szCs w:val="21"/>
                <w:highlight w:val="none"/>
              </w:rPr>
            </w:pPr>
          </w:p>
        </w:tc>
        <w:tc>
          <w:tcPr>
            <w:tcW w:w="1374" w:type="dxa"/>
            <w:tcBorders>
              <w:top w:val="single" w:color="auto" w:sz="4" w:space="0"/>
              <w:left w:val="nil"/>
              <w:bottom w:val="nil"/>
              <w:right w:val="single" w:color="auto" w:sz="4" w:space="0"/>
            </w:tcBorders>
            <w:noWrap w:val="0"/>
            <w:vAlign w:val="center"/>
          </w:tcPr>
          <w:p w14:paraId="373A1AE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旁站</w:t>
            </w:r>
          </w:p>
        </w:tc>
        <w:tc>
          <w:tcPr>
            <w:tcW w:w="4395" w:type="dxa"/>
            <w:tcBorders>
              <w:top w:val="nil"/>
              <w:left w:val="nil"/>
              <w:bottom w:val="single" w:color="auto" w:sz="4" w:space="0"/>
              <w:right w:val="single" w:color="auto" w:sz="4" w:space="0"/>
            </w:tcBorders>
            <w:noWrap w:val="0"/>
            <w:vAlign w:val="center"/>
          </w:tcPr>
          <w:p w14:paraId="00A182E7">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未按旁站方案确定的关键部位、关键工序的施工质量进行旁站</w:t>
            </w:r>
          </w:p>
        </w:tc>
        <w:tc>
          <w:tcPr>
            <w:tcW w:w="2471" w:type="dxa"/>
            <w:tcBorders>
              <w:top w:val="nil"/>
              <w:left w:val="nil"/>
              <w:bottom w:val="single" w:color="auto" w:sz="4" w:space="0"/>
              <w:right w:val="single" w:color="auto" w:sz="4" w:space="0"/>
            </w:tcBorders>
            <w:noWrap w:val="0"/>
            <w:vAlign w:val="center"/>
          </w:tcPr>
          <w:p w14:paraId="18C4B36E">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68DB4F1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793684B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4215EC6C">
            <w:pPr>
              <w:widowControl/>
              <w:spacing w:line="400" w:lineRule="exact"/>
              <w:jc w:val="left"/>
              <w:rPr>
                <w:rFonts w:ascii="宋体" w:hAnsi="宋体" w:cs="宋体"/>
                <w:color w:val="auto"/>
                <w:kern w:val="0"/>
                <w:szCs w:val="21"/>
                <w:highlight w:val="none"/>
              </w:rPr>
            </w:pPr>
          </w:p>
        </w:tc>
        <w:tc>
          <w:tcPr>
            <w:tcW w:w="1374" w:type="dxa"/>
            <w:tcBorders>
              <w:top w:val="single" w:color="auto" w:sz="4" w:space="0"/>
              <w:left w:val="nil"/>
              <w:bottom w:val="nil"/>
              <w:right w:val="single" w:color="auto" w:sz="4" w:space="0"/>
            </w:tcBorders>
            <w:noWrap w:val="0"/>
            <w:vAlign w:val="center"/>
          </w:tcPr>
          <w:p w14:paraId="164D022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工程质量巡视</w:t>
            </w:r>
          </w:p>
        </w:tc>
        <w:tc>
          <w:tcPr>
            <w:tcW w:w="4395" w:type="dxa"/>
            <w:tcBorders>
              <w:top w:val="nil"/>
              <w:left w:val="nil"/>
              <w:bottom w:val="single" w:color="auto" w:sz="4" w:space="0"/>
              <w:right w:val="single" w:color="auto" w:sz="4" w:space="0"/>
            </w:tcBorders>
            <w:noWrap w:val="0"/>
            <w:vAlign w:val="center"/>
          </w:tcPr>
          <w:p w14:paraId="322747A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发现质量隐患未及时处理，对质量隐患无处理记录或整改结果</w:t>
            </w:r>
          </w:p>
        </w:tc>
        <w:tc>
          <w:tcPr>
            <w:tcW w:w="2471" w:type="dxa"/>
            <w:tcBorders>
              <w:top w:val="nil"/>
              <w:left w:val="nil"/>
              <w:bottom w:val="single" w:color="auto" w:sz="4" w:space="0"/>
              <w:right w:val="single" w:color="auto" w:sz="4" w:space="0"/>
            </w:tcBorders>
            <w:noWrap w:val="0"/>
            <w:vAlign w:val="center"/>
          </w:tcPr>
          <w:p w14:paraId="1E61497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3916D58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79CD6B3D">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0FDAAF97">
            <w:pPr>
              <w:widowControl/>
              <w:spacing w:line="400" w:lineRule="exact"/>
              <w:jc w:val="left"/>
              <w:rPr>
                <w:rFonts w:ascii="宋体" w:hAnsi="宋体" w:cs="宋体"/>
                <w:color w:val="auto"/>
                <w:kern w:val="0"/>
                <w:szCs w:val="21"/>
                <w:highlight w:val="none"/>
              </w:rPr>
            </w:pPr>
          </w:p>
        </w:tc>
        <w:tc>
          <w:tcPr>
            <w:tcW w:w="1374" w:type="dxa"/>
            <w:vMerge w:val="restart"/>
            <w:tcBorders>
              <w:top w:val="single" w:color="auto" w:sz="4" w:space="0"/>
              <w:left w:val="single" w:color="auto" w:sz="4" w:space="0"/>
              <w:bottom w:val="single" w:color="000000" w:sz="4" w:space="0"/>
              <w:right w:val="single" w:color="auto" w:sz="4" w:space="0"/>
            </w:tcBorders>
            <w:noWrap w:val="0"/>
            <w:vAlign w:val="center"/>
          </w:tcPr>
          <w:p w14:paraId="4723E04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隐检、检验批、分项分部验收</w:t>
            </w:r>
          </w:p>
        </w:tc>
        <w:tc>
          <w:tcPr>
            <w:tcW w:w="4395" w:type="dxa"/>
            <w:tcBorders>
              <w:top w:val="nil"/>
              <w:left w:val="nil"/>
              <w:bottom w:val="single" w:color="auto" w:sz="4" w:space="0"/>
              <w:right w:val="single" w:color="auto" w:sz="4" w:space="0"/>
            </w:tcBorders>
            <w:noWrap w:val="0"/>
            <w:vAlign w:val="center"/>
          </w:tcPr>
          <w:p w14:paraId="1EEE601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未对实体进行检查、验收，将不合格的签认为合格</w:t>
            </w:r>
          </w:p>
        </w:tc>
        <w:tc>
          <w:tcPr>
            <w:tcW w:w="2471" w:type="dxa"/>
            <w:tcBorders>
              <w:top w:val="nil"/>
              <w:left w:val="nil"/>
              <w:bottom w:val="single" w:color="auto" w:sz="4" w:space="0"/>
              <w:right w:val="single" w:color="auto" w:sz="4" w:space="0"/>
            </w:tcBorders>
            <w:noWrap w:val="0"/>
            <w:vAlign w:val="center"/>
          </w:tcPr>
          <w:p w14:paraId="4A03EC3F">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6ECB983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7DF35ED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261F766">
            <w:pPr>
              <w:widowControl/>
              <w:spacing w:line="400" w:lineRule="exact"/>
              <w:jc w:val="left"/>
              <w:rPr>
                <w:rFonts w:ascii="宋体" w:hAnsi="宋体" w:cs="宋体"/>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noWrap w:val="0"/>
            <w:vAlign w:val="center"/>
          </w:tcPr>
          <w:p w14:paraId="29B0300C">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58E6B33E">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无分部、分项及检验批划分方案</w:t>
            </w:r>
          </w:p>
        </w:tc>
        <w:tc>
          <w:tcPr>
            <w:tcW w:w="2471" w:type="dxa"/>
            <w:tcBorders>
              <w:top w:val="nil"/>
              <w:left w:val="nil"/>
              <w:bottom w:val="single" w:color="auto" w:sz="4" w:space="0"/>
              <w:right w:val="single" w:color="auto" w:sz="4" w:space="0"/>
            </w:tcBorders>
            <w:noWrap w:val="0"/>
            <w:vAlign w:val="center"/>
          </w:tcPr>
          <w:p w14:paraId="6743C226">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1689B953">
            <w:pPr>
              <w:widowControl/>
              <w:spacing w:line="400" w:lineRule="exact"/>
              <w:jc w:val="center"/>
              <w:rPr>
                <w:rFonts w:ascii="宋体" w:hAnsi="宋体" w:cs="宋体"/>
                <w:color w:val="auto"/>
                <w:kern w:val="0"/>
                <w:szCs w:val="21"/>
                <w:highlight w:val="none"/>
              </w:rPr>
            </w:pPr>
          </w:p>
        </w:tc>
      </w:tr>
      <w:tr w14:paraId="45FDDB9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67D6E15B">
            <w:pPr>
              <w:widowControl/>
              <w:spacing w:line="400" w:lineRule="exact"/>
              <w:jc w:val="left"/>
              <w:rPr>
                <w:rFonts w:ascii="宋体" w:hAnsi="宋体" w:cs="宋体"/>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noWrap w:val="0"/>
            <w:vAlign w:val="center"/>
          </w:tcPr>
          <w:p w14:paraId="2580DEBB">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64D88E7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承包人报验后未及时进行验收</w:t>
            </w:r>
          </w:p>
        </w:tc>
        <w:tc>
          <w:tcPr>
            <w:tcW w:w="2471" w:type="dxa"/>
            <w:tcBorders>
              <w:top w:val="nil"/>
              <w:left w:val="nil"/>
              <w:bottom w:val="single" w:color="auto" w:sz="4" w:space="0"/>
              <w:right w:val="single" w:color="auto" w:sz="4" w:space="0"/>
            </w:tcBorders>
            <w:noWrap w:val="0"/>
            <w:vAlign w:val="center"/>
          </w:tcPr>
          <w:p w14:paraId="3D06E49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520D1196">
            <w:pPr>
              <w:widowControl/>
              <w:spacing w:line="400" w:lineRule="exact"/>
              <w:jc w:val="center"/>
              <w:rPr>
                <w:rFonts w:ascii="宋体" w:hAnsi="宋体" w:cs="宋体"/>
                <w:color w:val="auto"/>
                <w:kern w:val="0"/>
                <w:szCs w:val="21"/>
                <w:highlight w:val="none"/>
              </w:rPr>
            </w:pPr>
          </w:p>
        </w:tc>
      </w:tr>
      <w:tr w14:paraId="6D563D64">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5DF13DEF">
            <w:pPr>
              <w:widowControl/>
              <w:spacing w:line="400" w:lineRule="exact"/>
              <w:jc w:val="left"/>
              <w:rPr>
                <w:rFonts w:ascii="宋体" w:hAnsi="宋体" w:cs="宋体"/>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noWrap w:val="0"/>
            <w:vAlign w:val="center"/>
          </w:tcPr>
          <w:p w14:paraId="12A3AB49">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71A4CD19">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验收资料不完整或签批不规范</w:t>
            </w:r>
          </w:p>
        </w:tc>
        <w:tc>
          <w:tcPr>
            <w:tcW w:w="2471" w:type="dxa"/>
            <w:tcBorders>
              <w:top w:val="nil"/>
              <w:left w:val="nil"/>
              <w:bottom w:val="single" w:color="auto" w:sz="4" w:space="0"/>
              <w:right w:val="single" w:color="auto" w:sz="4" w:space="0"/>
            </w:tcBorders>
            <w:noWrap w:val="0"/>
            <w:vAlign w:val="center"/>
          </w:tcPr>
          <w:p w14:paraId="50E5333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0.25‰-0.5‰</w:t>
            </w:r>
          </w:p>
        </w:tc>
        <w:tc>
          <w:tcPr>
            <w:tcW w:w="850" w:type="dxa"/>
            <w:tcBorders>
              <w:top w:val="nil"/>
              <w:left w:val="nil"/>
              <w:bottom w:val="single" w:color="auto" w:sz="4" w:space="0"/>
              <w:right w:val="single" w:color="auto" w:sz="4" w:space="0"/>
            </w:tcBorders>
            <w:noWrap w:val="0"/>
            <w:vAlign w:val="center"/>
          </w:tcPr>
          <w:p w14:paraId="2F6B1F13">
            <w:pPr>
              <w:widowControl/>
              <w:spacing w:line="400" w:lineRule="exact"/>
              <w:jc w:val="center"/>
              <w:rPr>
                <w:rFonts w:ascii="宋体" w:hAnsi="宋体" w:cs="宋体"/>
                <w:color w:val="auto"/>
                <w:kern w:val="0"/>
                <w:szCs w:val="21"/>
                <w:highlight w:val="none"/>
              </w:rPr>
            </w:pPr>
          </w:p>
        </w:tc>
      </w:tr>
      <w:tr w14:paraId="767AF641">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noWrap w:val="0"/>
            <w:vAlign w:val="center"/>
          </w:tcPr>
          <w:p w14:paraId="01B8794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安全生产管理履责</w:t>
            </w:r>
          </w:p>
        </w:tc>
        <w:tc>
          <w:tcPr>
            <w:tcW w:w="1374" w:type="dxa"/>
            <w:vMerge w:val="restart"/>
            <w:tcBorders>
              <w:top w:val="nil"/>
              <w:left w:val="single" w:color="auto" w:sz="4" w:space="0"/>
              <w:bottom w:val="single" w:color="000000" w:sz="4" w:space="0"/>
              <w:right w:val="single" w:color="auto" w:sz="4" w:space="0"/>
            </w:tcBorders>
            <w:noWrap w:val="0"/>
            <w:vAlign w:val="center"/>
          </w:tcPr>
          <w:p w14:paraId="30BD772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安全生产管理的监理工作</w:t>
            </w:r>
          </w:p>
        </w:tc>
        <w:tc>
          <w:tcPr>
            <w:tcW w:w="4395" w:type="dxa"/>
            <w:tcBorders>
              <w:top w:val="nil"/>
              <w:left w:val="nil"/>
              <w:bottom w:val="single" w:color="auto" w:sz="4" w:space="0"/>
              <w:right w:val="single" w:color="auto" w:sz="4" w:space="0"/>
            </w:tcBorders>
            <w:noWrap w:val="0"/>
            <w:vAlign w:val="center"/>
          </w:tcPr>
          <w:p w14:paraId="4E83DB46">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未核查施工单位安全生产许可证、规章制度、安全生产管理体系等</w:t>
            </w:r>
          </w:p>
        </w:tc>
        <w:tc>
          <w:tcPr>
            <w:tcW w:w="2471" w:type="dxa"/>
            <w:tcBorders>
              <w:top w:val="nil"/>
              <w:left w:val="nil"/>
              <w:bottom w:val="single" w:color="auto" w:sz="4" w:space="0"/>
              <w:right w:val="single" w:color="auto" w:sz="4" w:space="0"/>
            </w:tcBorders>
            <w:noWrap w:val="0"/>
            <w:vAlign w:val="center"/>
          </w:tcPr>
          <w:p w14:paraId="25C18CD7">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37C17F1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3B4639A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14D34478">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7AE53158">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7922F0A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对施工单位项目经理、专职安全管理人员和特殊作业人员资格不合格未作识别</w:t>
            </w:r>
          </w:p>
        </w:tc>
        <w:tc>
          <w:tcPr>
            <w:tcW w:w="2471" w:type="dxa"/>
            <w:tcBorders>
              <w:top w:val="nil"/>
              <w:left w:val="nil"/>
              <w:bottom w:val="single" w:color="auto" w:sz="4" w:space="0"/>
              <w:right w:val="single" w:color="auto" w:sz="4" w:space="0"/>
            </w:tcBorders>
            <w:noWrap w:val="0"/>
            <w:vAlign w:val="center"/>
          </w:tcPr>
          <w:p w14:paraId="158E880F">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58C3DBC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0C39263E">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64586CE5">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00226451">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08F5935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未核查施工机械和设施（大型起重吊装机械、自升式设备等）的安全许可验收手续</w:t>
            </w:r>
          </w:p>
        </w:tc>
        <w:tc>
          <w:tcPr>
            <w:tcW w:w="2471" w:type="dxa"/>
            <w:tcBorders>
              <w:top w:val="nil"/>
              <w:left w:val="nil"/>
              <w:bottom w:val="single" w:color="auto" w:sz="4" w:space="0"/>
              <w:right w:val="single" w:color="auto" w:sz="4" w:space="0"/>
            </w:tcBorders>
            <w:noWrap w:val="0"/>
            <w:vAlign w:val="center"/>
          </w:tcPr>
          <w:p w14:paraId="0F3FF44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7889B8B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07150202">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1C86C8AE">
            <w:pPr>
              <w:widowControl/>
              <w:spacing w:line="400" w:lineRule="exact"/>
              <w:jc w:val="left"/>
              <w:rPr>
                <w:rFonts w:ascii="宋体" w:hAnsi="宋体" w:cs="宋体"/>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noWrap w:val="0"/>
            <w:vAlign w:val="center"/>
          </w:tcPr>
          <w:p w14:paraId="04CB6A1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审查安全专项施工方案</w:t>
            </w:r>
          </w:p>
        </w:tc>
        <w:tc>
          <w:tcPr>
            <w:tcW w:w="4395" w:type="dxa"/>
            <w:tcBorders>
              <w:top w:val="nil"/>
              <w:left w:val="nil"/>
              <w:bottom w:val="single" w:color="auto" w:sz="4" w:space="0"/>
              <w:right w:val="single" w:color="auto" w:sz="4" w:space="0"/>
            </w:tcBorders>
            <w:noWrap w:val="0"/>
            <w:vAlign w:val="center"/>
          </w:tcPr>
          <w:p w14:paraId="4ACB0715">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未审查</w:t>
            </w:r>
          </w:p>
        </w:tc>
        <w:tc>
          <w:tcPr>
            <w:tcW w:w="2471" w:type="dxa"/>
            <w:tcBorders>
              <w:top w:val="nil"/>
              <w:left w:val="nil"/>
              <w:bottom w:val="single" w:color="auto" w:sz="4" w:space="0"/>
              <w:right w:val="single" w:color="auto" w:sz="4" w:space="0"/>
            </w:tcBorders>
            <w:noWrap w:val="0"/>
            <w:vAlign w:val="center"/>
          </w:tcPr>
          <w:p w14:paraId="0685D7C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6370FFC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27DE92E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7FF139FC">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594508A4">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0128FFF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未识别是否符合强制性标准</w:t>
            </w:r>
          </w:p>
        </w:tc>
        <w:tc>
          <w:tcPr>
            <w:tcW w:w="2471" w:type="dxa"/>
            <w:tcBorders>
              <w:top w:val="nil"/>
              <w:left w:val="nil"/>
              <w:bottom w:val="single" w:color="auto" w:sz="4" w:space="0"/>
              <w:right w:val="single" w:color="auto" w:sz="4" w:space="0"/>
            </w:tcBorders>
            <w:noWrap w:val="0"/>
            <w:vAlign w:val="center"/>
          </w:tcPr>
          <w:p w14:paraId="7D3CDD4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211851F5">
            <w:pPr>
              <w:widowControl/>
              <w:spacing w:line="400" w:lineRule="exact"/>
              <w:jc w:val="center"/>
              <w:rPr>
                <w:rFonts w:ascii="宋体" w:hAnsi="宋体" w:cs="宋体"/>
                <w:color w:val="auto"/>
                <w:kern w:val="0"/>
                <w:szCs w:val="21"/>
                <w:highlight w:val="none"/>
              </w:rPr>
            </w:pPr>
          </w:p>
        </w:tc>
      </w:tr>
      <w:tr w14:paraId="0AFC6AA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6DCF51BE">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6D403251">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5CD99FF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未检查施工单位对超过一定规模的危险性较大的分部分项工程的专项施工方案是否组织专家论证、审查</w:t>
            </w:r>
          </w:p>
        </w:tc>
        <w:tc>
          <w:tcPr>
            <w:tcW w:w="2471" w:type="dxa"/>
            <w:tcBorders>
              <w:top w:val="nil"/>
              <w:left w:val="nil"/>
              <w:bottom w:val="single" w:color="auto" w:sz="4" w:space="0"/>
              <w:right w:val="single" w:color="auto" w:sz="4" w:space="0"/>
            </w:tcBorders>
            <w:noWrap w:val="0"/>
            <w:vAlign w:val="center"/>
          </w:tcPr>
          <w:p w14:paraId="4192F68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6640BF7D">
            <w:pPr>
              <w:widowControl/>
              <w:spacing w:line="400" w:lineRule="exact"/>
              <w:jc w:val="center"/>
              <w:rPr>
                <w:rFonts w:ascii="宋体" w:hAnsi="宋体" w:cs="宋体"/>
                <w:color w:val="auto"/>
                <w:kern w:val="0"/>
                <w:szCs w:val="21"/>
                <w:highlight w:val="none"/>
              </w:rPr>
            </w:pPr>
          </w:p>
        </w:tc>
      </w:tr>
      <w:tr w14:paraId="1E9B67AB">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162B88C4">
            <w:pPr>
              <w:widowControl/>
              <w:spacing w:line="400" w:lineRule="exact"/>
              <w:jc w:val="left"/>
              <w:rPr>
                <w:rFonts w:ascii="宋体" w:hAnsi="宋体" w:cs="宋体"/>
                <w:color w:val="auto"/>
                <w:kern w:val="0"/>
                <w:szCs w:val="21"/>
                <w:highlight w:val="none"/>
              </w:rPr>
            </w:pPr>
          </w:p>
        </w:tc>
        <w:tc>
          <w:tcPr>
            <w:tcW w:w="1374" w:type="dxa"/>
            <w:tcBorders>
              <w:top w:val="nil"/>
              <w:left w:val="nil"/>
              <w:bottom w:val="single" w:color="auto" w:sz="4" w:space="0"/>
              <w:right w:val="single" w:color="auto" w:sz="4" w:space="0"/>
            </w:tcBorders>
            <w:noWrap w:val="0"/>
            <w:vAlign w:val="center"/>
          </w:tcPr>
          <w:p w14:paraId="2CA00E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安全费用</w:t>
            </w:r>
          </w:p>
        </w:tc>
        <w:tc>
          <w:tcPr>
            <w:tcW w:w="4395" w:type="dxa"/>
            <w:tcBorders>
              <w:top w:val="nil"/>
              <w:left w:val="nil"/>
              <w:bottom w:val="single" w:color="auto" w:sz="4" w:space="0"/>
              <w:right w:val="single" w:color="auto" w:sz="4" w:space="0"/>
            </w:tcBorders>
            <w:noWrap w:val="0"/>
            <w:vAlign w:val="center"/>
          </w:tcPr>
          <w:p w14:paraId="1C130847">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未对施工单位安全费用使用情况、安全投入落实情况进行监督</w:t>
            </w:r>
          </w:p>
        </w:tc>
        <w:tc>
          <w:tcPr>
            <w:tcW w:w="2471" w:type="dxa"/>
            <w:tcBorders>
              <w:top w:val="nil"/>
              <w:left w:val="nil"/>
              <w:bottom w:val="single" w:color="auto" w:sz="4" w:space="0"/>
              <w:right w:val="single" w:color="auto" w:sz="4" w:space="0"/>
            </w:tcBorders>
            <w:noWrap w:val="0"/>
            <w:vAlign w:val="center"/>
          </w:tcPr>
          <w:p w14:paraId="2E6B29F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167A0C93">
            <w:pPr>
              <w:widowControl/>
              <w:spacing w:line="400" w:lineRule="exact"/>
              <w:jc w:val="center"/>
              <w:rPr>
                <w:rFonts w:ascii="宋体" w:hAnsi="宋体" w:cs="宋体"/>
                <w:color w:val="auto"/>
                <w:kern w:val="0"/>
                <w:szCs w:val="21"/>
                <w:highlight w:val="none"/>
              </w:rPr>
            </w:pPr>
          </w:p>
        </w:tc>
      </w:tr>
      <w:tr w14:paraId="2D94CAE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11FD4000">
            <w:pPr>
              <w:widowControl/>
              <w:spacing w:line="400" w:lineRule="exact"/>
              <w:jc w:val="left"/>
              <w:rPr>
                <w:rFonts w:ascii="宋体" w:hAnsi="宋体" w:cs="宋体"/>
                <w:color w:val="auto"/>
                <w:kern w:val="0"/>
                <w:szCs w:val="21"/>
                <w:highlight w:val="none"/>
              </w:rPr>
            </w:pPr>
          </w:p>
        </w:tc>
        <w:tc>
          <w:tcPr>
            <w:tcW w:w="1374" w:type="dxa"/>
            <w:tcBorders>
              <w:top w:val="nil"/>
              <w:left w:val="nil"/>
              <w:bottom w:val="single" w:color="auto" w:sz="4" w:space="0"/>
              <w:right w:val="single" w:color="auto" w:sz="4" w:space="0"/>
            </w:tcBorders>
            <w:noWrap w:val="0"/>
            <w:vAlign w:val="center"/>
          </w:tcPr>
          <w:p w14:paraId="5AECF49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应急管理</w:t>
            </w:r>
          </w:p>
        </w:tc>
        <w:tc>
          <w:tcPr>
            <w:tcW w:w="4395" w:type="dxa"/>
            <w:tcBorders>
              <w:top w:val="nil"/>
              <w:left w:val="nil"/>
              <w:bottom w:val="single" w:color="auto" w:sz="4" w:space="0"/>
              <w:right w:val="single" w:color="auto" w:sz="4" w:space="0"/>
            </w:tcBorders>
            <w:noWrap w:val="0"/>
            <w:vAlign w:val="center"/>
          </w:tcPr>
          <w:p w14:paraId="1805D6AC">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未对施工单位应急救援预案进行审查或未督促开展演练</w:t>
            </w:r>
          </w:p>
        </w:tc>
        <w:tc>
          <w:tcPr>
            <w:tcW w:w="2471" w:type="dxa"/>
            <w:tcBorders>
              <w:top w:val="nil"/>
              <w:left w:val="nil"/>
              <w:bottom w:val="single" w:color="auto" w:sz="4" w:space="0"/>
              <w:right w:val="single" w:color="auto" w:sz="4" w:space="0"/>
            </w:tcBorders>
            <w:noWrap w:val="0"/>
            <w:vAlign w:val="center"/>
          </w:tcPr>
          <w:p w14:paraId="477E2EC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1BD0B329">
            <w:pPr>
              <w:widowControl/>
              <w:spacing w:line="400" w:lineRule="exact"/>
              <w:jc w:val="center"/>
              <w:rPr>
                <w:rFonts w:ascii="宋体" w:hAnsi="宋体" w:cs="宋体"/>
                <w:color w:val="auto"/>
                <w:kern w:val="0"/>
                <w:szCs w:val="21"/>
                <w:highlight w:val="none"/>
              </w:rPr>
            </w:pPr>
          </w:p>
        </w:tc>
      </w:tr>
      <w:tr w14:paraId="0A75D74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3949B9D9">
            <w:pPr>
              <w:widowControl/>
              <w:spacing w:line="400" w:lineRule="exact"/>
              <w:jc w:val="left"/>
              <w:rPr>
                <w:rFonts w:ascii="宋体" w:hAnsi="宋体" w:cs="宋体"/>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noWrap w:val="0"/>
            <w:vAlign w:val="center"/>
          </w:tcPr>
          <w:p w14:paraId="0421F62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工程安全巡视</w:t>
            </w:r>
          </w:p>
        </w:tc>
        <w:tc>
          <w:tcPr>
            <w:tcW w:w="4395" w:type="dxa"/>
            <w:tcBorders>
              <w:top w:val="nil"/>
              <w:left w:val="nil"/>
              <w:bottom w:val="single" w:color="auto" w:sz="4" w:space="0"/>
              <w:right w:val="single" w:color="auto" w:sz="4" w:space="0"/>
            </w:tcBorders>
            <w:noWrap w:val="0"/>
            <w:vAlign w:val="center"/>
          </w:tcPr>
          <w:p w14:paraId="76605FE5">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未按监理规划或实施细则进行巡查</w:t>
            </w:r>
          </w:p>
        </w:tc>
        <w:tc>
          <w:tcPr>
            <w:tcW w:w="2471" w:type="dxa"/>
            <w:tcBorders>
              <w:top w:val="nil"/>
              <w:left w:val="nil"/>
              <w:bottom w:val="single" w:color="auto" w:sz="4" w:space="0"/>
              <w:right w:val="single" w:color="auto" w:sz="4" w:space="0"/>
            </w:tcBorders>
            <w:noWrap w:val="0"/>
            <w:vAlign w:val="center"/>
          </w:tcPr>
          <w:p w14:paraId="5A048DA8">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05E5B42B">
            <w:pPr>
              <w:widowControl/>
              <w:spacing w:line="400" w:lineRule="exact"/>
              <w:jc w:val="center"/>
              <w:rPr>
                <w:rFonts w:ascii="宋体" w:hAnsi="宋体" w:cs="宋体"/>
                <w:color w:val="auto"/>
                <w:kern w:val="0"/>
                <w:szCs w:val="21"/>
                <w:highlight w:val="none"/>
              </w:rPr>
            </w:pPr>
          </w:p>
        </w:tc>
      </w:tr>
      <w:tr w14:paraId="340CA494">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02E673C3">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557A5FBF">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6AA9BF8A">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发现安全隐患未及时处理</w:t>
            </w:r>
          </w:p>
        </w:tc>
        <w:tc>
          <w:tcPr>
            <w:tcW w:w="2471" w:type="dxa"/>
            <w:tcBorders>
              <w:top w:val="nil"/>
              <w:left w:val="nil"/>
              <w:bottom w:val="single" w:color="auto" w:sz="4" w:space="0"/>
              <w:right w:val="single" w:color="auto" w:sz="4" w:space="0"/>
            </w:tcBorders>
            <w:noWrap w:val="0"/>
            <w:vAlign w:val="center"/>
          </w:tcPr>
          <w:p w14:paraId="5F3FB686">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037927D1">
            <w:pPr>
              <w:widowControl/>
              <w:spacing w:line="400" w:lineRule="exact"/>
              <w:jc w:val="center"/>
              <w:rPr>
                <w:rFonts w:ascii="宋体" w:hAnsi="宋体" w:cs="宋体"/>
                <w:color w:val="auto"/>
                <w:kern w:val="0"/>
                <w:szCs w:val="21"/>
                <w:highlight w:val="none"/>
              </w:rPr>
            </w:pPr>
          </w:p>
        </w:tc>
      </w:tr>
      <w:tr w14:paraId="2BFBCDE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5EF8F710">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035A40D1">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327F9C99">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对安全隐患处理意见或整改结果无记录</w:t>
            </w:r>
          </w:p>
        </w:tc>
        <w:tc>
          <w:tcPr>
            <w:tcW w:w="2471" w:type="dxa"/>
            <w:tcBorders>
              <w:top w:val="nil"/>
              <w:left w:val="nil"/>
              <w:bottom w:val="single" w:color="auto" w:sz="4" w:space="0"/>
              <w:right w:val="single" w:color="auto" w:sz="4" w:space="0"/>
            </w:tcBorders>
            <w:noWrap w:val="0"/>
            <w:vAlign w:val="center"/>
          </w:tcPr>
          <w:p w14:paraId="5E64E10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0.25‰-0.5‰</w:t>
            </w:r>
          </w:p>
        </w:tc>
        <w:tc>
          <w:tcPr>
            <w:tcW w:w="850" w:type="dxa"/>
            <w:tcBorders>
              <w:top w:val="nil"/>
              <w:left w:val="nil"/>
              <w:bottom w:val="single" w:color="auto" w:sz="4" w:space="0"/>
              <w:right w:val="single" w:color="auto" w:sz="4" w:space="0"/>
            </w:tcBorders>
            <w:noWrap w:val="0"/>
            <w:vAlign w:val="center"/>
          </w:tcPr>
          <w:p w14:paraId="40202AFA">
            <w:pPr>
              <w:widowControl/>
              <w:spacing w:line="400" w:lineRule="exact"/>
              <w:jc w:val="center"/>
              <w:rPr>
                <w:rFonts w:ascii="宋体" w:hAnsi="宋体" w:cs="宋体"/>
                <w:color w:val="auto"/>
                <w:kern w:val="0"/>
                <w:szCs w:val="21"/>
                <w:highlight w:val="none"/>
              </w:rPr>
            </w:pPr>
          </w:p>
        </w:tc>
      </w:tr>
      <w:tr w14:paraId="67C5B52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22FD919">
            <w:pPr>
              <w:widowControl/>
              <w:spacing w:line="400" w:lineRule="exact"/>
              <w:jc w:val="left"/>
              <w:rPr>
                <w:rFonts w:ascii="宋体" w:hAnsi="宋体" w:cs="宋体"/>
                <w:color w:val="auto"/>
                <w:kern w:val="0"/>
                <w:szCs w:val="21"/>
                <w:highlight w:val="none"/>
              </w:rPr>
            </w:pPr>
          </w:p>
        </w:tc>
        <w:tc>
          <w:tcPr>
            <w:tcW w:w="1374" w:type="dxa"/>
            <w:tcBorders>
              <w:top w:val="nil"/>
              <w:left w:val="nil"/>
              <w:bottom w:val="single" w:color="auto" w:sz="4" w:space="0"/>
              <w:right w:val="single" w:color="auto" w:sz="4" w:space="0"/>
            </w:tcBorders>
            <w:noWrap w:val="0"/>
            <w:vAlign w:val="center"/>
          </w:tcPr>
          <w:p w14:paraId="0E4E38C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报告制度</w:t>
            </w:r>
          </w:p>
        </w:tc>
        <w:tc>
          <w:tcPr>
            <w:tcW w:w="4395" w:type="dxa"/>
            <w:tcBorders>
              <w:top w:val="nil"/>
              <w:left w:val="nil"/>
              <w:bottom w:val="single" w:color="auto" w:sz="4" w:space="0"/>
              <w:right w:val="single" w:color="auto" w:sz="4" w:space="0"/>
            </w:tcBorders>
            <w:noWrap w:val="0"/>
            <w:vAlign w:val="center"/>
          </w:tcPr>
          <w:p w14:paraId="6574E58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对发现安全事故隐患已经发出监理通知但施工单位拒不整改或不停止施工，监理未及时向建设单位和行政管理部门报告</w:t>
            </w:r>
          </w:p>
        </w:tc>
        <w:tc>
          <w:tcPr>
            <w:tcW w:w="2471" w:type="dxa"/>
            <w:tcBorders>
              <w:top w:val="nil"/>
              <w:left w:val="nil"/>
              <w:bottom w:val="single" w:color="auto" w:sz="4" w:space="0"/>
              <w:right w:val="single" w:color="auto" w:sz="4" w:space="0"/>
            </w:tcBorders>
            <w:noWrap w:val="0"/>
            <w:vAlign w:val="center"/>
          </w:tcPr>
          <w:p w14:paraId="79343F9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2EA43D35">
            <w:pPr>
              <w:widowControl/>
              <w:spacing w:line="400" w:lineRule="exact"/>
              <w:jc w:val="center"/>
              <w:rPr>
                <w:rFonts w:ascii="宋体" w:hAnsi="宋体" w:cs="宋体"/>
                <w:color w:val="auto"/>
                <w:kern w:val="0"/>
                <w:szCs w:val="21"/>
                <w:highlight w:val="none"/>
              </w:rPr>
            </w:pPr>
          </w:p>
        </w:tc>
      </w:tr>
      <w:tr w14:paraId="72BD152A">
        <w:tblPrEx>
          <w:tblCellMar>
            <w:top w:w="0" w:type="dxa"/>
            <w:left w:w="108" w:type="dxa"/>
            <w:bottom w:w="0" w:type="dxa"/>
            <w:right w:w="108" w:type="dxa"/>
          </w:tblCellMar>
        </w:tblPrEx>
        <w:trPr>
          <w:jc w:val="center"/>
        </w:trPr>
        <w:tc>
          <w:tcPr>
            <w:tcW w:w="9679" w:type="dxa"/>
            <w:gridSpan w:val="5"/>
            <w:tcBorders>
              <w:top w:val="single" w:color="auto" w:sz="4" w:space="0"/>
              <w:left w:val="single" w:color="auto" w:sz="4" w:space="0"/>
              <w:bottom w:val="single" w:color="auto" w:sz="4" w:space="0"/>
              <w:right w:val="single" w:color="000000" w:sz="4" w:space="0"/>
            </w:tcBorders>
            <w:noWrap w:val="0"/>
            <w:vAlign w:val="center"/>
          </w:tcPr>
          <w:p w14:paraId="3A6706B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注：1、上表所列违约事项具体处罚标准由委托人及监理人在签订合同时在上表规定范围内自行约定。</w:t>
            </w:r>
          </w:p>
          <w:p w14:paraId="3FDAC67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2、监理人发生以上★号违约情况时，委托人有权直接根据上表签订合同时约定的标准进行处罚。</w:t>
            </w:r>
          </w:p>
          <w:p w14:paraId="36FCA978">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3、监理人发生以上非★号违约情况时，委托人可向监理人发出整改通知，要求其在限定期限内纠正。监理人收到整改通知后在限定期限内仍未纠正的，委托人有权根据上表签订合同时约定的标准进行处罚。</w:t>
            </w:r>
          </w:p>
        </w:tc>
      </w:tr>
    </w:tbl>
    <w:p w14:paraId="7CCCB304">
      <w:pPr>
        <w:widowControl/>
        <w:spacing w:line="360" w:lineRule="auto"/>
        <w:jc w:val="left"/>
        <w:rPr>
          <w:rFonts w:ascii="宋体" w:hAnsi="宋体"/>
          <w:color w:val="auto"/>
          <w:szCs w:val="21"/>
          <w:highlight w:val="none"/>
        </w:rPr>
      </w:pPr>
    </w:p>
    <w:p w14:paraId="0BA82925">
      <w:pPr>
        <w:overflowPunct w:val="0"/>
        <w:autoSpaceDE w:val="0"/>
        <w:autoSpaceDN w:val="0"/>
        <w:adjustRightInd w:val="0"/>
        <w:snapToGrid w:val="0"/>
        <w:spacing w:line="320" w:lineRule="exact"/>
        <w:jc w:val="center"/>
        <w:rPr>
          <w:rFonts w:ascii="宋体" w:hAnsi="宋体" w:cs="方正仿宋_GBK"/>
          <w:b/>
          <w:bCs/>
          <w:color w:val="auto"/>
          <w:sz w:val="30"/>
          <w:szCs w:val="30"/>
          <w:highlight w:val="none"/>
        </w:rPr>
      </w:pPr>
      <w:r>
        <w:rPr>
          <w:rFonts w:hint="eastAsia" w:ascii="宋体" w:hAnsi="宋体" w:cs="方正仿宋_GBK"/>
          <w:b/>
          <w:bCs/>
          <w:color w:val="auto"/>
          <w:sz w:val="30"/>
          <w:szCs w:val="30"/>
          <w:highlight w:val="none"/>
        </w:rPr>
        <w:t>公司安全生产违约处罚标准</w:t>
      </w:r>
    </w:p>
    <w:p w14:paraId="45A623F2">
      <w:pPr>
        <w:overflowPunct w:val="0"/>
        <w:autoSpaceDE w:val="0"/>
        <w:autoSpaceDN w:val="0"/>
        <w:adjustRightInd w:val="0"/>
        <w:snapToGrid w:val="0"/>
        <w:spacing w:line="320" w:lineRule="exact"/>
        <w:jc w:val="center"/>
        <w:rPr>
          <w:rFonts w:ascii="宋体" w:hAnsi="宋体" w:cs="方正仿宋_GBK"/>
          <w:bCs/>
          <w:color w:val="auto"/>
          <w:szCs w:val="21"/>
          <w:highlight w:val="none"/>
        </w:rPr>
      </w:pPr>
    </w:p>
    <w:tbl>
      <w:tblPr>
        <w:tblStyle w:val="20"/>
        <w:tblW w:w="9356" w:type="dxa"/>
        <w:jc w:val="center"/>
        <w:tblLayout w:type="fixed"/>
        <w:tblCellMar>
          <w:top w:w="0" w:type="dxa"/>
          <w:left w:w="108" w:type="dxa"/>
          <w:bottom w:w="0" w:type="dxa"/>
          <w:right w:w="108" w:type="dxa"/>
        </w:tblCellMar>
      </w:tblPr>
      <w:tblGrid>
        <w:gridCol w:w="710"/>
        <w:gridCol w:w="708"/>
        <w:gridCol w:w="3686"/>
        <w:gridCol w:w="3402"/>
        <w:gridCol w:w="850"/>
      </w:tblGrid>
      <w:tr w14:paraId="15BFC49C">
        <w:tblPrEx>
          <w:tblCellMar>
            <w:top w:w="0" w:type="dxa"/>
            <w:left w:w="108" w:type="dxa"/>
            <w:bottom w:w="0" w:type="dxa"/>
            <w:right w:w="108" w:type="dxa"/>
          </w:tblCellMar>
        </w:tblPrEx>
        <w:trPr>
          <w:cantSplit/>
          <w:trHeight w:val="454"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72C1396">
            <w:pPr>
              <w:overflowPunct w:val="0"/>
              <w:autoSpaceDE w:val="0"/>
              <w:autoSpaceDN w:val="0"/>
              <w:adjustRightInd w:val="0"/>
              <w:snapToGrid w:val="0"/>
              <w:spacing w:line="3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分类</w:t>
            </w:r>
          </w:p>
        </w:tc>
        <w:tc>
          <w:tcPr>
            <w:tcW w:w="708" w:type="dxa"/>
            <w:tcBorders>
              <w:top w:val="single" w:color="auto" w:sz="4" w:space="0"/>
              <w:left w:val="nil"/>
              <w:bottom w:val="single" w:color="auto" w:sz="4" w:space="0"/>
              <w:right w:val="single" w:color="auto" w:sz="4" w:space="0"/>
            </w:tcBorders>
            <w:noWrap w:val="0"/>
            <w:vAlign w:val="center"/>
          </w:tcPr>
          <w:p w14:paraId="3F8945EF">
            <w:pPr>
              <w:overflowPunct w:val="0"/>
              <w:autoSpaceDE w:val="0"/>
              <w:autoSpaceDN w:val="0"/>
              <w:adjustRightInd w:val="0"/>
              <w:snapToGrid w:val="0"/>
              <w:spacing w:line="3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3686" w:type="dxa"/>
            <w:tcBorders>
              <w:top w:val="single" w:color="auto" w:sz="4" w:space="0"/>
              <w:left w:val="nil"/>
              <w:bottom w:val="single" w:color="auto" w:sz="4" w:space="0"/>
              <w:right w:val="single" w:color="auto" w:sz="4" w:space="0"/>
            </w:tcBorders>
            <w:noWrap w:val="0"/>
            <w:vAlign w:val="center"/>
          </w:tcPr>
          <w:p w14:paraId="459F1AA5">
            <w:pPr>
              <w:overflowPunct w:val="0"/>
              <w:autoSpaceDE w:val="0"/>
              <w:autoSpaceDN w:val="0"/>
              <w:adjustRightInd w:val="0"/>
              <w:snapToGrid w:val="0"/>
              <w:spacing w:line="3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处罚事由</w:t>
            </w:r>
          </w:p>
        </w:tc>
        <w:tc>
          <w:tcPr>
            <w:tcW w:w="3402" w:type="dxa"/>
            <w:tcBorders>
              <w:top w:val="single" w:color="auto" w:sz="4" w:space="0"/>
              <w:left w:val="nil"/>
              <w:bottom w:val="single" w:color="auto" w:sz="4" w:space="0"/>
              <w:right w:val="single" w:color="auto" w:sz="4" w:space="0"/>
            </w:tcBorders>
            <w:noWrap w:val="0"/>
            <w:vAlign w:val="center"/>
          </w:tcPr>
          <w:p w14:paraId="54AB054B">
            <w:pPr>
              <w:overflowPunct w:val="0"/>
              <w:autoSpaceDE w:val="0"/>
              <w:autoSpaceDN w:val="0"/>
              <w:adjustRightInd w:val="0"/>
              <w:snapToGrid w:val="0"/>
              <w:spacing w:line="3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处罚标准</w:t>
            </w:r>
          </w:p>
        </w:tc>
        <w:tc>
          <w:tcPr>
            <w:tcW w:w="850" w:type="dxa"/>
            <w:tcBorders>
              <w:top w:val="single" w:color="auto" w:sz="4" w:space="0"/>
              <w:left w:val="nil"/>
              <w:bottom w:val="single" w:color="auto" w:sz="4" w:space="0"/>
              <w:right w:val="single" w:color="auto" w:sz="4" w:space="0"/>
            </w:tcBorders>
            <w:noWrap w:val="0"/>
            <w:vAlign w:val="center"/>
          </w:tcPr>
          <w:p w14:paraId="787B221C">
            <w:pPr>
              <w:overflowPunct w:val="0"/>
              <w:autoSpaceDE w:val="0"/>
              <w:autoSpaceDN w:val="0"/>
              <w:adjustRightInd w:val="0"/>
              <w:snapToGrid w:val="0"/>
              <w:spacing w:line="3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58BF2D61">
        <w:tblPrEx>
          <w:tblCellMar>
            <w:top w:w="0" w:type="dxa"/>
            <w:left w:w="108" w:type="dxa"/>
            <w:bottom w:w="0" w:type="dxa"/>
            <w:right w:w="108" w:type="dxa"/>
          </w:tblCellMar>
        </w:tblPrEx>
        <w:trPr>
          <w:cantSplit/>
          <w:trHeight w:val="737" w:hRule="exact"/>
          <w:jc w:val="center"/>
        </w:trPr>
        <w:tc>
          <w:tcPr>
            <w:tcW w:w="710" w:type="dxa"/>
            <w:vMerge w:val="restart"/>
            <w:tcBorders>
              <w:top w:val="nil"/>
              <w:left w:val="single" w:color="auto" w:sz="4" w:space="0"/>
              <w:right w:val="single" w:color="auto" w:sz="4" w:space="0"/>
            </w:tcBorders>
            <w:noWrap w:val="0"/>
            <w:vAlign w:val="center"/>
          </w:tcPr>
          <w:p w14:paraId="1451D16F">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事故处罚办法</w:t>
            </w:r>
          </w:p>
        </w:tc>
        <w:tc>
          <w:tcPr>
            <w:tcW w:w="708" w:type="dxa"/>
            <w:tcBorders>
              <w:top w:val="nil"/>
              <w:left w:val="nil"/>
              <w:bottom w:val="single" w:color="auto" w:sz="4" w:space="0"/>
              <w:right w:val="single" w:color="auto" w:sz="4" w:space="0"/>
            </w:tcBorders>
            <w:noWrap w:val="0"/>
            <w:vAlign w:val="center"/>
          </w:tcPr>
          <w:p w14:paraId="645F3D9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6" w:type="dxa"/>
            <w:tcBorders>
              <w:top w:val="nil"/>
              <w:left w:val="nil"/>
              <w:bottom w:val="single" w:color="auto" w:sz="4" w:space="0"/>
              <w:right w:val="single" w:color="auto" w:sz="4" w:space="0"/>
            </w:tcBorders>
            <w:noWrap w:val="0"/>
            <w:vAlign w:val="center"/>
          </w:tcPr>
          <w:p w14:paraId="4F50BE39">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凡发生安全生产责任事故，未实现本工程安全管理目标的单位。</w:t>
            </w:r>
          </w:p>
        </w:tc>
        <w:tc>
          <w:tcPr>
            <w:tcW w:w="3402" w:type="dxa"/>
            <w:tcBorders>
              <w:top w:val="nil"/>
              <w:left w:val="nil"/>
              <w:bottom w:val="single" w:color="auto" w:sz="4" w:space="0"/>
              <w:right w:val="single" w:color="auto" w:sz="4" w:space="0"/>
            </w:tcBorders>
            <w:noWrap w:val="0"/>
            <w:vAlign w:val="center"/>
          </w:tcPr>
          <w:p w14:paraId="0E371E8F">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取消年终“安全生产先进单位”、“安全生产先进工作者”参评资格。</w:t>
            </w:r>
          </w:p>
        </w:tc>
        <w:tc>
          <w:tcPr>
            <w:tcW w:w="850" w:type="dxa"/>
            <w:tcBorders>
              <w:top w:val="nil"/>
              <w:left w:val="nil"/>
              <w:bottom w:val="single" w:color="auto" w:sz="4" w:space="0"/>
              <w:right w:val="single" w:color="auto" w:sz="4" w:space="0"/>
            </w:tcBorders>
            <w:noWrap w:val="0"/>
            <w:vAlign w:val="center"/>
          </w:tcPr>
          <w:p w14:paraId="3673C36C">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C49DBE2">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14C50BD7">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11AFD24C">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6" w:type="dxa"/>
            <w:tcBorders>
              <w:top w:val="nil"/>
              <w:left w:val="nil"/>
              <w:bottom w:val="single" w:color="auto" w:sz="4" w:space="0"/>
              <w:right w:val="single" w:color="auto" w:sz="4" w:space="0"/>
            </w:tcBorders>
            <w:noWrap w:val="0"/>
            <w:vAlign w:val="center"/>
          </w:tcPr>
          <w:p w14:paraId="60EB8879">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施工单位发生3人以上人身死亡责任事故。</w:t>
            </w:r>
          </w:p>
        </w:tc>
        <w:tc>
          <w:tcPr>
            <w:tcW w:w="3402" w:type="dxa"/>
            <w:tcBorders>
              <w:top w:val="nil"/>
              <w:left w:val="nil"/>
              <w:bottom w:val="single" w:color="auto" w:sz="4" w:space="0"/>
              <w:right w:val="single" w:color="auto" w:sz="4" w:space="0"/>
            </w:tcBorders>
            <w:noWrap w:val="0"/>
            <w:vAlign w:val="center"/>
          </w:tcPr>
          <w:p w14:paraId="77E52C4F">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处以施工单位30万元以上违约金；处以监理单位10万元以上违约金。</w:t>
            </w:r>
          </w:p>
        </w:tc>
        <w:tc>
          <w:tcPr>
            <w:tcW w:w="850" w:type="dxa"/>
            <w:tcBorders>
              <w:top w:val="nil"/>
              <w:left w:val="nil"/>
              <w:bottom w:val="single" w:color="auto" w:sz="4" w:space="0"/>
              <w:right w:val="single" w:color="auto" w:sz="4" w:space="0"/>
            </w:tcBorders>
            <w:noWrap w:val="0"/>
            <w:vAlign w:val="center"/>
          </w:tcPr>
          <w:p w14:paraId="1AFD67B1">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E258154">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22837FA9">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3847EF28">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86" w:type="dxa"/>
            <w:tcBorders>
              <w:top w:val="nil"/>
              <w:left w:val="nil"/>
              <w:bottom w:val="single" w:color="auto" w:sz="4" w:space="0"/>
              <w:right w:val="single" w:color="auto" w:sz="4" w:space="0"/>
            </w:tcBorders>
            <w:noWrap w:val="0"/>
            <w:vAlign w:val="center"/>
          </w:tcPr>
          <w:p w14:paraId="789C71FF">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施工单位发生1-3人人身死亡责任事故。</w:t>
            </w:r>
          </w:p>
        </w:tc>
        <w:tc>
          <w:tcPr>
            <w:tcW w:w="3402" w:type="dxa"/>
            <w:tcBorders>
              <w:top w:val="nil"/>
              <w:left w:val="nil"/>
              <w:bottom w:val="single" w:color="auto" w:sz="4" w:space="0"/>
              <w:right w:val="single" w:color="auto" w:sz="4" w:space="0"/>
            </w:tcBorders>
            <w:noWrap w:val="0"/>
            <w:vAlign w:val="center"/>
          </w:tcPr>
          <w:p w14:paraId="0E9D649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处以施工单位10-30万元的违约金；处以监理单位5-10万元违约金。</w:t>
            </w:r>
          </w:p>
        </w:tc>
        <w:tc>
          <w:tcPr>
            <w:tcW w:w="850" w:type="dxa"/>
            <w:tcBorders>
              <w:top w:val="nil"/>
              <w:left w:val="nil"/>
              <w:bottom w:val="single" w:color="auto" w:sz="4" w:space="0"/>
              <w:right w:val="single" w:color="auto" w:sz="4" w:space="0"/>
            </w:tcBorders>
            <w:noWrap w:val="0"/>
            <w:vAlign w:val="center"/>
          </w:tcPr>
          <w:p w14:paraId="7FB61476">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BF546B9">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4FB6E14F">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454F9BA0">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686" w:type="dxa"/>
            <w:tcBorders>
              <w:top w:val="nil"/>
              <w:left w:val="nil"/>
              <w:bottom w:val="single" w:color="auto" w:sz="4" w:space="0"/>
              <w:right w:val="single" w:color="auto" w:sz="4" w:space="0"/>
            </w:tcBorders>
            <w:noWrap w:val="0"/>
            <w:vAlign w:val="center"/>
          </w:tcPr>
          <w:p w14:paraId="7BD1FDE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施工单位发生重伤事故或3人(含3人)以上群伤事故。</w:t>
            </w:r>
          </w:p>
        </w:tc>
        <w:tc>
          <w:tcPr>
            <w:tcW w:w="3402" w:type="dxa"/>
            <w:tcBorders>
              <w:top w:val="nil"/>
              <w:left w:val="nil"/>
              <w:bottom w:val="single" w:color="auto" w:sz="4" w:space="0"/>
              <w:right w:val="single" w:color="auto" w:sz="4" w:space="0"/>
            </w:tcBorders>
            <w:noWrap w:val="0"/>
            <w:vAlign w:val="center"/>
          </w:tcPr>
          <w:p w14:paraId="006C0D7F">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对施工单位处以5-10万元的违约金。</w:t>
            </w:r>
          </w:p>
        </w:tc>
        <w:tc>
          <w:tcPr>
            <w:tcW w:w="850" w:type="dxa"/>
            <w:tcBorders>
              <w:top w:val="nil"/>
              <w:left w:val="nil"/>
              <w:bottom w:val="single" w:color="auto" w:sz="4" w:space="0"/>
              <w:right w:val="single" w:color="auto" w:sz="4" w:space="0"/>
            </w:tcBorders>
            <w:noWrap w:val="0"/>
            <w:vAlign w:val="center"/>
          </w:tcPr>
          <w:p w14:paraId="6EE95AB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991650D">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50D03A83">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6C084BBE">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686" w:type="dxa"/>
            <w:tcBorders>
              <w:top w:val="nil"/>
              <w:left w:val="nil"/>
              <w:bottom w:val="single" w:color="auto" w:sz="4" w:space="0"/>
              <w:right w:val="single" w:color="auto" w:sz="4" w:space="0"/>
            </w:tcBorders>
            <w:noWrap w:val="0"/>
            <w:vAlign w:val="center"/>
          </w:tcPr>
          <w:p w14:paraId="1416875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发生爆炸物品丢失或者被盗事件。</w:t>
            </w:r>
          </w:p>
        </w:tc>
        <w:tc>
          <w:tcPr>
            <w:tcW w:w="3402" w:type="dxa"/>
            <w:tcBorders>
              <w:top w:val="nil"/>
              <w:left w:val="nil"/>
              <w:bottom w:val="single" w:color="auto" w:sz="4" w:space="0"/>
              <w:right w:val="single" w:color="auto" w:sz="4" w:space="0"/>
            </w:tcBorders>
            <w:noWrap w:val="0"/>
            <w:vAlign w:val="center"/>
          </w:tcPr>
          <w:p w14:paraId="0E3F641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对施工单位处以5-10万元的违约金。</w:t>
            </w:r>
          </w:p>
        </w:tc>
        <w:tc>
          <w:tcPr>
            <w:tcW w:w="850" w:type="dxa"/>
            <w:tcBorders>
              <w:top w:val="nil"/>
              <w:left w:val="nil"/>
              <w:bottom w:val="single" w:color="auto" w:sz="4" w:space="0"/>
              <w:right w:val="single" w:color="auto" w:sz="4" w:space="0"/>
            </w:tcBorders>
            <w:noWrap w:val="0"/>
            <w:vAlign w:val="center"/>
          </w:tcPr>
          <w:p w14:paraId="53847959">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AED1FDC">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546EECD7">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3166C6B5">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3686" w:type="dxa"/>
            <w:tcBorders>
              <w:top w:val="nil"/>
              <w:left w:val="nil"/>
              <w:bottom w:val="single" w:color="auto" w:sz="4" w:space="0"/>
              <w:right w:val="single" w:color="auto" w:sz="4" w:space="0"/>
            </w:tcBorders>
            <w:noWrap w:val="0"/>
            <w:vAlign w:val="center"/>
          </w:tcPr>
          <w:p w14:paraId="0235CC3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发生机械设备、火灾、环境污染、职业卫生伤害(含中毒)事故。</w:t>
            </w:r>
          </w:p>
        </w:tc>
        <w:tc>
          <w:tcPr>
            <w:tcW w:w="3402" w:type="dxa"/>
            <w:tcBorders>
              <w:top w:val="nil"/>
              <w:left w:val="nil"/>
              <w:bottom w:val="single" w:color="auto" w:sz="4" w:space="0"/>
              <w:right w:val="single" w:color="auto" w:sz="4" w:space="0"/>
            </w:tcBorders>
            <w:noWrap w:val="0"/>
            <w:vAlign w:val="center"/>
          </w:tcPr>
          <w:p w14:paraId="660EC3B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对施工单位处以3-5万元的违约金。</w:t>
            </w:r>
          </w:p>
        </w:tc>
        <w:tc>
          <w:tcPr>
            <w:tcW w:w="850" w:type="dxa"/>
            <w:tcBorders>
              <w:top w:val="nil"/>
              <w:left w:val="nil"/>
              <w:bottom w:val="single" w:color="auto" w:sz="4" w:space="0"/>
              <w:right w:val="single" w:color="auto" w:sz="4" w:space="0"/>
            </w:tcBorders>
            <w:noWrap w:val="0"/>
            <w:vAlign w:val="center"/>
          </w:tcPr>
          <w:p w14:paraId="1F0A4E5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725D06A2">
        <w:tblPrEx>
          <w:tblCellMar>
            <w:top w:w="0" w:type="dxa"/>
            <w:left w:w="108" w:type="dxa"/>
            <w:bottom w:w="0" w:type="dxa"/>
            <w:right w:w="108" w:type="dxa"/>
          </w:tblCellMar>
        </w:tblPrEx>
        <w:trPr>
          <w:cantSplit/>
          <w:trHeight w:val="454" w:hRule="exact"/>
          <w:jc w:val="center"/>
        </w:trPr>
        <w:tc>
          <w:tcPr>
            <w:tcW w:w="710" w:type="dxa"/>
            <w:vMerge w:val="continue"/>
            <w:tcBorders>
              <w:left w:val="single" w:color="auto" w:sz="4" w:space="0"/>
              <w:right w:val="single" w:color="auto" w:sz="4" w:space="0"/>
            </w:tcBorders>
            <w:noWrap w:val="0"/>
            <w:vAlign w:val="center"/>
          </w:tcPr>
          <w:p w14:paraId="5497E079">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079B7B62">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3686" w:type="dxa"/>
            <w:tcBorders>
              <w:top w:val="nil"/>
              <w:left w:val="nil"/>
              <w:bottom w:val="single" w:color="auto" w:sz="4" w:space="0"/>
              <w:right w:val="single" w:color="auto" w:sz="4" w:space="0"/>
            </w:tcBorders>
            <w:noWrap w:val="0"/>
            <w:vAlign w:val="center"/>
          </w:tcPr>
          <w:p w14:paraId="7702E24B">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施工现场发生高空坠物现象。</w:t>
            </w:r>
          </w:p>
        </w:tc>
        <w:tc>
          <w:tcPr>
            <w:tcW w:w="3402" w:type="dxa"/>
            <w:tcBorders>
              <w:top w:val="nil"/>
              <w:left w:val="nil"/>
              <w:bottom w:val="single" w:color="auto" w:sz="4" w:space="0"/>
              <w:right w:val="single" w:color="auto" w:sz="4" w:space="0"/>
            </w:tcBorders>
            <w:noWrap w:val="0"/>
            <w:vAlign w:val="center"/>
          </w:tcPr>
          <w:p w14:paraId="58A7173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对施工单位处以l-2万元的违约金。</w:t>
            </w:r>
          </w:p>
        </w:tc>
        <w:tc>
          <w:tcPr>
            <w:tcW w:w="850" w:type="dxa"/>
            <w:tcBorders>
              <w:top w:val="nil"/>
              <w:left w:val="nil"/>
              <w:bottom w:val="single" w:color="auto" w:sz="4" w:space="0"/>
              <w:right w:val="single" w:color="auto" w:sz="4" w:space="0"/>
            </w:tcBorders>
            <w:noWrap w:val="0"/>
            <w:vAlign w:val="center"/>
          </w:tcPr>
          <w:p w14:paraId="29BBFF84">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6E8432E">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6F1CB6A2">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6229DAA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3686" w:type="dxa"/>
            <w:tcBorders>
              <w:top w:val="nil"/>
              <w:left w:val="nil"/>
              <w:bottom w:val="single" w:color="auto" w:sz="4" w:space="0"/>
              <w:right w:val="single" w:color="auto" w:sz="4" w:space="0"/>
            </w:tcBorders>
            <w:noWrap w:val="0"/>
            <w:vAlign w:val="center"/>
          </w:tcPr>
          <w:p w14:paraId="0264C76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施工单位因拖欠农民工工资引发影响恶劣的群体性事件。</w:t>
            </w:r>
          </w:p>
        </w:tc>
        <w:tc>
          <w:tcPr>
            <w:tcW w:w="3402" w:type="dxa"/>
            <w:tcBorders>
              <w:top w:val="nil"/>
              <w:left w:val="nil"/>
              <w:bottom w:val="single" w:color="auto" w:sz="4" w:space="0"/>
              <w:right w:val="single" w:color="auto" w:sz="4" w:space="0"/>
            </w:tcBorders>
            <w:noWrap w:val="0"/>
            <w:vAlign w:val="center"/>
          </w:tcPr>
          <w:p w14:paraId="02CF987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对施工单位处以3-5万元的违约金。</w:t>
            </w:r>
          </w:p>
        </w:tc>
        <w:tc>
          <w:tcPr>
            <w:tcW w:w="850" w:type="dxa"/>
            <w:tcBorders>
              <w:top w:val="nil"/>
              <w:left w:val="nil"/>
              <w:bottom w:val="single" w:color="auto" w:sz="4" w:space="0"/>
              <w:right w:val="single" w:color="auto" w:sz="4" w:space="0"/>
            </w:tcBorders>
            <w:noWrap w:val="0"/>
            <w:vAlign w:val="center"/>
          </w:tcPr>
          <w:p w14:paraId="0FA3CCF4">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F09B4AA">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bottom w:val="single" w:color="auto" w:sz="4" w:space="0"/>
              <w:right w:val="single" w:color="auto" w:sz="4" w:space="0"/>
            </w:tcBorders>
            <w:noWrap w:val="0"/>
            <w:vAlign w:val="center"/>
          </w:tcPr>
          <w:p w14:paraId="2FD65329">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50714844">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3686" w:type="dxa"/>
            <w:tcBorders>
              <w:top w:val="nil"/>
              <w:left w:val="nil"/>
              <w:bottom w:val="single" w:color="auto" w:sz="4" w:space="0"/>
              <w:right w:val="single" w:color="auto" w:sz="4" w:space="0"/>
            </w:tcBorders>
            <w:noWrap w:val="0"/>
            <w:vAlign w:val="center"/>
          </w:tcPr>
          <w:p w14:paraId="328B687B">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发生事故后隐瞒不报、谎报或拖延不报的单位。</w:t>
            </w:r>
          </w:p>
        </w:tc>
        <w:tc>
          <w:tcPr>
            <w:tcW w:w="3402" w:type="dxa"/>
            <w:tcBorders>
              <w:top w:val="nil"/>
              <w:left w:val="nil"/>
              <w:bottom w:val="single" w:color="auto" w:sz="4" w:space="0"/>
              <w:right w:val="single" w:color="auto" w:sz="4" w:space="0"/>
            </w:tcBorders>
            <w:noWrap w:val="0"/>
            <w:vAlign w:val="center"/>
          </w:tcPr>
          <w:p w14:paraId="0761B09E">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处以该单位3-5万元的违约金。</w:t>
            </w:r>
          </w:p>
        </w:tc>
        <w:tc>
          <w:tcPr>
            <w:tcW w:w="850" w:type="dxa"/>
            <w:tcBorders>
              <w:top w:val="nil"/>
              <w:left w:val="nil"/>
              <w:bottom w:val="single" w:color="auto" w:sz="4" w:space="0"/>
              <w:right w:val="single" w:color="auto" w:sz="4" w:space="0"/>
            </w:tcBorders>
            <w:noWrap w:val="0"/>
            <w:vAlign w:val="center"/>
          </w:tcPr>
          <w:p w14:paraId="5746B35D">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507860E">
        <w:tblPrEx>
          <w:tblCellMar>
            <w:top w:w="0" w:type="dxa"/>
            <w:left w:w="108" w:type="dxa"/>
            <w:bottom w:w="0" w:type="dxa"/>
            <w:right w:w="108" w:type="dxa"/>
          </w:tblCellMar>
        </w:tblPrEx>
        <w:trPr>
          <w:cantSplit/>
          <w:trHeight w:val="1701" w:hRule="exac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14:paraId="3CB58674">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违规违章处罚办法</w:t>
            </w:r>
          </w:p>
        </w:tc>
        <w:tc>
          <w:tcPr>
            <w:tcW w:w="708" w:type="dxa"/>
            <w:tcBorders>
              <w:top w:val="single" w:color="auto" w:sz="4" w:space="0"/>
              <w:left w:val="nil"/>
              <w:bottom w:val="single" w:color="auto" w:sz="4" w:space="0"/>
              <w:right w:val="single" w:color="auto" w:sz="4" w:space="0"/>
            </w:tcBorders>
            <w:noWrap w:val="0"/>
            <w:vAlign w:val="center"/>
          </w:tcPr>
          <w:p w14:paraId="526B5534">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686" w:type="dxa"/>
            <w:tcBorders>
              <w:top w:val="single" w:color="auto" w:sz="4" w:space="0"/>
              <w:left w:val="nil"/>
              <w:bottom w:val="single" w:color="auto" w:sz="4" w:space="0"/>
              <w:right w:val="single" w:color="auto" w:sz="4" w:space="0"/>
            </w:tcBorders>
            <w:noWrap w:val="0"/>
            <w:vAlign w:val="center"/>
          </w:tcPr>
          <w:p w14:paraId="2CF74B6F">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未建立健全安全生产责任制度(含消防)和安全生产教育培训制度，未制定安全生产规章制度和操作规程(含消防)或经检查发现制度、规程流于形式而未严格执行。</w:t>
            </w:r>
          </w:p>
        </w:tc>
        <w:tc>
          <w:tcPr>
            <w:tcW w:w="3402" w:type="dxa"/>
            <w:tcBorders>
              <w:top w:val="nil"/>
              <w:left w:val="nil"/>
              <w:bottom w:val="single" w:color="auto" w:sz="4" w:space="0"/>
              <w:right w:val="single" w:color="auto" w:sz="4" w:space="0"/>
            </w:tcBorders>
            <w:noWrap w:val="0"/>
            <w:vAlign w:val="center"/>
          </w:tcPr>
          <w:p w14:paraId="4A3A3599">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618FB59D">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AF34948">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11E74BA6">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8160977">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3686" w:type="dxa"/>
            <w:tcBorders>
              <w:top w:val="single" w:color="auto" w:sz="4" w:space="0"/>
              <w:left w:val="nil"/>
              <w:bottom w:val="single" w:color="auto" w:sz="4" w:space="0"/>
              <w:right w:val="single" w:color="auto" w:sz="4" w:space="0"/>
            </w:tcBorders>
            <w:noWrap w:val="0"/>
            <w:vAlign w:val="center"/>
          </w:tcPr>
          <w:p w14:paraId="3AA30FC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在施工组织设计中未编制安全技术措施和施工现场临时用电方案。</w:t>
            </w:r>
          </w:p>
        </w:tc>
        <w:tc>
          <w:tcPr>
            <w:tcW w:w="3402" w:type="dxa"/>
            <w:tcBorders>
              <w:top w:val="nil"/>
              <w:left w:val="nil"/>
              <w:bottom w:val="single" w:color="auto" w:sz="4" w:space="0"/>
              <w:right w:val="single" w:color="auto" w:sz="4" w:space="0"/>
            </w:tcBorders>
            <w:noWrap w:val="0"/>
            <w:vAlign w:val="center"/>
          </w:tcPr>
          <w:p w14:paraId="7A45DEA7">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3D892076">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B7144FF">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2128315E">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59D7BB53">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3686" w:type="dxa"/>
            <w:tcBorders>
              <w:top w:val="single" w:color="auto" w:sz="4" w:space="0"/>
              <w:left w:val="nil"/>
              <w:bottom w:val="single" w:color="auto" w:sz="4" w:space="0"/>
              <w:right w:val="single" w:color="auto" w:sz="4" w:space="0"/>
            </w:tcBorders>
            <w:noWrap w:val="0"/>
            <w:vAlign w:val="center"/>
          </w:tcPr>
          <w:p w14:paraId="2BCBFDA0">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对所承担的工程项目未进行定期和专项安全检查，无安全检查记录或记录不全。</w:t>
            </w:r>
          </w:p>
        </w:tc>
        <w:tc>
          <w:tcPr>
            <w:tcW w:w="3402" w:type="dxa"/>
            <w:tcBorders>
              <w:top w:val="single" w:color="auto" w:sz="4" w:space="0"/>
              <w:left w:val="nil"/>
              <w:bottom w:val="single" w:color="auto" w:sz="4" w:space="0"/>
              <w:right w:val="single" w:color="auto" w:sz="4" w:space="0"/>
            </w:tcBorders>
            <w:noWrap w:val="0"/>
            <w:vAlign w:val="center"/>
          </w:tcPr>
          <w:p w14:paraId="4E805887">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1879E26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B9ABFBA">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2F828FB5">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30040D8">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3686" w:type="dxa"/>
            <w:tcBorders>
              <w:top w:val="single" w:color="auto" w:sz="4" w:space="0"/>
              <w:left w:val="nil"/>
              <w:bottom w:val="single" w:color="auto" w:sz="4" w:space="0"/>
              <w:right w:val="single" w:color="auto" w:sz="4" w:space="0"/>
            </w:tcBorders>
            <w:noWrap w:val="0"/>
            <w:vAlign w:val="center"/>
          </w:tcPr>
          <w:p w14:paraId="577FB313">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未按规定组织全体施工人员进行年度安全工作规程考试。</w:t>
            </w:r>
          </w:p>
        </w:tc>
        <w:tc>
          <w:tcPr>
            <w:tcW w:w="3402" w:type="dxa"/>
            <w:tcBorders>
              <w:top w:val="single" w:color="auto" w:sz="4" w:space="0"/>
              <w:left w:val="nil"/>
              <w:bottom w:val="single" w:color="auto" w:sz="4" w:space="0"/>
              <w:right w:val="single" w:color="auto" w:sz="4" w:space="0"/>
            </w:tcBorders>
            <w:noWrap w:val="0"/>
            <w:vAlign w:val="center"/>
          </w:tcPr>
          <w:p w14:paraId="3B2973C9">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51847CF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7096C4F">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737F024B">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207F833">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3686" w:type="dxa"/>
            <w:tcBorders>
              <w:top w:val="single" w:color="auto" w:sz="4" w:space="0"/>
              <w:left w:val="nil"/>
              <w:bottom w:val="single" w:color="auto" w:sz="4" w:space="0"/>
              <w:right w:val="single" w:color="auto" w:sz="4" w:space="0"/>
            </w:tcBorders>
            <w:noWrap w:val="0"/>
            <w:vAlign w:val="center"/>
          </w:tcPr>
          <w:p w14:paraId="4F61C7A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未按有关规定设置安全监督机构并配备满足施工要求的安监人员。</w:t>
            </w:r>
          </w:p>
        </w:tc>
        <w:tc>
          <w:tcPr>
            <w:tcW w:w="3402" w:type="dxa"/>
            <w:tcBorders>
              <w:top w:val="single" w:color="auto" w:sz="4" w:space="0"/>
              <w:left w:val="nil"/>
              <w:bottom w:val="single" w:color="auto" w:sz="4" w:space="0"/>
              <w:right w:val="single" w:color="auto" w:sz="4" w:space="0"/>
            </w:tcBorders>
            <w:noWrap w:val="0"/>
            <w:vAlign w:val="center"/>
          </w:tcPr>
          <w:p w14:paraId="1DC78C4A">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237C0626">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5297E2F">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right w:val="single" w:color="auto" w:sz="4" w:space="0"/>
            </w:tcBorders>
            <w:noWrap w:val="0"/>
            <w:vAlign w:val="center"/>
          </w:tcPr>
          <w:p w14:paraId="1269006C">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E90C50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3686" w:type="dxa"/>
            <w:tcBorders>
              <w:top w:val="single" w:color="auto" w:sz="4" w:space="0"/>
              <w:left w:val="nil"/>
              <w:bottom w:val="single" w:color="auto" w:sz="4" w:space="0"/>
              <w:right w:val="single" w:color="auto" w:sz="4" w:space="0"/>
            </w:tcBorders>
            <w:noWrap w:val="0"/>
            <w:vAlign w:val="center"/>
          </w:tcPr>
          <w:p w14:paraId="665B493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对新招入的施工人员未按规定进行三级安全教育（含没有三级安全教育记录）而安排上岗作业。</w:t>
            </w:r>
          </w:p>
        </w:tc>
        <w:tc>
          <w:tcPr>
            <w:tcW w:w="3402" w:type="dxa"/>
            <w:tcBorders>
              <w:top w:val="single" w:color="auto" w:sz="4" w:space="0"/>
              <w:left w:val="nil"/>
              <w:bottom w:val="single" w:color="auto" w:sz="4" w:space="0"/>
              <w:right w:val="single" w:color="auto" w:sz="4" w:space="0"/>
            </w:tcBorders>
            <w:noWrap w:val="0"/>
            <w:vAlign w:val="center"/>
          </w:tcPr>
          <w:p w14:paraId="4E3517C3">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52B47C31">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71081B9">
        <w:tblPrEx>
          <w:tblCellMar>
            <w:top w:w="0" w:type="dxa"/>
            <w:left w:w="108" w:type="dxa"/>
            <w:bottom w:w="0" w:type="dxa"/>
            <w:right w:w="108" w:type="dxa"/>
          </w:tblCellMar>
        </w:tblPrEx>
        <w:trPr>
          <w:cantSplit/>
          <w:trHeight w:val="2381" w:hRule="exact"/>
          <w:jc w:val="center"/>
        </w:trPr>
        <w:tc>
          <w:tcPr>
            <w:tcW w:w="710" w:type="dxa"/>
            <w:vMerge w:val="restart"/>
            <w:tcBorders>
              <w:left w:val="single" w:color="auto" w:sz="4" w:space="0"/>
              <w:right w:val="single" w:color="auto" w:sz="4" w:space="0"/>
            </w:tcBorders>
            <w:noWrap w:val="0"/>
            <w:vAlign w:val="center"/>
          </w:tcPr>
          <w:p w14:paraId="27D436E4">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违规违章处罚办法</w:t>
            </w:r>
          </w:p>
        </w:tc>
        <w:tc>
          <w:tcPr>
            <w:tcW w:w="708" w:type="dxa"/>
            <w:tcBorders>
              <w:top w:val="single" w:color="auto" w:sz="4" w:space="0"/>
              <w:left w:val="nil"/>
              <w:bottom w:val="single" w:color="auto" w:sz="4" w:space="0"/>
              <w:right w:val="single" w:color="auto" w:sz="4" w:space="0"/>
            </w:tcBorders>
            <w:noWrap w:val="0"/>
            <w:vAlign w:val="center"/>
          </w:tcPr>
          <w:p w14:paraId="502F8347">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3686" w:type="dxa"/>
            <w:tcBorders>
              <w:top w:val="single" w:color="auto" w:sz="4" w:space="0"/>
              <w:left w:val="nil"/>
              <w:bottom w:val="single" w:color="auto" w:sz="4" w:space="0"/>
              <w:right w:val="single" w:color="auto" w:sz="4" w:space="0"/>
            </w:tcBorders>
            <w:noWrap w:val="0"/>
            <w:vAlign w:val="center"/>
          </w:tcPr>
          <w:p w14:paraId="03F2B3F7">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基坑支护与降水工程、土方开挖工程、模板工程、起重吊装工程、桥梁架设及安装工程、隧道挖掘通风和支护工程、脚手架工程、拆除、爆破工程等九种任何一项未编制专项施工方案，并未经施工单位技术负责人、总监理工程师签名确认后施工。</w:t>
            </w:r>
          </w:p>
        </w:tc>
        <w:tc>
          <w:tcPr>
            <w:tcW w:w="3402" w:type="dxa"/>
            <w:tcBorders>
              <w:top w:val="single" w:color="auto" w:sz="4" w:space="0"/>
              <w:left w:val="nil"/>
              <w:bottom w:val="single" w:color="auto" w:sz="4" w:space="0"/>
              <w:right w:val="single" w:color="auto" w:sz="4" w:space="0"/>
            </w:tcBorders>
            <w:noWrap w:val="0"/>
            <w:vAlign w:val="center"/>
          </w:tcPr>
          <w:p w14:paraId="100E1A38">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3F094AE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C0E884F">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77AB1530">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DEDD3D5">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3686" w:type="dxa"/>
            <w:tcBorders>
              <w:top w:val="single" w:color="auto" w:sz="4" w:space="0"/>
              <w:left w:val="nil"/>
              <w:bottom w:val="single" w:color="auto" w:sz="4" w:space="0"/>
              <w:right w:val="single" w:color="auto" w:sz="4" w:space="0"/>
            </w:tcBorders>
            <w:noWrap w:val="0"/>
            <w:vAlign w:val="center"/>
          </w:tcPr>
          <w:p w14:paraId="49B028C9">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各项施工方案实施过程中未由专职安全生产管理人员现场进行监督。</w:t>
            </w:r>
          </w:p>
        </w:tc>
        <w:tc>
          <w:tcPr>
            <w:tcW w:w="3402" w:type="dxa"/>
            <w:tcBorders>
              <w:top w:val="single" w:color="auto" w:sz="4" w:space="0"/>
              <w:left w:val="nil"/>
              <w:bottom w:val="single" w:color="auto" w:sz="4" w:space="0"/>
              <w:right w:val="single" w:color="auto" w:sz="4" w:space="0"/>
            </w:tcBorders>
            <w:noWrap w:val="0"/>
            <w:vAlign w:val="center"/>
          </w:tcPr>
          <w:p w14:paraId="3322D153">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7B634353">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500697D">
        <w:tblPrEx>
          <w:tblCellMar>
            <w:top w:w="0" w:type="dxa"/>
            <w:left w:w="108" w:type="dxa"/>
            <w:bottom w:w="0" w:type="dxa"/>
            <w:right w:w="108" w:type="dxa"/>
          </w:tblCellMar>
        </w:tblPrEx>
        <w:trPr>
          <w:cantSplit/>
          <w:trHeight w:val="1701" w:hRule="exact"/>
          <w:jc w:val="center"/>
        </w:trPr>
        <w:tc>
          <w:tcPr>
            <w:tcW w:w="710" w:type="dxa"/>
            <w:vMerge w:val="continue"/>
            <w:tcBorders>
              <w:left w:val="single" w:color="auto" w:sz="4" w:space="0"/>
              <w:right w:val="single" w:color="auto" w:sz="4" w:space="0"/>
            </w:tcBorders>
            <w:noWrap w:val="0"/>
            <w:vAlign w:val="center"/>
          </w:tcPr>
          <w:p w14:paraId="40A840F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5C5C88BF">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3686" w:type="dxa"/>
            <w:tcBorders>
              <w:top w:val="single" w:color="auto" w:sz="4" w:space="0"/>
              <w:left w:val="nil"/>
              <w:bottom w:val="single" w:color="auto" w:sz="4" w:space="0"/>
              <w:right w:val="single" w:color="auto" w:sz="4" w:space="0"/>
            </w:tcBorders>
            <w:noWrap w:val="0"/>
            <w:vAlign w:val="center"/>
          </w:tcPr>
          <w:p w14:paraId="110A8F5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开工前未进行安全技术交底（以接受交底的全体技术人员签名为准）而进行施工作业，未按规定为施工人员提供符合国家标准或者行业标准的劳动保护用品。</w:t>
            </w:r>
          </w:p>
        </w:tc>
        <w:tc>
          <w:tcPr>
            <w:tcW w:w="3402" w:type="dxa"/>
            <w:tcBorders>
              <w:top w:val="single" w:color="auto" w:sz="4" w:space="0"/>
              <w:left w:val="nil"/>
              <w:bottom w:val="single" w:color="auto" w:sz="4" w:space="0"/>
              <w:right w:val="single" w:color="auto" w:sz="4" w:space="0"/>
            </w:tcBorders>
            <w:noWrap w:val="0"/>
            <w:vAlign w:val="center"/>
          </w:tcPr>
          <w:p w14:paraId="57111907">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22083E2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6D92C6F">
        <w:tblPrEx>
          <w:tblCellMar>
            <w:top w:w="0" w:type="dxa"/>
            <w:left w:w="108" w:type="dxa"/>
            <w:bottom w:w="0" w:type="dxa"/>
            <w:right w:w="108" w:type="dxa"/>
          </w:tblCellMar>
        </w:tblPrEx>
        <w:trPr>
          <w:cantSplit/>
          <w:trHeight w:val="1474" w:hRule="exact"/>
          <w:jc w:val="center"/>
        </w:trPr>
        <w:tc>
          <w:tcPr>
            <w:tcW w:w="710" w:type="dxa"/>
            <w:vMerge w:val="continue"/>
            <w:tcBorders>
              <w:left w:val="single" w:color="auto" w:sz="4" w:space="0"/>
              <w:right w:val="single" w:color="auto" w:sz="4" w:space="0"/>
            </w:tcBorders>
            <w:noWrap w:val="0"/>
            <w:vAlign w:val="center"/>
          </w:tcPr>
          <w:p w14:paraId="67C2897C">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6234066">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3686" w:type="dxa"/>
            <w:tcBorders>
              <w:top w:val="single" w:color="auto" w:sz="4" w:space="0"/>
              <w:left w:val="nil"/>
              <w:bottom w:val="single" w:color="auto" w:sz="4" w:space="0"/>
              <w:right w:val="single" w:color="auto" w:sz="4" w:space="0"/>
            </w:tcBorders>
            <w:noWrap w:val="0"/>
            <w:vAlign w:val="center"/>
          </w:tcPr>
          <w:p w14:paraId="7F9BC870">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起重机械（汽车起重机、塔式起重机、门式起重机、架桥机）未经具有专业资质的检验检测机构检验检测合格，缺少安全使用证或者安全标志而投入使用。</w:t>
            </w:r>
          </w:p>
        </w:tc>
        <w:tc>
          <w:tcPr>
            <w:tcW w:w="3402" w:type="dxa"/>
            <w:tcBorders>
              <w:top w:val="single" w:color="auto" w:sz="4" w:space="0"/>
              <w:left w:val="nil"/>
              <w:bottom w:val="single" w:color="auto" w:sz="4" w:space="0"/>
              <w:right w:val="single" w:color="auto" w:sz="4" w:space="0"/>
            </w:tcBorders>
            <w:noWrap w:val="0"/>
            <w:vAlign w:val="center"/>
          </w:tcPr>
          <w:p w14:paraId="570D8C9A">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6931038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BAA70A6">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63700AA2">
            <w:pPr>
              <w:overflowPunct w:val="0"/>
              <w:autoSpaceDE w:val="0"/>
              <w:autoSpaceDN w:val="0"/>
              <w:adjustRightInd w:val="0"/>
              <w:snapToGrid w:val="0"/>
              <w:spacing w:line="320" w:lineRule="exac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B601CE3">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3686" w:type="dxa"/>
            <w:tcBorders>
              <w:top w:val="single" w:color="auto" w:sz="4" w:space="0"/>
              <w:left w:val="nil"/>
              <w:bottom w:val="single" w:color="auto" w:sz="4" w:space="0"/>
              <w:right w:val="single" w:color="auto" w:sz="4" w:space="0"/>
            </w:tcBorders>
            <w:noWrap w:val="0"/>
            <w:vAlign w:val="center"/>
          </w:tcPr>
          <w:p w14:paraId="6F737C7B">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起重吊装、爆破作业不设指挥，无联系信号或信号不当，安全技术措施不落实。</w:t>
            </w:r>
          </w:p>
        </w:tc>
        <w:tc>
          <w:tcPr>
            <w:tcW w:w="3402" w:type="dxa"/>
            <w:tcBorders>
              <w:top w:val="single" w:color="auto" w:sz="4" w:space="0"/>
              <w:left w:val="nil"/>
              <w:bottom w:val="single" w:color="auto" w:sz="4" w:space="0"/>
              <w:right w:val="single" w:color="auto" w:sz="4" w:space="0"/>
            </w:tcBorders>
            <w:noWrap w:val="0"/>
            <w:vAlign w:val="center"/>
          </w:tcPr>
          <w:p w14:paraId="24C000D1">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0785868C">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7680B907">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2E77A131">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7254897F">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3686" w:type="dxa"/>
            <w:tcBorders>
              <w:top w:val="nil"/>
              <w:left w:val="nil"/>
              <w:bottom w:val="single" w:color="auto" w:sz="4" w:space="0"/>
              <w:right w:val="single" w:color="auto" w:sz="4" w:space="0"/>
            </w:tcBorders>
            <w:noWrap w:val="0"/>
            <w:vAlign w:val="center"/>
          </w:tcPr>
          <w:p w14:paraId="5D7F7A4E">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雷管和炸药放置在同一容器或者同一辆车内运送。</w:t>
            </w:r>
          </w:p>
        </w:tc>
        <w:tc>
          <w:tcPr>
            <w:tcW w:w="3402" w:type="dxa"/>
            <w:tcBorders>
              <w:top w:val="nil"/>
              <w:left w:val="nil"/>
              <w:bottom w:val="single" w:color="auto" w:sz="4" w:space="0"/>
              <w:right w:val="single" w:color="auto" w:sz="4" w:space="0"/>
            </w:tcBorders>
            <w:noWrap w:val="0"/>
            <w:vAlign w:val="center"/>
          </w:tcPr>
          <w:p w14:paraId="2F26324C">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noWrap w:val="0"/>
            <w:vAlign w:val="center"/>
          </w:tcPr>
          <w:p w14:paraId="78118DC6">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773CFD30">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5B998A1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43ACE5EA">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3686" w:type="dxa"/>
            <w:tcBorders>
              <w:top w:val="nil"/>
              <w:left w:val="nil"/>
              <w:bottom w:val="single" w:color="auto" w:sz="4" w:space="0"/>
              <w:right w:val="single" w:color="auto" w:sz="4" w:space="0"/>
            </w:tcBorders>
            <w:noWrap w:val="0"/>
            <w:vAlign w:val="center"/>
          </w:tcPr>
          <w:p w14:paraId="505FE0B3">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用翻斗车、自卸汽车、拖车、拖拉机、机动三轮车、人力三轮车、自行车、摩托车和皮带运输机运送爆破器材。</w:t>
            </w:r>
          </w:p>
        </w:tc>
        <w:tc>
          <w:tcPr>
            <w:tcW w:w="3402" w:type="dxa"/>
            <w:tcBorders>
              <w:top w:val="nil"/>
              <w:left w:val="nil"/>
              <w:bottom w:val="single" w:color="auto" w:sz="4" w:space="0"/>
              <w:right w:val="single" w:color="auto" w:sz="4" w:space="0"/>
            </w:tcBorders>
            <w:noWrap w:val="0"/>
            <w:vAlign w:val="center"/>
          </w:tcPr>
          <w:p w14:paraId="09FB125B">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noWrap w:val="0"/>
            <w:vAlign w:val="center"/>
          </w:tcPr>
          <w:p w14:paraId="6354664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70A4ECA">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22E7339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4DC788DD">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3686" w:type="dxa"/>
            <w:tcBorders>
              <w:top w:val="nil"/>
              <w:left w:val="nil"/>
              <w:bottom w:val="single" w:color="auto" w:sz="4" w:space="0"/>
              <w:right w:val="single" w:color="auto" w:sz="4" w:space="0"/>
            </w:tcBorders>
            <w:noWrap w:val="0"/>
            <w:vAlign w:val="center"/>
          </w:tcPr>
          <w:p w14:paraId="672956E0">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爆炸物品出入库台账无记录或记录不全(含签名)、账实不符。</w:t>
            </w:r>
          </w:p>
        </w:tc>
        <w:tc>
          <w:tcPr>
            <w:tcW w:w="3402" w:type="dxa"/>
            <w:tcBorders>
              <w:top w:val="nil"/>
              <w:left w:val="nil"/>
              <w:bottom w:val="single" w:color="auto" w:sz="4" w:space="0"/>
              <w:right w:val="single" w:color="auto" w:sz="4" w:space="0"/>
            </w:tcBorders>
            <w:noWrap w:val="0"/>
            <w:vAlign w:val="center"/>
          </w:tcPr>
          <w:p w14:paraId="0AC3E5DA">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noWrap w:val="0"/>
            <w:vAlign w:val="center"/>
          </w:tcPr>
          <w:p w14:paraId="1ECEEC03">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0D58F08">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69381BD8">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6FA5D40E">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3686" w:type="dxa"/>
            <w:tcBorders>
              <w:top w:val="nil"/>
              <w:left w:val="nil"/>
              <w:bottom w:val="single" w:color="auto" w:sz="4" w:space="0"/>
              <w:right w:val="single" w:color="auto" w:sz="4" w:space="0"/>
            </w:tcBorders>
            <w:noWrap w:val="0"/>
            <w:vAlign w:val="center"/>
          </w:tcPr>
          <w:p w14:paraId="192F264C">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通风机停止时，隧道洞内有人作业或逗留。</w:t>
            </w:r>
          </w:p>
        </w:tc>
        <w:tc>
          <w:tcPr>
            <w:tcW w:w="3402" w:type="dxa"/>
            <w:tcBorders>
              <w:top w:val="nil"/>
              <w:left w:val="nil"/>
              <w:bottom w:val="single" w:color="auto" w:sz="4" w:space="0"/>
              <w:right w:val="single" w:color="auto" w:sz="4" w:space="0"/>
            </w:tcBorders>
            <w:noWrap w:val="0"/>
            <w:vAlign w:val="center"/>
          </w:tcPr>
          <w:p w14:paraId="11860AB5">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noWrap w:val="0"/>
            <w:vAlign w:val="center"/>
          </w:tcPr>
          <w:p w14:paraId="76A91942">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58E9364">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bottom w:val="single" w:color="auto" w:sz="4" w:space="0"/>
              <w:right w:val="single" w:color="auto" w:sz="4" w:space="0"/>
            </w:tcBorders>
            <w:noWrap w:val="0"/>
            <w:vAlign w:val="center"/>
          </w:tcPr>
          <w:p w14:paraId="5051EFBB">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1872E5BD">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3686" w:type="dxa"/>
            <w:tcBorders>
              <w:top w:val="nil"/>
              <w:left w:val="nil"/>
              <w:bottom w:val="single" w:color="auto" w:sz="4" w:space="0"/>
              <w:right w:val="single" w:color="auto" w:sz="4" w:space="0"/>
            </w:tcBorders>
            <w:noWrap w:val="0"/>
            <w:vAlign w:val="center"/>
          </w:tcPr>
          <w:p w14:paraId="7F9F311A">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隧道洞内、油库区、炸药库区、氧气库、乙炔库、发(变)电房内明火作业或取暖或发现吸烟者</w:t>
            </w:r>
          </w:p>
        </w:tc>
        <w:tc>
          <w:tcPr>
            <w:tcW w:w="3402" w:type="dxa"/>
            <w:tcBorders>
              <w:top w:val="nil"/>
              <w:left w:val="nil"/>
              <w:bottom w:val="single" w:color="auto" w:sz="4" w:space="0"/>
              <w:right w:val="single" w:color="auto" w:sz="4" w:space="0"/>
            </w:tcBorders>
            <w:noWrap w:val="0"/>
            <w:vAlign w:val="center"/>
          </w:tcPr>
          <w:p w14:paraId="65A8357A">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noWrap w:val="0"/>
            <w:vAlign w:val="center"/>
          </w:tcPr>
          <w:p w14:paraId="6A032EB2">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0B53491">
        <w:tblPrEx>
          <w:tblCellMar>
            <w:top w:w="0" w:type="dxa"/>
            <w:left w:w="108" w:type="dxa"/>
            <w:bottom w:w="0" w:type="dxa"/>
            <w:right w:w="108" w:type="dxa"/>
          </w:tblCellMar>
        </w:tblPrEx>
        <w:trPr>
          <w:cantSplit/>
          <w:trHeight w:val="1361" w:hRule="exac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14:paraId="57A70CDA">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b/>
                <w:bCs/>
                <w:color w:val="auto"/>
                <w:kern w:val="0"/>
                <w:szCs w:val="21"/>
                <w:highlight w:val="none"/>
              </w:rPr>
              <w:t>违规违章处罚办法</w:t>
            </w:r>
          </w:p>
        </w:tc>
        <w:tc>
          <w:tcPr>
            <w:tcW w:w="708" w:type="dxa"/>
            <w:tcBorders>
              <w:top w:val="single" w:color="auto" w:sz="4" w:space="0"/>
              <w:left w:val="nil"/>
              <w:bottom w:val="single" w:color="auto" w:sz="4" w:space="0"/>
              <w:right w:val="single" w:color="auto" w:sz="4" w:space="0"/>
            </w:tcBorders>
            <w:noWrap w:val="0"/>
            <w:vAlign w:val="center"/>
          </w:tcPr>
          <w:p w14:paraId="40A3A953">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3686" w:type="dxa"/>
            <w:tcBorders>
              <w:top w:val="single" w:color="auto" w:sz="4" w:space="0"/>
              <w:left w:val="nil"/>
              <w:bottom w:val="single" w:color="auto" w:sz="4" w:space="0"/>
              <w:right w:val="single" w:color="auto" w:sz="4" w:space="0"/>
            </w:tcBorders>
            <w:noWrap w:val="0"/>
            <w:vAlign w:val="center"/>
          </w:tcPr>
          <w:p w14:paraId="5EE403B4">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随意排放废油、废水、废气、废物、泥浆，乱倒生活垃圾、建筑垃圾，对环境造成不良影响，不按指定位置取土、弃土。</w:t>
            </w:r>
          </w:p>
        </w:tc>
        <w:tc>
          <w:tcPr>
            <w:tcW w:w="3402" w:type="dxa"/>
            <w:tcBorders>
              <w:top w:val="single" w:color="auto" w:sz="4" w:space="0"/>
              <w:left w:val="nil"/>
              <w:bottom w:val="single" w:color="auto" w:sz="4" w:space="0"/>
              <w:right w:val="single" w:color="auto" w:sz="4" w:space="0"/>
            </w:tcBorders>
            <w:noWrap w:val="0"/>
            <w:vAlign w:val="center"/>
          </w:tcPr>
          <w:p w14:paraId="4CBF4764">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6220296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03ACAFD">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14C9D868">
            <w:pPr>
              <w:overflowPunct w:val="0"/>
              <w:autoSpaceDE w:val="0"/>
              <w:autoSpaceDN w:val="0"/>
              <w:adjustRightInd w:val="0"/>
              <w:snapToGrid w:val="0"/>
              <w:spacing w:line="320" w:lineRule="exac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440BCFC">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3686" w:type="dxa"/>
            <w:tcBorders>
              <w:top w:val="single" w:color="auto" w:sz="4" w:space="0"/>
              <w:left w:val="nil"/>
              <w:bottom w:val="single" w:color="auto" w:sz="4" w:space="0"/>
              <w:right w:val="single" w:color="auto" w:sz="4" w:space="0"/>
            </w:tcBorders>
            <w:noWrap w:val="0"/>
            <w:vAlign w:val="center"/>
          </w:tcPr>
          <w:p w14:paraId="472140A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施工区域内，因管理不善发生较严重的打架斗殴或食品卫生安全事件。</w:t>
            </w:r>
          </w:p>
        </w:tc>
        <w:tc>
          <w:tcPr>
            <w:tcW w:w="3402" w:type="dxa"/>
            <w:tcBorders>
              <w:top w:val="single" w:color="auto" w:sz="4" w:space="0"/>
              <w:left w:val="nil"/>
              <w:bottom w:val="single" w:color="auto" w:sz="4" w:space="0"/>
              <w:right w:val="single" w:color="auto" w:sz="4" w:space="0"/>
            </w:tcBorders>
            <w:noWrap w:val="0"/>
            <w:vAlign w:val="center"/>
          </w:tcPr>
          <w:p w14:paraId="52877DDE">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0B1C1270">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DA5D3B9">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11B6C19D">
            <w:pPr>
              <w:overflowPunct w:val="0"/>
              <w:autoSpaceDE w:val="0"/>
              <w:autoSpaceDN w:val="0"/>
              <w:adjustRightInd w:val="0"/>
              <w:snapToGrid w:val="0"/>
              <w:spacing w:line="320" w:lineRule="exac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99346B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3686" w:type="dxa"/>
            <w:tcBorders>
              <w:top w:val="single" w:color="auto" w:sz="4" w:space="0"/>
              <w:left w:val="nil"/>
              <w:bottom w:val="single" w:color="auto" w:sz="4" w:space="0"/>
              <w:right w:val="single" w:color="auto" w:sz="4" w:space="0"/>
            </w:tcBorders>
            <w:noWrap w:val="0"/>
            <w:vAlign w:val="center"/>
          </w:tcPr>
          <w:p w14:paraId="7E0ECD16">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施工车辆通行道路(含路基)未采取防止扬尘措施。</w:t>
            </w:r>
          </w:p>
        </w:tc>
        <w:tc>
          <w:tcPr>
            <w:tcW w:w="3402" w:type="dxa"/>
            <w:tcBorders>
              <w:top w:val="single" w:color="auto" w:sz="4" w:space="0"/>
              <w:left w:val="nil"/>
              <w:bottom w:val="single" w:color="auto" w:sz="4" w:space="0"/>
              <w:right w:val="single" w:color="auto" w:sz="4" w:space="0"/>
            </w:tcBorders>
            <w:noWrap w:val="0"/>
            <w:vAlign w:val="center"/>
          </w:tcPr>
          <w:p w14:paraId="055C19F7">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3518E2BB">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2C456951">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7C263491">
            <w:pPr>
              <w:overflowPunct w:val="0"/>
              <w:autoSpaceDE w:val="0"/>
              <w:autoSpaceDN w:val="0"/>
              <w:adjustRightInd w:val="0"/>
              <w:snapToGrid w:val="0"/>
              <w:spacing w:line="320" w:lineRule="exac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E7A62A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3686" w:type="dxa"/>
            <w:tcBorders>
              <w:top w:val="single" w:color="auto" w:sz="4" w:space="0"/>
              <w:left w:val="nil"/>
              <w:bottom w:val="single" w:color="auto" w:sz="4" w:space="0"/>
              <w:right w:val="single" w:color="auto" w:sz="4" w:space="0"/>
            </w:tcBorders>
            <w:noWrap w:val="0"/>
            <w:vAlign w:val="center"/>
          </w:tcPr>
          <w:p w14:paraId="3C6D967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发生因工程施工造成对当地村民生产生活产生不良影响的举报事件(含口头举报)，经警告不改的。</w:t>
            </w:r>
          </w:p>
        </w:tc>
        <w:tc>
          <w:tcPr>
            <w:tcW w:w="3402" w:type="dxa"/>
            <w:tcBorders>
              <w:top w:val="single" w:color="auto" w:sz="4" w:space="0"/>
              <w:left w:val="nil"/>
              <w:bottom w:val="single" w:color="auto" w:sz="4" w:space="0"/>
              <w:right w:val="single" w:color="auto" w:sz="4" w:space="0"/>
            </w:tcBorders>
            <w:noWrap w:val="0"/>
            <w:vAlign w:val="center"/>
          </w:tcPr>
          <w:p w14:paraId="30DEFAFC">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7680A1A4">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2FC8274E">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37C04C1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B933ADC">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3686" w:type="dxa"/>
            <w:tcBorders>
              <w:top w:val="single" w:color="auto" w:sz="4" w:space="0"/>
              <w:left w:val="nil"/>
              <w:bottom w:val="single" w:color="auto" w:sz="4" w:space="0"/>
              <w:right w:val="single" w:color="auto" w:sz="4" w:space="0"/>
            </w:tcBorders>
            <w:noWrap w:val="0"/>
            <w:vAlign w:val="center"/>
          </w:tcPr>
          <w:p w14:paraId="5A1F7B60">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对公司和主管部门下发的“安全整改通知单”，不按要求限期整改、借故拖延或不服从管理。</w:t>
            </w:r>
          </w:p>
        </w:tc>
        <w:tc>
          <w:tcPr>
            <w:tcW w:w="3402" w:type="dxa"/>
            <w:tcBorders>
              <w:top w:val="single" w:color="auto" w:sz="4" w:space="0"/>
              <w:left w:val="nil"/>
              <w:bottom w:val="single" w:color="auto" w:sz="4" w:space="0"/>
              <w:right w:val="single" w:color="auto" w:sz="4" w:space="0"/>
            </w:tcBorders>
            <w:noWrap w:val="0"/>
            <w:vAlign w:val="center"/>
          </w:tcPr>
          <w:p w14:paraId="716B5C1E">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372CFF0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01DC2C1">
        <w:tblPrEx>
          <w:tblCellMar>
            <w:top w:w="0" w:type="dxa"/>
            <w:left w:w="108" w:type="dxa"/>
            <w:bottom w:w="0" w:type="dxa"/>
            <w:right w:w="108" w:type="dxa"/>
          </w:tblCellMar>
        </w:tblPrEx>
        <w:trPr>
          <w:cantSplit/>
          <w:trHeight w:val="136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36A0C646">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2CF4E538">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3686" w:type="dxa"/>
            <w:tcBorders>
              <w:top w:val="single" w:color="auto" w:sz="4" w:space="0"/>
              <w:left w:val="nil"/>
              <w:bottom w:val="single" w:color="auto" w:sz="4" w:space="0"/>
              <w:right w:val="single" w:color="auto" w:sz="4" w:space="0"/>
            </w:tcBorders>
            <w:noWrap w:val="0"/>
            <w:vAlign w:val="center"/>
          </w:tcPr>
          <w:p w14:paraId="7A7349F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人工挖孔桩无专项安全技术措施方案，孔内无通风装置、无低压照明、孔洞周边无有效防护措施、无作业人员上下通道。</w:t>
            </w:r>
          </w:p>
        </w:tc>
        <w:tc>
          <w:tcPr>
            <w:tcW w:w="3402" w:type="dxa"/>
            <w:tcBorders>
              <w:top w:val="single" w:color="auto" w:sz="4" w:space="0"/>
              <w:left w:val="nil"/>
              <w:bottom w:val="single" w:color="auto" w:sz="4" w:space="0"/>
              <w:right w:val="single" w:color="auto" w:sz="4" w:space="0"/>
            </w:tcBorders>
            <w:noWrap w:val="0"/>
            <w:vAlign w:val="center"/>
          </w:tcPr>
          <w:p w14:paraId="3DE0FCB0">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0F07C86D">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0CA06C6">
        <w:tblPrEx>
          <w:tblCellMar>
            <w:top w:w="0" w:type="dxa"/>
            <w:left w:w="108" w:type="dxa"/>
            <w:bottom w:w="0" w:type="dxa"/>
            <w:right w:w="108" w:type="dxa"/>
          </w:tblCellMar>
        </w:tblPrEx>
        <w:trPr>
          <w:cantSplit/>
          <w:trHeight w:val="136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7331AE6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5BAF00D">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3686" w:type="dxa"/>
            <w:tcBorders>
              <w:top w:val="single" w:color="auto" w:sz="4" w:space="0"/>
              <w:left w:val="nil"/>
              <w:bottom w:val="single" w:color="auto" w:sz="4" w:space="0"/>
              <w:right w:val="single" w:color="auto" w:sz="4" w:space="0"/>
            </w:tcBorders>
            <w:noWrap w:val="0"/>
            <w:vAlign w:val="center"/>
          </w:tcPr>
          <w:p w14:paraId="4133984F">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工地上较高的建(构)筑物(如水泥罐)、炸药库、油库、发(变)电房、塔式起重机、门式起重机未按规定装设有效避雷装置。</w:t>
            </w:r>
          </w:p>
        </w:tc>
        <w:tc>
          <w:tcPr>
            <w:tcW w:w="3402" w:type="dxa"/>
            <w:tcBorders>
              <w:top w:val="single" w:color="auto" w:sz="4" w:space="0"/>
              <w:left w:val="nil"/>
              <w:bottom w:val="single" w:color="auto" w:sz="4" w:space="0"/>
              <w:right w:val="single" w:color="auto" w:sz="4" w:space="0"/>
            </w:tcBorders>
            <w:noWrap w:val="0"/>
            <w:vAlign w:val="center"/>
          </w:tcPr>
          <w:p w14:paraId="1DBCF9A7">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20EB9271">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79CE5958">
        <w:tblPrEx>
          <w:tblCellMar>
            <w:top w:w="0" w:type="dxa"/>
            <w:left w:w="108" w:type="dxa"/>
            <w:bottom w:w="0" w:type="dxa"/>
            <w:right w:w="108" w:type="dxa"/>
          </w:tblCellMar>
        </w:tblPrEx>
        <w:trPr>
          <w:cantSplit/>
          <w:trHeight w:val="136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03097032">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5E5AFF02">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3686" w:type="dxa"/>
            <w:tcBorders>
              <w:top w:val="single" w:color="auto" w:sz="4" w:space="0"/>
              <w:left w:val="nil"/>
              <w:bottom w:val="single" w:color="auto" w:sz="4" w:space="0"/>
              <w:right w:val="single" w:color="auto" w:sz="4" w:space="0"/>
            </w:tcBorders>
            <w:noWrap w:val="0"/>
            <w:vAlign w:val="center"/>
          </w:tcPr>
          <w:p w14:paraId="68C8575E">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油库区、炸药库区、氧气库、乙炔库、发(变)电房、检修车间、仓库、生活区(职工宿舍)等未按规定配置有效消防器材。</w:t>
            </w:r>
          </w:p>
        </w:tc>
        <w:tc>
          <w:tcPr>
            <w:tcW w:w="3402" w:type="dxa"/>
            <w:tcBorders>
              <w:top w:val="single" w:color="auto" w:sz="4" w:space="0"/>
              <w:left w:val="nil"/>
              <w:bottom w:val="single" w:color="auto" w:sz="4" w:space="0"/>
              <w:right w:val="single" w:color="auto" w:sz="4" w:space="0"/>
            </w:tcBorders>
            <w:noWrap w:val="0"/>
            <w:vAlign w:val="center"/>
          </w:tcPr>
          <w:p w14:paraId="28A620A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62B28C84">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EB65C07">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093BDDAB">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A5646BF">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3686" w:type="dxa"/>
            <w:tcBorders>
              <w:top w:val="single" w:color="auto" w:sz="4" w:space="0"/>
              <w:left w:val="nil"/>
              <w:bottom w:val="single" w:color="auto" w:sz="4" w:space="0"/>
              <w:right w:val="single" w:color="auto" w:sz="4" w:space="0"/>
            </w:tcBorders>
            <w:noWrap w:val="0"/>
            <w:vAlign w:val="center"/>
          </w:tcPr>
          <w:p w14:paraId="79619649">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氧气和乙炔的运输、储存、使用或安全距离不符合规程要求。</w:t>
            </w:r>
          </w:p>
        </w:tc>
        <w:tc>
          <w:tcPr>
            <w:tcW w:w="3402" w:type="dxa"/>
            <w:tcBorders>
              <w:top w:val="single" w:color="auto" w:sz="4" w:space="0"/>
              <w:left w:val="nil"/>
              <w:bottom w:val="single" w:color="auto" w:sz="4" w:space="0"/>
              <w:right w:val="single" w:color="auto" w:sz="4" w:space="0"/>
            </w:tcBorders>
            <w:noWrap w:val="0"/>
            <w:vAlign w:val="center"/>
          </w:tcPr>
          <w:p w14:paraId="406541C9">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049BAEC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3F7C95F">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088478C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C0365C7">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3686" w:type="dxa"/>
            <w:tcBorders>
              <w:top w:val="single" w:color="auto" w:sz="4" w:space="0"/>
              <w:left w:val="nil"/>
              <w:bottom w:val="single" w:color="auto" w:sz="4" w:space="0"/>
              <w:right w:val="single" w:color="auto" w:sz="4" w:space="0"/>
            </w:tcBorders>
            <w:noWrap w:val="0"/>
            <w:vAlign w:val="center"/>
          </w:tcPr>
          <w:p w14:paraId="2FFFB5FF">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未按经审批的施工方案施工，脚手架未按规程要求搭设并经监理组织验收便投入使用。</w:t>
            </w:r>
          </w:p>
        </w:tc>
        <w:tc>
          <w:tcPr>
            <w:tcW w:w="3402" w:type="dxa"/>
            <w:tcBorders>
              <w:top w:val="single" w:color="auto" w:sz="4" w:space="0"/>
              <w:left w:val="nil"/>
              <w:bottom w:val="single" w:color="auto" w:sz="4" w:space="0"/>
              <w:right w:val="single" w:color="auto" w:sz="4" w:space="0"/>
            </w:tcBorders>
            <w:noWrap w:val="0"/>
            <w:vAlign w:val="center"/>
          </w:tcPr>
          <w:p w14:paraId="1A08544E">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0D447C5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4740E67">
        <w:tblPrEx>
          <w:tblCellMar>
            <w:top w:w="0" w:type="dxa"/>
            <w:left w:w="108" w:type="dxa"/>
            <w:bottom w:w="0" w:type="dxa"/>
            <w:right w:w="108" w:type="dxa"/>
          </w:tblCellMar>
        </w:tblPrEx>
        <w:trPr>
          <w:cantSplit/>
          <w:trHeight w:val="238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71A7961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B05DAC2">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3686" w:type="dxa"/>
            <w:tcBorders>
              <w:top w:val="single" w:color="auto" w:sz="4" w:space="0"/>
              <w:left w:val="nil"/>
              <w:bottom w:val="single" w:color="auto" w:sz="4" w:space="0"/>
              <w:right w:val="single" w:color="auto" w:sz="4" w:space="0"/>
            </w:tcBorders>
            <w:noWrap w:val="0"/>
            <w:vAlign w:val="center"/>
          </w:tcPr>
          <w:p w14:paraId="5768A09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单位在施工现场入口处、施工起重机械、临时用电设施、脚手架、出入通道口、施工便道拐弯处、孔洞口、桥梁口、隧道口、基坑边沿、桩基础施工、爆破物及有害危险气体和液体存放处等危险部位未设置明显的安全警示标志或安全警示标志不符合国家标准。</w:t>
            </w:r>
          </w:p>
        </w:tc>
        <w:tc>
          <w:tcPr>
            <w:tcW w:w="3402" w:type="dxa"/>
            <w:tcBorders>
              <w:top w:val="single" w:color="auto" w:sz="4" w:space="0"/>
              <w:left w:val="nil"/>
              <w:bottom w:val="single" w:color="auto" w:sz="4" w:space="0"/>
              <w:right w:val="single" w:color="auto" w:sz="4" w:space="0"/>
            </w:tcBorders>
            <w:noWrap w:val="0"/>
            <w:vAlign w:val="center"/>
          </w:tcPr>
          <w:p w14:paraId="3DB9E01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2B16EE5B">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5825861">
        <w:tblPrEx>
          <w:tblCellMar>
            <w:top w:w="0" w:type="dxa"/>
            <w:left w:w="108" w:type="dxa"/>
            <w:bottom w:w="0" w:type="dxa"/>
            <w:right w:w="108" w:type="dxa"/>
          </w:tblCellMar>
        </w:tblPrEx>
        <w:trPr>
          <w:cantSplit/>
          <w:trHeight w:val="1701" w:hRule="exact"/>
          <w:jc w:val="center"/>
        </w:trPr>
        <w:tc>
          <w:tcPr>
            <w:tcW w:w="710" w:type="dxa"/>
            <w:vMerge w:val="restart"/>
            <w:tcBorders>
              <w:top w:val="single" w:color="auto" w:sz="4" w:space="0"/>
              <w:left w:val="single" w:color="auto" w:sz="4" w:space="0"/>
              <w:right w:val="single" w:color="auto" w:sz="4" w:space="0"/>
            </w:tcBorders>
            <w:noWrap w:val="0"/>
            <w:vAlign w:val="center"/>
          </w:tcPr>
          <w:p w14:paraId="21F1CA7B">
            <w:pPr>
              <w:overflowPunct w:val="0"/>
              <w:autoSpaceDE w:val="0"/>
              <w:autoSpaceDN w:val="0"/>
              <w:adjustRightInd w:val="0"/>
              <w:snapToGrid w:val="0"/>
              <w:spacing w:line="32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违规违章处罚办法</w:t>
            </w:r>
          </w:p>
        </w:tc>
        <w:tc>
          <w:tcPr>
            <w:tcW w:w="708" w:type="dxa"/>
            <w:tcBorders>
              <w:top w:val="single" w:color="auto" w:sz="4" w:space="0"/>
              <w:left w:val="nil"/>
              <w:bottom w:val="single" w:color="auto" w:sz="4" w:space="0"/>
              <w:right w:val="single" w:color="auto" w:sz="4" w:space="0"/>
            </w:tcBorders>
            <w:noWrap w:val="0"/>
            <w:vAlign w:val="center"/>
          </w:tcPr>
          <w:p w14:paraId="4BFB05FC">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3686" w:type="dxa"/>
            <w:tcBorders>
              <w:top w:val="single" w:color="auto" w:sz="4" w:space="0"/>
              <w:left w:val="nil"/>
              <w:bottom w:val="single" w:color="auto" w:sz="4" w:space="0"/>
              <w:right w:val="single" w:color="auto" w:sz="4" w:space="0"/>
            </w:tcBorders>
            <w:noWrap w:val="0"/>
            <w:vAlign w:val="center"/>
          </w:tcPr>
          <w:p w14:paraId="2BF017B9">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特种作业人员（指从事电气、起重、驾驶、焊接、爆破、脚手架搭设、射线等作业人员）未经专门的安全作业培训并取得特种作业操作资格证书便安排上岗作业。</w:t>
            </w:r>
          </w:p>
        </w:tc>
        <w:tc>
          <w:tcPr>
            <w:tcW w:w="3402" w:type="dxa"/>
            <w:tcBorders>
              <w:top w:val="single" w:color="auto" w:sz="4" w:space="0"/>
              <w:left w:val="nil"/>
              <w:bottom w:val="single" w:color="auto" w:sz="4" w:space="0"/>
              <w:right w:val="single" w:color="auto" w:sz="4" w:space="0"/>
            </w:tcBorders>
            <w:noWrap w:val="0"/>
            <w:vAlign w:val="center"/>
          </w:tcPr>
          <w:p w14:paraId="16EE6A76">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57F62C3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2EC0E207">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5EB1B242">
            <w:pPr>
              <w:overflowPunct w:val="0"/>
              <w:autoSpaceDE w:val="0"/>
              <w:autoSpaceDN w:val="0"/>
              <w:adjustRightInd w:val="0"/>
              <w:snapToGrid w:val="0"/>
              <w:spacing w:line="320" w:lineRule="exac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787E630">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3686" w:type="dxa"/>
            <w:tcBorders>
              <w:top w:val="single" w:color="auto" w:sz="4" w:space="0"/>
              <w:left w:val="nil"/>
              <w:bottom w:val="single" w:color="auto" w:sz="4" w:space="0"/>
              <w:right w:val="single" w:color="auto" w:sz="4" w:space="0"/>
            </w:tcBorders>
            <w:noWrap w:val="0"/>
            <w:vAlign w:val="center"/>
          </w:tcPr>
          <w:p w14:paraId="03D6512D">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未执行一机、一闸、一漏、一箱用电原则。</w:t>
            </w:r>
          </w:p>
        </w:tc>
        <w:tc>
          <w:tcPr>
            <w:tcW w:w="3402" w:type="dxa"/>
            <w:tcBorders>
              <w:top w:val="single" w:color="auto" w:sz="4" w:space="0"/>
              <w:left w:val="nil"/>
              <w:bottom w:val="single" w:color="auto" w:sz="4" w:space="0"/>
              <w:right w:val="single" w:color="auto" w:sz="4" w:space="0"/>
            </w:tcBorders>
            <w:noWrap w:val="0"/>
            <w:vAlign w:val="center"/>
          </w:tcPr>
          <w:p w14:paraId="7D6D9AE8">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368DD9F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9F80E1C">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66CF8F59">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5A87C616">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3686" w:type="dxa"/>
            <w:tcBorders>
              <w:top w:val="nil"/>
              <w:left w:val="nil"/>
              <w:bottom w:val="single" w:color="auto" w:sz="4" w:space="0"/>
              <w:right w:val="single" w:color="auto" w:sz="4" w:space="0"/>
            </w:tcBorders>
            <w:noWrap w:val="0"/>
            <w:vAlign w:val="center"/>
          </w:tcPr>
          <w:p w14:paraId="213BBC2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开关箱无盖、开关露天摆设、开关无盖或盖不全，电力线路乱拉乱接或席地铺设，保险丝、地线、零线违规使用。</w:t>
            </w:r>
          </w:p>
        </w:tc>
        <w:tc>
          <w:tcPr>
            <w:tcW w:w="3402" w:type="dxa"/>
            <w:tcBorders>
              <w:top w:val="nil"/>
              <w:left w:val="nil"/>
              <w:bottom w:val="single" w:color="auto" w:sz="4" w:space="0"/>
              <w:right w:val="single" w:color="auto" w:sz="4" w:space="0"/>
            </w:tcBorders>
            <w:noWrap w:val="0"/>
            <w:vAlign w:val="center"/>
          </w:tcPr>
          <w:p w14:paraId="3A20F18A">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39B72B03">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24EE4F7">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58F1BC98">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22D6EEBC">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3686" w:type="dxa"/>
            <w:tcBorders>
              <w:top w:val="nil"/>
              <w:left w:val="nil"/>
              <w:bottom w:val="single" w:color="auto" w:sz="4" w:space="0"/>
              <w:right w:val="single" w:color="auto" w:sz="4" w:space="0"/>
            </w:tcBorders>
            <w:noWrap w:val="0"/>
            <w:vAlign w:val="center"/>
          </w:tcPr>
          <w:p w14:paraId="2A5ABE34">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施工现场每使用一辆“三无”车辆或证件不全车辆。</w:t>
            </w:r>
          </w:p>
        </w:tc>
        <w:tc>
          <w:tcPr>
            <w:tcW w:w="3402" w:type="dxa"/>
            <w:tcBorders>
              <w:top w:val="nil"/>
              <w:left w:val="nil"/>
              <w:bottom w:val="single" w:color="auto" w:sz="4" w:space="0"/>
              <w:right w:val="single" w:color="auto" w:sz="4" w:space="0"/>
            </w:tcBorders>
            <w:noWrap w:val="0"/>
            <w:vAlign w:val="center"/>
          </w:tcPr>
          <w:p w14:paraId="53AC60C2">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2F0CD5F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94464F3">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3C43D44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5B46339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3686" w:type="dxa"/>
            <w:tcBorders>
              <w:top w:val="nil"/>
              <w:left w:val="nil"/>
              <w:bottom w:val="single" w:color="auto" w:sz="4" w:space="0"/>
              <w:right w:val="single" w:color="auto" w:sz="4" w:space="0"/>
            </w:tcBorders>
            <w:noWrap w:val="0"/>
            <w:vAlign w:val="center"/>
          </w:tcPr>
          <w:p w14:paraId="24C1DF2B">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转动机械无防护罩，电焊机及电气设备无接地保护、无防雨措施。</w:t>
            </w:r>
          </w:p>
        </w:tc>
        <w:tc>
          <w:tcPr>
            <w:tcW w:w="3402" w:type="dxa"/>
            <w:tcBorders>
              <w:top w:val="nil"/>
              <w:left w:val="nil"/>
              <w:bottom w:val="single" w:color="auto" w:sz="4" w:space="0"/>
              <w:right w:val="single" w:color="auto" w:sz="4" w:space="0"/>
            </w:tcBorders>
            <w:noWrap w:val="0"/>
            <w:vAlign w:val="center"/>
          </w:tcPr>
          <w:p w14:paraId="4B5F2196">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6915E3BC">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D6EB8DA">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3D4A71C9">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2BFD71E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3686" w:type="dxa"/>
            <w:tcBorders>
              <w:top w:val="nil"/>
              <w:left w:val="nil"/>
              <w:bottom w:val="single" w:color="auto" w:sz="4" w:space="0"/>
              <w:right w:val="single" w:color="auto" w:sz="4" w:space="0"/>
            </w:tcBorders>
            <w:noWrap w:val="0"/>
            <w:vAlign w:val="center"/>
          </w:tcPr>
          <w:p w14:paraId="7F0DEC7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高处作业未设置平台或平台未满铺脚手板，高处作业临边无栏杆，该铺设而未铺设安全网。</w:t>
            </w:r>
          </w:p>
        </w:tc>
        <w:tc>
          <w:tcPr>
            <w:tcW w:w="3402" w:type="dxa"/>
            <w:tcBorders>
              <w:top w:val="nil"/>
              <w:left w:val="nil"/>
              <w:bottom w:val="single" w:color="auto" w:sz="4" w:space="0"/>
              <w:right w:val="single" w:color="auto" w:sz="4" w:space="0"/>
            </w:tcBorders>
            <w:noWrap w:val="0"/>
            <w:vAlign w:val="center"/>
          </w:tcPr>
          <w:p w14:paraId="3FD7392F">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7466A3B8">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87D4A67">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bottom w:val="single" w:color="auto" w:sz="4" w:space="0"/>
              <w:right w:val="single" w:color="auto" w:sz="4" w:space="0"/>
            </w:tcBorders>
            <w:noWrap w:val="0"/>
            <w:vAlign w:val="center"/>
          </w:tcPr>
          <w:p w14:paraId="2A5F050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72A8319E">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3686" w:type="dxa"/>
            <w:tcBorders>
              <w:top w:val="nil"/>
              <w:left w:val="nil"/>
              <w:bottom w:val="single" w:color="auto" w:sz="4" w:space="0"/>
              <w:right w:val="single" w:color="auto" w:sz="4" w:space="0"/>
            </w:tcBorders>
            <w:noWrap w:val="0"/>
            <w:vAlign w:val="center"/>
          </w:tcPr>
          <w:p w14:paraId="5ADA6663">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高处作业向上或向下抛掷工具、材料或垃圾。</w:t>
            </w:r>
          </w:p>
        </w:tc>
        <w:tc>
          <w:tcPr>
            <w:tcW w:w="3402" w:type="dxa"/>
            <w:tcBorders>
              <w:top w:val="nil"/>
              <w:left w:val="nil"/>
              <w:bottom w:val="single" w:color="auto" w:sz="4" w:space="0"/>
              <w:right w:val="single" w:color="auto" w:sz="4" w:space="0"/>
            </w:tcBorders>
            <w:noWrap w:val="0"/>
            <w:vAlign w:val="center"/>
          </w:tcPr>
          <w:p w14:paraId="0599A366">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59EAA549">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5C16ED9">
        <w:tblPrEx>
          <w:tblCellMar>
            <w:top w:w="0" w:type="dxa"/>
            <w:left w:w="108" w:type="dxa"/>
            <w:bottom w:w="0" w:type="dxa"/>
            <w:right w:w="108" w:type="dxa"/>
          </w:tblCellMar>
        </w:tblPrEx>
        <w:trPr>
          <w:cantSplit/>
          <w:trHeight w:val="1021" w:hRule="exac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14:paraId="45274A59">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连带处罚办法</w:t>
            </w:r>
          </w:p>
        </w:tc>
        <w:tc>
          <w:tcPr>
            <w:tcW w:w="708" w:type="dxa"/>
            <w:tcBorders>
              <w:top w:val="single" w:color="auto" w:sz="4" w:space="0"/>
              <w:left w:val="nil"/>
              <w:bottom w:val="single" w:color="auto" w:sz="4" w:space="0"/>
              <w:right w:val="single" w:color="auto" w:sz="4" w:space="0"/>
            </w:tcBorders>
            <w:noWrap w:val="0"/>
            <w:vAlign w:val="center"/>
          </w:tcPr>
          <w:p w14:paraId="32CDC38A">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3686" w:type="dxa"/>
            <w:tcBorders>
              <w:top w:val="single" w:color="auto" w:sz="4" w:space="0"/>
              <w:left w:val="nil"/>
              <w:bottom w:val="single" w:color="auto" w:sz="4" w:space="0"/>
              <w:right w:val="single" w:color="auto" w:sz="4" w:space="0"/>
            </w:tcBorders>
            <w:noWrap w:val="0"/>
            <w:vAlign w:val="center"/>
          </w:tcPr>
          <w:p w14:paraId="1AFF17FC">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进入施工现场不戴安全帽或不扣好帽带，安全帽质量不符合国家标准或行业标准要求。</w:t>
            </w:r>
          </w:p>
        </w:tc>
        <w:tc>
          <w:tcPr>
            <w:tcW w:w="3402" w:type="dxa"/>
            <w:tcBorders>
              <w:top w:val="single" w:color="auto" w:sz="4" w:space="0"/>
              <w:left w:val="nil"/>
              <w:bottom w:val="single" w:color="auto" w:sz="4" w:space="0"/>
              <w:right w:val="single" w:color="auto" w:sz="4" w:space="0"/>
            </w:tcBorders>
            <w:noWrap w:val="0"/>
            <w:vAlign w:val="center"/>
          </w:tcPr>
          <w:p w14:paraId="75B0790C">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noWrap w:val="0"/>
            <w:vAlign w:val="center"/>
          </w:tcPr>
          <w:p w14:paraId="469E0719">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4067BF8">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7E3A544A">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BE23B68">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3686" w:type="dxa"/>
            <w:tcBorders>
              <w:top w:val="single" w:color="auto" w:sz="4" w:space="0"/>
              <w:left w:val="nil"/>
              <w:bottom w:val="single" w:color="auto" w:sz="4" w:space="0"/>
              <w:right w:val="single" w:color="auto" w:sz="4" w:space="0"/>
            </w:tcBorders>
            <w:noWrap w:val="0"/>
            <w:vAlign w:val="center"/>
          </w:tcPr>
          <w:p w14:paraId="1B024EA3">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高空作业不系安全带，安全带未挂在牢固物体上或低挂高用。</w:t>
            </w:r>
          </w:p>
        </w:tc>
        <w:tc>
          <w:tcPr>
            <w:tcW w:w="3402" w:type="dxa"/>
            <w:tcBorders>
              <w:top w:val="single" w:color="auto" w:sz="4" w:space="0"/>
              <w:left w:val="nil"/>
              <w:bottom w:val="single" w:color="auto" w:sz="4" w:space="0"/>
              <w:right w:val="single" w:color="auto" w:sz="4" w:space="0"/>
            </w:tcBorders>
            <w:noWrap w:val="0"/>
            <w:vAlign w:val="center"/>
          </w:tcPr>
          <w:p w14:paraId="49ED5A46">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noWrap w:val="0"/>
            <w:vAlign w:val="center"/>
          </w:tcPr>
          <w:p w14:paraId="0018E13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2CD2968F">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415CF6B2">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50267CA7">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3686" w:type="dxa"/>
            <w:tcBorders>
              <w:top w:val="single" w:color="auto" w:sz="4" w:space="0"/>
              <w:left w:val="nil"/>
              <w:bottom w:val="single" w:color="auto" w:sz="4" w:space="0"/>
              <w:right w:val="single" w:color="auto" w:sz="4" w:space="0"/>
            </w:tcBorders>
            <w:noWrap w:val="0"/>
            <w:vAlign w:val="center"/>
          </w:tcPr>
          <w:p w14:paraId="56D9FC2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施工作业过程中光膀子或者衣服不扣纽扣。</w:t>
            </w:r>
          </w:p>
        </w:tc>
        <w:tc>
          <w:tcPr>
            <w:tcW w:w="3402" w:type="dxa"/>
            <w:tcBorders>
              <w:top w:val="single" w:color="auto" w:sz="4" w:space="0"/>
              <w:left w:val="nil"/>
              <w:bottom w:val="single" w:color="auto" w:sz="4" w:space="0"/>
              <w:right w:val="single" w:color="auto" w:sz="4" w:space="0"/>
            </w:tcBorders>
            <w:noWrap w:val="0"/>
            <w:vAlign w:val="center"/>
          </w:tcPr>
          <w:p w14:paraId="1DE5AEAF">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noWrap w:val="0"/>
            <w:vAlign w:val="center"/>
          </w:tcPr>
          <w:p w14:paraId="0705E30E">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05EE6E6">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0BE072D8">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593AC0F">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3686" w:type="dxa"/>
            <w:tcBorders>
              <w:top w:val="single" w:color="auto" w:sz="4" w:space="0"/>
              <w:left w:val="nil"/>
              <w:bottom w:val="single" w:color="auto" w:sz="4" w:space="0"/>
              <w:right w:val="single" w:color="auto" w:sz="4" w:space="0"/>
            </w:tcBorders>
            <w:noWrap w:val="0"/>
            <w:vAlign w:val="center"/>
          </w:tcPr>
          <w:p w14:paraId="58725883">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穿短裤、穿拖鞋或光脚进入施工现场。</w:t>
            </w:r>
          </w:p>
        </w:tc>
        <w:tc>
          <w:tcPr>
            <w:tcW w:w="3402" w:type="dxa"/>
            <w:tcBorders>
              <w:top w:val="single" w:color="auto" w:sz="4" w:space="0"/>
              <w:left w:val="nil"/>
              <w:bottom w:val="single" w:color="auto" w:sz="4" w:space="0"/>
              <w:right w:val="single" w:color="auto" w:sz="4" w:space="0"/>
            </w:tcBorders>
            <w:noWrap w:val="0"/>
            <w:vAlign w:val="center"/>
          </w:tcPr>
          <w:p w14:paraId="1A02ADF2">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noWrap w:val="0"/>
            <w:vAlign w:val="center"/>
          </w:tcPr>
          <w:p w14:paraId="468E4F6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03089F2">
        <w:tblPrEx>
          <w:tblCellMar>
            <w:top w:w="0" w:type="dxa"/>
            <w:left w:w="108" w:type="dxa"/>
            <w:bottom w:w="0" w:type="dxa"/>
            <w:right w:w="108" w:type="dxa"/>
          </w:tblCellMar>
        </w:tblPrEx>
        <w:trPr>
          <w:cantSplit/>
          <w:trHeight w:val="1021" w:hRule="exact"/>
          <w:jc w:val="center"/>
        </w:trPr>
        <w:tc>
          <w:tcPr>
            <w:tcW w:w="710" w:type="dxa"/>
            <w:vMerge w:val="continue"/>
            <w:tcBorders>
              <w:top w:val="nil"/>
              <w:left w:val="single" w:color="auto" w:sz="4" w:space="0"/>
              <w:bottom w:val="single" w:color="auto" w:sz="4" w:space="0"/>
              <w:right w:val="single" w:color="auto" w:sz="4" w:space="0"/>
            </w:tcBorders>
            <w:noWrap w:val="0"/>
            <w:vAlign w:val="center"/>
          </w:tcPr>
          <w:p w14:paraId="18FAE839">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55633249">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3686" w:type="dxa"/>
            <w:tcBorders>
              <w:top w:val="nil"/>
              <w:left w:val="nil"/>
              <w:bottom w:val="single" w:color="auto" w:sz="4" w:space="0"/>
              <w:right w:val="single" w:color="auto" w:sz="4" w:space="0"/>
            </w:tcBorders>
            <w:noWrap w:val="0"/>
            <w:vAlign w:val="center"/>
          </w:tcPr>
          <w:p w14:paraId="3A16EC1C">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穿高跟鞋、裙子进入施工现场。</w:t>
            </w:r>
          </w:p>
        </w:tc>
        <w:tc>
          <w:tcPr>
            <w:tcW w:w="3402" w:type="dxa"/>
            <w:tcBorders>
              <w:top w:val="nil"/>
              <w:left w:val="nil"/>
              <w:bottom w:val="single" w:color="auto" w:sz="4" w:space="0"/>
              <w:right w:val="single" w:color="auto" w:sz="4" w:space="0"/>
            </w:tcBorders>
            <w:noWrap w:val="0"/>
            <w:vAlign w:val="center"/>
          </w:tcPr>
          <w:p w14:paraId="0C88EB8B">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nil"/>
              <w:left w:val="nil"/>
              <w:bottom w:val="single" w:color="auto" w:sz="4" w:space="0"/>
              <w:right w:val="single" w:color="auto" w:sz="4" w:space="0"/>
            </w:tcBorders>
            <w:noWrap w:val="0"/>
            <w:vAlign w:val="center"/>
          </w:tcPr>
          <w:p w14:paraId="581F4733">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CD446B0">
        <w:tblPrEx>
          <w:tblCellMar>
            <w:top w:w="0" w:type="dxa"/>
            <w:left w:w="108" w:type="dxa"/>
            <w:bottom w:w="0" w:type="dxa"/>
            <w:right w:w="108" w:type="dxa"/>
          </w:tblCellMar>
        </w:tblPrEx>
        <w:trPr>
          <w:cantSplit/>
          <w:trHeight w:val="1021" w:hRule="exact"/>
          <w:jc w:val="center"/>
        </w:trPr>
        <w:tc>
          <w:tcPr>
            <w:tcW w:w="710" w:type="dxa"/>
            <w:vMerge w:val="continue"/>
            <w:tcBorders>
              <w:top w:val="nil"/>
              <w:left w:val="single" w:color="auto" w:sz="4" w:space="0"/>
              <w:bottom w:val="single" w:color="auto" w:sz="4" w:space="0"/>
              <w:right w:val="single" w:color="auto" w:sz="4" w:space="0"/>
            </w:tcBorders>
            <w:noWrap w:val="0"/>
            <w:vAlign w:val="center"/>
          </w:tcPr>
          <w:p w14:paraId="60407795">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3F15F9AC">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49</w:t>
            </w:r>
          </w:p>
        </w:tc>
        <w:tc>
          <w:tcPr>
            <w:tcW w:w="3686" w:type="dxa"/>
            <w:tcBorders>
              <w:top w:val="nil"/>
              <w:left w:val="nil"/>
              <w:bottom w:val="single" w:color="auto" w:sz="4" w:space="0"/>
              <w:right w:val="single" w:color="auto" w:sz="4" w:space="0"/>
            </w:tcBorders>
            <w:noWrap w:val="0"/>
            <w:vAlign w:val="center"/>
          </w:tcPr>
          <w:p w14:paraId="51CAEFD0">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酒后上岗作业，违章驾驶或无证驾驶。</w:t>
            </w:r>
          </w:p>
        </w:tc>
        <w:tc>
          <w:tcPr>
            <w:tcW w:w="3402" w:type="dxa"/>
            <w:tcBorders>
              <w:top w:val="nil"/>
              <w:left w:val="nil"/>
              <w:bottom w:val="single" w:color="auto" w:sz="4" w:space="0"/>
              <w:right w:val="single" w:color="auto" w:sz="4" w:space="0"/>
            </w:tcBorders>
            <w:noWrap w:val="0"/>
            <w:vAlign w:val="center"/>
          </w:tcPr>
          <w:p w14:paraId="6ACFC80B">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nil"/>
              <w:left w:val="nil"/>
              <w:bottom w:val="single" w:color="auto" w:sz="4" w:space="0"/>
              <w:right w:val="single" w:color="auto" w:sz="4" w:space="0"/>
            </w:tcBorders>
            <w:noWrap w:val="0"/>
            <w:vAlign w:val="center"/>
          </w:tcPr>
          <w:p w14:paraId="756B1CD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6731C1E">
        <w:tblPrEx>
          <w:tblCellMar>
            <w:top w:w="0" w:type="dxa"/>
            <w:left w:w="108" w:type="dxa"/>
            <w:bottom w:w="0" w:type="dxa"/>
            <w:right w:w="108" w:type="dxa"/>
          </w:tblCellMar>
        </w:tblPrEx>
        <w:trPr>
          <w:cantSplit/>
          <w:trHeight w:val="737" w:hRule="exac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14:paraId="1A985090">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其它</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2F2ED54">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50FEA78">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对公司人员、监理单位和施工单位进入施工现场不戴安全帽或不扣好帽带者。</w:t>
            </w:r>
          </w:p>
        </w:tc>
        <w:tc>
          <w:tcPr>
            <w:tcW w:w="3402" w:type="dxa"/>
            <w:tcBorders>
              <w:top w:val="nil"/>
              <w:left w:val="single" w:color="auto" w:sz="4" w:space="0"/>
              <w:bottom w:val="single" w:color="auto" w:sz="4" w:space="0"/>
              <w:right w:val="single" w:color="auto" w:sz="4" w:space="0"/>
            </w:tcBorders>
            <w:noWrap w:val="0"/>
            <w:vAlign w:val="center"/>
          </w:tcPr>
          <w:p w14:paraId="2085F93C">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每发现一人次，对监理单位、施工单位处以200元违约金。</w:t>
            </w:r>
          </w:p>
        </w:tc>
        <w:tc>
          <w:tcPr>
            <w:tcW w:w="850" w:type="dxa"/>
            <w:tcBorders>
              <w:top w:val="nil"/>
              <w:left w:val="nil"/>
              <w:bottom w:val="single" w:color="auto" w:sz="4" w:space="0"/>
              <w:right w:val="single" w:color="auto" w:sz="4" w:space="0"/>
            </w:tcBorders>
            <w:noWrap w:val="0"/>
            <w:vAlign w:val="center"/>
          </w:tcPr>
          <w:p w14:paraId="7F1120C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A49686D">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73326AB3">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78A933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D5850ED">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公司在工作检查中，发现现场监理人员对违规违章行为视而不见，未加以制止的。</w:t>
            </w:r>
          </w:p>
        </w:tc>
        <w:tc>
          <w:tcPr>
            <w:tcW w:w="3402" w:type="dxa"/>
            <w:tcBorders>
              <w:top w:val="nil"/>
              <w:left w:val="single" w:color="auto" w:sz="4" w:space="0"/>
              <w:bottom w:val="single" w:color="auto" w:sz="4" w:space="0"/>
              <w:right w:val="single" w:color="auto" w:sz="4" w:space="0"/>
            </w:tcBorders>
            <w:noWrap w:val="0"/>
            <w:vAlign w:val="center"/>
          </w:tcPr>
          <w:p w14:paraId="7DCC983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对监理单位处以2000元违约金。</w:t>
            </w:r>
          </w:p>
        </w:tc>
        <w:tc>
          <w:tcPr>
            <w:tcW w:w="850" w:type="dxa"/>
            <w:tcBorders>
              <w:top w:val="nil"/>
              <w:left w:val="nil"/>
              <w:bottom w:val="single" w:color="auto" w:sz="4" w:space="0"/>
              <w:right w:val="single" w:color="auto" w:sz="4" w:space="0"/>
            </w:tcBorders>
            <w:noWrap w:val="0"/>
            <w:vAlign w:val="center"/>
          </w:tcPr>
          <w:p w14:paraId="5F239BE9">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BB50A80">
        <w:tblPrEx>
          <w:tblCellMar>
            <w:top w:w="0" w:type="dxa"/>
            <w:left w:w="108" w:type="dxa"/>
            <w:bottom w:w="0" w:type="dxa"/>
            <w:right w:w="108" w:type="dxa"/>
          </w:tblCellMar>
        </w:tblPrEx>
        <w:trPr>
          <w:cantSplit/>
          <w:trHeight w:val="737"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65717E4D">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B0829B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6A7E160">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其它未尽事宜，根据法律法规和公司相关规定执行。</w:t>
            </w:r>
          </w:p>
        </w:tc>
        <w:tc>
          <w:tcPr>
            <w:tcW w:w="3402" w:type="dxa"/>
            <w:tcBorders>
              <w:top w:val="nil"/>
              <w:left w:val="single" w:color="auto" w:sz="4" w:space="0"/>
              <w:bottom w:val="single" w:color="auto" w:sz="4" w:space="0"/>
              <w:right w:val="single" w:color="auto" w:sz="4" w:space="0"/>
            </w:tcBorders>
            <w:noWrap w:val="0"/>
            <w:vAlign w:val="center"/>
          </w:tcPr>
          <w:p w14:paraId="24895C3F">
            <w:pPr>
              <w:overflowPunct w:val="0"/>
              <w:autoSpaceDE w:val="0"/>
              <w:autoSpaceDN w:val="0"/>
              <w:adjustRightInd w:val="0"/>
              <w:snapToGrid w:val="0"/>
              <w:spacing w:line="320" w:lineRule="exact"/>
              <w:rPr>
                <w:rFonts w:ascii="宋体" w:hAnsi="宋体" w:cs="宋体"/>
                <w:color w:val="auto"/>
                <w:kern w:val="0"/>
                <w:szCs w:val="21"/>
                <w:highlight w:val="none"/>
              </w:rPr>
            </w:pPr>
          </w:p>
        </w:tc>
        <w:tc>
          <w:tcPr>
            <w:tcW w:w="850" w:type="dxa"/>
            <w:tcBorders>
              <w:top w:val="nil"/>
              <w:left w:val="nil"/>
              <w:bottom w:val="single" w:color="auto" w:sz="4" w:space="0"/>
              <w:right w:val="single" w:color="auto" w:sz="4" w:space="0"/>
            </w:tcBorders>
            <w:noWrap w:val="0"/>
            <w:vAlign w:val="center"/>
          </w:tcPr>
          <w:p w14:paraId="015FD50E">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bl>
    <w:p w14:paraId="165DCD26">
      <w:pPr>
        <w:adjustRightInd w:val="0"/>
        <w:snapToGrid w:val="0"/>
        <w:spacing w:line="420" w:lineRule="exact"/>
        <w:outlineLvl w:val="3"/>
        <w:rPr>
          <w:rFonts w:hint="eastAsia" w:ascii="宋体" w:hAnsi="宋体"/>
          <w:color w:val="auto"/>
          <w:sz w:val="24"/>
          <w:highlight w:val="none"/>
        </w:rPr>
      </w:pPr>
    </w:p>
    <w:p w14:paraId="0D45DFAF">
      <w:pPr>
        <w:adjustRightInd w:val="0"/>
        <w:snapToGrid w:val="0"/>
        <w:spacing w:line="420" w:lineRule="exact"/>
        <w:outlineLvl w:val="3"/>
        <w:rPr>
          <w:rFonts w:hint="eastAsia" w:ascii="宋体" w:hAnsi="宋体" w:cs="方正仿宋_GBK"/>
          <w:color w:val="auto"/>
          <w:sz w:val="24"/>
          <w:highlight w:val="none"/>
        </w:rPr>
      </w:pPr>
      <w:r>
        <w:rPr>
          <w:rFonts w:hint="eastAsia" w:ascii="宋体" w:hAnsi="宋体"/>
          <w:color w:val="auto"/>
          <w:sz w:val="24"/>
          <w:highlight w:val="none"/>
        </w:rPr>
        <w:t>附录7-2   安全生产承诺书</w:t>
      </w:r>
    </w:p>
    <w:p w14:paraId="4CE74CB9">
      <w:pPr>
        <w:adjustRightInd w:val="0"/>
        <w:snapToGrid w:val="0"/>
        <w:spacing w:line="420" w:lineRule="exact"/>
        <w:ind w:firstLine="602" w:firstLineChars="200"/>
        <w:jc w:val="center"/>
        <w:rPr>
          <w:rFonts w:ascii="宋体" w:hAnsi="宋体" w:cs="方正仿宋_GBK"/>
          <w:b/>
          <w:color w:val="auto"/>
          <w:sz w:val="30"/>
          <w:szCs w:val="30"/>
          <w:highlight w:val="none"/>
        </w:rPr>
      </w:pPr>
      <w:r>
        <w:rPr>
          <w:rFonts w:hint="eastAsia" w:ascii="宋体" w:hAnsi="宋体" w:cs="方正仿宋_GBK"/>
          <w:b/>
          <w:color w:val="auto"/>
          <w:sz w:val="30"/>
          <w:szCs w:val="30"/>
          <w:highlight w:val="none"/>
        </w:rPr>
        <w:t>安全生产承诺书</w:t>
      </w:r>
    </w:p>
    <w:p w14:paraId="75A2DA03">
      <w:pPr>
        <w:adjustRightInd w:val="0"/>
        <w:snapToGrid w:val="0"/>
        <w:spacing w:line="420" w:lineRule="exact"/>
        <w:ind w:firstLine="480" w:firstLineChars="200"/>
        <w:rPr>
          <w:rFonts w:ascii="宋体" w:hAnsi="宋体" w:cs="方正仿宋_GBK"/>
          <w:color w:val="auto"/>
          <w:sz w:val="24"/>
          <w:highlight w:val="none"/>
        </w:rPr>
      </w:pPr>
    </w:p>
    <w:p w14:paraId="6E5F7D21">
      <w:pPr>
        <w:adjustRightInd w:val="0"/>
        <w:snapToGrid w:val="0"/>
        <w:spacing w:line="420" w:lineRule="exact"/>
        <w:rPr>
          <w:rFonts w:ascii="宋体" w:hAnsi="宋体" w:cs="方正仿宋_GBK"/>
          <w:color w:val="auto"/>
          <w:sz w:val="24"/>
          <w:highlight w:val="none"/>
        </w:rPr>
      </w:pPr>
      <w:r>
        <w:rPr>
          <w:rFonts w:hint="eastAsia" w:ascii="宋体" w:hAnsi="宋体" w:cs="方正仿宋_GBK"/>
          <w:color w:val="auto"/>
          <w:sz w:val="24"/>
          <w:highlight w:val="none"/>
        </w:rPr>
        <w:t xml:space="preserve">委托人: </w:t>
      </w:r>
    </w:p>
    <w:p w14:paraId="239EDE63">
      <w:pPr>
        <w:adjustRightInd w:val="0"/>
        <w:snapToGrid w:val="0"/>
        <w:spacing w:line="420" w:lineRule="exact"/>
        <w:ind w:firstLine="480" w:firstLineChars="200"/>
        <w:rPr>
          <w:rFonts w:ascii="宋体" w:hAnsi="宋体" w:cs="方正仿宋_GBK"/>
          <w:color w:val="auto"/>
          <w:sz w:val="24"/>
          <w:highlight w:val="none"/>
        </w:rPr>
      </w:pPr>
      <w:r>
        <w:rPr>
          <w:rFonts w:hint="eastAsia" w:ascii="宋体" w:hAnsi="宋体" w:cs="方正仿宋_GBK"/>
          <w:color w:val="auto"/>
          <w:sz w:val="24"/>
          <w:highlight w:val="none"/>
        </w:rPr>
        <w:t>我单位已认真阅读《建设项目安全生产管理办法》，并承诺严格遵守《建设项目安全生产管理办法》中规定和合同约定的内容，若发生安全生产违约行为，自愿承担《建设项目安全生产管理办法》中规定和合同约定的违约责任。</w:t>
      </w:r>
    </w:p>
    <w:p w14:paraId="5208EC68">
      <w:pPr>
        <w:adjustRightInd w:val="0"/>
        <w:snapToGrid w:val="0"/>
        <w:spacing w:line="420" w:lineRule="exact"/>
        <w:ind w:firstLine="480" w:firstLineChars="200"/>
        <w:rPr>
          <w:rFonts w:ascii="宋体" w:hAnsi="宋体" w:cs="方正仿宋_GBK"/>
          <w:color w:val="auto"/>
          <w:sz w:val="24"/>
          <w:highlight w:val="none"/>
        </w:rPr>
      </w:pPr>
    </w:p>
    <w:p w14:paraId="1C1C858E">
      <w:pPr>
        <w:adjustRightInd w:val="0"/>
        <w:snapToGrid w:val="0"/>
        <w:spacing w:line="420" w:lineRule="exact"/>
        <w:ind w:firstLine="480" w:firstLineChars="200"/>
        <w:rPr>
          <w:rFonts w:ascii="宋体" w:hAnsi="宋体" w:cs="方正仿宋_GBK"/>
          <w:color w:val="auto"/>
          <w:sz w:val="24"/>
          <w:highlight w:val="none"/>
        </w:rPr>
      </w:pPr>
    </w:p>
    <w:p w14:paraId="509384F1">
      <w:pPr>
        <w:adjustRightInd w:val="0"/>
        <w:snapToGrid w:val="0"/>
        <w:spacing w:line="420" w:lineRule="exact"/>
        <w:ind w:firstLine="480" w:firstLineChars="200"/>
        <w:jc w:val="right"/>
        <w:rPr>
          <w:rFonts w:ascii="宋体" w:hAnsi="宋体" w:cs="方正仿宋_GBK"/>
          <w:color w:val="auto"/>
          <w:sz w:val="24"/>
          <w:highlight w:val="none"/>
        </w:rPr>
      </w:pPr>
    </w:p>
    <w:p w14:paraId="1A7A514F">
      <w:pPr>
        <w:wordWrap w:val="0"/>
        <w:adjustRightInd w:val="0"/>
        <w:snapToGrid w:val="0"/>
        <w:spacing w:line="420" w:lineRule="exact"/>
        <w:ind w:firstLine="5280" w:firstLineChars="2200"/>
        <w:rPr>
          <w:rFonts w:ascii="宋体" w:hAnsi="宋体" w:cs="方正仿宋_GBK"/>
          <w:color w:val="auto"/>
          <w:sz w:val="24"/>
          <w:highlight w:val="none"/>
        </w:rPr>
      </w:pPr>
      <w:r>
        <w:rPr>
          <w:rFonts w:hint="eastAsia" w:ascii="宋体" w:hAnsi="宋体" w:cs="方正仿宋_GBK"/>
          <w:color w:val="auto"/>
          <w:sz w:val="24"/>
          <w:highlight w:val="none"/>
        </w:rPr>
        <w:t xml:space="preserve"> 承诺单位: （法人公章） </w:t>
      </w:r>
    </w:p>
    <w:p w14:paraId="37ACB2B6">
      <w:pPr>
        <w:adjustRightInd w:val="0"/>
        <w:snapToGrid w:val="0"/>
        <w:spacing w:line="420" w:lineRule="exact"/>
        <w:ind w:firstLine="480" w:firstLineChars="200"/>
        <w:jc w:val="right"/>
        <w:rPr>
          <w:rFonts w:ascii="宋体" w:hAnsi="宋体" w:cs="方正仿宋_GBK"/>
          <w:color w:val="auto"/>
          <w:sz w:val="24"/>
          <w:highlight w:val="none"/>
        </w:rPr>
      </w:pPr>
    </w:p>
    <w:p w14:paraId="6F814727">
      <w:pPr>
        <w:wordWrap w:val="0"/>
        <w:adjustRightInd w:val="0"/>
        <w:snapToGrid w:val="0"/>
        <w:spacing w:line="420" w:lineRule="exact"/>
        <w:ind w:firstLine="480" w:firstLineChars="200"/>
        <w:jc w:val="center"/>
        <w:rPr>
          <w:rFonts w:ascii="宋体" w:hAnsi="宋体" w:cs="方正仿宋_GBK"/>
          <w:color w:val="auto"/>
          <w:sz w:val="24"/>
          <w:highlight w:val="none"/>
        </w:rPr>
      </w:pPr>
      <w:r>
        <w:rPr>
          <w:rFonts w:hint="eastAsia" w:ascii="宋体" w:hAnsi="宋体" w:cs="方正仿宋_GBK"/>
          <w:color w:val="auto"/>
          <w:sz w:val="24"/>
          <w:highlight w:val="none"/>
        </w:rPr>
        <w:t xml:space="preserve">                项目负责人： </w:t>
      </w:r>
    </w:p>
    <w:p w14:paraId="468057C4">
      <w:pPr>
        <w:adjustRightInd w:val="0"/>
        <w:snapToGrid w:val="0"/>
        <w:spacing w:line="420" w:lineRule="exact"/>
        <w:ind w:firstLine="480" w:firstLineChars="200"/>
        <w:rPr>
          <w:rFonts w:ascii="宋体" w:hAnsi="宋体" w:cs="方正仿宋_GBK"/>
          <w:color w:val="auto"/>
          <w:sz w:val="24"/>
          <w:highlight w:val="none"/>
        </w:rPr>
      </w:pPr>
    </w:p>
    <w:p w14:paraId="65BD0F72">
      <w:pPr>
        <w:adjustRightInd w:val="0"/>
        <w:snapToGrid w:val="0"/>
        <w:spacing w:line="420" w:lineRule="exact"/>
        <w:ind w:firstLine="480" w:firstLineChars="200"/>
        <w:jc w:val="right"/>
        <w:rPr>
          <w:rFonts w:ascii="宋体" w:hAnsi="宋体" w:cs="方正仿宋_GBK"/>
          <w:color w:val="auto"/>
          <w:sz w:val="24"/>
          <w:highlight w:val="none"/>
        </w:rPr>
      </w:pPr>
      <w:r>
        <w:rPr>
          <w:rFonts w:hint="eastAsia" w:ascii="宋体" w:hAnsi="宋体" w:cs="方正仿宋_GBK"/>
          <w:color w:val="auto"/>
          <w:sz w:val="24"/>
          <w:highlight w:val="none"/>
        </w:rPr>
        <w:t xml:space="preserve">                               年   月   日  </w:t>
      </w:r>
    </w:p>
    <w:p w14:paraId="7144A94B">
      <w:pPr>
        <w:spacing w:line="440" w:lineRule="exact"/>
        <w:rPr>
          <w:rFonts w:ascii="宋体" w:hAnsi="宋体"/>
          <w:color w:val="auto"/>
          <w:sz w:val="24"/>
          <w:highlight w:val="none"/>
        </w:rPr>
      </w:pPr>
    </w:p>
    <w:p w14:paraId="452A2E6C">
      <w:pPr>
        <w:rPr>
          <w:color w:val="auto"/>
          <w:highlight w:val="none"/>
        </w:rPr>
      </w:pPr>
    </w:p>
    <w:p w14:paraId="42B292A9">
      <w:pPr>
        <w:rPr>
          <w:color w:val="auto"/>
          <w:highlight w:val="none"/>
        </w:rPr>
      </w:pPr>
    </w:p>
    <w:p w14:paraId="6ACA4977">
      <w:pPr>
        <w:adjustRightInd w:val="0"/>
        <w:snapToGrid w:val="0"/>
        <w:spacing w:line="420" w:lineRule="exact"/>
        <w:jc w:val="both"/>
        <w:rPr>
          <w:rFonts w:ascii="宋体" w:hAnsi="宋体" w:cs="方正仿宋_GBK"/>
          <w:color w:val="auto"/>
          <w:sz w:val="24"/>
          <w:highlight w:val="none"/>
        </w:rPr>
      </w:pPr>
      <w:r>
        <w:rPr>
          <w:rFonts w:hint="eastAsia" w:ascii="宋体" w:hAnsi="宋体" w:cs="方正仿宋_GBK"/>
          <w:color w:val="auto"/>
          <w:sz w:val="24"/>
          <w:highlight w:val="none"/>
        </w:rPr>
        <w:t xml:space="preserve">  </w:t>
      </w:r>
    </w:p>
    <w:p w14:paraId="14A39F40">
      <w:pPr>
        <w:spacing w:line="440" w:lineRule="exact"/>
        <w:rPr>
          <w:rFonts w:ascii="宋体" w:hAnsi="宋体"/>
          <w:color w:val="auto"/>
          <w:sz w:val="24"/>
          <w:highlight w:val="none"/>
        </w:rPr>
      </w:pPr>
    </w:p>
    <w:p w14:paraId="42B018F8">
      <w:pPr>
        <w:rPr>
          <w:color w:val="auto"/>
          <w:highlight w:val="none"/>
        </w:rPr>
      </w:pPr>
    </w:p>
    <w:p w14:paraId="35E92730">
      <w:pPr>
        <w:rPr>
          <w:color w:val="auto"/>
          <w:highlight w:val="none"/>
        </w:rPr>
      </w:pPr>
    </w:p>
    <w:p w14:paraId="4D670C2F">
      <w:pPr>
        <w:rPr>
          <w:color w:val="auto"/>
          <w:highlight w:val="none"/>
        </w:rPr>
      </w:pPr>
      <w:r>
        <w:rPr>
          <w:color w:val="auto"/>
          <w:highlight w:val="none"/>
        </w:rPr>
        <w:br w:type="page"/>
      </w:r>
    </w:p>
    <w:bookmarkEnd w:id="689"/>
    <w:bookmarkEnd w:id="690"/>
    <w:bookmarkEnd w:id="691"/>
    <w:p w14:paraId="78922DF4">
      <w:pPr>
        <w:pStyle w:val="3"/>
        <w:spacing w:line="360" w:lineRule="auto"/>
        <w:jc w:val="center"/>
        <w:rPr>
          <w:rFonts w:ascii="宋体" w:hAnsi="宋体" w:cs="宋体"/>
          <w:color w:val="auto"/>
          <w:highlight w:val="none"/>
        </w:rPr>
      </w:pPr>
      <w:bookmarkStart w:id="699" w:name="_Toc413659127"/>
      <w:bookmarkEnd w:id="699"/>
      <w:bookmarkStart w:id="700" w:name="_bookmark158"/>
      <w:bookmarkEnd w:id="700"/>
      <w:bookmarkStart w:id="701" w:name="_bookmark159"/>
      <w:bookmarkEnd w:id="701"/>
      <w:bookmarkStart w:id="702" w:name="_Toc413659132"/>
      <w:bookmarkEnd w:id="702"/>
      <w:bookmarkStart w:id="703" w:name="_Toc413659120"/>
      <w:bookmarkEnd w:id="703"/>
      <w:bookmarkStart w:id="704" w:name="_bookmark94"/>
      <w:bookmarkEnd w:id="704"/>
      <w:bookmarkStart w:id="705" w:name="_Toc427308803"/>
      <w:bookmarkEnd w:id="705"/>
      <w:bookmarkStart w:id="706" w:name="_Toc426028157"/>
      <w:bookmarkEnd w:id="706"/>
      <w:bookmarkStart w:id="707" w:name="_Toc427308798"/>
      <w:bookmarkEnd w:id="707"/>
      <w:bookmarkStart w:id="708" w:name="_Toc427308797"/>
      <w:bookmarkEnd w:id="708"/>
      <w:bookmarkStart w:id="709" w:name="_Toc427308800"/>
      <w:bookmarkEnd w:id="709"/>
      <w:bookmarkStart w:id="710" w:name="_Toc413659131"/>
      <w:bookmarkEnd w:id="710"/>
      <w:bookmarkStart w:id="711" w:name="_Toc413659123"/>
      <w:bookmarkEnd w:id="711"/>
      <w:bookmarkStart w:id="712" w:name="_Toc426028161"/>
      <w:bookmarkEnd w:id="712"/>
      <w:bookmarkStart w:id="713" w:name="_bookmark157"/>
      <w:bookmarkEnd w:id="713"/>
      <w:bookmarkStart w:id="714" w:name="_Toc426028152"/>
      <w:bookmarkEnd w:id="714"/>
      <w:bookmarkStart w:id="715" w:name="_Toc413659121"/>
      <w:bookmarkEnd w:id="715"/>
      <w:bookmarkStart w:id="716" w:name="_Toc426028160"/>
      <w:bookmarkEnd w:id="716"/>
      <w:bookmarkStart w:id="717" w:name="_Toc427308802"/>
      <w:bookmarkEnd w:id="717"/>
      <w:bookmarkStart w:id="718" w:name="_Toc427308804"/>
      <w:bookmarkEnd w:id="718"/>
      <w:bookmarkStart w:id="719" w:name="_Toc426028162"/>
      <w:bookmarkEnd w:id="719"/>
      <w:bookmarkStart w:id="720" w:name="招标文件06章图纸01"/>
      <w:bookmarkEnd w:id="720"/>
      <w:bookmarkStart w:id="721" w:name="_Toc426028153"/>
      <w:bookmarkEnd w:id="721"/>
      <w:bookmarkStart w:id="722" w:name="招标文件07章技术标准和要求"/>
      <w:bookmarkEnd w:id="722"/>
      <w:bookmarkStart w:id="723" w:name="_Toc426028159"/>
      <w:bookmarkEnd w:id="723"/>
      <w:bookmarkStart w:id="724" w:name="_Toc413659130"/>
      <w:bookmarkEnd w:id="724"/>
      <w:bookmarkStart w:id="725" w:name="_Toc413659129"/>
      <w:bookmarkEnd w:id="725"/>
      <w:bookmarkStart w:id="726" w:name="_Toc413659119"/>
      <w:bookmarkEnd w:id="726"/>
      <w:bookmarkStart w:id="727" w:name="_Toc426028155"/>
      <w:bookmarkEnd w:id="727"/>
      <w:bookmarkStart w:id="728" w:name="_Toc427308806"/>
      <w:bookmarkEnd w:id="728"/>
      <w:bookmarkStart w:id="729" w:name="_Toc427308805"/>
      <w:bookmarkEnd w:id="729"/>
      <w:bookmarkStart w:id="730" w:name="招标文件06章图纸"/>
      <w:bookmarkEnd w:id="730"/>
      <w:bookmarkStart w:id="731" w:name="_Toc427308796"/>
      <w:bookmarkEnd w:id="731"/>
      <w:bookmarkStart w:id="732" w:name="_Toc426028151"/>
      <w:bookmarkEnd w:id="732"/>
      <w:bookmarkStart w:id="733" w:name="招标文件08章投标文件格式"/>
      <w:bookmarkEnd w:id="733"/>
      <w:bookmarkStart w:id="734" w:name="_Toc5129"/>
      <w:bookmarkStart w:id="735" w:name="_Toc14772"/>
      <w:bookmarkStart w:id="736" w:name="_Toc534185829"/>
      <w:bookmarkStart w:id="737" w:name="_Toc287620812"/>
      <w:bookmarkStart w:id="738" w:name="_Toc509218852"/>
      <w:bookmarkStart w:id="739" w:name="_Toc430530528"/>
      <w:bookmarkStart w:id="740" w:name="_Toc287607865"/>
      <w:bookmarkStart w:id="741" w:name="_Toc296503025"/>
      <w:bookmarkStart w:id="742" w:name="_Toc351203480"/>
      <w:bookmarkStart w:id="743" w:name="_Toc296890982"/>
      <w:r>
        <w:rPr>
          <w:rFonts w:hint="eastAsia" w:ascii="宋体" w:hAnsi="宋体" w:cs="宋体"/>
          <w:color w:val="auto"/>
          <w:highlight w:val="none"/>
        </w:rPr>
        <w:t>第五章  竞选文件格式</w:t>
      </w:r>
      <w:bookmarkEnd w:id="734"/>
      <w:bookmarkEnd w:id="735"/>
      <w:bookmarkEnd w:id="736"/>
      <w:bookmarkEnd w:id="737"/>
      <w:bookmarkEnd w:id="738"/>
      <w:bookmarkEnd w:id="739"/>
      <w:bookmarkEnd w:id="740"/>
    </w:p>
    <w:p w14:paraId="771EC13B">
      <w:pPr>
        <w:rPr>
          <w:color w:val="auto"/>
          <w:highlight w:val="none"/>
        </w:rPr>
      </w:pPr>
    </w:p>
    <w:p w14:paraId="4353B067">
      <w:pPr>
        <w:pStyle w:val="2"/>
        <w:rPr>
          <w:color w:val="auto"/>
          <w:highlight w:val="none"/>
        </w:rPr>
      </w:pPr>
    </w:p>
    <w:p w14:paraId="49599276">
      <w:pPr>
        <w:rPr>
          <w:color w:val="auto"/>
          <w:highlight w:val="none"/>
        </w:rPr>
      </w:pPr>
    </w:p>
    <w:p w14:paraId="64DA2B1D">
      <w:pPr>
        <w:pStyle w:val="2"/>
        <w:rPr>
          <w:color w:val="auto"/>
          <w:highlight w:val="none"/>
        </w:rPr>
      </w:pPr>
    </w:p>
    <w:p w14:paraId="7F001FDE">
      <w:pPr>
        <w:rPr>
          <w:color w:val="auto"/>
          <w:highlight w:val="none"/>
        </w:rPr>
      </w:pPr>
    </w:p>
    <w:p w14:paraId="7984985C">
      <w:pPr>
        <w:pStyle w:val="2"/>
        <w:rPr>
          <w:color w:val="auto"/>
          <w:highlight w:val="none"/>
        </w:rPr>
      </w:pPr>
    </w:p>
    <w:p w14:paraId="4573224A">
      <w:pPr>
        <w:rPr>
          <w:color w:val="auto"/>
          <w:highlight w:val="none"/>
        </w:rPr>
      </w:pPr>
    </w:p>
    <w:p w14:paraId="3DA088E0">
      <w:pPr>
        <w:pStyle w:val="2"/>
        <w:rPr>
          <w:color w:val="auto"/>
          <w:highlight w:val="none"/>
        </w:rPr>
      </w:pPr>
    </w:p>
    <w:p w14:paraId="4EFA521B">
      <w:pPr>
        <w:rPr>
          <w:color w:val="auto"/>
          <w:highlight w:val="none"/>
        </w:rPr>
      </w:pPr>
    </w:p>
    <w:p w14:paraId="0FAE5C64">
      <w:pPr>
        <w:pStyle w:val="2"/>
        <w:rPr>
          <w:color w:val="auto"/>
          <w:highlight w:val="none"/>
        </w:rPr>
      </w:pPr>
    </w:p>
    <w:p w14:paraId="42EBC03C">
      <w:pPr>
        <w:rPr>
          <w:color w:val="auto"/>
          <w:highlight w:val="none"/>
        </w:rPr>
      </w:pPr>
    </w:p>
    <w:p w14:paraId="6A9C7DD7">
      <w:pPr>
        <w:pStyle w:val="2"/>
        <w:rPr>
          <w:color w:val="auto"/>
          <w:highlight w:val="none"/>
        </w:rPr>
      </w:pPr>
    </w:p>
    <w:p w14:paraId="0135B2E3">
      <w:pPr>
        <w:rPr>
          <w:color w:val="auto"/>
          <w:highlight w:val="none"/>
        </w:rPr>
      </w:pPr>
    </w:p>
    <w:p w14:paraId="48464D5B">
      <w:pPr>
        <w:pStyle w:val="2"/>
        <w:rPr>
          <w:color w:val="auto"/>
          <w:highlight w:val="none"/>
        </w:rPr>
      </w:pPr>
    </w:p>
    <w:p w14:paraId="5FBD006E">
      <w:pPr>
        <w:rPr>
          <w:color w:val="auto"/>
          <w:highlight w:val="none"/>
        </w:rPr>
      </w:pPr>
    </w:p>
    <w:p w14:paraId="1DD8624A">
      <w:pPr>
        <w:pStyle w:val="2"/>
        <w:rPr>
          <w:color w:val="auto"/>
          <w:highlight w:val="none"/>
        </w:rPr>
      </w:pPr>
    </w:p>
    <w:p w14:paraId="62BAA29A">
      <w:pPr>
        <w:rPr>
          <w:color w:val="auto"/>
          <w:highlight w:val="none"/>
        </w:rPr>
      </w:pPr>
    </w:p>
    <w:p w14:paraId="529800AD">
      <w:pPr>
        <w:pStyle w:val="2"/>
        <w:rPr>
          <w:color w:val="auto"/>
          <w:highlight w:val="none"/>
        </w:rPr>
      </w:pPr>
    </w:p>
    <w:p w14:paraId="38CC012A">
      <w:pPr>
        <w:rPr>
          <w:color w:val="auto"/>
          <w:highlight w:val="none"/>
        </w:rPr>
      </w:pPr>
    </w:p>
    <w:p w14:paraId="0908A280">
      <w:pPr>
        <w:pStyle w:val="2"/>
        <w:rPr>
          <w:color w:val="auto"/>
          <w:highlight w:val="none"/>
        </w:rPr>
      </w:pPr>
    </w:p>
    <w:p w14:paraId="5637C905">
      <w:pPr>
        <w:rPr>
          <w:color w:val="auto"/>
          <w:highlight w:val="none"/>
        </w:rPr>
      </w:pPr>
    </w:p>
    <w:p w14:paraId="658C7FAA">
      <w:pPr>
        <w:pStyle w:val="2"/>
        <w:rPr>
          <w:color w:val="auto"/>
          <w:highlight w:val="none"/>
        </w:rPr>
      </w:pPr>
    </w:p>
    <w:p w14:paraId="37839D02">
      <w:pPr>
        <w:rPr>
          <w:color w:val="auto"/>
          <w:highlight w:val="none"/>
        </w:rPr>
      </w:pPr>
    </w:p>
    <w:p w14:paraId="2F6EBAA4">
      <w:pPr>
        <w:pStyle w:val="2"/>
        <w:rPr>
          <w:color w:val="auto"/>
          <w:highlight w:val="none"/>
        </w:rPr>
      </w:pPr>
    </w:p>
    <w:p w14:paraId="4FA64822">
      <w:pPr>
        <w:rPr>
          <w:color w:val="auto"/>
          <w:highlight w:val="none"/>
        </w:rPr>
      </w:pPr>
    </w:p>
    <w:p w14:paraId="370BC238">
      <w:pPr>
        <w:pStyle w:val="2"/>
        <w:rPr>
          <w:color w:val="auto"/>
          <w:highlight w:val="none"/>
        </w:rPr>
      </w:pPr>
    </w:p>
    <w:p w14:paraId="4C00D5A7">
      <w:pPr>
        <w:rPr>
          <w:color w:val="auto"/>
          <w:highlight w:val="none"/>
        </w:rPr>
      </w:pPr>
    </w:p>
    <w:p w14:paraId="70C7FF78">
      <w:pPr>
        <w:pStyle w:val="2"/>
        <w:rPr>
          <w:color w:val="auto"/>
          <w:highlight w:val="none"/>
        </w:rPr>
      </w:pPr>
    </w:p>
    <w:p w14:paraId="0D6D9B33">
      <w:pPr>
        <w:rPr>
          <w:color w:val="auto"/>
          <w:highlight w:val="none"/>
        </w:rPr>
      </w:pPr>
    </w:p>
    <w:p w14:paraId="67164BA9">
      <w:pPr>
        <w:pStyle w:val="2"/>
        <w:rPr>
          <w:color w:val="auto"/>
          <w:highlight w:val="none"/>
        </w:rPr>
      </w:pPr>
    </w:p>
    <w:p w14:paraId="3F64E7D2">
      <w:pPr>
        <w:spacing w:line="360" w:lineRule="auto"/>
        <w:jc w:val="center"/>
        <w:rPr>
          <w:rFonts w:ascii="宋体" w:hAnsi="宋体" w:cs="宋体"/>
          <w:color w:val="auto"/>
          <w:sz w:val="36"/>
          <w:szCs w:val="36"/>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0" b="762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36A1BA8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fill on="t" focussize="0,0"/>
                <v:stroke on="f"/>
                <v:imagedata o:title=""/>
                <o:lock v:ext="edit" aspectratio="f"/>
                <v:textbox>
                  <w:txbxContent>
                    <w:p w14:paraId="36A1BA8D"/>
                  </w:txbxContent>
                </v:textbox>
              </v:rect>
            </w:pict>
          </mc:Fallback>
        </mc:AlternateContent>
      </w:r>
      <w:bookmarkStart w:id="744" w:name="_Toc224103493"/>
      <w:r>
        <w:rPr>
          <w:rFonts w:hint="eastAsia" w:ascii="宋体" w:hAnsi="宋体" w:cs="宋体"/>
          <w:color w:val="auto"/>
          <w:sz w:val="36"/>
          <w:szCs w:val="36"/>
          <w:highlight w:val="none"/>
        </w:rPr>
        <w:t>目  录</w:t>
      </w:r>
      <w:bookmarkEnd w:id="744"/>
    </w:p>
    <w:p w14:paraId="18648397">
      <w:pPr>
        <w:spacing w:line="360" w:lineRule="auto"/>
        <w:rPr>
          <w:rFonts w:ascii="宋体" w:hAnsi="宋体" w:cs="宋体"/>
          <w:b/>
          <w:color w:val="auto"/>
          <w:highlight w:val="none"/>
        </w:rPr>
      </w:pPr>
      <w:r>
        <w:rPr>
          <w:rFonts w:hint="eastAsia" w:ascii="宋体" w:hAnsi="宋体"/>
          <w:b/>
          <w:color w:val="auto"/>
          <w:highlight w:val="none"/>
        </w:rPr>
        <w:t>一、竞选</w:t>
      </w:r>
      <w:r>
        <w:rPr>
          <w:rFonts w:hint="eastAsia" w:ascii="宋体" w:hAnsi="宋体" w:cs="宋体"/>
          <w:b/>
          <w:color w:val="auto"/>
          <w:highlight w:val="none"/>
        </w:rPr>
        <w:t>函部分</w:t>
      </w:r>
    </w:p>
    <w:p w14:paraId="381B97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（一）竞选函</w:t>
      </w:r>
    </w:p>
    <w:p w14:paraId="0D6E44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（二）竞选函附录</w:t>
      </w:r>
    </w:p>
    <w:p w14:paraId="467EB2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w:t>
      </w:r>
      <w:r>
        <w:rPr>
          <w:rFonts w:hint="eastAsia" w:ascii="宋体" w:hAnsi="宋体"/>
          <w:color w:val="auto"/>
          <w:szCs w:val="21"/>
          <w:highlight w:val="none"/>
        </w:rPr>
        <w:t>法定代表人身份证明或附有法定代表人身份证明的授权委托书</w:t>
      </w:r>
    </w:p>
    <w:p w14:paraId="3D7E5823">
      <w:pPr>
        <w:spacing w:line="360" w:lineRule="auto"/>
        <w:ind w:firstLine="420" w:firstLineChars="200"/>
        <w:rPr>
          <w:rFonts w:ascii="宋体" w:hAnsi="宋体" w:cs="宋体"/>
          <w:color w:val="auto"/>
          <w:highlight w:val="none"/>
        </w:rPr>
      </w:pPr>
      <w:r>
        <w:rPr>
          <w:rFonts w:ascii="宋体" w:hAnsi="宋体" w:cs="宋体"/>
          <w:color w:val="auto"/>
          <w:highlight w:val="none"/>
        </w:rPr>
        <w:t>（四）</w:t>
      </w:r>
      <w:r>
        <w:rPr>
          <w:rFonts w:hint="eastAsia" w:ascii="宋体" w:hAnsi="宋体"/>
          <w:color w:val="auto"/>
          <w:highlight w:val="none"/>
        </w:rPr>
        <w:t>低价风险担保提交承诺书（如有）</w:t>
      </w:r>
    </w:p>
    <w:p w14:paraId="11C183FF">
      <w:pPr>
        <w:spacing w:line="360" w:lineRule="auto"/>
        <w:rPr>
          <w:rFonts w:ascii="宋体" w:hAnsi="宋体" w:cs="宋体"/>
          <w:b/>
          <w:color w:val="auto"/>
          <w:highlight w:val="none"/>
        </w:rPr>
      </w:pPr>
      <w:r>
        <w:rPr>
          <w:rFonts w:hint="eastAsia" w:ascii="宋体" w:hAnsi="宋体" w:cs="宋体"/>
          <w:b/>
          <w:color w:val="auto"/>
          <w:highlight w:val="none"/>
        </w:rPr>
        <w:t>二、技术部分</w:t>
      </w:r>
    </w:p>
    <w:p w14:paraId="70261AE9">
      <w:pPr>
        <w:spacing w:line="360" w:lineRule="auto"/>
        <w:rPr>
          <w:rFonts w:ascii="宋体" w:hAnsi="宋体" w:cs="宋体"/>
          <w:b/>
          <w:color w:val="auto"/>
          <w:highlight w:val="none"/>
        </w:rPr>
      </w:pPr>
      <w:r>
        <w:rPr>
          <w:rFonts w:hint="eastAsia" w:ascii="宋体" w:hAnsi="宋体" w:cs="宋体"/>
          <w:b/>
          <w:bCs/>
          <w:color w:val="auto"/>
          <w:highlight w:val="none"/>
        </w:rPr>
        <w:t>三</w:t>
      </w:r>
      <w:r>
        <w:rPr>
          <w:rFonts w:hint="eastAsia" w:ascii="宋体" w:hAnsi="宋体" w:cs="宋体"/>
          <w:b/>
          <w:color w:val="auto"/>
          <w:highlight w:val="none"/>
        </w:rPr>
        <w:t>、资格审查部分</w:t>
      </w:r>
    </w:p>
    <w:p w14:paraId="5C815AA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w:t>
      </w:r>
      <w:r>
        <w:rPr>
          <w:rFonts w:hint="eastAsia" w:ascii="宋体" w:hAnsi="宋体"/>
          <w:color w:val="auto"/>
          <w:szCs w:val="21"/>
          <w:highlight w:val="none"/>
        </w:rPr>
        <w:t>法定代表人身份证明或附有法定代表人身份证明的授权委托书</w:t>
      </w:r>
    </w:p>
    <w:p w14:paraId="549163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（二）竞选人基本情况表</w:t>
      </w:r>
    </w:p>
    <w:p w14:paraId="55185732">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（三）</w:t>
      </w:r>
      <w:r>
        <w:rPr>
          <w:rFonts w:hint="eastAsia" w:ascii="宋体" w:hAnsi="宋体"/>
          <w:color w:val="auto"/>
          <w:szCs w:val="21"/>
          <w:highlight w:val="none"/>
        </w:rPr>
        <w:t>近年财务状况表</w:t>
      </w:r>
    </w:p>
    <w:p w14:paraId="1EEF01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w:t>
      </w:r>
      <w:r>
        <w:rPr>
          <w:rFonts w:hint="eastAsia" w:ascii="宋体" w:hAnsi="宋体"/>
          <w:color w:val="auto"/>
          <w:szCs w:val="21"/>
          <w:highlight w:val="none"/>
        </w:rPr>
        <w:t>近年完成的类似项目情况表</w:t>
      </w:r>
    </w:p>
    <w:p w14:paraId="3C4BE0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（五）承诺</w:t>
      </w:r>
    </w:p>
    <w:p w14:paraId="272B4F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（六）主要人员简历表</w:t>
      </w:r>
    </w:p>
    <w:p w14:paraId="6F8C3CBD">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（七）其他资料</w:t>
      </w:r>
    </w:p>
    <w:p w14:paraId="49BEF23A">
      <w:pPr>
        <w:spacing w:line="360" w:lineRule="auto"/>
        <w:ind w:firstLine="420" w:firstLineChars="200"/>
        <w:rPr>
          <w:rFonts w:ascii="宋体" w:hAnsi="宋体" w:cs="宋体"/>
          <w:color w:val="auto"/>
          <w:highlight w:val="none"/>
        </w:rPr>
      </w:pPr>
    </w:p>
    <w:p w14:paraId="3CBB37F0">
      <w:pPr>
        <w:pStyle w:val="4"/>
        <w:spacing w:line="360" w:lineRule="auto"/>
        <w:jc w:val="center"/>
        <w:rPr>
          <w:rFonts w:ascii="宋体" w:hAnsi="宋体" w:cs="宋体"/>
          <w:color w:val="auto"/>
          <w:kern w:val="0"/>
          <w:sz w:val="24"/>
          <w:highlight w:val="none"/>
        </w:rPr>
      </w:pPr>
      <w:bookmarkStart w:id="745" w:name="_Toc6306"/>
      <w:bookmarkStart w:id="746" w:name="_Toc27983320"/>
      <w:bookmarkStart w:id="747" w:name="_Toc534185830"/>
      <w:bookmarkStart w:id="748" w:name="_Toc509218853"/>
      <w:bookmarkStart w:id="749" w:name="_Toc15801"/>
    </w:p>
    <w:p w14:paraId="0FB16E7A">
      <w:pPr>
        <w:spacing w:line="360" w:lineRule="auto"/>
        <w:jc w:val="center"/>
        <w:rPr>
          <w:rFonts w:ascii="宋体" w:hAnsi="宋体"/>
          <w:color w:val="auto"/>
          <w:sz w:val="44"/>
          <w:szCs w:val="44"/>
          <w:highlight w:val="none"/>
        </w:rPr>
      </w:pPr>
    </w:p>
    <w:p w14:paraId="6D7BEA06">
      <w:pPr>
        <w:spacing w:line="360" w:lineRule="auto"/>
        <w:jc w:val="center"/>
        <w:rPr>
          <w:rFonts w:ascii="宋体" w:hAnsi="宋体"/>
          <w:color w:val="auto"/>
          <w:sz w:val="44"/>
          <w:szCs w:val="44"/>
          <w:highlight w:val="none"/>
        </w:rPr>
      </w:pPr>
    </w:p>
    <w:p w14:paraId="0351F452">
      <w:pPr>
        <w:pStyle w:val="2"/>
        <w:rPr>
          <w:color w:val="auto"/>
          <w:highlight w:val="none"/>
        </w:rPr>
      </w:pPr>
    </w:p>
    <w:p w14:paraId="2C67C0C0">
      <w:pPr>
        <w:rPr>
          <w:color w:val="auto"/>
          <w:highlight w:val="none"/>
        </w:rPr>
      </w:pPr>
    </w:p>
    <w:p w14:paraId="7352E09F">
      <w:pPr>
        <w:pStyle w:val="2"/>
        <w:rPr>
          <w:color w:val="auto"/>
          <w:highlight w:val="none"/>
        </w:rPr>
      </w:pPr>
    </w:p>
    <w:p w14:paraId="3D81E445">
      <w:pPr>
        <w:rPr>
          <w:color w:val="auto"/>
          <w:highlight w:val="none"/>
        </w:rPr>
      </w:pPr>
    </w:p>
    <w:p w14:paraId="50604EF4">
      <w:pPr>
        <w:pStyle w:val="2"/>
        <w:rPr>
          <w:color w:val="auto"/>
          <w:highlight w:val="none"/>
        </w:rPr>
      </w:pPr>
    </w:p>
    <w:p w14:paraId="16D998CD">
      <w:pPr>
        <w:rPr>
          <w:color w:val="auto"/>
          <w:highlight w:val="none"/>
        </w:rPr>
      </w:pPr>
    </w:p>
    <w:p w14:paraId="70DB4BB8">
      <w:pPr>
        <w:spacing w:line="360" w:lineRule="auto"/>
        <w:jc w:val="center"/>
        <w:rPr>
          <w:rFonts w:ascii="宋体" w:hAnsi="宋体"/>
          <w:color w:val="auto"/>
          <w:sz w:val="44"/>
          <w:szCs w:val="44"/>
          <w:highlight w:val="none"/>
        </w:rPr>
      </w:pPr>
    </w:p>
    <w:p w14:paraId="0FD4DF5F">
      <w:pPr>
        <w:spacing w:line="360" w:lineRule="auto"/>
        <w:jc w:val="center"/>
        <w:rPr>
          <w:rFonts w:ascii="宋体" w:hAnsi="宋体"/>
          <w:color w:val="auto"/>
          <w:sz w:val="44"/>
          <w:szCs w:val="44"/>
          <w:highlight w:val="none"/>
        </w:rPr>
      </w:pPr>
    </w:p>
    <w:p w14:paraId="7EB81A60">
      <w:pPr>
        <w:pStyle w:val="2"/>
        <w:rPr>
          <w:color w:val="auto"/>
          <w:highlight w:val="none"/>
        </w:rPr>
      </w:pPr>
    </w:p>
    <w:bookmarkEnd w:id="745"/>
    <w:bookmarkEnd w:id="746"/>
    <w:bookmarkEnd w:id="747"/>
    <w:bookmarkEnd w:id="748"/>
    <w:bookmarkEnd w:id="749"/>
    <w:p w14:paraId="47396DFA">
      <w:pPr>
        <w:pStyle w:val="4"/>
        <w:spacing w:line="360" w:lineRule="auto"/>
        <w:jc w:val="center"/>
        <w:rPr>
          <w:rFonts w:ascii="宋体" w:hAnsi="宋体" w:cs="宋体"/>
          <w:b w:val="0"/>
          <w:bCs w:val="0"/>
          <w:color w:val="auto"/>
          <w:sz w:val="44"/>
          <w:szCs w:val="44"/>
          <w:highlight w:val="none"/>
        </w:rPr>
      </w:pPr>
      <w:bookmarkStart w:id="750" w:name="_Toc15678"/>
      <w:bookmarkStart w:id="751" w:name="_Toc224103502"/>
      <w:bookmarkStart w:id="752" w:name="_Toc28457"/>
      <w:bookmarkStart w:id="753" w:name="_Toc3391"/>
      <w:bookmarkStart w:id="754" w:name="_Toc430530536"/>
      <w:bookmarkStart w:id="755" w:name="_Toc287607874"/>
      <w:bookmarkStart w:id="756" w:name="_Toc287620821"/>
      <w:r>
        <w:rPr>
          <w:rFonts w:hint="eastAsia" w:ascii="宋体" w:hAnsi="宋体"/>
          <w:b w:val="0"/>
          <w:bCs w:val="0"/>
          <w:color w:val="auto"/>
          <w:sz w:val="44"/>
          <w:szCs w:val="44"/>
          <w:highlight w:val="none"/>
        </w:rPr>
        <w:t>一、</w:t>
      </w:r>
      <w:bookmarkStart w:id="757" w:name="_Toc26929"/>
      <w:bookmarkStart w:id="758" w:name="_Toc224103494"/>
      <w:bookmarkStart w:id="759" w:name="_Toc2213"/>
      <w:bookmarkStart w:id="760" w:name="_Toc287607866"/>
      <w:bookmarkStart w:id="761" w:name="_Toc287620813"/>
      <w:bookmarkStart w:id="762" w:name="_Toc277082642"/>
      <w:bookmarkStart w:id="763" w:name="_Toc430530529"/>
      <w:bookmarkStart w:id="764" w:name="_Toc8975"/>
      <w:r>
        <w:rPr>
          <w:rFonts w:hint="eastAsia" w:ascii="宋体" w:hAnsi="宋体" w:cs="宋体"/>
          <w:b w:val="0"/>
          <w:bCs w:val="0"/>
          <w:color w:val="auto"/>
          <w:sz w:val="44"/>
          <w:szCs w:val="44"/>
          <w:highlight w:val="none"/>
        </w:rPr>
        <w:t>竞选函部分</w:t>
      </w:r>
      <w:bookmarkEnd w:id="757"/>
      <w:bookmarkEnd w:id="758"/>
      <w:bookmarkEnd w:id="759"/>
      <w:bookmarkEnd w:id="760"/>
      <w:bookmarkEnd w:id="761"/>
      <w:bookmarkEnd w:id="762"/>
      <w:bookmarkEnd w:id="763"/>
      <w:bookmarkEnd w:id="764"/>
    </w:p>
    <w:p w14:paraId="0659C239">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286E2971">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5C5F1826">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570FD71D">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04AB494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2827AD03">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724EDD73">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23AE23A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5670D6A4">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3532CB85">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17B51CA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7CC1357B">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7AF045E8">
      <w:pPr>
        <w:pStyle w:val="8"/>
        <w:rPr>
          <w:color w:val="auto"/>
          <w:highlight w:val="none"/>
        </w:rPr>
      </w:pPr>
    </w:p>
    <w:p w14:paraId="7BEF0FBB">
      <w:pPr>
        <w:spacing w:line="360" w:lineRule="auto"/>
        <w:jc w:val="center"/>
        <w:rPr>
          <w:rFonts w:ascii="宋体" w:hAnsi="宋体" w:cs="宋体"/>
          <w:color w:val="auto"/>
          <w:kern w:val="0"/>
          <w:sz w:val="32"/>
          <w:szCs w:val="32"/>
          <w:highlight w:val="none"/>
          <w:u w:val="single"/>
        </w:rPr>
      </w:pPr>
    </w:p>
    <w:p w14:paraId="6B5E3C84">
      <w:pPr>
        <w:spacing w:line="360" w:lineRule="auto"/>
        <w:jc w:val="center"/>
        <w:rPr>
          <w:rFonts w:ascii="宋体" w:hAnsi="宋体" w:cs="宋体"/>
          <w:color w:val="auto"/>
          <w:kern w:val="0"/>
          <w:sz w:val="32"/>
          <w:szCs w:val="32"/>
          <w:highlight w:val="none"/>
          <w:u w:val="single"/>
        </w:rPr>
      </w:pPr>
    </w:p>
    <w:p w14:paraId="7C9E913A">
      <w:pPr>
        <w:spacing w:line="360" w:lineRule="auto"/>
        <w:jc w:val="center"/>
        <w:rPr>
          <w:rFonts w:ascii="宋体" w:hAnsi="宋体" w:cs="宋体"/>
          <w:color w:val="auto"/>
          <w:kern w:val="0"/>
          <w:sz w:val="32"/>
          <w:szCs w:val="32"/>
          <w:highlight w:val="none"/>
          <w:u w:val="single"/>
        </w:rPr>
      </w:pPr>
    </w:p>
    <w:p w14:paraId="3A010CE7">
      <w:pPr>
        <w:spacing w:line="360" w:lineRule="auto"/>
        <w:jc w:val="center"/>
        <w:rPr>
          <w:rFonts w:ascii="宋体" w:hAnsi="宋体" w:cs="宋体"/>
          <w:color w:val="auto"/>
          <w:kern w:val="0"/>
          <w:sz w:val="32"/>
          <w:szCs w:val="32"/>
          <w:highlight w:val="none"/>
          <w:u w:val="single"/>
        </w:rPr>
      </w:pPr>
    </w:p>
    <w:p w14:paraId="63502C7F">
      <w:pPr>
        <w:pStyle w:val="2"/>
        <w:rPr>
          <w:color w:val="auto"/>
          <w:highlight w:val="none"/>
        </w:rPr>
      </w:pPr>
    </w:p>
    <w:p w14:paraId="703398CB">
      <w:pPr>
        <w:rPr>
          <w:color w:val="auto"/>
          <w:highlight w:val="none"/>
        </w:rPr>
      </w:pPr>
    </w:p>
    <w:p w14:paraId="52EA19F2">
      <w:pPr>
        <w:pStyle w:val="2"/>
        <w:rPr>
          <w:color w:val="auto"/>
          <w:highlight w:val="none"/>
        </w:rPr>
      </w:pPr>
    </w:p>
    <w:p w14:paraId="59BA1806">
      <w:pPr>
        <w:rPr>
          <w:color w:val="auto"/>
          <w:highlight w:val="none"/>
        </w:rPr>
      </w:pPr>
    </w:p>
    <w:p w14:paraId="3F497904">
      <w:pPr>
        <w:pStyle w:val="2"/>
        <w:rPr>
          <w:color w:val="auto"/>
          <w:highlight w:val="none"/>
        </w:rPr>
      </w:pPr>
    </w:p>
    <w:p w14:paraId="70062DAF">
      <w:pPr>
        <w:spacing w:line="360" w:lineRule="auto"/>
        <w:jc w:val="center"/>
        <w:rPr>
          <w:rFonts w:ascii="宋体" w:hAnsi="宋体" w:cs="宋体"/>
          <w:color w:val="auto"/>
          <w:kern w:val="0"/>
          <w:sz w:val="32"/>
          <w:szCs w:val="32"/>
          <w:highlight w:val="none"/>
          <w:u w:val="single"/>
        </w:rPr>
      </w:pPr>
    </w:p>
    <w:p w14:paraId="6314FFC1">
      <w:pPr>
        <w:spacing w:line="360" w:lineRule="auto"/>
        <w:jc w:val="center"/>
        <w:rPr>
          <w:rFonts w:ascii="宋体" w:hAnsi="宋体" w:cs="宋体"/>
          <w:color w:val="auto"/>
          <w:kern w:val="0"/>
          <w:sz w:val="32"/>
          <w:szCs w:val="32"/>
          <w:highlight w:val="none"/>
          <w:u w:val="single"/>
        </w:rPr>
      </w:pPr>
    </w:p>
    <w:p w14:paraId="74F22566">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w:t>
      </w:r>
      <w:r>
        <w:rPr>
          <w:rFonts w:hint="eastAsia" w:ascii="宋体" w:hAnsi="宋体" w:cs="宋体"/>
          <w:color w:val="auto"/>
          <w:kern w:val="0"/>
          <w:sz w:val="32"/>
          <w:szCs w:val="32"/>
          <w:highlight w:val="none"/>
        </w:rPr>
        <w:t>（项目名称）</w:t>
      </w:r>
    </w:p>
    <w:p w14:paraId="5E5F45B0">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00D4B930">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063E4A0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249B38D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02740F38">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A5DD331">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竞 选 文 件</w:t>
      </w:r>
    </w:p>
    <w:p w14:paraId="69AC9B25">
      <w:pPr>
        <w:autoSpaceDE w:val="0"/>
        <w:autoSpaceDN w:val="0"/>
        <w:adjustRightInd w:val="0"/>
        <w:snapToGrid w:val="0"/>
        <w:spacing w:line="360" w:lineRule="auto"/>
        <w:jc w:val="left"/>
        <w:rPr>
          <w:rFonts w:ascii="宋体" w:hAnsi="宋体" w:cs="宋体"/>
          <w:color w:val="auto"/>
          <w:kern w:val="0"/>
          <w:sz w:val="16"/>
          <w:szCs w:val="16"/>
          <w:highlight w:val="none"/>
        </w:rPr>
      </w:pPr>
    </w:p>
    <w:p w14:paraId="20B35162">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竞选函部分</w:t>
      </w:r>
    </w:p>
    <w:p w14:paraId="365E406E">
      <w:pPr>
        <w:autoSpaceDE w:val="0"/>
        <w:autoSpaceDN w:val="0"/>
        <w:adjustRightInd w:val="0"/>
        <w:snapToGrid w:val="0"/>
        <w:spacing w:line="360" w:lineRule="auto"/>
        <w:jc w:val="left"/>
        <w:rPr>
          <w:rFonts w:ascii="宋体" w:hAnsi="宋体" w:cs="宋体"/>
          <w:b/>
          <w:color w:val="auto"/>
          <w:kern w:val="0"/>
          <w:sz w:val="20"/>
          <w:szCs w:val="20"/>
          <w:highlight w:val="none"/>
        </w:rPr>
      </w:pPr>
    </w:p>
    <w:p w14:paraId="18A1EF46">
      <w:pPr>
        <w:autoSpaceDE w:val="0"/>
        <w:autoSpaceDN w:val="0"/>
        <w:adjustRightInd w:val="0"/>
        <w:snapToGrid w:val="0"/>
        <w:spacing w:line="360" w:lineRule="auto"/>
        <w:jc w:val="left"/>
        <w:rPr>
          <w:rFonts w:ascii="宋体" w:hAnsi="宋体" w:cs="宋体"/>
          <w:b/>
          <w:color w:val="auto"/>
          <w:kern w:val="0"/>
          <w:sz w:val="20"/>
          <w:szCs w:val="20"/>
          <w:highlight w:val="none"/>
        </w:rPr>
      </w:pPr>
    </w:p>
    <w:p w14:paraId="39D63E3B">
      <w:pPr>
        <w:autoSpaceDE w:val="0"/>
        <w:autoSpaceDN w:val="0"/>
        <w:adjustRightInd w:val="0"/>
        <w:snapToGrid w:val="0"/>
        <w:spacing w:line="360" w:lineRule="auto"/>
        <w:jc w:val="left"/>
        <w:rPr>
          <w:rFonts w:ascii="宋体" w:hAnsi="宋体" w:cs="宋体"/>
          <w:b/>
          <w:color w:val="auto"/>
          <w:kern w:val="0"/>
          <w:sz w:val="20"/>
          <w:szCs w:val="20"/>
          <w:highlight w:val="none"/>
        </w:rPr>
      </w:pPr>
    </w:p>
    <w:p w14:paraId="3ED68E2D">
      <w:pPr>
        <w:autoSpaceDE w:val="0"/>
        <w:autoSpaceDN w:val="0"/>
        <w:adjustRightInd w:val="0"/>
        <w:snapToGrid w:val="0"/>
        <w:spacing w:line="360" w:lineRule="auto"/>
        <w:jc w:val="left"/>
        <w:rPr>
          <w:rFonts w:ascii="宋体" w:hAnsi="宋体" w:cs="宋体"/>
          <w:b/>
          <w:color w:val="auto"/>
          <w:kern w:val="0"/>
          <w:sz w:val="20"/>
          <w:szCs w:val="20"/>
          <w:highlight w:val="none"/>
        </w:rPr>
      </w:pPr>
    </w:p>
    <w:p w14:paraId="4BCB830D">
      <w:pPr>
        <w:autoSpaceDE w:val="0"/>
        <w:autoSpaceDN w:val="0"/>
        <w:adjustRightInd w:val="0"/>
        <w:snapToGrid w:val="0"/>
        <w:spacing w:line="360" w:lineRule="auto"/>
        <w:jc w:val="left"/>
        <w:rPr>
          <w:rFonts w:ascii="宋体" w:hAnsi="宋体" w:cs="宋体"/>
          <w:b/>
          <w:color w:val="auto"/>
          <w:kern w:val="0"/>
          <w:sz w:val="20"/>
          <w:szCs w:val="20"/>
          <w:highlight w:val="none"/>
        </w:rPr>
      </w:pPr>
    </w:p>
    <w:p w14:paraId="7590E2E1">
      <w:pPr>
        <w:autoSpaceDE w:val="0"/>
        <w:autoSpaceDN w:val="0"/>
        <w:adjustRightInd w:val="0"/>
        <w:snapToGrid w:val="0"/>
        <w:spacing w:line="360" w:lineRule="auto"/>
        <w:jc w:val="left"/>
        <w:rPr>
          <w:rFonts w:ascii="宋体" w:hAnsi="宋体" w:cs="宋体"/>
          <w:b/>
          <w:color w:val="auto"/>
          <w:kern w:val="0"/>
          <w:sz w:val="20"/>
          <w:szCs w:val="20"/>
          <w:highlight w:val="none"/>
        </w:rPr>
      </w:pPr>
    </w:p>
    <w:p w14:paraId="140456EE">
      <w:pPr>
        <w:autoSpaceDE w:val="0"/>
        <w:autoSpaceDN w:val="0"/>
        <w:adjustRightInd w:val="0"/>
        <w:snapToGrid w:val="0"/>
        <w:spacing w:line="360" w:lineRule="auto"/>
        <w:jc w:val="left"/>
        <w:rPr>
          <w:rFonts w:ascii="宋体" w:hAnsi="宋体" w:cs="宋体"/>
          <w:b/>
          <w:color w:val="auto"/>
          <w:kern w:val="0"/>
          <w:sz w:val="20"/>
          <w:szCs w:val="20"/>
          <w:highlight w:val="none"/>
        </w:rPr>
      </w:pPr>
    </w:p>
    <w:p w14:paraId="2E14F01C">
      <w:pPr>
        <w:autoSpaceDE w:val="0"/>
        <w:autoSpaceDN w:val="0"/>
        <w:adjustRightInd w:val="0"/>
        <w:snapToGrid w:val="0"/>
        <w:spacing w:line="360" w:lineRule="auto"/>
        <w:jc w:val="left"/>
        <w:rPr>
          <w:rFonts w:ascii="宋体" w:hAnsi="宋体" w:cs="宋体"/>
          <w:b/>
          <w:color w:val="auto"/>
          <w:kern w:val="0"/>
          <w:sz w:val="20"/>
          <w:szCs w:val="20"/>
          <w:highlight w:val="none"/>
        </w:rPr>
      </w:pPr>
    </w:p>
    <w:p w14:paraId="367CB9D4">
      <w:pPr>
        <w:autoSpaceDE w:val="0"/>
        <w:autoSpaceDN w:val="0"/>
        <w:adjustRightInd w:val="0"/>
        <w:snapToGrid w:val="0"/>
        <w:spacing w:line="360" w:lineRule="auto"/>
        <w:jc w:val="left"/>
        <w:rPr>
          <w:rFonts w:ascii="宋体" w:hAnsi="宋体" w:cs="宋体"/>
          <w:b/>
          <w:color w:val="auto"/>
          <w:kern w:val="0"/>
          <w:sz w:val="20"/>
          <w:szCs w:val="20"/>
          <w:highlight w:val="none"/>
        </w:rPr>
      </w:pPr>
    </w:p>
    <w:p w14:paraId="3414F2A3">
      <w:pPr>
        <w:autoSpaceDE w:val="0"/>
        <w:autoSpaceDN w:val="0"/>
        <w:adjustRightInd w:val="0"/>
        <w:snapToGrid w:val="0"/>
        <w:spacing w:line="360" w:lineRule="auto"/>
        <w:jc w:val="left"/>
        <w:rPr>
          <w:rFonts w:ascii="宋体" w:hAnsi="宋体" w:cs="宋体"/>
          <w:b/>
          <w:color w:val="auto"/>
          <w:kern w:val="0"/>
          <w:sz w:val="20"/>
          <w:szCs w:val="20"/>
          <w:highlight w:val="none"/>
        </w:rPr>
      </w:pPr>
    </w:p>
    <w:p w14:paraId="08CAA8D2">
      <w:pPr>
        <w:autoSpaceDE w:val="0"/>
        <w:autoSpaceDN w:val="0"/>
        <w:adjustRightInd w:val="0"/>
        <w:snapToGrid w:val="0"/>
        <w:spacing w:line="360" w:lineRule="auto"/>
        <w:jc w:val="left"/>
        <w:rPr>
          <w:rFonts w:ascii="宋体" w:hAnsi="宋体" w:cs="宋体"/>
          <w:b/>
          <w:color w:val="auto"/>
          <w:kern w:val="0"/>
          <w:sz w:val="20"/>
          <w:szCs w:val="20"/>
          <w:highlight w:val="none"/>
        </w:rPr>
      </w:pPr>
    </w:p>
    <w:p w14:paraId="50CAEEA5">
      <w:pPr>
        <w:tabs>
          <w:tab w:val="left" w:pos="6080"/>
          <w:tab w:val="left" w:pos="6640"/>
        </w:tabs>
        <w:autoSpaceDE w:val="0"/>
        <w:autoSpaceDN w:val="0"/>
        <w:adjustRightInd w:val="0"/>
        <w:snapToGrid w:val="0"/>
        <w:spacing w:after="156" w:afterLines="50" w:line="360" w:lineRule="auto"/>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rPr>
        <w:t>竞选人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（盖单位公章）</w:t>
      </w:r>
    </w:p>
    <w:p w14:paraId="78B0051F">
      <w:pPr>
        <w:tabs>
          <w:tab w:val="left" w:pos="6080"/>
          <w:tab w:val="left" w:pos="6640"/>
        </w:tabs>
        <w:autoSpaceDE w:val="0"/>
        <w:autoSpaceDN w:val="0"/>
        <w:adjustRightInd w:val="0"/>
        <w:snapToGrid w:val="0"/>
        <w:spacing w:after="156" w:afterLines="50" w:line="360" w:lineRule="auto"/>
        <w:jc w:val="center"/>
        <w:rPr>
          <w:rFonts w:ascii="宋体" w:hAnsi="宋体" w:cs="宋体"/>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（签字或盖章）</w:t>
      </w:r>
    </w:p>
    <w:p w14:paraId="79FF193B">
      <w:pPr>
        <w:autoSpaceDE w:val="0"/>
        <w:autoSpaceDN w:val="0"/>
        <w:adjustRightInd w:val="0"/>
        <w:snapToGrid w:val="0"/>
        <w:spacing w:line="360" w:lineRule="auto"/>
        <w:ind w:firstLine="554"/>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日</w:t>
      </w:r>
    </w:p>
    <w:p w14:paraId="7307F2F2">
      <w:pPr>
        <w:autoSpaceDE w:val="0"/>
        <w:autoSpaceDN w:val="0"/>
        <w:adjustRightInd w:val="0"/>
        <w:snapToGrid w:val="0"/>
        <w:spacing w:line="360" w:lineRule="auto"/>
        <w:jc w:val="center"/>
        <w:rPr>
          <w:rFonts w:ascii="宋体" w:hAnsi="宋体" w:cs="宋体"/>
          <w:color w:val="auto"/>
          <w:kern w:val="0"/>
          <w:sz w:val="36"/>
          <w:szCs w:val="36"/>
          <w:highlight w:val="none"/>
        </w:rPr>
      </w:pPr>
    </w:p>
    <w:p w14:paraId="07B578C0">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目  录</w:t>
      </w:r>
    </w:p>
    <w:p w14:paraId="6BB444B9">
      <w:pPr>
        <w:autoSpaceDE w:val="0"/>
        <w:autoSpaceDN w:val="0"/>
        <w:adjustRightInd w:val="0"/>
        <w:snapToGrid w:val="0"/>
        <w:spacing w:line="360" w:lineRule="auto"/>
        <w:jc w:val="left"/>
        <w:rPr>
          <w:rFonts w:ascii="宋体" w:hAnsi="宋体" w:cs="宋体"/>
          <w:color w:val="auto"/>
          <w:kern w:val="0"/>
          <w:sz w:val="24"/>
          <w:szCs w:val="21"/>
          <w:highlight w:val="none"/>
        </w:rPr>
      </w:pPr>
    </w:p>
    <w:p w14:paraId="57A75A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（一）竞选函</w:t>
      </w:r>
    </w:p>
    <w:p w14:paraId="5732A64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（二）竞选函附录</w:t>
      </w:r>
    </w:p>
    <w:p w14:paraId="2924B6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w:t>
      </w:r>
      <w:r>
        <w:rPr>
          <w:rFonts w:hint="eastAsia" w:ascii="宋体" w:hAnsi="宋体"/>
          <w:color w:val="auto"/>
          <w:szCs w:val="21"/>
          <w:highlight w:val="none"/>
        </w:rPr>
        <w:t>法定代表人身份证明或附有法定代表人身份证明的授权委托书</w:t>
      </w:r>
    </w:p>
    <w:p w14:paraId="6F7D35E1">
      <w:pPr>
        <w:spacing w:line="360" w:lineRule="auto"/>
        <w:ind w:firstLine="420" w:firstLineChars="200"/>
        <w:rPr>
          <w:rFonts w:ascii="宋体" w:hAnsi="宋体" w:cs="宋体"/>
          <w:color w:val="auto"/>
          <w:highlight w:val="none"/>
        </w:rPr>
      </w:pPr>
      <w:r>
        <w:rPr>
          <w:rFonts w:ascii="宋体" w:hAnsi="宋体" w:cs="宋体"/>
          <w:color w:val="auto"/>
          <w:highlight w:val="none"/>
        </w:rPr>
        <w:t>（四）</w:t>
      </w:r>
      <w:r>
        <w:rPr>
          <w:rFonts w:hint="eastAsia" w:ascii="宋体" w:hAnsi="宋体"/>
          <w:color w:val="auto"/>
          <w:highlight w:val="none"/>
        </w:rPr>
        <w:t>低价风险担保提交承诺书（如有）</w:t>
      </w:r>
    </w:p>
    <w:p w14:paraId="40EF3E41">
      <w:pPr>
        <w:autoSpaceDE w:val="0"/>
        <w:autoSpaceDN w:val="0"/>
        <w:adjustRightInd w:val="0"/>
        <w:snapToGrid w:val="0"/>
        <w:spacing w:line="360" w:lineRule="auto"/>
        <w:jc w:val="left"/>
        <w:rPr>
          <w:rFonts w:ascii="宋体" w:hAnsi="宋体" w:cs="宋体"/>
          <w:color w:val="auto"/>
          <w:kern w:val="0"/>
          <w:szCs w:val="21"/>
          <w:highlight w:val="none"/>
        </w:rPr>
      </w:pPr>
    </w:p>
    <w:p w14:paraId="519526DA">
      <w:pPr>
        <w:autoSpaceDE w:val="0"/>
        <w:autoSpaceDN w:val="0"/>
        <w:adjustRightInd w:val="0"/>
        <w:snapToGrid w:val="0"/>
        <w:spacing w:line="360" w:lineRule="auto"/>
        <w:jc w:val="left"/>
        <w:rPr>
          <w:rFonts w:ascii="宋体" w:hAnsi="宋体" w:cs="宋体"/>
          <w:color w:val="auto"/>
          <w:kern w:val="0"/>
          <w:szCs w:val="21"/>
          <w:highlight w:val="none"/>
        </w:rPr>
      </w:pPr>
    </w:p>
    <w:p w14:paraId="5F8060CE">
      <w:pPr>
        <w:autoSpaceDE w:val="0"/>
        <w:autoSpaceDN w:val="0"/>
        <w:adjustRightInd w:val="0"/>
        <w:snapToGrid w:val="0"/>
        <w:spacing w:line="360" w:lineRule="auto"/>
        <w:jc w:val="left"/>
        <w:rPr>
          <w:rFonts w:ascii="宋体" w:hAnsi="宋体" w:cs="宋体"/>
          <w:color w:val="auto"/>
          <w:kern w:val="0"/>
          <w:szCs w:val="21"/>
          <w:highlight w:val="none"/>
        </w:rPr>
      </w:pPr>
    </w:p>
    <w:p w14:paraId="78DA784B">
      <w:pPr>
        <w:autoSpaceDE w:val="0"/>
        <w:autoSpaceDN w:val="0"/>
        <w:adjustRightInd w:val="0"/>
        <w:snapToGrid w:val="0"/>
        <w:spacing w:line="360" w:lineRule="auto"/>
        <w:jc w:val="left"/>
        <w:rPr>
          <w:rFonts w:ascii="宋体" w:hAnsi="宋体" w:cs="宋体"/>
          <w:color w:val="auto"/>
          <w:kern w:val="0"/>
          <w:highlight w:val="none"/>
        </w:rPr>
      </w:pPr>
    </w:p>
    <w:p w14:paraId="4552FBA1">
      <w:pPr>
        <w:autoSpaceDE w:val="0"/>
        <w:autoSpaceDN w:val="0"/>
        <w:adjustRightInd w:val="0"/>
        <w:snapToGrid w:val="0"/>
        <w:spacing w:line="360" w:lineRule="auto"/>
        <w:jc w:val="left"/>
        <w:rPr>
          <w:rFonts w:ascii="宋体" w:hAnsi="宋体" w:cs="宋体"/>
          <w:color w:val="auto"/>
          <w:kern w:val="0"/>
          <w:highlight w:val="none"/>
        </w:rPr>
      </w:pPr>
    </w:p>
    <w:p w14:paraId="2F0BE9CF">
      <w:pPr>
        <w:autoSpaceDE w:val="0"/>
        <w:autoSpaceDN w:val="0"/>
        <w:adjustRightInd w:val="0"/>
        <w:snapToGrid w:val="0"/>
        <w:spacing w:line="360" w:lineRule="auto"/>
        <w:jc w:val="left"/>
        <w:rPr>
          <w:rFonts w:ascii="宋体" w:hAnsi="宋体" w:cs="宋体"/>
          <w:color w:val="auto"/>
          <w:kern w:val="0"/>
          <w:highlight w:val="none"/>
        </w:rPr>
      </w:pPr>
    </w:p>
    <w:p w14:paraId="733BA1BD">
      <w:pPr>
        <w:autoSpaceDE w:val="0"/>
        <w:autoSpaceDN w:val="0"/>
        <w:adjustRightInd w:val="0"/>
        <w:snapToGrid w:val="0"/>
        <w:spacing w:line="360" w:lineRule="auto"/>
        <w:jc w:val="left"/>
        <w:rPr>
          <w:rFonts w:ascii="宋体" w:hAnsi="宋体" w:cs="宋体"/>
          <w:color w:val="auto"/>
          <w:kern w:val="0"/>
          <w:highlight w:val="none"/>
        </w:rPr>
      </w:pPr>
    </w:p>
    <w:p w14:paraId="7A5EC067">
      <w:pPr>
        <w:pStyle w:val="2"/>
        <w:rPr>
          <w:rFonts w:ascii="宋体" w:hAnsi="宋体" w:cs="宋体"/>
          <w:color w:val="auto"/>
          <w:kern w:val="0"/>
          <w:highlight w:val="none"/>
        </w:rPr>
      </w:pPr>
    </w:p>
    <w:p w14:paraId="5353DBF2">
      <w:pPr>
        <w:rPr>
          <w:rFonts w:ascii="宋体" w:hAnsi="宋体" w:cs="宋体"/>
          <w:color w:val="auto"/>
          <w:kern w:val="0"/>
          <w:highlight w:val="none"/>
        </w:rPr>
      </w:pPr>
    </w:p>
    <w:p w14:paraId="127E72B3">
      <w:pPr>
        <w:pStyle w:val="2"/>
        <w:rPr>
          <w:color w:val="auto"/>
          <w:highlight w:val="none"/>
        </w:rPr>
      </w:pPr>
    </w:p>
    <w:p w14:paraId="66E5EDF2">
      <w:pPr>
        <w:autoSpaceDE w:val="0"/>
        <w:autoSpaceDN w:val="0"/>
        <w:adjustRightInd w:val="0"/>
        <w:snapToGrid w:val="0"/>
        <w:spacing w:line="360" w:lineRule="auto"/>
        <w:jc w:val="left"/>
        <w:rPr>
          <w:rFonts w:ascii="宋体" w:hAnsi="宋体" w:cs="宋体"/>
          <w:color w:val="auto"/>
          <w:kern w:val="0"/>
          <w:highlight w:val="none"/>
        </w:rPr>
      </w:pPr>
    </w:p>
    <w:p w14:paraId="20F37B0B">
      <w:pPr>
        <w:autoSpaceDE w:val="0"/>
        <w:autoSpaceDN w:val="0"/>
        <w:adjustRightInd w:val="0"/>
        <w:snapToGrid w:val="0"/>
        <w:spacing w:line="360" w:lineRule="auto"/>
        <w:jc w:val="left"/>
        <w:rPr>
          <w:rFonts w:ascii="宋体" w:hAnsi="宋体" w:cs="宋体"/>
          <w:color w:val="auto"/>
          <w:kern w:val="0"/>
          <w:highlight w:val="none"/>
        </w:rPr>
      </w:pPr>
    </w:p>
    <w:p w14:paraId="7F5A3D59">
      <w:pPr>
        <w:autoSpaceDE w:val="0"/>
        <w:autoSpaceDN w:val="0"/>
        <w:adjustRightInd w:val="0"/>
        <w:snapToGrid w:val="0"/>
        <w:spacing w:line="360" w:lineRule="auto"/>
        <w:jc w:val="left"/>
        <w:rPr>
          <w:rFonts w:ascii="宋体" w:hAnsi="宋体" w:cs="宋体"/>
          <w:color w:val="auto"/>
          <w:kern w:val="0"/>
          <w:highlight w:val="none"/>
        </w:rPr>
      </w:pPr>
    </w:p>
    <w:p w14:paraId="0FC6465B">
      <w:pPr>
        <w:autoSpaceDE w:val="0"/>
        <w:autoSpaceDN w:val="0"/>
        <w:adjustRightInd w:val="0"/>
        <w:snapToGrid w:val="0"/>
        <w:spacing w:line="360" w:lineRule="auto"/>
        <w:jc w:val="left"/>
        <w:rPr>
          <w:rFonts w:ascii="宋体" w:hAnsi="宋体" w:cs="宋体"/>
          <w:color w:val="auto"/>
          <w:kern w:val="0"/>
          <w:highlight w:val="none"/>
        </w:rPr>
      </w:pPr>
    </w:p>
    <w:p w14:paraId="0E821719">
      <w:pPr>
        <w:autoSpaceDE w:val="0"/>
        <w:autoSpaceDN w:val="0"/>
        <w:adjustRightInd w:val="0"/>
        <w:snapToGrid w:val="0"/>
        <w:spacing w:line="360" w:lineRule="auto"/>
        <w:jc w:val="left"/>
        <w:rPr>
          <w:rFonts w:ascii="宋体" w:hAnsi="宋体" w:cs="宋体"/>
          <w:color w:val="auto"/>
          <w:w w:val="99"/>
          <w:kern w:val="0"/>
          <w:sz w:val="28"/>
          <w:szCs w:val="28"/>
          <w:highlight w:val="none"/>
        </w:rPr>
      </w:pPr>
    </w:p>
    <w:p w14:paraId="4BBAE221">
      <w:pPr>
        <w:autoSpaceDE w:val="0"/>
        <w:autoSpaceDN w:val="0"/>
        <w:adjustRightInd w:val="0"/>
        <w:snapToGrid w:val="0"/>
        <w:spacing w:line="360" w:lineRule="auto"/>
        <w:jc w:val="left"/>
        <w:rPr>
          <w:rFonts w:ascii="宋体" w:hAnsi="宋体" w:cs="宋体"/>
          <w:color w:val="auto"/>
          <w:w w:val="99"/>
          <w:kern w:val="0"/>
          <w:sz w:val="28"/>
          <w:szCs w:val="28"/>
          <w:highlight w:val="none"/>
        </w:rPr>
      </w:pPr>
    </w:p>
    <w:p w14:paraId="57701C3E">
      <w:pPr>
        <w:autoSpaceDE w:val="0"/>
        <w:autoSpaceDN w:val="0"/>
        <w:adjustRightInd w:val="0"/>
        <w:snapToGrid w:val="0"/>
        <w:spacing w:line="360" w:lineRule="auto"/>
        <w:jc w:val="left"/>
        <w:rPr>
          <w:rFonts w:ascii="宋体" w:hAnsi="宋体" w:cs="宋体"/>
          <w:color w:val="auto"/>
          <w:w w:val="99"/>
          <w:kern w:val="0"/>
          <w:sz w:val="28"/>
          <w:szCs w:val="28"/>
          <w:highlight w:val="none"/>
        </w:rPr>
      </w:pPr>
    </w:p>
    <w:p w14:paraId="250679E4">
      <w:pPr>
        <w:pStyle w:val="8"/>
        <w:rPr>
          <w:rFonts w:ascii="宋体" w:hAnsi="宋体" w:cs="宋体"/>
          <w:color w:val="auto"/>
          <w:w w:val="99"/>
          <w:kern w:val="0"/>
          <w:sz w:val="28"/>
          <w:szCs w:val="28"/>
          <w:highlight w:val="none"/>
        </w:rPr>
      </w:pPr>
    </w:p>
    <w:p w14:paraId="49F96BD4">
      <w:pPr>
        <w:rPr>
          <w:rFonts w:ascii="宋体" w:hAnsi="宋体" w:cs="宋体"/>
          <w:color w:val="auto"/>
          <w:w w:val="99"/>
          <w:kern w:val="0"/>
          <w:sz w:val="28"/>
          <w:szCs w:val="28"/>
          <w:highlight w:val="none"/>
        </w:rPr>
      </w:pPr>
    </w:p>
    <w:p w14:paraId="07435F03">
      <w:pPr>
        <w:pStyle w:val="8"/>
        <w:rPr>
          <w:rFonts w:ascii="宋体" w:hAnsi="宋体" w:cs="宋体"/>
          <w:color w:val="auto"/>
          <w:w w:val="99"/>
          <w:kern w:val="0"/>
          <w:sz w:val="28"/>
          <w:szCs w:val="28"/>
          <w:highlight w:val="none"/>
        </w:rPr>
      </w:pPr>
    </w:p>
    <w:p w14:paraId="14482AD7">
      <w:pPr>
        <w:rPr>
          <w:rFonts w:ascii="宋体" w:hAnsi="宋体" w:cs="宋体"/>
          <w:color w:val="auto"/>
          <w:w w:val="99"/>
          <w:kern w:val="0"/>
          <w:sz w:val="28"/>
          <w:szCs w:val="28"/>
          <w:highlight w:val="none"/>
        </w:rPr>
      </w:pPr>
    </w:p>
    <w:p w14:paraId="635C17EC">
      <w:pPr>
        <w:pStyle w:val="2"/>
        <w:rPr>
          <w:color w:val="auto"/>
          <w:highlight w:val="none"/>
        </w:rPr>
      </w:pPr>
    </w:p>
    <w:p w14:paraId="76BBD988">
      <w:pPr>
        <w:spacing w:after="260" w:line="360" w:lineRule="auto"/>
        <w:ind w:firstLine="3840" w:firstLineChars="1200"/>
        <w:outlineLvl w:val="2"/>
        <w:rPr>
          <w:rFonts w:ascii="宋体" w:hAnsi="宋体" w:cs="宋体"/>
          <w:snapToGrid w:val="0"/>
          <w:color w:val="auto"/>
          <w:kern w:val="0"/>
          <w:sz w:val="32"/>
          <w:szCs w:val="32"/>
          <w:highlight w:val="none"/>
        </w:rPr>
      </w:pPr>
      <w:bookmarkStart w:id="765" w:name="_Toc423714449"/>
      <w:bookmarkStart w:id="766" w:name="_Toc40569214"/>
      <w:bookmarkStart w:id="767" w:name="_Toc26985"/>
      <w:bookmarkStart w:id="768" w:name="_Toc423713178"/>
      <w:bookmarkStart w:id="769" w:name="_Toc25344"/>
      <w:bookmarkStart w:id="770" w:name="_Toc14970"/>
      <w:bookmarkStart w:id="771" w:name="_Toc2365"/>
      <w:bookmarkStart w:id="772" w:name="_Toc423595219"/>
      <w:bookmarkStart w:id="773" w:name="_Toc445480130"/>
      <w:r>
        <w:rPr>
          <w:rFonts w:hint="eastAsia" w:ascii="宋体" w:hAnsi="宋体" w:cs="宋体"/>
          <w:snapToGrid w:val="0"/>
          <w:color w:val="auto"/>
          <w:kern w:val="0"/>
          <w:sz w:val="32"/>
          <w:szCs w:val="32"/>
          <w:highlight w:val="none"/>
        </w:rPr>
        <w:t xml:space="preserve">（一） </w:t>
      </w:r>
      <w:bookmarkEnd w:id="765"/>
      <w:bookmarkEnd w:id="766"/>
      <w:bookmarkEnd w:id="767"/>
      <w:bookmarkEnd w:id="768"/>
      <w:bookmarkEnd w:id="769"/>
      <w:bookmarkEnd w:id="770"/>
      <w:bookmarkEnd w:id="771"/>
      <w:bookmarkEnd w:id="772"/>
      <w:bookmarkEnd w:id="773"/>
      <w:r>
        <w:rPr>
          <w:rFonts w:hint="eastAsia" w:ascii="宋体" w:hAnsi="宋体" w:cs="宋体"/>
          <w:snapToGrid w:val="0"/>
          <w:color w:val="auto"/>
          <w:kern w:val="0"/>
          <w:sz w:val="32"/>
          <w:szCs w:val="32"/>
          <w:highlight w:val="none"/>
        </w:rPr>
        <w:t>竞选函</w:t>
      </w:r>
    </w:p>
    <w:p w14:paraId="21806C0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（比选人名称）：</w:t>
      </w:r>
    </w:p>
    <w:p w14:paraId="0A4BE800">
      <w:pPr>
        <w:spacing w:line="360" w:lineRule="auto"/>
        <w:ind w:firstLine="420" w:firstLineChars="200"/>
        <w:rPr>
          <w:rFonts w:asciiTheme="minorEastAsia" w:hAnsiTheme="minorEastAsia" w:eastAsiaTheme="minorEastAsia"/>
          <w:color w:val="auto"/>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rPr>
        <w:t>监理比选文件（含答疑补遗及比选人提供所有资料文件）的全部内容</w:t>
      </w:r>
      <w:r>
        <w:rPr>
          <w:rFonts w:asciiTheme="minorEastAsia" w:hAnsiTheme="minorEastAsia" w:eastAsiaTheme="minorEastAsia"/>
          <w:color w:val="auto"/>
          <w:szCs w:val="21"/>
          <w:highlight w:val="none"/>
        </w:rPr>
        <w:t>，愿意以</w:t>
      </w:r>
      <w:r>
        <w:rPr>
          <w:rFonts w:hint="eastAsia" w:asciiTheme="minorEastAsia" w:hAnsiTheme="minorEastAsia" w:eastAsiaTheme="minorEastAsia"/>
          <w:color w:val="auto"/>
          <w:szCs w:val="21"/>
          <w:highlight w:val="none"/>
        </w:rPr>
        <w:t>下列方式对监理费进行报价：</w:t>
      </w:r>
    </w:p>
    <w:p w14:paraId="2A3481C2">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费率为    %</w:t>
      </w:r>
      <w:r>
        <w:rPr>
          <w:rFonts w:hint="eastAsia" w:asciiTheme="minorEastAsia" w:hAnsiTheme="minorEastAsia" w:eastAsiaTheme="minorEastAsia"/>
          <w:color w:val="auto"/>
          <w:szCs w:val="21"/>
          <w:highlight w:val="none"/>
        </w:rPr>
        <w:t>，计费基数</w:t>
      </w:r>
      <w:r>
        <w:rPr>
          <w:rFonts w:hint="eastAsia" w:asciiTheme="minorEastAsia" w:hAnsiTheme="minorEastAsia" w:eastAsiaTheme="minorEastAsia"/>
          <w:color w:val="auto"/>
          <w:szCs w:val="21"/>
          <w:highlight w:val="none"/>
          <w:u w:val="single"/>
        </w:rPr>
        <w:t xml:space="preserve">    元</w:t>
      </w:r>
      <w:r>
        <w:rPr>
          <w:rFonts w:hint="eastAsia" w:asciiTheme="minorEastAsia" w:hAnsiTheme="minorEastAsia" w:eastAsiaTheme="minorEastAsia"/>
          <w:color w:val="auto"/>
          <w:szCs w:val="21"/>
          <w:highlight w:val="none"/>
        </w:rPr>
        <w:t>，暂定</w:t>
      </w:r>
      <w:r>
        <w:rPr>
          <w:rFonts w:asciiTheme="minorEastAsia" w:hAnsiTheme="minorEastAsia" w:eastAsiaTheme="minorEastAsia"/>
          <w:color w:val="auto"/>
          <w:szCs w:val="21"/>
          <w:highlight w:val="none"/>
        </w:rPr>
        <w:t>投标总报价</w:t>
      </w:r>
      <w:r>
        <w:rPr>
          <w:rFonts w:asciiTheme="minorEastAsia" w:hAnsiTheme="minorEastAsia" w:eastAsiaTheme="minorEastAsia"/>
          <w:color w:val="auto"/>
          <w:szCs w:val="21"/>
          <w:highlight w:val="none"/>
          <w:u w:val="single"/>
        </w:rPr>
        <w:t>人民币（大写）</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14:paraId="0872D7C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增值税税率为</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，该项目总监理工程师为</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，委托代理人为：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监理服务期</w:t>
      </w:r>
      <w:r>
        <w:rPr>
          <w:rFonts w:hint="eastAsia" w:asciiTheme="minorEastAsia" w:hAnsiTheme="minorEastAsia" w:eastAsiaTheme="minorEastAsia"/>
          <w:color w:val="auto"/>
          <w:szCs w:val="21"/>
          <w:highlight w:val="none"/>
        </w:rPr>
        <w:t>限</w:t>
      </w:r>
      <w:r>
        <w:rPr>
          <w:rFonts w:hint="eastAsia" w:ascii="宋体" w:hAnsi="宋体"/>
          <w:snapToGrid w:val="0"/>
          <w:color w:val="auto"/>
          <w:kern w:val="0"/>
          <w:szCs w:val="21"/>
          <w:highlight w:val="none"/>
          <w:u w:val="single"/>
        </w:rPr>
        <w:t>达到招标文件的要求</w:t>
      </w:r>
      <w:r>
        <w:rPr>
          <w:rFonts w:hint="eastAsia" w:asciiTheme="minorEastAsia" w:hAnsiTheme="minorEastAsia" w:eastAsiaTheme="minorEastAsia"/>
          <w:color w:val="auto"/>
          <w:szCs w:val="21"/>
          <w:highlight w:val="none"/>
        </w:rPr>
        <w:t>，监理服务质量</w:t>
      </w:r>
      <w:r>
        <w:rPr>
          <w:rFonts w:hint="eastAsia" w:asciiTheme="minorEastAsia" w:hAnsiTheme="minorEastAsia" w:eastAsiaTheme="minorEastAsia"/>
          <w:color w:val="auto"/>
          <w:szCs w:val="21"/>
          <w:highlight w:val="none"/>
          <w:u w:val="single"/>
        </w:rPr>
        <w:t>达到招标文件的要求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按合同约定完成</w:t>
      </w:r>
      <w:r>
        <w:rPr>
          <w:rFonts w:hint="eastAsia" w:asciiTheme="minorEastAsia" w:hAnsiTheme="minorEastAsia" w:eastAsiaTheme="minorEastAsia"/>
          <w:color w:val="auto"/>
          <w:szCs w:val="21"/>
          <w:highlight w:val="none"/>
        </w:rPr>
        <w:t>全部</w:t>
      </w:r>
      <w:r>
        <w:rPr>
          <w:rFonts w:asciiTheme="minorEastAsia" w:hAnsiTheme="minorEastAsia" w:eastAsiaTheme="minorEastAsia"/>
          <w:color w:val="auto"/>
          <w:szCs w:val="21"/>
          <w:highlight w:val="none"/>
        </w:rPr>
        <w:t>监理工作</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w:t>
      </w:r>
    </w:p>
    <w:p w14:paraId="2DF24F6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．我方承诺</w:t>
      </w:r>
      <w:r>
        <w:rPr>
          <w:rFonts w:hint="eastAsia" w:ascii="宋体" w:hAnsi="宋体"/>
          <w:snapToGrid w:val="0"/>
          <w:color w:val="auto"/>
          <w:kern w:val="0"/>
          <w:szCs w:val="21"/>
          <w:highlight w:val="none"/>
        </w:rPr>
        <w:t>响应招标文件规定的投标有效期，</w:t>
      </w:r>
      <w:r>
        <w:rPr>
          <w:rFonts w:asciiTheme="minorEastAsia" w:hAnsiTheme="minorEastAsia" w:eastAsiaTheme="minorEastAsia"/>
          <w:color w:val="auto"/>
          <w:szCs w:val="21"/>
          <w:highlight w:val="none"/>
        </w:rPr>
        <w:t>在投标有效期内不</w:t>
      </w:r>
      <w:r>
        <w:rPr>
          <w:rFonts w:hint="eastAsia" w:asciiTheme="minorEastAsia" w:hAnsiTheme="minorEastAsia" w:eastAsiaTheme="minorEastAsia"/>
          <w:color w:val="auto"/>
          <w:szCs w:val="21"/>
          <w:highlight w:val="none"/>
        </w:rPr>
        <w:t>修改、</w:t>
      </w:r>
      <w:r>
        <w:rPr>
          <w:rFonts w:asciiTheme="minorEastAsia" w:hAnsiTheme="minorEastAsia" w:eastAsiaTheme="minorEastAsia"/>
          <w:color w:val="auto"/>
          <w:szCs w:val="21"/>
          <w:highlight w:val="none"/>
        </w:rPr>
        <w:t>撤销投标文件。</w:t>
      </w:r>
    </w:p>
    <w:p w14:paraId="024F6ABE">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随同本投标函提交投标保证金一份，金额为人民币（大写）</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5B77058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．如我方中标，我方承诺：</w:t>
      </w:r>
    </w:p>
    <w:p w14:paraId="4D37A41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（1）在收到中标通知书后，在中标通知书规定的期限内与你方签订合同；</w:t>
      </w:r>
    </w:p>
    <w:p w14:paraId="34BD653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（2）在签订合同时不向你方提出附加条件；</w:t>
      </w:r>
    </w:p>
    <w:p w14:paraId="6DE3201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（3）按照招标文件要求提交履约保证金；</w:t>
      </w:r>
      <w:bookmarkStart w:id="774" w:name="_Toc1187"/>
      <w:bookmarkStart w:id="775" w:name="_Toc352691658"/>
      <w:bookmarkStart w:id="776" w:name="_Toc369531694"/>
    </w:p>
    <w:p w14:paraId="22ED14B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（4）在合</w:t>
      </w:r>
      <w:bookmarkEnd w:id="774"/>
      <w:bookmarkEnd w:id="775"/>
      <w:bookmarkEnd w:id="776"/>
      <w:r>
        <w:rPr>
          <w:rFonts w:asciiTheme="minorEastAsia" w:hAnsiTheme="minorEastAsia" w:eastAsiaTheme="minorEastAsia"/>
          <w:color w:val="auto"/>
          <w:szCs w:val="21"/>
          <w:highlight w:val="none"/>
        </w:rPr>
        <w:t>同约定的期限内完成合同规定的全部义务。</w:t>
      </w:r>
    </w:p>
    <w:p w14:paraId="04683A5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5．我方在此声明，所递交的投标文件及有关资料内容完整、真实和准确，且不存在第二章“投标人须知”第1.4.3项规定的任何一种情形。</w:t>
      </w:r>
      <w:r>
        <w:rPr>
          <w:rFonts w:hint="eastAsia" w:asciiTheme="minorEastAsia" w:hAnsiTheme="minorEastAsia" w:eastAsiaTheme="minorEastAsia"/>
          <w:color w:val="auto"/>
          <w:szCs w:val="21"/>
          <w:highlight w:val="none"/>
        </w:rPr>
        <w:t>同时我方承诺接受招标文件及附件、澄清及修改通知中所有的内容。</w:t>
      </w:r>
    </w:p>
    <w:p w14:paraId="13D39762">
      <w:pPr>
        <w:spacing w:line="400" w:lineRule="exact"/>
        <w:ind w:firstLine="420" w:firstLineChars="200"/>
        <w:rPr>
          <w:rFonts w:ascii="宋体" w:hAnsi="宋体" w:cs="宋体"/>
          <w:color w:val="auto"/>
          <w:szCs w:val="21"/>
          <w:highlight w:val="none"/>
        </w:rPr>
      </w:pPr>
      <w:r>
        <w:rPr>
          <w:rFonts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ab/>
      </w:r>
      <w:r>
        <w:rPr>
          <w:rFonts w:asciiTheme="minorEastAsia" w:hAnsiTheme="minorEastAsia" w:eastAsiaTheme="minorEastAsia"/>
          <w:color w:val="auto"/>
          <w:szCs w:val="21"/>
          <w:highlight w:val="none"/>
          <w:u w:val="single"/>
        </w:rPr>
        <w:t>（其他补充说明）</w:t>
      </w:r>
      <w:r>
        <w:rPr>
          <w:rFonts w:asciiTheme="minorEastAsia" w:hAnsiTheme="minorEastAsia" w:eastAsiaTheme="minorEastAsia"/>
          <w:color w:val="auto"/>
          <w:szCs w:val="21"/>
          <w:highlight w:val="none"/>
        </w:rPr>
        <w:t>。</w:t>
      </w:r>
    </w:p>
    <w:p w14:paraId="18448231">
      <w:pPr>
        <w:spacing w:line="400" w:lineRule="exact"/>
        <w:ind w:firstLine="3675" w:firstLineChars="1750"/>
        <w:rPr>
          <w:rFonts w:ascii="宋体" w:hAnsi="宋体" w:cs="宋体"/>
          <w:color w:val="auto"/>
          <w:szCs w:val="21"/>
          <w:highlight w:val="none"/>
        </w:rPr>
      </w:pPr>
    </w:p>
    <w:p w14:paraId="22B6E419">
      <w:pPr>
        <w:pStyle w:val="8"/>
        <w:rPr>
          <w:color w:val="auto"/>
          <w:highlight w:val="none"/>
        </w:rPr>
      </w:pPr>
    </w:p>
    <w:p w14:paraId="558CF02F">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竞  选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7F0C69A4">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5A81001C">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0C73615C">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4D0C8474">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23EC5A23">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50C65D11">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762B975">
      <w:pPr>
        <w:pStyle w:val="8"/>
        <w:rPr>
          <w:color w:val="auto"/>
          <w:highlight w:val="none"/>
        </w:rPr>
      </w:pPr>
    </w:p>
    <w:p w14:paraId="159981F0">
      <w:pPr>
        <w:spacing w:after="260" w:line="360" w:lineRule="auto"/>
        <w:ind w:firstLine="2560" w:firstLineChars="800"/>
        <w:outlineLvl w:val="2"/>
        <w:rPr>
          <w:rFonts w:ascii="宋体" w:hAnsi="宋体" w:cs="宋体"/>
          <w:snapToGrid w:val="0"/>
          <w:color w:val="auto"/>
          <w:kern w:val="0"/>
          <w:szCs w:val="21"/>
          <w:highlight w:val="none"/>
        </w:rPr>
      </w:pPr>
      <w:bookmarkStart w:id="777" w:name="_Toc287607868"/>
      <w:bookmarkStart w:id="778" w:name="_Toc534185832"/>
      <w:bookmarkStart w:id="779" w:name="_Toc430530531"/>
      <w:bookmarkStart w:id="780" w:name="_Toc287620815"/>
      <w:bookmarkStart w:id="781" w:name="_Toc224103496"/>
      <w:bookmarkStart w:id="782" w:name="_Toc509218855"/>
      <w:bookmarkStart w:id="783" w:name="_Toc277082644"/>
      <w:r>
        <w:rPr>
          <w:rFonts w:hint="eastAsia" w:ascii="宋体" w:hAnsi="宋体" w:cs="宋体"/>
          <w:snapToGrid w:val="0"/>
          <w:color w:val="auto"/>
          <w:kern w:val="0"/>
          <w:sz w:val="32"/>
          <w:szCs w:val="32"/>
          <w:highlight w:val="none"/>
        </w:rPr>
        <w:t>（二）竞选函附录</w:t>
      </w:r>
      <w:bookmarkEnd w:id="777"/>
      <w:bookmarkEnd w:id="778"/>
      <w:bookmarkEnd w:id="779"/>
      <w:bookmarkEnd w:id="780"/>
      <w:bookmarkEnd w:id="781"/>
      <w:bookmarkEnd w:id="782"/>
      <w:bookmarkEnd w:id="783"/>
    </w:p>
    <w:tbl>
      <w:tblPr>
        <w:tblStyle w:val="20"/>
        <w:tblW w:w="8331"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3723"/>
        <w:gridCol w:w="1306"/>
      </w:tblGrid>
      <w:tr w14:paraId="29CEC6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C17EDBF">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2582" w:type="dxa"/>
            <w:vAlign w:val="center"/>
          </w:tcPr>
          <w:p w14:paraId="2687FB37">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条款名称</w:t>
            </w:r>
          </w:p>
        </w:tc>
        <w:tc>
          <w:tcPr>
            <w:tcW w:w="3723" w:type="dxa"/>
            <w:vAlign w:val="center"/>
          </w:tcPr>
          <w:p w14:paraId="6CE6D8A1">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约定内容</w:t>
            </w:r>
          </w:p>
        </w:tc>
        <w:tc>
          <w:tcPr>
            <w:tcW w:w="1306" w:type="dxa"/>
            <w:vAlign w:val="center"/>
          </w:tcPr>
          <w:p w14:paraId="2D5CFB85">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r>
      <w:tr w14:paraId="49AF6E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95" w:hRule="exact"/>
        </w:trPr>
        <w:tc>
          <w:tcPr>
            <w:tcW w:w="720" w:type="dxa"/>
            <w:vAlign w:val="center"/>
          </w:tcPr>
          <w:p w14:paraId="56F3D98B">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2582" w:type="dxa"/>
            <w:vAlign w:val="center"/>
          </w:tcPr>
          <w:p w14:paraId="716F6B3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总监理工程师</w:t>
            </w:r>
          </w:p>
        </w:tc>
        <w:tc>
          <w:tcPr>
            <w:tcW w:w="3723" w:type="dxa"/>
            <w:vAlign w:val="center"/>
          </w:tcPr>
          <w:p w14:paraId="1D61C095">
            <w:pPr>
              <w:spacing w:line="360" w:lineRule="auto"/>
              <w:rPr>
                <w:color w:val="auto"/>
                <w:highlight w:val="none"/>
              </w:rPr>
            </w:pPr>
            <w:r>
              <w:rPr>
                <w:rFonts w:hint="eastAsia"/>
                <w:color w:val="auto"/>
                <w:highlight w:val="none"/>
              </w:rPr>
              <w:t>姓名：</w:t>
            </w:r>
            <w:r>
              <w:rPr>
                <w:rFonts w:hint="eastAsia"/>
                <w:color w:val="auto"/>
                <w:highlight w:val="none"/>
                <w:u w:val="single"/>
              </w:rPr>
              <w:t xml:space="preserve">               </w:t>
            </w:r>
            <w:r>
              <w:rPr>
                <w:rFonts w:hint="eastAsia"/>
                <w:color w:val="auto"/>
                <w:highlight w:val="none"/>
              </w:rPr>
              <w:t xml:space="preserve">            </w:t>
            </w:r>
          </w:p>
          <w:p w14:paraId="3E2DB669">
            <w:pPr>
              <w:pStyle w:val="2"/>
              <w:rPr>
                <w:color w:val="auto"/>
                <w:highlight w:val="none"/>
              </w:rPr>
            </w:pPr>
            <w:r>
              <w:rPr>
                <w:rFonts w:hint="eastAsia"/>
                <w:caps w:val="0"/>
                <w:color w:val="auto"/>
                <w:sz w:val="21"/>
                <w:szCs w:val="24"/>
                <w:highlight w:val="none"/>
              </w:rPr>
              <w:t>身份证号码：</w:t>
            </w:r>
            <w:r>
              <w:rPr>
                <w:rFonts w:hint="eastAsia" w:ascii="宋体" w:hAnsi="宋体" w:cs="宋体"/>
                <w:color w:val="auto"/>
                <w:szCs w:val="21"/>
                <w:highlight w:val="none"/>
                <w:u w:val="single"/>
              </w:rPr>
              <w:t xml:space="preserve">         </w:t>
            </w:r>
          </w:p>
        </w:tc>
        <w:tc>
          <w:tcPr>
            <w:tcW w:w="1306" w:type="dxa"/>
            <w:vAlign w:val="center"/>
          </w:tcPr>
          <w:p w14:paraId="6B8FF75D">
            <w:pPr>
              <w:autoSpaceDE w:val="0"/>
              <w:autoSpaceDN w:val="0"/>
              <w:adjustRightInd w:val="0"/>
              <w:spacing w:line="360" w:lineRule="auto"/>
              <w:jc w:val="center"/>
              <w:rPr>
                <w:rFonts w:ascii="宋体" w:hAnsi="宋体" w:cs="宋体"/>
                <w:snapToGrid w:val="0"/>
                <w:color w:val="auto"/>
                <w:kern w:val="0"/>
                <w:szCs w:val="21"/>
                <w:highlight w:val="none"/>
              </w:rPr>
            </w:pPr>
          </w:p>
        </w:tc>
      </w:tr>
      <w:tr w14:paraId="2622B6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97" w:hRule="exact"/>
        </w:trPr>
        <w:tc>
          <w:tcPr>
            <w:tcW w:w="720" w:type="dxa"/>
            <w:vAlign w:val="center"/>
          </w:tcPr>
          <w:p w14:paraId="4112156B">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2582" w:type="dxa"/>
            <w:vAlign w:val="center"/>
          </w:tcPr>
          <w:p w14:paraId="59861EBF">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缺项责任期</w:t>
            </w:r>
          </w:p>
        </w:tc>
        <w:tc>
          <w:tcPr>
            <w:tcW w:w="3723" w:type="dxa"/>
            <w:vAlign w:val="center"/>
          </w:tcPr>
          <w:p w14:paraId="12965FC5">
            <w:pPr>
              <w:tabs>
                <w:tab w:val="left" w:pos="1560"/>
              </w:tabs>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24个月 </w:t>
            </w:r>
          </w:p>
        </w:tc>
        <w:tc>
          <w:tcPr>
            <w:tcW w:w="1306" w:type="dxa"/>
            <w:vAlign w:val="center"/>
          </w:tcPr>
          <w:p w14:paraId="6DF2BD7C">
            <w:pPr>
              <w:autoSpaceDE w:val="0"/>
              <w:autoSpaceDN w:val="0"/>
              <w:adjustRightInd w:val="0"/>
              <w:spacing w:line="360" w:lineRule="auto"/>
              <w:jc w:val="center"/>
              <w:rPr>
                <w:rFonts w:ascii="宋体" w:hAnsi="宋体" w:cs="宋体"/>
                <w:snapToGrid w:val="0"/>
                <w:color w:val="auto"/>
                <w:kern w:val="0"/>
                <w:szCs w:val="21"/>
                <w:highlight w:val="none"/>
              </w:rPr>
            </w:pPr>
          </w:p>
        </w:tc>
      </w:tr>
    </w:tbl>
    <w:p w14:paraId="1BED945B">
      <w:pPr>
        <w:spacing w:line="360" w:lineRule="auto"/>
        <w:rPr>
          <w:rFonts w:ascii="宋体" w:hAnsi="宋体" w:cs="宋体"/>
          <w:snapToGrid w:val="0"/>
          <w:color w:val="auto"/>
          <w:w w:val="99"/>
          <w:highlight w:val="none"/>
        </w:rPr>
      </w:pPr>
    </w:p>
    <w:p w14:paraId="09C42477">
      <w:pPr>
        <w:spacing w:line="360" w:lineRule="auto"/>
        <w:rPr>
          <w:rFonts w:ascii="宋体" w:hAnsi="宋体" w:cs="宋体"/>
          <w:snapToGrid w:val="0"/>
          <w:color w:val="auto"/>
          <w:highlight w:val="none"/>
        </w:rPr>
      </w:pPr>
    </w:p>
    <w:p w14:paraId="0E88036B">
      <w:pPr>
        <w:spacing w:line="360" w:lineRule="auto"/>
        <w:rPr>
          <w:rFonts w:ascii="宋体" w:hAnsi="宋体" w:cs="宋体"/>
          <w:snapToGrid w:val="0"/>
          <w:color w:val="auto"/>
          <w:highlight w:val="none"/>
        </w:rPr>
      </w:pPr>
    </w:p>
    <w:p w14:paraId="3940AD71">
      <w:pPr>
        <w:tabs>
          <w:tab w:val="left" w:pos="7140"/>
          <w:tab w:val="left" w:pos="7560"/>
          <w:tab w:val="left" w:pos="8300"/>
        </w:tabs>
        <w:autoSpaceDE w:val="0"/>
        <w:autoSpaceDN w:val="0"/>
        <w:adjustRightInd w:val="0"/>
        <w:spacing w:line="360" w:lineRule="auto"/>
        <w:ind w:right="210" w:firstLine="2396" w:firstLineChars="114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    选  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（盖单位公章） </w:t>
      </w:r>
    </w:p>
    <w:p w14:paraId="7A82CA29">
      <w:pPr>
        <w:tabs>
          <w:tab w:val="left" w:pos="7140"/>
          <w:tab w:val="left" w:pos="7560"/>
          <w:tab w:val="left" w:pos="8300"/>
        </w:tabs>
        <w:autoSpaceDE w:val="0"/>
        <w:autoSpaceDN w:val="0"/>
        <w:adjustRightInd w:val="0"/>
        <w:spacing w:line="360" w:lineRule="auto"/>
        <w:ind w:right="210" w:firstLine="1984" w:firstLineChars="94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14:paraId="4B47D6A7">
      <w:pPr>
        <w:tabs>
          <w:tab w:val="left" w:pos="7140"/>
          <w:tab w:val="left" w:pos="7560"/>
          <w:tab w:val="left" w:pos="8300"/>
        </w:tabs>
        <w:autoSpaceDE w:val="0"/>
        <w:autoSpaceDN w:val="0"/>
        <w:adjustRightInd w:val="0"/>
        <w:spacing w:line="360" w:lineRule="auto"/>
        <w:ind w:right="210" w:firstLine="2415" w:firstLineChars="1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（签字或盖章） </w:t>
      </w:r>
    </w:p>
    <w:p w14:paraId="633AB147">
      <w:pPr>
        <w:tabs>
          <w:tab w:val="left" w:pos="7140"/>
          <w:tab w:val="left" w:pos="7560"/>
          <w:tab w:val="left" w:pos="8300"/>
        </w:tabs>
        <w:autoSpaceDE w:val="0"/>
        <w:autoSpaceDN w:val="0"/>
        <w:adjustRightInd w:val="0"/>
        <w:spacing w:line="360" w:lineRule="auto"/>
        <w:ind w:right="210" w:firstLine="1995" w:firstLineChars="950"/>
        <w:rPr>
          <w:rFonts w:ascii="宋体" w:hAnsi="宋体" w:cs="宋体"/>
          <w:snapToGrid w:val="0"/>
          <w:color w:val="auto"/>
          <w:kern w:val="0"/>
          <w:szCs w:val="21"/>
          <w:highlight w:val="none"/>
        </w:rPr>
      </w:pPr>
    </w:p>
    <w:p w14:paraId="09038A35">
      <w:pPr>
        <w:spacing w:line="360" w:lineRule="auto"/>
        <w:ind w:firstLine="4725" w:firstLineChars="2250"/>
        <w:rPr>
          <w:rFonts w:ascii="宋体" w:hAnsi="宋体" w:cs="宋体"/>
          <w:b/>
          <w:color w:val="auto"/>
          <w:sz w:val="24"/>
          <w:highlight w:val="none"/>
          <w:u w:val="single"/>
        </w:rPr>
      </w:pPr>
      <w:bookmarkStart w:id="784" w:name="_Toc287620816"/>
      <w:bookmarkStart w:id="785" w:name="_Toc287607869"/>
      <w:bookmarkStart w:id="786" w:name="_Toc224103497"/>
      <w:bookmarkStart w:id="787" w:name="_Toc277082645"/>
      <w:bookmarkStart w:id="788" w:name="_Toc430530532"/>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CCED097">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C20611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1CCBD1A1">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4EF2EFB7">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2F791D62">
      <w:pPr>
        <w:pStyle w:val="2"/>
        <w:rPr>
          <w:color w:val="auto"/>
          <w:highlight w:val="none"/>
        </w:rPr>
      </w:pPr>
    </w:p>
    <w:bookmarkEnd w:id="784"/>
    <w:bookmarkEnd w:id="785"/>
    <w:bookmarkEnd w:id="786"/>
    <w:bookmarkEnd w:id="787"/>
    <w:bookmarkEnd w:id="788"/>
    <w:p w14:paraId="2402259D">
      <w:pPr>
        <w:spacing w:line="360" w:lineRule="auto"/>
        <w:jc w:val="center"/>
        <w:rPr>
          <w:rFonts w:ascii="宋体" w:hAnsi="宋体" w:cs="宋体"/>
          <w:color w:val="auto"/>
          <w:sz w:val="44"/>
          <w:szCs w:val="44"/>
          <w:highlight w:val="none"/>
        </w:rPr>
      </w:pPr>
    </w:p>
    <w:p w14:paraId="35DB49DF">
      <w:pPr>
        <w:spacing w:line="360" w:lineRule="auto"/>
        <w:jc w:val="center"/>
        <w:rPr>
          <w:rFonts w:ascii="宋体" w:hAnsi="宋体" w:cs="宋体"/>
          <w:color w:val="auto"/>
          <w:sz w:val="44"/>
          <w:szCs w:val="44"/>
          <w:highlight w:val="none"/>
        </w:rPr>
      </w:pPr>
    </w:p>
    <w:p w14:paraId="5EBC873E">
      <w:pPr>
        <w:spacing w:line="360" w:lineRule="auto"/>
        <w:jc w:val="center"/>
        <w:rPr>
          <w:rFonts w:ascii="宋体" w:hAnsi="宋体" w:cs="宋体"/>
          <w:color w:val="auto"/>
          <w:sz w:val="44"/>
          <w:szCs w:val="44"/>
          <w:highlight w:val="none"/>
        </w:rPr>
      </w:pPr>
    </w:p>
    <w:p w14:paraId="54566376">
      <w:pPr>
        <w:spacing w:line="360" w:lineRule="auto"/>
        <w:jc w:val="center"/>
        <w:rPr>
          <w:rFonts w:ascii="宋体" w:hAnsi="宋体" w:cs="宋体"/>
          <w:color w:val="auto"/>
          <w:sz w:val="44"/>
          <w:szCs w:val="44"/>
          <w:highlight w:val="none"/>
        </w:rPr>
      </w:pPr>
    </w:p>
    <w:p w14:paraId="1DEE5E61">
      <w:pPr>
        <w:tabs>
          <w:tab w:val="left" w:pos="8300"/>
        </w:tabs>
        <w:autoSpaceDE w:val="0"/>
        <w:autoSpaceDN w:val="0"/>
        <w:adjustRightInd w:val="0"/>
        <w:spacing w:line="400" w:lineRule="exact"/>
        <w:rPr>
          <w:rFonts w:ascii="宋体" w:hAnsi="宋体"/>
          <w:snapToGrid w:val="0"/>
          <w:color w:val="auto"/>
          <w:kern w:val="0"/>
          <w:sz w:val="30"/>
          <w:szCs w:val="30"/>
          <w:highlight w:val="none"/>
        </w:rPr>
      </w:pPr>
      <w:r>
        <w:rPr>
          <w:color w:val="auto"/>
          <w:sz w:val="30"/>
          <w:szCs w:val="30"/>
          <w:highlight w:val="none"/>
        </w:rPr>
        <w:t>（</w:t>
      </w:r>
      <w:r>
        <w:rPr>
          <w:rFonts w:hint="eastAsia"/>
          <w:color w:val="auto"/>
          <w:sz w:val="30"/>
          <w:szCs w:val="30"/>
          <w:highlight w:val="none"/>
        </w:rPr>
        <w:t>三</w:t>
      </w:r>
      <w:r>
        <w:rPr>
          <w:color w:val="auto"/>
          <w:sz w:val="30"/>
          <w:szCs w:val="30"/>
          <w:highlight w:val="none"/>
        </w:rPr>
        <w:t>）</w:t>
      </w:r>
      <w:r>
        <w:rPr>
          <w:rFonts w:hint="eastAsia"/>
          <w:color w:val="auto"/>
          <w:sz w:val="30"/>
          <w:szCs w:val="30"/>
          <w:highlight w:val="none"/>
        </w:rPr>
        <w:t>法定代表人身份证明或附有法定代表人身份证明的授权委托书</w:t>
      </w:r>
    </w:p>
    <w:p w14:paraId="1CB5A2A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1B98315B">
      <w:pPr>
        <w:spacing w:line="480" w:lineRule="auto"/>
        <w:jc w:val="center"/>
        <w:rPr>
          <w:rFonts w:ascii="宋体" w:hAnsi="宋体"/>
          <w:color w:val="auto"/>
          <w:highlight w:val="none"/>
        </w:rPr>
      </w:pPr>
    </w:p>
    <w:p w14:paraId="13445FD5">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E534E1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72ED1E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87DCFB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415B34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8AFD6C8">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CC360A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E014C4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B851E8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B324DA1">
      <w:pPr>
        <w:pStyle w:val="8"/>
        <w:spacing w:after="0" w:line="360" w:lineRule="auto"/>
        <w:rPr>
          <w:rFonts w:ascii="宋体" w:hAnsi="宋体"/>
          <w:color w:val="auto"/>
          <w:szCs w:val="21"/>
          <w:highlight w:val="none"/>
        </w:rPr>
      </w:pPr>
    </w:p>
    <w:p w14:paraId="1849BD08">
      <w:pPr>
        <w:pStyle w:val="8"/>
        <w:spacing w:after="0" w:line="360" w:lineRule="auto"/>
        <w:rPr>
          <w:rFonts w:ascii="宋体" w:hAnsi="宋体"/>
          <w:color w:val="auto"/>
          <w:szCs w:val="21"/>
          <w:highlight w:val="none"/>
        </w:rPr>
      </w:pPr>
    </w:p>
    <w:p w14:paraId="607E9BAE">
      <w:pPr>
        <w:pStyle w:val="8"/>
        <w:spacing w:after="0" w:line="360" w:lineRule="auto"/>
        <w:rPr>
          <w:rFonts w:ascii="宋体" w:hAnsi="宋体"/>
          <w:color w:val="auto"/>
          <w:szCs w:val="21"/>
          <w:highlight w:val="none"/>
        </w:rPr>
      </w:pPr>
    </w:p>
    <w:p w14:paraId="34D15A9E">
      <w:pPr>
        <w:pStyle w:val="8"/>
        <w:spacing w:after="0" w:line="360" w:lineRule="auto"/>
        <w:rPr>
          <w:rFonts w:ascii="宋体" w:hAnsi="宋体"/>
          <w:color w:val="auto"/>
          <w:szCs w:val="21"/>
          <w:highlight w:val="none"/>
        </w:rPr>
      </w:pPr>
    </w:p>
    <w:p w14:paraId="1DC8E94C">
      <w:pPr>
        <w:pStyle w:val="8"/>
        <w:spacing w:after="0" w:line="360" w:lineRule="auto"/>
        <w:rPr>
          <w:rFonts w:ascii="宋体" w:hAnsi="宋体"/>
          <w:color w:val="auto"/>
          <w:szCs w:val="21"/>
          <w:highlight w:val="none"/>
        </w:rPr>
      </w:pPr>
    </w:p>
    <w:p w14:paraId="78F96B14">
      <w:pPr>
        <w:pStyle w:val="8"/>
        <w:spacing w:after="0" w:line="360" w:lineRule="auto"/>
        <w:rPr>
          <w:rFonts w:ascii="宋体" w:hAnsi="宋体"/>
          <w:color w:val="auto"/>
          <w:szCs w:val="21"/>
          <w:highlight w:val="none"/>
        </w:rPr>
      </w:pPr>
    </w:p>
    <w:p w14:paraId="1CCAD796">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15ADA74A">
      <w:pPr>
        <w:autoSpaceDE w:val="0"/>
        <w:autoSpaceDN w:val="0"/>
        <w:adjustRightInd w:val="0"/>
        <w:snapToGrid w:val="0"/>
        <w:spacing w:line="480" w:lineRule="auto"/>
        <w:jc w:val="left"/>
        <w:rPr>
          <w:rFonts w:ascii="宋体" w:hAnsi="宋体"/>
          <w:color w:val="auto"/>
          <w:kern w:val="0"/>
          <w:sz w:val="20"/>
          <w:szCs w:val="20"/>
          <w:highlight w:val="none"/>
        </w:rPr>
      </w:pPr>
    </w:p>
    <w:p w14:paraId="3B7F5F8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89EC287">
      <w:pPr>
        <w:autoSpaceDE w:val="0"/>
        <w:autoSpaceDN w:val="0"/>
        <w:adjustRightInd w:val="0"/>
        <w:snapToGrid w:val="0"/>
        <w:spacing w:line="360" w:lineRule="auto"/>
        <w:jc w:val="left"/>
        <w:rPr>
          <w:rFonts w:ascii="宋体" w:hAnsi="宋体"/>
          <w:color w:val="auto"/>
          <w:kern w:val="0"/>
          <w:highlight w:val="none"/>
        </w:rPr>
      </w:pPr>
    </w:p>
    <w:p w14:paraId="35355BD4">
      <w:pPr>
        <w:autoSpaceDE w:val="0"/>
        <w:autoSpaceDN w:val="0"/>
        <w:adjustRightInd w:val="0"/>
        <w:snapToGrid w:val="0"/>
        <w:spacing w:line="360" w:lineRule="auto"/>
        <w:jc w:val="left"/>
        <w:rPr>
          <w:rFonts w:ascii="宋体" w:hAnsi="宋体"/>
          <w:color w:val="auto"/>
          <w:kern w:val="0"/>
          <w:highlight w:val="none"/>
        </w:rPr>
      </w:pPr>
    </w:p>
    <w:p w14:paraId="62333BDE">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65EA937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5B70F95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竞标文件</w:t>
      </w:r>
      <w:r>
        <w:rPr>
          <w:rFonts w:ascii="宋体" w:hAnsi="宋体"/>
          <w:color w:val="auto"/>
          <w:kern w:val="0"/>
          <w:szCs w:val="21"/>
          <w:highlight w:val="none"/>
        </w:rPr>
        <w:t>、签订合同和处理有关事宜， 其法律后果由我方承担。</w:t>
      </w:r>
    </w:p>
    <w:p w14:paraId="57F425E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46B0B9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345362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0B09D5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76FD54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EC6D21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9BF18B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10C33960">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3B4E3D6">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1DA2EC1">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AD9E4F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5BE27AF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6E1F07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16A29F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FFF56D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0D0AE6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3F6C1A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5D0771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F26244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200541A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855F6BB">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活动及签署文件的除提供法定代表人身份证明外还须提供授权委托书。</w:t>
      </w:r>
    </w:p>
    <w:p w14:paraId="79E087EF">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竞标文件</w:t>
      </w:r>
      <w:r>
        <w:rPr>
          <w:rFonts w:ascii="宋体" w:hAnsi="宋体"/>
          <w:color w:val="auto"/>
          <w:kern w:val="0"/>
          <w:szCs w:val="21"/>
          <w:highlight w:val="none"/>
        </w:rPr>
        <w:t>一并递交。另外须准备一份授权委托书原件在开标现场出具。</w:t>
      </w:r>
    </w:p>
    <w:p w14:paraId="69FA45F0">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40AE418B">
      <w:pPr>
        <w:spacing w:line="360" w:lineRule="auto"/>
        <w:ind w:firstLine="420" w:firstLineChars="200"/>
        <w:rPr>
          <w:rFonts w:ascii="宋体" w:hAnsi="宋体"/>
          <w:color w:val="auto"/>
          <w:highlight w:val="none"/>
        </w:rPr>
      </w:pPr>
      <w:r>
        <w:rPr>
          <w:rFonts w:ascii="宋体" w:hAnsi="宋体"/>
          <w:color w:val="auto"/>
          <w:highlight w:val="none"/>
        </w:rPr>
        <w:br w:type="page"/>
      </w:r>
    </w:p>
    <w:p w14:paraId="54A30DD8">
      <w:pPr>
        <w:pStyle w:val="5"/>
        <w:spacing w:before="0" w:after="0" w:line="240" w:lineRule="auto"/>
        <w:jc w:val="center"/>
        <w:rPr>
          <w:rFonts w:ascii="宋体" w:hAnsi="宋体"/>
          <w:b w:val="0"/>
          <w:bCs w:val="0"/>
          <w:color w:val="auto"/>
          <w:highlight w:val="none"/>
        </w:rPr>
      </w:pPr>
      <w:bookmarkStart w:id="789" w:name="_Toc287620817"/>
      <w:bookmarkStart w:id="790" w:name="_Toc224103498"/>
      <w:bookmarkStart w:id="791" w:name="_Toc287607870"/>
      <w:bookmarkStart w:id="792" w:name="_Toc277082646"/>
      <w:bookmarkStart w:id="793" w:name="_Toc57820651"/>
      <w:bookmarkStart w:id="794" w:name="_Toc430530533"/>
      <w:r>
        <w:rPr>
          <w:rFonts w:ascii="宋体" w:hAnsi="宋体"/>
          <w:b w:val="0"/>
          <w:bCs w:val="0"/>
          <w:color w:val="auto"/>
          <w:highlight w:val="none"/>
        </w:rPr>
        <w:t>（四）</w:t>
      </w:r>
      <w:bookmarkEnd w:id="789"/>
      <w:bookmarkEnd w:id="790"/>
      <w:bookmarkEnd w:id="791"/>
      <w:bookmarkEnd w:id="792"/>
      <w:bookmarkStart w:id="795" w:name="_Toc277082647"/>
      <w:bookmarkStart w:id="796" w:name="_Toc287620818"/>
      <w:bookmarkStart w:id="797" w:name="_Toc287607871"/>
      <w:bookmarkStart w:id="798" w:name="_Toc224103499"/>
      <w:r>
        <w:rPr>
          <w:rFonts w:hint="eastAsia" w:ascii="宋体" w:hAnsi="宋体"/>
          <w:b w:val="0"/>
          <w:bCs w:val="0"/>
          <w:color w:val="auto"/>
          <w:highlight w:val="none"/>
        </w:rPr>
        <w:t>低价风险担保提交承诺书</w:t>
      </w:r>
      <w:bookmarkEnd w:id="793"/>
    </w:p>
    <w:p w14:paraId="174712E7">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6C28E539">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794EFAF4">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60842B05">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09FBCB1A">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CD14F97">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61A15F08">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4E1C23E3">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7ACC0310">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3401059">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4979732">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7C77A43F">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D2CF474">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w:t>
      </w:r>
      <w:r>
        <w:rPr>
          <w:rFonts w:ascii="宋体" w:hAnsi="宋体"/>
          <w:color w:val="auto"/>
          <w:kern w:val="0"/>
          <w:szCs w:val="21"/>
          <w:highlight w:val="none"/>
        </w:rPr>
        <w:t xml:space="preserve">  </w:t>
      </w:r>
      <w:r>
        <w:rPr>
          <w:rFonts w:hint="eastAsia" w:ascii="宋体" w:hAnsi="宋体"/>
          <w:color w:val="auto"/>
          <w:kern w:val="0"/>
          <w:szCs w:val="21"/>
          <w:highlight w:val="none"/>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DE6DFA9">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57B413A">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77C390C7">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8AEDDC6">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736B76C1">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5D80B6D9">
      <w:pPr>
        <w:pStyle w:val="8"/>
        <w:rPr>
          <w:rFonts w:ascii="宋体" w:hAnsi="宋体"/>
          <w:snapToGrid w:val="0"/>
          <w:color w:val="auto"/>
          <w:kern w:val="0"/>
          <w:sz w:val="32"/>
          <w:szCs w:val="32"/>
          <w:highlight w:val="none"/>
        </w:rPr>
      </w:pPr>
      <w:r>
        <w:rPr>
          <w:rFonts w:ascii="宋体" w:hAnsi="宋体"/>
          <w:snapToGrid w:val="0"/>
          <w:color w:val="auto"/>
          <w:kern w:val="0"/>
          <w:sz w:val="32"/>
          <w:szCs w:val="32"/>
          <w:highlight w:val="none"/>
        </w:rPr>
        <w:br w:type="page"/>
      </w:r>
    </w:p>
    <w:bookmarkEnd w:id="794"/>
    <w:bookmarkEnd w:id="795"/>
    <w:bookmarkEnd w:id="796"/>
    <w:bookmarkEnd w:id="797"/>
    <w:bookmarkEnd w:id="798"/>
    <w:p w14:paraId="663A44DE">
      <w:pPr>
        <w:pStyle w:val="4"/>
        <w:spacing w:line="360" w:lineRule="auto"/>
        <w:jc w:val="center"/>
        <w:rPr>
          <w:rFonts w:ascii="宋体" w:hAnsi="宋体" w:cs="宋体"/>
          <w:b w:val="0"/>
          <w:bCs w:val="0"/>
          <w:color w:val="auto"/>
          <w:sz w:val="44"/>
          <w:szCs w:val="44"/>
          <w:highlight w:val="none"/>
        </w:rPr>
      </w:pPr>
      <w:r>
        <w:rPr>
          <w:rFonts w:hint="eastAsia" w:ascii="宋体" w:hAnsi="宋体" w:cs="宋体"/>
          <w:b w:val="0"/>
          <w:bCs w:val="0"/>
          <w:color w:val="auto"/>
          <w:sz w:val="44"/>
          <w:szCs w:val="44"/>
          <w:highlight w:val="none"/>
        </w:rPr>
        <w:t>二、</w:t>
      </w:r>
      <w:bookmarkEnd w:id="750"/>
      <w:bookmarkEnd w:id="751"/>
      <w:bookmarkEnd w:id="752"/>
      <w:bookmarkEnd w:id="753"/>
      <w:bookmarkEnd w:id="754"/>
      <w:r>
        <w:rPr>
          <w:rFonts w:hint="eastAsia" w:ascii="宋体" w:hAnsi="宋体" w:cs="宋体"/>
          <w:b w:val="0"/>
          <w:bCs w:val="0"/>
          <w:color w:val="auto"/>
          <w:sz w:val="44"/>
          <w:szCs w:val="44"/>
          <w:highlight w:val="none"/>
        </w:rPr>
        <w:t>技术部分</w:t>
      </w:r>
    </w:p>
    <w:bookmarkEnd w:id="755"/>
    <w:bookmarkEnd w:id="756"/>
    <w:p w14:paraId="112A0D10">
      <w:pPr>
        <w:autoSpaceDE w:val="0"/>
        <w:autoSpaceDN w:val="0"/>
        <w:adjustRightInd w:val="0"/>
        <w:snapToGrid w:val="0"/>
        <w:spacing w:line="360" w:lineRule="auto"/>
        <w:jc w:val="left"/>
        <w:rPr>
          <w:color w:val="auto"/>
          <w:highlight w:val="none"/>
        </w:rPr>
      </w:pPr>
    </w:p>
    <w:p w14:paraId="4542968F">
      <w:pPr>
        <w:spacing w:line="360" w:lineRule="auto"/>
        <w:jc w:val="center"/>
        <w:rPr>
          <w:rFonts w:ascii="宋体" w:hAnsi="宋体" w:cs="宋体"/>
          <w:color w:val="auto"/>
          <w:kern w:val="0"/>
          <w:sz w:val="32"/>
          <w:szCs w:val="32"/>
          <w:highlight w:val="none"/>
          <w:u w:val="single"/>
        </w:rPr>
      </w:pPr>
    </w:p>
    <w:p w14:paraId="39F644C6">
      <w:pPr>
        <w:spacing w:line="360" w:lineRule="auto"/>
        <w:jc w:val="center"/>
        <w:rPr>
          <w:rFonts w:ascii="宋体" w:hAnsi="宋体" w:cs="宋体"/>
          <w:color w:val="auto"/>
          <w:kern w:val="0"/>
          <w:sz w:val="32"/>
          <w:szCs w:val="32"/>
          <w:highlight w:val="none"/>
          <w:u w:val="single"/>
        </w:rPr>
      </w:pPr>
    </w:p>
    <w:p w14:paraId="46C95EDD">
      <w:pPr>
        <w:spacing w:line="360" w:lineRule="auto"/>
        <w:jc w:val="center"/>
        <w:rPr>
          <w:rFonts w:ascii="宋体" w:hAnsi="宋体" w:cs="宋体"/>
          <w:color w:val="auto"/>
          <w:kern w:val="0"/>
          <w:sz w:val="32"/>
          <w:szCs w:val="32"/>
          <w:highlight w:val="none"/>
          <w:u w:val="single"/>
        </w:rPr>
      </w:pPr>
    </w:p>
    <w:p w14:paraId="09398FCA">
      <w:pPr>
        <w:spacing w:line="360" w:lineRule="auto"/>
        <w:jc w:val="center"/>
        <w:rPr>
          <w:rFonts w:ascii="宋体" w:hAnsi="宋体" w:cs="宋体"/>
          <w:color w:val="auto"/>
          <w:kern w:val="0"/>
          <w:sz w:val="32"/>
          <w:szCs w:val="32"/>
          <w:highlight w:val="none"/>
          <w:u w:val="single"/>
        </w:rPr>
      </w:pPr>
    </w:p>
    <w:p w14:paraId="40A64918">
      <w:pPr>
        <w:spacing w:line="360" w:lineRule="auto"/>
        <w:jc w:val="center"/>
        <w:rPr>
          <w:rFonts w:ascii="宋体" w:hAnsi="宋体" w:cs="宋体"/>
          <w:color w:val="auto"/>
          <w:kern w:val="0"/>
          <w:sz w:val="32"/>
          <w:szCs w:val="32"/>
          <w:highlight w:val="none"/>
          <w:u w:val="single"/>
        </w:rPr>
      </w:pPr>
    </w:p>
    <w:p w14:paraId="1E301834">
      <w:pPr>
        <w:spacing w:line="360" w:lineRule="auto"/>
        <w:jc w:val="center"/>
        <w:rPr>
          <w:rFonts w:ascii="宋体" w:hAnsi="宋体" w:cs="宋体"/>
          <w:color w:val="auto"/>
          <w:kern w:val="0"/>
          <w:sz w:val="32"/>
          <w:szCs w:val="32"/>
          <w:highlight w:val="none"/>
          <w:u w:val="single"/>
        </w:rPr>
      </w:pPr>
    </w:p>
    <w:p w14:paraId="307F30C0">
      <w:pPr>
        <w:spacing w:line="360" w:lineRule="auto"/>
        <w:jc w:val="center"/>
        <w:rPr>
          <w:rFonts w:ascii="宋体" w:hAnsi="宋体" w:cs="宋体"/>
          <w:color w:val="auto"/>
          <w:kern w:val="0"/>
          <w:sz w:val="32"/>
          <w:szCs w:val="32"/>
          <w:highlight w:val="none"/>
          <w:u w:val="single"/>
        </w:rPr>
      </w:pPr>
    </w:p>
    <w:p w14:paraId="1397731F">
      <w:pPr>
        <w:spacing w:line="360" w:lineRule="auto"/>
        <w:jc w:val="center"/>
        <w:rPr>
          <w:rFonts w:ascii="宋体" w:hAnsi="宋体" w:cs="宋体"/>
          <w:color w:val="auto"/>
          <w:kern w:val="0"/>
          <w:sz w:val="32"/>
          <w:szCs w:val="32"/>
          <w:highlight w:val="none"/>
          <w:u w:val="single"/>
        </w:rPr>
      </w:pPr>
    </w:p>
    <w:p w14:paraId="1FE52AEB">
      <w:pPr>
        <w:spacing w:line="360" w:lineRule="auto"/>
        <w:jc w:val="center"/>
        <w:rPr>
          <w:rFonts w:ascii="宋体" w:hAnsi="宋体" w:cs="宋体"/>
          <w:color w:val="auto"/>
          <w:kern w:val="0"/>
          <w:sz w:val="32"/>
          <w:szCs w:val="32"/>
          <w:highlight w:val="none"/>
          <w:u w:val="single"/>
        </w:rPr>
      </w:pPr>
    </w:p>
    <w:p w14:paraId="754A7791">
      <w:pPr>
        <w:spacing w:line="360" w:lineRule="auto"/>
        <w:jc w:val="center"/>
        <w:rPr>
          <w:rFonts w:ascii="宋体" w:hAnsi="宋体" w:cs="宋体"/>
          <w:color w:val="auto"/>
          <w:kern w:val="0"/>
          <w:sz w:val="32"/>
          <w:szCs w:val="32"/>
          <w:highlight w:val="none"/>
          <w:u w:val="single"/>
        </w:rPr>
      </w:pPr>
    </w:p>
    <w:p w14:paraId="38A57FF5">
      <w:pPr>
        <w:spacing w:line="360" w:lineRule="auto"/>
        <w:jc w:val="center"/>
        <w:rPr>
          <w:rFonts w:ascii="宋体" w:hAnsi="宋体" w:cs="宋体"/>
          <w:color w:val="auto"/>
          <w:kern w:val="0"/>
          <w:sz w:val="32"/>
          <w:szCs w:val="32"/>
          <w:highlight w:val="none"/>
          <w:u w:val="single"/>
        </w:rPr>
      </w:pPr>
    </w:p>
    <w:p w14:paraId="3FAFE422">
      <w:pPr>
        <w:spacing w:line="360" w:lineRule="auto"/>
        <w:jc w:val="center"/>
        <w:rPr>
          <w:rFonts w:ascii="宋体" w:hAnsi="宋体" w:cs="宋体"/>
          <w:color w:val="auto"/>
          <w:kern w:val="0"/>
          <w:sz w:val="32"/>
          <w:szCs w:val="32"/>
          <w:highlight w:val="none"/>
          <w:u w:val="single"/>
        </w:rPr>
      </w:pPr>
    </w:p>
    <w:p w14:paraId="2EF990D0">
      <w:pPr>
        <w:spacing w:line="360" w:lineRule="auto"/>
        <w:jc w:val="center"/>
        <w:rPr>
          <w:rFonts w:ascii="宋体" w:hAnsi="宋体" w:cs="宋体"/>
          <w:color w:val="auto"/>
          <w:kern w:val="0"/>
          <w:sz w:val="32"/>
          <w:szCs w:val="32"/>
          <w:highlight w:val="none"/>
          <w:u w:val="single"/>
        </w:rPr>
      </w:pPr>
    </w:p>
    <w:p w14:paraId="2C9CFBC4">
      <w:pPr>
        <w:spacing w:line="360" w:lineRule="auto"/>
        <w:jc w:val="center"/>
        <w:rPr>
          <w:rFonts w:ascii="宋体" w:hAnsi="宋体" w:cs="宋体"/>
          <w:color w:val="auto"/>
          <w:kern w:val="0"/>
          <w:sz w:val="32"/>
          <w:szCs w:val="32"/>
          <w:highlight w:val="none"/>
          <w:u w:val="single"/>
        </w:rPr>
      </w:pPr>
    </w:p>
    <w:p w14:paraId="654BEC1F">
      <w:pPr>
        <w:spacing w:line="360" w:lineRule="auto"/>
        <w:jc w:val="center"/>
        <w:rPr>
          <w:rFonts w:ascii="宋体" w:hAnsi="宋体" w:cs="宋体"/>
          <w:color w:val="auto"/>
          <w:kern w:val="0"/>
          <w:sz w:val="32"/>
          <w:szCs w:val="32"/>
          <w:highlight w:val="none"/>
          <w:u w:val="single"/>
        </w:rPr>
      </w:pPr>
    </w:p>
    <w:p w14:paraId="4AC94DFF">
      <w:pPr>
        <w:spacing w:line="360" w:lineRule="auto"/>
        <w:jc w:val="center"/>
        <w:rPr>
          <w:rFonts w:ascii="宋体" w:hAnsi="宋体" w:cs="宋体"/>
          <w:color w:val="auto"/>
          <w:kern w:val="0"/>
          <w:sz w:val="32"/>
          <w:szCs w:val="32"/>
          <w:highlight w:val="none"/>
          <w:u w:val="single"/>
        </w:rPr>
      </w:pPr>
    </w:p>
    <w:p w14:paraId="70CFF24A">
      <w:pPr>
        <w:spacing w:line="360" w:lineRule="auto"/>
        <w:jc w:val="center"/>
        <w:rPr>
          <w:rFonts w:ascii="宋体" w:hAnsi="宋体" w:cs="宋体"/>
          <w:color w:val="auto"/>
          <w:kern w:val="0"/>
          <w:sz w:val="32"/>
          <w:szCs w:val="32"/>
          <w:highlight w:val="none"/>
          <w:u w:val="single"/>
        </w:rPr>
      </w:pPr>
    </w:p>
    <w:p w14:paraId="60B1CF57">
      <w:pPr>
        <w:spacing w:line="360" w:lineRule="auto"/>
        <w:jc w:val="center"/>
        <w:rPr>
          <w:rFonts w:ascii="宋体" w:hAnsi="宋体" w:cs="宋体"/>
          <w:color w:val="auto"/>
          <w:kern w:val="0"/>
          <w:sz w:val="32"/>
          <w:szCs w:val="32"/>
          <w:highlight w:val="none"/>
          <w:u w:val="single"/>
        </w:rPr>
      </w:pPr>
    </w:p>
    <w:p w14:paraId="1CACD999">
      <w:pPr>
        <w:spacing w:line="360" w:lineRule="auto"/>
        <w:jc w:val="center"/>
        <w:rPr>
          <w:rFonts w:ascii="宋体" w:hAnsi="宋体" w:cs="宋体"/>
          <w:color w:val="auto"/>
          <w:kern w:val="0"/>
          <w:sz w:val="32"/>
          <w:szCs w:val="32"/>
          <w:highlight w:val="none"/>
          <w:u w:val="single"/>
        </w:rPr>
      </w:pPr>
    </w:p>
    <w:p w14:paraId="3A3DB633">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 xml:space="preserve">    </w:t>
      </w:r>
    </w:p>
    <w:p w14:paraId="7FB5D31C">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w:t>
      </w:r>
      <w:r>
        <w:rPr>
          <w:rFonts w:hint="eastAsia" w:ascii="宋体" w:hAnsi="宋体" w:cs="宋体"/>
          <w:color w:val="auto"/>
          <w:kern w:val="0"/>
          <w:sz w:val="32"/>
          <w:szCs w:val="32"/>
          <w:highlight w:val="none"/>
        </w:rPr>
        <w:t>（项目名称）</w:t>
      </w:r>
    </w:p>
    <w:p w14:paraId="37E626D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26941DFF">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F6A7B9F">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129DAB52">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竞  选 文 件</w:t>
      </w:r>
    </w:p>
    <w:p w14:paraId="48B57CBE">
      <w:pPr>
        <w:autoSpaceDE w:val="0"/>
        <w:autoSpaceDN w:val="0"/>
        <w:adjustRightInd w:val="0"/>
        <w:snapToGrid w:val="0"/>
        <w:spacing w:line="360" w:lineRule="auto"/>
        <w:jc w:val="left"/>
        <w:rPr>
          <w:rFonts w:ascii="宋体" w:hAnsi="宋体" w:cs="宋体"/>
          <w:color w:val="auto"/>
          <w:kern w:val="0"/>
          <w:sz w:val="16"/>
          <w:szCs w:val="16"/>
          <w:highlight w:val="none"/>
        </w:rPr>
      </w:pPr>
    </w:p>
    <w:p w14:paraId="14486E4D">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技术部分</w:t>
      </w:r>
    </w:p>
    <w:p w14:paraId="04A78091">
      <w:pPr>
        <w:autoSpaceDE w:val="0"/>
        <w:autoSpaceDN w:val="0"/>
        <w:adjustRightInd w:val="0"/>
        <w:snapToGrid w:val="0"/>
        <w:spacing w:line="360" w:lineRule="auto"/>
        <w:jc w:val="left"/>
        <w:rPr>
          <w:rFonts w:ascii="宋体" w:hAnsi="宋体" w:cs="宋体"/>
          <w:color w:val="auto"/>
          <w:kern w:val="0"/>
          <w:sz w:val="20"/>
          <w:szCs w:val="20"/>
          <w:highlight w:val="none"/>
        </w:rPr>
      </w:pPr>
    </w:p>
    <w:p w14:paraId="2BECE8DE">
      <w:pPr>
        <w:adjustRightInd w:val="0"/>
        <w:snapToGrid w:val="0"/>
        <w:spacing w:line="360" w:lineRule="auto"/>
        <w:rPr>
          <w:rFonts w:ascii="宋体" w:hAnsi="宋体" w:cs="宋体"/>
          <w:color w:val="auto"/>
          <w:szCs w:val="21"/>
          <w:highlight w:val="none"/>
        </w:rPr>
      </w:pPr>
    </w:p>
    <w:p w14:paraId="02D2E319">
      <w:pPr>
        <w:autoSpaceDE w:val="0"/>
        <w:autoSpaceDN w:val="0"/>
        <w:adjustRightInd w:val="0"/>
        <w:snapToGrid w:val="0"/>
        <w:spacing w:line="360" w:lineRule="auto"/>
        <w:jc w:val="left"/>
        <w:rPr>
          <w:rFonts w:ascii="宋体" w:hAnsi="宋体" w:cs="宋体"/>
          <w:color w:val="auto"/>
          <w:kern w:val="0"/>
          <w:sz w:val="20"/>
          <w:szCs w:val="20"/>
          <w:highlight w:val="none"/>
        </w:rPr>
      </w:pPr>
    </w:p>
    <w:p w14:paraId="1C3B4419">
      <w:pPr>
        <w:autoSpaceDE w:val="0"/>
        <w:autoSpaceDN w:val="0"/>
        <w:adjustRightInd w:val="0"/>
        <w:snapToGrid w:val="0"/>
        <w:spacing w:line="360" w:lineRule="auto"/>
        <w:jc w:val="left"/>
        <w:rPr>
          <w:rFonts w:ascii="宋体" w:hAnsi="宋体" w:cs="宋体"/>
          <w:color w:val="auto"/>
          <w:kern w:val="0"/>
          <w:sz w:val="20"/>
          <w:szCs w:val="20"/>
          <w:highlight w:val="none"/>
        </w:rPr>
      </w:pPr>
    </w:p>
    <w:p w14:paraId="249E93EE">
      <w:pPr>
        <w:autoSpaceDE w:val="0"/>
        <w:autoSpaceDN w:val="0"/>
        <w:adjustRightInd w:val="0"/>
        <w:snapToGrid w:val="0"/>
        <w:spacing w:line="360" w:lineRule="auto"/>
        <w:jc w:val="left"/>
        <w:rPr>
          <w:rFonts w:ascii="宋体" w:hAnsi="宋体" w:cs="宋体"/>
          <w:color w:val="auto"/>
          <w:kern w:val="0"/>
          <w:sz w:val="20"/>
          <w:szCs w:val="20"/>
          <w:highlight w:val="none"/>
        </w:rPr>
      </w:pPr>
    </w:p>
    <w:p w14:paraId="3371B6DC">
      <w:pPr>
        <w:autoSpaceDE w:val="0"/>
        <w:autoSpaceDN w:val="0"/>
        <w:adjustRightInd w:val="0"/>
        <w:snapToGrid w:val="0"/>
        <w:spacing w:line="360" w:lineRule="auto"/>
        <w:jc w:val="left"/>
        <w:rPr>
          <w:rFonts w:ascii="宋体" w:hAnsi="宋体" w:cs="宋体"/>
          <w:color w:val="auto"/>
          <w:kern w:val="0"/>
          <w:sz w:val="20"/>
          <w:szCs w:val="20"/>
          <w:highlight w:val="none"/>
        </w:rPr>
      </w:pPr>
    </w:p>
    <w:p w14:paraId="5AC02976">
      <w:pPr>
        <w:autoSpaceDE w:val="0"/>
        <w:autoSpaceDN w:val="0"/>
        <w:adjustRightInd w:val="0"/>
        <w:snapToGrid w:val="0"/>
        <w:spacing w:line="360" w:lineRule="auto"/>
        <w:jc w:val="left"/>
        <w:rPr>
          <w:rFonts w:ascii="宋体" w:hAnsi="宋体" w:cs="宋体"/>
          <w:color w:val="auto"/>
          <w:kern w:val="0"/>
          <w:sz w:val="20"/>
          <w:szCs w:val="20"/>
          <w:highlight w:val="none"/>
        </w:rPr>
      </w:pPr>
    </w:p>
    <w:p w14:paraId="6F8C7A9E">
      <w:pPr>
        <w:autoSpaceDE w:val="0"/>
        <w:autoSpaceDN w:val="0"/>
        <w:adjustRightInd w:val="0"/>
        <w:snapToGrid w:val="0"/>
        <w:spacing w:line="360" w:lineRule="auto"/>
        <w:jc w:val="left"/>
        <w:rPr>
          <w:rFonts w:ascii="宋体" w:hAnsi="宋体" w:cs="宋体"/>
          <w:color w:val="auto"/>
          <w:kern w:val="0"/>
          <w:sz w:val="20"/>
          <w:szCs w:val="20"/>
          <w:highlight w:val="none"/>
        </w:rPr>
      </w:pPr>
    </w:p>
    <w:p w14:paraId="257EF16D">
      <w:pPr>
        <w:autoSpaceDE w:val="0"/>
        <w:autoSpaceDN w:val="0"/>
        <w:adjustRightInd w:val="0"/>
        <w:snapToGrid w:val="0"/>
        <w:spacing w:line="360" w:lineRule="auto"/>
        <w:jc w:val="left"/>
        <w:rPr>
          <w:rFonts w:ascii="宋体" w:hAnsi="宋体" w:cs="宋体"/>
          <w:color w:val="auto"/>
          <w:kern w:val="0"/>
          <w:sz w:val="20"/>
          <w:szCs w:val="20"/>
          <w:highlight w:val="none"/>
        </w:rPr>
      </w:pPr>
    </w:p>
    <w:p w14:paraId="0684CEBC">
      <w:pPr>
        <w:autoSpaceDE w:val="0"/>
        <w:autoSpaceDN w:val="0"/>
        <w:adjustRightInd w:val="0"/>
        <w:snapToGrid w:val="0"/>
        <w:spacing w:line="360" w:lineRule="auto"/>
        <w:jc w:val="left"/>
        <w:rPr>
          <w:rFonts w:ascii="宋体" w:hAnsi="宋体" w:cs="宋体"/>
          <w:color w:val="auto"/>
          <w:kern w:val="0"/>
          <w:sz w:val="20"/>
          <w:szCs w:val="20"/>
          <w:highlight w:val="none"/>
        </w:rPr>
      </w:pPr>
    </w:p>
    <w:p w14:paraId="5F905269">
      <w:pPr>
        <w:autoSpaceDE w:val="0"/>
        <w:autoSpaceDN w:val="0"/>
        <w:adjustRightInd w:val="0"/>
        <w:snapToGrid w:val="0"/>
        <w:spacing w:line="360" w:lineRule="auto"/>
        <w:jc w:val="left"/>
        <w:rPr>
          <w:rFonts w:ascii="宋体" w:hAnsi="宋体" w:cs="宋体"/>
          <w:color w:val="auto"/>
          <w:kern w:val="0"/>
          <w:sz w:val="20"/>
          <w:szCs w:val="20"/>
          <w:highlight w:val="none"/>
        </w:rPr>
      </w:pPr>
    </w:p>
    <w:p w14:paraId="7FB06D5A">
      <w:pPr>
        <w:autoSpaceDE w:val="0"/>
        <w:autoSpaceDN w:val="0"/>
        <w:adjustRightInd w:val="0"/>
        <w:snapToGrid w:val="0"/>
        <w:spacing w:line="360" w:lineRule="auto"/>
        <w:jc w:val="left"/>
        <w:rPr>
          <w:rFonts w:ascii="宋体" w:hAnsi="宋体" w:cs="宋体"/>
          <w:color w:val="auto"/>
          <w:kern w:val="0"/>
          <w:sz w:val="20"/>
          <w:szCs w:val="20"/>
          <w:highlight w:val="none"/>
        </w:rPr>
      </w:pPr>
    </w:p>
    <w:p w14:paraId="30481F5F">
      <w:pPr>
        <w:autoSpaceDE w:val="0"/>
        <w:autoSpaceDN w:val="0"/>
        <w:adjustRightInd w:val="0"/>
        <w:snapToGrid w:val="0"/>
        <w:spacing w:line="360" w:lineRule="auto"/>
        <w:jc w:val="left"/>
        <w:rPr>
          <w:rFonts w:ascii="宋体" w:hAnsi="宋体" w:cs="宋体"/>
          <w:color w:val="auto"/>
          <w:kern w:val="0"/>
          <w:sz w:val="20"/>
          <w:szCs w:val="20"/>
          <w:highlight w:val="none"/>
        </w:rPr>
      </w:pPr>
    </w:p>
    <w:p w14:paraId="2502A206">
      <w:pPr>
        <w:tabs>
          <w:tab w:val="left" w:pos="6080"/>
          <w:tab w:val="left" w:pos="6640"/>
        </w:tabs>
        <w:autoSpaceDE w:val="0"/>
        <w:autoSpaceDN w:val="0"/>
        <w:adjustRightInd w:val="0"/>
        <w:snapToGrid w:val="0"/>
        <w:spacing w:line="360" w:lineRule="auto"/>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rPr>
        <w:t>竞选人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（盖单位公章）</w:t>
      </w:r>
    </w:p>
    <w:p w14:paraId="502E1A8B">
      <w:pPr>
        <w:tabs>
          <w:tab w:val="left" w:pos="6080"/>
          <w:tab w:val="left" w:pos="6640"/>
        </w:tabs>
        <w:autoSpaceDE w:val="0"/>
        <w:autoSpaceDN w:val="0"/>
        <w:adjustRightInd w:val="0"/>
        <w:snapToGrid w:val="0"/>
        <w:spacing w:line="360" w:lineRule="auto"/>
        <w:jc w:val="center"/>
        <w:rPr>
          <w:rFonts w:ascii="宋体" w:hAnsi="宋体" w:cs="宋体"/>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（签字或盖章）</w:t>
      </w:r>
    </w:p>
    <w:p w14:paraId="343D6D9B">
      <w:pPr>
        <w:tabs>
          <w:tab w:val="left" w:pos="3280"/>
          <w:tab w:val="left" w:pos="4680"/>
          <w:tab w:val="left" w:pos="6080"/>
        </w:tabs>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日</w:t>
      </w:r>
    </w:p>
    <w:p w14:paraId="01CAD1AE">
      <w:pPr>
        <w:autoSpaceDE w:val="0"/>
        <w:autoSpaceDN w:val="0"/>
        <w:adjustRightInd w:val="0"/>
        <w:snapToGrid w:val="0"/>
        <w:spacing w:line="360" w:lineRule="auto"/>
        <w:jc w:val="left"/>
        <w:rPr>
          <w:rFonts w:ascii="宋体" w:hAnsi="宋体"/>
          <w:color w:val="auto"/>
          <w:kern w:val="0"/>
          <w:sz w:val="24"/>
          <w:szCs w:val="21"/>
          <w:highlight w:val="none"/>
        </w:rPr>
      </w:pPr>
    </w:p>
    <w:p w14:paraId="259AA2A3">
      <w:pPr>
        <w:rPr>
          <w:rFonts w:ascii="宋体" w:hAnsi="宋体"/>
          <w:color w:val="auto"/>
          <w:kern w:val="0"/>
          <w:sz w:val="36"/>
          <w:szCs w:val="36"/>
          <w:highlight w:val="none"/>
        </w:rPr>
      </w:pPr>
    </w:p>
    <w:p w14:paraId="0AD07129">
      <w:pPr>
        <w:autoSpaceDE w:val="0"/>
        <w:autoSpaceDN w:val="0"/>
        <w:adjustRightInd w:val="0"/>
        <w:snapToGrid w:val="0"/>
        <w:spacing w:line="360" w:lineRule="auto"/>
        <w:jc w:val="center"/>
        <w:rPr>
          <w:rFonts w:ascii="宋体" w:hAnsi="宋体"/>
          <w:color w:val="auto"/>
          <w:kern w:val="0"/>
          <w:sz w:val="36"/>
          <w:szCs w:val="36"/>
          <w:highlight w:val="none"/>
        </w:rPr>
      </w:pPr>
    </w:p>
    <w:p w14:paraId="57190157">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0DF068DE">
      <w:pPr>
        <w:autoSpaceDE w:val="0"/>
        <w:autoSpaceDN w:val="0"/>
        <w:adjustRightInd w:val="0"/>
        <w:snapToGrid w:val="0"/>
        <w:spacing w:line="360" w:lineRule="auto"/>
        <w:jc w:val="left"/>
        <w:rPr>
          <w:rFonts w:ascii="宋体" w:hAnsi="宋体"/>
          <w:color w:val="auto"/>
          <w:kern w:val="0"/>
          <w:sz w:val="32"/>
          <w:szCs w:val="32"/>
          <w:highlight w:val="none"/>
        </w:rPr>
      </w:pPr>
    </w:p>
    <w:p w14:paraId="58FCA765">
      <w:pPr>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[目录由</w:t>
      </w:r>
      <w:r>
        <w:rPr>
          <w:rFonts w:hint="eastAsia" w:ascii="宋体" w:hAnsi="宋体"/>
          <w:color w:val="auto"/>
          <w:kern w:val="0"/>
          <w:szCs w:val="21"/>
          <w:highlight w:val="none"/>
        </w:rPr>
        <w:t>竞选人</w:t>
      </w:r>
      <w:r>
        <w:rPr>
          <w:rFonts w:ascii="宋体" w:hAnsi="宋体"/>
          <w:color w:val="auto"/>
          <w:kern w:val="0"/>
          <w:szCs w:val="21"/>
          <w:highlight w:val="none"/>
        </w:rPr>
        <w:t>自行编制]</w:t>
      </w:r>
    </w:p>
    <w:p w14:paraId="28A6229B">
      <w:pPr>
        <w:autoSpaceDE w:val="0"/>
        <w:autoSpaceDN w:val="0"/>
        <w:adjustRightInd w:val="0"/>
        <w:snapToGrid w:val="0"/>
        <w:spacing w:line="360" w:lineRule="auto"/>
        <w:jc w:val="left"/>
        <w:rPr>
          <w:rFonts w:ascii="宋体" w:hAnsi="宋体"/>
          <w:color w:val="auto"/>
          <w:kern w:val="0"/>
          <w:szCs w:val="21"/>
          <w:highlight w:val="none"/>
        </w:rPr>
      </w:pPr>
    </w:p>
    <w:p w14:paraId="08D605B7">
      <w:pPr>
        <w:autoSpaceDE w:val="0"/>
        <w:autoSpaceDN w:val="0"/>
        <w:adjustRightInd w:val="0"/>
        <w:snapToGrid w:val="0"/>
        <w:spacing w:line="360" w:lineRule="auto"/>
        <w:jc w:val="left"/>
        <w:rPr>
          <w:rFonts w:ascii="宋体" w:hAnsi="宋体"/>
          <w:color w:val="auto"/>
          <w:kern w:val="0"/>
          <w:highlight w:val="none"/>
        </w:rPr>
      </w:pPr>
    </w:p>
    <w:p w14:paraId="76B81301">
      <w:pPr>
        <w:autoSpaceDE w:val="0"/>
        <w:autoSpaceDN w:val="0"/>
        <w:adjustRightInd w:val="0"/>
        <w:snapToGrid w:val="0"/>
        <w:spacing w:line="360" w:lineRule="auto"/>
        <w:jc w:val="left"/>
        <w:rPr>
          <w:rFonts w:ascii="宋体" w:hAnsi="宋体"/>
          <w:color w:val="auto"/>
          <w:kern w:val="0"/>
          <w:highlight w:val="none"/>
        </w:rPr>
      </w:pPr>
    </w:p>
    <w:p w14:paraId="09A91501">
      <w:pPr>
        <w:autoSpaceDE w:val="0"/>
        <w:autoSpaceDN w:val="0"/>
        <w:adjustRightInd w:val="0"/>
        <w:snapToGrid w:val="0"/>
        <w:spacing w:line="360" w:lineRule="auto"/>
        <w:jc w:val="left"/>
        <w:rPr>
          <w:rFonts w:ascii="宋体" w:hAnsi="宋体"/>
          <w:color w:val="auto"/>
          <w:kern w:val="0"/>
          <w:highlight w:val="none"/>
        </w:rPr>
      </w:pPr>
    </w:p>
    <w:p w14:paraId="36DE9A78">
      <w:pPr>
        <w:autoSpaceDE w:val="0"/>
        <w:autoSpaceDN w:val="0"/>
        <w:adjustRightInd w:val="0"/>
        <w:snapToGrid w:val="0"/>
        <w:spacing w:line="360" w:lineRule="auto"/>
        <w:jc w:val="left"/>
        <w:rPr>
          <w:rFonts w:ascii="宋体" w:hAnsi="宋体"/>
          <w:color w:val="auto"/>
          <w:kern w:val="0"/>
          <w:highlight w:val="none"/>
        </w:rPr>
      </w:pPr>
    </w:p>
    <w:p w14:paraId="375D2F42">
      <w:pPr>
        <w:autoSpaceDE w:val="0"/>
        <w:autoSpaceDN w:val="0"/>
        <w:adjustRightInd w:val="0"/>
        <w:snapToGrid w:val="0"/>
        <w:spacing w:line="360" w:lineRule="auto"/>
        <w:jc w:val="left"/>
        <w:rPr>
          <w:rFonts w:ascii="宋体" w:hAnsi="宋体"/>
          <w:color w:val="auto"/>
          <w:kern w:val="0"/>
          <w:highlight w:val="none"/>
        </w:rPr>
      </w:pPr>
    </w:p>
    <w:p w14:paraId="282CBA1D">
      <w:pPr>
        <w:autoSpaceDE w:val="0"/>
        <w:autoSpaceDN w:val="0"/>
        <w:adjustRightInd w:val="0"/>
        <w:snapToGrid w:val="0"/>
        <w:spacing w:line="360" w:lineRule="auto"/>
        <w:jc w:val="left"/>
        <w:rPr>
          <w:rFonts w:ascii="宋体" w:hAnsi="宋体"/>
          <w:color w:val="auto"/>
          <w:kern w:val="0"/>
          <w:highlight w:val="none"/>
        </w:rPr>
      </w:pPr>
    </w:p>
    <w:p w14:paraId="43A79D9D">
      <w:pPr>
        <w:autoSpaceDE w:val="0"/>
        <w:autoSpaceDN w:val="0"/>
        <w:adjustRightInd w:val="0"/>
        <w:snapToGrid w:val="0"/>
        <w:spacing w:line="360" w:lineRule="auto"/>
        <w:jc w:val="left"/>
        <w:rPr>
          <w:rFonts w:ascii="宋体" w:hAnsi="宋体"/>
          <w:color w:val="auto"/>
          <w:kern w:val="0"/>
          <w:highlight w:val="none"/>
        </w:rPr>
      </w:pPr>
    </w:p>
    <w:p w14:paraId="0AA0F556">
      <w:pPr>
        <w:autoSpaceDE w:val="0"/>
        <w:autoSpaceDN w:val="0"/>
        <w:adjustRightInd w:val="0"/>
        <w:snapToGrid w:val="0"/>
        <w:spacing w:line="360" w:lineRule="auto"/>
        <w:jc w:val="left"/>
        <w:rPr>
          <w:rFonts w:ascii="宋体" w:hAnsi="宋体"/>
          <w:color w:val="auto"/>
          <w:kern w:val="0"/>
          <w:highlight w:val="none"/>
        </w:rPr>
      </w:pPr>
    </w:p>
    <w:p w14:paraId="2B34F166">
      <w:pPr>
        <w:rPr>
          <w:rFonts w:ascii="宋体" w:hAnsi="宋体"/>
          <w:color w:val="auto"/>
          <w:w w:val="99"/>
          <w:kern w:val="0"/>
          <w:sz w:val="28"/>
          <w:szCs w:val="28"/>
          <w:highlight w:val="none"/>
        </w:rPr>
      </w:pPr>
    </w:p>
    <w:p w14:paraId="6660E30D">
      <w:pPr>
        <w:spacing w:line="360" w:lineRule="auto"/>
        <w:jc w:val="center"/>
        <w:rPr>
          <w:rFonts w:ascii="宋体" w:hAnsi="宋体" w:cs="宋体"/>
          <w:color w:val="auto"/>
          <w:sz w:val="44"/>
          <w:szCs w:val="44"/>
          <w:highlight w:val="none"/>
        </w:rPr>
      </w:pPr>
      <w:bookmarkStart w:id="799" w:name="_Toc287607882"/>
      <w:bookmarkStart w:id="800" w:name="_Toc224103510"/>
      <w:bookmarkStart w:id="801" w:name="_Toc277082656"/>
      <w:bookmarkStart w:id="802" w:name="_Toc430530545"/>
      <w:bookmarkStart w:id="803" w:name="_Toc287620829"/>
      <w:bookmarkStart w:id="804" w:name="_Toc30322"/>
      <w:bookmarkStart w:id="805" w:name="_Toc777"/>
      <w:bookmarkStart w:id="806" w:name="_Toc15368"/>
    </w:p>
    <w:p w14:paraId="424E8601">
      <w:pPr>
        <w:spacing w:line="360" w:lineRule="auto"/>
        <w:jc w:val="center"/>
        <w:rPr>
          <w:rFonts w:ascii="宋体" w:hAnsi="宋体" w:cs="宋体"/>
          <w:color w:val="auto"/>
          <w:sz w:val="44"/>
          <w:szCs w:val="44"/>
          <w:highlight w:val="none"/>
        </w:rPr>
      </w:pPr>
    </w:p>
    <w:p w14:paraId="6E32562A">
      <w:pPr>
        <w:spacing w:line="360" w:lineRule="auto"/>
        <w:jc w:val="center"/>
        <w:rPr>
          <w:rFonts w:ascii="宋体" w:hAnsi="宋体" w:cs="宋体"/>
          <w:color w:val="auto"/>
          <w:sz w:val="44"/>
          <w:szCs w:val="44"/>
          <w:highlight w:val="none"/>
        </w:rPr>
      </w:pPr>
    </w:p>
    <w:p w14:paraId="09F90664">
      <w:pPr>
        <w:spacing w:line="360" w:lineRule="auto"/>
        <w:jc w:val="center"/>
        <w:rPr>
          <w:rFonts w:ascii="宋体" w:hAnsi="宋体" w:cs="宋体"/>
          <w:color w:val="auto"/>
          <w:sz w:val="44"/>
          <w:szCs w:val="44"/>
          <w:highlight w:val="none"/>
        </w:rPr>
      </w:pPr>
    </w:p>
    <w:p w14:paraId="150FB255">
      <w:pPr>
        <w:spacing w:line="360" w:lineRule="auto"/>
        <w:jc w:val="center"/>
        <w:rPr>
          <w:rFonts w:ascii="宋体" w:hAnsi="宋体" w:cs="宋体"/>
          <w:color w:val="auto"/>
          <w:sz w:val="44"/>
          <w:szCs w:val="44"/>
          <w:highlight w:val="none"/>
        </w:rPr>
      </w:pPr>
    </w:p>
    <w:p w14:paraId="4E0BA050">
      <w:pPr>
        <w:pStyle w:val="2"/>
        <w:rPr>
          <w:rFonts w:ascii="宋体" w:hAnsi="宋体" w:cs="宋体"/>
          <w:color w:val="auto"/>
          <w:sz w:val="44"/>
          <w:szCs w:val="44"/>
          <w:highlight w:val="none"/>
        </w:rPr>
      </w:pPr>
    </w:p>
    <w:p w14:paraId="03B4ECE4">
      <w:pPr>
        <w:rPr>
          <w:rFonts w:ascii="宋体" w:hAnsi="宋体" w:cs="宋体"/>
          <w:color w:val="auto"/>
          <w:sz w:val="44"/>
          <w:szCs w:val="44"/>
          <w:highlight w:val="none"/>
        </w:rPr>
      </w:pPr>
    </w:p>
    <w:p w14:paraId="4F4639B7">
      <w:pPr>
        <w:pStyle w:val="2"/>
        <w:rPr>
          <w:rFonts w:ascii="宋体" w:hAnsi="宋体" w:cs="宋体"/>
          <w:color w:val="auto"/>
          <w:sz w:val="44"/>
          <w:szCs w:val="44"/>
          <w:highlight w:val="none"/>
        </w:rPr>
      </w:pPr>
    </w:p>
    <w:p w14:paraId="4BEEFDB9">
      <w:pPr>
        <w:rPr>
          <w:rFonts w:ascii="宋体" w:hAnsi="宋体" w:cs="宋体"/>
          <w:color w:val="auto"/>
          <w:sz w:val="44"/>
          <w:szCs w:val="44"/>
          <w:highlight w:val="none"/>
        </w:rPr>
      </w:pPr>
    </w:p>
    <w:p w14:paraId="6AEC32CF">
      <w:pPr>
        <w:pStyle w:val="2"/>
        <w:rPr>
          <w:rFonts w:ascii="宋体" w:hAnsi="宋体" w:cs="宋体"/>
          <w:color w:val="auto"/>
          <w:sz w:val="44"/>
          <w:szCs w:val="44"/>
          <w:highlight w:val="none"/>
        </w:rPr>
      </w:pPr>
    </w:p>
    <w:p w14:paraId="72BA5CF6">
      <w:pPr>
        <w:pStyle w:val="4"/>
        <w:spacing w:line="360" w:lineRule="auto"/>
        <w:jc w:val="center"/>
        <w:rPr>
          <w:rFonts w:ascii="宋体" w:hAnsi="宋体" w:cs="宋体"/>
          <w:b w:val="0"/>
          <w:bCs w:val="0"/>
          <w:color w:val="auto"/>
          <w:sz w:val="44"/>
          <w:szCs w:val="44"/>
          <w:highlight w:val="none"/>
        </w:rPr>
      </w:pPr>
      <w:r>
        <w:rPr>
          <w:rFonts w:hint="eastAsia" w:ascii="宋体" w:hAnsi="宋体" w:cs="宋体"/>
          <w:b w:val="0"/>
          <w:bCs w:val="0"/>
          <w:color w:val="auto"/>
          <w:sz w:val="44"/>
          <w:szCs w:val="44"/>
          <w:highlight w:val="none"/>
        </w:rPr>
        <w:t>三、</w:t>
      </w:r>
      <w:bookmarkEnd w:id="799"/>
      <w:bookmarkEnd w:id="800"/>
      <w:bookmarkEnd w:id="801"/>
      <w:bookmarkEnd w:id="802"/>
      <w:bookmarkEnd w:id="803"/>
      <w:r>
        <w:rPr>
          <w:rFonts w:hint="eastAsia" w:ascii="宋体" w:hAnsi="宋体" w:cs="宋体"/>
          <w:b w:val="0"/>
          <w:bCs w:val="0"/>
          <w:color w:val="auto"/>
          <w:sz w:val="44"/>
          <w:szCs w:val="44"/>
          <w:highlight w:val="none"/>
        </w:rPr>
        <w:t>资格审查部分</w:t>
      </w:r>
      <w:bookmarkEnd w:id="804"/>
      <w:bookmarkEnd w:id="805"/>
      <w:bookmarkEnd w:id="806"/>
    </w:p>
    <w:p w14:paraId="530DF14A">
      <w:pPr>
        <w:adjustRightInd w:val="0"/>
        <w:snapToGrid w:val="0"/>
        <w:spacing w:line="360" w:lineRule="auto"/>
        <w:rPr>
          <w:rFonts w:ascii="宋体" w:hAnsi="宋体" w:cs="宋体"/>
          <w:color w:val="auto"/>
          <w:sz w:val="32"/>
          <w:szCs w:val="32"/>
          <w:highlight w:val="none"/>
        </w:rPr>
      </w:pPr>
    </w:p>
    <w:p w14:paraId="2442C101">
      <w:pPr>
        <w:adjustRightInd w:val="0"/>
        <w:snapToGrid w:val="0"/>
        <w:spacing w:line="360" w:lineRule="auto"/>
        <w:rPr>
          <w:rFonts w:ascii="宋体" w:hAnsi="宋体" w:cs="宋体"/>
          <w:color w:val="auto"/>
          <w:sz w:val="32"/>
          <w:szCs w:val="32"/>
          <w:highlight w:val="none"/>
        </w:rPr>
      </w:pPr>
    </w:p>
    <w:p w14:paraId="51CEF55C">
      <w:pPr>
        <w:spacing w:line="360" w:lineRule="auto"/>
        <w:rPr>
          <w:rFonts w:ascii="宋体" w:hAnsi="宋体" w:cs="宋体"/>
          <w:color w:val="auto"/>
          <w:sz w:val="32"/>
          <w:szCs w:val="32"/>
          <w:highlight w:val="none"/>
        </w:rPr>
      </w:pPr>
    </w:p>
    <w:p w14:paraId="4DE2F01D">
      <w:pPr>
        <w:spacing w:line="360" w:lineRule="auto"/>
        <w:rPr>
          <w:rFonts w:ascii="宋体" w:hAnsi="宋体" w:cs="宋体"/>
          <w:color w:val="auto"/>
          <w:sz w:val="32"/>
          <w:szCs w:val="32"/>
          <w:highlight w:val="none"/>
        </w:rPr>
      </w:pPr>
    </w:p>
    <w:p w14:paraId="30EBCB8E">
      <w:pPr>
        <w:spacing w:line="360" w:lineRule="auto"/>
        <w:rPr>
          <w:rFonts w:ascii="宋体" w:hAnsi="宋体" w:cs="宋体"/>
          <w:color w:val="auto"/>
          <w:sz w:val="32"/>
          <w:szCs w:val="32"/>
          <w:highlight w:val="none"/>
        </w:rPr>
      </w:pPr>
    </w:p>
    <w:p w14:paraId="40F577B3">
      <w:pPr>
        <w:spacing w:line="360" w:lineRule="auto"/>
        <w:rPr>
          <w:rFonts w:ascii="宋体" w:hAnsi="宋体" w:cs="宋体"/>
          <w:color w:val="auto"/>
          <w:sz w:val="32"/>
          <w:szCs w:val="32"/>
          <w:highlight w:val="none"/>
        </w:rPr>
      </w:pPr>
    </w:p>
    <w:p w14:paraId="5B731FF6">
      <w:pPr>
        <w:spacing w:line="360" w:lineRule="auto"/>
        <w:rPr>
          <w:rFonts w:ascii="宋体" w:hAnsi="宋体" w:cs="宋体"/>
          <w:color w:val="auto"/>
          <w:sz w:val="32"/>
          <w:szCs w:val="32"/>
          <w:highlight w:val="none"/>
        </w:rPr>
      </w:pPr>
    </w:p>
    <w:p w14:paraId="66E80DC7">
      <w:pPr>
        <w:spacing w:line="360" w:lineRule="auto"/>
        <w:rPr>
          <w:rFonts w:ascii="宋体" w:hAnsi="宋体" w:cs="宋体"/>
          <w:color w:val="auto"/>
          <w:sz w:val="32"/>
          <w:szCs w:val="32"/>
          <w:highlight w:val="none"/>
        </w:rPr>
      </w:pPr>
    </w:p>
    <w:p w14:paraId="4793AB76">
      <w:pPr>
        <w:spacing w:line="360" w:lineRule="auto"/>
        <w:rPr>
          <w:rFonts w:ascii="宋体" w:hAnsi="宋体" w:cs="宋体"/>
          <w:color w:val="auto"/>
          <w:sz w:val="32"/>
          <w:szCs w:val="32"/>
          <w:highlight w:val="none"/>
        </w:rPr>
      </w:pPr>
    </w:p>
    <w:p w14:paraId="0ED4A091">
      <w:pPr>
        <w:spacing w:line="360" w:lineRule="auto"/>
        <w:rPr>
          <w:rFonts w:ascii="宋体" w:hAnsi="宋体" w:cs="宋体"/>
          <w:color w:val="auto"/>
          <w:sz w:val="32"/>
          <w:szCs w:val="32"/>
          <w:highlight w:val="none"/>
        </w:rPr>
      </w:pPr>
    </w:p>
    <w:p w14:paraId="3A878B94">
      <w:pPr>
        <w:spacing w:line="360" w:lineRule="auto"/>
        <w:rPr>
          <w:rFonts w:ascii="宋体" w:hAnsi="宋体" w:cs="宋体"/>
          <w:color w:val="auto"/>
          <w:sz w:val="32"/>
          <w:szCs w:val="32"/>
          <w:highlight w:val="none"/>
        </w:rPr>
      </w:pPr>
    </w:p>
    <w:p w14:paraId="5CF735D8">
      <w:pPr>
        <w:spacing w:line="360" w:lineRule="auto"/>
        <w:rPr>
          <w:rFonts w:ascii="宋体" w:hAnsi="宋体" w:cs="宋体"/>
          <w:color w:val="auto"/>
          <w:sz w:val="32"/>
          <w:szCs w:val="32"/>
          <w:highlight w:val="none"/>
        </w:rPr>
      </w:pPr>
    </w:p>
    <w:p w14:paraId="63C6E677">
      <w:pPr>
        <w:spacing w:line="360" w:lineRule="auto"/>
        <w:jc w:val="center"/>
        <w:rPr>
          <w:rFonts w:ascii="宋体" w:hAnsi="宋体" w:cs="宋体"/>
          <w:color w:val="auto"/>
          <w:kern w:val="0"/>
          <w:sz w:val="32"/>
          <w:szCs w:val="32"/>
          <w:highlight w:val="none"/>
          <w:u w:val="single"/>
        </w:rPr>
      </w:pPr>
    </w:p>
    <w:p w14:paraId="31486A4F">
      <w:pPr>
        <w:spacing w:line="360" w:lineRule="auto"/>
        <w:jc w:val="center"/>
        <w:rPr>
          <w:rFonts w:ascii="宋体" w:hAnsi="宋体" w:cs="宋体"/>
          <w:color w:val="auto"/>
          <w:kern w:val="0"/>
          <w:sz w:val="32"/>
          <w:szCs w:val="32"/>
          <w:highlight w:val="none"/>
          <w:u w:val="single"/>
        </w:rPr>
      </w:pPr>
    </w:p>
    <w:p w14:paraId="6A068B20">
      <w:pPr>
        <w:spacing w:line="360" w:lineRule="auto"/>
        <w:jc w:val="center"/>
        <w:rPr>
          <w:rFonts w:ascii="宋体" w:hAnsi="宋体" w:cs="宋体"/>
          <w:color w:val="auto"/>
          <w:kern w:val="0"/>
          <w:sz w:val="32"/>
          <w:szCs w:val="32"/>
          <w:highlight w:val="none"/>
          <w:u w:val="single"/>
        </w:rPr>
      </w:pPr>
    </w:p>
    <w:p w14:paraId="4326DFE8">
      <w:pPr>
        <w:spacing w:line="360" w:lineRule="auto"/>
        <w:jc w:val="center"/>
        <w:rPr>
          <w:rFonts w:ascii="宋体" w:hAnsi="宋体" w:cs="宋体"/>
          <w:color w:val="auto"/>
          <w:kern w:val="0"/>
          <w:sz w:val="32"/>
          <w:szCs w:val="32"/>
          <w:highlight w:val="none"/>
          <w:u w:val="single"/>
        </w:rPr>
      </w:pPr>
    </w:p>
    <w:p w14:paraId="592406D4">
      <w:pPr>
        <w:spacing w:line="360" w:lineRule="auto"/>
        <w:jc w:val="center"/>
        <w:rPr>
          <w:rFonts w:ascii="宋体" w:hAnsi="宋体" w:cs="宋体"/>
          <w:color w:val="auto"/>
          <w:kern w:val="0"/>
          <w:sz w:val="32"/>
          <w:szCs w:val="32"/>
          <w:highlight w:val="none"/>
          <w:u w:val="single"/>
        </w:rPr>
      </w:pPr>
    </w:p>
    <w:p w14:paraId="14B565AF">
      <w:pPr>
        <w:spacing w:line="360" w:lineRule="auto"/>
        <w:jc w:val="center"/>
        <w:rPr>
          <w:rFonts w:ascii="宋体" w:hAnsi="宋体" w:cs="宋体"/>
          <w:color w:val="auto"/>
          <w:kern w:val="0"/>
          <w:sz w:val="32"/>
          <w:szCs w:val="32"/>
          <w:highlight w:val="none"/>
          <w:u w:val="single"/>
        </w:rPr>
      </w:pPr>
    </w:p>
    <w:p w14:paraId="35EC74DC">
      <w:pPr>
        <w:spacing w:line="360" w:lineRule="auto"/>
        <w:jc w:val="center"/>
        <w:rPr>
          <w:rFonts w:ascii="宋体" w:hAnsi="宋体" w:cs="宋体"/>
          <w:color w:val="auto"/>
          <w:kern w:val="0"/>
          <w:sz w:val="32"/>
          <w:szCs w:val="32"/>
          <w:highlight w:val="none"/>
          <w:u w:val="single"/>
        </w:rPr>
      </w:pPr>
    </w:p>
    <w:p w14:paraId="76916FAD">
      <w:pPr>
        <w:pStyle w:val="2"/>
        <w:rPr>
          <w:rFonts w:ascii="宋体" w:hAnsi="宋体" w:cs="宋体"/>
          <w:color w:val="auto"/>
          <w:kern w:val="0"/>
          <w:sz w:val="32"/>
          <w:szCs w:val="32"/>
          <w:highlight w:val="none"/>
          <w:u w:val="single"/>
        </w:rPr>
      </w:pPr>
    </w:p>
    <w:p w14:paraId="41DC96A6">
      <w:pPr>
        <w:rPr>
          <w:rFonts w:ascii="宋体" w:hAnsi="宋体" w:cs="宋体"/>
          <w:color w:val="auto"/>
          <w:kern w:val="0"/>
          <w:sz w:val="32"/>
          <w:szCs w:val="32"/>
          <w:highlight w:val="none"/>
          <w:u w:val="single"/>
        </w:rPr>
      </w:pPr>
    </w:p>
    <w:p w14:paraId="76F1B500">
      <w:pPr>
        <w:pStyle w:val="2"/>
        <w:rPr>
          <w:color w:val="auto"/>
          <w:highlight w:val="none"/>
        </w:rPr>
      </w:pPr>
    </w:p>
    <w:p w14:paraId="432C6746">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w:t>
      </w:r>
      <w:r>
        <w:rPr>
          <w:rFonts w:hint="eastAsia" w:ascii="宋体" w:hAnsi="宋体" w:cs="宋体"/>
          <w:color w:val="auto"/>
          <w:kern w:val="0"/>
          <w:sz w:val="32"/>
          <w:szCs w:val="32"/>
          <w:highlight w:val="none"/>
        </w:rPr>
        <w:t>（项目名称）</w:t>
      </w:r>
    </w:p>
    <w:p w14:paraId="616ADF3D">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EDDF030">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4D30A87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18AFF2BF">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p>
    <w:p w14:paraId="5457334B">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竞 选 文 件</w:t>
      </w:r>
    </w:p>
    <w:p w14:paraId="49A083E1">
      <w:pPr>
        <w:autoSpaceDE w:val="0"/>
        <w:autoSpaceDN w:val="0"/>
        <w:adjustRightInd w:val="0"/>
        <w:snapToGrid w:val="0"/>
        <w:spacing w:line="360" w:lineRule="auto"/>
        <w:jc w:val="left"/>
        <w:rPr>
          <w:rFonts w:ascii="宋体" w:hAnsi="宋体" w:cs="宋体"/>
          <w:color w:val="auto"/>
          <w:kern w:val="0"/>
          <w:sz w:val="16"/>
          <w:szCs w:val="16"/>
          <w:highlight w:val="none"/>
        </w:rPr>
      </w:pPr>
    </w:p>
    <w:p w14:paraId="4199270E">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资格审查部分</w:t>
      </w:r>
    </w:p>
    <w:p w14:paraId="1884F737">
      <w:pPr>
        <w:autoSpaceDE w:val="0"/>
        <w:autoSpaceDN w:val="0"/>
        <w:adjustRightInd w:val="0"/>
        <w:snapToGrid w:val="0"/>
        <w:spacing w:line="360" w:lineRule="auto"/>
        <w:jc w:val="left"/>
        <w:rPr>
          <w:rFonts w:ascii="宋体" w:hAnsi="宋体" w:cs="宋体"/>
          <w:color w:val="auto"/>
          <w:kern w:val="0"/>
          <w:sz w:val="20"/>
          <w:szCs w:val="20"/>
          <w:highlight w:val="none"/>
        </w:rPr>
      </w:pPr>
    </w:p>
    <w:p w14:paraId="7D2E2F7C">
      <w:pPr>
        <w:adjustRightInd w:val="0"/>
        <w:snapToGrid w:val="0"/>
        <w:spacing w:line="360" w:lineRule="auto"/>
        <w:rPr>
          <w:rFonts w:ascii="宋体" w:hAnsi="宋体" w:cs="宋体"/>
          <w:color w:val="auto"/>
          <w:szCs w:val="21"/>
          <w:highlight w:val="none"/>
        </w:rPr>
      </w:pPr>
    </w:p>
    <w:p w14:paraId="55A8707F">
      <w:pPr>
        <w:autoSpaceDE w:val="0"/>
        <w:autoSpaceDN w:val="0"/>
        <w:adjustRightInd w:val="0"/>
        <w:snapToGrid w:val="0"/>
        <w:spacing w:line="360" w:lineRule="auto"/>
        <w:jc w:val="left"/>
        <w:rPr>
          <w:rFonts w:ascii="宋体" w:hAnsi="宋体" w:cs="宋体"/>
          <w:color w:val="auto"/>
          <w:kern w:val="0"/>
          <w:sz w:val="20"/>
          <w:szCs w:val="20"/>
          <w:highlight w:val="none"/>
        </w:rPr>
      </w:pPr>
    </w:p>
    <w:p w14:paraId="2F33E7E7">
      <w:pPr>
        <w:autoSpaceDE w:val="0"/>
        <w:autoSpaceDN w:val="0"/>
        <w:adjustRightInd w:val="0"/>
        <w:snapToGrid w:val="0"/>
        <w:spacing w:line="360" w:lineRule="auto"/>
        <w:jc w:val="left"/>
        <w:rPr>
          <w:rFonts w:ascii="宋体" w:hAnsi="宋体" w:cs="宋体"/>
          <w:color w:val="auto"/>
          <w:kern w:val="0"/>
          <w:sz w:val="20"/>
          <w:szCs w:val="20"/>
          <w:highlight w:val="none"/>
        </w:rPr>
      </w:pPr>
    </w:p>
    <w:p w14:paraId="71E5EBE5">
      <w:pPr>
        <w:autoSpaceDE w:val="0"/>
        <w:autoSpaceDN w:val="0"/>
        <w:adjustRightInd w:val="0"/>
        <w:snapToGrid w:val="0"/>
        <w:spacing w:line="360" w:lineRule="auto"/>
        <w:jc w:val="left"/>
        <w:rPr>
          <w:rFonts w:ascii="宋体" w:hAnsi="宋体" w:cs="宋体"/>
          <w:color w:val="auto"/>
          <w:kern w:val="0"/>
          <w:sz w:val="20"/>
          <w:szCs w:val="20"/>
          <w:highlight w:val="none"/>
        </w:rPr>
      </w:pPr>
    </w:p>
    <w:p w14:paraId="35284834">
      <w:pPr>
        <w:autoSpaceDE w:val="0"/>
        <w:autoSpaceDN w:val="0"/>
        <w:adjustRightInd w:val="0"/>
        <w:snapToGrid w:val="0"/>
        <w:spacing w:line="360" w:lineRule="auto"/>
        <w:jc w:val="left"/>
        <w:rPr>
          <w:rFonts w:ascii="宋体" w:hAnsi="宋体" w:cs="宋体"/>
          <w:color w:val="auto"/>
          <w:kern w:val="0"/>
          <w:sz w:val="20"/>
          <w:szCs w:val="20"/>
          <w:highlight w:val="none"/>
        </w:rPr>
      </w:pPr>
    </w:p>
    <w:p w14:paraId="12CFD322">
      <w:pPr>
        <w:autoSpaceDE w:val="0"/>
        <w:autoSpaceDN w:val="0"/>
        <w:adjustRightInd w:val="0"/>
        <w:snapToGrid w:val="0"/>
        <w:spacing w:line="360" w:lineRule="auto"/>
        <w:jc w:val="left"/>
        <w:rPr>
          <w:rFonts w:ascii="宋体" w:hAnsi="宋体" w:cs="宋体"/>
          <w:color w:val="auto"/>
          <w:kern w:val="0"/>
          <w:sz w:val="20"/>
          <w:szCs w:val="20"/>
          <w:highlight w:val="none"/>
        </w:rPr>
      </w:pPr>
    </w:p>
    <w:p w14:paraId="1BBD1390">
      <w:pPr>
        <w:autoSpaceDE w:val="0"/>
        <w:autoSpaceDN w:val="0"/>
        <w:adjustRightInd w:val="0"/>
        <w:snapToGrid w:val="0"/>
        <w:spacing w:line="360" w:lineRule="auto"/>
        <w:jc w:val="left"/>
        <w:rPr>
          <w:rFonts w:ascii="宋体" w:hAnsi="宋体" w:cs="宋体"/>
          <w:color w:val="auto"/>
          <w:kern w:val="0"/>
          <w:sz w:val="20"/>
          <w:szCs w:val="20"/>
          <w:highlight w:val="none"/>
        </w:rPr>
      </w:pPr>
    </w:p>
    <w:p w14:paraId="66F2B288">
      <w:pPr>
        <w:autoSpaceDE w:val="0"/>
        <w:autoSpaceDN w:val="0"/>
        <w:adjustRightInd w:val="0"/>
        <w:snapToGrid w:val="0"/>
        <w:spacing w:line="360" w:lineRule="auto"/>
        <w:jc w:val="left"/>
        <w:rPr>
          <w:rFonts w:ascii="宋体" w:hAnsi="宋体" w:cs="宋体"/>
          <w:color w:val="auto"/>
          <w:kern w:val="0"/>
          <w:sz w:val="20"/>
          <w:szCs w:val="20"/>
          <w:highlight w:val="none"/>
        </w:rPr>
      </w:pPr>
    </w:p>
    <w:p w14:paraId="3EDE6000">
      <w:pPr>
        <w:autoSpaceDE w:val="0"/>
        <w:autoSpaceDN w:val="0"/>
        <w:adjustRightInd w:val="0"/>
        <w:snapToGrid w:val="0"/>
        <w:spacing w:line="360" w:lineRule="auto"/>
        <w:jc w:val="left"/>
        <w:rPr>
          <w:rFonts w:ascii="宋体" w:hAnsi="宋体" w:cs="宋体"/>
          <w:color w:val="auto"/>
          <w:kern w:val="0"/>
          <w:sz w:val="20"/>
          <w:szCs w:val="20"/>
          <w:highlight w:val="none"/>
        </w:rPr>
      </w:pPr>
    </w:p>
    <w:p w14:paraId="12CFFE44">
      <w:pPr>
        <w:autoSpaceDE w:val="0"/>
        <w:autoSpaceDN w:val="0"/>
        <w:adjustRightInd w:val="0"/>
        <w:snapToGrid w:val="0"/>
        <w:spacing w:line="360" w:lineRule="auto"/>
        <w:jc w:val="left"/>
        <w:rPr>
          <w:rFonts w:ascii="宋体" w:hAnsi="宋体" w:cs="宋体"/>
          <w:color w:val="auto"/>
          <w:kern w:val="0"/>
          <w:sz w:val="20"/>
          <w:szCs w:val="20"/>
          <w:highlight w:val="none"/>
        </w:rPr>
      </w:pPr>
    </w:p>
    <w:p w14:paraId="087A3FF1">
      <w:pPr>
        <w:autoSpaceDE w:val="0"/>
        <w:autoSpaceDN w:val="0"/>
        <w:adjustRightInd w:val="0"/>
        <w:snapToGrid w:val="0"/>
        <w:spacing w:line="360" w:lineRule="auto"/>
        <w:jc w:val="left"/>
        <w:rPr>
          <w:rFonts w:ascii="宋体" w:hAnsi="宋体" w:cs="宋体"/>
          <w:color w:val="auto"/>
          <w:kern w:val="0"/>
          <w:sz w:val="20"/>
          <w:szCs w:val="20"/>
          <w:highlight w:val="none"/>
        </w:rPr>
      </w:pPr>
    </w:p>
    <w:p w14:paraId="10165A68">
      <w:pPr>
        <w:autoSpaceDE w:val="0"/>
        <w:autoSpaceDN w:val="0"/>
        <w:adjustRightInd w:val="0"/>
        <w:snapToGrid w:val="0"/>
        <w:spacing w:line="360" w:lineRule="auto"/>
        <w:jc w:val="left"/>
        <w:rPr>
          <w:rFonts w:ascii="宋体" w:hAnsi="宋体" w:cs="宋体"/>
          <w:color w:val="auto"/>
          <w:kern w:val="0"/>
          <w:sz w:val="20"/>
          <w:szCs w:val="20"/>
          <w:highlight w:val="none"/>
        </w:rPr>
      </w:pPr>
    </w:p>
    <w:p w14:paraId="3754451E">
      <w:pPr>
        <w:tabs>
          <w:tab w:val="left" w:pos="6080"/>
          <w:tab w:val="left" w:pos="6640"/>
        </w:tabs>
        <w:autoSpaceDE w:val="0"/>
        <w:autoSpaceDN w:val="0"/>
        <w:adjustRightInd w:val="0"/>
        <w:snapToGrid w:val="0"/>
        <w:spacing w:line="360" w:lineRule="auto"/>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rPr>
        <w:t>竞选人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（盖单位公章）</w:t>
      </w:r>
    </w:p>
    <w:p w14:paraId="0D69B6A4">
      <w:pPr>
        <w:tabs>
          <w:tab w:val="left" w:pos="6080"/>
          <w:tab w:val="left" w:pos="6640"/>
        </w:tabs>
        <w:autoSpaceDE w:val="0"/>
        <w:autoSpaceDN w:val="0"/>
        <w:adjustRightInd w:val="0"/>
        <w:snapToGrid w:val="0"/>
        <w:spacing w:line="360" w:lineRule="auto"/>
        <w:jc w:val="center"/>
        <w:rPr>
          <w:rFonts w:ascii="宋体" w:hAnsi="宋体" w:cs="宋体"/>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（签字或盖章）</w:t>
      </w:r>
    </w:p>
    <w:p w14:paraId="616B1B17">
      <w:pPr>
        <w:tabs>
          <w:tab w:val="left" w:pos="3280"/>
          <w:tab w:val="left" w:pos="4680"/>
          <w:tab w:val="left" w:pos="6080"/>
        </w:tabs>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日</w:t>
      </w:r>
    </w:p>
    <w:p w14:paraId="2518C65B">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目  录</w:t>
      </w:r>
    </w:p>
    <w:p w14:paraId="5CAB8F30">
      <w:pPr>
        <w:spacing w:line="360" w:lineRule="auto"/>
        <w:jc w:val="center"/>
        <w:rPr>
          <w:rFonts w:ascii="宋体" w:hAnsi="宋体" w:cs="宋体"/>
          <w:b/>
          <w:color w:val="auto"/>
          <w:kern w:val="0"/>
          <w:sz w:val="32"/>
          <w:szCs w:val="32"/>
          <w:highlight w:val="none"/>
        </w:rPr>
      </w:pPr>
    </w:p>
    <w:p w14:paraId="7F744657">
      <w:pPr>
        <w:spacing w:line="360" w:lineRule="auto"/>
        <w:ind w:firstLine="420" w:firstLineChars="200"/>
        <w:rPr>
          <w:rFonts w:ascii="宋体" w:hAnsi="宋体" w:cs="宋体"/>
          <w:color w:val="auto"/>
          <w:szCs w:val="21"/>
          <w:highlight w:val="none"/>
        </w:rPr>
      </w:pPr>
    </w:p>
    <w:p w14:paraId="1218E02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w:t>
      </w:r>
      <w:r>
        <w:rPr>
          <w:rFonts w:hint="eastAsia" w:ascii="宋体" w:hAnsi="宋体"/>
          <w:color w:val="auto"/>
          <w:szCs w:val="21"/>
          <w:highlight w:val="none"/>
        </w:rPr>
        <w:t>法定代表人身份证明或附有法定代表人身份证明的授权委托书</w:t>
      </w:r>
    </w:p>
    <w:p w14:paraId="030B8D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（二）竞选人基本情况表</w:t>
      </w:r>
    </w:p>
    <w:p w14:paraId="741C99AF">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（三）</w:t>
      </w:r>
      <w:r>
        <w:rPr>
          <w:rFonts w:hint="eastAsia" w:ascii="宋体" w:hAnsi="宋体"/>
          <w:color w:val="auto"/>
          <w:szCs w:val="21"/>
          <w:highlight w:val="none"/>
        </w:rPr>
        <w:t>近年财务状况表</w:t>
      </w:r>
    </w:p>
    <w:p w14:paraId="68E9C4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w:t>
      </w:r>
      <w:r>
        <w:rPr>
          <w:rFonts w:hint="eastAsia" w:ascii="宋体" w:hAnsi="宋体"/>
          <w:color w:val="auto"/>
          <w:szCs w:val="21"/>
          <w:highlight w:val="none"/>
        </w:rPr>
        <w:t>近年完成的类似项目情况表</w:t>
      </w:r>
    </w:p>
    <w:p w14:paraId="3ACB30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（五）承诺</w:t>
      </w:r>
    </w:p>
    <w:p w14:paraId="2D1A9F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（六）主要人员简历表</w:t>
      </w:r>
    </w:p>
    <w:p w14:paraId="27EF4EF1">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（七）其他资料</w:t>
      </w:r>
    </w:p>
    <w:p w14:paraId="596EB2BF">
      <w:pPr>
        <w:spacing w:line="360" w:lineRule="auto"/>
        <w:jc w:val="center"/>
        <w:rPr>
          <w:rFonts w:ascii="宋体" w:hAnsi="宋体" w:cs="宋体"/>
          <w:b/>
          <w:color w:val="auto"/>
          <w:kern w:val="0"/>
          <w:sz w:val="32"/>
          <w:szCs w:val="32"/>
          <w:highlight w:val="none"/>
        </w:rPr>
      </w:pPr>
    </w:p>
    <w:p w14:paraId="4A0B940E">
      <w:pPr>
        <w:spacing w:line="360" w:lineRule="auto"/>
        <w:jc w:val="center"/>
        <w:rPr>
          <w:rFonts w:ascii="宋体" w:hAnsi="宋体" w:cs="宋体"/>
          <w:b/>
          <w:color w:val="auto"/>
          <w:kern w:val="0"/>
          <w:sz w:val="32"/>
          <w:szCs w:val="32"/>
          <w:highlight w:val="none"/>
        </w:rPr>
      </w:pPr>
    </w:p>
    <w:p w14:paraId="3C7A423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130ADED4">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04A5ED0">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A6CDA0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7E04F8F7">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7A644F3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E3BD25A">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7798C4AB">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603F45D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3664F103">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266B43FC">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A83D862">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26164BF9">
      <w:pPr>
        <w:rPr>
          <w:color w:val="auto"/>
          <w:sz w:val="30"/>
          <w:szCs w:val="30"/>
          <w:highlight w:val="none"/>
        </w:rPr>
      </w:pPr>
      <w:r>
        <w:rPr>
          <w:color w:val="auto"/>
          <w:sz w:val="30"/>
          <w:szCs w:val="30"/>
          <w:highlight w:val="none"/>
        </w:rPr>
        <w:br w:type="page"/>
      </w:r>
    </w:p>
    <w:p w14:paraId="6A025B12">
      <w:pPr>
        <w:tabs>
          <w:tab w:val="left" w:pos="8300"/>
        </w:tabs>
        <w:autoSpaceDE w:val="0"/>
        <w:autoSpaceDN w:val="0"/>
        <w:adjustRightInd w:val="0"/>
        <w:spacing w:line="400" w:lineRule="exact"/>
        <w:rPr>
          <w:rFonts w:ascii="宋体" w:hAnsi="宋体"/>
          <w:snapToGrid w:val="0"/>
          <w:color w:val="auto"/>
          <w:kern w:val="0"/>
          <w:sz w:val="30"/>
          <w:szCs w:val="30"/>
          <w:highlight w:val="none"/>
        </w:rPr>
      </w:pPr>
      <w:r>
        <w:rPr>
          <w:color w:val="auto"/>
          <w:sz w:val="30"/>
          <w:szCs w:val="30"/>
          <w:highlight w:val="none"/>
        </w:rPr>
        <w:t>（</w:t>
      </w:r>
      <w:r>
        <w:rPr>
          <w:rFonts w:hint="eastAsia"/>
          <w:color w:val="auto"/>
          <w:sz w:val="30"/>
          <w:szCs w:val="30"/>
          <w:highlight w:val="none"/>
        </w:rPr>
        <w:t>一</w:t>
      </w:r>
      <w:r>
        <w:rPr>
          <w:color w:val="auto"/>
          <w:sz w:val="30"/>
          <w:szCs w:val="30"/>
          <w:highlight w:val="none"/>
        </w:rPr>
        <w:t>）</w:t>
      </w:r>
      <w:r>
        <w:rPr>
          <w:rFonts w:hint="eastAsia"/>
          <w:color w:val="auto"/>
          <w:sz w:val="30"/>
          <w:szCs w:val="30"/>
          <w:highlight w:val="none"/>
        </w:rPr>
        <w:t>法定代表人身份证明或附有法定代表人身份证明的授权委托书</w:t>
      </w:r>
    </w:p>
    <w:p w14:paraId="4AF736C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3B9B0C1">
      <w:pPr>
        <w:spacing w:line="480" w:lineRule="auto"/>
        <w:jc w:val="center"/>
        <w:rPr>
          <w:rFonts w:ascii="宋体" w:hAnsi="宋体"/>
          <w:color w:val="auto"/>
          <w:highlight w:val="none"/>
        </w:rPr>
      </w:pPr>
    </w:p>
    <w:p w14:paraId="156250DE">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07F100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A95B05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02D740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3BA255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C69631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C1BDBE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42D979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04FB8AB">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464AF0E">
      <w:pPr>
        <w:pStyle w:val="8"/>
        <w:spacing w:after="0" w:line="360" w:lineRule="auto"/>
        <w:rPr>
          <w:rFonts w:ascii="宋体" w:hAnsi="宋体"/>
          <w:color w:val="auto"/>
          <w:szCs w:val="21"/>
          <w:highlight w:val="none"/>
        </w:rPr>
      </w:pPr>
    </w:p>
    <w:p w14:paraId="0FF9DADE">
      <w:pPr>
        <w:pStyle w:val="8"/>
        <w:spacing w:after="0" w:line="360" w:lineRule="auto"/>
        <w:rPr>
          <w:rFonts w:ascii="宋体" w:hAnsi="宋体"/>
          <w:color w:val="auto"/>
          <w:szCs w:val="21"/>
          <w:highlight w:val="none"/>
        </w:rPr>
      </w:pPr>
    </w:p>
    <w:p w14:paraId="4C39B968">
      <w:pPr>
        <w:pStyle w:val="8"/>
        <w:spacing w:after="0" w:line="360" w:lineRule="auto"/>
        <w:rPr>
          <w:rFonts w:ascii="宋体" w:hAnsi="宋体"/>
          <w:color w:val="auto"/>
          <w:szCs w:val="21"/>
          <w:highlight w:val="none"/>
        </w:rPr>
      </w:pPr>
    </w:p>
    <w:p w14:paraId="3654F561">
      <w:pPr>
        <w:pStyle w:val="8"/>
        <w:spacing w:after="0" w:line="360" w:lineRule="auto"/>
        <w:rPr>
          <w:rFonts w:ascii="宋体" w:hAnsi="宋体"/>
          <w:color w:val="auto"/>
          <w:szCs w:val="21"/>
          <w:highlight w:val="none"/>
        </w:rPr>
      </w:pPr>
    </w:p>
    <w:p w14:paraId="5185208F">
      <w:pPr>
        <w:pStyle w:val="8"/>
        <w:spacing w:after="0" w:line="360" w:lineRule="auto"/>
        <w:rPr>
          <w:rFonts w:ascii="宋体" w:hAnsi="宋体"/>
          <w:color w:val="auto"/>
          <w:szCs w:val="21"/>
          <w:highlight w:val="none"/>
        </w:rPr>
      </w:pPr>
    </w:p>
    <w:p w14:paraId="5D7349CD">
      <w:pPr>
        <w:pStyle w:val="8"/>
        <w:spacing w:after="0" w:line="360" w:lineRule="auto"/>
        <w:rPr>
          <w:rFonts w:ascii="宋体" w:hAnsi="宋体"/>
          <w:color w:val="auto"/>
          <w:szCs w:val="21"/>
          <w:highlight w:val="none"/>
        </w:rPr>
      </w:pPr>
    </w:p>
    <w:p w14:paraId="0E90031E">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27D77467">
      <w:pPr>
        <w:autoSpaceDE w:val="0"/>
        <w:autoSpaceDN w:val="0"/>
        <w:adjustRightInd w:val="0"/>
        <w:snapToGrid w:val="0"/>
        <w:spacing w:line="480" w:lineRule="auto"/>
        <w:jc w:val="left"/>
        <w:rPr>
          <w:rFonts w:ascii="宋体" w:hAnsi="宋体"/>
          <w:color w:val="auto"/>
          <w:kern w:val="0"/>
          <w:sz w:val="20"/>
          <w:szCs w:val="20"/>
          <w:highlight w:val="none"/>
        </w:rPr>
      </w:pPr>
    </w:p>
    <w:p w14:paraId="623AADB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4C3CFFB">
      <w:pPr>
        <w:autoSpaceDE w:val="0"/>
        <w:autoSpaceDN w:val="0"/>
        <w:adjustRightInd w:val="0"/>
        <w:snapToGrid w:val="0"/>
        <w:spacing w:line="360" w:lineRule="auto"/>
        <w:jc w:val="left"/>
        <w:rPr>
          <w:rFonts w:ascii="宋体" w:hAnsi="宋体"/>
          <w:color w:val="auto"/>
          <w:kern w:val="0"/>
          <w:highlight w:val="none"/>
        </w:rPr>
      </w:pPr>
    </w:p>
    <w:p w14:paraId="6BC5C956">
      <w:pPr>
        <w:autoSpaceDE w:val="0"/>
        <w:autoSpaceDN w:val="0"/>
        <w:adjustRightInd w:val="0"/>
        <w:snapToGrid w:val="0"/>
        <w:spacing w:line="360" w:lineRule="auto"/>
        <w:jc w:val="left"/>
        <w:rPr>
          <w:rFonts w:ascii="宋体" w:hAnsi="宋体"/>
          <w:color w:val="auto"/>
          <w:kern w:val="0"/>
          <w:highlight w:val="none"/>
        </w:rPr>
      </w:pPr>
    </w:p>
    <w:p w14:paraId="4303E5C0">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4BB1931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B62D67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竞标文件</w:t>
      </w:r>
      <w:r>
        <w:rPr>
          <w:rFonts w:ascii="宋体" w:hAnsi="宋体"/>
          <w:color w:val="auto"/>
          <w:kern w:val="0"/>
          <w:szCs w:val="21"/>
          <w:highlight w:val="none"/>
        </w:rPr>
        <w:t>、签订合同和处理有关事宜， 其法律后果由我方承担。</w:t>
      </w:r>
    </w:p>
    <w:p w14:paraId="5697CBF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676F7C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09F2A9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E40846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3FD2879">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4E19D5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5F1858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028C9568">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B7E2C2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319C873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496157AE">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7768868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EA1AF1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34F9CA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B5A7BF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7CD1AC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C7EFF2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076FA6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BB1D58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37EA26B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610BFFC1">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活动及签署文件的除提供法定代表人身份证明外还须提供授权委托书。</w:t>
      </w:r>
    </w:p>
    <w:p w14:paraId="450CD7FC">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竞标文件</w:t>
      </w:r>
      <w:r>
        <w:rPr>
          <w:rFonts w:ascii="宋体" w:hAnsi="宋体"/>
          <w:color w:val="auto"/>
          <w:kern w:val="0"/>
          <w:szCs w:val="21"/>
          <w:highlight w:val="none"/>
        </w:rPr>
        <w:t>一并递交。另外须准备一份授权委托书原件在开标现场出具。</w:t>
      </w:r>
    </w:p>
    <w:p w14:paraId="273FF64B">
      <w:pPr>
        <w:spacing w:line="360" w:lineRule="auto"/>
        <w:ind w:firstLine="420" w:firstLineChars="200"/>
        <w:rPr>
          <w:rFonts w:ascii="宋体" w:hAnsi="宋体" w:cs="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1EABA5E">
      <w:pPr>
        <w:autoSpaceDE w:val="0"/>
        <w:autoSpaceDN w:val="0"/>
        <w:adjustRightInd w:val="0"/>
        <w:snapToGrid w:val="0"/>
        <w:spacing w:line="360" w:lineRule="auto"/>
        <w:jc w:val="center"/>
        <w:outlineLvl w:val="2"/>
        <w:rPr>
          <w:rFonts w:ascii="宋体" w:hAnsi="宋体" w:cs="宋体"/>
          <w:snapToGrid w:val="0"/>
          <w:color w:val="auto"/>
          <w:kern w:val="0"/>
          <w:sz w:val="32"/>
          <w:szCs w:val="32"/>
          <w:highlight w:val="none"/>
        </w:rPr>
      </w:pPr>
      <w:bookmarkStart w:id="807" w:name="_Toc277082659"/>
      <w:bookmarkStart w:id="808" w:name="_Toc287607887"/>
      <w:r>
        <w:rPr>
          <w:rFonts w:hint="eastAsia" w:ascii="宋体" w:hAnsi="宋体" w:cs="宋体"/>
          <w:snapToGrid w:val="0"/>
          <w:color w:val="auto"/>
          <w:kern w:val="0"/>
          <w:sz w:val="32"/>
          <w:szCs w:val="32"/>
          <w:highlight w:val="none"/>
        </w:rPr>
        <w:t>（二）竞选人基本情况表</w:t>
      </w:r>
    </w:p>
    <w:tbl>
      <w:tblPr>
        <w:tblStyle w:val="20"/>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5F433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F27912">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竞选人名称</w:t>
            </w:r>
          </w:p>
        </w:tc>
        <w:tc>
          <w:tcPr>
            <w:tcW w:w="7607" w:type="dxa"/>
            <w:gridSpan w:val="9"/>
            <w:vAlign w:val="center"/>
          </w:tcPr>
          <w:p w14:paraId="5E102D31">
            <w:pPr>
              <w:autoSpaceDE w:val="0"/>
              <w:autoSpaceDN w:val="0"/>
              <w:adjustRightInd w:val="0"/>
              <w:snapToGrid w:val="0"/>
              <w:spacing w:line="360" w:lineRule="auto"/>
              <w:jc w:val="center"/>
              <w:rPr>
                <w:rFonts w:ascii="宋体" w:hAnsi="宋体" w:cs="宋体"/>
                <w:color w:val="auto"/>
                <w:kern w:val="0"/>
                <w:szCs w:val="21"/>
                <w:highlight w:val="none"/>
              </w:rPr>
            </w:pPr>
          </w:p>
        </w:tc>
      </w:tr>
      <w:tr w14:paraId="36855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9E4CE7E">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450" w:type="dxa"/>
            <w:gridSpan w:val="5"/>
            <w:vAlign w:val="center"/>
          </w:tcPr>
          <w:p w14:paraId="10412BAE">
            <w:pPr>
              <w:autoSpaceDE w:val="0"/>
              <w:autoSpaceDN w:val="0"/>
              <w:adjustRightInd w:val="0"/>
              <w:snapToGrid w:val="0"/>
              <w:spacing w:line="360" w:lineRule="auto"/>
              <w:jc w:val="center"/>
              <w:rPr>
                <w:rFonts w:ascii="宋体" w:hAnsi="宋体" w:cs="宋体"/>
                <w:color w:val="auto"/>
                <w:kern w:val="0"/>
                <w:szCs w:val="21"/>
                <w:highlight w:val="none"/>
              </w:rPr>
            </w:pPr>
          </w:p>
        </w:tc>
        <w:tc>
          <w:tcPr>
            <w:tcW w:w="1392" w:type="dxa"/>
            <w:vAlign w:val="center"/>
          </w:tcPr>
          <w:p w14:paraId="72E6BA8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765" w:type="dxa"/>
            <w:gridSpan w:val="3"/>
            <w:vAlign w:val="center"/>
          </w:tcPr>
          <w:p w14:paraId="4C6CCFCF">
            <w:pPr>
              <w:autoSpaceDE w:val="0"/>
              <w:autoSpaceDN w:val="0"/>
              <w:adjustRightInd w:val="0"/>
              <w:snapToGrid w:val="0"/>
              <w:spacing w:line="360" w:lineRule="auto"/>
              <w:jc w:val="center"/>
              <w:rPr>
                <w:rFonts w:ascii="宋体" w:hAnsi="宋体" w:cs="宋体"/>
                <w:color w:val="auto"/>
                <w:kern w:val="0"/>
                <w:szCs w:val="21"/>
                <w:highlight w:val="none"/>
              </w:rPr>
            </w:pPr>
          </w:p>
        </w:tc>
      </w:tr>
      <w:tr w14:paraId="583C0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0DA5C52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967" w:type="dxa"/>
            <w:vAlign w:val="center"/>
          </w:tcPr>
          <w:p w14:paraId="65C6A3E9">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483" w:type="dxa"/>
            <w:gridSpan w:val="4"/>
            <w:vAlign w:val="center"/>
          </w:tcPr>
          <w:p w14:paraId="683CBCA2">
            <w:pPr>
              <w:autoSpaceDE w:val="0"/>
              <w:autoSpaceDN w:val="0"/>
              <w:adjustRightInd w:val="0"/>
              <w:snapToGrid w:val="0"/>
              <w:spacing w:line="360" w:lineRule="auto"/>
              <w:jc w:val="center"/>
              <w:rPr>
                <w:rFonts w:ascii="宋体" w:hAnsi="宋体" w:cs="宋体"/>
                <w:color w:val="auto"/>
                <w:kern w:val="0"/>
                <w:szCs w:val="21"/>
                <w:highlight w:val="none"/>
              </w:rPr>
            </w:pPr>
          </w:p>
        </w:tc>
        <w:tc>
          <w:tcPr>
            <w:tcW w:w="1392" w:type="dxa"/>
            <w:vAlign w:val="center"/>
          </w:tcPr>
          <w:p w14:paraId="79779DE8">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2765" w:type="dxa"/>
            <w:gridSpan w:val="3"/>
            <w:vAlign w:val="center"/>
          </w:tcPr>
          <w:p w14:paraId="1078760E">
            <w:pPr>
              <w:autoSpaceDE w:val="0"/>
              <w:autoSpaceDN w:val="0"/>
              <w:adjustRightInd w:val="0"/>
              <w:snapToGrid w:val="0"/>
              <w:spacing w:line="360" w:lineRule="auto"/>
              <w:jc w:val="center"/>
              <w:rPr>
                <w:rFonts w:ascii="宋体" w:hAnsi="宋体" w:cs="宋体"/>
                <w:color w:val="auto"/>
                <w:kern w:val="0"/>
                <w:szCs w:val="21"/>
                <w:highlight w:val="none"/>
              </w:rPr>
            </w:pPr>
          </w:p>
        </w:tc>
      </w:tr>
      <w:tr w14:paraId="27A655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16272547">
            <w:pPr>
              <w:autoSpaceDE w:val="0"/>
              <w:autoSpaceDN w:val="0"/>
              <w:adjustRightInd w:val="0"/>
              <w:snapToGrid w:val="0"/>
              <w:spacing w:line="360" w:lineRule="auto"/>
              <w:jc w:val="center"/>
              <w:rPr>
                <w:rFonts w:ascii="宋体" w:hAnsi="宋体" w:cs="宋体"/>
                <w:color w:val="auto"/>
                <w:kern w:val="0"/>
                <w:szCs w:val="21"/>
                <w:highlight w:val="none"/>
              </w:rPr>
            </w:pPr>
          </w:p>
        </w:tc>
        <w:tc>
          <w:tcPr>
            <w:tcW w:w="967" w:type="dxa"/>
            <w:vAlign w:val="center"/>
          </w:tcPr>
          <w:p w14:paraId="7244BF33">
            <w:pPr>
              <w:tabs>
                <w:tab w:val="left" w:pos="540"/>
              </w:tabs>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传  真</w:t>
            </w:r>
          </w:p>
        </w:tc>
        <w:tc>
          <w:tcPr>
            <w:tcW w:w="2483" w:type="dxa"/>
            <w:gridSpan w:val="4"/>
            <w:vAlign w:val="center"/>
          </w:tcPr>
          <w:p w14:paraId="2A52CE8F">
            <w:pPr>
              <w:autoSpaceDE w:val="0"/>
              <w:autoSpaceDN w:val="0"/>
              <w:adjustRightInd w:val="0"/>
              <w:snapToGrid w:val="0"/>
              <w:spacing w:line="360" w:lineRule="auto"/>
              <w:jc w:val="center"/>
              <w:rPr>
                <w:rFonts w:ascii="宋体" w:hAnsi="宋体" w:cs="宋体"/>
                <w:color w:val="auto"/>
                <w:kern w:val="0"/>
                <w:szCs w:val="21"/>
                <w:highlight w:val="none"/>
              </w:rPr>
            </w:pPr>
          </w:p>
        </w:tc>
        <w:tc>
          <w:tcPr>
            <w:tcW w:w="1392" w:type="dxa"/>
            <w:vAlign w:val="center"/>
          </w:tcPr>
          <w:p w14:paraId="11788FC6">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网址</w:t>
            </w:r>
          </w:p>
        </w:tc>
        <w:tc>
          <w:tcPr>
            <w:tcW w:w="2765" w:type="dxa"/>
            <w:gridSpan w:val="3"/>
            <w:vAlign w:val="center"/>
          </w:tcPr>
          <w:p w14:paraId="62D29321">
            <w:pPr>
              <w:autoSpaceDE w:val="0"/>
              <w:autoSpaceDN w:val="0"/>
              <w:adjustRightInd w:val="0"/>
              <w:snapToGrid w:val="0"/>
              <w:spacing w:line="360" w:lineRule="auto"/>
              <w:jc w:val="center"/>
              <w:rPr>
                <w:rFonts w:ascii="宋体" w:hAnsi="宋体" w:cs="宋体"/>
                <w:color w:val="auto"/>
                <w:kern w:val="0"/>
                <w:szCs w:val="21"/>
                <w:highlight w:val="none"/>
              </w:rPr>
            </w:pPr>
          </w:p>
        </w:tc>
      </w:tr>
      <w:tr w14:paraId="749870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947D2F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组织结构</w:t>
            </w:r>
          </w:p>
        </w:tc>
        <w:tc>
          <w:tcPr>
            <w:tcW w:w="7607" w:type="dxa"/>
            <w:gridSpan w:val="9"/>
            <w:vAlign w:val="center"/>
          </w:tcPr>
          <w:p w14:paraId="5F531716">
            <w:pPr>
              <w:autoSpaceDE w:val="0"/>
              <w:autoSpaceDN w:val="0"/>
              <w:adjustRightInd w:val="0"/>
              <w:snapToGrid w:val="0"/>
              <w:spacing w:line="360" w:lineRule="auto"/>
              <w:jc w:val="center"/>
              <w:rPr>
                <w:rFonts w:ascii="宋体" w:hAnsi="宋体" w:cs="宋体"/>
                <w:color w:val="auto"/>
                <w:kern w:val="0"/>
                <w:szCs w:val="21"/>
                <w:highlight w:val="none"/>
              </w:rPr>
            </w:pPr>
          </w:p>
        </w:tc>
      </w:tr>
      <w:tr w14:paraId="73AAE3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F30C233">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67" w:type="dxa"/>
            <w:vAlign w:val="center"/>
          </w:tcPr>
          <w:p w14:paraId="72EBA3CF">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024" w:type="dxa"/>
            <w:vAlign w:val="center"/>
          </w:tcPr>
          <w:p w14:paraId="074DA7D9">
            <w:pPr>
              <w:autoSpaceDE w:val="0"/>
              <w:autoSpaceDN w:val="0"/>
              <w:adjustRightInd w:val="0"/>
              <w:snapToGrid w:val="0"/>
              <w:spacing w:line="360" w:lineRule="auto"/>
              <w:jc w:val="center"/>
              <w:rPr>
                <w:rFonts w:ascii="宋体" w:hAnsi="宋体" w:cs="宋体"/>
                <w:color w:val="auto"/>
                <w:kern w:val="0"/>
                <w:szCs w:val="21"/>
                <w:highlight w:val="none"/>
              </w:rPr>
            </w:pPr>
          </w:p>
        </w:tc>
        <w:tc>
          <w:tcPr>
            <w:tcW w:w="1356" w:type="dxa"/>
            <w:gridSpan w:val="2"/>
            <w:vAlign w:val="center"/>
          </w:tcPr>
          <w:p w14:paraId="4C99FD96">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2024" w:type="dxa"/>
            <w:gridSpan w:val="3"/>
            <w:vAlign w:val="center"/>
          </w:tcPr>
          <w:p w14:paraId="441BAEF4">
            <w:pPr>
              <w:autoSpaceDE w:val="0"/>
              <w:autoSpaceDN w:val="0"/>
              <w:adjustRightInd w:val="0"/>
              <w:snapToGrid w:val="0"/>
              <w:spacing w:line="360" w:lineRule="auto"/>
              <w:jc w:val="center"/>
              <w:rPr>
                <w:rFonts w:ascii="宋体" w:hAnsi="宋体" w:cs="宋体"/>
                <w:color w:val="auto"/>
                <w:kern w:val="0"/>
                <w:szCs w:val="21"/>
                <w:highlight w:val="none"/>
              </w:rPr>
            </w:pPr>
          </w:p>
        </w:tc>
        <w:tc>
          <w:tcPr>
            <w:tcW w:w="925" w:type="dxa"/>
            <w:vAlign w:val="center"/>
          </w:tcPr>
          <w:p w14:paraId="7EFB2702">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  话</w:t>
            </w:r>
          </w:p>
        </w:tc>
        <w:tc>
          <w:tcPr>
            <w:tcW w:w="1311" w:type="dxa"/>
            <w:vAlign w:val="center"/>
          </w:tcPr>
          <w:p w14:paraId="10DC7E0F">
            <w:pPr>
              <w:autoSpaceDE w:val="0"/>
              <w:autoSpaceDN w:val="0"/>
              <w:adjustRightInd w:val="0"/>
              <w:snapToGrid w:val="0"/>
              <w:spacing w:line="360" w:lineRule="auto"/>
              <w:jc w:val="center"/>
              <w:rPr>
                <w:rFonts w:ascii="宋体" w:hAnsi="宋体" w:cs="宋体"/>
                <w:color w:val="auto"/>
                <w:kern w:val="0"/>
                <w:szCs w:val="21"/>
                <w:highlight w:val="none"/>
              </w:rPr>
            </w:pPr>
          </w:p>
        </w:tc>
      </w:tr>
      <w:tr w14:paraId="7A7486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D3AA95D">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67" w:type="dxa"/>
            <w:vAlign w:val="center"/>
          </w:tcPr>
          <w:p w14:paraId="76722EF7">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024" w:type="dxa"/>
            <w:vAlign w:val="center"/>
          </w:tcPr>
          <w:p w14:paraId="2B5D2494">
            <w:pPr>
              <w:autoSpaceDE w:val="0"/>
              <w:autoSpaceDN w:val="0"/>
              <w:adjustRightInd w:val="0"/>
              <w:snapToGrid w:val="0"/>
              <w:spacing w:line="360" w:lineRule="auto"/>
              <w:jc w:val="center"/>
              <w:rPr>
                <w:rFonts w:ascii="宋体" w:hAnsi="宋体" w:cs="宋体"/>
                <w:color w:val="auto"/>
                <w:kern w:val="0"/>
                <w:szCs w:val="21"/>
                <w:highlight w:val="none"/>
              </w:rPr>
            </w:pPr>
          </w:p>
        </w:tc>
        <w:tc>
          <w:tcPr>
            <w:tcW w:w="1356" w:type="dxa"/>
            <w:gridSpan w:val="2"/>
            <w:vAlign w:val="center"/>
          </w:tcPr>
          <w:p w14:paraId="73955A31">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2024" w:type="dxa"/>
            <w:gridSpan w:val="3"/>
            <w:vAlign w:val="center"/>
          </w:tcPr>
          <w:p w14:paraId="0AD9F5D8">
            <w:pPr>
              <w:autoSpaceDE w:val="0"/>
              <w:autoSpaceDN w:val="0"/>
              <w:adjustRightInd w:val="0"/>
              <w:snapToGrid w:val="0"/>
              <w:spacing w:line="360" w:lineRule="auto"/>
              <w:jc w:val="center"/>
              <w:rPr>
                <w:rFonts w:ascii="宋体" w:hAnsi="宋体" w:cs="宋体"/>
                <w:color w:val="auto"/>
                <w:kern w:val="0"/>
                <w:szCs w:val="21"/>
                <w:highlight w:val="none"/>
              </w:rPr>
            </w:pPr>
          </w:p>
        </w:tc>
        <w:tc>
          <w:tcPr>
            <w:tcW w:w="925" w:type="dxa"/>
            <w:vAlign w:val="center"/>
          </w:tcPr>
          <w:p w14:paraId="66D3A6C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  话</w:t>
            </w:r>
          </w:p>
        </w:tc>
        <w:tc>
          <w:tcPr>
            <w:tcW w:w="1311" w:type="dxa"/>
            <w:vAlign w:val="center"/>
          </w:tcPr>
          <w:p w14:paraId="59D109FE">
            <w:pPr>
              <w:autoSpaceDE w:val="0"/>
              <w:autoSpaceDN w:val="0"/>
              <w:adjustRightInd w:val="0"/>
              <w:snapToGrid w:val="0"/>
              <w:spacing w:line="360" w:lineRule="auto"/>
              <w:jc w:val="center"/>
              <w:rPr>
                <w:rFonts w:ascii="宋体" w:hAnsi="宋体" w:cs="宋体"/>
                <w:color w:val="auto"/>
                <w:kern w:val="0"/>
                <w:szCs w:val="21"/>
                <w:highlight w:val="none"/>
              </w:rPr>
            </w:pPr>
          </w:p>
        </w:tc>
      </w:tr>
      <w:tr w14:paraId="0D53CB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A153AD9">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1991" w:type="dxa"/>
            <w:gridSpan w:val="2"/>
            <w:vAlign w:val="center"/>
          </w:tcPr>
          <w:p w14:paraId="563D91CB">
            <w:pPr>
              <w:autoSpaceDE w:val="0"/>
              <w:autoSpaceDN w:val="0"/>
              <w:adjustRightInd w:val="0"/>
              <w:snapToGrid w:val="0"/>
              <w:spacing w:line="360" w:lineRule="auto"/>
              <w:jc w:val="center"/>
              <w:rPr>
                <w:rFonts w:ascii="宋体" w:hAnsi="宋体" w:cs="宋体"/>
                <w:color w:val="auto"/>
                <w:kern w:val="0"/>
                <w:szCs w:val="21"/>
                <w:highlight w:val="none"/>
              </w:rPr>
            </w:pPr>
          </w:p>
        </w:tc>
        <w:tc>
          <w:tcPr>
            <w:tcW w:w="5616" w:type="dxa"/>
            <w:gridSpan w:val="7"/>
            <w:vAlign w:val="center"/>
          </w:tcPr>
          <w:p w14:paraId="226B0EAB">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r>
      <w:tr w14:paraId="213875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25C7B2">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1991" w:type="dxa"/>
            <w:gridSpan w:val="2"/>
            <w:vAlign w:val="center"/>
          </w:tcPr>
          <w:p w14:paraId="143A1196">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restart"/>
            <w:vAlign w:val="center"/>
          </w:tcPr>
          <w:p w14:paraId="2919C51F">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其中</w:t>
            </w:r>
          </w:p>
        </w:tc>
        <w:tc>
          <w:tcPr>
            <w:tcW w:w="2476" w:type="dxa"/>
            <w:gridSpan w:val="4"/>
            <w:vAlign w:val="center"/>
          </w:tcPr>
          <w:p w14:paraId="0F3F7060">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项目总监理工程</w:t>
            </w:r>
          </w:p>
        </w:tc>
        <w:tc>
          <w:tcPr>
            <w:tcW w:w="2236" w:type="dxa"/>
            <w:gridSpan w:val="2"/>
            <w:vAlign w:val="center"/>
          </w:tcPr>
          <w:p w14:paraId="3BC4ED56">
            <w:pPr>
              <w:autoSpaceDE w:val="0"/>
              <w:autoSpaceDN w:val="0"/>
              <w:adjustRightInd w:val="0"/>
              <w:snapToGrid w:val="0"/>
              <w:spacing w:line="360" w:lineRule="auto"/>
              <w:jc w:val="center"/>
              <w:rPr>
                <w:rFonts w:ascii="宋体" w:hAnsi="宋体" w:cs="宋体"/>
                <w:color w:val="auto"/>
                <w:kern w:val="0"/>
                <w:szCs w:val="21"/>
                <w:highlight w:val="none"/>
              </w:rPr>
            </w:pPr>
          </w:p>
        </w:tc>
      </w:tr>
      <w:tr w14:paraId="508090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2F312C">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营业执照号</w:t>
            </w:r>
          </w:p>
        </w:tc>
        <w:tc>
          <w:tcPr>
            <w:tcW w:w="1991" w:type="dxa"/>
            <w:gridSpan w:val="2"/>
            <w:vAlign w:val="center"/>
          </w:tcPr>
          <w:p w14:paraId="5BB49F35">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4A07055F">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3E99E0B6">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高级职称人员</w:t>
            </w:r>
          </w:p>
        </w:tc>
        <w:tc>
          <w:tcPr>
            <w:tcW w:w="2236" w:type="dxa"/>
            <w:gridSpan w:val="2"/>
            <w:vAlign w:val="center"/>
          </w:tcPr>
          <w:p w14:paraId="366A2E52">
            <w:pPr>
              <w:autoSpaceDE w:val="0"/>
              <w:autoSpaceDN w:val="0"/>
              <w:adjustRightInd w:val="0"/>
              <w:snapToGrid w:val="0"/>
              <w:spacing w:line="360" w:lineRule="auto"/>
              <w:jc w:val="center"/>
              <w:rPr>
                <w:rFonts w:ascii="宋体" w:hAnsi="宋体" w:cs="宋体"/>
                <w:color w:val="auto"/>
                <w:kern w:val="0"/>
                <w:szCs w:val="21"/>
                <w:highlight w:val="none"/>
              </w:rPr>
            </w:pPr>
          </w:p>
        </w:tc>
      </w:tr>
      <w:tr w14:paraId="5A91DB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FA1699D">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1991" w:type="dxa"/>
            <w:gridSpan w:val="2"/>
            <w:vAlign w:val="center"/>
          </w:tcPr>
          <w:p w14:paraId="3E0EFD36">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60C896AB">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7E7E266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中级职称人员</w:t>
            </w:r>
          </w:p>
        </w:tc>
        <w:tc>
          <w:tcPr>
            <w:tcW w:w="2236" w:type="dxa"/>
            <w:gridSpan w:val="2"/>
            <w:vAlign w:val="center"/>
          </w:tcPr>
          <w:p w14:paraId="6DFE8B51">
            <w:pPr>
              <w:autoSpaceDE w:val="0"/>
              <w:autoSpaceDN w:val="0"/>
              <w:adjustRightInd w:val="0"/>
              <w:snapToGrid w:val="0"/>
              <w:spacing w:line="360" w:lineRule="auto"/>
              <w:jc w:val="center"/>
              <w:rPr>
                <w:rFonts w:ascii="宋体" w:hAnsi="宋体" w:cs="宋体"/>
                <w:color w:val="auto"/>
                <w:kern w:val="0"/>
                <w:szCs w:val="21"/>
                <w:highlight w:val="none"/>
              </w:rPr>
            </w:pPr>
          </w:p>
        </w:tc>
      </w:tr>
      <w:tr w14:paraId="2DE503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6B85C90">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1991" w:type="dxa"/>
            <w:gridSpan w:val="2"/>
            <w:vAlign w:val="center"/>
          </w:tcPr>
          <w:p w14:paraId="739F64B5">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6BAC5151">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3BCD5A1A">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初级职称人员</w:t>
            </w:r>
          </w:p>
        </w:tc>
        <w:tc>
          <w:tcPr>
            <w:tcW w:w="2236" w:type="dxa"/>
            <w:gridSpan w:val="2"/>
            <w:vAlign w:val="center"/>
          </w:tcPr>
          <w:p w14:paraId="1A3202D2">
            <w:pPr>
              <w:autoSpaceDE w:val="0"/>
              <w:autoSpaceDN w:val="0"/>
              <w:adjustRightInd w:val="0"/>
              <w:snapToGrid w:val="0"/>
              <w:spacing w:line="360" w:lineRule="auto"/>
              <w:jc w:val="center"/>
              <w:rPr>
                <w:rFonts w:ascii="宋体" w:hAnsi="宋体" w:cs="宋体"/>
                <w:color w:val="auto"/>
                <w:kern w:val="0"/>
                <w:szCs w:val="21"/>
                <w:highlight w:val="none"/>
              </w:rPr>
            </w:pPr>
          </w:p>
        </w:tc>
      </w:tr>
      <w:tr w14:paraId="056E16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EB2141">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账号</w:t>
            </w:r>
          </w:p>
        </w:tc>
        <w:tc>
          <w:tcPr>
            <w:tcW w:w="1991" w:type="dxa"/>
            <w:gridSpan w:val="2"/>
            <w:vAlign w:val="center"/>
          </w:tcPr>
          <w:p w14:paraId="297C102F">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13565848">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010899C1">
            <w:pPr>
              <w:tabs>
                <w:tab w:val="left" w:pos="1240"/>
              </w:tabs>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工</w:t>
            </w:r>
          </w:p>
        </w:tc>
        <w:tc>
          <w:tcPr>
            <w:tcW w:w="2236" w:type="dxa"/>
            <w:gridSpan w:val="2"/>
            <w:vAlign w:val="center"/>
          </w:tcPr>
          <w:p w14:paraId="5F61235F">
            <w:pPr>
              <w:autoSpaceDE w:val="0"/>
              <w:autoSpaceDN w:val="0"/>
              <w:adjustRightInd w:val="0"/>
              <w:snapToGrid w:val="0"/>
              <w:spacing w:line="360" w:lineRule="auto"/>
              <w:jc w:val="center"/>
              <w:rPr>
                <w:rFonts w:ascii="宋体" w:hAnsi="宋体" w:cs="宋体"/>
                <w:color w:val="auto"/>
                <w:kern w:val="0"/>
                <w:szCs w:val="21"/>
                <w:highlight w:val="none"/>
              </w:rPr>
            </w:pPr>
          </w:p>
        </w:tc>
      </w:tr>
      <w:tr w14:paraId="49883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AB67EF0">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607" w:type="dxa"/>
            <w:gridSpan w:val="9"/>
            <w:vAlign w:val="center"/>
          </w:tcPr>
          <w:p w14:paraId="6E05DCEF">
            <w:pPr>
              <w:autoSpaceDE w:val="0"/>
              <w:autoSpaceDN w:val="0"/>
              <w:adjustRightInd w:val="0"/>
              <w:snapToGrid w:val="0"/>
              <w:spacing w:line="360" w:lineRule="auto"/>
              <w:jc w:val="center"/>
              <w:rPr>
                <w:rFonts w:ascii="宋体" w:hAnsi="宋体" w:cs="宋体"/>
                <w:color w:val="auto"/>
                <w:kern w:val="0"/>
                <w:szCs w:val="21"/>
                <w:highlight w:val="none"/>
              </w:rPr>
            </w:pPr>
          </w:p>
        </w:tc>
      </w:tr>
      <w:tr w14:paraId="0815F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04D5A8">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7607" w:type="dxa"/>
            <w:gridSpan w:val="9"/>
            <w:vAlign w:val="center"/>
          </w:tcPr>
          <w:p w14:paraId="4BC1DCD9">
            <w:pPr>
              <w:autoSpaceDE w:val="0"/>
              <w:autoSpaceDN w:val="0"/>
              <w:adjustRightInd w:val="0"/>
              <w:snapToGrid w:val="0"/>
              <w:spacing w:line="360" w:lineRule="auto"/>
              <w:jc w:val="center"/>
              <w:rPr>
                <w:rFonts w:ascii="宋体" w:hAnsi="宋体" w:cs="宋体"/>
                <w:color w:val="auto"/>
                <w:kern w:val="0"/>
                <w:szCs w:val="21"/>
                <w:highlight w:val="none"/>
              </w:rPr>
            </w:pPr>
          </w:p>
        </w:tc>
      </w:tr>
    </w:tbl>
    <w:p w14:paraId="28F6C098">
      <w:pPr>
        <w:spacing w:line="440" w:lineRule="exact"/>
        <w:rPr>
          <w:rFonts w:asciiTheme="minorEastAsia" w:hAnsiTheme="minorEastAsia" w:eastAsiaTheme="minorEastAsia"/>
          <w:color w:val="auto"/>
          <w:highlight w:val="none"/>
          <w:u w:val="single"/>
        </w:rPr>
      </w:pPr>
    </w:p>
    <w:p w14:paraId="7A946670">
      <w:pPr>
        <w:pStyle w:val="4"/>
        <w:spacing w:before="0" w:after="0" w:line="360" w:lineRule="auto"/>
        <w:jc w:val="center"/>
        <w:rPr>
          <w:rFonts w:asciiTheme="minorEastAsia" w:hAnsiTheme="minorEastAsia" w:eastAsiaTheme="minorEastAsia"/>
          <w:bCs w:val="0"/>
          <w:color w:val="auto"/>
          <w:sz w:val="28"/>
          <w:highlight w:val="none"/>
        </w:rPr>
      </w:pPr>
      <w:bookmarkStart w:id="809" w:name="_Toc492300730"/>
      <w:bookmarkStart w:id="810" w:name="_Toc106973631"/>
      <w:r>
        <w:rPr>
          <w:rFonts w:hint="eastAsia" w:asciiTheme="minorEastAsia" w:hAnsiTheme="minorEastAsia" w:eastAsiaTheme="minorEastAsia"/>
          <w:bCs w:val="0"/>
          <w:color w:val="auto"/>
          <w:sz w:val="28"/>
          <w:highlight w:val="none"/>
        </w:rPr>
        <w:t>（三）近年财务状况表</w:t>
      </w:r>
      <w:bookmarkEnd w:id="809"/>
      <w:bookmarkEnd w:id="810"/>
    </w:p>
    <w:p w14:paraId="3F695A17">
      <w:pPr>
        <w:topLinePunct/>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w:t>
      </w:r>
      <w:r>
        <w:rPr>
          <w:rFonts w:hint="eastAsia" w:asciiTheme="minorEastAsia" w:hAnsiTheme="minorEastAsia" w:eastAsiaTheme="minorEastAsia"/>
          <w:color w:val="auto"/>
          <w:highlight w:val="none"/>
        </w:rPr>
        <w:t>竞选</w:t>
      </w:r>
      <w:r>
        <w:rPr>
          <w:rFonts w:asciiTheme="minorEastAsia" w:hAnsiTheme="minorEastAsia" w:eastAsiaTheme="minorEastAsia"/>
          <w:color w:val="auto"/>
          <w:highlight w:val="none"/>
        </w:rPr>
        <w:t>人应根据</w:t>
      </w:r>
      <w:r>
        <w:rPr>
          <w:rFonts w:hint="eastAsia" w:asciiTheme="minorEastAsia" w:hAnsiTheme="minorEastAsia" w:eastAsiaTheme="minorEastAsia"/>
          <w:color w:val="auto"/>
          <w:highlight w:val="none"/>
        </w:rPr>
        <w:t>竞选</w:t>
      </w:r>
      <w:r>
        <w:rPr>
          <w:rFonts w:asciiTheme="minorEastAsia" w:hAnsiTheme="minorEastAsia" w:eastAsiaTheme="minorEastAsia"/>
          <w:color w:val="auto"/>
          <w:highlight w:val="none"/>
        </w:rPr>
        <w:t>人须知前附表第</w:t>
      </w:r>
      <w:r>
        <w:rPr>
          <w:rFonts w:hint="eastAsia" w:asciiTheme="minorEastAsia" w:hAnsiTheme="minorEastAsia" w:eastAsiaTheme="minorEastAsia"/>
          <w:color w:val="auto"/>
          <w:highlight w:val="none"/>
        </w:rPr>
        <w:t>1.4.1项“财务要求”</w:t>
      </w:r>
      <w:r>
        <w:rPr>
          <w:rFonts w:asciiTheme="minorEastAsia" w:hAnsiTheme="minorEastAsia" w:eastAsiaTheme="minorEastAsia"/>
          <w:color w:val="auto"/>
          <w:highlight w:val="none"/>
        </w:rPr>
        <w:t>附相关证明材料。</w:t>
      </w:r>
    </w:p>
    <w:p w14:paraId="70733404">
      <w:pPr>
        <w:pStyle w:val="2"/>
        <w:rPr>
          <w:color w:val="auto"/>
          <w:highlight w:val="none"/>
        </w:rPr>
      </w:pPr>
    </w:p>
    <w:p w14:paraId="4F687FEE">
      <w:pPr>
        <w:rPr>
          <w:color w:val="auto"/>
          <w:highlight w:val="none"/>
        </w:rPr>
      </w:pPr>
    </w:p>
    <w:p w14:paraId="1962659B">
      <w:pPr>
        <w:pStyle w:val="2"/>
        <w:rPr>
          <w:color w:val="auto"/>
          <w:highlight w:val="none"/>
        </w:rPr>
      </w:pPr>
    </w:p>
    <w:p w14:paraId="1F9FCEFC">
      <w:pPr>
        <w:rPr>
          <w:color w:val="auto"/>
          <w:highlight w:val="none"/>
        </w:rPr>
      </w:pPr>
    </w:p>
    <w:p w14:paraId="44609150">
      <w:pPr>
        <w:pStyle w:val="2"/>
        <w:rPr>
          <w:color w:val="auto"/>
          <w:highlight w:val="none"/>
        </w:rPr>
      </w:pPr>
    </w:p>
    <w:p w14:paraId="71832B03">
      <w:pPr>
        <w:rPr>
          <w:color w:val="auto"/>
          <w:highlight w:val="none"/>
        </w:rPr>
      </w:pPr>
    </w:p>
    <w:p w14:paraId="268516F5">
      <w:pPr>
        <w:pStyle w:val="2"/>
        <w:rPr>
          <w:color w:val="auto"/>
          <w:highlight w:val="none"/>
        </w:rPr>
      </w:pPr>
    </w:p>
    <w:p w14:paraId="67927E8D">
      <w:pPr>
        <w:rPr>
          <w:color w:val="auto"/>
          <w:highlight w:val="none"/>
        </w:rPr>
      </w:pPr>
    </w:p>
    <w:p w14:paraId="038F724A">
      <w:pPr>
        <w:pStyle w:val="2"/>
        <w:rPr>
          <w:color w:val="auto"/>
          <w:highlight w:val="none"/>
        </w:rPr>
      </w:pPr>
    </w:p>
    <w:p w14:paraId="3EFC15D2">
      <w:pPr>
        <w:rPr>
          <w:color w:val="auto"/>
          <w:highlight w:val="none"/>
        </w:rPr>
      </w:pPr>
    </w:p>
    <w:p w14:paraId="6C5F6836">
      <w:pPr>
        <w:pStyle w:val="2"/>
        <w:rPr>
          <w:color w:val="auto"/>
          <w:highlight w:val="none"/>
        </w:rPr>
      </w:pPr>
    </w:p>
    <w:p w14:paraId="4806D1F8">
      <w:pPr>
        <w:rPr>
          <w:color w:val="auto"/>
          <w:highlight w:val="none"/>
        </w:rPr>
      </w:pPr>
    </w:p>
    <w:p w14:paraId="659E13EE">
      <w:pPr>
        <w:pStyle w:val="2"/>
        <w:rPr>
          <w:color w:val="auto"/>
          <w:highlight w:val="none"/>
        </w:rPr>
      </w:pPr>
    </w:p>
    <w:p w14:paraId="387FC1D9">
      <w:pPr>
        <w:rPr>
          <w:color w:val="auto"/>
          <w:highlight w:val="none"/>
        </w:rPr>
      </w:pPr>
    </w:p>
    <w:p w14:paraId="19B67BE5">
      <w:pPr>
        <w:pStyle w:val="2"/>
        <w:rPr>
          <w:color w:val="auto"/>
          <w:highlight w:val="none"/>
        </w:rPr>
      </w:pPr>
    </w:p>
    <w:p w14:paraId="2E697142">
      <w:pPr>
        <w:rPr>
          <w:color w:val="auto"/>
          <w:highlight w:val="none"/>
        </w:rPr>
      </w:pPr>
    </w:p>
    <w:p w14:paraId="3DD6F3CB">
      <w:pPr>
        <w:pStyle w:val="2"/>
        <w:rPr>
          <w:color w:val="auto"/>
          <w:highlight w:val="none"/>
        </w:rPr>
      </w:pPr>
    </w:p>
    <w:p w14:paraId="56E8D0F0">
      <w:pPr>
        <w:rPr>
          <w:color w:val="auto"/>
          <w:highlight w:val="none"/>
        </w:rPr>
      </w:pPr>
    </w:p>
    <w:p w14:paraId="00F23BDE">
      <w:pPr>
        <w:pStyle w:val="2"/>
        <w:rPr>
          <w:color w:val="auto"/>
          <w:highlight w:val="none"/>
        </w:rPr>
      </w:pPr>
    </w:p>
    <w:p w14:paraId="21A2418A">
      <w:pPr>
        <w:rPr>
          <w:color w:val="auto"/>
          <w:highlight w:val="none"/>
        </w:rPr>
      </w:pPr>
    </w:p>
    <w:p w14:paraId="52CDB731">
      <w:pPr>
        <w:pStyle w:val="2"/>
        <w:rPr>
          <w:color w:val="auto"/>
          <w:highlight w:val="none"/>
        </w:rPr>
      </w:pPr>
    </w:p>
    <w:p w14:paraId="13641988">
      <w:pPr>
        <w:rPr>
          <w:color w:val="auto"/>
          <w:highlight w:val="none"/>
        </w:rPr>
      </w:pPr>
    </w:p>
    <w:p w14:paraId="02526EAE">
      <w:pPr>
        <w:pStyle w:val="2"/>
        <w:rPr>
          <w:color w:val="auto"/>
          <w:highlight w:val="none"/>
        </w:rPr>
      </w:pPr>
    </w:p>
    <w:p w14:paraId="2C884634">
      <w:pPr>
        <w:rPr>
          <w:color w:val="auto"/>
          <w:highlight w:val="none"/>
        </w:rPr>
      </w:pPr>
    </w:p>
    <w:p w14:paraId="5C258FEC">
      <w:pPr>
        <w:pStyle w:val="2"/>
        <w:rPr>
          <w:color w:val="auto"/>
          <w:highlight w:val="none"/>
        </w:rPr>
      </w:pPr>
    </w:p>
    <w:p w14:paraId="1FD1FB02">
      <w:pPr>
        <w:rPr>
          <w:color w:val="auto"/>
          <w:highlight w:val="none"/>
        </w:rPr>
      </w:pPr>
    </w:p>
    <w:p w14:paraId="65549D57">
      <w:pPr>
        <w:pStyle w:val="2"/>
        <w:rPr>
          <w:color w:val="auto"/>
          <w:highlight w:val="none"/>
        </w:rPr>
      </w:pPr>
    </w:p>
    <w:p w14:paraId="596B13F4">
      <w:pPr>
        <w:spacing w:line="360" w:lineRule="auto"/>
        <w:jc w:val="center"/>
        <w:rPr>
          <w:rFonts w:ascii="宋体" w:hAnsi="宋体" w:cs="宋体"/>
          <w:color w:val="auto"/>
          <w:szCs w:val="21"/>
          <w:highlight w:val="none"/>
        </w:rPr>
      </w:pPr>
    </w:p>
    <w:p w14:paraId="40CE9E9C">
      <w:pPr>
        <w:pStyle w:val="4"/>
        <w:spacing w:before="0" w:after="0" w:line="360" w:lineRule="auto"/>
        <w:jc w:val="center"/>
        <w:rPr>
          <w:rFonts w:asciiTheme="minorEastAsia" w:hAnsiTheme="minorEastAsia" w:eastAsiaTheme="minorEastAsia"/>
          <w:bCs w:val="0"/>
          <w:color w:val="auto"/>
          <w:sz w:val="28"/>
          <w:highlight w:val="none"/>
        </w:rPr>
      </w:pPr>
      <w:bookmarkStart w:id="811" w:name="_Toc492300731"/>
      <w:bookmarkStart w:id="812" w:name="_Toc9141"/>
      <w:bookmarkStart w:id="813" w:name="_Toc40569217"/>
      <w:bookmarkStart w:id="814" w:name="_Toc10647"/>
      <w:bookmarkStart w:id="815" w:name="_Toc9448"/>
      <w:bookmarkStart w:id="816" w:name="_Toc509218863"/>
      <w:bookmarkStart w:id="817" w:name="_Toc534185840"/>
      <w:bookmarkStart w:id="818" w:name="_Toc27626"/>
      <w:r>
        <w:rPr>
          <w:rFonts w:hint="eastAsia" w:asciiTheme="minorEastAsia" w:hAnsiTheme="minorEastAsia" w:eastAsiaTheme="minorEastAsia"/>
          <w:bCs w:val="0"/>
          <w:color w:val="auto"/>
          <w:sz w:val="28"/>
          <w:highlight w:val="none"/>
        </w:rPr>
        <w:t>（四）近年完成的类似项目情况表</w:t>
      </w:r>
      <w:bookmarkEnd w:id="811"/>
      <w:bookmarkEnd w:id="812"/>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F4E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51EF1BEC">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项目名称</w:t>
            </w:r>
          </w:p>
        </w:tc>
        <w:tc>
          <w:tcPr>
            <w:tcW w:w="6253" w:type="dxa"/>
            <w:tcBorders>
              <w:top w:val="single" w:color="auto" w:sz="4" w:space="0"/>
              <w:left w:val="single" w:color="auto" w:sz="4" w:space="0"/>
              <w:bottom w:val="single" w:color="auto" w:sz="4" w:space="0"/>
              <w:right w:val="single" w:color="auto" w:sz="4" w:space="0"/>
            </w:tcBorders>
          </w:tcPr>
          <w:p w14:paraId="5998A032">
            <w:pPr>
              <w:topLinePunct/>
              <w:spacing w:line="400" w:lineRule="exact"/>
              <w:rPr>
                <w:rFonts w:asciiTheme="minorEastAsia" w:hAnsiTheme="minorEastAsia" w:eastAsiaTheme="minorEastAsia"/>
                <w:color w:val="auto"/>
                <w:highlight w:val="none"/>
              </w:rPr>
            </w:pPr>
          </w:p>
        </w:tc>
      </w:tr>
      <w:tr w14:paraId="2681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1F33423B">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项目所在地</w:t>
            </w:r>
          </w:p>
        </w:tc>
        <w:tc>
          <w:tcPr>
            <w:tcW w:w="6253" w:type="dxa"/>
            <w:tcBorders>
              <w:top w:val="single" w:color="auto" w:sz="4" w:space="0"/>
              <w:left w:val="single" w:color="auto" w:sz="4" w:space="0"/>
              <w:bottom w:val="single" w:color="auto" w:sz="4" w:space="0"/>
              <w:right w:val="single" w:color="auto" w:sz="4" w:space="0"/>
            </w:tcBorders>
          </w:tcPr>
          <w:p w14:paraId="3CF0E1DC">
            <w:pPr>
              <w:topLinePunct/>
              <w:spacing w:line="400" w:lineRule="exact"/>
              <w:rPr>
                <w:rFonts w:asciiTheme="minorEastAsia" w:hAnsiTheme="minorEastAsia" w:eastAsiaTheme="minorEastAsia"/>
                <w:color w:val="auto"/>
                <w:highlight w:val="none"/>
              </w:rPr>
            </w:pPr>
          </w:p>
        </w:tc>
      </w:tr>
      <w:tr w14:paraId="09CB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6913E92C">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委托人名称</w:t>
            </w:r>
          </w:p>
        </w:tc>
        <w:tc>
          <w:tcPr>
            <w:tcW w:w="6253" w:type="dxa"/>
            <w:tcBorders>
              <w:top w:val="single" w:color="auto" w:sz="4" w:space="0"/>
              <w:left w:val="single" w:color="auto" w:sz="4" w:space="0"/>
              <w:bottom w:val="single" w:color="auto" w:sz="4" w:space="0"/>
              <w:right w:val="single" w:color="auto" w:sz="4" w:space="0"/>
            </w:tcBorders>
          </w:tcPr>
          <w:p w14:paraId="5D284664">
            <w:pPr>
              <w:topLinePunct/>
              <w:spacing w:line="400" w:lineRule="exact"/>
              <w:rPr>
                <w:rFonts w:asciiTheme="minorEastAsia" w:hAnsiTheme="minorEastAsia" w:eastAsiaTheme="minorEastAsia"/>
                <w:color w:val="auto"/>
                <w:highlight w:val="none"/>
              </w:rPr>
            </w:pPr>
          </w:p>
        </w:tc>
      </w:tr>
      <w:tr w14:paraId="3EBD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5AB5F02">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委托人地址</w:t>
            </w:r>
          </w:p>
        </w:tc>
        <w:tc>
          <w:tcPr>
            <w:tcW w:w="6253" w:type="dxa"/>
            <w:tcBorders>
              <w:top w:val="single" w:color="auto" w:sz="4" w:space="0"/>
              <w:left w:val="single" w:color="auto" w:sz="4" w:space="0"/>
              <w:bottom w:val="single" w:color="auto" w:sz="4" w:space="0"/>
              <w:right w:val="single" w:color="auto" w:sz="4" w:space="0"/>
            </w:tcBorders>
          </w:tcPr>
          <w:p w14:paraId="1CCAB721">
            <w:pPr>
              <w:topLinePunct/>
              <w:spacing w:line="400" w:lineRule="exact"/>
              <w:rPr>
                <w:rFonts w:asciiTheme="minorEastAsia" w:hAnsiTheme="minorEastAsia" w:eastAsiaTheme="minorEastAsia"/>
                <w:color w:val="auto"/>
                <w:highlight w:val="none"/>
              </w:rPr>
            </w:pPr>
          </w:p>
        </w:tc>
      </w:tr>
      <w:tr w14:paraId="57B5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11EF8188">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委托人电话</w:t>
            </w:r>
          </w:p>
        </w:tc>
        <w:tc>
          <w:tcPr>
            <w:tcW w:w="6253" w:type="dxa"/>
            <w:tcBorders>
              <w:top w:val="single" w:color="auto" w:sz="4" w:space="0"/>
              <w:left w:val="single" w:color="auto" w:sz="4" w:space="0"/>
              <w:bottom w:val="single" w:color="auto" w:sz="4" w:space="0"/>
              <w:right w:val="single" w:color="auto" w:sz="4" w:space="0"/>
            </w:tcBorders>
          </w:tcPr>
          <w:p w14:paraId="0BFFC655">
            <w:pPr>
              <w:topLinePunct/>
              <w:spacing w:line="400" w:lineRule="exact"/>
              <w:rPr>
                <w:rFonts w:asciiTheme="minorEastAsia" w:hAnsiTheme="minorEastAsia" w:eastAsiaTheme="minorEastAsia"/>
                <w:color w:val="auto"/>
                <w:highlight w:val="none"/>
              </w:rPr>
            </w:pPr>
          </w:p>
        </w:tc>
      </w:tr>
      <w:tr w14:paraId="54C1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26C8DDD9">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合同价格</w:t>
            </w:r>
          </w:p>
        </w:tc>
        <w:tc>
          <w:tcPr>
            <w:tcW w:w="6253" w:type="dxa"/>
            <w:tcBorders>
              <w:top w:val="single" w:color="auto" w:sz="4" w:space="0"/>
              <w:left w:val="single" w:color="auto" w:sz="4" w:space="0"/>
              <w:bottom w:val="single" w:color="auto" w:sz="4" w:space="0"/>
              <w:right w:val="single" w:color="auto" w:sz="4" w:space="0"/>
            </w:tcBorders>
          </w:tcPr>
          <w:p w14:paraId="6C10FBFC">
            <w:pPr>
              <w:topLinePunct/>
              <w:spacing w:line="400" w:lineRule="exact"/>
              <w:rPr>
                <w:rFonts w:asciiTheme="minorEastAsia" w:hAnsiTheme="minorEastAsia" w:eastAsiaTheme="minorEastAsia"/>
                <w:color w:val="auto"/>
                <w:highlight w:val="none"/>
              </w:rPr>
            </w:pPr>
          </w:p>
        </w:tc>
      </w:tr>
      <w:tr w14:paraId="0E69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55067CD4">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监理服务期限</w:t>
            </w:r>
          </w:p>
        </w:tc>
        <w:tc>
          <w:tcPr>
            <w:tcW w:w="6253" w:type="dxa"/>
            <w:tcBorders>
              <w:top w:val="single" w:color="auto" w:sz="4" w:space="0"/>
              <w:left w:val="single" w:color="auto" w:sz="4" w:space="0"/>
              <w:bottom w:val="single" w:color="auto" w:sz="4" w:space="0"/>
              <w:right w:val="single" w:color="auto" w:sz="4" w:space="0"/>
            </w:tcBorders>
          </w:tcPr>
          <w:p w14:paraId="3220ED15">
            <w:pPr>
              <w:topLinePunct/>
              <w:spacing w:line="400" w:lineRule="exact"/>
              <w:rPr>
                <w:rFonts w:asciiTheme="minorEastAsia" w:hAnsiTheme="minorEastAsia" w:eastAsiaTheme="minorEastAsia"/>
                <w:color w:val="auto"/>
                <w:highlight w:val="none"/>
              </w:rPr>
            </w:pPr>
          </w:p>
        </w:tc>
      </w:tr>
      <w:tr w14:paraId="528D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3AB692F3">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监理内容</w:t>
            </w:r>
          </w:p>
        </w:tc>
        <w:tc>
          <w:tcPr>
            <w:tcW w:w="6253" w:type="dxa"/>
            <w:tcBorders>
              <w:top w:val="single" w:color="auto" w:sz="4" w:space="0"/>
              <w:left w:val="single" w:color="auto" w:sz="4" w:space="0"/>
              <w:bottom w:val="single" w:color="auto" w:sz="4" w:space="0"/>
              <w:right w:val="single" w:color="auto" w:sz="4" w:space="0"/>
            </w:tcBorders>
          </w:tcPr>
          <w:p w14:paraId="636D228C">
            <w:pPr>
              <w:topLinePunct/>
              <w:spacing w:line="400" w:lineRule="exact"/>
              <w:rPr>
                <w:rFonts w:asciiTheme="minorEastAsia" w:hAnsiTheme="minorEastAsia" w:eastAsiaTheme="minorEastAsia"/>
                <w:color w:val="auto"/>
                <w:highlight w:val="none"/>
              </w:rPr>
            </w:pPr>
          </w:p>
        </w:tc>
      </w:tr>
      <w:tr w14:paraId="072B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5A5DB96">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总监理工程师</w:t>
            </w:r>
          </w:p>
        </w:tc>
        <w:tc>
          <w:tcPr>
            <w:tcW w:w="6253" w:type="dxa"/>
            <w:tcBorders>
              <w:top w:val="single" w:color="auto" w:sz="4" w:space="0"/>
              <w:left w:val="single" w:color="auto" w:sz="4" w:space="0"/>
              <w:bottom w:val="single" w:color="auto" w:sz="4" w:space="0"/>
              <w:right w:val="single" w:color="auto" w:sz="4" w:space="0"/>
            </w:tcBorders>
          </w:tcPr>
          <w:p w14:paraId="56F08DDA">
            <w:pPr>
              <w:topLinePunct/>
              <w:spacing w:line="400" w:lineRule="exact"/>
              <w:rPr>
                <w:rFonts w:asciiTheme="minorEastAsia" w:hAnsiTheme="minorEastAsia" w:eastAsiaTheme="minorEastAsia"/>
                <w:color w:val="auto"/>
                <w:highlight w:val="none"/>
              </w:rPr>
            </w:pPr>
          </w:p>
        </w:tc>
      </w:tr>
      <w:tr w14:paraId="5CB3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2B28B71F">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项目描述</w:t>
            </w:r>
          </w:p>
        </w:tc>
        <w:tc>
          <w:tcPr>
            <w:tcW w:w="6253" w:type="dxa"/>
            <w:tcBorders>
              <w:top w:val="single" w:color="auto" w:sz="4" w:space="0"/>
              <w:left w:val="single" w:color="auto" w:sz="4" w:space="0"/>
              <w:bottom w:val="single" w:color="auto" w:sz="4" w:space="0"/>
              <w:right w:val="single" w:color="auto" w:sz="4" w:space="0"/>
            </w:tcBorders>
          </w:tcPr>
          <w:p w14:paraId="70313502">
            <w:pPr>
              <w:topLinePunct/>
              <w:spacing w:line="400" w:lineRule="exact"/>
              <w:rPr>
                <w:rFonts w:asciiTheme="minorEastAsia" w:hAnsiTheme="minorEastAsia" w:eastAsiaTheme="minorEastAsia"/>
                <w:color w:val="auto"/>
                <w:highlight w:val="none"/>
              </w:rPr>
            </w:pPr>
          </w:p>
          <w:p w14:paraId="1C62FF39">
            <w:pPr>
              <w:topLinePunct/>
              <w:spacing w:line="400" w:lineRule="exact"/>
              <w:rPr>
                <w:rFonts w:asciiTheme="minorEastAsia" w:hAnsiTheme="minorEastAsia" w:eastAsiaTheme="minorEastAsia"/>
                <w:color w:val="auto"/>
                <w:highlight w:val="none"/>
              </w:rPr>
            </w:pPr>
          </w:p>
          <w:p w14:paraId="7A7A7EF1">
            <w:pPr>
              <w:topLinePunct/>
              <w:spacing w:line="400" w:lineRule="exact"/>
              <w:rPr>
                <w:rFonts w:asciiTheme="minorEastAsia" w:hAnsiTheme="minorEastAsia" w:eastAsiaTheme="minorEastAsia"/>
                <w:color w:val="auto"/>
                <w:highlight w:val="none"/>
              </w:rPr>
            </w:pPr>
          </w:p>
          <w:p w14:paraId="181A0ACD">
            <w:pPr>
              <w:topLinePunct/>
              <w:spacing w:line="400" w:lineRule="exact"/>
              <w:rPr>
                <w:rFonts w:asciiTheme="minorEastAsia" w:hAnsiTheme="minorEastAsia" w:eastAsiaTheme="minorEastAsia"/>
                <w:color w:val="auto"/>
                <w:highlight w:val="none"/>
              </w:rPr>
            </w:pPr>
          </w:p>
          <w:p w14:paraId="10D9AABB">
            <w:pPr>
              <w:topLinePunct/>
              <w:spacing w:line="400" w:lineRule="exact"/>
              <w:rPr>
                <w:rFonts w:asciiTheme="minorEastAsia" w:hAnsiTheme="minorEastAsia" w:eastAsiaTheme="minorEastAsia"/>
                <w:color w:val="auto"/>
                <w:highlight w:val="none"/>
              </w:rPr>
            </w:pPr>
          </w:p>
          <w:p w14:paraId="6ABD97F4">
            <w:pPr>
              <w:topLinePunct/>
              <w:spacing w:line="400" w:lineRule="exact"/>
              <w:rPr>
                <w:rFonts w:asciiTheme="minorEastAsia" w:hAnsiTheme="minorEastAsia" w:eastAsiaTheme="minorEastAsia"/>
                <w:color w:val="auto"/>
                <w:highlight w:val="none"/>
              </w:rPr>
            </w:pPr>
          </w:p>
          <w:p w14:paraId="3E6D6E19">
            <w:pPr>
              <w:topLinePunct/>
              <w:spacing w:line="400" w:lineRule="exact"/>
              <w:rPr>
                <w:rFonts w:asciiTheme="minorEastAsia" w:hAnsiTheme="minorEastAsia" w:eastAsiaTheme="minorEastAsia"/>
                <w:color w:val="auto"/>
                <w:highlight w:val="none"/>
              </w:rPr>
            </w:pPr>
          </w:p>
        </w:tc>
      </w:tr>
      <w:tr w14:paraId="2DF8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01F3DA0">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备注</w:t>
            </w:r>
          </w:p>
        </w:tc>
        <w:tc>
          <w:tcPr>
            <w:tcW w:w="6253" w:type="dxa"/>
            <w:tcBorders>
              <w:top w:val="single" w:color="auto" w:sz="4" w:space="0"/>
              <w:left w:val="single" w:color="auto" w:sz="4" w:space="0"/>
              <w:bottom w:val="single" w:color="auto" w:sz="4" w:space="0"/>
              <w:right w:val="single" w:color="auto" w:sz="4" w:space="0"/>
            </w:tcBorders>
          </w:tcPr>
          <w:p w14:paraId="2CAB54A5">
            <w:pPr>
              <w:topLinePunct/>
              <w:spacing w:line="400" w:lineRule="exact"/>
              <w:rPr>
                <w:rFonts w:asciiTheme="minorEastAsia" w:hAnsiTheme="minorEastAsia" w:eastAsiaTheme="minorEastAsia"/>
                <w:color w:val="auto"/>
                <w:highlight w:val="none"/>
              </w:rPr>
            </w:pPr>
          </w:p>
        </w:tc>
      </w:tr>
    </w:tbl>
    <w:p w14:paraId="1E310D29">
      <w:pPr>
        <w:spacing w:line="360" w:lineRule="auto"/>
        <w:ind w:firstLine="420" w:firstLineChars="200"/>
        <w:rPr>
          <w:rFonts w:asciiTheme="minorEastAsia" w:hAnsiTheme="minorEastAsia" w:eastAsiaTheme="minorEastAsia"/>
          <w:color w:val="auto"/>
          <w:highlight w:val="none"/>
        </w:rPr>
      </w:pPr>
    </w:p>
    <w:p w14:paraId="3A0F4D18">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注：投标人应根据投标人须知前附表第</w:t>
      </w:r>
      <w:r>
        <w:rPr>
          <w:rFonts w:hint="eastAsia" w:asciiTheme="minorEastAsia" w:hAnsiTheme="minorEastAsia" w:eastAsiaTheme="minorEastAsia"/>
          <w:color w:val="auto"/>
          <w:highlight w:val="none"/>
        </w:rPr>
        <w:t>1.4.1项“业绩要求”</w:t>
      </w:r>
      <w:r>
        <w:rPr>
          <w:rFonts w:asciiTheme="minorEastAsia" w:hAnsiTheme="minorEastAsia" w:eastAsiaTheme="minorEastAsia"/>
          <w:color w:val="auto"/>
          <w:highlight w:val="none"/>
        </w:rPr>
        <w:t>在本表后附相关证明材料。</w:t>
      </w:r>
    </w:p>
    <w:p w14:paraId="4D9A4BB1">
      <w:pPr>
        <w:pStyle w:val="5"/>
        <w:spacing w:before="0" w:line="360" w:lineRule="auto"/>
        <w:jc w:val="center"/>
        <w:rPr>
          <w:rFonts w:ascii="宋体" w:hAnsi="宋体" w:cs="宋体"/>
          <w:b w:val="0"/>
          <w:bCs w:val="0"/>
          <w:color w:val="auto"/>
          <w:sz w:val="21"/>
          <w:szCs w:val="21"/>
          <w:highlight w:val="none"/>
        </w:rPr>
      </w:pPr>
    </w:p>
    <w:p w14:paraId="109BD950">
      <w:pPr>
        <w:rPr>
          <w:rFonts w:ascii="宋体" w:hAnsi="宋体" w:cs="宋体"/>
          <w:color w:val="auto"/>
          <w:szCs w:val="21"/>
          <w:highlight w:val="none"/>
        </w:rPr>
      </w:pPr>
    </w:p>
    <w:p w14:paraId="01E0AE44">
      <w:pPr>
        <w:pStyle w:val="8"/>
        <w:rPr>
          <w:rFonts w:ascii="宋体" w:hAnsi="宋体" w:cs="宋体"/>
          <w:color w:val="auto"/>
          <w:szCs w:val="21"/>
          <w:highlight w:val="none"/>
        </w:rPr>
      </w:pPr>
    </w:p>
    <w:p w14:paraId="42153C27">
      <w:pPr>
        <w:pStyle w:val="5"/>
        <w:spacing w:before="0" w:line="360" w:lineRule="auto"/>
        <w:jc w:val="center"/>
        <w:rPr>
          <w:rFonts w:ascii="宋体" w:hAnsi="宋体" w:cs="宋体"/>
          <w:b w:val="0"/>
          <w:bCs w:val="0"/>
          <w:color w:val="auto"/>
          <w:sz w:val="21"/>
          <w:szCs w:val="21"/>
          <w:highlight w:val="none"/>
        </w:rPr>
      </w:pPr>
    </w:p>
    <w:p w14:paraId="0A2F0565">
      <w:pPr>
        <w:pStyle w:val="5"/>
        <w:spacing w:before="0" w:line="360" w:lineRule="auto"/>
        <w:jc w:val="center"/>
        <w:rPr>
          <w:rFonts w:ascii="宋体" w:hAnsi="宋体" w:cs="宋体"/>
          <w:b w:val="0"/>
          <w:bCs w:val="0"/>
          <w:color w:val="auto"/>
          <w:sz w:val="21"/>
          <w:szCs w:val="21"/>
          <w:highlight w:val="none"/>
        </w:rPr>
      </w:pPr>
    </w:p>
    <w:p w14:paraId="095F0A5D">
      <w:pPr>
        <w:rPr>
          <w:rFonts w:ascii="宋体" w:hAnsi="宋体" w:cs="宋体"/>
          <w:color w:val="auto"/>
          <w:szCs w:val="21"/>
          <w:highlight w:val="none"/>
        </w:rPr>
      </w:pPr>
    </w:p>
    <w:p w14:paraId="29115545">
      <w:pPr>
        <w:pStyle w:val="8"/>
        <w:rPr>
          <w:rFonts w:ascii="宋体" w:hAnsi="宋体" w:cs="宋体"/>
          <w:color w:val="auto"/>
          <w:szCs w:val="21"/>
          <w:highlight w:val="none"/>
        </w:rPr>
      </w:pPr>
    </w:p>
    <w:p w14:paraId="1E8EF49F">
      <w:pPr>
        <w:rPr>
          <w:color w:val="auto"/>
          <w:highlight w:val="none"/>
        </w:rPr>
      </w:pPr>
    </w:p>
    <w:p w14:paraId="565D97F0">
      <w:pPr>
        <w:pStyle w:val="8"/>
        <w:rPr>
          <w:color w:val="auto"/>
          <w:highlight w:val="none"/>
        </w:rPr>
      </w:pPr>
    </w:p>
    <w:p w14:paraId="08A2A7E3">
      <w:pP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br w:type="page"/>
      </w:r>
    </w:p>
    <w:p w14:paraId="33ADE37B">
      <w:pPr>
        <w:pStyle w:val="4"/>
        <w:spacing w:before="0" w:after="0" w:line="360" w:lineRule="auto"/>
        <w:jc w:val="center"/>
        <w:rPr>
          <w:rFonts w:asciiTheme="minorEastAsia" w:hAnsiTheme="minorEastAsia" w:eastAsiaTheme="minorEastAsia"/>
          <w:bCs w:val="0"/>
          <w:color w:val="auto"/>
          <w:sz w:val="28"/>
          <w:highlight w:val="none"/>
        </w:rPr>
      </w:pPr>
      <w:r>
        <w:rPr>
          <w:rFonts w:hint="eastAsia" w:asciiTheme="minorEastAsia" w:hAnsiTheme="minorEastAsia" w:eastAsiaTheme="minorEastAsia"/>
          <w:bCs w:val="0"/>
          <w:color w:val="auto"/>
          <w:sz w:val="28"/>
          <w:highlight w:val="none"/>
        </w:rPr>
        <w:t>（五）</w:t>
      </w:r>
      <w:bookmarkEnd w:id="807"/>
      <w:bookmarkEnd w:id="808"/>
      <w:bookmarkEnd w:id="813"/>
      <w:bookmarkEnd w:id="814"/>
      <w:bookmarkEnd w:id="815"/>
      <w:bookmarkEnd w:id="816"/>
      <w:bookmarkEnd w:id="817"/>
      <w:bookmarkEnd w:id="818"/>
      <w:r>
        <w:rPr>
          <w:rFonts w:hint="eastAsia" w:asciiTheme="minorEastAsia" w:hAnsiTheme="minorEastAsia" w:eastAsiaTheme="minorEastAsia"/>
          <w:bCs w:val="0"/>
          <w:color w:val="auto"/>
          <w:sz w:val="28"/>
          <w:highlight w:val="none"/>
        </w:rPr>
        <w:t xml:space="preserve">承诺 </w:t>
      </w:r>
    </w:p>
    <w:p w14:paraId="336CB03C">
      <w:pPr>
        <w:spacing w:line="360" w:lineRule="auto"/>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 xml:space="preserve">   （比选人名称）     </w:t>
      </w:r>
    </w:p>
    <w:p w14:paraId="6908F75E">
      <w:pPr>
        <w:spacing w:line="360" w:lineRule="auto"/>
        <w:rPr>
          <w:rFonts w:ascii="宋体" w:hAnsi="宋体" w:cs="宋体"/>
          <w:color w:val="auto"/>
          <w:highlight w:val="none"/>
        </w:rPr>
      </w:pPr>
      <w:r>
        <w:rPr>
          <w:rFonts w:hint="eastAsia" w:ascii="宋体" w:hAnsi="宋体" w:cs="宋体"/>
          <w:color w:val="auto"/>
          <w:highlight w:val="none"/>
        </w:rPr>
        <w:t xml:space="preserve">      我单位就</w:t>
      </w:r>
      <w:r>
        <w:rPr>
          <w:rFonts w:hint="eastAsia" w:ascii="宋体" w:hAnsi="宋体" w:cs="宋体"/>
          <w:color w:val="auto"/>
          <w:highlight w:val="none"/>
          <w:u w:val="single"/>
        </w:rPr>
        <w:t xml:space="preserve">                   （项目名称）</w:t>
      </w:r>
      <w:r>
        <w:rPr>
          <w:rFonts w:hint="eastAsia" w:ascii="宋体" w:hAnsi="宋体" w:cs="宋体"/>
          <w:color w:val="auto"/>
          <w:highlight w:val="none"/>
        </w:rPr>
        <w:t>做出如下承诺：</w:t>
      </w:r>
    </w:p>
    <w:p w14:paraId="5210B0E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1.投标截止日投标资格情况不存在下列情形之一：</w:t>
      </w:r>
    </w:p>
    <w:p w14:paraId="42319B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1.1被人民法院列入失信被执行人名单且在被执行期内；</w:t>
      </w:r>
    </w:p>
    <w:p w14:paraId="0BB868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1.2被列入《重庆市工程建设领域招标投标信用管理暂行办法》规定的重点关注名单且记分达到12分且在记分有效期内；</w:t>
      </w:r>
    </w:p>
    <w:p w14:paraId="2A4269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1.3被列入《重庆市工程建设领域招标投标信用管理暂行办法》规定的重庆市工程建设领域招标投标失信惩戒对象名单（以下称黑名单）且在记分有效期内；</w:t>
      </w:r>
    </w:p>
    <w:p w14:paraId="27D9C5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1.4被国家、重庆市（含市或任意区县）有关行政部门处以暂停投标资格行政处罚，且在处罚期限内；</w:t>
      </w:r>
    </w:p>
    <w:p w14:paraId="49DEC5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1.5被重庆市市级有关行业主管部门暂停在渝承揽新业务且在暂停期内。</w:t>
      </w:r>
    </w:p>
    <w:p w14:paraId="70FA1D63">
      <w:pPr>
        <w:tabs>
          <w:tab w:val="left" w:pos="5760"/>
        </w:tabs>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2.我单位拟派驻的总监理工程师、专业监理工程师和监理员在本项目比选前未有其他在监项目，如经查证承诺不实，自愿被取消中选资格，给比选人造成损失的，依法承担违约赔偿责任；</w:t>
      </w:r>
    </w:p>
    <w:p w14:paraId="21D1408C">
      <w:pPr>
        <w:tabs>
          <w:tab w:val="left" w:pos="5760"/>
        </w:tabs>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我单位若中选，不会无故放弃中选项目，不会无正当理由不与比选人签订合同，不会在签订合同时向比选人提出附加条件或者更改合同实质性内容，不会拒不提交低价风险担保或者履约担保，否则自愿被取消其中选资格，比选保证金不予退还，给比选人造成的损失超过比选保证金数额的，应对超过部分予以赔偿。</w:t>
      </w:r>
    </w:p>
    <w:p w14:paraId="1792B086">
      <w:pPr>
        <w:tabs>
          <w:tab w:val="left" w:pos="5760"/>
        </w:tabs>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highlight w:val="none"/>
        </w:rPr>
        <w:t>4.比选人在合同签订前均有权对我单位提供的竞选文件进行核实，若发现资料存在弄虚作假，自愿接受法律法规处理，比选保证金不予退还，并承担因此造成的相关责任及赔偿相应损失</w:t>
      </w:r>
      <w:r>
        <w:rPr>
          <w:rFonts w:hint="eastAsia" w:ascii="宋体" w:hAnsi="宋体" w:cs="宋体"/>
          <w:color w:val="auto"/>
          <w:kern w:val="0"/>
          <w:szCs w:val="21"/>
          <w:highlight w:val="none"/>
        </w:rPr>
        <w:t>。</w:t>
      </w:r>
    </w:p>
    <w:p w14:paraId="06258BED">
      <w:pPr>
        <w:spacing w:line="360" w:lineRule="auto"/>
        <w:rPr>
          <w:rFonts w:ascii="宋体" w:hAnsi="宋体" w:cs="宋体"/>
          <w:color w:val="auto"/>
          <w:highlight w:val="none"/>
        </w:rPr>
      </w:pPr>
    </w:p>
    <w:p w14:paraId="4E6D1450">
      <w:pPr>
        <w:spacing w:line="360" w:lineRule="auto"/>
        <w:rPr>
          <w:rFonts w:ascii="宋体" w:hAnsi="宋体" w:cs="宋体"/>
          <w:color w:val="auto"/>
          <w:highlight w:val="none"/>
        </w:rPr>
      </w:pPr>
    </w:p>
    <w:p w14:paraId="0C04F036">
      <w:pPr>
        <w:spacing w:line="360" w:lineRule="auto"/>
        <w:rPr>
          <w:rFonts w:ascii="宋体" w:hAnsi="宋体" w:cs="宋体"/>
          <w:color w:val="auto"/>
          <w:highlight w:val="none"/>
        </w:rPr>
      </w:pPr>
    </w:p>
    <w:p w14:paraId="71A3C998">
      <w:pPr>
        <w:tabs>
          <w:tab w:val="left" w:pos="5460"/>
        </w:tabs>
        <w:autoSpaceDE w:val="0"/>
        <w:autoSpaceDN w:val="0"/>
        <w:adjustRightInd w:val="0"/>
        <w:snapToGrid w:val="0"/>
        <w:spacing w:line="360" w:lineRule="auto"/>
        <w:ind w:firstLine="2100"/>
        <w:jc w:val="right"/>
        <w:rPr>
          <w:rFonts w:ascii="宋体" w:hAnsi="宋体" w:cs="宋体"/>
          <w:color w:val="auto"/>
          <w:kern w:val="0"/>
          <w:szCs w:val="21"/>
          <w:highlight w:val="none"/>
        </w:rPr>
      </w:pPr>
      <w:r>
        <w:rPr>
          <w:rFonts w:hint="eastAsia" w:ascii="宋体" w:hAnsi="宋体" w:cs="宋体"/>
          <w:color w:val="auto"/>
          <w:kern w:val="0"/>
          <w:szCs w:val="21"/>
          <w:highlight w:val="none"/>
        </w:rPr>
        <w:t>竞选人：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盖单位公章）</w:t>
      </w:r>
    </w:p>
    <w:p w14:paraId="17FFE665">
      <w:pPr>
        <w:autoSpaceDE w:val="0"/>
        <w:autoSpaceDN w:val="0"/>
        <w:adjustRightInd w:val="0"/>
        <w:snapToGrid w:val="0"/>
        <w:spacing w:line="360" w:lineRule="auto"/>
        <w:jc w:val="left"/>
        <w:rPr>
          <w:rFonts w:ascii="宋体" w:hAnsi="宋体" w:cs="宋体"/>
          <w:color w:val="auto"/>
          <w:kern w:val="0"/>
          <w:sz w:val="20"/>
          <w:szCs w:val="20"/>
          <w:highlight w:val="none"/>
        </w:rPr>
      </w:pPr>
    </w:p>
    <w:p w14:paraId="75ADC2FA">
      <w:pPr>
        <w:spacing w:line="360" w:lineRule="auto"/>
        <w:ind w:firstLine="5460" w:firstLineChars="1300"/>
        <w:rPr>
          <w:rFonts w:ascii="宋体" w:hAnsi="宋体" w:cs="宋体"/>
          <w:color w:val="auto"/>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日 </w:t>
      </w:r>
    </w:p>
    <w:p w14:paraId="30FB1855">
      <w:pPr>
        <w:spacing w:line="360" w:lineRule="auto"/>
        <w:rPr>
          <w:rFonts w:ascii="宋体" w:hAnsi="宋体" w:cs="宋体"/>
          <w:color w:val="auto"/>
          <w:highlight w:val="none"/>
        </w:rPr>
      </w:pPr>
    </w:p>
    <w:p w14:paraId="4A563D55">
      <w:pPr>
        <w:spacing w:line="360" w:lineRule="auto"/>
        <w:rPr>
          <w:rFonts w:ascii="宋体" w:hAnsi="宋体" w:cs="宋体"/>
          <w:color w:val="auto"/>
          <w:highlight w:val="none"/>
        </w:rPr>
      </w:pPr>
    </w:p>
    <w:p w14:paraId="17DDE9BE">
      <w:pPr>
        <w:rPr>
          <w:rFonts w:asciiTheme="minorEastAsia" w:hAnsiTheme="minorEastAsia" w:eastAsiaTheme="minorEastAsia"/>
          <w:color w:val="auto"/>
          <w:sz w:val="28"/>
          <w:highlight w:val="none"/>
        </w:rPr>
      </w:pPr>
      <w:bookmarkStart w:id="819" w:name="_Toc391394125"/>
      <w:bookmarkStart w:id="820" w:name="_Toc370676440"/>
      <w:bookmarkStart w:id="821" w:name="_Toc12669"/>
      <w:bookmarkStart w:id="822" w:name="_Toc482188668"/>
      <w:bookmarkStart w:id="823" w:name="_Toc385943079"/>
      <w:bookmarkStart w:id="824" w:name="_Toc300835232"/>
      <w:bookmarkStart w:id="825" w:name="_Toc384308390"/>
      <w:bookmarkStart w:id="826" w:name="_Toc359594249"/>
      <w:bookmarkStart w:id="827" w:name="_Toc492300735"/>
      <w:r>
        <w:rPr>
          <w:rFonts w:hint="eastAsia" w:asciiTheme="minorEastAsia" w:hAnsiTheme="minorEastAsia" w:eastAsiaTheme="minorEastAsia"/>
          <w:color w:val="auto"/>
          <w:sz w:val="28"/>
          <w:highlight w:val="none"/>
        </w:rPr>
        <w:br w:type="page"/>
      </w:r>
    </w:p>
    <w:p w14:paraId="08A62EFF">
      <w:pPr>
        <w:pStyle w:val="4"/>
        <w:spacing w:before="0" w:after="0" w:line="360" w:lineRule="auto"/>
        <w:jc w:val="center"/>
        <w:rPr>
          <w:rFonts w:asciiTheme="minorEastAsia" w:hAnsiTheme="minorEastAsia" w:eastAsiaTheme="minorEastAsia"/>
          <w:bCs w:val="0"/>
          <w:color w:val="auto"/>
          <w:sz w:val="28"/>
          <w:highlight w:val="none"/>
        </w:rPr>
      </w:pPr>
      <w:r>
        <w:rPr>
          <w:rFonts w:hint="eastAsia" w:asciiTheme="minorEastAsia" w:hAnsiTheme="minorEastAsia" w:eastAsiaTheme="minorEastAsia"/>
          <w:bCs w:val="0"/>
          <w:color w:val="auto"/>
          <w:sz w:val="28"/>
          <w:highlight w:val="none"/>
        </w:rPr>
        <w:t>（六）主要人员简历表</w:t>
      </w:r>
      <w:bookmarkEnd w:id="819"/>
      <w:bookmarkEnd w:id="820"/>
      <w:bookmarkEnd w:id="821"/>
      <w:bookmarkEnd w:id="822"/>
      <w:bookmarkEnd w:id="823"/>
      <w:bookmarkEnd w:id="824"/>
      <w:bookmarkEnd w:id="825"/>
      <w:bookmarkEnd w:id="826"/>
      <w:bookmarkEnd w:id="827"/>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189F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14:paraId="0BCD039A">
            <w:pPr>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姓  名</w:t>
            </w:r>
          </w:p>
        </w:tc>
        <w:tc>
          <w:tcPr>
            <w:tcW w:w="1048" w:type="dxa"/>
            <w:gridSpan w:val="2"/>
            <w:vAlign w:val="center"/>
          </w:tcPr>
          <w:p w14:paraId="1B53C786">
            <w:pPr>
              <w:spacing w:line="400" w:lineRule="exact"/>
              <w:jc w:val="center"/>
              <w:rPr>
                <w:rFonts w:asciiTheme="minorEastAsia" w:hAnsiTheme="minorEastAsia" w:eastAsiaTheme="minorEastAsia"/>
                <w:color w:val="auto"/>
                <w:highlight w:val="none"/>
              </w:rPr>
            </w:pPr>
          </w:p>
        </w:tc>
        <w:tc>
          <w:tcPr>
            <w:tcW w:w="958" w:type="dxa"/>
            <w:vAlign w:val="center"/>
          </w:tcPr>
          <w:p w14:paraId="5100EA72">
            <w:pPr>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年龄</w:t>
            </w:r>
          </w:p>
        </w:tc>
        <w:tc>
          <w:tcPr>
            <w:tcW w:w="1065" w:type="dxa"/>
            <w:vAlign w:val="center"/>
          </w:tcPr>
          <w:p w14:paraId="50ABED3B">
            <w:pPr>
              <w:spacing w:line="400" w:lineRule="exact"/>
              <w:jc w:val="center"/>
              <w:rPr>
                <w:rFonts w:asciiTheme="minorEastAsia" w:hAnsiTheme="minorEastAsia" w:eastAsiaTheme="minorEastAsia"/>
                <w:color w:val="auto"/>
                <w:highlight w:val="none"/>
              </w:rPr>
            </w:pPr>
          </w:p>
        </w:tc>
        <w:tc>
          <w:tcPr>
            <w:tcW w:w="2368" w:type="dxa"/>
            <w:gridSpan w:val="3"/>
            <w:vAlign w:val="center"/>
          </w:tcPr>
          <w:p w14:paraId="7BE17F12">
            <w:pPr>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执业资格证书（或上岗证书）名称</w:t>
            </w:r>
          </w:p>
        </w:tc>
        <w:tc>
          <w:tcPr>
            <w:tcW w:w="1896" w:type="dxa"/>
            <w:vAlign w:val="center"/>
          </w:tcPr>
          <w:p w14:paraId="1DAF6A0A">
            <w:pPr>
              <w:spacing w:line="400" w:lineRule="exact"/>
              <w:jc w:val="center"/>
              <w:rPr>
                <w:rFonts w:asciiTheme="minorEastAsia" w:hAnsiTheme="minorEastAsia" w:eastAsiaTheme="minorEastAsia"/>
                <w:color w:val="auto"/>
                <w:highlight w:val="none"/>
              </w:rPr>
            </w:pPr>
          </w:p>
        </w:tc>
      </w:tr>
      <w:tr w14:paraId="6F31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E594710">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技术职称            </w:t>
            </w:r>
          </w:p>
        </w:tc>
        <w:tc>
          <w:tcPr>
            <w:tcW w:w="1048" w:type="dxa"/>
            <w:gridSpan w:val="2"/>
            <w:vAlign w:val="center"/>
          </w:tcPr>
          <w:p w14:paraId="1496DF0D">
            <w:pPr>
              <w:spacing w:line="400" w:lineRule="exact"/>
              <w:jc w:val="center"/>
              <w:rPr>
                <w:rFonts w:asciiTheme="minorEastAsia" w:hAnsiTheme="minorEastAsia" w:eastAsiaTheme="minorEastAsia"/>
                <w:color w:val="auto"/>
                <w:highlight w:val="none"/>
              </w:rPr>
            </w:pPr>
          </w:p>
        </w:tc>
        <w:tc>
          <w:tcPr>
            <w:tcW w:w="958" w:type="dxa"/>
            <w:vAlign w:val="center"/>
          </w:tcPr>
          <w:p w14:paraId="5C4084C0">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学历</w:t>
            </w:r>
          </w:p>
        </w:tc>
        <w:tc>
          <w:tcPr>
            <w:tcW w:w="1065" w:type="dxa"/>
            <w:vAlign w:val="center"/>
          </w:tcPr>
          <w:p w14:paraId="7F3B146B">
            <w:pPr>
              <w:spacing w:line="400" w:lineRule="exact"/>
              <w:jc w:val="center"/>
              <w:rPr>
                <w:rFonts w:asciiTheme="minorEastAsia" w:hAnsiTheme="minorEastAsia" w:eastAsiaTheme="minorEastAsia"/>
                <w:color w:val="auto"/>
                <w:highlight w:val="none"/>
              </w:rPr>
            </w:pPr>
          </w:p>
        </w:tc>
        <w:tc>
          <w:tcPr>
            <w:tcW w:w="2368" w:type="dxa"/>
            <w:gridSpan w:val="3"/>
            <w:vAlign w:val="center"/>
          </w:tcPr>
          <w:p w14:paraId="6C514106">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拟在本项目任职</w:t>
            </w:r>
          </w:p>
        </w:tc>
        <w:tc>
          <w:tcPr>
            <w:tcW w:w="1896" w:type="dxa"/>
            <w:vAlign w:val="center"/>
          </w:tcPr>
          <w:p w14:paraId="497EBCB1">
            <w:pPr>
              <w:spacing w:line="400" w:lineRule="exact"/>
              <w:jc w:val="center"/>
              <w:rPr>
                <w:rFonts w:asciiTheme="minorEastAsia" w:hAnsiTheme="minorEastAsia" w:eastAsiaTheme="minorEastAsia"/>
                <w:color w:val="auto"/>
                <w:highlight w:val="none"/>
              </w:rPr>
            </w:pPr>
          </w:p>
        </w:tc>
      </w:tr>
      <w:tr w14:paraId="6D67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0889A39">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工作年限</w:t>
            </w:r>
          </w:p>
        </w:tc>
        <w:tc>
          <w:tcPr>
            <w:tcW w:w="3071" w:type="dxa"/>
            <w:gridSpan w:val="4"/>
            <w:vAlign w:val="center"/>
          </w:tcPr>
          <w:p w14:paraId="6DAE1F93">
            <w:pPr>
              <w:spacing w:line="400" w:lineRule="exact"/>
              <w:jc w:val="center"/>
              <w:rPr>
                <w:rFonts w:asciiTheme="minorEastAsia" w:hAnsiTheme="minorEastAsia" w:eastAsiaTheme="minorEastAsia"/>
                <w:color w:val="auto"/>
                <w:highlight w:val="none"/>
              </w:rPr>
            </w:pPr>
          </w:p>
        </w:tc>
        <w:tc>
          <w:tcPr>
            <w:tcW w:w="2368" w:type="dxa"/>
            <w:gridSpan w:val="3"/>
            <w:vAlign w:val="center"/>
          </w:tcPr>
          <w:p w14:paraId="570B6587">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从事监理工作年限</w:t>
            </w:r>
          </w:p>
        </w:tc>
        <w:tc>
          <w:tcPr>
            <w:tcW w:w="1896" w:type="dxa"/>
            <w:vAlign w:val="center"/>
          </w:tcPr>
          <w:p w14:paraId="3F1C41DD">
            <w:pPr>
              <w:spacing w:line="400" w:lineRule="exact"/>
              <w:jc w:val="center"/>
              <w:rPr>
                <w:rFonts w:asciiTheme="minorEastAsia" w:hAnsiTheme="minorEastAsia" w:eastAsiaTheme="minorEastAsia"/>
                <w:color w:val="auto"/>
                <w:highlight w:val="none"/>
              </w:rPr>
            </w:pPr>
          </w:p>
        </w:tc>
      </w:tr>
      <w:tr w14:paraId="3D36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2A543C82">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毕业学校</w:t>
            </w:r>
          </w:p>
        </w:tc>
        <w:tc>
          <w:tcPr>
            <w:tcW w:w="7335" w:type="dxa"/>
            <w:gridSpan w:val="8"/>
            <w:vAlign w:val="center"/>
          </w:tcPr>
          <w:p w14:paraId="5B3DD2EA">
            <w:pPr>
              <w:spacing w:before="100" w:beforeAutospacing="1" w:after="100" w:afterAutospacing="1" w:line="400" w:lineRule="exact"/>
              <w:ind w:firstLine="1155" w:firstLineChars="550"/>
              <w:rPr>
                <w:rFonts w:asciiTheme="minorEastAsia" w:hAnsiTheme="minorEastAsia" w:eastAsiaTheme="minorEastAsia"/>
                <w:color w:val="auto"/>
                <w:highlight w:val="none"/>
              </w:rPr>
            </w:pPr>
            <w:r>
              <w:rPr>
                <w:rFonts w:asciiTheme="minorEastAsia" w:hAnsiTheme="minorEastAsia" w:eastAsiaTheme="minorEastAsia"/>
                <w:color w:val="auto"/>
                <w:highlight w:val="none"/>
              </w:rPr>
              <w:t>年毕业于            学校        专业</w:t>
            </w:r>
          </w:p>
        </w:tc>
      </w:tr>
      <w:tr w14:paraId="3B09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36194059">
            <w:pPr>
              <w:spacing w:before="100" w:beforeAutospacing="1" w:after="100" w:afterAutospacing="1" w:line="400" w:lineRule="exact"/>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主要工作经历</w:t>
            </w:r>
          </w:p>
        </w:tc>
      </w:tr>
      <w:tr w14:paraId="130E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6F906BE5">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时  间</w:t>
            </w:r>
          </w:p>
        </w:tc>
        <w:tc>
          <w:tcPr>
            <w:tcW w:w="3420" w:type="dxa"/>
            <w:gridSpan w:val="4"/>
            <w:vAlign w:val="center"/>
          </w:tcPr>
          <w:p w14:paraId="64C8F90B">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参加过的类似项目</w:t>
            </w:r>
          </w:p>
        </w:tc>
        <w:tc>
          <w:tcPr>
            <w:tcW w:w="1261" w:type="dxa"/>
            <w:vAlign w:val="center"/>
          </w:tcPr>
          <w:p w14:paraId="0A0158D3">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担任职务</w:t>
            </w:r>
          </w:p>
        </w:tc>
        <w:tc>
          <w:tcPr>
            <w:tcW w:w="2297" w:type="dxa"/>
            <w:gridSpan w:val="2"/>
            <w:vAlign w:val="center"/>
          </w:tcPr>
          <w:p w14:paraId="76495335">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委托人及联系电话</w:t>
            </w:r>
          </w:p>
        </w:tc>
      </w:tr>
      <w:tr w14:paraId="1AEC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14:paraId="09E756C0">
            <w:pPr>
              <w:spacing w:line="400" w:lineRule="exact"/>
              <w:rPr>
                <w:rFonts w:asciiTheme="minorEastAsia" w:hAnsiTheme="minorEastAsia" w:eastAsiaTheme="minorEastAsia"/>
                <w:color w:val="auto"/>
                <w:highlight w:val="none"/>
              </w:rPr>
            </w:pPr>
          </w:p>
        </w:tc>
        <w:tc>
          <w:tcPr>
            <w:tcW w:w="3420" w:type="dxa"/>
            <w:gridSpan w:val="4"/>
          </w:tcPr>
          <w:p w14:paraId="4D4C9798">
            <w:pPr>
              <w:spacing w:line="400" w:lineRule="exact"/>
              <w:rPr>
                <w:rFonts w:asciiTheme="minorEastAsia" w:hAnsiTheme="minorEastAsia" w:eastAsiaTheme="minorEastAsia"/>
                <w:color w:val="auto"/>
                <w:highlight w:val="none"/>
              </w:rPr>
            </w:pPr>
          </w:p>
        </w:tc>
        <w:tc>
          <w:tcPr>
            <w:tcW w:w="1261" w:type="dxa"/>
          </w:tcPr>
          <w:p w14:paraId="78DC044C">
            <w:pPr>
              <w:spacing w:line="400" w:lineRule="exact"/>
              <w:rPr>
                <w:rFonts w:asciiTheme="minorEastAsia" w:hAnsiTheme="minorEastAsia" w:eastAsiaTheme="minorEastAsia"/>
                <w:color w:val="auto"/>
                <w:highlight w:val="none"/>
              </w:rPr>
            </w:pPr>
          </w:p>
        </w:tc>
        <w:tc>
          <w:tcPr>
            <w:tcW w:w="2297" w:type="dxa"/>
            <w:gridSpan w:val="2"/>
          </w:tcPr>
          <w:p w14:paraId="06CCC39E">
            <w:pPr>
              <w:spacing w:line="400" w:lineRule="exact"/>
              <w:rPr>
                <w:rFonts w:asciiTheme="minorEastAsia" w:hAnsiTheme="minorEastAsia" w:eastAsiaTheme="minorEastAsia"/>
                <w:color w:val="auto"/>
                <w:highlight w:val="none"/>
              </w:rPr>
            </w:pPr>
          </w:p>
        </w:tc>
      </w:tr>
      <w:tr w14:paraId="3505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14:paraId="6AE04CBD">
            <w:pPr>
              <w:spacing w:line="400" w:lineRule="exact"/>
              <w:rPr>
                <w:rFonts w:asciiTheme="minorEastAsia" w:hAnsiTheme="minorEastAsia" w:eastAsiaTheme="minorEastAsia"/>
                <w:color w:val="auto"/>
                <w:highlight w:val="none"/>
              </w:rPr>
            </w:pPr>
          </w:p>
        </w:tc>
        <w:tc>
          <w:tcPr>
            <w:tcW w:w="3420" w:type="dxa"/>
            <w:gridSpan w:val="4"/>
          </w:tcPr>
          <w:p w14:paraId="60FB6C0F">
            <w:pPr>
              <w:spacing w:line="400" w:lineRule="exact"/>
              <w:rPr>
                <w:rFonts w:asciiTheme="minorEastAsia" w:hAnsiTheme="minorEastAsia" w:eastAsiaTheme="minorEastAsia"/>
                <w:color w:val="auto"/>
                <w:highlight w:val="none"/>
              </w:rPr>
            </w:pPr>
          </w:p>
        </w:tc>
        <w:tc>
          <w:tcPr>
            <w:tcW w:w="1261" w:type="dxa"/>
          </w:tcPr>
          <w:p w14:paraId="1FD124F8">
            <w:pPr>
              <w:spacing w:line="400" w:lineRule="exact"/>
              <w:rPr>
                <w:rFonts w:asciiTheme="minorEastAsia" w:hAnsiTheme="minorEastAsia" w:eastAsiaTheme="minorEastAsia"/>
                <w:color w:val="auto"/>
                <w:highlight w:val="none"/>
              </w:rPr>
            </w:pPr>
          </w:p>
        </w:tc>
        <w:tc>
          <w:tcPr>
            <w:tcW w:w="2297" w:type="dxa"/>
            <w:gridSpan w:val="2"/>
          </w:tcPr>
          <w:p w14:paraId="37600B34">
            <w:pPr>
              <w:spacing w:line="400" w:lineRule="exact"/>
              <w:rPr>
                <w:rFonts w:asciiTheme="minorEastAsia" w:hAnsiTheme="minorEastAsia" w:eastAsiaTheme="minorEastAsia"/>
                <w:color w:val="auto"/>
                <w:highlight w:val="none"/>
              </w:rPr>
            </w:pPr>
          </w:p>
        </w:tc>
      </w:tr>
      <w:tr w14:paraId="3B0E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14:paraId="7BFFF6A8">
            <w:pPr>
              <w:spacing w:line="400" w:lineRule="exact"/>
              <w:rPr>
                <w:rFonts w:asciiTheme="minorEastAsia" w:hAnsiTheme="minorEastAsia" w:eastAsiaTheme="minorEastAsia"/>
                <w:color w:val="auto"/>
                <w:highlight w:val="none"/>
              </w:rPr>
            </w:pPr>
          </w:p>
        </w:tc>
        <w:tc>
          <w:tcPr>
            <w:tcW w:w="3420" w:type="dxa"/>
            <w:gridSpan w:val="4"/>
          </w:tcPr>
          <w:p w14:paraId="4D5FBEDD">
            <w:pPr>
              <w:spacing w:line="400" w:lineRule="exact"/>
              <w:rPr>
                <w:rFonts w:asciiTheme="minorEastAsia" w:hAnsiTheme="minorEastAsia" w:eastAsiaTheme="minorEastAsia"/>
                <w:color w:val="auto"/>
                <w:highlight w:val="none"/>
              </w:rPr>
            </w:pPr>
          </w:p>
        </w:tc>
        <w:tc>
          <w:tcPr>
            <w:tcW w:w="1261" w:type="dxa"/>
          </w:tcPr>
          <w:p w14:paraId="23F26109">
            <w:pPr>
              <w:spacing w:line="400" w:lineRule="exact"/>
              <w:rPr>
                <w:rFonts w:asciiTheme="minorEastAsia" w:hAnsiTheme="minorEastAsia" w:eastAsiaTheme="minorEastAsia"/>
                <w:color w:val="auto"/>
                <w:highlight w:val="none"/>
              </w:rPr>
            </w:pPr>
          </w:p>
        </w:tc>
        <w:tc>
          <w:tcPr>
            <w:tcW w:w="2297" w:type="dxa"/>
            <w:gridSpan w:val="2"/>
          </w:tcPr>
          <w:p w14:paraId="4F19DACE">
            <w:pPr>
              <w:spacing w:line="400" w:lineRule="exact"/>
              <w:rPr>
                <w:rFonts w:asciiTheme="minorEastAsia" w:hAnsiTheme="minorEastAsia" w:eastAsiaTheme="minorEastAsia"/>
                <w:color w:val="auto"/>
                <w:highlight w:val="none"/>
              </w:rPr>
            </w:pPr>
          </w:p>
        </w:tc>
      </w:tr>
      <w:tr w14:paraId="60BD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6D041BA1">
            <w:pPr>
              <w:spacing w:line="400" w:lineRule="exact"/>
              <w:rPr>
                <w:rFonts w:asciiTheme="minorEastAsia" w:hAnsiTheme="minorEastAsia" w:eastAsiaTheme="minorEastAsia"/>
                <w:color w:val="auto"/>
                <w:highlight w:val="none"/>
              </w:rPr>
            </w:pPr>
          </w:p>
        </w:tc>
        <w:tc>
          <w:tcPr>
            <w:tcW w:w="3420" w:type="dxa"/>
            <w:gridSpan w:val="4"/>
            <w:vAlign w:val="center"/>
          </w:tcPr>
          <w:p w14:paraId="5939CE05">
            <w:pPr>
              <w:spacing w:line="400" w:lineRule="exact"/>
              <w:rPr>
                <w:rFonts w:asciiTheme="minorEastAsia" w:hAnsiTheme="minorEastAsia" w:eastAsiaTheme="minorEastAsia"/>
                <w:color w:val="auto"/>
                <w:highlight w:val="none"/>
              </w:rPr>
            </w:pPr>
          </w:p>
        </w:tc>
        <w:tc>
          <w:tcPr>
            <w:tcW w:w="1261" w:type="dxa"/>
            <w:vAlign w:val="center"/>
          </w:tcPr>
          <w:p w14:paraId="4CFDB036">
            <w:pPr>
              <w:spacing w:line="400" w:lineRule="exact"/>
              <w:rPr>
                <w:rFonts w:asciiTheme="minorEastAsia" w:hAnsiTheme="minorEastAsia" w:eastAsiaTheme="minorEastAsia"/>
                <w:color w:val="auto"/>
                <w:highlight w:val="none"/>
              </w:rPr>
            </w:pPr>
          </w:p>
        </w:tc>
        <w:tc>
          <w:tcPr>
            <w:tcW w:w="2297" w:type="dxa"/>
            <w:gridSpan w:val="2"/>
            <w:vAlign w:val="center"/>
          </w:tcPr>
          <w:p w14:paraId="1C68514C">
            <w:pPr>
              <w:spacing w:line="400" w:lineRule="exact"/>
              <w:rPr>
                <w:rFonts w:asciiTheme="minorEastAsia" w:hAnsiTheme="minorEastAsia" w:eastAsiaTheme="minorEastAsia"/>
                <w:color w:val="auto"/>
                <w:highlight w:val="none"/>
              </w:rPr>
            </w:pPr>
          </w:p>
        </w:tc>
      </w:tr>
      <w:tr w14:paraId="4764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05F59C00">
            <w:pPr>
              <w:spacing w:line="400" w:lineRule="exact"/>
              <w:rPr>
                <w:rFonts w:asciiTheme="minorEastAsia" w:hAnsiTheme="minorEastAsia" w:eastAsiaTheme="minorEastAsia"/>
                <w:color w:val="auto"/>
                <w:highlight w:val="none"/>
              </w:rPr>
            </w:pPr>
          </w:p>
        </w:tc>
        <w:tc>
          <w:tcPr>
            <w:tcW w:w="3420" w:type="dxa"/>
            <w:gridSpan w:val="4"/>
            <w:vAlign w:val="center"/>
          </w:tcPr>
          <w:p w14:paraId="5D1C94E8">
            <w:pPr>
              <w:spacing w:line="400" w:lineRule="exact"/>
              <w:rPr>
                <w:rFonts w:asciiTheme="minorEastAsia" w:hAnsiTheme="minorEastAsia" w:eastAsiaTheme="minorEastAsia"/>
                <w:color w:val="auto"/>
                <w:highlight w:val="none"/>
              </w:rPr>
            </w:pPr>
          </w:p>
        </w:tc>
        <w:tc>
          <w:tcPr>
            <w:tcW w:w="1261" w:type="dxa"/>
            <w:vAlign w:val="center"/>
          </w:tcPr>
          <w:p w14:paraId="51CF011D">
            <w:pPr>
              <w:spacing w:line="400" w:lineRule="exact"/>
              <w:rPr>
                <w:rFonts w:asciiTheme="minorEastAsia" w:hAnsiTheme="minorEastAsia" w:eastAsiaTheme="minorEastAsia"/>
                <w:color w:val="auto"/>
                <w:highlight w:val="none"/>
              </w:rPr>
            </w:pPr>
          </w:p>
        </w:tc>
        <w:tc>
          <w:tcPr>
            <w:tcW w:w="2297" w:type="dxa"/>
            <w:gridSpan w:val="2"/>
            <w:vAlign w:val="center"/>
          </w:tcPr>
          <w:p w14:paraId="642CB838">
            <w:pPr>
              <w:spacing w:line="400" w:lineRule="exact"/>
              <w:rPr>
                <w:rFonts w:asciiTheme="minorEastAsia" w:hAnsiTheme="minorEastAsia" w:eastAsiaTheme="minorEastAsia"/>
                <w:color w:val="auto"/>
                <w:highlight w:val="none"/>
              </w:rPr>
            </w:pPr>
          </w:p>
        </w:tc>
      </w:tr>
      <w:tr w14:paraId="19DE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7F6DCC4E">
            <w:pPr>
              <w:spacing w:line="400" w:lineRule="exact"/>
              <w:rPr>
                <w:rFonts w:asciiTheme="minorEastAsia" w:hAnsiTheme="minorEastAsia" w:eastAsiaTheme="minorEastAsia"/>
                <w:color w:val="auto"/>
                <w:highlight w:val="none"/>
              </w:rPr>
            </w:pPr>
          </w:p>
        </w:tc>
        <w:tc>
          <w:tcPr>
            <w:tcW w:w="3420" w:type="dxa"/>
            <w:gridSpan w:val="4"/>
            <w:vAlign w:val="center"/>
          </w:tcPr>
          <w:p w14:paraId="348F3DE0">
            <w:pPr>
              <w:spacing w:line="400" w:lineRule="exact"/>
              <w:rPr>
                <w:rFonts w:asciiTheme="minorEastAsia" w:hAnsiTheme="minorEastAsia" w:eastAsiaTheme="minorEastAsia"/>
                <w:color w:val="auto"/>
                <w:highlight w:val="none"/>
              </w:rPr>
            </w:pPr>
          </w:p>
        </w:tc>
        <w:tc>
          <w:tcPr>
            <w:tcW w:w="1261" w:type="dxa"/>
            <w:vAlign w:val="center"/>
          </w:tcPr>
          <w:p w14:paraId="3E1873AA">
            <w:pPr>
              <w:spacing w:line="400" w:lineRule="exact"/>
              <w:rPr>
                <w:rFonts w:asciiTheme="minorEastAsia" w:hAnsiTheme="minorEastAsia" w:eastAsiaTheme="minorEastAsia"/>
                <w:color w:val="auto"/>
                <w:highlight w:val="none"/>
              </w:rPr>
            </w:pPr>
          </w:p>
        </w:tc>
        <w:tc>
          <w:tcPr>
            <w:tcW w:w="2297" w:type="dxa"/>
            <w:gridSpan w:val="2"/>
            <w:vAlign w:val="center"/>
          </w:tcPr>
          <w:p w14:paraId="32B081EC">
            <w:pPr>
              <w:spacing w:line="400" w:lineRule="exact"/>
              <w:rPr>
                <w:rFonts w:asciiTheme="minorEastAsia" w:hAnsiTheme="minorEastAsia" w:eastAsiaTheme="minorEastAsia"/>
                <w:color w:val="auto"/>
                <w:highlight w:val="none"/>
              </w:rPr>
            </w:pPr>
          </w:p>
        </w:tc>
      </w:tr>
      <w:tr w14:paraId="3159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696196D2">
            <w:pPr>
              <w:spacing w:line="400" w:lineRule="exact"/>
              <w:rPr>
                <w:rFonts w:asciiTheme="minorEastAsia" w:hAnsiTheme="minorEastAsia" w:eastAsiaTheme="minorEastAsia"/>
                <w:color w:val="auto"/>
                <w:highlight w:val="none"/>
              </w:rPr>
            </w:pPr>
          </w:p>
        </w:tc>
        <w:tc>
          <w:tcPr>
            <w:tcW w:w="3420" w:type="dxa"/>
            <w:gridSpan w:val="4"/>
            <w:vAlign w:val="center"/>
          </w:tcPr>
          <w:p w14:paraId="40CE035C">
            <w:pPr>
              <w:spacing w:line="400" w:lineRule="exact"/>
              <w:rPr>
                <w:rFonts w:asciiTheme="minorEastAsia" w:hAnsiTheme="minorEastAsia" w:eastAsiaTheme="minorEastAsia"/>
                <w:color w:val="auto"/>
                <w:highlight w:val="none"/>
              </w:rPr>
            </w:pPr>
          </w:p>
        </w:tc>
        <w:tc>
          <w:tcPr>
            <w:tcW w:w="1261" w:type="dxa"/>
            <w:vAlign w:val="center"/>
          </w:tcPr>
          <w:p w14:paraId="4F5FBA08">
            <w:pPr>
              <w:spacing w:line="400" w:lineRule="exact"/>
              <w:rPr>
                <w:rFonts w:asciiTheme="minorEastAsia" w:hAnsiTheme="minorEastAsia" w:eastAsiaTheme="minorEastAsia"/>
                <w:color w:val="auto"/>
                <w:highlight w:val="none"/>
              </w:rPr>
            </w:pPr>
          </w:p>
        </w:tc>
        <w:tc>
          <w:tcPr>
            <w:tcW w:w="2297" w:type="dxa"/>
            <w:gridSpan w:val="2"/>
            <w:vAlign w:val="center"/>
          </w:tcPr>
          <w:p w14:paraId="08314723">
            <w:pPr>
              <w:spacing w:line="400" w:lineRule="exact"/>
              <w:rPr>
                <w:rFonts w:asciiTheme="minorEastAsia" w:hAnsiTheme="minorEastAsia" w:eastAsiaTheme="minorEastAsia"/>
                <w:color w:val="auto"/>
                <w:highlight w:val="none"/>
              </w:rPr>
            </w:pPr>
          </w:p>
        </w:tc>
      </w:tr>
    </w:tbl>
    <w:p w14:paraId="7189C221">
      <w:pPr>
        <w:spacing w:line="360" w:lineRule="auto"/>
        <w:ind w:firstLine="420" w:firstLineChars="200"/>
        <w:rPr>
          <w:rFonts w:asciiTheme="minorEastAsia" w:hAnsiTheme="minorEastAsia" w:eastAsiaTheme="minorEastAsia"/>
          <w:color w:val="auto"/>
          <w:highlight w:val="none"/>
        </w:rPr>
      </w:pPr>
    </w:p>
    <w:p w14:paraId="21A1FB2A">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注：投标人应根据投标人须知前附表第</w:t>
      </w:r>
      <w:r>
        <w:rPr>
          <w:rFonts w:hint="eastAsia" w:asciiTheme="minorEastAsia" w:hAnsiTheme="minorEastAsia" w:eastAsiaTheme="minorEastAsia"/>
          <w:color w:val="auto"/>
          <w:highlight w:val="none"/>
        </w:rPr>
        <w:t>1.4.1项“拟派监理人员”</w:t>
      </w:r>
      <w:r>
        <w:rPr>
          <w:rFonts w:asciiTheme="minorEastAsia" w:hAnsiTheme="minorEastAsia" w:eastAsiaTheme="minorEastAsia"/>
          <w:color w:val="auto"/>
          <w:highlight w:val="none"/>
        </w:rPr>
        <w:t>在本表后附相关证明材料。</w:t>
      </w:r>
    </w:p>
    <w:p w14:paraId="3E3F794C">
      <w:pPr>
        <w:spacing w:line="360" w:lineRule="auto"/>
        <w:rPr>
          <w:rFonts w:ascii="宋体" w:hAnsi="宋体" w:cs="宋体"/>
          <w:color w:val="auto"/>
          <w:highlight w:val="none"/>
        </w:rPr>
      </w:pPr>
    </w:p>
    <w:p w14:paraId="1428EED9">
      <w:pPr>
        <w:pStyle w:val="8"/>
        <w:rPr>
          <w:rFonts w:ascii="宋体" w:hAnsi="宋体" w:cs="宋体"/>
          <w:color w:val="auto"/>
          <w:highlight w:val="none"/>
        </w:rPr>
      </w:pPr>
    </w:p>
    <w:p w14:paraId="1438FE21">
      <w:pPr>
        <w:rPr>
          <w:rFonts w:ascii="宋体" w:hAnsi="宋体" w:cs="宋体"/>
          <w:color w:val="auto"/>
          <w:highlight w:val="none"/>
        </w:rPr>
      </w:pPr>
    </w:p>
    <w:p w14:paraId="7A16E426">
      <w:pPr>
        <w:pStyle w:val="8"/>
        <w:rPr>
          <w:rFonts w:ascii="宋体" w:hAnsi="宋体" w:cs="宋体"/>
          <w:color w:val="auto"/>
          <w:highlight w:val="none"/>
        </w:rPr>
      </w:pPr>
    </w:p>
    <w:p w14:paraId="3342EDE0">
      <w:pPr>
        <w:rPr>
          <w:rFonts w:ascii="宋体" w:hAnsi="宋体" w:cs="宋体"/>
          <w:color w:val="auto"/>
          <w:highlight w:val="none"/>
        </w:rPr>
      </w:pPr>
    </w:p>
    <w:p w14:paraId="15BD73BE">
      <w:pPr>
        <w:pStyle w:val="8"/>
        <w:rPr>
          <w:rFonts w:ascii="宋体" w:hAnsi="宋体" w:cs="宋体"/>
          <w:color w:val="auto"/>
          <w:highlight w:val="none"/>
        </w:rPr>
      </w:pPr>
    </w:p>
    <w:p w14:paraId="1BE7BDE1">
      <w:pPr>
        <w:rPr>
          <w:rFonts w:ascii="宋体" w:hAnsi="宋体" w:cs="宋体"/>
          <w:color w:val="auto"/>
          <w:highlight w:val="none"/>
        </w:rPr>
      </w:pPr>
    </w:p>
    <w:p w14:paraId="40C1A1BA">
      <w:pPr>
        <w:pStyle w:val="8"/>
        <w:rPr>
          <w:rFonts w:ascii="宋体" w:hAnsi="宋体" w:cs="宋体"/>
          <w:color w:val="auto"/>
          <w:highlight w:val="none"/>
        </w:rPr>
      </w:pPr>
    </w:p>
    <w:p w14:paraId="6C64BA7B">
      <w:pPr>
        <w:rPr>
          <w:rFonts w:ascii="宋体" w:hAnsi="宋体" w:cs="宋体"/>
          <w:color w:val="auto"/>
          <w:highlight w:val="none"/>
        </w:rPr>
      </w:pPr>
    </w:p>
    <w:p w14:paraId="5E72C240">
      <w:pPr>
        <w:pStyle w:val="8"/>
        <w:rPr>
          <w:rFonts w:ascii="宋体" w:hAnsi="宋体" w:cs="宋体"/>
          <w:color w:val="auto"/>
          <w:highlight w:val="none"/>
        </w:rPr>
      </w:pPr>
    </w:p>
    <w:p w14:paraId="4BC43905">
      <w:pPr>
        <w:rPr>
          <w:rFonts w:ascii="宋体" w:hAnsi="宋体" w:cs="宋体"/>
          <w:color w:val="auto"/>
          <w:highlight w:val="none"/>
        </w:rPr>
      </w:pPr>
    </w:p>
    <w:p w14:paraId="1ED33870">
      <w:pPr>
        <w:pStyle w:val="8"/>
        <w:rPr>
          <w:rFonts w:ascii="宋体" w:hAnsi="宋体" w:cs="宋体"/>
          <w:color w:val="auto"/>
          <w:highlight w:val="none"/>
        </w:rPr>
      </w:pPr>
    </w:p>
    <w:p w14:paraId="61560991">
      <w:pPr>
        <w:rPr>
          <w:rFonts w:ascii="宋体" w:hAnsi="宋体" w:cs="宋体"/>
          <w:color w:val="auto"/>
          <w:highlight w:val="none"/>
        </w:rPr>
      </w:pPr>
    </w:p>
    <w:p w14:paraId="60A6E1BD">
      <w:pPr>
        <w:pStyle w:val="8"/>
        <w:rPr>
          <w:color w:val="auto"/>
          <w:highlight w:val="none"/>
        </w:rPr>
      </w:pPr>
    </w:p>
    <w:p w14:paraId="3778A3B9">
      <w:pPr>
        <w:pStyle w:val="8"/>
        <w:rPr>
          <w:color w:val="auto"/>
          <w:highlight w:val="none"/>
        </w:rPr>
      </w:pPr>
    </w:p>
    <w:p w14:paraId="7BAB5493">
      <w:pPr>
        <w:pStyle w:val="5"/>
        <w:spacing w:before="0" w:line="360" w:lineRule="auto"/>
        <w:jc w:val="center"/>
        <w:rPr>
          <w:rFonts w:ascii="宋体" w:hAnsi="宋体" w:cs="宋体"/>
          <w:color w:val="auto"/>
          <w:highlight w:val="none"/>
        </w:rPr>
      </w:pPr>
      <w:bookmarkStart w:id="828" w:name="_Toc509218867"/>
      <w:bookmarkStart w:id="829" w:name="_Toc14121"/>
      <w:bookmarkStart w:id="830" w:name="_Toc40569221"/>
      <w:bookmarkStart w:id="831" w:name="_Toc13989"/>
      <w:bookmarkStart w:id="832" w:name="_Toc17051"/>
      <w:r>
        <w:rPr>
          <w:rFonts w:hint="eastAsia" w:ascii="宋体" w:hAnsi="宋体" w:cs="宋体"/>
          <w:b w:val="0"/>
          <w:color w:val="auto"/>
          <w:highlight w:val="none"/>
        </w:rPr>
        <w:t>（七）</w:t>
      </w:r>
      <w:bookmarkEnd w:id="828"/>
      <w:r>
        <w:rPr>
          <w:rFonts w:hint="eastAsia" w:ascii="宋体" w:hAnsi="宋体" w:cs="宋体"/>
          <w:b w:val="0"/>
          <w:color w:val="auto"/>
          <w:highlight w:val="none"/>
        </w:rPr>
        <w:t>其他资料</w:t>
      </w:r>
      <w:bookmarkEnd w:id="829"/>
      <w:bookmarkEnd w:id="830"/>
      <w:bookmarkEnd w:id="831"/>
      <w:bookmarkEnd w:id="832"/>
    </w:p>
    <w:bookmarkEnd w:id="741"/>
    <w:bookmarkEnd w:id="742"/>
    <w:bookmarkEnd w:id="743"/>
    <w:p w14:paraId="42FE34E4">
      <w:pPr>
        <w:pStyle w:val="2"/>
        <w:numPr>
          <w:ilvl w:val="0"/>
          <w:numId w:val="5"/>
        </w:numPr>
        <w:tabs>
          <w:tab w:val="left" w:pos="786"/>
        </w:tabs>
        <w:rPr>
          <w:color w:val="auto"/>
          <w:highlight w:val="none"/>
        </w:rPr>
      </w:pPr>
      <w:r>
        <w:rPr>
          <w:rFonts w:hint="eastAsia"/>
          <w:color w:val="auto"/>
          <w:highlight w:val="none"/>
        </w:rPr>
        <w:t>......</w:t>
      </w:r>
      <w:r>
        <w:rPr>
          <w:color w:val="auto"/>
          <w:highlight w:val="none"/>
        </w:rPr>
        <w:tab/>
      </w:r>
    </w:p>
    <w:p w14:paraId="20E43DC2">
      <w:pPr>
        <w:rPr>
          <w:color w:val="auto"/>
          <w:highlight w:val="none"/>
        </w:rPr>
      </w:pPr>
    </w:p>
    <w:p w14:paraId="035AB6E0">
      <w:pPr>
        <w:pStyle w:val="2"/>
        <w:rPr>
          <w:color w:val="auto"/>
          <w:highlight w:val="none"/>
        </w:rPr>
      </w:pPr>
    </w:p>
    <w:p w14:paraId="79F60F85">
      <w:pPr>
        <w:rPr>
          <w:color w:val="auto"/>
          <w:highlight w:val="none"/>
        </w:rPr>
      </w:pPr>
    </w:p>
    <w:p w14:paraId="543C1FB0">
      <w:pPr>
        <w:pStyle w:val="2"/>
        <w:rPr>
          <w:color w:val="auto"/>
          <w:highlight w:val="none"/>
        </w:rPr>
      </w:pPr>
    </w:p>
    <w:p w14:paraId="608E14DE">
      <w:pPr>
        <w:rPr>
          <w:color w:val="auto"/>
          <w:highlight w:val="none"/>
        </w:rPr>
      </w:pPr>
    </w:p>
    <w:p w14:paraId="589F5B0F">
      <w:pPr>
        <w:pStyle w:val="2"/>
        <w:rPr>
          <w:color w:val="auto"/>
          <w:highlight w:val="none"/>
        </w:rPr>
      </w:pPr>
    </w:p>
    <w:p w14:paraId="29F8C927">
      <w:pPr>
        <w:rPr>
          <w:color w:val="auto"/>
          <w:highlight w:val="none"/>
        </w:rPr>
      </w:pPr>
    </w:p>
    <w:p w14:paraId="2E29533E">
      <w:pPr>
        <w:pStyle w:val="2"/>
        <w:rPr>
          <w:color w:val="auto"/>
          <w:highlight w:val="none"/>
        </w:rPr>
      </w:pPr>
    </w:p>
    <w:p w14:paraId="3EEFF168">
      <w:pPr>
        <w:rPr>
          <w:color w:val="auto"/>
          <w:highlight w:val="none"/>
        </w:rPr>
      </w:pPr>
    </w:p>
    <w:p w14:paraId="140F1A7E">
      <w:pPr>
        <w:rPr>
          <w:color w:val="auto"/>
          <w:highlight w:val="none"/>
        </w:rPr>
      </w:pPr>
    </w:p>
    <w:p w14:paraId="7581EFB4">
      <w:pPr>
        <w:pStyle w:val="2"/>
        <w:jc w:val="center"/>
        <w:rPr>
          <w:color w:val="auto"/>
          <w:highlight w:val="none"/>
        </w:rPr>
      </w:pPr>
      <w:r>
        <w:rPr>
          <w:rFonts w:hint="eastAsia"/>
          <w:color w:val="auto"/>
          <w:highlight w:val="none"/>
        </w:rPr>
        <w:t>（结束）</w:t>
      </w:r>
    </w:p>
    <w:sectPr>
      <w:headerReference r:id="rId3" w:type="default"/>
      <w:footerReference r:id="rId4" w:type="default"/>
      <w:footerReference r:id="rId5" w:type="even"/>
      <w:pgSz w:w="11906" w:h="16838"/>
      <w:pgMar w:top="1304" w:right="1134" w:bottom="1304" w:left="1304" w:header="567"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31DE">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53266">
                          <w:pPr>
                            <w:pStyle w:val="13"/>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47C53266">
                    <w:pPr>
                      <w:pStyle w:val="13"/>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FC635">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264</w:t>
    </w:r>
    <w:r>
      <w:fldChar w:fldCharType="end"/>
    </w:r>
  </w:p>
  <w:p w14:paraId="0423E70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09FB">
    <w:pPr>
      <w:pStyle w:val="14"/>
      <w:pBdr>
        <w:bottom w:val="none" w:color="auto" w:sz="0" w:space="1"/>
      </w:pBdr>
      <w:ind w:firstLine="540" w:firstLineChars="300"/>
      <w:jc w:val="both"/>
    </w:pPr>
    <w:r>
      <w:rPr>
        <w:rFonts w:hint="eastAsia"/>
      </w:rPr>
      <w:t xml:space="preserve">                                 </w:t>
    </w:r>
  </w:p>
  <w:p w14:paraId="4A7DF4F5">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462EF"/>
    <w:multiLevelType w:val="singleLevel"/>
    <w:tmpl w:val="846462EF"/>
    <w:lvl w:ilvl="0" w:tentative="0">
      <w:start w:val="3"/>
      <w:numFmt w:val="decimal"/>
      <w:suff w:val="nothing"/>
      <w:lvlText w:val="（%1）"/>
      <w:lvlJc w:val="left"/>
    </w:lvl>
  </w:abstractNum>
  <w:abstractNum w:abstractNumId="1">
    <w:nsid w:val="886BAA23"/>
    <w:multiLevelType w:val="singleLevel"/>
    <w:tmpl w:val="886BAA23"/>
    <w:lvl w:ilvl="0" w:tentative="0">
      <w:start w:val="1"/>
      <w:numFmt w:val="decimal"/>
      <w:suff w:val="nothing"/>
      <w:lvlText w:val="%1、"/>
      <w:lvlJc w:val="left"/>
    </w:lvl>
  </w:abstractNum>
  <w:abstractNum w:abstractNumId="2">
    <w:nsid w:val="C7E8F8E5"/>
    <w:multiLevelType w:val="singleLevel"/>
    <w:tmpl w:val="C7E8F8E5"/>
    <w:lvl w:ilvl="0" w:tentative="0">
      <w:start w:val="2"/>
      <w:numFmt w:val="decimal"/>
      <w:suff w:val="space"/>
      <w:lvlText w:val="%1."/>
      <w:lvlJc w:val="left"/>
    </w:lvl>
  </w:abstractNum>
  <w:abstractNum w:abstractNumId="3">
    <w:nsid w:val="076391B8"/>
    <w:multiLevelType w:val="singleLevel"/>
    <w:tmpl w:val="076391B8"/>
    <w:lvl w:ilvl="0" w:tentative="0">
      <w:start w:val="2"/>
      <w:numFmt w:val="chineseCounting"/>
      <w:suff w:val="nothing"/>
      <w:lvlText w:val="%1、"/>
      <w:lvlJc w:val="left"/>
      <w:rPr>
        <w:rFonts w:hint="eastAsia"/>
      </w:rPr>
    </w:lvl>
  </w:abstractNum>
  <w:abstractNum w:abstractNumId="4">
    <w:nsid w:val="49EA6324"/>
    <w:multiLevelType w:val="multilevel"/>
    <w:tmpl w:val="49EA6324"/>
    <w:lvl w:ilvl="0" w:tentative="0">
      <w:start w:val="1"/>
      <w:numFmt w:val="decimal"/>
      <w:lvlText w:val="%1"/>
      <w:lvlJc w:val="left"/>
      <w:pPr>
        <w:ind w:left="480" w:hanging="480"/>
      </w:pPr>
      <w:rPr>
        <w:rFonts w:hint="default"/>
        <w:sz w:val="24"/>
      </w:rPr>
    </w:lvl>
    <w:lvl w:ilvl="1" w:tentative="0">
      <w:start w:val="1"/>
      <w:numFmt w:val="decimal"/>
      <w:lvlText w:val="%1-%2"/>
      <w:lvlJc w:val="left"/>
      <w:pPr>
        <w:ind w:left="960" w:hanging="480"/>
      </w:pPr>
      <w:rPr>
        <w:rFonts w:hint="default"/>
        <w:sz w:val="24"/>
      </w:rPr>
    </w:lvl>
    <w:lvl w:ilvl="2" w:tentative="0">
      <w:start w:val="1"/>
      <w:numFmt w:val="decimal"/>
      <w:lvlText w:val="%1-%2.%3"/>
      <w:lvlJc w:val="left"/>
      <w:pPr>
        <w:ind w:left="1680" w:hanging="720"/>
      </w:pPr>
      <w:rPr>
        <w:rFonts w:hint="default"/>
        <w:sz w:val="24"/>
      </w:rPr>
    </w:lvl>
    <w:lvl w:ilvl="3" w:tentative="0">
      <w:start w:val="1"/>
      <w:numFmt w:val="decimal"/>
      <w:lvlText w:val="%1-%2.%3.%4"/>
      <w:lvlJc w:val="left"/>
      <w:pPr>
        <w:ind w:left="2520" w:hanging="1080"/>
      </w:pPr>
      <w:rPr>
        <w:rFonts w:hint="default"/>
        <w:sz w:val="24"/>
      </w:rPr>
    </w:lvl>
    <w:lvl w:ilvl="4" w:tentative="0">
      <w:start w:val="1"/>
      <w:numFmt w:val="decimal"/>
      <w:lvlText w:val="%1-%2.%3.%4.%5"/>
      <w:lvlJc w:val="left"/>
      <w:pPr>
        <w:ind w:left="3000" w:hanging="1080"/>
      </w:pPr>
      <w:rPr>
        <w:rFonts w:hint="default"/>
        <w:sz w:val="24"/>
      </w:rPr>
    </w:lvl>
    <w:lvl w:ilvl="5" w:tentative="0">
      <w:start w:val="1"/>
      <w:numFmt w:val="decimal"/>
      <w:lvlText w:val="%1-%2.%3.%4.%5.%6"/>
      <w:lvlJc w:val="left"/>
      <w:pPr>
        <w:ind w:left="3840" w:hanging="1440"/>
      </w:pPr>
      <w:rPr>
        <w:rFonts w:hint="default"/>
        <w:sz w:val="24"/>
      </w:rPr>
    </w:lvl>
    <w:lvl w:ilvl="6" w:tentative="0">
      <w:start w:val="1"/>
      <w:numFmt w:val="decimal"/>
      <w:lvlText w:val="%1-%2.%3.%4.%5.%6.%7"/>
      <w:lvlJc w:val="left"/>
      <w:pPr>
        <w:ind w:left="4320" w:hanging="1440"/>
      </w:pPr>
      <w:rPr>
        <w:rFonts w:hint="default"/>
        <w:sz w:val="24"/>
      </w:rPr>
    </w:lvl>
    <w:lvl w:ilvl="7" w:tentative="0">
      <w:start w:val="1"/>
      <w:numFmt w:val="decimal"/>
      <w:lvlText w:val="%1-%2.%3.%4.%5.%6.%7.%8"/>
      <w:lvlJc w:val="left"/>
      <w:pPr>
        <w:ind w:left="5160" w:hanging="1800"/>
      </w:pPr>
      <w:rPr>
        <w:rFonts w:hint="default"/>
        <w:sz w:val="24"/>
      </w:rPr>
    </w:lvl>
    <w:lvl w:ilvl="8" w:tentative="0">
      <w:start w:val="1"/>
      <w:numFmt w:val="decimal"/>
      <w:lvlText w:val="%1-%2.%3.%4.%5.%6.%7.%8.%9"/>
      <w:lvlJc w:val="left"/>
      <w:pPr>
        <w:ind w:left="5640" w:hanging="1800"/>
      </w:pPr>
      <w:rPr>
        <w:rFonts w:hint="default"/>
        <w:sz w:val="24"/>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OTk2YmZjZjk1ODc5MjY5ZjA2ZTRkM2U4ZGMwMmQifQ=="/>
  </w:docVars>
  <w:rsids>
    <w:rsidRoot w:val="2FFE23A7"/>
    <w:rsid w:val="00000C8E"/>
    <w:rsid w:val="00002B37"/>
    <w:rsid w:val="000033E5"/>
    <w:rsid w:val="0002722D"/>
    <w:rsid w:val="00055FDF"/>
    <w:rsid w:val="00064D13"/>
    <w:rsid w:val="00073E24"/>
    <w:rsid w:val="000A5C0C"/>
    <w:rsid w:val="000A5C3D"/>
    <w:rsid w:val="000C7527"/>
    <w:rsid w:val="000D726C"/>
    <w:rsid w:val="000E44F5"/>
    <w:rsid w:val="000F53C0"/>
    <w:rsid w:val="000F5632"/>
    <w:rsid w:val="00117163"/>
    <w:rsid w:val="00143374"/>
    <w:rsid w:val="00144007"/>
    <w:rsid w:val="00153DA9"/>
    <w:rsid w:val="001B481A"/>
    <w:rsid w:val="001B768B"/>
    <w:rsid w:val="001C2067"/>
    <w:rsid w:val="001C5BDC"/>
    <w:rsid w:val="001E6323"/>
    <w:rsid w:val="00234C90"/>
    <w:rsid w:val="002566D5"/>
    <w:rsid w:val="002629B8"/>
    <w:rsid w:val="00267283"/>
    <w:rsid w:val="002765D4"/>
    <w:rsid w:val="00294F67"/>
    <w:rsid w:val="0029634C"/>
    <w:rsid w:val="002B7C23"/>
    <w:rsid w:val="00312024"/>
    <w:rsid w:val="00313C18"/>
    <w:rsid w:val="0032001C"/>
    <w:rsid w:val="0032066B"/>
    <w:rsid w:val="0032226A"/>
    <w:rsid w:val="00322BB3"/>
    <w:rsid w:val="00342349"/>
    <w:rsid w:val="00353965"/>
    <w:rsid w:val="00354867"/>
    <w:rsid w:val="00375856"/>
    <w:rsid w:val="00387B80"/>
    <w:rsid w:val="003C2355"/>
    <w:rsid w:val="003C740C"/>
    <w:rsid w:val="004010C5"/>
    <w:rsid w:val="0040385C"/>
    <w:rsid w:val="00430E7F"/>
    <w:rsid w:val="00467B2C"/>
    <w:rsid w:val="004A7B15"/>
    <w:rsid w:val="004C05E5"/>
    <w:rsid w:val="004C4CAE"/>
    <w:rsid w:val="004C69CC"/>
    <w:rsid w:val="004E2A3C"/>
    <w:rsid w:val="004F65F7"/>
    <w:rsid w:val="005370DE"/>
    <w:rsid w:val="00542DF8"/>
    <w:rsid w:val="00556464"/>
    <w:rsid w:val="005604C1"/>
    <w:rsid w:val="0057391E"/>
    <w:rsid w:val="005763A9"/>
    <w:rsid w:val="005776C6"/>
    <w:rsid w:val="00583DD2"/>
    <w:rsid w:val="005A3387"/>
    <w:rsid w:val="00613AB1"/>
    <w:rsid w:val="00637EEC"/>
    <w:rsid w:val="00651304"/>
    <w:rsid w:val="00663D2E"/>
    <w:rsid w:val="00682E4A"/>
    <w:rsid w:val="00694480"/>
    <w:rsid w:val="006B4869"/>
    <w:rsid w:val="006F242D"/>
    <w:rsid w:val="00724A8C"/>
    <w:rsid w:val="007257AD"/>
    <w:rsid w:val="00727D64"/>
    <w:rsid w:val="007358D2"/>
    <w:rsid w:val="00742199"/>
    <w:rsid w:val="00782E30"/>
    <w:rsid w:val="007A3440"/>
    <w:rsid w:val="007B781D"/>
    <w:rsid w:val="007C065A"/>
    <w:rsid w:val="007C3D1C"/>
    <w:rsid w:val="007E0EA6"/>
    <w:rsid w:val="007E2BAD"/>
    <w:rsid w:val="00804464"/>
    <w:rsid w:val="00805E18"/>
    <w:rsid w:val="00813FC0"/>
    <w:rsid w:val="0082335B"/>
    <w:rsid w:val="00823CFA"/>
    <w:rsid w:val="00831EDC"/>
    <w:rsid w:val="00844310"/>
    <w:rsid w:val="0084511E"/>
    <w:rsid w:val="0084759E"/>
    <w:rsid w:val="00847BE4"/>
    <w:rsid w:val="008550AD"/>
    <w:rsid w:val="00865809"/>
    <w:rsid w:val="00885C3B"/>
    <w:rsid w:val="0089167A"/>
    <w:rsid w:val="008921BD"/>
    <w:rsid w:val="008C7427"/>
    <w:rsid w:val="009054EA"/>
    <w:rsid w:val="00934868"/>
    <w:rsid w:val="00942580"/>
    <w:rsid w:val="009710EC"/>
    <w:rsid w:val="00971741"/>
    <w:rsid w:val="00971F07"/>
    <w:rsid w:val="00973B42"/>
    <w:rsid w:val="0099102C"/>
    <w:rsid w:val="009A36C0"/>
    <w:rsid w:val="009A6B27"/>
    <w:rsid w:val="009B6E03"/>
    <w:rsid w:val="009D1E1D"/>
    <w:rsid w:val="009D3690"/>
    <w:rsid w:val="00A21778"/>
    <w:rsid w:val="00A42E85"/>
    <w:rsid w:val="00A82919"/>
    <w:rsid w:val="00AA21E7"/>
    <w:rsid w:val="00AB1CD5"/>
    <w:rsid w:val="00AC2F56"/>
    <w:rsid w:val="00AC52CF"/>
    <w:rsid w:val="00AD5691"/>
    <w:rsid w:val="00AE702E"/>
    <w:rsid w:val="00AF5A6D"/>
    <w:rsid w:val="00B0343C"/>
    <w:rsid w:val="00B263E7"/>
    <w:rsid w:val="00B47711"/>
    <w:rsid w:val="00B727C6"/>
    <w:rsid w:val="00B83B3F"/>
    <w:rsid w:val="00B861DD"/>
    <w:rsid w:val="00BA273E"/>
    <w:rsid w:val="00BC6456"/>
    <w:rsid w:val="00BD0A58"/>
    <w:rsid w:val="00BD1D2F"/>
    <w:rsid w:val="00BE4520"/>
    <w:rsid w:val="00C17192"/>
    <w:rsid w:val="00C203EA"/>
    <w:rsid w:val="00C46144"/>
    <w:rsid w:val="00CC054F"/>
    <w:rsid w:val="00CC5D02"/>
    <w:rsid w:val="00CD4C57"/>
    <w:rsid w:val="00CD6064"/>
    <w:rsid w:val="00CF7EB4"/>
    <w:rsid w:val="00D11AD0"/>
    <w:rsid w:val="00D21BA6"/>
    <w:rsid w:val="00D41C61"/>
    <w:rsid w:val="00D861DD"/>
    <w:rsid w:val="00D9771E"/>
    <w:rsid w:val="00DB0D93"/>
    <w:rsid w:val="00DD2D76"/>
    <w:rsid w:val="00DD46EB"/>
    <w:rsid w:val="00DF1354"/>
    <w:rsid w:val="00DF2F7F"/>
    <w:rsid w:val="00E1048D"/>
    <w:rsid w:val="00E16280"/>
    <w:rsid w:val="00E303D2"/>
    <w:rsid w:val="00E47489"/>
    <w:rsid w:val="00E52C41"/>
    <w:rsid w:val="00E62407"/>
    <w:rsid w:val="00E64A3E"/>
    <w:rsid w:val="00E74EBA"/>
    <w:rsid w:val="00EA14CA"/>
    <w:rsid w:val="00EC2B24"/>
    <w:rsid w:val="00EC411B"/>
    <w:rsid w:val="00ED18D0"/>
    <w:rsid w:val="00ED563F"/>
    <w:rsid w:val="00EE086B"/>
    <w:rsid w:val="00EE0E6A"/>
    <w:rsid w:val="00EE14E7"/>
    <w:rsid w:val="00EE1B33"/>
    <w:rsid w:val="00EE392E"/>
    <w:rsid w:val="00F008E3"/>
    <w:rsid w:val="00F12567"/>
    <w:rsid w:val="00F4239F"/>
    <w:rsid w:val="00F50A5C"/>
    <w:rsid w:val="00F85312"/>
    <w:rsid w:val="00FB2307"/>
    <w:rsid w:val="00FB666A"/>
    <w:rsid w:val="00FC4AFE"/>
    <w:rsid w:val="00FC4DE1"/>
    <w:rsid w:val="0101295B"/>
    <w:rsid w:val="011A58BF"/>
    <w:rsid w:val="01203623"/>
    <w:rsid w:val="014C08E4"/>
    <w:rsid w:val="0156352C"/>
    <w:rsid w:val="01606066"/>
    <w:rsid w:val="018938E5"/>
    <w:rsid w:val="019D6E0D"/>
    <w:rsid w:val="01CD415B"/>
    <w:rsid w:val="01D3669D"/>
    <w:rsid w:val="01DA7BBE"/>
    <w:rsid w:val="01EC2AB6"/>
    <w:rsid w:val="02044401"/>
    <w:rsid w:val="02054EE3"/>
    <w:rsid w:val="021D21E9"/>
    <w:rsid w:val="02266A44"/>
    <w:rsid w:val="022877CA"/>
    <w:rsid w:val="023B2665"/>
    <w:rsid w:val="02693AEB"/>
    <w:rsid w:val="02745AB3"/>
    <w:rsid w:val="027658FA"/>
    <w:rsid w:val="0293255D"/>
    <w:rsid w:val="02C414C0"/>
    <w:rsid w:val="02CB1EC8"/>
    <w:rsid w:val="02D4401F"/>
    <w:rsid w:val="02DD40E6"/>
    <w:rsid w:val="03062D2F"/>
    <w:rsid w:val="03083E17"/>
    <w:rsid w:val="030D278A"/>
    <w:rsid w:val="032145A1"/>
    <w:rsid w:val="033A0C2B"/>
    <w:rsid w:val="03526D1B"/>
    <w:rsid w:val="03546813"/>
    <w:rsid w:val="035624C1"/>
    <w:rsid w:val="035B1CDD"/>
    <w:rsid w:val="03B17681"/>
    <w:rsid w:val="03D8510C"/>
    <w:rsid w:val="03E0702B"/>
    <w:rsid w:val="03F813BD"/>
    <w:rsid w:val="040F50BD"/>
    <w:rsid w:val="0410603C"/>
    <w:rsid w:val="04116A0A"/>
    <w:rsid w:val="042C2334"/>
    <w:rsid w:val="04493B13"/>
    <w:rsid w:val="04713BE2"/>
    <w:rsid w:val="04881106"/>
    <w:rsid w:val="048F5F6A"/>
    <w:rsid w:val="04974B34"/>
    <w:rsid w:val="04A00C18"/>
    <w:rsid w:val="04DC6ABB"/>
    <w:rsid w:val="04E40345"/>
    <w:rsid w:val="050829F7"/>
    <w:rsid w:val="051C4A8C"/>
    <w:rsid w:val="052E1B4C"/>
    <w:rsid w:val="05524952"/>
    <w:rsid w:val="0562046B"/>
    <w:rsid w:val="058E3945"/>
    <w:rsid w:val="05C4339F"/>
    <w:rsid w:val="05CD514E"/>
    <w:rsid w:val="05E608E0"/>
    <w:rsid w:val="05ED7633"/>
    <w:rsid w:val="05F03069"/>
    <w:rsid w:val="05FB176F"/>
    <w:rsid w:val="05FE5F77"/>
    <w:rsid w:val="060D02D3"/>
    <w:rsid w:val="06254CBA"/>
    <w:rsid w:val="06262D05"/>
    <w:rsid w:val="06401908"/>
    <w:rsid w:val="0640415C"/>
    <w:rsid w:val="06477725"/>
    <w:rsid w:val="068B2114"/>
    <w:rsid w:val="06AF2A09"/>
    <w:rsid w:val="06B65E46"/>
    <w:rsid w:val="06BD19F7"/>
    <w:rsid w:val="06C4362D"/>
    <w:rsid w:val="06E87DA0"/>
    <w:rsid w:val="06FE70E5"/>
    <w:rsid w:val="0706182A"/>
    <w:rsid w:val="07263260"/>
    <w:rsid w:val="073B7D2E"/>
    <w:rsid w:val="07736497"/>
    <w:rsid w:val="07891945"/>
    <w:rsid w:val="079E0602"/>
    <w:rsid w:val="07A721BC"/>
    <w:rsid w:val="07B70B97"/>
    <w:rsid w:val="07E13187"/>
    <w:rsid w:val="07E86661"/>
    <w:rsid w:val="07F0210F"/>
    <w:rsid w:val="07F77615"/>
    <w:rsid w:val="08063A96"/>
    <w:rsid w:val="081863CD"/>
    <w:rsid w:val="08193505"/>
    <w:rsid w:val="081B2A9D"/>
    <w:rsid w:val="083A65ED"/>
    <w:rsid w:val="08417246"/>
    <w:rsid w:val="084726CB"/>
    <w:rsid w:val="085207C5"/>
    <w:rsid w:val="08523812"/>
    <w:rsid w:val="08606B5E"/>
    <w:rsid w:val="087B7B7B"/>
    <w:rsid w:val="08955281"/>
    <w:rsid w:val="08B40BC8"/>
    <w:rsid w:val="08BB45BC"/>
    <w:rsid w:val="08D63513"/>
    <w:rsid w:val="08F5557E"/>
    <w:rsid w:val="092A4825"/>
    <w:rsid w:val="09362DF6"/>
    <w:rsid w:val="0983157E"/>
    <w:rsid w:val="09AA3A1D"/>
    <w:rsid w:val="09B918AE"/>
    <w:rsid w:val="09BC0874"/>
    <w:rsid w:val="09C73BE8"/>
    <w:rsid w:val="09E244F6"/>
    <w:rsid w:val="09E3331E"/>
    <w:rsid w:val="09E73EFC"/>
    <w:rsid w:val="09F2261F"/>
    <w:rsid w:val="09F86B2A"/>
    <w:rsid w:val="0A100804"/>
    <w:rsid w:val="0A194254"/>
    <w:rsid w:val="0A3347BC"/>
    <w:rsid w:val="0A4355DA"/>
    <w:rsid w:val="0A44068A"/>
    <w:rsid w:val="0A4D02BF"/>
    <w:rsid w:val="0A67133D"/>
    <w:rsid w:val="0A6A57A5"/>
    <w:rsid w:val="0ADE5E64"/>
    <w:rsid w:val="0AF22B35"/>
    <w:rsid w:val="0B1A5CD3"/>
    <w:rsid w:val="0B4D7E8E"/>
    <w:rsid w:val="0B6308E9"/>
    <w:rsid w:val="0B765350"/>
    <w:rsid w:val="0B89066D"/>
    <w:rsid w:val="0B893308"/>
    <w:rsid w:val="0B9424C2"/>
    <w:rsid w:val="0BE30AB2"/>
    <w:rsid w:val="0BE46766"/>
    <w:rsid w:val="0BE9219E"/>
    <w:rsid w:val="0BF41BB0"/>
    <w:rsid w:val="0BFE16AF"/>
    <w:rsid w:val="0C3A7C0E"/>
    <w:rsid w:val="0C4652FF"/>
    <w:rsid w:val="0C483FFD"/>
    <w:rsid w:val="0C6C1608"/>
    <w:rsid w:val="0C7C0616"/>
    <w:rsid w:val="0C880DDD"/>
    <w:rsid w:val="0C954478"/>
    <w:rsid w:val="0CA361B6"/>
    <w:rsid w:val="0CB52C05"/>
    <w:rsid w:val="0CB64DE3"/>
    <w:rsid w:val="0CC110D6"/>
    <w:rsid w:val="0CEB6AB4"/>
    <w:rsid w:val="0CFF4934"/>
    <w:rsid w:val="0D215CDD"/>
    <w:rsid w:val="0D2A00A8"/>
    <w:rsid w:val="0D57447A"/>
    <w:rsid w:val="0D5877C5"/>
    <w:rsid w:val="0D8608DB"/>
    <w:rsid w:val="0DA97B2E"/>
    <w:rsid w:val="0DC4745D"/>
    <w:rsid w:val="0DCB16CB"/>
    <w:rsid w:val="0DCF5CF9"/>
    <w:rsid w:val="0DEC1F6C"/>
    <w:rsid w:val="0E0235FA"/>
    <w:rsid w:val="0E040685"/>
    <w:rsid w:val="0E3B6343"/>
    <w:rsid w:val="0E403B88"/>
    <w:rsid w:val="0E444E5D"/>
    <w:rsid w:val="0E4608B9"/>
    <w:rsid w:val="0E78488F"/>
    <w:rsid w:val="0EB27D45"/>
    <w:rsid w:val="0EC24252"/>
    <w:rsid w:val="0EC82AF5"/>
    <w:rsid w:val="0EF60B8A"/>
    <w:rsid w:val="0EF67285"/>
    <w:rsid w:val="0F455F0B"/>
    <w:rsid w:val="0F821F29"/>
    <w:rsid w:val="0F852E27"/>
    <w:rsid w:val="0F951311"/>
    <w:rsid w:val="0F986B8D"/>
    <w:rsid w:val="0F9A17AC"/>
    <w:rsid w:val="0F9C7197"/>
    <w:rsid w:val="0FAB3072"/>
    <w:rsid w:val="0FBF2F33"/>
    <w:rsid w:val="0FC02886"/>
    <w:rsid w:val="0FCC70AF"/>
    <w:rsid w:val="0FDC535A"/>
    <w:rsid w:val="0FE070FA"/>
    <w:rsid w:val="0FE25C4D"/>
    <w:rsid w:val="0FE721C0"/>
    <w:rsid w:val="0FEA7759"/>
    <w:rsid w:val="0FED6DF6"/>
    <w:rsid w:val="0FF37FCF"/>
    <w:rsid w:val="10035202"/>
    <w:rsid w:val="100449C4"/>
    <w:rsid w:val="10166261"/>
    <w:rsid w:val="101964F1"/>
    <w:rsid w:val="1020362D"/>
    <w:rsid w:val="102A5B16"/>
    <w:rsid w:val="102C3B1F"/>
    <w:rsid w:val="10604498"/>
    <w:rsid w:val="106A794E"/>
    <w:rsid w:val="106D12E6"/>
    <w:rsid w:val="10B1077E"/>
    <w:rsid w:val="10B24586"/>
    <w:rsid w:val="10F40931"/>
    <w:rsid w:val="10F96D68"/>
    <w:rsid w:val="10FB17CA"/>
    <w:rsid w:val="10FD46D7"/>
    <w:rsid w:val="11006C13"/>
    <w:rsid w:val="11072F7B"/>
    <w:rsid w:val="11081443"/>
    <w:rsid w:val="110B4BB3"/>
    <w:rsid w:val="11424701"/>
    <w:rsid w:val="114A26A0"/>
    <w:rsid w:val="117F3285"/>
    <w:rsid w:val="1183400E"/>
    <w:rsid w:val="11B03549"/>
    <w:rsid w:val="11BD7AD1"/>
    <w:rsid w:val="11C16DD7"/>
    <w:rsid w:val="11D73AFA"/>
    <w:rsid w:val="120C2E7A"/>
    <w:rsid w:val="12196881"/>
    <w:rsid w:val="1227056E"/>
    <w:rsid w:val="12284B16"/>
    <w:rsid w:val="12492F13"/>
    <w:rsid w:val="125C0251"/>
    <w:rsid w:val="125D2F7F"/>
    <w:rsid w:val="126B6F2D"/>
    <w:rsid w:val="126F0FE9"/>
    <w:rsid w:val="129F2B53"/>
    <w:rsid w:val="12A845A8"/>
    <w:rsid w:val="12B40AA7"/>
    <w:rsid w:val="13045EFF"/>
    <w:rsid w:val="13161850"/>
    <w:rsid w:val="135E26A6"/>
    <w:rsid w:val="136E75D7"/>
    <w:rsid w:val="13704D68"/>
    <w:rsid w:val="1390697B"/>
    <w:rsid w:val="13CC2943"/>
    <w:rsid w:val="144F242A"/>
    <w:rsid w:val="145D5680"/>
    <w:rsid w:val="147A7952"/>
    <w:rsid w:val="14A20FD8"/>
    <w:rsid w:val="14C21B6F"/>
    <w:rsid w:val="14D9462E"/>
    <w:rsid w:val="14E05160"/>
    <w:rsid w:val="14F44840"/>
    <w:rsid w:val="15171E45"/>
    <w:rsid w:val="151C5F20"/>
    <w:rsid w:val="151E65FF"/>
    <w:rsid w:val="15325BF5"/>
    <w:rsid w:val="15360D63"/>
    <w:rsid w:val="1558382C"/>
    <w:rsid w:val="15701865"/>
    <w:rsid w:val="15790A9D"/>
    <w:rsid w:val="15A80ED6"/>
    <w:rsid w:val="15D41132"/>
    <w:rsid w:val="15D564C4"/>
    <w:rsid w:val="15DE44D2"/>
    <w:rsid w:val="15E77AEE"/>
    <w:rsid w:val="15EB6829"/>
    <w:rsid w:val="15EE7D7F"/>
    <w:rsid w:val="15F2470E"/>
    <w:rsid w:val="15F7061B"/>
    <w:rsid w:val="16105F47"/>
    <w:rsid w:val="16184816"/>
    <w:rsid w:val="162923AE"/>
    <w:rsid w:val="167909DF"/>
    <w:rsid w:val="167D7C9E"/>
    <w:rsid w:val="16887516"/>
    <w:rsid w:val="16981EF7"/>
    <w:rsid w:val="169E2CE6"/>
    <w:rsid w:val="16A55C77"/>
    <w:rsid w:val="16B45F24"/>
    <w:rsid w:val="16C032D5"/>
    <w:rsid w:val="16F56DA3"/>
    <w:rsid w:val="170A20BB"/>
    <w:rsid w:val="171B2680"/>
    <w:rsid w:val="172D48D7"/>
    <w:rsid w:val="173F71BF"/>
    <w:rsid w:val="17446A3D"/>
    <w:rsid w:val="17555615"/>
    <w:rsid w:val="1779404E"/>
    <w:rsid w:val="17955DED"/>
    <w:rsid w:val="179A111C"/>
    <w:rsid w:val="179A5FEC"/>
    <w:rsid w:val="17BF5E77"/>
    <w:rsid w:val="17C3335C"/>
    <w:rsid w:val="17C80364"/>
    <w:rsid w:val="17DA4A5F"/>
    <w:rsid w:val="184D5B81"/>
    <w:rsid w:val="18682902"/>
    <w:rsid w:val="188576FD"/>
    <w:rsid w:val="188C6DAC"/>
    <w:rsid w:val="18DD4E57"/>
    <w:rsid w:val="18EB68A6"/>
    <w:rsid w:val="18FD277E"/>
    <w:rsid w:val="192A24B1"/>
    <w:rsid w:val="194817FC"/>
    <w:rsid w:val="194A2E13"/>
    <w:rsid w:val="194B0481"/>
    <w:rsid w:val="194F38AF"/>
    <w:rsid w:val="19735F7B"/>
    <w:rsid w:val="198124BA"/>
    <w:rsid w:val="19892807"/>
    <w:rsid w:val="19B678E2"/>
    <w:rsid w:val="19DE010A"/>
    <w:rsid w:val="1A0A6E6B"/>
    <w:rsid w:val="1A1E49AB"/>
    <w:rsid w:val="1A270452"/>
    <w:rsid w:val="1A2D15F7"/>
    <w:rsid w:val="1A3E2420"/>
    <w:rsid w:val="1A3E537D"/>
    <w:rsid w:val="1A4B30EF"/>
    <w:rsid w:val="1A582C70"/>
    <w:rsid w:val="1A6557F2"/>
    <w:rsid w:val="1A6F47E7"/>
    <w:rsid w:val="1A75281D"/>
    <w:rsid w:val="1A796EDA"/>
    <w:rsid w:val="1AC3373C"/>
    <w:rsid w:val="1AC35115"/>
    <w:rsid w:val="1AC5074E"/>
    <w:rsid w:val="1ACC23CB"/>
    <w:rsid w:val="1AEE43A6"/>
    <w:rsid w:val="1AF720E7"/>
    <w:rsid w:val="1B083050"/>
    <w:rsid w:val="1B375AAA"/>
    <w:rsid w:val="1B4D5E7C"/>
    <w:rsid w:val="1B711F43"/>
    <w:rsid w:val="1B7D59C4"/>
    <w:rsid w:val="1B9851D1"/>
    <w:rsid w:val="1BA42D2D"/>
    <w:rsid w:val="1BAE39CB"/>
    <w:rsid w:val="1BCD35DA"/>
    <w:rsid w:val="1C1351EB"/>
    <w:rsid w:val="1C1C57EF"/>
    <w:rsid w:val="1C2D6A5C"/>
    <w:rsid w:val="1C3C21A2"/>
    <w:rsid w:val="1C435741"/>
    <w:rsid w:val="1C5921A5"/>
    <w:rsid w:val="1C765B70"/>
    <w:rsid w:val="1C921F6C"/>
    <w:rsid w:val="1C950DC8"/>
    <w:rsid w:val="1C9C1682"/>
    <w:rsid w:val="1CB30543"/>
    <w:rsid w:val="1CB82636"/>
    <w:rsid w:val="1CC91557"/>
    <w:rsid w:val="1CE83BE7"/>
    <w:rsid w:val="1CF345C3"/>
    <w:rsid w:val="1D0E319D"/>
    <w:rsid w:val="1D126A49"/>
    <w:rsid w:val="1D147D3C"/>
    <w:rsid w:val="1D26133C"/>
    <w:rsid w:val="1D3811FA"/>
    <w:rsid w:val="1D466FB9"/>
    <w:rsid w:val="1D617193"/>
    <w:rsid w:val="1D694302"/>
    <w:rsid w:val="1D867D1A"/>
    <w:rsid w:val="1DB96644"/>
    <w:rsid w:val="1DDE4001"/>
    <w:rsid w:val="1DDF4D1C"/>
    <w:rsid w:val="1E0F6B52"/>
    <w:rsid w:val="1E18679A"/>
    <w:rsid w:val="1E567BD3"/>
    <w:rsid w:val="1E6731D5"/>
    <w:rsid w:val="1E7320C1"/>
    <w:rsid w:val="1E8A0CAA"/>
    <w:rsid w:val="1E8C5541"/>
    <w:rsid w:val="1EAC7E0A"/>
    <w:rsid w:val="1EC42614"/>
    <w:rsid w:val="1ED80344"/>
    <w:rsid w:val="1EEA1677"/>
    <w:rsid w:val="1EED3E3E"/>
    <w:rsid w:val="1EF30FC6"/>
    <w:rsid w:val="1EF83F76"/>
    <w:rsid w:val="1F0079D8"/>
    <w:rsid w:val="1F046D4E"/>
    <w:rsid w:val="1F213EE7"/>
    <w:rsid w:val="1F2B6469"/>
    <w:rsid w:val="1F396135"/>
    <w:rsid w:val="1F3E7C39"/>
    <w:rsid w:val="1F4D1FBA"/>
    <w:rsid w:val="1F675F89"/>
    <w:rsid w:val="1F9512A8"/>
    <w:rsid w:val="1FA56903"/>
    <w:rsid w:val="1FC74AFD"/>
    <w:rsid w:val="1FD15EE1"/>
    <w:rsid w:val="1FEB3CBD"/>
    <w:rsid w:val="1FF115A0"/>
    <w:rsid w:val="1FF75D21"/>
    <w:rsid w:val="1FFC6307"/>
    <w:rsid w:val="20237641"/>
    <w:rsid w:val="20490C69"/>
    <w:rsid w:val="204A7561"/>
    <w:rsid w:val="20523E82"/>
    <w:rsid w:val="20644807"/>
    <w:rsid w:val="206A303B"/>
    <w:rsid w:val="206F2EC4"/>
    <w:rsid w:val="207A752A"/>
    <w:rsid w:val="20810B23"/>
    <w:rsid w:val="2082196C"/>
    <w:rsid w:val="20850437"/>
    <w:rsid w:val="208C6B12"/>
    <w:rsid w:val="209C2DA4"/>
    <w:rsid w:val="20AD0837"/>
    <w:rsid w:val="20DA783F"/>
    <w:rsid w:val="210A0830"/>
    <w:rsid w:val="213F2A78"/>
    <w:rsid w:val="21414E27"/>
    <w:rsid w:val="21640601"/>
    <w:rsid w:val="218868EF"/>
    <w:rsid w:val="218B7BAB"/>
    <w:rsid w:val="218F5E02"/>
    <w:rsid w:val="219B50F6"/>
    <w:rsid w:val="21AE6EC6"/>
    <w:rsid w:val="21B30E0B"/>
    <w:rsid w:val="21C00CE5"/>
    <w:rsid w:val="21C2344F"/>
    <w:rsid w:val="21C268AC"/>
    <w:rsid w:val="21CC4F72"/>
    <w:rsid w:val="21CE0281"/>
    <w:rsid w:val="21D50E6D"/>
    <w:rsid w:val="22123F32"/>
    <w:rsid w:val="2227225B"/>
    <w:rsid w:val="22325497"/>
    <w:rsid w:val="223814FD"/>
    <w:rsid w:val="2260404C"/>
    <w:rsid w:val="22696FFE"/>
    <w:rsid w:val="227C6D79"/>
    <w:rsid w:val="22E14EBC"/>
    <w:rsid w:val="233B0B10"/>
    <w:rsid w:val="239C57B8"/>
    <w:rsid w:val="23FC376D"/>
    <w:rsid w:val="23FC7916"/>
    <w:rsid w:val="240024A9"/>
    <w:rsid w:val="24022841"/>
    <w:rsid w:val="2432352D"/>
    <w:rsid w:val="244120BC"/>
    <w:rsid w:val="24BE72A6"/>
    <w:rsid w:val="24C42F59"/>
    <w:rsid w:val="24C956C5"/>
    <w:rsid w:val="24F77E58"/>
    <w:rsid w:val="2501318E"/>
    <w:rsid w:val="250A44A9"/>
    <w:rsid w:val="251B4AC5"/>
    <w:rsid w:val="252A49EA"/>
    <w:rsid w:val="252F17E9"/>
    <w:rsid w:val="25515A8F"/>
    <w:rsid w:val="257865D0"/>
    <w:rsid w:val="25F2787D"/>
    <w:rsid w:val="263E46AC"/>
    <w:rsid w:val="264634B9"/>
    <w:rsid w:val="2649453F"/>
    <w:rsid w:val="26517EC8"/>
    <w:rsid w:val="26600EFE"/>
    <w:rsid w:val="268F7F2A"/>
    <w:rsid w:val="26960004"/>
    <w:rsid w:val="269C2FFA"/>
    <w:rsid w:val="26DA7746"/>
    <w:rsid w:val="26E66825"/>
    <w:rsid w:val="26F60996"/>
    <w:rsid w:val="27146081"/>
    <w:rsid w:val="271D5136"/>
    <w:rsid w:val="271F76D1"/>
    <w:rsid w:val="273B46F3"/>
    <w:rsid w:val="273C196F"/>
    <w:rsid w:val="273F73E6"/>
    <w:rsid w:val="274367FF"/>
    <w:rsid w:val="276726E4"/>
    <w:rsid w:val="278B50BA"/>
    <w:rsid w:val="27CA1F96"/>
    <w:rsid w:val="27D007EA"/>
    <w:rsid w:val="27E17DF0"/>
    <w:rsid w:val="27F31454"/>
    <w:rsid w:val="28291C50"/>
    <w:rsid w:val="283C177F"/>
    <w:rsid w:val="28431326"/>
    <w:rsid w:val="285068BB"/>
    <w:rsid w:val="2872406D"/>
    <w:rsid w:val="289D2BD1"/>
    <w:rsid w:val="28B0237D"/>
    <w:rsid w:val="28C82245"/>
    <w:rsid w:val="28CE63C5"/>
    <w:rsid w:val="28D361A5"/>
    <w:rsid w:val="2907582C"/>
    <w:rsid w:val="29237B49"/>
    <w:rsid w:val="293C1946"/>
    <w:rsid w:val="295764E8"/>
    <w:rsid w:val="296364ED"/>
    <w:rsid w:val="297019AD"/>
    <w:rsid w:val="297517B3"/>
    <w:rsid w:val="297F2DF4"/>
    <w:rsid w:val="2980555E"/>
    <w:rsid w:val="29A515DC"/>
    <w:rsid w:val="29A82470"/>
    <w:rsid w:val="29D05B2A"/>
    <w:rsid w:val="29F46BF1"/>
    <w:rsid w:val="29F540A1"/>
    <w:rsid w:val="2A183BA6"/>
    <w:rsid w:val="2A227FF4"/>
    <w:rsid w:val="2A491E31"/>
    <w:rsid w:val="2A5213EC"/>
    <w:rsid w:val="2A5C2BE0"/>
    <w:rsid w:val="2A5D69F0"/>
    <w:rsid w:val="2A5F2D91"/>
    <w:rsid w:val="2A794084"/>
    <w:rsid w:val="2A7F2862"/>
    <w:rsid w:val="2A8E3487"/>
    <w:rsid w:val="2A8F1710"/>
    <w:rsid w:val="2A98582B"/>
    <w:rsid w:val="2AA57354"/>
    <w:rsid w:val="2AA70110"/>
    <w:rsid w:val="2AB2624A"/>
    <w:rsid w:val="2ABE000A"/>
    <w:rsid w:val="2AD119E6"/>
    <w:rsid w:val="2AD4237F"/>
    <w:rsid w:val="2AF73315"/>
    <w:rsid w:val="2B0A6FB1"/>
    <w:rsid w:val="2B382E7E"/>
    <w:rsid w:val="2B3E4634"/>
    <w:rsid w:val="2B58149E"/>
    <w:rsid w:val="2B5F76F3"/>
    <w:rsid w:val="2B831A77"/>
    <w:rsid w:val="2BAD443E"/>
    <w:rsid w:val="2BC77C2C"/>
    <w:rsid w:val="2BFD3CA8"/>
    <w:rsid w:val="2C071F1F"/>
    <w:rsid w:val="2C161CE8"/>
    <w:rsid w:val="2C2600D1"/>
    <w:rsid w:val="2C35096C"/>
    <w:rsid w:val="2C3E049C"/>
    <w:rsid w:val="2C504D9D"/>
    <w:rsid w:val="2C623180"/>
    <w:rsid w:val="2C680433"/>
    <w:rsid w:val="2C822310"/>
    <w:rsid w:val="2C8A53D8"/>
    <w:rsid w:val="2C94425A"/>
    <w:rsid w:val="2C99595D"/>
    <w:rsid w:val="2CBA7F57"/>
    <w:rsid w:val="2CCA13EA"/>
    <w:rsid w:val="2CF95944"/>
    <w:rsid w:val="2D1A4251"/>
    <w:rsid w:val="2D1B339B"/>
    <w:rsid w:val="2D236ADB"/>
    <w:rsid w:val="2D2C20B9"/>
    <w:rsid w:val="2D5409B8"/>
    <w:rsid w:val="2D662B4F"/>
    <w:rsid w:val="2D732009"/>
    <w:rsid w:val="2D806F7B"/>
    <w:rsid w:val="2D905B14"/>
    <w:rsid w:val="2DA43325"/>
    <w:rsid w:val="2DEF2C3A"/>
    <w:rsid w:val="2DFB6960"/>
    <w:rsid w:val="2DFF1BF8"/>
    <w:rsid w:val="2E4B57EF"/>
    <w:rsid w:val="2E5E339D"/>
    <w:rsid w:val="2E730976"/>
    <w:rsid w:val="2E7902E6"/>
    <w:rsid w:val="2EBE07BC"/>
    <w:rsid w:val="2EC44E9E"/>
    <w:rsid w:val="2ED95C08"/>
    <w:rsid w:val="2EDB4C10"/>
    <w:rsid w:val="2EED7876"/>
    <w:rsid w:val="2EF77DE6"/>
    <w:rsid w:val="2F154697"/>
    <w:rsid w:val="2F230380"/>
    <w:rsid w:val="2F5351D7"/>
    <w:rsid w:val="2F7228AC"/>
    <w:rsid w:val="2FC71547"/>
    <w:rsid w:val="2FE45510"/>
    <w:rsid w:val="2FFE23A7"/>
    <w:rsid w:val="2FFE4C0B"/>
    <w:rsid w:val="3007281E"/>
    <w:rsid w:val="300F503A"/>
    <w:rsid w:val="303B1BE3"/>
    <w:rsid w:val="305B3E0B"/>
    <w:rsid w:val="3062166C"/>
    <w:rsid w:val="306554F5"/>
    <w:rsid w:val="30A60B13"/>
    <w:rsid w:val="30B56118"/>
    <w:rsid w:val="30F37C1F"/>
    <w:rsid w:val="30FD7AC4"/>
    <w:rsid w:val="31092C45"/>
    <w:rsid w:val="31135CDD"/>
    <w:rsid w:val="31160A0E"/>
    <w:rsid w:val="31210BB1"/>
    <w:rsid w:val="312C03B6"/>
    <w:rsid w:val="312D446C"/>
    <w:rsid w:val="312D7D00"/>
    <w:rsid w:val="313905F0"/>
    <w:rsid w:val="31523EA5"/>
    <w:rsid w:val="3172064C"/>
    <w:rsid w:val="31733A87"/>
    <w:rsid w:val="31853743"/>
    <w:rsid w:val="318C18AE"/>
    <w:rsid w:val="31973569"/>
    <w:rsid w:val="31AD34D0"/>
    <w:rsid w:val="31D245CA"/>
    <w:rsid w:val="31D73588"/>
    <w:rsid w:val="31E347F1"/>
    <w:rsid w:val="31F913D8"/>
    <w:rsid w:val="31FB7654"/>
    <w:rsid w:val="32051C37"/>
    <w:rsid w:val="321E4180"/>
    <w:rsid w:val="324033AF"/>
    <w:rsid w:val="32413089"/>
    <w:rsid w:val="325F7797"/>
    <w:rsid w:val="32796485"/>
    <w:rsid w:val="32951D54"/>
    <w:rsid w:val="32A33BC6"/>
    <w:rsid w:val="32A673F0"/>
    <w:rsid w:val="32B01BFA"/>
    <w:rsid w:val="32B82CD9"/>
    <w:rsid w:val="32BD7DDA"/>
    <w:rsid w:val="32D64B33"/>
    <w:rsid w:val="32DD5EDB"/>
    <w:rsid w:val="32F12805"/>
    <w:rsid w:val="32F316B8"/>
    <w:rsid w:val="33141EBF"/>
    <w:rsid w:val="33383360"/>
    <w:rsid w:val="33461575"/>
    <w:rsid w:val="33704C36"/>
    <w:rsid w:val="337926BF"/>
    <w:rsid w:val="33934AB7"/>
    <w:rsid w:val="33D50B9F"/>
    <w:rsid w:val="33EA23A5"/>
    <w:rsid w:val="33EE0FFB"/>
    <w:rsid w:val="344D358E"/>
    <w:rsid w:val="344D77BF"/>
    <w:rsid w:val="346C2BB5"/>
    <w:rsid w:val="347064FF"/>
    <w:rsid w:val="347D0BB7"/>
    <w:rsid w:val="34BC3B37"/>
    <w:rsid w:val="34D90BF1"/>
    <w:rsid w:val="34D94A8F"/>
    <w:rsid w:val="34F729B7"/>
    <w:rsid w:val="3543266A"/>
    <w:rsid w:val="35533A49"/>
    <w:rsid w:val="355508F0"/>
    <w:rsid w:val="355E220A"/>
    <w:rsid w:val="35697EC5"/>
    <w:rsid w:val="356B7CCB"/>
    <w:rsid w:val="35922017"/>
    <w:rsid w:val="35BA15D4"/>
    <w:rsid w:val="35BA1DF6"/>
    <w:rsid w:val="35BB0BF3"/>
    <w:rsid w:val="35C40BA0"/>
    <w:rsid w:val="35FF4EB1"/>
    <w:rsid w:val="363E02D5"/>
    <w:rsid w:val="36406B37"/>
    <w:rsid w:val="36620457"/>
    <w:rsid w:val="3668140B"/>
    <w:rsid w:val="36812EA6"/>
    <w:rsid w:val="36A77707"/>
    <w:rsid w:val="36AB65D4"/>
    <w:rsid w:val="36B746BC"/>
    <w:rsid w:val="36CB11EA"/>
    <w:rsid w:val="36E73CCE"/>
    <w:rsid w:val="36EA62C4"/>
    <w:rsid w:val="36FB5D01"/>
    <w:rsid w:val="36FE3234"/>
    <w:rsid w:val="371B60A2"/>
    <w:rsid w:val="371D336E"/>
    <w:rsid w:val="37286F85"/>
    <w:rsid w:val="37341177"/>
    <w:rsid w:val="373824B6"/>
    <w:rsid w:val="37401C1F"/>
    <w:rsid w:val="37424E5A"/>
    <w:rsid w:val="3742546F"/>
    <w:rsid w:val="37524396"/>
    <w:rsid w:val="375C6793"/>
    <w:rsid w:val="37F9735D"/>
    <w:rsid w:val="38135D06"/>
    <w:rsid w:val="38147EDC"/>
    <w:rsid w:val="382633EF"/>
    <w:rsid w:val="38275D11"/>
    <w:rsid w:val="38373E4C"/>
    <w:rsid w:val="384B11A5"/>
    <w:rsid w:val="38584C11"/>
    <w:rsid w:val="386677F1"/>
    <w:rsid w:val="386C3B4A"/>
    <w:rsid w:val="3894435E"/>
    <w:rsid w:val="38A60DF1"/>
    <w:rsid w:val="38C728D0"/>
    <w:rsid w:val="38C9721B"/>
    <w:rsid w:val="38D34E86"/>
    <w:rsid w:val="38F372D7"/>
    <w:rsid w:val="38F5268D"/>
    <w:rsid w:val="390220DA"/>
    <w:rsid w:val="39116746"/>
    <w:rsid w:val="391A64D8"/>
    <w:rsid w:val="392022AF"/>
    <w:rsid w:val="394311D0"/>
    <w:rsid w:val="394D1BA4"/>
    <w:rsid w:val="39525EAF"/>
    <w:rsid w:val="39536350"/>
    <w:rsid w:val="3986069A"/>
    <w:rsid w:val="39B00ABA"/>
    <w:rsid w:val="39B86DAD"/>
    <w:rsid w:val="39BE36C4"/>
    <w:rsid w:val="3A0D1286"/>
    <w:rsid w:val="3A141CF2"/>
    <w:rsid w:val="3A1F13E7"/>
    <w:rsid w:val="3A22777B"/>
    <w:rsid w:val="3A2B6551"/>
    <w:rsid w:val="3A387794"/>
    <w:rsid w:val="3A4B3C15"/>
    <w:rsid w:val="3A630F43"/>
    <w:rsid w:val="3A8F5030"/>
    <w:rsid w:val="3A9333FD"/>
    <w:rsid w:val="3ABF079D"/>
    <w:rsid w:val="3AD1769C"/>
    <w:rsid w:val="3B0D5ACF"/>
    <w:rsid w:val="3B2A2D58"/>
    <w:rsid w:val="3B3946C2"/>
    <w:rsid w:val="3B40146E"/>
    <w:rsid w:val="3B454465"/>
    <w:rsid w:val="3B771184"/>
    <w:rsid w:val="3B80094B"/>
    <w:rsid w:val="3B8B3675"/>
    <w:rsid w:val="3B91088E"/>
    <w:rsid w:val="3B91218D"/>
    <w:rsid w:val="3B984D63"/>
    <w:rsid w:val="3BA75ABD"/>
    <w:rsid w:val="3BB87D86"/>
    <w:rsid w:val="3BE421C3"/>
    <w:rsid w:val="3BED33D4"/>
    <w:rsid w:val="3BF12958"/>
    <w:rsid w:val="3BF70E8C"/>
    <w:rsid w:val="3C1E4416"/>
    <w:rsid w:val="3C2C689E"/>
    <w:rsid w:val="3C4D4213"/>
    <w:rsid w:val="3C523F7C"/>
    <w:rsid w:val="3C7A67EC"/>
    <w:rsid w:val="3CAE403E"/>
    <w:rsid w:val="3CB73432"/>
    <w:rsid w:val="3CBE6E54"/>
    <w:rsid w:val="3CC13A13"/>
    <w:rsid w:val="3CDC6557"/>
    <w:rsid w:val="3CF81D1D"/>
    <w:rsid w:val="3D016EA4"/>
    <w:rsid w:val="3D157F9D"/>
    <w:rsid w:val="3D1D5906"/>
    <w:rsid w:val="3D296F62"/>
    <w:rsid w:val="3D31229A"/>
    <w:rsid w:val="3D387FE4"/>
    <w:rsid w:val="3D3B408D"/>
    <w:rsid w:val="3D4139CE"/>
    <w:rsid w:val="3D5200E0"/>
    <w:rsid w:val="3D622FB8"/>
    <w:rsid w:val="3D6D2331"/>
    <w:rsid w:val="3D7B288E"/>
    <w:rsid w:val="3D8A134C"/>
    <w:rsid w:val="3D910C81"/>
    <w:rsid w:val="3D94164A"/>
    <w:rsid w:val="3DC010BA"/>
    <w:rsid w:val="3DC4442C"/>
    <w:rsid w:val="3DC90571"/>
    <w:rsid w:val="3DE657EF"/>
    <w:rsid w:val="3E136892"/>
    <w:rsid w:val="3E23185B"/>
    <w:rsid w:val="3E53053A"/>
    <w:rsid w:val="3E5952CD"/>
    <w:rsid w:val="3E667632"/>
    <w:rsid w:val="3E815E3A"/>
    <w:rsid w:val="3E9211FC"/>
    <w:rsid w:val="3EB672E8"/>
    <w:rsid w:val="3EBB0BD4"/>
    <w:rsid w:val="3ED25CB2"/>
    <w:rsid w:val="3EDC2891"/>
    <w:rsid w:val="3EE5066E"/>
    <w:rsid w:val="3EF93396"/>
    <w:rsid w:val="3F132099"/>
    <w:rsid w:val="3F1E2829"/>
    <w:rsid w:val="3F317E5A"/>
    <w:rsid w:val="3F3B18E0"/>
    <w:rsid w:val="3FB11C9A"/>
    <w:rsid w:val="3FCC3208"/>
    <w:rsid w:val="401A20DF"/>
    <w:rsid w:val="403F3D64"/>
    <w:rsid w:val="404E15E0"/>
    <w:rsid w:val="409649A1"/>
    <w:rsid w:val="409F3A5B"/>
    <w:rsid w:val="40B96025"/>
    <w:rsid w:val="40C12CBE"/>
    <w:rsid w:val="40C40EA7"/>
    <w:rsid w:val="40FF7229"/>
    <w:rsid w:val="410178D6"/>
    <w:rsid w:val="41163884"/>
    <w:rsid w:val="412870BA"/>
    <w:rsid w:val="412D7D00"/>
    <w:rsid w:val="414310DB"/>
    <w:rsid w:val="41527A82"/>
    <w:rsid w:val="4170091B"/>
    <w:rsid w:val="417C41FF"/>
    <w:rsid w:val="418B2F47"/>
    <w:rsid w:val="4198163A"/>
    <w:rsid w:val="41B415CD"/>
    <w:rsid w:val="41BE71A9"/>
    <w:rsid w:val="41C3319D"/>
    <w:rsid w:val="41CA7043"/>
    <w:rsid w:val="41CC1514"/>
    <w:rsid w:val="41F6270F"/>
    <w:rsid w:val="421856C2"/>
    <w:rsid w:val="42410916"/>
    <w:rsid w:val="424A1FDF"/>
    <w:rsid w:val="42576B28"/>
    <w:rsid w:val="42911696"/>
    <w:rsid w:val="4294615F"/>
    <w:rsid w:val="42C60127"/>
    <w:rsid w:val="42CF7A53"/>
    <w:rsid w:val="42D05017"/>
    <w:rsid w:val="42D57A4D"/>
    <w:rsid w:val="43084EF8"/>
    <w:rsid w:val="432269C3"/>
    <w:rsid w:val="4335001A"/>
    <w:rsid w:val="43384333"/>
    <w:rsid w:val="434D2D32"/>
    <w:rsid w:val="43616662"/>
    <w:rsid w:val="4372038A"/>
    <w:rsid w:val="4372208D"/>
    <w:rsid w:val="43A75235"/>
    <w:rsid w:val="43A871C2"/>
    <w:rsid w:val="43BE1911"/>
    <w:rsid w:val="43D45DE8"/>
    <w:rsid w:val="43DE2931"/>
    <w:rsid w:val="43FE2FD4"/>
    <w:rsid w:val="442D3EBD"/>
    <w:rsid w:val="44307C27"/>
    <w:rsid w:val="44433E7C"/>
    <w:rsid w:val="444924DF"/>
    <w:rsid w:val="444B685F"/>
    <w:rsid w:val="44616DE6"/>
    <w:rsid w:val="447115C6"/>
    <w:rsid w:val="44827C1E"/>
    <w:rsid w:val="44897EF7"/>
    <w:rsid w:val="448B66CE"/>
    <w:rsid w:val="44A70245"/>
    <w:rsid w:val="44A90864"/>
    <w:rsid w:val="44CE6E4A"/>
    <w:rsid w:val="44D06BB2"/>
    <w:rsid w:val="44D95BAD"/>
    <w:rsid w:val="44E330C9"/>
    <w:rsid w:val="450150F5"/>
    <w:rsid w:val="45123BB5"/>
    <w:rsid w:val="452B293F"/>
    <w:rsid w:val="453F772D"/>
    <w:rsid w:val="454027D1"/>
    <w:rsid w:val="456E5A7F"/>
    <w:rsid w:val="458D460F"/>
    <w:rsid w:val="459745C2"/>
    <w:rsid w:val="4597723C"/>
    <w:rsid w:val="45AC2850"/>
    <w:rsid w:val="45B5598A"/>
    <w:rsid w:val="45D24718"/>
    <w:rsid w:val="45DC1C58"/>
    <w:rsid w:val="45E00D00"/>
    <w:rsid w:val="45EA00DF"/>
    <w:rsid w:val="460B6100"/>
    <w:rsid w:val="462B4361"/>
    <w:rsid w:val="463058F6"/>
    <w:rsid w:val="464B72BF"/>
    <w:rsid w:val="46614399"/>
    <w:rsid w:val="467056B2"/>
    <w:rsid w:val="469059DD"/>
    <w:rsid w:val="46932C51"/>
    <w:rsid w:val="469A7845"/>
    <w:rsid w:val="46A47BAC"/>
    <w:rsid w:val="46B01973"/>
    <w:rsid w:val="46B45E6A"/>
    <w:rsid w:val="46D7508C"/>
    <w:rsid w:val="46E55C26"/>
    <w:rsid w:val="46E55F3E"/>
    <w:rsid w:val="46FF161A"/>
    <w:rsid w:val="470D6DD1"/>
    <w:rsid w:val="47155318"/>
    <w:rsid w:val="47311519"/>
    <w:rsid w:val="475353E4"/>
    <w:rsid w:val="475A6A85"/>
    <w:rsid w:val="475F2657"/>
    <w:rsid w:val="47B33A2C"/>
    <w:rsid w:val="47E61433"/>
    <w:rsid w:val="47FF56C8"/>
    <w:rsid w:val="480134F8"/>
    <w:rsid w:val="48116BD7"/>
    <w:rsid w:val="482543E5"/>
    <w:rsid w:val="482D5F52"/>
    <w:rsid w:val="4860600B"/>
    <w:rsid w:val="486F5DC3"/>
    <w:rsid w:val="48954BF8"/>
    <w:rsid w:val="48A70ADD"/>
    <w:rsid w:val="48C51A56"/>
    <w:rsid w:val="49215AD9"/>
    <w:rsid w:val="492301FF"/>
    <w:rsid w:val="492573E6"/>
    <w:rsid w:val="492F5A35"/>
    <w:rsid w:val="49363A71"/>
    <w:rsid w:val="493F1FD4"/>
    <w:rsid w:val="49495097"/>
    <w:rsid w:val="499A6C45"/>
    <w:rsid w:val="499D328D"/>
    <w:rsid w:val="49A726F5"/>
    <w:rsid w:val="49A8358F"/>
    <w:rsid w:val="49B80EBD"/>
    <w:rsid w:val="49BD0CC2"/>
    <w:rsid w:val="49C54151"/>
    <w:rsid w:val="49D77185"/>
    <w:rsid w:val="49F1320C"/>
    <w:rsid w:val="4A067C7E"/>
    <w:rsid w:val="4A2B06B7"/>
    <w:rsid w:val="4A2C5620"/>
    <w:rsid w:val="4A365D96"/>
    <w:rsid w:val="4A554FB6"/>
    <w:rsid w:val="4A562946"/>
    <w:rsid w:val="4A767D68"/>
    <w:rsid w:val="4A7B22B5"/>
    <w:rsid w:val="4AA21B83"/>
    <w:rsid w:val="4AA5459A"/>
    <w:rsid w:val="4AC064FF"/>
    <w:rsid w:val="4AE555A1"/>
    <w:rsid w:val="4AEC7980"/>
    <w:rsid w:val="4AF24644"/>
    <w:rsid w:val="4AFC6F42"/>
    <w:rsid w:val="4B187641"/>
    <w:rsid w:val="4B1B6FBD"/>
    <w:rsid w:val="4B6A6A72"/>
    <w:rsid w:val="4B714A4C"/>
    <w:rsid w:val="4BA3567B"/>
    <w:rsid w:val="4BA5567E"/>
    <w:rsid w:val="4BC71D5F"/>
    <w:rsid w:val="4BC93952"/>
    <w:rsid w:val="4BC95900"/>
    <w:rsid w:val="4BD502C1"/>
    <w:rsid w:val="4BE44D3D"/>
    <w:rsid w:val="4BF337A4"/>
    <w:rsid w:val="4C256776"/>
    <w:rsid w:val="4C2745BE"/>
    <w:rsid w:val="4C3A0D60"/>
    <w:rsid w:val="4C6E1633"/>
    <w:rsid w:val="4C792A51"/>
    <w:rsid w:val="4C8F6448"/>
    <w:rsid w:val="4CC743C2"/>
    <w:rsid w:val="4CD46968"/>
    <w:rsid w:val="4CFD2D0A"/>
    <w:rsid w:val="4CFF24DE"/>
    <w:rsid w:val="4D0B530A"/>
    <w:rsid w:val="4D0E6B03"/>
    <w:rsid w:val="4D2517BB"/>
    <w:rsid w:val="4D4E0C74"/>
    <w:rsid w:val="4D526945"/>
    <w:rsid w:val="4D956577"/>
    <w:rsid w:val="4DAE7D3B"/>
    <w:rsid w:val="4DE3193D"/>
    <w:rsid w:val="4DE5696E"/>
    <w:rsid w:val="4DFF382E"/>
    <w:rsid w:val="4E165694"/>
    <w:rsid w:val="4E3A0E53"/>
    <w:rsid w:val="4E5840C4"/>
    <w:rsid w:val="4E703BAC"/>
    <w:rsid w:val="4E752EF3"/>
    <w:rsid w:val="4EAA7FE0"/>
    <w:rsid w:val="4EFA1D40"/>
    <w:rsid w:val="4F001AD2"/>
    <w:rsid w:val="4F0E14E5"/>
    <w:rsid w:val="4F1269F4"/>
    <w:rsid w:val="4F2F4C06"/>
    <w:rsid w:val="4F3F1986"/>
    <w:rsid w:val="4F5D5865"/>
    <w:rsid w:val="4F645A57"/>
    <w:rsid w:val="4F845801"/>
    <w:rsid w:val="4F9076EA"/>
    <w:rsid w:val="4F952A4C"/>
    <w:rsid w:val="4FBB5C1A"/>
    <w:rsid w:val="4FC60F8B"/>
    <w:rsid w:val="4FC6467C"/>
    <w:rsid w:val="4FD426E5"/>
    <w:rsid w:val="4FE03678"/>
    <w:rsid w:val="50154308"/>
    <w:rsid w:val="502838B2"/>
    <w:rsid w:val="503B1DA7"/>
    <w:rsid w:val="50643E54"/>
    <w:rsid w:val="50750AED"/>
    <w:rsid w:val="50762712"/>
    <w:rsid w:val="50796737"/>
    <w:rsid w:val="5079722C"/>
    <w:rsid w:val="507F724A"/>
    <w:rsid w:val="5080644A"/>
    <w:rsid w:val="50974594"/>
    <w:rsid w:val="50AB1563"/>
    <w:rsid w:val="50CE050E"/>
    <w:rsid w:val="50DD58C1"/>
    <w:rsid w:val="511278B0"/>
    <w:rsid w:val="5134684C"/>
    <w:rsid w:val="515348AE"/>
    <w:rsid w:val="51621462"/>
    <w:rsid w:val="5162632D"/>
    <w:rsid w:val="51652001"/>
    <w:rsid w:val="516A768B"/>
    <w:rsid w:val="516F7FCA"/>
    <w:rsid w:val="517E442B"/>
    <w:rsid w:val="51B478EA"/>
    <w:rsid w:val="51C06B27"/>
    <w:rsid w:val="51C55131"/>
    <w:rsid w:val="51C5706A"/>
    <w:rsid w:val="51CC6A9E"/>
    <w:rsid w:val="51CE0489"/>
    <w:rsid w:val="51F76393"/>
    <w:rsid w:val="52047456"/>
    <w:rsid w:val="521B28B9"/>
    <w:rsid w:val="52290B8A"/>
    <w:rsid w:val="522E04F4"/>
    <w:rsid w:val="525639E4"/>
    <w:rsid w:val="5261208C"/>
    <w:rsid w:val="52691F60"/>
    <w:rsid w:val="52BC3484"/>
    <w:rsid w:val="52C22C4B"/>
    <w:rsid w:val="52CB68A8"/>
    <w:rsid w:val="52E15F9A"/>
    <w:rsid w:val="52E866AE"/>
    <w:rsid w:val="530750B7"/>
    <w:rsid w:val="53200C5D"/>
    <w:rsid w:val="534832EF"/>
    <w:rsid w:val="535E0F14"/>
    <w:rsid w:val="536561EB"/>
    <w:rsid w:val="53706227"/>
    <w:rsid w:val="5377055A"/>
    <w:rsid w:val="539D5DA7"/>
    <w:rsid w:val="53A94D0A"/>
    <w:rsid w:val="53FF2AB9"/>
    <w:rsid w:val="54203D75"/>
    <w:rsid w:val="5435218F"/>
    <w:rsid w:val="543C4711"/>
    <w:rsid w:val="543D5B96"/>
    <w:rsid w:val="54487D26"/>
    <w:rsid w:val="54497F22"/>
    <w:rsid w:val="545A1596"/>
    <w:rsid w:val="548A7D0C"/>
    <w:rsid w:val="549652A5"/>
    <w:rsid w:val="5499691E"/>
    <w:rsid w:val="54BC082D"/>
    <w:rsid w:val="54BE6593"/>
    <w:rsid w:val="54C857C3"/>
    <w:rsid w:val="54FA7F82"/>
    <w:rsid w:val="55307A0C"/>
    <w:rsid w:val="553A7B7B"/>
    <w:rsid w:val="556665E0"/>
    <w:rsid w:val="558E68EA"/>
    <w:rsid w:val="5590733F"/>
    <w:rsid w:val="55910A92"/>
    <w:rsid w:val="559757D0"/>
    <w:rsid w:val="55975BA7"/>
    <w:rsid w:val="55A506DF"/>
    <w:rsid w:val="55AE4F5C"/>
    <w:rsid w:val="55BB5576"/>
    <w:rsid w:val="56002A66"/>
    <w:rsid w:val="560B1D82"/>
    <w:rsid w:val="561048D4"/>
    <w:rsid w:val="5645325F"/>
    <w:rsid w:val="564E6B95"/>
    <w:rsid w:val="56562848"/>
    <w:rsid w:val="566F311B"/>
    <w:rsid w:val="56781FA5"/>
    <w:rsid w:val="56835888"/>
    <w:rsid w:val="56995180"/>
    <w:rsid w:val="56AD5CE8"/>
    <w:rsid w:val="56BD031C"/>
    <w:rsid w:val="56E73D89"/>
    <w:rsid w:val="57031F7F"/>
    <w:rsid w:val="572570B3"/>
    <w:rsid w:val="573B07A2"/>
    <w:rsid w:val="573E6B31"/>
    <w:rsid w:val="575603AD"/>
    <w:rsid w:val="57B51F24"/>
    <w:rsid w:val="57C73676"/>
    <w:rsid w:val="57C87CAB"/>
    <w:rsid w:val="57C91C4F"/>
    <w:rsid w:val="58033991"/>
    <w:rsid w:val="581214E9"/>
    <w:rsid w:val="58374890"/>
    <w:rsid w:val="583921D7"/>
    <w:rsid w:val="584B538A"/>
    <w:rsid w:val="584E7AA5"/>
    <w:rsid w:val="5853780C"/>
    <w:rsid w:val="5866181E"/>
    <w:rsid w:val="58727DC0"/>
    <w:rsid w:val="5889335C"/>
    <w:rsid w:val="58C93AFA"/>
    <w:rsid w:val="58CD28A0"/>
    <w:rsid w:val="58D82D25"/>
    <w:rsid w:val="58E050FF"/>
    <w:rsid w:val="58FA1B64"/>
    <w:rsid w:val="592B3B37"/>
    <w:rsid w:val="593E3679"/>
    <w:rsid w:val="594A0F21"/>
    <w:rsid w:val="595600CF"/>
    <w:rsid w:val="59570C09"/>
    <w:rsid w:val="595A535A"/>
    <w:rsid w:val="596C5157"/>
    <w:rsid w:val="59820CB9"/>
    <w:rsid w:val="599C6916"/>
    <w:rsid w:val="59A24A11"/>
    <w:rsid w:val="59D031DC"/>
    <w:rsid w:val="5A0713C2"/>
    <w:rsid w:val="5A1D78F0"/>
    <w:rsid w:val="5A281CC3"/>
    <w:rsid w:val="5A4B633F"/>
    <w:rsid w:val="5A4C4E87"/>
    <w:rsid w:val="5A4F42A8"/>
    <w:rsid w:val="5A537BD2"/>
    <w:rsid w:val="5A59522E"/>
    <w:rsid w:val="5A5D1EF9"/>
    <w:rsid w:val="5A727EB5"/>
    <w:rsid w:val="5A8008B1"/>
    <w:rsid w:val="5A952562"/>
    <w:rsid w:val="5AA11689"/>
    <w:rsid w:val="5AB537DF"/>
    <w:rsid w:val="5ADA2219"/>
    <w:rsid w:val="5AF63478"/>
    <w:rsid w:val="5AF9525B"/>
    <w:rsid w:val="5B0B6223"/>
    <w:rsid w:val="5B0C46E4"/>
    <w:rsid w:val="5B1909C7"/>
    <w:rsid w:val="5B1D54D7"/>
    <w:rsid w:val="5B3220B7"/>
    <w:rsid w:val="5B32315F"/>
    <w:rsid w:val="5B5C08B4"/>
    <w:rsid w:val="5B602550"/>
    <w:rsid w:val="5B684D9D"/>
    <w:rsid w:val="5BB35FA0"/>
    <w:rsid w:val="5BB55A1D"/>
    <w:rsid w:val="5BC87214"/>
    <w:rsid w:val="5BD6036B"/>
    <w:rsid w:val="5BF147BE"/>
    <w:rsid w:val="5C263FFC"/>
    <w:rsid w:val="5C3F632C"/>
    <w:rsid w:val="5C4369D4"/>
    <w:rsid w:val="5C4E7F25"/>
    <w:rsid w:val="5C6E212C"/>
    <w:rsid w:val="5C73096B"/>
    <w:rsid w:val="5C7376E4"/>
    <w:rsid w:val="5CA03123"/>
    <w:rsid w:val="5CDA3F46"/>
    <w:rsid w:val="5CF85EE2"/>
    <w:rsid w:val="5D4A3E3F"/>
    <w:rsid w:val="5D4F0E61"/>
    <w:rsid w:val="5D6121B1"/>
    <w:rsid w:val="5D673093"/>
    <w:rsid w:val="5D675B54"/>
    <w:rsid w:val="5D977AC6"/>
    <w:rsid w:val="5D9B52A7"/>
    <w:rsid w:val="5D9F5DAC"/>
    <w:rsid w:val="5DAC2119"/>
    <w:rsid w:val="5E296747"/>
    <w:rsid w:val="5E344177"/>
    <w:rsid w:val="5E441BE6"/>
    <w:rsid w:val="5E4529B2"/>
    <w:rsid w:val="5E6376C3"/>
    <w:rsid w:val="5E920F46"/>
    <w:rsid w:val="5EA207F7"/>
    <w:rsid w:val="5EBB525E"/>
    <w:rsid w:val="5ED51E4C"/>
    <w:rsid w:val="5ED95177"/>
    <w:rsid w:val="5EF922BC"/>
    <w:rsid w:val="5F2F13E9"/>
    <w:rsid w:val="5F631733"/>
    <w:rsid w:val="5F645F89"/>
    <w:rsid w:val="5F663605"/>
    <w:rsid w:val="5F7F23CC"/>
    <w:rsid w:val="5F941C25"/>
    <w:rsid w:val="5FA04873"/>
    <w:rsid w:val="5FE2350C"/>
    <w:rsid w:val="5FE666BB"/>
    <w:rsid w:val="600D6E2B"/>
    <w:rsid w:val="60133D7D"/>
    <w:rsid w:val="601B52DF"/>
    <w:rsid w:val="604604FA"/>
    <w:rsid w:val="60624BBE"/>
    <w:rsid w:val="60667166"/>
    <w:rsid w:val="60724006"/>
    <w:rsid w:val="6086012E"/>
    <w:rsid w:val="60870181"/>
    <w:rsid w:val="608C65AA"/>
    <w:rsid w:val="60955D90"/>
    <w:rsid w:val="60AB7F2C"/>
    <w:rsid w:val="60DD620E"/>
    <w:rsid w:val="610B7C4A"/>
    <w:rsid w:val="611C7B9D"/>
    <w:rsid w:val="61207C77"/>
    <w:rsid w:val="6148335E"/>
    <w:rsid w:val="614C4F26"/>
    <w:rsid w:val="615C4C67"/>
    <w:rsid w:val="616C4315"/>
    <w:rsid w:val="6171252A"/>
    <w:rsid w:val="61882668"/>
    <w:rsid w:val="61A06C8C"/>
    <w:rsid w:val="61A35C11"/>
    <w:rsid w:val="61B25B61"/>
    <w:rsid w:val="61E73D9A"/>
    <w:rsid w:val="61EC1462"/>
    <w:rsid w:val="61EC3930"/>
    <w:rsid w:val="61F30221"/>
    <w:rsid w:val="61FB5718"/>
    <w:rsid w:val="62245D7B"/>
    <w:rsid w:val="623A0F5D"/>
    <w:rsid w:val="624F560A"/>
    <w:rsid w:val="625E3A3B"/>
    <w:rsid w:val="6263077A"/>
    <w:rsid w:val="62654963"/>
    <w:rsid w:val="627666FF"/>
    <w:rsid w:val="627C000F"/>
    <w:rsid w:val="629E4B7F"/>
    <w:rsid w:val="62BC7E8A"/>
    <w:rsid w:val="62CF2113"/>
    <w:rsid w:val="6307021B"/>
    <w:rsid w:val="630D6682"/>
    <w:rsid w:val="632272EB"/>
    <w:rsid w:val="63227AAA"/>
    <w:rsid w:val="63455E77"/>
    <w:rsid w:val="63473FE4"/>
    <w:rsid w:val="63503AD3"/>
    <w:rsid w:val="63543CFC"/>
    <w:rsid w:val="63640410"/>
    <w:rsid w:val="637137DA"/>
    <w:rsid w:val="638734D6"/>
    <w:rsid w:val="63877E58"/>
    <w:rsid w:val="63A23C32"/>
    <w:rsid w:val="63AB6153"/>
    <w:rsid w:val="640C709A"/>
    <w:rsid w:val="641461CF"/>
    <w:rsid w:val="642F1EE3"/>
    <w:rsid w:val="646157CA"/>
    <w:rsid w:val="64680B03"/>
    <w:rsid w:val="64984C1A"/>
    <w:rsid w:val="64D70FAB"/>
    <w:rsid w:val="64E13C6F"/>
    <w:rsid w:val="64FD5934"/>
    <w:rsid w:val="65051B7F"/>
    <w:rsid w:val="65384669"/>
    <w:rsid w:val="6557447D"/>
    <w:rsid w:val="655D5589"/>
    <w:rsid w:val="656071F2"/>
    <w:rsid w:val="65643203"/>
    <w:rsid w:val="65887501"/>
    <w:rsid w:val="658E1B4A"/>
    <w:rsid w:val="65A624DE"/>
    <w:rsid w:val="65B57A70"/>
    <w:rsid w:val="65B712FD"/>
    <w:rsid w:val="65E90A28"/>
    <w:rsid w:val="65EA0E19"/>
    <w:rsid w:val="65F07BD0"/>
    <w:rsid w:val="65F67535"/>
    <w:rsid w:val="66065EA4"/>
    <w:rsid w:val="662F4A03"/>
    <w:rsid w:val="66367FEE"/>
    <w:rsid w:val="66560E76"/>
    <w:rsid w:val="665673D6"/>
    <w:rsid w:val="66595E88"/>
    <w:rsid w:val="665B0427"/>
    <w:rsid w:val="665D4598"/>
    <w:rsid w:val="667A7554"/>
    <w:rsid w:val="667E6DAD"/>
    <w:rsid w:val="668F0F17"/>
    <w:rsid w:val="66A11D0C"/>
    <w:rsid w:val="66E101FB"/>
    <w:rsid w:val="66E31E33"/>
    <w:rsid w:val="66EA21B4"/>
    <w:rsid w:val="66F70B6B"/>
    <w:rsid w:val="66FA47DB"/>
    <w:rsid w:val="67002A3B"/>
    <w:rsid w:val="67034C37"/>
    <w:rsid w:val="670472EA"/>
    <w:rsid w:val="671206F3"/>
    <w:rsid w:val="671B5C58"/>
    <w:rsid w:val="67564FCE"/>
    <w:rsid w:val="675A0AF8"/>
    <w:rsid w:val="675D2836"/>
    <w:rsid w:val="67817F89"/>
    <w:rsid w:val="678D0238"/>
    <w:rsid w:val="679D5CE0"/>
    <w:rsid w:val="67A47656"/>
    <w:rsid w:val="67A9493B"/>
    <w:rsid w:val="67AD1E8E"/>
    <w:rsid w:val="67B72D23"/>
    <w:rsid w:val="67E05320"/>
    <w:rsid w:val="67EA2E67"/>
    <w:rsid w:val="67ED3287"/>
    <w:rsid w:val="68036B62"/>
    <w:rsid w:val="68121DDF"/>
    <w:rsid w:val="681326E0"/>
    <w:rsid w:val="68161596"/>
    <w:rsid w:val="68171A2C"/>
    <w:rsid w:val="681901F9"/>
    <w:rsid w:val="681925B3"/>
    <w:rsid w:val="684F30E0"/>
    <w:rsid w:val="68503869"/>
    <w:rsid w:val="685630A9"/>
    <w:rsid w:val="6862498A"/>
    <w:rsid w:val="686654A7"/>
    <w:rsid w:val="68680195"/>
    <w:rsid w:val="68770F9B"/>
    <w:rsid w:val="68837ABC"/>
    <w:rsid w:val="68910AC7"/>
    <w:rsid w:val="689774A9"/>
    <w:rsid w:val="689F039F"/>
    <w:rsid w:val="689F0CF7"/>
    <w:rsid w:val="68AE7B72"/>
    <w:rsid w:val="68D87B11"/>
    <w:rsid w:val="68DA5BAB"/>
    <w:rsid w:val="68DD019B"/>
    <w:rsid w:val="68E65F5E"/>
    <w:rsid w:val="695F745B"/>
    <w:rsid w:val="69610AF4"/>
    <w:rsid w:val="69670B4F"/>
    <w:rsid w:val="69711181"/>
    <w:rsid w:val="69724F1B"/>
    <w:rsid w:val="6980390A"/>
    <w:rsid w:val="69937B96"/>
    <w:rsid w:val="69A377E4"/>
    <w:rsid w:val="69A60D09"/>
    <w:rsid w:val="69C451FB"/>
    <w:rsid w:val="69D00BC4"/>
    <w:rsid w:val="69DF6640"/>
    <w:rsid w:val="6A1B5632"/>
    <w:rsid w:val="6A311E94"/>
    <w:rsid w:val="6A4D56EB"/>
    <w:rsid w:val="6A61482D"/>
    <w:rsid w:val="6A6D21CA"/>
    <w:rsid w:val="6A7A48B2"/>
    <w:rsid w:val="6A874F1A"/>
    <w:rsid w:val="6AAD746F"/>
    <w:rsid w:val="6AB932A1"/>
    <w:rsid w:val="6AC335A7"/>
    <w:rsid w:val="6AC72F22"/>
    <w:rsid w:val="6AE05F6E"/>
    <w:rsid w:val="6AF35A12"/>
    <w:rsid w:val="6AF71035"/>
    <w:rsid w:val="6B1C2C96"/>
    <w:rsid w:val="6B1F5178"/>
    <w:rsid w:val="6B24186C"/>
    <w:rsid w:val="6B2A1CA4"/>
    <w:rsid w:val="6B3170C4"/>
    <w:rsid w:val="6B497FCC"/>
    <w:rsid w:val="6B515737"/>
    <w:rsid w:val="6B5E2C34"/>
    <w:rsid w:val="6B7F06BE"/>
    <w:rsid w:val="6BD1620D"/>
    <w:rsid w:val="6BD37761"/>
    <w:rsid w:val="6BEA7064"/>
    <w:rsid w:val="6BEC4E13"/>
    <w:rsid w:val="6C090F80"/>
    <w:rsid w:val="6C13316C"/>
    <w:rsid w:val="6C17524A"/>
    <w:rsid w:val="6C207EB4"/>
    <w:rsid w:val="6C4474DE"/>
    <w:rsid w:val="6C761CC5"/>
    <w:rsid w:val="6C786C1F"/>
    <w:rsid w:val="6C8A4985"/>
    <w:rsid w:val="6CB8729B"/>
    <w:rsid w:val="6CF277BB"/>
    <w:rsid w:val="6CF67414"/>
    <w:rsid w:val="6D1949E6"/>
    <w:rsid w:val="6D1E586E"/>
    <w:rsid w:val="6D40341E"/>
    <w:rsid w:val="6D5D1C24"/>
    <w:rsid w:val="6D6560DE"/>
    <w:rsid w:val="6D743309"/>
    <w:rsid w:val="6D7F5645"/>
    <w:rsid w:val="6D9C513E"/>
    <w:rsid w:val="6DC97375"/>
    <w:rsid w:val="6DD05E3A"/>
    <w:rsid w:val="6E042F36"/>
    <w:rsid w:val="6E083B88"/>
    <w:rsid w:val="6E2115F3"/>
    <w:rsid w:val="6E302D35"/>
    <w:rsid w:val="6E3939C2"/>
    <w:rsid w:val="6E437238"/>
    <w:rsid w:val="6E48779E"/>
    <w:rsid w:val="6E4E73D0"/>
    <w:rsid w:val="6E5830D8"/>
    <w:rsid w:val="6E723EE7"/>
    <w:rsid w:val="6E9C7DB8"/>
    <w:rsid w:val="6E9E63AA"/>
    <w:rsid w:val="6EFA027F"/>
    <w:rsid w:val="6F0D0A9A"/>
    <w:rsid w:val="6F3026C9"/>
    <w:rsid w:val="6F331FED"/>
    <w:rsid w:val="6F4A65BA"/>
    <w:rsid w:val="6F510FBE"/>
    <w:rsid w:val="6F536D49"/>
    <w:rsid w:val="6F5873A6"/>
    <w:rsid w:val="6F65194E"/>
    <w:rsid w:val="6F741033"/>
    <w:rsid w:val="6F7747AC"/>
    <w:rsid w:val="6F932566"/>
    <w:rsid w:val="6F955A8A"/>
    <w:rsid w:val="6FAA11CB"/>
    <w:rsid w:val="6FB07B14"/>
    <w:rsid w:val="6FB3090E"/>
    <w:rsid w:val="6FBB4619"/>
    <w:rsid w:val="6FC239A6"/>
    <w:rsid w:val="6FF37001"/>
    <w:rsid w:val="70097E37"/>
    <w:rsid w:val="7012732D"/>
    <w:rsid w:val="702D3080"/>
    <w:rsid w:val="702F3D23"/>
    <w:rsid w:val="7073057A"/>
    <w:rsid w:val="708B2763"/>
    <w:rsid w:val="708C0DAF"/>
    <w:rsid w:val="70BB7893"/>
    <w:rsid w:val="70BE04C1"/>
    <w:rsid w:val="70D25E29"/>
    <w:rsid w:val="70D96C86"/>
    <w:rsid w:val="70DC1223"/>
    <w:rsid w:val="70DF24FE"/>
    <w:rsid w:val="70E7213F"/>
    <w:rsid w:val="70E86455"/>
    <w:rsid w:val="70F37652"/>
    <w:rsid w:val="70F44F02"/>
    <w:rsid w:val="70F900BF"/>
    <w:rsid w:val="71002BCF"/>
    <w:rsid w:val="71030281"/>
    <w:rsid w:val="710A3200"/>
    <w:rsid w:val="7155354F"/>
    <w:rsid w:val="71667953"/>
    <w:rsid w:val="71771A99"/>
    <w:rsid w:val="717E036C"/>
    <w:rsid w:val="71951759"/>
    <w:rsid w:val="71B908B5"/>
    <w:rsid w:val="71E33685"/>
    <w:rsid w:val="71E34501"/>
    <w:rsid w:val="71E76413"/>
    <w:rsid w:val="71F62E1A"/>
    <w:rsid w:val="71FD0987"/>
    <w:rsid w:val="72312491"/>
    <w:rsid w:val="72430D8D"/>
    <w:rsid w:val="724931F0"/>
    <w:rsid w:val="7254179F"/>
    <w:rsid w:val="726E11B5"/>
    <w:rsid w:val="72825C56"/>
    <w:rsid w:val="72AD502B"/>
    <w:rsid w:val="72C40519"/>
    <w:rsid w:val="72C7696D"/>
    <w:rsid w:val="72CF64E2"/>
    <w:rsid w:val="72F30E15"/>
    <w:rsid w:val="72F36F5F"/>
    <w:rsid w:val="72FA77B8"/>
    <w:rsid w:val="7310630F"/>
    <w:rsid w:val="73191FE8"/>
    <w:rsid w:val="73226650"/>
    <w:rsid w:val="73584877"/>
    <w:rsid w:val="738F631E"/>
    <w:rsid w:val="73A50B2B"/>
    <w:rsid w:val="73A63EEC"/>
    <w:rsid w:val="73A86535"/>
    <w:rsid w:val="73AE5B9E"/>
    <w:rsid w:val="73D204C0"/>
    <w:rsid w:val="73D73A44"/>
    <w:rsid w:val="73E406E9"/>
    <w:rsid w:val="73F74A5C"/>
    <w:rsid w:val="73F87EF2"/>
    <w:rsid w:val="74006337"/>
    <w:rsid w:val="741E2941"/>
    <w:rsid w:val="7422631D"/>
    <w:rsid w:val="74512C62"/>
    <w:rsid w:val="74614968"/>
    <w:rsid w:val="74623E8C"/>
    <w:rsid w:val="747F1ECC"/>
    <w:rsid w:val="74843A17"/>
    <w:rsid w:val="748F4F10"/>
    <w:rsid w:val="749F50D2"/>
    <w:rsid w:val="74AF051B"/>
    <w:rsid w:val="74C76EB4"/>
    <w:rsid w:val="74D24DF2"/>
    <w:rsid w:val="751B30C5"/>
    <w:rsid w:val="75265F5C"/>
    <w:rsid w:val="752E4063"/>
    <w:rsid w:val="755C638C"/>
    <w:rsid w:val="75680129"/>
    <w:rsid w:val="757D0E15"/>
    <w:rsid w:val="758F3128"/>
    <w:rsid w:val="75935F7B"/>
    <w:rsid w:val="759D5513"/>
    <w:rsid w:val="75A16D19"/>
    <w:rsid w:val="75CD6E7F"/>
    <w:rsid w:val="75F12173"/>
    <w:rsid w:val="762A1F2B"/>
    <w:rsid w:val="76494A96"/>
    <w:rsid w:val="764B59A7"/>
    <w:rsid w:val="765E708E"/>
    <w:rsid w:val="76642751"/>
    <w:rsid w:val="767331A5"/>
    <w:rsid w:val="76A07890"/>
    <w:rsid w:val="76B828EB"/>
    <w:rsid w:val="76DD0A99"/>
    <w:rsid w:val="77083097"/>
    <w:rsid w:val="773F3230"/>
    <w:rsid w:val="77464236"/>
    <w:rsid w:val="77573C6D"/>
    <w:rsid w:val="778D61D3"/>
    <w:rsid w:val="779E14D7"/>
    <w:rsid w:val="77A429D3"/>
    <w:rsid w:val="77C64193"/>
    <w:rsid w:val="77DC4C9B"/>
    <w:rsid w:val="77F37A9D"/>
    <w:rsid w:val="77F75603"/>
    <w:rsid w:val="77FE3986"/>
    <w:rsid w:val="782F15F5"/>
    <w:rsid w:val="783235DF"/>
    <w:rsid w:val="78502C58"/>
    <w:rsid w:val="785E7022"/>
    <w:rsid w:val="78624E36"/>
    <w:rsid w:val="78721837"/>
    <w:rsid w:val="78741675"/>
    <w:rsid w:val="787533C7"/>
    <w:rsid w:val="787C19AC"/>
    <w:rsid w:val="787C6C9B"/>
    <w:rsid w:val="787F36C1"/>
    <w:rsid w:val="788B6BF2"/>
    <w:rsid w:val="7899333C"/>
    <w:rsid w:val="78AA321F"/>
    <w:rsid w:val="78B87EE4"/>
    <w:rsid w:val="78C07C12"/>
    <w:rsid w:val="78D56B03"/>
    <w:rsid w:val="78E421BD"/>
    <w:rsid w:val="78E74EF6"/>
    <w:rsid w:val="78F95F95"/>
    <w:rsid w:val="79051649"/>
    <w:rsid w:val="792F20B5"/>
    <w:rsid w:val="795E1E90"/>
    <w:rsid w:val="79667547"/>
    <w:rsid w:val="79713B81"/>
    <w:rsid w:val="798139A7"/>
    <w:rsid w:val="79A0658C"/>
    <w:rsid w:val="79A344F3"/>
    <w:rsid w:val="79DF5C9D"/>
    <w:rsid w:val="79E162E5"/>
    <w:rsid w:val="79ED77A5"/>
    <w:rsid w:val="7A0E6035"/>
    <w:rsid w:val="7A2D1210"/>
    <w:rsid w:val="7A2E7518"/>
    <w:rsid w:val="7A3C1E68"/>
    <w:rsid w:val="7A4D7721"/>
    <w:rsid w:val="7A5044E1"/>
    <w:rsid w:val="7A533875"/>
    <w:rsid w:val="7A5563BA"/>
    <w:rsid w:val="7A6037F8"/>
    <w:rsid w:val="7A6B3EF6"/>
    <w:rsid w:val="7A831369"/>
    <w:rsid w:val="7AF57606"/>
    <w:rsid w:val="7AF64932"/>
    <w:rsid w:val="7B053598"/>
    <w:rsid w:val="7B062F2A"/>
    <w:rsid w:val="7B1144A3"/>
    <w:rsid w:val="7B122873"/>
    <w:rsid w:val="7B23117F"/>
    <w:rsid w:val="7B284D4A"/>
    <w:rsid w:val="7B362A78"/>
    <w:rsid w:val="7B422F58"/>
    <w:rsid w:val="7B4A5FEA"/>
    <w:rsid w:val="7B581BEB"/>
    <w:rsid w:val="7B605E96"/>
    <w:rsid w:val="7B7754AE"/>
    <w:rsid w:val="7BA536D8"/>
    <w:rsid w:val="7BF250C7"/>
    <w:rsid w:val="7C00517E"/>
    <w:rsid w:val="7C202F6B"/>
    <w:rsid w:val="7C490589"/>
    <w:rsid w:val="7C4D5B3E"/>
    <w:rsid w:val="7C5133FE"/>
    <w:rsid w:val="7C6D3C66"/>
    <w:rsid w:val="7D09700D"/>
    <w:rsid w:val="7D155538"/>
    <w:rsid w:val="7D1E00B2"/>
    <w:rsid w:val="7D2C430F"/>
    <w:rsid w:val="7D3F4ACE"/>
    <w:rsid w:val="7D495042"/>
    <w:rsid w:val="7D4C0AA9"/>
    <w:rsid w:val="7D666225"/>
    <w:rsid w:val="7D7201EC"/>
    <w:rsid w:val="7D847DD0"/>
    <w:rsid w:val="7D8B28B5"/>
    <w:rsid w:val="7DA26420"/>
    <w:rsid w:val="7DD26009"/>
    <w:rsid w:val="7DD46E00"/>
    <w:rsid w:val="7E035413"/>
    <w:rsid w:val="7E1650E1"/>
    <w:rsid w:val="7E176585"/>
    <w:rsid w:val="7E1F3157"/>
    <w:rsid w:val="7E201B39"/>
    <w:rsid w:val="7E2240DE"/>
    <w:rsid w:val="7E2429CB"/>
    <w:rsid w:val="7E4576F9"/>
    <w:rsid w:val="7E527204"/>
    <w:rsid w:val="7E5833BE"/>
    <w:rsid w:val="7E7B79DC"/>
    <w:rsid w:val="7E8C4797"/>
    <w:rsid w:val="7EBB26D4"/>
    <w:rsid w:val="7EC04543"/>
    <w:rsid w:val="7EC753C4"/>
    <w:rsid w:val="7ECF3A2A"/>
    <w:rsid w:val="7ED75BEB"/>
    <w:rsid w:val="7F0E3B62"/>
    <w:rsid w:val="7F33236A"/>
    <w:rsid w:val="7F4B19C8"/>
    <w:rsid w:val="7F5325AB"/>
    <w:rsid w:val="7F7D72DD"/>
    <w:rsid w:val="7F896096"/>
    <w:rsid w:val="7F8B0331"/>
    <w:rsid w:val="7FAC4173"/>
    <w:rsid w:val="7FAF09CA"/>
    <w:rsid w:val="7FB02C0D"/>
    <w:rsid w:val="7FB33332"/>
    <w:rsid w:val="7FF0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caps/>
      <w:sz w:val="20"/>
      <w:szCs w:val="20"/>
    </w:rPr>
  </w:style>
  <w:style w:type="paragraph" w:styleId="7">
    <w:name w:val="annotation text"/>
    <w:basedOn w:val="1"/>
    <w:link w:val="54"/>
    <w:qFormat/>
    <w:uiPriority w:val="0"/>
    <w:pPr>
      <w:jc w:val="left"/>
    </w:pPr>
  </w:style>
  <w:style w:type="paragraph" w:styleId="8">
    <w:name w:val="Body Text"/>
    <w:basedOn w:val="1"/>
    <w:next w:val="1"/>
    <w:link w:val="43"/>
    <w:qFormat/>
    <w:uiPriority w:val="0"/>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Plain Text"/>
    <w:basedOn w:val="1"/>
    <w:unhideWhenUsed/>
    <w:qFormat/>
    <w:uiPriority w:val="99"/>
    <w:rPr>
      <w:rFonts w:ascii="宋体" w:hAnsi="Courier New" w:cs="Courier New"/>
      <w:szCs w:val="21"/>
    </w:rPr>
  </w:style>
  <w:style w:type="paragraph" w:styleId="12">
    <w:name w:val="Balloon Text"/>
    <w:basedOn w:val="1"/>
    <w:link w:val="4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qFormat/>
    <w:uiPriority w:val="0"/>
    <w:pPr>
      <w:widowControl/>
      <w:jc w:val="center"/>
    </w:pPr>
    <w:rPr>
      <w:kern w:val="0"/>
      <w:sz w:val="20"/>
      <w:u w:val="single"/>
      <w:lang w:eastAsia="en-US"/>
    </w:rPr>
  </w:style>
  <w:style w:type="paragraph" w:styleId="16">
    <w:name w:val="toc 2"/>
    <w:basedOn w:val="1"/>
    <w:next w:val="1"/>
    <w:qFormat/>
    <w:uiPriority w:val="39"/>
    <w:pPr>
      <w:ind w:left="210"/>
      <w:jc w:val="left"/>
    </w:pPr>
    <w:rPr>
      <w:smallCaps/>
      <w:sz w:val="20"/>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7"/>
    <w:next w:val="7"/>
    <w:link w:val="55"/>
    <w:qFormat/>
    <w:uiPriority w:val="0"/>
    <w:rPr>
      <w:b/>
      <w:bCs/>
    </w:rPr>
  </w:style>
  <w:style w:type="paragraph" w:styleId="19">
    <w:name w:val="Body Text First Indent"/>
    <w:basedOn w:val="8"/>
    <w:next w:val="1"/>
    <w:qFormat/>
    <w:uiPriority w:val="0"/>
    <w:pPr>
      <w:spacing w:line="275" w:lineRule="atLeast"/>
      <w:ind w:firstLine="420"/>
    </w:pPr>
    <w:rPr>
      <w:rFonts w:eastAsia="楷体"/>
      <w:kern w:val="1"/>
      <w:sz w:val="26"/>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ascii="monospace" w:hAnsi="monospace" w:eastAsia="monospace" w:cs="monospace"/>
      <w:sz w:val="20"/>
    </w:rPr>
  </w:style>
  <w:style w:type="character" w:styleId="32">
    <w:name w:val="annotation reference"/>
    <w:qFormat/>
    <w:uiPriority w:val="0"/>
    <w:rPr>
      <w:sz w:val="21"/>
      <w:szCs w:val="21"/>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paragraph" w:customStyle="1" w:styleId="36">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37">
    <w:name w:val="BodyText"/>
    <w:basedOn w:val="1"/>
    <w:next w:val="1"/>
    <w:qFormat/>
    <w:uiPriority w:val="0"/>
    <w:pPr>
      <w:spacing w:after="120"/>
    </w:pPr>
  </w:style>
  <w:style w:type="paragraph" w:customStyle="1" w:styleId="3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9">
    <w:name w:val="Table Paragraph"/>
    <w:basedOn w:val="1"/>
    <w:qFormat/>
    <w:uiPriority w:val="1"/>
  </w:style>
  <w:style w:type="character" w:customStyle="1" w:styleId="40">
    <w:name w:val="正文文本 (2)_"/>
    <w:link w:val="41"/>
    <w:qFormat/>
    <w:uiPriority w:val="0"/>
    <w:rPr>
      <w:rFonts w:ascii="宋体" w:hAnsi="宋体"/>
      <w:kern w:val="0"/>
      <w:sz w:val="20"/>
      <w:szCs w:val="20"/>
    </w:rPr>
  </w:style>
  <w:style w:type="paragraph" w:customStyle="1" w:styleId="41">
    <w:name w:val="正文文本 (2)1"/>
    <w:basedOn w:val="1"/>
    <w:link w:val="40"/>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42">
    <w:name w:val="无间隔2"/>
    <w:basedOn w:val="1"/>
    <w:qFormat/>
    <w:uiPriority w:val="0"/>
    <w:pPr>
      <w:spacing w:line="400" w:lineRule="exact"/>
    </w:pPr>
    <w:rPr>
      <w:sz w:val="24"/>
    </w:rPr>
  </w:style>
  <w:style w:type="character" w:customStyle="1" w:styleId="43">
    <w:name w:val="正文文本 Char"/>
    <w:basedOn w:val="22"/>
    <w:link w:val="8"/>
    <w:qFormat/>
    <w:uiPriority w:val="0"/>
    <w:rPr>
      <w:kern w:val="2"/>
      <w:sz w:val="21"/>
      <w:szCs w:val="24"/>
    </w:rPr>
  </w:style>
  <w:style w:type="paragraph" w:customStyle="1" w:styleId="44">
    <w:name w:val="无间隔1"/>
    <w:basedOn w:val="1"/>
    <w:qFormat/>
    <w:uiPriority w:val="0"/>
    <w:pPr>
      <w:spacing w:line="400" w:lineRule="exact"/>
    </w:pPr>
    <w:rPr>
      <w:sz w:val="24"/>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UserStyle_186"/>
    <w:basedOn w:val="1"/>
    <w:qFormat/>
    <w:uiPriority w:val="0"/>
    <w:rPr>
      <w:rFonts w:ascii="宋体" w:hAnsi="宋体"/>
      <w:lang w:val="zh-CN" w:bidi="zh-CN"/>
    </w:rPr>
  </w:style>
  <w:style w:type="character" w:customStyle="1" w:styleId="47">
    <w:name w:val="NormalCharacter"/>
    <w:semiHidden/>
    <w:qFormat/>
    <w:uiPriority w:val="0"/>
  </w:style>
  <w:style w:type="paragraph" w:customStyle="1" w:styleId="48">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9">
    <w:name w:val="批注框文本 Char"/>
    <w:basedOn w:val="22"/>
    <w:link w:val="12"/>
    <w:qFormat/>
    <w:uiPriority w:val="0"/>
    <w:rPr>
      <w:kern w:val="2"/>
      <w:sz w:val="18"/>
      <w:szCs w:val="18"/>
    </w:rPr>
  </w:style>
  <w:style w:type="paragraph" w:styleId="50">
    <w:name w:val="List Paragraph"/>
    <w:basedOn w:val="1"/>
    <w:unhideWhenUsed/>
    <w:qFormat/>
    <w:uiPriority w:val="99"/>
    <w:pPr>
      <w:ind w:firstLine="420" w:firstLineChars="200"/>
    </w:pPr>
  </w:style>
  <w:style w:type="character" w:customStyle="1" w:styleId="51">
    <w:name w:val="正文文本 Char1"/>
    <w:basedOn w:val="22"/>
    <w:qFormat/>
    <w:uiPriority w:val="0"/>
    <w:rPr>
      <w:rFonts w:eastAsia="宋体"/>
      <w:kern w:val="2"/>
      <w:sz w:val="21"/>
    </w:rPr>
  </w:style>
  <w:style w:type="character" w:customStyle="1" w:styleId="52">
    <w:name w:val="fontstyle01"/>
    <w:basedOn w:val="22"/>
    <w:qFormat/>
    <w:uiPriority w:val="0"/>
    <w:rPr>
      <w:rFonts w:hint="eastAsia" w:ascii="宋体" w:hAnsi="宋体" w:eastAsia="宋体"/>
      <w:color w:val="000000"/>
      <w:sz w:val="22"/>
      <w:szCs w:val="22"/>
    </w:rPr>
  </w:style>
  <w:style w:type="character" w:customStyle="1" w:styleId="53">
    <w:name w:val="批注文字 Char"/>
    <w:qFormat/>
    <w:uiPriority w:val="0"/>
    <w:rPr>
      <w:kern w:val="2"/>
      <w:sz w:val="21"/>
      <w:szCs w:val="24"/>
    </w:rPr>
  </w:style>
  <w:style w:type="character" w:customStyle="1" w:styleId="54">
    <w:name w:val="批注文字 Char1"/>
    <w:basedOn w:val="22"/>
    <w:link w:val="7"/>
    <w:qFormat/>
    <w:uiPriority w:val="0"/>
    <w:rPr>
      <w:kern w:val="2"/>
      <w:sz w:val="21"/>
      <w:szCs w:val="24"/>
    </w:rPr>
  </w:style>
  <w:style w:type="character" w:customStyle="1" w:styleId="55">
    <w:name w:val="批注主题 Char"/>
    <w:basedOn w:val="54"/>
    <w:link w:val="18"/>
    <w:qFormat/>
    <w:uiPriority w:val="0"/>
    <w:rPr>
      <w:b/>
      <w:bCs/>
      <w:kern w:val="2"/>
      <w:sz w:val="21"/>
      <w:szCs w:val="24"/>
    </w:rPr>
  </w:style>
  <w:style w:type="character" w:customStyle="1" w:styleId="56">
    <w:name w:val="标题 3 Char"/>
    <w:link w:val="5"/>
    <w:autoRedefine/>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111</Pages>
  <Words>5935</Words>
  <Characters>6309</Characters>
  <Lines>536</Lines>
  <Paragraphs>151</Paragraphs>
  <TotalTime>1</TotalTime>
  <ScaleCrop>false</ScaleCrop>
  <LinksUpToDate>false</LinksUpToDate>
  <CharactersWithSpaces>6486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2022-12-12T08:40:00Z</dcterms:created>
  <dc:creator>xiaomi</dc:creator>
  <cp:lastModifiedBy>123</cp:lastModifiedBy>
  <cp:lastPrinted>2021-04-28T08:22:00Z</cp:lastPrinted>
  <dcterms:modified xsi:type="dcterms:W3CDTF">2025-06-06T10:43:39Z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B191B602804B44CD9947A447CA7C608D_13</vt:lpwstr>
  </property>
  <property fmtid="{D5CDD505-2E9C-101B-9397-08002B2CF9AE}" pid="4" name="KSOTemplateDocerSaveRecord">
    <vt:lpwstr>eyJoZGlkIjoiMzdlOTk2YmZjZjk1ODc5MjY5ZjA2ZTRkM2U4ZGMwMmQiLCJ1c2VySWQiOiIyOTIwNjkxNDIifQ==</vt:lpwstr>
  </property>
</Properties>
</file>