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31370"/>
      <w:bookmarkStart w:id="1" w:name="_Toc30988"/>
      <w:bookmarkStart w:id="2" w:name="_Toc17591"/>
      <w:bookmarkStart w:id="3" w:name="_Toc30711"/>
      <w:bookmarkStart w:id="4" w:name="_Toc19609"/>
      <w:bookmarkStart w:id="5" w:name="_Toc31917"/>
      <w:bookmarkStart w:id="6" w:name="_Toc16779"/>
      <w:bookmarkStart w:id="7" w:name="_Toc7408"/>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项目编号：lfjt25C00082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4479111">
      <w:pPr>
        <w:pStyle w:val="7"/>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绿发集团地毯更换服务</w:t>
      </w:r>
    </w:p>
    <w:p w14:paraId="789537CD">
      <w:pPr>
        <w:pStyle w:val="7"/>
        <w:ind w:firstLine="640"/>
        <w:rPr>
          <w:rFonts w:hint="eastAsia" w:ascii="仿宋" w:hAnsi="仿宋" w:eastAsia="仿宋" w:cs="仿宋"/>
          <w:color w:val="auto"/>
          <w:highlight w:val="none"/>
        </w:rPr>
      </w:pPr>
    </w:p>
    <w:p w14:paraId="30F83EFB">
      <w:pPr>
        <w:pStyle w:val="7"/>
        <w:ind w:firstLine="640"/>
        <w:rPr>
          <w:rFonts w:hint="eastAsia" w:ascii="仿宋" w:hAnsi="仿宋" w:eastAsia="仿宋" w:cs="仿宋"/>
          <w:color w:val="auto"/>
          <w:highlight w:val="none"/>
        </w:rPr>
      </w:pPr>
    </w:p>
    <w:p w14:paraId="72E15630">
      <w:pPr>
        <w:pStyle w:val="7"/>
        <w:ind w:firstLine="640"/>
        <w:rPr>
          <w:rFonts w:hint="eastAsia" w:ascii="仿宋" w:hAnsi="仿宋" w:eastAsia="仿宋" w:cs="仿宋"/>
          <w:color w:val="auto"/>
          <w:highlight w:val="none"/>
        </w:rPr>
      </w:pPr>
    </w:p>
    <w:p w14:paraId="53357226">
      <w:pPr>
        <w:pStyle w:val="7"/>
        <w:ind w:firstLine="640"/>
        <w:rPr>
          <w:rFonts w:hint="eastAsia" w:ascii="仿宋" w:hAnsi="仿宋" w:eastAsia="仿宋" w:cs="仿宋"/>
          <w:color w:val="auto"/>
          <w:highlight w:val="none"/>
        </w:rPr>
      </w:pPr>
    </w:p>
    <w:p w14:paraId="0887F96C">
      <w:pPr>
        <w:pStyle w:val="7"/>
        <w:ind w:firstLine="640"/>
        <w:rPr>
          <w:rFonts w:hint="eastAsia" w:ascii="仿宋" w:hAnsi="仿宋" w:eastAsia="仿宋" w:cs="仿宋"/>
          <w:color w:val="auto"/>
          <w:highlight w:val="none"/>
        </w:rPr>
      </w:pPr>
    </w:p>
    <w:p w14:paraId="0F8AB2C7">
      <w:pPr>
        <w:pStyle w:val="7"/>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重庆绿发实业集团有限公司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7"/>
        <w:ind w:firstLine="640"/>
        <w:rPr>
          <w:rFonts w:hint="eastAsia" w:ascii="仿宋" w:hAnsi="仿宋" w:eastAsia="仿宋" w:cs="仿宋"/>
          <w:color w:val="auto"/>
          <w:highlight w:val="none"/>
        </w:rPr>
      </w:pPr>
    </w:p>
    <w:p w14:paraId="56BDD1B6">
      <w:pPr>
        <w:pStyle w:val="7"/>
        <w:ind w:firstLine="640"/>
        <w:rPr>
          <w:rFonts w:hint="eastAsia" w:ascii="仿宋" w:hAnsi="仿宋" w:eastAsia="仿宋" w:cs="仿宋"/>
          <w:color w:val="auto"/>
          <w:highlight w:val="none"/>
        </w:rPr>
      </w:pPr>
    </w:p>
    <w:p w14:paraId="4B230CA8">
      <w:pPr>
        <w:pStyle w:val="7"/>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四</w:t>
      </w:r>
      <w:r>
        <w:rPr>
          <w:rFonts w:hint="eastAsia" w:ascii="仿宋" w:hAnsi="仿宋" w:eastAsia="仿宋" w:cs="仿宋"/>
          <w:color w:val="auto"/>
          <w:sz w:val="36"/>
          <w:szCs w:val="30"/>
          <w:highlight w:val="none"/>
        </w:rPr>
        <w:t>月</w:t>
      </w:r>
    </w:p>
    <w:p w14:paraId="61DE40DB">
      <w:pPr>
        <w:pStyle w:val="7"/>
        <w:ind w:firstLine="640"/>
        <w:rPr>
          <w:rFonts w:hint="eastAsia" w:ascii="仿宋" w:hAnsi="仿宋" w:eastAsia="仿宋" w:cs="仿宋"/>
          <w:color w:val="auto"/>
          <w:highlight w:val="none"/>
        </w:rPr>
      </w:pPr>
    </w:p>
    <w:p w14:paraId="71875AB0">
      <w:pPr>
        <w:pStyle w:val="7"/>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 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第五篇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7"/>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3"/>
        <w:spacing w:line="240" w:lineRule="auto"/>
        <w:ind w:firstLine="883"/>
        <w:jc w:val="center"/>
        <w:rPr>
          <w:rFonts w:hint="eastAsia" w:ascii="仿宋" w:hAnsi="仿宋" w:eastAsia="仿宋" w:cs="仿宋"/>
          <w:color w:val="auto"/>
          <w:highlight w:val="none"/>
        </w:rPr>
      </w:pPr>
      <w:bookmarkStart w:id="9" w:name="_Toc106030870"/>
      <w:bookmarkStart w:id="10" w:name="_Toc12789052"/>
      <w:bookmarkStart w:id="11" w:name="_Toc183783127"/>
      <w:bookmarkStart w:id="12" w:name="_Toc11641050"/>
      <w:bookmarkStart w:id="13" w:name="_Toc76462316"/>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重庆绿发实业集团有限公司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绿发集团地毯更换服务</w:t>
      </w:r>
      <w:r>
        <w:rPr>
          <w:rFonts w:hint="eastAsia" w:ascii="仿宋" w:hAnsi="仿宋" w:eastAsia="仿宋" w:cs="仿宋"/>
          <w:color w:val="auto"/>
          <w:sz w:val="24"/>
          <w:szCs w:val="24"/>
          <w:highlight w:val="none"/>
        </w:rPr>
        <w:t>进行网上竞采采购。欢迎有资格的供应商前来参与网上竞采。</w:t>
      </w:r>
    </w:p>
    <w:p w14:paraId="3D2D6D7B">
      <w:pPr>
        <w:pStyle w:val="4"/>
        <w:spacing w:line="240" w:lineRule="auto"/>
        <w:ind w:firstLine="643"/>
        <w:rPr>
          <w:rFonts w:hint="eastAsia" w:ascii="仿宋" w:hAnsi="仿宋" w:eastAsia="仿宋" w:cs="仿宋"/>
          <w:color w:val="auto"/>
          <w:highlight w:val="none"/>
        </w:rPr>
      </w:pPr>
      <w:bookmarkStart w:id="14" w:name="_Toc317775175"/>
      <w:bookmarkStart w:id="15" w:name="_Toc25458"/>
      <w:bookmarkStart w:id="16" w:name="_Toc313893526"/>
      <w:bookmarkStart w:id="17" w:name="_Toc7625"/>
      <w:bookmarkStart w:id="18" w:name="_Toc12808"/>
      <w:bookmarkStart w:id="19" w:name="_Toc3463"/>
      <w:bookmarkStart w:id="20" w:name="_Toc183783128"/>
      <w:bookmarkStart w:id="21" w:name="_Toc18159"/>
      <w:bookmarkStart w:id="22" w:name="_Toc18881"/>
      <w:bookmarkStart w:id="23" w:name="_Toc26820"/>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绿发集团地毯更换服务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96931.24 </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4"/>
        <w:spacing w:line="240" w:lineRule="auto"/>
        <w:ind w:firstLine="643"/>
        <w:rPr>
          <w:rFonts w:hint="eastAsia" w:ascii="仿宋" w:hAnsi="仿宋" w:eastAsia="仿宋" w:cs="仿宋"/>
          <w:color w:val="auto"/>
          <w:highlight w:val="none"/>
        </w:rPr>
      </w:pPr>
      <w:bookmarkStart w:id="25" w:name="_Toc183783129"/>
      <w:bookmarkStart w:id="26" w:name="_Toc15576"/>
      <w:bookmarkStart w:id="27" w:name="_Toc6462"/>
      <w:bookmarkStart w:id="28" w:name="_Toc25190"/>
      <w:bookmarkStart w:id="29" w:name="_Toc1790"/>
      <w:bookmarkStart w:id="30" w:name="_Toc19437"/>
      <w:bookmarkStart w:id="31" w:name="_Toc22399"/>
      <w:bookmarkStart w:id="32" w:name="_Toc15727"/>
      <w:bookmarkStart w:id="33" w:name="_Toc373860293"/>
      <w:bookmarkStart w:id="34" w:name="_Toc317775178"/>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96931.24</w:t>
      </w:r>
      <w:r>
        <w:rPr>
          <w:rFonts w:hint="eastAsia" w:ascii="仿宋" w:hAnsi="仿宋" w:eastAsia="仿宋" w:cs="仿宋"/>
          <w:color w:val="auto"/>
          <w:sz w:val="24"/>
          <w:szCs w:val="24"/>
          <w:highlight w:val="none"/>
        </w:rPr>
        <w:t>元。</w:t>
      </w:r>
    </w:p>
    <w:p w14:paraId="4858039A">
      <w:pPr>
        <w:pStyle w:val="4"/>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numPr>
          <w:ilvl w:val="0"/>
          <w:numId w:val="1"/>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p w14:paraId="5B7EC172">
      <w:pPr>
        <w:pStyle w:val="2"/>
        <w:numPr>
          <w:ilvl w:val="0"/>
          <w:numId w:val="0"/>
        </w:numPr>
        <w:rPr>
          <w:rFonts w:hint="default" w:eastAsia="宋体"/>
          <w:color w:val="auto"/>
          <w:lang w:val="en-US" w:eastAsia="zh-CN"/>
        </w:rPr>
      </w:pPr>
      <w:r>
        <w:rPr>
          <w:rFonts w:hint="eastAsia"/>
          <w:color w:val="auto"/>
          <w:lang w:val="en-US" w:eastAsia="zh-CN"/>
        </w:rPr>
        <w:t xml:space="preserve">  </w:t>
      </w:r>
      <w:r>
        <w:rPr>
          <w:rFonts w:hint="eastAsia" w:ascii="仿宋" w:hAnsi="仿宋" w:eastAsia="仿宋" w:cs="仿宋"/>
          <w:color w:val="auto"/>
          <w:kern w:val="2"/>
          <w:sz w:val="24"/>
          <w:szCs w:val="24"/>
          <w:highlight w:val="none"/>
          <w:lang w:val="en-US" w:eastAsia="zh-CN" w:bidi="ar-SA"/>
        </w:rPr>
        <w:t xml:space="preserve">  无；</w:t>
      </w:r>
    </w:p>
    <w:bookmarkEnd w:id="33"/>
    <w:bookmarkEnd w:id="34"/>
    <w:p w14:paraId="4504C3D2">
      <w:pPr>
        <w:ind w:firstLine="643" w:firstLineChars="200"/>
        <w:rPr>
          <w:rFonts w:hint="eastAsia" w:ascii="仿宋" w:hAnsi="仿宋" w:eastAsia="仿宋" w:cs="仿宋"/>
          <w:b/>
          <w:color w:val="auto"/>
          <w:sz w:val="32"/>
          <w:highlight w:val="none"/>
        </w:rPr>
      </w:pPr>
      <w:bookmarkStart w:id="36" w:name="_Toc183783131"/>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4"/>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25886"/>
      <w:bookmarkStart w:id="39" w:name="_Toc9654"/>
      <w:bookmarkStart w:id="40" w:name="_Toc5085"/>
      <w:bookmarkStart w:id="41" w:name="_Toc11828"/>
      <w:bookmarkStart w:id="42" w:name="_Toc3475"/>
      <w:bookmarkStart w:id="43" w:name="_Toc20778"/>
      <w:bookmarkStart w:id="44" w:name="_Toc27955"/>
      <w:bookmarkStart w:id="45" w:name="_Toc15478"/>
      <w:bookmarkStart w:id="46" w:name="_Toc9027"/>
      <w:bookmarkStart w:id="47" w:name="_Toc14778"/>
      <w:bookmarkStart w:id="48" w:name="_Toc31315"/>
      <w:bookmarkStart w:id="49" w:name="_Toc25516"/>
      <w:bookmarkStart w:id="50" w:name="_Toc19730"/>
      <w:bookmarkStart w:id="51" w:name="_Toc13969"/>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重庆绿发实业集团有限公司</w:t>
      </w:r>
    </w:p>
    <w:p w14:paraId="011242B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联系人：吴老师</w:t>
      </w:r>
      <w:r>
        <w:rPr>
          <w:rFonts w:hint="eastAsia" w:ascii="仿宋" w:hAnsi="仿宋" w:eastAsia="仿宋" w:cs="仿宋"/>
          <w:color w:val="auto"/>
          <w:sz w:val="24"/>
          <w:szCs w:val="24"/>
          <w:highlight w:val="none"/>
          <w:lang w:val="en-US" w:eastAsia="zh-CN"/>
        </w:rPr>
        <w:t xml:space="preserve">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话：13996516662</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4"/>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76462324"/>
      <w:bookmarkStart w:id="54" w:name="_Toc106030878"/>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3"/>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4"/>
        <w:numPr>
          <w:ilvl w:val="0"/>
          <w:numId w:val="2"/>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项目一览表</w:t>
      </w:r>
      <w:bookmarkEnd w:id="58"/>
    </w:p>
    <w:tbl>
      <w:tblPr>
        <w:tblStyle w:val="1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rPr>
                <w:rFonts w:hint="eastAsia" w:ascii="仿宋" w:hAnsi="仿宋" w:eastAsia="仿宋" w:cs="仿宋"/>
                <w:b/>
                <w:bCs/>
                <w:color w:val="auto"/>
                <w:sz w:val="24"/>
                <w:szCs w:val="24"/>
                <w:highlight w:val="none"/>
              </w:rPr>
            </w:pPr>
            <w:bookmarkStart w:id="222" w:name="_GoBack"/>
            <w:bookmarkEnd w:id="222"/>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最高限价金额</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绿发集团地毯更换服务</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96931.24元</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4"/>
        <w:spacing w:line="240" w:lineRule="auto"/>
        <w:rPr>
          <w:rFonts w:hint="eastAsia" w:ascii="仿宋" w:hAnsi="仿宋" w:eastAsia="仿宋" w:cs="仿宋"/>
          <w:color w:val="auto"/>
          <w:highlight w:val="none"/>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项目服务</w:t>
      </w:r>
      <w:bookmarkEnd w:id="60"/>
      <w:r>
        <w:rPr>
          <w:rFonts w:hint="eastAsia" w:ascii="仿宋" w:hAnsi="仿宋" w:eastAsia="仿宋" w:cs="仿宋"/>
          <w:color w:val="auto"/>
          <w:highlight w:val="none"/>
        </w:rPr>
        <w:t>需求</w:t>
      </w:r>
    </w:p>
    <w:p w14:paraId="44755C93">
      <w:pPr>
        <w:ind w:firstLine="480"/>
        <w:jc w:val="left"/>
        <w:rPr>
          <w:rFonts w:hint="eastAsia" w:ascii="仿宋" w:hAnsi="仿宋" w:eastAsia="仿宋" w:cs="仿宋"/>
          <w:color w:val="auto"/>
          <w:sz w:val="24"/>
          <w:szCs w:val="24"/>
          <w:highlight w:val="none"/>
          <w:lang w:val="en-US" w:eastAsia="zh-CN"/>
        </w:rPr>
      </w:pPr>
      <w:bookmarkStart w:id="61" w:name="_Toc313536013"/>
      <w:bookmarkStart w:id="62" w:name="_Toc76462326"/>
      <w:bookmarkStart w:id="63" w:name="_Toc183783137"/>
      <w:bookmarkStart w:id="64" w:name="_Toc106030881"/>
      <w:bookmarkStart w:id="65" w:name="_Toc344475116"/>
      <w:r>
        <w:rPr>
          <w:rFonts w:hint="eastAsia" w:ascii="仿宋" w:hAnsi="仿宋" w:eastAsia="仿宋" w:cs="仿宋"/>
          <w:color w:val="auto"/>
          <w:sz w:val="24"/>
          <w:szCs w:val="24"/>
          <w:highlight w:val="none"/>
          <w:lang w:val="en-US" w:eastAsia="zh-CN"/>
        </w:rPr>
        <w:t>服务内容包括但不限于电脑设施、办公家具等保护性搬迁，地毯拆除，建渣清运，自流平地坪施工，同治透心加厚耐磨地胶铺装，办公器材、办公家具等安装。</w:t>
      </w:r>
      <w:bookmarkStart w:id="66" w:name="OLE_LINK3"/>
    </w:p>
    <w:bookmarkEnd w:id="66"/>
    <w:p w14:paraId="5A3C6D3F">
      <w:pPr>
        <w:pStyle w:val="4"/>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三、</w:t>
      </w:r>
      <w:bookmarkEnd w:id="61"/>
      <w:bookmarkEnd w:id="62"/>
      <w:bookmarkEnd w:id="63"/>
      <w:bookmarkEnd w:id="64"/>
      <w:bookmarkEnd w:id="65"/>
      <w:r>
        <w:rPr>
          <w:rFonts w:hint="eastAsia" w:ascii="仿宋" w:hAnsi="仿宋" w:eastAsia="仿宋" w:cs="仿宋"/>
          <w:color w:val="auto"/>
          <w:highlight w:val="none"/>
          <w:lang w:val="en-US" w:eastAsia="zh-CN"/>
        </w:rPr>
        <w:t>技术参数要求</w:t>
      </w:r>
    </w:p>
    <w:tbl>
      <w:tblPr>
        <w:tblStyle w:val="19"/>
        <w:tblW w:w="95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3670"/>
        <w:gridCol w:w="3319"/>
        <w:gridCol w:w="993"/>
        <w:gridCol w:w="750"/>
      </w:tblGrid>
      <w:tr w14:paraId="6500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3A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40C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1B5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主要工作内容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60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664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r>
      <w:tr w14:paraId="2E5D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7E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569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电脑设施、办公家具等保护性拆迁</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235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1、拆除原有办公器材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（601、602、603、604、开放办公区域、接洽室、大会议室、小会议室、财务室）</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64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BD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14:paraId="72D5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F3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E52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地毯拆除</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5E0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1、原施工场地地毯拆除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2、清理拆除地毯后胶粘接层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56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28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r>
      <w:tr w14:paraId="727C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9D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48D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建渣清运</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28E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1、拆除部份地毯人工转运至车库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2、人工装车转运至建筑垃圾消纳场</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E0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A9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r>
      <w:tr w14:paraId="41FE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49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92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品牌：浅新、炫嘉米塔尔、千居美或同等质量的品牌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厚度：5mm厚自流平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地坪施工：JGJ/T175-2018《自流平地面工程技术标准》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3B2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1、清理地面、使地面使用干净整洁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2、拖界面剂、均匀涂刷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3、人工找平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4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71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r>
      <w:tr w14:paraId="2DEF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DB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top"/>
          </w:tcPr>
          <w:p w14:paraId="02E05EFC">
            <w:pPr>
              <w:keepNext w:val="0"/>
              <w:keepLines w:val="0"/>
              <w:widowControl/>
              <w:suppressLineNumbers w:val="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品牌：大巨龙同质透心加厚耐磨地胶、阿姆斯壮洁净龙同质透心地板胶、欧百娜同质透心加厚耐磨地胶或同等质量的品牌铺装。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厚度：2.0mm防火等级：B1级环保等级：符合GB18586-2001国家标准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589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1、人工摆平、修剪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2、高温烘烤、铺贴</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F0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FE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r>
      <w:tr w14:paraId="5C71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1B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0FD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办公器材、办公家具等安装</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48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1、安装办公器材至原样（601、602、603、604、开放办公区域、接洽室、大会议室、小会议室、财务室）</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82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E4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14:paraId="6D9A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95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38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5F6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1、施工完毕后施工区域清洁处理</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AB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6B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r>
    </w:tbl>
    <w:p w14:paraId="31C482D1">
      <w:pPr>
        <w:pStyle w:val="7"/>
        <w:rPr>
          <w:rFonts w:hint="eastAsia" w:ascii="仿宋" w:hAnsi="仿宋" w:eastAsia="仿宋" w:cs="仿宋"/>
          <w:color w:val="auto"/>
          <w:sz w:val="24"/>
          <w:szCs w:val="24"/>
          <w:highlight w:val="none"/>
        </w:rPr>
      </w:pPr>
    </w:p>
    <w:p w14:paraId="172C777E">
      <w:pPr>
        <w:rPr>
          <w:rFonts w:hint="eastAsia" w:ascii="仿宋" w:hAnsi="仿宋" w:eastAsia="仿宋" w:cs="仿宋"/>
          <w:color w:val="auto"/>
          <w:sz w:val="24"/>
          <w:szCs w:val="24"/>
          <w:highlight w:val="none"/>
        </w:rPr>
      </w:pPr>
    </w:p>
    <w:p w14:paraId="02EEAAD1">
      <w:pPr>
        <w:pStyle w:val="7"/>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7"/>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3F8A8849">
      <w:pPr>
        <w:rPr>
          <w:rFonts w:hint="eastAsia" w:ascii="仿宋" w:hAnsi="仿宋" w:eastAsia="仿宋" w:cs="仿宋"/>
          <w:color w:val="auto"/>
          <w:highlight w:val="none"/>
        </w:rPr>
      </w:pPr>
    </w:p>
    <w:p w14:paraId="079906E5">
      <w:pPr>
        <w:rPr>
          <w:rFonts w:hint="eastAsia" w:ascii="仿宋" w:hAnsi="仿宋" w:eastAsia="仿宋" w:cs="仿宋"/>
          <w:color w:val="auto"/>
          <w:highlight w:val="none"/>
        </w:rPr>
      </w:pPr>
    </w:p>
    <w:p w14:paraId="7F3F4D1C">
      <w:pPr>
        <w:rPr>
          <w:rFonts w:hint="eastAsia" w:ascii="仿宋" w:hAnsi="仿宋" w:eastAsia="仿宋" w:cs="仿宋"/>
          <w:color w:val="auto"/>
          <w:highlight w:val="none"/>
        </w:rPr>
      </w:pPr>
    </w:p>
    <w:p w14:paraId="4CA934C5">
      <w:pPr>
        <w:rPr>
          <w:rFonts w:hint="eastAsia" w:ascii="仿宋" w:hAnsi="仿宋" w:eastAsia="仿宋" w:cs="仿宋"/>
          <w:color w:val="auto"/>
          <w:highlight w:val="none"/>
        </w:rPr>
      </w:pPr>
    </w:p>
    <w:p w14:paraId="3DE3DD82">
      <w:pPr>
        <w:rPr>
          <w:rFonts w:hint="eastAsia" w:ascii="仿宋" w:hAnsi="仿宋" w:eastAsia="仿宋" w:cs="仿宋"/>
          <w:color w:val="auto"/>
          <w:highlight w:val="none"/>
        </w:rPr>
      </w:pPr>
    </w:p>
    <w:p w14:paraId="34CB0F76">
      <w:pPr>
        <w:rPr>
          <w:rFonts w:hint="eastAsia" w:ascii="仿宋" w:hAnsi="仿宋" w:eastAsia="仿宋" w:cs="仿宋"/>
          <w:color w:val="auto"/>
          <w:highlight w:val="none"/>
        </w:rPr>
      </w:pPr>
    </w:p>
    <w:p w14:paraId="7EBCBF46">
      <w:pPr>
        <w:rPr>
          <w:rFonts w:hint="eastAsia" w:ascii="仿宋" w:hAnsi="仿宋" w:eastAsia="仿宋" w:cs="仿宋"/>
          <w:color w:val="auto"/>
          <w:highlight w:val="none"/>
        </w:rPr>
      </w:pPr>
    </w:p>
    <w:p w14:paraId="59E0FD30">
      <w:pPr>
        <w:rPr>
          <w:rFonts w:hint="eastAsia" w:ascii="仿宋" w:hAnsi="仿宋" w:eastAsia="仿宋" w:cs="仿宋"/>
          <w:color w:val="auto"/>
          <w:highlight w:val="none"/>
        </w:rPr>
      </w:pPr>
    </w:p>
    <w:p w14:paraId="4A168516">
      <w:pPr>
        <w:pStyle w:val="7"/>
        <w:rPr>
          <w:rFonts w:hint="eastAsia" w:ascii="仿宋" w:hAnsi="仿宋" w:eastAsia="仿宋" w:cs="仿宋"/>
          <w:color w:val="auto"/>
          <w:highlight w:val="none"/>
        </w:rPr>
      </w:pPr>
    </w:p>
    <w:p w14:paraId="2FC3F009">
      <w:pPr>
        <w:pStyle w:val="7"/>
        <w:rPr>
          <w:rFonts w:hint="eastAsia" w:ascii="仿宋" w:hAnsi="仿宋" w:eastAsia="仿宋" w:cs="仿宋"/>
          <w:color w:val="auto"/>
          <w:highlight w:val="none"/>
        </w:rPr>
      </w:pPr>
    </w:p>
    <w:p w14:paraId="353E2B2C">
      <w:pPr>
        <w:rPr>
          <w:rFonts w:hint="eastAsia" w:ascii="仿宋" w:hAnsi="仿宋" w:eastAsia="仿宋" w:cs="仿宋"/>
          <w:color w:val="auto"/>
          <w:highlight w:val="none"/>
        </w:rPr>
      </w:pPr>
    </w:p>
    <w:p w14:paraId="04866B8F">
      <w:pPr>
        <w:rPr>
          <w:rFonts w:hint="eastAsia" w:ascii="仿宋" w:hAnsi="仿宋" w:eastAsia="仿宋" w:cs="仿宋"/>
          <w:color w:val="auto"/>
          <w:highlight w:val="none"/>
        </w:rPr>
      </w:pPr>
    </w:p>
    <w:p w14:paraId="41D07EFC">
      <w:pPr>
        <w:pStyle w:val="2"/>
        <w:rPr>
          <w:rFonts w:hint="eastAsia" w:ascii="仿宋" w:hAnsi="仿宋" w:eastAsia="仿宋" w:cs="仿宋"/>
          <w:color w:val="auto"/>
          <w:highlight w:val="none"/>
        </w:rPr>
      </w:pPr>
    </w:p>
    <w:p w14:paraId="01F991EE">
      <w:pPr>
        <w:pStyle w:val="2"/>
        <w:rPr>
          <w:rFonts w:hint="eastAsia" w:ascii="仿宋" w:hAnsi="仿宋" w:eastAsia="仿宋" w:cs="仿宋"/>
          <w:color w:val="auto"/>
          <w:highlight w:val="none"/>
        </w:rPr>
      </w:pPr>
    </w:p>
    <w:p w14:paraId="298B54D5">
      <w:pPr>
        <w:pStyle w:val="2"/>
        <w:rPr>
          <w:rFonts w:hint="eastAsia" w:ascii="仿宋" w:hAnsi="仿宋" w:eastAsia="仿宋" w:cs="仿宋"/>
          <w:color w:val="auto"/>
          <w:highlight w:val="none"/>
        </w:rPr>
      </w:pPr>
    </w:p>
    <w:p w14:paraId="35854851">
      <w:pPr>
        <w:pStyle w:val="2"/>
        <w:rPr>
          <w:rFonts w:hint="eastAsia" w:ascii="仿宋" w:hAnsi="仿宋" w:eastAsia="仿宋" w:cs="仿宋"/>
          <w:color w:val="auto"/>
          <w:highlight w:val="none"/>
        </w:rPr>
      </w:pPr>
    </w:p>
    <w:p w14:paraId="27ADD6DC">
      <w:pPr>
        <w:pStyle w:val="2"/>
        <w:rPr>
          <w:rFonts w:hint="eastAsia" w:ascii="仿宋" w:hAnsi="仿宋" w:eastAsia="仿宋" w:cs="仿宋"/>
          <w:color w:val="auto"/>
          <w:highlight w:val="none"/>
        </w:rPr>
      </w:pPr>
    </w:p>
    <w:p w14:paraId="31A3DE46">
      <w:pPr>
        <w:pStyle w:val="2"/>
        <w:rPr>
          <w:rFonts w:hint="eastAsia" w:ascii="仿宋" w:hAnsi="仿宋" w:eastAsia="仿宋" w:cs="仿宋"/>
          <w:color w:val="auto"/>
          <w:highlight w:val="none"/>
        </w:rPr>
      </w:pPr>
    </w:p>
    <w:p w14:paraId="42A92A05">
      <w:pPr>
        <w:pStyle w:val="2"/>
        <w:rPr>
          <w:rFonts w:hint="eastAsia" w:ascii="仿宋" w:hAnsi="仿宋" w:eastAsia="仿宋" w:cs="仿宋"/>
          <w:color w:val="auto"/>
          <w:highlight w:val="none"/>
        </w:rPr>
      </w:pPr>
    </w:p>
    <w:p w14:paraId="6142B734">
      <w:pPr>
        <w:pStyle w:val="2"/>
        <w:rPr>
          <w:rFonts w:hint="eastAsia" w:ascii="仿宋" w:hAnsi="仿宋" w:eastAsia="仿宋" w:cs="仿宋"/>
          <w:color w:val="auto"/>
          <w:highlight w:val="none"/>
        </w:rPr>
      </w:pPr>
    </w:p>
    <w:p w14:paraId="05B2B96A">
      <w:pPr>
        <w:pStyle w:val="2"/>
        <w:rPr>
          <w:rFonts w:hint="eastAsia" w:ascii="仿宋" w:hAnsi="仿宋" w:eastAsia="仿宋" w:cs="仿宋"/>
          <w:color w:val="auto"/>
          <w:highlight w:val="none"/>
        </w:rPr>
      </w:pPr>
    </w:p>
    <w:p w14:paraId="6CF6B635">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3"/>
        <w:numPr>
          <w:ilvl w:val="0"/>
          <w:numId w:val="3"/>
        </w:numPr>
        <w:spacing w:line="240" w:lineRule="auto"/>
        <w:ind w:firstLine="883"/>
        <w:jc w:val="center"/>
        <w:rPr>
          <w:rFonts w:hint="eastAsia" w:ascii="仿宋" w:hAnsi="仿宋" w:eastAsia="仿宋" w:cs="仿宋"/>
          <w:color w:val="auto"/>
          <w:highlight w:val="none"/>
        </w:rPr>
      </w:pPr>
      <w:bookmarkStart w:id="67" w:name="_Toc76462327"/>
      <w:bookmarkStart w:id="68" w:name="_Toc106030882"/>
      <w:bookmarkStart w:id="69" w:name="_Toc183783138"/>
      <w:r>
        <w:rPr>
          <w:rFonts w:hint="eastAsia" w:ascii="仿宋" w:hAnsi="仿宋" w:eastAsia="仿宋" w:cs="仿宋"/>
          <w:color w:val="auto"/>
          <w:highlight w:val="none"/>
        </w:rPr>
        <w:t>项目商务需求</w:t>
      </w:r>
      <w:bookmarkEnd w:id="67"/>
      <w:bookmarkEnd w:id="68"/>
      <w:bookmarkEnd w:id="69"/>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4"/>
        <w:spacing w:line="240" w:lineRule="auto"/>
        <w:ind w:firstLine="643"/>
        <w:rPr>
          <w:rFonts w:hint="eastAsia" w:ascii="仿宋" w:hAnsi="仿宋" w:eastAsia="仿宋" w:cs="仿宋"/>
          <w:color w:val="auto"/>
          <w:highlight w:val="none"/>
        </w:rPr>
      </w:pPr>
      <w:bookmarkStart w:id="70" w:name="_Toc106030883"/>
      <w:bookmarkStart w:id="71" w:name="_Toc183783139"/>
      <w:bookmarkStart w:id="72" w:name="_Toc344475120"/>
      <w:bookmarkStart w:id="73" w:name="_Toc76462328"/>
      <w:r>
        <w:rPr>
          <w:rFonts w:hint="eastAsia" w:ascii="仿宋" w:hAnsi="仿宋" w:eastAsia="仿宋" w:cs="仿宋"/>
          <w:color w:val="auto"/>
          <w:highlight w:val="none"/>
        </w:rPr>
        <w:t>一、服务期、地点及验收方式</w:t>
      </w:r>
      <w:bookmarkEnd w:id="70"/>
      <w:bookmarkEnd w:id="71"/>
      <w:bookmarkEnd w:id="72"/>
      <w:bookmarkEnd w:id="73"/>
    </w:p>
    <w:p w14:paraId="5F42DDAC">
      <w:pPr>
        <w:ind w:firstLine="480"/>
        <w:rPr>
          <w:rFonts w:hint="eastAsia" w:ascii="仿宋" w:hAnsi="仿宋" w:eastAsia="仿宋" w:cs="仿宋"/>
          <w:color w:val="auto"/>
          <w:sz w:val="24"/>
          <w:szCs w:val="18"/>
          <w:highlight w:val="none"/>
        </w:rPr>
      </w:pPr>
      <w:bookmarkStart w:id="74" w:name="_Toc344475121"/>
      <w:bookmarkStart w:id="75" w:name="_Toc106030884"/>
      <w:bookmarkStart w:id="76" w:name="_Toc76462329"/>
      <w:r>
        <w:rPr>
          <w:rFonts w:hint="eastAsia" w:ascii="仿宋" w:hAnsi="仿宋" w:eastAsia="仿宋" w:cs="仿宋"/>
          <w:color w:val="auto"/>
          <w:sz w:val="24"/>
          <w:szCs w:val="18"/>
          <w:highlight w:val="none"/>
        </w:rPr>
        <w:t>（一）服务期</w:t>
      </w:r>
      <w:r>
        <w:rPr>
          <w:rFonts w:hint="eastAsia" w:ascii="仿宋" w:hAnsi="仿宋" w:eastAsia="仿宋" w:cs="仿宋"/>
          <w:color w:val="auto"/>
          <w:sz w:val="24"/>
          <w:szCs w:val="18"/>
          <w:highlight w:val="none"/>
          <w:lang w:val="en-US" w:eastAsia="zh-CN"/>
        </w:rPr>
        <w:t>/交货期</w:t>
      </w:r>
      <w:r>
        <w:rPr>
          <w:rFonts w:hint="eastAsia" w:ascii="仿宋" w:hAnsi="仿宋" w:eastAsia="仿宋" w:cs="仿宋"/>
          <w:color w:val="auto"/>
          <w:sz w:val="24"/>
          <w:szCs w:val="18"/>
          <w:highlight w:val="none"/>
        </w:rPr>
        <w:t>：</w:t>
      </w:r>
      <w:bookmarkStart w:id="77" w:name="_Hlk187327333"/>
      <w:r>
        <w:rPr>
          <w:rFonts w:hint="eastAsia" w:ascii="仿宋" w:hAnsi="仿宋" w:eastAsia="仿宋" w:cs="仿宋"/>
          <w:color w:val="auto"/>
          <w:sz w:val="24"/>
          <w:szCs w:val="18"/>
          <w:highlight w:val="none"/>
        </w:rPr>
        <w:t>合同签订之日起使用相关服务设备。</w:t>
      </w:r>
      <w:bookmarkEnd w:id="77"/>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FBDA63C">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（三）验收方式：根据双方合同及工程建设要求实施，完工后由承包方先进行自检，无问题后再由业主进行竣工验收。</w:t>
      </w:r>
    </w:p>
    <w:p w14:paraId="099F4004">
      <w:pPr>
        <w:pStyle w:val="4"/>
        <w:spacing w:line="240" w:lineRule="auto"/>
        <w:ind w:firstLine="643"/>
        <w:rPr>
          <w:rFonts w:hint="eastAsia" w:ascii="仿宋" w:hAnsi="仿宋" w:eastAsia="仿宋" w:cs="仿宋"/>
          <w:color w:val="auto"/>
          <w:highlight w:val="none"/>
        </w:rPr>
      </w:pPr>
      <w:bookmarkStart w:id="78" w:name="_Toc183783140"/>
      <w:r>
        <w:rPr>
          <w:rFonts w:hint="eastAsia" w:ascii="仿宋" w:hAnsi="仿宋" w:eastAsia="仿宋" w:cs="仿宋"/>
          <w:color w:val="auto"/>
          <w:highlight w:val="none"/>
        </w:rPr>
        <w:t>二、</w:t>
      </w:r>
      <w:bookmarkEnd w:id="74"/>
      <w:r>
        <w:rPr>
          <w:rFonts w:hint="eastAsia" w:ascii="仿宋" w:hAnsi="仿宋" w:eastAsia="仿宋" w:cs="仿宋"/>
          <w:color w:val="auto"/>
          <w:highlight w:val="none"/>
        </w:rPr>
        <w:t>报价要求</w:t>
      </w:r>
      <w:bookmarkEnd w:id="75"/>
      <w:bookmarkEnd w:id="76"/>
      <w:bookmarkEnd w:id="78"/>
    </w:p>
    <w:p w14:paraId="560B93F8">
      <w:pPr>
        <w:pStyle w:val="4"/>
        <w:spacing w:line="240" w:lineRule="auto"/>
        <w:ind w:firstLine="643"/>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本次报价为人民币</w:t>
      </w:r>
      <w:r>
        <w:rPr>
          <w:rFonts w:hint="eastAsia" w:ascii="仿宋" w:hAnsi="仿宋" w:eastAsia="仿宋" w:cs="仿宋"/>
          <w:color w:val="auto"/>
          <w:sz w:val="24"/>
          <w:szCs w:val="18"/>
          <w:highlight w:val="none"/>
          <w:lang w:val="en-US" w:eastAsia="zh-CN"/>
        </w:rPr>
        <w:t>总价</w:t>
      </w:r>
      <w:r>
        <w:rPr>
          <w:rFonts w:hint="eastAsia" w:ascii="仿宋" w:hAnsi="仿宋" w:eastAsia="仿宋" w:cs="仿宋"/>
          <w:color w:val="auto"/>
          <w:sz w:val="24"/>
          <w:szCs w:val="18"/>
          <w:highlight w:val="none"/>
          <w:lang w:eastAsia="zh-CN"/>
        </w:rPr>
        <w:t>报价，包含：项目设备购买（或制造）费、包装费、运输费、装卸费、搬运费、保险费、人工费、材料费、检测费及各种应纳的税费。因成交</w:t>
      </w:r>
      <w:r>
        <w:rPr>
          <w:rFonts w:hint="eastAsia" w:ascii="仿宋" w:hAnsi="仿宋" w:eastAsia="仿宋" w:cs="仿宋"/>
          <w:color w:val="auto"/>
          <w:sz w:val="24"/>
          <w:szCs w:val="18"/>
          <w:highlight w:val="none"/>
          <w:lang w:val="en-US" w:eastAsia="zh-CN"/>
        </w:rPr>
        <w:t>供应商</w:t>
      </w:r>
      <w:r>
        <w:rPr>
          <w:rFonts w:hint="eastAsia" w:ascii="仿宋" w:hAnsi="仿宋" w:eastAsia="仿宋" w:cs="仿宋"/>
          <w:color w:val="auto"/>
          <w:sz w:val="24"/>
          <w:szCs w:val="18"/>
          <w:highlight w:val="none"/>
          <w:lang w:eastAsia="zh-CN"/>
        </w:rPr>
        <w:t>自身原因造成漏报、少报皆由其自行承担责任，采购人不再补偿。</w:t>
      </w:r>
    </w:p>
    <w:p w14:paraId="47010A5E">
      <w:pPr>
        <w:pStyle w:val="4"/>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9" w:name="_Toc183783141"/>
      <w:r>
        <w:rPr>
          <w:rFonts w:hint="eastAsia" w:ascii="仿宋" w:hAnsi="仿宋" w:eastAsia="仿宋" w:cs="仿宋"/>
          <w:color w:val="auto"/>
          <w:highlight w:val="none"/>
        </w:rPr>
        <w:t>付款</w:t>
      </w:r>
      <w:r>
        <w:rPr>
          <w:rFonts w:hint="eastAsia" w:ascii="仿宋" w:hAnsi="仿宋" w:eastAsia="仿宋" w:cs="仿宋"/>
          <w:color w:val="auto"/>
          <w:highlight w:val="none"/>
          <w:lang w:val="en-US" w:eastAsia="zh-CN"/>
        </w:rPr>
        <w:t>及结算</w:t>
      </w:r>
      <w:r>
        <w:rPr>
          <w:rFonts w:hint="eastAsia" w:ascii="仿宋" w:hAnsi="仿宋" w:eastAsia="仿宋" w:cs="仿宋"/>
          <w:color w:val="auto"/>
          <w:highlight w:val="none"/>
        </w:rPr>
        <w:t>方式</w:t>
      </w:r>
      <w:bookmarkEnd w:id="79"/>
    </w:p>
    <w:p w14:paraId="313DD37E">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val="en-US" w:eastAsia="zh-CN"/>
        </w:rPr>
        <w:t>供应商</w:t>
      </w:r>
      <w:r>
        <w:rPr>
          <w:rFonts w:hint="eastAsia" w:ascii="仿宋" w:hAnsi="仿宋" w:eastAsia="仿宋" w:cs="仿宋"/>
          <w:color w:val="auto"/>
          <w:sz w:val="24"/>
          <w:szCs w:val="18"/>
          <w:highlight w:val="none"/>
          <w:lang w:eastAsia="zh-CN"/>
        </w:rPr>
        <w:t>施工完毕且交付给</w:t>
      </w:r>
      <w:r>
        <w:rPr>
          <w:rFonts w:hint="eastAsia" w:ascii="仿宋" w:hAnsi="仿宋" w:eastAsia="仿宋" w:cs="仿宋"/>
          <w:color w:val="auto"/>
          <w:sz w:val="24"/>
          <w:szCs w:val="18"/>
          <w:highlight w:val="none"/>
          <w:lang w:val="en-US" w:eastAsia="zh-CN"/>
        </w:rPr>
        <w:t>采购人</w:t>
      </w:r>
      <w:r>
        <w:rPr>
          <w:rFonts w:hint="eastAsia" w:ascii="仿宋" w:hAnsi="仿宋" w:eastAsia="仿宋" w:cs="仿宋"/>
          <w:color w:val="auto"/>
          <w:sz w:val="24"/>
          <w:szCs w:val="18"/>
          <w:highlight w:val="none"/>
          <w:lang w:eastAsia="zh-CN"/>
        </w:rPr>
        <w:t>并经</w:t>
      </w:r>
      <w:r>
        <w:rPr>
          <w:rFonts w:hint="eastAsia" w:ascii="仿宋" w:hAnsi="仿宋" w:eastAsia="仿宋" w:cs="仿宋"/>
          <w:color w:val="auto"/>
          <w:sz w:val="24"/>
          <w:szCs w:val="18"/>
          <w:highlight w:val="none"/>
          <w:lang w:val="en-US" w:eastAsia="zh-CN"/>
        </w:rPr>
        <w:t>采购人</w:t>
      </w:r>
      <w:r>
        <w:rPr>
          <w:rFonts w:hint="eastAsia" w:ascii="仿宋" w:hAnsi="仿宋" w:eastAsia="仿宋" w:cs="仿宋"/>
          <w:color w:val="auto"/>
          <w:sz w:val="24"/>
          <w:szCs w:val="18"/>
          <w:highlight w:val="none"/>
          <w:lang w:eastAsia="zh-CN"/>
        </w:rPr>
        <w:t>验收合格后，</w:t>
      </w:r>
      <w:r>
        <w:rPr>
          <w:rFonts w:hint="eastAsia" w:ascii="仿宋" w:hAnsi="仿宋" w:eastAsia="仿宋" w:cs="仿宋"/>
          <w:color w:val="auto"/>
          <w:sz w:val="24"/>
          <w:szCs w:val="18"/>
          <w:highlight w:val="none"/>
          <w:lang w:val="en-US" w:eastAsia="zh-CN"/>
        </w:rPr>
        <w:t>采购人</w:t>
      </w:r>
      <w:r>
        <w:rPr>
          <w:rFonts w:hint="eastAsia" w:ascii="仿宋" w:hAnsi="仿宋" w:eastAsia="仿宋" w:cs="仿宋"/>
          <w:color w:val="auto"/>
          <w:sz w:val="24"/>
          <w:szCs w:val="18"/>
          <w:highlight w:val="none"/>
          <w:lang w:eastAsia="zh-CN"/>
        </w:rPr>
        <w:t>一次性按照双方盖章确认的结算金额支付至</w:t>
      </w:r>
      <w:r>
        <w:rPr>
          <w:rFonts w:hint="eastAsia" w:ascii="仿宋" w:hAnsi="仿宋" w:eastAsia="仿宋" w:cs="仿宋"/>
          <w:color w:val="auto"/>
          <w:sz w:val="24"/>
          <w:szCs w:val="18"/>
          <w:highlight w:val="none"/>
          <w:lang w:val="en-US" w:eastAsia="zh-CN"/>
        </w:rPr>
        <w:t>结算</w:t>
      </w:r>
      <w:r>
        <w:rPr>
          <w:rFonts w:hint="eastAsia" w:ascii="仿宋" w:hAnsi="仿宋" w:eastAsia="仿宋" w:cs="仿宋"/>
          <w:color w:val="auto"/>
          <w:sz w:val="24"/>
          <w:szCs w:val="18"/>
          <w:highlight w:val="none"/>
          <w:lang w:eastAsia="zh-CN"/>
        </w:rPr>
        <w:t>金额的97%，余下3%作为质量保证金，待</w:t>
      </w:r>
      <w:r>
        <w:rPr>
          <w:rFonts w:hint="eastAsia" w:ascii="仿宋" w:hAnsi="仿宋" w:eastAsia="仿宋" w:cs="仿宋"/>
          <w:color w:val="auto"/>
          <w:sz w:val="24"/>
          <w:szCs w:val="18"/>
          <w:highlight w:val="none"/>
          <w:lang w:val="en-US" w:eastAsia="zh-CN"/>
        </w:rPr>
        <w:t>12</w:t>
      </w:r>
      <w:r>
        <w:rPr>
          <w:rFonts w:hint="eastAsia" w:ascii="仿宋" w:hAnsi="仿宋" w:eastAsia="仿宋" w:cs="仿宋"/>
          <w:color w:val="auto"/>
          <w:sz w:val="24"/>
          <w:szCs w:val="18"/>
          <w:highlight w:val="none"/>
          <w:lang w:eastAsia="zh-CN"/>
        </w:rPr>
        <w:t>个月后按规定无息退还。供应商</w:t>
      </w:r>
      <w:r>
        <w:rPr>
          <w:rFonts w:hint="eastAsia" w:ascii="仿宋" w:hAnsi="仿宋" w:eastAsia="仿宋" w:cs="仿宋"/>
          <w:color w:val="auto"/>
          <w:sz w:val="24"/>
          <w:szCs w:val="18"/>
          <w:highlight w:val="none"/>
          <w:lang w:val="en-US" w:eastAsia="zh-CN"/>
        </w:rPr>
        <w:t>须</w:t>
      </w:r>
      <w:r>
        <w:rPr>
          <w:rFonts w:hint="eastAsia" w:ascii="仿宋" w:hAnsi="仿宋" w:eastAsia="仿宋" w:cs="仿宋"/>
          <w:color w:val="auto"/>
          <w:sz w:val="24"/>
          <w:szCs w:val="18"/>
          <w:highlight w:val="none"/>
          <w:lang w:eastAsia="zh-CN"/>
        </w:rPr>
        <w:t>出具国家税务机关开具的合法增值税专票，并提供相应完税证明，由项目业主单位采用银行转帐支付或电汇至供应商在璧银行账户。</w:t>
      </w:r>
    </w:p>
    <w:p w14:paraId="3A96264D">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具体结算金额以双方共同确认的实际金额为准。</w:t>
      </w:r>
    </w:p>
    <w:p w14:paraId="77AB2CAA">
      <w:pPr>
        <w:pStyle w:val="4"/>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知识产权</w:t>
      </w:r>
    </w:p>
    <w:p w14:paraId="0817E90E">
      <w:pPr>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B7FFA">
      <w:pPr>
        <w:pStyle w:val="4"/>
        <w:spacing w:line="240" w:lineRule="auto"/>
        <w:ind w:firstLine="643"/>
        <w:rPr>
          <w:rFonts w:hint="eastAsia" w:ascii="仿宋" w:hAnsi="仿宋" w:eastAsia="仿宋" w:cs="仿宋"/>
          <w:color w:val="auto"/>
          <w:highlight w:val="none"/>
        </w:rPr>
      </w:pPr>
      <w:bookmarkStart w:id="80" w:name="_Toc267320054"/>
      <w:bookmarkStart w:id="81" w:name="_Toc14923"/>
      <w:bookmarkStart w:id="82" w:name="_Toc529"/>
      <w:bookmarkStart w:id="83" w:name="_Toc27175"/>
      <w:bookmarkStart w:id="84" w:name="_Toc183783143"/>
      <w:bookmarkStart w:id="85" w:name="_Toc17569"/>
      <w:bookmarkStart w:id="86" w:name="_Toc30515"/>
      <w:bookmarkStart w:id="87" w:name="_Toc13936"/>
      <w:bookmarkStart w:id="88" w:name="_Toc23858"/>
      <w:bookmarkStart w:id="89" w:name="_Toc75793516"/>
      <w:bookmarkStart w:id="90" w:name="_Toc106030392"/>
      <w:bookmarkStart w:id="91" w:name="_Toc4353"/>
      <w:bookmarkStart w:id="92" w:name="_Toc1138"/>
      <w:bookmarkStart w:id="93" w:name="_Toc6385"/>
      <w:bookmarkStart w:id="94" w:name="_Toc10406"/>
      <w:bookmarkStart w:id="95" w:name="_Toc6099"/>
      <w:bookmarkStart w:id="96" w:name="_Toc32308"/>
      <w:bookmarkStart w:id="97" w:name="_Toc28513"/>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w:t>
      </w:r>
      <w:bookmarkEnd w:id="80"/>
      <w:r>
        <w:rPr>
          <w:rFonts w:hint="eastAsia" w:ascii="仿宋" w:hAnsi="仿宋" w:eastAsia="仿宋" w:cs="仿宋"/>
          <w:color w:val="auto"/>
          <w:highlight w:val="none"/>
        </w:rPr>
        <w:t>其他商务要求内容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2AF1573">
      <w:pPr>
        <w:pStyle w:val="3"/>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8" w:name="_Toc109836389"/>
      <w:bookmarkStart w:id="99" w:name="_Toc183783144"/>
      <w:r>
        <w:rPr>
          <w:rFonts w:hint="eastAsia" w:ascii="仿宋" w:hAnsi="仿宋" w:eastAsia="仿宋" w:cs="仿宋"/>
          <w:color w:val="auto"/>
          <w:sz w:val="40"/>
          <w:szCs w:val="18"/>
          <w:highlight w:val="none"/>
        </w:rPr>
        <w:t>第四篇  竞采程序、评标办法</w:t>
      </w:r>
      <w:bookmarkEnd w:id="98"/>
      <w:r>
        <w:rPr>
          <w:rFonts w:hint="eastAsia" w:ascii="仿宋" w:hAnsi="仿宋" w:eastAsia="仿宋" w:cs="仿宋"/>
          <w:color w:val="auto"/>
          <w:sz w:val="40"/>
          <w:szCs w:val="18"/>
          <w:highlight w:val="none"/>
        </w:rPr>
        <w:t>、无效响应及采购终止</w:t>
      </w:r>
      <w:bookmarkEnd w:id="99"/>
    </w:p>
    <w:p w14:paraId="71D6C48D">
      <w:pPr>
        <w:pStyle w:val="4"/>
        <w:spacing w:line="240" w:lineRule="auto"/>
        <w:ind w:firstLine="643"/>
        <w:rPr>
          <w:rFonts w:hint="eastAsia" w:ascii="仿宋" w:hAnsi="仿宋" w:eastAsia="仿宋" w:cs="仿宋"/>
          <w:color w:val="auto"/>
          <w:highlight w:val="none"/>
        </w:rPr>
      </w:pPr>
      <w:bookmarkStart w:id="100" w:name="_Toc10124"/>
      <w:bookmarkStart w:id="101" w:name="_Toc183783145"/>
      <w:r>
        <w:rPr>
          <w:rFonts w:hint="eastAsia" w:ascii="仿宋" w:hAnsi="仿宋" w:eastAsia="仿宋" w:cs="仿宋"/>
          <w:color w:val="auto"/>
          <w:highlight w:val="none"/>
        </w:rPr>
        <w:t>一、</w:t>
      </w:r>
      <w:bookmarkEnd w:id="100"/>
      <w:bookmarkStart w:id="102" w:name="_Toc75793518"/>
      <w:r>
        <w:rPr>
          <w:rFonts w:hint="eastAsia" w:ascii="仿宋" w:hAnsi="仿宋" w:eastAsia="仿宋" w:cs="仿宋"/>
          <w:color w:val="auto"/>
          <w:highlight w:val="none"/>
        </w:rPr>
        <w:t>网上竞采程序</w:t>
      </w:r>
      <w:bookmarkEnd w:id="101"/>
      <w:bookmarkEnd w:id="102"/>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042F68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4"/>
        <w:spacing w:line="240" w:lineRule="auto"/>
        <w:ind w:firstLine="643"/>
        <w:rPr>
          <w:rFonts w:hint="eastAsia" w:ascii="仿宋" w:hAnsi="仿宋" w:eastAsia="仿宋" w:cs="仿宋"/>
          <w:color w:val="auto"/>
          <w:highlight w:val="none"/>
        </w:rPr>
      </w:pPr>
      <w:bookmarkStart w:id="103" w:name="_Toc183783146"/>
      <w:r>
        <w:rPr>
          <w:rFonts w:hint="eastAsia" w:ascii="仿宋" w:hAnsi="仿宋" w:eastAsia="仿宋" w:cs="仿宋"/>
          <w:color w:val="auto"/>
          <w:highlight w:val="none"/>
        </w:rPr>
        <w:t>二、评审标准</w:t>
      </w:r>
      <w:bookmarkEnd w:id="103"/>
    </w:p>
    <w:p w14:paraId="6098F9DB">
      <w:pPr>
        <w:pStyle w:val="7"/>
        <w:ind w:firstLine="640"/>
        <w:rPr>
          <w:rFonts w:hint="eastAsia" w:ascii="仿宋" w:hAnsi="仿宋" w:eastAsia="仿宋" w:cs="仿宋"/>
          <w:color w:val="auto"/>
          <w:highlight w:val="none"/>
        </w:rPr>
      </w:pPr>
      <w:bookmarkStart w:id="104" w:name="_Hlk27399823"/>
      <w:r>
        <w:rPr>
          <w:rFonts w:hint="eastAsia" w:ascii="仿宋" w:hAnsi="仿宋" w:eastAsia="仿宋" w:cs="仿宋"/>
          <w:color w:val="auto"/>
          <w:highlight w:val="none"/>
        </w:rPr>
        <w:t>（一）评审因素</w:t>
      </w:r>
    </w:p>
    <w:tbl>
      <w:tblPr>
        <w:tblStyle w:val="19"/>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3"/>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vAlign w:val="center"/>
          </w:tcPr>
          <w:p w14:paraId="70C822C0">
            <w:pP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vAlign w:val="center"/>
          </w:tcPr>
          <w:p w14:paraId="66AEC92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1"/>
                <w:szCs w:val="21"/>
                <w:highlight w:val="none"/>
              </w:rPr>
            </w:pP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3" w:type="dxa"/>
            <w:vMerge w:val="restart"/>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vAlign w:val="center"/>
          </w:tcPr>
          <w:p w14:paraId="50066B01">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w:t>
            </w:r>
          </w:p>
        </w:tc>
        <w:tc>
          <w:tcPr>
            <w:tcW w:w="951" w:type="dxa"/>
            <w:vMerge w:val="restart"/>
            <w:vAlign w:val="center"/>
          </w:tcPr>
          <w:p w14:paraId="43829E5C">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50分</w:t>
            </w:r>
          </w:p>
        </w:tc>
        <w:tc>
          <w:tcPr>
            <w:tcW w:w="832" w:type="dxa"/>
            <w:vAlign w:val="center"/>
          </w:tcPr>
          <w:p w14:paraId="46A8E544">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施工方案与技术措施</w:t>
            </w:r>
          </w:p>
        </w:tc>
        <w:tc>
          <w:tcPr>
            <w:tcW w:w="3742" w:type="dxa"/>
            <w:vAlign w:val="center"/>
          </w:tcPr>
          <w:p w14:paraId="17E2F31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根据项目所涉及到的</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内容提出完整，有重点，有针对性的</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方案。</w:t>
            </w:r>
          </w:p>
          <w:p w14:paraId="65849D5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提出的方案完整性高、重点明确、针对性强的得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0分；提出的方案完整性一般、重点基本明确、基本有针对性的得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分；提出的方案完整性、重点、针对性概略的得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分；未提供得0分。</w:t>
            </w:r>
          </w:p>
        </w:tc>
        <w:tc>
          <w:tcPr>
            <w:tcW w:w="1375" w:type="dxa"/>
            <w:vMerge w:val="restart"/>
            <w:vAlign w:val="center"/>
          </w:tcPr>
          <w:p w14:paraId="777EB0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供应商在响应文件中提供方案，格式自拟。</w:t>
            </w:r>
          </w:p>
        </w:tc>
      </w:tr>
      <w:tr w14:paraId="3D6D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3" w:type="dxa"/>
            <w:vMerge w:val="continue"/>
            <w:vAlign w:val="center"/>
          </w:tcPr>
          <w:p w14:paraId="29A54A42">
            <w:pPr>
              <w:rPr>
                <w:color w:val="auto"/>
                <w:highlight w:val="none"/>
              </w:rPr>
            </w:pPr>
          </w:p>
        </w:tc>
        <w:tc>
          <w:tcPr>
            <w:tcW w:w="1219" w:type="dxa"/>
            <w:vMerge w:val="continue"/>
            <w:vAlign w:val="center"/>
          </w:tcPr>
          <w:p w14:paraId="41758CB6">
            <w:pPr>
              <w:rPr>
                <w:color w:val="auto"/>
                <w:highlight w:val="none"/>
              </w:rPr>
            </w:pPr>
          </w:p>
        </w:tc>
        <w:tc>
          <w:tcPr>
            <w:tcW w:w="951" w:type="dxa"/>
            <w:vMerge w:val="continue"/>
            <w:vAlign w:val="center"/>
          </w:tcPr>
          <w:p w14:paraId="59D80904">
            <w:pPr>
              <w:rPr>
                <w:color w:val="auto"/>
                <w:highlight w:val="none"/>
              </w:rPr>
            </w:pPr>
          </w:p>
        </w:tc>
        <w:tc>
          <w:tcPr>
            <w:tcW w:w="832" w:type="dxa"/>
            <w:vAlign w:val="center"/>
          </w:tcPr>
          <w:p w14:paraId="34107CE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工程进度计划与措施</w:t>
            </w:r>
          </w:p>
        </w:tc>
        <w:tc>
          <w:tcPr>
            <w:tcW w:w="3742" w:type="dxa"/>
            <w:vAlign w:val="center"/>
          </w:tcPr>
          <w:p w14:paraId="549B0A6F">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根据本工程实际情况提供工程进度计划与措施是否合理。提出的工程进度计划与措施完整性高、重点明确、针对性强的得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0分；提出的工程进度计划与措施完整性一般、重点基本明确、基本有针对性的得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分；提出的工程进度计划与措施完整性、重点、针对性概略的得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分；未提供得0分。</w:t>
            </w:r>
          </w:p>
        </w:tc>
        <w:tc>
          <w:tcPr>
            <w:tcW w:w="1375" w:type="dxa"/>
            <w:vMerge w:val="continue"/>
            <w:vAlign w:val="center"/>
          </w:tcPr>
          <w:p w14:paraId="00F5AD8F">
            <w:pPr>
              <w:rPr>
                <w:rFonts w:hint="eastAsia" w:ascii="仿宋" w:hAnsi="仿宋" w:eastAsia="仿宋" w:cs="仿宋"/>
                <w:color w:val="auto"/>
                <w:sz w:val="21"/>
                <w:szCs w:val="21"/>
                <w:highlight w:val="none"/>
                <w:lang w:val="en-US" w:eastAsia="zh-CN"/>
              </w:rPr>
            </w:pP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563" w:type="dxa"/>
            <w:vMerge w:val="continue"/>
            <w:vAlign w:val="center"/>
          </w:tcPr>
          <w:p w14:paraId="124E8AD3">
            <w:pPr>
              <w:rPr>
                <w:rFonts w:hint="eastAsia" w:ascii="仿宋" w:hAnsi="仿宋" w:eastAsia="仿宋" w:cs="仿宋"/>
                <w:color w:val="auto"/>
                <w:highlight w:val="none"/>
              </w:rPr>
            </w:pPr>
          </w:p>
        </w:tc>
        <w:tc>
          <w:tcPr>
            <w:tcW w:w="1219" w:type="dxa"/>
            <w:vMerge w:val="continue"/>
            <w:vAlign w:val="center"/>
          </w:tcPr>
          <w:p w14:paraId="7A6E6B7E">
            <w:pPr>
              <w:rPr>
                <w:rFonts w:hint="eastAsia" w:ascii="仿宋" w:hAnsi="仿宋" w:eastAsia="仿宋" w:cs="仿宋"/>
                <w:color w:val="auto"/>
                <w:highlight w:val="none"/>
              </w:rPr>
            </w:pPr>
          </w:p>
        </w:tc>
        <w:tc>
          <w:tcPr>
            <w:tcW w:w="951" w:type="dxa"/>
            <w:vMerge w:val="continue"/>
            <w:vAlign w:val="center"/>
          </w:tcPr>
          <w:p w14:paraId="6346C956">
            <w:pPr>
              <w:rPr>
                <w:rFonts w:hint="eastAsia" w:ascii="仿宋" w:hAnsi="仿宋" w:eastAsia="仿宋" w:cs="仿宋"/>
                <w:color w:val="auto"/>
                <w:highlight w:val="none"/>
              </w:rPr>
            </w:pPr>
          </w:p>
        </w:tc>
        <w:tc>
          <w:tcPr>
            <w:tcW w:w="832" w:type="dxa"/>
            <w:vAlign w:val="center"/>
          </w:tcPr>
          <w:p w14:paraId="0C7E871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w:t>
            </w:r>
            <w:r>
              <w:rPr>
                <w:rFonts w:hint="eastAsia" w:ascii="仿宋" w:hAnsi="仿宋" w:eastAsia="仿宋" w:cs="仿宋"/>
                <w:color w:val="auto"/>
                <w:sz w:val="21"/>
                <w:szCs w:val="21"/>
                <w:highlight w:val="none"/>
              </w:rPr>
              <w:t>保障计划方案</w:t>
            </w:r>
          </w:p>
        </w:tc>
        <w:tc>
          <w:tcPr>
            <w:tcW w:w="3742" w:type="dxa"/>
            <w:vAlign w:val="center"/>
          </w:tcPr>
          <w:p w14:paraId="5DC9F55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结合本项目实际情况，提出</w:t>
            </w:r>
            <w:r>
              <w:rPr>
                <w:rFonts w:hint="eastAsia" w:ascii="仿宋" w:hAnsi="仿宋" w:eastAsia="仿宋" w:cs="仿宋"/>
                <w:color w:val="auto"/>
                <w:sz w:val="21"/>
                <w:szCs w:val="21"/>
                <w:highlight w:val="none"/>
                <w:lang w:val="en-US" w:eastAsia="zh-CN"/>
              </w:rPr>
              <w:t>售后服务</w:t>
            </w:r>
            <w:r>
              <w:rPr>
                <w:rFonts w:hint="eastAsia" w:ascii="仿宋" w:hAnsi="仿宋" w:eastAsia="仿宋" w:cs="仿宋"/>
                <w:color w:val="auto"/>
                <w:sz w:val="21"/>
                <w:szCs w:val="21"/>
                <w:highlight w:val="none"/>
              </w:rPr>
              <w:t>的相关保障计划方案。提出的</w:t>
            </w:r>
            <w:r>
              <w:rPr>
                <w:rFonts w:hint="eastAsia" w:ascii="仿宋" w:hAnsi="仿宋" w:eastAsia="仿宋" w:cs="仿宋"/>
                <w:color w:val="auto"/>
                <w:sz w:val="21"/>
                <w:szCs w:val="21"/>
                <w:highlight w:val="none"/>
                <w:lang w:val="en-US" w:eastAsia="zh-CN"/>
              </w:rPr>
              <w:t>售后服务保障计划</w:t>
            </w:r>
            <w:r>
              <w:rPr>
                <w:rFonts w:hint="eastAsia" w:ascii="仿宋" w:hAnsi="仿宋" w:eastAsia="仿宋" w:cs="仿宋"/>
                <w:color w:val="auto"/>
                <w:sz w:val="21"/>
                <w:szCs w:val="21"/>
                <w:highlight w:val="none"/>
              </w:rPr>
              <w:t>完整性高、重点明确、针对性强的得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0分；提出的</w:t>
            </w:r>
            <w:r>
              <w:rPr>
                <w:rFonts w:hint="eastAsia" w:ascii="仿宋" w:hAnsi="仿宋" w:eastAsia="仿宋" w:cs="仿宋"/>
                <w:color w:val="auto"/>
                <w:sz w:val="21"/>
                <w:szCs w:val="21"/>
                <w:highlight w:val="none"/>
                <w:lang w:val="en-US" w:eastAsia="zh-CN"/>
              </w:rPr>
              <w:t>售后服务保障计划</w:t>
            </w:r>
            <w:r>
              <w:rPr>
                <w:rFonts w:hint="eastAsia" w:ascii="仿宋" w:hAnsi="仿宋" w:eastAsia="仿宋" w:cs="仿宋"/>
                <w:color w:val="auto"/>
                <w:sz w:val="21"/>
                <w:szCs w:val="21"/>
                <w:highlight w:val="none"/>
              </w:rPr>
              <w:t>完整性一般、重点基本明确、基本有针对性的得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分；提出的</w:t>
            </w:r>
            <w:r>
              <w:rPr>
                <w:rFonts w:hint="eastAsia" w:ascii="仿宋" w:hAnsi="仿宋" w:eastAsia="仿宋" w:cs="仿宋"/>
                <w:color w:val="auto"/>
                <w:sz w:val="21"/>
                <w:szCs w:val="21"/>
                <w:highlight w:val="none"/>
                <w:lang w:val="en-US" w:eastAsia="zh-CN"/>
              </w:rPr>
              <w:t>售后服务保障计划</w:t>
            </w:r>
            <w:r>
              <w:rPr>
                <w:rFonts w:hint="eastAsia" w:ascii="仿宋" w:hAnsi="仿宋" w:eastAsia="仿宋" w:cs="仿宋"/>
                <w:color w:val="auto"/>
                <w:sz w:val="21"/>
                <w:szCs w:val="21"/>
                <w:highlight w:val="none"/>
              </w:rPr>
              <w:t>完整性、重点、针对性概略的得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分；未提供得0分。</w:t>
            </w:r>
          </w:p>
        </w:tc>
        <w:tc>
          <w:tcPr>
            <w:tcW w:w="1375" w:type="dxa"/>
            <w:vMerge w:val="continue"/>
            <w:vAlign w:val="center"/>
          </w:tcPr>
          <w:p w14:paraId="60175F75">
            <w:pPr>
              <w:rPr>
                <w:rFonts w:hint="eastAsia" w:ascii="仿宋" w:hAnsi="仿宋" w:eastAsia="仿宋" w:cs="仿宋"/>
                <w:color w:val="auto"/>
                <w:highlight w:val="none"/>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3" w:type="dxa"/>
            <w:vMerge w:val="restart"/>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Merge w:val="restart"/>
            <w:vAlign w:val="center"/>
          </w:tcPr>
          <w:p w14:paraId="5344743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w:t>
            </w:r>
          </w:p>
        </w:tc>
        <w:tc>
          <w:tcPr>
            <w:tcW w:w="951" w:type="dxa"/>
            <w:vAlign w:val="center"/>
          </w:tcPr>
          <w:p w14:paraId="00DBE1AD">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产品说明及检验/检测报告</w:t>
            </w:r>
          </w:p>
        </w:tc>
        <w:tc>
          <w:tcPr>
            <w:tcW w:w="4574" w:type="dxa"/>
            <w:gridSpan w:val="2"/>
            <w:vAlign w:val="center"/>
          </w:tcPr>
          <w:p w14:paraId="28B6D68A">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供应商提供拟供产品的说明及检验/检测报告，每提供一个得5分，本项最多得20分</w:t>
            </w:r>
          </w:p>
        </w:tc>
        <w:tc>
          <w:tcPr>
            <w:tcW w:w="1375" w:type="dxa"/>
            <w:vAlign w:val="center"/>
          </w:tcPr>
          <w:p w14:paraId="449A211F">
            <w:pPr>
              <w:ind w:left="-38"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报告</w:t>
            </w:r>
            <w:r>
              <w:rPr>
                <w:rFonts w:hint="eastAsia" w:ascii="仿宋" w:hAnsi="仿宋" w:eastAsia="仿宋" w:cs="仿宋"/>
                <w:color w:val="auto"/>
                <w:sz w:val="21"/>
                <w:szCs w:val="21"/>
                <w:highlight w:val="none"/>
              </w:rPr>
              <w:t>复印件，并加盖供应商公章。</w:t>
            </w:r>
          </w:p>
        </w:tc>
      </w:tr>
      <w:tr w14:paraId="5B65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3" w:type="dxa"/>
            <w:vMerge w:val="continue"/>
            <w:vAlign w:val="center"/>
          </w:tcPr>
          <w:p w14:paraId="26AF6BEC">
            <w:pPr>
              <w:rPr>
                <w:color w:val="auto"/>
                <w:highlight w:val="none"/>
              </w:rPr>
            </w:pPr>
          </w:p>
        </w:tc>
        <w:tc>
          <w:tcPr>
            <w:tcW w:w="1219" w:type="dxa"/>
            <w:vMerge w:val="continue"/>
            <w:vAlign w:val="center"/>
          </w:tcPr>
          <w:p w14:paraId="47DB800B">
            <w:pPr>
              <w:rPr>
                <w:color w:val="auto"/>
                <w:highlight w:val="none"/>
              </w:rPr>
            </w:pPr>
          </w:p>
        </w:tc>
        <w:tc>
          <w:tcPr>
            <w:tcW w:w="951" w:type="dxa"/>
            <w:vAlign w:val="center"/>
          </w:tcPr>
          <w:p w14:paraId="03E37B86">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质保期</w:t>
            </w:r>
          </w:p>
        </w:tc>
        <w:tc>
          <w:tcPr>
            <w:tcW w:w="4574" w:type="dxa"/>
            <w:gridSpan w:val="2"/>
            <w:vAlign w:val="center"/>
          </w:tcPr>
          <w:p w14:paraId="00604BCA">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在基本质保期1年的基础上，供应商承诺质保期每增加半年加5分，最多得10分。</w:t>
            </w:r>
          </w:p>
        </w:tc>
        <w:tc>
          <w:tcPr>
            <w:tcW w:w="1375" w:type="dxa"/>
            <w:vAlign w:val="center"/>
          </w:tcPr>
          <w:p w14:paraId="35D80CD8">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承诺书格式自拟</w:t>
            </w:r>
            <w:r>
              <w:rPr>
                <w:rFonts w:hint="eastAsia" w:ascii="仿宋" w:hAnsi="仿宋" w:eastAsia="仿宋" w:cs="仿宋"/>
                <w:color w:val="auto"/>
                <w:sz w:val="21"/>
                <w:szCs w:val="21"/>
                <w:highlight w:val="none"/>
              </w:rPr>
              <w:t>，并加盖供应商公章。</w:t>
            </w:r>
          </w:p>
        </w:tc>
      </w:tr>
    </w:tbl>
    <w:p w14:paraId="4E578E36">
      <w:pPr>
        <w:rPr>
          <w:rFonts w:hint="eastAsia" w:ascii="仿宋" w:hAnsi="仿宋" w:eastAsia="仿宋" w:cs="仿宋"/>
          <w:color w:val="auto"/>
          <w:highlight w:val="none"/>
        </w:rPr>
      </w:pPr>
    </w:p>
    <w:bookmarkEnd w:id="104"/>
    <w:p w14:paraId="58AB485E">
      <w:pPr>
        <w:pStyle w:val="4"/>
        <w:spacing w:line="240" w:lineRule="auto"/>
        <w:ind w:firstLine="643"/>
        <w:rPr>
          <w:rFonts w:hint="eastAsia" w:ascii="仿宋" w:hAnsi="仿宋" w:eastAsia="仿宋" w:cs="仿宋"/>
          <w:color w:val="auto"/>
          <w:highlight w:val="none"/>
        </w:rPr>
      </w:pPr>
      <w:bookmarkStart w:id="105" w:name="_Toc183783147"/>
      <w:bookmarkStart w:id="106" w:name="_Toc76462337"/>
      <w:bookmarkStart w:id="107" w:name="_Toc102227313"/>
      <w:bookmarkStart w:id="108" w:name="_Toc106030892"/>
      <w:r>
        <w:rPr>
          <w:rFonts w:hint="eastAsia" w:ascii="仿宋" w:hAnsi="仿宋" w:eastAsia="仿宋" w:cs="仿宋"/>
          <w:color w:val="auto"/>
          <w:highlight w:val="none"/>
        </w:rPr>
        <w:t>三、无效响应</w:t>
      </w:r>
      <w:bookmarkEnd w:id="105"/>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4"/>
        <w:spacing w:line="240" w:lineRule="auto"/>
        <w:ind w:firstLine="643"/>
        <w:rPr>
          <w:rFonts w:hint="eastAsia" w:ascii="仿宋" w:hAnsi="仿宋" w:eastAsia="仿宋" w:cs="仿宋"/>
          <w:color w:val="auto"/>
          <w:highlight w:val="none"/>
        </w:rPr>
      </w:pPr>
      <w:bookmarkStart w:id="109" w:name="_Toc106030398"/>
      <w:bookmarkStart w:id="110" w:name="_Toc30605"/>
      <w:bookmarkStart w:id="111" w:name="_Toc21946"/>
      <w:bookmarkStart w:id="112" w:name="_Toc75793522"/>
      <w:bookmarkStart w:id="113" w:name="_Toc20005"/>
      <w:bookmarkStart w:id="114" w:name="_Toc25549"/>
      <w:bookmarkStart w:id="115" w:name="_Toc7802"/>
      <w:bookmarkStart w:id="116" w:name="_Toc6956"/>
      <w:bookmarkStart w:id="117" w:name="_Toc4422"/>
      <w:bookmarkStart w:id="118" w:name="_Toc14355"/>
      <w:bookmarkStart w:id="119" w:name="_Toc25960"/>
      <w:bookmarkStart w:id="120" w:name="_Toc27133"/>
      <w:bookmarkStart w:id="121" w:name="_Toc6719"/>
      <w:bookmarkStart w:id="122" w:name="_Toc6204"/>
      <w:bookmarkStart w:id="123" w:name="_Toc23533"/>
      <w:bookmarkStart w:id="124" w:name="_Toc11293"/>
      <w:bookmarkStart w:id="125" w:name="_Toc183783148"/>
      <w:r>
        <w:rPr>
          <w:rFonts w:hint="eastAsia" w:ascii="仿宋" w:hAnsi="仿宋" w:eastAsia="仿宋" w:cs="仿宋"/>
          <w:color w:val="auto"/>
          <w:highlight w:val="none"/>
        </w:rPr>
        <w:t>四、</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仿宋" w:hAnsi="仿宋" w:eastAsia="仿宋" w:cs="仿宋"/>
          <w:color w:val="auto"/>
          <w:highlight w:val="none"/>
        </w:rPr>
        <w:t>采购终止</w:t>
      </w:r>
      <w:bookmarkEnd w:id="125"/>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22DC9D35">
      <w:pPr>
        <w:snapToGrid w:val="0"/>
        <w:ind w:firstLine="480" w:firstLineChars="200"/>
        <w:rPr>
          <w:rFonts w:hint="eastAsia" w:ascii="仿宋" w:hAnsi="仿宋" w:eastAsia="仿宋" w:cs="仿宋"/>
          <w:b/>
          <w:bCs/>
          <w:color w:val="auto"/>
          <w:sz w:val="36"/>
          <w:szCs w:val="36"/>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0487B826">
      <w:pPr>
        <w:pStyle w:val="24"/>
        <w:rPr>
          <w:rFonts w:hint="eastAsia" w:ascii="仿宋" w:hAnsi="仿宋" w:eastAsia="仿宋" w:cs="仿宋"/>
          <w:color w:val="auto"/>
          <w:highlight w:val="none"/>
        </w:rPr>
      </w:pP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3"/>
        <w:spacing w:line="240" w:lineRule="auto"/>
        <w:ind w:firstLine="883"/>
        <w:jc w:val="center"/>
        <w:rPr>
          <w:rFonts w:hint="eastAsia" w:ascii="仿宋" w:hAnsi="仿宋" w:eastAsia="仿宋" w:cs="仿宋"/>
          <w:color w:val="auto"/>
          <w:highlight w:val="none"/>
        </w:rPr>
      </w:pPr>
      <w:bookmarkStart w:id="126" w:name="_Toc183783149"/>
      <w:r>
        <w:rPr>
          <w:rFonts w:hint="eastAsia" w:ascii="仿宋" w:hAnsi="仿宋" w:eastAsia="仿宋" w:cs="仿宋"/>
          <w:color w:val="auto"/>
          <w:highlight w:val="none"/>
        </w:rPr>
        <w:t>第五篇 投标人须知</w:t>
      </w:r>
      <w:bookmarkEnd w:id="106"/>
      <w:bookmarkEnd w:id="107"/>
      <w:bookmarkEnd w:id="108"/>
      <w:bookmarkEnd w:id="126"/>
    </w:p>
    <w:p w14:paraId="203451A9">
      <w:pPr>
        <w:pStyle w:val="4"/>
        <w:spacing w:line="240" w:lineRule="auto"/>
        <w:ind w:firstLine="643"/>
        <w:rPr>
          <w:rFonts w:hint="eastAsia" w:ascii="仿宋" w:hAnsi="仿宋" w:eastAsia="仿宋" w:cs="仿宋"/>
          <w:color w:val="auto"/>
          <w:highlight w:val="none"/>
        </w:rPr>
      </w:pPr>
      <w:bookmarkStart w:id="127" w:name="_Toc183783150"/>
      <w:bookmarkStart w:id="128" w:name="_Toc106030893"/>
      <w:bookmarkStart w:id="129" w:name="_Toc342913389"/>
      <w:bookmarkStart w:id="130" w:name="_Toc76462338"/>
      <w:r>
        <w:rPr>
          <w:rFonts w:hint="eastAsia" w:ascii="仿宋" w:hAnsi="仿宋" w:eastAsia="仿宋" w:cs="仿宋"/>
          <w:color w:val="auto"/>
          <w:highlight w:val="none"/>
        </w:rPr>
        <w:t>一、竞采费用</w:t>
      </w:r>
      <w:bookmarkEnd w:id="127"/>
      <w:bookmarkEnd w:id="128"/>
      <w:bookmarkEnd w:id="129"/>
      <w:bookmarkEnd w:id="130"/>
    </w:p>
    <w:p w14:paraId="122D7320">
      <w:pPr>
        <w:pStyle w:val="24"/>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4"/>
        <w:spacing w:line="240" w:lineRule="auto"/>
        <w:ind w:firstLine="643"/>
        <w:rPr>
          <w:rFonts w:hint="eastAsia" w:ascii="仿宋" w:hAnsi="仿宋" w:eastAsia="仿宋" w:cs="仿宋"/>
          <w:color w:val="auto"/>
          <w:highlight w:val="none"/>
        </w:rPr>
      </w:pPr>
      <w:bookmarkStart w:id="131" w:name="_Toc76462339"/>
      <w:bookmarkStart w:id="132" w:name="_Toc106030894"/>
      <w:bookmarkStart w:id="133" w:name="_Toc342913391"/>
      <w:bookmarkStart w:id="134" w:name="_Toc183783151"/>
      <w:r>
        <w:rPr>
          <w:rFonts w:hint="eastAsia" w:ascii="仿宋" w:hAnsi="仿宋" w:eastAsia="仿宋" w:cs="仿宋"/>
          <w:color w:val="auto"/>
          <w:highlight w:val="none"/>
        </w:rPr>
        <w:t>二、竞采文件</w:t>
      </w:r>
      <w:bookmarkEnd w:id="131"/>
      <w:bookmarkEnd w:id="132"/>
      <w:bookmarkEnd w:id="133"/>
      <w:bookmarkEnd w:id="134"/>
    </w:p>
    <w:p w14:paraId="29B1070F">
      <w:pPr>
        <w:pStyle w:val="24"/>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4"/>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4"/>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4"/>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5" w:name="_Toc318159160"/>
      <w:bookmarkStart w:id="136" w:name="_Toc318159349"/>
      <w:bookmarkStart w:id="137" w:name="_Toc318166429"/>
      <w:bookmarkStart w:id="138" w:name="_Toc318159780"/>
    </w:p>
    <w:p w14:paraId="7BC057AE">
      <w:pPr>
        <w:pStyle w:val="24"/>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5"/>
    <w:bookmarkEnd w:id="136"/>
    <w:bookmarkEnd w:id="137"/>
    <w:bookmarkEnd w:id="138"/>
    <w:p w14:paraId="1CF095D7">
      <w:pPr>
        <w:pStyle w:val="4"/>
        <w:spacing w:line="240" w:lineRule="auto"/>
        <w:ind w:firstLine="643"/>
        <w:rPr>
          <w:rFonts w:hint="eastAsia" w:ascii="仿宋" w:hAnsi="仿宋" w:eastAsia="仿宋" w:cs="仿宋"/>
          <w:color w:val="auto"/>
          <w:highlight w:val="none"/>
        </w:rPr>
      </w:pPr>
      <w:bookmarkStart w:id="139" w:name="_Toc106030895"/>
      <w:bookmarkStart w:id="140" w:name="_Toc183783152"/>
      <w:bookmarkStart w:id="141" w:name="_Toc102227318"/>
      <w:bookmarkStart w:id="142" w:name="_Toc76462340"/>
      <w:bookmarkStart w:id="143" w:name="_Toc179714297"/>
      <w:bookmarkStart w:id="144" w:name="_Toc342913392"/>
      <w:r>
        <w:rPr>
          <w:rFonts w:hint="eastAsia" w:ascii="仿宋" w:hAnsi="仿宋" w:eastAsia="仿宋" w:cs="仿宋"/>
          <w:color w:val="auto"/>
          <w:highlight w:val="none"/>
        </w:rPr>
        <w:t>三、竞采要求</w:t>
      </w:r>
      <w:bookmarkEnd w:id="139"/>
      <w:bookmarkEnd w:id="140"/>
      <w:bookmarkEnd w:id="141"/>
      <w:bookmarkEnd w:id="142"/>
      <w:bookmarkEnd w:id="143"/>
      <w:bookmarkEnd w:id="144"/>
    </w:p>
    <w:p w14:paraId="54B114AC">
      <w:pPr>
        <w:pStyle w:val="24"/>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4"/>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4"/>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4"/>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4"/>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4"/>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4"/>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4"/>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4"/>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4"/>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4"/>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4"/>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4"/>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4"/>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4"/>
        <w:rPr>
          <w:rFonts w:hint="eastAsia" w:ascii="仿宋" w:hAnsi="仿宋" w:eastAsia="仿宋" w:cs="仿宋"/>
          <w:color w:val="auto"/>
          <w:highlight w:val="none"/>
        </w:rPr>
      </w:pPr>
      <w:bookmarkStart w:id="145" w:name="_Toc76462341"/>
      <w:bookmarkStart w:id="146" w:name="_Toc106030896"/>
      <w:r>
        <w:rPr>
          <w:rFonts w:hint="eastAsia" w:ascii="仿宋" w:hAnsi="仿宋" w:eastAsia="仿宋" w:cs="仿宋"/>
          <w:color w:val="auto"/>
          <w:highlight w:val="none"/>
        </w:rPr>
        <w:t>四、成交供应商的确认和变更</w:t>
      </w:r>
      <w:bookmarkEnd w:id="145"/>
      <w:bookmarkEnd w:id="146"/>
    </w:p>
    <w:p w14:paraId="50DDC674">
      <w:pPr>
        <w:pStyle w:val="24"/>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4"/>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4"/>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4"/>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4"/>
        <w:spacing w:line="240" w:lineRule="auto"/>
        <w:ind w:firstLine="643"/>
        <w:rPr>
          <w:rFonts w:hint="eastAsia" w:ascii="仿宋" w:hAnsi="仿宋" w:eastAsia="仿宋" w:cs="仿宋"/>
          <w:color w:val="auto"/>
          <w:highlight w:val="none"/>
        </w:rPr>
      </w:pPr>
      <w:bookmarkStart w:id="147" w:name="_Toc76462342"/>
      <w:bookmarkStart w:id="148" w:name="_Toc183783153"/>
      <w:bookmarkStart w:id="149" w:name="_Toc342913395"/>
      <w:bookmarkStart w:id="150" w:name="_Toc102227321"/>
      <w:bookmarkStart w:id="151" w:name="_Toc106030897"/>
      <w:r>
        <w:rPr>
          <w:rFonts w:hint="eastAsia" w:ascii="仿宋" w:hAnsi="仿宋" w:eastAsia="仿宋" w:cs="仿宋"/>
          <w:color w:val="auto"/>
          <w:highlight w:val="none"/>
        </w:rPr>
        <w:t>五、成交通知</w:t>
      </w:r>
      <w:bookmarkEnd w:id="147"/>
      <w:bookmarkEnd w:id="148"/>
      <w:bookmarkEnd w:id="149"/>
      <w:bookmarkEnd w:id="150"/>
      <w:bookmarkEnd w:id="151"/>
    </w:p>
    <w:p w14:paraId="4A219698">
      <w:pPr>
        <w:pStyle w:val="24"/>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4"/>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4"/>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4"/>
        <w:spacing w:line="240" w:lineRule="auto"/>
        <w:ind w:firstLine="643"/>
        <w:rPr>
          <w:rFonts w:hint="eastAsia" w:ascii="仿宋" w:hAnsi="仿宋" w:eastAsia="仿宋" w:cs="仿宋"/>
          <w:color w:val="auto"/>
          <w:highlight w:val="none"/>
        </w:rPr>
      </w:pPr>
      <w:bookmarkStart w:id="152" w:name="_Toc183783154"/>
      <w:bookmarkStart w:id="153" w:name="_Toc106030898"/>
      <w:bookmarkStart w:id="154" w:name="_Toc76462343"/>
      <w:r>
        <w:rPr>
          <w:rFonts w:hint="eastAsia" w:ascii="仿宋" w:hAnsi="仿宋" w:eastAsia="仿宋" w:cs="仿宋"/>
          <w:color w:val="auto"/>
          <w:highlight w:val="none"/>
        </w:rPr>
        <w:t>六、关于质疑和投诉</w:t>
      </w:r>
      <w:bookmarkEnd w:id="152"/>
      <w:bookmarkEnd w:id="153"/>
      <w:bookmarkEnd w:id="154"/>
    </w:p>
    <w:p w14:paraId="07B9663F">
      <w:pPr>
        <w:pStyle w:val="24"/>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4"/>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4"/>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4"/>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4"/>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4"/>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4"/>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4"/>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4"/>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4"/>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4"/>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4"/>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4"/>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4"/>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4"/>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4"/>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4"/>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4"/>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4"/>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4"/>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4"/>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4"/>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759A84A4">
      <w:pPr>
        <w:pStyle w:val="4"/>
        <w:spacing w:line="240" w:lineRule="auto"/>
        <w:ind w:firstLine="643"/>
        <w:rPr>
          <w:rFonts w:hint="eastAsia" w:ascii="仿宋" w:hAnsi="仿宋" w:eastAsia="仿宋" w:cs="仿宋"/>
          <w:color w:val="auto"/>
          <w:highlight w:val="none"/>
        </w:rPr>
      </w:pPr>
      <w:bookmarkStart w:id="155" w:name="_Toc76462344"/>
      <w:bookmarkStart w:id="156" w:name="_Toc106030899"/>
      <w:bookmarkStart w:id="157" w:name="_Toc183783155"/>
      <w:r>
        <w:rPr>
          <w:rFonts w:hint="eastAsia" w:ascii="仿宋" w:hAnsi="仿宋" w:eastAsia="仿宋" w:cs="仿宋"/>
          <w:color w:val="auto"/>
          <w:highlight w:val="none"/>
        </w:rPr>
        <w:t>七、</w:t>
      </w:r>
      <w:bookmarkEnd w:id="155"/>
      <w:bookmarkEnd w:id="156"/>
      <w:bookmarkEnd w:id="157"/>
      <w:bookmarkStart w:id="158" w:name="_Toc102227322"/>
      <w:bookmarkStart w:id="159" w:name="_Toc76462346"/>
      <w:bookmarkStart w:id="160" w:name="_Toc183783156"/>
      <w:bookmarkStart w:id="161" w:name="_Toc106030901"/>
      <w:bookmarkStart w:id="162" w:name="_Toc342913396"/>
      <w:r>
        <w:rPr>
          <w:rFonts w:hint="eastAsia" w:ascii="仿宋" w:hAnsi="仿宋" w:eastAsia="仿宋" w:cs="仿宋"/>
          <w:color w:val="auto"/>
          <w:highlight w:val="none"/>
        </w:rPr>
        <w:t>签订</w:t>
      </w:r>
      <w:bookmarkEnd w:id="158"/>
      <w:r>
        <w:rPr>
          <w:rFonts w:hint="eastAsia" w:ascii="仿宋" w:hAnsi="仿宋" w:eastAsia="仿宋" w:cs="仿宋"/>
          <w:color w:val="auto"/>
          <w:highlight w:val="none"/>
        </w:rPr>
        <w:t>合同</w:t>
      </w:r>
      <w:bookmarkEnd w:id="159"/>
      <w:bookmarkEnd w:id="160"/>
      <w:bookmarkEnd w:id="161"/>
      <w:bookmarkEnd w:id="162"/>
    </w:p>
    <w:p w14:paraId="43DF757F">
      <w:pPr>
        <w:pStyle w:val="24"/>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4"/>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4"/>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4"/>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4"/>
        <w:spacing w:line="240" w:lineRule="auto"/>
        <w:ind w:firstLine="643"/>
        <w:rPr>
          <w:rFonts w:hint="eastAsia" w:ascii="仿宋" w:hAnsi="仿宋" w:eastAsia="仿宋" w:cs="仿宋"/>
          <w:color w:val="auto"/>
          <w:highlight w:val="none"/>
        </w:rPr>
      </w:pPr>
      <w:bookmarkStart w:id="163" w:name="_Toc106030902"/>
      <w:bookmarkStart w:id="164" w:name="_Toc183783157"/>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、项目验收</w:t>
      </w:r>
      <w:bookmarkEnd w:id="163"/>
      <w:bookmarkEnd w:id="164"/>
    </w:p>
    <w:p w14:paraId="37B10D72">
      <w:pPr>
        <w:pStyle w:val="24"/>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4"/>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C79AD22">
      <w:pPr>
        <w:pStyle w:val="3"/>
        <w:spacing w:line="240" w:lineRule="auto"/>
        <w:ind w:firstLine="883"/>
        <w:jc w:val="center"/>
        <w:rPr>
          <w:rFonts w:hint="eastAsia" w:ascii="仿宋" w:hAnsi="仿宋" w:eastAsia="仿宋" w:cs="仿宋"/>
          <w:color w:val="auto"/>
          <w:highlight w:val="none"/>
        </w:rPr>
      </w:pPr>
      <w:bookmarkStart w:id="165" w:name="_Toc109836391"/>
      <w:bookmarkStart w:id="166" w:name="_Toc183783158"/>
      <w:r>
        <w:rPr>
          <w:rFonts w:hint="eastAsia" w:ascii="仿宋" w:hAnsi="仿宋" w:eastAsia="仿宋" w:cs="仿宋"/>
          <w:color w:val="auto"/>
          <w:highlight w:val="none"/>
        </w:rPr>
        <w:t>第六篇  网上竞采合同</w:t>
      </w:r>
      <w:bookmarkEnd w:id="165"/>
      <w:r>
        <w:rPr>
          <w:rFonts w:hint="eastAsia" w:ascii="仿宋" w:hAnsi="仿宋" w:eastAsia="仿宋" w:cs="仿宋"/>
          <w:color w:val="auto"/>
          <w:highlight w:val="none"/>
        </w:rPr>
        <w:t>（格式）</w:t>
      </w:r>
      <w:bookmarkEnd w:id="166"/>
    </w:p>
    <w:p w14:paraId="0A9E5432">
      <w:pPr>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璧山区国企采购合同</w:t>
      </w:r>
    </w:p>
    <w:p w14:paraId="6B46105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（项目采购编号：     ）</w:t>
      </w:r>
    </w:p>
    <w:p w14:paraId="5CF49AA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w:t>
      </w:r>
    </w:p>
    <w:p w14:paraId="4BFD753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w:t>
      </w:r>
    </w:p>
    <w:p w14:paraId="4B2661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2518" w:type="dxa"/>
            <w:vAlign w:val="center"/>
          </w:tcPr>
          <w:p w14:paraId="024126CD">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服务范围、标准及要求</w:t>
            </w:r>
          </w:p>
        </w:tc>
        <w:tc>
          <w:tcPr>
            <w:tcW w:w="764" w:type="dxa"/>
            <w:gridSpan w:val="2"/>
            <w:vAlign w:val="center"/>
          </w:tcPr>
          <w:p w14:paraId="4DCF58A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08" w:type="dxa"/>
            <w:vAlign w:val="center"/>
          </w:tcPr>
          <w:p w14:paraId="105BC2B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08" w:type="dxa"/>
            <w:vAlign w:val="center"/>
          </w:tcPr>
          <w:p w14:paraId="45C9121E">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6049489F">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626" w:type="dxa"/>
            <w:vAlign w:val="center"/>
          </w:tcPr>
          <w:p w14:paraId="60396797">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4D5D689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2B7D65F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84E470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EC67985">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2032456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A4455F">
            <w:pPr>
              <w:spacing w:line="240" w:lineRule="atLeast"/>
              <w:jc w:val="center"/>
              <w:rPr>
                <w:rFonts w:hint="eastAsia" w:ascii="仿宋" w:hAnsi="仿宋" w:eastAsia="仿宋" w:cs="仿宋"/>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6AD98CDA">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17F650E1">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CCCE1DE">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0B1569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57284FE">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C91EFD7">
            <w:pPr>
              <w:spacing w:line="240" w:lineRule="atLeast"/>
              <w:jc w:val="center"/>
              <w:rPr>
                <w:rFonts w:hint="eastAsia" w:ascii="仿宋" w:hAnsi="仿宋" w:eastAsia="仿宋" w:cs="仿宋"/>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598B5AE">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7D33FF9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ED1FC9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22FC0A8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708984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4270A478">
            <w:pPr>
              <w:spacing w:line="240" w:lineRule="atLeast"/>
              <w:jc w:val="center"/>
              <w:rPr>
                <w:rFonts w:hint="eastAsia" w:ascii="仿宋" w:hAnsi="仿宋" w:eastAsia="仿宋" w:cs="仿宋"/>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16541E3">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729A62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6E4A0CC">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1796BAF">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DDB43C0">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909CCEA">
            <w:pPr>
              <w:spacing w:line="240" w:lineRule="atLeast"/>
              <w:jc w:val="center"/>
              <w:rPr>
                <w:rFonts w:hint="eastAsia" w:ascii="仿宋" w:hAnsi="仿宋" w:eastAsia="仿宋" w:cs="仿宋"/>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C7E03B6">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6B8866E5">
            <w:pPr>
              <w:spacing w:line="240" w:lineRule="atLeast"/>
              <w:jc w:val="center"/>
              <w:rPr>
                <w:rFonts w:hint="eastAsia" w:ascii="仿宋" w:hAnsi="仿宋" w:eastAsia="仿宋" w:cs="仿宋"/>
                <w:color w:val="auto"/>
                <w:sz w:val="24"/>
                <w:szCs w:val="24"/>
                <w:highlight w:val="none"/>
              </w:rPr>
            </w:pPr>
          </w:p>
        </w:tc>
        <w:tc>
          <w:tcPr>
            <w:tcW w:w="808" w:type="dxa"/>
            <w:vAlign w:val="center"/>
          </w:tcPr>
          <w:p w14:paraId="2BCB065F">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3E27C2E">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E03806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04B277F">
            <w:pPr>
              <w:spacing w:line="240" w:lineRule="atLeast"/>
              <w:jc w:val="center"/>
              <w:rPr>
                <w:rFonts w:hint="eastAsia" w:ascii="仿宋" w:hAnsi="仿宋" w:eastAsia="仿宋" w:cs="仿宋"/>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5CFD9D4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37C6D044">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62FD19A">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DFC37D">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CFAB4D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C77192">
            <w:pPr>
              <w:spacing w:line="240" w:lineRule="atLeast"/>
              <w:jc w:val="center"/>
              <w:rPr>
                <w:rFonts w:hint="eastAsia" w:ascii="仿宋" w:hAnsi="仿宋" w:eastAsia="仿宋" w:cs="仿宋"/>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E2E59B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B24A99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09DD1FE2">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77F813">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4B299AF6">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2171A284">
            <w:pPr>
              <w:spacing w:line="240" w:lineRule="atLeast"/>
              <w:jc w:val="center"/>
              <w:rPr>
                <w:rFonts w:hint="eastAsia" w:ascii="仿宋" w:hAnsi="仿宋" w:eastAsia="仿宋" w:cs="仿宋"/>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BBB141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08A0FEFC">
            <w:pPr>
              <w:spacing w:line="240" w:lineRule="atLeast"/>
              <w:jc w:val="center"/>
              <w:rPr>
                <w:rFonts w:hint="eastAsia" w:ascii="仿宋" w:hAnsi="仿宋" w:eastAsia="仿宋" w:cs="仿宋"/>
                <w:color w:val="auto"/>
                <w:sz w:val="24"/>
                <w:szCs w:val="24"/>
                <w:highlight w:val="none"/>
              </w:rPr>
            </w:pPr>
          </w:p>
        </w:tc>
        <w:tc>
          <w:tcPr>
            <w:tcW w:w="808" w:type="dxa"/>
            <w:vAlign w:val="center"/>
          </w:tcPr>
          <w:p w14:paraId="63DE0971">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99E3880">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853CD3F">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FBA83D5">
            <w:pPr>
              <w:spacing w:line="240" w:lineRule="atLeast"/>
              <w:jc w:val="center"/>
              <w:rPr>
                <w:rFonts w:hint="eastAsia" w:ascii="仿宋" w:hAnsi="仿宋" w:eastAsia="仿宋" w:cs="仿宋"/>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二、验收标准、方法：</w:t>
            </w:r>
          </w:p>
          <w:p w14:paraId="453F321F">
            <w:pPr>
              <w:spacing w:line="240" w:lineRule="atLeast"/>
              <w:rPr>
                <w:rFonts w:hint="eastAsia" w:ascii="仿宋" w:hAnsi="仿宋" w:eastAsia="仿宋" w:cs="仿宋"/>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256B584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18277EE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1.招标文件及其澄清文件、投标文件和承诺是本合同不可分割的部分。</w:t>
            </w:r>
          </w:p>
          <w:p w14:paraId="2D2F6A1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2.本合同如发生争议由双方协商解决，协商不成向需方所在地仲裁机构提请仲裁。</w:t>
            </w:r>
          </w:p>
          <w:p w14:paraId="4750CA16">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需方__份，供方__份，具备同等法律效力。</w:t>
            </w:r>
          </w:p>
          <w:p w14:paraId="05E376C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1580005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539421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6C07C9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5125" w:type="dxa"/>
            <w:gridSpan w:val="6"/>
          </w:tcPr>
          <w:p w14:paraId="7D47FB8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7ABB6B4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29F5D68">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CEDB92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4B071B0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629CF0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0BA91745">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1DB20E0E">
            <w:pPr>
              <w:widowControl/>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14:paraId="23E3324D">
      <w:pPr>
        <w:spacing w:line="440" w:lineRule="exact"/>
        <w:rPr>
          <w:rFonts w:hint="eastAsia" w:ascii="仿宋" w:hAnsi="仿宋" w:eastAsia="仿宋" w:cs="仿宋"/>
          <w:color w:val="auto"/>
          <w:sz w:val="24"/>
          <w:highlight w:val="none"/>
        </w:rPr>
      </w:pPr>
    </w:p>
    <w:p w14:paraId="2E5B8EC3">
      <w:pPr>
        <w:pStyle w:val="24"/>
        <w:ind w:firstLine="480"/>
        <w:rPr>
          <w:rFonts w:hint="eastAsia" w:ascii="仿宋" w:hAnsi="仿宋" w:eastAsia="仿宋" w:cs="仿宋"/>
          <w:color w:val="auto"/>
          <w:highlight w:val="none"/>
        </w:rPr>
      </w:pPr>
      <w:r>
        <w:rPr>
          <w:rFonts w:hint="eastAsia" w:ascii="仿宋" w:hAnsi="仿宋" w:eastAsia="仿宋" w:cs="仿宋"/>
          <w:color w:val="auto"/>
          <w:highlight w:val="none"/>
        </w:rPr>
        <w:t>签约时间：           年   月   日         签约地点：</w:t>
      </w:r>
    </w:p>
    <w:p w14:paraId="319E88F8">
      <w:pPr>
        <w:spacing w:line="360" w:lineRule="auto"/>
        <w:ind w:firstLine="5040" w:firstLineChars="1800"/>
        <w:rPr>
          <w:rFonts w:hint="eastAsia" w:ascii="仿宋" w:hAnsi="仿宋" w:eastAsia="仿宋" w:cs="仿宋"/>
          <w:color w:val="auto"/>
          <w:szCs w:val="28"/>
          <w:highlight w:val="none"/>
        </w:rPr>
      </w:pPr>
    </w:p>
    <w:p w14:paraId="57C8EB5B">
      <w:pPr>
        <w:rPr>
          <w:rFonts w:hint="eastAsia" w:ascii="仿宋" w:hAnsi="仿宋" w:eastAsia="仿宋" w:cs="仿宋"/>
          <w:color w:val="auto"/>
          <w:highlight w:val="none"/>
        </w:rPr>
      </w:pPr>
    </w:p>
    <w:p w14:paraId="51F9D408">
      <w:pPr>
        <w:rPr>
          <w:rFonts w:hint="eastAsia" w:ascii="仿宋" w:hAnsi="仿宋" w:eastAsia="仿宋" w:cs="仿宋"/>
          <w:color w:val="auto"/>
          <w:highlight w:val="none"/>
        </w:rPr>
      </w:pPr>
    </w:p>
    <w:p w14:paraId="67183B7E">
      <w:pPr>
        <w:widowControl/>
        <w:jc w:val="left"/>
        <w:rPr>
          <w:rFonts w:hint="eastAsia" w:ascii="仿宋" w:hAnsi="仿宋" w:eastAsia="仿宋" w:cs="仿宋"/>
          <w:color w:val="auto"/>
          <w:kern w:val="0"/>
          <w:sz w:val="24"/>
          <w:szCs w:val="28"/>
          <w:highlight w:val="none"/>
        </w:rPr>
      </w:pPr>
    </w:p>
    <w:p w14:paraId="57DADE95">
      <w:pPr>
        <w:pStyle w:val="24"/>
        <w:rPr>
          <w:rFonts w:hint="eastAsia" w:ascii="仿宋" w:hAnsi="仿宋" w:eastAsia="仿宋" w:cs="仿宋"/>
          <w:color w:val="auto"/>
          <w:highlight w:val="none"/>
        </w:rPr>
      </w:pPr>
    </w:p>
    <w:p w14:paraId="1C7D1999">
      <w:pPr>
        <w:widowControl/>
        <w:jc w:val="left"/>
        <w:rPr>
          <w:rFonts w:hint="eastAsia" w:ascii="仿宋" w:hAnsi="仿宋" w:eastAsia="仿宋" w:cs="仿宋"/>
          <w:b/>
          <w:color w:val="auto"/>
          <w:kern w:val="44"/>
          <w:sz w:val="44"/>
          <w:highlight w:val="none"/>
        </w:rPr>
      </w:pPr>
      <w:bookmarkStart w:id="167" w:name="_Toc183783159"/>
      <w:bookmarkStart w:id="168" w:name="_Toc10837"/>
      <w:r>
        <w:rPr>
          <w:rFonts w:hint="eastAsia" w:ascii="仿宋" w:hAnsi="仿宋" w:eastAsia="仿宋" w:cs="仿宋"/>
          <w:color w:val="auto"/>
          <w:highlight w:val="none"/>
        </w:rPr>
        <w:br w:type="page"/>
      </w:r>
    </w:p>
    <w:p w14:paraId="47975080">
      <w:pPr>
        <w:pStyle w:val="3"/>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67"/>
      <w:bookmarkEnd w:id="168"/>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F0DCFAC">
      <w:pPr>
        <w:pStyle w:val="7"/>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报价明细清单</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4"/>
        <w:spacing w:line="240" w:lineRule="auto"/>
        <w:ind w:firstLine="643"/>
        <w:rPr>
          <w:rFonts w:hint="eastAsia" w:ascii="仿宋" w:hAnsi="仿宋" w:eastAsia="仿宋" w:cs="仿宋"/>
          <w:color w:val="auto"/>
          <w:highlight w:val="none"/>
        </w:rPr>
      </w:pPr>
      <w:bookmarkStart w:id="169" w:name="_Toc183783160"/>
      <w:r>
        <w:rPr>
          <w:rFonts w:hint="eastAsia" w:ascii="仿宋" w:hAnsi="仿宋" w:eastAsia="仿宋" w:cs="仿宋"/>
          <w:color w:val="auto"/>
          <w:highlight w:val="none"/>
        </w:rPr>
        <w:t>一、经济部分</w:t>
      </w:r>
      <w:bookmarkEnd w:id="169"/>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4"/>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7"/>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7"/>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7"/>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7"/>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7"/>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0EC48AA0">
      <w:pPr>
        <w:pStyle w:val="7"/>
        <w:rPr>
          <w:rFonts w:hint="eastAsia" w:ascii="仿宋" w:hAnsi="仿宋" w:eastAsia="仿宋" w:cs="仿宋"/>
          <w:color w:val="auto"/>
          <w:sz w:val="24"/>
          <w:szCs w:val="24"/>
          <w:highlight w:val="none"/>
        </w:rPr>
      </w:pPr>
    </w:p>
    <w:p w14:paraId="54DEC4A2">
      <w:pPr>
        <w:rPr>
          <w:rFonts w:hint="eastAsia" w:ascii="仿宋" w:hAnsi="仿宋" w:eastAsia="仿宋" w:cs="仿宋"/>
          <w:color w:val="auto"/>
          <w:sz w:val="24"/>
          <w:szCs w:val="24"/>
          <w:highlight w:val="none"/>
        </w:rPr>
      </w:pPr>
    </w:p>
    <w:p w14:paraId="54D84581">
      <w:pPr>
        <w:pStyle w:val="7"/>
        <w:rPr>
          <w:rFonts w:hint="eastAsia" w:ascii="仿宋" w:hAnsi="仿宋" w:eastAsia="仿宋" w:cs="仿宋"/>
          <w:color w:val="auto"/>
          <w:sz w:val="24"/>
          <w:szCs w:val="24"/>
          <w:highlight w:val="none"/>
        </w:rPr>
      </w:pPr>
    </w:p>
    <w:p w14:paraId="5449200C">
      <w:pPr>
        <w:pStyle w:val="7"/>
        <w:rPr>
          <w:rFonts w:hint="eastAsia" w:ascii="仿宋" w:hAnsi="仿宋" w:eastAsia="仿宋" w:cs="仿宋"/>
          <w:color w:val="auto"/>
          <w:sz w:val="24"/>
          <w:szCs w:val="24"/>
          <w:highlight w:val="none"/>
        </w:rPr>
      </w:pPr>
    </w:p>
    <w:p w14:paraId="306B3CF3">
      <w:pPr>
        <w:rPr>
          <w:rFonts w:hint="eastAsia" w:ascii="仿宋" w:hAnsi="仿宋" w:eastAsia="仿宋" w:cs="仿宋"/>
          <w:color w:val="auto"/>
          <w:sz w:val="24"/>
          <w:szCs w:val="24"/>
          <w:highlight w:val="none"/>
        </w:rPr>
      </w:pPr>
    </w:p>
    <w:p w14:paraId="57E9070F">
      <w:pPr>
        <w:pStyle w:val="7"/>
        <w:rPr>
          <w:rFonts w:hint="eastAsia" w:ascii="仿宋" w:hAnsi="仿宋" w:eastAsia="仿宋" w:cs="仿宋"/>
          <w:color w:val="auto"/>
          <w:sz w:val="24"/>
          <w:szCs w:val="24"/>
          <w:highlight w:val="none"/>
        </w:rPr>
      </w:pPr>
    </w:p>
    <w:p w14:paraId="5B15739A">
      <w:pPr>
        <w:rPr>
          <w:rFonts w:hint="eastAsia" w:ascii="仿宋" w:hAnsi="仿宋" w:eastAsia="仿宋" w:cs="仿宋"/>
          <w:color w:val="auto"/>
          <w:highlight w:val="none"/>
        </w:rPr>
      </w:pPr>
    </w:p>
    <w:p w14:paraId="7652FA43">
      <w:pPr>
        <w:rPr>
          <w:rFonts w:hint="eastAsia" w:ascii="仿宋" w:hAnsi="仿宋" w:eastAsia="仿宋" w:cs="仿宋"/>
          <w:color w:val="auto"/>
          <w:sz w:val="24"/>
          <w:szCs w:val="24"/>
          <w:highlight w:val="none"/>
        </w:rPr>
      </w:pPr>
    </w:p>
    <w:p w14:paraId="4B71521B">
      <w:pPr>
        <w:pStyle w:val="4"/>
        <w:spacing w:line="240" w:lineRule="auto"/>
        <w:ind w:firstLine="643"/>
        <w:rPr>
          <w:rFonts w:hint="eastAsia" w:ascii="仿宋" w:hAnsi="仿宋" w:eastAsia="仿宋" w:cs="仿宋"/>
          <w:color w:val="auto"/>
          <w:highlight w:val="none"/>
        </w:rPr>
      </w:pPr>
      <w:bookmarkStart w:id="170" w:name="_Toc3192"/>
      <w:bookmarkStart w:id="171" w:name="_Toc486608278"/>
      <w:bookmarkStart w:id="172" w:name="_Toc487204798"/>
      <w:bookmarkStart w:id="173" w:name="_Toc486585241"/>
      <w:bookmarkStart w:id="174" w:name="_Toc9090"/>
      <w:bookmarkStart w:id="175" w:name="_Toc183783161"/>
      <w:r>
        <w:rPr>
          <w:rFonts w:hint="eastAsia" w:ascii="仿宋" w:hAnsi="仿宋" w:eastAsia="仿宋" w:cs="仿宋"/>
          <w:color w:val="auto"/>
          <w:highlight w:val="none"/>
        </w:rPr>
        <w:t>二、服务部分</w:t>
      </w:r>
      <w:bookmarkEnd w:id="170"/>
      <w:bookmarkEnd w:id="171"/>
      <w:bookmarkEnd w:id="172"/>
      <w:bookmarkEnd w:id="173"/>
      <w:bookmarkEnd w:id="174"/>
      <w:bookmarkEnd w:id="175"/>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投标人：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（投标人公章）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4"/>
        <w:spacing w:line="240" w:lineRule="auto"/>
        <w:ind w:firstLine="643"/>
        <w:rPr>
          <w:rFonts w:hint="eastAsia" w:ascii="仿宋" w:hAnsi="仿宋" w:eastAsia="仿宋" w:cs="仿宋"/>
          <w:color w:val="auto"/>
          <w:highlight w:val="none"/>
        </w:rPr>
      </w:pPr>
      <w:bookmarkStart w:id="176" w:name="_Toc4362"/>
      <w:bookmarkStart w:id="177" w:name="_Toc22113"/>
      <w:bookmarkStart w:id="178" w:name="_Toc492721039"/>
      <w:bookmarkStart w:id="179" w:name="_Toc14954"/>
      <w:bookmarkStart w:id="180" w:name="_Toc183783162"/>
      <w:bookmarkStart w:id="181" w:name="_Toc32670"/>
      <w:bookmarkStart w:id="182" w:name="_Toc10372"/>
      <w:bookmarkStart w:id="183" w:name="_Toc30496"/>
      <w:bookmarkStart w:id="184" w:name="_Toc5573"/>
      <w:bookmarkStart w:id="185" w:name="_Toc28242"/>
      <w:bookmarkStart w:id="186" w:name="_Toc23523"/>
      <w:bookmarkStart w:id="187" w:name="_Toc26494"/>
      <w:bookmarkStart w:id="188" w:name="_Toc17290"/>
      <w:bookmarkStart w:id="189" w:name="_Toc75793542"/>
      <w:bookmarkStart w:id="190" w:name="_Toc106030419"/>
      <w:bookmarkStart w:id="191" w:name="_Toc6786"/>
      <w:bookmarkStart w:id="192" w:name="_Toc7069"/>
      <w:bookmarkStart w:id="193" w:name="_Toc8958"/>
      <w:bookmarkStart w:id="194" w:name="_Toc493178791"/>
      <w:r>
        <w:rPr>
          <w:rFonts w:hint="eastAsia" w:ascii="仿宋" w:hAnsi="仿宋" w:eastAsia="仿宋" w:cs="仿宋"/>
          <w:color w:val="auto"/>
          <w:highlight w:val="none"/>
        </w:rPr>
        <w:t>三、商务文件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投标人：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（投标人公章）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4"/>
        <w:spacing w:line="240" w:lineRule="auto"/>
        <w:ind w:firstLine="643"/>
        <w:rPr>
          <w:rFonts w:hint="eastAsia" w:ascii="仿宋" w:hAnsi="仿宋" w:eastAsia="仿宋" w:cs="仿宋"/>
          <w:color w:val="auto"/>
          <w:highlight w:val="none"/>
        </w:rPr>
      </w:pPr>
      <w:bookmarkStart w:id="195" w:name="_Toc183783163"/>
      <w:bookmarkStart w:id="196" w:name="_Toc493178793"/>
      <w:bookmarkStart w:id="197" w:name="_Toc4000"/>
      <w:bookmarkStart w:id="198" w:name="_Toc17829"/>
      <w:bookmarkStart w:id="199" w:name="_Toc30818"/>
      <w:bookmarkStart w:id="200" w:name="_Toc75793544"/>
      <w:bookmarkStart w:id="201" w:name="_Toc492721038"/>
      <w:bookmarkStart w:id="202" w:name="_Toc13249"/>
      <w:bookmarkStart w:id="203" w:name="_Toc28432"/>
      <w:bookmarkStart w:id="204" w:name="_Toc21121"/>
      <w:bookmarkStart w:id="205" w:name="_Toc11324"/>
      <w:bookmarkStart w:id="206" w:name="_Toc106030421"/>
      <w:bookmarkStart w:id="207" w:name="_Toc12509"/>
      <w:bookmarkStart w:id="208" w:name="_Toc6108"/>
      <w:bookmarkStart w:id="209" w:name="_Toc26381"/>
      <w:bookmarkStart w:id="210" w:name="_Toc17848"/>
      <w:bookmarkStart w:id="211" w:name="_Toc23187"/>
      <w:bookmarkStart w:id="212" w:name="_Toc16577"/>
      <w:r>
        <w:rPr>
          <w:rFonts w:hint="eastAsia" w:ascii="仿宋" w:hAnsi="仿宋" w:eastAsia="仿宋" w:cs="仿宋"/>
          <w:color w:val="auto"/>
          <w:highlight w:val="none"/>
        </w:rPr>
        <w:t>四、资格证明文件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213" w:name="_Hlk517194860"/>
      <w:r>
        <w:rPr>
          <w:rFonts w:hint="eastAsia" w:ascii="仿宋" w:hAnsi="仿宋" w:eastAsia="仿宋" w:cs="仿宋"/>
          <w:color w:val="auto"/>
          <w:sz w:val="24"/>
          <w:szCs w:val="24"/>
          <w:highlight w:val="none"/>
        </w:rPr>
        <w:t>被授权人：               投标人法定代表人：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3"/>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214" w:name="_Toc31225"/>
      <w:bookmarkStart w:id="215" w:name="_Toc10914"/>
      <w:bookmarkStart w:id="216" w:name="_Toc4003"/>
      <w:bookmarkStart w:id="217" w:name="_Toc10358"/>
      <w:bookmarkStart w:id="218" w:name="_Toc27402"/>
      <w:bookmarkStart w:id="219" w:name="_Toc26813"/>
      <w:bookmarkStart w:id="220" w:name="_Toc25283"/>
      <w:bookmarkStart w:id="221" w:name="_Toc26496"/>
      <w:r>
        <w:rPr>
          <w:rFonts w:hint="eastAsia" w:ascii="仿宋" w:hAnsi="仿宋" w:eastAsia="仿宋" w:cs="仿宋"/>
          <w:color w:val="auto"/>
          <w:sz w:val="24"/>
          <w:szCs w:val="24"/>
          <w:highlight w:val="none"/>
        </w:rPr>
        <w:t>1．若为法定代表人办理并签署投标文件的，不提供此文件。</w:t>
      </w:r>
      <w:bookmarkEnd w:id="214"/>
      <w:bookmarkEnd w:id="215"/>
      <w:bookmarkEnd w:id="216"/>
      <w:bookmarkEnd w:id="217"/>
      <w:bookmarkEnd w:id="218"/>
      <w:bookmarkEnd w:id="219"/>
      <w:bookmarkEnd w:id="220"/>
      <w:bookmarkEnd w:id="221"/>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（五）特定资格条件证书或证明文件</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3"/>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3"/>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28709"/>
    <w:multiLevelType w:val="singleLevel"/>
    <w:tmpl w:val="9FE28709"/>
    <w:lvl w:ilvl="0" w:tentative="0">
      <w:start w:val="2"/>
      <w:numFmt w:val="chineseCounting"/>
      <w:suff w:val="nothing"/>
      <w:lvlText w:val="（%1）"/>
      <w:lvlJc w:val="left"/>
      <w:rPr>
        <w:rFonts w:hint="eastAsia"/>
      </w:rPr>
    </w:lvl>
  </w:abstractNum>
  <w:abstractNum w:abstractNumId="1">
    <w:nsid w:val="E9662896"/>
    <w:multiLevelType w:val="singleLevel"/>
    <w:tmpl w:val="E9662896"/>
    <w:lvl w:ilvl="0" w:tentative="0">
      <w:start w:val="1"/>
      <w:numFmt w:val="decimal"/>
      <w:suff w:val="nothing"/>
      <w:lvlText w:val="%1、"/>
      <w:lvlJc w:val="left"/>
    </w:lvl>
  </w:abstractNum>
  <w:abstractNum w:abstractNumId="2">
    <w:nsid w:val="77ABF0D0"/>
    <w:multiLevelType w:val="singleLevel"/>
    <w:tmpl w:val="77ABF0D0"/>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574FC"/>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453A14"/>
    <w:rsid w:val="01522069"/>
    <w:rsid w:val="01782C45"/>
    <w:rsid w:val="018D0F17"/>
    <w:rsid w:val="01D534BA"/>
    <w:rsid w:val="023A4BFB"/>
    <w:rsid w:val="024D2CB0"/>
    <w:rsid w:val="027F4D04"/>
    <w:rsid w:val="02C72207"/>
    <w:rsid w:val="02E334E5"/>
    <w:rsid w:val="02F474A0"/>
    <w:rsid w:val="03127926"/>
    <w:rsid w:val="03393105"/>
    <w:rsid w:val="037E30D1"/>
    <w:rsid w:val="03A70F25"/>
    <w:rsid w:val="03AC20C9"/>
    <w:rsid w:val="03FF434E"/>
    <w:rsid w:val="042E69E2"/>
    <w:rsid w:val="04EA6DAD"/>
    <w:rsid w:val="05047743"/>
    <w:rsid w:val="055A55B4"/>
    <w:rsid w:val="056E4905"/>
    <w:rsid w:val="057332A8"/>
    <w:rsid w:val="05760640"/>
    <w:rsid w:val="05AE345A"/>
    <w:rsid w:val="063127B9"/>
    <w:rsid w:val="064A5629"/>
    <w:rsid w:val="06A40784"/>
    <w:rsid w:val="06B238FA"/>
    <w:rsid w:val="06E15F8D"/>
    <w:rsid w:val="070752C8"/>
    <w:rsid w:val="077706A0"/>
    <w:rsid w:val="07846919"/>
    <w:rsid w:val="07862691"/>
    <w:rsid w:val="079C56BF"/>
    <w:rsid w:val="07ED2710"/>
    <w:rsid w:val="07EE6482"/>
    <w:rsid w:val="07F67816"/>
    <w:rsid w:val="081303C8"/>
    <w:rsid w:val="09420839"/>
    <w:rsid w:val="0949606C"/>
    <w:rsid w:val="09CC2259"/>
    <w:rsid w:val="09DE12E6"/>
    <w:rsid w:val="09EA6F07"/>
    <w:rsid w:val="0A9652E1"/>
    <w:rsid w:val="0AE0030A"/>
    <w:rsid w:val="0AFB5144"/>
    <w:rsid w:val="0B7F3FC7"/>
    <w:rsid w:val="0BD51E39"/>
    <w:rsid w:val="0C3B1C9C"/>
    <w:rsid w:val="0D7D0092"/>
    <w:rsid w:val="0D896A37"/>
    <w:rsid w:val="0D8C6527"/>
    <w:rsid w:val="0E2624D8"/>
    <w:rsid w:val="0E4C540B"/>
    <w:rsid w:val="0E903DF5"/>
    <w:rsid w:val="0F6E2388"/>
    <w:rsid w:val="0FD50659"/>
    <w:rsid w:val="0FEF4DD2"/>
    <w:rsid w:val="0FFF7484"/>
    <w:rsid w:val="102B7629"/>
    <w:rsid w:val="106877E7"/>
    <w:rsid w:val="10A87B1C"/>
    <w:rsid w:val="10F845FF"/>
    <w:rsid w:val="10F92125"/>
    <w:rsid w:val="1109680C"/>
    <w:rsid w:val="116544B1"/>
    <w:rsid w:val="11691059"/>
    <w:rsid w:val="11A007F3"/>
    <w:rsid w:val="11DF131B"/>
    <w:rsid w:val="11E701D0"/>
    <w:rsid w:val="12280F14"/>
    <w:rsid w:val="12744159"/>
    <w:rsid w:val="129E11D6"/>
    <w:rsid w:val="13516249"/>
    <w:rsid w:val="13540CE3"/>
    <w:rsid w:val="13EB3FA7"/>
    <w:rsid w:val="147F0B94"/>
    <w:rsid w:val="148461AA"/>
    <w:rsid w:val="14AE0CDA"/>
    <w:rsid w:val="14E82BDD"/>
    <w:rsid w:val="14EB7FD7"/>
    <w:rsid w:val="152139F9"/>
    <w:rsid w:val="15344EF4"/>
    <w:rsid w:val="1546345F"/>
    <w:rsid w:val="154C622F"/>
    <w:rsid w:val="15770AE8"/>
    <w:rsid w:val="161517B0"/>
    <w:rsid w:val="162D4D4B"/>
    <w:rsid w:val="168626AD"/>
    <w:rsid w:val="171639BF"/>
    <w:rsid w:val="176302F9"/>
    <w:rsid w:val="17650515"/>
    <w:rsid w:val="17E21B65"/>
    <w:rsid w:val="1807337A"/>
    <w:rsid w:val="18626802"/>
    <w:rsid w:val="18E84F59"/>
    <w:rsid w:val="18FC0A05"/>
    <w:rsid w:val="1957287E"/>
    <w:rsid w:val="199E7D0E"/>
    <w:rsid w:val="19BD0194"/>
    <w:rsid w:val="1A5A3C35"/>
    <w:rsid w:val="1A774C9C"/>
    <w:rsid w:val="1ACB068F"/>
    <w:rsid w:val="1AE73242"/>
    <w:rsid w:val="1AE87493"/>
    <w:rsid w:val="1B701236"/>
    <w:rsid w:val="1BA609D3"/>
    <w:rsid w:val="1BB6167F"/>
    <w:rsid w:val="1BC7354C"/>
    <w:rsid w:val="1C4865E5"/>
    <w:rsid w:val="1C4C57FF"/>
    <w:rsid w:val="1C69015F"/>
    <w:rsid w:val="1C8925AF"/>
    <w:rsid w:val="1C8B4B07"/>
    <w:rsid w:val="1C8E5E18"/>
    <w:rsid w:val="1CD048C1"/>
    <w:rsid w:val="1CD37CCF"/>
    <w:rsid w:val="1D0E0D07"/>
    <w:rsid w:val="1D2D3883"/>
    <w:rsid w:val="1D350989"/>
    <w:rsid w:val="1D925B8A"/>
    <w:rsid w:val="1D9456B0"/>
    <w:rsid w:val="1DC75A85"/>
    <w:rsid w:val="1E0A3BC4"/>
    <w:rsid w:val="1E2B7565"/>
    <w:rsid w:val="1E4C1AE7"/>
    <w:rsid w:val="1E5135A1"/>
    <w:rsid w:val="1E537319"/>
    <w:rsid w:val="1E6828C2"/>
    <w:rsid w:val="1EA47B74"/>
    <w:rsid w:val="1EDA17E8"/>
    <w:rsid w:val="1F2D7B6A"/>
    <w:rsid w:val="1F394761"/>
    <w:rsid w:val="1F505606"/>
    <w:rsid w:val="1F65181C"/>
    <w:rsid w:val="1F7405B1"/>
    <w:rsid w:val="202E28ED"/>
    <w:rsid w:val="203B62B7"/>
    <w:rsid w:val="209B4FA7"/>
    <w:rsid w:val="214E201A"/>
    <w:rsid w:val="21785657"/>
    <w:rsid w:val="219D08AB"/>
    <w:rsid w:val="21C916A0"/>
    <w:rsid w:val="22552F34"/>
    <w:rsid w:val="225856E4"/>
    <w:rsid w:val="23272B22"/>
    <w:rsid w:val="23290648"/>
    <w:rsid w:val="232C638A"/>
    <w:rsid w:val="236723EA"/>
    <w:rsid w:val="2393085F"/>
    <w:rsid w:val="246868E6"/>
    <w:rsid w:val="24AA7567"/>
    <w:rsid w:val="25290DD3"/>
    <w:rsid w:val="252E63EA"/>
    <w:rsid w:val="253046F8"/>
    <w:rsid w:val="258242A3"/>
    <w:rsid w:val="258323C6"/>
    <w:rsid w:val="25893620"/>
    <w:rsid w:val="259358AB"/>
    <w:rsid w:val="25CA6354"/>
    <w:rsid w:val="261A4BC0"/>
    <w:rsid w:val="268838D8"/>
    <w:rsid w:val="268B33C8"/>
    <w:rsid w:val="269A41CC"/>
    <w:rsid w:val="26AA7CF2"/>
    <w:rsid w:val="26B446CD"/>
    <w:rsid w:val="26ED5E31"/>
    <w:rsid w:val="27337CE7"/>
    <w:rsid w:val="27677991"/>
    <w:rsid w:val="277246F6"/>
    <w:rsid w:val="27B5050A"/>
    <w:rsid w:val="27BF5BC8"/>
    <w:rsid w:val="27C60B5C"/>
    <w:rsid w:val="27CC5A46"/>
    <w:rsid w:val="28697739"/>
    <w:rsid w:val="286F5B1F"/>
    <w:rsid w:val="28846321"/>
    <w:rsid w:val="28A236DD"/>
    <w:rsid w:val="28DF032D"/>
    <w:rsid w:val="29177195"/>
    <w:rsid w:val="295757E3"/>
    <w:rsid w:val="296323DA"/>
    <w:rsid w:val="29A7676B"/>
    <w:rsid w:val="29DA5C3B"/>
    <w:rsid w:val="2A047719"/>
    <w:rsid w:val="2A73489F"/>
    <w:rsid w:val="2A8645D2"/>
    <w:rsid w:val="2A8D3BB3"/>
    <w:rsid w:val="2A9F5694"/>
    <w:rsid w:val="2ADE6E0E"/>
    <w:rsid w:val="2AEF03C9"/>
    <w:rsid w:val="2B22254D"/>
    <w:rsid w:val="2BB94533"/>
    <w:rsid w:val="2C212804"/>
    <w:rsid w:val="2C666469"/>
    <w:rsid w:val="2C78619D"/>
    <w:rsid w:val="2C903500"/>
    <w:rsid w:val="2CF47F19"/>
    <w:rsid w:val="2CFE2B46"/>
    <w:rsid w:val="2D0F6B01"/>
    <w:rsid w:val="2D340315"/>
    <w:rsid w:val="2D987795"/>
    <w:rsid w:val="2E206AEC"/>
    <w:rsid w:val="2E864BA1"/>
    <w:rsid w:val="2EC93486"/>
    <w:rsid w:val="2F065CE2"/>
    <w:rsid w:val="2FA33530"/>
    <w:rsid w:val="2FD14541"/>
    <w:rsid w:val="30470360"/>
    <w:rsid w:val="30907F59"/>
    <w:rsid w:val="30CE0A81"/>
    <w:rsid w:val="31815AF3"/>
    <w:rsid w:val="3268462F"/>
    <w:rsid w:val="32803FFD"/>
    <w:rsid w:val="328F34B6"/>
    <w:rsid w:val="32B011BC"/>
    <w:rsid w:val="32E4458C"/>
    <w:rsid w:val="332F1B24"/>
    <w:rsid w:val="334868C9"/>
    <w:rsid w:val="33955886"/>
    <w:rsid w:val="33A2238B"/>
    <w:rsid w:val="33DC1707"/>
    <w:rsid w:val="34750E92"/>
    <w:rsid w:val="348C0A37"/>
    <w:rsid w:val="34EE16F2"/>
    <w:rsid w:val="353C06AF"/>
    <w:rsid w:val="35470E02"/>
    <w:rsid w:val="3547648D"/>
    <w:rsid w:val="355E6877"/>
    <w:rsid w:val="356544C7"/>
    <w:rsid w:val="3586192A"/>
    <w:rsid w:val="35987B8D"/>
    <w:rsid w:val="35A95619"/>
    <w:rsid w:val="35B46497"/>
    <w:rsid w:val="36A93B22"/>
    <w:rsid w:val="37441A9D"/>
    <w:rsid w:val="37826121"/>
    <w:rsid w:val="3789228D"/>
    <w:rsid w:val="37B409D1"/>
    <w:rsid w:val="37FD732F"/>
    <w:rsid w:val="384653A1"/>
    <w:rsid w:val="386B4E07"/>
    <w:rsid w:val="38BE762D"/>
    <w:rsid w:val="38F372D7"/>
    <w:rsid w:val="390019F4"/>
    <w:rsid w:val="391D25A6"/>
    <w:rsid w:val="39704576"/>
    <w:rsid w:val="3979525D"/>
    <w:rsid w:val="39A24859"/>
    <w:rsid w:val="39D91E06"/>
    <w:rsid w:val="3A5F274A"/>
    <w:rsid w:val="3AAF3477"/>
    <w:rsid w:val="3AB160D5"/>
    <w:rsid w:val="3B23112A"/>
    <w:rsid w:val="3B392F9B"/>
    <w:rsid w:val="3B81506E"/>
    <w:rsid w:val="3BDD7DCA"/>
    <w:rsid w:val="3CA935B6"/>
    <w:rsid w:val="3CB43221"/>
    <w:rsid w:val="3CC72F54"/>
    <w:rsid w:val="3CE21B3C"/>
    <w:rsid w:val="3D4E0F7F"/>
    <w:rsid w:val="3D6E2D89"/>
    <w:rsid w:val="3D753879"/>
    <w:rsid w:val="3D7D2A20"/>
    <w:rsid w:val="3D9B1CEB"/>
    <w:rsid w:val="3DBE08A9"/>
    <w:rsid w:val="3E241CE0"/>
    <w:rsid w:val="3E9A0C6C"/>
    <w:rsid w:val="3EF0645B"/>
    <w:rsid w:val="3F1B30E3"/>
    <w:rsid w:val="3F9115F7"/>
    <w:rsid w:val="3F9B4224"/>
    <w:rsid w:val="3FB026E8"/>
    <w:rsid w:val="3FB35A12"/>
    <w:rsid w:val="3FBB0422"/>
    <w:rsid w:val="3FBB48C6"/>
    <w:rsid w:val="3FD339BE"/>
    <w:rsid w:val="3FEC4A80"/>
    <w:rsid w:val="40526FD9"/>
    <w:rsid w:val="409F7D44"/>
    <w:rsid w:val="4114428E"/>
    <w:rsid w:val="41684B4C"/>
    <w:rsid w:val="416B0395"/>
    <w:rsid w:val="419F6289"/>
    <w:rsid w:val="41FD2F74"/>
    <w:rsid w:val="42010CB6"/>
    <w:rsid w:val="4269048F"/>
    <w:rsid w:val="42EA799C"/>
    <w:rsid w:val="42F205FF"/>
    <w:rsid w:val="42FC4EA8"/>
    <w:rsid w:val="433C7ACC"/>
    <w:rsid w:val="43664B49"/>
    <w:rsid w:val="43F62371"/>
    <w:rsid w:val="43FA7557"/>
    <w:rsid w:val="453018B3"/>
    <w:rsid w:val="45603F46"/>
    <w:rsid w:val="46040D75"/>
    <w:rsid w:val="460F14C8"/>
    <w:rsid w:val="468C0D6B"/>
    <w:rsid w:val="468C2B19"/>
    <w:rsid w:val="46963997"/>
    <w:rsid w:val="46B3312C"/>
    <w:rsid w:val="46BC1650"/>
    <w:rsid w:val="46F04E55"/>
    <w:rsid w:val="47281E8B"/>
    <w:rsid w:val="472E3BD0"/>
    <w:rsid w:val="47482EE3"/>
    <w:rsid w:val="474F4272"/>
    <w:rsid w:val="47D91D8D"/>
    <w:rsid w:val="489772F0"/>
    <w:rsid w:val="48BF71D5"/>
    <w:rsid w:val="49027FE8"/>
    <w:rsid w:val="49902920"/>
    <w:rsid w:val="49CA74E0"/>
    <w:rsid w:val="49E369F5"/>
    <w:rsid w:val="49F70BF1"/>
    <w:rsid w:val="4A2D016F"/>
    <w:rsid w:val="4B056479"/>
    <w:rsid w:val="4B215F25"/>
    <w:rsid w:val="4B2D688D"/>
    <w:rsid w:val="4B594059"/>
    <w:rsid w:val="4B9C37FE"/>
    <w:rsid w:val="4BCA6B34"/>
    <w:rsid w:val="4C26756B"/>
    <w:rsid w:val="4C770C39"/>
    <w:rsid w:val="4C8C608C"/>
    <w:rsid w:val="4D0104F9"/>
    <w:rsid w:val="4D0F047A"/>
    <w:rsid w:val="4D461C73"/>
    <w:rsid w:val="4D9D385D"/>
    <w:rsid w:val="4DEF5E83"/>
    <w:rsid w:val="4E676345"/>
    <w:rsid w:val="4E712D20"/>
    <w:rsid w:val="4E9E4ABB"/>
    <w:rsid w:val="4ECE0172"/>
    <w:rsid w:val="4F0516BA"/>
    <w:rsid w:val="4F1277F7"/>
    <w:rsid w:val="4F977F9F"/>
    <w:rsid w:val="4FB8672C"/>
    <w:rsid w:val="4FCB1040"/>
    <w:rsid w:val="4FD322A6"/>
    <w:rsid w:val="4FD33566"/>
    <w:rsid w:val="4FE45692"/>
    <w:rsid w:val="503D071F"/>
    <w:rsid w:val="504852D5"/>
    <w:rsid w:val="504B30B2"/>
    <w:rsid w:val="504F52E3"/>
    <w:rsid w:val="50690566"/>
    <w:rsid w:val="50720FD1"/>
    <w:rsid w:val="509E1DC6"/>
    <w:rsid w:val="50AA42C7"/>
    <w:rsid w:val="511B3417"/>
    <w:rsid w:val="513F5357"/>
    <w:rsid w:val="5186459D"/>
    <w:rsid w:val="518F170F"/>
    <w:rsid w:val="51C75820"/>
    <w:rsid w:val="51D84E64"/>
    <w:rsid w:val="52391DA6"/>
    <w:rsid w:val="525C5004"/>
    <w:rsid w:val="52AA28C4"/>
    <w:rsid w:val="52C5188C"/>
    <w:rsid w:val="52CF6267"/>
    <w:rsid w:val="52EE43DB"/>
    <w:rsid w:val="52FD2E8D"/>
    <w:rsid w:val="530E05BC"/>
    <w:rsid w:val="535A7887"/>
    <w:rsid w:val="5373753A"/>
    <w:rsid w:val="538E6122"/>
    <w:rsid w:val="53BC2C8F"/>
    <w:rsid w:val="53BF4C42"/>
    <w:rsid w:val="53CD66E0"/>
    <w:rsid w:val="53FE4420"/>
    <w:rsid w:val="5486504B"/>
    <w:rsid w:val="54B971CF"/>
    <w:rsid w:val="54D2203E"/>
    <w:rsid w:val="55047725"/>
    <w:rsid w:val="557773FB"/>
    <w:rsid w:val="55CB16B9"/>
    <w:rsid w:val="560B1790"/>
    <w:rsid w:val="56576C9F"/>
    <w:rsid w:val="566B44F9"/>
    <w:rsid w:val="569A4DDE"/>
    <w:rsid w:val="56A54175"/>
    <w:rsid w:val="570858F2"/>
    <w:rsid w:val="57471324"/>
    <w:rsid w:val="57AA2DFF"/>
    <w:rsid w:val="57C230D5"/>
    <w:rsid w:val="57DC0F5F"/>
    <w:rsid w:val="583B614D"/>
    <w:rsid w:val="588C08D1"/>
    <w:rsid w:val="589917F1"/>
    <w:rsid w:val="58A43CF2"/>
    <w:rsid w:val="58AB7E44"/>
    <w:rsid w:val="58B24661"/>
    <w:rsid w:val="58B32187"/>
    <w:rsid w:val="592866D1"/>
    <w:rsid w:val="5943175D"/>
    <w:rsid w:val="59796F2C"/>
    <w:rsid w:val="5A105AE3"/>
    <w:rsid w:val="5A180D4E"/>
    <w:rsid w:val="5A421A14"/>
    <w:rsid w:val="5A4E2167"/>
    <w:rsid w:val="5A7B6CD4"/>
    <w:rsid w:val="5B025E57"/>
    <w:rsid w:val="5B231846"/>
    <w:rsid w:val="5B7A6F8C"/>
    <w:rsid w:val="5B8F3C7E"/>
    <w:rsid w:val="5BAD55B3"/>
    <w:rsid w:val="5BE63730"/>
    <w:rsid w:val="5C205D85"/>
    <w:rsid w:val="5C5251DF"/>
    <w:rsid w:val="5C534E4A"/>
    <w:rsid w:val="5C7E485A"/>
    <w:rsid w:val="5C902F0B"/>
    <w:rsid w:val="5D0D6309"/>
    <w:rsid w:val="5DAB78D0"/>
    <w:rsid w:val="5DBB5D65"/>
    <w:rsid w:val="5DCF1811"/>
    <w:rsid w:val="5DFE04B3"/>
    <w:rsid w:val="5E203E1A"/>
    <w:rsid w:val="5E671A49"/>
    <w:rsid w:val="5EA22A81"/>
    <w:rsid w:val="5F335DCF"/>
    <w:rsid w:val="5FCB425A"/>
    <w:rsid w:val="5FE1582B"/>
    <w:rsid w:val="5FE536D5"/>
    <w:rsid w:val="60327E35"/>
    <w:rsid w:val="606A3A73"/>
    <w:rsid w:val="614F3918"/>
    <w:rsid w:val="61515E49"/>
    <w:rsid w:val="61EB473F"/>
    <w:rsid w:val="6232470C"/>
    <w:rsid w:val="624327CD"/>
    <w:rsid w:val="628506F0"/>
    <w:rsid w:val="634C56B2"/>
    <w:rsid w:val="636E49DC"/>
    <w:rsid w:val="63957059"/>
    <w:rsid w:val="63FD075A"/>
    <w:rsid w:val="64177A6E"/>
    <w:rsid w:val="642018F9"/>
    <w:rsid w:val="648F5856"/>
    <w:rsid w:val="64D4770D"/>
    <w:rsid w:val="64DD4813"/>
    <w:rsid w:val="64E75692"/>
    <w:rsid w:val="654E5711"/>
    <w:rsid w:val="65962C14"/>
    <w:rsid w:val="65CD5159"/>
    <w:rsid w:val="65F06D2C"/>
    <w:rsid w:val="66664CDC"/>
    <w:rsid w:val="66BB2590"/>
    <w:rsid w:val="66C37A39"/>
    <w:rsid w:val="66E203D8"/>
    <w:rsid w:val="671B7922"/>
    <w:rsid w:val="677F153E"/>
    <w:rsid w:val="678A67A9"/>
    <w:rsid w:val="68060525"/>
    <w:rsid w:val="68091DC3"/>
    <w:rsid w:val="68262975"/>
    <w:rsid w:val="689C6793"/>
    <w:rsid w:val="690946BA"/>
    <w:rsid w:val="69DD52B6"/>
    <w:rsid w:val="6A170931"/>
    <w:rsid w:val="6A617C95"/>
    <w:rsid w:val="6AA81420"/>
    <w:rsid w:val="6AB623DF"/>
    <w:rsid w:val="6AE04B74"/>
    <w:rsid w:val="6AF01C56"/>
    <w:rsid w:val="6B2B3DFF"/>
    <w:rsid w:val="6B451364"/>
    <w:rsid w:val="6B6C069F"/>
    <w:rsid w:val="6C6D0B73"/>
    <w:rsid w:val="6C710B23"/>
    <w:rsid w:val="6CBD4F2A"/>
    <w:rsid w:val="6CBF0CA2"/>
    <w:rsid w:val="6CC462B9"/>
    <w:rsid w:val="6D38471B"/>
    <w:rsid w:val="6DB8307B"/>
    <w:rsid w:val="6DD10452"/>
    <w:rsid w:val="6DE50BDD"/>
    <w:rsid w:val="6E1E4550"/>
    <w:rsid w:val="6E1F5E9D"/>
    <w:rsid w:val="6E3336F6"/>
    <w:rsid w:val="6E557B10"/>
    <w:rsid w:val="6EA14120"/>
    <w:rsid w:val="6EC151A6"/>
    <w:rsid w:val="6F0357BE"/>
    <w:rsid w:val="6F0626E6"/>
    <w:rsid w:val="6F443096"/>
    <w:rsid w:val="6F5778B8"/>
    <w:rsid w:val="6F926B42"/>
    <w:rsid w:val="6FA83C70"/>
    <w:rsid w:val="702E23C7"/>
    <w:rsid w:val="70B2124A"/>
    <w:rsid w:val="70D21129"/>
    <w:rsid w:val="70DD5B9B"/>
    <w:rsid w:val="70E51287"/>
    <w:rsid w:val="70FD7FEB"/>
    <w:rsid w:val="71184E25"/>
    <w:rsid w:val="71C64881"/>
    <w:rsid w:val="72275320"/>
    <w:rsid w:val="72D37256"/>
    <w:rsid w:val="72F120E5"/>
    <w:rsid w:val="74185868"/>
    <w:rsid w:val="74406B6D"/>
    <w:rsid w:val="74F02341"/>
    <w:rsid w:val="74FF07D6"/>
    <w:rsid w:val="74FF4332"/>
    <w:rsid w:val="750202C6"/>
    <w:rsid w:val="75265D63"/>
    <w:rsid w:val="75363ACC"/>
    <w:rsid w:val="75B07D22"/>
    <w:rsid w:val="75F05AFC"/>
    <w:rsid w:val="777110D9"/>
    <w:rsid w:val="779F1DFC"/>
    <w:rsid w:val="77D53B2E"/>
    <w:rsid w:val="77E837A3"/>
    <w:rsid w:val="77E85551"/>
    <w:rsid w:val="785B5D23"/>
    <w:rsid w:val="78D92E3A"/>
    <w:rsid w:val="791553F6"/>
    <w:rsid w:val="797B41A3"/>
    <w:rsid w:val="799B1910"/>
    <w:rsid w:val="79BF0534"/>
    <w:rsid w:val="7A373298"/>
    <w:rsid w:val="7A41363F"/>
    <w:rsid w:val="7A456C8B"/>
    <w:rsid w:val="7A542AC5"/>
    <w:rsid w:val="7A9C6DC1"/>
    <w:rsid w:val="7AC2652D"/>
    <w:rsid w:val="7AC31DEF"/>
    <w:rsid w:val="7AFC1B2D"/>
    <w:rsid w:val="7B160627"/>
    <w:rsid w:val="7B4E1B6F"/>
    <w:rsid w:val="7B5628D6"/>
    <w:rsid w:val="7BB816DF"/>
    <w:rsid w:val="7C025669"/>
    <w:rsid w:val="7C331A1A"/>
    <w:rsid w:val="7C374CF9"/>
    <w:rsid w:val="7C4C02E1"/>
    <w:rsid w:val="7C7D2A53"/>
    <w:rsid w:val="7CAA7279"/>
    <w:rsid w:val="7CAD17BD"/>
    <w:rsid w:val="7CDB0441"/>
    <w:rsid w:val="7CE0713F"/>
    <w:rsid w:val="7D720CDD"/>
    <w:rsid w:val="7D7635FF"/>
    <w:rsid w:val="7DC75C09"/>
    <w:rsid w:val="7DD00F61"/>
    <w:rsid w:val="7E040C0B"/>
    <w:rsid w:val="7E0714B7"/>
    <w:rsid w:val="7E1352F2"/>
    <w:rsid w:val="7E454777"/>
    <w:rsid w:val="7E501EBB"/>
    <w:rsid w:val="7E553215"/>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29"/>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6">
    <w:name w:val="table of authorities"/>
    <w:basedOn w:val="1"/>
    <w:next w:val="1"/>
    <w:autoRedefine/>
    <w:qFormat/>
    <w:uiPriority w:val="0"/>
    <w:pPr>
      <w:ind w:left="420" w:leftChars="200"/>
    </w:pPr>
  </w:style>
  <w:style w:type="paragraph" w:styleId="7">
    <w:name w:val="Body Text"/>
    <w:basedOn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link w:val="3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Body Text First Indent"/>
    <w:basedOn w:val="7"/>
    <w:qFormat/>
    <w:uiPriority w:val="0"/>
    <w:pPr>
      <w:widowControl w:val="0"/>
      <w:spacing w:line="360" w:lineRule="auto"/>
      <w:ind w:firstLine="420"/>
    </w:pPr>
    <w:rPr>
      <w:sz w:val="24"/>
      <w:szCs w:val="24"/>
      <w:lang w:eastAsia="zh-CN"/>
    </w:r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图例"/>
    <w:basedOn w:val="1"/>
    <w:autoRedefine/>
    <w:qFormat/>
    <w:uiPriority w:val="0"/>
    <w:pPr>
      <w:spacing w:before="120" w:after="120" w:line="360" w:lineRule="auto"/>
      <w:jc w:val="center"/>
    </w:pPr>
    <w:rPr>
      <w:rFonts w:eastAsia="仿宋_GB2312"/>
      <w:b/>
      <w:sz w:val="24"/>
    </w:rPr>
  </w:style>
  <w:style w:type="paragraph" w:customStyle="1" w:styleId="24">
    <w:name w:val="电建正文"/>
    <w:basedOn w:val="25"/>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5">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9">
    <w:name w:val="标题 2 字符"/>
    <w:link w:val="4"/>
    <w:qFormat/>
    <w:uiPriority w:val="0"/>
    <w:rPr>
      <w:rFonts w:ascii="Arial" w:hAnsi="Arial" w:eastAsia="黑体"/>
      <w:b/>
      <w:kern w:val="2"/>
      <w:sz w:val="32"/>
    </w:rPr>
  </w:style>
  <w:style w:type="character" w:customStyle="1" w:styleId="30">
    <w:name w:val="Unresolved Mention"/>
    <w:basedOn w:val="20"/>
    <w:semiHidden/>
    <w:unhideWhenUsed/>
    <w:qFormat/>
    <w:uiPriority w:val="99"/>
    <w:rPr>
      <w:color w:val="605E5C"/>
      <w:shd w:val="clear" w:color="auto" w:fill="E1DFDD"/>
    </w:rPr>
  </w:style>
  <w:style w:type="character" w:customStyle="1" w:styleId="31">
    <w:name w:val="页脚 字符"/>
    <w:link w:val="13"/>
    <w:qFormat/>
    <w:uiPriority w:val="99"/>
    <w:rPr>
      <w:kern w:val="2"/>
      <w:sz w:val="18"/>
    </w:rPr>
  </w:style>
  <w:style w:type="character" w:customStyle="1" w:styleId="32">
    <w:name w:val="页眉或页脚 (2)_"/>
    <w:basedOn w:val="20"/>
    <w:link w:val="33"/>
    <w:qFormat/>
    <w:uiPriority w:val="0"/>
    <w:rPr>
      <w:rFonts w:eastAsia="Times New Roman"/>
      <w:shd w:val="clear" w:color="auto" w:fill="FFFFFF"/>
      <w:lang w:val="zh-CN" w:bidi="zh-CN"/>
    </w:rPr>
  </w:style>
  <w:style w:type="paragraph" w:customStyle="1" w:styleId="33">
    <w:name w:val="页眉或页脚 (2)"/>
    <w:basedOn w:val="1"/>
    <w:link w:val="32"/>
    <w:qFormat/>
    <w:uiPriority w:val="0"/>
    <w:pPr>
      <w:shd w:val="clear" w:color="auto" w:fill="FFFFFF"/>
      <w:jc w:val="left"/>
    </w:pPr>
    <w:rPr>
      <w:rFonts w:eastAsia="Times New Roman"/>
      <w:kern w:val="0"/>
      <w:sz w:val="20"/>
      <w:lang w:val="zh-CN" w:bidi="zh-CN"/>
    </w:rPr>
  </w:style>
  <w:style w:type="character" w:customStyle="1" w:styleId="34">
    <w:name w:val="正文文本_"/>
    <w:basedOn w:val="20"/>
    <w:link w:val="35"/>
    <w:qFormat/>
    <w:uiPriority w:val="0"/>
    <w:rPr>
      <w:rFonts w:ascii="MingLiU" w:hAnsi="MingLiU" w:eastAsia="MingLiU" w:cs="MingLiU"/>
      <w:sz w:val="22"/>
      <w:szCs w:val="22"/>
      <w:shd w:val="clear" w:color="auto" w:fill="FFFFFF"/>
      <w:lang w:val="zh-CN" w:bidi="zh-CN"/>
    </w:rPr>
  </w:style>
  <w:style w:type="paragraph" w:customStyle="1" w:styleId="35">
    <w:name w:val="正文文本1"/>
    <w:basedOn w:val="1"/>
    <w:link w:val="34"/>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6">
    <w:name w:val="标题 #1_"/>
    <w:basedOn w:val="20"/>
    <w:link w:val="37"/>
    <w:qFormat/>
    <w:uiPriority w:val="0"/>
    <w:rPr>
      <w:rFonts w:ascii="MingLiU" w:hAnsi="MingLiU" w:eastAsia="MingLiU" w:cs="MingLiU"/>
      <w:sz w:val="28"/>
      <w:szCs w:val="28"/>
      <w:shd w:val="clear" w:color="auto" w:fill="FFFFFF"/>
      <w:lang w:val="zh-CN" w:bidi="zh-CN"/>
    </w:rPr>
  </w:style>
  <w:style w:type="paragraph" w:customStyle="1" w:styleId="37">
    <w:name w:val="标题 #1"/>
    <w:basedOn w:val="1"/>
    <w:link w:val="36"/>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8">
    <w:name w:val="正文文本 (2)_"/>
    <w:basedOn w:val="20"/>
    <w:link w:val="39"/>
    <w:qFormat/>
    <w:uiPriority w:val="0"/>
    <w:rPr>
      <w:rFonts w:ascii="Gulim" w:hAnsi="Gulim" w:eastAsia="Gulim" w:cs="Gulim"/>
      <w:shd w:val="clear" w:color="auto" w:fill="FFFFFF"/>
      <w:lang w:val="zh-CN" w:bidi="zh-CN"/>
    </w:rPr>
  </w:style>
  <w:style w:type="paragraph" w:customStyle="1" w:styleId="39">
    <w:name w:val="正文文本 (2)"/>
    <w:basedOn w:val="1"/>
    <w:link w:val="38"/>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0">
    <w:name w:val="其他_"/>
    <w:basedOn w:val="20"/>
    <w:link w:val="41"/>
    <w:qFormat/>
    <w:uiPriority w:val="0"/>
    <w:rPr>
      <w:rFonts w:ascii="MingLiU" w:hAnsi="MingLiU" w:eastAsia="MingLiU" w:cs="MingLiU"/>
      <w:sz w:val="22"/>
      <w:szCs w:val="22"/>
      <w:shd w:val="clear" w:color="auto" w:fill="FFFFFF"/>
      <w:lang w:val="zh-CN" w:bidi="zh-CN"/>
    </w:rPr>
  </w:style>
  <w:style w:type="paragraph" w:customStyle="1" w:styleId="41">
    <w:name w:val="其他"/>
    <w:basedOn w:val="1"/>
    <w:link w:val="40"/>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5046</Words>
  <Characters>5343</Characters>
  <Lines>143</Lines>
  <Paragraphs>40</Paragraphs>
  <TotalTime>9</TotalTime>
  <ScaleCrop>false</ScaleCrop>
  <LinksUpToDate>false</LinksUpToDate>
  <CharactersWithSpaces>5573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2025-05-22T00:58:24Z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37A8956959C648388362BE7B393EDE2E</vt:lpwstr>
  </property>
  <property fmtid="{D5CDD505-2E9C-101B-9397-08002B2CF9AE}" pid="4" name="KSOTemplateDocerSaveRecord">
    <vt:lpwstr>eyJoZGlkIjoiMTA3ZDY3YzY2ZWQ4ZGM2MWRhY2M5ODkwNGFkZWU0NTciLCJ1c2VySWQiOiIzOTY5MDA3OTEifQ==</vt:lpwstr>
  </property>
</Properties>
</file>