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98F7B9">
      <w:pPr>
        <w:spacing w:line="360" w:lineRule="auto"/>
        <w:rPr>
          <w:rFonts w:hint="eastAsia" w:asciiTheme="minorEastAsia" w:hAnsiTheme="minorEastAsia" w:eastAsiaTheme="minorEastAsia" w:cstheme="minorEastAsia"/>
          <w:sz w:val="96"/>
          <w:szCs w:val="96"/>
          <w:highlight w:val="none"/>
        </w:rPr>
      </w:pPr>
    </w:p>
    <w:p w14:paraId="3AF6E85B">
      <w:pPr>
        <w:spacing w:line="360" w:lineRule="auto"/>
        <w:jc w:val="center"/>
        <w:outlineLvl w:val="0"/>
        <w:rPr>
          <w:rFonts w:hint="eastAsia" w:asciiTheme="minorEastAsia" w:hAnsiTheme="minorEastAsia" w:eastAsiaTheme="minorEastAsia" w:cstheme="minorEastAsia"/>
          <w:sz w:val="96"/>
          <w:szCs w:val="96"/>
          <w:highlight w:val="none"/>
        </w:rPr>
      </w:pPr>
      <w:r>
        <w:rPr>
          <w:rFonts w:hint="eastAsia" w:asciiTheme="minorEastAsia" w:hAnsiTheme="minorEastAsia" w:eastAsiaTheme="minorEastAsia" w:cstheme="minorEastAsia"/>
          <w:sz w:val="96"/>
          <w:szCs w:val="96"/>
          <w:highlight w:val="none"/>
        </w:rPr>
        <w:t>竞争性谈判文件</w:t>
      </w:r>
    </w:p>
    <w:p w14:paraId="6112F7CC">
      <w:pPr>
        <w:spacing w:line="360" w:lineRule="auto"/>
        <w:rPr>
          <w:rFonts w:hint="eastAsia" w:asciiTheme="minorEastAsia" w:hAnsiTheme="minorEastAsia" w:eastAsiaTheme="minorEastAsia" w:cstheme="minorEastAsia"/>
          <w:sz w:val="36"/>
          <w:szCs w:val="36"/>
          <w:highlight w:val="none"/>
        </w:rPr>
      </w:pPr>
    </w:p>
    <w:p w14:paraId="1C8AE834">
      <w:pPr>
        <w:spacing w:line="360" w:lineRule="auto"/>
        <w:ind w:firstLine="2400" w:firstLineChars="75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2"/>
          <w:szCs w:val="32"/>
          <w:highlight w:val="none"/>
          <w:lang w:val="en-US" w:eastAsia="zh-CN"/>
        </w:rPr>
        <w:t>项目编号：2025C0010</w:t>
      </w:r>
    </w:p>
    <w:p w14:paraId="3F59BF90">
      <w:pPr>
        <w:spacing w:line="360" w:lineRule="auto"/>
        <w:ind w:left="0" w:leftChars="0" w:firstLine="2400" w:firstLineChars="750"/>
        <w:jc w:val="center"/>
        <w:rPr>
          <w:rFonts w:hint="default" w:asciiTheme="minorEastAsia" w:hAnsiTheme="minorEastAsia" w:eastAsiaTheme="minorEastAsia" w:cstheme="minorEastAsia"/>
          <w:sz w:val="32"/>
          <w:szCs w:val="28"/>
          <w:highlight w:val="none"/>
          <w:lang w:val="en-US" w:eastAsia="zh-CN"/>
        </w:rPr>
      </w:pPr>
      <w:r>
        <w:rPr>
          <w:rFonts w:hint="eastAsia" w:asciiTheme="minorEastAsia" w:hAnsiTheme="minorEastAsia" w:eastAsiaTheme="minorEastAsia" w:cstheme="minorEastAsia"/>
          <w:sz w:val="32"/>
          <w:szCs w:val="28"/>
          <w:highlight w:val="none"/>
        </w:rPr>
        <w:t>项目名称：</w:t>
      </w:r>
      <w:r>
        <w:rPr>
          <w:rFonts w:hint="eastAsia" w:asciiTheme="minorEastAsia" w:hAnsiTheme="minorEastAsia" w:eastAsiaTheme="minorEastAsia" w:cstheme="minorEastAsia"/>
          <w:sz w:val="32"/>
          <w:szCs w:val="32"/>
          <w:highlight w:val="none"/>
          <w:lang w:eastAsia="zh-CN"/>
        </w:rPr>
        <w:t>四川仪表工业学校校园生活垃圾转运服务项目（第二次）</w:t>
      </w:r>
    </w:p>
    <w:p w14:paraId="799165D4">
      <w:pPr>
        <w:spacing w:line="360" w:lineRule="auto"/>
        <w:ind w:firstLine="1749" w:firstLineChars="486"/>
        <w:rPr>
          <w:rFonts w:hint="eastAsia" w:asciiTheme="minorEastAsia" w:hAnsiTheme="minorEastAsia" w:eastAsiaTheme="minorEastAsia" w:cstheme="minorEastAsia"/>
          <w:sz w:val="36"/>
          <w:szCs w:val="30"/>
          <w:highlight w:val="none"/>
        </w:rPr>
      </w:pPr>
    </w:p>
    <w:p w14:paraId="4D158774">
      <w:pPr>
        <w:spacing w:line="360" w:lineRule="auto"/>
        <w:rPr>
          <w:rFonts w:hint="eastAsia" w:asciiTheme="minorEastAsia" w:hAnsiTheme="minorEastAsia" w:eastAsiaTheme="minorEastAsia" w:cstheme="minorEastAsia"/>
          <w:b/>
          <w:sz w:val="30"/>
          <w:szCs w:val="30"/>
          <w:highlight w:val="none"/>
        </w:rPr>
      </w:pPr>
    </w:p>
    <w:p w14:paraId="7DFAA533">
      <w:pPr>
        <w:spacing w:line="360" w:lineRule="auto"/>
        <w:jc w:val="center"/>
        <w:rPr>
          <w:rFonts w:hint="eastAsia" w:asciiTheme="minorEastAsia" w:hAnsiTheme="minorEastAsia" w:eastAsiaTheme="minorEastAsia" w:cstheme="minorEastAsia"/>
          <w:sz w:val="48"/>
          <w:szCs w:val="32"/>
          <w:highlight w:val="none"/>
        </w:rPr>
      </w:pPr>
    </w:p>
    <w:p w14:paraId="30B629C6">
      <w:pPr>
        <w:spacing w:line="360" w:lineRule="auto"/>
        <w:rPr>
          <w:rFonts w:hint="eastAsia" w:asciiTheme="minorEastAsia" w:hAnsiTheme="minorEastAsia" w:eastAsiaTheme="minorEastAsia" w:cstheme="minorEastAsia"/>
          <w:highlight w:val="none"/>
        </w:rPr>
      </w:pPr>
    </w:p>
    <w:p w14:paraId="7A246DF4">
      <w:pPr>
        <w:pStyle w:val="22"/>
        <w:spacing w:line="360" w:lineRule="auto"/>
        <w:rPr>
          <w:rFonts w:hint="eastAsia" w:asciiTheme="minorEastAsia" w:hAnsiTheme="minorEastAsia" w:eastAsiaTheme="minorEastAsia" w:cstheme="minorEastAsia"/>
          <w:highlight w:val="none"/>
        </w:rPr>
      </w:pPr>
    </w:p>
    <w:p w14:paraId="1CE6162F">
      <w:pPr>
        <w:spacing w:line="360" w:lineRule="auto"/>
        <w:ind w:firstLine="2160" w:firstLineChars="6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采购人： 四川仪表工业学校</w:t>
      </w:r>
    </w:p>
    <w:p w14:paraId="67367676">
      <w:pPr>
        <w:spacing w:line="360" w:lineRule="auto"/>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采购代理机构：重庆方采工程项目管理咨询有限公司</w:t>
      </w:r>
    </w:p>
    <w:p w14:paraId="26F56635">
      <w:pPr>
        <w:spacing w:line="360" w:lineRule="auto"/>
        <w:jc w:val="center"/>
        <w:rPr>
          <w:rFonts w:hint="eastAsia" w:asciiTheme="minorEastAsia" w:hAnsiTheme="minorEastAsia" w:eastAsiaTheme="minorEastAsia" w:cstheme="minorEastAsia"/>
          <w:sz w:val="36"/>
          <w:szCs w:val="32"/>
          <w:highlight w:val="none"/>
        </w:rPr>
      </w:pPr>
    </w:p>
    <w:p w14:paraId="0996C732">
      <w:pPr>
        <w:spacing w:line="360" w:lineRule="auto"/>
        <w:jc w:val="center"/>
        <w:rPr>
          <w:rFonts w:hint="eastAsia" w:asciiTheme="minorEastAsia" w:hAnsiTheme="minorEastAsia" w:eastAsiaTheme="minorEastAsia" w:cstheme="minorEastAsia"/>
          <w:sz w:val="36"/>
          <w:szCs w:val="32"/>
          <w:highlight w:val="none"/>
        </w:rPr>
      </w:pPr>
      <w:r>
        <w:rPr>
          <w:rFonts w:hint="eastAsia" w:asciiTheme="minorEastAsia" w:hAnsiTheme="minorEastAsia" w:eastAsiaTheme="minorEastAsia" w:cstheme="minorEastAsia"/>
          <w:sz w:val="36"/>
          <w:szCs w:val="32"/>
          <w:highlight w:val="none"/>
        </w:rPr>
        <w:t>二〇二</w:t>
      </w:r>
      <w:r>
        <w:rPr>
          <w:rFonts w:hint="eastAsia" w:asciiTheme="minorEastAsia" w:hAnsiTheme="minorEastAsia" w:eastAsiaTheme="minorEastAsia" w:cstheme="minorEastAsia"/>
          <w:sz w:val="36"/>
          <w:szCs w:val="32"/>
          <w:highlight w:val="none"/>
          <w:lang w:eastAsia="zh-CN"/>
        </w:rPr>
        <w:t>五</w:t>
      </w:r>
      <w:r>
        <w:rPr>
          <w:rFonts w:hint="eastAsia" w:asciiTheme="minorEastAsia" w:hAnsiTheme="minorEastAsia" w:eastAsiaTheme="minorEastAsia" w:cstheme="minorEastAsia"/>
          <w:sz w:val="36"/>
          <w:szCs w:val="32"/>
          <w:highlight w:val="none"/>
        </w:rPr>
        <w:t>年</w:t>
      </w:r>
      <w:r>
        <w:rPr>
          <w:rFonts w:hint="eastAsia" w:asciiTheme="minorEastAsia" w:hAnsiTheme="minorEastAsia" w:eastAsiaTheme="minorEastAsia" w:cstheme="minorEastAsia"/>
          <w:sz w:val="36"/>
          <w:szCs w:val="32"/>
          <w:highlight w:val="none"/>
          <w:lang w:val="en-US" w:eastAsia="zh-CN"/>
        </w:rPr>
        <w:t>八</w:t>
      </w:r>
      <w:r>
        <w:rPr>
          <w:rFonts w:hint="eastAsia" w:asciiTheme="minorEastAsia" w:hAnsiTheme="minorEastAsia" w:eastAsiaTheme="minorEastAsia" w:cstheme="minorEastAsia"/>
          <w:sz w:val="36"/>
          <w:szCs w:val="32"/>
          <w:highlight w:val="none"/>
        </w:rPr>
        <w:t>月</w:t>
      </w:r>
    </w:p>
    <w:p w14:paraId="11506B6C">
      <w:pPr>
        <w:spacing w:line="360" w:lineRule="auto"/>
        <w:jc w:val="center"/>
        <w:outlineLvl w:val="0"/>
        <w:rPr>
          <w:rFonts w:hint="eastAsia" w:asciiTheme="minorEastAsia" w:hAnsiTheme="minorEastAsia" w:eastAsiaTheme="minorEastAsia" w:cstheme="minorEastAsia"/>
          <w:sz w:val="44"/>
          <w:szCs w:val="28"/>
          <w:highlight w:val="none"/>
        </w:rPr>
      </w:pPr>
    </w:p>
    <w:p w14:paraId="088A19FB">
      <w:pPr>
        <w:spacing w:line="360" w:lineRule="auto"/>
        <w:jc w:val="center"/>
        <w:outlineLvl w:val="0"/>
        <w:rPr>
          <w:rFonts w:hint="eastAsia" w:asciiTheme="minorEastAsia" w:hAnsiTheme="minorEastAsia" w:eastAsiaTheme="minorEastAsia" w:cstheme="minorEastAsia"/>
          <w:sz w:val="44"/>
          <w:szCs w:val="28"/>
          <w:highlight w:val="none"/>
        </w:rPr>
      </w:pPr>
    </w:p>
    <w:p w14:paraId="3612B0FE">
      <w:pPr>
        <w:spacing w:line="360" w:lineRule="auto"/>
        <w:jc w:val="center"/>
        <w:outlineLvl w:val="0"/>
        <w:rPr>
          <w:rFonts w:hint="eastAsia" w:asciiTheme="minorEastAsia" w:hAnsiTheme="minorEastAsia" w:eastAsiaTheme="minorEastAsia" w:cstheme="minorEastAsia"/>
          <w:sz w:val="44"/>
          <w:szCs w:val="28"/>
          <w:highlight w:val="none"/>
        </w:rPr>
      </w:pPr>
    </w:p>
    <w:p w14:paraId="12873320">
      <w:pPr>
        <w:spacing w:line="360" w:lineRule="auto"/>
        <w:jc w:val="center"/>
        <w:outlineLvl w:val="0"/>
        <w:rPr>
          <w:rFonts w:hint="eastAsia" w:asciiTheme="minorEastAsia" w:hAnsiTheme="minorEastAsia" w:eastAsiaTheme="minorEastAsia" w:cstheme="minorEastAsia"/>
          <w:sz w:val="44"/>
          <w:szCs w:val="28"/>
          <w:highlight w:val="none"/>
        </w:rPr>
      </w:pPr>
      <w:bookmarkStart w:id="0" w:name="_Toc20713"/>
      <w:r>
        <w:rPr>
          <w:rFonts w:hint="eastAsia" w:asciiTheme="minorEastAsia" w:hAnsiTheme="minorEastAsia" w:eastAsiaTheme="minorEastAsia" w:cstheme="minorEastAsia"/>
          <w:sz w:val="44"/>
          <w:szCs w:val="28"/>
          <w:highlight w:val="none"/>
        </w:rPr>
        <w:t>目   录</w:t>
      </w:r>
      <w:bookmarkEnd w:id="0"/>
    </w:p>
    <w:sdt>
      <w:sdtPr>
        <w:rPr>
          <w:rFonts w:ascii="宋体" w:hAnsi="宋体" w:eastAsia="宋体" w:cs="Times New Roman"/>
          <w:kern w:val="2"/>
          <w:sz w:val="21"/>
          <w:lang w:val="en-US" w:eastAsia="zh-CN" w:bidi="ar-SA"/>
        </w:rPr>
        <w:id w:val="147471121"/>
        <w15:color w:val="DBDBDB"/>
        <w:docPartObj>
          <w:docPartGallery w:val="Table of Contents"/>
          <w:docPartUnique/>
        </w:docPartObj>
      </w:sdtPr>
      <w:sdtEndPr>
        <w:rPr>
          <w:rFonts w:hint="eastAsia" w:ascii="Times New Roman" w:hAnsi="Times New Roman" w:eastAsia="宋体" w:cs="Times New Roman"/>
          <w:kern w:val="2"/>
          <w:sz w:val="28"/>
          <w:lang w:val="en-US" w:eastAsia="zh-CN" w:bidi="ar-SA"/>
        </w:rPr>
      </w:sdtEndPr>
      <w:sdtContent>
        <w:p w14:paraId="07B62DC2">
          <w:pPr>
            <w:spacing w:before="0" w:beforeLines="0" w:after="0" w:afterLines="0" w:line="240" w:lineRule="auto"/>
            <w:ind w:left="0" w:leftChars="0" w:right="0" w:rightChars="0" w:firstLine="0" w:firstLineChars="0"/>
            <w:jc w:val="center"/>
          </w:pPr>
        </w:p>
        <w:p w14:paraId="30643DA7">
          <w:pPr>
            <w:pStyle w:val="3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jc w:val="both"/>
            <w:textAlignment w:val="auto"/>
            <w:rPr>
              <w:sz w:val="32"/>
              <w:szCs w:val="32"/>
            </w:rPr>
          </w:pPr>
          <w:r>
            <w:rPr>
              <w:rFonts w:hint="eastAsia"/>
              <w:sz w:val="32"/>
              <w:szCs w:val="32"/>
              <w:lang w:eastAsia="zh-CN"/>
            </w:rPr>
            <w:fldChar w:fldCharType="begin"/>
          </w:r>
          <w:r>
            <w:rPr>
              <w:rFonts w:hint="eastAsia"/>
              <w:sz w:val="32"/>
              <w:szCs w:val="32"/>
              <w:lang w:eastAsia="zh-CN"/>
            </w:rPr>
            <w:instrText xml:space="preserve">TOC \o "1-3" \h \u </w:instrText>
          </w:r>
          <w:r>
            <w:rPr>
              <w:rFonts w:hint="eastAsia"/>
              <w:sz w:val="32"/>
              <w:szCs w:val="32"/>
              <w:lang w:eastAsia="zh-CN"/>
            </w:rPr>
            <w:fldChar w:fldCharType="separate"/>
          </w:r>
          <w:r>
            <w:rPr>
              <w:rFonts w:hint="eastAsia"/>
              <w:sz w:val="32"/>
              <w:szCs w:val="32"/>
              <w:lang w:eastAsia="zh-CN"/>
            </w:rPr>
            <w:fldChar w:fldCharType="begin"/>
          </w:r>
          <w:r>
            <w:rPr>
              <w:rFonts w:hint="eastAsia"/>
              <w:sz w:val="32"/>
              <w:szCs w:val="32"/>
              <w:lang w:eastAsia="zh-CN"/>
            </w:rPr>
            <w:instrText xml:space="preserve"> HYPERLINK \l _Toc12553 </w:instrText>
          </w:r>
          <w:r>
            <w:rPr>
              <w:rFonts w:hint="eastAsia"/>
              <w:sz w:val="32"/>
              <w:szCs w:val="32"/>
              <w:lang w:eastAsia="zh-CN"/>
            </w:rPr>
            <w:fldChar w:fldCharType="separate"/>
          </w:r>
          <w:r>
            <w:rPr>
              <w:rFonts w:hint="eastAsia" w:asciiTheme="minorEastAsia" w:hAnsiTheme="minorEastAsia" w:eastAsiaTheme="minorEastAsia" w:cstheme="minorEastAsia"/>
              <w:sz w:val="32"/>
              <w:szCs w:val="32"/>
              <w:highlight w:val="none"/>
            </w:rPr>
            <w:t>第一篇  竞争性谈判邀请书</w:t>
          </w:r>
          <w:r>
            <w:rPr>
              <w:sz w:val="32"/>
              <w:szCs w:val="32"/>
            </w:rPr>
            <w:tab/>
          </w:r>
          <w:r>
            <w:rPr>
              <w:sz w:val="32"/>
              <w:szCs w:val="32"/>
            </w:rPr>
            <w:fldChar w:fldCharType="begin"/>
          </w:r>
          <w:r>
            <w:rPr>
              <w:sz w:val="32"/>
              <w:szCs w:val="32"/>
            </w:rPr>
            <w:instrText xml:space="preserve"> PAGEREF _Toc12553 \h </w:instrText>
          </w:r>
          <w:r>
            <w:rPr>
              <w:sz w:val="32"/>
              <w:szCs w:val="32"/>
            </w:rPr>
            <w:fldChar w:fldCharType="separate"/>
          </w:r>
          <w:r>
            <w:rPr>
              <w:sz w:val="32"/>
              <w:szCs w:val="32"/>
            </w:rPr>
            <w:t>1</w:t>
          </w:r>
          <w:r>
            <w:rPr>
              <w:sz w:val="32"/>
              <w:szCs w:val="32"/>
            </w:rPr>
            <w:fldChar w:fldCharType="end"/>
          </w:r>
          <w:r>
            <w:rPr>
              <w:rFonts w:hint="eastAsia"/>
              <w:sz w:val="32"/>
              <w:szCs w:val="32"/>
              <w:lang w:eastAsia="zh-CN"/>
            </w:rPr>
            <w:fldChar w:fldCharType="end"/>
          </w:r>
        </w:p>
        <w:p w14:paraId="7C5216E9">
          <w:pPr>
            <w:pStyle w:val="45"/>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textAlignment w:val="auto"/>
            <w:rPr>
              <w:sz w:val="32"/>
              <w:szCs w:val="32"/>
            </w:rPr>
          </w:pPr>
          <w:r>
            <w:rPr>
              <w:rFonts w:hint="eastAsia"/>
              <w:sz w:val="32"/>
              <w:szCs w:val="32"/>
              <w:lang w:eastAsia="zh-CN"/>
            </w:rPr>
            <w:fldChar w:fldCharType="begin"/>
          </w:r>
          <w:r>
            <w:rPr>
              <w:rFonts w:hint="eastAsia"/>
              <w:sz w:val="32"/>
              <w:szCs w:val="32"/>
              <w:lang w:eastAsia="zh-CN"/>
            </w:rPr>
            <w:instrText xml:space="preserve"> HYPERLINK \l _Toc25968 </w:instrText>
          </w:r>
          <w:r>
            <w:rPr>
              <w:rFonts w:hint="eastAsia"/>
              <w:sz w:val="32"/>
              <w:szCs w:val="32"/>
              <w:lang w:eastAsia="zh-CN"/>
            </w:rPr>
            <w:fldChar w:fldCharType="separate"/>
          </w:r>
          <w:r>
            <w:rPr>
              <w:rFonts w:hint="eastAsia" w:asciiTheme="minorEastAsia" w:hAnsiTheme="minorEastAsia" w:eastAsiaTheme="minorEastAsia" w:cstheme="minorEastAsia"/>
              <w:sz w:val="32"/>
              <w:szCs w:val="32"/>
              <w:highlight w:val="none"/>
            </w:rPr>
            <w:t>第二篇  谈判项目技术（</w:t>
          </w:r>
          <w:r>
            <w:rPr>
              <w:rFonts w:hint="eastAsia" w:asciiTheme="minorEastAsia" w:hAnsiTheme="minorEastAsia" w:eastAsiaTheme="minorEastAsia" w:cstheme="minorEastAsia"/>
              <w:sz w:val="32"/>
              <w:szCs w:val="32"/>
              <w:highlight w:val="none"/>
              <w:lang w:val="en-US" w:eastAsia="zh-CN"/>
            </w:rPr>
            <w:t>服务</w:t>
          </w:r>
          <w:r>
            <w:rPr>
              <w:rFonts w:hint="eastAsia" w:asciiTheme="minorEastAsia" w:hAnsiTheme="minorEastAsia" w:eastAsiaTheme="minorEastAsia" w:cstheme="minorEastAsia"/>
              <w:sz w:val="32"/>
              <w:szCs w:val="32"/>
              <w:highlight w:val="none"/>
            </w:rPr>
            <w:t>）需求</w:t>
          </w:r>
          <w:r>
            <w:rPr>
              <w:sz w:val="32"/>
              <w:szCs w:val="32"/>
            </w:rPr>
            <w:tab/>
          </w:r>
          <w:r>
            <w:rPr>
              <w:sz w:val="32"/>
              <w:szCs w:val="32"/>
            </w:rPr>
            <w:fldChar w:fldCharType="begin"/>
          </w:r>
          <w:r>
            <w:rPr>
              <w:sz w:val="32"/>
              <w:szCs w:val="32"/>
            </w:rPr>
            <w:instrText xml:space="preserve"> PAGEREF _Toc25968 \h </w:instrText>
          </w:r>
          <w:r>
            <w:rPr>
              <w:sz w:val="32"/>
              <w:szCs w:val="32"/>
            </w:rPr>
            <w:fldChar w:fldCharType="separate"/>
          </w:r>
          <w:r>
            <w:rPr>
              <w:sz w:val="32"/>
              <w:szCs w:val="32"/>
            </w:rPr>
            <w:t>4</w:t>
          </w:r>
          <w:r>
            <w:rPr>
              <w:sz w:val="32"/>
              <w:szCs w:val="32"/>
            </w:rPr>
            <w:fldChar w:fldCharType="end"/>
          </w:r>
          <w:r>
            <w:rPr>
              <w:rFonts w:hint="eastAsia"/>
              <w:sz w:val="32"/>
              <w:szCs w:val="32"/>
              <w:lang w:eastAsia="zh-CN"/>
            </w:rPr>
            <w:fldChar w:fldCharType="end"/>
          </w:r>
        </w:p>
        <w:p w14:paraId="5F1BC44F">
          <w:pPr>
            <w:pStyle w:val="45"/>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textAlignment w:val="auto"/>
            <w:rPr>
              <w:sz w:val="32"/>
              <w:szCs w:val="32"/>
            </w:rPr>
          </w:pPr>
          <w:r>
            <w:rPr>
              <w:rFonts w:hint="eastAsia"/>
              <w:sz w:val="32"/>
              <w:szCs w:val="32"/>
              <w:lang w:eastAsia="zh-CN"/>
            </w:rPr>
            <w:fldChar w:fldCharType="begin"/>
          </w:r>
          <w:r>
            <w:rPr>
              <w:rFonts w:hint="eastAsia"/>
              <w:sz w:val="32"/>
              <w:szCs w:val="32"/>
              <w:lang w:eastAsia="zh-CN"/>
            </w:rPr>
            <w:instrText xml:space="preserve"> HYPERLINK \l _Toc8737 </w:instrText>
          </w:r>
          <w:r>
            <w:rPr>
              <w:rFonts w:hint="eastAsia"/>
              <w:sz w:val="32"/>
              <w:szCs w:val="32"/>
              <w:lang w:eastAsia="zh-CN"/>
            </w:rPr>
            <w:fldChar w:fldCharType="separate"/>
          </w:r>
          <w:r>
            <w:rPr>
              <w:rFonts w:hint="eastAsia" w:asciiTheme="minorEastAsia" w:hAnsiTheme="minorEastAsia" w:eastAsiaTheme="minorEastAsia" w:cstheme="minorEastAsia"/>
              <w:bCs/>
              <w:sz w:val="32"/>
              <w:szCs w:val="32"/>
              <w:highlight w:val="none"/>
            </w:rPr>
            <w:t>第三篇  谈判项目</w:t>
          </w:r>
          <w:r>
            <w:rPr>
              <w:rFonts w:hint="eastAsia" w:asciiTheme="minorEastAsia" w:hAnsiTheme="minorEastAsia" w:eastAsiaTheme="minorEastAsia" w:cstheme="minorEastAsia"/>
              <w:bCs/>
              <w:sz w:val="32"/>
              <w:szCs w:val="32"/>
              <w:highlight w:val="none"/>
              <w:lang w:val="en-US" w:eastAsia="zh-CN"/>
            </w:rPr>
            <w:t>商务</w:t>
          </w:r>
          <w:r>
            <w:rPr>
              <w:rFonts w:hint="eastAsia" w:asciiTheme="minorEastAsia" w:hAnsiTheme="minorEastAsia" w:eastAsiaTheme="minorEastAsia" w:cstheme="minorEastAsia"/>
              <w:bCs/>
              <w:sz w:val="32"/>
              <w:szCs w:val="32"/>
              <w:highlight w:val="none"/>
            </w:rPr>
            <w:t>需求</w:t>
          </w:r>
          <w:r>
            <w:rPr>
              <w:sz w:val="32"/>
              <w:szCs w:val="32"/>
            </w:rPr>
            <w:tab/>
          </w:r>
          <w:r>
            <w:rPr>
              <w:sz w:val="32"/>
              <w:szCs w:val="32"/>
            </w:rPr>
            <w:fldChar w:fldCharType="begin"/>
          </w:r>
          <w:r>
            <w:rPr>
              <w:sz w:val="32"/>
              <w:szCs w:val="32"/>
            </w:rPr>
            <w:instrText xml:space="preserve"> PAGEREF _Toc8737 \h </w:instrText>
          </w:r>
          <w:r>
            <w:rPr>
              <w:sz w:val="32"/>
              <w:szCs w:val="32"/>
            </w:rPr>
            <w:fldChar w:fldCharType="separate"/>
          </w:r>
          <w:r>
            <w:rPr>
              <w:sz w:val="32"/>
              <w:szCs w:val="32"/>
            </w:rPr>
            <w:t>6</w:t>
          </w:r>
          <w:r>
            <w:rPr>
              <w:sz w:val="32"/>
              <w:szCs w:val="32"/>
            </w:rPr>
            <w:fldChar w:fldCharType="end"/>
          </w:r>
          <w:r>
            <w:rPr>
              <w:rFonts w:hint="eastAsia"/>
              <w:sz w:val="32"/>
              <w:szCs w:val="32"/>
              <w:lang w:eastAsia="zh-CN"/>
            </w:rPr>
            <w:fldChar w:fldCharType="end"/>
          </w:r>
        </w:p>
        <w:p w14:paraId="1223ADFB">
          <w:pPr>
            <w:pStyle w:val="37"/>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jc w:val="both"/>
            <w:textAlignment w:val="auto"/>
            <w:rPr>
              <w:sz w:val="32"/>
              <w:szCs w:val="32"/>
            </w:rPr>
          </w:pPr>
          <w:r>
            <w:rPr>
              <w:rFonts w:hint="eastAsia"/>
              <w:sz w:val="32"/>
              <w:szCs w:val="32"/>
              <w:lang w:eastAsia="zh-CN"/>
            </w:rPr>
            <w:fldChar w:fldCharType="begin"/>
          </w:r>
          <w:r>
            <w:rPr>
              <w:rFonts w:hint="eastAsia"/>
              <w:sz w:val="32"/>
              <w:szCs w:val="32"/>
              <w:lang w:eastAsia="zh-CN"/>
            </w:rPr>
            <w:instrText xml:space="preserve"> HYPERLINK \l _Toc18726 </w:instrText>
          </w:r>
          <w:r>
            <w:rPr>
              <w:rFonts w:hint="eastAsia"/>
              <w:sz w:val="32"/>
              <w:szCs w:val="32"/>
              <w:lang w:eastAsia="zh-CN"/>
            </w:rPr>
            <w:fldChar w:fldCharType="separate"/>
          </w:r>
          <w:r>
            <w:rPr>
              <w:rFonts w:hint="eastAsia" w:asciiTheme="minorEastAsia" w:hAnsiTheme="minorEastAsia" w:eastAsiaTheme="minorEastAsia" w:cstheme="minorEastAsia"/>
              <w:kern w:val="2"/>
              <w:sz w:val="32"/>
              <w:szCs w:val="32"/>
              <w:highlight w:val="none"/>
              <w:lang w:val="en-US" w:eastAsia="zh-CN" w:bidi="ar-SA"/>
            </w:rPr>
            <w:t>第四篇  采购程序、评定成交的标准、无效谈判及采购终止</w:t>
          </w:r>
          <w:r>
            <w:rPr>
              <w:sz w:val="32"/>
              <w:szCs w:val="32"/>
            </w:rPr>
            <w:tab/>
          </w:r>
          <w:r>
            <w:rPr>
              <w:sz w:val="32"/>
              <w:szCs w:val="32"/>
            </w:rPr>
            <w:fldChar w:fldCharType="begin"/>
          </w:r>
          <w:r>
            <w:rPr>
              <w:sz w:val="32"/>
              <w:szCs w:val="32"/>
            </w:rPr>
            <w:instrText xml:space="preserve"> PAGEREF _Toc18726 \h </w:instrText>
          </w:r>
          <w:r>
            <w:rPr>
              <w:sz w:val="32"/>
              <w:szCs w:val="32"/>
            </w:rPr>
            <w:fldChar w:fldCharType="separate"/>
          </w:r>
          <w:r>
            <w:rPr>
              <w:sz w:val="32"/>
              <w:szCs w:val="32"/>
            </w:rPr>
            <w:t>7</w:t>
          </w:r>
          <w:r>
            <w:rPr>
              <w:sz w:val="32"/>
              <w:szCs w:val="32"/>
            </w:rPr>
            <w:fldChar w:fldCharType="end"/>
          </w:r>
          <w:r>
            <w:rPr>
              <w:rFonts w:hint="eastAsia"/>
              <w:sz w:val="32"/>
              <w:szCs w:val="32"/>
              <w:lang w:eastAsia="zh-CN"/>
            </w:rPr>
            <w:fldChar w:fldCharType="end"/>
          </w:r>
        </w:p>
        <w:p w14:paraId="6710CFF4">
          <w:pPr>
            <w:pStyle w:val="45"/>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textAlignment w:val="auto"/>
            <w:rPr>
              <w:sz w:val="32"/>
              <w:szCs w:val="32"/>
            </w:rPr>
          </w:pPr>
          <w:r>
            <w:rPr>
              <w:rFonts w:hint="eastAsia"/>
              <w:sz w:val="32"/>
              <w:szCs w:val="32"/>
              <w:lang w:eastAsia="zh-CN"/>
            </w:rPr>
            <w:fldChar w:fldCharType="begin"/>
          </w:r>
          <w:r>
            <w:rPr>
              <w:rFonts w:hint="eastAsia"/>
              <w:sz w:val="32"/>
              <w:szCs w:val="32"/>
              <w:lang w:eastAsia="zh-CN"/>
            </w:rPr>
            <w:instrText xml:space="preserve"> HYPERLINK \l _Toc6828 </w:instrText>
          </w:r>
          <w:r>
            <w:rPr>
              <w:rFonts w:hint="eastAsia"/>
              <w:sz w:val="32"/>
              <w:szCs w:val="32"/>
              <w:lang w:eastAsia="zh-CN"/>
            </w:rPr>
            <w:fldChar w:fldCharType="separate"/>
          </w:r>
          <w:r>
            <w:rPr>
              <w:rFonts w:hint="eastAsia" w:asciiTheme="minorEastAsia" w:hAnsiTheme="minorEastAsia" w:eastAsiaTheme="minorEastAsia" w:cstheme="minorEastAsia"/>
              <w:sz w:val="32"/>
              <w:szCs w:val="32"/>
            </w:rPr>
            <w:t xml:space="preserve">第五篇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highlight w:val="none"/>
            </w:rPr>
            <w:t>供应商须知</w:t>
          </w:r>
          <w:r>
            <w:rPr>
              <w:sz w:val="32"/>
              <w:szCs w:val="32"/>
            </w:rPr>
            <w:tab/>
          </w:r>
          <w:r>
            <w:rPr>
              <w:sz w:val="32"/>
              <w:szCs w:val="32"/>
            </w:rPr>
            <w:fldChar w:fldCharType="begin"/>
          </w:r>
          <w:r>
            <w:rPr>
              <w:sz w:val="32"/>
              <w:szCs w:val="32"/>
            </w:rPr>
            <w:instrText xml:space="preserve"> PAGEREF _Toc6828 \h </w:instrText>
          </w:r>
          <w:r>
            <w:rPr>
              <w:sz w:val="32"/>
              <w:szCs w:val="32"/>
            </w:rPr>
            <w:fldChar w:fldCharType="separate"/>
          </w:r>
          <w:r>
            <w:rPr>
              <w:sz w:val="32"/>
              <w:szCs w:val="32"/>
            </w:rPr>
            <w:t>11</w:t>
          </w:r>
          <w:r>
            <w:rPr>
              <w:sz w:val="32"/>
              <w:szCs w:val="32"/>
            </w:rPr>
            <w:fldChar w:fldCharType="end"/>
          </w:r>
          <w:r>
            <w:rPr>
              <w:rFonts w:hint="eastAsia"/>
              <w:sz w:val="32"/>
              <w:szCs w:val="32"/>
              <w:lang w:eastAsia="zh-CN"/>
            </w:rPr>
            <w:fldChar w:fldCharType="end"/>
          </w:r>
        </w:p>
        <w:p w14:paraId="58286FA0">
          <w:pPr>
            <w:pStyle w:val="45"/>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textAlignment w:val="auto"/>
            <w:rPr>
              <w:sz w:val="32"/>
              <w:szCs w:val="32"/>
            </w:rPr>
          </w:pPr>
          <w:r>
            <w:rPr>
              <w:rFonts w:hint="eastAsia"/>
              <w:sz w:val="32"/>
              <w:szCs w:val="32"/>
              <w:lang w:eastAsia="zh-CN"/>
            </w:rPr>
            <w:fldChar w:fldCharType="begin"/>
          </w:r>
          <w:r>
            <w:rPr>
              <w:rFonts w:hint="eastAsia"/>
              <w:sz w:val="32"/>
              <w:szCs w:val="32"/>
              <w:lang w:eastAsia="zh-CN"/>
            </w:rPr>
            <w:instrText xml:space="preserve"> HYPERLINK \l _Toc5537 </w:instrText>
          </w:r>
          <w:r>
            <w:rPr>
              <w:rFonts w:hint="eastAsia"/>
              <w:sz w:val="32"/>
              <w:szCs w:val="32"/>
              <w:lang w:eastAsia="zh-CN"/>
            </w:rPr>
            <w:fldChar w:fldCharType="separate"/>
          </w:r>
          <w:r>
            <w:rPr>
              <w:rFonts w:hint="eastAsia" w:asciiTheme="minorEastAsia" w:hAnsiTheme="minorEastAsia" w:eastAsiaTheme="minorEastAsia" w:cstheme="minorEastAsia"/>
              <w:sz w:val="32"/>
              <w:szCs w:val="32"/>
              <w:highlight w:val="none"/>
            </w:rPr>
            <w:t>第六篇  合同草案条款</w:t>
          </w:r>
          <w:r>
            <w:rPr>
              <w:sz w:val="32"/>
              <w:szCs w:val="32"/>
            </w:rPr>
            <w:tab/>
          </w:r>
          <w:r>
            <w:rPr>
              <w:sz w:val="32"/>
              <w:szCs w:val="32"/>
            </w:rPr>
            <w:fldChar w:fldCharType="begin"/>
          </w:r>
          <w:r>
            <w:rPr>
              <w:sz w:val="32"/>
              <w:szCs w:val="32"/>
            </w:rPr>
            <w:instrText xml:space="preserve"> PAGEREF _Toc5537 \h </w:instrText>
          </w:r>
          <w:r>
            <w:rPr>
              <w:sz w:val="32"/>
              <w:szCs w:val="32"/>
            </w:rPr>
            <w:fldChar w:fldCharType="separate"/>
          </w:r>
          <w:r>
            <w:rPr>
              <w:sz w:val="32"/>
              <w:szCs w:val="32"/>
            </w:rPr>
            <w:t>16</w:t>
          </w:r>
          <w:r>
            <w:rPr>
              <w:sz w:val="32"/>
              <w:szCs w:val="32"/>
            </w:rPr>
            <w:fldChar w:fldCharType="end"/>
          </w:r>
          <w:r>
            <w:rPr>
              <w:rFonts w:hint="eastAsia"/>
              <w:sz w:val="32"/>
              <w:szCs w:val="32"/>
              <w:lang w:eastAsia="zh-CN"/>
            </w:rPr>
            <w:fldChar w:fldCharType="end"/>
          </w:r>
        </w:p>
        <w:p w14:paraId="4CF26A69">
          <w:pPr>
            <w:pStyle w:val="45"/>
            <w:keepNext w:val="0"/>
            <w:keepLines w:val="0"/>
            <w:pageBreakBefore w:val="0"/>
            <w:widowControl w:val="0"/>
            <w:tabs>
              <w:tab w:val="right" w:leader="dot" w:pos="9412"/>
            </w:tabs>
            <w:kinsoku/>
            <w:wordWrap/>
            <w:overflowPunct/>
            <w:topLinePunct w:val="0"/>
            <w:autoSpaceDE/>
            <w:autoSpaceDN/>
            <w:bidi w:val="0"/>
            <w:adjustRightInd/>
            <w:snapToGrid/>
            <w:spacing w:line="360" w:lineRule="auto"/>
            <w:ind w:left="0" w:leftChars="0"/>
            <w:textAlignment w:val="auto"/>
            <w:rPr>
              <w:sz w:val="32"/>
              <w:szCs w:val="32"/>
            </w:rPr>
          </w:pPr>
          <w:r>
            <w:rPr>
              <w:rFonts w:hint="eastAsia"/>
              <w:sz w:val="32"/>
              <w:szCs w:val="32"/>
              <w:lang w:eastAsia="zh-CN"/>
            </w:rPr>
            <w:fldChar w:fldCharType="begin"/>
          </w:r>
          <w:r>
            <w:rPr>
              <w:rFonts w:hint="eastAsia"/>
              <w:sz w:val="32"/>
              <w:szCs w:val="32"/>
              <w:lang w:eastAsia="zh-CN"/>
            </w:rPr>
            <w:instrText xml:space="preserve"> HYPERLINK \l _Toc19089 </w:instrText>
          </w:r>
          <w:r>
            <w:rPr>
              <w:rFonts w:hint="eastAsia"/>
              <w:sz w:val="32"/>
              <w:szCs w:val="32"/>
              <w:lang w:eastAsia="zh-CN"/>
            </w:rPr>
            <w:fldChar w:fldCharType="separate"/>
          </w:r>
          <w:r>
            <w:rPr>
              <w:rFonts w:hint="eastAsia" w:asciiTheme="minorEastAsia" w:hAnsiTheme="minorEastAsia" w:eastAsiaTheme="minorEastAsia" w:cstheme="minorEastAsia"/>
              <w:sz w:val="32"/>
              <w:szCs w:val="32"/>
              <w:highlight w:val="none"/>
            </w:rPr>
            <w:t>第七篇  响应文件格式要求</w:t>
          </w:r>
          <w:r>
            <w:rPr>
              <w:sz w:val="32"/>
              <w:szCs w:val="32"/>
            </w:rPr>
            <w:tab/>
          </w:r>
          <w:r>
            <w:rPr>
              <w:sz w:val="32"/>
              <w:szCs w:val="32"/>
            </w:rPr>
            <w:fldChar w:fldCharType="begin"/>
          </w:r>
          <w:r>
            <w:rPr>
              <w:sz w:val="32"/>
              <w:szCs w:val="32"/>
            </w:rPr>
            <w:instrText xml:space="preserve"> PAGEREF _Toc19089 \h </w:instrText>
          </w:r>
          <w:r>
            <w:rPr>
              <w:sz w:val="32"/>
              <w:szCs w:val="32"/>
            </w:rPr>
            <w:fldChar w:fldCharType="separate"/>
          </w:r>
          <w:r>
            <w:rPr>
              <w:sz w:val="32"/>
              <w:szCs w:val="32"/>
            </w:rPr>
            <w:t>17</w:t>
          </w:r>
          <w:r>
            <w:rPr>
              <w:sz w:val="32"/>
              <w:szCs w:val="32"/>
            </w:rPr>
            <w:fldChar w:fldCharType="end"/>
          </w:r>
          <w:r>
            <w:rPr>
              <w:rFonts w:hint="eastAsia"/>
              <w:sz w:val="32"/>
              <w:szCs w:val="32"/>
              <w:lang w:eastAsia="zh-CN"/>
            </w:rPr>
            <w:fldChar w:fldCharType="end"/>
          </w:r>
        </w:p>
        <w:p w14:paraId="6CF4789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宋体" w:cs="Times New Roman"/>
              <w:kern w:val="2"/>
              <w:sz w:val="28"/>
              <w:lang w:val="en-US" w:eastAsia="zh-CN" w:bidi="ar-SA"/>
            </w:rPr>
          </w:pPr>
          <w:r>
            <w:rPr>
              <w:rFonts w:hint="eastAsia"/>
              <w:sz w:val="32"/>
              <w:szCs w:val="32"/>
              <w:lang w:eastAsia="zh-CN"/>
            </w:rPr>
            <w:fldChar w:fldCharType="end"/>
          </w:r>
        </w:p>
      </w:sdtContent>
    </w:sdt>
    <w:p w14:paraId="2E2E1C59">
      <w:pPr>
        <w:rPr>
          <w:rFonts w:hint="eastAsia" w:ascii="Times New Roman" w:hAnsi="Times New Roman" w:eastAsia="宋体" w:cs="Times New Roman"/>
          <w:kern w:val="2"/>
          <w:sz w:val="28"/>
          <w:lang w:val="en-US" w:eastAsia="zh-CN" w:bidi="ar-SA"/>
        </w:rPr>
        <w:sectPr>
          <w:headerReference r:id="rId3" w:type="default"/>
          <w:pgSz w:w="11907" w:h="16840"/>
          <w:pgMar w:top="1134" w:right="1134" w:bottom="1134" w:left="1134" w:header="850" w:footer="992" w:gutter="0"/>
          <w:pgNumType w:fmt="decimal" w:start="1"/>
          <w:cols w:space="0" w:num="1"/>
          <w:rtlGutter w:val="0"/>
          <w:docGrid w:linePitch="381" w:charSpace="0"/>
        </w:sectPr>
      </w:pPr>
    </w:p>
    <w:p w14:paraId="12729E88">
      <w:pPr>
        <w:pStyle w:val="4"/>
        <w:spacing w:before="0" w:after="0" w:line="360" w:lineRule="auto"/>
        <w:jc w:val="center"/>
        <w:rPr>
          <w:rFonts w:hint="eastAsia" w:asciiTheme="minorEastAsia" w:hAnsiTheme="minorEastAsia" w:eastAsiaTheme="minorEastAsia" w:cstheme="minorEastAsia"/>
          <w:b w:val="0"/>
          <w:sz w:val="36"/>
          <w:szCs w:val="30"/>
          <w:highlight w:val="none"/>
        </w:rPr>
      </w:pPr>
      <w:bookmarkStart w:id="1" w:name="_Toc25774"/>
      <w:bookmarkStart w:id="2" w:name="_Toc11641050"/>
      <w:bookmarkStart w:id="3" w:name="_Toc15726"/>
      <w:bookmarkStart w:id="4" w:name="_Toc12789052"/>
      <w:bookmarkStart w:id="5" w:name="_Toc24173"/>
      <w:bookmarkStart w:id="6" w:name="_Toc65660329"/>
      <w:bookmarkStart w:id="7" w:name="_Toc12553"/>
      <w:r>
        <w:rPr>
          <w:rFonts w:hint="eastAsia" w:asciiTheme="minorEastAsia" w:hAnsiTheme="minorEastAsia" w:eastAsiaTheme="minorEastAsia" w:cstheme="minorEastAsia"/>
          <w:b w:val="0"/>
          <w:sz w:val="36"/>
          <w:szCs w:val="30"/>
          <w:highlight w:val="none"/>
        </w:rPr>
        <w:t>第一篇  竞争性谈判邀请书</w:t>
      </w:r>
      <w:bookmarkEnd w:id="1"/>
      <w:bookmarkEnd w:id="2"/>
      <w:bookmarkEnd w:id="3"/>
      <w:bookmarkEnd w:id="4"/>
      <w:bookmarkEnd w:id="5"/>
      <w:bookmarkEnd w:id="6"/>
      <w:bookmarkEnd w:id="7"/>
    </w:p>
    <w:p w14:paraId="20FE4750">
      <w:pPr>
        <w:snapToGrid w:val="0"/>
        <w:spacing w:line="360" w:lineRule="auto"/>
        <w:ind w:firstLine="480" w:firstLineChars="200"/>
        <w:rPr>
          <w:rFonts w:hint="eastAsia" w:asciiTheme="minorEastAsia" w:hAnsiTheme="minorEastAsia" w:eastAsiaTheme="minorEastAsia" w:cstheme="minorEastAsia"/>
          <w:sz w:val="24"/>
          <w:szCs w:val="24"/>
          <w:highlight w:val="none"/>
        </w:rPr>
      </w:pPr>
      <w:bookmarkStart w:id="8" w:name="_Toc18246"/>
      <w:bookmarkStart w:id="9" w:name="_Toc65660330"/>
      <w:bookmarkStart w:id="10" w:name="_Toc7758"/>
      <w:bookmarkStart w:id="11" w:name="_Toc317775175"/>
      <w:bookmarkStart w:id="12" w:name="_Toc313893526"/>
      <w:r>
        <w:rPr>
          <w:rFonts w:hint="eastAsia" w:asciiTheme="minorEastAsia" w:hAnsiTheme="minorEastAsia" w:eastAsiaTheme="minorEastAsia" w:cstheme="minorEastAsia"/>
          <w:sz w:val="24"/>
          <w:szCs w:val="24"/>
          <w:highlight w:val="none"/>
          <w:lang w:eastAsia="zh-CN"/>
        </w:rPr>
        <w:t>重庆方采工程项目管理咨询有限公司</w:t>
      </w:r>
      <w:r>
        <w:rPr>
          <w:rFonts w:hint="eastAsia" w:asciiTheme="minorEastAsia" w:hAnsiTheme="minorEastAsia" w:eastAsiaTheme="minorEastAsia" w:cstheme="minorEastAsia"/>
          <w:sz w:val="24"/>
          <w:szCs w:val="24"/>
          <w:highlight w:val="none"/>
        </w:rPr>
        <w:t>（以下简称：采购代理机构）受</w:t>
      </w:r>
      <w:r>
        <w:rPr>
          <w:rFonts w:hint="eastAsia" w:asciiTheme="minorEastAsia" w:hAnsiTheme="minorEastAsia" w:eastAsiaTheme="minorEastAsia" w:cstheme="minorEastAsia"/>
          <w:sz w:val="24"/>
          <w:szCs w:val="24"/>
          <w:highlight w:val="none"/>
          <w:lang w:eastAsia="zh-CN"/>
        </w:rPr>
        <w:t>四川仪表工业学校</w:t>
      </w:r>
      <w:r>
        <w:rPr>
          <w:rFonts w:hint="eastAsia" w:asciiTheme="minorEastAsia" w:hAnsiTheme="minorEastAsia" w:eastAsiaTheme="minorEastAsia" w:cstheme="minorEastAsia"/>
          <w:sz w:val="24"/>
          <w:szCs w:val="24"/>
          <w:highlight w:val="none"/>
        </w:rPr>
        <w:t>的委托，对</w:t>
      </w:r>
      <w:r>
        <w:rPr>
          <w:rFonts w:hint="eastAsia" w:asciiTheme="minorEastAsia" w:hAnsiTheme="minorEastAsia" w:eastAsiaTheme="minorEastAsia" w:cstheme="minorEastAsia"/>
          <w:sz w:val="24"/>
          <w:szCs w:val="24"/>
          <w:highlight w:val="none"/>
          <w:u w:val="single"/>
          <w:lang w:eastAsia="zh-CN"/>
        </w:rPr>
        <w:t>四川仪表工业学校校园生活垃圾转运服务项目（第二次）</w:t>
      </w:r>
      <w:r>
        <w:rPr>
          <w:rFonts w:hint="eastAsia" w:asciiTheme="minorEastAsia" w:hAnsiTheme="minorEastAsia" w:eastAsiaTheme="minorEastAsia" w:cstheme="minorEastAsia"/>
          <w:sz w:val="24"/>
          <w:szCs w:val="24"/>
          <w:highlight w:val="none"/>
        </w:rPr>
        <w:t xml:space="preserve">进行竞争性谈判。欢迎有资格的供应商前来参加谈判。 </w:t>
      </w:r>
    </w:p>
    <w:p w14:paraId="07367D54">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bookmarkStart w:id="13" w:name="_Toc7692"/>
      <w:bookmarkStart w:id="14" w:name="_Toc22812"/>
      <w:bookmarkStart w:id="15" w:name="_Toc26442"/>
      <w:r>
        <w:rPr>
          <w:rFonts w:hint="eastAsia" w:asciiTheme="minorEastAsia" w:hAnsiTheme="minorEastAsia" w:eastAsiaTheme="minorEastAsia" w:cstheme="minorEastAsia"/>
          <w:sz w:val="24"/>
          <w:highlight w:val="none"/>
        </w:rPr>
        <w:t>一、竞争性谈判内容</w:t>
      </w:r>
      <w:bookmarkEnd w:id="8"/>
      <w:bookmarkEnd w:id="9"/>
      <w:bookmarkEnd w:id="10"/>
      <w:bookmarkEnd w:id="11"/>
      <w:bookmarkEnd w:id="12"/>
      <w:bookmarkEnd w:id="13"/>
      <w:bookmarkEnd w:id="14"/>
      <w:bookmarkEnd w:id="15"/>
    </w:p>
    <w:tbl>
      <w:tblPr>
        <w:tblStyle w:val="5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1799"/>
        <w:gridCol w:w="1851"/>
        <w:gridCol w:w="1737"/>
        <w:gridCol w:w="1933"/>
      </w:tblGrid>
      <w:tr w14:paraId="5B89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0" w:type="pct"/>
            <w:tcBorders>
              <w:top w:val="single" w:color="auto" w:sz="4" w:space="0"/>
              <w:left w:val="single" w:color="auto" w:sz="4" w:space="0"/>
              <w:bottom w:val="single" w:color="auto" w:sz="4" w:space="0"/>
              <w:right w:val="single" w:color="auto" w:sz="4" w:space="0"/>
            </w:tcBorders>
            <w:noWrap w:val="0"/>
            <w:vAlign w:val="center"/>
          </w:tcPr>
          <w:p w14:paraId="5C51F7F5">
            <w:pPr>
              <w:widowControl/>
              <w:spacing w:line="360" w:lineRule="auto"/>
              <w:jc w:val="center"/>
              <w:rPr>
                <w:rFonts w:hint="eastAsia" w:asciiTheme="minorEastAsia" w:hAnsiTheme="minorEastAsia" w:eastAsiaTheme="minorEastAsia" w:cstheme="minorEastAsia"/>
                <w:b/>
                <w:bCs/>
                <w:kern w:val="0"/>
                <w:sz w:val="21"/>
                <w:szCs w:val="24"/>
                <w:highlight w:val="none"/>
              </w:rPr>
            </w:pPr>
            <w:r>
              <w:rPr>
                <w:rFonts w:hint="eastAsia" w:asciiTheme="minorEastAsia" w:hAnsiTheme="minorEastAsia" w:eastAsiaTheme="minorEastAsia" w:cstheme="minorEastAsia"/>
                <w:b/>
                <w:bCs/>
                <w:kern w:val="0"/>
                <w:sz w:val="21"/>
                <w:szCs w:val="24"/>
                <w:highlight w:val="none"/>
              </w:rPr>
              <w:t>包号及名称</w:t>
            </w:r>
          </w:p>
        </w:tc>
        <w:tc>
          <w:tcPr>
            <w:tcW w:w="931" w:type="pct"/>
            <w:tcBorders>
              <w:top w:val="single" w:color="auto" w:sz="4" w:space="0"/>
              <w:left w:val="single" w:color="auto" w:sz="4" w:space="0"/>
              <w:bottom w:val="single" w:color="auto" w:sz="4" w:space="0"/>
              <w:right w:val="single" w:color="auto" w:sz="4" w:space="0"/>
            </w:tcBorders>
            <w:noWrap w:val="0"/>
            <w:vAlign w:val="center"/>
          </w:tcPr>
          <w:p w14:paraId="6BB44B30">
            <w:pPr>
              <w:widowControl/>
              <w:spacing w:line="360" w:lineRule="auto"/>
              <w:jc w:val="center"/>
              <w:rPr>
                <w:rFonts w:hint="eastAsia" w:asciiTheme="minorEastAsia" w:hAnsiTheme="minorEastAsia" w:eastAsiaTheme="minorEastAsia" w:cstheme="minorEastAsia"/>
                <w:b/>
                <w:bCs/>
                <w:kern w:val="0"/>
                <w:sz w:val="21"/>
                <w:szCs w:val="24"/>
                <w:highlight w:val="none"/>
              </w:rPr>
            </w:pPr>
            <w:r>
              <w:rPr>
                <w:rFonts w:hint="eastAsia" w:asciiTheme="minorEastAsia" w:hAnsiTheme="minorEastAsia" w:eastAsiaTheme="minorEastAsia" w:cstheme="minorEastAsia"/>
                <w:b/>
                <w:bCs/>
                <w:kern w:val="0"/>
                <w:sz w:val="21"/>
                <w:szCs w:val="24"/>
                <w:highlight w:val="none"/>
                <w:lang w:val="en-US" w:eastAsia="zh-CN"/>
              </w:rPr>
              <w:t>预算</w:t>
            </w:r>
            <w:r>
              <w:rPr>
                <w:rFonts w:hint="eastAsia" w:asciiTheme="minorEastAsia" w:hAnsiTheme="minorEastAsia" w:eastAsiaTheme="minorEastAsia" w:cstheme="minorEastAsia"/>
                <w:b/>
                <w:bCs/>
                <w:kern w:val="0"/>
                <w:sz w:val="21"/>
                <w:szCs w:val="24"/>
                <w:highlight w:val="none"/>
              </w:rPr>
              <w:t>（</w:t>
            </w:r>
            <w:r>
              <w:rPr>
                <w:rFonts w:hint="eastAsia" w:asciiTheme="minorEastAsia" w:hAnsiTheme="minorEastAsia" w:eastAsiaTheme="minorEastAsia" w:cstheme="minorEastAsia"/>
                <w:b/>
                <w:bCs/>
                <w:kern w:val="0"/>
                <w:sz w:val="21"/>
                <w:szCs w:val="24"/>
                <w:highlight w:val="none"/>
                <w:lang w:val="en-US" w:eastAsia="zh-CN"/>
              </w:rPr>
              <w:t>万元/年</w:t>
            </w:r>
            <w:r>
              <w:rPr>
                <w:rFonts w:hint="eastAsia" w:asciiTheme="minorEastAsia" w:hAnsiTheme="minorEastAsia" w:eastAsiaTheme="minorEastAsia" w:cstheme="minorEastAsia"/>
                <w:b/>
                <w:bCs/>
                <w:kern w:val="0"/>
                <w:sz w:val="21"/>
                <w:szCs w:val="24"/>
                <w:highlight w:val="none"/>
              </w:rPr>
              <w:t>）</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6B986135">
            <w:pPr>
              <w:widowControl/>
              <w:spacing w:line="360" w:lineRule="auto"/>
              <w:jc w:val="center"/>
              <w:rPr>
                <w:rFonts w:hint="eastAsia" w:asciiTheme="minorEastAsia" w:hAnsiTheme="minorEastAsia" w:eastAsiaTheme="minorEastAsia" w:cstheme="minorEastAsia"/>
                <w:b/>
                <w:bCs/>
                <w:kern w:val="0"/>
                <w:sz w:val="21"/>
                <w:szCs w:val="24"/>
                <w:highlight w:val="none"/>
                <w:lang w:val="en-US" w:eastAsia="zh-CN"/>
              </w:rPr>
            </w:pPr>
            <w:r>
              <w:rPr>
                <w:rFonts w:hint="eastAsia" w:asciiTheme="minorEastAsia" w:hAnsiTheme="minorEastAsia" w:eastAsiaTheme="minorEastAsia" w:cstheme="minorEastAsia"/>
                <w:b/>
                <w:bCs/>
                <w:kern w:val="0"/>
                <w:sz w:val="21"/>
                <w:szCs w:val="24"/>
                <w:highlight w:val="none"/>
                <w:lang w:val="en-US" w:eastAsia="zh-CN"/>
              </w:rPr>
              <w:t>最高限价</w:t>
            </w:r>
          </w:p>
          <w:p w14:paraId="2E2AA711">
            <w:pPr>
              <w:widowControl/>
              <w:spacing w:line="360" w:lineRule="auto"/>
              <w:jc w:val="center"/>
              <w:rPr>
                <w:rFonts w:hint="default" w:asciiTheme="minorEastAsia" w:hAnsiTheme="minorEastAsia" w:eastAsiaTheme="minorEastAsia" w:cstheme="minorEastAsia"/>
                <w:b/>
                <w:bCs/>
                <w:kern w:val="0"/>
                <w:sz w:val="21"/>
                <w:szCs w:val="24"/>
                <w:highlight w:val="none"/>
                <w:lang w:val="en-US" w:eastAsia="zh-CN"/>
              </w:rPr>
            </w:pPr>
            <w:r>
              <w:rPr>
                <w:rFonts w:hint="eastAsia" w:asciiTheme="minorEastAsia" w:hAnsiTheme="minorEastAsia" w:eastAsiaTheme="minorEastAsia" w:cstheme="minorEastAsia"/>
                <w:b/>
                <w:bCs/>
                <w:kern w:val="0"/>
                <w:sz w:val="21"/>
                <w:szCs w:val="24"/>
                <w:highlight w:val="none"/>
                <w:lang w:val="en-US" w:eastAsia="zh-CN"/>
              </w:rPr>
              <w:t>（元/车）</w:t>
            </w:r>
          </w:p>
        </w:tc>
        <w:tc>
          <w:tcPr>
            <w:tcW w:w="899" w:type="pct"/>
            <w:tcBorders>
              <w:top w:val="single" w:color="auto" w:sz="4" w:space="0"/>
              <w:left w:val="single" w:color="auto" w:sz="4" w:space="0"/>
              <w:bottom w:val="single" w:color="auto" w:sz="4" w:space="0"/>
              <w:right w:val="single" w:color="auto" w:sz="4" w:space="0"/>
            </w:tcBorders>
            <w:noWrap w:val="0"/>
            <w:vAlign w:val="center"/>
          </w:tcPr>
          <w:p w14:paraId="55FEB4B3">
            <w:pPr>
              <w:spacing w:line="360" w:lineRule="auto"/>
              <w:jc w:val="center"/>
              <w:rPr>
                <w:rFonts w:hint="eastAsia" w:asciiTheme="minorEastAsia" w:hAnsiTheme="minorEastAsia" w:eastAsiaTheme="minorEastAsia" w:cstheme="minorEastAsia"/>
                <w:b/>
                <w:bCs/>
                <w:kern w:val="0"/>
                <w:sz w:val="21"/>
                <w:szCs w:val="24"/>
                <w:highlight w:val="none"/>
              </w:rPr>
            </w:pPr>
            <w:r>
              <w:rPr>
                <w:rFonts w:hint="eastAsia" w:asciiTheme="minorEastAsia" w:hAnsiTheme="minorEastAsia" w:eastAsiaTheme="minorEastAsia" w:cstheme="minorEastAsia"/>
                <w:b/>
                <w:bCs/>
                <w:kern w:val="0"/>
                <w:sz w:val="21"/>
                <w:szCs w:val="24"/>
                <w:highlight w:val="none"/>
              </w:rPr>
              <w:t>成交供应商数量（名）</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103075ED">
            <w:pPr>
              <w:spacing w:line="360" w:lineRule="auto"/>
              <w:jc w:val="center"/>
              <w:rPr>
                <w:rFonts w:hint="eastAsia" w:asciiTheme="minorEastAsia" w:hAnsiTheme="minorEastAsia" w:eastAsiaTheme="minorEastAsia" w:cstheme="minorEastAsia"/>
                <w:b/>
                <w:bCs/>
                <w:kern w:val="0"/>
                <w:sz w:val="21"/>
                <w:szCs w:val="24"/>
                <w:highlight w:val="none"/>
              </w:rPr>
            </w:pPr>
            <w:r>
              <w:rPr>
                <w:rFonts w:hint="eastAsia" w:asciiTheme="minorEastAsia" w:hAnsiTheme="minorEastAsia" w:eastAsiaTheme="minorEastAsia" w:cstheme="minorEastAsia"/>
                <w:b/>
                <w:bCs/>
                <w:kern w:val="0"/>
                <w:sz w:val="21"/>
                <w:szCs w:val="24"/>
                <w:highlight w:val="none"/>
              </w:rPr>
              <w:t>备注</w:t>
            </w:r>
          </w:p>
        </w:tc>
      </w:tr>
      <w:tr w14:paraId="350E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10" w:type="pct"/>
            <w:tcBorders>
              <w:top w:val="single" w:color="auto" w:sz="4" w:space="0"/>
              <w:left w:val="single" w:color="auto" w:sz="4" w:space="0"/>
              <w:right w:val="single" w:color="auto" w:sz="4" w:space="0"/>
            </w:tcBorders>
            <w:noWrap w:val="0"/>
            <w:vAlign w:val="center"/>
          </w:tcPr>
          <w:p w14:paraId="0466038D">
            <w:pPr>
              <w:widowControl/>
              <w:spacing w:line="360" w:lineRule="auto"/>
              <w:jc w:val="center"/>
              <w:rPr>
                <w:rFonts w:hint="eastAsia" w:asciiTheme="minorEastAsia" w:hAnsiTheme="minorEastAsia" w:eastAsiaTheme="minorEastAsia" w:cstheme="minorEastAsia"/>
                <w:kern w:val="0"/>
                <w:sz w:val="21"/>
                <w:szCs w:val="24"/>
                <w:highlight w:val="none"/>
                <w:lang w:val="en-US" w:eastAsia="zh-CN"/>
              </w:rPr>
            </w:pPr>
            <w:bookmarkStart w:id="16" w:name="_Hlk344477914"/>
            <w:r>
              <w:rPr>
                <w:rFonts w:hint="eastAsia" w:asciiTheme="minorEastAsia" w:hAnsiTheme="minorEastAsia" w:eastAsiaTheme="minorEastAsia" w:cstheme="minorEastAsia"/>
                <w:kern w:val="0"/>
                <w:sz w:val="21"/>
                <w:szCs w:val="24"/>
                <w:highlight w:val="none"/>
                <w:lang w:val="en-US" w:eastAsia="zh-CN"/>
              </w:rPr>
              <w:t>四川仪表工业学校校园生活垃圾转运服务项目（第二次）</w:t>
            </w:r>
          </w:p>
        </w:tc>
        <w:tc>
          <w:tcPr>
            <w:tcW w:w="931" w:type="pct"/>
            <w:tcBorders>
              <w:top w:val="single" w:color="auto" w:sz="4" w:space="0"/>
              <w:left w:val="single" w:color="auto" w:sz="4" w:space="0"/>
              <w:right w:val="single" w:color="auto" w:sz="4" w:space="0"/>
            </w:tcBorders>
            <w:noWrap w:val="0"/>
            <w:vAlign w:val="center"/>
          </w:tcPr>
          <w:p w14:paraId="5F48A007">
            <w:pPr>
              <w:widowControl/>
              <w:spacing w:line="360" w:lineRule="auto"/>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958" w:type="pct"/>
            <w:tcBorders>
              <w:top w:val="single" w:color="auto" w:sz="4" w:space="0"/>
              <w:left w:val="single" w:color="auto" w:sz="4" w:space="0"/>
              <w:right w:val="single" w:color="auto" w:sz="4" w:space="0"/>
            </w:tcBorders>
            <w:noWrap w:val="0"/>
            <w:vAlign w:val="center"/>
          </w:tcPr>
          <w:p w14:paraId="28B9CCAB">
            <w:pPr>
              <w:widowControl/>
              <w:spacing w:line="360" w:lineRule="auto"/>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260</w:t>
            </w:r>
          </w:p>
        </w:tc>
        <w:tc>
          <w:tcPr>
            <w:tcW w:w="899" w:type="pct"/>
            <w:tcBorders>
              <w:top w:val="single" w:color="auto" w:sz="4" w:space="0"/>
              <w:left w:val="single" w:color="auto" w:sz="4" w:space="0"/>
              <w:right w:val="single" w:color="auto" w:sz="4" w:space="0"/>
            </w:tcBorders>
            <w:noWrap w:val="0"/>
            <w:vAlign w:val="center"/>
          </w:tcPr>
          <w:p w14:paraId="7A920B45">
            <w:pPr>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18F23B9D">
            <w:pPr>
              <w:spacing w:line="360" w:lineRule="auto"/>
              <w:jc w:val="center"/>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val="0"/>
                <w:bCs/>
                <w:sz w:val="21"/>
                <w:szCs w:val="21"/>
                <w:highlight w:val="none"/>
              </w:rPr>
              <w:t>单个</w:t>
            </w:r>
            <w:r>
              <w:rPr>
                <w:rFonts w:hint="eastAsia" w:asciiTheme="minorEastAsia" w:hAnsiTheme="minorEastAsia" w:eastAsiaTheme="minorEastAsia" w:cstheme="minorEastAsia"/>
                <w:b w:val="0"/>
                <w:bCs/>
                <w:sz w:val="21"/>
                <w:szCs w:val="21"/>
                <w:highlight w:val="none"/>
                <w:lang w:val="en-US" w:eastAsia="zh-CN"/>
              </w:rPr>
              <w:t>垃圾车的</w:t>
            </w:r>
            <w:r>
              <w:rPr>
                <w:rFonts w:hint="eastAsia" w:asciiTheme="minorEastAsia" w:hAnsiTheme="minorEastAsia" w:eastAsiaTheme="minorEastAsia" w:cstheme="minorEastAsia"/>
                <w:b w:val="0"/>
                <w:bCs/>
                <w:sz w:val="21"/>
                <w:szCs w:val="21"/>
                <w:highlight w:val="none"/>
              </w:rPr>
              <w:t>箱体垃圾装运量不低于  6立方。</w:t>
            </w:r>
          </w:p>
        </w:tc>
      </w:tr>
      <w:bookmarkEnd w:id="16"/>
    </w:tbl>
    <w:p w14:paraId="21CA1255">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bookmarkStart w:id="17" w:name="_Toc4831"/>
      <w:bookmarkStart w:id="18" w:name="_Toc25421"/>
      <w:bookmarkStart w:id="19" w:name="_Toc65660331"/>
      <w:bookmarkStart w:id="20" w:name="_Toc3256"/>
      <w:bookmarkStart w:id="21" w:name="_Toc10366"/>
      <w:bookmarkStart w:id="22" w:name="_Toc27028"/>
      <w:bookmarkStart w:id="23" w:name="_Toc373860293"/>
      <w:bookmarkStart w:id="24" w:name="_Toc317775178"/>
      <w:r>
        <w:rPr>
          <w:rFonts w:hint="eastAsia" w:asciiTheme="minorEastAsia" w:hAnsiTheme="minorEastAsia" w:eastAsiaTheme="minorEastAsia" w:cstheme="minorEastAsia"/>
          <w:sz w:val="24"/>
          <w:highlight w:val="none"/>
        </w:rPr>
        <w:t>二、资金来源</w:t>
      </w:r>
      <w:bookmarkEnd w:id="17"/>
      <w:bookmarkEnd w:id="18"/>
      <w:bookmarkEnd w:id="19"/>
      <w:bookmarkEnd w:id="20"/>
      <w:bookmarkEnd w:id="21"/>
      <w:bookmarkEnd w:id="22"/>
    </w:p>
    <w:p w14:paraId="34433827">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自筹</w:t>
      </w:r>
      <w:r>
        <w:rPr>
          <w:rFonts w:hint="eastAsia" w:asciiTheme="minorEastAsia" w:hAnsiTheme="minorEastAsia" w:eastAsiaTheme="minorEastAsia" w:cstheme="minorEastAsia"/>
          <w:sz w:val="24"/>
          <w:szCs w:val="24"/>
          <w:highlight w:val="none"/>
        </w:rPr>
        <w:t>资金。</w:t>
      </w:r>
      <w:bookmarkStart w:id="25" w:name="_Toc64731996"/>
      <w:bookmarkStart w:id="26" w:name="_Toc65660332"/>
      <w:bookmarkStart w:id="27" w:name="_Toc13541"/>
      <w:bookmarkStart w:id="28" w:name="_Toc12203"/>
      <w:bookmarkStart w:id="29" w:name="_Toc18548"/>
    </w:p>
    <w:p w14:paraId="4C952FD7">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lang w:val="en-US" w:eastAsia="zh-CN"/>
        </w:rPr>
      </w:pPr>
      <w:bookmarkStart w:id="30" w:name="_Toc4448"/>
      <w:bookmarkStart w:id="31" w:name="_Toc31057"/>
      <w:r>
        <w:rPr>
          <w:rFonts w:hint="eastAsia" w:asciiTheme="minorEastAsia" w:hAnsiTheme="minorEastAsia" w:eastAsiaTheme="minorEastAsia" w:cstheme="minorEastAsia"/>
          <w:sz w:val="24"/>
          <w:highlight w:val="none"/>
          <w:lang w:val="en-US" w:eastAsia="zh-CN"/>
        </w:rPr>
        <w:t>三、供应商资格条件</w:t>
      </w:r>
      <w:bookmarkEnd w:id="25"/>
      <w:bookmarkEnd w:id="26"/>
      <w:bookmarkEnd w:id="27"/>
      <w:bookmarkEnd w:id="28"/>
      <w:bookmarkEnd w:id="29"/>
      <w:bookmarkEnd w:id="30"/>
      <w:bookmarkEnd w:id="31"/>
    </w:p>
    <w:p w14:paraId="607AA81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（一）满足《中华人民共和国政府采购法》第二十二条规定</w:t>
      </w:r>
    </w:p>
    <w:p w14:paraId="29A41EA1">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（二）落实政府采购政策需满足的资格要求</w:t>
      </w:r>
      <w:r>
        <w:rPr>
          <w:rFonts w:hint="eastAsia" w:asciiTheme="minorEastAsia" w:hAnsiTheme="minorEastAsia" w:eastAsiaTheme="minorEastAsia" w:cstheme="minorEastAsia"/>
          <w:sz w:val="24"/>
          <w:szCs w:val="24"/>
          <w:highlight w:val="none"/>
          <w:lang w:val="en-US" w:eastAsia="zh-CN"/>
        </w:rPr>
        <w:t>:无</w:t>
      </w:r>
    </w:p>
    <w:p w14:paraId="5C1DD91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（三）本项目的特定资格要求：</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须具备行业行政主管部门颁发的《城市生活垃圾经营性清扫、收集服务许可证》</w:t>
      </w:r>
      <w:r>
        <w:rPr>
          <w:rFonts w:hint="eastAsia" w:asciiTheme="minorEastAsia" w:hAnsiTheme="minorEastAsia" w:eastAsiaTheme="minorEastAsia" w:cstheme="minorEastAsia"/>
          <w:sz w:val="24"/>
          <w:szCs w:val="24"/>
          <w:highlight w:val="none"/>
          <w:lang w:val="en-US" w:eastAsia="zh-CN"/>
        </w:rPr>
        <w:t>或</w:t>
      </w:r>
      <w:r>
        <w:rPr>
          <w:rFonts w:hint="eastAsia" w:asciiTheme="minorEastAsia" w:hAnsiTheme="minorEastAsia" w:eastAsiaTheme="minorEastAsia" w:cstheme="minorEastAsia"/>
          <w:sz w:val="24"/>
          <w:szCs w:val="24"/>
          <w:highlight w:val="none"/>
        </w:rPr>
        <w:t>《城市生活垃圾经营性运输服务许可证》</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或两证合一的《城市生活垃圾经营性清扫、收集、运输、处置服务许可证》。</w:t>
      </w:r>
    </w:p>
    <w:p w14:paraId="73FDCB3D">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注：若重庆市外行政主管部门颁发的同类证书如证书名称不一致的，以当地核发为准。提供的以上许可证非重庆市城市管理行政主管部门颁发的，必须</w:t>
      </w:r>
      <w:r>
        <w:rPr>
          <w:rFonts w:hint="eastAsia" w:asciiTheme="minorEastAsia" w:hAnsiTheme="minorEastAsia" w:eastAsiaTheme="minorEastAsia" w:cstheme="minorEastAsia"/>
          <w:sz w:val="24"/>
          <w:szCs w:val="24"/>
          <w:highlight w:val="none"/>
          <w:lang w:val="en-US" w:eastAsia="zh-CN"/>
        </w:rPr>
        <w:t>自行</w:t>
      </w:r>
      <w:r>
        <w:rPr>
          <w:rFonts w:hint="eastAsia" w:asciiTheme="minorEastAsia" w:hAnsiTheme="minorEastAsia" w:eastAsiaTheme="minorEastAsia" w:cstheme="minorEastAsia"/>
          <w:sz w:val="24"/>
          <w:szCs w:val="24"/>
          <w:highlight w:val="none"/>
        </w:rPr>
        <w:t>承诺</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rPr>
        <w:t>后</w:t>
      </w:r>
      <w:r>
        <w:rPr>
          <w:rFonts w:hint="eastAsia" w:asciiTheme="minorEastAsia" w:hAnsiTheme="minorEastAsia" w:eastAsiaTheme="minorEastAsia" w:cstheme="minorEastAsia"/>
          <w:sz w:val="24"/>
          <w:szCs w:val="24"/>
          <w:highlight w:val="none"/>
          <w:lang w:val="en-US" w:eastAsia="zh-CN"/>
        </w:rPr>
        <w:t>重新申请办理</w:t>
      </w:r>
      <w:r>
        <w:rPr>
          <w:rFonts w:hint="eastAsia" w:asciiTheme="minorEastAsia" w:hAnsiTheme="minorEastAsia" w:eastAsiaTheme="minorEastAsia" w:cstheme="minorEastAsia"/>
          <w:sz w:val="24"/>
          <w:szCs w:val="24"/>
          <w:highlight w:val="none"/>
        </w:rPr>
        <w:t>经重庆市城市行政主管部门认可的《城市生活垃圾经营性清扫、收集、运输、处置服务许可证》(提供承诺书，格式自拟并加盖</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lang w:eastAsia="zh-CN"/>
        </w:rPr>
        <w:t>。</w:t>
      </w:r>
    </w:p>
    <w:p w14:paraId="6D1368C9">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szCs w:val="24"/>
          <w:highlight w:val="none"/>
        </w:rPr>
      </w:pPr>
      <w:bookmarkStart w:id="32" w:name="_Toc16407"/>
      <w:bookmarkStart w:id="33" w:name="_Toc65660333"/>
      <w:bookmarkStart w:id="34" w:name="_Toc19991"/>
      <w:bookmarkStart w:id="35" w:name="_Toc26006"/>
      <w:bookmarkStart w:id="36" w:name="_Toc1386"/>
      <w:bookmarkStart w:id="37" w:name="_Toc11908"/>
      <w:r>
        <w:rPr>
          <w:rFonts w:hint="eastAsia" w:asciiTheme="minorEastAsia" w:hAnsiTheme="minorEastAsia" w:eastAsiaTheme="minorEastAsia" w:cstheme="minorEastAsia"/>
          <w:sz w:val="24"/>
          <w:szCs w:val="24"/>
          <w:highlight w:val="none"/>
        </w:rPr>
        <w:t>四、谈判有关说明</w:t>
      </w:r>
      <w:bookmarkEnd w:id="23"/>
      <w:bookmarkEnd w:id="32"/>
      <w:bookmarkEnd w:id="33"/>
      <w:bookmarkEnd w:id="34"/>
      <w:bookmarkEnd w:id="35"/>
      <w:bookmarkEnd w:id="36"/>
      <w:bookmarkEnd w:id="37"/>
    </w:p>
    <w:bookmarkEnd w:id="24"/>
    <w:p w14:paraId="63AB03C6">
      <w:pPr>
        <w:spacing w:line="360" w:lineRule="auto"/>
        <w:ind w:firstLine="480" w:firstLineChars="200"/>
        <w:rPr>
          <w:rFonts w:hint="eastAsia" w:asciiTheme="minorEastAsia" w:hAnsiTheme="minorEastAsia" w:eastAsiaTheme="minorEastAsia" w:cstheme="minorEastAsia"/>
          <w:sz w:val="24"/>
          <w:szCs w:val="24"/>
          <w:highlight w:val="none"/>
        </w:rPr>
      </w:pPr>
      <w:bookmarkStart w:id="38" w:name="_Toc11956"/>
      <w:bookmarkStart w:id="39" w:name="_Toc65660334"/>
      <w:bookmarkStart w:id="40" w:name="_Toc525047161"/>
      <w:bookmarkStart w:id="41" w:name="_Toc6178"/>
      <w:bookmarkStart w:id="42" w:name="_Toc373860294"/>
      <w:bookmarkStart w:id="43" w:name="_Toc521053053"/>
      <w:r>
        <w:rPr>
          <w:rFonts w:hint="eastAsia" w:asciiTheme="minorEastAsia" w:hAnsiTheme="minorEastAsia" w:eastAsiaTheme="minorEastAsia" w:cstheme="minorEastAsia"/>
          <w:sz w:val="24"/>
          <w:szCs w:val="24"/>
          <w:highlight w:val="none"/>
        </w:rPr>
        <w:t>（一）供应商应通过行采家https://www.gec123.com/登记加入“</w:t>
      </w:r>
      <w:r>
        <w:rPr>
          <w:rFonts w:hint="eastAsia" w:asciiTheme="minorEastAsia" w:hAnsiTheme="minorEastAsia" w:eastAsiaTheme="minorEastAsia" w:cstheme="minorEastAsia"/>
          <w:sz w:val="24"/>
          <w:szCs w:val="24"/>
          <w:highlight w:val="none"/>
          <w:lang w:eastAsia="zh-CN"/>
        </w:rPr>
        <w:t>行采家</w:t>
      </w:r>
      <w:r>
        <w:rPr>
          <w:rFonts w:hint="eastAsia" w:asciiTheme="minorEastAsia" w:hAnsiTheme="minorEastAsia" w:eastAsiaTheme="minorEastAsia" w:cstheme="minorEastAsia"/>
          <w:sz w:val="24"/>
          <w:szCs w:val="24"/>
          <w:highlight w:val="none"/>
        </w:rPr>
        <w:t>供应商库”。</w:t>
      </w:r>
    </w:p>
    <w:p w14:paraId="134993C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凡有意参加谈判的供应商，请在行采家https://www.gec123.com/网上下载本项目竞争性谈判文件以及图纸、澄清等谈判前公布的所有项目资料，无论供应商下载或领取与否，均视为已知晓所有谈判实质性要求内容。</w:t>
      </w:r>
    </w:p>
    <w:p w14:paraId="3FFB7180">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（三）竞争性谈判公告期限：自采购公告发布之日起三个工作日。</w:t>
      </w:r>
    </w:p>
    <w:p w14:paraId="5ACEA071">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（四）获取竞争性谈判文件期限：</w:t>
      </w:r>
    </w:p>
    <w:p w14:paraId="420AF3F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1.竞争性谈判文件提供期限：自采购公告发布之日起</w:t>
      </w:r>
      <w:r>
        <w:rPr>
          <w:rFonts w:hint="eastAsia" w:asciiTheme="minorEastAsia" w:hAnsiTheme="minorEastAsia" w:eastAsiaTheme="minorEastAsia" w:cstheme="minorEastAsia"/>
          <w:sz w:val="24"/>
          <w:szCs w:val="24"/>
          <w:highlight w:val="none"/>
          <w:lang w:val="en-US" w:eastAsia="zh-CN"/>
        </w:rPr>
        <w:t>2025年8月20日（北京时间15:00前）</w:t>
      </w:r>
      <w:r>
        <w:rPr>
          <w:rFonts w:hint="eastAsia" w:asciiTheme="minorEastAsia" w:hAnsiTheme="minorEastAsia" w:eastAsiaTheme="minorEastAsia" w:cstheme="minorEastAsia"/>
          <w:sz w:val="24"/>
          <w:szCs w:val="24"/>
          <w:highlight w:val="none"/>
        </w:rPr>
        <w:t>。</w:t>
      </w:r>
    </w:p>
    <w:p w14:paraId="3370487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2.报名方式：潜在供应商将《采购文件发售登记表》（加盖供应商公章）及文件费转账凭证扫描后发送至3359677509@qq.com（邮箱）。</w:t>
      </w:r>
    </w:p>
    <w:p w14:paraId="091D11F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2.1收款账户：</w:t>
      </w:r>
    </w:p>
    <w:p w14:paraId="7437FC9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账户名称：重庆方采工程项目管理咨询有限公司</w:t>
      </w:r>
    </w:p>
    <w:p w14:paraId="3125E5F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开户银行：重庆渝北银座村镇银行有限责任公司人和支行</w:t>
      </w:r>
    </w:p>
    <w:p w14:paraId="5E86D870">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 号：651095368900015</w:t>
      </w:r>
    </w:p>
    <w:p w14:paraId="1B8AEC9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行 号：320653000442</w:t>
      </w:r>
    </w:p>
    <w:p w14:paraId="2F3CBDA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r>
        <w:rPr>
          <w:rFonts w:hint="eastAsia" w:asciiTheme="minorEastAsia" w:hAnsiTheme="minorEastAsia" w:eastAsiaTheme="minorEastAsia" w:cstheme="minorEastAsia"/>
          <w:sz w:val="24"/>
          <w:szCs w:val="24"/>
          <w:highlight w:val="none"/>
          <w:lang w:eastAsia="zh-CN"/>
        </w:rPr>
        <w:t>四川仪表工业学校校园生活垃圾转运服务项目（第二次）报名费</w:t>
      </w:r>
      <w:r>
        <w:rPr>
          <w:rFonts w:hint="eastAsia" w:asciiTheme="minorEastAsia" w:hAnsiTheme="minorEastAsia" w:eastAsiaTheme="minorEastAsia" w:cstheme="minorEastAsia"/>
          <w:sz w:val="24"/>
          <w:szCs w:val="24"/>
          <w:highlight w:val="none"/>
        </w:rPr>
        <w:t>（可简写</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备注</w:t>
      </w:r>
      <w:r>
        <w:rPr>
          <w:rFonts w:hint="eastAsia" w:asciiTheme="minorEastAsia" w:hAnsiTheme="minorEastAsia" w:eastAsiaTheme="minorEastAsia" w:cstheme="minorEastAsia"/>
          <w:sz w:val="24"/>
          <w:szCs w:val="24"/>
          <w:highlight w:val="none"/>
          <w:lang w:eastAsia="zh-CN"/>
        </w:rPr>
        <w:t>名称仅用于方便项目识别，</w:t>
      </w:r>
      <w:r>
        <w:rPr>
          <w:rFonts w:hint="eastAsia" w:asciiTheme="minorEastAsia" w:hAnsiTheme="minorEastAsia" w:eastAsiaTheme="minorEastAsia" w:cstheme="minorEastAsia"/>
          <w:sz w:val="24"/>
          <w:szCs w:val="24"/>
          <w:highlight w:val="none"/>
          <w:lang w:val="en-US" w:eastAsia="zh-CN"/>
        </w:rPr>
        <w:t>不作为否决条款</w:t>
      </w:r>
      <w:r>
        <w:rPr>
          <w:rFonts w:hint="eastAsia" w:asciiTheme="minorEastAsia" w:hAnsiTheme="minorEastAsia" w:eastAsiaTheme="minorEastAsia" w:cstheme="minorEastAsia"/>
          <w:sz w:val="24"/>
          <w:szCs w:val="24"/>
          <w:highlight w:val="none"/>
          <w:lang w:eastAsia="zh-CN"/>
        </w:rPr>
        <w:t>。）</w:t>
      </w:r>
    </w:p>
    <w:p w14:paraId="04673E2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3.竞争性谈判文件售价：人民币</w:t>
      </w:r>
      <w:r>
        <w:rPr>
          <w:rFonts w:hint="eastAsia" w:asciiTheme="minorEastAsia" w:hAnsiTheme="minorEastAsia" w:eastAsiaTheme="minorEastAsia" w:cstheme="minorEastAsia"/>
          <w:sz w:val="24"/>
          <w:szCs w:val="24"/>
          <w:highlight w:val="none"/>
          <w:lang w:val="en-US" w:eastAsia="zh-CN"/>
        </w:rPr>
        <w:t>500</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lang w:val="en-US" w:eastAsia="zh-CN"/>
        </w:rPr>
        <w:t>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售后不退</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p>
    <w:p w14:paraId="4CC8767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（五）谈判地点：重庆市渝北区余松路501号西希商管3楼会议室</w:t>
      </w:r>
    </w:p>
    <w:p w14:paraId="7BD6FA39">
      <w:pPr>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（六）提交响应文件截止时间：202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rPr>
        <w:t>日北京时间</w:t>
      </w:r>
      <w:r>
        <w:rPr>
          <w:rFonts w:hint="eastAsia" w:asciiTheme="minorEastAsia" w:hAnsiTheme="minorEastAsia" w:eastAsiaTheme="minorEastAsia" w:cstheme="minorEastAsia"/>
          <w:sz w:val="24"/>
          <w:szCs w:val="24"/>
          <w:highlight w:val="none"/>
          <w:u w:val="single"/>
          <w:lang w:val="en-US" w:eastAsia="zh-CN"/>
        </w:rPr>
        <w:t>15:30</w:t>
      </w:r>
    </w:p>
    <w:p w14:paraId="2ED2C2E5">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（七）谈判开始时间：</w:t>
      </w:r>
      <w:r>
        <w:rPr>
          <w:rFonts w:hint="eastAsia" w:asciiTheme="minorEastAsia" w:hAnsiTheme="minorEastAsia" w:eastAsiaTheme="minorEastAsia" w:cstheme="minorEastAsia"/>
          <w:sz w:val="24"/>
          <w:szCs w:val="24"/>
          <w:highlight w:val="none"/>
          <w:lang w:val="en-US" w:eastAsia="zh-CN"/>
        </w:rPr>
        <w:t>同提交响应文件截止时间。</w:t>
      </w:r>
    </w:p>
    <w:p w14:paraId="4A00CF80">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val="en-US" w:eastAsia="zh-CN"/>
        </w:rPr>
        <w:t>本项目组织踏勘现场，踏勘时间：2025年 8月20日16：00，踏勘联系人：向老师  联系方式：17382292397。踏勘地点：四川仪表工业学校</w:t>
      </w:r>
      <w:r>
        <w:rPr>
          <w:rFonts w:hint="eastAsia" w:asciiTheme="minorEastAsia" w:hAnsiTheme="minorEastAsia" w:eastAsiaTheme="minorEastAsia" w:cstheme="minorEastAsia"/>
          <w:sz w:val="24"/>
          <w:szCs w:val="24"/>
          <w:highlight w:val="none"/>
          <w:lang w:val="en-US" w:eastAsia="zh-CN"/>
        </w:rPr>
        <w:t>（分本部校区和蔡家校区）</w:t>
      </w:r>
      <w:r>
        <w:rPr>
          <w:rFonts w:hint="eastAsia" w:asciiTheme="minorEastAsia" w:hAnsiTheme="minorEastAsia" w:eastAsiaTheme="minorEastAsia" w:cstheme="minorEastAsia"/>
          <w:color w:val="auto"/>
          <w:sz w:val="24"/>
          <w:szCs w:val="24"/>
          <w:highlight w:val="none"/>
          <w:lang w:val="en-US" w:eastAsia="zh-CN"/>
        </w:rPr>
        <w:t>。</w:t>
      </w:r>
    </w:p>
    <w:p w14:paraId="76F4E1F9">
      <w:pPr>
        <w:snapToGrid w:val="0"/>
        <w:spacing w:line="360" w:lineRule="auto"/>
        <w:ind w:firstLine="360" w:firstLineChars="15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请于踏勘时间前自行踏勘现场，踏勘费用自理。请自觉遵守采购人项目地的秩序、安全、保密管理等相关规定。供应商自行负责在踏勘现场中所发生的人员伤亡和财产损失。采购人在踏勘现场中介绍的相关情况，仅供供应商参考，采购人不对供应商据此做出的判断和决策负责。是否踏勘现场不作为否决项。</w:t>
      </w:r>
    </w:p>
    <w:p w14:paraId="580B9608">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szCs w:val="24"/>
          <w:highlight w:val="none"/>
        </w:rPr>
      </w:pPr>
      <w:bookmarkStart w:id="44" w:name="_Toc22740"/>
      <w:bookmarkStart w:id="45" w:name="_Toc403569773"/>
      <w:bookmarkStart w:id="46" w:name="_Toc1491"/>
      <w:r>
        <w:rPr>
          <w:rFonts w:hint="eastAsia" w:asciiTheme="minorEastAsia" w:hAnsiTheme="minorEastAsia" w:eastAsiaTheme="minorEastAsia" w:cstheme="minorEastAsia"/>
          <w:sz w:val="24"/>
          <w:szCs w:val="24"/>
          <w:highlight w:val="none"/>
        </w:rPr>
        <w:t>五、</w:t>
      </w:r>
      <w:bookmarkEnd w:id="38"/>
      <w:bookmarkEnd w:id="39"/>
      <w:bookmarkEnd w:id="40"/>
      <w:bookmarkEnd w:id="41"/>
      <w:bookmarkEnd w:id="42"/>
      <w:bookmarkEnd w:id="43"/>
      <w:bookmarkEnd w:id="44"/>
      <w:bookmarkEnd w:id="45"/>
      <w:bookmarkEnd w:id="46"/>
      <w:bookmarkStart w:id="47" w:name="_Toc521053055"/>
      <w:bookmarkStart w:id="48" w:name="_Toc6563"/>
      <w:bookmarkStart w:id="49" w:name="_Toc525047163"/>
      <w:bookmarkStart w:id="50" w:name="_Toc26095"/>
      <w:bookmarkStart w:id="51" w:name="_Toc65660336"/>
      <w:bookmarkStart w:id="52" w:name="_Toc17911"/>
      <w:bookmarkStart w:id="53" w:name="_Toc11876"/>
      <w:bookmarkStart w:id="54" w:name="_Toc16269"/>
      <w:r>
        <w:rPr>
          <w:rFonts w:hint="eastAsia" w:asciiTheme="minorEastAsia" w:hAnsiTheme="minorEastAsia" w:eastAsiaTheme="minorEastAsia" w:cstheme="minorEastAsia"/>
          <w:sz w:val="24"/>
          <w:szCs w:val="24"/>
          <w:highlight w:val="none"/>
        </w:rPr>
        <w:t>其它有关规定</w:t>
      </w:r>
      <w:bookmarkEnd w:id="47"/>
      <w:bookmarkEnd w:id="48"/>
      <w:bookmarkEnd w:id="49"/>
      <w:bookmarkEnd w:id="50"/>
      <w:bookmarkEnd w:id="51"/>
      <w:bookmarkEnd w:id="52"/>
      <w:bookmarkEnd w:id="53"/>
      <w:bookmarkEnd w:id="54"/>
    </w:p>
    <w:p w14:paraId="684CDF86">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（一）单位负责人为同一人或者存在直接控股、管理关系的不同供应商，不得参加同一合同项（包）下的政府采购活动，否则均为无效谈判。</w:t>
      </w:r>
    </w:p>
    <w:p w14:paraId="7D77894F">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（二）为采购项目提供整体设计、规范编制或者项目管理、监理、检测等服务的供应商，不得再参加该采购项目的其他采购活动。</w:t>
      </w:r>
    </w:p>
    <w:p w14:paraId="4E6E339A">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（三）同一合同项（包）下的货物，制造商参与谈判的，不得再委托代理商参与谈判。</w:t>
      </w:r>
    </w:p>
    <w:p w14:paraId="3823277F">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（四）本项目的澄清文件（如果有）一律在“行采家”平台（https://www.gec123.com）上发布，请各供应商注意下载；无论供应商下载或领取与否，均视同供应商已知晓本项目澄清文件（如果有）的内容。</w:t>
      </w:r>
    </w:p>
    <w:p w14:paraId="070788D6">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（五）超过响应文件截止时间递交的响应文件，恕不接收。</w:t>
      </w:r>
    </w:p>
    <w:p w14:paraId="67660D9B">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（六）谈判费用：无论谈判结果如何，供应商参与本项目谈判的所有费用均应由供应商自行承担。</w:t>
      </w:r>
    </w:p>
    <w:p w14:paraId="3A3A448C">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（七）本项目不接受联合体参与谈判。</w:t>
      </w:r>
    </w:p>
    <w:p w14:paraId="5431C663">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（八）本项目不接受合同分包。</w:t>
      </w:r>
    </w:p>
    <w:p w14:paraId="4260A8AD">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按照《财政部关于在政府采购活动中查询及使用信用记录有关问题的通知》财库〔2016〕125号，供应商列入失信被执行人、税收违法黑名单、政府采购严重违法失信行为记录名单及其他不符合《中华人民共和国政府采购法》第二十二条规定条件的供应商，将拒绝其参与政府采购活动。</w:t>
      </w:r>
    </w:p>
    <w:p w14:paraId="078C147E">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szCs w:val="24"/>
          <w:highlight w:val="none"/>
        </w:rPr>
      </w:pPr>
      <w:bookmarkStart w:id="55" w:name="_Toc28243"/>
      <w:bookmarkStart w:id="56" w:name="_Toc18767"/>
      <w:bookmarkStart w:id="57" w:name="_Toc13305"/>
      <w:bookmarkStart w:id="58" w:name="_Toc21143"/>
      <w:bookmarkStart w:id="59" w:name="_Toc8701"/>
      <w:bookmarkStart w:id="60" w:name="_Toc15676"/>
      <w:bookmarkStart w:id="61" w:name="_Toc5080"/>
      <w:bookmarkStart w:id="62" w:name="_Toc18492"/>
      <w:bookmarkStart w:id="63" w:name="_Toc50063553"/>
      <w:bookmarkStart w:id="64" w:name="_Toc19246"/>
      <w:bookmarkStart w:id="65" w:name="_Toc30986"/>
      <w:bookmarkStart w:id="66" w:name="_Toc29608"/>
      <w:bookmarkStart w:id="67" w:name="_Toc31955"/>
      <w:bookmarkStart w:id="68" w:name="_Toc26686"/>
      <w:bookmarkStart w:id="69" w:name="_Toc25836"/>
      <w:bookmarkStart w:id="70" w:name="_Toc5924"/>
      <w:bookmarkStart w:id="71" w:name="_Toc17702"/>
      <w:bookmarkStart w:id="72" w:name="_Toc14516"/>
      <w:bookmarkStart w:id="73" w:name="_Toc65660338"/>
      <w:bookmarkStart w:id="74" w:name="_Toc1292"/>
      <w:bookmarkStart w:id="75" w:name="_Toc102227313"/>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、联系方式</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8D78CA8">
      <w:pPr>
        <w:snapToGrid w:val="0"/>
        <w:spacing w:line="360" w:lineRule="auto"/>
        <w:ind w:firstLine="360" w:firstLineChars="150"/>
        <w:rPr>
          <w:rFonts w:hint="eastAsia" w:asciiTheme="minorEastAsia" w:hAnsiTheme="minorEastAsia" w:eastAsiaTheme="minorEastAsia" w:cstheme="minorEastAsia"/>
          <w:sz w:val="24"/>
          <w:szCs w:val="24"/>
          <w:highlight w:val="none"/>
          <w:lang w:val="zh-TW" w:eastAsia="zh-CN"/>
        </w:rPr>
      </w:pPr>
      <w:bookmarkStart w:id="76" w:name="_Toc16666"/>
      <w:r>
        <w:rPr>
          <w:rFonts w:hint="eastAsia" w:asciiTheme="minorEastAsia" w:hAnsiTheme="minorEastAsia" w:eastAsiaTheme="minorEastAsia" w:cstheme="minorEastAsia"/>
          <w:sz w:val="24"/>
          <w:szCs w:val="24"/>
          <w:highlight w:val="none"/>
          <w:lang w:val="zh-TW"/>
        </w:rPr>
        <w:t>（一）采购人：</w:t>
      </w:r>
      <w:bookmarkEnd w:id="76"/>
      <w:r>
        <w:rPr>
          <w:rFonts w:hint="eastAsia" w:asciiTheme="minorEastAsia" w:hAnsiTheme="minorEastAsia" w:eastAsiaTheme="minorEastAsia" w:cstheme="minorEastAsia"/>
          <w:sz w:val="24"/>
          <w:szCs w:val="24"/>
          <w:highlight w:val="none"/>
          <w:lang w:val="zh-TW" w:eastAsia="zh-CN"/>
        </w:rPr>
        <w:t>四川仪表工业学校</w:t>
      </w:r>
    </w:p>
    <w:p w14:paraId="5A4ED7E4">
      <w:pPr>
        <w:snapToGrid w:val="0"/>
        <w:spacing w:line="360" w:lineRule="auto"/>
        <w:ind w:firstLine="360" w:firstLineChars="15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TW"/>
        </w:rPr>
        <w:t>联系人：</w:t>
      </w:r>
      <w:r>
        <w:rPr>
          <w:rFonts w:hint="eastAsia" w:asciiTheme="minorEastAsia" w:hAnsiTheme="minorEastAsia" w:eastAsiaTheme="minorEastAsia" w:cstheme="minorEastAsia"/>
          <w:sz w:val="24"/>
          <w:szCs w:val="24"/>
          <w:highlight w:val="none"/>
          <w:lang w:val="en-US" w:eastAsia="zh-CN"/>
        </w:rPr>
        <w:t>谢</w:t>
      </w:r>
      <w:r>
        <w:rPr>
          <w:rFonts w:hint="eastAsia" w:asciiTheme="minorEastAsia" w:hAnsiTheme="minorEastAsia" w:eastAsiaTheme="minorEastAsia" w:cstheme="minorEastAsia"/>
          <w:sz w:val="24"/>
          <w:szCs w:val="24"/>
          <w:highlight w:val="none"/>
          <w:lang w:val="zh-TW" w:eastAsia="zh-CN"/>
        </w:rPr>
        <w:t>老师</w:t>
      </w:r>
    </w:p>
    <w:p w14:paraId="21D784E2">
      <w:pPr>
        <w:snapToGrid w:val="0"/>
        <w:spacing w:line="360" w:lineRule="auto"/>
        <w:ind w:firstLine="360" w:firstLineChars="150"/>
        <w:rPr>
          <w:rFonts w:hint="eastAsia" w:asciiTheme="minorEastAsia" w:hAnsiTheme="minorEastAsia" w:eastAsiaTheme="minorEastAsia" w:cstheme="minorEastAsia"/>
          <w:sz w:val="24"/>
          <w:szCs w:val="24"/>
          <w:highlight w:val="none"/>
          <w:lang w:val="zh-TW" w:eastAsia="zh-CN"/>
        </w:rPr>
      </w:pPr>
      <w:r>
        <w:rPr>
          <w:rFonts w:hint="eastAsia" w:asciiTheme="minorEastAsia" w:hAnsiTheme="minorEastAsia" w:eastAsiaTheme="minorEastAsia" w:cstheme="minorEastAsia"/>
          <w:sz w:val="24"/>
          <w:szCs w:val="24"/>
          <w:highlight w:val="none"/>
          <w:lang w:val="zh-TW"/>
        </w:rPr>
        <w:t>电  话：</w:t>
      </w:r>
      <w:r>
        <w:rPr>
          <w:rFonts w:hint="eastAsia" w:asciiTheme="minorEastAsia" w:hAnsiTheme="minorEastAsia" w:eastAsiaTheme="minorEastAsia" w:cstheme="minorEastAsia"/>
          <w:sz w:val="24"/>
          <w:szCs w:val="24"/>
          <w:highlight w:val="none"/>
          <w:lang w:val="zh-TW" w:eastAsia="zh-CN"/>
        </w:rPr>
        <w:t>023-68222385</w:t>
      </w:r>
    </w:p>
    <w:p w14:paraId="6CBEEE6D">
      <w:pPr>
        <w:snapToGrid w:val="0"/>
        <w:spacing w:line="360" w:lineRule="auto"/>
        <w:ind w:firstLine="360" w:firstLineChars="15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地  址：重庆市北碚区松林坡65号</w:t>
      </w:r>
    </w:p>
    <w:p w14:paraId="6F4D0EB8">
      <w:pPr>
        <w:snapToGrid w:val="0"/>
        <w:spacing w:line="360" w:lineRule="auto"/>
        <w:ind w:firstLine="360" w:firstLineChars="15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（二）采购代理机构：</w:t>
      </w:r>
      <w:r>
        <w:rPr>
          <w:rFonts w:hint="eastAsia" w:asciiTheme="minorEastAsia" w:hAnsiTheme="minorEastAsia" w:eastAsiaTheme="minorEastAsia" w:cstheme="minorEastAsia"/>
          <w:sz w:val="24"/>
          <w:szCs w:val="24"/>
          <w:highlight w:val="none"/>
          <w:lang w:val="zh-TW" w:eastAsia="zh-CN"/>
        </w:rPr>
        <w:t>重庆方采工程项目管理咨询有限公司</w:t>
      </w:r>
    </w:p>
    <w:p w14:paraId="4B219924">
      <w:pPr>
        <w:snapToGrid w:val="0"/>
        <w:spacing w:line="360" w:lineRule="auto"/>
        <w:ind w:firstLine="360" w:firstLineChars="150"/>
        <w:rPr>
          <w:rFonts w:hint="eastAsia" w:asciiTheme="minorEastAsia" w:hAnsiTheme="minorEastAsia" w:eastAsiaTheme="minorEastAsia" w:cstheme="minorEastAsia"/>
          <w:sz w:val="24"/>
          <w:szCs w:val="24"/>
          <w:highlight w:val="none"/>
          <w:lang w:val="zh-TW"/>
        </w:rPr>
      </w:pPr>
      <w:r>
        <w:rPr>
          <w:rFonts w:hint="eastAsia" w:asciiTheme="minorEastAsia" w:hAnsiTheme="minorEastAsia" w:eastAsiaTheme="minorEastAsia" w:cstheme="minorEastAsia"/>
          <w:sz w:val="24"/>
          <w:szCs w:val="24"/>
          <w:highlight w:val="none"/>
          <w:lang w:val="zh-TW"/>
        </w:rPr>
        <w:t>联系人：</w:t>
      </w:r>
      <w:r>
        <w:rPr>
          <w:rFonts w:hint="eastAsia" w:asciiTheme="minorEastAsia" w:hAnsiTheme="minorEastAsia" w:eastAsiaTheme="minorEastAsia" w:cstheme="minorEastAsia"/>
          <w:sz w:val="24"/>
          <w:szCs w:val="24"/>
          <w:highlight w:val="none"/>
          <w:lang w:val="en-US" w:eastAsia="zh-CN"/>
        </w:rPr>
        <w:t>李老师</w:t>
      </w:r>
      <w:r>
        <w:rPr>
          <w:rFonts w:hint="eastAsia" w:asciiTheme="minorEastAsia" w:hAnsiTheme="minorEastAsia" w:eastAsiaTheme="minorEastAsia" w:cstheme="minorEastAsia"/>
          <w:sz w:val="24"/>
          <w:szCs w:val="24"/>
          <w:highlight w:val="none"/>
          <w:lang w:val="zh-TW"/>
        </w:rPr>
        <w:t xml:space="preserve"> </w:t>
      </w:r>
    </w:p>
    <w:p w14:paraId="38C8A3A0">
      <w:pPr>
        <w:snapToGrid w:val="0"/>
        <w:spacing w:line="360" w:lineRule="auto"/>
        <w:ind w:firstLine="360" w:firstLineChars="15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TW"/>
        </w:rPr>
        <w:t>电  话：</w:t>
      </w:r>
      <w:r>
        <w:rPr>
          <w:rFonts w:hint="eastAsia" w:asciiTheme="minorEastAsia" w:hAnsiTheme="minorEastAsia" w:eastAsiaTheme="minorEastAsia" w:cstheme="minorEastAsia"/>
          <w:sz w:val="24"/>
          <w:szCs w:val="24"/>
          <w:highlight w:val="none"/>
          <w:lang w:val="en-US" w:eastAsia="zh-CN"/>
        </w:rPr>
        <w:t>15523551439</w:t>
      </w:r>
    </w:p>
    <w:p w14:paraId="1C5E8D2A">
      <w:pPr>
        <w:snapToGrid w:val="0"/>
        <w:spacing w:line="360" w:lineRule="auto"/>
        <w:ind w:firstLine="360" w:firstLineChars="15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TW"/>
        </w:rPr>
        <w:t>地  址：</w:t>
      </w:r>
      <w:r>
        <w:rPr>
          <w:rFonts w:hint="eastAsia" w:asciiTheme="minorEastAsia" w:hAnsiTheme="minorEastAsia" w:eastAsiaTheme="minorEastAsia" w:cstheme="minorEastAsia"/>
          <w:sz w:val="24"/>
          <w:szCs w:val="24"/>
          <w:highlight w:val="none"/>
        </w:rPr>
        <w:t>重庆市大渡口区八桥镇山海路80号附1号</w:t>
      </w:r>
    </w:p>
    <w:p w14:paraId="6D114D8A">
      <w:pPr>
        <w:rPr>
          <w:rFonts w:hint="eastAsia" w:asciiTheme="minorEastAsia" w:hAnsiTheme="minorEastAsia" w:eastAsiaTheme="minorEastAsia" w:cstheme="minorEastAsia"/>
          <w:highlight w:val="none"/>
        </w:rPr>
        <w:sectPr>
          <w:headerReference r:id="rId4" w:type="default"/>
          <w:footerReference r:id="rId5" w:type="default"/>
          <w:pgSz w:w="11907" w:h="16840"/>
          <w:pgMar w:top="1134" w:right="1134" w:bottom="1134" w:left="1134" w:header="850" w:footer="992" w:gutter="0"/>
          <w:pgNumType w:fmt="decimal" w:start="1"/>
          <w:cols w:space="0" w:num="1"/>
          <w:rtlGutter w:val="0"/>
          <w:docGrid w:linePitch="312" w:charSpace="0"/>
        </w:sectPr>
      </w:pPr>
    </w:p>
    <w:p w14:paraId="1FC85A80">
      <w:pPr>
        <w:snapToGrid w:val="0"/>
        <w:spacing w:line="400" w:lineRule="exact"/>
        <w:ind w:firstLine="803" w:firstLineChars="200"/>
        <w:jc w:val="center"/>
        <w:rPr>
          <w:rFonts w:eastAsia="黑体"/>
          <w:b/>
          <w:bCs/>
          <w:color w:val="auto"/>
          <w:sz w:val="40"/>
          <w:szCs w:val="40"/>
          <w:highlight w:val="none"/>
        </w:rPr>
      </w:pPr>
      <w:bookmarkStart w:id="77" w:name="_Toc25968"/>
      <w:bookmarkStart w:id="78" w:name="_Toc13384"/>
      <w:r>
        <w:rPr>
          <w:rFonts w:hint="eastAsia" w:eastAsia="黑体"/>
          <w:b/>
          <w:bCs/>
          <w:color w:val="auto"/>
          <w:sz w:val="40"/>
          <w:szCs w:val="40"/>
          <w:highlight w:val="none"/>
          <w:lang w:val="en-US" w:eastAsia="zh-CN"/>
        </w:rPr>
        <w:t>采购文件发售登记表</w:t>
      </w:r>
    </w:p>
    <w:p w14:paraId="0426418F">
      <w:pPr>
        <w:jc w:val="left"/>
        <w:rPr>
          <w:rFonts w:eastAsia="黑体"/>
          <w:b/>
          <w:bCs/>
          <w:color w:val="auto"/>
          <w:spacing w:val="40"/>
          <w:highlight w:val="none"/>
        </w:rPr>
      </w:pPr>
    </w:p>
    <w:tbl>
      <w:tblPr>
        <w:tblStyle w:val="57"/>
        <w:tblW w:w="499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2635"/>
        <w:gridCol w:w="1155"/>
        <w:gridCol w:w="3959"/>
      </w:tblGrid>
      <w:tr w14:paraId="7BC584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68" w:type="pct"/>
            <w:noWrap w:val="0"/>
            <w:vAlign w:val="center"/>
          </w:tcPr>
          <w:p w14:paraId="0F99C4A5">
            <w:pPr>
              <w:jc w:val="center"/>
              <w:rPr>
                <w:rFonts w:hint="eastAsia" w:eastAsia="宋体"/>
                <w:color w:val="auto"/>
                <w:sz w:val="30"/>
                <w:szCs w:val="30"/>
                <w:highlight w:val="none"/>
                <w:lang w:val="en-US" w:eastAsia="zh-CN"/>
              </w:rPr>
            </w:pPr>
            <w:r>
              <w:rPr>
                <w:rFonts w:hint="eastAsia"/>
                <w:color w:val="auto"/>
                <w:sz w:val="30"/>
                <w:szCs w:val="30"/>
                <w:highlight w:val="none"/>
                <w:lang w:val="en-US" w:eastAsia="zh-CN"/>
              </w:rPr>
              <w:t>项目名称</w:t>
            </w:r>
          </w:p>
        </w:tc>
        <w:tc>
          <w:tcPr>
            <w:tcW w:w="3931" w:type="pct"/>
            <w:gridSpan w:val="3"/>
            <w:noWrap w:val="0"/>
            <w:vAlign w:val="center"/>
          </w:tcPr>
          <w:p w14:paraId="5328D87B">
            <w:pPr>
              <w:jc w:val="center"/>
              <w:rPr>
                <w:rFonts w:hint="eastAsia" w:eastAsia="宋体"/>
                <w:color w:val="auto"/>
                <w:sz w:val="30"/>
                <w:szCs w:val="30"/>
                <w:highlight w:val="none"/>
                <w:lang w:val="en-US" w:eastAsia="zh-CN"/>
              </w:rPr>
            </w:pPr>
          </w:p>
        </w:tc>
      </w:tr>
      <w:tr w14:paraId="66841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68" w:type="pct"/>
            <w:noWrap w:val="0"/>
            <w:vAlign w:val="center"/>
          </w:tcPr>
          <w:p w14:paraId="1BA2B8DA">
            <w:pPr>
              <w:jc w:val="center"/>
              <w:rPr>
                <w:rFonts w:hint="eastAsia"/>
                <w:color w:val="auto"/>
                <w:sz w:val="30"/>
                <w:szCs w:val="30"/>
                <w:highlight w:val="none"/>
              </w:rPr>
            </w:pPr>
            <w:r>
              <w:rPr>
                <w:rFonts w:hint="eastAsia"/>
                <w:color w:val="auto"/>
                <w:sz w:val="30"/>
                <w:szCs w:val="30"/>
                <w:highlight w:val="none"/>
              </w:rPr>
              <w:t>供应商名称</w:t>
            </w:r>
          </w:p>
        </w:tc>
        <w:tc>
          <w:tcPr>
            <w:tcW w:w="3931" w:type="pct"/>
            <w:gridSpan w:val="3"/>
            <w:noWrap w:val="0"/>
            <w:vAlign w:val="bottom"/>
          </w:tcPr>
          <w:p w14:paraId="43913EE5">
            <w:pPr>
              <w:jc w:val="right"/>
              <w:rPr>
                <w:rFonts w:hint="eastAsia"/>
                <w:color w:val="auto"/>
                <w:sz w:val="30"/>
                <w:szCs w:val="30"/>
                <w:highlight w:val="none"/>
              </w:rPr>
            </w:pPr>
            <w:r>
              <w:rPr>
                <w:rFonts w:hint="eastAsia"/>
                <w:color w:val="auto"/>
                <w:sz w:val="30"/>
                <w:szCs w:val="30"/>
                <w:highlight w:val="none"/>
              </w:rPr>
              <w:t>（供应商公章）</w:t>
            </w:r>
          </w:p>
        </w:tc>
      </w:tr>
      <w:tr w14:paraId="4007A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68" w:type="pct"/>
            <w:noWrap w:val="0"/>
            <w:vAlign w:val="center"/>
          </w:tcPr>
          <w:p w14:paraId="0975A3E4">
            <w:pPr>
              <w:jc w:val="center"/>
              <w:rPr>
                <w:rFonts w:hint="eastAsia"/>
                <w:color w:val="auto"/>
                <w:sz w:val="30"/>
                <w:szCs w:val="30"/>
                <w:highlight w:val="none"/>
              </w:rPr>
            </w:pPr>
            <w:r>
              <w:rPr>
                <w:rFonts w:hint="eastAsia"/>
                <w:color w:val="auto"/>
                <w:sz w:val="30"/>
                <w:szCs w:val="30"/>
                <w:highlight w:val="none"/>
              </w:rPr>
              <w:t>联系人</w:t>
            </w:r>
          </w:p>
        </w:tc>
        <w:tc>
          <w:tcPr>
            <w:tcW w:w="1337" w:type="pct"/>
            <w:noWrap w:val="0"/>
            <w:vAlign w:val="center"/>
          </w:tcPr>
          <w:p w14:paraId="7963E74B">
            <w:pPr>
              <w:jc w:val="left"/>
              <w:rPr>
                <w:rFonts w:hint="eastAsia"/>
                <w:color w:val="auto"/>
                <w:sz w:val="30"/>
                <w:szCs w:val="30"/>
                <w:highlight w:val="none"/>
              </w:rPr>
            </w:pPr>
          </w:p>
        </w:tc>
        <w:tc>
          <w:tcPr>
            <w:tcW w:w="586" w:type="pct"/>
            <w:noWrap w:val="0"/>
            <w:vAlign w:val="center"/>
          </w:tcPr>
          <w:p w14:paraId="747981AD">
            <w:pPr>
              <w:jc w:val="left"/>
              <w:rPr>
                <w:rFonts w:hint="eastAsia"/>
                <w:color w:val="auto"/>
                <w:sz w:val="30"/>
                <w:szCs w:val="30"/>
                <w:highlight w:val="none"/>
              </w:rPr>
            </w:pPr>
            <w:r>
              <w:rPr>
                <w:rFonts w:hint="eastAsia"/>
                <w:color w:val="auto"/>
                <w:sz w:val="30"/>
                <w:szCs w:val="30"/>
                <w:highlight w:val="none"/>
              </w:rPr>
              <w:t>手机</w:t>
            </w:r>
          </w:p>
        </w:tc>
        <w:tc>
          <w:tcPr>
            <w:tcW w:w="2008" w:type="pct"/>
            <w:noWrap w:val="0"/>
            <w:vAlign w:val="center"/>
          </w:tcPr>
          <w:p w14:paraId="1A8FEB1C">
            <w:pPr>
              <w:jc w:val="left"/>
              <w:rPr>
                <w:rFonts w:hint="eastAsia"/>
                <w:color w:val="auto"/>
                <w:sz w:val="30"/>
                <w:szCs w:val="30"/>
                <w:highlight w:val="none"/>
              </w:rPr>
            </w:pPr>
          </w:p>
        </w:tc>
      </w:tr>
      <w:tr w14:paraId="37A18A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8" w:type="pct"/>
            <w:noWrap w:val="0"/>
            <w:vAlign w:val="center"/>
          </w:tcPr>
          <w:p w14:paraId="1060C4B3">
            <w:pPr>
              <w:jc w:val="center"/>
              <w:rPr>
                <w:rFonts w:hint="eastAsia"/>
                <w:color w:val="auto"/>
                <w:sz w:val="30"/>
                <w:szCs w:val="30"/>
                <w:highlight w:val="none"/>
              </w:rPr>
            </w:pPr>
            <w:r>
              <w:rPr>
                <w:rFonts w:hint="eastAsia"/>
                <w:color w:val="auto"/>
                <w:sz w:val="30"/>
                <w:szCs w:val="30"/>
                <w:highlight w:val="none"/>
              </w:rPr>
              <w:t>办公电话</w:t>
            </w:r>
          </w:p>
        </w:tc>
        <w:tc>
          <w:tcPr>
            <w:tcW w:w="1337" w:type="pct"/>
            <w:noWrap w:val="0"/>
            <w:vAlign w:val="center"/>
          </w:tcPr>
          <w:p w14:paraId="02AABCF4">
            <w:pPr>
              <w:jc w:val="left"/>
              <w:rPr>
                <w:rFonts w:hint="eastAsia"/>
                <w:color w:val="auto"/>
                <w:sz w:val="30"/>
                <w:szCs w:val="30"/>
                <w:highlight w:val="none"/>
              </w:rPr>
            </w:pPr>
          </w:p>
        </w:tc>
        <w:tc>
          <w:tcPr>
            <w:tcW w:w="586" w:type="pct"/>
            <w:noWrap w:val="0"/>
            <w:vAlign w:val="center"/>
          </w:tcPr>
          <w:p w14:paraId="5C8FA416">
            <w:pPr>
              <w:jc w:val="left"/>
              <w:rPr>
                <w:rFonts w:hint="eastAsia"/>
                <w:color w:val="auto"/>
                <w:sz w:val="30"/>
                <w:szCs w:val="30"/>
                <w:highlight w:val="none"/>
              </w:rPr>
            </w:pPr>
            <w:r>
              <w:rPr>
                <w:rFonts w:hint="eastAsia"/>
                <w:color w:val="auto"/>
                <w:sz w:val="30"/>
                <w:szCs w:val="30"/>
                <w:highlight w:val="none"/>
              </w:rPr>
              <w:t>传真</w:t>
            </w:r>
          </w:p>
        </w:tc>
        <w:tc>
          <w:tcPr>
            <w:tcW w:w="2008" w:type="pct"/>
            <w:noWrap w:val="0"/>
            <w:vAlign w:val="center"/>
          </w:tcPr>
          <w:p w14:paraId="25A4563F">
            <w:pPr>
              <w:jc w:val="left"/>
              <w:rPr>
                <w:rFonts w:hint="eastAsia"/>
                <w:color w:val="auto"/>
                <w:sz w:val="30"/>
                <w:szCs w:val="30"/>
                <w:highlight w:val="none"/>
              </w:rPr>
            </w:pPr>
          </w:p>
        </w:tc>
      </w:tr>
      <w:tr w14:paraId="6E5DBF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68" w:type="pct"/>
            <w:noWrap w:val="0"/>
            <w:vAlign w:val="center"/>
          </w:tcPr>
          <w:p w14:paraId="4CD1A735">
            <w:pPr>
              <w:jc w:val="center"/>
              <w:rPr>
                <w:rFonts w:hint="eastAsia"/>
                <w:color w:val="auto"/>
                <w:sz w:val="30"/>
                <w:szCs w:val="30"/>
                <w:highlight w:val="none"/>
              </w:rPr>
            </w:pPr>
            <w:r>
              <w:rPr>
                <w:rFonts w:hint="eastAsia"/>
                <w:color w:val="auto"/>
                <w:sz w:val="30"/>
                <w:szCs w:val="30"/>
                <w:highlight w:val="none"/>
              </w:rPr>
              <w:t>E-mail</w:t>
            </w:r>
          </w:p>
        </w:tc>
        <w:tc>
          <w:tcPr>
            <w:tcW w:w="1337" w:type="pct"/>
            <w:noWrap w:val="0"/>
            <w:vAlign w:val="center"/>
          </w:tcPr>
          <w:p w14:paraId="33DE629D">
            <w:pPr>
              <w:jc w:val="left"/>
              <w:rPr>
                <w:rFonts w:hint="eastAsia"/>
                <w:color w:val="auto"/>
                <w:sz w:val="30"/>
                <w:szCs w:val="30"/>
                <w:highlight w:val="none"/>
              </w:rPr>
            </w:pPr>
          </w:p>
        </w:tc>
        <w:tc>
          <w:tcPr>
            <w:tcW w:w="586" w:type="pct"/>
            <w:noWrap w:val="0"/>
            <w:vAlign w:val="center"/>
          </w:tcPr>
          <w:p w14:paraId="268D74FB">
            <w:pPr>
              <w:jc w:val="left"/>
              <w:rPr>
                <w:rFonts w:hint="eastAsia"/>
                <w:color w:val="auto"/>
                <w:sz w:val="30"/>
                <w:szCs w:val="30"/>
                <w:highlight w:val="none"/>
              </w:rPr>
            </w:pPr>
            <w:r>
              <w:rPr>
                <w:rFonts w:hint="eastAsia"/>
                <w:color w:val="auto"/>
                <w:sz w:val="30"/>
                <w:szCs w:val="30"/>
                <w:highlight w:val="none"/>
              </w:rPr>
              <w:t>登记</w:t>
            </w:r>
          </w:p>
          <w:p w14:paraId="478A2B57">
            <w:pPr>
              <w:jc w:val="left"/>
              <w:rPr>
                <w:rFonts w:hint="eastAsia"/>
                <w:color w:val="auto"/>
                <w:sz w:val="30"/>
                <w:szCs w:val="30"/>
                <w:highlight w:val="none"/>
              </w:rPr>
            </w:pPr>
            <w:r>
              <w:rPr>
                <w:rFonts w:hint="eastAsia"/>
                <w:color w:val="auto"/>
                <w:sz w:val="30"/>
                <w:szCs w:val="30"/>
                <w:highlight w:val="none"/>
              </w:rPr>
              <w:t>日期</w:t>
            </w:r>
          </w:p>
        </w:tc>
        <w:tc>
          <w:tcPr>
            <w:tcW w:w="2008" w:type="pct"/>
            <w:noWrap w:val="0"/>
            <w:vAlign w:val="center"/>
          </w:tcPr>
          <w:p w14:paraId="50486D76">
            <w:pPr>
              <w:jc w:val="left"/>
              <w:rPr>
                <w:rFonts w:hint="eastAsia"/>
                <w:color w:val="auto"/>
                <w:sz w:val="30"/>
                <w:szCs w:val="30"/>
                <w:highlight w:val="none"/>
              </w:rPr>
            </w:pPr>
          </w:p>
        </w:tc>
      </w:tr>
      <w:tr w14:paraId="682F5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68" w:type="pct"/>
            <w:noWrap w:val="0"/>
            <w:vAlign w:val="center"/>
          </w:tcPr>
          <w:p w14:paraId="11764135">
            <w:pPr>
              <w:jc w:val="center"/>
              <w:rPr>
                <w:rFonts w:hint="eastAsia"/>
                <w:color w:val="auto"/>
                <w:sz w:val="30"/>
                <w:szCs w:val="30"/>
                <w:highlight w:val="none"/>
              </w:rPr>
            </w:pPr>
            <w:r>
              <w:rPr>
                <w:rFonts w:hint="eastAsia"/>
                <w:color w:val="auto"/>
                <w:sz w:val="30"/>
                <w:szCs w:val="30"/>
                <w:highlight w:val="none"/>
              </w:rPr>
              <w:t>单位地址</w:t>
            </w:r>
          </w:p>
        </w:tc>
        <w:tc>
          <w:tcPr>
            <w:tcW w:w="3931" w:type="pct"/>
            <w:gridSpan w:val="3"/>
            <w:noWrap w:val="0"/>
            <w:vAlign w:val="center"/>
          </w:tcPr>
          <w:p w14:paraId="00249DFE">
            <w:pPr>
              <w:jc w:val="left"/>
              <w:rPr>
                <w:rFonts w:hint="eastAsia"/>
                <w:color w:val="auto"/>
                <w:sz w:val="30"/>
                <w:szCs w:val="30"/>
                <w:highlight w:val="none"/>
              </w:rPr>
            </w:pPr>
          </w:p>
        </w:tc>
      </w:tr>
      <w:tr w14:paraId="36648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000" w:type="pct"/>
            <w:gridSpan w:val="4"/>
            <w:noWrap w:val="0"/>
            <w:vAlign w:val="center"/>
          </w:tcPr>
          <w:p w14:paraId="2888C914">
            <w:pPr>
              <w:jc w:val="left"/>
              <w:rPr>
                <w:rFonts w:ascii="宋体" w:hAnsi="宋体"/>
                <w:color w:val="auto"/>
                <w:sz w:val="30"/>
                <w:szCs w:val="30"/>
                <w:highlight w:val="none"/>
              </w:rPr>
            </w:pPr>
            <w:r>
              <w:rPr>
                <w:rFonts w:hint="eastAsia" w:ascii="宋体" w:hAnsi="宋体"/>
                <w:color w:val="auto"/>
                <w:sz w:val="30"/>
                <w:szCs w:val="30"/>
                <w:highlight w:val="none"/>
              </w:rPr>
              <w:t>备注:</w:t>
            </w:r>
          </w:p>
        </w:tc>
      </w:tr>
    </w:tbl>
    <w:p w14:paraId="127BE0C8"/>
    <w:p w14:paraId="1EB21E8C">
      <w:pPr>
        <w:pStyle w:val="4"/>
        <w:spacing w:before="0" w:after="0" w:line="360" w:lineRule="auto"/>
        <w:jc w:val="center"/>
        <w:rPr>
          <w:rFonts w:hint="eastAsia" w:asciiTheme="minorEastAsia" w:hAnsiTheme="minorEastAsia" w:eastAsiaTheme="minorEastAsia" w:cstheme="minorEastAsia"/>
          <w:b w:val="0"/>
          <w:sz w:val="36"/>
          <w:szCs w:val="30"/>
          <w:highlight w:val="none"/>
        </w:rPr>
        <w:sectPr>
          <w:pgSz w:w="11907" w:h="16840"/>
          <w:pgMar w:top="1134" w:right="1134" w:bottom="1134" w:left="1134" w:header="850" w:footer="992" w:gutter="0"/>
          <w:pgNumType w:fmt="decimal"/>
          <w:cols w:space="0" w:num="1"/>
          <w:rtlGutter w:val="0"/>
          <w:docGrid w:linePitch="312" w:charSpace="0"/>
        </w:sectPr>
      </w:pPr>
    </w:p>
    <w:p w14:paraId="2C52B892">
      <w:pPr>
        <w:pStyle w:val="4"/>
        <w:spacing w:before="0" w:after="0" w:line="360" w:lineRule="auto"/>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b w:val="0"/>
          <w:sz w:val="36"/>
          <w:szCs w:val="30"/>
          <w:highlight w:val="none"/>
        </w:rPr>
        <w:t>第二篇  谈判项目技术（</w:t>
      </w:r>
      <w:r>
        <w:rPr>
          <w:rFonts w:hint="eastAsia" w:asciiTheme="minorEastAsia" w:hAnsiTheme="minorEastAsia" w:eastAsiaTheme="minorEastAsia" w:cstheme="minorEastAsia"/>
          <w:b w:val="0"/>
          <w:sz w:val="36"/>
          <w:szCs w:val="30"/>
          <w:highlight w:val="none"/>
          <w:lang w:val="en-US" w:eastAsia="zh-CN"/>
        </w:rPr>
        <w:t>服务</w:t>
      </w:r>
      <w:r>
        <w:rPr>
          <w:rFonts w:hint="eastAsia" w:asciiTheme="minorEastAsia" w:hAnsiTheme="minorEastAsia" w:eastAsiaTheme="minorEastAsia" w:cstheme="minorEastAsia"/>
          <w:b w:val="0"/>
          <w:sz w:val="36"/>
          <w:szCs w:val="30"/>
          <w:highlight w:val="none"/>
        </w:rPr>
        <w:t>）需求</w:t>
      </w:r>
      <w:bookmarkEnd w:id="72"/>
      <w:bookmarkEnd w:id="73"/>
      <w:bookmarkEnd w:id="74"/>
      <w:bookmarkEnd w:id="77"/>
      <w:bookmarkEnd w:id="78"/>
      <w:bookmarkStart w:id="79" w:name="_Toc15490"/>
      <w:bookmarkStart w:id="80" w:name="_Toc15492"/>
      <w:bookmarkStart w:id="81" w:name="_Toc65660341"/>
      <w:bookmarkStart w:id="82" w:name="_Toc13356"/>
    </w:p>
    <w:p w14:paraId="4CF07215">
      <w:pPr>
        <w:pStyle w:val="4"/>
        <w:numPr>
          <w:ilvl w:val="0"/>
          <w:numId w:val="0"/>
        </w:numPr>
        <w:adjustRightInd w:val="0"/>
        <w:snapToGrid w:val="0"/>
        <w:spacing w:before="0" w:after="0" w:line="360" w:lineRule="auto"/>
        <w:ind w:left="482" w:leftChars="0"/>
        <w:rPr>
          <w:rFonts w:hint="eastAsia" w:asciiTheme="minorEastAsia" w:hAnsiTheme="minorEastAsia" w:eastAsiaTheme="minorEastAsia" w:cstheme="minorEastAsia"/>
          <w:sz w:val="24"/>
          <w:highlight w:val="none"/>
          <w:lang w:val="en-US" w:eastAsia="zh-CN"/>
        </w:rPr>
      </w:pPr>
      <w:bookmarkStart w:id="83" w:name="_Toc27377"/>
      <w:r>
        <w:rPr>
          <w:rFonts w:hint="eastAsia" w:asciiTheme="minorEastAsia" w:hAnsiTheme="minorEastAsia" w:eastAsiaTheme="minorEastAsia" w:cstheme="minorEastAsia"/>
          <w:sz w:val="24"/>
          <w:highlight w:val="none"/>
          <w:lang w:val="en-US" w:eastAsia="zh-CN"/>
        </w:rPr>
        <w:t>一</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项目概况</w:t>
      </w:r>
      <w:bookmarkEnd w:id="83"/>
    </w:p>
    <w:p w14:paraId="55068923">
      <w:pPr>
        <w:pStyle w:val="4"/>
        <w:numPr>
          <w:ilvl w:val="0"/>
          <w:numId w:val="0"/>
        </w:numPr>
        <w:adjustRightInd w:val="0"/>
        <w:snapToGrid w:val="0"/>
        <w:spacing w:before="0" w:after="0" w:line="360" w:lineRule="auto"/>
        <w:ind w:firstLine="480" w:firstLineChars="200"/>
        <w:rPr>
          <w:rFonts w:hint="default" w:asciiTheme="minorEastAsia" w:hAnsiTheme="minorEastAsia" w:eastAsiaTheme="minorEastAsia" w:cstheme="minorEastAsia"/>
          <w:b w:val="0"/>
          <w:bCs/>
          <w:sz w:val="24"/>
          <w:highlight w:val="none"/>
          <w:lang w:val="en-US" w:eastAsia="zh-CN"/>
        </w:rPr>
      </w:pPr>
      <w:bookmarkStart w:id="84" w:name="_Toc1749"/>
      <w:r>
        <w:rPr>
          <w:rFonts w:hint="eastAsia" w:asciiTheme="minorEastAsia" w:hAnsiTheme="minorEastAsia" w:eastAsiaTheme="minorEastAsia" w:cstheme="minorEastAsia"/>
          <w:b w:val="0"/>
          <w:bCs/>
          <w:sz w:val="24"/>
          <w:highlight w:val="none"/>
          <w:lang w:val="en-US" w:eastAsia="zh-CN"/>
        </w:rPr>
        <w:t>四川仪表工业学校拟在2025年度采购供应商提供校园生活垃圾转运服务（第二次）。</w:t>
      </w:r>
      <w:bookmarkEnd w:id="84"/>
    </w:p>
    <w:p w14:paraId="7093D8C1">
      <w:pPr>
        <w:pStyle w:val="4"/>
        <w:numPr>
          <w:ilvl w:val="0"/>
          <w:numId w:val="0"/>
        </w:numPr>
        <w:adjustRightInd w:val="0"/>
        <w:snapToGrid w:val="0"/>
        <w:spacing w:before="0" w:after="0" w:line="360" w:lineRule="auto"/>
        <w:ind w:left="482" w:leftChars="0"/>
        <w:rPr>
          <w:rFonts w:hint="default" w:asciiTheme="minorEastAsia" w:hAnsiTheme="minorEastAsia" w:eastAsiaTheme="minorEastAsia" w:cstheme="minorEastAsia"/>
          <w:sz w:val="24"/>
          <w:highlight w:val="none"/>
          <w:lang w:val="en-US"/>
        </w:rPr>
      </w:pPr>
      <w:bookmarkStart w:id="85" w:name="_Toc11934"/>
      <w:r>
        <w:rPr>
          <w:rFonts w:hint="eastAsia" w:asciiTheme="minorEastAsia" w:hAnsiTheme="minorEastAsia" w:eastAsiaTheme="minorEastAsia" w:cstheme="minorEastAsia"/>
          <w:sz w:val="24"/>
          <w:highlight w:val="none"/>
          <w:lang w:val="en-US" w:eastAsia="zh-CN"/>
        </w:rPr>
        <w:t>二、</w:t>
      </w:r>
      <w:bookmarkEnd w:id="79"/>
      <w:bookmarkEnd w:id="85"/>
      <w:r>
        <w:rPr>
          <w:rFonts w:hint="eastAsia" w:asciiTheme="minorEastAsia" w:hAnsiTheme="minorEastAsia" w:eastAsiaTheme="minorEastAsia" w:cstheme="minorEastAsia"/>
          <w:sz w:val="24"/>
          <w:highlight w:val="none"/>
          <w:lang w:val="en-US" w:eastAsia="zh-CN"/>
        </w:rPr>
        <w:t>工作内容</w:t>
      </w:r>
    </w:p>
    <w:p w14:paraId="44B1F822">
      <w:pPr>
        <w:pStyle w:val="4"/>
        <w:numPr>
          <w:ilvl w:val="0"/>
          <w:numId w:val="0"/>
        </w:numPr>
        <w:adjustRightInd w:val="0"/>
        <w:snapToGrid w:val="0"/>
        <w:spacing w:before="0" w:after="0" w:line="360" w:lineRule="auto"/>
        <w:ind w:left="482" w:leftChars="0"/>
        <w:rPr>
          <w:rFonts w:hint="eastAsia" w:asciiTheme="minorEastAsia" w:hAnsiTheme="minorEastAsia" w:eastAsiaTheme="minorEastAsia" w:cstheme="minorEastAsia"/>
          <w:b w:val="0"/>
          <w:bCs/>
          <w:sz w:val="24"/>
          <w:highlight w:val="none"/>
          <w:lang w:val="en-US" w:eastAsia="zh-CN"/>
        </w:rPr>
      </w:pPr>
      <w:bookmarkStart w:id="86" w:name="_Toc32399"/>
      <w:r>
        <w:rPr>
          <w:rFonts w:hint="eastAsia" w:asciiTheme="minorEastAsia" w:hAnsiTheme="minorEastAsia" w:eastAsiaTheme="minorEastAsia" w:cstheme="minorEastAsia"/>
          <w:b w:val="0"/>
          <w:bCs/>
          <w:sz w:val="24"/>
          <w:highlight w:val="none"/>
          <w:lang w:val="en-US" w:eastAsia="zh-CN"/>
        </w:rPr>
        <w:t>1.供应商自备满足服务要求的垃圾转运装载车辆设备及清洁除臭耗材。</w:t>
      </w:r>
    </w:p>
    <w:p w14:paraId="440FEA74">
      <w:pPr>
        <w:pStyle w:val="4"/>
        <w:numPr>
          <w:ilvl w:val="0"/>
          <w:numId w:val="0"/>
        </w:numPr>
        <w:adjustRightInd w:val="0"/>
        <w:snapToGrid w:val="0"/>
        <w:spacing w:before="0" w:after="0" w:line="360" w:lineRule="auto"/>
        <w:ind w:left="482" w:leftChars="0"/>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2.供应商需向采购人免费提供5个及以上6m³密闭垃圾箱(具体数量按学校要求执行)。</w:t>
      </w:r>
    </w:p>
    <w:p w14:paraId="03353728">
      <w:pPr>
        <w:pStyle w:val="4"/>
        <w:numPr>
          <w:ilvl w:val="0"/>
          <w:numId w:val="0"/>
        </w:numPr>
        <w:adjustRightInd w:val="0"/>
        <w:snapToGrid w:val="0"/>
        <w:spacing w:before="0" w:after="0" w:line="360" w:lineRule="auto"/>
        <w:ind w:left="482" w:leftChars="0"/>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3.供应商自行配备日常服务人员，签订合同前采购人有权查验是否符合要求。</w:t>
      </w:r>
    </w:p>
    <w:p w14:paraId="5B8F792B">
      <w:pPr>
        <w:pStyle w:val="4"/>
        <w:numPr>
          <w:ilvl w:val="0"/>
          <w:numId w:val="0"/>
        </w:numPr>
        <w:adjustRightInd w:val="0"/>
        <w:snapToGrid w:val="0"/>
        <w:spacing w:before="0" w:after="0" w:line="360" w:lineRule="auto"/>
        <w:ind w:left="482" w:leftChars="0"/>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 xml:space="preserve">4.负责采购人单位管辖区域内所有生活垃圾的收集、转运，并送至垃圾处置场所。   </w:t>
      </w:r>
    </w:p>
    <w:p w14:paraId="16971C34">
      <w:pPr>
        <w:pStyle w:val="4"/>
        <w:numPr>
          <w:ilvl w:val="0"/>
          <w:numId w:val="0"/>
        </w:numPr>
        <w:adjustRightInd w:val="0"/>
        <w:snapToGrid w:val="0"/>
        <w:spacing w:before="0" w:after="0" w:line="360" w:lineRule="auto"/>
        <w:ind w:left="482" w:left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三、服务要求</w:t>
      </w:r>
      <w:bookmarkEnd w:id="86"/>
    </w:p>
    <w:p w14:paraId="6839312D">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1.服务过程中必须严格服从采购单位要求、现行的从业规范和环保要求，服务质量需达到《重庆市环境卫生管理作业标准》的要求。</w:t>
      </w:r>
    </w:p>
    <w:p w14:paraId="08AB1D2B">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2.要求当日转运的生活垃圾必须当日运输处理完毕，如有特殊情况，供应商需提前告知采购人。如发现接受垃圾中有除生活垃圾外的其他垃圾，应及时通知采购人并进行分类进行转运。</w:t>
      </w:r>
    </w:p>
    <w:p w14:paraId="72E26F46">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3.严格遵守国家交通法规，养成良好的职业道德，做好运输车辆的清洁卫生。</w:t>
      </w:r>
    </w:p>
    <w:p w14:paraId="08A236AE">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4.若运输路段要经过马路主干道，需遵守相关的通行交通规则和限行时段要求。</w:t>
      </w:r>
    </w:p>
    <w:p w14:paraId="7CA448DC">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5.驾驶员严格按安全操作程序执行，不超速行驶，不疲劳驾车，不酒后驾车，不开斗气车，不开带病车。做到文明驾驶，礼貌行车。</w:t>
      </w:r>
    </w:p>
    <w:p w14:paraId="77BFFF32">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6.按照学校要求，按时将场内垃圾清理完，做到垃圾日产日清，车辆装运时必须密闭，不洒落、不遗漏，装运现场必须清扫干净。</w:t>
      </w:r>
    </w:p>
    <w:p w14:paraId="3593CE8F">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7.服从学校管理、快速回应、积极配合各类迎检工作，不得拖延。</w:t>
      </w:r>
    </w:p>
    <w:p w14:paraId="5C962BB7">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val="0"/>
          <w:bCs/>
          <w:sz w:val="24"/>
          <w:highlight w:val="none"/>
          <w:lang w:val="en-US" w:eastAsia="zh-CN"/>
        </w:rPr>
        <w:t>8.供应商在服务期内发生的一切安全风险（包括安全事故责任）均自行承担。</w:t>
      </w:r>
    </w:p>
    <w:p w14:paraId="4B31209A">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Theme="minorEastAsia" w:hAnsiTheme="minorEastAsia" w:eastAsiaTheme="minorEastAsia" w:cstheme="minorEastAsia"/>
          <w:b w:val="0"/>
          <w:bCs/>
          <w:sz w:val="24"/>
          <w:highlight w:val="none"/>
          <w:lang w:val="en-US" w:eastAsia="zh-CN"/>
        </w:rPr>
        <w:sectPr>
          <w:pgSz w:w="11907" w:h="16840"/>
          <w:pgMar w:top="1134" w:right="1134" w:bottom="1134" w:left="1134" w:header="850" w:footer="992" w:gutter="0"/>
          <w:pgNumType w:fmt="decimal"/>
          <w:cols w:space="0" w:num="1"/>
          <w:rtlGutter w:val="0"/>
          <w:docGrid w:linePitch="312" w:charSpace="0"/>
        </w:sectPr>
      </w:pPr>
      <w:bookmarkStart w:id="87" w:name="_Toc22239"/>
    </w:p>
    <w:p w14:paraId="7C130DC9">
      <w:pPr>
        <w:pStyle w:val="4"/>
        <w:spacing w:before="0" w:after="0" w:line="360" w:lineRule="auto"/>
        <w:jc w:val="center"/>
        <w:rPr>
          <w:rFonts w:hint="eastAsia" w:asciiTheme="minorEastAsia" w:hAnsiTheme="minorEastAsia" w:eastAsiaTheme="minorEastAsia" w:cstheme="minorEastAsia"/>
          <w:b/>
          <w:kern w:val="2"/>
          <w:sz w:val="24"/>
          <w:highlight w:val="none"/>
          <w:lang w:val="en-US" w:eastAsia="zh-CN" w:bidi="ar-SA"/>
        </w:rPr>
      </w:pPr>
      <w:bookmarkStart w:id="88" w:name="_Toc8737"/>
      <w:r>
        <w:rPr>
          <w:rFonts w:hint="eastAsia" w:asciiTheme="minorEastAsia" w:hAnsiTheme="minorEastAsia" w:eastAsiaTheme="minorEastAsia" w:cstheme="minorEastAsia"/>
          <w:b/>
          <w:bCs/>
          <w:sz w:val="36"/>
          <w:szCs w:val="30"/>
          <w:highlight w:val="none"/>
        </w:rPr>
        <w:t xml:space="preserve">第三篇  </w:t>
      </w:r>
      <w:bookmarkEnd w:id="75"/>
      <w:r>
        <w:rPr>
          <w:rFonts w:hint="eastAsia" w:asciiTheme="minorEastAsia" w:hAnsiTheme="minorEastAsia" w:eastAsiaTheme="minorEastAsia" w:cstheme="minorEastAsia"/>
          <w:b/>
          <w:bCs/>
          <w:sz w:val="36"/>
          <w:szCs w:val="30"/>
          <w:highlight w:val="none"/>
        </w:rPr>
        <w:t>谈判项目</w:t>
      </w:r>
      <w:bookmarkEnd w:id="80"/>
      <w:bookmarkEnd w:id="81"/>
      <w:bookmarkEnd w:id="82"/>
      <w:r>
        <w:rPr>
          <w:rFonts w:hint="eastAsia" w:asciiTheme="minorEastAsia" w:hAnsiTheme="minorEastAsia" w:eastAsiaTheme="minorEastAsia" w:cstheme="minorEastAsia"/>
          <w:b/>
          <w:bCs/>
          <w:sz w:val="36"/>
          <w:szCs w:val="30"/>
          <w:highlight w:val="none"/>
          <w:lang w:val="en-US" w:eastAsia="zh-CN"/>
        </w:rPr>
        <w:t>商务</w:t>
      </w:r>
      <w:r>
        <w:rPr>
          <w:rFonts w:hint="eastAsia" w:asciiTheme="minorEastAsia" w:hAnsiTheme="minorEastAsia" w:eastAsiaTheme="minorEastAsia" w:cstheme="minorEastAsia"/>
          <w:b/>
          <w:bCs/>
          <w:sz w:val="36"/>
          <w:szCs w:val="30"/>
          <w:highlight w:val="none"/>
        </w:rPr>
        <w:t>需求</w:t>
      </w:r>
      <w:bookmarkEnd w:id="87"/>
      <w:bookmarkEnd w:id="88"/>
      <w:bookmarkStart w:id="89" w:name="_Toc19322"/>
      <w:bookmarkStart w:id="90" w:name="_Toc30490"/>
      <w:bookmarkStart w:id="91" w:name="_Toc342913389"/>
    </w:p>
    <w:p w14:paraId="1BB53DE0">
      <w:pPr>
        <w:pStyle w:val="248"/>
        <w:ind w:left="0" w:leftChars="0" w:firstLine="482" w:firstLineChars="200"/>
        <w:rPr>
          <w:rFonts w:hint="eastAsia" w:asciiTheme="minorEastAsia" w:hAnsiTheme="minorEastAsia" w:eastAsiaTheme="minorEastAsia" w:cstheme="minorEastAsia"/>
          <w:b/>
          <w:kern w:val="2"/>
          <w:sz w:val="24"/>
          <w:highlight w:val="none"/>
          <w:lang w:val="en-US" w:eastAsia="zh-CN" w:bidi="ar-SA"/>
        </w:rPr>
      </w:pPr>
      <w:bookmarkStart w:id="92" w:name="_Toc5629"/>
      <w:r>
        <w:rPr>
          <w:rFonts w:hint="eastAsia" w:asciiTheme="minorEastAsia" w:hAnsiTheme="minorEastAsia" w:eastAsiaTheme="minorEastAsia" w:cstheme="minorEastAsia"/>
          <w:b/>
          <w:kern w:val="2"/>
          <w:sz w:val="24"/>
          <w:highlight w:val="none"/>
          <w:lang w:val="en-US" w:eastAsia="zh-CN" w:bidi="ar-SA"/>
        </w:rPr>
        <w:t>一、实施周期、服务地点及验收方式</w:t>
      </w:r>
      <w:bookmarkEnd w:id="89"/>
      <w:bookmarkEnd w:id="90"/>
      <w:bookmarkEnd w:id="92"/>
    </w:p>
    <w:p w14:paraId="16EBAE51">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服务周</w:t>
      </w:r>
      <w:r>
        <w:rPr>
          <w:rFonts w:hint="eastAsia" w:asciiTheme="minorEastAsia" w:hAnsiTheme="minorEastAsia" w:eastAsiaTheme="minorEastAsia" w:cstheme="minorEastAsia"/>
          <w:sz w:val="24"/>
          <w:szCs w:val="24"/>
          <w:highlight w:val="none"/>
        </w:rPr>
        <w:t>期：</w:t>
      </w:r>
      <w:r>
        <w:rPr>
          <w:rFonts w:hint="eastAsia" w:asciiTheme="minorEastAsia" w:hAnsiTheme="minorEastAsia" w:eastAsiaTheme="minorEastAsia" w:cstheme="minorEastAsia"/>
          <w:sz w:val="24"/>
          <w:szCs w:val="24"/>
          <w:highlight w:val="none"/>
          <w:lang w:val="en-US" w:eastAsia="zh-CN"/>
        </w:rPr>
        <w:t>自合同签订之日起一年</w:t>
      </w:r>
      <w:r>
        <w:rPr>
          <w:rFonts w:hint="eastAsia" w:asciiTheme="minorEastAsia" w:hAnsiTheme="minorEastAsia" w:eastAsiaTheme="minorEastAsia" w:cstheme="minorEastAsia"/>
          <w:sz w:val="24"/>
          <w:szCs w:val="24"/>
          <w:highlight w:val="none"/>
          <w:lang w:eastAsia="zh-CN"/>
        </w:rPr>
        <w:t>。</w:t>
      </w:r>
    </w:p>
    <w:p w14:paraId="48CEA24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地点：四川仪表工业学校（含</w:t>
      </w:r>
      <w:r>
        <w:rPr>
          <w:rFonts w:hint="eastAsia" w:asciiTheme="minorEastAsia" w:hAnsiTheme="minorEastAsia" w:eastAsiaTheme="minorEastAsia" w:cstheme="minorEastAsia"/>
          <w:sz w:val="24"/>
          <w:szCs w:val="24"/>
          <w:highlight w:val="none"/>
          <w:lang w:val="en-US" w:eastAsia="zh-CN"/>
        </w:rPr>
        <w:t>本部校区和蔡家校区</w:t>
      </w:r>
      <w:r>
        <w:rPr>
          <w:rFonts w:hint="eastAsia" w:asciiTheme="minorEastAsia" w:hAnsiTheme="minorEastAsia" w:eastAsiaTheme="minorEastAsia" w:cstheme="minorEastAsia"/>
          <w:sz w:val="24"/>
          <w:szCs w:val="24"/>
          <w:highlight w:val="none"/>
        </w:rPr>
        <w:t>），或由采购人指定地点。</w:t>
      </w:r>
    </w:p>
    <w:p w14:paraId="738E2A19">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验收方式：</w:t>
      </w:r>
      <w:r>
        <w:rPr>
          <w:rFonts w:hint="eastAsia" w:asciiTheme="minorEastAsia" w:hAnsiTheme="minorEastAsia" w:eastAsiaTheme="minorEastAsia" w:cstheme="minorEastAsia"/>
          <w:sz w:val="24"/>
          <w:szCs w:val="24"/>
          <w:highlight w:val="none"/>
          <w:lang w:val="en-US" w:eastAsia="zh-CN"/>
        </w:rPr>
        <w:t>采购人单位自行组织验收。</w:t>
      </w:r>
    </w:p>
    <w:p w14:paraId="08F8383A">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bookmarkStart w:id="93" w:name="_Toc12184"/>
      <w:bookmarkStart w:id="94" w:name="_Toc122"/>
      <w:bookmarkStart w:id="95" w:name="_Toc18098"/>
      <w:bookmarkStart w:id="96" w:name="_Toc15986"/>
      <w:bookmarkStart w:id="97" w:name="_Toc65660344"/>
      <w:bookmarkStart w:id="98" w:name="_Toc13583"/>
      <w:r>
        <w:rPr>
          <w:rFonts w:hint="eastAsia" w:asciiTheme="minorEastAsia" w:hAnsiTheme="minorEastAsia" w:eastAsiaTheme="minorEastAsia" w:cstheme="minorEastAsia"/>
          <w:sz w:val="24"/>
          <w:highlight w:val="none"/>
          <w:lang w:val="en-US" w:eastAsia="zh-CN"/>
        </w:rPr>
        <w:t>二</w:t>
      </w:r>
      <w:r>
        <w:rPr>
          <w:rFonts w:hint="eastAsia" w:asciiTheme="minorEastAsia" w:hAnsiTheme="minorEastAsia" w:eastAsiaTheme="minorEastAsia" w:cstheme="minorEastAsia"/>
          <w:sz w:val="24"/>
          <w:highlight w:val="none"/>
        </w:rPr>
        <w:t>、报价要求</w:t>
      </w:r>
      <w:bookmarkEnd w:id="93"/>
      <w:bookmarkEnd w:id="94"/>
      <w:bookmarkEnd w:id="95"/>
      <w:bookmarkEnd w:id="96"/>
      <w:bookmarkEnd w:id="97"/>
      <w:bookmarkEnd w:id="98"/>
    </w:p>
    <w:p w14:paraId="79FF14E5">
      <w:pPr>
        <w:spacing w:line="360" w:lineRule="auto"/>
        <w:ind w:firstLine="480" w:firstLineChars="200"/>
        <w:rPr>
          <w:rFonts w:hint="eastAsia" w:asciiTheme="minorEastAsia" w:hAnsiTheme="minorEastAsia" w:eastAsiaTheme="minorEastAsia" w:cstheme="minorEastAsia"/>
          <w:sz w:val="24"/>
          <w:szCs w:val="24"/>
          <w:highlight w:val="none"/>
        </w:rPr>
      </w:pPr>
      <w:bookmarkStart w:id="99" w:name="_Toc267320050"/>
      <w:bookmarkStart w:id="100" w:name="_Toc5929"/>
      <w:bookmarkStart w:id="101" w:name="_Toc7562"/>
      <w:bookmarkStart w:id="102" w:name="_Toc65660345"/>
      <w:bookmarkStart w:id="103" w:name="_Toc9192"/>
      <w:bookmarkStart w:id="104" w:name="_Toc7524"/>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供应商按每车（注：单个垃圾车的箱体垃圾装运量</w:t>
      </w:r>
      <w:r>
        <w:rPr>
          <w:rFonts w:hint="eastAsia" w:asciiTheme="minorEastAsia" w:hAnsiTheme="minorEastAsia" w:eastAsiaTheme="minorEastAsia" w:cstheme="minorEastAsia"/>
          <w:b w:val="0"/>
          <w:bCs/>
          <w:sz w:val="24"/>
          <w:highlight w:val="none"/>
          <w:lang w:val="en-US" w:eastAsia="zh-CN"/>
        </w:rPr>
        <w:t>不低于6立方</w:t>
      </w:r>
      <w:r>
        <w:rPr>
          <w:rFonts w:hint="eastAsia" w:asciiTheme="minorEastAsia" w:hAnsiTheme="minorEastAsia" w:eastAsiaTheme="minorEastAsia" w:cstheme="minorEastAsia"/>
          <w:sz w:val="24"/>
          <w:szCs w:val="24"/>
          <w:highlight w:val="none"/>
          <w:lang w:val="en-US" w:eastAsia="zh-CN"/>
        </w:rPr>
        <w:t>）转运进行单价报价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超过最高限价的</w:t>
      </w:r>
      <w:r>
        <w:rPr>
          <w:rFonts w:hint="eastAsia" w:asciiTheme="minorEastAsia" w:hAnsiTheme="minorEastAsia" w:eastAsiaTheme="minorEastAsia" w:cstheme="minorEastAsia"/>
          <w:sz w:val="24"/>
          <w:szCs w:val="24"/>
          <w:highlight w:val="none"/>
          <w:lang w:val="en-US" w:eastAsia="zh-CN"/>
        </w:rPr>
        <w:t>作否决处理</w:t>
      </w:r>
      <w:r>
        <w:rPr>
          <w:rFonts w:hint="eastAsia" w:asciiTheme="minorEastAsia" w:hAnsiTheme="minorEastAsia" w:eastAsiaTheme="minorEastAsia" w:cstheme="minorEastAsia"/>
          <w:sz w:val="24"/>
          <w:szCs w:val="24"/>
          <w:highlight w:val="none"/>
        </w:rPr>
        <w:t>。</w:t>
      </w:r>
    </w:p>
    <w:p w14:paraId="4B23D73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本项目报价方式为</w:t>
      </w:r>
      <w:r>
        <w:rPr>
          <w:rFonts w:hint="eastAsia" w:asciiTheme="minorEastAsia" w:hAnsiTheme="minorEastAsia" w:eastAsiaTheme="minorEastAsia" w:cstheme="minorEastAsia"/>
          <w:sz w:val="24"/>
          <w:szCs w:val="24"/>
          <w:highlight w:val="none"/>
          <w:lang w:val="en-US" w:eastAsia="zh-CN"/>
        </w:rPr>
        <w:t>单价包干</w:t>
      </w:r>
      <w:r>
        <w:rPr>
          <w:rFonts w:hint="eastAsia" w:asciiTheme="minorEastAsia" w:hAnsiTheme="minorEastAsia" w:eastAsiaTheme="minorEastAsia" w:cstheme="minorEastAsia"/>
          <w:sz w:val="24"/>
          <w:szCs w:val="24"/>
          <w:highlight w:val="none"/>
        </w:rPr>
        <w:t>价，包括完成本项目所需的运输费、装卸费、人工费、设备设施费、通讯费、交通费</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利润</w:t>
      </w:r>
      <w:r>
        <w:rPr>
          <w:rFonts w:hint="eastAsia" w:asciiTheme="minorEastAsia" w:hAnsiTheme="minorEastAsia" w:eastAsiaTheme="minorEastAsia" w:cstheme="minorEastAsia"/>
          <w:sz w:val="24"/>
          <w:szCs w:val="24"/>
          <w:highlight w:val="none"/>
        </w:rPr>
        <w:t>及各种应纳的税费</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采购代理服务费（注：成交供应商支付，费用包含在总价中不单列）</w:t>
      </w:r>
      <w:r>
        <w:rPr>
          <w:rFonts w:hint="eastAsia" w:asciiTheme="minorEastAsia" w:hAnsiTheme="minorEastAsia" w:eastAsiaTheme="minorEastAsia" w:cstheme="minorEastAsia"/>
          <w:sz w:val="24"/>
          <w:szCs w:val="24"/>
          <w:highlight w:val="none"/>
        </w:rPr>
        <w:t>等</w:t>
      </w:r>
      <w:r>
        <w:rPr>
          <w:rFonts w:hint="eastAsia" w:asciiTheme="minorEastAsia" w:hAnsiTheme="minorEastAsia" w:eastAsiaTheme="minorEastAsia" w:cstheme="minorEastAsia"/>
          <w:sz w:val="24"/>
          <w:szCs w:val="24"/>
          <w:highlight w:val="none"/>
          <w:lang w:val="en-US" w:eastAsia="zh-CN"/>
        </w:rPr>
        <w:t>完成服务的</w:t>
      </w:r>
      <w:r>
        <w:rPr>
          <w:rFonts w:hint="eastAsia" w:asciiTheme="minorEastAsia" w:hAnsiTheme="minorEastAsia" w:eastAsiaTheme="minorEastAsia" w:cstheme="minorEastAsia"/>
          <w:sz w:val="24"/>
          <w:szCs w:val="24"/>
          <w:highlight w:val="none"/>
        </w:rPr>
        <w:t>所有费用。因</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自身原因造成漏报、少报皆由其自行承担责任，采购人不再补偿。</w:t>
      </w:r>
    </w:p>
    <w:bookmarkEnd w:id="99"/>
    <w:p w14:paraId="2E5C1DF9">
      <w:pPr>
        <w:pStyle w:val="4"/>
        <w:numPr>
          <w:ilvl w:val="0"/>
          <w:numId w:val="0"/>
        </w:numPr>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bookmarkStart w:id="105" w:name="_Toc27839"/>
      <w:r>
        <w:rPr>
          <w:rFonts w:hint="eastAsia" w:asciiTheme="minorEastAsia" w:hAnsiTheme="minorEastAsia" w:eastAsiaTheme="minorEastAsia" w:cstheme="minorEastAsia"/>
          <w:b/>
          <w:kern w:val="2"/>
          <w:sz w:val="24"/>
          <w:lang w:val="en-US" w:eastAsia="zh-CN" w:bidi="ar-SA"/>
        </w:rPr>
        <w:t>三、</w:t>
      </w:r>
      <w:r>
        <w:rPr>
          <w:rFonts w:hint="eastAsia" w:asciiTheme="minorEastAsia" w:hAnsiTheme="minorEastAsia" w:eastAsiaTheme="minorEastAsia" w:cstheme="minorEastAsia"/>
          <w:sz w:val="24"/>
          <w:highlight w:val="none"/>
        </w:rPr>
        <w:t>付款方式</w:t>
      </w:r>
      <w:bookmarkEnd w:id="100"/>
      <w:bookmarkEnd w:id="101"/>
      <w:bookmarkEnd w:id="102"/>
      <w:bookmarkEnd w:id="103"/>
      <w:bookmarkEnd w:id="104"/>
      <w:bookmarkEnd w:id="105"/>
    </w:p>
    <w:p w14:paraId="415E3F2E">
      <w:pPr>
        <w:pStyle w:val="4"/>
        <w:adjustRightInd w:val="0"/>
        <w:snapToGrid w:val="0"/>
        <w:spacing w:before="0" w:after="0" w:line="360" w:lineRule="auto"/>
        <w:ind w:firstLine="480" w:firstLineChars="200"/>
        <w:rPr>
          <w:rFonts w:hint="default" w:asciiTheme="minorEastAsia" w:hAnsiTheme="minorEastAsia" w:eastAsiaTheme="minorEastAsia" w:cstheme="minorEastAsia"/>
          <w:b w:val="0"/>
          <w:bCs/>
          <w:sz w:val="24"/>
          <w:highlight w:val="none"/>
          <w:lang w:val="en-US" w:eastAsia="zh-CN"/>
        </w:rPr>
      </w:pPr>
      <w:bookmarkStart w:id="106" w:name="_Toc7228"/>
      <w:bookmarkStart w:id="107" w:name="_Toc24751"/>
      <w:bookmarkStart w:id="108" w:name="_Toc65660346"/>
      <w:bookmarkStart w:id="109" w:name="_Toc18363"/>
      <w:bookmarkStart w:id="110" w:name="_Toc4005"/>
      <w:bookmarkStart w:id="111" w:name="_Toc4627"/>
      <w:r>
        <w:rPr>
          <w:rFonts w:hint="eastAsia" w:asciiTheme="minorEastAsia" w:hAnsiTheme="minorEastAsia" w:eastAsiaTheme="minorEastAsia" w:cstheme="minorEastAsia"/>
          <w:b w:val="0"/>
          <w:bCs/>
          <w:sz w:val="24"/>
          <w:highlight w:val="none"/>
        </w:rPr>
        <w:t>（一）采取月结方式，根据成交单价，按照单月实际转运车数进行据实结算，具体结算日期和付款方式由采购人和成交供应商在合同中细化约定。</w:t>
      </w:r>
    </w:p>
    <w:p w14:paraId="04C0AAB0">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r>
        <w:rPr>
          <w:rFonts w:hint="eastAsia" w:asciiTheme="minorEastAsia" w:hAnsiTheme="minorEastAsia" w:eastAsiaTheme="minorEastAsia" w:cstheme="minorEastAsia"/>
          <w:b w:val="0"/>
          <w:bCs/>
          <w:sz w:val="24"/>
          <w:highlight w:val="none"/>
        </w:rPr>
        <w:t>（</w:t>
      </w:r>
      <w:r>
        <w:rPr>
          <w:rFonts w:hint="eastAsia" w:asciiTheme="minorEastAsia" w:hAnsiTheme="minorEastAsia" w:eastAsiaTheme="minorEastAsia" w:cstheme="minorEastAsia"/>
          <w:b w:val="0"/>
          <w:bCs/>
          <w:sz w:val="24"/>
          <w:highlight w:val="none"/>
          <w:lang w:val="en-US" w:eastAsia="zh-CN"/>
        </w:rPr>
        <w:t>二</w:t>
      </w:r>
      <w:r>
        <w:rPr>
          <w:rFonts w:hint="eastAsia" w:asciiTheme="minorEastAsia" w:hAnsiTheme="minorEastAsia" w:eastAsiaTheme="minorEastAsia" w:cstheme="minorEastAsia"/>
          <w:b w:val="0"/>
          <w:bCs/>
          <w:sz w:val="24"/>
          <w:highlight w:val="none"/>
        </w:rPr>
        <w:t>）</w:t>
      </w:r>
      <w:r>
        <w:rPr>
          <w:rFonts w:hint="eastAsia" w:asciiTheme="minorEastAsia" w:hAnsiTheme="minorEastAsia" w:eastAsiaTheme="minorEastAsia" w:cstheme="minorEastAsia"/>
          <w:b w:val="0"/>
          <w:bCs/>
          <w:sz w:val="24"/>
          <w:highlight w:val="none"/>
          <w:lang w:val="en-US" w:eastAsia="zh-CN"/>
        </w:rPr>
        <w:t>单月</w:t>
      </w:r>
      <w:r>
        <w:rPr>
          <w:rFonts w:hint="eastAsia" w:asciiTheme="minorEastAsia" w:hAnsiTheme="minorEastAsia" w:eastAsiaTheme="minorEastAsia" w:cstheme="minorEastAsia"/>
          <w:b w:val="0"/>
          <w:bCs/>
          <w:sz w:val="24"/>
          <w:highlight w:val="none"/>
        </w:rPr>
        <w:t>结算价格=</w:t>
      </w:r>
      <w:r>
        <w:rPr>
          <w:rFonts w:hint="eastAsia" w:asciiTheme="minorEastAsia" w:hAnsiTheme="minorEastAsia" w:eastAsiaTheme="minorEastAsia" w:cstheme="minorEastAsia"/>
          <w:b w:val="0"/>
          <w:bCs/>
          <w:sz w:val="24"/>
          <w:highlight w:val="none"/>
          <w:lang w:val="en-US" w:eastAsia="zh-CN"/>
        </w:rPr>
        <w:t>结算月单车合同价</w:t>
      </w:r>
      <w:r>
        <w:rPr>
          <w:rFonts w:hint="eastAsia" w:asciiTheme="minorEastAsia" w:hAnsiTheme="minorEastAsia" w:eastAsiaTheme="minorEastAsia" w:cstheme="minorEastAsia"/>
          <w:b w:val="0"/>
          <w:bCs/>
          <w:sz w:val="24"/>
          <w:highlight w:val="none"/>
        </w:rPr>
        <w:t>×</w:t>
      </w:r>
      <w:r>
        <w:rPr>
          <w:rFonts w:hint="eastAsia" w:asciiTheme="minorEastAsia" w:hAnsiTheme="minorEastAsia" w:eastAsiaTheme="minorEastAsia" w:cstheme="minorEastAsia"/>
          <w:b w:val="0"/>
          <w:bCs/>
          <w:sz w:val="24"/>
          <w:highlight w:val="none"/>
          <w:lang w:val="en-US" w:eastAsia="zh-CN"/>
        </w:rPr>
        <w:t>结算月</w:t>
      </w:r>
      <w:r>
        <w:rPr>
          <w:rFonts w:hint="eastAsia" w:asciiTheme="minorEastAsia" w:hAnsiTheme="minorEastAsia" w:eastAsiaTheme="minorEastAsia" w:cstheme="minorEastAsia"/>
          <w:b w:val="0"/>
          <w:bCs/>
          <w:sz w:val="24"/>
          <w:highlight w:val="none"/>
        </w:rPr>
        <w:t>实际</w:t>
      </w:r>
      <w:r>
        <w:rPr>
          <w:rFonts w:hint="eastAsia" w:asciiTheme="minorEastAsia" w:hAnsiTheme="minorEastAsia" w:eastAsiaTheme="minorEastAsia" w:cstheme="minorEastAsia"/>
          <w:b w:val="0"/>
          <w:bCs/>
          <w:sz w:val="24"/>
          <w:highlight w:val="none"/>
          <w:lang w:val="en-US" w:eastAsia="zh-CN"/>
        </w:rPr>
        <w:t>转运车</w:t>
      </w:r>
      <w:r>
        <w:rPr>
          <w:rFonts w:hint="eastAsia" w:asciiTheme="minorEastAsia" w:hAnsiTheme="minorEastAsia" w:eastAsiaTheme="minorEastAsia" w:cstheme="minorEastAsia"/>
          <w:b w:val="0"/>
          <w:bCs/>
          <w:sz w:val="24"/>
          <w:highlight w:val="none"/>
        </w:rPr>
        <w:t>数。</w:t>
      </w:r>
    </w:p>
    <w:p w14:paraId="7EBCD01B">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四</w:t>
      </w:r>
      <w:r>
        <w:rPr>
          <w:rFonts w:hint="eastAsia" w:asciiTheme="minorEastAsia" w:hAnsiTheme="minorEastAsia" w:eastAsiaTheme="minorEastAsia" w:cstheme="minorEastAsia"/>
          <w:sz w:val="24"/>
          <w:highlight w:val="none"/>
        </w:rPr>
        <w:t>、知识产权</w:t>
      </w:r>
      <w:bookmarkEnd w:id="106"/>
      <w:bookmarkEnd w:id="107"/>
      <w:bookmarkEnd w:id="108"/>
      <w:bookmarkEnd w:id="109"/>
      <w:bookmarkEnd w:id="110"/>
      <w:bookmarkEnd w:id="111"/>
    </w:p>
    <w:p w14:paraId="7818611C">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0D59714">
      <w:pPr>
        <w:pStyle w:val="4"/>
        <w:spacing w:before="0" w:after="0" w:line="360" w:lineRule="auto"/>
        <w:ind w:firstLine="482" w:firstLineChars="200"/>
        <w:rPr>
          <w:rFonts w:hint="eastAsia" w:asciiTheme="minorEastAsia" w:hAnsiTheme="minorEastAsia" w:eastAsiaTheme="minorEastAsia" w:cstheme="minorEastAsia"/>
          <w:sz w:val="24"/>
          <w:szCs w:val="24"/>
          <w:highlight w:val="none"/>
        </w:rPr>
      </w:pPr>
      <w:bookmarkStart w:id="112" w:name="_Toc13959"/>
      <w:bookmarkStart w:id="113" w:name="_Toc107816963"/>
      <w:bookmarkStart w:id="114" w:name="_Toc26250"/>
      <w:bookmarkStart w:id="115" w:name="_Toc1109"/>
      <w:bookmarkStart w:id="116" w:name="_Toc7267"/>
      <w:bookmarkStart w:id="117" w:name="_Toc10084"/>
      <w:bookmarkStart w:id="118" w:name="_Toc682"/>
      <w:bookmarkStart w:id="119" w:name="_Toc72824318"/>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、违约责任</w:t>
      </w:r>
      <w:bookmarkEnd w:id="112"/>
      <w:bookmarkEnd w:id="113"/>
      <w:bookmarkEnd w:id="114"/>
      <w:bookmarkEnd w:id="115"/>
      <w:bookmarkEnd w:id="116"/>
      <w:bookmarkEnd w:id="117"/>
      <w:bookmarkEnd w:id="118"/>
    </w:p>
    <w:p w14:paraId="39C40A3A">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（一）如成交供应商不能按时按量完成服务的，采购人有权单方面解除合同，同时根据给采购人造成损失情况向需方赔偿。</w:t>
      </w:r>
    </w:p>
    <w:p w14:paraId="0B5C028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（二）若成交供应商所供服务不符合合同及采购文件要求的质量、服务标准的或履约过程中有违约行为的，采购人有权</w:t>
      </w:r>
      <w:r>
        <w:rPr>
          <w:rFonts w:hint="eastAsia" w:asciiTheme="minorEastAsia" w:hAnsiTheme="minorEastAsia" w:eastAsiaTheme="minorEastAsia" w:cstheme="minorEastAsia"/>
          <w:sz w:val="24"/>
          <w:szCs w:val="24"/>
          <w:highlight w:val="none"/>
          <w:lang w:val="en-US" w:eastAsia="zh-CN"/>
        </w:rPr>
        <w:t>进行考核处罚，严重的可</w:t>
      </w:r>
      <w:r>
        <w:rPr>
          <w:rFonts w:hint="eastAsia" w:asciiTheme="minorEastAsia" w:hAnsiTheme="minorEastAsia" w:eastAsiaTheme="minorEastAsia" w:cstheme="minorEastAsia"/>
          <w:sz w:val="24"/>
          <w:szCs w:val="24"/>
          <w:highlight w:val="none"/>
        </w:rPr>
        <w:t>单方面解除合同，同时保留追究由此给采购人造成损失责任的权力。</w:t>
      </w:r>
    </w:p>
    <w:p w14:paraId="4B52C735">
      <w:pPr>
        <w:pStyle w:val="4"/>
        <w:spacing w:before="0" w:after="0" w:line="360" w:lineRule="auto"/>
        <w:ind w:firstLine="482" w:firstLineChars="200"/>
        <w:rPr>
          <w:rFonts w:hint="eastAsia" w:asciiTheme="minorEastAsia" w:hAnsiTheme="minorEastAsia" w:eastAsiaTheme="minorEastAsia" w:cstheme="minorEastAsia"/>
          <w:sz w:val="24"/>
          <w:szCs w:val="24"/>
          <w:highlight w:val="none"/>
        </w:rPr>
      </w:pPr>
      <w:bookmarkStart w:id="120" w:name="_Toc29398"/>
      <w:bookmarkStart w:id="121" w:name="_Toc1853"/>
      <w:bookmarkStart w:id="122" w:name="_Toc13891"/>
      <w:bookmarkStart w:id="123" w:name="_Toc24771"/>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w:t>
      </w:r>
      <w:bookmarkStart w:id="124" w:name="_Toc344475125"/>
      <w:r>
        <w:rPr>
          <w:rFonts w:hint="eastAsia" w:asciiTheme="minorEastAsia" w:hAnsiTheme="minorEastAsia" w:eastAsiaTheme="minorEastAsia" w:cstheme="minorEastAsia"/>
          <w:sz w:val="24"/>
          <w:szCs w:val="24"/>
          <w:highlight w:val="none"/>
        </w:rPr>
        <w:t>其他</w:t>
      </w:r>
      <w:bookmarkEnd w:id="119"/>
      <w:bookmarkEnd w:id="120"/>
      <w:bookmarkEnd w:id="121"/>
      <w:bookmarkEnd w:id="122"/>
      <w:bookmarkEnd w:id="123"/>
    </w:p>
    <w:bookmarkEnd w:id="124"/>
    <w:p w14:paraId="0E47C470">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其他未尽事宜，由采购人与成交供应商双方在采购合同中详细约定。</w:t>
      </w:r>
    </w:p>
    <w:p w14:paraId="0CADC181">
      <w:pPr>
        <w:spacing w:line="360" w:lineRule="auto"/>
        <w:ind w:firstLine="480" w:firstLineChars="200"/>
        <w:rPr>
          <w:rFonts w:hint="eastAsia" w:asciiTheme="minorEastAsia" w:hAnsiTheme="minorEastAsia" w:eastAsiaTheme="minorEastAsia" w:cstheme="minorEastAsia"/>
          <w:sz w:val="24"/>
          <w:szCs w:val="24"/>
          <w:highlight w:val="none"/>
        </w:rPr>
      </w:pPr>
    </w:p>
    <w:p w14:paraId="2718B5DE">
      <w:pPr>
        <w:pStyle w:val="3"/>
        <w:tabs>
          <w:tab w:val="left" w:pos="720"/>
        </w:tabs>
        <w:spacing w:before="240" w:after="24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val="0"/>
          <w:sz w:val="36"/>
          <w:szCs w:val="30"/>
          <w:highlight w:val="none"/>
        </w:rPr>
        <w:br w:type="page"/>
      </w:r>
      <w:bookmarkStart w:id="125" w:name="_Toc71201060"/>
      <w:bookmarkStart w:id="126" w:name="_Toc42702292"/>
      <w:bookmarkStart w:id="127" w:name="_Toc90373246"/>
      <w:bookmarkStart w:id="128" w:name="_Toc22126097"/>
      <w:bookmarkStart w:id="129" w:name="_Toc8871"/>
      <w:bookmarkStart w:id="130" w:name="_Toc6619"/>
      <w:bookmarkStart w:id="131" w:name="_Toc8667"/>
      <w:bookmarkStart w:id="132" w:name="_Toc12139"/>
      <w:bookmarkStart w:id="133" w:name="_Toc16426"/>
      <w:bookmarkStart w:id="134" w:name="_Toc456"/>
      <w:bookmarkStart w:id="135" w:name="_Toc16999"/>
      <w:bookmarkStart w:id="136" w:name="_Toc18784"/>
      <w:bookmarkStart w:id="137" w:name="_Toc18726"/>
      <w:bookmarkStart w:id="138" w:name="_Toc23980"/>
      <w:r>
        <w:rPr>
          <w:rFonts w:hint="eastAsia" w:asciiTheme="minorEastAsia" w:hAnsiTheme="minorEastAsia" w:eastAsiaTheme="minorEastAsia" w:cstheme="minorEastAsia"/>
          <w:b/>
          <w:bCs/>
          <w:kern w:val="2"/>
          <w:sz w:val="36"/>
          <w:szCs w:val="30"/>
          <w:highlight w:val="none"/>
          <w:lang w:val="en-US" w:eastAsia="zh-CN" w:bidi="ar-SA"/>
        </w:rPr>
        <w:t xml:space="preserve">第四篇  </w:t>
      </w:r>
      <w:bookmarkEnd w:id="125"/>
      <w:bookmarkEnd w:id="126"/>
      <w:bookmarkEnd w:id="127"/>
      <w:bookmarkEnd w:id="128"/>
      <w:bookmarkEnd w:id="129"/>
      <w:r>
        <w:rPr>
          <w:rFonts w:hint="eastAsia" w:asciiTheme="minorEastAsia" w:hAnsiTheme="minorEastAsia" w:eastAsiaTheme="minorEastAsia" w:cstheme="minorEastAsia"/>
          <w:b/>
          <w:bCs/>
          <w:kern w:val="2"/>
          <w:sz w:val="36"/>
          <w:szCs w:val="30"/>
          <w:highlight w:val="none"/>
          <w:lang w:val="en-US" w:eastAsia="zh-CN" w:bidi="ar-SA"/>
        </w:rPr>
        <w:t>采购程序、评定成交的标准、无效谈判及采购终止</w:t>
      </w:r>
      <w:bookmarkEnd w:id="130"/>
      <w:bookmarkEnd w:id="131"/>
      <w:bookmarkEnd w:id="132"/>
      <w:bookmarkEnd w:id="133"/>
      <w:bookmarkEnd w:id="134"/>
      <w:bookmarkEnd w:id="135"/>
      <w:bookmarkEnd w:id="136"/>
      <w:bookmarkEnd w:id="137"/>
      <w:bookmarkEnd w:id="138"/>
    </w:p>
    <w:p w14:paraId="30B2F6D0">
      <w:pPr>
        <w:snapToGrid w:val="0"/>
        <w:spacing w:line="360" w:lineRule="auto"/>
        <w:ind w:firstLine="540"/>
        <w:rPr>
          <w:rFonts w:hint="eastAsia" w:asciiTheme="minorEastAsia" w:hAnsiTheme="minorEastAsia" w:eastAsiaTheme="minorEastAsia" w:cstheme="minorEastAsia"/>
          <w:b/>
          <w:bCs/>
          <w:sz w:val="24"/>
          <w:szCs w:val="24"/>
          <w:highlight w:val="none"/>
        </w:rPr>
      </w:pPr>
      <w:bookmarkStart w:id="139" w:name="_Toc8825"/>
      <w:bookmarkStart w:id="140" w:name="_Toc17962"/>
      <w:bookmarkStart w:id="141" w:name="_Toc3232"/>
      <w:bookmarkStart w:id="142" w:name="_Toc90373247"/>
      <w:bookmarkStart w:id="143" w:name="_Toc30992"/>
      <w:bookmarkStart w:id="144" w:name="_Toc71201061"/>
      <w:bookmarkStart w:id="145" w:name="_Toc32665"/>
      <w:bookmarkStart w:id="146" w:name="_Toc22687"/>
      <w:bookmarkStart w:id="147" w:name="_Toc45114053"/>
      <w:bookmarkStart w:id="148" w:name="_Toc13710"/>
      <w:bookmarkStart w:id="149" w:name="_Toc45114054"/>
      <w:r>
        <w:rPr>
          <w:rFonts w:hint="eastAsia" w:asciiTheme="minorEastAsia" w:hAnsiTheme="minorEastAsia" w:eastAsiaTheme="minorEastAsia" w:cstheme="minorEastAsia"/>
          <w:b/>
          <w:bCs/>
          <w:sz w:val="24"/>
          <w:szCs w:val="24"/>
          <w:highlight w:val="none"/>
        </w:rPr>
        <w:t>一、谈判程序</w:t>
      </w:r>
      <w:bookmarkEnd w:id="139"/>
      <w:bookmarkEnd w:id="140"/>
      <w:bookmarkEnd w:id="141"/>
      <w:bookmarkEnd w:id="142"/>
      <w:bookmarkEnd w:id="143"/>
      <w:bookmarkEnd w:id="144"/>
      <w:bookmarkEnd w:id="145"/>
      <w:bookmarkEnd w:id="146"/>
      <w:bookmarkEnd w:id="147"/>
      <w:bookmarkEnd w:id="148"/>
    </w:p>
    <w:p w14:paraId="62E158EE">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（一）谈判按竞争性谈判文件规定的时间和地点进行。供应商须有法定代表人（或其授权代表）或自然人参加并签到。</w:t>
      </w:r>
    </w:p>
    <w:p w14:paraId="2CF47E82">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（二）竞争性谈判</w:t>
      </w:r>
      <w:r>
        <w:rPr>
          <w:rFonts w:hint="eastAsia" w:asciiTheme="minorEastAsia" w:hAnsiTheme="minorEastAsia" w:eastAsiaTheme="minorEastAsia" w:cstheme="minorEastAsia"/>
          <w:sz w:val="24"/>
          <w:szCs w:val="24"/>
          <w:highlight w:val="none"/>
          <w:lang w:eastAsia="zh-Hans"/>
        </w:rPr>
        <w:t>顺序按供应商</w:t>
      </w: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eastAsia="zh-Hans"/>
        </w:rPr>
        <w:t>文件递交签到顺序确定</w:t>
      </w:r>
      <w:r>
        <w:rPr>
          <w:rFonts w:hint="eastAsia" w:asciiTheme="minorEastAsia" w:hAnsiTheme="minorEastAsia" w:eastAsiaTheme="minorEastAsia" w:cstheme="minorEastAsia"/>
          <w:sz w:val="24"/>
          <w:szCs w:val="24"/>
          <w:highlight w:val="none"/>
        </w:rPr>
        <w:t>，由本项目谈判小组分别与各供应商进行谈判。在谈判前，对各供应商的资格条件、实质性响应等进行审查。</w:t>
      </w:r>
    </w:p>
    <w:p w14:paraId="2BBE01E5">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1.资格性审查。依据法律法规和竞争性谈判文件的规定，对响应文件中的资格证明材料等进行审查。资格性审查内容如下：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14B6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596CF522">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77AD1347">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2A1D4D59">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检查内容</w:t>
            </w:r>
          </w:p>
        </w:tc>
      </w:tr>
      <w:tr w14:paraId="3422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49A7C12">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p>
        </w:tc>
        <w:tc>
          <w:tcPr>
            <w:tcW w:w="709" w:type="dxa"/>
            <w:vMerge w:val="restart"/>
            <w:noWrap w:val="0"/>
            <w:vAlign w:val="center"/>
          </w:tcPr>
          <w:p w14:paraId="3286145C">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《中华人民共和国政府采购法》第二十二条规定</w:t>
            </w:r>
          </w:p>
        </w:tc>
        <w:tc>
          <w:tcPr>
            <w:tcW w:w="2835" w:type="dxa"/>
            <w:noWrap w:val="0"/>
            <w:vAlign w:val="center"/>
          </w:tcPr>
          <w:p w14:paraId="5762AC61">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w:t>
            </w:r>
          </w:p>
        </w:tc>
        <w:tc>
          <w:tcPr>
            <w:tcW w:w="5267" w:type="dxa"/>
            <w:noWrap w:val="0"/>
            <w:vAlign w:val="center"/>
          </w:tcPr>
          <w:p w14:paraId="4A6D24D2">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1.供应商法人营业执照（副本）或事业单位法人证书（副本）或个体工商户营业执照或有效的自然人身份证明或社会团体法人登记证书（提供复印件）。</w:t>
            </w:r>
          </w:p>
          <w:p w14:paraId="189BC5DA">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2.供应商法定代表人身份证明和法定代表人授权代表委托书。</w:t>
            </w:r>
          </w:p>
        </w:tc>
      </w:tr>
      <w:tr w14:paraId="184F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71514B">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bookmarkStart w:id="817" w:name="_GoBack" w:colFirst="3" w:colLast="3"/>
          </w:p>
        </w:tc>
        <w:tc>
          <w:tcPr>
            <w:tcW w:w="709" w:type="dxa"/>
            <w:vMerge w:val="continue"/>
            <w:noWrap w:val="0"/>
            <w:vAlign w:val="center"/>
          </w:tcPr>
          <w:p w14:paraId="792D9C10">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p>
        </w:tc>
        <w:tc>
          <w:tcPr>
            <w:tcW w:w="2835" w:type="dxa"/>
            <w:noWrap w:val="0"/>
            <w:vAlign w:val="center"/>
          </w:tcPr>
          <w:p w14:paraId="120A356B">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eastAsiaTheme="minorEastAsia" w:cstheme="minorEastAsia"/>
                <w:sz w:val="24"/>
                <w:szCs w:val="24"/>
                <w:highlight w:val="none"/>
              </w:rPr>
              <w:t>具有良好的商业信誉和健全的财务会计制度</w:t>
            </w:r>
          </w:p>
        </w:tc>
        <w:tc>
          <w:tcPr>
            <w:tcW w:w="5267" w:type="dxa"/>
            <w:vMerge w:val="restart"/>
            <w:noWrap w:val="0"/>
            <w:vAlign w:val="center"/>
          </w:tcPr>
          <w:p w14:paraId="26A33178">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供应商提供“基本资格条件承诺函”（格式详见第七篇）</w:t>
            </w:r>
          </w:p>
        </w:tc>
      </w:tr>
      <w:bookmarkEnd w:id="817"/>
      <w:tr w14:paraId="6CE4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139775B">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709" w:type="dxa"/>
            <w:vMerge w:val="continue"/>
            <w:noWrap w:val="0"/>
            <w:vAlign w:val="center"/>
          </w:tcPr>
          <w:p w14:paraId="3505625D">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p>
        </w:tc>
        <w:tc>
          <w:tcPr>
            <w:tcW w:w="2835" w:type="dxa"/>
            <w:noWrap w:val="0"/>
            <w:vAlign w:val="center"/>
          </w:tcPr>
          <w:p w14:paraId="00DF20D4">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3.具有履行合同所必需的设备和专业技术能力</w:t>
            </w:r>
          </w:p>
        </w:tc>
        <w:tc>
          <w:tcPr>
            <w:tcW w:w="5267" w:type="dxa"/>
            <w:vMerge w:val="continue"/>
            <w:tcBorders/>
            <w:noWrap w:val="0"/>
            <w:vAlign w:val="center"/>
          </w:tcPr>
          <w:p w14:paraId="195407EC">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r>
      <w:tr w14:paraId="339F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9561D89">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709" w:type="dxa"/>
            <w:vMerge w:val="continue"/>
            <w:noWrap w:val="0"/>
            <w:vAlign w:val="center"/>
          </w:tcPr>
          <w:p w14:paraId="3686E5B6">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p>
        </w:tc>
        <w:tc>
          <w:tcPr>
            <w:tcW w:w="2835" w:type="dxa"/>
            <w:noWrap w:val="0"/>
            <w:vAlign w:val="center"/>
          </w:tcPr>
          <w:p w14:paraId="5B584E08">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4.有依法缴纳税收和社会保障金的良好记录</w:t>
            </w:r>
          </w:p>
        </w:tc>
        <w:tc>
          <w:tcPr>
            <w:tcW w:w="5267" w:type="dxa"/>
            <w:vMerge w:val="continue"/>
            <w:tcBorders/>
            <w:noWrap w:val="0"/>
            <w:vAlign w:val="center"/>
          </w:tcPr>
          <w:p w14:paraId="6106D4D5">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r>
      <w:tr w14:paraId="3BF1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17" w:type="dxa"/>
            <w:vMerge w:val="continue"/>
            <w:noWrap w:val="0"/>
            <w:vAlign w:val="center"/>
          </w:tcPr>
          <w:p w14:paraId="3C2CD100">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709" w:type="dxa"/>
            <w:vMerge w:val="continue"/>
            <w:noWrap w:val="0"/>
            <w:vAlign w:val="center"/>
          </w:tcPr>
          <w:p w14:paraId="495D386F">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p>
        </w:tc>
        <w:tc>
          <w:tcPr>
            <w:tcW w:w="2835" w:type="dxa"/>
            <w:noWrap w:val="0"/>
            <w:vAlign w:val="center"/>
          </w:tcPr>
          <w:p w14:paraId="47925F76">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5.参加采购活动前三年内，在经营活动中没有重大违法记录</w:t>
            </w:r>
          </w:p>
        </w:tc>
        <w:tc>
          <w:tcPr>
            <w:tcW w:w="5267" w:type="dxa"/>
            <w:vMerge w:val="continue"/>
            <w:tcBorders/>
            <w:noWrap w:val="0"/>
            <w:vAlign w:val="center"/>
          </w:tcPr>
          <w:p w14:paraId="78836D1B">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r>
      <w:tr w14:paraId="22F7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6DA3DD7">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709" w:type="dxa"/>
            <w:vMerge w:val="continue"/>
            <w:noWrap w:val="0"/>
            <w:vAlign w:val="center"/>
          </w:tcPr>
          <w:p w14:paraId="4999DE04">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2835" w:type="dxa"/>
            <w:noWrap w:val="0"/>
            <w:vAlign w:val="center"/>
          </w:tcPr>
          <w:p w14:paraId="0BAD2AF5">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6.法律、行政法规规定的其他条件</w:t>
            </w:r>
          </w:p>
        </w:tc>
        <w:tc>
          <w:tcPr>
            <w:tcW w:w="5267" w:type="dxa"/>
            <w:vMerge w:val="continue"/>
            <w:tcBorders/>
            <w:noWrap w:val="0"/>
            <w:vAlign w:val="center"/>
          </w:tcPr>
          <w:p w14:paraId="03D26594">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r>
      <w:tr w14:paraId="40BC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2C59C03">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709" w:type="dxa"/>
            <w:vMerge w:val="continue"/>
            <w:noWrap w:val="0"/>
            <w:vAlign w:val="center"/>
          </w:tcPr>
          <w:p w14:paraId="3785FE47">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2835" w:type="dxa"/>
            <w:noWrap w:val="0"/>
            <w:vAlign w:val="center"/>
          </w:tcPr>
          <w:p w14:paraId="23D60F26">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7.本项目的特定资格要求</w:t>
            </w:r>
          </w:p>
        </w:tc>
        <w:tc>
          <w:tcPr>
            <w:tcW w:w="5267" w:type="dxa"/>
            <w:noWrap w:val="0"/>
            <w:vAlign w:val="center"/>
          </w:tcPr>
          <w:p w14:paraId="38E3CBE3">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按“第一篇三、供应商资格要求（三）本项目的特定资格要求”的要求提交（如果有）。</w:t>
            </w:r>
          </w:p>
        </w:tc>
      </w:tr>
      <w:tr w14:paraId="6C3D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0225224">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p>
        </w:tc>
        <w:tc>
          <w:tcPr>
            <w:tcW w:w="3544" w:type="dxa"/>
            <w:gridSpan w:val="2"/>
            <w:noWrap w:val="0"/>
            <w:vAlign w:val="center"/>
          </w:tcPr>
          <w:p w14:paraId="7FA9D9B4">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落实政府采购政策需满足的资格要求</w:t>
            </w:r>
          </w:p>
        </w:tc>
        <w:tc>
          <w:tcPr>
            <w:tcW w:w="5267" w:type="dxa"/>
            <w:noWrap w:val="0"/>
            <w:vAlign w:val="center"/>
          </w:tcPr>
          <w:p w14:paraId="245787C2">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按“第一篇三、供应商资格要求（二）落实政府采购政策需满足的资格要求”的要求提交（如果有）。</w:t>
            </w:r>
          </w:p>
        </w:tc>
      </w:tr>
    </w:tbl>
    <w:p w14:paraId="5C391C55">
      <w:pPr>
        <w:snapToGrid w:val="0"/>
        <w:spacing w:line="360" w:lineRule="auto"/>
        <w:ind w:firstLine="540"/>
        <w:rPr>
          <w:rFonts w:hint="eastAsia" w:asciiTheme="minorEastAsia" w:hAnsiTheme="minorEastAsia" w:eastAsiaTheme="minorEastAsia" w:cstheme="minorEastAsia"/>
          <w:sz w:val="24"/>
          <w:szCs w:val="24"/>
          <w:highlight w:val="none"/>
        </w:rPr>
      </w:pPr>
    </w:p>
    <w:p w14:paraId="73AAA15E">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w:t>
      </w:r>
    </w:p>
    <w:p w14:paraId="36932193">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C7FB935">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0B4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5C9557D">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694" w:type="dxa"/>
            <w:noWrap w:val="0"/>
            <w:vAlign w:val="center"/>
          </w:tcPr>
          <w:p w14:paraId="34AC4C75">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审查因素</w:t>
            </w:r>
          </w:p>
        </w:tc>
        <w:tc>
          <w:tcPr>
            <w:tcW w:w="6259" w:type="dxa"/>
            <w:noWrap w:val="0"/>
            <w:vAlign w:val="center"/>
          </w:tcPr>
          <w:p w14:paraId="375BBD3F">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审查标准</w:t>
            </w:r>
          </w:p>
        </w:tc>
      </w:tr>
      <w:tr w14:paraId="3DA9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251F6B7">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694" w:type="dxa"/>
            <w:noWrap w:val="0"/>
            <w:vAlign w:val="center"/>
          </w:tcPr>
          <w:p w14:paraId="02BD2C17">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响应文件签署或盖章</w:t>
            </w:r>
          </w:p>
        </w:tc>
        <w:tc>
          <w:tcPr>
            <w:tcW w:w="6259" w:type="dxa"/>
            <w:noWrap w:val="0"/>
            <w:vAlign w:val="center"/>
          </w:tcPr>
          <w:p w14:paraId="5AE60630">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按“第七篇响应文件格式要求”要求签署或盖章</w:t>
            </w:r>
          </w:p>
        </w:tc>
      </w:tr>
      <w:tr w14:paraId="1ECD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036BE80">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2694" w:type="dxa"/>
            <w:noWrap w:val="0"/>
            <w:vAlign w:val="center"/>
          </w:tcPr>
          <w:p w14:paraId="36ECBD4F">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法定代表人身份证明及授权委托书</w:t>
            </w:r>
          </w:p>
        </w:tc>
        <w:tc>
          <w:tcPr>
            <w:tcW w:w="6259" w:type="dxa"/>
            <w:noWrap w:val="0"/>
            <w:vAlign w:val="center"/>
          </w:tcPr>
          <w:p w14:paraId="57F23CDE">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法定代表人身份证明及授权委托书有效，符合竞争性谈判文件规定的格式，签署或盖章齐全。</w:t>
            </w:r>
          </w:p>
        </w:tc>
      </w:tr>
      <w:tr w14:paraId="29EC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98F64F6">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2694" w:type="dxa"/>
            <w:noWrap w:val="0"/>
            <w:vAlign w:val="center"/>
          </w:tcPr>
          <w:p w14:paraId="60845131">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方案</w:t>
            </w:r>
          </w:p>
        </w:tc>
        <w:tc>
          <w:tcPr>
            <w:tcW w:w="6259" w:type="dxa"/>
            <w:noWrap w:val="0"/>
            <w:vAlign w:val="center"/>
          </w:tcPr>
          <w:p w14:paraId="3DC7533F">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只能有一个</w:t>
            </w: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方案。</w:t>
            </w:r>
          </w:p>
        </w:tc>
      </w:tr>
      <w:tr w14:paraId="2DE1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CA316FA">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2694" w:type="dxa"/>
            <w:noWrap w:val="0"/>
            <w:vAlign w:val="center"/>
          </w:tcPr>
          <w:p w14:paraId="680B4261">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报价唯一</w:t>
            </w:r>
          </w:p>
        </w:tc>
        <w:tc>
          <w:tcPr>
            <w:tcW w:w="6259" w:type="dxa"/>
            <w:noWrap w:val="0"/>
            <w:vAlign w:val="center"/>
          </w:tcPr>
          <w:p w14:paraId="7D6F3920">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只能有一个有效报价，不得提交选择性报价。</w:t>
            </w:r>
          </w:p>
        </w:tc>
      </w:tr>
      <w:tr w14:paraId="7EF8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04D8DDD1">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694" w:type="dxa"/>
            <w:noWrap w:val="0"/>
            <w:vAlign w:val="center"/>
          </w:tcPr>
          <w:p w14:paraId="6C6652F7">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文件份数</w:t>
            </w:r>
          </w:p>
        </w:tc>
        <w:tc>
          <w:tcPr>
            <w:tcW w:w="6259" w:type="dxa"/>
            <w:noWrap w:val="0"/>
            <w:vAlign w:val="center"/>
          </w:tcPr>
          <w:p w14:paraId="3BF750F9">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文件正、副本数量（含电子文档）符合</w:t>
            </w:r>
            <w:r>
              <w:rPr>
                <w:rFonts w:hint="eastAsia" w:asciiTheme="minorEastAsia" w:hAnsiTheme="minorEastAsia" w:eastAsiaTheme="minorEastAsia" w:cstheme="minorEastAsia"/>
                <w:sz w:val="24"/>
                <w:szCs w:val="24"/>
                <w:highlight w:val="none"/>
              </w:rPr>
              <w:t>竞争性谈判</w:t>
            </w:r>
            <w:r>
              <w:rPr>
                <w:rFonts w:hint="eastAsia" w:asciiTheme="minorEastAsia" w:hAnsiTheme="minorEastAsia" w:eastAsiaTheme="minorEastAsia" w:cstheme="minorEastAsia"/>
                <w:sz w:val="24"/>
                <w:szCs w:val="24"/>
                <w:highlight w:val="none"/>
                <w:lang w:val="zh-CN"/>
              </w:rPr>
              <w:t>文件要求。</w:t>
            </w:r>
          </w:p>
        </w:tc>
      </w:tr>
      <w:tr w14:paraId="6B42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805D810">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2694" w:type="dxa"/>
            <w:noWrap w:val="0"/>
            <w:vAlign w:val="center"/>
          </w:tcPr>
          <w:p w14:paraId="61AF2A30">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响应文件内容</w:t>
            </w:r>
          </w:p>
        </w:tc>
        <w:tc>
          <w:tcPr>
            <w:tcW w:w="6259" w:type="dxa"/>
            <w:noWrap w:val="0"/>
            <w:vAlign w:val="center"/>
          </w:tcPr>
          <w:p w14:paraId="7C793BFF">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对竞争性谈判文件第二篇、第三篇</w:t>
            </w:r>
            <w:r>
              <w:rPr>
                <w:rFonts w:hint="eastAsia" w:asciiTheme="minorEastAsia" w:hAnsiTheme="minorEastAsia" w:eastAsiaTheme="minorEastAsia" w:cstheme="minorEastAsia"/>
                <w:sz w:val="24"/>
                <w:szCs w:val="24"/>
                <w:highlight w:val="none"/>
                <w:lang w:eastAsia="zh-CN"/>
              </w:rPr>
              <w:t>全部</w:t>
            </w:r>
            <w:r>
              <w:rPr>
                <w:rFonts w:hint="eastAsia" w:asciiTheme="minorEastAsia" w:hAnsiTheme="minorEastAsia" w:eastAsiaTheme="minorEastAsia" w:cstheme="minorEastAsia"/>
                <w:sz w:val="24"/>
                <w:szCs w:val="24"/>
                <w:highlight w:val="none"/>
              </w:rPr>
              <w:t>的谈判内容进行实质性响应。</w:t>
            </w:r>
          </w:p>
        </w:tc>
      </w:tr>
      <w:tr w14:paraId="4502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12E0D1E">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p>
        </w:tc>
        <w:tc>
          <w:tcPr>
            <w:tcW w:w="2694" w:type="dxa"/>
            <w:noWrap w:val="0"/>
            <w:vAlign w:val="center"/>
          </w:tcPr>
          <w:p w14:paraId="3C33EB0B">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谈判有效期</w:t>
            </w:r>
          </w:p>
        </w:tc>
        <w:tc>
          <w:tcPr>
            <w:tcW w:w="6259" w:type="dxa"/>
            <w:noWrap w:val="0"/>
            <w:vAlign w:val="center"/>
          </w:tcPr>
          <w:p w14:paraId="47422062">
            <w:pPr>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响应文件及有关承诺文件有效期为提交响应文件截止时间起90天。</w:t>
            </w:r>
          </w:p>
        </w:tc>
      </w:tr>
    </w:tbl>
    <w:p w14:paraId="74E27CB5">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2D87FE">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6530751">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（四）在谈判过程中谈判的任何一方不得向他人透露与谈判有关的技术资料、价格或其他信息。</w:t>
      </w:r>
    </w:p>
    <w:p w14:paraId="3149650C">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786B7D0">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（六）供应商在谈判时作出的所有书面承诺须由法定代表人（或其授权代表）或自然人（供应商为自然人）签署。</w:t>
      </w:r>
    </w:p>
    <w:p w14:paraId="6E55FEF0">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谈判结束后，谈判小组要求所有参加正式谈判的供应商在规定时间内书面提交最后报价及有关承诺（《最后报价表》在谈判现场向供应商提供）。已提交响应文件但未在规定时间内进行最后报价的供应商，视为放弃最后报价，以供应商响应文件中的报价为准。</w:t>
      </w:r>
    </w:p>
    <w:p w14:paraId="33ACAE0E">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（八）评审的依据为竞争性谈判文件和响应文件（含有效的补充文件）。谈判小组判断响应文件对竞争性谈判文件的响应，仅基于响应文件本身而不靠外部证据。</w:t>
      </w:r>
    </w:p>
    <w:p w14:paraId="0A3641ED">
      <w:pPr>
        <w:snapToGrid w:val="0"/>
        <w:spacing w:line="360" w:lineRule="auto"/>
        <w:ind w:firstLine="540"/>
        <w:rPr>
          <w:rFonts w:hint="eastAsia" w:asciiTheme="minorEastAsia" w:hAnsiTheme="minorEastAsia" w:eastAsiaTheme="minorEastAsia" w:cstheme="minorEastAsia"/>
          <w:b/>
          <w:bCs/>
          <w:sz w:val="24"/>
          <w:szCs w:val="24"/>
          <w:highlight w:val="none"/>
        </w:rPr>
      </w:pPr>
      <w:bookmarkStart w:id="150" w:name="_Toc90373248"/>
      <w:bookmarkStart w:id="151" w:name="_Toc27010"/>
      <w:bookmarkStart w:id="152" w:name="_Toc71201062"/>
      <w:bookmarkStart w:id="153" w:name="_Toc13093"/>
      <w:bookmarkStart w:id="154" w:name="_Toc23084"/>
      <w:bookmarkStart w:id="155" w:name="_Toc21907"/>
      <w:bookmarkStart w:id="156" w:name="_Toc23136"/>
      <w:bookmarkStart w:id="157" w:name="_Toc14085"/>
      <w:bookmarkStart w:id="158" w:name="_Toc17126"/>
      <w:r>
        <w:rPr>
          <w:rFonts w:hint="eastAsia" w:asciiTheme="minorEastAsia" w:hAnsiTheme="minorEastAsia" w:eastAsiaTheme="minorEastAsia" w:cstheme="minorEastAsia"/>
          <w:b/>
          <w:bCs/>
          <w:sz w:val="24"/>
          <w:szCs w:val="24"/>
          <w:highlight w:val="none"/>
        </w:rPr>
        <w:t>二、</w:t>
      </w:r>
      <w:bookmarkEnd w:id="149"/>
      <w:bookmarkEnd w:id="150"/>
      <w:bookmarkEnd w:id="151"/>
      <w:bookmarkEnd w:id="152"/>
      <w:r>
        <w:rPr>
          <w:rFonts w:hint="eastAsia" w:asciiTheme="minorEastAsia" w:hAnsiTheme="minorEastAsia" w:eastAsiaTheme="minorEastAsia" w:cstheme="minorEastAsia"/>
          <w:b/>
          <w:bCs/>
          <w:sz w:val="24"/>
          <w:szCs w:val="24"/>
          <w:highlight w:val="none"/>
        </w:rPr>
        <w:t>评定成交的标准</w:t>
      </w:r>
      <w:bookmarkEnd w:id="153"/>
      <w:bookmarkEnd w:id="154"/>
      <w:bookmarkEnd w:id="155"/>
      <w:bookmarkEnd w:id="156"/>
      <w:bookmarkEnd w:id="157"/>
      <w:bookmarkEnd w:id="158"/>
    </w:p>
    <w:p w14:paraId="12EF2B74">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（一）谈判小组将依照本竞争性谈判文件相关规定对技术（质量）和服务均能满足竞争性谈判实质性响应要求的供应商所提交的最后报价按照由低到高的顺序提出3名以上</w:t>
      </w:r>
      <w:r>
        <w:rPr>
          <w:rFonts w:hint="eastAsia" w:asciiTheme="minorEastAsia" w:hAnsiTheme="minorEastAsia" w:eastAsiaTheme="minorEastAsia" w:cstheme="minorEastAsia"/>
          <w:sz w:val="24"/>
          <w:szCs w:val="24"/>
          <w:highlight w:val="none"/>
          <w:lang w:eastAsia="zh-CN"/>
        </w:rPr>
        <w:t>成交候选供应商</w:t>
      </w:r>
      <w:r>
        <w:rPr>
          <w:rFonts w:hint="eastAsia" w:asciiTheme="minorEastAsia" w:hAnsiTheme="minorEastAsia" w:eastAsiaTheme="minorEastAsia" w:cstheme="minorEastAsia"/>
          <w:sz w:val="24"/>
          <w:szCs w:val="24"/>
          <w:highlight w:val="none"/>
        </w:rPr>
        <w:t>，并编写评审报告。</w:t>
      </w:r>
    </w:p>
    <w:p w14:paraId="767227BA">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（二）若供应商的最后报价价格相同，按技术（质量）的优劣顺序排列；以上都相同的，按服务条款的优劣顺序排列，以上再相同的，由供应商抽签的方式确定。</w:t>
      </w:r>
    </w:p>
    <w:p w14:paraId="301AAA67">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（三）成交价格=成交供应商的最后报价。</w:t>
      </w:r>
    </w:p>
    <w:p w14:paraId="5A2A81E5">
      <w:pPr>
        <w:snapToGrid w:val="0"/>
        <w:spacing w:line="360" w:lineRule="auto"/>
        <w:ind w:firstLine="540"/>
        <w:rPr>
          <w:rFonts w:hint="eastAsia" w:asciiTheme="minorEastAsia" w:hAnsiTheme="minorEastAsia" w:eastAsiaTheme="minorEastAsia" w:cstheme="minorEastAsia"/>
          <w:b/>
          <w:bCs/>
          <w:sz w:val="24"/>
          <w:szCs w:val="24"/>
          <w:highlight w:val="none"/>
        </w:rPr>
      </w:pPr>
      <w:bookmarkStart w:id="159" w:name="_Toc8245"/>
      <w:bookmarkStart w:id="160" w:name="_Toc14846"/>
      <w:bookmarkStart w:id="161" w:name="_Toc45114055"/>
      <w:bookmarkStart w:id="162" w:name="_Toc90373249"/>
      <w:bookmarkStart w:id="163" w:name="_Toc71201063"/>
      <w:bookmarkStart w:id="164" w:name="_Toc6661"/>
      <w:bookmarkStart w:id="165" w:name="_Toc24490"/>
      <w:bookmarkStart w:id="166" w:name="_Toc21526"/>
      <w:bookmarkStart w:id="167" w:name="_Toc12676"/>
      <w:bookmarkStart w:id="168" w:name="_Toc28775"/>
      <w:r>
        <w:rPr>
          <w:rFonts w:hint="eastAsia" w:asciiTheme="minorEastAsia" w:hAnsiTheme="minorEastAsia" w:eastAsiaTheme="minorEastAsia" w:cstheme="minorEastAsia"/>
          <w:b/>
          <w:bCs/>
          <w:sz w:val="24"/>
          <w:szCs w:val="24"/>
          <w:highlight w:val="none"/>
        </w:rPr>
        <w:t>三、无效谈判</w:t>
      </w:r>
      <w:bookmarkEnd w:id="159"/>
      <w:bookmarkEnd w:id="160"/>
      <w:bookmarkEnd w:id="161"/>
      <w:bookmarkEnd w:id="162"/>
      <w:bookmarkEnd w:id="163"/>
      <w:bookmarkEnd w:id="164"/>
      <w:bookmarkEnd w:id="165"/>
      <w:bookmarkEnd w:id="166"/>
      <w:bookmarkEnd w:id="167"/>
      <w:bookmarkEnd w:id="168"/>
    </w:p>
    <w:p w14:paraId="0AEF4996">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供应商发生以下条款情况之一者，视为无效谈判：</w:t>
      </w:r>
    </w:p>
    <w:p w14:paraId="6FEAD531">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（一）供应商不符合规定的资格条件的；</w:t>
      </w:r>
    </w:p>
    <w:p w14:paraId="08D0EB52">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（二）供应商未通过实质性响应审查的；</w:t>
      </w:r>
    </w:p>
    <w:p w14:paraId="131B5A63">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（三）供应商的法定代表人（或其授权代表）或自然人未参加谈判的；</w:t>
      </w:r>
    </w:p>
    <w:p w14:paraId="1A50A02B">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（四）供应商所提交的响应文件未按“第七篇响应文件格式要求”要求签署或盖章的；</w:t>
      </w:r>
    </w:p>
    <w:p w14:paraId="4A5E1276">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（五）供应商的最后报价超过采购预算或最高限价的，最终报价超过第一次报价的；</w:t>
      </w:r>
    </w:p>
    <w:p w14:paraId="2408B74A">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（六）供应商不接受谈判小组修正后的价格的；</w:t>
      </w:r>
    </w:p>
    <w:p w14:paraId="622043E1">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（七）单位负责人为同一人或者存在直接控股、管理关系的不同供应商，参加同一合同项（包）谈判的；</w:t>
      </w:r>
    </w:p>
    <w:p w14:paraId="431CE124">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（八）为采购项目提供整体设计、规范编制或者项目管理、监理、检测等服务的供应商再参加该采购项目的其他采购活动的；</w:t>
      </w:r>
    </w:p>
    <w:p w14:paraId="044214DA">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（九）同一合同项（包）下的货物，制造商参与谈判，再委托代理商参与谈判的；</w:t>
      </w:r>
    </w:p>
    <w:p w14:paraId="2005FACC">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（十）供应商响应文件内容有与国家现行法律法规相违背的内容，或附有采购人无法接受条件的；</w:t>
      </w:r>
    </w:p>
    <w:p w14:paraId="42B0751E">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（十一）法律、法规和竞争性谈判文件规定的其他无效情形。</w:t>
      </w:r>
    </w:p>
    <w:p w14:paraId="324038FF">
      <w:pPr>
        <w:snapToGrid w:val="0"/>
        <w:spacing w:line="360" w:lineRule="auto"/>
        <w:ind w:firstLine="540"/>
        <w:rPr>
          <w:rFonts w:hint="eastAsia" w:asciiTheme="minorEastAsia" w:hAnsiTheme="minorEastAsia" w:eastAsiaTheme="minorEastAsia" w:cstheme="minorEastAsia"/>
          <w:b/>
          <w:bCs/>
          <w:sz w:val="24"/>
          <w:szCs w:val="24"/>
          <w:highlight w:val="none"/>
        </w:rPr>
      </w:pPr>
      <w:bookmarkStart w:id="169" w:name="_Toc22111"/>
      <w:bookmarkStart w:id="170" w:name="_Toc30912"/>
      <w:bookmarkStart w:id="171" w:name="_Toc6953"/>
      <w:bookmarkStart w:id="172" w:name="_Toc11351"/>
      <w:bookmarkStart w:id="173" w:name="_Toc90373250"/>
      <w:bookmarkStart w:id="174" w:name="_Toc18550"/>
      <w:bookmarkStart w:id="175" w:name="_Toc45114056"/>
      <w:bookmarkStart w:id="176" w:name="_Toc31041"/>
      <w:bookmarkStart w:id="177" w:name="_Toc4489"/>
      <w:bookmarkStart w:id="178" w:name="_Toc71201064"/>
      <w:r>
        <w:rPr>
          <w:rFonts w:hint="eastAsia" w:asciiTheme="minorEastAsia" w:hAnsiTheme="minorEastAsia" w:eastAsiaTheme="minorEastAsia" w:cstheme="minorEastAsia"/>
          <w:b/>
          <w:bCs/>
          <w:sz w:val="24"/>
          <w:szCs w:val="24"/>
          <w:highlight w:val="none"/>
        </w:rPr>
        <w:t>四、采购终止</w:t>
      </w:r>
      <w:bookmarkEnd w:id="169"/>
      <w:bookmarkEnd w:id="170"/>
      <w:bookmarkEnd w:id="171"/>
      <w:bookmarkEnd w:id="172"/>
      <w:bookmarkEnd w:id="173"/>
      <w:bookmarkEnd w:id="174"/>
      <w:bookmarkEnd w:id="175"/>
      <w:bookmarkEnd w:id="176"/>
      <w:bookmarkEnd w:id="177"/>
      <w:bookmarkEnd w:id="178"/>
    </w:p>
    <w:p w14:paraId="0A013FFF">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出现下列情形之一的，采购人或者采购代理机构应当终止竞争性谈判采购活动，发布项目终止公告并说明原因，重新开展采购活动：</w:t>
      </w:r>
    </w:p>
    <w:p w14:paraId="61EE358D">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（一）因情况变化，不再符合规定的竞争性谈判采购方式适用情形的；</w:t>
      </w:r>
    </w:p>
    <w:p w14:paraId="60A293AC">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（二）出现影响采购公正的违法、违规行为的；</w:t>
      </w:r>
    </w:p>
    <w:p w14:paraId="148E8128">
      <w:pPr>
        <w:snapToGrid w:val="0"/>
        <w:spacing w:line="360" w:lineRule="auto"/>
        <w:ind w:firstLine="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（三）在采购过程中符合竞争要求的供应商或者报价未超过采购预算的供应商不足3家。</w:t>
      </w:r>
    </w:p>
    <w:p w14:paraId="7BF435B2">
      <w:pPr>
        <w:pStyle w:val="4"/>
        <w:numPr>
          <w:ilvl w:val="0"/>
          <w:numId w:val="13"/>
        </w:numPr>
        <w:adjustRightInd w:val="0"/>
        <w:snapToGrid w:val="0"/>
        <w:spacing w:before="0" w:after="0" w:line="360" w:lineRule="auto"/>
        <w:jc w:val="center"/>
        <w:rPr>
          <w:rFonts w:hint="eastAsia" w:asciiTheme="minorEastAsia" w:hAnsiTheme="minorEastAsia" w:eastAsiaTheme="minorEastAsia" w:cstheme="minorEastAsia"/>
          <w:sz w:val="44"/>
          <w:szCs w:val="44"/>
          <w:highlight w:val="none"/>
        </w:rPr>
      </w:pPr>
      <w:bookmarkStart w:id="179" w:name="_Toc481757454"/>
      <w:bookmarkStart w:id="180" w:name="_Toc90373251"/>
      <w:bookmarkStart w:id="181" w:name="_Toc6828"/>
      <w:bookmarkStart w:id="182" w:name="_Toc6840"/>
      <w:bookmarkStart w:id="183" w:name="_Toc32683"/>
      <w:bookmarkStart w:id="184" w:name="_Toc22138"/>
      <w:bookmarkStart w:id="185" w:name="_Toc481758140"/>
      <w:bookmarkStart w:id="186" w:name="_Toc30751"/>
      <w:bookmarkStart w:id="187" w:name="_Toc26502"/>
      <w:bookmarkStart w:id="188" w:name="_Toc17878"/>
      <w:bookmarkStart w:id="189" w:name="_Toc17839"/>
      <w:bookmarkStart w:id="190" w:name="_Toc31017"/>
      <w:bookmarkStart w:id="191" w:name="_Toc71201065"/>
      <w:bookmarkStart w:id="192" w:name="_Toc403569776"/>
      <w:bookmarkStart w:id="193" w:name="_Toc28268926"/>
      <w:bookmarkStart w:id="194" w:name="_Toc17599"/>
      <w:bookmarkStart w:id="195" w:name="_Toc9332"/>
      <w:bookmarkStart w:id="196" w:name="_Toc24842"/>
      <w:bookmarkStart w:id="197" w:name="_Toc90373252"/>
      <w:bookmarkStart w:id="198" w:name="_Toc45114058"/>
      <w:bookmarkStart w:id="199" w:name="_Toc26891"/>
      <w:bookmarkStart w:id="200" w:name="_Toc31494"/>
      <w:bookmarkStart w:id="201" w:name="_Toc7660"/>
      <w:bookmarkStart w:id="202" w:name="_Toc12330"/>
      <w:bookmarkStart w:id="203" w:name="_Toc14996"/>
      <w:bookmarkStart w:id="204" w:name="_Toc71201066"/>
      <w:bookmarkStart w:id="205" w:name="_Toc18200"/>
      <w:r>
        <w:rPr>
          <w:rFonts w:hint="eastAsia" w:asciiTheme="minorEastAsia" w:hAnsiTheme="minorEastAsia" w:eastAsiaTheme="minorEastAsia" w:cstheme="minorEastAsia"/>
          <w:sz w:val="44"/>
          <w:szCs w:val="44"/>
          <w:highlight w:val="none"/>
        </w:rPr>
        <w:t>供应商须知</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BDBED15">
      <w:pPr>
        <w:pStyle w:val="4"/>
        <w:numPr>
          <w:ilvl w:val="0"/>
          <w:numId w:val="0"/>
        </w:numPr>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206" w:name="_Toc20640"/>
      <w:bookmarkStart w:id="207" w:name="_Toc1593"/>
      <w:bookmarkStart w:id="208" w:name="_Toc28386"/>
      <w:bookmarkStart w:id="209" w:name="_Toc25430"/>
      <w:bookmarkStart w:id="210" w:name="_Toc25070"/>
      <w:bookmarkStart w:id="211" w:name="_Toc16635"/>
      <w:r>
        <w:rPr>
          <w:rFonts w:hint="eastAsia" w:asciiTheme="minorEastAsia" w:hAnsiTheme="minorEastAsia" w:eastAsiaTheme="minorEastAsia" w:cstheme="minorEastAsia"/>
          <w:b/>
          <w:bCs w:val="0"/>
          <w:sz w:val="24"/>
          <w:highlight w:val="none"/>
        </w:rPr>
        <w:t>一、谈判费用</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55791F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12" w:name="_Toc16303"/>
      <w:bookmarkStart w:id="213" w:name="_Toc6370"/>
      <w:bookmarkStart w:id="214" w:name="_Toc26403"/>
      <w:bookmarkStart w:id="215" w:name="_Toc4117"/>
      <w:bookmarkStart w:id="216" w:name="_Toc17314"/>
      <w:bookmarkStart w:id="217" w:name="_Toc12929"/>
      <w:r>
        <w:rPr>
          <w:rFonts w:hint="eastAsia" w:asciiTheme="minorEastAsia" w:hAnsiTheme="minorEastAsia" w:eastAsiaTheme="minorEastAsia" w:cstheme="minorEastAsia"/>
          <w:b w:val="0"/>
          <w:bCs/>
          <w:sz w:val="24"/>
          <w:highlight w:val="none"/>
        </w:rPr>
        <w:t>参与谈判的供应商应承担其编制响应文件与递交响应文件所涉及的一切费用，不论谈判结果如何，采购人和采购代理机构在任何情况下无义务也无责任承担这些费用。</w:t>
      </w:r>
      <w:bookmarkEnd w:id="212"/>
      <w:bookmarkEnd w:id="213"/>
      <w:bookmarkEnd w:id="214"/>
      <w:bookmarkEnd w:id="215"/>
      <w:bookmarkEnd w:id="216"/>
      <w:bookmarkEnd w:id="217"/>
    </w:p>
    <w:p w14:paraId="0E7EA804">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218" w:name="_Toc25607"/>
      <w:bookmarkStart w:id="219" w:name="_Toc19941"/>
      <w:bookmarkStart w:id="220" w:name="_Toc9056"/>
      <w:bookmarkStart w:id="221" w:name="_Toc17768"/>
      <w:bookmarkStart w:id="222" w:name="_Toc71201067"/>
      <w:bookmarkStart w:id="223" w:name="_Toc11165"/>
      <w:bookmarkStart w:id="224" w:name="_Toc9111"/>
      <w:bookmarkStart w:id="225" w:name="_Toc11948"/>
      <w:bookmarkStart w:id="226" w:name="_Toc7275"/>
      <w:bookmarkStart w:id="227" w:name="_Toc45114059"/>
      <w:bookmarkStart w:id="228" w:name="_Toc15875"/>
      <w:bookmarkStart w:id="229" w:name="_Toc8215"/>
      <w:bookmarkStart w:id="230" w:name="_Toc17798"/>
      <w:bookmarkStart w:id="231" w:name="_Toc4395"/>
      <w:bookmarkStart w:id="232" w:name="_Toc90373253"/>
      <w:bookmarkStart w:id="233" w:name="_Toc5598"/>
      <w:r>
        <w:rPr>
          <w:rFonts w:hint="eastAsia" w:asciiTheme="minorEastAsia" w:hAnsiTheme="minorEastAsia" w:eastAsiaTheme="minorEastAsia" w:cstheme="minorEastAsia"/>
          <w:b/>
          <w:bCs w:val="0"/>
          <w:sz w:val="24"/>
          <w:highlight w:val="none"/>
        </w:rPr>
        <w:t>二、竞争性谈判文件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hint="eastAsia" w:asciiTheme="minorEastAsia" w:hAnsiTheme="minorEastAsia" w:eastAsiaTheme="minorEastAsia" w:cstheme="minorEastAsia"/>
          <w:b/>
          <w:bCs w:val="0"/>
          <w:sz w:val="24"/>
          <w:highlight w:val="none"/>
        </w:rPr>
        <w:tab/>
      </w:r>
    </w:p>
    <w:p w14:paraId="72FE747B">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34" w:name="_Toc24714"/>
      <w:bookmarkStart w:id="235" w:name="_Toc8858"/>
      <w:bookmarkStart w:id="236" w:name="_Toc24975"/>
      <w:bookmarkStart w:id="237" w:name="_Toc23118"/>
      <w:bookmarkStart w:id="238" w:name="_Toc16883"/>
      <w:bookmarkStart w:id="239" w:name="_Toc11092"/>
      <w:r>
        <w:rPr>
          <w:rFonts w:hint="eastAsia" w:asciiTheme="minorEastAsia" w:hAnsiTheme="minorEastAsia" w:eastAsiaTheme="minorEastAsia" w:cstheme="minorEastAsia"/>
          <w:b w:val="0"/>
          <w:bCs/>
          <w:sz w:val="24"/>
          <w:highlight w:val="none"/>
        </w:rPr>
        <w:t>（一）竞争性谈判文件由竞争性谈判邀请书、谈判项目技术（</w:t>
      </w:r>
      <w:r>
        <w:rPr>
          <w:rFonts w:hint="eastAsia" w:asciiTheme="minorEastAsia" w:hAnsiTheme="minorEastAsia" w:eastAsiaTheme="minorEastAsia" w:cstheme="minorEastAsia"/>
          <w:b w:val="0"/>
          <w:bCs/>
          <w:sz w:val="24"/>
          <w:highlight w:val="none"/>
          <w:lang w:val="en-US" w:eastAsia="zh-CN"/>
        </w:rPr>
        <w:t>服务</w:t>
      </w:r>
      <w:r>
        <w:rPr>
          <w:rFonts w:hint="eastAsia" w:asciiTheme="minorEastAsia" w:hAnsiTheme="minorEastAsia" w:eastAsiaTheme="minorEastAsia" w:cstheme="minorEastAsia"/>
          <w:b w:val="0"/>
          <w:bCs/>
          <w:sz w:val="24"/>
          <w:highlight w:val="none"/>
        </w:rPr>
        <w:t>）需求、</w:t>
      </w:r>
      <w:r>
        <w:rPr>
          <w:rFonts w:hint="eastAsia" w:asciiTheme="minorEastAsia" w:hAnsiTheme="minorEastAsia" w:eastAsiaTheme="minorEastAsia" w:cstheme="minorEastAsia"/>
          <w:b w:val="0"/>
          <w:bCs/>
          <w:sz w:val="24"/>
          <w:highlight w:val="none"/>
          <w:lang w:eastAsia="zh-CN"/>
        </w:rPr>
        <w:t>谈判项目商务需求</w:t>
      </w:r>
      <w:r>
        <w:rPr>
          <w:rFonts w:hint="eastAsia" w:asciiTheme="minorEastAsia" w:hAnsiTheme="minorEastAsia" w:eastAsiaTheme="minorEastAsia" w:cstheme="minorEastAsia"/>
          <w:b w:val="0"/>
          <w:bCs/>
          <w:sz w:val="24"/>
          <w:highlight w:val="none"/>
        </w:rPr>
        <w:t>、采购程序、评定成交的标准、无效谈判及采购终止、供应商须知、合同草案条款、响应文件格式要求七部分组成。</w:t>
      </w:r>
      <w:bookmarkEnd w:id="234"/>
      <w:bookmarkEnd w:id="235"/>
      <w:bookmarkEnd w:id="236"/>
      <w:bookmarkEnd w:id="237"/>
      <w:bookmarkEnd w:id="238"/>
      <w:bookmarkEnd w:id="239"/>
    </w:p>
    <w:p w14:paraId="49C0971B">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40" w:name="_Toc12255"/>
      <w:bookmarkStart w:id="241" w:name="_Toc24999"/>
      <w:bookmarkStart w:id="242" w:name="_Toc30341"/>
      <w:bookmarkStart w:id="243" w:name="_Toc27729"/>
      <w:bookmarkStart w:id="244" w:name="_Toc27021"/>
      <w:bookmarkStart w:id="245" w:name="_Toc27344"/>
      <w:r>
        <w:rPr>
          <w:rFonts w:hint="eastAsia" w:asciiTheme="minorEastAsia" w:hAnsiTheme="minorEastAsia" w:eastAsiaTheme="minorEastAsia" w:cstheme="minorEastAsia"/>
          <w:b w:val="0"/>
          <w:bCs/>
          <w:sz w:val="24"/>
          <w:highlight w:val="none"/>
        </w:rPr>
        <w:t>（二）采购人（或采购代理机构）所作的一切有效的书面通知、修改及补充，都是竞争性谈判文件不可分割的部分。</w:t>
      </w:r>
      <w:bookmarkEnd w:id="240"/>
      <w:bookmarkEnd w:id="241"/>
      <w:bookmarkEnd w:id="242"/>
      <w:bookmarkEnd w:id="243"/>
      <w:bookmarkEnd w:id="244"/>
      <w:bookmarkEnd w:id="245"/>
    </w:p>
    <w:p w14:paraId="426D1C8D">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46" w:name="_Toc22311"/>
      <w:bookmarkStart w:id="247" w:name="_Toc25493"/>
      <w:bookmarkStart w:id="248" w:name="_Toc16865"/>
      <w:bookmarkStart w:id="249" w:name="_Toc30769"/>
      <w:bookmarkStart w:id="250" w:name="_Toc8510"/>
      <w:bookmarkStart w:id="251" w:name="_Toc2715"/>
      <w:r>
        <w:rPr>
          <w:rFonts w:hint="eastAsia" w:asciiTheme="minorEastAsia" w:hAnsiTheme="minorEastAsia" w:eastAsiaTheme="minorEastAsia" w:cstheme="minorEastAsia"/>
          <w:b w:val="0"/>
          <w:bCs/>
          <w:sz w:val="24"/>
          <w:highlight w:val="none"/>
        </w:rPr>
        <w:t>（三）本竞争性谈判文件中，谈判小组根据与供应商谈判情况可能实质性变动的内容为竞争性谈判文件第二、三、六篇全部内容。</w:t>
      </w:r>
      <w:bookmarkEnd w:id="246"/>
      <w:bookmarkEnd w:id="247"/>
      <w:bookmarkEnd w:id="248"/>
      <w:bookmarkEnd w:id="249"/>
      <w:bookmarkEnd w:id="250"/>
      <w:bookmarkEnd w:id="251"/>
    </w:p>
    <w:p w14:paraId="4E67522B">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252" w:name="_Toc90373254"/>
      <w:bookmarkStart w:id="253" w:name="_Toc26373"/>
      <w:bookmarkStart w:id="254" w:name="_Toc10895"/>
      <w:bookmarkStart w:id="255" w:name="_Toc10001"/>
      <w:bookmarkStart w:id="256" w:name="_Toc31304"/>
      <w:bookmarkStart w:id="257" w:name="_Toc71201068"/>
      <w:bookmarkStart w:id="258" w:name="_Toc30597"/>
      <w:bookmarkStart w:id="259" w:name="_Toc13917"/>
      <w:bookmarkStart w:id="260" w:name="_Toc32612"/>
      <w:bookmarkStart w:id="261" w:name="_Toc45114060"/>
      <w:bookmarkStart w:id="262" w:name="_Toc20305"/>
      <w:bookmarkStart w:id="263" w:name="_Toc5150"/>
      <w:bookmarkStart w:id="264" w:name="_Toc19014"/>
      <w:bookmarkStart w:id="265" w:name="_Toc1161"/>
      <w:bookmarkStart w:id="266" w:name="_Toc20225"/>
      <w:bookmarkStart w:id="267" w:name="_Toc2159"/>
      <w:r>
        <w:rPr>
          <w:rFonts w:hint="eastAsia" w:asciiTheme="minorEastAsia" w:hAnsiTheme="minorEastAsia" w:eastAsiaTheme="minorEastAsia" w:cstheme="minorEastAsia"/>
          <w:b/>
          <w:bCs w:val="0"/>
          <w:sz w:val="24"/>
          <w:highlight w:val="none"/>
        </w:rPr>
        <w:t>三、谈判要求</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A7D0EBB">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68" w:name="_Toc3938"/>
      <w:bookmarkStart w:id="269" w:name="_Toc22155"/>
      <w:bookmarkStart w:id="270" w:name="_Toc31943"/>
      <w:bookmarkStart w:id="271" w:name="_Toc29943"/>
      <w:bookmarkStart w:id="272" w:name="_Toc28472"/>
      <w:bookmarkStart w:id="273" w:name="_Toc29148"/>
      <w:r>
        <w:rPr>
          <w:rFonts w:hint="eastAsia" w:asciiTheme="minorEastAsia" w:hAnsiTheme="minorEastAsia" w:eastAsiaTheme="minorEastAsia" w:cstheme="minorEastAsia"/>
          <w:b w:val="0"/>
          <w:bCs/>
          <w:sz w:val="24"/>
          <w:highlight w:val="none"/>
        </w:rPr>
        <w:t>（一）响应文件</w:t>
      </w:r>
      <w:bookmarkEnd w:id="268"/>
      <w:bookmarkEnd w:id="269"/>
      <w:bookmarkEnd w:id="270"/>
      <w:bookmarkEnd w:id="271"/>
      <w:bookmarkEnd w:id="272"/>
      <w:bookmarkEnd w:id="273"/>
    </w:p>
    <w:p w14:paraId="1A3E32C8">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74" w:name="_Toc15724"/>
      <w:bookmarkStart w:id="275" w:name="_Toc19972"/>
      <w:bookmarkStart w:id="276" w:name="_Toc5047"/>
      <w:bookmarkStart w:id="277" w:name="_Toc12955"/>
      <w:bookmarkStart w:id="278" w:name="_Toc10539"/>
      <w:bookmarkStart w:id="279" w:name="_Toc24536"/>
      <w:r>
        <w:rPr>
          <w:rFonts w:hint="eastAsia" w:asciiTheme="minorEastAsia" w:hAnsiTheme="minorEastAsia" w:eastAsiaTheme="minorEastAsia" w:cstheme="minorEastAsia"/>
          <w:b w:val="0"/>
          <w:bCs/>
          <w:sz w:val="24"/>
          <w:highlight w:val="none"/>
        </w:rPr>
        <w:t>供应商应当按照竞争性谈判文件的要求编制响应文件，并对竞争性谈判文件提出的要求和条件作出实质性响应，响应文件原则上采用软面订本。</w:t>
      </w:r>
      <w:bookmarkEnd w:id="274"/>
      <w:bookmarkEnd w:id="275"/>
      <w:bookmarkEnd w:id="276"/>
      <w:bookmarkEnd w:id="277"/>
      <w:bookmarkEnd w:id="278"/>
      <w:bookmarkEnd w:id="279"/>
    </w:p>
    <w:p w14:paraId="17FC2FD2">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80" w:name="_Toc19549"/>
      <w:bookmarkStart w:id="281" w:name="_Toc27115"/>
      <w:bookmarkStart w:id="282" w:name="_Toc5011"/>
      <w:bookmarkStart w:id="283" w:name="_Toc11744"/>
      <w:bookmarkStart w:id="284" w:name="_Toc1626"/>
      <w:bookmarkStart w:id="285" w:name="_Toc20232"/>
      <w:r>
        <w:rPr>
          <w:rFonts w:hint="eastAsia" w:asciiTheme="minorEastAsia" w:hAnsiTheme="minorEastAsia" w:eastAsiaTheme="minorEastAsia" w:cstheme="minorEastAsia"/>
          <w:b w:val="0"/>
          <w:bCs/>
          <w:sz w:val="24"/>
          <w:highlight w:val="none"/>
        </w:rPr>
        <w:t>1.响应文件组成</w:t>
      </w:r>
      <w:bookmarkEnd w:id="280"/>
      <w:bookmarkEnd w:id="281"/>
      <w:bookmarkEnd w:id="282"/>
      <w:bookmarkEnd w:id="283"/>
      <w:bookmarkEnd w:id="284"/>
      <w:bookmarkEnd w:id="285"/>
    </w:p>
    <w:p w14:paraId="66CDE279">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86" w:name="_Toc7810"/>
      <w:bookmarkStart w:id="287" w:name="_Toc20979"/>
      <w:bookmarkStart w:id="288" w:name="_Toc9870"/>
      <w:bookmarkStart w:id="289" w:name="_Toc23512"/>
      <w:bookmarkStart w:id="290" w:name="_Toc3641"/>
      <w:bookmarkStart w:id="291" w:name="_Toc25771"/>
      <w:r>
        <w:rPr>
          <w:rFonts w:hint="eastAsia" w:asciiTheme="minorEastAsia" w:hAnsiTheme="minorEastAsia" w:eastAsiaTheme="minorEastAsia" w:cstheme="minorEastAsia"/>
          <w:b w:val="0"/>
          <w:bCs/>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bookmarkEnd w:id="286"/>
      <w:bookmarkEnd w:id="287"/>
      <w:bookmarkEnd w:id="288"/>
      <w:bookmarkEnd w:id="289"/>
      <w:bookmarkEnd w:id="290"/>
      <w:bookmarkEnd w:id="291"/>
    </w:p>
    <w:p w14:paraId="4E166B9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92" w:name="_Toc24210"/>
      <w:bookmarkStart w:id="293" w:name="_Toc803"/>
      <w:bookmarkStart w:id="294" w:name="_Toc10724"/>
      <w:bookmarkStart w:id="295" w:name="_Toc13261"/>
      <w:bookmarkStart w:id="296" w:name="_Toc26196"/>
      <w:bookmarkStart w:id="297" w:name="_Toc30028"/>
      <w:r>
        <w:rPr>
          <w:rFonts w:hint="eastAsia" w:asciiTheme="minorEastAsia" w:hAnsiTheme="minorEastAsia" w:eastAsiaTheme="minorEastAsia" w:cstheme="minorEastAsia"/>
          <w:b w:val="0"/>
          <w:bCs/>
          <w:sz w:val="24"/>
          <w:highlight w:val="none"/>
        </w:rPr>
        <w:t>2.联合体</w:t>
      </w:r>
      <w:bookmarkEnd w:id="292"/>
      <w:bookmarkEnd w:id="293"/>
      <w:bookmarkEnd w:id="294"/>
      <w:bookmarkEnd w:id="295"/>
      <w:bookmarkEnd w:id="296"/>
      <w:bookmarkEnd w:id="297"/>
    </w:p>
    <w:p w14:paraId="681FE0AE">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298" w:name="_Toc4618"/>
      <w:bookmarkStart w:id="299" w:name="_Toc17084"/>
      <w:bookmarkStart w:id="300" w:name="_Toc21019"/>
      <w:bookmarkStart w:id="301" w:name="_Toc15720"/>
      <w:bookmarkStart w:id="302" w:name="_Toc16331"/>
      <w:bookmarkStart w:id="303" w:name="_Toc27479"/>
      <w:r>
        <w:rPr>
          <w:rFonts w:hint="eastAsia" w:asciiTheme="minorEastAsia" w:hAnsiTheme="minorEastAsia" w:eastAsiaTheme="minorEastAsia" w:cstheme="minorEastAsia"/>
          <w:b w:val="0"/>
          <w:bCs/>
          <w:sz w:val="24"/>
          <w:highlight w:val="none"/>
        </w:rPr>
        <w:t>本次项目不接受联合体投标，不允许供应商成交后将本次项目合同分包、转包。</w:t>
      </w:r>
      <w:bookmarkEnd w:id="298"/>
      <w:bookmarkEnd w:id="299"/>
      <w:bookmarkEnd w:id="300"/>
      <w:bookmarkEnd w:id="301"/>
      <w:bookmarkEnd w:id="302"/>
      <w:bookmarkEnd w:id="303"/>
    </w:p>
    <w:p w14:paraId="28BC5CAB">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04" w:name="_Toc12186"/>
      <w:bookmarkStart w:id="305" w:name="_Toc14991"/>
      <w:bookmarkStart w:id="306" w:name="_Toc26772"/>
      <w:bookmarkStart w:id="307" w:name="_Toc26002"/>
      <w:bookmarkStart w:id="308" w:name="_Toc1756"/>
      <w:bookmarkStart w:id="309" w:name="_Toc13977"/>
      <w:r>
        <w:rPr>
          <w:rFonts w:hint="eastAsia" w:asciiTheme="minorEastAsia" w:hAnsiTheme="minorEastAsia" w:eastAsiaTheme="minorEastAsia" w:cstheme="minorEastAsia"/>
          <w:b w:val="0"/>
          <w:bCs/>
          <w:sz w:val="24"/>
          <w:highlight w:val="none"/>
        </w:rPr>
        <w:t>3.谈判有效期：响应文件及有关承诺文件有效期为提交响应文件截止时间起90天。</w:t>
      </w:r>
      <w:bookmarkEnd w:id="304"/>
      <w:bookmarkEnd w:id="305"/>
      <w:bookmarkEnd w:id="306"/>
      <w:bookmarkEnd w:id="307"/>
      <w:bookmarkEnd w:id="308"/>
      <w:bookmarkEnd w:id="309"/>
    </w:p>
    <w:p w14:paraId="4FA8953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10" w:name="_Toc25200"/>
      <w:bookmarkStart w:id="311" w:name="_Toc13983"/>
      <w:bookmarkStart w:id="312" w:name="_Toc904"/>
      <w:bookmarkStart w:id="313" w:name="_Toc28770"/>
      <w:bookmarkStart w:id="314" w:name="_Toc20205"/>
      <w:bookmarkStart w:id="315" w:name="_Toc25923"/>
      <w:r>
        <w:rPr>
          <w:rFonts w:hint="eastAsia" w:asciiTheme="minorEastAsia" w:hAnsiTheme="minorEastAsia" w:eastAsiaTheme="minorEastAsia" w:cstheme="minorEastAsia"/>
          <w:b w:val="0"/>
          <w:bCs/>
          <w:sz w:val="24"/>
          <w:highlight w:val="none"/>
        </w:rPr>
        <w:t>（二）</w:t>
      </w:r>
      <w:bookmarkEnd w:id="310"/>
      <w:bookmarkEnd w:id="311"/>
      <w:bookmarkEnd w:id="312"/>
      <w:bookmarkEnd w:id="313"/>
      <w:bookmarkEnd w:id="314"/>
      <w:bookmarkEnd w:id="315"/>
      <w:bookmarkStart w:id="316" w:name="_Toc24280"/>
      <w:bookmarkStart w:id="317" w:name="_Toc22522"/>
      <w:bookmarkStart w:id="318" w:name="_Toc16145"/>
      <w:bookmarkStart w:id="319" w:name="_Toc11223"/>
      <w:bookmarkStart w:id="320" w:name="_Toc32064"/>
      <w:bookmarkStart w:id="321" w:name="_Toc20749"/>
      <w:r>
        <w:rPr>
          <w:rFonts w:hint="eastAsia" w:asciiTheme="minorEastAsia" w:hAnsiTheme="minorEastAsia" w:eastAsiaTheme="minorEastAsia" w:cstheme="minorEastAsia"/>
          <w:b w:val="0"/>
          <w:bCs/>
          <w:sz w:val="24"/>
          <w:highlight w:val="none"/>
        </w:rPr>
        <w:t>修正错误</w:t>
      </w:r>
      <w:bookmarkEnd w:id="316"/>
      <w:bookmarkEnd w:id="317"/>
      <w:bookmarkEnd w:id="318"/>
      <w:bookmarkEnd w:id="319"/>
      <w:bookmarkEnd w:id="320"/>
      <w:bookmarkEnd w:id="321"/>
    </w:p>
    <w:p w14:paraId="507B216C">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22" w:name="_Toc26375"/>
      <w:bookmarkStart w:id="323" w:name="_Toc18756"/>
      <w:bookmarkStart w:id="324" w:name="_Toc14593"/>
      <w:bookmarkStart w:id="325" w:name="_Toc3745"/>
      <w:bookmarkStart w:id="326" w:name="_Toc29047"/>
      <w:bookmarkStart w:id="327" w:name="_Toc3958"/>
      <w:r>
        <w:rPr>
          <w:rFonts w:hint="eastAsia" w:asciiTheme="minorEastAsia" w:hAnsiTheme="minorEastAsia" w:eastAsiaTheme="minorEastAsia" w:cstheme="minorEastAsia"/>
          <w:b w:val="0"/>
          <w:bCs/>
          <w:sz w:val="24"/>
          <w:highlight w:val="none"/>
        </w:rPr>
        <w:t>若供应商所递交的响应文件或最后报价中的价格出现大写金额和小写金额不一致的错误，以大写金额修正为准。</w:t>
      </w:r>
      <w:bookmarkEnd w:id="322"/>
      <w:bookmarkEnd w:id="323"/>
      <w:bookmarkEnd w:id="324"/>
      <w:bookmarkEnd w:id="325"/>
      <w:bookmarkEnd w:id="326"/>
      <w:bookmarkEnd w:id="327"/>
    </w:p>
    <w:p w14:paraId="65DB052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28" w:name="_Toc25749"/>
      <w:bookmarkStart w:id="329" w:name="_Toc2181"/>
      <w:bookmarkStart w:id="330" w:name="_Toc27622"/>
      <w:bookmarkStart w:id="331" w:name="_Toc16041"/>
      <w:bookmarkStart w:id="332" w:name="_Toc6075"/>
      <w:bookmarkStart w:id="333" w:name="_Toc32328"/>
      <w:r>
        <w:rPr>
          <w:rFonts w:hint="eastAsia" w:asciiTheme="minorEastAsia" w:hAnsiTheme="minorEastAsia" w:eastAsiaTheme="minorEastAsia" w:cstheme="minorEastAsia"/>
          <w:b w:val="0"/>
          <w:bCs/>
          <w:sz w:val="24"/>
          <w:highlight w:val="none"/>
        </w:rPr>
        <w:t>谈判小组按上述修正错误的原则及方法修正供应商的报价，供应商同意并签署确认后，修正后的报价对供应商具有约束作用。如果供应商不接受修正后的价格，将视为无效谈判。</w:t>
      </w:r>
      <w:bookmarkEnd w:id="328"/>
      <w:bookmarkEnd w:id="329"/>
      <w:bookmarkEnd w:id="330"/>
      <w:bookmarkEnd w:id="331"/>
      <w:bookmarkEnd w:id="332"/>
      <w:bookmarkEnd w:id="333"/>
    </w:p>
    <w:p w14:paraId="7D8B345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34" w:name="_Toc24768"/>
      <w:bookmarkStart w:id="335" w:name="_Toc27457"/>
      <w:bookmarkStart w:id="336" w:name="_Toc28861"/>
      <w:bookmarkStart w:id="337" w:name="_Toc12564"/>
      <w:bookmarkStart w:id="338" w:name="_Toc6926"/>
      <w:bookmarkStart w:id="339" w:name="_Toc29154"/>
      <w:r>
        <w:rPr>
          <w:rFonts w:hint="eastAsia" w:asciiTheme="minorEastAsia" w:hAnsiTheme="minorEastAsia" w:eastAsiaTheme="minorEastAsia" w:cstheme="minorEastAsia"/>
          <w:b w:val="0"/>
          <w:bCs/>
          <w:sz w:val="24"/>
          <w:highlight w:val="none"/>
        </w:rPr>
        <w:t>（三）提交响应文件的份数和签署</w:t>
      </w:r>
      <w:bookmarkEnd w:id="334"/>
      <w:bookmarkEnd w:id="335"/>
      <w:bookmarkEnd w:id="336"/>
      <w:bookmarkEnd w:id="337"/>
      <w:bookmarkEnd w:id="338"/>
      <w:bookmarkEnd w:id="339"/>
    </w:p>
    <w:p w14:paraId="2C2AB5FB">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40" w:name="_Toc8033"/>
      <w:bookmarkStart w:id="341" w:name="_Toc26648"/>
      <w:bookmarkStart w:id="342" w:name="_Toc17572"/>
      <w:bookmarkStart w:id="343" w:name="_Toc11672"/>
      <w:bookmarkStart w:id="344" w:name="_Toc31318"/>
      <w:bookmarkStart w:id="345" w:name="_Toc20658"/>
      <w:r>
        <w:rPr>
          <w:rFonts w:hint="eastAsia" w:asciiTheme="minorEastAsia" w:hAnsiTheme="minorEastAsia" w:eastAsiaTheme="minorEastAsia" w:cstheme="minorEastAsia"/>
          <w:b w:val="0"/>
          <w:bCs/>
          <w:sz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bookmarkEnd w:id="340"/>
      <w:bookmarkEnd w:id="341"/>
      <w:bookmarkEnd w:id="342"/>
      <w:bookmarkEnd w:id="343"/>
      <w:bookmarkEnd w:id="344"/>
      <w:bookmarkEnd w:id="345"/>
    </w:p>
    <w:p w14:paraId="6DBF1FA3">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46" w:name="_Toc15252"/>
      <w:bookmarkStart w:id="347" w:name="_Toc1933"/>
      <w:bookmarkStart w:id="348" w:name="_Toc13170"/>
      <w:bookmarkStart w:id="349" w:name="_Toc21910"/>
      <w:bookmarkStart w:id="350" w:name="_Toc15762"/>
      <w:bookmarkStart w:id="351" w:name="_Toc28089"/>
      <w:r>
        <w:rPr>
          <w:rFonts w:hint="eastAsia" w:asciiTheme="minorEastAsia" w:hAnsiTheme="minorEastAsia" w:eastAsiaTheme="minorEastAsia" w:cstheme="minorEastAsia"/>
          <w:b w:val="0"/>
          <w:bCs/>
          <w:sz w:val="24"/>
          <w:highlight w:val="none"/>
        </w:rPr>
        <w:t>2.在响应文件正本中，竞争性谈判文件第七篇响应文件格式中规定签署、盖章的地方必须按其规定签署、盖章。</w:t>
      </w:r>
      <w:bookmarkEnd w:id="346"/>
      <w:bookmarkEnd w:id="347"/>
      <w:bookmarkEnd w:id="348"/>
      <w:bookmarkEnd w:id="349"/>
      <w:bookmarkEnd w:id="350"/>
      <w:bookmarkEnd w:id="351"/>
    </w:p>
    <w:p w14:paraId="45C390CF">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52" w:name="_Toc21464"/>
      <w:bookmarkStart w:id="353" w:name="_Toc2152"/>
      <w:bookmarkStart w:id="354" w:name="_Toc31322"/>
      <w:bookmarkStart w:id="355" w:name="_Toc12485"/>
      <w:bookmarkStart w:id="356" w:name="_Toc14547"/>
      <w:bookmarkStart w:id="357" w:name="_Toc7"/>
      <w:r>
        <w:rPr>
          <w:rFonts w:hint="eastAsia" w:asciiTheme="minorEastAsia" w:hAnsiTheme="minorEastAsia" w:eastAsiaTheme="minorEastAsia" w:cstheme="minorEastAsia"/>
          <w:b w:val="0"/>
          <w:bCs/>
          <w:sz w:val="24"/>
          <w:highlight w:val="none"/>
        </w:rPr>
        <w:t>3.若供应商对响应文件的错处作必要修改，则应在修改处加盖供应商公章或由法定代表人（或其授权代表）或自然人（供应商为自然人）签署确认。</w:t>
      </w:r>
      <w:bookmarkEnd w:id="352"/>
      <w:bookmarkEnd w:id="353"/>
      <w:bookmarkEnd w:id="354"/>
      <w:bookmarkEnd w:id="355"/>
      <w:bookmarkEnd w:id="356"/>
      <w:bookmarkEnd w:id="357"/>
    </w:p>
    <w:p w14:paraId="31B1C557">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58" w:name="_Toc26158"/>
      <w:bookmarkStart w:id="359" w:name="_Toc6316"/>
      <w:bookmarkStart w:id="360" w:name="_Toc20271"/>
      <w:bookmarkStart w:id="361" w:name="_Toc16212"/>
      <w:bookmarkStart w:id="362" w:name="_Toc17177"/>
      <w:bookmarkStart w:id="363" w:name="_Toc14868"/>
      <w:r>
        <w:rPr>
          <w:rFonts w:hint="eastAsia" w:asciiTheme="minorEastAsia" w:hAnsiTheme="minorEastAsia" w:eastAsiaTheme="minorEastAsia" w:cstheme="minorEastAsia"/>
          <w:b w:val="0"/>
          <w:bCs/>
          <w:sz w:val="24"/>
          <w:highlight w:val="none"/>
        </w:rPr>
        <w:t>4.电报、电话、传真形式的响应文件概不接受。</w:t>
      </w:r>
      <w:bookmarkEnd w:id="358"/>
      <w:bookmarkEnd w:id="359"/>
      <w:bookmarkEnd w:id="360"/>
      <w:bookmarkEnd w:id="361"/>
      <w:bookmarkEnd w:id="362"/>
      <w:bookmarkEnd w:id="363"/>
    </w:p>
    <w:p w14:paraId="7DA2C27C">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64" w:name="_Toc12802"/>
      <w:bookmarkStart w:id="365" w:name="_Toc18722"/>
      <w:bookmarkStart w:id="366" w:name="_Toc24049"/>
      <w:bookmarkStart w:id="367" w:name="_Toc16661"/>
      <w:bookmarkStart w:id="368" w:name="_Toc28997"/>
      <w:bookmarkStart w:id="369" w:name="_Toc23594"/>
      <w:r>
        <w:rPr>
          <w:rFonts w:hint="eastAsia" w:asciiTheme="minorEastAsia" w:hAnsiTheme="minorEastAsia" w:eastAsiaTheme="minorEastAsia" w:cstheme="minorEastAsia"/>
          <w:b w:val="0"/>
          <w:bCs/>
          <w:sz w:val="24"/>
          <w:highlight w:val="none"/>
        </w:rPr>
        <w:t>（四）响应文件的递交</w:t>
      </w:r>
      <w:bookmarkEnd w:id="364"/>
      <w:bookmarkEnd w:id="365"/>
      <w:bookmarkEnd w:id="366"/>
      <w:bookmarkEnd w:id="367"/>
      <w:bookmarkEnd w:id="368"/>
      <w:bookmarkEnd w:id="369"/>
    </w:p>
    <w:p w14:paraId="5BD6D9C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70" w:name="_Toc27938"/>
      <w:bookmarkStart w:id="371" w:name="_Toc13045"/>
      <w:bookmarkStart w:id="372" w:name="_Toc11708"/>
      <w:bookmarkStart w:id="373" w:name="_Toc12410"/>
      <w:bookmarkStart w:id="374" w:name="_Toc14657"/>
      <w:bookmarkStart w:id="375" w:name="_Toc26436"/>
      <w:r>
        <w:rPr>
          <w:rFonts w:hint="eastAsia" w:asciiTheme="minorEastAsia" w:hAnsiTheme="minorEastAsia" w:eastAsiaTheme="minorEastAsia" w:cstheme="minorEastAsia"/>
          <w:b w:val="0"/>
          <w:bCs/>
          <w:sz w:val="24"/>
          <w:highlight w:val="none"/>
        </w:rPr>
        <w:t>响应文件的正本、副本以及电子文档均应密封送达谈判地点，应在封套上注明谈判项目名称、供应商名称。若正本、副本以及电子文档分别进行密封的，还应在封套上注明“正本”、“副本”、“电子文档”字样。</w:t>
      </w:r>
      <w:bookmarkEnd w:id="370"/>
      <w:bookmarkEnd w:id="371"/>
      <w:bookmarkEnd w:id="372"/>
      <w:bookmarkEnd w:id="373"/>
      <w:bookmarkEnd w:id="374"/>
      <w:bookmarkEnd w:id="375"/>
    </w:p>
    <w:p w14:paraId="1A5303F2">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76" w:name="_Toc24785"/>
      <w:bookmarkStart w:id="377" w:name="_Toc25790"/>
      <w:bookmarkStart w:id="378" w:name="_Toc16037"/>
      <w:bookmarkStart w:id="379" w:name="_Toc9984"/>
      <w:bookmarkStart w:id="380" w:name="_Toc21069"/>
      <w:bookmarkStart w:id="381" w:name="_Toc2382"/>
      <w:r>
        <w:rPr>
          <w:rFonts w:hint="eastAsia" w:asciiTheme="minorEastAsia" w:hAnsiTheme="minorEastAsia" w:eastAsiaTheme="minorEastAsia" w:cstheme="minorEastAsia"/>
          <w:b w:val="0"/>
          <w:bCs/>
          <w:sz w:val="24"/>
          <w:highlight w:val="none"/>
        </w:rPr>
        <w:t>（五）响应文件语言：简体中文</w:t>
      </w:r>
      <w:bookmarkEnd w:id="376"/>
      <w:bookmarkEnd w:id="377"/>
      <w:bookmarkEnd w:id="378"/>
      <w:bookmarkEnd w:id="379"/>
      <w:bookmarkEnd w:id="380"/>
      <w:bookmarkEnd w:id="381"/>
    </w:p>
    <w:p w14:paraId="1F083F63">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82" w:name="_Toc21482"/>
      <w:bookmarkStart w:id="383" w:name="_Toc16675"/>
      <w:bookmarkStart w:id="384" w:name="_Toc19773"/>
      <w:bookmarkStart w:id="385" w:name="_Toc121"/>
      <w:bookmarkStart w:id="386" w:name="_Toc12608"/>
      <w:bookmarkStart w:id="387" w:name="_Toc10049"/>
      <w:r>
        <w:rPr>
          <w:rFonts w:hint="eastAsia" w:asciiTheme="minorEastAsia" w:hAnsiTheme="minorEastAsia" w:eastAsiaTheme="minorEastAsia" w:cstheme="minorEastAsia"/>
          <w:b w:val="0"/>
          <w:bCs/>
          <w:sz w:val="24"/>
          <w:highlight w:val="none"/>
        </w:rPr>
        <w:t>（六）供应商参与人员</w:t>
      </w:r>
      <w:bookmarkEnd w:id="382"/>
      <w:bookmarkEnd w:id="383"/>
      <w:bookmarkEnd w:id="384"/>
      <w:bookmarkEnd w:id="385"/>
      <w:bookmarkEnd w:id="386"/>
      <w:bookmarkEnd w:id="387"/>
    </w:p>
    <w:p w14:paraId="29248826">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388" w:name="_Toc30024"/>
      <w:bookmarkStart w:id="389" w:name="_Toc1796"/>
      <w:bookmarkStart w:id="390" w:name="_Toc26326"/>
      <w:bookmarkStart w:id="391" w:name="_Toc14946"/>
      <w:bookmarkStart w:id="392" w:name="_Toc9255"/>
      <w:bookmarkStart w:id="393" w:name="_Toc22229"/>
      <w:r>
        <w:rPr>
          <w:rFonts w:hint="eastAsia" w:asciiTheme="minorEastAsia" w:hAnsiTheme="minorEastAsia" w:eastAsiaTheme="minorEastAsia" w:cstheme="minorEastAsia"/>
          <w:b w:val="0"/>
          <w:bCs/>
          <w:sz w:val="24"/>
          <w:highlight w:val="none"/>
        </w:rPr>
        <w:t>各供应商应当派1-2名代表参与谈判，至少1人应为法定代表人（或其授权代表）或自然人（供应商为自然人）。</w:t>
      </w:r>
      <w:bookmarkEnd w:id="388"/>
      <w:bookmarkEnd w:id="389"/>
      <w:bookmarkEnd w:id="390"/>
      <w:bookmarkEnd w:id="391"/>
      <w:bookmarkEnd w:id="392"/>
      <w:bookmarkEnd w:id="393"/>
    </w:p>
    <w:p w14:paraId="357CFE6E">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394" w:name="_Toc5175"/>
      <w:bookmarkStart w:id="395" w:name="_Toc21184"/>
      <w:bookmarkStart w:id="396" w:name="_Toc24369"/>
      <w:bookmarkStart w:id="397" w:name="_Toc27399"/>
      <w:bookmarkStart w:id="398" w:name="_Toc3804"/>
      <w:bookmarkStart w:id="399" w:name="_Toc90373255"/>
      <w:bookmarkStart w:id="400" w:name="_Toc17497"/>
      <w:bookmarkStart w:id="401" w:name="_Toc2340"/>
      <w:bookmarkStart w:id="402" w:name="_Toc13123"/>
      <w:bookmarkStart w:id="403" w:name="_Toc2488"/>
      <w:bookmarkStart w:id="404" w:name="_Toc6547"/>
      <w:bookmarkStart w:id="405" w:name="_Toc10915"/>
      <w:bookmarkStart w:id="406" w:name="_Toc71201069"/>
      <w:bookmarkStart w:id="407" w:name="_Toc45114061"/>
      <w:bookmarkStart w:id="408" w:name="_Toc23462"/>
      <w:bookmarkStart w:id="409" w:name="_Toc30451"/>
      <w:r>
        <w:rPr>
          <w:rFonts w:hint="eastAsia" w:asciiTheme="minorEastAsia" w:hAnsiTheme="minorEastAsia" w:eastAsiaTheme="minorEastAsia" w:cstheme="minorEastAsia"/>
          <w:b/>
          <w:bCs w:val="0"/>
          <w:sz w:val="24"/>
          <w:highlight w:val="none"/>
        </w:rPr>
        <w:t>四、成交供应商的确定和变更</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63F9DD9D">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10" w:name="_Toc4620"/>
      <w:bookmarkStart w:id="411" w:name="_Toc31548"/>
      <w:bookmarkStart w:id="412" w:name="_Toc16797"/>
      <w:bookmarkStart w:id="413" w:name="_Toc28013"/>
      <w:bookmarkStart w:id="414" w:name="_Toc17263"/>
      <w:bookmarkStart w:id="415" w:name="_Toc29662"/>
      <w:r>
        <w:rPr>
          <w:rFonts w:hint="eastAsia" w:asciiTheme="minorEastAsia" w:hAnsiTheme="minorEastAsia" w:eastAsiaTheme="minorEastAsia" w:cstheme="minorEastAsia"/>
          <w:b w:val="0"/>
          <w:bCs/>
          <w:sz w:val="24"/>
          <w:highlight w:val="none"/>
        </w:rPr>
        <w:t>（一）采购代理机构应当在评审结束后2个工作日内将评审报告送采购人确认。采购人应当在收到评审报告后5个工作日内，从评审报告提出的</w:t>
      </w:r>
      <w:r>
        <w:rPr>
          <w:rFonts w:hint="eastAsia" w:asciiTheme="minorEastAsia" w:hAnsiTheme="minorEastAsia" w:eastAsiaTheme="minorEastAsia" w:cstheme="minorEastAsia"/>
          <w:b w:val="0"/>
          <w:bCs/>
          <w:sz w:val="24"/>
          <w:highlight w:val="none"/>
          <w:lang w:eastAsia="zh-CN"/>
        </w:rPr>
        <w:t>成交候选供应商</w:t>
      </w:r>
      <w:r>
        <w:rPr>
          <w:rFonts w:hint="eastAsia" w:asciiTheme="minorEastAsia" w:hAnsiTheme="minorEastAsia" w:eastAsiaTheme="minorEastAsia" w:cstheme="minorEastAsia"/>
          <w:b w:val="0"/>
          <w:bCs/>
          <w:sz w:val="24"/>
          <w:highlight w:val="none"/>
        </w:rPr>
        <w:t>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bookmarkEnd w:id="410"/>
      <w:bookmarkEnd w:id="411"/>
      <w:bookmarkEnd w:id="412"/>
      <w:bookmarkEnd w:id="413"/>
      <w:bookmarkEnd w:id="414"/>
      <w:bookmarkEnd w:id="415"/>
    </w:p>
    <w:p w14:paraId="5ABFD627">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16" w:name="_Toc25785"/>
      <w:bookmarkStart w:id="417" w:name="_Toc9685"/>
      <w:bookmarkStart w:id="418" w:name="_Toc30877"/>
      <w:bookmarkStart w:id="419" w:name="_Toc2675"/>
      <w:bookmarkStart w:id="420" w:name="_Toc32724"/>
      <w:bookmarkStart w:id="421" w:name="_Toc10557"/>
      <w:r>
        <w:rPr>
          <w:rFonts w:hint="eastAsia" w:asciiTheme="minorEastAsia" w:hAnsiTheme="minorEastAsia" w:eastAsiaTheme="minorEastAsia" w:cstheme="minorEastAsia"/>
          <w:b w:val="0"/>
          <w:bCs/>
          <w:sz w:val="24"/>
          <w:highlight w:val="none"/>
        </w:rPr>
        <w:t>（二）成交供应商的变更</w:t>
      </w:r>
      <w:bookmarkEnd w:id="416"/>
      <w:bookmarkEnd w:id="417"/>
      <w:bookmarkEnd w:id="418"/>
      <w:bookmarkEnd w:id="419"/>
      <w:bookmarkEnd w:id="420"/>
      <w:bookmarkEnd w:id="421"/>
    </w:p>
    <w:p w14:paraId="2DB4AD5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22" w:name="_Toc17506"/>
      <w:bookmarkStart w:id="423" w:name="_Toc7430"/>
      <w:bookmarkStart w:id="424" w:name="_Toc16628"/>
      <w:bookmarkStart w:id="425" w:name="_Toc21399"/>
      <w:bookmarkStart w:id="426" w:name="_Toc32182"/>
      <w:bookmarkStart w:id="427" w:name="_Toc32238"/>
      <w:r>
        <w:rPr>
          <w:rFonts w:hint="eastAsia" w:asciiTheme="minorEastAsia" w:hAnsiTheme="minorEastAsia" w:eastAsiaTheme="minorEastAsia" w:cstheme="minorEastAsia"/>
          <w:b w:val="0"/>
          <w:bCs/>
          <w:sz w:val="24"/>
          <w:highlight w:val="none"/>
        </w:rPr>
        <w:t>1.成交供应商拒绝签订政府采购合同的，采购人可以按照评审报告推荐的</w:t>
      </w:r>
      <w:r>
        <w:rPr>
          <w:rFonts w:hint="eastAsia" w:asciiTheme="minorEastAsia" w:hAnsiTheme="minorEastAsia" w:eastAsiaTheme="minorEastAsia" w:cstheme="minorEastAsia"/>
          <w:b w:val="0"/>
          <w:bCs/>
          <w:sz w:val="24"/>
          <w:highlight w:val="none"/>
          <w:lang w:eastAsia="zh-CN"/>
        </w:rPr>
        <w:t>成交候选供应商</w:t>
      </w:r>
      <w:r>
        <w:rPr>
          <w:rFonts w:hint="eastAsia" w:asciiTheme="minorEastAsia" w:hAnsiTheme="minorEastAsia" w:eastAsiaTheme="minorEastAsia" w:cstheme="minorEastAsia"/>
          <w:b w:val="0"/>
          <w:bCs/>
          <w:sz w:val="24"/>
          <w:highlight w:val="none"/>
        </w:rPr>
        <w:t>顺序，确定排名下一位的候选人为成交供应商，也可以重新开展政府采购活动。拒绝签订政府采购合同的成交供应商不得参加对该项目重新开展的采购活动。</w:t>
      </w:r>
      <w:bookmarkEnd w:id="422"/>
      <w:bookmarkEnd w:id="423"/>
      <w:bookmarkEnd w:id="424"/>
      <w:bookmarkEnd w:id="425"/>
      <w:bookmarkEnd w:id="426"/>
      <w:bookmarkEnd w:id="427"/>
    </w:p>
    <w:p w14:paraId="288042C2">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28" w:name="_Toc13350"/>
      <w:bookmarkStart w:id="429" w:name="_Toc17820"/>
      <w:bookmarkStart w:id="430" w:name="_Toc26242"/>
      <w:bookmarkStart w:id="431" w:name="_Toc5582"/>
      <w:bookmarkStart w:id="432" w:name="_Toc32044"/>
      <w:bookmarkStart w:id="433" w:name="_Toc2050"/>
      <w:r>
        <w:rPr>
          <w:rFonts w:hint="eastAsia" w:asciiTheme="minorEastAsia" w:hAnsiTheme="minorEastAsia" w:eastAsiaTheme="minorEastAsia" w:cstheme="minorEastAsia"/>
          <w:b w:val="0"/>
          <w:bCs/>
          <w:sz w:val="24"/>
          <w:highlight w:val="none"/>
        </w:rPr>
        <w:t>2.成交供应商无充分理由放弃成交的，采购人将向同级财政部门报告，财政部门将根据相关法律法规的规定进行处理。</w:t>
      </w:r>
      <w:bookmarkEnd w:id="428"/>
      <w:bookmarkEnd w:id="429"/>
      <w:bookmarkEnd w:id="430"/>
      <w:bookmarkEnd w:id="431"/>
      <w:bookmarkEnd w:id="432"/>
      <w:bookmarkEnd w:id="433"/>
    </w:p>
    <w:p w14:paraId="01A7CC7F">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434" w:name="_Toc12107"/>
      <w:bookmarkStart w:id="435" w:name="_Toc1745"/>
      <w:bookmarkStart w:id="436" w:name="_Toc71201070"/>
      <w:bookmarkStart w:id="437" w:name="_Toc27989"/>
      <w:bookmarkStart w:id="438" w:name="_Toc11837"/>
      <w:bookmarkStart w:id="439" w:name="_Toc31471"/>
      <w:bookmarkStart w:id="440" w:name="_Toc24178"/>
      <w:bookmarkStart w:id="441" w:name="_Toc23965"/>
      <w:bookmarkStart w:id="442" w:name="_Toc90373256"/>
      <w:bookmarkStart w:id="443" w:name="_Toc8364"/>
      <w:bookmarkStart w:id="444" w:name="_Toc45114062"/>
      <w:bookmarkStart w:id="445" w:name="_Toc17242"/>
      <w:bookmarkStart w:id="446" w:name="_Toc1210"/>
      <w:bookmarkStart w:id="447" w:name="_Toc22185"/>
      <w:bookmarkStart w:id="448" w:name="_Toc13448"/>
      <w:bookmarkStart w:id="449" w:name="_Toc7873"/>
      <w:r>
        <w:rPr>
          <w:rFonts w:hint="eastAsia" w:asciiTheme="minorEastAsia" w:hAnsiTheme="minorEastAsia" w:eastAsiaTheme="minorEastAsia" w:cstheme="minorEastAsia"/>
          <w:b/>
          <w:bCs w:val="0"/>
          <w:sz w:val="24"/>
          <w:highlight w:val="none"/>
        </w:rPr>
        <w:t>五、成交通知</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C9C3932">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50" w:name="_Toc24679"/>
      <w:bookmarkStart w:id="451" w:name="_Toc14958"/>
      <w:bookmarkStart w:id="452" w:name="_Toc17159"/>
      <w:bookmarkStart w:id="453" w:name="_Toc31602"/>
      <w:bookmarkStart w:id="454" w:name="_Toc8091"/>
      <w:bookmarkStart w:id="455" w:name="_Toc5909"/>
      <w:r>
        <w:rPr>
          <w:rFonts w:hint="eastAsia" w:asciiTheme="minorEastAsia" w:hAnsiTheme="minorEastAsia" w:eastAsiaTheme="minorEastAsia" w:cstheme="minorEastAsia"/>
          <w:b w:val="0"/>
          <w:bCs/>
          <w:sz w:val="24"/>
          <w:highlight w:val="none"/>
        </w:rPr>
        <w:t>（一）成交供应商确定后，采购代理机构将在行采家 (gec123.com)网上发布成交结果公告。</w:t>
      </w:r>
      <w:bookmarkEnd w:id="450"/>
      <w:bookmarkEnd w:id="451"/>
      <w:bookmarkEnd w:id="452"/>
      <w:bookmarkEnd w:id="453"/>
      <w:bookmarkEnd w:id="454"/>
      <w:bookmarkEnd w:id="455"/>
    </w:p>
    <w:p w14:paraId="0F63DC97">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56" w:name="_Toc23428"/>
      <w:bookmarkStart w:id="457" w:name="_Toc32535"/>
      <w:bookmarkStart w:id="458" w:name="_Toc7641"/>
      <w:bookmarkStart w:id="459" w:name="_Toc18424"/>
      <w:bookmarkStart w:id="460" w:name="_Toc27875"/>
      <w:bookmarkStart w:id="461" w:name="_Toc6002"/>
      <w:r>
        <w:rPr>
          <w:rFonts w:hint="eastAsia" w:asciiTheme="minorEastAsia" w:hAnsiTheme="minorEastAsia" w:eastAsiaTheme="minorEastAsia" w:cstheme="minorEastAsia"/>
          <w:b w:val="0"/>
          <w:bCs/>
          <w:sz w:val="24"/>
          <w:highlight w:val="none"/>
        </w:rPr>
        <w:t>（二）结果公告发出同时，采购代理机构将以书面形式发出《成交通知书》。《成交通知书》一经发出即发生法律效力。</w:t>
      </w:r>
      <w:bookmarkEnd w:id="456"/>
      <w:bookmarkEnd w:id="457"/>
      <w:bookmarkEnd w:id="458"/>
      <w:bookmarkEnd w:id="459"/>
      <w:bookmarkEnd w:id="460"/>
      <w:bookmarkEnd w:id="461"/>
    </w:p>
    <w:p w14:paraId="2479987B">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62" w:name="_Toc11941"/>
      <w:bookmarkStart w:id="463" w:name="_Toc18484"/>
      <w:bookmarkStart w:id="464" w:name="_Toc23407"/>
      <w:bookmarkStart w:id="465" w:name="_Toc26505"/>
      <w:bookmarkStart w:id="466" w:name="_Toc5907"/>
      <w:bookmarkStart w:id="467" w:name="_Toc26905"/>
      <w:r>
        <w:rPr>
          <w:rFonts w:hint="eastAsia" w:asciiTheme="minorEastAsia" w:hAnsiTheme="minorEastAsia" w:eastAsiaTheme="minorEastAsia" w:cstheme="minorEastAsia"/>
          <w:b w:val="0"/>
          <w:bCs/>
          <w:sz w:val="24"/>
          <w:highlight w:val="none"/>
        </w:rPr>
        <w:t>（三）《成交通知书》将作为签订合同的依据。</w:t>
      </w:r>
      <w:bookmarkEnd w:id="462"/>
      <w:bookmarkEnd w:id="463"/>
      <w:bookmarkEnd w:id="464"/>
      <w:bookmarkEnd w:id="465"/>
      <w:bookmarkEnd w:id="466"/>
      <w:bookmarkEnd w:id="467"/>
    </w:p>
    <w:p w14:paraId="019CD2E5">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468" w:name="_Toc19731"/>
      <w:bookmarkStart w:id="469" w:name="_Toc3497"/>
      <w:bookmarkStart w:id="470" w:name="_Toc27167"/>
      <w:bookmarkStart w:id="471" w:name="_Toc1125"/>
      <w:bookmarkStart w:id="472" w:name="_Toc10513"/>
      <w:bookmarkStart w:id="473" w:name="_Toc25545"/>
      <w:bookmarkStart w:id="474" w:name="_Toc6491"/>
      <w:bookmarkStart w:id="475" w:name="_Toc10095"/>
      <w:bookmarkStart w:id="476" w:name="_Toc15612"/>
      <w:bookmarkStart w:id="477" w:name="_Toc45114063"/>
      <w:bookmarkStart w:id="478" w:name="_Toc3067"/>
      <w:bookmarkStart w:id="479" w:name="_Toc11464"/>
      <w:bookmarkStart w:id="480" w:name="_Toc90373257"/>
      <w:bookmarkStart w:id="481" w:name="_Toc6337"/>
      <w:bookmarkStart w:id="482" w:name="_Toc71201071"/>
      <w:bookmarkStart w:id="483" w:name="_Toc19186"/>
      <w:r>
        <w:rPr>
          <w:rFonts w:hint="eastAsia" w:asciiTheme="minorEastAsia" w:hAnsiTheme="minorEastAsia" w:eastAsiaTheme="minorEastAsia" w:cstheme="minorEastAsia"/>
          <w:b/>
          <w:bCs w:val="0"/>
          <w:sz w:val="24"/>
          <w:highlight w:val="none"/>
        </w:rPr>
        <w:t>六、关于质疑和投诉</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1D14FA47">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84" w:name="_Toc30222"/>
      <w:bookmarkStart w:id="485" w:name="_Toc6608"/>
      <w:bookmarkStart w:id="486" w:name="_Toc9495"/>
      <w:bookmarkStart w:id="487" w:name="_Toc12920"/>
      <w:bookmarkStart w:id="488" w:name="_Toc23117"/>
      <w:bookmarkStart w:id="489" w:name="_Toc31600"/>
      <w:r>
        <w:rPr>
          <w:rFonts w:hint="eastAsia" w:asciiTheme="minorEastAsia" w:hAnsiTheme="minorEastAsia" w:eastAsiaTheme="minorEastAsia" w:cstheme="minorEastAsia"/>
          <w:b w:val="0"/>
          <w:bCs/>
          <w:sz w:val="24"/>
          <w:highlight w:val="none"/>
        </w:rPr>
        <w:t>（一）质疑</w:t>
      </w:r>
      <w:bookmarkEnd w:id="484"/>
      <w:bookmarkEnd w:id="485"/>
      <w:bookmarkEnd w:id="486"/>
      <w:bookmarkEnd w:id="487"/>
      <w:bookmarkEnd w:id="488"/>
      <w:bookmarkEnd w:id="489"/>
    </w:p>
    <w:p w14:paraId="40D367F0">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90" w:name="_Toc3679"/>
      <w:bookmarkStart w:id="491" w:name="_Toc3353"/>
      <w:bookmarkStart w:id="492" w:name="_Toc6034"/>
      <w:bookmarkStart w:id="493" w:name="_Toc30595"/>
      <w:bookmarkStart w:id="494" w:name="_Toc24271"/>
      <w:bookmarkStart w:id="495" w:name="_Toc14406"/>
      <w:r>
        <w:rPr>
          <w:rFonts w:hint="eastAsia" w:asciiTheme="minorEastAsia" w:hAnsiTheme="minorEastAsia" w:eastAsiaTheme="minorEastAsia" w:cstheme="minorEastAsia"/>
          <w:b w:val="0"/>
          <w:bCs/>
          <w:sz w:val="24"/>
          <w:highlight w:val="none"/>
        </w:rPr>
        <w:t>供应商认为采购文件、采购过程和成交结果使自己的权益收到伤害的，可向采购人或采购代理机构以书面形式提出质疑。</w:t>
      </w:r>
      <w:bookmarkEnd w:id="490"/>
      <w:bookmarkEnd w:id="491"/>
      <w:bookmarkEnd w:id="492"/>
      <w:bookmarkEnd w:id="493"/>
      <w:bookmarkEnd w:id="494"/>
      <w:bookmarkEnd w:id="495"/>
    </w:p>
    <w:p w14:paraId="79B37EAD">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496" w:name="_Toc5499"/>
      <w:bookmarkStart w:id="497" w:name="_Toc18661"/>
      <w:bookmarkStart w:id="498" w:name="_Toc20770"/>
      <w:bookmarkStart w:id="499" w:name="_Toc13899"/>
      <w:bookmarkStart w:id="500" w:name="_Toc17352"/>
      <w:bookmarkStart w:id="501" w:name="_Toc6676"/>
      <w:r>
        <w:rPr>
          <w:rFonts w:hint="eastAsia" w:asciiTheme="minorEastAsia" w:hAnsiTheme="minorEastAsia" w:eastAsiaTheme="minorEastAsia" w:cstheme="minorEastAsia"/>
          <w:b w:val="0"/>
          <w:bCs/>
          <w:sz w:val="24"/>
          <w:highlight w:val="none"/>
        </w:rPr>
        <w:t>提出质疑的应当是参与所质疑项目采购活动的供应商。</w:t>
      </w:r>
      <w:bookmarkEnd w:id="496"/>
      <w:bookmarkEnd w:id="497"/>
      <w:bookmarkEnd w:id="498"/>
      <w:bookmarkEnd w:id="499"/>
      <w:bookmarkEnd w:id="500"/>
      <w:bookmarkEnd w:id="501"/>
      <w:r>
        <w:rPr>
          <w:rFonts w:hint="eastAsia" w:asciiTheme="minorEastAsia" w:hAnsiTheme="minorEastAsia" w:eastAsiaTheme="minorEastAsia" w:cstheme="minorEastAsia"/>
          <w:b w:val="0"/>
          <w:bCs/>
          <w:sz w:val="24"/>
          <w:highlight w:val="none"/>
        </w:rPr>
        <w:t xml:space="preserve"> </w:t>
      </w:r>
    </w:p>
    <w:p w14:paraId="02AFFDE5">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02" w:name="_Toc2405"/>
      <w:bookmarkStart w:id="503" w:name="_Toc641"/>
      <w:bookmarkStart w:id="504" w:name="_Toc25219"/>
      <w:bookmarkStart w:id="505" w:name="_Toc15196"/>
      <w:bookmarkStart w:id="506" w:name="_Toc2139"/>
      <w:bookmarkStart w:id="507" w:name="_Toc29509"/>
      <w:r>
        <w:rPr>
          <w:rFonts w:hint="eastAsia" w:asciiTheme="minorEastAsia" w:hAnsiTheme="minorEastAsia" w:eastAsiaTheme="minorEastAsia" w:cstheme="minorEastAsia"/>
          <w:b w:val="0"/>
          <w:bCs/>
          <w:sz w:val="24"/>
          <w:highlight w:val="none"/>
        </w:rPr>
        <w:t>1.质疑时限、内容</w:t>
      </w:r>
      <w:bookmarkEnd w:id="502"/>
      <w:bookmarkEnd w:id="503"/>
      <w:bookmarkEnd w:id="504"/>
      <w:bookmarkEnd w:id="505"/>
      <w:bookmarkEnd w:id="506"/>
      <w:bookmarkEnd w:id="507"/>
    </w:p>
    <w:p w14:paraId="2CDCC832">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08" w:name="_Toc6962"/>
      <w:bookmarkStart w:id="509" w:name="_Toc12110"/>
      <w:bookmarkStart w:id="510" w:name="_Toc9702"/>
      <w:bookmarkStart w:id="511" w:name="_Toc23272"/>
      <w:bookmarkStart w:id="512" w:name="_Toc30265"/>
      <w:bookmarkStart w:id="513" w:name="_Toc17619"/>
      <w:r>
        <w:rPr>
          <w:rFonts w:hint="eastAsia" w:asciiTheme="minorEastAsia" w:hAnsiTheme="minorEastAsia" w:eastAsiaTheme="minorEastAsia" w:cstheme="minorEastAsia"/>
          <w:b w:val="0"/>
          <w:bCs/>
          <w:sz w:val="24"/>
          <w:highlight w:val="none"/>
        </w:rPr>
        <w:t>1.1供应商认为采购文件、采购过程、成交结果使自己的权益受到损害的，可以在知道或者应知其权益受到损害之日起7个工作日内，以书面形式向采购人、采购代理机构提出质疑。</w:t>
      </w:r>
      <w:bookmarkEnd w:id="508"/>
      <w:bookmarkEnd w:id="509"/>
      <w:bookmarkEnd w:id="510"/>
      <w:bookmarkEnd w:id="511"/>
      <w:bookmarkEnd w:id="512"/>
      <w:bookmarkEnd w:id="513"/>
    </w:p>
    <w:p w14:paraId="4FD1399C">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14" w:name="_Toc21684"/>
      <w:bookmarkStart w:id="515" w:name="_Toc15696"/>
      <w:bookmarkStart w:id="516" w:name="_Toc20442"/>
      <w:bookmarkStart w:id="517" w:name="_Toc26730"/>
      <w:bookmarkStart w:id="518" w:name="_Toc1818"/>
      <w:bookmarkStart w:id="519" w:name="_Toc18115"/>
      <w:r>
        <w:rPr>
          <w:rFonts w:hint="eastAsia" w:asciiTheme="minorEastAsia" w:hAnsiTheme="minorEastAsia" w:eastAsiaTheme="minorEastAsia" w:cstheme="minorEastAsia"/>
          <w:b w:val="0"/>
          <w:bCs/>
          <w:sz w:val="24"/>
          <w:highlight w:val="none"/>
        </w:rPr>
        <w:t>1.2供应商提出质疑应当提交质疑函和必要的证明材料，质疑函应当包括下列内容：</w:t>
      </w:r>
      <w:bookmarkEnd w:id="514"/>
      <w:bookmarkEnd w:id="515"/>
      <w:bookmarkEnd w:id="516"/>
      <w:bookmarkEnd w:id="517"/>
      <w:bookmarkEnd w:id="518"/>
      <w:bookmarkEnd w:id="519"/>
    </w:p>
    <w:p w14:paraId="4FE118CF">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20" w:name="_Toc6091"/>
      <w:bookmarkStart w:id="521" w:name="_Toc29638"/>
      <w:bookmarkStart w:id="522" w:name="_Toc24698"/>
      <w:bookmarkStart w:id="523" w:name="_Toc32721"/>
      <w:bookmarkStart w:id="524" w:name="_Toc30886"/>
      <w:bookmarkStart w:id="525" w:name="_Toc2783"/>
      <w:r>
        <w:rPr>
          <w:rFonts w:hint="eastAsia" w:asciiTheme="minorEastAsia" w:hAnsiTheme="minorEastAsia" w:eastAsiaTheme="minorEastAsia" w:cstheme="minorEastAsia"/>
          <w:b w:val="0"/>
          <w:bCs/>
          <w:sz w:val="24"/>
          <w:highlight w:val="none"/>
        </w:rPr>
        <w:t>1.2.1供应商的姓名或者名称、地址、邮编、联系人及联系电话；</w:t>
      </w:r>
      <w:bookmarkEnd w:id="520"/>
      <w:bookmarkEnd w:id="521"/>
      <w:bookmarkEnd w:id="522"/>
      <w:bookmarkEnd w:id="523"/>
      <w:bookmarkEnd w:id="524"/>
      <w:bookmarkEnd w:id="525"/>
    </w:p>
    <w:p w14:paraId="787AB84F">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26" w:name="_Toc32746"/>
      <w:bookmarkStart w:id="527" w:name="_Toc22585"/>
      <w:bookmarkStart w:id="528" w:name="_Toc17897"/>
      <w:bookmarkStart w:id="529" w:name="_Toc6671"/>
      <w:bookmarkStart w:id="530" w:name="_Toc9675"/>
      <w:bookmarkStart w:id="531" w:name="_Toc26114"/>
      <w:r>
        <w:rPr>
          <w:rFonts w:hint="eastAsia" w:asciiTheme="minorEastAsia" w:hAnsiTheme="minorEastAsia" w:eastAsiaTheme="minorEastAsia" w:cstheme="minorEastAsia"/>
          <w:b w:val="0"/>
          <w:bCs/>
          <w:sz w:val="24"/>
          <w:highlight w:val="none"/>
        </w:rPr>
        <w:t>1.2.2质疑项目的项目名称、项目编号；</w:t>
      </w:r>
      <w:bookmarkEnd w:id="526"/>
      <w:bookmarkEnd w:id="527"/>
      <w:bookmarkEnd w:id="528"/>
      <w:bookmarkEnd w:id="529"/>
      <w:bookmarkEnd w:id="530"/>
      <w:bookmarkEnd w:id="531"/>
    </w:p>
    <w:p w14:paraId="035BE43A">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32" w:name="_Toc2376"/>
      <w:bookmarkStart w:id="533" w:name="_Toc4974"/>
      <w:bookmarkStart w:id="534" w:name="_Toc26047"/>
      <w:bookmarkStart w:id="535" w:name="_Toc14938"/>
      <w:bookmarkStart w:id="536" w:name="_Toc14279"/>
      <w:bookmarkStart w:id="537" w:name="_Toc17069"/>
      <w:r>
        <w:rPr>
          <w:rFonts w:hint="eastAsia" w:asciiTheme="minorEastAsia" w:hAnsiTheme="minorEastAsia" w:eastAsiaTheme="minorEastAsia" w:cstheme="minorEastAsia"/>
          <w:b w:val="0"/>
          <w:bCs/>
          <w:sz w:val="24"/>
          <w:highlight w:val="none"/>
        </w:rPr>
        <w:t>1.2.3具体、明确的质疑事项和与质疑事项相关的请求；</w:t>
      </w:r>
      <w:bookmarkEnd w:id="532"/>
      <w:bookmarkEnd w:id="533"/>
      <w:bookmarkEnd w:id="534"/>
      <w:bookmarkEnd w:id="535"/>
      <w:bookmarkEnd w:id="536"/>
      <w:bookmarkEnd w:id="537"/>
    </w:p>
    <w:p w14:paraId="2D653B4F">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38" w:name="_Toc11900"/>
      <w:bookmarkStart w:id="539" w:name="_Toc24647"/>
      <w:bookmarkStart w:id="540" w:name="_Toc11325"/>
      <w:bookmarkStart w:id="541" w:name="_Toc6195"/>
      <w:bookmarkStart w:id="542" w:name="_Toc15547"/>
      <w:bookmarkStart w:id="543" w:name="_Toc31645"/>
      <w:r>
        <w:rPr>
          <w:rFonts w:hint="eastAsia" w:asciiTheme="minorEastAsia" w:hAnsiTheme="minorEastAsia" w:eastAsiaTheme="minorEastAsia" w:cstheme="minorEastAsia"/>
          <w:b w:val="0"/>
          <w:bCs/>
          <w:sz w:val="24"/>
          <w:highlight w:val="none"/>
        </w:rPr>
        <w:t>1.2.4事实依据；</w:t>
      </w:r>
      <w:bookmarkEnd w:id="538"/>
      <w:bookmarkEnd w:id="539"/>
      <w:bookmarkEnd w:id="540"/>
      <w:bookmarkEnd w:id="541"/>
      <w:bookmarkEnd w:id="542"/>
      <w:bookmarkEnd w:id="543"/>
    </w:p>
    <w:p w14:paraId="00773AD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44" w:name="_Toc19509"/>
      <w:bookmarkStart w:id="545" w:name="_Toc5050"/>
      <w:bookmarkStart w:id="546" w:name="_Toc12388"/>
      <w:bookmarkStart w:id="547" w:name="_Toc21084"/>
      <w:bookmarkStart w:id="548" w:name="_Toc24244"/>
      <w:bookmarkStart w:id="549" w:name="_Toc16107"/>
      <w:r>
        <w:rPr>
          <w:rFonts w:hint="eastAsia" w:asciiTheme="minorEastAsia" w:hAnsiTheme="minorEastAsia" w:eastAsiaTheme="minorEastAsia" w:cstheme="minorEastAsia"/>
          <w:b w:val="0"/>
          <w:bCs/>
          <w:sz w:val="24"/>
          <w:highlight w:val="none"/>
        </w:rPr>
        <w:t>1.2.5必要的法律依据；</w:t>
      </w:r>
      <w:bookmarkEnd w:id="544"/>
      <w:bookmarkEnd w:id="545"/>
      <w:bookmarkEnd w:id="546"/>
      <w:bookmarkEnd w:id="547"/>
      <w:bookmarkEnd w:id="548"/>
      <w:bookmarkEnd w:id="549"/>
    </w:p>
    <w:p w14:paraId="09F45DC8">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50" w:name="_Toc14611"/>
      <w:bookmarkStart w:id="551" w:name="_Toc25"/>
      <w:bookmarkStart w:id="552" w:name="_Toc23007"/>
      <w:bookmarkStart w:id="553" w:name="_Toc868"/>
      <w:bookmarkStart w:id="554" w:name="_Toc11036"/>
      <w:bookmarkStart w:id="555" w:name="_Toc5573"/>
      <w:r>
        <w:rPr>
          <w:rFonts w:hint="eastAsia" w:asciiTheme="minorEastAsia" w:hAnsiTheme="minorEastAsia" w:eastAsiaTheme="minorEastAsia" w:cstheme="minorEastAsia"/>
          <w:b w:val="0"/>
          <w:bCs/>
          <w:sz w:val="24"/>
          <w:highlight w:val="none"/>
        </w:rPr>
        <w:t>1.2.6提出质疑的日期；</w:t>
      </w:r>
      <w:bookmarkEnd w:id="550"/>
      <w:bookmarkEnd w:id="551"/>
      <w:bookmarkEnd w:id="552"/>
      <w:bookmarkEnd w:id="553"/>
      <w:bookmarkEnd w:id="554"/>
      <w:bookmarkEnd w:id="555"/>
    </w:p>
    <w:p w14:paraId="638AC500">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56" w:name="_Toc26118"/>
      <w:bookmarkStart w:id="557" w:name="_Toc10117"/>
      <w:bookmarkStart w:id="558" w:name="_Toc28983"/>
      <w:bookmarkStart w:id="559" w:name="_Toc4377"/>
      <w:bookmarkStart w:id="560" w:name="_Toc24687"/>
      <w:bookmarkStart w:id="561" w:name="_Toc9146"/>
      <w:r>
        <w:rPr>
          <w:rFonts w:hint="eastAsia" w:asciiTheme="minorEastAsia" w:hAnsiTheme="minorEastAsia" w:eastAsiaTheme="minorEastAsia" w:cstheme="minorEastAsia"/>
          <w:b w:val="0"/>
          <w:bCs/>
          <w:sz w:val="24"/>
          <w:highlight w:val="none"/>
        </w:rPr>
        <w:t>1.2.7营业执照（或事业单位法人证书，或个体工商户营业执照或有效的自然人身份证明）复印件；</w:t>
      </w:r>
      <w:bookmarkEnd w:id="556"/>
      <w:bookmarkEnd w:id="557"/>
      <w:bookmarkEnd w:id="558"/>
      <w:bookmarkEnd w:id="559"/>
      <w:bookmarkEnd w:id="560"/>
      <w:bookmarkEnd w:id="561"/>
    </w:p>
    <w:p w14:paraId="643BE08A">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62" w:name="_Toc28441"/>
      <w:bookmarkStart w:id="563" w:name="_Toc3544"/>
      <w:bookmarkStart w:id="564" w:name="_Toc19511"/>
      <w:bookmarkStart w:id="565" w:name="_Toc22000"/>
      <w:bookmarkStart w:id="566" w:name="_Toc28552"/>
      <w:bookmarkStart w:id="567" w:name="_Toc25913"/>
      <w:r>
        <w:rPr>
          <w:rFonts w:hint="eastAsia" w:asciiTheme="minorEastAsia" w:hAnsiTheme="minorEastAsia" w:eastAsiaTheme="minorEastAsia" w:cstheme="minorEastAsia"/>
          <w:b w:val="0"/>
          <w:bCs/>
          <w:sz w:val="24"/>
          <w:highlight w:val="none"/>
        </w:rPr>
        <w:t>1.2.8法定代表人授权委托书原件、法定代表人身份证复印件和其授权代表的身份证复印件（供应商为自然人的提供自然人身份证复印件）；</w:t>
      </w:r>
      <w:bookmarkEnd w:id="562"/>
      <w:bookmarkEnd w:id="563"/>
      <w:bookmarkEnd w:id="564"/>
      <w:bookmarkEnd w:id="565"/>
      <w:bookmarkEnd w:id="566"/>
      <w:bookmarkEnd w:id="567"/>
    </w:p>
    <w:p w14:paraId="6598AD19">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68" w:name="_Toc9294"/>
      <w:bookmarkStart w:id="569" w:name="_Toc22579"/>
      <w:bookmarkStart w:id="570" w:name="_Toc13888"/>
      <w:bookmarkStart w:id="571" w:name="_Toc11254"/>
      <w:bookmarkStart w:id="572" w:name="_Toc26860"/>
      <w:bookmarkStart w:id="573" w:name="_Toc14740"/>
      <w:r>
        <w:rPr>
          <w:rFonts w:hint="eastAsia" w:asciiTheme="minorEastAsia" w:hAnsiTheme="minorEastAsia" w:eastAsiaTheme="minorEastAsia" w:cstheme="minorEastAsia"/>
          <w:b w:val="0"/>
          <w:bCs/>
          <w:sz w:val="24"/>
          <w:highlight w:val="none"/>
        </w:rPr>
        <w:t>1.3供应商为自然人的，质疑函应当由本人签字；供应商为法人或者其他组织的，质疑函应当由法定代表人、主要负责人，或者其授权代表签字或者盖章，并加盖公章。</w:t>
      </w:r>
      <w:bookmarkEnd w:id="568"/>
      <w:bookmarkEnd w:id="569"/>
      <w:bookmarkEnd w:id="570"/>
      <w:bookmarkEnd w:id="571"/>
      <w:bookmarkEnd w:id="572"/>
      <w:bookmarkEnd w:id="573"/>
    </w:p>
    <w:p w14:paraId="5F70374A">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74" w:name="_Toc32563"/>
      <w:bookmarkStart w:id="575" w:name="_Toc23885"/>
      <w:bookmarkStart w:id="576" w:name="_Toc5307"/>
      <w:bookmarkStart w:id="577" w:name="_Toc14532"/>
      <w:bookmarkStart w:id="578" w:name="_Toc24197"/>
      <w:bookmarkStart w:id="579" w:name="_Toc32284"/>
      <w:r>
        <w:rPr>
          <w:rFonts w:hint="eastAsia" w:asciiTheme="minorEastAsia" w:hAnsiTheme="minorEastAsia" w:eastAsiaTheme="minorEastAsia" w:cstheme="minorEastAsia"/>
          <w:b w:val="0"/>
          <w:bCs/>
          <w:sz w:val="24"/>
          <w:highlight w:val="none"/>
        </w:rPr>
        <w:t>2.质疑答复</w:t>
      </w:r>
      <w:bookmarkEnd w:id="574"/>
      <w:bookmarkEnd w:id="575"/>
      <w:bookmarkEnd w:id="576"/>
      <w:bookmarkEnd w:id="577"/>
      <w:bookmarkEnd w:id="578"/>
      <w:bookmarkEnd w:id="579"/>
    </w:p>
    <w:p w14:paraId="6F05DAA3">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80" w:name="_Toc25872"/>
      <w:bookmarkStart w:id="581" w:name="_Toc12057"/>
      <w:bookmarkStart w:id="582" w:name="_Toc17774"/>
      <w:bookmarkStart w:id="583" w:name="_Toc30464"/>
      <w:bookmarkStart w:id="584" w:name="_Toc8361"/>
      <w:bookmarkStart w:id="585" w:name="_Toc24632"/>
      <w:r>
        <w:rPr>
          <w:rFonts w:hint="eastAsia" w:asciiTheme="minorEastAsia" w:hAnsiTheme="minorEastAsia" w:eastAsiaTheme="minorEastAsia" w:cstheme="minorEastAsia"/>
          <w:b w:val="0"/>
          <w:bCs/>
          <w:sz w:val="24"/>
          <w:highlight w:val="none"/>
        </w:rPr>
        <w:t>采购人、采购代理机构应当在收到供应商的书面质疑后七个工作日内作出答复，并以书面形式通知质疑供应商和其他有关供应商。</w:t>
      </w:r>
      <w:bookmarkEnd w:id="580"/>
      <w:bookmarkEnd w:id="581"/>
      <w:bookmarkEnd w:id="582"/>
      <w:bookmarkEnd w:id="583"/>
      <w:bookmarkEnd w:id="584"/>
      <w:bookmarkEnd w:id="585"/>
    </w:p>
    <w:p w14:paraId="122BFD64">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86" w:name="_Toc25280"/>
      <w:bookmarkStart w:id="587" w:name="_Toc27149"/>
      <w:bookmarkStart w:id="588" w:name="_Toc12833"/>
      <w:bookmarkStart w:id="589" w:name="_Toc16867"/>
      <w:bookmarkStart w:id="590" w:name="_Toc7102"/>
      <w:bookmarkStart w:id="591" w:name="_Toc22601"/>
      <w:r>
        <w:rPr>
          <w:rFonts w:hint="eastAsia" w:asciiTheme="minorEastAsia" w:hAnsiTheme="minorEastAsia" w:eastAsiaTheme="minorEastAsia" w:cstheme="minorEastAsia"/>
          <w:b w:val="0"/>
          <w:bCs/>
          <w:sz w:val="24"/>
          <w:highlight w:val="none"/>
        </w:rPr>
        <w:t>3.其他</w:t>
      </w:r>
      <w:bookmarkEnd w:id="586"/>
      <w:bookmarkEnd w:id="587"/>
      <w:bookmarkEnd w:id="588"/>
      <w:bookmarkEnd w:id="589"/>
      <w:bookmarkEnd w:id="590"/>
      <w:bookmarkEnd w:id="591"/>
    </w:p>
    <w:p w14:paraId="29385FB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92" w:name="_Toc5683"/>
      <w:bookmarkStart w:id="593" w:name="_Toc27446"/>
      <w:bookmarkStart w:id="594" w:name="_Toc17089"/>
      <w:bookmarkStart w:id="595" w:name="_Toc22928"/>
      <w:bookmarkStart w:id="596" w:name="_Toc2987"/>
      <w:bookmarkStart w:id="597" w:name="_Toc30976"/>
      <w:r>
        <w:rPr>
          <w:rFonts w:hint="eastAsia" w:asciiTheme="minorEastAsia" w:hAnsiTheme="minorEastAsia" w:eastAsiaTheme="minorEastAsia" w:cstheme="minorEastAsia"/>
          <w:b w:val="0"/>
          <w:bCs/>
          <w:sz w:val="24"/>
          <w:highlight w:val="none"/>
        </w:rPr>
        <w:t>3.1供应商应按照《政府采购质疑和投诉办法》（财政部令第94号）及相关法律法规要求，在法定质疑期内一次性提出针对同一采购程序环节的质疑。</w:t>
      </w:r>
      <w:bookmarkEnd w:id="592"/>
      <w:bookmarkEnd w:id="593"/>
      <w:bookmarkEnd w:id="594"/>
      <w:bookmarkEnd w:id="595"/>
      <w:bookmarkEnd w:id="596"/>
      <w:bookmarkEnd w:id="597"/>
    </w:p>
    <w:p w14:paraId="395D32D2">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598" w:name="_Toc9345"/>
      <w:bookmarkStart w:id="599" w:name="_Toc26624"/>
      <w:bookmarkStart w:id="600" w:name="_Toc15727"/>
      <w:bookmarkStart w:id="601" w:name="_Toc19458"/>
      <w:bookmarkStart w:id="602" w:name="_Toc27257"/>
      <w:bookmarkStart w:id="603" w:name="_Toc20484"/>
      <w:r>
        <w:rPr>
          <w:rFonts w:hint="eastAsia" w:asciiTheme="minorEastAsia" w:hAnsiTheme="minorEastAsia" w:eastAsiaTheme="minorEastAsia" w:cstheme="minorEastAsia"/>
          <w:b w:val="0"/>
          <w:bCs/>
          <w:sz w:val="24"/>
          <w:highlight w:val="none"/>
        </w:rPr>
        <w:t>3.2质疑函范本可在财政部门户网站和中国政府采购网下载。</w:t>
      </w:r>
      <w:bookmarkEnd w:id="598"/>
      <w:bookmarkEnd w:id="599"/>
      <w:bookmarkEnd w:id="600"/>
      <w:bookmarkEnd w:id="601"/>
      <w:bookmarkEnd w:id="602"/>
      <w:bookmarkEnd w:id="603"/>
    </w:p>
    <w:p w14:paraId="34DD5A86">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04" w:name="_Toc14814"/>
      <w:bookmarkStart w:id="605" w:name="_Toc18641"/>
      <w:bookmarkStart w:id="606" w:name="_Toc25805"/>
      <w:bookmarkStart w:id="607" w:name="_Toc25548"/>
      <w:bookmarkStart w:id="608" w:name="_Toc3962"/>
      <w:bookmarkStart w:id="609" w:name="_Toc8242"/>
      <w:r>
        <w:rPr>
          <w:rFonts w:hint="eastAsia" w:asciiTheme="minorEastAsia" w:hAnsiTheme="minorEastAsia" w:eastAsiaTheme="minorEastAsia" w:cstheme="minorEastAsia"/>
          <w:b w:val="0"/>
          <w:bCs/>
          <w:sz w:val="24"/>
          <w:highlight w:val="none"/>
        </w:rPr>
        <w:t>（二）投诉</w:t>
      </w:r>
      <w:bookmarkEnd w:id="604"/>
      <w:bookmarkEnd w:id="605"/>
      <w:bookmarkEnd w:id="606"/>
      <w:bookmarkEnd w:id="607"/>
      <w:bookmarkEnd w:id="608"/>
      <w:bookmarkEnd w:id="609"/>
    </w:p>
    <w:p w14:paraId="786BC8B4">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10" w:name="_Toc13817"/>
      <w:bookmarkStart w:id="611" w:name="_Toc3624"/>
      <w:bookmarkStart w:id="612" w:name="_Toc25921"/>
      <w:bookmarkStart w:id="613" w:name="_Toc12455"/>
      <w:bookmarkStart w:id="614" w:name="_Toc27130"/>
      <w:bookmarkStart w:id="615" w:name="_Toc29392"/>
      <w:r>
        <w:rPr>
          <w:rFonts w:hint="eastAsia" w:asciiTheme="minorEastAsia" w:hAnsiTheme="minorEastAsia" w:eastAsiaTheme="minorEastAsia" w:cstheme="minorEastAsia"/>
          <w:b w:val="0"/>
          <w:bCs/>
          <w:sz w:val="24"/>
          <w:highlight w:val="none"/>
        </w:rPr>
        <w:t>1.供应商对采购人、采购代理机构的答复不满意，或者采购人、采购代理机构未在规定时间内作出答复的，可以在答复期满后15个工作日内按照相关法律法规向监督部门提起投诉。</w:t>
      </w:r>
      <w:bookmarkEnd w:id="610"/>
      <w:bookmarkEnd w:id="611"/>
      <w:bookmarkEnd w:id="612"/>
      <w:bookmarkEnd w:id="613"/>
      <w:bookmarkEnd w:id="614"/>
      <w:bookmarkEnd w:id="615"/>
    </w:p>
    <w:p w14:paraId="4DABFB29">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16" w:name="_Toc17311"/>
      <w:bookmarkStart w:id="617" w:name="_Toc25028"/>
      <w:bookmarkStart w:id="618" w:name="_Toc5263"/>
      <w:bookmarkStart w:id="619" w:name="_Toc14947"/>
      <w:bookmarkStart w:id="620" w:name="_Toc22285"/>
      <w:bookmarkStart w:id="621" w:name="_Toc31091"/>
      <w:r>
        <w:rPr>
          <w:rFonts w:hint="eastAsia" w:asciiTheme="minorEastAsia" w:hAnsiTheme="minorEastAsia" w:eastAsiaTheme="minorEastAsia" w:cstheme="minorEastAsia"/>
          <w:b w:val="0"/>
          <w:bCs/>
          <w:sz w:val="24"/>
          <w:highlight w:val="none"/>
        </w:rPr>
        <w:t>2.供应商应按照《政府采购质疑和投诉办法》（财政部令第94号）及相关法律法规要求递交投诉书和必要的证明材料。投诉书范本可在财政部门户网站和中国政府采购网下载。</w:t>
      </w:r>
      <w:bookmarkEnd w:id="616"/>
      <w:bookmarkEnd w:id="617"/>
      <w:bookmarkEnd w:id="618"/>
      <w:bookmarkEnd w:id="619"/>
      <w:bookmarkEnd w:id="620"/>
      <w:bookmarkEnd w:id="621"/>
    </w:p>
    <w:p w14:paraId="050E306F">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22" w:name="_Toc30941"/>
      <w:bookmarkStart w:id="623" w:name="_Toc29477"/>
      <w:bookmarkStart w:id="624" w:name="_Toc27206"/>
      <w:bookmarkStart w:id="625" w:name="_Toc16455"/>
      <w:bookmarkStart w:id="626" w:name="_Toc18700"/>
      <w:bookmarkStart w:id="627" w:name="_Toc5305"/>
      <w:r>
        <w:rPr>
          <w:rFonts w:hint="eastAsia" w:asciiTheme="minorEastAsia" w:hAnsiTheme="minorEastAsia" w:eastAsiaTheme="minorEastAsia" w:cstheme="minorEastAsia"/>
          <w:b w:val="0"/>
          <w:bCs/>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bookmarkEnd w:id="622"/>
      <w:bookmarkEnd w:id="623"/>
      <w:bookmarkEnd w:id="624"/>
      <w:bookmarkEnd w:id="625"/>
      <w:bookmarkEnd w:id="626"/>
      <w:bookmarkEnd w:id="627"/>
    </w:p>
    <w:p w14:paraId="3B32CCC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28" w:name="_Toc32403"/>
      <w:bookmarkStart w:id="629" w:name="_Toc17037"/>
      <w:bookmarkStart w:id="630" w:name="_Toc1327"/>
      <w:bookmarkStart w:id="631" w:name="_Toc23230"/>
      <w:bookmarkStart w:id="632" w:name="_Toc17287"/>
      <w:bookmarkStart w:id="633" w:name="_Toc1066"/>
      <w:r>
        <w:rPr>
          <w:rFonts w:hint="eastAsia" w:asciiTheme="minorEastAsia" w:hAnsiTheme="minorEastAsia" w:eastAsiaTheme="minorEastAsia" w:cstheme="minorEastAsia"/>
          <w:b w:val="0"/>
          <w:bCs/>
          <w:sz w:val="24"/>
          <w:highlight w:val="none"/>
        </w:rPr>
        <w:t>4.在确定受理投诉后，监督部门自受理投诉之日起30个工作日内（需要检验、检测、鉴定、专家评审以及需要投诉人补正材料的，所需时间不计算在投诉处理期限内）对投诉事项做出处理决定。</w:t>
      </w:r>
      <w:bookmarkEnd w:id="628"/>
      <w:bookmarkEnd w:id="629"/>
      <w:bookmarkEnd w:id="630"/>
      <w:bookmarkEnd w:id="631"/>
      <w:bookmarkEnd w:id="632"/>
      <w:bookmarkEnd w:id="633"/>
    </w:p>
    <w:p w14:paraId="566A4608">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634" w:name="_Toc12995"/>
      <w:bookmarkStart w:id="635" w:name="_Toc10469"/>
      <w:bookmarkStart w:id="636" w:name="_Toc45114064"/>
      <w:bookmarkStart w:id="637" w:name="_Toc17158"/>
      <w:bookmarkStart w:id="638" w:name="_Toc71201072"/>
      <w:bookmarkStart w:id="639" w:name="_Toc90373258"/>
      <w:bookmarkStart w:id="640" w:name="_Toc1175"/>
      <w:bookmarkStart w:id="641" w:name="_Toc20830"/>
      <w:bookmarkStart w:id="642" w:name="_Toc24486"/>
      <w:bookmarkStart w:id="643" w:name="_Toc4230"/>
    </w:p>
    <w:p w14:paraId="20BE128E">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644" w:name="_Toc13513"/>
      <w:bookmarkStart w:id="645" w:name="_Toc22119"/>
      <w:bookmarkStart w:id="646" w:name="_Toc19195"/>
      <w:bookmarkStart w:id="647" w:name="_Toc7804"/>
      <w:bookmarkStart w:id="648" w:name="_Toc23124"/>
      <w:bookmarkStart w:id="649" w:name="_Toc16842"/>
      <w:r>
        <w:rPr>
          <w:rFonts w:hint="eastAsia" w:asciiTheme="minorEastAsia" w:hAnsiTheme="minorEastAsia" w:eastAsiaTheme="minorEastAsia" w:cstheme="minorEastAsia"/>
          <w:b/>
          <w:bCs w:val="0"/>
          <w:sz w:val="24"/>
          <w:highlight w:val="none"/>
        </w:rPr>
        <w:t>七、签订合同</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3B0929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50" w:name="_Toc20195"/>
      <w:bookmarkStart w:id="651" w:name="_Toc30018"/>
      <w:bookmarkStart w:id="652" w:name="_Toc5847"/>
      <w:bookmarkStart w:id="653" w:name="_Toc3200"/>
      <w:bookmarkStart w:id="654" w:name="_Toc19341"/>
      <w:bookmarkStart w:id="655" w:name="_Toc5023"/>
      <w:r>
        <w:rPr>
          <w:rFonts w:hint="eastAsia" w:asciiTheme="minorEastAsia" w:hAnsiTheme="minorEastAsia" w:eastAsiaTheme="minorEastAsia" w:cstheme="minorEastAsia"/>
          <w:b w:val="0"/>
          <w:bCs/>
          <w:sz w:val="24"/>
          <w:highlight w:val="none"/>
        </w:rPr>
        <w:t>（一）采购人原则上应在成交通知书发出之日起二十日内和成交供应商签订政府采购合同，无正当理由不得拒绝或拖延合同签订。所签订的合同不得对竞争性谈判文件和供应商的响应文件作实质性修改。其他未尽事宜由采购人和成交供应商在采购合同中详细约定。</w:t>
      </w:r>
      <w:bookmarkEnd w:id="650"/>
      <w:bookmarkEnd w:id="651"/>
      <w:bookmarkEnd w:id="652"/>
      <w:bookmarkEnd w:id="653"/>
      <w:bookmarkEnd w:id="654"/>
      <w:bookmarkEnd w:id="655"/>
    </w:p>
    <w:p w14:paraId="4236A29A">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56" w:name="_Toc665"/>
      <w:bookmarkStart w:id="657" w:name="_Toc25972"/>
      <w:bookmarkStart w:id="658" w:name="_Toc27132"/>
      <w:bookmarkStart w:id="659" w:name="_Toc27820"/>
      <w:bookmarkStart w:id="660" w:name="_Toc14684"/>
      <w:bookmarkStart w:id="661" w:name="_Toc24812"/>
      <w:r>
        <w:rPr>
          <w:rFonts w:hint="eastAsia" w:asciiTheme="minorEastAsia" w:hAnsiTheme="minorEastAsia" w:eastAsiaTheme="minorEastAsia" w:cstheme="minorEastAsia"/>
          <w:b w:val="0"/>
          <w:bCs/>
          <w:sz w:val="24"/>
          <w:highlight w:val="none"/>
        </w:rPr>
        <w:t>（二）竞争性谈判文件、供应商的响应文件及澄清文件等，均为签订政府采购合同的依据。</w:t>
      </w:r>
      <w:bookmarkEnd w:id="656"/>
      <w:bookmarkEnd w:id="657"/>
      <w:bookmarkEnd w:id="658"/>
      <w:bookmarkEnd w:id="659"/>
      <w:bookmarkEnd w:id="660"/>
      <w:bookmarkEnd w:id="661"/>
    </w:p>
    <w:p w14:paraId="61552467">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62" w:name="_Toc15802"/>
      <w:bookmarkStart w:id="663" w:name="_Toc6463"/>
      <w:bookmarkStart w:id="664" w:name="_Toc13533"/>
      <w:bookmarkStart w:id="665" w:name="_Toc5374"/>
      <w:bookmarkStart w:id="666" w:name="_Toc8163"/>
      <w:bookmarkStart w:id="667" w:name="_Toc2988"/>
      <w:r>
        <w:rPr>
          <w:rFonts w:hint="eastAsia" w:asciiTheme="minorEastAsia" w:hAnsiTheme="minorEastAsia" w:eastAsiaTheme="minorEastAsia" w:cstheme="minorEastAsia"/>
          <w:b w:val="0"/>
          <w:bCs/>
          <w:sz w:val="24"/>
          <w:highlight w:val="none"/>
        </w:rPr>
        <w:t>（三）合同生效条款由供需双方约定，法律、行政法规规定应当办理批准、登记等手续后生效的合同，依照其规定。</w:t>
      </w:r>
      <w:bookmarkEnd w:id="662"/>
      <w:bookmarkEnd w:id="663"/>
      <w:bookmarkEnd w:id="664"/>
      <w:bookmarkEnd w:id="665"/>
      <w:bookmarkEnd w:id="666"/>
      <w:bookmarkEnd w:id="667"/>
    </w:p>
    <w:p w14:paraId="24C8FCEE">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68" w:name="_Toc30099"/>
      <w:bookmarkStart w:id="669" w:name="_Toc10438"/>
      <w:bookmarkStart w:id="670" w:name="_Toc31570"/>
      <w:bookmarkStart w:id="671" w:name="_Toc11328"/>
      <w:bookmarkStart w:id="672" w:name="_Toc31357"/>
      <w:bookmarkStart w:id="673" w:name="_Toc24440"/>
      <w:r>
        <w:rPr>
          <w:rFonts w:hint="eastAsia" w:asciiTheme="minorEastAsia" w:hAnsiTheme="minorEastAsia" w:eastAsiaTheme="minorEastAsia" w:cstheme="minorEastAsia"/>
          <w:b w:val="0"/>
          <w:bCs/>
          <w:sz w:val="24"/>
          <w:highlight w:val="none"/>
        </w:rPr>
        <w:t>（四）合同原则上应按照《重庆市政府采购合同》签订，相关单位要求适用合同通用格式版本的，应按其要求另行签订其他合同。</w:t>
      </w:r>
      <w:bookmarkEnd w:id="668"/>
      <w:bookmarkEnd w:id="669"/>
      <w:bookmarkEnd w:id="670"/>
      <w:bookmarkEnd w:id="671"/>
      <w:bookmarkEnd w:id="672"/>
      <w:bookmarkEnd w:id="673"/>
    </w:p>
    <w:p w14:paraId="2ABF28B1">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674" w:name="_Toc12365"/>
      <w:bookmarkStart w:id="675" w:name="_Toc8772"/>
      <w:bookmarkStart w:id="676" w:name="_Toc12741"/>
      <w:bookmarkStart w:id="677" w:name="_Toc16807"/>
      <w:bookmarkStart w:id="678" w:name="_Toc16340"/>
      <w:bookmarkStart w:id="679" w:name="_Toc23320"/>
      <w:bookmarkStart w:id="680" w:name="_Toc4628"/>
      <w:bookmarkStart w:id="681" w:name="_Toc418"/>
      <w:bookmarkStart w:id="682" w:name="_Toc25724"/>
      <w:bookmarkStart w:id="683" w:name="_Toc11850"/>
      <w:bookmarkStart w:id="684" w:name="_Toc16361"/>
      <w:bookmarkStart w:id="685" w:name="_Toc30947"/>
      <w:r>
        <w:rPr>
          <w:rFonts w:hint="eastAsia" w:asciiTheme="minorEastAsia" w:hAnsiTheme="minorEastAsia" w:eastAsiaTheme="minorEastAsia" w:cstheme="minorEastAsia"/>
          <w:b/>
          <w:bCs w:val="0"/>
          <w:sz w:val="24"/>
          <w:highlight w:val="none"/>
        </w:rPr>
        <w:t>八、项目验收</w:t>
      </w:r>
      <w:bookmarkEnd w:id="674"/>
      <w:bookmarkEnd w:id="675"/>
      <w:bookmarkEnd w:id="676"/>
      <w:bookmarkEnd w:id="677"/>
      <w:bookmarkEnd w:id="678"/>
      <w:bookmarkEnd w:id="679"/>
      <w:bookmarkEnd w:id="680"/>
      <w:bookmarkEnd w:id="681"/>
      <w:bookmarkEnd w:id="682"/>
      <w:bookmarkEnd w:id="683"/>
      <w:bookmarkEnd w:id="684"/>
      <w:bookmarkEnd w:id="685"/>
    </w:p>
    <w:p w14:paraId="2C536F8C">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686" w:name="_Toc6727"/>
      <w:bookmarkStart w:id="687" w:name="_Toc20325"/>
      <w:bookmarkStart w:id="688" w:name="_Toc9184"/>
      <w:bookmarkStart w:id="689" w:name="_Toc426"/>
      <w:bookmarkStart w:id="690" w:name="_Toc32698"/>
      <w:bookmarkStart w:id="691" w:name="_Toc8356"/>
      <w:r>
        <w:rPr>
          <w:rFonts w:hint="eastAsia" w:asciiTheme="minorEastAsia" w:hAnsiTheme="minorEastAsia" w:eastAsiaTheme="minorEastAsia" w:cstheme="minorEastAsia"/>
          <w:b w:val="0"/>
          <w:bCs/>
          <w:sz w:val="24"/>
          <w:highlight w:val="none"/>
        </w:rPr>
        <w:t>合同执行完毕，采购人原则上应在7个工作日内组织履约情况验收，不得无故拖延或附加额外条件。</w:t>
      </w:r>
      <w:bookmarkEnd w:id="686"/>
      <w:bookmarkEnd w:id="687"/>
      <w:bookmarkEnd w:id="688"/>
      <w:bookmarkEnd w:id="689"/>
      <w:bookmarkEnd w:id="690"/>
      <w:bookmarkEnd w:id="691"/>
    </w:p>
    <w:p w14:paraId="2B6D3E73">
      <w:pPr>
        <w:pStyle w:val="4"/>
        <w:adjustRightInd w:val="0"/>
        <w:snapToGrid w:val="0"/>
        <w:spacing w:before="0" w:after="0" w:line="360" w:lineRule="auto"/>
        <w:ind w:firstLine="482" w:firstLineChars="200"/>
        <w:rPr>
          <w:rFonts w:hint="eastAsia" w:asciiTheme="minorEastAsia" w:hAnsiTheme="minorEastAsia" w:eastAsiaTheme="minorEastAsia" w:cstheme="minorEastAsia"/>
          <w:b/>
          <w:bCs w:val="0"/>
          <w:sz w:val="24"/>
          <w:highlight w:val="none"/>
        </w:rPr>
      </w:pPr>
      <w:bookmarkStart w:id="692" w:name="_Toc7480"/>
      <w:bookmarkStart w:id="693" w:name="_Toc71201073"/>
      <w:bookmarkStart w:id="694" w:name="_Toc21690"/>
      <w:bookmarkStart w:id="695" w:name="_Toc17332"/>
      <w:bookmarkStart w:id="696" w:name="_Toc23217"/>
      <w:bookmarkStart w:id="697" w:name="_Toc18847"/>
      <w:bookmarkStart w:id="698" w:name="_Toc28781"/>
      <w:bookmarkStart w:id="699" w:name="_Toc7631"/>
      <w:bookmarkStart w:id="700" w:name="_Toc90373259"/>
      <w:bookmarkStart w:id="701" w:name="_Toc12799"/>
      <w:bookmarkStart w:id="702" w:name="_Toc26190"/>
      <w:bookmarkStart w:id="703" w:name="_Toc22629"/>
      <w:bookmarkStart w:id="704" w:name="_Toc18165"/>
      <w:bookmarkStart w:id="705" w:name="_Toc7908"/>
      <w:bookmarkStart w:id="706" w:name="_Toc14427"/>
      <w:r>
        <w:rPr>
          <w:rFonts w:hint="eastAsia" w:asciiTheme="minorEastAsia" w:hAnsiTheme="minorEastAsia" w:eastAsiaTheme="minorEastAsia" w:cstheme="minorEastAsia"/>
          <w:b/>
          <w:bCs w:val="0"/>
          <w:sz w:val="24"/>
          <w:highlight w:val="none"/>
        </w:rPr>
        <w:t>九、采购代理服务费</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19DE959">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707" w:name="OLE_LINK7"/>
      <w:bookmarkStart w:id="708" w:name="OLE_LINK8"/>
      <w:bookmarkStart w:id="709" w:name="_Toc30127"/>
      <w:bookmarkStart w:id="710" w:name="_Toc2518"/>
      <w:bookmarkStart w:id="711" w:name="_Toc15411"/>
      <w:bookmarkStart w:id="712" w:name="_Toc27838"/>
      <w:bookmarkStart w:id="713" w:name="_Toc13233"/>
      <w:bookmarkStart w:id="714" w:name="_Toc11704"/>
      <w:r>
        <w:rPr>
          <w:rFonts w:hint="eastAsia" w:asciiTheme="minorEastAsia" w:hAnsiTheme="minorEastAsia" w:eastAsiaTheme="minorEastAsia" w:cstheme="minorEastAsia"/>
          <w:b w:val="0"/>
          <w:bCs/>
          <w:sz w:val="24"/>
          <w:highlight w:val="none"/>
        </w:rPr>
        <w:t>（一）</w:t>
      </w:r>
      <w:bookmarkEnd w:id="707"/>
      <w:bookmarkEnd w:id="708"/>
      <w:r>
        <w:rPr>
          <w:rFonts w:hint="eastAsia" w:asciiTheme="minorEastAsia" w:hAnsiTheme="minorEastAsia" w:eastAsiaTheme="minorEastAsia" w:cstheme="minorEastAsia"/>
          <w:b w:val="0"/>
          <w:bCs/>
          <w:sz w:val="24"/>
          <w:highlight w:val="none"/>
          <w:lang w:val="en-US" w:eastAsia="zh-CN"/>
        </w:rPr>
        <w:t>本项目采购代理服务费由成交供应商支付，即成交供应商在领取成交通知书之前以现金或转账形式一次性支付给代理机构。</w:t>
      </w:r>
      <w:bookmarkEnd w:id="709"/>
      <w:bookmarkEnd w:id="710"/>
      <w:bookmarkEnd w:id="711"/>
      <w:bookmarkEnd w:id="712"/>
      <w:bookmarkEnd w:id="713"/>
      <w:bookmarkEnd w:id="714"/>
    </w:p>
    <w:p w14:paraId="27821914">
      <w:pPr>
        <w:pStyle w:val="4"/>
        <w:adjustRightInd w:val="0"/>
        <w:snapToGrid w:val="0"/>
        <w:spacing w:before="0" w:after="0" w:line="360" w:lineRule="auto"/>
        <w:ind w:firstLine="480" w:firstLineChars="200"/>
        <w:rPr>
          <w:rFonts w:hint="default" w:asciiTheme="minorEastAsia" w:hAnsiTheme="minorEastAsia" w:eastAsiaTheme="minorEastAsia" w:cstheme="minorEastAsia"/>
          <w:b w:val="0"/>
          <w:bCs/>
          <w:sz w:val="24"/>
          <w:highlight w:val="none"/>
          <w:lang w:val="en-US" w:eastAsia="zh-CN"/>
        </w:rPr>
      </w:pPr>
      <w:bookmarkStart w:id="715" w:name="_Toc28785"/>
      <w:bookmarkStart w:id="716" w:name="_Toc24745"/>
      <w:bookmarkStart w:id="717" w:name="_Toc16564"/>
      <w:bookmarkStart w:id="718" w:name="_Toc17292"/>
      <w:bookmarkStart w:id="719" w:name="_Toc9636"/>
      <w:bookmarkStart w:id="720" w:name="_Toc18996"/>
      <w:r>
        <w:rPr>
          <w:rFonts w:hint="eastAsia" w:asciiTheme="minorEastAsia" w:hAnsiTheme="minorEastAsia" w:eastAsiaTheme="minorEastAsia" w:cstheme="minorEastAsia"/>
          <w:b w:val="0"/>
          <w:bCs/>
          <w:sz w:val="24"/>
          <w:highlight w:val="none"/>
          <w:lang w:eastAsia="zh-CN"/>
        </w:rPr>
        <w:t>（</w:t>
      </w:r>
      <w:r>
        <w:rPr>
          <w:rFonts w:hint="eastAsia" w:asciiTheme="minorEastAsia" w:hAnsiTheme="minorEastAsia" w:eastAsiaTheme="minorEastAsia" w:cstheme="minorEastAsia"/>
          <w:b w:val="0"/>
          <w:bCs/>
          <w:sz w:val="24"/>
          <w:highlight w:val="none"/>
          <w:lang w:val="en-US" w:eastAsia="zh-CN"/>
        </w:rPr>
        <w:t>二</w:t>
      </w:r>
      <w:r>
        <w:rPr>
          <w:rFonts w:hint="eastAsia" w:asciiTheme="minorEastAsia" w:hAnsiTheme="minorEastAsia" w:eastAsiaTheme="minorEastAsia" w:cstheme="minorEastAsia"/>
          <w:b w:val="0"/>
          <w:bCs/>
          <w:sz w:val="24"/>
          <w:highlight w:val="none"/>
          <w:lang w:eastAsia="zh-CN"/>
        </w:rPr>
        <w:t>）</w:t>
      </w:r>
      <w:r>
        <w:rPr>
          <w:rFonts w:hint="eastAsia" w:asciiTheme="minorEastAsia" w:hAnsiTheme="minorEastAsia" w:eastAsiaTheme="minorEastAsia" w:cstheme="minorEastAsia"/>
          <w:b w:val="0"/>
          <w:bCs/>
          <w:sz w:val="24"/>
          <w:highlight w:val="none"/>
          <w:lang w:val="en-US" w:eastAsia="zh-CN"/>
        </w:rPr>
        <w:t>计费方式：共3000元。</w:t>
      </w:r>
      <w:bookmarkEnd w:id="715"/>
    </w:p>
    <w:p w14:paraId="0D839B24">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721" w:name="_Toc19211"/>
      <w:r>
        <w:rPr>
          <w:rFonts w:hint="eastAsia" w:asciiTheme="minorEastAsia" w:hAnsiTheme="minorEastAsia" w:eastAsiaTheme="minorEastAsia" w:cstheme="minorEastAsia"/>
          <w:b w:val="0"/>
          <w:bCs/>
          <w:sz w:val="24"/>
          <w:highlight w:val="none"/>
        </w:rPr>
        <w:t>（</w:t>
      </w:r>
      <w:r>
        <w:rPr>
          <w:rFonts w:hint="eastAsia" w:asciiTheme="minorEastAsia" w:hAnsiTheme="minorEastAsia" w:eastAsiaTheme="minorEastAsia" w:cstheme="minorEastAsia"/>
          <w:b w:val="0"/>
          <w:bCs/>
          <w:sz w:val="24"/>
          <w:highlight w:val="none"/>
          <w:lang w:val="en-US" w:eastAsia="zh-CN"/>
        </w:rPr>
        <w:t>三</w:t>
      </w:r>
      <w:r>
        <w:rPr>
          <w:rFonts w:hint="eastAsia" w:asciiTheme="minorEastAsia" w:hAnsiTheme="minorEastAsia" w:eastAsiaTheme="minorEastAsia" w:cstheme="minorEastAsia"/>
          <w:b w:val="0"/>
          <w:bCs/>
          <w:sz w:val="24"/>
          <w:highlight w:val="none"/>
        </w:rPr>
        <w:t>）采购代理服务费缴纳账号：</w:t>
      </w:r>
      <w:bookmarkEnd w:id="716"/>
      <w:bookmarkEnd w:id="717"/>
      <w:bookmarkEnd w:id="718"/>
      <w:bookmarkEnd w:id="719"/>
      <w:bookmarkEnd w:id="720"/>
      <w:bookmarkEnd w:id="721"/>
    </w:p>
    <w:p w14:paraId="75E5C441">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722" w:name="_Toc5277"/>
      <w:bookmarkStart w:id="723" w:name="_Toc7418"/>
      <w:bookmarkStart w:id="724" w:name="_Toc23990"/>
      <w:bookmarkStart w:id="725" w:name="_Toc18581"/>
      <w:bookmarkStart w:id="726" w:name="_Toc4332"/>
      <w:bookmarkStart w:id="727" w:name="_Toc2616"/>
      <w:r>
        <w:rPr>
          <w:rFonts w:hint="eastAsia" w:asciiTheme="minorEastAsia" w:hAnsiTheme="minorEastAsia" w:eastAsiaTheme="minorEastAsia" w:cstheme="minorEastAsia"/>
          <w:b w:val="0"/>
          <w:bCs/>
          <w:sz w:val="24"/>
          <w:highlight w:val="none"/>
        </w:rPr>
        <w:t>账户名称：重庆方采工程项目管理咨询有限公司</w:t>
      </w:r>
      <w:bookmarkEnd w:id="722"/>
      <w:bookmarkEnd w:id="723"/>
      <w:bookmarkEnd w:id="724"/>
      <w:bookmarkEnd w:id="725"/>
      <w:bookmarkEnd w:id="726"/>
      <w:bookmarkEnd w:id="727"/>
    </w:p>
    <w:p w14:paraId="5E3D15EF">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728" w:name="_Toc282"/>
      <w:bookmarkStart w:id="729" w:name="_Toc17527"/>
      <w:bookmarkStart w:id="730" w:name="_Toc9905"/>
      <w:bookmarkStart w:id="731" w:name="_Toc26771"/>
      <w:bookmarkStart w:id="732" w:name="_Toc4083"/>
      <w:bookmarkStart w:id="733" w:name="_Toc18281"/>
      <w:r>
        <w:rPr>
          <w:rFonts w:hint="eastAsia" w:asciiTheme="minorEastAsia" w:hAnsiTheme="minorEastAsia" w:eastAsiaTheme="minorEastAsia" w:cstheme="minorEastAsia"/>
          <w:b w:val="0"/>
          <w:bCs/>
          <w:sz w:val="24"/>
          <w:highlight w:val="none"/>
        </w:rPr>
        <w:t>开户银行：重庆渝北银座村镇银行有限责任公司人和支行</w:t>
      </w:r>
      <w:bookmarkEnd w:id="728"/>
      <w:bookmarkEnd w:id="729"/>
      <w:bookmarkEnd w:id="730"/>
      <w:bookmarkEnd w:id="731"/>
      <w:bookmarkEnd w:id="732"/>
      <w:bookmarkEnd w:id="733"/>
    </w:p>
    <w:p w14:paraId="32E8964D">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734" w:name="_Toc15998"/>
      <w:bookmarkStart w:id="735" w:name="_Toc8609"/>
      <w:bookmarkStart w:id="736" w:name="_Toc7235"/>
      <w:bookmarkStart w:id="737" w:name="_Toc26801"/>
      <w:bookmarkStart w:id="738" w:name="_Toc29512"/>
      <w:bookmarkStart w:id="739" w:name="_Toc17318"/>
      <w:r>
        <w:rPr>
          <w:rFonts w:hint="eastAsia" w:asciiTheme="minorEastAsia" w:hAnsiTheme="minorEastAsia" w:eastAsiaTheme="minorEastAsia" w:cstheme="minorEastAsia"/>
          <w:b w:val="0"/>
          <w:bCs/>
          <w:sz w:val="24"/>
          <w:highlight w:val="none"/>
        </w:rPr>
        <w:t>账 号：651095368900015</w:t>
      </w:r>
      <w:bookmarkEnd w:id="734"/>
      <w:bookmarkEnd w:id="735"/>
      <w:bookmarkEnd w:id="736"/>
      <w:bookmarkEnd w:id="737"/>
      <w:bookmarkEnd w:id="738"/>
      <w:bookmarkEnd w:id="739"/>
    </w:p>
    <w:p w14:paraId="699294A4">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bookmarkStart w:id="740" w:name="_Toc26324"/>
      <w:bookmarkStart w:id="741" w:name="_Toc9099"/>
      <w:bookmarkStart w:id="742" w:name="_Toc24843"/>
      <w:bookmarkStart w:id="743" w:name="_Toc22396"/>
      <w:bookmarkStart w:id="744" w:name="_Toc1639"/>
      <w:bookmarkStart w:id="745" w:name="_Toc5560"/>
      <w:r>
        <w:rPr>
          <w:rFonts w:hint="eastAsia" w:asciiTheme="minorEastAsia" w:hAnsiTheme="minorEastAsia" w:eastAsiaTheme="minorEastAsia" w:cstheme="minorEastAsia"/>
          <w:b w:val="0"/>
          <w:bCs/>
          <w:sz w:val="24"/>
          <w:highlight w:val="none"/>
        </w:rPr>
        <w:t>行 号：320653000442</w:t>
      </w:r>
      <w:bookmarkEnd w:id="740"/>
      <w:bookmarkEnd w:id="741"/>
      <w:bookmarkEnd w:id="742"/>
      <w:bookmarkEnd w:id="743"/>
      <w:bookmarkEnd w:id="744"/>
      <w:bookmarkEnd w:id="745"/>
    </w:p>
    <w:p w14:paraId="6A7CA228">
      <w:pPr>
        <w:pStyle w:val="4"/>
        <w:adjustRightInd w:val="0"/>
        <w:snapToGrid w:val="0"/>
        <w:spacing w:before="0" w:after="0" w:line="360" w:lineRule="auto"/>
        <w:ind w:firstLine="480" w:firstLineChars="200"/>
        <w:rPr>
          <w:rFonts w:hint="eastAsia" w:asciiTheme="minorEastAsia" w:hAnsiTheme="minorEastAsia" w:eastAsiaTheme="minorEastAsia" w:cstheme="minorEastAsia"/>
          <w:b w:val="0"/>
          <w:bCs/>
          <w:sz w:val="24"/>
          <w:highlight w:val="none"/>
        </w:rPr>
      </w:pPr>
    </w:p>
    <w:p w14:paraId="72286496">
      <w:pPr>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3630C651">
      <w:pPr>
        <w:spacing w:line="360" w:lineRule="auto"/>
        <w:ind w:firstLine="480" w:firstLineChars="200"/>
        <w:rPr>
          <w:rFonts w:hint="eastAsia" w:asciiTheme="minorEastAsia" w:hAnsiTheme="minorEastAsia" w:eastAsiaTheme="minorEastAsia" w:cstheme="minorEastAsia"/>
          <w:sz w:val="24"/>
          <w:szCs w:val="24"/>
          <w:highlight w:val="none"/>
        </w:rPr>
        <w:sectPr>
          <w:pgSz w:w="11907" w:h="16840"/>
          <w:pgMar w:top="1134" w:right="1134" w:bottom="1134" w:left="1134" w:header="850" w:footer="992" w:gutter="0"/>
          <w:pgNumType w:fmt="decimal"/>
          <w:cols w:space="0" w:num="1"/>
          <w:rtlGutter w:val="0"/>
          <w:docGrid w:linePitch="312" w:charSpace="0"/>
        </w:sectPr>
      </w:pPr>
    </w:p>
    <w:bookmarkEnd w:id="91"/>
    <w:p w14:paraId="6AB35D37">
      <w:pPr>
        <w:pStyle w:val="4"/>
        <w:spacing w:before="0" w:after="0" w:line="360" w:lineRule="auto"/>
        <w:jc w:val="center"/>
        <w:rPr>
          <w:rFonts w:hint="eastAsia" w:asciiTheme="minorEastAsia" w:hAnsiTheme="minorEastAsia" w:eastAsiaTheme="minorEastAsia" w:cstheme="minorEastAsia"/>
          <w:b w:val="0"/>
          <w:sz w:val="36"/>
          <w:szCs w:val="30"/>
          <w:highlight w:val="none"/>
        </w:rPr>
      </w:pPr>
      <w:bookmarkStart w:id="746" w:name="_Toc11641055"/>
      <w:bookmarkStart w:id="747" w:name="_Toc12789059"/>
      <w:bookmarkStart w:id="748" w:name="_Toc17478"/>
      <w:bookmarkStart w:id="749" w:name="_Toc65660365"/>
      <w:bookmarkStart w:id="750" w:name="_Toc28162"/>
      <w:bookmarkStart w:id="751" w:name="_Toc14861"/>
      <w:bookmarkStart w:id="752" w:name="_Toc5537"/>
      <w:r>
        <w:rPr>
          <w:rFonts w:hint="eastAsia" w:asciiTheme="minorEastAsia" w:hAnsiTheme="minorEastAsia" w:eastAsiaTheme="minorEastAsia" w:cstheme="minorEastAsia"/>
          <w:b w:val="0"/>
          <w:sz w:val="36"/>
          <w:szCs w:val="30"/>
          <w:highlight w:val="none"/>
        </w:rPr>
        <w:t xml:space="preserve">第六篇  </w:t>
      </w:r>
      <w:bookmarkEnd w:id="746"/>
      <w:bookmarkEnd w:id="747"/>
      <w:r>
        <w:rPr>
          <w:rFonts w:hint="eastAsia" w:asciiTheme="minorEastAsia" w:hAnsiTheme="minorEastAsia" w:eastAsiaTheme="minorEastAsia" w:cstheme="minorEastAsia"/>
          <w:b w:val="0"/>
          <w:sz w:val="36"/>
          <w:szCs w:val="30"/>
          <w:highlight w:val="none"/>
        </w:rPr>
        <w:t>合同草案条款</w:t>
      </w:r>
      <w:bookmarkEnd w:id="748"/>
      <w:bookmarkEnd w:id="749"/>
      <w:bookmarkEnd w:id="750"/>
      <w:bookmarkEnd w:id="751"/>
      <w:bookmarkEnd w:id="752"/>
    </w:p>
    <w:p w14:paraId="15BDD7CC">
      <w:pPr>
        <w:spacing w:line="360" w:lineRule="auto"/>
        <w:ind w:firstLine="2160" w:firstLineChars="900"/>
        <w:rPr>
          <w:rFonts w:hint="eastAsia" w:asciiTheme="minorEastAsia" w:hAnsiTheme="minorEastAsia" w:eastAsiaTheme="minorEastAsia" w:cstheme="minorEastAsia"/>
          <w:i/>
          <w:iCs/>
          <w:sz w:val="24"/>
          <w:highlight w:val="none"/>
          <w:lang w:eastAsia="zh-CN"/>
        </w:rPr>
      </w:pPr>
      <w:bookmarkStart w:id="753" w:name="_Toc303945820"/>
      <w:bookmarkStart w:id="754" w:name="_Toc148265480"/>
      <w:r>
        <w:rPr>
          <w:rFonts w:hint="eastAsia" w:asciiTheme="minorEastAsia" w:hAnsiTheme="minorEastAsia" w:eastAsiaTheme="minorEastAsia" w:cstheme="minorEastAsia"/>
          <w:i/>
          <w:iCs/>
          <w:sz w:val="24"/>
          <w:highlight w:val="none"/>
        </w:rPr>
        <w:t>合同格式</w:t>
      </w:r>
      <w:bookmarkEnd w:id="753"/>
      <w:bookmarkEnd w:id="754"/>
      <w:r>
        <w:rPr>
          <w:rFonts w:hint="eastAsia" w:asciiTheme="minorEastAsia" w:hAnsiTheme="minorEastAsia" w:eastAsiaTheme="minorEastAsia" w:cstheme="minorEastAsia"/>
          <w:i/>
          <w:iCs/>
          <w:sz w:val="24"/>
          <w:highlight w:val="none"/>
          <w:lang w:val="en-US" w:eastAsia="zh-CN"/>
        </w:rPr>
        <w:t>参考，格式可以根据项目实际情况调整。</w:t>
      </w:r>
    </w:p>
    <w:p w14:paraId="61BC2A9E">
      <w:pPr>
        <w:spacing w:line="360" w:lineRule="auto"/>
        <w:jc w:val="center"/>
        <w:outlineLvl w:val="1"/>
        <w:rPr>
          <w:rFonts w:hint="eastAsia" w:asciiTheme="minorEastAsia" w:hAnsiTheme="minorEastAsia" w:eastAsiaTheme="minorEastAsia" w:cstheme="minorEastAsia"/>
          <w:b/>
          <w:sz w:val="44"/>
          <w:highlight w:val="none"/>
        </w:rPr>
      </w:pPr>
      <w:bookmarkStart w:id="755" w:name="_Toc224"/>
      <w:r>
        <w:rPr>
          <w:rFonts w:hint="eastAsia" w:asciiTheme="minorEastAsia" w:hAnsiTheme="minorEastAsia" w:eastAsiaTheme="minorEastAsia" w:cstheme="minorEastAsia"/>
          <w:b/>
          <w:sz w:val="44"/>
          <w:highlight w:val="none"/>
        </w:rPr>
        <w:t>采购</w:t>
      </w:r>
      <w:r>
        <w:rPr>
          <w:rFonts w:hint="eastAsia" w:asciiTheme="minorEastAsia" w:hAnsiTheme="minorEastAsia" w:eastAsiaTheme="minorEastAsia" w:cstheme="minorEastAsia"/>
          <w:b/>
          <w:sz w:val="44"/>
          <w:highlight w:val="none"/>
          <w:lang w:val="en-US" w:eastAsia="zh-CN"/>
        </w:rPr>
        <w:t>服务</w:t>
      </w:r>
      <w:r>
        <w:rPr>
          <w:rFonts w:hint="eastAsia" w:asciiTheme="minorEastAsia" w:hAnsiTheme="minorEastAsia" w:eastAsiaTheme="minorEastAsia" w:cstheme="minorEastAsia"/>
          <w:b/>
          <w:sz w:val="44"/>
          <w:highlight w:val="none"/>
        </w:rPr>
        <w:t>合同</w:t>
      </w:r>
      <w:bookmarkEnd w:id="755"/>
    </w:p>
    <w:p w14:paraId="48CB61BC">
      <w:pPr>
        <w:spacing w:line="360" w:lineRule="auto"/>
        <w:jc w:val="center"/>
        <w:outlineLvl w:val="1"/>
        <w:rPr>
          <w:rFonts w:hint="eastAsia" w:asciiTheme="minorEastAsia" w:hAnsiTheme="minorEastAsia" w:eastAsiaTheme="minorEastAsia" w:cstheme="minorEastAsia"/>
          <w:sz w:val="36"/>
          <w:szCs w:val="36"/>
          <w:highlight w:val="none"/>
        </w:rPr>
      </w:pPr>
      <w:bookmarkStart w:id="756" w:name="_Toc23627"/>
      <w:r>
        <w:rPr>
          <w:rFonts w:hint="eastAsia" w:asciiTheme="minorEastAsia" w:hAnsiTheme="minorEastAsia" w:eastAsiaTheme="minorEastAsia" w:cstheme="minorEastAsia"/>
          <w:sz w:val="36"/>
          <w:szCs w:val="36"/>
          <w:highlight w:val="none"/>
        </w:rPr>
        <w:t>（竞争性谈判）</w:t>
      </w:r>
      <w:bookmarkEnd w:id="756"/>
    </w:p>
    <w:p w14:paraId="6D0467FA">
      <w:pPr>
        <w:spacing w:line="360" w:lineRule="auto"/>
        <w:jc w:val="center"/>
        <w:outlineLvl w:val="1"/>
        <w:rPr>
          <w:rFonts w:hint="eastAsia" w:asciiTheme="minorEastAsia" w:hAnsiTheme="minorEastAsia" w:eastAsiaTheme="minorEastAsia" w:cstheme="minorEastAsia"/>
          <w:highlight w:val="none"/>
        </w:rPr>
      </w:pPr>
      <w:bookmarkStart w:id="757" w:name="_Toc2054"/>
      <w:r>
        <w:rPr>
          <w:rFonts w:hint="eastAsia" w:asciiTheme="minorEastAsia" w:hAnsiTheme="minorEastAsia" w:eastAsiaTheme="minorEastAsia" w:cstheme="minorEastAsia"/>
          <w:highlight w:val="none"/>
        </w:rPr>
        <w:t>（采购编号：     ）</w:t>
      </w:r>
      <w:bookmarkEnd w:id="757"/>
    </w:p>
    <w:p w14:paraId="1EAE182B">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甲方（需方）：___________________________      计价单位：____________</w:t>
      </w:r>
    </w:p>
    <w:p w14:paraId="70BE87CB">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乙方（供方）：___________________________      计量单位：_____________</w:t>
      </w:r>
    </w:p>
    <w:p w14:paraId="2EB5373C">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经双方协商一致，达成以下</w:t>
      </w:r>
      <w:r>
        <w:rPr>
          <w:rFonts w:hint="eastAsia" w:asciiTheme="minorEastAsia" w:hAnsiTheme="minorEastAsia" w:eastAsiaTheme="minorEastAsia" w:cstheme="minorEastAsia"/>
          <w:sz w:val="24"/>
          <w:highlight w:val="none"/>
          <w:lang w:val="en-US" w:eastAsia="zh-CN"/>
        </w:rPr>
        <w:t>服务</w:t>
      </w:r>
      <w:r>
        <w:rPr>
          <w:rFonts w:hint="eastAsia" w:asciiTheme="minorEastAsia" w:hAnsiTheme="minorEastAsia" w:eastAsiaTheme="minorEastAsia" w:cstheme="minorEastAsia"/>
          <w:sz w:val="24"/>
          <w:highlight w:val="none"/>
        </w:rPr>
        <w:t>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630"/>
        <w:gridCol w:w="589"/>
        <w:gridCol w:w="709"/>
        <w:gridCol w:w="1134"/>
        <w:gridCol w:w="1559"/>
        <w:gridCol w:w="1567"/>
        <w:gridCol w:w="15"/>
      </w:tblGrid>
      <w:tr w14:paraId="5FDE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25" w:type="dxa"/>
            <w:noWrap w:val="0"/>
            <w:vAlign w:val="center"/>
          </w:tcPr>
          <w:p w14:paraId="6ECE1E00">
            <w:pPr>
              <w:spacing w:line="30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630" w:type="dxa"/>
            <w:noWrap w:val="0"/>
            <w:vAlign w:val="center"/>
          </w:tcPr>
          <w:p w14:paraId="4D653B71">
            <w:pPr>
              <w:spacing w:line="30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单价（元/车）</w:t>
            </w:r>
          </w:p>
        </w:tc>
        <w:tc>
          <w:tcPr>
            <w:tcW w:w="1298" w:type="dxa"/>
            <w:gridSpan w:val="2"/>
            <w:noWrap w:val="0"/>
            <w:vAlign w:val="center"/>
          </w:tcPr>
          <w:p w14:paraId="1CA17742">
            <w:pPr>
              <w:spacing w:line="30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设备型号</w:t>
            </w:r>
          </w:p>
        </w:tc>
        <w:tc>
          <w:tcPr>
            <w:tcW w:w="1134" w:type="dxa"/>
            <w:noWrap w:val="0"/>
            <w:vAlign w:val="center"/>
          </w:tcPr>
          <w:p w14:paraId="72CF2F4D">
            <w:pPr>
              <w:spacing w:line="30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人员安排</w:t>
            </w:r>
          </w:p>
        </w:tc>
        <w:tc>
          <w:tcPr>
            <w:tcW w:w="1559" w:type="dxa"/>
            <w:noWrap w:val="0"/>
            <w:vAlign w:val="center"/>
          </w:tcPr>
          <w:p w14:paraId="0F07877B">
            <w:pPr>
              <w:spacing w:line="30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noWrap w:val="0"/>
            <w:vAlign w:val="center"/>
          </w:tcPr>
          <w:p w14:paraId="09F41530">
            <w:pPr>
              <w:spacing w:line="30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22B2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25" w:type="dxa"/>
            <w:noWrap w:val="0"/>
            <w:vAlign w:val="center"/>
          </w:tcPr>
          <w:p w14:paraId="05E86735">
            <w:pPr>
              <w:spacing w:line="300" w:lineRule="atLeast"/>
              <w:jc w:val="center"/>
              <w:rPr>
                <w:rFonts w:hint="eastAsia" w:ascii="宋体" w:hAnsi="宋体" w:cs="宋体"/>
                <w:color w:val="auto"/>
                <w:sz w:val="21"/>
                <w:szCs w:val="21"/>
                <w:highlight w:val="none"/>
              </w:rPr>
            </w:pPr>
          </w:p>
        </w:tc>
        <w:tc>
          <w:tcPr>
            <w:tcW w:w="1630" w:type="dxa"/>
            <w:noWrap w:val="0"/>
            <w:vAlign w:val="center"/>
          </w:tcPr>
          <w:p w14:paraId="3ED35B5B">
            <w:pPr>
              <w:spacing w:line="300" w:lineRule="atLeast"/>
              <w:jc w:val="center"/>
              <w:rPr>
                <w:rFonts w:hint="eastAsia" w:ascii="宋体" w:hAnsi="宋体" w:cs="宋体"/>
                <w:color w:val="auto"/>
                <w:sz w:val="21"/>
                <w:szCs w:val="21"/>
                <w:highlight w:val="none"/>
              </w:rPr>
            </w:pPr>
          </w:p>
        </w:tc>
        <w:tc>
          <w:tcPr>
            <w:tcW w:w="1298" w:type="dxa"/>
            <w:gridSpan w:val="2"/>
            <w:noWrap w:val="0"/>
            <w:vAlign w:val="center"/>
          </w:tcPr>
          <w:p w14:paraId="6DC89005">
            <w:pPr>
              <w:spacing w:line="300" w:lineRule="atLeast"/>
              <w:jc w:val="center"/>
              <w:rPr>
                <w:rFonts w:hint="eastAsia" w:ascii="宋体" w:hAnsi="宋体" w:cs="宋体"/>
                <w:color w:val="auto"/>
                <w:sz w:val="21"/>
                <w:szCs w:val="21"/>
                <w:highlight w:val="none"/>
              </w:rPr>
            </w:pPr>
          </w:p>
        </w:tc>
        <w:tc>
          <w:tcPr>
            <w:tcW w:w="1134" w:type="dxa"/>
            <w:noWrap w:val="0"/>
            <w:vAlign w:val="center"/>
          </w:tcPr>
          <w:p w14:paraId="7691A44C">
            <w:pPr>
              <w:spacing w:line="300" w:lineRule="atLeast"/>
              <w:jc w:val="center"/>
              <w:rPr>
                <w:rFonts w:hint="eastAsia" w:ascii="宋体" w:hAnsi="宋体" w:cs="宋体"/>
                <w:color w:val="auto"/>
                <w:sz w:val="21"/>
                <w:szCs w:val="21"/>
                <w:highlight w:val="none"/>
              </w:rPr>
            </w:pPr>
          </w:p>
        </w:tc>
        <w:tc>
          <w:tcPr>
            <w:tcW w:w="1559" w:type="dxa"/>
            <w:noWrap w:val="0"/>
            <w:vAlign w:val="center"/>
          </w:tcPr>
          <w:p w14:paraId="6B063B29">
            <w:pPr>
              <w:spacing w:line="300" w:lineRule="atLeast"/>
              <w:jc w:val="center"/>
              <w:rPr>
                <w:rFonts w:hint="eastAsia" w:ascii="宋体" w:hAnsi="宋体" w:cs="宋体"/>
                <w:color w:val="auto"/>
                <w:sz w:val="21"/>
                <w:szCs w:val="21"/>
                <w:highlight w:val="none"/>
              </w:rPr>
            </w:pPr>
          </w:p>
        </w:tc>
        <w:tc>
          <w:tcPr>
            <w:tcW w:w="1567" w:type="dxa"/>
            <w:noWrap w:val="0"/>
            <w:vAlign w:val="center"/>
          </w:tcPr>
          <w:p w14:paraId="5C41EDCD">
            <w:pPr>
              <w:spacing w:line="300" w:lineRule="atLeast"/>
              <w:jc w:val="center"/>
              <w:rPr>
                <w:rFonts w:hint="eastAsia" w:ascii="宋体" w:hAnsi="宋体" w:cs="宋体"/>
                <w:color w:val="auto"/>
                <w:sz w:val="21"/>
                <w:szCs w:val="21"/>
                <w:highlight w:val="none"/>
              </w:rPr>
            </w:pPr>
          </w:p>
        </w:tc>
      </w:tr>
      <w:tr w14:paraId="6895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25" w:type="dxa"/>
            <w:noWrap w:val="0"/>
            <w:vAlign w:val="center"/>
          </w:tcPr>
          <w:p w14:paraId="0433DDB5">
            <w:pPr>
              <w:spacing w:line="300" w:lineRule="atLeast"/>
              <w:jc w:val="center"/>
              <w:rPr>
                <w:rFonts w:hint="eastAsia" w:ascii="宋体" w:hAnsi="宋体" w:cs="宋体"/>
                <w:color w:val="auto"/>
                <w:sz w:val="21"/>
                <w:szCs w:val="21"/>
                <w:highlight w:val="none"/>
              </w:rPr>
            </w:pPr>
          </w:p>
        </w:tc>
        <w:tc>
          <w:tcPr>
            <w:tcW w:w="1630" w:type="dxa"/>
            <w:noWrap w:val="0"/>
            <w:vAlign w:val="center"/>
          </w:tcPr>
          <w:p w14:paraId="4AF4184A">
            <w:pPr>
              <w:spacing w:line="300" w:lineRule="atLeast"/>
              <w:jc w:val="center"/>
              <w:rPr>
                <w:rFonts w:hint="eastAsia" w:ascii="宋体" w:hAnsi="宋体" w:cs="宋体"/>
                <w:color w:val="auto"/>
                <w:sz w:val="21"/>
                <w:szCs w:val="21"/>
                <w:highlight w:val="none"/>
              </w:rPr>
            </w:pPr>
          </w:p>
        </w:tc>
        <w:tc>
          <w:tcPr>
            <w:tcW w:w="1298" w:type="dxa"/>
            <w:gridSpan w:val="2"/>
            <w:noWrap w:val="0"/>
            <w:vAlign w:val="center"/>
          </w:tcPr>
          <w:p w14:paraId="74490498">
            <w:pPr>
              <w:spacing w:line="300" w:lineRule="atLeast"/>
              <w:jc w:val="center"/>
              <w:rPr>
                <w:rFonts w:hint="eastAsia" w:ascii="宋体" w:hAnsi="宋体" w:cs="宋体"/>
                <w:color w:val="auto"/>
                <w:sz w:val="21"/>
                <w:szCs w:val="21"/>
                <w:highlight w:val="none"/>
              </w:rPr>
            </w:pPr>
          </w:p>
        </w:tc>
        <w:tc>
          <w:tcPr>
            <w:tcW w:w="1134" w:type="dxa"/>
            <w:noWrap w:val="0"/>
            <w:vAlign w:val="center"/>
          </w:tcPr>
          <w:p w14:paraId="008824D9">
            <w:pPr>
              <w:spacing w:line="300" w:lineRule="atLeast"/>
              <w:jc w:val="center"/>
              <w:rPr>
                <w:rFonts w:hint="eastAsia" w:ascii="宋体" w:hAnsi="宋体" w:cs="宋体"/>
                <w:color w:val="auto"/>
                <w:sz w:val="21"/>
                <w:szCs w:val="21"/>
                <w:highlight w:val="none"/>
              </w:rPr>
            </w:pPr>
          </w:p>
        </w:tc>
        <w:tc>
          <w:tcPr>
            <w:tcW w:w="1559" w:type="dxa"/>
            <w:noWrap w:val="0"/>
            <w:vAlign w:val="center"/>
          </w:tcPr>
          <w:p w14:paraId="66F28453">
            <w:pPr>
              <w:spacing w:line="300" w:lineRule="atLeast"/>
              <w:jc w:val="center"/>
              <w:rPr>
                <w:rFonts w:hint="eastAsia" w:ascii="宋体" w:hAnsi="宋体" w:cs="宋体"/>
                <w:color w:val="auto"/>
                <w:sz w:val="21"/>
                <w:szCs w:val="21"/>
                <w:highlight w:val="none"/>
              </w:rPr>
            </w:pPr>
          </w:p>
        </w:tc>
        <w:tc>
          <w:tcPr>
            <w:tcW w:w="1567" w:type="dxa"/>
            <w:noWrap w:val="0"/>
            <w:vAlign w:val="center"/>
          </w:tcPr>
          <w:p w14:paraId="0B0F39F2">
            <w:pPr>
              <w:spacing w:line="300" w:lineRule="atLeast"/>
              <w:jc w:val="center"/>
              <w:rPr>
                <w:rFonts w:hint="eastAsia" w:ascii="宋体" w:hAnsi="宋体" w:cs="宋体"/>
                <w:color w:val="auto"/>
                <w:sz w:val="21"/>
                <w:szCs w:val="21"/>
                <w:highlight w:val="none"/>
              </w:rPr>
            </w:pPr>
          </w:p>
        </w:tc>
      </w:tr>
      <w:tr w14:paraId="403D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8917FFC">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460F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57F8BD5">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2EA4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01" w:hRule="atLeast"/>
        </w:trPr>
        <w:tc>
          <w:tcPr>
            <w:tcW w:w="9613" w:type="dxa"/>
            <w:gridSpan w:val="7"/>
            <w:noWrap w:val="0"/>
            <w:vAlign w:val="top"/>
          </w:tcPr>
          <w:p w14:paraId="7F5B8F90">
            <w:pPr>
              <w:numPr>
                <w:ilvl w:val="0"/>
                <w:numId w:val="14"/>
              </w:numPr>
              <w:spacing w:line="30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服务要求</w:t>
            </w:r>
          </w:p>
          <w:p w14:paraId="4DB4DFFF">
            <w:pPr>
              <w:spacing w:line="300" w:lineRule="atLeast"/>
              <w:rPr>
                <w:rFonts w:hint="eastAsia" w:ascii="宋体" w:hAnsi="宋体" w:cs="宋体"/>
                <w:color w:val="auto"/>
                <w:sz w:val="24"/>
                <w:szCs w:val="24"/>
                <w:highlight w:val="none"/>
              </w:rPr>
            </w:pPr>
          </w:p>
        </w:tc>
      </w:tr>
      <w:tr w14:paraId="3416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628" w:type="dxa"/>
            <w:gridSpan w:val="8"/>
            <w:noWrap w:val="0"/>
            <w:vAlign w:val="top"/>
          </w:tcPr>
          <w:p w14:paraId="3E50CB5D">
            <w:pPr>
              <w:numPr>
                <w:ilvl w:val="0"/>
                <w:numId w:val="14"/>
              </w:num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考核方式</w:t>
            </w:r>
          </w:p>
          <w:p w14:paraId="58DB18EA">
            <w:pPr>
              <w:spacing w:line="300" w:lineRule="atLeast"/>
              <w:rPr>
                <w:rFonts w:hint="eastAsia" w:ascii="宋体" w:hAnsi="宋体" w:cs="宋体"/>
                <w:color w:val="auto"/>
                <w:sz w:val="21"/>
                <w:szCs w:val="21"/>
                <w:highlight w:val="none"/>
              </w:rPr>
            </w:pPr>
          </w:p>
        </w:tc>
      </w:tr>
      <w:tr w14:paraId="5DCA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28" w:type="dxa"/>
            <w:gridSpan w:val="8"/>
            <w:noWrap w:val="0"/>
            <w:vAlign w:val="top"/>
          </w:tcPr>
          <w:p w14:paraId="22AA7485">
            <w:pPr>
              <w:numPr>
                <w:ilvl w:val="0"/>
                <w:numId w:val="14"/>
              </w:num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付款方式</w:t>
            </w:r>
          </w:p>
          <w:p w14:paraId="46DF9D8E">
            <w:pPr>
              <w:spacing w:line="300" w:lineRule="atLeast"/>
              <w:rPr>
                <w:rFonts w:hint="eastAsia" w:ascii="宋体" w:hAnsi="宋体" w:eastAsia="宋体" w:cs="宋体"/>
                <w:color w:val="auto"/>
                <w:sz w:val="21"/>
                <w:szCs w:val="21"/>
                <w:highlight w:val="none"/>
                <w:lang w:eastAsia="zh-CN"/>
              </w:rPr>
            </w:pPr>
          </w:p>
        </w:tc>
      </w:tr>
      <w:tr w14:paraId="0D2C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D6974BD">
            <w:pPr>
              <w:numPr>
                <w:ilvl w:val="0"/>
                <w:numId w:val="14"/>
              </w:num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违约责任：</w:t>
            </w:r>
          </w:p>
          <w:p w14:paraId="2EE3DA6D">
            <w:pPr>
              <w:spacing w:line="300" w:lineRule="atLeast"/>
              <w:rPr>
                <w:rFonts w:hint="eastAsia" w:ascii="宋体" w:hAnsi="宋体" w:cs="宋体"/>
                <w:color w:val="auto"/>
                <w:sz w:val="21"/>
                <w:szCs w:val="21"/>
                <w:highlight w:val="none"/>
              </w:rPr>
            </w:pPr>
          </w:p>
          <w:p w14:paraId="082B6B1F">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w:t>
            </w:r>
            <w:r>
              <w:rPr>
                <w:rFonts w:hint="eastAsia" w:ascii="宋体" w:hAnsi="宋体" w:cs="宋体"/>
                <w:color w:val="auto"/>
                <w:sz w:val="21"/>
                <w:szCs w:val="21"/>
                <w:highlight w:val="none"/>
                <w:lang w:val="en-US" w:eastAsia="zh-CN"/>
              </w:rPr>
              <w:t>执行</w:t>
            </w:r>
            <w:r>
              <w:rPr>
                <w:rFonts w:hint="eastAsia" w:ascii="宋体" w:hAnsi="宋体" w:cs="宋体"/>
                <w:color w:val="auto"/>
                <w:sz w:val="21"/>
                <w:szCs w:val="21"/>
                <w:highlight w:val="none"/>
              </w:rPr>
              <w:t>或双方约定。</w:t>
            </w:r>
          </w:p>
        </w:tc>
      </w:tr>
      <w:tr w14:paraId="6C47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B656CA1">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66A5931F">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1.采购文件及其澄清文件、电子响应文件和承诺是本合同不可分割的部分。</w:t>
            </w:r>
          </w:p>
          <w:p w14:paraId="729A4C26">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7219B678">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3.3、本合同一式肆份， 需方__份，供方__份，采购代理机构壹份，具同等法律效力。</w:t>
            </w:r>
          </w:p>
          <w:p w14:paraId="68E9C6CF">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4.其他：</w:t>
            </w:r>
          </w:p>
        </w:tc>
      </w:tr>
      <w:tr w14:paraId="3659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A8693FF">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需方：</w:t>
            </w:r>
          </w:p>
          <w:p w14:paraId="3FDB1579">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14:paraId="099F2DDA">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p w14:paraId="72E6694A">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noWrap w:val="0"/>
            <w:vAlign w:val="top"/>
          </w:tcPr>
          <w:p w14:paraId="5A53916C">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供方：</w:t>
            </w:r>
          </w:p>
          <w:p w14:paraId="1401BB1D">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14:paraId="52DC3B10">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p w14:paraId="148F455B">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14:paraId="707B219F">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14:paraId="6131FA5C">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p w14:paraId="2EB0570A">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p w14:paraId="1637F8B3">
            <w:pPr>
              <w:widowControl/>
              <w:spacing w:line="3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559C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FCC968D">
            <w:pPr>
              <w:spacing w:line="30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bl>
    <w:p w14:paraId="474D75D5">
      <w:pPr>
        <w:tabs>
          <w:tab w:val="left" w:pos="9000"/>
        </w:tabs>
        <w:spacing w:line="360" w:lineRule="auto"/>
        <w:jc w:val="center"/>
        <w:rPr>
          <w:rFonts w:hint="eastAsia" w:asciiTheme="minorEastAsia" w:hAnsiTheme="minorEastAsia" w:eastAsiaTheme="minorEastAsia" w:cstheme="minorEastAsia"/>
          <w:sz w:val="21"/>
          <w:szCs w:val="21"/>
          <w:highlight w:val="none"/>
        </w:rPr>
        <w:sectPr>
          <w:footerReference r:id="rId6" w:type="default"/>
          <w:pgSz w:w="11907" w:h="16840"/>
          <w:pgMar w:top="1134" w:right="1134" w:bottom="1134" w:left="1134" w:header="850" w:footer="992" w:gutter="0"/>
          <w:pgNumType w:fmt="decimal"/>
          <w:cols w:space="0" w:num="1"/>
          <w:rtlGutter w:val="0"/>
          <w:docGrid w:linePitch="312" w:charSpace="0"/>
        </w:sectPr>
      </w:pPr>
      <w:r>
        <w:rPr>
          <w:rFonts w:hint="eastAsia" w:asciiTheme="minorEastAsia" w:hAnsiTheme="minorEastAsia" w:eastAsiaTheme="minorEastAsia" w:cstheme="minorEastAsia"/>
          <w:sz w:val="24"/>
          <w:highlight w:val="none"/>
        </w:rPr>
        <w:t>签约时间：           年   月   日      签约地点：</w:t>
      </w:r>
      <w:r>
        <w:rPr>
          <w:rFonts w:hint="eastAsia" w:asciiTheme="minorEastAsia" w:hAnsiTheme="minorEastAsia" w:eastAsiaTheme="minorEastAsia" w:cstheme="minorEastAsia"/>
          <w:highlight w:val="none"/>
        </w:rPr>
        <w:t xml:space="preserve"> </w:t>
      </w:r>
    </w:p>
    <w:p w14:paraId="62A90A26">
      <w:pPr>
        <w:pStyle w:val="4"/>
        <w:spacing w:before="0" w:after="0" w:line="360" w:lineRule="auto"/>
        <w:jc w:val="center"/>
        <w:rPr>
          <w:rFonts w:hint="eastAsia" w:asciiTheme="minorEastAsia" w:hAnsiTheme="minorEastAsia" w:eastAsiaTheme="minorEastAsia" w:cstheme="minorEastAsia"/>
          <w:b w:val="0"/>
          <w:sz w:val="36"/>
          <w:szCs w:val="30"/>
          <w:highlight w:val="none"/>
        </w:rPr>
      </w:pPr>
      <w:bookmarkStart w:id="758" w:name="_Hlt41879464"/>
      <w:bookmarkEnd w:id="758"/>
      <w:bookmarkStart w:id="759" w:name="_Toc12789072"/>
      <w:bookmarkStart w:id="760" w:name="_Toc6968"/>
      <w:bookmarkStart w:id="761" w:name="_Toc9538"/>
      <w:bookmarkStart w:id="762" w:name="_Toc18519"/>
      <w:bookmarkStart w:id="763" w:name="_Toc65660378"/>
      <w:bookmarkStart w:id="764" w:name="_Toc19089"/>
      <w:r>
        <w:rPr>
          <w:rFonts w:hint="eastAsia" w:asciiTheme="minorEastAsia" w:hAnsiTheme="minorEastAsia" w:eastAsiaTheme="minorEastAsia" w:cstheme="minorEastAsia"/>
          <w:b w:val="0"/>
          <w:sz w:val="36"/>
          <w:szCs w:val="30"/>
          <w:highlight w:val="none"/>
        </w:rPr>
        <w:t>第七篇  响应文件格式要求</w:t>
      </w:r>
      <w:bookmarkEnd w:id="759"/>
      <w:bookmarkEnd w:id="760"/>
      <w:bookmarkEnd w:id="761"/>
      <w:bookmarkEnd w:id="762"/>
      <w:bookmarkEnd w:id="763"/>
      <w:bookmarkEnd w:id="764"/>
    </w:p>
    <w:p w14:paraId="14E0292A">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一、经济部分</w:t>
      </w:r>
    </w:p>
    <w:p w14:paraId="6002452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（一）竞争性报价函</w:t>
      </w:r>
    </w:p>
    <w:p w14:paraId="04CB8460">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二、技术（</w:t>
      </w:r>
      <w:r>
        <w:rPr>
          <w:rFonts w:hint="eastAsia" w:asciiTheme="minorEastAsia" w:hAnsiTheme="minorEastAsia" w:eastAsiaTheme="minorEastAsia" w:cstheme="minorEastAsia"/>
          <w:b/>
          <w:sz w:val="24"/>
          <w:szCs w:val="24"/>
          <w:highlight w:val="none"/>
          <w:lang w:val="en-US" w:eastAsia="zh-CN"/>
        </w:rPr>
        <w:t>服务</w:t>
      </w:r>
      <w:r>
        <w:rPr>
          <w:rFonts w:hint="eastAsia" w:asciiTheme="minorEastAsia" w:hAnsiTheme="minorEastAsia" w:eastAsiaTheme="minorEastAsia" w:cstheme="minorEastAsia"/>
          <w:b/>
          <w:sz w:val="24"/>
          <w:szCs w:val="24"/>
          <w:highlight w:val="none"/>
        </w:rPr>
        <w:t>）部分</w:t>
      </w:r>
    </w:p>
    <w:p w14:paraId="75E090E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（一）技术（</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）响应偏离表</w:t>
      </w:r>
    </w:p>
    <w:p w14:paraId="264BADB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（二）其他资料（格式自定）</w:t>
      </w:r>
    </w:p>
    <w:p w14:paraId="0D6A4005">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三、</w:t>
      </w:r>
      <w:r>
        <w:rPr>
          <w:rFonts w:hint="eastAsia" w:asciiTheme="minorEastAsia" w:hAnsiTheme="minorEastAsia" w:eastAsiaTheme="minorEastAsia" w:cstheme="minorEastAsia"/>
          <w:b/>
          <w:sz w:val="24"/>
          <w:szCs w:val="24"/>
          <w:highlight w:val="none"/>
          <w:lang w:val="en-US" w:eastAsia="zh-CN"/>
        </w:rPr>
        <w:t>商务</w:t>
      </w:r>
      <w:r>
        <w:rPr>
          <w:rFonts w:hint="eastAsia" w:asciiTheme="minorEastAsia" w:hAnsiTheme="minorEastAsia" w:eastAsiaTheme="minorEastAsia" w:cstheme="minorEastAsia"/>
          <w:b/>
          <w:sz w:val="24"/>
          <w:szCs w:val="24"/>
          <w:highlight w:val="none"/>
        </w:rPr>
        <w:t>部分</w:t>
      </w:r>
    </w:p>
    <w:p w14:paraId="537135BA">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val="en-US" w:eastAsia="zh-CN"/>
        </w:rPr>
        <w:t>商务</w:t>
      </w:r>
      <w:r>
        <w:rPr>
          <w:rFonts w:hint="eastAsia" w:asciiTheme="minorEastAsia" w:hAnsiTheme="minorEastAsia" w:eastAsiaTheme="minorEastAsia" w:cstheme="minorEastAsia"/>
          <w:sz w:val="24"/>
          <w:szCs w:val="24"/>
          <w:highlight w:val="none"/>
        </w:rPr>
        <w:t>响应偏离表</w:t>
      </w:r>
    </w:p>
    <w:p w14:paraId="0629C45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（二）其它优惠承诺（格式自定）</w:t>
      </w:r>
    </w:p>
    <w:p w14:paraId="1FB428F4">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四、资格条件及其他</w:t>
      </w:r>
    </w:p>
    <w:p w14:paraId="083CFDB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（一）法人营业执照（副本）或事业单位法人证书（副本）或个体工商户营业执照或有效的自然人身份证明或社会团体法人登记证书</w:t>
      </w:r>
    </w:p>
    <w:p w14:paraId="0754646E">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（二）法定代表人身份证明书（格式）</w:t>
      </w:r>
    </w:p>
    <w:p w14:paraId="5F13446F">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（三）法定代表人授权委托书（格式）</w:t>
      </w:r>
    </w:p>
    <w:p w14:paraId="6EE8129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（四）基本资格条件承诺函（格式）</w:t>
      </w:r>
    </w:p>
    <w:p w14:paraId="07F5AE5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（五）特定资格条件证书或证明文件（如有）</w:t>
      </w:r>
    </w:p>
    <w:p w14:paraId="63E6E820">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五、其他资料</w:t>
      </w:r>
    </w:p>
    <w:p w14:paraId="3E89101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）其他与项目有关的资料（自附）</w:t>
      </w:r>
    </w:p>
    <w:p w14:paraId="32E415B0">
      <w:pPr>
        <w:snapToGrid w:val="0"/>
        <w:spacing w:line="360" w:lineRule="auto"/>
        <w:rPr>
          <w:rFonts w:hint="eastAsia" w:asciiTheme="minorEastAsia" w:hAnsiTheme="minorEastAsia" w:eastAsiaTheme="minorEastAsia" w:cstheme="minorEastAsia"/>
          <w:sz w:val="24"/>
          <w:szCs w:val="24"/>
          <w:highlight w:val="none"/>
          <w:bdr w:val="single" w:color="auto" w:sz="4" w:space="0"/>
        </w:rPr>
        <w:sectPr>
          <w:pgSz w:w="11907" w:h="16840"/>
          <w:pgMar w:top="1134" w:right="1134" w:bottom="1134" w:left="1134" w:header="850" w:footer="992" w:gutter="0"/>
          <w:pgNumType w:fmt="decimal"/>
          <w:cols w:space="0" w:num="1"/>
          <w:rtlGutter w:val="0"/>
          <w:docGrid w:linePitch="380" w:charSpace="0"/>
        </w:sectPr>
      </w:pPr>
    </w:p>
    <w:p w14:paraId="5946829E">
      <w:pPr>
        <w:spacing w:line="360" w:lineRule="auto"/>
        <w:jc w:val="both"/>
        <w:outlineLvl w:val="0"/>
        <w:rPr>
          <w:rFonts w:hint="default" w:asciiTheme="minorEastAsia" w:hAnsiTheme="minorEastAsia" w:eastAsiaTheme="minorEastAsia" w:cstheme="minorEastAsia"/>
          <w:sz w:val="32"/>
          <w:szCs w:val="32"/>
          <w:highlight w:val="none"/>
          <w:lang w:val="en-US" w:eastAsia="zh-CN"/>
        </w:rPr>
      </w:pPr>
      <w:bookmarkStart w:id="765" w:name="_Toc26343"/>
      <w:bookmarkStart w:id="766" w:name="_Toc65660379"/>
      <w:bookmarkStart w:id="767" w:name="_Toc6163"/>
      <w:bookmarkStart w:id="768" w:name="_Toc342913419"/>
      <w:bookmarkStart w:id="769" w:name="_Toc313008356"/>
      <w:bookmarkStart w:id="770" w:name="_Toc29358"/>
      <w:bookmarkStart w:id="771" w:name="_Toc15116"/>
      <w:bookmarkStart w:id="772" w:name="_Toc313888360"/>
      <w:bookmarkStart w:id="773" w:name="_Toc14244"/>
      <w:bookmarkStart w:id="774" w:name="_Toc12789073"/>
      <w:bookmarkStart w:id="775" w:name="_Toc283382454"/>
      <w:r>
        <w:rPr>
          <w:rFonts w:hint="eastAsia" w:asciiTheme="minorEastAsia" w:hAnsiTheme="minorEastAsia" w:eastAsiaTheme="minorEastAsia" w:cstheme="minorEastAsia"/>
          <w:sz w:val="32"/>
          <w:szCs w:val="32"/>
          <w:highlight w:val="none"/>
          <w:lang w:val="en-US" w:eastAsia="zh-CN"/>
        </w:rPr>
        <w:t>封面格式：</w:t>
      </w:r>
    </w:p>
    <w:p w14:paraId="0E45CEC1">
      <w:pPr>
        <w:pageBreakBefore w:val="0"/>
        <w:widowControl w:val="0"/>
        <w:kinsoku/>
        <w:wordWrap/>
        <w:overflowPunct/>
        <w:topLinePunct w:val="0"/>
        <w:autoSpaceDE/>
        <w:autoSpaceDN/>
        <w:bidi w:val="0"/>
        <w:spacing w:line="360" w:lineRule="auto"/>
        <w:ind w:firstLine="0" w:firstLineChars="0"/>
        <w:jc w:val="both"/>
        <w:textAlignment w:val="auto"/>
        <w:outlineLvl w:val="0"/>
        <w:rPr>
          <w:rFonts w:hint="eastAsia" w:asciiTheme="minorEastAsia" w:hAnsiTheme="minorEastAsia" w:eastAsiaTheme="minorEastAsia" w:cstheme="minorEastAsia"/>
          <w:sz w:val="44"/>
          <w:szCs w:val="44"/>
          <w:highlight w:val="none"/>
          <w:lang w:val="en-US" w:eastAsia="zh-CN"/>
        </w:rPr>
      </w:pPr>
    </w:p>
    <w:p w14:paraId="408234F9">
      <w:pPr>
        <w:pageBreakBefore w:val="0"/>
        <w:widowControl w:val="0"/>
        <w:kinsoku/>
        <w:wordWrap/>
        <w:overflowPunct/>
        <w:topLinePunct w:val="0"/>
        <w:autoSpaceDE/>
        <w:autoSpaceDN/>
        <w:bidi w:val="0"/>
        <w:spacing w:line="360" w:lineRule="auto"/>
        <w:ind w:firstLine="2200" w:firstLineChars="500"/>
        <w:jc w:val="both"/>
        <w:textAlignment w:val="auto"/>
        <w:outlineLvl w:val="0"/>
        <w:rPr>
          <w:rFonts w:hint="default" w:asciiTheme="minorEastAsia" w:hAnsiTheme="minorEastAsia" w:eastAsiaTheme="minorEastAsia" w:cstheme="minorEastAsia"/>
          <w:sz w:val="44"/>
          <w:szCs w:val="44"/>
          <w:highlight w:val="none"/>
          <w:u w:val="single"/>
          <w:lang w:val="en-US" w:eastAsia="zh-CN"/>
        </w:rPr>
      </w:pPr>
      <w:r>
        <w:rPr>
          <w:rFonts w:hint="eastAsia" w:asciiTheme="minorEastAsia" w:hAnsiTheme="minorEastAsia" w:eastAsiaTheme="minorEastAsia" w:cstheme="minorEastAsia"/>
          <w:sz w:val="44"/>
          <w:szCs w:val="44"/>
          <w:highlight w:val="none"/>
          <w:lang w:val="en-US" w:eastAsia="zh-CN"/>
        </w:rPr>
        <w:t>项目名称：</w:t>
      </w:r>
      <w:r>
        <w:rPr>
          <w:rFonts w:hint="eastAsia" w:asciiTheme="minorEastAsia" w:hAnsiTheme="minorEastAsia" w:eastAsiaTheme="minorEastAsia" w:cstheme="minorEastAsia"/>
          <w:sz w:val="44"/>
          <w:szCs w:val="44"/>
          <w:highlight w:val="none"/>
          <w:u w:val="single"/>
          <w:lang w:val="en-US" w:eastAsia="zh-CN"/>
        </w:rPr>
        <w:t xml:space="preserve">            </w:t>
      </w:r>
    </w:p>
    <w:p w14:paraId="67F8F26D">
      <w:pPr>
        <w:pageBreakBefore w:val="0"/>
        <w:widowControl w:val="0"/>
        <w:kinsoku/>
        <w:wordWrap/>
        <w:overflowPunct/>
        <w:topLinePunct w:val="0"/>
        <w:autoSpaceDE/>
        <w:autoSpaceDN/>
        <w:bidi w:val="0"/>
        <w:spacing w:line="360" w:lineRule="auto"/>
        <w:ind w:firstLine="0" w:firstLineChars="0"/>
        <w:jc w:val="center"/>
        <w:textAlignment w:val="auto"/>
        <w:outlineLvl w:val="0"/>
        <w:rPr>
          <w:rFonts w:hint="eastAsia" w:asciiTheme="minorEastAsia" w:hAnsiTheme="minorEastAsia" w:eastAsiaTheme="minorEastAsia" w:cstheme="minorEastAsia"/>
          <w:sz w:val="96"/>
          <w:szCs w:val="96"/>
          <w:highlight w:val="none"/>
        </w:rPr>
      </w:pPr>
    </w:p>
    <w:p w14:paraId="219D67C2">
      <w:pPr>
        <w:pageBreakBefore w:val="0"/>
        <w:widowControl w:val="0"/>
        <w:kinsoku/>
        <w:wordWrap/>
        <w:overflowPunct/>
        <w:topLinePunct w:val="0"/>
        <w:autoSpaceDE/>
        <w:autoSpaceDN/>
        <w:bidi w:val="0"/>
        <w:spacing w:line="360" w:lineRule="auto"/>
        <w:ind w:firstLine="0" w:firstLineChars="0"/>
        <w:jc w:val="center"/>
        <w:textAlignment w:val="auto"/>
        <w:outlineLvl w:val="0"/>
        <w:rPr>
          <w:rFonts w:hint="eastAsia" w:asciiTheme="minorEastAsia" w:hAnsiTheme="minorEastAsia" w:eastAsiaTheme="minorEastAsia" w:cstheme="minorEastAsia"/>
          <w:sz w:val="96"/>
          <w:szCs w:val="96"/>
          <w:highlight w:val="none"/>
        </w:rPr>
      </w:pPr>
      <w:r>
        <w:rPr>
          <w:rFonts w:hint="eastAsia" w:asciiTheme="minorEastAsia" w:hAnsiTheme="minorEastAsia" w:eastAsiaTheme="minorEastAsia" w:cstheme="minorEastAsia"/>
          <w:sz w:val="96"/>
          <w:szCs w:val="96"/>
          <w:highlight w:val="none"/>
          <w:lang w:val="en-US" w:eastAsia="zh-CN"/>
        </w:rPr>
        <w:t>响应文件</w:t>
      </w:r>
    </w:p>
    <w:p w14:paraId="1D2921CE">
      <w:pPr>
        <w:pageBreakBefore w:val="0"/>
        <w:widowControl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stheme="minorEastAsia"/>
          <w:sz w:val="36"/>
          <w:szCs w:val="36"/>
          <w:highlight w:val="none"/>
        </w:rPr>
      </w:pPr>
    </w:p>
    <w:p w14:paraId="34C5FC52">
      <w:pPr>
        <w:pageBreakBefore w:val="0"/>
        <w:widowControl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stheme="minorEastAsia"/>
          <w:sz w:val="36"/>
          <w:szCs w:val="36"/>
          <w:highlight w:val="none"/>
        </w:rPr>
      </w:pPr>
    </w:p>
    <w:p w14:paraId="5105A614">
      <w:pPr>
        <w:pageBreakBefore w:val="0"/>
        <w:widowControl w:val="0"/>
        <w:kinsoku/>
        <w:wordWrap/>
        <w:overflowPunct/>
        <w:topLinePunct w:val="0"/>
        <w:autoSpaceDE/>
        <w:autoSpaceDN/>
        <w:bidi w:val="0"/>
        <w:spacing w:line="360" w:lineRule="auto"/>
        <w:ind w:firstLine="0" w:firstLineChars="0"/>
        <w:jc w:val="center"/>
        <w:textAlignment w:val="auto"/>
        <w:rPr>
          <w:rFonts w:hint="eastAsia" w:asciiTheme="minorEastAsia" w:hAnsiTheme="minorEastAsia" w:eastAsiaTheme="minorEastAsia" w:cstheme="minorEastAsia"/>
          <w:sz w:val="48"/>
          <w:szCs w:val="32"/>
          <w:highlight w:val="none"/>
        </w:rPr>
      </w:pPr>
    </w:p>
    <w:p w14:paraId="2695A33E">
      <w:pPr>
        <w:pageBreakBefore w:val="0"/>
        <w:widowControl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stheme="minorEastAsia"/>
          <w:highlight w:val="none"/>
        </w:rPr>
      </w:pPr>
    </w:p>
    <w:p w14:paraId="23EDCD4A">
      <w:pPr>
        <w:pStyle w:val="22"/>
        <w:pageBreakBefore w:val="0"/>
        <w:widowControl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stheme="minorEastAsia"/>
          <w:highlight w:val="none"/>
        </w:rPr>
      </w:pPr>
    </w:p>
    <w:p w14:paraId="543A32CD">
      <w:pPr>
        <w:pageBreakBefore w:val="0"/>
        <w:widowControl w:val="0"/>
        <w:kinsoku/>
        <w:wordWrap/>
        <w:overflowPunct/>
        <w:topLinePunct w:val="0"/>
        <w:autoSpaceDE/>
        <w:autoSpaceDN/>
        <w:bidi w:val="0"/>
        <w:spacing w:line="360" w:lineRule="auto"/>
        <w:ind w:firstLine="1800" w:firstLineChars="500"/>
        <w:jc w:val="both"/>
        <w:textAlignment w:val="auto"/>
        <w:rPr>
          <w:rFonts w:hint="default" w:asciiTheme="minorEastAsia" w:hAnsiTheme="minorEastAsia" w:eastAsiaTheme="minorEastAsia" w:cstheme="minorEastAsia"/>
          <w:sz w:val="36"/>
          <w:szCs w:val="36"/>
          <w:highlight w:val="none"/>
          <w:u w:val="single"/>
          <w:lang w:val="en-US" w:eastAsia="zh-CN"/>
        </w:rPr>
      </w:pPr>
      <w:r>
        <w:rPr>
          <w:rFonts w:hint="eastAsia" w:asciiTheme="minorEastAsia" w:hAnsiTheme="minorEastAsia" w:eastAsiaTheme="minorEastAsia" w:cstheme="minorEastAsia"/>
          <w:sz w:val="36"/>
          <w:szCs w:val="36"/>
          <w:highlight w:val="none"/>
          <w:lang w:val="en-US" w:eastAsia="zh-CN"/>
        </w:rPr>
        <w:t>供应商全称（公章）：</w:t>
      </w:r>
      <w:r>
        <w:rPr>
          <w:rFonts w:hint="eastAsia" w:asciiTheme="minorEastAsia" w:hAnsiTheme="minorEastAsia" w:eastAsiaTheme="minorEastAsia" w:cstheme="minorEastAsia"/>
          <w:sz w:val="36"/>
          <w:szCs w:val="36"/>
          <w:highlight w:val="none"/>
          <w:u w:val="single"/>
          <w:lang w:val="en-US" w:eastAsia="zh-CN"/>
        </w:rPr>
        <w:t xml:space="preserve">          </w:t>
      </w:r>
    </w:p>
    <w:p w14:paraId="099DDB83">
      <w:pPr>
        <w:pageBreakBefore w:val="0"/>
        <w:widowControl w:val="0"/>
        <w:kinsoku/>
        <w:wordWrap/>
        <w:overflowPunct/>
        <w:topLinePunct w:val="0"/>
        <w:autoSpaceDE/>
        <w:autoSpaceDN/>
        <w:bidi w:val="0"/>
        <w:spacing w:line="360" w:lineRule="auto"/>
        <w:ind w:firstLine="0" w:firstLineChars="0"/>
        <w:jc w:val="center"/>
        <w:textAlignment w:val="auto"/>
        <w:rPr>
          <w:rFonts w:hint="eastAsia" w:asciiTheme="minorEastAsia" w:hAnsiTheme="minorEastAsia" w:eastAsiaTheme="minorEastAsia" w:cstheme="minorEastAsia"/>
          <w:b/>
          <w:bCs/>
          <w:sz w:val="36"/>
          <w:szCs w:val="32"/>
          <w:highlight w:val="none"/>
        </w:rPr>
      </w:pPr>
    </w:p>
    <w:p w14:paraId="2BC0D036">
      <w:pPr>
        <w:pStyle w:val="4"/>
        <w:pageBreakBefore w:val="0"/>
        <w:widowControl w:val="0"/>
        <w:kinsoku/>
        <w:wordWrap/>
        <w:overflowPunct/>
        <w:topLinePunct w:val="0"/>
        <w:autoSpaceDE/>
        <w:autoSpaceDN/>
        <w:bidi w:val="0"/>
        <w:adjustRightInd w:val="0"/>
        <w:snapToGrid w:val="0"/>
        <w:spacing w:before="0" w:after="0" w:line="360" w:lineRule="auto"/>
        <w:ind w:firstLine="0" w:firstLineChars="0"/>
        <w:jc w:val="center"/>
        <w:textAlignment w:val="auto"/>
        <w:rPr>
          <w:rFonts w:hint="default" w:asciiTheme="minorEastAsia" w:hAnsiTheme="minorEastAsia" w:eastAsiaTheme="minorEastAsia" w:cstheme="minorEastAsia"/>
          <w:b w:val="0"/>
          <w:bCs w:val="0"/>
          <w:sz w:val="24"/>
          <w:highlight w:val="none"/>
          <w:lang w:val="en-US" w:eastAsia="zh-CN"/>
        </w:rPr>
        <w:sectPr>
          <w:pgSz w:w="11907" w:h="16840"/>
          <w:pgMar w:top="1134" w:right="1134" w:bottom="1134" w:left="1134" w:header="850" w:footer="992" w:gutter="0"/>
          <w:pgNumType w:fmt="decimal"/>
          <w:cols w:space="0" w:num="1"/>
          <w:rtlGutter w:val="0"/>
          <w:docGrid w:linePitch="380" w:charSpace="0"/>
        </w:sectPr>
      </w:pPr>
      <w:r>
        <w:rPr>
          <w:rFonts w:hint="eastAsia" w:asciiTheme="minorEastAsia" w:hAnsiTheme="minorEastAsia" w:eastAsiaTheme="minorEastAsia" w:cstheme="minorEastAsia"/>
          <w:b w:val="0"/>
          <w:bCs w:val="0"/>
          <w:sz w:val="36"/>
          <w:szCs w:val="32"/>
          <w:highlight w:val="none"/>
          <w:lang w:val="en-US" w:eastAsia="zh-CN"/>
        </w:rPr>
        <w:t>年   月   日</w:t>
      </w:r>
    </w:p>
    <w:p w14:paraId="2F9BDB64">
      <w:pPr>
        <w:pStyle w:val="4"/>
        <w:adjustRightInd w:val="0"/>
        <w:snapToGrid w:val="0"/>
        <w:spacing w:before="0" w:after="0" w:line="360" w:lineRule="auto"/>
        <w:ind w:firstLine="640" w:firstLineChars="200"/>
        <w:jc w:val="both"/>
        <w:rPr>
          <w:rFonts w:hint="eastAsia" w:asciiTheme="minorEastAsia" w:hAnsiTheme="minorEastAsia" w:eastAsiaTheme="minorEastAsia" w:cstheme="minorEastAsia"/>
          <w:b w:val="0"/>
          <w:bCs/>
          <w:sz w:val="32"/>
          <w:szCs w:val="22"/>
          <w:highlight w:val="none"/>
          <w:lang w:val="en-US" w:eastAsia="zh-CN"/>
        </w:rPr>
      </w:pPr>
    </w:p>
    <w:p w14:paraId="6E77987F">
      <w:pPr>
        <w:pStyle w:val="4"/>
        <w:adjustRightInd w:val="0"/>
        <w:snapToGrid w:val="0"/>
        <w:spacing w:before="0" w:after="0" w:line="360" w:lineRule="auto"/>
        <w:jc w:val="center"/>
        <w:rPr>
          <w:rFonts w:hint="eastAsia" w:asciiTheme="minorEastAsia" w:hAnsiTheme="minorEastAsia" w:eastAsiaTheme="minorEastAsia" w:cstheme="minorEastAsia"/>
          <w:b w:val="0"/>
          <w:bCs/>
          <w:sz w:val="32"/>
          <w:szCs w:val="22"/>
          <w:highlight w:val="none"/>
          <w:lang w:val="en-US" w:eastAsia="zh-CN"/>
        </w:rPr>
      </w:pPr>
      <w:r>
        <w:rPr>
          <w:rFonts w:hint="eastAsia" w:asciiTheme="minorEastAsia" w:hAnsiTheme="minorEastAsia" w:eastAsiaTheme="minorEastAsia" w:cstheme="minorEastAsia"/>
          <w:b w:val="0"/>
          <w:bCs/>
          <w:sz w:val="32"/>
          <w:szCs w:val="22"/>
          <w:highlight w:val="none"/>
          <w:lang w:val="en-US" w:eastAsia="zh-CN"/>
        </w:rPr>
        <w:t>目  录</w:t>
      </w:r>
    </w:p>
    <w:p w14:paraId="16EB45BA">
      <w:pPr>
        <w:rPr>
          <w:rFonts w:hint="eastAsia" w:asciiTheme="minorEastAsia" w:hAnsiTheme="minorEastAsia" w:eastAsiaTheme="minorEastAsia" w:cstheme="minorEastAsia"/>
          <w:sz w:val="24"/>
          <w:highlight w:val="none"/>
          <w:lang w:val="en-US" w:eastAsia="zh-CN"/>
        </w:rPr>
      </w:pPr>
    </w:p>
    <w:p w14:paraId="37B394A2">
      <w:pPr>
        <w:rPr>
          <w:rFonts w:hint="eastAsia" w:asciiTheme="minorEastAsia" w:hAnsiTheme="minorEastAsia" w:eastAsiaTheme="minorEastAsia" w:cstheme="minorEastAsia"/>
          <w:sz w:val="24"/>
          <w:highlight w:val="none"/>
          <w:u w:val="single"/>
          <w:lang w:val="en-US" w:eastAsia="zh-CN"/>
        </w:rPr>
      </w:pPr>
    </w:p>
    <w:p w14:paraId="0A3419B3">
      <w:pPr>
        <w:jc w:val="center"/>
        <w:rPr>
          <w:rFonts w:hint="default" w:asciiTheme="minorEastAsia" w:hAnsiTheme="minorEastAsia" w:eastAsiaTheme="minorEastAsia" w:cstheme="minorEastAsia"/>
          <w:i/>
          <w:iCs/>
          <w:sz w:val="24"/>
          <w:highlight w:val="none"/>
          <w:u w:val="none"/>
          <w:lang w:val="en-US" w:eastAsia="zh-CN"/>
        </w:rPr>
        <w:sectPr>
          <w:pgSz w:w="11907" w:h="16840"/>
          <w:pgMar w:top="1134" w:right="1134" w:bottom="1134" w:left="1134" w:header="850" w:footer="992" w:gutter="0"/>
          <w:pgNumType w:fmt="decimal"/>
          <w:cols w:space="0" w:num="1"/>
          <w:rtlGutter w:val="0"/>
          <w:docGrid w:linePitch="380" w:charSpace="0"/>
        </w:sectPr>
      </w:pPr>
      <w:r>
        <w:rPr>
          <w:rFonts w:hint="eastAsia" w:asciiTheme="minorEastAsia" w:hAnsiTheme="minorEastAsia" w:eastAsiaTheme="minorEastAsia" w:cstheme="minorEastAsia"/>
          <w:i/>
          <w:iCs/>
          <w:sz w:val="24"/>
          <w:highlight w:val="none"/>
          <w:u w:val="none"/>
          <w:lang w:val="en-US" w:eastAsia="zh-CN"/>
        </w:rPr>
        <w:t>供应商自行编制目录，格式自拟。</w:t>
      </w:r>
    </w:p>
    <w:p w14:paraId="4FCFF5B9">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p>
    <w:p w14:paraId="3593C383">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一、经济部分</w:t>
      </w:r>
      <w:bookmarkEnd w:id="765"/>
      <w:bookmarkEnd w:id="766"/>
      <w:bookmarkEnd w:id="767"/>
      <w:bookmarkEnd w:id="768"/>
      <w:bookmarkEnd w:id="769"/>
      <w:bookmarkEnd w:id="770"/>
      <w:bookmarkEnd w:id="771"/>
      <w:bookmarkEnd w:id="772"/>
      <w:bookmarkEnd w:id="773"/>
    </w:p>
    <w:bookmarkEnd w:id="774"/>
    <w:bookmarkEnd w:id="775"/>
    <w:p w14:paraId="6238998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（一）竞争性报价函</w:t>
      </w:r>
    </w:p>
    <w:p w14:paraId="59DF440C">
      <w:pPr>
        <w:tabs>
          <w:tab w:val="left" w:pos="6300"/>
        </w:tabs>
        <w:snapToGrid w:val="0"/>
        <w:spacing w:line="360" w:lineRule="auto"/>
        <w:ind w:firstLine="562" w:firstLineChars="200"/>
        <w:jc w:val="center"/>
        <w:rPr>
          <w:rFonts w:hint="eastAsia"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竞争性报价函</w:t>
      </w:r>
    </w:p>
    <w:p w14:paraId="5BAA1884">
      <w:pPr>
        <w:tabs>
          <w:tab w:val="left" w:pos="6300"/>
        </w:tabs>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（采购代理机构名称）</w:t>
      </w:r>
      <w:r>
        <w:rPr>
          <w:rFonts w:hint="eastAsia" w:asciiTheme="minorEastAsia" w:hAnsiTheme="minorEastAsia" w:eastAsiaTheme="minorEastAsia" w:cstheme="minorEastAsia"/>
          <w:sz w:val="24"/>
          <w:szCs w:val="24"/>
          <w:highlight w:val="none"/>
        </w:rPr>
        <w:t>：</w:t>
      </w:r>
    </w:p>
    <w:p w14:paraId="5413C83A">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我方收到____________________________（谈判项目名称）的竞争性谈判文件，经详细研究，决定参加该谈判项目的竞争谈判。</w:t>
      </w:r>
    </w:p>
    <w:p w14:paraId="6202CA80">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1.愿意按照竞争性谈判文件中的一切要求，提供本项目服务，项目初始报价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单价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为大写：</w:t>
      </w:r>
      <w:r>
        <w:rPr>
          <w:rFonts w:hint="eastAsia" w:asciiTheme="minorEastAsia" w:hAnsiTheme="minorEastAsia" w:eastAsiaTheme="minorEastAsia" w:cstheme="minorEastAsia"/>
          <w:sz w:val="24"/>
          <w:szCs w:val="24"/>
          <w:highlight w:val="none"/>
          <w:u w:val="single"/>
          <w:lang w:val="en-US" w:eastAsia="zh-CN"/>
        </w:rPr>
        <w:t>每车          （如：每车贰佰陆拾元整）</w:t>
      </w:r>
      <w:r>
        <w:rPr>
          <w:rFonts w:hint="eastAsia" w:asciiTheme="minorEastAsia" w:hAnsiTheme="minorEastAsia" w:eastAsiaTheme="minorEastAsia" w:cstheme="minorEastAsia"/>
          <w:sz w:val="24"/>
          <w:szCs w:val="24"/>
          <w:highlight w:val="none"/>
          <w:u w:val="none"/>
          <w:lang w:val="en-US" w:eastAsia="zh-CN"/>
        </w:rPr>
        <w:t>，（单价）小写：</w:t>
      </w:r>
      <w:r>
        <w:rPr>
          <w:rFonts w:hint="eastAsia" w:asciiTheme="minorEastAsia" w:hAnsiTheme="minorEastAsia" w:eastAsiaTheme="minorEastAsia" w:cstheme="minorEastAsia"/>
          <w:sz w:val="24"/>
          <w:szCs w:val="24"/>
          <w:highlight w:val="none"/>
          <w:u w:val="single"/>
          <w:lang w:val="en-US" w:eastAsia="zh-CN"/>
        </w:rPr>
        <w:t xml:space="preserve">       元/车（如：260元/车）</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以我公司最后报价为准。</w:t>
      </w:r>
    </w:p>
    <w:p w14:paraId="64051108">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2.我方现提交的响应文件为：响应文件正本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份，副本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电子文档</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份</w:t>
      </w:r>
      <w:r>
        <w:rPr>
          <w:rFonts w:hint="eastAsia" w:asciiTheme="minorEastAsia" w:hAnsiTheme="minorEastAsia" w:eastAsiaTheme="minorEastAsia" w:cstheme="minorEastAsia"/>
          <w:sz w:val="24"/>
          <w:szCs w:val="24"/>
          <w:highlight w:val="none"/>
        </w:rPr>
        <w:t>。</w:t>
      </w:r>
    </w:p>
    <w:p w14:paraId="664DBF4F">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3.我方承诺：本次谈判的有效期为提交响应文件截止时间起90天。</w:t>
      </w:r>
    </w:p>
    <w:p w14:paraId="5C4428CD">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4.我方完全理解和接受贵方竞争性谈判文件的一切规定和要求及谈判评审办法。</w:t>
      </w:r>
    </w:p>
    <w:p w14:paraId="053D7C45">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5.在整个竞争性谈判过程中，我方若有违规行为，接受按照《中华人民共和国政府采购法》和《竞争性谈判文件》之规定给予惩罚。</w:t>
      </w:r>
    </w:p>
    <w:p w14:paraId="0FEBF71A">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6.我方若成为成交供应商，将按照最终谈判结果签订合同，并且严格履行合同义务。本承诺函将成为合同不可分割的一部分，与合同具有同等的法律效力。</w:t>
      </w:r>
    </w:p>
    <w:p w14:paraId="4DC88DCD">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7.如果我方成为成交供应商，保证在接到成交通知书后，向采购代理机构缴纳竞争性谈判文件规定的采购代理服务费。</w:t>
      </w:r>
    </w:p>
    <w:p w14:paraId="030C3441">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8"/>
          <w:highlight w:val="none"/>
        </w:rPr>
        <w:t>我方未</w:t>
      </w:r>
      <w:r>
        <w:rPr>
          <w:rFonts w:hint="eastAsia" w:asciiTheme="minorEastAsia" w:hAnsiTheme="minorEastAsia" w:eastAsiaTheme="minorEastAsia" w:cstheme="minorEastAsia"/>
          <w:sz w:val="24"/>
          <w:szCs w:val="24"/>
          <w:highlight w:val="none"/>
        </w:rPr>
        <w:t>为采购项目提供整体设计、规范编制或者项目管理、监理、检测等服务。</w:t>
      </w:r>
    </w:p>
    <w:p w14:paraId="74AB250D">
      <w:pPr>
        <w:tabs>
          <w:tab w:val="left" w:pos="6300"/>
        </w:tabs>
        <w:snapToGrid w:val="0"/>
        <w:spacing w:line="360" w:lineRule="auto"/>
        <w:ind w:firstLine="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供应商（公章）或自然人签署：</w:t>
      </w:r>
    </w:p>
    <w:p w14:paraId="06508938">
      <w:pPr>
        <w:tabs>
          <w:tab w:val="left" w:pos="6300"/>
        </w:tabs>
        <w:snapToGrid w:val="0"/>
        <w:spacing w:line="360" w:lineRule="auto"/>
        <w:ind w:firstLine="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w:t>
      </w:r>
    </w:p>
    <w:p w14:paraId="280E3100">
      <w:pPr>
        <w:tabs>
          <w:tab w:val="left" w:pos="6300"/>
        </w:tabs>
        <w:snapToGrid w:val="0"/>
        <w:spacing w:line="360" w:lineRule="auto"/>
        <w:ind w:firstLine="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                           传真：</w:t>
      </w:r>
    </w:p>
    <w:p w14:paraId="78DE59BA">
      <w:pPr>
        <w:tabs>
          <w:tab w:val="left" w:pos="6300"/>
        </w:tabs>
        <w:snapToGrid w:val="0"/>
        <w:spacing w:line="360" w:lineRule="auto"/>
        <w:ind w:firstLine="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网址：                           邮编：</w:t>
      </w:r>
    </w:p>
    <w:p w14:paraId="64EE005C">
      <w:pPr>
        <w:tabs>
          <w:tab w:val="left" w:pos="6300"/>
        </w:tabs>
        <w:snapToGrid w:val="0"/>
        <w:spacing w:line="360" w:lineRule="auto"/>
        <w:ind w:firstLine="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p>
    <w:p w14:paraId="48D0A3F1">
      <w:pPr>
        <w:snapToGrid w:val="0"/>
        <w:spacing w:line="360" w:lineRule="auto"/>
        <w:ind w:firstLine="480" w:firstLineChars="200"/>
        <w:rPr>
          <w:rFonts w:hint="eastAsia" w:asciiTheme="minorEastAsia" w:hAnsiTheme="minorEastAsia" w:eastAsiaTheme="minorEastAsia" w:cstheme="minorEastAsia"/>
          <w:sz w:val="24"/>
          <w:szCs w:val="24"/>
          <w:highlight w:val="none"/>
        </w:rPr>
        <w:sectPr>
          <w:pgSz w:w="11907" w:h="16840"/>
          <w:pgMar w:top="1134" w:right="1134" w:bottom="1134" w:left="1134" w:header="850" w:footer="992" w:gutter="0"/>
          <w:pgNumType w:fmt="decimal"/>
          <w:cols w:space="0" w:num="1"/>
          <w:rtlGutter w:val="0"/>
          <w:docGrid w:linePitch="380" w:charSpace="0"/>
        </w:sectPr>
      </w:pPr>
      <w:r>
        <w:rPr>
          <w:rFonts w:hint="eastAsia" w:asciiTheme="minorEastAsia" w:hAnsiTheme="minorEastAsia" w:eastAsiaTheme="minorEastAsia" w:cstheme="minorEastAsia"/>
          <w:sz w:val="24"/>
          <w:szCs w:val="24"/>
          <w:highlight w:val="none"/>
        </w:rPr>
        <w:t xml:space="preserve">                               年   月   日</w:t>
      </w:r>
    </w:p>
    <w:p w14:paraId="11A22AB8">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bookmarkStart w:id="776" w:name="_Toc22655"/>
      <w:bookmarkStart w:id="777" w:name="_Toc342913420"/>
      <w:bookmarkStart w:id="778" w:name="_Toc14073"/>
      <w:bookmarkStart w:id="779" w:name="_Toc65660380"/>
      <w:bookmarkStart w:id="780" w:name="_Toc32356"/>
      <w:bookmarkStart w:id="781" w:name="_Toc11167"/>
      <w:bookmarkStart w:id="782" w:name="_Toc313888361"/>
      <w:bookmarkStart w:id="783" w:name="_Toc10318"/>
      <w:bookmarkStart w:id="784" w:name="_Toc313008357"/>
      <w:r>
        <w:rPr>
          <w:rFonts w:hint="eastAsia" w:asciiTheme="minorEastAsia" w:hAnsiTheme="minorEastAsia" w:eastAsiaTheme="minorEastAsia" w:cstheme="minorEastAsia"/>
          <w:sz w:val="24"/>
          <w:highlight w:val="none"/>
        </w:rPr>
        <w:t>二、技术（</w:t>
      </w:r>
      <w:r>
        <w:rPr>
          <w:rFonts w:hint="eastAsia" w:asciiTheme="minorEastAsia" w:hAnsiTheme="minorEastAsia" w:eastAsiaTheme="minorEastAsia" w:cstheme="minorEastAsia"/>
          <w:sz w:val="24"/>
          <w:highlight w:val="none"/>
          <w:lang w:val="en-US" w:eastAsia="zh-CN"/>
        </w:rPr>
        <w:t>服务</w:t>
      </w:r>
      <w:r>
        <w:rPr>
          <w:rFonts w:hint="eastAsia" w:asciiTheme="minorEastAsia" w:hAnsiTheme="minorEastAsia" w:eastAsiaTheme="minorEastAsia" w:cstheme="minorEastAsia"/>
          <w:sz w:val="24"/>
          <w:highlight w:val="none"/>
        </w:rPr>
        <w:t>）部分</w:t>
      </w:r>
      <w:bookmarkEnd w:id="776"/>
      <w:bookmarkEnd w:id="777"/>
      <w:bookmarkEnd w:id="778"/>
      <w:bookmarkEnd w:id="779"/>
      <w:bookmarkEnd w:id="780"/>
      <w:bookmarkEnd w:id="781"/>
      <w:bookmarkEnd w:id="782"/>
      <w:bookmarkEnd w:id="783"/>
      <w:bookmarkEnd w:id="784"/>
    </w:p>
    <w:p w14:paraId="4708C8A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（一）技术（</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）响应偏离表</w:t>
      </w:r>
    </w:p>
    <w:p w14:paraId="75745A71">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1AB9BA3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C8B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0E7EDA89">
            <w:pPr>
              <w:tabs>
                <w:tab w:val="left" w:pos="6300"/>
              </w:tabs>
              <w:snapToGrid w:val="0"/>
              <w:spacing w:line="360" w:lineRule="auto"/>
              <w:jc w:val="center"/>
              <w:outlineLvl w:val="0"/>
              <w:rPr>
                <w:rFonts w:hint="eastAsia" w:asciiTheme="minorEastAsia" w:hAnsiTheme="minorEastAsia" w:eastAsiaTheme="minorEastAsia" w:cstheme="minorEastAsia"/>
                <w:b/>
                <w:sz w:val="21"/>
                <w:szCs w:val="21"/>
                <w:highlight w:val="none"/>
              </w:rPr>
            </w:pPr>
            <w:bookmarkStart w:id="785" w:name="_Toc6159"/>
            <w:r>
              <w:rPr>
                <w:rFonts w:hint="eastAsia" w:asciiTheme="minorEastAsia" w:hAnsiTheme="minorEastAsia" w:eastAsiaTheme="minorEastAsia" w:cstheme="minorEastAsia"/>
                <w:b/>
                <w:sz w:val="21"/>
                <w:szCs w:val="21"/>
                <w:highlight w:val="none"/>
              </w:rPr>
              <w:t>序号</w:t>
            </w:r>
            <w:bookmarkEnd w:id="785"/>
          </w:p>
        </w:tc>
        <w:tc>
          <w:tcPr>
            <w:tcW w:w="2844" w:type="dxa"/>
            <w:noWrap w:val="0"/>
            <w:vAlign w:val="center"/>
          </w:tcPr>
          <w:p w14:paraId="54D812F2">
            <w:pPr>
              <w:tabs>
                <w:tab w:val="left" w:pos="6300"/>
              </w:tabs>
              <w:snapToGrid w:val="0"/>
              <w:spacing w:line="360" w:lineRule="auto"/>
              <w:jc w:val="center"/>
              <w:outlineLvl w:val="0"/>
              <w:rPr>
                <w:rFonts w:hint="eastAsia" w:asciiTheme="minorEastAsia" w:hAnsiTheme="minorEastAsia" w:eastAsiaTheme="minorEastAsia" w:cstheme="minorEastAsia"/>
                <w:b/>
                <w:sz w:val="21"/>
                <w:szCs w:val="21"/>
                <w:highlight w:val="none"/>
              </w:rPr>
            </w:pPr>
            <w:bookmarkStart w:id="786" w:name="_Toc11392"/>
            <w:r>
              <w:rPr>
                <w:rFonts w:hint="eastAsia" w:asciiTheme="minorEastAsia" w:hAnsiTheme="minorEastAsia" w:eastAsiaTheme="minorEastAsia" w:cstheme="minorEastAsia"/>
                <w:b/>
                <w:sz w:val="21"/>
                <w:szCs w:val="21"/>
                <w:highlight w:val="none"/>
              </w:rPr>
              <w:t>采购需求</w:t>
            </w:r>
            <w:bookmarkEnd w:id="786"/>
          </w:p>
        </w:tc>
        <w:tc>
          <w:tcPr>
            <w:tcW w:w="2952" w:type="dxa"/>
            <w:noWrap w:val="0"/>
            <w:vAlign w:val="center"/>
          </w:tcPr>
          <w:p w14:paraId="07ACA9B8">
            <w:pPr>
              <w:tabs>
                <w:tab w:val="left" w:pos="6300"/>
              </w:tabs>
              <w:snapToGrid w:val="0"/>
              <w:spacing w:line="360" w:lineRule="auto"/>
              <w:jc w:val="center"/>
              <w:outlineLvl w:val="0"/>
              <w:rPr>
                <w:rFonts w:hint="eastAsia" w:asciiTheme="minorEastAsia" w:hAnsiTheme="minorEastAsia" w:eastAsiaTheme="minorEastAsia" w:cstheme="minorEastAsia"/>
                <w:b/>
                <w:sz w:val="21"/>
                <w:szCs w:val="21"/>
                <w:highlight w:val="none"/>
              </w:rPr>
            </w:pPr>
            <w:bookmarkStart w:id="787" w:name="_Toc27440"/>
            <w:r>
              <w:rPr>
                <w:rFonts w:hint="eastAsia" w:asciiTheme="minorEastAsia" w:hAnsiTheme="minorEastAsia" w:eastAsiaTheme="minorEastAsia" w:cstheme="minorEastAsia"/>
                <w:b/>
                <w:sz w:val="21"/>
                <w:szCs w:val="21"/>
                <w:highlight w:val="none"/>
              </w:rPr>
              <w:t>响应情况</w:t>
            </w:r>
            <w:bookmarkEnd w:id="787"/>
          </w:p>
        </w:tc>
        <w:tc>
          <w:tcPr>
            <w:tcW w:w="2212" w:type="dxa"/>
            <w:noWrap w:val="0"/>
            <w:vAlign w:val="center"/>
          </w:tcPr>
          <w:p w14:paraId="3EFBBB23">
            <w:pPr>
              <w:tabs>
                <w:tab w:val="left" w:pos="6300"/>
              </w:tabs>
              <w:snapToGrid w:val="0"/>
              <w:spacing w:line="360" w:lineRule="auto"/>
              <w:jc w:val="center"/>
              <w:outlineLvl w:val="0"/>
              <w:rPr>
                <w:rFonts w:hint="eastAsia" w:asciiTheme="minorEastAsia" w:hAnsiTheme="minorEastAsia" w:eastAsiaTheme="minorEastAsia" w:cstheme="minorEastAsia"/>
                <w:b/>
                <w:sz w:val="21"/>
                <w:szCs w:val="21"/>
                <w:highlight w:val="none"/>
              </w:rPr>
            </w:pPr>
            <w:bookmarkStart w:id="788" w:name="_Toc9861"/>
            <w:r>
              <w:rPr>
                <w:rFonts w:hint="eastAsia" w:asciiTheme="minorEastAsia" w:hAnsiTheme="minorEastAsia" w:eastAsiaTheme="minorEastAsia" w:cstheme="minorEastAsia"/>
                <w:b/>
                <w:sz w:val="21"/>
                <w:szCs w:val="21"/>
                <w:highlight w:val="none"/>
              </w:rPr>
              <w:t>差异说明</w:t>
            </w:r>
            <w:bookmarkEnd w:id="788"/>
          </w:p>
        </w:tc>
      </w:tr>
      <w:tr w14:paraId="155C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C79F4E3">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0EA77292">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37838EAC">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bookmarkStart w:id="789" w:name="_Toc3081"/>
            <w:r>
              <w:rPr>
                <w:rFonts w:hint="eastAsia" w:asciiTheme="minorEastAsia" w:hAnsiTheme="minorEastAsia" w:eastAsiaTheme="minorEastAsia" w:cstheme="minorEastAsia"/>
                <w:sz w:val="21"/>
                <w:szCs w:val="21"/>
                <w:highlight w:val="none"/>
              </w:rPr>
              <w:t>提醒：请注明技术参数或具体内容以及响应文件中技术参数或具体内容的位置（页码）</w:t>
            </w:r>
            <w:bookmarkEnd w:id="789"/>
          </w:p>
        </w:tc>
        <w:tc>
          <w:tcPr>
            <w:tcW w:w="2212" w:type="dxa"/>
            <w:noWrap w:val="0"/>
            <w:vAlign w:val="center"/>
          </w:tcPr>
          <w:p w14:paraId="1EFAF299">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2649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04215B">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3D6A3598">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60BB4369">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37C0D642">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1EDD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7D162A3">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197F4216">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380E80F2">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6B6881C2">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30B3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1AA7F6">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1F5C111F">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26494C1C">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2925F763">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3141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EC0270A">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4FE914A1">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68EDFA63">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2FDF54CA">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03ED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2E2847A">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5FCDAA7D">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6E185999">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74767BF0">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7D8E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F1A1671">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6CB1CC7C">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4656D55B">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3BEF581B">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17ED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9B7B0D4">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4ADB13D7">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3041E530">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0ACF4F3A">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1E7F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6E6A0E8">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727E043A">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4E143CD0">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1084B842">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r w14:paraId="069E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794A45B">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844" w:type="dxa"/>
            <w:noWrap w:val="0"/>
            <w:vAlign w:val="center"/>
          </w:tcPr>
          <w:p w14:paraId="05B2614B">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952" w:type="dxa"/>
            <w:noWrap w:val="0"/>
            <w:vAlign w:val="center"/>
          </w:tcPr>
          <w:p w14:paraId="52429B76">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c>
          <w:tcPr>
            <w:tcW w:w="2212" w:type="dxa"/>
            <w:noWrap w:val="0"/>
            <w:vAlign w:val="center"/>
          </w:tcPr>
          <w:p w14:paraId="4B897A27">
            <w:pPr>
              <w:tabs>
                <w:tab w:val="left" w:pos="6300"/>
              </w:tabs>
              <w:snapToGrid w:val="0"/>
              <w:spacing w:line="360" w:lineRule="auto"/>
              <w:jc w:val="center"/>
              <w:outlineLvl w:val="0"/>
              <w:rPr>
                <w:rFonts w:hint="eastAsia" w:asciiTheme="minorEastAsia" w:hAnsiTheme="minorEastAsia" w:eastAsiaTheme="minorEastAsia" w:cstheme="minorEastAsia"/>
                <w:sz w:val="21"/>
                <w:szCs w:val="21"/>
                <w:highlight w:val="none"/>
              </w:rPr>
            </w:pPr>
          </w:p>
        </w:tc>
      </w:tr>
    </w:tbl>
    <w:p w14:paraId="2F09B231">
      <w:pPr>
        <w:spacing w:line="360" w:lineRule="auto"/>
        <w:ind w:firstLine="600" w:firstLineChars="25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供应商：                         </w:t>
      </w:r>
      <w:r>
        <w:rPr>
          <w:rFonts w:hint="eastAsia" w:asciiTheme="minorEastAsia" w:hAnsiTheme="minorEastAsia" w:eastAsiaTheme="minorEastAsia" w:cstheme="minorEastAsia"/>
          <w:sz w:val="24"/>
          <w:szCs w:val="24"/>
          <w:highlight w:val="none"/>
        </w:rPr>
        <w:t>法定代表人（或其授权代表）或自然人</w:t>
      </w:r>
      <w:r>
        <w:rPr>
          <w:rFonts w:hint="eastAsia" w:asciiTheme="minorEastAsia" w:hAnsiTheme="minorEastAsia" w:eastAsiaTheme="minorEastAsia" w:cstheme="minorEastAsia"/>
          <w:sz w:val="24"/>
          <w:szCs w:val="28"/>
          <w:highlight w:val="none"/>
        </w:rPr>
        <w:t>：</w:t>
      </w:r>
    </w:p>
    <w:p w14:paraId="15A16FDF">
      <w:pPr>
        <w:spacing w:line="360" w:lineRule="auto"/>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    </w:t>
      </w:r>
    </w:p>
    <w:p w14:paraId="11DF5E61">
      <w:pPr>
        <w:spacing w:line="360" w:lineRule="auto"/>
        <w:ind w:firstLine="720" w:firstLineChars="3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（供应商公章）                               （</w:t>
      </w:r>
      <w:r>
        <w:rPr>
          <w:rFonts w:hint="eastAsia" w:asciiTheme="minorEastAsia" w:hAnsiTheme="minorEastAsia" w:eastAsiaTheme="minorEastAsia" w:cstheme="minorEastAsia"/>
          <w:sz w:val="24"/>
          <w:szCs w:val="24"/>
          <w:highlight w:val="none"/>
        </w:rPr>
        <w:t>签署</w:t>
      </w:r>
      <w:r>
        <w:rPr>
          <w:rFonts w:hint="eastAsia" w:asciiTheme="minorEastAsia" w:hAnsiTheme="minorEastAsia" w:eastAsiaTheme="minorEastAsia" w:cstheme="minorEastAsia"/>
          <w:sz w:val="24"/>
          <w:szCs w:val="28"/>
          <w:highlight w:val="none"/>
        </w:rPr>
        <w:t>或盖章）</w:t>
      </w:r>
    </w:p>
    <w:p w14:paraId="1A92752A">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 xml:space="preserve">                                            年     月     日</w:t>
      </w:r>
    </w:p>
    <w:p w14:paraId="2BE386B4">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14:paraId="56FDB5F6">
      <w:pPr>
        <w:tabs>
          <w:tab w:val="left" w:pos="6300"/>
        </w:tabs>
        <w:snapToGrid w:val="0"/>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本表即为对本项目“第二篇”中所列条款进行比较和响应</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不得负偏离响应；</w:t>
      </w:r>
    </w:p>
    <w:p w14:paraId="0795821E">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2.本表可扩展。</w:t>
      </w:r>
    </w:p>
    <w:p w14:paraId="1003EFBD">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sz w:val="24"/>
          <w:szCs w:val="24"/>
          <w:highlight w:val="none"/>
        </w:rPr>
        <w:t>（二）其他资料（格式自定）</w:t>
      </w:r>
    </w:p>
    <w:p w14:paraId="2B5C56AC">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5FD2E1CC">
      <w:pPr>
        <w:pStyle w:val="4"/>
        <w:adjustRightInd w:val="0"/>
        <w:snapToGrid w:val="0"/>
        <w:spacing w:before="0" w:after="0" w:line="360" w:lineRule="auto"/>
        <w:ind w:firstLine="64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val="0"/>
          <w:highlight w:val="none"/>
        </w:rPr>
        <w:br w:type="page"/>
      </w:r>
      <w:bookmarkStart w:id="790" w:name="_Toc26294"/>
      <w:bookmarkStart w:id="791" w:name="_Toc22885"/>
      <w:bookmarkStart w:id="792" w:name="_Toc32158"/>
      <w:bookmarkStart w:id="793" w:name="_Toc32339"/>
      <w:bookmarkStart w:id="794" w:name="_Toc65660381"/>
      <w:bookmarkStart w:id="795" w:name="_Toc23519"/>
      <w:bookmarkStart w:id="796" w:name="_Toc313008358"/>
      <w:bookmarkStart w:id="797" w:name="_Toc342913421"/>
      <w:bookmarkStart w:id="798" w:name="_Toc313888362"/>
      <w:r>
        <w:rPr>
          <w:rFonts w:hint="eastAsia" w:asciiTheme="minorEastAsia" w:hAnsiTheme="minorEastAsia" w:eastAsiaTheme="minorEastAsia" w:cstheme="minorEastAsia"/>
          <w:sz w:val="24"/>
          <w:highlight w:val="none"/>
        </w:rPr>
        <w:t>三、</w:t>
      </w:r>
      <w:r>
        <w:rPr>
          <w:rFonts w:hint="eastAsia" w:asciiTheme="minorEastAsia" w:hAnsiTheme="minorEastAsia" w:eastAsiaTheme="minorEastAsia" w:cstheme="minorEastAsia"/>
          <w:sz w:val="24"/>
          <w:highlight w:val="none"/>
          <w:lang w:val="en-US" w:eastAsia="zh-CN"/>
        </w:rPr>
        <w:t>商务</w:t>
      </w:r>
      <w:r>
        <w:rPr>
          <w:rFonts w:hint="eastAsia" w:asciiTheme="minorEastAsia" w:hAnsiTheme="minorEastAsia" w:eastAsiaTheme="minorEastAsia" w:cstheme="minorEastAsia"/>
          <w:sz w:val="24"/>
          <w:highlight w:val="none"/>
        </w:rPr>
        <w:t>部分</w:t>
      </w:r>
      <w:bookmarkEnd w:id="790"/>
      <w:bookmarkEnd w:id="791"/>
      <w:bookmarkEnd w:id="792"/>
      <w:bookmarkEnd w:id="793"/>
      <w:bookmarkEnd w:id="794"/>
      <w:bookmarkEnd w:id="795"/>
    </w:p>
    <w:p w14:paraId="43654B16">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val="en-US" w:eastAsia="zh-CN"/>
        </w:rPr>
        <w:t>商务</w:t>
      </w:r>
      <w:r>
        <w:rPr>
          <w:rFonts w:hint="eastAsia" w:asciiTheme="minorEastAsia" w:hAnsiTheme="minorEastAsia" w:eastAsiaTheme="minorEastAsia" w:cstheme="minorEastAsia"/>
          <w:sz w:val="24"/>
          <w:szCs w:val="24"/>
          <w:highlight w:val="none"/>
        </w:rPr>
        <w:t>响应偏离表</w:t>
      </w:r>
    </w:p>
    <w:p w14:paraId="638BADE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185EF3E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874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77E0846A">
            <w:pPr>
              <w:tabs>
                <w:tab w:val="left" w:pos="6300"/>
              </w:tabs>
              <w:snapToGrid w:val="0"/>
              <w:spacing w:line="360" w:lineRule="auto"/>
              <w:jc w:val="center"/>
              <w:outlineLvl w:val="0"/>
              <w:rPr>
                <w:rFonts w:hint="eastAsia" w:asciiTheme="minorEastAsia" w:hAnsiTheme="minorEastAsia" w:eastAsiaTheme="minorEastAsia" w:cstheme="minorEastAsia"/>
                <w:b/>
                <w:sz w:val="21"/>
                <w:szCs w:val="24"/>
                <w:highlight w:val="none"/>
              </w:rPr>
            </w:pPr>
            <w:bookmarkStart w:id="799" w:name="_Toc22122"/>
            <w:r>
              <w:rPr>
                <w:rFonts w:hint="eastAsia" w:asciiTheme="minorEastAsia" w:hAnsiTheme="minorEastAsia" w:eastAsiaTheme="minorEastAsia" w:cstheme="minorEastAsia"/>
                <w:b/>
                <w:sz w:val="21"/>
                <w:szCs w:val="24"/>
                <w:highlight w:val="none"/>
              </w:rPr>
              <w:t>序号</w:t>
            </w:r>
            <w:bookmarkEnd w:id="799"/>
          </w:p>
        </w:tc>
        <w:tc>
          <w:tcPr>
            <w:tcW w:w="3184" w:type="dxa"/>
            <w:noWrap w:val="0"/>
            <w:vAlign w:val="center"/>
          </w:tcPr>
          <w:p w14:paraId="1B85702B">
            <w:pPr>
              <w:tabs>
                <w:tab w:val="left" w:pos="6300"/>
              </w:tabs>
              <w:snapToGrid w:val="0"/>
              <w:spacing w:line="360" w:lineRule="auto"/>
              <w:jc w:val="center"/>
              <w:outlineLvl w:val="0"/>
              <w:rPr>
                <w:rFonts w:hint="eastAsia" w:asciiTheme="minorEastAsia" w:hAnsiTheme="minorEastAsia" w:eastAsiaTheme="minorEastAsia" w:cstheme="minorEastAsia"/>
                <w:b/>
                <w:sz w:val="21"/>
                <w:szCs w:val="24"/>
                <w:highlight w:val="none"/>
              </w:rPr>
            </w:pPr>
            <w:bookmarkStart w:id="800" w:name="_Toc10003"/>
            <w:r>
              <w:rPr>
                <w:rFonts w:hint="eastAsia" w:asciiTheme="minorEastAsia" w:hAnsiTheme="minorEastAsia" w:eastAsiaTheme="minorEastAsia" w:cstheme="minorEastAsia"/>
                <w:b/>
                <w:sz w:val="21"/>
                <w:szCs w:val="24"/>
                <w:highlight w:val="none"/>
              </w:rPr>
              <w:t>采购需求</w:t>
            </w:r>
            <w:bookmarkEnd w:id="800"/>
          </w:p>
        </w:tc>
        <w:tc>
          <w:tcPr>
            <w:tcW w:w="2438" w:type="dxa"/>
            <w:noWrap w:val="0"/>
            <w:vAlign w:val="center"/>
          </w:tcPr>
          <w:p w14:paraId="33FB73AE">
            <w:pPr>
              <w:tabs>
                <w:tab w:val="left" w:pos="6300"/>
              </w:tabs>
              <w:snapToGrid w:val="0"/>
              <w:spacing w:line="360" w:lineRule="auto"/>
              <w:jc w:val="center"/>
              <w:outlineLvl w:val="0"/>
              <w:rPr>
                <w:rFonts w:hint="eastAsia" w:asciiTheme="minorEastAsia" w:hAnsiTheme="minorEastAsia" w:eastAsiaTheme="minorEastAsia" w:cstheme="minorEastAsia"/>
                <w:b/>
                <w:sz w:val="21"/>
                <w:szCs w:val="24"/>
                <w:highlight w:val="none"/>
              </w:rPr>
            </w:pPr>
            <w:bookmarkStart w:id="801" w:name="_Toc14572"/>
            <w:r>
              <w:rPr>
                <w:rFonts w:hint="eastAsia" w:asciiTheme="minorEastAsia" w:hAnsiTheme="minorEastAsia" w:eastAsiaTheme="minorEastAsia" w:cstheme="minorEastAsia"/>
                <w:b/>
                <w:sz w:val="21"/>
                <w:szCs w:val="24"/>
                <w:highlight w:val="none"/>
              </w:rPr>
              <w:t>响应情况</w:t>
            </w:r>
            <w:bookmarkEnd w:id="801"/>
          </w:p>
        </w:tc>
        <w:tc>
          <w:tcPr>
            <w:tcW w:w="2359" w:type="dxa"/>
            <w:noWrap w:val="0"/>
            <w:vAlign w:val="center"/>
          </w:tcPr>
          <w:p w14:paraId="6A6D0A27">
            <w:pPr>
              <w:tabs>
                <w:tab w:val="left" w:pos="6300"/>
              </w:tabs>
              <w:snapToGrid w:val="0"/>
              <w:spacing w:line="360" w:lineRule="auto"/>
              <w:jc w:val="center"/>
              <w:outlineLvl w:val="0"/>
              <w:rPr>
                <w:rFonts w:hint="eastAsia" w:asciiTheme="minorEastAsia" w:hAnsiTheme="minorEastAsia" w:eastAsiaTheme="minorEastAsia" w:cstheme="minorEastAsia"/>
                <w:b/>
                <w:sz w:val="21"/>
                <w:szCs w:val="24"/>
                <w:highlight w:val="none"/>
              </w:rPr>
            </w:pPr>
            <w:bookmarkStart w:id="802" w:name="_Toc27095"/>
            <w:r>
              <w:rPr>
                <w:rFonts w:hint="eastAsia" w:asciiTheme="minorEastAsia" w:hAnsiTheme="minorEastAsia" w:eastAsiaTheme="minorEastAsia" w:cstheme="minorEastAsia"/>
                <w:b/>
                <w:sz w:val="21"/>
                <w:szCs w:val="21"/>
                <w:highlight w:val="none"/>
              </w:rPr>
              <w:t>差异说明</w:t>
            </w:r>
            <w:bookmarkEnd w:id="802"/>
          </w:p>
        </w:tc>
      </w:tr>
      <w:tr w14:paraId="482D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E58534A">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84" w:type="dxa"/>
            <w:noWrap w:val="0"/>
            <w:vAlign w:val="center"/>
          </w:tcPr>
          <w:p w14:paraId="66F47E3C">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438" w:type="dxa"/>
            <w:noWrap w:val="0"/>
            <w:vAlign w:val="center"/>
          </w:tcPr>
          <w:p w14:paraId="648A51EC">
            <w:pPr>
              <w:tabs>
                <w:tab w:val="left" w:pos="6300"/>
              </w:tabs>
              <w:snapToGrid w:val="0"/>
              <w:spacing w:line="360" w:lineRule="auto"/>
              <w:outlineLvl w:val="0"/>
              <w:rPr>
                <w:rFonts w:hint="eastAsia" w:asciiTheme="minorEastAsia" w:hAnsiTheme="minorEastAsia" w:eastAsiaTheme="minorEastAsia" w:cstheme="minorEastAsia"/>
                <w:sz w:val="21"/>
                <w:szCs w:val="24"/>
                <w:highlight w:val="none"/>
              </w:rPr>
            </w:pPr>
            <w:bookmarkStart w:id="803" w:name="_Toc3559"/>
            <w:r>
              <w:rPr>
                <w:rFonts w:hint="eastAsia" w:asciiTheme="minorEastAsia" w:hAnsiTheme="minorEastAsia" w:eastAsiaTheme="minorEastAsia" w:cstheme="minorEastAsia"/>
                <w:sz w:val="21"/>
                <w:szCs w:val="21"/>
                <w:highlight w:val="none"/>
              </w:rPr>
              <w:t>提醒：请注明具体内容以及响应文件中具体内容的位置（页码）</w:t>
            </w:r>
            <w:bookmarkEnd w:id="803"/>
          </w:p>
        </w:tc>
        <w:tc>
          <w:tcPr>
            <w:tcW w:w="2359" w:type="dxa"/>
            <w:noWrap w:val="0"/>
            <w:vAlign w:val="center"/>
          </w:tcPr>
          <w:p w14:paraId="2DE7E902">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381D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8E0EC9E">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84" w:type="dxa"/>
            <w:noWrap w:val="0"/>
            <w:vAlign w:val="center"/>
          </w:tcPr>
          <w:p w14:paraId="11875672">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438" w:type="dxa"/>
            <w:noWrap w:val="0"/>
            <w:vAlign w:val="center"/>
          </w:tcPr>
          <w:p w14:paraId="43503DA6">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359" w:type="dxa"/>
            <w:noWrap w:val="0"/>
            <w:vAlign w:val="center"/>
          </w:tcPr>
          <w:p w14:paraId="1E80676E">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32AC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8A3268B">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84" w:type="dxa"/>
            <w:noWrap w:val="0"/>
            <w:vAlign w:val="center"/>
          </w:tcPr>
          <w:p w14:paraId="409B8EF8">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438" w:type="dxa"/>
            <w:noWrap w:val="0"/>
            <w:vAlign w:val="center"/>
          </w:tcPr>
          <w:p w14:paraId="778D767D">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359" w:type="dxa"/>
            <w:noWrap w:val="0"/>
            <w:vAlign w:val="center"/>
          </w:tcPr>
          <w:p w14:paraId="5DA669B8">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695A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07542ED">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84" w:type="dxa"/>
            <w:noWrap w:val="0"/>
            <w:vAlign w:val="center"/>
          </w:tcPr>
          <w:p w14:paraId="38660D90">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438" w:type="dxa"/>
            <w:noWrap w:val="0"/>
            <w:vAlign w:val="center"/>
          </w:tcPr>
          <w:p w14:paraId="10423E10">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359" w:type="dxa"/>
            <w:noWrap w:val="0"/>
            <w:vAlign w:val="center"/>
          </w:tcPr>
          <w:p w14:paraId="1BB324E6">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74EA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2163876">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84" w:type="dxa"/>
            <w:noWrap w:val="0"/>
            <w:vAlign w:val="center"/>
          </w:tcPr>
          <w:p w14:paraId="1FB65963">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438" w:type="dxa"/>
            <w:noWrap w:val="0"/>
            <w:vAlign w:val="center"/>
          </w:tcPr>
          <w:p w14:paraId="6A9D4910">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359" w:type="dxa"/>
            <w:noWrap w:val="0"/>
            <w:vAlign w:val="center"/>
          </w:tcPr>
          <w:p w14:paraId="1AD3AD4B">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44C8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EB723E7">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84" w:type="dxa"/>
            <w:noWrap w:val="0"/>
            <w:vAlign w:val="center"/>
          </w:tcPr>
          <w:p w14:paraId="0CB47570">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438" w:type="dxa"/>
            <w:noWrap w:val="0"/>
            <w:vAlign w:val="center"/>
          </w:tcPr>
          <w:p w14:paraId="353D51E8">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2359" w:type="dxa"/>
            <w:noWrap w:val="0"/>
            <w:vAlign w:val="center"/>
          </w:tcPr>
          <w:p w14:paraId="10B7F66A">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bl>
    <w:p w14:paraId="6E25B65D">
      <w:pPr>
        <w:spacing w:line="360" w:lineRule="auto"/>
        <w:ind w:firstLine="600" w:firstLineChars="25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供应商：                          </w:t>
      </w:r>
      <w:r>
        <w:rPr>
          <w:rFonts w:hint="eastAsia" w:asciiTheme="minorEastAsia" w:hAnsiTheme="minorEastAsia" w:eastAsiaTheme="minorEastAsia" w:cstheme="minorEastAsia"/>
          <w:sz w:val="24"/>
          <w:szCs w:val="24"/>
          <w:highlight w:val="none"/>
        </w:rPr>
        <w:t>法定代表人（或其授权代表）或自然人</w:t>
      </w:r>
      <w:r>
        <w:rPr>
          <w:rFonts w:hint="eastAsia" w:asciiTheme="minorEastAsia" w:hAnsiTheme="minorEastAsia" w:eastAsiaTheme="minorEastAsia" w:cstheme="minorEastAsia"/>
          <w:sz w:val="24"/>
          <w:szCs w:val="28"/>
          <w:highlight w:val="none"/>
        </w:rPr>
        <w:t>：</w:t>
      </w:r>
    </w:p>
    <w:p w14:paraId="6D8B7ED4">
      <w:pPr>
        <w:spacing w:line="360" w:lineRule="auto"/>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    </w:t>
      </w:r>
    </w:p>
    <w:p w14:paraId="398DE2CB">
      <w:pPr>
        <w:spacing w:line="360" w:lineRule="auto"/>
        <w:ind w:firstLine="360" w:firstLineChars="15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（供应商公章）                                     （签署或盖章）</w:t>
      </w:r>
    </w:p>
    <w:p w14:paraId="00F31E3F">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 xml:space="preserve">                                                  年     月     日</w:t>
      </w:r>
    </w:p>
    <w:p w14:paraId="1E69FE6F">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14:paraId="31FB68A7">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本表即为对本项目“第三篇”中所列条款进行比较和响应</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不得负偏离响应</w:t>
      </w:r>
      <w:r>
        <w:rPr>
          <w:rFonts w:hint="eastAsia" w:asciiTheme="minorEastAsia" w:hAnsiTheme="minorEastAsia" w:eastAsiaTheme="minorEastAsia" w:cstheme="minorEastAsia"/>
          <w:sz w:val="24"/>
          <w:szCs w:val="24"/>
          <w:highlight w:val="none"/>
        </w:rPr>
        <w:t>；</w:t>
      </w:r>
    </w:p>
    <w:p w14:paraId="65D3B0C7">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2.本表可扩展</w:t>
      </w:r>
      <w:r>
        <w:rPr>
          <w:rFonts w:hint="eastAsia" w:asciiTheme="minorEastAsia" w:hAnsiTheme="minorEastAsia" w:eastAsiaTheme="minorEastAsia" w:cstheme="minorEastAsia"/>
          <w:sz w:val="24"/>
          <w:szCs w:val="24"/>
          <w:highlight w:val="none"/>
        </w:rPr>
        <w:t>。</w:t>
      </w:r>
    </w:p>
    <w:p w14:paraId="74E1A87A">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465918DF">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sz w:val="24"/>
          <w:szCs w:val="24"/>
          <w:highlight w:val="none"/>
        </w:rPr>
        <w:t>（二）其它优惠服务承诺（格式自定）</w:t>
      </w:r>
    </w:p>
    <w:p w14:paraId="5C5DC750">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1029A7B0">
      <w:pPr>
        <w:pStyle w:val="4"/>
        <w:adjustRightInd w:val="0"/>
        <w:snapToGrid w:val="0"/>
        <w:spacing w:before="0" w:after="0" w:line="360" w:lineRule="auto"/>
        <w:ind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br w:type="page"/>
      </w:r>
      <w:bookmarkStart w:id="804" w:name="_Toc65660382"/>
      <w:bookmarkStart w:id="805" w:name="_Toc20162"/>
      <w:bookmarkStart w:id="806" w:name="_Toc2082"/>
      <w:bookmarkStart w:id="807" w:name="_Toc13042"/>
      <w:bookmarkStart w:id="808" w:name="_Toc26159"/>
      <w:bookmarkStart w:id="809" w:name="_Toc32432"/>
      <w:r>
        <w:rPr>
          <w:rFonts w:hint="eastAsia" w:asciiTheme="minorEastAsia" w:hAnsiTheme="minorEastAsia" w:eastAsiaTheme="minorEastAsia" w:cstheme="minorEastAsia"/>
          <w:sz w:val="24"/>
          <w:highlight w:val="none"/>
        </w:rPr>
        <w:t>四、</w:t>
      </w:r>
      <w:bookmarkEnd w:id="796"/>
      <w:bookmarkEnd w:id="797"/>
      <w:bookmarkEnd w:id="798"/>
      <w:r>
        <w:rPr>
          <w:rFonts w:hint="eastAsia" w:asciiTheme="minorEastAsia" w:hAnsiTheme="minorEastAsia" w:eastAsiaTheme="minorEastAsia" w:cstheme="minorEastAsia"/>
          <w:sz w:val="24"/>
          <w:highlight w:val="none"/>
        </w:rPr>
        <w:t>资格条件及其他</w:t>
      </w:r>
      <w:bookmarkEnd w:id="804"/>
      <w:bookmarkEnd w:id="805"/>
      <w:bookmarkEnd w:id="806"/>
      <w:bookmarkEnd w:id="807"/>
      <w:bookmarkEnd w:id="808"/>
      <w:bookmarkEnd w:id="809"/>
      <w:bookmarkStart w:id="810" w:name="_Toc313888363"/>
      <w:bookmarkStart w:id="811" w:name="_Toc342913422"/>
      <w:bookmarkStart w:id="812" w:name="_Toc313008359"/>
    </w:p>
    <w:p w14:paraId="35D874D7">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（一）法人营业执照（副本）或事业单位法人证书（副本）或个体工商户营业执照或有效的自然人身份证明或社会团体法人登记证书复印件</w:t>
      </w:r>
    </w:p>
    <w:p w14:paraId="4E3E147A">
      <w:pPr>
        <w:tabs>
          <w:tab w:val="left" w:pos="6300"/>
        </w:tabs>
        <w:snapToGrid w:val="0"/>
        <w:spacing w:line="360" w:lineRule="auto"/>
        <w:ind w:firstLine="570"/>
        <w:rPr>
          <w:rFonts w:hint="eastAsia" w:asciiTheme="minorEastAsia" w:hAnsiTheme="minorEastAsia" w:eastAsiaTheme="minorEastAsia" w:cstheme="minorEastAsia"/>
          <w:sz w:val="24"/>
          <w:szCs w:val="24"/>
          <w:highlight w:val="none"/>
        </w:rPr>
      </w:pPr>
    </w:p>
    <w:p w14:paraId="08BD7C66">
      <w:pPr>
        <w:tabs>
          <w:tab w:val="left" w:pos="6300"/>
        </w:tabs>
        <w:snapToGrid w:val="0"/>
        <w:spacing w:line="360" w:lineRule="auto"/>
        <w:ind w:firstLine="570"/>
        <w:rPr>
          <w:rFonts w:hint="eastAsia" w:asciiTheme="minorEastAsia" w:hAnsiTheme="minorEastAsia" w:eastAsiaTheme="minorEastAsia" w:cstheme="minorEastAsia"/>
          <w:highlight w:val="none"/>
        </w:rPr>
      </w:pPr>
    </w:p>
    <w:p w14:paraId="070E78E2">
      <w:pPr>
        <w:tabs>
          <w:tab w:val="left" w:pos="6300"/>
        </w:tabs>
        <w:snapToGrid w:val="0"/>
        <w:spacing w:line="360" w:lineRule="auto"/>
        <w:ind w:firstLine="570"/>
        <w:rPr>
          <w:rFonts w:hint="eastAsia" w:asciiTheme="minorEastAsia" w:hAnsiTheme="minorEastAsia" w:eastAsiaTheme="minorEastAsia" w:cstheme="minorEastAsia"/>
          <w:highlight w:val="none"/>
        </w:rPr>
      </w:pPr>
    </w:p>
    <w:p w14:paraId="239EBD9F">
      <w:pPr>
        <w:tabs>
          <w:tab w:val="left" w:pos="6300"/>
        </w:tabs>
        <w:snapToGrid w:val="0"/>
        <w:spacing w:line="360" w:lineRule="auto"/>
        <w:ind w:firstLine="570"/>
        <w:rPr>
          <w:rFonts w:hint="eastAsia" w:asciiTheme="minorEastAsia" w:hAnsiTheme="minorEastAsia" w:eastAsiaTheme="minorEastAsia" w:cstheme="minorEastAsia"/>
          <w:highlight w:val="none"/>
        </w:rPr>
      </w:pPr>
    </w:p>
    <w:p w14:paraId="308749DC">
      <w:pPr>
        <w:tabs>
          <w:tab w:val="left" w:pos="6300"/>
        </w:tabs>
        <w:snapToGrid w:val="0"/>
        <w:spacing w:line="360" w:lineRule="auto"/>
        <w:ind w:firstLine="570"/>
        <w:rPr>
          <w:rFonts w:hint="eastAsia" w:asciiTheme="minorEastAsia" w:hAnsiTheme="minorEastAsia" w:eastAsiaTheme="minorEastAsia" w:cstheme="minorEastAsia"/>
          <w:highlight w:val="none"/>
        </w:rPr>
      </w:pPr>
    </w:p>
    <w:p w14:paraId="2E1EC60F">
      <w:pPr>
        <w:widowControl/>
        <w:spacing w:line="360" w:lineRule="auto"/>
        <w:ind w:firstLine="56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 w:val="24"/>
          <w:szCs w:val="24"/>
          <w:highlight w:val="none"/>
        </w:rPr>
        <w:t>（二）法定代表人身份证明书（格式）</w:t>
      </w:r>
    </w:p>
    <w:p w14:paraId="23E92CC6">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755C3EFD">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谈判项目名称：</w:t>
      </w:r>
      <w:r>
        <w:rPr>
          <w:rFonts w:hint="eastAsia" w:asciiTheme="minorEastAsia" w:hAnsiTheme="minorEastAsia" w:eastAsiaTheme="minorEastAsia" w:cstheme="minorEastAsia"/>
          <w:sz w:val="24"/>
          <w:highlight w:val="none"/>
          <w:u w:val="single"/>
        </w:rPr>
        <w:t xml:space="preserve">                                                </w:t>
      </w:r>
    </w:p>
    <w:p w14:paraId="199ACF29">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07929CF4">
      <w:pPr>
        <w:tabs>
          <w:tab w:val="left" w:pos="6300"/>
        </w:tabs>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szCs w:val="24"/>
          <w:highlight w:val="none"/>
          <w:u w:val="single"/>
        </w:rPr>
        <w:t>（采购人名称）</w:t>
      </w:r>
      <w:r>
        <w:rPr>
          <w:rFonts w:hint="eastAsia" w:asciiTheme="minorEastAsia" w:hAnsiTheme="minorEastAsia" w:eastAsiaTheme="minorEastAsia" w:cstheme="minorEastAsia"/>
          <w:sz w:val="24"/>
          <w:highlight w:val="none"/>
        </w:rPr>
        <w:t>：</w:t>
      </w:r>
    </w:p>
    <w:p w14:paraId="45DB3577">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（法定代表人姓名）在</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（供应商名称）任</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（职务名称）职务，是（供应商名称）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的法定代表人。</w:t>
      </w:r>
    </w:p>
    <w:p w14:paraId="20B0D8FB">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610AEA2C">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特此证明。</w:t>
      </w:r>
    </w:p>
    <w:p w14:paraId="58B46CFB">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14D90DF8">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5CFDDE13">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624988E9">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（供应商公章）</w:t>
      </w:r>
    </w:p>
    <w:p w14:paraId="1078DF27">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39292648">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14:paraId="480B3C71">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1D349ACE">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4852A390">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法定代表人电话：XXXXXXX      电子邮箱：XXXXXX@XXXXX（若授权他人办理并签署响应文件的可不填写）</w:t>
      </w:r>
    </w:p>
    <w:p w14:paraId="6333C6A1">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（附：法定代表人身份证正反面复印件）</w:t>
      </w:r>
    </w:p>
    <w:p w14:paraId="51D8D0CC">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2B130878">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18B95B65">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3B1AC437">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47C25DEA">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70B3EF08">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4A9B6404">
      <w:pPr>
        <w:widowControl/>
        <w:spacing w:line="360" w:lineRule="auto"/>
        <w:ind w:firstLine="56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br w:type="column"/>
      </w:r>
      <w:r>
        <w:rPr>
          <w:rFonts w:hint="eastAsia" w:asciiTheme="minorEastAsia" w:hAnsiTheme="minorEastAsia" w:eastAsiaTheme="minorEastAsia" w:cstheme="minorEastAsia"/>
          <w:sz w:val="24"/>
          <w:szCs w:val="24"/>
          <w:highlight w:val="none"/>
        </w:rPr>
        <w:t>（三）法定代表人授权委托书（格式）</w:t>
      </w:r>
    </w:p>
    <w:p w14:paraId="6A7A2CA1">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p>
    <w:p w14:paraId="0F244913">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谈判项目名称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p>
    <w:p w14:paraId="08893325">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4BC963EC">
      <w:pPr>
        <w:tabs>
          <w:tab w:val="left" w:pos="6300"/>
        </w:tabs>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szCs w:val="24"/>
          <w:highlight w:val="none"/>
          <w:u w:val="single"/>
        </w:rPr>
        <w:t>（采购代理机构名称）</w:t>
      </w:r>
      <w:r>
        <w:rPr>
          <w:rFonts w:hint="eastAsia" w:asciiTheme="minorEastAsia" w:hAnsiTheme="minorEastAsia" w:eastAsiaTheme="minorEastAsia" w:cstheme="minorEastAsia"/>
          <w:sz w:val="24"/>
          <w:highlight w:val="none"/>
        </w:rPr>
        <w:t>：</w:t>
      </w:r>
    </w:p>
    <w:p w14:paraId="77164724">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（供应商法定代表人名称）是</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（供应商名称）的法定代表人，特授权</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（被授权人姓名及身份证代码）代表我单位全权办理上述项目的谈判、签约等具体工作，并签署全部有关文件、协议及合同。</w:t>
      </w:r>
    </w:p>
    <w:p w14:paraId="2318451C">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我单位对被授权人的</w:t>
      </w:r>
      <w:r>
        <w:rPr>
          <w:rFonts w:hint="eastAsia" w:asciiTheme="minorEastAsia" w:hAnsiTheme="minorEastAsia" w:eastAsiaTheme="minorEastAsia" w:cstheme="minorEastAsia"/>
          <w:sz w:val="24"/>
          <w:szCs w:val="28"/>
          <w:highlight w:val="none"/>
        </w:rPr>
        <w:t>签署</w:t>
      </w:r>
      <w:r>
        <w:rPr>
          <w:rFonts w:hint="eastAsia" w:asciiTheme="minorEastAsia" w:hAnsiTheme="minorEastAsia" w:eastAsiaTheme="minorEastAsia" w:cstheme="minorEastAsia"/>
          <w:sz w:val="24"/>
          <w:highlight w:val="none"/>
        </w:rPr>
        <w:t>负全部责任。</w:t>
      </w:r>
    </w:p>
    <w:p w14:paraId="498E1754">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在撤销授权的书面通知以前，本授权书一直有效。被授权人在授权书有效期内签署的所有文件不因授权的撤销而失效。</w:t>
      </w:r>
    </w:p>
    <w:p w14:paraId="48A79CE8">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6F38E1C9">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3E6BC97C">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                                 供应商法定代表人：</w:t>
      </w:r>
    </w:p>
    <w:p w14:paraId="4BFF729F">
      <w:pPr>
        <w:tabs>
          <w:tab w:val="left" w:pos="6300"/>
        </w:tabs>
        <w:snapToGrid w:val="0"/>
        <w:spacing w:line="360" w:lineRule="auto"/>
        <w:ind w:firstLine="57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（签署或盖章）                                （签署或盖章）</w:t>
      </w:r>
    </w:p>
    <w:p w14:paraId="194D3C2D">
      <w:pPr>
        <w:tabs>
          <w:tab w:val="left" w:pos="6300"/>
        </w:tabs>
        <w:snapToGrid w:val="0"/>
        <w:spacing w:line="360" w:lineRule="auto"/>
        <w:ind w:firstLine="570"/>
        <w:rPr>
          <w:rFonts w:hint="eastAsia" w:asciiTheme="minorEastAsia" w:hAnsiTheme="minorEastAsia" w:eastAsiaTheme="minorEastAsia" w:cstheme="minorEastAsia"/>
          <w:sz w:val="24"/>
          <w:szCs w:val="28"/>
          <w:highlight w:val="none"/>
        </w:rPr>
      </w:pPr>
    </w:p>
    <w:p w14:paraId="451C8211">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624D95FD">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（附：被授权人身份证正反面复印件）</w:t>
      </w:r>
    </w:p>
    <w:p w14:paraId="77725A9F">
      <w:pPr>
        <w:tabs>
          <w:tab w:val="left" w:pos="6300"/>
        </w:tabs>
        <w:snapToGrid w:val="0"/>
        <w:spacing w:line="360" w:lineRule="auto"/>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p>
    <w:p w14:paraId="6FFF37C5">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25F8D3FF">
      <w:pPr>
        <w:tabs>
          <w:tab w:val="left" w:pos="6300"/>
        </w:tabs>
        <w:snapToGrid w:val="0"/>
        <w:spacing w:line="360" w:lineRule="auto"/>
        <w:ind w:firstLine="570"/>
        <w:rPr>
          <w:rFonts w:hint="eastAsia" w:asciiTheme="minorEastAsia" w:hAnsiTheme="minorEastAsia" w:eastAsiaTheme="minorEastAsia" w:cstheme="minorEastAsia"/>
          <w:sz w:val="24"/>
          <w:highlight w:val="none"/>
        </w:rPr>
      </w:pPr>
    </w:p>
    <w:p w14:paraId="03C52BEF">
      <w:pPr>
        <w:tabs>
          <w:tab w:val="left" w:pos="6300"/>
        </w:tabs>
        <w:snapToGrid w:val="0"/>
        <w:spacing w:line="360" w:lineRule="auto"/>
        <w:ind w:right="480" w:firstLine="57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（供应商公章）</w:t>
      </w:r>
    </w:p>
    <w:p w14:paraId="0ACADC8E">
      <w:pPr>
        <w:tabs>
          <w:tab w:val="left" w:pos="6300"/>
        </w:tabs>
        <w:snapToGrid w:val="0"/>
        <w:spacing w:line="360" w:lineRule="auto"/>
        <w:ind w:right="480" w:firstLine="57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14:paraId="7E1B858B">
      <w:pPr>
        <w:tabs>
          <w:tab w:val="left" w:pos="6300"/>
        </w:tabs>
        <w:snapToGrid w:val="0"/>
        <w:spacing w:line="360" w:lineRule="auto"/>
        <w:ind w:right="480" w:firstLine="57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被授权人电话：XXXXXXX     电子邮箱：XXXXXX@XXXXX（若法定代表人办理并签署响应文件的可不填写）</w:t>
      </w:r>
    </w:p>
    <w:p w14:paraId="074DE17E">
      <w:pPr>
        <w:tabs>
          <w:tab w:val="left" w:pos="6300"/>
        </w:tabs>
        <w:snapToGrid w:val="0"/>
        <w:spacing w:line="360" w:lineRule="auto"/>
        <w:ind w:right="480" w:firstLine="57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14:paraId="11FA84BB">
      <w:pPr>
        <w:tabs>
          <w:tab w:val="left" w:pos="6300"/>
        </w:tabs>
        <w:snapToGrid w:val="0"/>
        <w:spacing w:line="360" w:lineRule="auto"/>
        <w:ind w:right="480" w:firstLine="57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1.若为法定代表人办理并签署响应文件的，不提供此文件。</w:t>
      </w:r>
    </w:p>
    <w:p w14:paraId="164F6C68">
      <w:pPr>
        <w:widowControl/>
        <w:spacing w:line="360" w:lineRule="auto"/>
        <w:ind w:firstLine="56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br w:type="column"/>
      </w:r>
      <w:r>
        <w:rPr>
          <w:rFonts w:hint="eastAsia" w:asciiTheme="minorEastAsia" w:hAnsiTheme="minorEastAsia" w:eastAsiaTheme="minorEastAsia" w:cstheme="minorEastAsia"/>
          <w:sz w:val="24"/>
          <w:szCs w:val="24"/>
          <w:highlight w:val="none"/>
        </w:rPr>
        <w:t>（四）基本资格条件承诺函（格式）</w:t>
      </w:r>
    </w:p>
    <w:p w14:paraId="10647BFB">
      <w:pPr>
        <w:tabs>
          <w:tab w:val="left" w:pos="6300"/>
        </w:tabs>
        <w:snapToGrid w:val="0"/>
        <w:spacing w:line="360" w:lineRule="auto"/>
        <w:ind w:firstLine="643" w:firstLineChars="20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基本资格条件承诺函</w:t>
      </w:r>
    </w:p>
    <w:p w14:paraId="44744A4A">
      <w:pPr>
        <w:tabs>
          <w:tab w:val="left" w:pos="6300"/>
        </w:tabs>
        <w:snapToGrid w:val="0"/>
        <w:spacing w:line="360" w:lineRule="auto"/>
        <w:rPr>
          <w:rFonts w:hint="eastAsia" w:asciiTheme="minorEastAsia" w:hAnsiTheme="minorEastAsia" w:eastAsiaTheme="minorEastAsia" w:cstheme="minorEastAsia"/>
          <w:sz w:val="24"/>
          <w:highlight w:val="none"/>
        </w:rPr>
      </w:pPr>
    </w:p>
    <w:p w14:paraId="5DA007ED">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szCs w:val="24"/>
          <w:highlight w:val="none"/>
          <w:u w:val="single"/>
        </w:rPr>
        <w:t>（采购代理机构名称）</w:t>
      </w:r>
      <w:r>
        <w:rPr>
          <w:rFonts w:hint="eastAsia" w:asciiTheme="minorEastAsia" w:hAnsiTheme="minorEastAsia" w:eastAsiaTheme="minorEastAsia" w:cstheme="minorEastAsia"/>
          <w:sz w:val="24"/>
          <w:highlight w:val="none"/>
        </w:rPr>
        <w:t>：</w:t>
      </w:r>
    </w:p>
    <w:p w14:paraId="63345F5B">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（供应商名称）郑重承诺：</w:t>
      </w:r>
    </w:p>
    <w:p w14:paraId="07297135">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highlight w:val="none"/>
          <w:lang w:val="zh-CN"/>
        </w:rPr>
        <w:t>有依法缴纳税收和社会保障金的良好记录</w:t>
      </w:r>
      <w:r>
        <w:rPr>
          <w:rFonts w:hint="eastAsia" w:asciiTheme="minorEastAsia" w:hAnsiTheme="minorEastAsia" w:eastAsiaTheme="minorEastAsia" w:cstheme="minorEastAsia"/>
          <w:sz w:val="24"/>
          <w:highlight w:val="none"/>
        </w:rPr>
        <w:t>，参加本项目采购活动前三年内无重大违法活动记录。</w:t>
      </w:r>
    </w:p>
    <w:p w14:paraId="5456D4C7">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2.我方未列入在信用中国网站（www.creditchina.gov.cn）“失信被执行人”、“税收违法黑名单”中，也未列入中国政府采购网（www.ccgp.gov.cn）“政府采购严重违法失信行为记录名单”中。</w:t>
      </w:r>
    </w:p>
    <w:p w14:paraId="72B46B45">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3.我方在采购项目评审（评标）环节结束后，随时接受采购人的检查验证，配合提供相关证明材料，证明符合《中华人民共和国政府采购法》规定的供应商基本资格条件。</w:t>
      </w:r>
    </w:p>
    <w:p w14:paraId="21B6DF66">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我方对以上承诺负全部法律责任。</w:t>
      </w:r>
    </w:p>
    <w:p w14:paraId="461BA125">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特此承诺。</w:t>
      </w:r>
    </w:p>
    <w:p w14:paraId="353DF891">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p>
    <w:p w14:paraId="402A1AE6">
      <w:pPr>
        <w:tabs>
          <w:tab w:val="left" w:pos="6300"/>
        </w:tabs>
        <w:snapToGrid w:val="0"/>
        <w:spacing w:line="360" w:lineRule="auto"/>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（供应商公章）</w:t>
      </w:r>
    </w:p>
    <w:p w14:paraId="47B2EB13">
      <w:pPr>
        <w:widowControl/>
        <w:spacing w:line="360" w:lineRule="auto"/>
        <w:ind w:firstLine="7920" w:firstLineChars="33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年   月   日</w:t>
      </w:r>
    </w:p>
    <w:p w14:paraId="039C77D9">
      <w:pPr>
        <w:widowControl/>
        <w:spacing w:line="360" w:lineRule="auto"/>
        <w:ind w:firstLine="56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 w:val="24"/>
          <w:szCs w:val="24"/>
          <w:highlight w:val="none"/>
        </w:rPr>
        <w:t>（五）特定资格条件证书或证明文件(如有）</w:t>
      </w:r>
    </w:p>
    <w:p w14:paraId="3D74FEAE">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p>
    <w:p w14:paraId="5D20CEAC">
      <w:pPr>
        <w:widowControl/>
        <w:spacing w:line="360" w:lineRule="auto"/>
        <w:ind w:firstLine="480" w:firstLineChars="200"/>
        <w:jc w:val="left"/>
        <w:rPr>
          <w:rFonts w:hint="eastAsia" w:asciiTheme="minorEastAsia" w:hAnsiTheme="minorEastAsia" w:eastAsiaTheme="minorEastAsia" w:cstheme="minorEastAsia"/>
          <w:sz w:val="24"/>
          <w:szCs w:val="24"/>
          <w:highlight w:val="none"/>
        </w:rPr>
      </w:pPr>
    </w:p>
    <w:p w14:paraId="00D2D50E">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br w:type="page"/>
      </w:r>
      <w:bookmarkStart w:id="813" w:name="_Toc24509"/>
      <w:bookmarkStart w:id="814" w:name="_Toc17010"/>
      <w:bookmarkStart w:id="815" w:name="_Toc2080"/>
      <w:bookmarkStart w:id="816" w:name="_Toc65660383"/>
      <w:r>
        <w:rPr>
          <w:rFonts w:hint="eastAsia" w:asciiTheme="minorEastAsia" w:hAnsiTheme="minorEastAsia" w:eastAsiaTheme="minorEastAsia" w:cstheme="minorEastAsia"/>
          <w:sz w:val="24"/>
          <w:highlight w:val="none"/>
        </w:rPr>
        <w:t>五、</w:t>
      </w:r>
      <w:bookmarkEnd w:id="810"/>
      <w:bookmarkEnd w:id="811"/>
      <w:bookmarkEnd w:id="812"/>
      <w:r>
        <w:rPr>
          <w:rFonts w:hint="eastAsia" w:asciiTheme="minorEastAsia" w:hAnsiTheme="minorEastAsia" w:eastAsiaTheme="minorEastAsia" w:cstheme="minorEastAsia"/>
          <w:sz w:val="24"/>
          <w:highlight w:val="none"/>
        </w:rPr>
        <w:t>其他资料</w:t>
      </w:r>
      <w:bookmarkEnd w:id="813"/>
      <w:bookmarkEnd w:id="814"/>
      <w:bookmarkEnd w:id="815"/>
      <w:bookmarkEnd w:id="816"/>
    </w:p>
    <w:p w14:paraId="5E94A598">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）其他与项目有关的资料（自附）</w:t>
      </w:r>
    </w:p>
    <w:p w14:paraId="1506F3B1">
      <w:pPr>
        <w:spacing w:line="360" w:lineRule="auto"/>
        <w:ind w:firstLine="480" w:firstLineChars="200"/>
        <w:rPr>
          <w:rFonts w:hint="eastAsia" w:asciiTheme="minorEastAsia" w:hAnsiTheme="minorEastAsia" w:eastAsiaTheme="minorEastAsia" w:cstheme="minorEastAsia"/>
          <w:sz w:val="24"/>
          <w:szCs w:val="24"/>
          <w:highlight w:val="none"/>
        </w:rPr>
      </w:pPr>
    </w:p>
    <w:p w14:paraId="64EE2DF4">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02E1C466">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363698B0">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465692D2">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6F5DE42E">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09D594A1">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46B0D2AE">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032811A7">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27C70EA6">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780AA8EA">
      <w:pPr>
        <w:spacing w:line="360" w:lineRule="auto"/>
        <w:ind w:firstLine="480" w:firstLineChars="200"/>
        <w:jc w:val="center"/>
        <w:rPr>
          <w:rFonts w:hint="eastAsia" w:asciiTheme="minorEastAsia" w:hAnsiTheme="minorEastAsia" w:eastAsiaTheme="minorEastAsia" w:cstheme="minorEastAsia"/>
          <w:sz w:val="24"/>
          <w:szCs w:val="24"/>
          <w:highlight w:val="none"/>
        </w:rPr>
      </w:pPr>
    </w:p>
    <w:p w14:paraId="15B6404A">
      <w:pPr>
        <w:spacing w:line="360" w:lineRule="auto"/>
        <w:ind w:firstLine="560" w:firstLineChars="20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（结束）</w:t>
      </w:r>
    </w:p>
    <w:p w14:paraId="2047BE87">
      <w:pPr>
        <w:spacing w:line="360" w:lineRule="auto"/>
        <w:ind w:firstLine="560" w:firstLineChars="200"/>
        <w:jc w:val="center"/>
        <w:rPr>
          <w:rFonts w:hint="eastAsia" w:asciiTheme="minorEastAsia" w:hAnsiTheme="minorEastAsia" w:eastAsiaTheme="minorEastAsia" w:cstheme="minorEastAsia"/>
          <w:highlight w:val="none"/>
        </w:rPr>
      </w:pPr>
    </w:p>
    <w:sectPr>
      <w:pgSz w:w="11907" w:h="16840"/>
      <w:pgMar w:top="1134" w:right="1134" w:bottom="1134" w:left="1134" w:header="850" w:footer="992" w:gutter="0"/>
      <w:pgNumType w:fmt="decimal"/>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57F8">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52AE0">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952AE0">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F3F6">
    <w:pPr>
      <w:pStyle w:val="35"/>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0C15E">
                          <w:pPr>
                            <w:pStyle w:val="3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40C15E">
                    <w:pPr>
                      <w:pStyle w:val="3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9801">
    <w:pPr>
      <w:pStyle w:val="3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37F9">
    <w:pPr>
      <w:pStyle w:val="3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68B7"/>
    <w:multiLevelType w:val="singleLevel"/>
    <w:tmpl w:val="FDB768B7"/>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9DCF3B1"/>
    <w:multiLevelType w:val="singleLevel"/>
    <w:tmpl w:val="59DCF3B1"/>
    <w:lvl w:ilvl="0" w:tentative="0">
      <w:start w:val="5"/>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jU2YjgyNWVjYjYxZWM4MzU4NWM3Y2QwMTg1YWUifQ=="/>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977B7"/>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15C6"/>
    <w:rsid w:val="000D23F5"/>
    <w:rsid w:val="000D40BA"/>
    <w:rsid w:val="000E3259"/>
    <w:rsid w:val="000E5D71"/>
    <w:rsid w:val="000F3752"/>
    <w:rsid w:val="000F48FD"/>
    <w:rsid w:val="000F511B"/>
    <w:rsid w:val="000F5ACE"/>
    <w:rsid w:val="000F7DBF"/>
    <w:rsid w:val="00100639"/>
    <w:rsid w:val="00103DA9"/>
    <w:rsid w:val="00103DDC"/>
    <w:rsid w:val="0010418E"/>
    <w:rsid w:val="001077D3"/>
    <w:rsid w:val="001122C5"/>
    <w:rsid w:val="00113E89"/>
    <w:rsid w:val="00116856"/>
    <w:rsid w:val="00120259"/>
    <w:rsid w:val="00120851"/>
    <w:rsid w:val="00124CD0"/>
    <w:rsid w:val="00124CF0"/>
    <w:rsid w:val="001266BF"/>
    <w:rsid w:val="001272B2"/>
    <w:rsid w:val="001309D9"/>
    <w:rsid w:val="00131054"/>
    <w:rsid w:val="00133D16"/>
    <w:rsid w:val="0013496A"/>
    <w:rsid w:val="00135B50"/>
    <w:rsid w:val="00135E0D"/>
    <w:rsid w:val="001363B2"/>
    <w:rsid w:val="001376CB"/>
    <w:rsid w:val="001401FF"/>
    <w:rsid w:val="00140C83"/>
    <w:rsid w:val="00140E25"/>
    <w:rsid w:val="00145B9A"/>
    <w:rsid w:val="00147FB4"/>
    <w:rsid w:val="0015011C"/>
    <w:rsid w:val="00150429"/>
    <w:rsid w:val="0015108F"/>
    <w:rsid w:val="00153353"/>
    <w:rsid w:val="0015351E"/>
    <w:rsid w:val="001559C6"/>
    <w:rsid w:val="0016035A"/>
    <w:rsid w:val="0016303B"/>
    <w:rsid w:val="00165700"/>
    <w:rsid w:val="00171591"/>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C5A"/>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D41"/>
    <w:rsid w:val="00200186"/>
    <w:rsid w:val="00202B04"/>
    <w:rsid w:val="00204936"/>
    <w:rsid w:val="002100EE"/>
    <w:rsid w:val="002105E1"/>
    <w:rsid w:val="00211874"/>
    <w:rsid w:val="00211A92"/>
    <w:rsid w:val="0022065B"/>
    <w:rsid w:val="00222097"/>
    <w:rsid w:val="0022517B"/>
    <w:rsid w:val="00225B78"/>
    <w:rsid w:val="00227BA9"/>
    <w:rsid w:val="00231797"/>
    <w:rsid w:val="0023429B"/>
    <w:rsid w:val="002351A3"/>
    <w:rsid w:val="00235F8F"/>
    <w:rsid w:val="00237759"/>
    <w:rsid w:val="0024359D"/>
    <w:rsid w:val="00244E68"/>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122A"/>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D7802"/>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58F"/>
    <w:rsid w:val="00341DEB"/>
    <w:rsid w:val="00343C3E"/>
    <w:rsid w:val="00346A3D"/>
    <w:rsid w:val="00350C20"/>
    <w:rsid w:val="0035143D"/>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06B1"/>
    <w:rsid w:val="00396FFE"/>
    <w:rsid w:val="003973D3"/>
    <w:rsid w:val="003A0892"/>
    <w:rsid w:val="003A449E"/>
    <w:rsid w:val="003A501C"/>
    <w:rsid w:val="003A57F1"/>
    <w:rsid w:val="003A71F3"/>
    <w:rsid w:val="003B19F5"/>
    <w:rsid w:val="003B2501"/>
    <w:rsid w:val="003B7B71"/>
    <w:rsid w:val="003C0A38"/>
    <w:rsid w:val="003D0E0A"/>
    <w:rsid w:val="003D1569"/>
    <w:rsid w:val="003E1F8A"/>
    <w:rsid w:val="003E4727"/>
    <w:rsid w:val="003E5324"/>
    <w:rsid w:val="003E5E67"/>
    <w:rsid w:val="003E6A9D"/>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4F7578"/>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126B"/>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5262"/>
    <w:rsid w:val="00627DD2"/>
    <w:rsid w:val="00630CA4"/>
    <w:rsid w:val="00635B4B"/>
    <w:rsid w:val="00640026"/>
    <w:rsid w:val="006414B7"/>
    <w:rsid w:val="006518DE"/>
    <w:rsid w:val="00654A48"/>
    <w:rsid w:val="006552FD"/>
    <w:rsid w:val="0065651B"/>
    <w:rsid w:val="00664607"/>
    <w:rsid w:val="0066468B"/>
    <w:rsid w:val="00670089"/>
    <w:rsid w:val="00670560"/>
    <w:rsid w:val="006809DA"/>
    <w:rsid w:val="00680AE4"/>
    <w:rsid w:val="00684E51"/>
    <w:rsid w:val="0069086A"/>
    <w:rsid w:val="0069369F"/>
    <w:rsid w:val="00695990"/>
    <w:rsid w:val="0069635B"/>
    <w:rsid w:val="00697B8B"/>
    <w:rsid w:val="006A100B"/>
    <w:rsid w:val="006A143A"/>
    <w:rsid w:val="006A278D"/>
    <w:rsid w:val="006A3285"/>
    <w:rsid w:val="006A4743"/>
    <w:rsid w:val="006A55C3"/>
    <w:rsid w:val="006B0048"/>
    <w:rsid w:val="006B17C8"/>
    <w:rsid w:val="006B243E"/>
    <w:rsid w:val="006B5E7E"/>
    <w:rsid w:val="006B72DE"/>
    <w:rsid w:val="006C11EA"/>
    <w:rsid w:val="006C4BA5"/>
    <w:rsid w:val="006C5FC1"/>
    <w:rsid w:val="006D44E1"/>
    <w:rsid w:val="006D552C"/>
    <w:rsid w:val="006E21FA"/>
    <w:rsid w:val="006E6952"/>
    <w:rsid w:val="006F03F0"/>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684"/>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5D2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298C"/>
    <w:rsid w:val="007E30A9"/>
    <w:rsid w:val="007E3989"/>
    <w:rsid w:val="007E64BA"/>
    <w:rsid w:val="007F2295"/>
    <w:rsid w:val="007F37C8"/>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3645F"/>
    <w:rsid w:val="008409B0"/>
    <w:rsid w:val="00842974"/>
    <w:rsid w:val="0084353E"/>
    <w:rsid w:val="00851805"/>
    <w:rsid w:val="008532C5"/>
    <w:rsid w:val="00853FE4"/>
    <w:rsid w:val="00854ACE"/>
    <w:rsid w:val="00854BF8"/>
    <w:rsid w:val="0085550A"/>
    <w:rsid w:val="0086105E"/>
    <w:rsid w:val="008616EF"/>
    <w:rsid w:val="00863C25"/>
    <w:rsid w:val="008668A0"/>
    <w:rsid w:val="008705BC"/>
    <w:rsid w:val="0087422F"/>
    <w:rsid w:val="00874324"/>
    <w:rsid w:val="00875A42"/>
    <w:rsid w:val="00883894"/>
    <w:rsid w:val="00883BD5"/>
    <w:rsid w:val="0089036A"/>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0F7B"/>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30B4"/>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4AE5"/>
    <w:rsid w:val="009B6D65"/>
    <w:rsid w:val="009C032D"/>
    <w:rsid w:val="009C1537"/>
    <w:rsid w:val="009C3034"/>
    <w:rsid w:val="009C40F0"/>
    <w:rsid w:val="009C4958"/>
    <w:rsid w:val="009C7326"/>
    <w:rsid w:val="009D01D6"/>
    <w:rsid w:val="009D2934"/>
    <w:rsid w:val="009D6931"/>
    <w:rsid w:val="009E1F06"/>
    <w:rsid w:val="009E2AF3"/>
    <w:rsid w:val="009E737D"/>
    <w:rsid w:val="009E749B"/>
    <w:rsid w:val="009F0643"/>
    <w:rsid w:val="009F3B26"/>
    <w:rsid w:val="009F3FE9"/>
    <w:rsid w:val="009F4390"/>
    <w:rsid w:val="009F5335"/>
    <w:rsid w:val="009F5682"/>
    <w:rsid w:val="00A03977"/>
    <w:rsid w:val="00A04BC7"/>
    <w:rsid w:val="00A050D4"/>
    <w:rsid w:val="00A056BA"/>
    <w:rsid w:val="00A065B8"/>
    <w:rsid w:val="00A1310C"/>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737E"/>
    <w:rsid w:val="00A77D33"/>
    <w:rsid w:val="00A823FE"/>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4A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9C"/>
    <w:rsid w:val="00BC19B9"/>
    <w:rsid w:val="00BC1C91"/>
    <w:rsid w:val="00BD0FBA"/>
    <w:rsid w:val="00BD2343"/>
    <w:rsid w:val="00BD7B7F"/>
    <w:rsid w:val="00BE07A9"/>
    <w:rsid w:val="00BE0A4E"/>
    <w:rsid w:val="00BE33D1"/>
    <w:rsid w:val="00BE4A0D"/>
    <w:rsid w:val="00BF4FCD"/>
    <w:rsid w:val="00BF5230"/>
    <w:rsid w:val="00BF7EE4"/>
    <w:rsid w:val="00C01161"/>
    <w:rsid w:val="00C01342"/>
    <w:rsid w:val="00C1090C"/>
    <w:rsid w:val="00C1593A"/>
    <w:rsid w:val="00C22119"/>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2A52"/>
    <w:rsid w:val="00CA5844"/>
    <w:rsid w:val="00CA6022"/>
    <w:rsid w:val="00CA7415"/>
    <w:rsid w:val="00CB2177"/>
    <w:rsid w:val="00CB265C"/>
    <w:rsid w:val="00CB4FEB"/>
    <w:rsid w:val="00CB7A07"/>
    <w:rsid w:val="00CC0672"/>
    <w:rsid w:val="00CC457C"/>
    <w:rsid w:val="00CC59BB"/>
    <w:rsid w:val="00CD635D"/>
    <w:rsid w:val="00CD7CED"/>
    <w:rsid w:val="00CE04C7"/>
    <w:rsid w:val="00CE1B1C"/>
    <w:rsid w:val="00CF09B7"/>
    <w:rsid w:val="00CF156B"/>
    <w:rsid w:val="00CF1E02"/>
    <w:rsid w:val="00CF2D68"/>
    <w:rsid w:val="00CF2F47"/>
    <w:rsid w:val="00CF329B"/>
    <w:rsid w:val="00CF597A"/>
    <w:rsid w:val="00D0319A"/>
    <w:rsid w:val="00D032D5"/>
    <w:rsid w:val="00D058B5"/>
    <w:rsid w:val="00D05BAA"/>
    <w:rsid w:val="00D07FB9"/>
    <w:rsid w:val="00D10112"/>
    <w:rsid w:val="00D121B8"/>
    <w:rsid w:val="00D13B7A"/>
    <w:rsid w:val="00D22C4B"/>
    <w:rsid w:val="00D230C7"/>
    <w:rsid w:val="00D235DF"/>
    <w:rsid w:val="00D23E7D"/>
    <w:rsid w:val="00D2405F"/>
    <w:rsid w:val="00D24905"/>
    <w:rsid w:val="00D25FE3"/>
    <w:rsid w:val="00D30C7F"/>
    <w:rsid w:val="00D35D2A"/>
    <w:rsid w:val="00D41BA9"/>
    <w:rsid w:val="00D456F3"/>
    <w:rsid w:val="00D4585F"/>
    <w:rsid w:val="00D46250"/>
    <w:rsid w:val="00D52376"/>
    <w:rsid w:val="00D524BC"/>
    <w:rsid w:val="00D54CA1"/>
    <w:rsid w:val="00D57B9E"/>
    <w:rsid w:val="00D60F92"/>
    <w:rsid w:val="00D612C2"/>
    <w:rsid w:val="00D6308C"/>
    <w:rsid w:val="00D64080"/>
    <w:rsid w:val="00D66A2D"/>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247"/>
    <w:rsid w:val="00DE4929"/>
    <w:rsid w:val="00DE4DC4"/>
    <w:rsid w:val="00DE52B0"/>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339E"/>
    <w:rsid w:val="00E2709C"/>
    <w:rsid w:val="00E308E8"/>
    <w:rsid w:val="00E3245B"/>
    <w:rsid w:val="00E34DF5"/>
    <w:rsid w:val="00E3707B"/>
    <w:rsid w:val="00E4024B"/>
    <w:rsid w:val="00E40CF1"/>
    <w:rsid w:val="00E4710C"/>
    <w:rsid w:val="00E50685"/>
    <w:rsid w:val="00E570D9"/>
    <w:rsid w:val="00E57F6B"/>
    <w:rsid w:val="00E64B94"/>
    <w:rsid w:val="00E654A2"/>
    <w:rsid w:val="00E71934"/>
    <w:rsid w:val="00E7342C"/>
    <w:rsid w:val="00E75E47"/>
    <w:rsid w:val="00E81737"/>
    <w:rsid w:val="00E8198D"/>
    <w:rsid w:val="00E873EA"/>
    <w:rsid w:val="00E91EC1"/>
    <w:rsid w:val="00E947AE"/>
    <w:rsid w:val="00E95ABA"/>
    <w:rsid w:val="00EA010E"/>
    <w:rsid w:val="00EA4561"/>
    <w:rsid w:val="00EA770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D7D28"/>
    <w:rsid w:val="00EE061A"/>
    <w:rsid w:val="00EE30AF"/>
    <w:rsid w:val="00EE67BB"/>
    <w:rsid w:val="00EE68E4"/>
    <w:rsid w:val="00EF2477"/>
    <w:rsid w:val="00F009EC"/>
    <w:rsid w:val="00F06551"/>
    <w:rsid w:val="00F06D97"/>
    <w:rsid w:val="00F10932"/>
    <w:rsid w:val="00F11A47"/>
    <w:rsid w:val="00F134B1"/>
    <w:rsid w:val="00F13738"/>
    <w:rsid w:val="00F15EFC"/>
    <w:rsid w:val="00F169C3"/>
    <w:rsid w:val="00F16EFC"/>
    <w:rsid w:val="00F1718E"/>
    <w:rsid w:val="00F20FF1"/>
    <w:rsid w:val="00F212A1"/>
    <w:rsid w:val="00F25205"/>
    <w:rsid w:val="00F2777C"/>
    <w:rsid w:val="00F31987"/>
    <w:rsid w:val="00F35457"/>
    <w:rsid w:val="00F3595B"/>
    <w:rsid w:val="00F36398"/>
    <w:rsid w:val="00F406E7"/>
    <w:rsid w:val="00F4097C"/>
    <w:rsid w:val="00F426A6"/>
    <w:rsid w:val="00F429FD"/>
    <w:rsid w:val="00F449C4"/>
    <w:rsid w:val="00F538D9"/>
    <w:rsid w:val="00F5531F"/>
    <w:rsid w:val="00F56399"/>
    <w:rsid w:val="00F63953"/>
    <w:rsid w:val="00F6510D"/>
    <w:rsid w:val="00F65545"/>
    <w:rsid w:val="00F6689A"/>
    <w:rsid w:val="00F67E40"/>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F58"/>
    <w:rsid w:val="00FC6FA8"/>
    <w:rsid w:val="00FD2470"/>
    <w:rsid w:val="00FD26B5"/>
    <w:rsid w:val="00FD4D4D"/>
    <w:rsid w:val="00FD5823"/>
    <w:rsid w:val="00FE1B42"/>
    <w:rsid w:val="00FE1C27"/>
    <w:rsid w:val="00FE215B"/>
    <w:rsid w:val="00FE5C31"/>
    <w:rsid w:val="00FE68B1"/>
    <w:rsid w:val="00FF25BA"/>
    <w:rsid w:val="00FF3BC9"/>
    <w:rsid w:val="00FF748B"/>
    <w:rsid w:val="00FF7623"/>
    <w:rsid w:val="01243D57"/>
    <w:rsid w:val="01A60597"/>
    <w:rsid w:val="01F77A89"/>
    <w:rsid w:val="02534134"/>
    <w:rsid w:val="032B6B55"/>
    <w:rsid w:val="0365214C"/>
    <w:rsid w:val="037F1AAB"/>
    <w:rsid w:val="04247911"/>
    <w:rsid w:val="0480254A"/>
    <w:rsid w:val="048552F8"/>
    <w:rsid w:val="04C04386"/>
    <w:rsid w:val="04D46D43"/>
    <w:rsid w:val="04F33787"/>
    <w:rsid w:val="06894AC9"/>
    <w:rsid w:val="06E4782C"/>
    <w:rsid w:val="06EF446D"/>
    <w:rsid w:val="072A7DA9"/>
    <w:rsid w:val="07330CE2"/>
    <w:rsid w:val="07537A15"/>
    <w:rsid w:val="078D1C71"/>
    <w:rsid w:val="07B851BB"/>
    <w:rsid w:val="07C80EFB"/>
    <w:rsid w:val="086C5D2B"/>
    <w:rsid w:val="08935065"/>
    <w:rsid w:val="08AC6819"/>
    <w:rsid w:val="08C52A1E"/>
    <w:rsid w:val="08EA0DB0"/>
    <w:rsid w:val="09342F98"/>
    <w:rsid w:val="093F6F9B"/>
    <w:rsid w:val="0955056D"/>
    <w:rsid w:val="095F1025"/>
    <w:rsid w:val="09F2400E"/>
    <w:rsid w:val="0A101393"/>
    <w:rsid w:val="0A262A65"/>
    <w:rsid w:val="0AAA48E8"/>
    <w:rsid w:val="0AAE6112"/>
    <w:rsid w:val="0AB9481A"/>
    <w:rsid w:val="0AE61AEF"/>
    <w:rsid w:val="0B386398"/>
    <w:rsid w:val="0C1B1A6B"/>
    <w:rsid w:val="0C1F3D5D"/>
    <w:rsid w:val="0CC9374C"/>
    <w:rsid w:val="0CFA69B2"/>
    <w:rsid w:val="0D9A164F"/>
    <w:rsid w:val="0D9B11D4"/>
    <w:rsid w:val="0DB5640A"/>
    <w:rsid w:val="0DB8556E"/>
    <w:rsid w:val="0DE436D6"/>
    <w:rsid w:val="0E2B1ACE"/>
    <w:rsid w:val="0E9B2EC6"/>
    <w:rsid w:val="0F5F0397"/>
    <w:rsid w:val="0F68332B"/>
    <w:rsid w:val="10007B32"/>
    <w:rsid w:val="107752B0"/>
    <w:rsid w:val="108252A3"/>
    <w:rsid w:val="10A976E1"/>
    <w:rsid w:val="10BB1AB9"/>
    <w:rsid w:val="10E84C83"/>
    <w:rsid w:val="117B0D8C"/>
    <w:rsid w:val="119D4C39"/>
    <w:rsid w:val="11A92009"/>
    <w:rsid w:val="11AB600B"/>
    <w:rsid w:val="11DA5AB3"/>
    <w:rsid w:val="12295AED"/>
    <w:rsid w:val="123F0F8D"/>
    <w:rsid w:val="12802B6B"/>
    <w:rsid w:val="12A264DE"/>
    <w:rsid w:val="12CA3D79"/>
    <w:rsid w:val="12D62551"/>
    <w:rsid w:val="13423C89"/>
    <w:rsid w:val="13B079DA"/>
    <w:rsid w:val="147B03A7"/>
    <w:rsid w:val="148B5FD2"/>
    <w:rsid w:val="14B51859"/>
    <w:rsid w:val="169E594A"/>
    <w:rsid w:val="16EA49EA"/>
    <w:rsid w:val="17657B7A"/>
    <w:rsid w:val="17D2209B"/>
    <w:rsid w:val="1881312C"/>
    <w:rsid w:val="18A067BA"/>
    <w:rsid w:val="18AB1F57"/>
    <w:rsid w:val="18EB3014"/>
    <w:rsid w:val="191A70DD"/>
    <w:rsid w:val="19403419"/>
    <w:rsid w:val="195720DF"/>
    <w:rsid w:val="1984076A"/>
    <w:rsid w:val="1A1041D0"/>
    <w:rsid w:val="1A7F6E2D"/>
    <w:rsid w:val="1AB5530F"/>
    <w:rsid w:val="1ABD3F8C"/>
    <w:rsid w:val="1AC31707"/>
    <w:rsid w:val="1B1E690C"/>
    <w:rsid w:val="1B351FAC"/>
    <w:rsid w:val="1BA4182E"/>
    <w:rsid w:val="1BA62EAA"/>
    <w:rsid w:val="1C052286"/>
    <w:rsid w:val="1C4E77C9"/>
    <w:rsid w:val="1C605A71"/>
    <w:rsid w:val="1C746C70"/>
    <w:rsid w:val="1C782A98"/>
    <w:rsid w:val="1C9D605B"/>
    <w:rsid w:val="1D4F4BAA"/>
    <w:rsid w:val="1D9150F8"/>
    <w:rsid w:val="1DA703DC"/>
    <w:rsid w:val="1DF1193F"/>
    <w:rsid w:val="1E0F4A61"/>
    <w:rsid w:val="1EAA3F08"/>
    <w:rsid w:val="1EBA4A39"/>
    <w:rsid w:val="1EC61B0F"/>
    <w:rsid w:val="1F2079BD"/>
    <w:rsid w:val="1FD47FE6"/>
    <w:rsid w:val="1FD552C6"/>
    <w:rsid w:val="20457135"/>
    <w:rsid w:val="20827A42"/>
    <w:rsid w:val="21423675"/>
    <w:rsid w:val="215C2D90"/>
    <w:rsid w:val="216A315E"/>
    <w:rsid w:val="21DC2FEB"/>
    <w:rsid w:val="21E738ED"/>
    <w:rsid w:val="21ED5502"/>
    <w:rsid w:val="224913C5"/>
    <w:rsid w:val="225E003A"/>
    <w:rsid w:val="229A3406"/>
    <w:rsid w:val="22A75717"/>
    <w:rsid w:val="22EC1AEA"/>
    <w:rsid w:val="23621DAC"/>
    <w:rsid w:val="23A5630C"/>
    <w:rsid w:val="245B32B8"/>
    <w:rsid w:val="24A216A6"/>
    <w:rsid w:val="24B91EA0"/>
    <w:rsid w:val="25136722"/>
    <w:rsid w:val="25733D33"/>
    <w:rsid w:val="257D3EAF"/>
    <w:rsid w:val="25C30677"/>
    <w:rsid w:val="25C86DC5"/>
    <w:rsid w:val="25DC4098"/>
    <w:rsid w:val="25F0369F"/>
    <w:rsid w:val="25F15DB5"/>
    <w:rsid w:val="2629095F"/>
    <w:rsid w:val="266A7FA7"/>
    <w:rsid w:val="268D1E5D"/>
    <w:rsid w:val="26A6680C"/>
    <w:rsid w:val="26FF6F87"/>
    <w:rsid w:val="27B32BD6"/>
    <w:rsid w:val="281F46EF"/>
    <w:rsid w:val="28F86049"/>
    <w:rsid w:val="29686427"/>
    <w:rsid w:val="29746395"/>
    <w:rsid w:val="29A547A1"/>
    <w:rsid w:val="29CC5549"/>
    <w:rsid w:val="2A027E45"/>
    <w:rsid w:val="2A3C3357"/>
    <w:rsid w:val="2A614B6C"/>
    <w:rsid w:val="2A6C2027"/>
    <w:rsid w:val="2A793DD3"/>
    <w:rsid w:val="2AC72DEB"/>
    <w:rsid w:val="2B087221"/>
    <w:rsid w:val="2B286BC5"/>
    <w:rsid w:val="2B632B65"/>
    <w:rsid w:val="2C2D2523"/>
    <w:rsid w:val="2CFB5FD8"/>
    <w:rsid w:val="2D03015C"/>
    <w:rsid w:val="2D0609A6"/>
    <w:rsid w:val="2D8560C4"/>
    <w:rsid w:val="2E2A66CA"/>
    <w:rsid w:val="2F1139FE"/>
    <w:rsid w:val="2F1C03BA"/>
    <w:rsid w:val="2F215A85"/>
    <w:rsid w:val="2F355C83"/>
    <w:rsid w:val="2F57706B"/>
    <w:rsid w:val="2F64514D"/>
    <w:rsid w:val="2F684FC7"/>
    <w:rsid w:val="2FB259BC"/>
    <w:rsid w:val="2FC02A1E"/>
    <w:rsid w:val="30412E8C"/>
    <w:rsid w:val="30BB2AFC"/>
    <w:rsid w:val="310E761B"/>
    <w:rsid w:val="31864EB8"/>
    <w:rsid w:val="31AE180F"/>
    <w:rsid w:val="32143ECE"/>
    <w:rsid w:val="32672F3B"/>
    <w:rsid w:val="33061317"/>
    <w:rsid w:val="333460D2"/>
    <w:rsid w:val="33E67CE2"/>
    <w:rsid w:val="33F7044F"/>
    <w:rsid w:val="34831160"/>
    <w:rsid w:val="34C91C8B"/>
    <w:rsid w:val="35F03248"/>
    <w:rsid w:val="361D61EB"/>
    <w:rsid w:val="361E4B80"/>
    <w:rsid w:val="36314CC8"/>
    <w:rsid w:val="36AE738B"/>
    <w:rsid w:val="36B27C8C"/>
    <w:rsid w:val="36C721FA"/>
    <w:rsid w:val="36EA2EF3"/>
    <w:rsid w:val="372431A9"/>
    <w:rsid w:val="37D44877"/>
    <w:rsid w:val="37F90340"/>
    <w:rsid w:val="38415FDC"/>
    <w:rsid w:val="3894610C"/>
    <w:rsid w:val="38D03143"/>
    <w:rsid w:val="38FD0155"/>
    <w:rsid w:val="39351DAD"/>
    <w:rsid w:val="39556690"/>
    <w:rsid w:val="3A202015"/>
    <w:rsid w:val="3A3000B7"/>
    <w:rsid w:val="3AD11469"/>
    <w:rsid w:val="3B0D2CD2"/>
    <w:rsid w:val="3B9236C9"/>
    <w:rsid w:val="3B9B1C2B"/>
    <w:rsid w:val="3BAE1BDB"/>
    <w:rsid w:val="3BBA7CB3"/>
    <w:rsid w:val="3BC114B3"/>
    <w:rsid w:val="3BF511EF"/>
    <w:rsid w:val="3C4D31A2"/>
    <w:rsid w:val="3CF01087"/>
    <w:rsid w:val="3D396C7C"/>
    <w:rsid w:val="3D960B78"/>
    <w:rsid w:val="3DBC1A54"/>
    <w:rsid w:val="3E585156"/>
    <w:rsid w:val="3E8D1015"/>
    <w:rsid w:val="3E8D1F7B"/>
    <w:rsid w:val="3EA529B9"/>
    <w:rsid w:val="3F1E4982"/>
    <w:rsid w:val="40153FD6"/>
    <w:rsid w:val="4083202E"/>
    <w:rsid w:val="40B248CE"/>
    <w:rsid w:val="4105229D"/>
    <w:rsid w:val="414C48A8"/>
    <w:rsid w:val="41520337"/>
    <w:rsid w:val="417601DE"/>
    <w:rsid w:val="42307643"/>
    <w:rsid w:val="428639CB"/>
    <w:rsid w:val="42F25864"/>
    <w:rsid w:val="42FC147E"/>
    <w:rsid w:val="430A3B9B"/>
    <w:rsid w:val="4311195E"/>
    <w:rsid w:val="4367618F"/>
    <w:rsid w:val="43CA332A"/>
    <w:rsid w:val="43D7786D"/>
    <w:rsid w:val="43F3462F"/>
    <w:rsid w:val="44637395"/>
    <w:rsid w:val="45830303"/>
    <w:rsid w:val="461F6313"/>
    <w:rsid w:val="469F10B2"/>
    <w:rsid w:val="46BF4CE8"/>
    <w:rsid w:val="46EF6468"/>
    <w:rsid w:val="4750030C"/>
    <w:rsid w:val="482A083B"/>
    <w:rsid w:val="48C7608A"/>
    <w:rsid w:val="4927143C"/>
    <w:rsid w:val="497B799C"/>
    <w:rsid w:val="49883A6B"/>
    <w:rsid w:val="498E69BD"/>
    <w:rsid w:val="49EC30F6"/>
    <w:rsid w:val="4A0731A8"/>
    <w:rsid w:val="4A0B78D0"/>
    <w:rsid w:val="4A0C2326"/>
    <w:rsid w:val="4A2D4613"/>
    <w:rsid w:val="4A5D336F"/>
    <w:rsid w:val="4A64750C"/>
    <w:rsid w:val="4A8E0B76"/>
    <w:rsid w:val="4AC06034"/>
    <w:rsid w:val="4ACE4529"/>
    <w:rsid w:val="4B2E23F0"/>
    <w:rsid w:val="4B9922DB"/>
    <w:rsid w:val="4BB5666E"/>
    <w:rsid w:val="4BE551A5"/>
    <w:rsid w:val="4BF15806"/>
    <w:rsid w:val="4C405B5F"/>
    <w:rsid w:val="4C46376A"/>
    <w:rsid w:val="4C7145EB"/>
    <w:rsid w:val="4C7B404E"/>
    <w:rsid w:val="4C990322"/>
    <w:rsid w:val="4CE64136"/>
    <w:rsid w:val="4CFE5DF2"/>
    <w:rsid w:val="4D153868"/>
    <w:rsid w:val="4D4E0B28"/>
    <w:rsid w:val="4DEA5F62"/>
    <w:rsid w:val="4DFE7404"/>
    <w:rsid w:val="4E372EB3"/>
    <w:rsid w:val="4E3F2D9E"/>
    <w:rsid w:val="4F075432"/>
    <w:rsid w:val="4F6939F7"/>
    <w:rsid w:val="4F846A83"/>
    <w:rsid w:val="4F885F85"/>
    <w:rsid w:val="4F9D2145"/>
    <w:rsid w:val="4FDF7B2E"/>
    <w:rsid w:val="505803C4"/>
    <w:rsid w:val="509E3B74"/>
    <w:rsid w:val="50B909AE"/>
    <w:rsid w:val="50F42549"/>
    <w:rsid w:val="50F47C38"/>
    <w:rsid w:val="50F57EF0"/>
    <w:rsid w:val="51037E7B"/>
    <w:rsid w:val="511856D5"/>
    <w:rsid w:val="518E5997"/>
    <w:rsid w:val="51BB25F2"/>
    <w:rsid w:val="527E1EAF"/>
    <w:rsid w:val="52A1652A"/>
    <w:rsid w:val="52B20439"/>
    <w:rsid w:val="52BC67CA"/>
    <w:rsid w:val="530F48B5"/>
    <w:rsid w:val="531E68CD"/>
    <w:rsid w:val="53515F64"/>
    <w:rsid w:val="538D18A5"/>
    <w:rsid w:val="539354E6"/>
    <w:rsid w:val="53B62E5B"/>
    <w:rsid w:val="53BD388D"/>
    <w:rsid w:val="53FD32A8"/>
    <w:rsid w:val="54234F86"/>
    <w:rsid w:val="542E3461"/>
    <w:rsid w:val="543C3DD0"/>
    <w:rsid w:val="545A24A8"/>
    <w:rsid w:val="545C6AF1"/>
    <w:rsid w:val="54627AF9"/>
    <w:rsid w:val="546367E9"/>
    <w:rsid w:val="546B6463"/>
    <w:rsid w:val="548D5D91"/>
    <w:rsid w:val="54C01FC7"/>
    <w:rsid w:val="54D36268"/>
    <w:rsid w:val="551321A2"/>
    <w:rsid w:val="55434CEA"/>
    <w:rsid w:val="55C14B2F"/>
    <w:rsid w:val="55DD6EED"/>
    <w:rsid w:val="566C448C"/>
    <w:rsid w:val="56A95ABB"/>
    <w:rsid w:val="56BD255D"/>
    <w:rsid w:val="57390153"/>
    <w:rsid w:val="5758436E"/>
    <w:rsid w:val="582B6C2A"/>
    <w:rsid w:val="5916613C"/>
    <w:rsid w:val="593119A3"/>
    <w:rsid w:val="595F4C29"/>
    <w:rsid w:val="596E788A"/>
    <w:rsid w:val="59BD32BD"/>
    <w:rsid w:val="59D9651C"/>
    <w:rsid w:val="5A3E4763"/>
    <w:rsid w:val="5A5014A6"/>
    <w:rsid w:val="5A72006F"/>
    <w:rsid w:val="5A890202"/>
    <w:rsid w:val="5AD16CE7"/>
    <w:rsid w:val="5B0E3771"/>
    <w:rsid w:val="5B44356A"/>
    <w:rsid w:val="5B60755C"/>
    <w:rsid w:val="5B7E1069"/>
    <w:rsid w:val="5BD75000"/>
    <w:rsid w:val="5C8D22CE"/>
    <w:rsid w:val="5CFA79D3"/>
    <w:rsid w:val="5D1B313B"/>
    <w:rsid w:val="5D640C14"/>
    <w:rsid w:val="5DEC4171"/>
    <w:rsid w:val="5DF631B4"/>
    <w:rsid w:val="5E33341A"/>
    <w:rsid w:val="5E5B6C18"/>
    <w:rsid w:val="5E910B3F"/>
    <w:rsid w:val="5E9640DD"/>
    <w:rsid w:val="5EA7685B"/>
    <w:rsid w:val="5ECB49DE"/>
    <w:rsid w:val="5ED502B1"/>
    <w:rsid w:val="5EF35F3A"/>
    <w:rsid w:val="5EF645E5"/>
    <w:rsid w:val="5F105C3D"/>
    <w:rsid w:val="5F132B6E"/>
    <w:rsid w:val="5F7A57AC"/>
    <w:rsid w:val="5F8A104C"/>
    <w:rsid w:val="5FB85ADB"/>
    <w:rsid w:val="608C7E04"/>
    <w:rsid w:val="612330F5"/>
    <w:rsid w:val="61240441"/>
    <w:rsid w:val="61481763"/>
    <w:rsid w:val="61D54F1C"/>
    <w:rsid w:val="62377A96"/>
    <w:rsid w:val="62411979"/>
    <w:rsid w:val="63580B35"/>
    <w:rsid w:val="645111D2"/>
    <w:rsid w:val="647A33CB"/>
    <w:rsid w:val="64A32029"/>
    <w:rsid w:val="64DF4A2F"/>
    <w:rsid w:val="64DF7921"/>
    <w:rsid w:val="64E21C86"/>
    <w:rsid w:val="65204E75"/>
    <w:rsid w:val="6585261B"/>
    <w:rsid w:val="65A82571"/>
    <w:rsid w:val="661B37B6"/>
    <w:rsid w:val="666A0BEA"/>
    <w:rsid w:val="667D369A"/>
    <w:rsid w:val="66BC48FC"/>
    <w:rsid w:val="66D341EE"/>
    <w:rsid w:val="66F83B86"/>
    <w:rsid w:val="671C4B71"/>
    <w:rsid w:val="67277FC8"/>
    <w:rsid w:val="67A930D3"/>
    <w:rsid w:val="67DA14DE"/>
    <w:rsid w:val="68344483"/>
    <w:rsid w:val="68680898"/>
    <w:rsid w:val="68991C29"/>
    <w:rsid w:val="699F29DF"/>
    <w:rsid w:val="69A43B52"/>
    <w:rsid w:val="6A11561F"/>
    <w:rsid w:val="6A530054"/>
    <w:rsid w:val="6A535740"/>
    <w:rsid w:val="6A731776"/>
    <w:rsid w:val="6AFC176B"/>
    <w:rsid w:val="6AFE7291"/>
    <w:rsid w:val="6B3709F5"/>
    <w:rsid w:val="6B385D4C"/>
    <w:rsid w:val="6C340216"/>
    <w:rsid w:val="6C5630FD"/>
    <w:rsid w:val="6C791399"/>
    <w:rsid w:val="6C7D7DC9"/>
    <w:rsid w:val="6CC00CF0"/>
    <w:rsid w:val="6CCB2C33"/>
    <w:rsid w:val="6D09091E"/>
    <w:rsid w:val="6D7D3037"/>
    <w:rsid w:val="6D82653E"/>
    <w:rsid w:val="6D880BC1"/>
    <w:rsid w:val="6DBC2EF4"/>
    <w:rsid w:val="6E2F0141"/>
    <w:rsid w:val="6E5B7466"/>
    <w:rsid w:val="6E775CD9"/>
    <w:rsid w:val="6ECC3352"/>
    <w:rsid w:val="6ECC3702"/>
    <w:rsid w:val="6ECD0DD4"/>
    <w:rsid w:val="6EEB3FD1"/>
    <w:rsid w:val="6F751AEC"/>
    <w:rsid w:val="700F0193"/>
    <w:rsid w:val="702F5130"/>
    <w:rsid w:val="706246EE"/>
    <w:rsid w:val="70B00A3D"/>
    <w:rsid w:val="70CD6084"/>
    <w:rsid w:val="70D2143C"/>
    <w:rsid w:val="71266507"/>
    <w:rsid w:val="71567561"/>
    <w:rsid w:val="7179774D"/>
    <w:rsid w:val="71B2064F"/>
    <w:rsid w:val="71C805F9"/>
    <w:rsid w:val="72026C0C"/>
    <w:rsid w:val="721051D6"/>
    <w:rsid w:val="72121874"/>
    <w:rsid w:val="721C3F61"/>
    <w:rsid w:val="72432B76"/>
    <w:rsid w:val="72B03567"/>
    <w:rsid w:val="72FA6930"/>
    <w:rsid w:val="732E5399"/>
    <w:rsid w:val="73AC4694"/>
    <w:rsid w:val="74487A88"/>
    <w:rsid w:val="74591040"/>
    <w:rsid w:val="74670974"/>
    <w:rsid w:val="74692370"/>
    <w:rsid w:val="7476433D"/>
    <w:rsid w:val="74A62F57"/>
    <w:rsid w:val="74B6203C"/>
    <w:rsid w:val="74E474F8"/>
    <w:rsid w:val="75123F8E"/>
    <w:rsid w:val="75351F96"/>
    <w:rsid w:val="75D66F71"/>
    <w:rsid w:val="75EA4FE2"/>
    <w:rsid w:val="763243C5"/>
    <w:rsid w:val="763B583E"/>
    <w:rsid w:val="766F3739"/>
    <w:rsid w:val="76A209B0"/>
    <w:rsid w:val="77040325"/>
    <w:rsid w:val="77463171"/>
    <w:rsid w:val="77F008AA"/>
    <w:rsid w:val="789E5CA1"/>
    <w:rsid w:val="78BD4522"/>
    <w:rsid w:val="7916365E"/>
    <w:rsid w:val="792720A9"/>
    <w:rsid w:val="7A0B7BCF"/>
    <w:rsid w:val="7A293BFF"/>
    <w:rsid w:val="7C92390B"/>
    <w:rsid w:val="7CA16756"/>
    <w:rsid w:val="7D032E2D"/>
    <w:rsid w:val="7D077E18"/>
    <w:rsid w:val="7E0D3F64"/>
    <w:rsid w:val="7E5971A9"/>
    <w:rsid w:val="7ECD36F3"/>
    <w:rsid w:val="7EEF57B5"/>
    <w:rsid w:val="7EF9487F"/>
    <w:rsid w:val="7F9C051C"/>
    <w:rsid w:val="7F9D30C5"/>
    <w:rsid w:val="7FAB73C6"/>
    <w:rsid w:val="7FB06B65"/>
    <w:rsid w:val="7FCB2137"/>
    <w:rsid w:val="7FF245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4"/>
    <w:qFormat/>
    <w:uiPriority w:val="0"/>
    <w:rPr>
      <w:rFonts w:ascii="Arial" w:hAnsi="Arial" w:eastAsia="黑体"/>
      <w:b/>
      <w:kern w:val="2"/>
      <w:sz w:val="32"/>
    </w:rPr>
  </w:style>
  <w:style w:type="character" w:customStyle="1" w:styleId="68">
    <w:name w:val="标题 3 字符"/>
    <w:link w:val="2"/>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纯文本 字符"/>
    <w:link w:val="30"/>
    <w:qFormat/>
    <w:uiPriority w:val="0"/>
    <w:rPr>
      <w:rFonts w:ascii="宋体" w:hAnsi="Courier New"/>
      <w:kern w:val="2"/>
      <w:sz w:val="21"/>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首行缩进 2 字符"/>
    <w:link w:val="56"/>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 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 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 Char Char11"/>
    <w:qFormat/>
    <w:uiPriority w:val="0"/>
    <w:rPr>
      <w:rFonts w:ascii="宋体"/>
      <w:kern w:val="2"/>
      <w:sz w:val="28"/>
    </w:rPr>
  </w:style>
  <w:style w:type="character" w:customStyle="1" w:styleId="92">
    <w:name w:val="样式 宋体"/>
    <w:qFormat/>
    <w:uiPriority w:val="0"/>
    <w:rPr>
      <w:rFonts w:ascii="宋体" w:hAnsi="宋体" w:eastAsia="宋体"/>
      <w:sz w:val="28"/>
    </w:rPr>
  </w:style>
  <w:style w:type="character" w:customStyle="1" w:styleId="93">
    <w:name w:val="正文 + 三号 Char"/>
    <w:qFormat/>
    <w:uiPriority w:val="0"/>
    <w:rPr>
      <w:rFonts w:eastAsia="宋体"/>
      <w:kern w:val="2"/>
      <w:sz w:val="21"/>
      <w:lang w:val="en-US" w:eastAsia="zh-CN"/>
    </w:rPr>
  </w:style>
  <w:style w:type="character" w:customStyle="1" w:styleId="94">
    <w:name w:val="crowed11"/>
    <w:qFormat/>
    <w:uiPriority w:val="0"/>
    <w:rPr>
      <w:rFonts w:hint="default" w:ascii="_x000B__x000C_" w:hAnsi="_x000B__x000C_"/>
      <w:sz w:val="24"/>
    </w:rPr>
  </w:style>
  <w:style w:type="character" w:customStyle="1" w:styleId="95">
    <w:name w:val="font1"/>
    <w:qFormat/>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 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 Char Char6"/>
    <w:qFormat/>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 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 Char Char"/>
    <w:qFormat/>
    <w:uiPriority w:val="0"/>
    <w:rPr>
      <w:rFonts w:ascii="宋体" w:hAnsi="宋体" w:eastAsia="宋体"/>
      <w:kern w:val="2"/>
      <w:sz w:val="24"/>
      <w:lang w:val="en-US" w:eastAsia="zh-CN" w:bidi="ar-SA"/>
    </w:rPr>
  </w:style>
  <w:style w:type="paragraph" w:customStyle="1" w:styleId="105">
    <w:name w:val="IN Feature"/>
    <w:next w:val="1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qFormat/>
    <w:uiPriority w:val="0"/>
    <w:pPr>
      <w:tabs>
        <w:tab w:val="left" w:pos="2120"/>
      </w:tabs>
      <w:ind w:firstLine="0" w:firstLineChars="0"/>
    </w:pPr>
    <w:rPr>
      <w:b/>
    </w:rPr>
  </w:style>
  <w:style w:type="paragraph" w:customStyle="1" w:styleId="11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7"/>
    <w:qFormat/>
    <w:uiPriority w:val="0"/>
    <w:rPr>
      <w:rFonts w:ascii="Tahoma" w:hAnsi="Tahoma"/>
      <w:sz w:val="24"/>
    </w:rPr>
  </w:style>
  <w:style w:type="paragraph" w:customStyle="1" w:styleId="1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qFormat/>
    <w:uiPriority w:val="0"/>
    <w:pPr>
      <w:jc w:val="center"/>
    </w:pPr>
    <w:rPr>
      <w:b/>
      <w:bCs/>
    </w:rPr>
  </w:style>
  <w:style w:type="paragraph" w:customStyle="1" w:styleId="118">
    <w:name w:val="表格正文"/>
    <w:basedOn w:val="1"/>
    <w:qFormat/>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2">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qFormat/>
    <w:uiPriority w:val="0"/>
    <w:pPr>
      <w:spacing w:before="240" w:beforeLines="0" w:beforeAutospacing="0" w:after="720" w:afterLines="0" w:afterAutospacing="0"/>
    </w:pPr>
    <w:rPr>
      <w:sz w:val="28"/>
    </w:rPr>
  </w:style>
  <w:style w:type="paragraph" w:customStyle="1" w:styleId="12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8">
    <w:name w:val=" Char1 Char Char Char"/>
    <w:basedOn w:val="1"/>
    <w:qFormat/>
    <w:uiPriority w:val="0"/>
    <w:rPr>
      <w:rFonts w:ascii="Tahoma" w:hAnsi="Tahoma"/>
      <w:sz w:val="24"/>
    </w:rPr>
  </w:style>
  <w:style w:type="paragraph" w:customStyle="1" w:styleId="129">
    <w:name w:val=" Char1"/>
    <w:basedOn w:val="1"/>
    <w:qFormat/>
    <w:uiPriority w:val="0"/>
    <w:rPr>
      <w:sz w:val="21"/>
    </w:rPr>
  </w:style>
  <w:style w:type="paragraph" w:customStyle="1" w:styleId="130">
    <w:name w:val="表头样式"/>
    <w:basedOn w:val="1"/>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qFormat/>
    <w:uiPriority w:val="0"/>
    <w:pPr>
      <w:ind w:firstLine="480" w:firstLineChars="200"/>
    </w:pPr>
  </w:style>
  <w:style w:type="paragraph" w:customStyle="1" w:styleId="132">
    <w:name w:val="样式4"/>
    <w:basedOn w:val="5"/>
    <w:qFormat/>
    <w:uiPriority w:val="0"/>
    <w:pPr>
      <w:adjustRightInd w:val="0"/>
      <w:snapToGrid w:val="0"/>
    </w:pPr>
  </w:style>
  <w:style w:type="paragraph" w:customStyle="1" w:styleId="133">
    <w:name w:val="Body Text Indent 2"/>
    <w:basedOn w:val="1"/>
    <w:qFormat/>
    <w:uiPriority w:val="0"/>
    <w:pPr>
      <w:adjustRightInd w:val="0"/>
      <w:spacing w:before="120" w:beforeLines="0" w:beforeAutospacing="0"/>
      <w:ind w:firstLine="420"/>
      <w:textAlignment w:val="baseline"/>
    </w:pPr>
    <w:rPr>
      <w:sz w:val="24"/>
    </w:rPr>
  </w:style>
  <w:style w:type="paragraph" w:customStyle="1" w:styleId="134">
    <w:name w:val="首行缩进 1"/>
    <w:basedOn w:val="1"/>
    <w:qFormat/>
    <w:uiPriority w:val="0"/>
    <w:pPr>
      <w:spacing w:after="120" w:afterLines="0" w:afterAutospacing="0" w:line="360" w:lineRule="auto"/>
      <w:ind w:firstLine="200" w:firstLineChars="200"/>
    </w:pPr>
    <w:rPr>
      <w:sz w:val="2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qFormat/>
    <w:uiPriority w:val="0"/>
    <w:pPr>
      <w:spacing w:before="720" w:beforeLines="0" w:beforeAutospacing="0"/>
    </w:pPr>
  </w:style>
  <w:style w:type="paragraph" w:customStyle="1" w:styleId="14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qFormat/>
    <w:uiPriority w:val="0"/>
    <w:rPr>
      <w:rFonts w:ascii="宋体" w:hAnsi="Courier New"/>
      <w:sz w:val="21"/>
    </w:rPr>
  </w:style>
  <w:style w:type="paragraph" w:customStyle="1" w:styleId="143">
    <w:name w:val="Table Contents"/>
    <w:basedOn w:val="22"/>
    <w:qFormat/>
    <w:uiPriority w:val="0"/>
    <w:pPr>
      <w:suppressAutoHyphens/>
      <w:jc w:val="left"/>
    </w:pPr>
    <w:rPr>
      <w:rFonts w:ascii="Times New Roman" w:eastAsia="Times New Roman"/>
      <w:kern w:val="0"/>
      <w:sz w:val="24"/>
    </w:rPr>
  </w:style>
  <w:style w:type="paragraph" w:customStyle="1" w:styleId="144">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7"/>
    <w:qFormat/>
    <w:uiPriority w:val="0"/>
    <w:rPr>
      <w:rFonts w:ascii="宋体" w:hAnsi="Tahoma"/>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标题无"/>
    <w:basedOn w:val="1"/>
    <w:qFormat/>
    <w:uiPriority w:val="0"/>
    <w:pPr>
      <w:spacing w:line="360" w:lineRule="auto"/>
    </w:pPr>
    <w:rPr>
      <w:sz w:val="24"/>
    </w:rPr>
  </w:style>
  <w:style w:type="paragraph" w:customStyle="1" w:styleId="149">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qFormat/>
    <w:uiPriority w:val="0"/>
    <w:pPr>
      <w:ind w:left="840"/>
      <w:outlineLvl w:val="3"/>
    </w:pPr>
  </w:style>
  <w:style w:type="paragraph" w:customStyle="1" w:styleId="151">
    <w:name w:val="一级条标题"/>
    <w:basedOn w:val="152"/>
    <w:next w:val="153"/>
    <w:qFormat/>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qFormat/>
    <w:uiPriority w:val="0"/>
    <w:pPr>
      <w:spacing w:line="360" w:lineRule="auto"/>
    </w:pPr>
    <w:rPr>
      <w:rFonts w:eastAsia="黑体"/>
      <w:sz w:val="20"/>
    </w:rPr>
  </w:style>
  <w:style w:type="paragraph" w:customStyle="1" w:styleId="156">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57">
    <w:name w:val="表头文本"/>
    <w:qFormat/>
    <w:uiPriority w:val="0"/>
    <w:pPr>
      <w:jc w:val="center"/>
    </w:pPr>
    <w:rPr>
      <w:rFonts w:ascii="Arial" w:hAnsi="Arial" w:eastAsia="宋体" w:cs="Times New Roman"/>
      <w:b/>
      <w:sz w:val="21"/>
      <w:lang w:val="en-US" w:eastAsia="zh-CN" w:bidi="ar-SA"/>
    </w:rPr>
  </w:style>
  <w:style w:type="paragraph" w:customStyle="1" w:styleId="158">
    <w:name w:val="_Style 156"/>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qFormat/>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qFormat/>
    <w:uiPriority w:val="0"/>
    <w:pPr>
      <w:spacing w:line="240" w:lineRule="atLeast"/>
      <w:jc w:val="center"/>
    </w:pPr>
    <w:rPr>
      <w:sz w:val="21"/>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qFormat/>
    <w:uiPriority w:val="0"/>
    <w:pPr>
      <w:pBdr>
        <w:top w:val="single" w:color="auto" w:sz="12" w:space="3"/>
        <w:bottom w:val="single" w:color="auto" w:sz="12" w:space="3"/>
      </w:pBdr>
      <w:spacing w:line="360" w:lineRule="auto"/>
    </w:pPr>
    <w:rPr>
      <w:sz w:val="24"/>
    </w:rPr>
  </w:style>
  <w:style w:type="paragraph" w:customStyle="1" w:styleId="173">
    <w:name w:val=" Char"/>
    <w:basedOn w:val="1"/>
    <w:qFormat/>
    <w:uiPriority w:val="0"/>
    <w:pPr>
      <w:spacing w:line="240" w:lineRule="atLeast"/>
      <w:ind w:left="420" w:firstLine="420"/>
    </w:pPr>
    <w:rPr>
      <w:kern w:val="0"/>
      <w:sz w:val="21"/>
    </w:rPr>
  </w:style>
  <w:style w:type="paragraph" w:customStyle="1" w:styleId="174">
    <w:name w:val=" Char Char Char"/>
    <w:basedOn w:val="1"/>
    <w:qFormat/>
    <w:uiPriority w:val="0"/>
    <w:rPr>
      <w:rFonts w:ascii="Tahoma" w:hAnsi="Tahoma"/>
      <w:sz w:val="24"/>
    </w:rPr>
  </w:style>
  <w:style w:type="paragraph" w:customStyle="1" w:styleId="175">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qFormat/>
    <w:uiPriority w:val="0"/>
    <w:pPr>
      <w:snapToGrid w:val="0"/>
      <w:spacing w:line="360" w:lineRule="auto"/>
      <w:ind w:firstLine="420"/>
    </w:pPr>
    <w:rPr>
      <w:sz w:val="24"/>
    </w:rPr>
  </w:style>
  <w:style w:type="paragraph" w:customStyle="1" w:styleId="177">
    <w:name w:val=" Char Char 字元 字元 字元 Char Char Char Char"/>
    <w:basedOn w:val="1"/>
    <w:qFormat/>
    <w:uiPriority w:val="0"/>
    <w:pPr>
      <w:adjustRightInd w:val="0"/>
      <w:spacing w:line="360" w:lineRule="auto"/>
    </w:pPr>
    <w:rPr>
      <w:kern w:val="0"/>
      <w:sz w:val="24"/>
    </w:rPr>
  </w:style>
  <w:style w:type="paragraph" w:customStyle="1" w:styleId="17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qFormat/>
    <w:uiPriority w:val="0"/>
    <w:rPr>
      <w:sz w:val="21"/>
      <w:szCs w:val="24"/>
    </w:rPr>
  </w:style>
  <w:style w:type="paragraph" w:customStyle="1" w:styleId="182">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2"/>
    <w:qFormat/>
    <w:uiPriority w:val="0"/>
    <w:pPr>
      <w:adjustRightInd w:val="0"/>
      <w:snapToGrid w:val="0"/>
      <w:spacing w:line="440" w:lineRule="exact"/>
      <w:ind w:firstLine="567"/>
    </w:pPr>
    <w:rPr>
      <w:sz w:val="28"/>
    </w:rPr>
  </w:style>
  <w:style w:type="paragraph" w:customStyle="1" w:styleId="184">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qFormat/>
    <w:uiPriority w:val="0"/>
    <w:pPr>
      <w:numPr>
        <w:ilvl w:val="0"/>
        <w:numId w:val="8"/>
      </w:numPr>
      <w:spacing w:line="360" w:lineRule="auto"/>
    </w:pPr>
    <w:rPr>
      <w:rFonts w:eastAsia="仿宋_GB2312"/>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正文 + 三号"/>
    <w:basedOn w:val="1"/>
    <w:qFormat/>
    <w:uiPriority w:val="0"/>
    <w:rPr>
      <w:sz w:val="21"/>
    </w:rPr>
  </w:style>
  <w:style w:type="paragraph" w:customStyle="1" w:styleId="188">
    <w:name w:val=" Char Char1 Char"/>
    <w:basedOn w:val="1"/>
    <w:qFormat/>
    <w:uiPriority w:val="0"/>
    <w:rPr>
      <w:rFonts w:ascii="Tahoma" w:hAnsi="Tahoma"/>
      <w:sz w:val="24"/>
      <w:szCs w:val="24"/>
    </w:rPr>
  </w:style>
  <w:style w:type="paragraph" w:customStyle="1" w:styleId="18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4"/>
    <w:qFormat/>
    <w:uiPriority w:val="0"/>
    <w:pPr>
      <w:spacing w:line="360" w:lineRule="auto"/>
    </w:pPr>
    <w:rPr>
      <w:rFonts w:eastAsia="黑体"/>
      <w:sz w:val="20"/>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qFormat/>
    <w:uiPriority w:val="0"/>
    <w:pPr>
      <w:autoSpaceDE w:val="0"/>
      <w:autoSpaceDN w:val="0"/>
      <w:adjustRightInd w:val="0"/>
      <w:spacing w:line="360" w:lineRule="auto"/>
      <w:jc w:val="left"/>
    </w:pPr>
    <w:rPr>
      <w:kern w:val="0"/>
      <w:sz w:val="21"/>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qFormat/>
    <w:uiPriority w:val="0"/>
    <w:rPr>
      <w:rFonts w:ascii="仿宋_GB2312"/>
      <w:b/>
      <w:sz w:val="30"/>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2"/>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qFormat/>
    <w:uiPriority w:val="0"/>
    <w:pPr>
      <w:widowControl/>
      <w:spacing w:line="300" w:lineRule="atLeast"/>
      <w:jc w:val="left"/>
    </w:pPr>
    <w:rPr>
      <w:rFonts w:ascii="宋体" w:hAnsi="宋体"/>
      <w:kern w:val="0"/>
      <w:sz w:val="18"/>
    </w:rPr>
  </w:style>
  <w:style w:type="paragraph" w:customStyle="1" w:styleId="221">
    <w:name w:val="文章正文"/>
    <w:basedOn w:val="1"/>
    <w:qFormat/>
    <w:uiPriority w:val="0"/>
    <w:pPr>
      <w:ind w:firstLine="560" w:firstLineChars="200"/>
    </w:pPr>
    <w:rPr>
      <w:rFonts w:ascii="仿宋_GB2312" w:hAnsi="宋体" w:eastAsia="仿宋_GB2312"/>
      <w:color w:val="000000"/>
    </w:rPr>
  </w:style>
  <w:style w:type="paragraph" w:customStyle="1" w:styleId="22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qFormat/>
    <w:uiPriority w:val="0"/>
    <w:rPr>
      <w:rFonts w:ascii="Tahoma" w:hAnsi="Tahoma"/>
      <w:sz w:val="24"/>
    </w:rPr>
  </w:style>
  <w:style w:type="paragraph" w:customStyle="1" w:styleId="229">
    <w:name w:val="编号正文"/>
    <w:basedOn w:val="198"/>
    <w:qFormat/>
    <w:uiPriority w:val="0"/>
    <w:pPr>
      <w:snapToGrid/>
      <w:spacing w:line="360" w:lineRule="auto"/>
      <w:ind w:left="1407" w:hanging="1047"/>
      <w:jc w:val="left"/>
    </w:pPr>
    <w:rPr>
      <w:rFonts w:eastAsia="仿宋_GB2312"/>
    </w:rPr>
  </w:style>
  <w:style w:type="paragraph" w:customStyle="1" w:styleId="230">
    <w:name w:val="表格内文字"/>
    <w:basedOn w:val="30"/>
    <w:qFormat/>
    <w:uiPriority w:val="0"/>
    <w:pPr>
      <w:adjustRightInd w:val="0"/>
    </w:pPr>
    <w:rPr>
      <w:color w:val="000000"/>
      <w:lang w:val="en-GB"/>
    </w:rPr>
  </w:style>
  <w:style w:type="paragraph" w:customStyle="1" w:styleId="231">
    <w:name w:val="样式 行距: 1.5 倍行距1"/>
    <w:basedOn w:val="1"/>
    <w:qFormat/>
    <w:uiPriority w:val="0"/>
    <w:pPr>
      <w:snapToGrid w:val="0"/>
    </w:pPr>
    <w:rPr>
      <w:sz w:val="21"/>
    </w:rPr>
  </w:style>
  <w:style w:type="paragraph" w:customStyle="1" w:styleId="232">
    <w:name w:val=" Char Char Char Char Char Char Char"/>
    <w:basedOn w:val="1"/>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spacing w:before="40" w:beforeLines="0" w:beforeAutospacing="0" w:after="40" w:afterLines="0" w:afterAutospacing="0"/>
    </w:pPr>
    <w:rPr>
      <w:sz w:val="24"/>
    </w:rPr>
  </w:style>
  <w:style w:type="paragraph" w:customStyle="1" w:styleId="23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qFormat/>
    <w:uiPriority w:val="0"/>
    <w:pPr>
      <w:tabs>
        <w:tab w:val="left" w:pos="360"/>
      </w:tabs>
    </w:pPr>
    <w:rPr>
      <w:sz w:val="24"/>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39">
    <w:name w:val="font11"/>
    <w:qFormat/>
    <w:uiPriority w:val="0"/>
    <w:rPr>
      <w:rFonts w:hint="eastAsia" w:ascii="宋体" w:hAnsi="宋体" w:eastAsia="宋体" w:cs="宋体"/>
      <w:color w:val="000000"/>
      <w:sz w:val="21"/>
      <w:szCs w:val="21"/>
      <w:u w:val="none"/>
    </w:rPr>
  </w:style>
  <w:style w:type="character" w:customStyle="1" w:styleId="240">
    <w:name w:val="font01"/>
    <w:qFormat/>
    <w:uiPriority w:val="0"/>
    <w:rPr>
      <w:rFonts w:hint="eastAsia" w:ascii="宋体" w:hAnsi="宋体" w:eastAsia="宋体" w:cs="宋体"/>
      <w:b/>
      <w:color w:val="000000"/>
      <w:sz w:val="18"/>
      <w:szCs w:val="18"/>
      <w:u w:val="none"/>
    </w:rPr>
  </w:style>
  <w:style w:type="character" w:customStyle="1" w:styleId="241">
    <w:name w:val="font21"/>
    <w:qFormat/>
    <w:uiPriority w:val="0"/>
    <w:rPr>
      <w:rFonts w:hint="eastAsia" w:ascii="宋体" w:hAnsi="宋体" w:eastAsia="宋体" w:cs="宋体"/>
      <w:color w:val="000000"/>
      <w:sz w:val="18"/>
      <w:szCs w:val="18"/>
      <w:u w:val="none"/>
    </w:rPr>
  </w:style>
  <w:style w:type="character" w:customStyle="1" w:styleId="242">
    <w:name w:val="font41"/>
    <w:qFormat/>
    <w:uiPriority w:val="0"/>
    <w:rPr>
      <w:rFonts w:ascii="黑体" w:eastAsia="黑体" w:cs="黑体"/>
      <w:color w:val="000000"/>
      <w:sz w:val="24"/>
      <w:szCs w:val="24"/>
      <w:u w:val="none"/>
    </w:rPr>
  </w:style>
  <w:style w:type="paragraph" w:styleId="243">
    <w:name w:val="List Paragraph"/>
    <w:basedOn w:val="1"/>
    <w:qFormat/>
    <w:uiPriority w:val="34"/>
    <w:pPr>
      <w:ind w:firstLine="420" w:firstLineChars="200"/>
    </w:pPr>
  </w:style>
  <w:style w:type="character" w:customStyle="1" w:styleId="244">
    <w:name w:val="font61"/>
    <w:basedOn w:val="59"/>
    <w:qFormat/>
    <w:uiPriority w:val="0"/>
    <w:rPr>
      <w:rFonts w:ascii="宋体" w:hAnsi="宋体" w:eastAsia="宋体" w:cs="宋体"/>
      <w:b/>
      <w:bCs/>
      <w:color w:val="000000"/>
      <w:sz w:val="24"/>
      <w:szCs w:val="24"/>
      <w:u w:val="none"/>
    </w:rPr>
  </w:style>
  <w:style w:type="character" w:customStyle="1" w:styleId="245">
    <w:name w:val="font71"/>
    <w:basedOn w:val="59"/>
    <w:qFormat/>
    <w:uiPriority w:val="0"/>
    <w:rPr>
      <w:rFonts w:ascii="宋体" w:hAnsi="宋体" w:eastAsia="宋体" w:cs="宋体"/>
      <w:color w:val="000000"/>
      <w:sz w:val="14"/>
      <w:szCs w:val="14"/>
      <w:u w:val="none"/>
    </w:rPr>
  </w:style>
  <w:style w:type="character" w:customStyle="1" w:styleId="246">
    <w:name w:val="font81"/>
    <w:basedOn w:val="59"/>
    <w:qFormat/>
    <w:uiPriority w:val="0"/>
    <w:rPr>
      <w:rFonts w:hint="default" w:ascii="Arial" w:hAnsi="Arial" w:cs="Arial"/>
      <w:color w:val="000000"/>
      <w:sz w:val="14"/>
      <w:szCs w:val="14"/>
      <w:u w:val="none"/>
    </w:rPr>
  </w:style>
  <w:style w:type="character" w:customStyle="1" w:styleId="247">
    <w:name w:val="font51"/>
    <w:basedOn w:val="59"/>
    <w:qFormat/>
    <w:uiPriority w:val="0"/>
    <w:rPr>
      <w:rFonts w:ascii="宋体" w:hAnsi="宋体" w:eastAsia="宋体" w:cs="宋体"/>
      <w:color w:val="000000"/>
      <w:sz w:val="14"/>
      <w:szCs w:val="14"/>
      <w:u w:val="none"/>
    </w:rPr>
  </w:style>
  <w:style w:type="paragraph" w:customStyle="1" w:styleId="248">
    <w:name w:val="标题 21"/>
    <w:basedOn w:val="1"/>
    <w:qFormat/>
    <w:uiPriority w:val="0"/>
    <w:pPr>
      <w:keepNext/>
      <w:keepLines/>
      <w:snapToGrid w:val="0"/>
      <w:spacing w:line="360" w:lineRule="auto"/>
      <w:outlineLvl w:val="1"/>
    </w:pPr>
    <w:rPr>
      <w:rFonts w:ascii="宋体" w:hAnsi="宋体"/>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7919</Words>
  <Characters>8237</Characters>
  <Lines>206</Lines>
  <Paragraphs>58</Paragraphs>
  <TotalTime>6</TotalTime>
  <ScaleCrop>false</ScaleCrop>
  <LinksUpToDate>false</LinksUpToDate>
  <CharactersWithSpaces>8309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2023-10-24T07:56:00Z</dcterms:created>
  <dc:creator>罗成</dc:creator>
  <cp:lastModifiedBy>木子李</cp:lastModifiedBy>
  <cp:lastPrinted>2022-05-18T09:11:00Z</cp:lastPrinted>
  <dcterms:modified xsi:type="dcterms:W3CDTF">2025-08-15T06:58:14Z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22CE16D3E5BE484484F8A9F89B9E408E_13</vt:lpwstr>
  </property>
  <property fmtid="{D5CDD505-2E9C-101B-9397-08002B2CF9AE}" pid="4" name="KSOTemplateDocerSaveRecord">
    <vt:lpwstr>eyJoZGlkIjoiYzdmMWEyZDM1ZDFlZjI0OGE1NWIwNDBlMGQyYTIyYzAiLCJ1c2VySWQiOiIxMTUyNDQyNjA1In0=</vt:lpwstr>
  </property>
</Properties>
</file>