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C7E06F">
      <w:pPr>
        <w:pStyle w:val="3"/>
        <w:spacing w:before="0" w:after="0" w:line="360" w:lineRule="auto"/>
        <w:jc w:val="center"/>
        <w:rPr>
          <w:rFonts w:hint="eastAsia" w:ascii="方正仿宋_GBK" w:hAnsi="方正仿宋_GBK" w:eastAsia="方正仿宋_GBK" w:cs="方正仿宋_GBK"/>
          <w:sz w:val="30"/>
          <w:szCs w:val="30"/>
        </w:rPr>
      </w:pPr>
      <w:bookmarkStart w:id="0" w:name="_Toc106030878"/>
      <w:bookmarkStart w:id="1" w:name="_Toc1224"/>
      <w:bookmarkStart w:id="2" w:name="_Toc76462324"/>
      <w:bookmarkStart w:id="3" w:name="_Toc21919"/>
      <w:r>
        <w:rPr>
          <w:rFonts w:hint="eastAsia" w:ascii="方正仿宋_GBK" w:hAnsi="方正仿宋_GBK" w:eastAsia="方正仿宋_GBK" w:cs="方正仿宋_GBK"/>
          <w:sz w:val="30"/>
          <w:szCs w:val="30"/>
        </w:rPr>
        <w:t>HYD-C</w:t>
      </w:r>
      <w:r>
        <w:rPr>
          <w:rFonts w:hint="eastAsia" w:ascii="方正仿宋_GBK" w:hAnsi="方正仿宋_GBK" w:eastAsia="方正仿宋_GBK" w:cs="方正仿宋_GBK"/>
          <w:sz w:val="30"/>
          <w:szCs w:val="30"/>
          <w:lang w:val="en-US" w:eastAsia="zh-CN"/>
        </w:rPr>
        <w:t>Q</w:t>
      </w:r>
      <w:r>
        <w:rPr>
          <w:rFonts w:hint="eastAsia" w:ascii="方正仿宋_GBK" w:hAnsi="方正仿宋_GBK" w:eastAsia="方正仿宋_GBK" w:cs="方正仿宋_GBK"/>
          <w:sz w:val="30"/>
          <w:szCs w:val="30"/>
        </w:rPr>
        <w:t>Z-BYG-082503补遗附件</w:t>
      </w:r>
    </w:p>
    <w:p w14:paraId="16856A8A">
      <w:pPr>
        <w:pStyle w:val="3"/>
        <w:spacing w:before="0" w:after="0" w:line="360" w:lineRule="auto"/>
        <w:jc w:val="left"/>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项目名称：关于分阶段实施重庆市石桥铺殡仪馆网络设备采购、网络线路改造及安装配套服务项目（采购第一阶段设备及安装配套服务）</w:t>
      </w:r>
    </w:p>
    <w:p w14:paraId="3B7E89C6">
      <w:pPr>
        <w:pStyle w:val="3"/>
        <w:spacing w:before="0" w:after="0" w:line="360" w:lineRule="auto"/>
        <w:jc w:val="center"/>
        <w:rPr>
          <w:rFonts w:ascii="方正黑体_GBK" w:hAnsi="宋体" w:eastAsia="方正黑体_GBK"/>
          <w:b w:val="0"/>
          <w:szCs w:val="32"/>
        </w:rPr>
      </w:pPr>
      <w:r>
        <w:rPr>
          <w:rFonts w:hint="eastAsia" w:ascii="方正小标宋_GBK" w:hAnsi="宋体" w:eastAsia="方正小标宋_GBK"/>
          <w:b w:val="0"/>
          <w:sz w:val="36"/>
          <w:szCs w:val="30"/>
        </w:rPr>
        <w:t>第二篇  项目</w:t>
      </w:r>
      <w:r>
        <w:rPr>
          <w:rFonts w:hint="eastAsia" w:ascii="方正小标宋_GBK" w:hAnsi="宋体" w:eastAsia="方正小标宋_GBK" w:cs="Times New Roman"/>
          <w:b/>
          <w:sz w:val="36"/>
          <w:szCs w:val="30"/>
          <w:lang w:eastAsia="zh-CN"/>
        </w:rPr>
        <w:t>服务</w:t>
      </w:r>
      <w:r>
        <w:rPr>
          <w:rFonts w:hint="eastAsia" w:ascii="方正小标宋_GBK" w:hAnsi="宋体" w:eastAsia="方正小标宋_GBK"/>
          <w:b w:val="0"/>
          <w:sz w:val="36"/>
          <w:szCs w:val="30"/>
        </w:rPr>
        <w:t>需求</w:t>
      </w:r>
      <w:bookmarkEnd w:id="0"/>
      <w:bookmarkEnd w:id="1"/>
      <w:bookmarkEnd w:id="2"/>
      <w:bookmarkEnd w:id="3"/>
    </w:p>
    <w:p w14:paraId="2FC6C13F">
      <w:pPr>
        <w:pStyle w:val="3"/>
        <w:adjustRightInd w:val="0"/>
        <w:snapToGrid w:val="0"/>
        <w:spacing w:before="0" w:after="0" w:line="400" w:lineRule="exact"/>
        <w:ind w:firstLine="482" w:firstLineChars="200"/>
        <w:rPr>
          <w:rFonts w:hint="eastAsia" w:ascii="方正仿宋_GBK" w:hAnsi="宋体" w:eastAsia="方正仿宋_GBK"/>
          <w:sz w:val="24"/>
        </w:rPr>
      </w:pPr>
      <w:bookmarkStart w:id="4" w:name="_Toc106030879"/>
      <w:bookmarkStart w:id="5" w:name="_Toc18241"/>
      <w:bookmarkStart w:id="6" w:name="_Toc28850"/>
      <w:bookmarkStart w:id="7" w:name="_Toc14171"/>
      <w:bookmarkStart w:id="8" w:name="_Toc106030880"/>
      <w:bookmarkStart w:id="9" w:name="_Toc2011"/>
      <w:r>
        <w:rPr>
          <w:rFonts w:hint="eastAsia" w:ascii="方正仿宋_GBK" w:hAnsi="宋体" w:eastAsia="方正仿宋_GBK"/>
          <w:sz w:val="24"/>
        </w:rPr>
        <w:t>一、项目基本概况介绍</w:t>
      </w:r>
      <w:bookmarkEnd w:id="4"/>
      <w:bookmarkEnd w:id="5"/>
      <w:bookmarkEnd w:id="6"/>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29"/>
        <w:gridCol w:w="2105"/>
        <w:gridCol w:w="1094"/>
      </w:tblGrid>
      <w:tr w14:paraId="7BB77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3338" w:type="pct"/>
            <w:noWrap w:val="0"/>
            <w:vAlign w:val="center"/>
          </w:tcPr>
          <w:p w14:paraId="1C9D9B3D">
            <w:pPr>
              <w:spacing w:line="360" w:lineRule="auto"/>
              <w:jc w:val="center"/>
              <w:rPr>
                <w:rFonts w:ascii="方正仿宋_GBK" w:hAnsi="宋体" w:eastAsia="方正仿宋_GBK"/>
                <w:sz w:val="24"/>
                <w:szCs w:val="24"/>
              </w:rPr>
            </w:pPr>
            <w:r>
              <w:rPr>
                <w:rFonts w:hint="eastAsia" w:ascii="方正仿宋_GBK" w:hAnsi="宋体" w:eastAsia="方正仿宋_GBK"/>
                <w:sz w:val="24"/>
                <w:szCs w:val="24"/>
              </w:rPr>
              <w:t>磋商项目名称</w:t>
            </w:r>
          </w:p>
        </w:tc>
        <w:tc>
          <w:tcPr>
            <w:tcW w:w="1093" w:type="pct"/>
            <w:noWrap w:val="0"/>
            <w:vAlign w:val="center"/>
          </w:tcPr>
          <w:p w14:paraId="46EDCE0C">
            <w:pPr>
              <w:spacing w:line="360" w:lineRule="auto"/>
              <w:jc w:val="center"/>
              <w:rPr>
                <w:rFonts w:hint="eastAsia" w:ascii="方正仿宋_GBK" w:hAnsi="宋体" w:eastAsia="方正仿宋_GBK"/>
                <w:sz w:val="24"/>
                <w:szCs w:val="24"/>
              </w:rPr>
            </w:pPr>
            <w:r>
              <w:rPr>
                <w:rFonts w:hint="eastAsia" w:ascii="方正仿宋_GBK" w:hAnsi="宋体" w:eastAsia="方正仿宋_GBK"/>
                <w:sz w:val="24"/>
                <w:szCs w:val="24"/>
              </w:rPr>
              <w:t>数量/单位</w:t>
            </w:r>
          </w:p>
        </w:tc>
        <w:tc>
          <w:tcPr>
            <w:tcW w:w="568" w:type="pct"/>
            <w:noWrap w:val="0"/>
            <w:vAlign w:val="center"/>
          </w:tcPr>
          <w:p w14:paraId="00EB9039">
            <w:pPr>
              <w:spacing w:line="360" w:lineRule="auto"/>
              <w:jc w:val="center"/>
              <w:rPr>
                <w:rFonts w:ascii="方正仿宋_GBK" w:hAnsi="宋体" w:eastAsia="方正仿宋_GBK"/>
                <w:sz w:val="24"/>
                <w:szCs w:val="24"/>
              </w:rPr>
            </w:pPr>
            <w:r>
              <w:rPr>
                <w:rFonts w:hint="eastAsia" w:ascii="方正仿宋_GBK" w:hAnsi="宋体" w:eastAsia="方正仿宋_GBK"/>
                <w:sz w:val="24"/>
                <w:szCs w:val="24"/>
              </w:rPr>
              <w:t>备注</w:t>
            </w:r>
          </w:p>
        </w:tc>
      </w:tr>
      <w:tr w14:paraId="3D4F1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8" w:type="pct"/>
            <w:noWrap w:val="0"/>
            <w:vAlign w:val="center"/>
          </w:tcPr>
          <w:p w14:paraId="73339861">
            <w:pPr>
              <w:spacing w:line="360" w:lineRule="auto"/>
              <w:jc w:val="left"/>
              <w:rPr>
                <w:rFonts w:ascii="方正仿宋_GBK" w:hAnsi="宋体" w:eastAsia="方正仿宋_GBK"/>
                <w:sz w:val="24"/>
                <w:szCs w:val="24"/>
              </w:rPr>
            </w:pPr>
            <w:r>
              <w:rPr>
                <w:rFonts w:hint="eastAsia" w:ascii="方正仿宋_GBK" w:hAnsi="宋体" w:eastAsia="方正仿宋_GBK"/>
                <w:sz w:val="24"/>
                <w:szCs w:val="24"/>
              </w:rPr>
              <w:t>关于分阶段实施重庆市石桥铺殡仪馆网络设备采购、网络线路改造及安装配套服务项目（采购第一阶段设备及安装配套服务）</w:t>
            </w:r>
          </w:p>
        </w:tc>
        <w:tc>
          <w:tcPr>
            <w:tcW w:w="1093" w:type="pct"/>
            <w:noWrap w:val="0"/>
            <w:vAlign w:val="center"/>
          </w:tcPr>
          <w:p w14:paraId="657CD889">
            <w:pPr>
              <w:spacing w:line="360" w:lineRule="auto"/>
              <w:jc w:val="center"/>
              <w:rPr>
                <w:rFonts w:ascii="方正仿宋_GBK" w:hAnsi="宋体" w:eastAsia="方正仿宋_GBK"/>
                <w:sz w:val="24"/>
                <w:szCs w:val="24"/>
              </w:rPr>
            </w:pPr>
            <w:r>
              <w:rPr>
                <w:rFonts w:hint="eastAsia" w:ascii="方正仿宋_GBK" w:hAnsi="宋体" w:eastAsia="方正仿宋_GBK"/>
                <w:sz w:val="24"/>
                <w:szCs w:val="24"/>
              </w:rPr>
              <w:t>1</w:t>
            </w:r>
          </w:p>
        </w:tc>
        <w:tc>
          <w:tcPr>
            <w:tcW w:w="568" w:type="pct"/>
            <w:noWrap w:val="0"/>
            <w:vAlign w:val="center"/>
          </w:tcPr>
          <w:p w14:paraId="14248F02">
            <w:pPr>
              <w:spacing w:line="400" w:lineRule="exact"/>
              <w:jc w:val="center"/>
              <w:rPr>
                <w:rFonts w:ascii="方正仿宋_GBK" w:hAnsi="宋体" w:eastAsia="方正仿宋_GBK"/>
                <w:sz w:val="24"/>
                <w:szCs w:val="24"/>
              </w:rPr>
            </w:pPr>
            <w:r>
              <w:rPr>
                <w:rFonts w:ascii="方正仿宋_GBK" w:hAnsi="宋体" w:eastAsia="方正仿宋_GBK"/>
                <w:sz w:val="24"/>
                <w:szCs w:val="24"/>
              </w:rPr>
              <w:t>无</w:t>
            </w:r>
          </w:p>
        </w:tc>
      </w:tr>
    </w:tbl>
    <w:p w14:paraId="007E9C2A">
      <w:pPr>
        <w:pStyle w:val="3"/>
        <w:adjustRightInd w:val="0"/>
        <w:snapToGrid w:val="0"/>
        <w:spacing w:before="0" w:after="0" w:line="400" w:lineRule="exact"/>
        <w:ind w:firstLine="482" w:firstLineChars="200"/>
        <w:rPr>
          <w:rFonts w:hint="eastAsia" w:ascii="方正仿宋_GBK" w:hAnsi="宋体" w:eastAsia="方正仿宋_GBK"/>
          <w:sz w:val="24"/>
        </w:rPr>
      </w:pPr>
      <w:r>
        <w:rPr>
          <w:rFonts w:hint="eastAsia" w:ascii="方正仿宋_GBK" w:hAnsi="宋体" w:eastAsia="方正仿宋_GBK"/>
          <w:sz w:val="24"/>
        </w:rPr>
        <w:t>二、项目内容及要求</w:t>
      </w:r>
      <w:bookmarkEnd w:id="7"/>
      <w:bookmarkEnd w:id="8"/>
      <w:bookmarkEnd w:id="9"/>
    </w:p>
    <w:p w14:paraId="55F0AF81">
      <w:pPr>
        <w:spacing w:line="320" w:lineRule="exact"/>
        <w:ind w:firstLine="482" w:firstLineChars="200"/>
        <w:rPr>
          <w:rFonts w:ascii="方正仿宋_GBK" w:eastAsia="方正仿宋_GBK"/>
          <w:b/>
          <w:bCs/>
          <w:sz w:val="24"/>
          <w:szCs w:val="24"/>
        </w:rPr>
      </w:pPr>
      <w:r>
        <w:rPr>
          <w:rFonts w:hint="eastAsia" w:ascii="方正仿宋_GBK" w:eastAsia="方正仿宋_GBK"/>
          <w:b/>
          <w:bCs/>
          <w:sz w:val="24"/>
          <w:szCs w:val="24"/>
        </w:rPr>
        <w:t>（一）总体要求</w:t>
      </w:r>
    </w:p>
    <w:p w14:paraId="7DE2485E">
      <w:pPr>
        <w:spacing w:line="360" w:lineRule="exact"/>
        <w:ind w:firstLine="480" w:firstLineChars="200"/>
        <w:rPr>
          <w:rFonts w:ascii="方正仿宋_GBK" w:eastAsia="方正仿宋_GBK"/>
          <w:sz w:val="24"/>
          <w:szCs w:val="24"/>
        </w:rPr>
      </w:pPr>
      <w:r>
        <w:rPr>
          <w:rFonts w:hint="eastAsia" w:ascii="方正仿宋_GBK" w:eastAsia="方正仿宋_GBK"/>
          <w:sz w:val="24"/>
          <w:szCs w:val="24"/>
        </w:rPr>
        <w:t>本项目旨在对现有网络进行全面改造与升级，以提升整体性能、可靠性及安全性。项目将遵循“统一规划、分步实施”的原则，分为两个阶段进行建设：</w:t>
      </w:r>
    </w:p>
    <w:p w14:paraId="0E8EAD58">
      <w:pPr>
        <w:spacing w:line="360" w:lineRule="exact"/>
        <w:ind w:firstLine="480" w:firstLineChars="200"/>
        <w:rPr>
          <w:rFonts w:ascii="方正仿宋_GBK" w:eastAsia="方正仿宋_GBK"/>
          <w:sz w:val="24"/>
          <w:szCs w:val="24"/>
        </w:rPr>
      </w:pPr>
      <w:r>
        <w:rPr>
          <w:rFonts w:hint="eastAsia" w:ascii="方正仿宋_GBK" w:eastAsia="方正仿宋_GBK"/>
          <w:sz w:val="24"/>
          <w:szCs w:val="24"/>
        </w:rPr>
        <w:t>第一阶段（本期招标内容）：</w:t>
      </w:r>
      <w:r>
        <w:rPr>
          <w:rFonts w:ascii="方正仿宋_GBK" w:eastAsia="方正仿宋_GBK"/>
          <w:sz w:val="24"/>
          <w:szCs w:val="24"/>
        </w:rPr>
        <w:t xml:space="preserve"> 核心与接入层设备更替。重点完成核心交换机与接入交换机的硬件更换与部署，构建高性能、高可用的新网络基础架构。</w:t>
      </w:r>
    </w:p>
    <w:p w14:paraId="78A9C5F7">
      <w:pPr>
        <w:spacing w:line="360" w:lineRule="exact"/>
        <w:ind w:firstLine="480" w:firstLineChars="200"/>
        <w:rPr>
          <w:rFonts w:ascii="方正仿宋_GBK" w:eastAsia="方正仿宋_GBK"/>
          <w:sz w:val="24"/>
          <w:szCs w:val="24"/>
        </w:rPr>
      </w:pPr>
      <w:r>
        <w:rPr>
          <w:rFonts w:hint="eastAsia" w:ascii="方正仿宋_GBK" w:eastAsia="方正仿宋_GBK"/>
          <w:sz w:val="24"/>
          <w:szCs w:val="24"/>
        </w:rPr>
        <w:t>第二阶段（远期建设内容）：</w:t>
      </w:r>
      <w:r>
        <w:rPr>
          <w:rFonts w:ascii="方正仿宋_GBK" w:eastAsia="方正仿宋_GBK"/>
          <w:sz w:val="24"/>
          <w:szCs w:val="24"/>
        </w:rPr>
        <w:t xml:space="preserve"> 汇聚层改造</w:t>
      </w:r>
      <w:r>
        <w:rPr>
          <w:rFonts w:hint="eastAsia" w:ascii="方正仿宋_GBK" w:eastAsia="方正仿宋_GBK"/>
          <w:sz w:val="24"/>
          <w:szCs w:val="24"/>
        </w:rPr>
        <w:t>、</w:t>
      </w:r>
      <w:r>
        <w:rPr>
          <w:rFonts w:ascii="方正仿宋_GBK" w:eastAsia="方正仿宋_GBK"/>
          <w:sz w:val="24"/>
          <w:szCs w:val="24"/>
        </w:rPr>
        <w:t>线路优化</w:t>
      </w:r>
      <w:r>
        <w:rPr>
          <w:rFonts w:hint="eastAsia" w:ascii="方正仿宋_GBK" w:eastAsia="方正仿宋_GBK"/>
          <w:sz w:val="24"/>
          <w:szCs w:val="24"/>
        </w:rPr>
        <w:t>、部署无线网</w:t>
      </w:r>
      <w:r>
        <w:rPr>
          <w:rFonts w:ascii="方正仿宋_GBK" w:eastAsia="方正仿宋_GBK"/>
          <w:sz w:val="24"/>
          <w:szCs w:val="24"/>
        </w:rPr>
        <w:t>。在完成核心与接入层建设的基础上，后续将进行汇聚交换机更替、网络安全体系加固</w:t>
      </w:r>
      <w:r>
        <w:rPr>
          <w:rFonts w:hint="eastAsia" w:ascii="方正仿宋_GBK" w:eastAsia="方正仿宋_GBK"/>
          <w:sz w:val="24"/>
          <w:szCs w:val="24"/>
        </w:rPr>
        <w:t>、无线网</w:t>
      </w:r>
      <w:r>
        <w:rPr>
          <w:rFonts w:ascii="方正仿宋_GBK" w:eastAsia="方正仿宋_GBK"/>
          <w:sz w:val="24"/>
          <w:szCs w:val="24"/>
        </w:rPr>
        <w:t>以及主干线路的冗余改造与优化。</w:t>
      </w:r>
    </w:p>
    <w:p w14:paraId="3763A585">
      <w:pPr>
        <w:spacing w:line="360" w:lineRule="exact"/>
        <w:ind w:firstLine="480" w:firstLineChars="200"/>
        <w:rPr>
          <w:rFonts w:ascii="方正仿宋_GBK" w:eastAsia="方正仿宋_GBK"/>
          <w:sz w:val="24"/>
          <w:szCs w:val="24"/>
        </w:rPr>
      </w:pPr>
      <w:r>
        <w:rPr>
          <w:rFonts w:hint="eastAsia" w:ascii="方正仿宋_GBK" w:eastAsia="方正仿宋_GBK"/>
          <w:sz w:val="24"/>
          <w:szCs w:val="24"/>
        </w:rPr>
        <w:t>供应商应基于对现有网络的深入了解，为本项目编制统一的</w:t>
      </w:r>
      <w:r>
        <w:rPr>
          <w:rFonts w:hint="eastAsia" w:ascii="方正仿宋_GBK" w:eastAsia="方正仿宋_GBK"/>
          <w:b/>
          <w:bCs/>
          <w:sz w:val="24"/>
          <w:szCs w:val="24"/>
        </w:rPr>
        <w:t>总体规划实施方案</w:t>
      </w:r>
      <w:r>
        <w:rPr>
          <w:rFonts w:hint="eastAsia" w:ascii="方正仿宋_GBK" w:eastAsia="方正仿宋_GBK"/>
          <w:sz w:val="24"/>
          <w:szCs w:val="24"/>
        </w:rPr>
        <w:t>。该方案不仅需详细指导第一阶段的建设，还必须前瞻性地为第二阶段的平滑过渡与最终目标网络的实现进行顶层设计。</w:t>
      </w:r>
    </w:p>
    <w:p w14:paraId="04D19E09">
      <w:pPr>
        <w:spacing w:line="360" w:lineRule="exact"/>
        <w:ind w:firstLine="480" w:firstLineChars="200"/>
        <w:rPr>
          <w:rFonts w:ascii="方正仿宋_GBK" w:eastAsia="方正仿宋_GBK"/>
          <w:sz w:val="24"/>
          <w:szCs w:val="24"/>
        </w:rPr>
      </w:pPr>
      <w:r>
        <w:rPr>
          <w:rFonts w:hint="eastAsia" w:ascii="方正仿宋_GBK" w:eastAsia="方正仿宋_GBK"/>
          <w:sz w:val="24"/>
          <w:szCs w:val="24"/>
        </w:rPr>
        <w:t>供应商在方案中需重点考虑以下与第二阶段衔接的关键要素：</w:t>
      </w:r>
    </w:p>
    <w:p w14:paraId="7177B8DB">
      <w:pPr>
        <w:spacing w:line="360" w:lineRule="exact"/>
        <w:ind w:firstLine="480" w:firstLineChars="200"/>
        <w:rPr>
          <w:rFonts w:ascii="方正仿宋_GBK" w:eastAsia="方正仿宋_GBK"/>
          <w:sz w:val="24"/>
          <w:szCs w:val="24"/>
        </w:rPr>
      </w:pPr>
      <w:r>
        <w:rPr>
          <w:rFonts w:ascii="方正仿宋_GBK" w:eastAsia="方正仿宋_GBK"/>
          <w:sz w:val="24"/>
          <w:szCs w:val="24"/>
        </w:rPr>
        <w:t>1.</w:t>
      </w:r>
      <w:r>
        <w:rPr>
          <w:rFonts w:hint="eastAsia" w:ascii="方正仿宋_GBK" w:eastAsia="方正仿宋_GBK"/>
          <w:sz w:val="24"/>
          <w:szCs w:val="24"/>
        </w:rPr>
        <w:t>设备冗余与高可用性：</w:t>
      </w:r>
      <w:r>
        <w:rPr>
          <w:rFonts w:ascii="方正仿宋_GBK" w:eastAsia="方正仿宋_GBK"/>
          <w:sz w:val="24"/>
          <w:szCs w:val="24"/>
        </w:rPr>
        <w:t>本期选型的核心与接入层设备，其硬件架构（如主控板、电源、风扇冗余）、软件特性及License授权必须充分支持未来第二阶段汇聚层设备接入后，端到端实现毫秒级收敛的高可靠性业务承载需求。</w:t>
      </w:r>
    </w:p>
    <w:p w14:paraId="18FBB00F">
      <w:pPr>
        <w:spacing w:line="360" w:lineRule="exact"/>
        <w:ind w:firstLine="480" w:firstLineChars="200"/>
        <w:rPr>
          <w:rFonts w:ascii="方正仿宋_GBK" w:eastAsia="方正仿宋_GBK"/>
          <w:sz w:val="24"/>
          <w:szCs w:val="24"/>
        </w:rPr>
      </w:pPr>
      <w:r>
        <w:rPr>
          <w:rFonts w:hint="eastAsia" w:ascii="方正仿宋_GBK" w:eastAsia="方正仿宋_GBK"/>
          <w:sz w:val="24"/>
          <w:szCs w:val="24"/>
        </w:rPr>
        <w:t>2</w:t>
      </w:r>
      <w:r>
        <w:rPr>
          <w:rFonts w:ascii="方正仿宋_GBK" w:eastAsia="方正仿宋_GBK"/>
          <w:sz w:val="24"/>
          <w:szCs w:val="24"/>
        </w:rPr>
        <w:t>.</w:t>
      </w:r>
      <w:r>
        <w:rPr>
          <w:rFonts w:hint="eastAsia" w:ascii="方正仿宋_GBK" w:eastAsia="方正仿宋_GBK"/>
          <w:sz w:val="24"/>
          <w:szCs w:val="24"/>
        </w:rPr>
        <w:t>线路改造的兼容性与前瞻性：</w:t>
      </w:r>
      <w:r>
        <w:rPr>
          <w:rFonts w:ascii="方正仿宋_GBK" w:eastAsia="方正仿宋_GBK"/>
          <w:sz w:val="24"/>
          <w:szCs w:val="24"/>
        </w:rPr>
        <w:t>本期实施方案应预留未来线路改造的接口与空间。例如，核心设备需预留足够的端口容量、光模块类型支持能力，以无缝兼容第二阶段可能新增的冗余链路、链路聚合或技术升级。</w:t>
      </w:r>
    </w:p>
    <w:p w14:paraId="49C9C370">
      <w:pPr>
        <w:spacing w:line="360" w:lineRule="exact"/>
        <w:ind w:firstLine="480" w:firstLineChars="200"/>
        <w:rPr>
          <w:rFonts w:ascii="方正仿宋_GBK" w:eastAsia="方正仿宋_GBK"/>
          <w:sz w:val="24"/>
          <w:szCs w:val="24"/>
        </w:rPr>
      </w:pPr>
      <w:r>
        <w:rPr>
          <w:rFonts w:hint="eastAsia" w:ascii="方正仿宋_GBK" w:eastAsia="方正仿宋_GBK"/>
          <w:sz w:val="24"/>
          <w:szCs w:val="24"/>
        </w:rPr>
        <w:t>3</w:t>
      </w:r>
      <w:r>
        <w:rPr>
          <w:rFonts w:ascii="方正仿宋_GBK" w:eastAsia="方正仿宋_GBK"/>
          <w:sz w:val="24"/>
          <w:szCs w:val="24"/>
        </w:rPr>
        <w:t>.</w:t>
      </w:r>
      <w:r>
        <w:rPr>
          <w:rFonts w:hint="eastAsia" w:ascii="方正仿宋_GBK" w:eastAsia="方正仿宋_GBK"/>
          <w:sz w:val="24"/>
          <w:szCs w:val="24"/>
        </w:rPr>
        <w:t>网络与安全架构的延续性：</w:t>
      </w:r>
      <w:r>
        <w:rPr>
          <w:rFonts w:ascii="方正仿宋_GBK" w:eastAsia="方正仿宋_GBK"/>
          <w:sz w:val="24"/>
          <w:szCs w:val="24"/>
        </w:rPr>
        <w:t>本期部署的设备及配置策略（如VLAN规划、路由协议、QoS策略）应作为整体网络架构的一部分，能够自然地扩展并融合第二阶段的汇聚层及安全设备（如防火墙、审计系统），避免后期出现架构冲突或再次进行颠覆性调整。</w:t>
      </w:r>
    </w:p>
    <w:p w14:paraId="4964C537">
      <w:pPr>
        <w:pStyle w:val="2"/>
        <w:rPr>
          <w:rFonts w:ascii="方正仿宋_GBK" w:eastAsia="方正仿宋_GBK"/>
          <w:sz w:val="24"/>
          <w:szCs w:val="24"/>
        </w:rPr>
      </w:pPr>
    </w:p>
    <w:p w14:paraId="33BA802F">
      <w:pPr>
        <w:pStyle w:val="2"/>
        <w:rPr>
          <w:rFonts w:ascii="方正仿宋_GBK" w:eastAsia="方正仿宋_GBK"/>
          <w:sz w:val="24"/>
          <w:szCs w:val="24"/>
        </w:rPr>
      </w:pPr>
    </w:p>
    <w:p w14:paraId="0FE65058">
      <w:pPr>
        <w:pStyle w:val="2"/>
        <w:rPr>
          <w:rFonts w:ascii="方正仿宋_GBK" w:eastAsia="方正仿宋_GBK"/>
          <w:sz w:val="24"/>
          <w:szCs w:val="24"/>
        </w:rPr>
      </w:pPr>
    </w:p>
    <w:p w14:paraId="331805C9">
      <w:pPr>
        <w:spacing w:line="320" w:lineRule="exact"/>
        <w:ind w:firstLine="482" w:firstLineChars="200"/>
        <w:rPr>
          <w:rFonts w:hint="eastAsia" w:ascii="方正仿宋_GBK" w:eastAsia="方正仿宋_GBK"/>
          <w:b/>
          <w:bCs/>
          <w:sz w:val="24"/>
          <w:szCs w:val="24"/>
          <w:lang w:eastAsia="zh-CN"/>
        </w:rPr>
      </w:pPr>
      <w:r>
        <w:rPr>
          <w:rFonts w:hint="eastAsia" w:ascii="方正仿宋_GBK" w:eastAsia="方正仿宋_GBK"/>
          <w:b/>
          <w:bCs/>
          <w:sz w:val="24"/>
          <w:szCs w:val="24"/>
        </w:rPr>
        <w:t>（二）设备</w:t>
      </w:r>
      <w:r>
        <w:rPr>
          <w:rFonts w:hint="eastAsia" w:ascii="方正仿宋_GBK" w:eastAsia="方正仿宋_GBK"/>
          <w:b/>
          <w:bCs/>
          <w:sz w:val="24"/>
          <w:szCs w:val="24"/>
          <w:lang w:eastAsia="zh-CN"/>
        </w:rPr>
        <w:t>要求</w:t>
      </w:r>
    </w:p>
    <w:tbl>
      <w:tblPr>
        <w:tblStyle w:val="9"/>
        <w:tblW w:w="85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742"/>
        <w:gridCol w:w="5673"/>
        <w:gridCol w:w="698"/>
        <w:gridCol w:w="665"/>
      </w:tblGrid>
      <w:tr w14:paraId="6254F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757" w:type="dxa"/>
            <w:vAlign w:val="center"/>
          </w:tcPr>
          <w:p w14:paraId="6C9A38C5">
            <w:pPr>
              <w:pStyle w:val="6"/>
              <w:spacing w:after="0" w:line="320" w:lineRule="exact"/>
              <w:jc w:val="center"/>
              <w:rPr>
                <w:rFonts w:hint="eastAsia" w:ascii="方正仿宋_GBK" w:hAnsi="方正仿宋_GBK" w:eastAsia="方正仿宋_GBK" w:cs="方正仿宋_GBK"/>
                <w:b/>
                <w:bCs/>
                <w:sz w:val="24"/>
                <w:szCs w:val="24"/>
                <w:lang w:eastAsia="zh-CN"/>
              </w:rPr>
            </w:pPr>
            <w:r>
              <w:rPr>
                <w:rFonts w:hint="eastAsia" w:ascii="方正仿宋_GBK" w:hAnsi="方正仿宋_GBK" w:eastAsia="方正仿宋_GBK" w:cs="方正仿宋_GBK"/>
                <w:b/>
                <w:bCs/>
                <w:sz w:val="24"/>
                <w:szCs w:val="24"/>
              </w:rPr>
              <w:t>序</w:t>
            </w:r>
            <w:r>
              <w:rPr>
                <w:rFonts w:hint="eastAsia" w:ascii="方正仿宋_GBK" w:hAnsi="方正仿宋_GBK" w:eastAsia="方正仿宋_GBK" w:cs="方正仿宋_GBK"/>
                <w:b/>
                <w:bCs/>
                <w:sz w:val="24"/>
                <w:szCs w:val="24"/>
                <w:lang w:eastAsia="zh-CN"/>
              </w:rPr>
              <w:t>号</w:t>
            </w:r>
          </w:p>
        </w:tc>
        <w:tc>
          <w:tcPr>
            <w:tcW w:w="742" w:type="dxa"/>
            <w:vAlign w:val="center"/>
          </w:tcPr>
          <w:p w14:paraId="7380C3FE">
            <w:pPr>
              <w:pStyle w:val="6"/>
              <w:spacing w:after="0" w:line="320" w:lineRule="exact"/>
              <w:jc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名称</w:t>
            </w:r>
          </w:p>
        </w:tc>
        <w:tc>
          <w:tcPr>
            <w:tcW w:w="5673" w:type="dxa"/>
            <w:vAlign w:val="center"/>
          </w:tcPr>
          <w:p w14:paraId="2DEBCCCD">
            <w:pPr>
              <w:pStyle w:val="6"/>
              <w:spacing w:after="0" w:line="320" w:lineRule="exact"/>
              <w:jc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技术参数</w:t>
            </w:r>
          </w:p>
        </w:tc>
        <w:tc>
          <w:tcPr>
            <w:tcW w:w="698" w:type="dxa"/>
            <w:vAlign w:val="center"/>
          </w:tcPr>
          <w:p w14:paraId="4A1CB31B">
            <w:pPr>
              <w:pStyle w:val="6"/>
              <w:spacing w:after="0" w:line="320" w:lineRule="exact"/>
              <w:jc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数量</w:t>
            </w:r>
          </w:p>
        </w:tc>
        <w:tc>
          <w:tcPr>
            <w:tcW w:w="665" w:type="dxa"/>
            <w:vAlign w:val="center"/>
          </w:tcPr>
          <w:p w14:paraId="4A0FFC75">
            <w:pPr>
              <w:pStyle w:val="6"/>
              <w:spacing w:after="0" w:line="320" w:lineRule="exact"/>
              <w:jc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单位</w:t>
            </w:r>
          </w:p>
        </w:tc>
      </w:tr>
      <w:tr w14:paraId="52246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jc w:val="center"/>
        </w:trPr>
        <w:tc>
          <w:tcPr>
            <w:tcW w:w="757" w:type="dxa"/>
            <w:vAlign w:val="center"/>
          </w:tcPr>
          <w:p w14:paraId="6FEF3023">
            <w:pPr>
              <w:pStyle w:val="6"/>
              <w:spacing w:after="0" w:line="32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w:t>
            </w:r>
          </w:p>
        </w:tc>
        <w:tc>
          <w:tcPr>
            <w:tcW w:w="742" w:type="dxa"/>
            <w:vAlign w:val="center"/>
          </w:tcPr>
          <w:p w14:paraId="4616A5A0">
            <w:pPr>
              <w:pStyle w:val="6"/>
              <w:spacing w:after="0" w:line="320" w:lineRule="exact"/>
              <w:jc w:val="both"/>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万兆核心交换机</w:t>
            </w:r>
          </w:p>
        </w:tc>
        <w:tc>
          <w:tcPr>
            <w:tcW w:w="5673" w:type="dxa"/>
            <w:vAlign w:val="center"/>
          </w:tcPr>
          <w:p w14:paraId="06CA0DA2">
            <w:pPr>
              <w:spacing w:line="320" w:lineRule="exact"/>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1、交换容量≥102Tbps， 包转发率≥76800Mpps。</w:t>
            </w:r>
          </w:p>
          <w:p w14:paraId="1079A7DE">
            <w:pPr>
              <w:spacing w:line="320" w:lineRule="exact"/>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2、设备支持主控引擎槽位≥2，业务槽位≥6个；</w:t>
            </w:r>
          </w:p>
          <w:p w14:paraId="2629A2FA">
            <w:pPr>
              <w:spacing w:line="320" w:lineRule="exact"/>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3、设备单台配置：双主控板、双电源冗余备份，≥24个千兆电口，≥48个万兆光口，≥4个40G光口。</w:t>
            </w:r>
          </w:p>
          <w:p w14:paraId="5CED160B">
            <w:pPr>
              <w:spacing w:line="320" w:lineRule="exact"/>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4、支持丰富的用户接入管理能力，应支持802.1X、MAC、Portal等多种认证方式，支持基于用户组、安全域、时间段的策略管理，实现对用户身份和网络业务的可视化与可控化管理。</w:t>
            </w:r>
          </w:p>
          <w:p w14:paraId="7145E34F">
            <w:pPr>
              <w:spacing w:line="320" w:lineRule="exact"/>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5、为确保与采购人现有网络安全设备（包括但不限于深信服、启明星辰等品牌）协同工作，实现网络准入与行为监测，投标设备需满足以下要求：</w:t>
            </w:r>
          </w:p>
          <w:p w14:paraId="08136CCF">
            <w:pPr>
              <w:spacing w:line="320" w:lineRule="exact"/>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（1）支持通过标准协议（如RADIUS、TACACS+、Syslog等）与现有认证系统及日志服务器进行对接。</w:t>
            </w:r>
          </w:p>
          <w:p w14:paraId="37129C84">
            <w:pPr>
              <w:spacing w:line="320" w:lineRule="exact"/>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（2）支持将用户IP、MAC、接入端口、上线时间等关键信息上报至指定安全平台。</w:t>
            </w:r>
          </w:p>
          <w:p w14:paraId="600B3DC2">
            <w:pPr>
              <w:spacing w:line="320" w:lineRule="exact"/>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（3）支持基于安全策略的动态VLAN分配或ACL下发功能。</w:t>
            </w:r>
          </w:p>
          <w:p w14:paraId="5F328937">
            <w:pPr>
              <w:spacing w:line="320" w:lineRule="exact"/>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供应商须在响应文件中提供基于上述功能的《技术对接方案》，并</w:t>
            </w:r>
            <w:r>
              <w:rPr>
                <w:rFonts w:hint="eastAsia" w:ascii="方正仿宋_GBK" w:hAnsi="方正仿宋_GBK" w:eastAsia="方正仿宋_GBK" w:cs="方正仿宋_GBK"/>
                <w:b/>
                <w:bCs/>
                <w:sz w:val="24"/>
                <w:szCs w:val="24"/>
                <w:highlight w:val="none"/>
                <w:u w:val="single"/>
              </w:rPr>
              <w:t>承诺</w:t>
            </w:r>
            <w:r>
              <w:rPr>
                <w:rFonts w:hint="eastAsia" w:ascii="方正仿宋_GBK" w:hAnsi="方正仿宋_GBK" w:eastAsia="方正仿宋_GBK" w:cs="方正仿宋_GBK"/>
                <w:b/>
                <w:bCs/>
                <w:sz w:val="24"/>
                <w:szCs w:val="24"/>
                <w:highlight w:val="none"/>
              </w:rPr>
              <w:t>在项目实施中完成对接调试。</w:t>
            </w:r>
          </w:p>
          <w:p w14:paraId="205B1A71">
            <w:pPr>
              <w:spacing w:line="320" w:lineRule="exact"/>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6、支持ERPS标准以太环网协议；</w:t>
            </w:r>
          </w:p>
          <w:p w14:paraId="0935CAD3">
            <w:pPr>
              <w:spacing w:line="320" w:lineRule="exact"/>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7、支持静态路由、RIP、RIPng、OSPF、OSPFv3、BGP、BGP4+、ISIS、ISISv6，支持路由协议多实例，支持GR for OSPF/IS-IS/BGP，支持策略路由。</w:t>
            </w:r>
          </w:p>
          <w:p w14:paraId="7FF71B13">
            <w:pPr>
              <w:spacing w:line="320" w:lineRule="exact"/>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sz w:val="24"/>
                <w:szCs w:val="24"/>
                <w:highlight w:val="none"/>
              </w:rPr>
              <w:t>8、为响应国家信创发展战略，所投网络设备的CPU芯片必须为国产芯片。</w:t>
            </w:r>
            <w:r>
              <w:rPr>
                <w:rFonts w:hint="eastAsia" w:ascii="方正仿宋_GBK" w:hAnsi="方正仿宋_GBK" w:eastAsia="方正仿宋_GBK" w:cs="方正仿宋_GBK"/>
                <w:b/>
                <w:bCs/>
                <w:sz w:val="24"/>
                <w:szCs w:val="24"/>
                <w:highlight w:val="none"/>
              </w:rPr>
              <w:t>供应商须在响应文件中提供所投产品品牌的制造商出具的官方声明函（加盖制造商公章），声明该产品系列采用的CPU芯片为国产芯片，或提供国家相关机构对该产品出具的信创产品认证证书复印件。</w:t>
            </w:r>
          </w:p>
          <w:p w14:paraId="5F9EE98D">
            <w:pPr>
              <w:spacing w:line="3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highlight w:val="none"/>
              </w:rPr>
              <w:t>9、原厂三年质保，特征库三年免费升级</w:t>
            </w:r>
          </w:p>
        </w:tc>
        <w:tc>
          <w:tcPr>
            <w:tcW w:w="698" w:type="dxa"/>
            <w:vAlign w:val="center"/>
          </w:tcPr>
          <w:p w14:paraId="6E72A6A7">
            <w:pPr>
              <w:pStyle w:val="6"/>
              <w:spacing w:after="0" w:line="32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p>
        </w:tc>
        <w:tc>
          <w:tcPr>
            <w:tcW w:w="665" w:type="dxa"/>
            <w:vAlign w:val="center"/>
          </w:tcPr>
          <w:p w14:paraId="3F704C1B">
            <w:pPr>
              <w:pStyle w:val="6"/>
              <w:spacing w:after="0" w:line="320" w:lineRule="exact"/>
              <w:jc w:val="both"/>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台</w:t>
            </w:r>
          </w:p>
        </w:tc>
      </w:tr>
      <w:tr w14:paraId="6DA34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757" w:type="dxa"/>
            <w:vAlign w:val="center"/>
          </w:tcPr>
          <w:p w14:paraId="5AE82D7F">
            <w:pPr>
              <w:pStyle w:val="6"/>
              <w:spacing w:after="0" w:line="32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p>
        </w:tc>
        <w:tc>
          <w:tcPr>
            <w:tcW w:w="742" w:type="dxa"/>
            <w:vAlign w:val="center"/>
          </w:tcPr>
          <w:p w14:paraId="18264804">
            <w:pPr>
              <w:pStyle w:val="6"/>
              <w:spacing w:after="0" w:line="320" w:lineRule="exact"/>
              <w:jc w:val="both"/>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接入交换机</w:t>
            </w:r>
          </w:p>
        </w:tc>
        <w:tc>
          <w:tcPr>
            <w:tcW w:w="5673" w:type="dxa"/>
            <w:vAlign w:val="center"/>
          </w:tcPr>
          <w:p w14:paraId="2092CD5C">
            <w:pPr>
              <w:spacing w:line="3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1、交换容量≥670Gbps，包转发率≥170Mpps；</w:t>
            </w:r>
          </w:p>
          <w:p w14:paraId="3ADD0D47">
            <w:pPr>
              <w:spacing w:line="3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2、配置≥24个千兆电口，≥4个万兆SFP+；</w:t>
            </w:r>
          </w:p>
          <w:p w14:paraId="4D5321E0">
            <w:pPr>
              <w:spacing w:line="3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3、支持VLAN；</w:t>
            </w:r>
          </w:p>
          <w:p w14:paraId="09477A5A">
            <w:pPr>
              <w:spacing w:line="3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4、支持静态路由、RIP、RIPng、OSPFv2、OSPFv3；</w:t>
            </w:r>
          </w:p>
          <w:p w14:paraId="162D785C">
            <w:pPr>
              <w:spacing w:line="320" w:lineRule="exact"/>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5、支持丰富的用户接入管理能力，应支持802.1X、MAC、Portal等多种认证方式，支持基于用户组、安全域、时间段的策略管理，实现对用户身份和网络业务的可视化与可控化管理。</w:t>
            </w:r>
          </w:p>
          <w:p w14:paraId="1539A4EA">
            <w:pPr>
              <w:spacing w:line="320" w:lineRule="exact"/>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6、为确保与采购人现有网络安全设备（包括但不限于深信服、启明星辰等品牌）协同工作，实现网络准入与行为监测，投标设备需满足以下要求：</w:t>
            </w:r>
          </w:p>
          <w:p w14:paraId="5F786AEA">
            <w:pPr>
              <w:spacing w:line="320" w:lineRule="exact"/>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（1）支持通过标准协议（如RADIUS、TACACS+、Syslog等）与现有认证系统及日志服务器进行对接。</w:t>
            </w:r>
          </w:p>
          <w:p w14:paraId="29AA7EE8">
            <w:pPr>
              <w:spacing w:line="320" w:lineRule="exact"/>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（2）支持将用户IP、MAC、接入端口、上线时间等关键信息上报至指定安全平台。</w:t>
            </w:r>
          </w:p>
          <w:p w14:paraId="0CD35357">
            <w:pPr>
              <w:spacing w:line="320" w:lineRule="exact"/>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（3）支持基于安全策略的动态VLAN分配或ACL下发功能。</w:t>
            </w:r>
          </w:p>
          <w:p w14:paraId="696F1498">
            <w:pPr>
              <w:spacing w:line="320" w:lineRule="exact"/>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供应商须在响应文件中提供基于上述功能的《技术对接方案》，并</w:t>
            </w:r>
            <w:r>
              <w:rPr>
                <w:rFonts w:hint="eastAsia" w:ascii="方正仿宋_GBK" w:hAnsi="方正仿宋_GBK" w:eastAsia="方正仿宋_GBK" w:cs="方正仿宋_GBK"/>
                <w:b/>
                <w:bCs/>
                <w:sz w:val="24"/>
                <w:szCs w:val="24"/>
                <w:highlight w:val="none"/>
                <w:u w:val="single"/>
              </w:rPr>
              <w:t>承诺</w:t>
            </w:r>
            <w:r>
              <w:rPr>
                <w:rFonts w:hint="eastAsia" w:ascii="方正仿宋_GBK" w:hAnsi="方正仿宋_GBK" w:eastAsia="方正仿宋_GBK" w:cs="方正仿宋_GBK"/>
                <w:b/>
                <w:bCs/>
                <w:sz w:val="24"/>
                <w:szCs w:val="24"/>
                <w:highlight w:val="none"/>
              </w:rPr>
              <w:t>在项目实施中完成对接调试。</w:t>
            </w:r>
          </w:p>
          <w:p w14:paraId="65760DBE">
            <w:pPr>
              <w:spacing w:line="320" w:lineRule="exact"/>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7、支持ERPS标准以太环网协议；</w:t>
            </w:r>
          </w:p>
          <w:p w14:paraId="7CFA1BE5">
            <w:pPr>
              <w:spacing w:line="320" w:lineRule="exact"/>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sz w:val="24"/>
                <w:szCs w:val="24"/>
                <w:highlight w:val="none"/>
              </w:rPr>
              <w:t>8、为响应国家信创发展战略，所投网络设备的CPU芯片必须为国产芯片。</w:t>
            </w:r>
            <w:r>
              <w:rPr>
                <w:rFonts w:hint="eastAsia" w:ascii="方正仿宋_GBK" w:hAnsi="方正仿宋_GBK" w:eastAsia="方正仿宋_GBK" w:cs="方正仿宋_GBK"/>
                <w:b/>
                <w:bCs/>
                <w:sz w:val="24"/>
                <w:szCs w:val="24"/>
                <w:highlight w:val="none"/>
              </w:rPr>
              <w:t>供应商须在响应文件中提供所投产品品牌的制造商出具的官方声明函（加盖制造商公章），声明该产品系列采用的CPU芯片为国产芯片，或提供国家相关机构对该产品出具的信创产品认证证书复印件。</w:t>
            </w:r>
          </w:p>
          <w:p w14:paraId="2CEDB289">
            <w:pPr>
              <w:spacing w:line="3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9、原厂三年质</w:t>
            </w:r>
            <w:bookmarkStart w:id="34" w:name="_GoBack"/>
            <w:bookmarkEnd w:id="34"/>
            <w:r>
              <w:rPr>
                <w:rFonts w:hint="eastAsia" w:ascii="方正仿宋_GBK" w:hAnsi="方正仿宋_GBK" w:eastAsia="方正仿宋_GBK" w:cs="方正仿宋_GBK"/>
                <w:sz w:val="24"/>
                <w:szCs w:val="24"/>
              </w:rPr>
              <w:t>保，特征库三年免费升级</w:t>
            </w:r>
          </w:p>
        </w:tc>
        <w:tc>
          <w:tcPr>
            <w:tcW w:w="698" w:type="dxa"/>
            <w:vAlign w:val="center"/>
          </w:tcPr>
          <w:p w14:paraId="35E6FC79">
            <w:pPr>
              <w:pStyle w:val="6"/>
              <w:spacing w:after="0" w:line="32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30</w:t>
            </w:r>
          </w:p>
        </w:tc>
        <w:tc>
          <w:tcPr>
            <w:tcW w:w="665" w:type="dxa"/>
            <w:vAlign w:val="center"/>
          </w:tcPr>
          <w:p w14:paraId="79708B77">
            <w:pPr>
              <w:pStyle w:val="6"/>
              <w:spacing w:after="0" w:line="320" w:lineRule="exact"/>
              <w:jc w:val="both"/>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台</w:t>
            </w:r>
          </w:p>
        </w:tc>
      </w:tr>
      <w:tr w14:paraId="491A7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jc w:val="center"/>
        </w:trPr>
        <w:tc>
          <w:tcPr>
            <w:tcW w:w="757" w:type="dxa"/>
            <w:vAlign w:val="center"/>
          </w:tcPr>
          <w:p w14:paraId="2C1F0CC4">
            <w:pPr>
              <w:pStyle w:val="6"/>
              <w:spacing w:after="0" w:line="32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w:t>
            </w:r>
          </w:p>
        </w:tc>
        <w:tc>
          <w:tcPr>
            <w:tcW w:w="742" w:type="dxa"/>
            <w:vAlign w:val="center"/>
          </w:tcPr>
          <w:p w14:paraId="3E397C77">
            <w:pPr>
              <w:pStyle w:val="6"/>
              <w:spacing w:after="0" w:line="320" w:lineRule="exact"/>
              <w:jc w:val="both"/>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万兆单模光模块</w:t>
            </w:r>
          </w:p>
        </w:tc>
        <w:tc>
          <w:tcPr>
            <w:tcW w:w="5673" w:type="dxa"/>
            <w:vAlign w:val="center"/>
          </w:tcPr>
          <w:p w14:paraId="3E68C316">
            <w:pPr>
              <w:pStyle w:val="6"/>
              <w:spacing w:after="0" w:line="320" w:lineRule="exact"/>
              <w:jc w:val="both"/>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SFP+万兆模块（1310nm,10km,LC），若与交换机非同一品牌，则必须提供兼容性测试报告。</w:t>
            </w:r>
          </w:p>
        </w:tc>
        <w:tc>
          <w:tcPr>
            <w:tcW w:w="698" w:type="dxa"/>
            <w:vAlign w:val="center"/>
          </w:tcPr>
          <w:p w14:paraId="5411055F">
            <w:pPr>
              <w:pStyle w:val="6"/>
              <w:spacing w:after="0" w:line="32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120</w:t>
            </w:r>
          </w:p>
        </w:tc>
        <w:tc>
          <w:tcPr>
            <w:tcW w:w="665" w:type="dxa"/>
            <w:vAlign w:val="center"/>
          </w:tcPr>
          <w:p w14:paraId="2C07FA4F">
            <w:pPr>
              <w:pStyle w:val="6"/>
              <w:spacing w:after="0" w:line="320" w:lineRule="exact"/>
              <w:jc w:val="both"/>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个</w:t>
            </w:r>
          </w:p>
        </w:tc>
      </w:tr>
      <w:tr w14:paraId="2C78D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757" w:type="dxa"/>
            <w:vAlign w:val="center"/>
          </w:tcPr>
          <w:p w14:paraId="17934AE1">
            <w:pPr>
              <w:pStyle w:val="6"/>
              <w:spacing w:after="0" w:line="32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w:t>
            </w:r>
          </w:p>
        </w:tc>
        <w:tc>
          <w:tcPr>
            <w:tcW w:w="742" w:type="dxa"/>
            <w:vAlign w:val="center"/>
          </w:tcPr>
          <w:p w14:paraId="08AC53A9">
            <w:pPr>
              <w:pStyle w:val="6"/>
              <w:spacing w:after="0" w:line="320" w:lineRule="exact"/>
              <w:jc w:val="both"/>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AOC模块</w:t>
            </w:r>
          </w:p>
        </w:tc>
        <w:tc>
          <w:tcPr>
            <w:tcW w:w="5673" w:type="dxa"/>
            <w:vAlign w:val="center"/>
          </w:tcPr>
          <w:p w14:paraId="56123D87">
            <w:pPr>
              <w:pStyle w:val="6"/>
              <w:spacing w:after="0" w:line="320" w:lineRule="exact"/>
              <w:jc w:val="both"/>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SFP+ to SFP+10m AOC，若与交换机非同一品牌，则必须提供兼容性测试报告。</w:t>
            </w:r>
          </w:p>
        </w:tc>
        <w:tc>
          <w:tcPr>
            <w:tcW w:w="698" w:type="dxa"/>
            <w:vAlign w:val="center"/>
          </w:tcPr>
          <w:p w14:paraId="14CF5AA8">
            <w:pPr>
              <w:pStyle w:val="6"/>
              <w:spacing w:after="0" w:line="32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w:t>
            </w:r>
          </w:p>
        </w:tc>
        <w:tc>
          <w:tcPr>
            <w:tcW w:w="665" w:type="dxa"/>
            <w:vAlign w:val="center"/>
          </w:tcPr>
          <w:p w14:paraId="71D5A71C">
            <w:pPr>
              <w:pStyle w:val="6"/>
              <w:spacing w:after="0" w:line="320" w:lineRule="exact"/>
              <w:jc w:val="both"/>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条</w:t>
            </w:r>
          </w:p>
        </w:tc>
      </w:tr>
      <w:tr w14:paraId="0D0E1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jc w:val="center"/>
        </w:trPr>
        <w:tc>
          <w:tcPr>
            <w:tcW w:w="757" w:type="dxa"/>
            <w:vAlign w:val="center"/>
          </w:tcPr>
          <w:p w14:paraId="32504EF4">
            <w:pPr>
              <w:pStyle w:val="6"/>
              <w:spacing w:after="0" w:line="32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w:t>
            </w:r>
          </w:p>
        </w:tc>
        <w:tc>
          <w:tcPr>
            <w:tcW w:w="742" w:type="dxa"/>
            <w:vAlign w:val="center"/>
          </w:tcPr>
          <w:p w14:paraId="4DF1AFC5">
            <w:pPr>
              <w:pStyle w:val="6"/>
              <w:spacing w:after="0" w:line="320" w:lineRule="exact"/>
              <w:jc w:val="both"/>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42U机柜</w:t>
            </w:r>
          </w:p>
        </w:tc>
        <w:tc>
          <w:tcPr>
            <w:tcW w:w="5673" w:type="dxa"/>
            <w:vAlign w:val="center"/>
          </w:tcPr>
          <w:p w14:paraId="4BF0FD32">
            <w:pPr>
              <w:pStyle w:val="6"/>
              <w:spacing w:after="0" w:line="3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1.规格：宽*深*高（含脚轮）600mm*800mm*2055mm（±2mm）</w:t>
            </w:r>
          </w:p>
          <w:p w14:paraId="772E3ED4">
            <w:pPr>
              <w:pStyle w:val="6"/>
              <w:spacing w:after="0" w:line="3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2.配置：前门单开钢化玻璃门，后门单开无孔钢板门，侧门可快拆。固定板（托盘）≥3块。螺钉螺母≥40套，脚轮4只，支脚4只，扳手≥1只。不含风扇。不含排插。</w:t>
            </w:r>
          </w:p>
        </w:tc>
        <w:tc>
          <w:tcPr>
            <w:tcW w:w="698" w:type="dxa"/>
            <w:vAlign w:val="center"/>
          </w:tcPr>
          <w:p w14:paraId="442D38C9">
            <w:pPr>
              <w:pStyle w:val="6"/>
              <w:spacing w:after="0" w:line="32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w:t>
            </w:r>
          </w:p>
        </w:tc>
        <w:tc>
          <w:tcPr>
            <w:tcW w:w="665" w:type="dxa"/>
            <w:vAlign w:val="center"/>
          </w:tcPr>
          <w:p w14:paraId="15E854E8">
            <w:pPr>
              <w:pStyle w:val="6"/>
              <w:spacing w:after="0" w:line="320" w:lineRule="exact"/>
              <w:jc w:val="both"/>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个</w:t>
            </w:r>
          </w:p>
        </w:tc>
      </w:tr>
      <w:tr w14:paraId="5CD9C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57" w:type="dxa"/>
            <w:vAlign w:val="center"/>
          </w:tcPr>
          <w:p w14:paraId="6FECCBB4">
            <w:pPr>
              <w:pStyle w:val="6"/>
              <w:spacing w:after="0" w:line="32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w:t>
            </w:r>
          </w:p>
        </w:tc>
        <w:tc>
          <w:tcPr>
            <w:tcW w:w="742" w:type="dxa"/>
            <w:vAlign w:val="center"/>
          </w:tcPr>
          <w:p w14:paraId="6A4F9AD8">
            <w:pPr>
              <w:pStyle w:val="6"/>
              <w:spacing w:after="0" w:line="320" w:lineRule="exact"/>
              <w:jc w:val="both"/>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电源模块</w:t>
            </w:r>
          </w:p>
        </w:tc>
        <w:tc>
          <w:tcPr>
            <w:tcW w:w="5673" w:type="dxa"/>
            <w:vAlign w:val="center"/>
          </w:tcPr>
          <w:p w14:paraId="0AF44463">
            <w:pPr>
              <w:pStyle w:val="6"/>
              <w:spacing w:after="0" w:line="320" w:lineRule="exact"/>
              <w:jc w:val="both"/>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8位10A最大允许承载2500W的排插（PDU）（外壳铝合金材质）。</w:t>
            </w:r>
          </w:p>
        </w:tc>
        <w:tc>
          <w:tcPr>
            <w:tcW w:w="698" w:type="dxa"/>
            <w:vAlign w:val="center"/>
          </w:tcPr>
          <w:p w14:paraId="57F03D5D">
            <w:pPr>
              <w:pStyle w:val="6"/>
              <w:spacing w:after="0" w:line="32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w:t>
            </w:r>
          </w:p>
        </w:tc>
        <w:tc>
          <w:tcPr>
            <w:tcW w:w="665" w:type="dxa"/>
            <w:vAlign w:val="center"/>
          </w:tcPr>
          <w:p w14:paraId="366F09DA">
            <w:pPr>
              <w:pStyle w:val="6"/>
              <w:spacing w:after="0" w:line="320" w:lineRule="exact"/>
              <w:jc w:val="both"/>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个</w:t>
            </w:r>
          </w:p>
        </w:tc>
      </w:tr>
    </w:tbl>
    <w:p w14:paraId="08824680">
      <w:pPr>
        <w:spacing w:line="320" w:lineRule="exact"/>
        <w:ind w:firstLine="482" w:firstLineChars="200"/>
        <w:rPr>
          <w:rFonts w:hint="eastAsia" w:ascii="方正仿宋_GBK" w:eastAsia="方正仿宋_GBK"/>
          <w:b/>
          <w:bCs/>
          <w:sz w:val="24"/>
          <w:szCs w:val="24"/>
        </w:rPr>
      </w:pPr>
      <w:r>
        <w:rPr>
          <w:rFonts w:hint="eastAsia" w:ascii="方正仿宋_GBK" w:eastAsia="方正仿宋_GBK"/>
          <w:b/>
          <w:bCs/>
          <w:sz w:val="24"/>
          <w:szCs w:val="24"/>
        </w:rPr>
        <w:t>（三）服务要求</w:t>
      </w:r>
    </w:p>
    <w:p w14:paraId="4629E6BE">
      <w:pPr>
        <w:spacing w:line="360" w:lineRule="exact"/>
        <w:ind w:firstLine="480" w:firstLineChars="200"/>
        <w:rPr>
          <w:rFonts w:hint="eastAsia" w:ascii="方正仿宋_GBK" w:eastAsia="方正仿宋_GBK"/>
          <w:sz w:val="24"/>
          <w:szCs w:val="24"/>
        </w:rPr>
      </w:pPr>
      <w:r>
        <w:rPr>
          <w:rFonts w:hint="eastAsia" w:ascii="方正仿宋_GBK" w:eastAsia="方正仿宋_GBK"/>
          <w:sz w:val="24"/>
          <w:szCs w:val="24"/>
        </w:rPr>
        <w:t>供应商需为本项目提供端到端的专业服务，包括但不限于规划、安装、配置、集成、搬运、整理、培训及售后，确保第一阶段建设目标达成，并为第二阶段改造奠定坚实基础。</w:t>
      </w:r>
    </w:p>
    <w:p w14:paraId="3CFBD9D8">
      <w:pPr>
        <w:spacing w:line="360" w:lineRule="exact"/>
        <w:ind w:firstLine="480" w:firstLineChars="200"/>
        <w:rPr>
          <w:rFonts w:hint="eastAsia" w:ascii="方正仿宋_GBK" w:eastAsia="方正仿宋_GBK"/>
          <w:sz w:val="24"/>
          <w:szCs w:val="24"/>
        </w:rPr>
      </w:pPr>
      <w:r>
        <w:rPr>
          <w:rFonts w:hint="eastAsia" w:ascii="方正仿宋_GBK" w:eastAsia="方正仿宋_GBK"/>
          <w:sz w:val="24"/>
          <w:szCs w:val="24"/>
        </w:rPr>
        <w:t>1.安装与部署服务</w:t>
      </w:r>
    </w:p>
    <w:p w14:paraId="24E0FEB3">
      <w:pPr>
        <w:spacing w:line="360" w:lineRule="exact"/>
        <w:ind w:firstLine="480" w:firstLineChars="200"/>
        <w:rPr>
          <w:rFonts w:hint="eastAsia" w:ascii="方正仿宋_GBK" w:eastAsia="方正仿宋_GBK"/>
          <w:sz w:val="24"/>
          <w:szCs w:val="24"/>
        </w:rPr>
      </w:pPr>
      <w:r>
        <w:rPr>
          <w:rFonts w:hint="eastAsia" w:ascii="方正仿宋_GBK" w:eastAsia="方正仿宋_GBK"/>
          <w:sz w:val="24"/>
          <w:szCs w:val="24"/>
        </w:rPr>
        <w:t>（1）辅材提供：免费提供设备安装调试所需的所有辅材，包括但不限于：机柜配件（托盘、螺丝、螺母）、理线器、光纤跳线、尾纤、网线、电源线、线缆标签等，所有材料需为符合行业标准的全新产品。</w:t>
      </w:r>
    </w:p>
    <w:p w14:paraId="6697DA96">
      <w:pPr>
        <w:spacing w:line="360" w:lineRule="exact"/>
        <w:ind w:firstLine="480" w:firstLineChars="200"/>
        <w:rPr>
          <w:rFonts w:hint="eastAsia" w:ascii="方正仿宋_GBK" w:eastAsia="方正仿宋_GBK"/>
          <w:sz w:val="24"/>
          <w:szCs w:val="24"/>
        </w:rPr>
      </w:pPr>
      <w:r>
        <w:rPr>
          <w:rFonts w:hint="eastAsia" w:ascii="方正仿宋_GBK" w:eastAsia="方正仿宋_GBK"/>
          <w:sz w:val="24"/>
          <w:szCs w:val="24"/>
        </w:rPr>
        <w:t>（2）安装实施：确保所有设备安装牢固、美观，符合机房环境要求（如散热、承重）及相关技术规范。提供详细的《安装实施方案》与《项目进度计划表》，明确关键节点和工期。以确保新设备安装调试期间，业务中断时间最小化。</w:t>
      </w:r>
    </w:p>
    <w:p w14:paraId="5FB43426">
      <w:pPr>
        <w:spacing w:line="360" w:lineRule="exact"/>
        <w:ind w:firstLine="480" w:firstLineChars="200"/>
        <w:rPr>
          <w:rFonts w:hint="eastAsia" w:ascii="方正仿宋_GBK" w:eastAsia="方正仿宋_GBK"/>
          <w:sz w:val="24"/>
          <w:szCs w:val="24"/>
        </w:rPr>
      </w:pPr>
      <w:r>
        <w:rPr>
          <w:rFonts w:hint="eastAsia" w:ascii="方正仿宋_GBK" w:eastAsia="方正仿宋_GBK"/>
          <w:sz w:val="24"/>
          <w:szCs w:val="24"/>
        </w:rPr>
        <w:t>（3）设备搬运：承担所有新设备到项目现场的运输、搬运及就位费用。</w:t>
      </w:r>
    </w:p>
    <w:p w14:paraId="7546E83D">
      <w:pPr>
        <w:spacing w:line="360" w:lineRule="exact"/>
        <w:ind w:firstLine="480" w:firstLineChars="200"/>
        <w:rPr>
          <w:rFonts w:hint="eastAsia" w:ascii="方正仿宋_GBK" w:eastAsia="方正仿宋_GBK"/>
          <w:sz w:val="24"/>
          <w:szCs w:val="24"/>
        </w:rPr>
      </w:pPr>
      <w:r>
        <w:rPr>
          <w:rFonts w:hint="eastAsia" w:ascii="方正仿宋_GBK" w:eastAsia="方正仿宋_GBK"/>
          <w:sz w:val="24"/>
          <w:szCs w:val="24"/>
        </w:rPr>
        <w:t>2.配置与集成服务</w:t>
      </w:r>
    </w:p>
    <w:p w14:paraId="3C485463">
      <w:pPr>
        <w:spacing w:line="360" w:lineRule="exact"/>
        <w:ind w:firstLine="480" w:firstLineChars="200"/>
        <w:rPr>
          <w:rFonts w:hint="eastAsia" w:ascii="方正仿宋_GBK" w:eastAsia="方正仿宋_GBK"/>
          <w:sz w:val="24"/>
          <w:szCs w:val="24"/>
        </w:rPr>
      </w:pPr>
      <w:r>
        <w:rPr>
          <w:rFonts w:hint="eastAsia" w:ascii="方正仿宋_GBK" w:eastAsia="方正仿宋_GBK"/>
          <w:sz w:val="24"/>
          <w:szCs w:val="24"/>
        </w:rPr>
        <w:t>（1）技术对接方案：必须基于采购人现有网络安全设备（包括但不限于：</w:t>
      </w:r>
      <w:bookmarkStart w:id="10" w:name="_Hlk212792608"/>
      <w:r>
        <w:rPr>
          <w:rFonts w:hint="eastAsia" w:ascii="方正仿宋_GBK" w:eastAsia="方正仿宋_GBK"/>
          <w:sz w:val="24"/>
          <w:szCs w:val="24"/>
        </w:rPr>
        <w:t>深信服上网行为能力管理、深信服日志服务器、启明星辰防火墙</w:t>
      </w:r>
      <w:bookmarkEnd w:id="10"/>
      <w:r>
        <w:rPr>
          <w:rFonts w:hint="eastAsia" w:ascii="方正仿宋_GBK" w:eastAsia="方正仿宋_GBK"/>
          <w:sz w:val="24"/>
          <w:szCs w:val="24"/>
        </w:rPr>
        <w:t>），</w:t>
      </w:r>
      <w:r>
        <w:rPr>
          <w:rFonts w:hint="eastAsia" w:ascii="方正仿宋_GBK" w:eastAsia="方正仿宋_GBK"/>
          <w:b/>
          <w:bCs/>
          <w:sz w:val="24"/>
          <w:szCs w:val="24"/>
        </w:rPr>
        <w:t>制定详细的《技术对接方案》</w:t>
      </w:r>
      <w:r>
        <w:rPr>
          <w:rFonts w:hint="eastAsia" w:ascii="方正仿宋_GBK" w:eastAsia="方正仿宋_GBK"/>
          <w:sz w:val="24"/>
          <w:szCs w:val="24"/>
        </w:rPr>
        <w:t>，</w:t>
      </w:r>
      <w:bookmarkStart w:id="11" w:name="_Hlk212792758"/>
      <w:r>
        <w:rPr>
          <w:rFonts w:hint="eastAsia" w:ascii="方正仿宋_GBK" w:eastAsia="方正仿宋_GBK"/>
          <w:sz w:val="24"/>
          <w:szCs w:val="24"/>
        </w:rPr>
        <w:t>确保新购网络设备与原有安全设备无缝对接，实现用户认证、策略联动、日志审计等功能协同，充分发挥整体网络与安全防护能力。</w:t>
      </w:r>
      <w:bookmarkEnd w:id="11"/>
    </w:p>
    <w:p w14:paraId="3DDA26EB">
      <w:pPr>
        <w:spacing w:line="360" w:lineRule="exact"/>
        <w:ind w:firstLine="480" w:firstLineChars="200"/>
        <w:rPr>
          <w:rFonts w:hint="eastAsia" w:ascii="方正仿宋_GBK" w:eastAsia="方正仿宋_GBK"/>
          <w:sz w:val="24"/>
          <w:szCs w:val="24"/>
        </w:rPr>
      </w:pPr>
      <w:r>
        <w:rPr>
          <w:rFonts w:hint="eastAsia" w:ascii="方正仿宋_GBK" w:eastAsia="方正仿宋_GBK"/>
          <w:sz w:val="24"/>
          <w:szCs w:val="24"/>
        </w:rPr>
        <w:t>（2）非法接入管控：配置非法设备接入检测与响应功能。</w:t>
      </w:r>
    </w:p>
    <w:p w14:paraId="7513CDC0">
      <w:pPr>
        <w:spacing w:line="360" w:lineRule="exact"/>
        <w:ind w:firstLine="480" w:firstLineChars="200"/>
        <w:rPr>
          <w:rFonts w:hint="eastAsia" w:ascii="方正仿宋_GBK" w:eastAsia="方正仿宋_GBK"/>
          <w:sz w:val="24"/>
          <w:szCs w:val="24"/>
        </w:rPr>
      </w:pPr>
      <w:r>
        <w:rPr>
          <w:rFonts w:hint="eastAsia" w:ascii="方正仿宋_GBK" w:eastAsia="方正仿宋_GBK"/>
          <w:sz w:val="24"/>
          <w:szCs w:val="24"/>
        </w:rPr>
        <w:t>（3）实时检测与告警：对非法设备接入网络进行实时识别，并提供短信或邮件等多种系统告警功能。</w:t>
      </w:r>
    </w:p>
    <w:p w14:paraId="13C92A6D">
      <w:pPr>
        <w:spacing w:line="360" w:lineRule="exact"/>
        <w:ind w:firstLine="480" w:firstLineChars="200"/>
        <w:rPr>
          <w:rFonts w:hint="eastAsia" w:ascii="方正仿宋_GBK" w:eastAsia="方正仿宋_GBK"/>
          <w:sz w:val="24"/>
          <w:szCs w:val="24"/>
        </w:rPr>
      </w:pPr>
      <w:r>
        <w:rPr>
          <w:rFonts w:hint="eastAsia" w:ascii="方正仿宋_GBK" w:eastAsia="方正仿宋_GBK"/>
          <w:sz w:val="24"/>
          <w:szCs w:val="24"/>
        </w:rPr>
        <w:t>（4）日志记录与定位：详细记录非法设备的MAC地址、接入时间、接入端口等信息，并能够快速定位其物理接入位置。</w:t>
      </w:r>
    </w:p>
    <w:p w14:paraId="2702A848">
      <w:pPr>
        <w:spacing w:line="360" w:lineRule="exact"/>
        <w:ind w:firstLine="480" w:firstLineChars="200"/>
        <w:rPr>
          <w:rFonts w:hint="eastAsia" w:ascii="方正仿宋_GBK" w:eastAsia="方正仿宋_GBK"/>
          <w:sz w:val="24"/>
          <w:szCs w:val="24"/>
        </w:rPr>
      </w:pPr>
      <w:r>
        <w:rPr>
          <w:rFonts w:hint="eastAsia" w:ascii="方正仿宋_GBK" w:eastAsia="方正仿宋_GBK"/>
          <w:sz w:val="24"/>
          <w:szCs w:val="24"/>
        </w:rPr>
        <w:t>（5）用户行为溯源：配置用户入网行为监测与溯源功能，建立完善的监测机制。需实现访问轨迹追踪：能够追踪用户的网络访问轨迹。</w:t>
      </w:r>
    </w:p>
    <w:p w14:paraId="2BFEA8B3">
      <w:pPr>
        <w:spacing w:line="360" w:lineRule="exact"/>
        <w:ind w:firstLine="480" w:firstLineChars="200"/>
        <w:rPr>
          <w:rFonts w:hint="eastAsia" w:ascii="方正仿宋_GBK" w:eastAsia="方正仿宋_GBK"/>
          <w:sz w:val="24"/>
          <w:szCs w:val="24"/>
        </w:rPr>
      </w:pPr>
      <w:r>
        <w:rPr>
          <w:rFonts w:hint="eastAsia" w:ascii="方正仿宋_GBK" w:eastAsia="方正仿宋_GBK"/>
          <w:sz w:val="24"/>
          <w:szCs w:val="24"/>
        </w:rPr>
        <w:t>（6）行为分析：支持基于用户名、IP/MAC地址、时间、接入设备等多维度的历史行为查询与分析。</w:t>
      </w:r>
    </w:p>
    <w:p w14:paraId="3FEBA7E6">
      <w:pPr>
        <w:spacing w:line="360" w:lineRule="exact"/>
        <w:ind w:firstLine="480" w:firstLineChars="200"/>
        <w:rPr>
          <w:rFonts w:hint="eastAsia" w:ascii="方正仿宋_GBK" w:eastAsia="方正仿宋_GBK"/>
          <w:sz w:val="24"/>
          <w:szCs w:val="24"/>
        </w:rPr>
      </w:pPr>
      <w:r>
        <w:rPr>
          <w:rFonts w:hint="eastAsia" w:ascii="方正仿宋_GBK" w:eastAsia="方正仿宋_GBK"/>
          <w:sz w:val="24"/>
          <w:szCs w:val="24"/>
        </w:rPr>
        <w:t>3.IP/VLAN地址规划与管理服务</w:t>
      </w:r>
    </w:p>
    <w:p w14:paraId="4E9506A9">
      <w:pPr>
        <w:spacing w:line="360" w:lineRule="exact"/>
        <w:ind w:firstLine="480" w:firstLineChars="200"/>
        <w:rPr>
          <w:rFonts w:hint="eastAsia" w:ascii="方正仿宋_GBK" w:eastAsia="方正仿宋_GBK"/>
          <w:sz w:val="24"/>
          <w:szCs w:val="24"/>
        </w:rPr>
      </w:pPr>
      <w:r>
        <w:rPr>
          <w:rFonts w:hint="eastAsia" w:ascii="方正仿宋_GBK" w:eastAsia="方正仿宋_GBK"/>
          <w:sz w:val="24"/>
          <w:szCs w:val="24"/>
        </w:rPr>
        <w:t>（1）方案编制：编制科学的《IP地址/VLAN规划方案》，需按照业务功能域和行政分区进行合理的网段划分与VLAN规划。</w:t>
      </w:r>
    </w:p>
    <w:p w14:paraId="462D4EA5">
      <w:pPr>
        <w:spacing w:line="360" w:lineRule="exact"/>
        <w:ind w:firstLine="480" w:firstLineChars="200"/>
        <w:rPr>
          <w:rFonts w:hint="eastAsia" w:ascii="方正仿宋_GBK" w:eastAsia="方正仿宋_GBK"/>
          <w:sz w:val="24"/>
          <w:szCs w:val="24"/>
        </w:rPr>
      </w:pPr>
      <w:r>
        <w:rPr>
          <w:rFonts w:hint="eastAsia" w:ascii="方正仿宋_GBK" w:eastAsia="方正仿宋_GBK"/>
          <w:sz w:val="24"/>
          <w:szCs w:val="24"/>
        </w:rPr>
        <w:t>（2）地址绑定：对核心网络设备、服务器及关键电脑终端实施MAC地址与IP地址的绑定策略，防止地址盗用和滥用。</w:t>
      </w:r>
    </w:p>
    <w:p w14:paraId="532EF432">
      <w:pPr>
        <w:spacing w:line="360" w:lineRule="exact"/>
        <w:ind w:firstLine="480" w:firstLineChars="200"/>
        <w:rPr>
          <w:rFonts w:hint="eastAsia" w:ascii="方正仿宋_GBK" w:eastAsia="方正仿宋_GBK"/>
          <w:sz w:val="24"/>
          <w:szCs w:val="24"/>
        </w:rPr>
      </w:pPr>
      <w:r>
        <w:rPr>
          <w:rFonts w:hint="eastAsia" w:ascii="方正仿宋_GBK" w:eastAsia="方正仿宋_GBK"/>
          <w:sz w:val="24"/>
          <w:szCs w:val="24"/>
        </w:rPr>
        <w:t>（3）地址管理：建立并交付完整的《IP地址管理表》，表格内容需包含：IP地址、MAC地址、设备类型、使用人/部门、责任人、物理位置等关键信息。</w:t>
      </w:r>
    </w:p>
    <w:p w14:paraId="4B5AFD5A">
      <w:pPr>
        <w:spacing w:line="360" w:lineRule="exact"/>
        <w:ind w:firstLine="480" w:firstLineChars="200"/>
        <w:rPr>
          <w:rFonts w:hint="eastAsia" w:ascii="方正仿宋_GBK" w:eastAsia="方正仿宋_GBK"/>
          <w:sz w:val="24"/>
          <w:szCs w:val="24"/>
        </w:rPr>
      </w:pPr>
      <w:r>
        <w:rPr>
          <w:rFonts w:hint="eastAsia" w:ascii="方正仿宋_GBK" w:eastAsia="方正仿宋_GBK"/>
          <w:sz w:val="24"/>
          <w:szCs w:val="24"/>
        </w:rPr>
        <w:t>（4）管理规范：提供《IP地址/VLAN管理规范》文档，指导采购人后续的地址分配、变更和维护工作。</w:t>
      </w:r>
    </w:p>
    <w:p w14:paraId="770398B0">
      <w:pPr>
        <w:spacing w:line="360" w:lineRule="exact"/>
        <w:ind w:firstLine="480" w:firstLineChars="200"/>
        <w:rPr>
          <w:rFonts w:hint="eastAsia" w:ascii="方正仿宋_GBK" w:eastAsia="方正仿宋_GBK"/>
          <w:sz w:val="24"/>
          <w:szCs w:val="24"/>
        </w:rPr>
      </w:pPr>
      <w:r>
        <w:rPr>
          <w:rFonts w:hint="eastAsia" w:ascii="方正仿宋_GBK" w:eastAsia="方正仿宋_GBK"/>
          <w:sz w:val="24"/>
          <w:szCs w:val="24"/>
        </w:rPr>
        <w:t>4.线路整理与标识服务</w:t>
      </w:r>
    </w:p>
    <w:p w14:paraId="60059358">
      <w:pPr>
        <w:spacing w:line="360" w:lineRule="exact"/>
        <w:ind w:firstLine="480" w:firstLineChars="200"/>
        <w:rPr>
          <w:rFonts w:hint="eastAsia" w:ascii="方正仿宋_GBK" w:eastAsia="方正仿宋_GBK"/>
          <w:sz w:val="24"/>
          <w:szCs w:val="24"/>
        </w:rPr>
      </w:pPr>
      <w:r>
        <w:rPr>
          <w:rFonts w:hint="eastAsia" w:ascii="方正仿宋_GBK" w:eastAsia="方正仿宋_GBK"/>
          <w:sz w:val="24"/>
          <w:szCs w:val="24"/>
        </w:rPr>
        <w:t>（1）线路清理：对机房及弱电井内的冗余、废弃线缆、配件进行规范拆除和清理。</w:t>
      </w:r>
    </w:p>
    <w:p w14:paraId="50F2771A">
      <w:pPr>
        <w:spacing w:line="360" w:lineRule="exact"/>
        <w:ind w:firstLine="480" w:firstLineChars="200"/>
        <w:rPr>
          <w:rFonts w:hint="eastAsia" w:ascii="方正仿宋_GBK" w:eastAsia="方正仿宋_GBK"/>
          <w:sz w:val="24"/>
          <w:szCs w:val="24"/>
        </w:rPr>
      </w:pPr>
      <w:r>
        <w:rPr>
          <w:rFonts w:hint="eastAsia" w:ascii="方正仿宋_GBK" w:eastAsia="方正仿宋_GBK"/>
          <w:sz w:val="24"/>
          <w:szCs w:val="24"/>
        </w:rPr>
        <w:t>（2）线路整理：对现有及新敷设的所有线缆进行分类、整理、绑扎和固定，做到美观、有序、利于散热和维护。</w:t>
      </w:r>
    </w:p>
    <w:p w14:paraId="16B278AE">
      <w:pPr>
        <w:spacing w:line="360" w:lineRule="exact"/>
        <w:ind w:firstLine="480" w:firstLineChars="200"/>
        <w:rPr>
          <w:rFonts w:hint="eastAsia" w:ascii="方正仿宋_GBK" w:eastAsia="方正仿宋_GBK"/>
          <w:sz w:val="24"/>
          <w:szCs w:val="24"/>
        </w:rPr>
      </w:pPr>
      <w:r>
        <w:rPr>
          <w:rFonts w:hint="eastAsia" w:ascii="方正仿宋_GBK" w:eastAsia="方正仿宋_GBK"/>
          <w:sz w:val="24"/>
          <w:szCs w:val="24"/>
        </w:rPr>
        <w:t>（3）规范标识：所有新敷设线缆均需使用防水、耐磨、耐高温的专用标识牌或标签进行标识。标识内容必须清晰、永久，至少包含：源设备/机柜、源端口号、目标设备/机柜、目标端口号、业务类型（如“核心交换机-至-接入交换机-业务VLAN”）。</w:t>
      </w:r>
    </w:p>
    <w:p w14:paraId="57CC6727">
      <w:pPr>
        <w:spacing w:line="360" w:lineRule="exact"/>
        <w:ind w:firstLine="480" w:firstLineChars="200"/>
        <w:rPr>
          <w:rFonts w:hint="eastAsia" w:ascii="方正仿宋_GBK" w:eastAsia="方正仿宋_GBK"/>
          <w:sz w:val="24"/>
          <w:szCs w:val="24"/>
        </w:rPr>
      </w:pPr>
      <w:r>
        <w:rPr>
          <w:rFonts w:hint="eastAsia" w:ascii="方正仿宋_GBK" w:eastAsia="方正仿宋_GBK"/>
          <w:sz w:val="24"/>
          <w:szCs w:val="24"/>
        </w:rPr>
        <w:t>（4）交付文档：交付《机房线路逻辑拓扑图》与《线缆标识规范》文档。</w:t>
      </w:r>
    </w:p>
    <w:p w14:paraId="699792B4">
      <w:pPr>
        <w:spacing w:line="360" w:lineRule="exact"/>
        <w:ind w:firstLine="480" w:firstLineChars="200"/>
        <w:rPr>
          <w:rFonts w:hint="eastAsia" w:ascii="方正仿宋_GBK" w:eastAsia="方正仿宋_GBK"/>
          <w:sz w:val="24"/>
          <w:szCs w:val="24"/>
        </w:rPr>
      </w:pPr>
      <w:r>
        <w:rPr>
          <w:rFonts w:hint="eastAsia" w:ascii="方正仿宋_GBK" w:eastAsia="方正仿宋_GBK"/>
          <w:sz w:val="24"/>
          <w:szCs w:val="24"/>
        </w:rPr>
        <w:t>5.其他配套服务</w:t>
      </w:r>
    </w:p>
    <w:p w14:paraId="76E3FBF2">
      <w:pPr>
        <w:spacing w:line="360" w:lineRule="exact"/>
        <w:ind w:firstLine="480" w:firstLineChars="200"/>
        <w:rPr>
          <w:rFonts w:hint="eastAsia" w:ascii="方正仿宋_GBK" w:eastAsia="方正仿宋_GBK"/>
          <w:sz w:val="24"/>
          <w:szCs w:val="24"/>
        </w:rPr>
      </w:pPr>
      <w:r>
        <w:rPr>
          <w:rFonts w:hint="eastAsia" w:ascii="方正仿宋_GBK" w:eastAsia="方正仿宋_GBK"/>
          <w:sz w:val="24"/>
          <w:szCs w:val="24"/>
        </w:rPr>
        <w:t>（1）调试与测试：完成所有设备的单机调试、系统联调及功能与性能测试，并提交《验收测试报告》。</w:t>
      </w:r>
    </w:p>
    <w:p w14:paraId="23457D15">
      <w:pPr>
        <w:spacing w:line="360" w:lineRule="exact"/>
        <w:ind w:firstLine="480" w:firstLineChars="200"/>
        <w:rPr>
          <w:rFonts w:hint="eastAsia" w:ascii="方正仿宋_GBK" w:eastAsia="方正仿宋_GBK"/>
          <w:sz w:val="24"/>
          <w:szCs w:val="24"/>
        </w:rPr>
      </w:pPr>
      <w:r>
        <w:rPr>
          <w:rFonts w:hint="eastAsia" w:ascii="方正仿宋_GBK" w:eastAsia="方正仿宋_GBK"/>
          <w:sz w:val="24"/>
          <w:szCs w:val="24"/>
        </w:rPr>
        <w:t>（2）技术培训：为采购人运维团队提供不少于8课时的现场技术培训，内容应涵盖设备操作、日常维护及故障排查。并提供全套中文版《操作手册》、《配置手册》等技术文档。</w:t>
      </w:r>
    </w:p>
    <w:p w14:paraId="3BDC665F">
      <w:pPr>
        <w:spacing w:line="360" w:lineRule="exact"/>
        <w:ind w:firstLine="480" w:firstLineChars="200"/>
        <w:rPr>
          <w:rFonts w:hint="eastAsia" w:ascii="方正仿宋_GBK" w:eastAsia="方正仿宋_GBK"/>
          <w:sz w:val="24"/>
          <w:szCs w:val="24"/>
        </w:rPr>
      </w:pPr>
      <w:r>
        <w:rPr>
          <w:rFonts w:hint="eastAsia" w:ascii="方正仿宋_GBK" w:eastAsia="方正仿宋_GBK"/>
          <w:sz w:val="24"/>
          <w:szCs w:val="24"/>
        </w:rPr>
        <w:t>（3）旧设备处置：负责原有旧网络设备的规范下电、拆除、清点，并按采购人要求进行处置（报废或存放），整个过程需确保安全、环保。</w:t>
      </w:r>
    </w:p>
    <w:p w14:paraId="115018E4">
      <w:pPr>
        <w:spacing w:line="360" w:lineRule="exact"/>
        <w:ind w:firstLine="480" w:firstLineChars="200"/>
        <w:rPr>
          <w:rFonts w:hint="eastAsia" w:ascii="方正仿宋_GBK" w:eastAsia="方正仿宋_GBK"/>
          <w:sz w:val="24"/>
          <w:szCs w:val="24"/>
        </w:rPr>
      </w:pPr>
      <w:r>
        <w:rPr>
          <w:rFonts w:hint="eastAsia" w:ascii="方正仿宋_GBK" w:eastAsia="方正仿宋_GBK"/>
          <w:sz w:val="24"/>
          <w:szCs w:val="24"/>
        </w:rPr>
        <w:t>6.交付物要求</w:t>
      </w:r>
    </w:p>
    <w:p w14:paraId="48D79627">
      <w:pPr>
        <w:spacing w:line="360" w:lineRule="exact"/>
        <w:ind w:firstLine="480" w:firstLineChars="200"/>
        <w:rPr>
          <w:rFonts w:hint="eastAsia" w:ascii="方正仿宋_GBK" w:eastAsia="方正仿宋_GBK"/>
          <w:sz w:val="24"/>
          <w:szCs w:val="24"/>
        </w:rPr>
      </w:pPr>
      <w:r>
        <w:rPr>
          <w:rFonts w:hint="eastAsia" w:ascii="方正仿宋_GBK" w:eastAsia="方正仿宋_GBK"/>
          <w:sz w:val="24"/>
          <w:szCs w:val="24"/>
        </w:rPr>
        <w:t>供应商在项目验收时必须提交以下交付物（均需为中文电子版及打印盖章版）：</w:t>
      </w:r>
    </w:p>
    <w:p w14:paraId="7EB65255">
      <w:pPr>
        <w:spacing w:line="360" w:lineRule="exact"/>
        <w:ind w:firstLine="480" w:firstLineChars="200"/>
        <w:rPr>
          <w:rFonts w:hint="eastAsia" w:ascii="方正仿宋_GBK" w:eastAsia="方正仿宋_GBK"/>
          <w:sz w:val="24"/>
          <w:szCs w:val="24"/>
        </w:rPr>
      </w:pPr>
      <w:r>
        <w:rPr>
          <w:rFonts w:hint="eastAsia" w:ascii="方正仿宋_GBK" w:eastAsia="方正仿宋_GBK"/>
          <w:sz w:val="24"/>
          <w:szCs w:val="24"/>
        </w:rPr>
        <w:t>《全网总体规划与分阶段实施方案》（需体现与第二阶段的衔接）</w:t>
      </w:r>
    </w:p>
    <w:p w14:paraId="33817AB8">
      <w:pPr>
        <w:spacing w:line="360" w:lineRule="exact"/>
        <w:ind w:firstLine="480" w:firstLineChars="200"/>
        <w:rPr>
          <w:rFonts w:hint="eastAsia" w:ascii="方正仿宋_GBK" w:eastAsia="方正仿宋_GBK"/>
          <w:sz w:val="24"/>
          <w:szCs w:val="24"/>
        </w:rPr>
      </w:pPr>
      <w:r>
        <w:rPr>
          <w:rFonts w:hint="eastAsia" w:ascii="方正仿宋_GBK" w:eastAsia="方正仿宋_GBK"/>
          <w:sz w:val="24"/>
          <w:szCs w:val="24"/>
        </w:rPr>
        <w:t>《项目实施文档》（含进度、记录等）</w:t>
      </w:r>
    </w:p>
    <w:p w14:paraId="094DB7CB">
      <w:pPr>
        <w:spacing w:line="360" w:lineRule="exact"/>
        <w:ind w:firstLine="480" w:firstLineChars="200"/>
        <w:rPr>
          <w:rFonts w:hint="eastAsia" w:ascii="方正仿宋_GBK" w:eastAsia="方正仿宋_GBK"/>
          <w:sz w:val="24"/>
          <w:szCs w:val="24"/>
        </w:rPr>
      </w:pPr>
      <w:r>
        <w:rPr>
          <w:rFonts w:hint="eastAsia" w:ascii="方正仿宋_GBK" w:eastAsia="方正仿宋_GBK"/>
          <w:sz w:val="24"/>
          <w:szCs w:val="24"/>
        </w:rPr>
        <w:t>《设备配置文档》与《网络拓扑图》</w:t>
      </w:r>
    </w:p>
    <w:p w14:paraId="05909D26">
      <w:pPr>
        <w:spacing w:line="360" w:lineRule="exact"/>
        <w:ind w:firstLine="480" w:firstLineChars="200"/>
        <w:rPr>
          <w:rFonts w:hint="eastAsia" w:ascii="方正仿宋_GBK" w:eastAsia="方正仿宋_GBK"/>
          <w:sz w:val="24"/>
          <w:szCs w:val="24"/>
        </w:rPr>
      </w:pPr>
      <w:r>
        <w:rPr>
          <w:rFonts w:hint="eastAsia" w:ascii="方正仿宋_GBK" w:eastAsia="方正仿宋_GBK"/>
          <w:sz w:val="24"/>
          <w:szCs w:val="24"/>
        </w:rPr>
        <w:t>《IP地址/VLAN规划方案》、《IP地址管理表》及《管理规范》</w:t>
      </w:r>
    </w:p>
    <w:p w14:paraId="17E96957">
      <w:pPr>
        <w:spacing w:line="360" w:lineRule="exact"/>
        <w:ind w:firstLine="480" w:firstLineChars="200"/>
        <w:rPr>
          <w:rFonts w:hint="eastAsia" w:ascii="方正仿宋_GBK" w:eastAsia="方正仿宋_GBK"/>
          <w:sz w:val="24"/>
          <w:szCs w:val="24"/>
        </w:rPr>
      </w:pPr>
      <w:r>
        <w:rPr>
          <w:rFonts w:hint="eastAsia" w:ascii="方正仿宋_GBK" w:eastAsia="方正仿宋_GBK"/>
          <w:sz w:val="24"/>
          <w:szCs w:val="24"/>
        </w:rPr>
        <w:t>《机房线路拓扑图》与《标识规范》</w:t>
      </w:r>
    </w:p>
    <w:p w14:paraId="707ADA5C">
      <w:pPr>
        <w:spacing w:line="360" w:lineRule="exact"/>
        <w:ind w:firstLine="480" w:firstLineChars="200"/>
        <w:rPr>
          <w:rFonts w:hint="eastAsia" w:ascii="方正仿宋_GBK" w:eastAsia="方正仿宋_GBK"/>
          <w:sz w:val="24"/>
          <w:szCs w:val="24"/>
        </w:rPr>
      </w:pPr>
      <w:r>
        <w:rPr>
          <w:rFonts w:hint="eastAsia" w:ascii="方正仿宋_GBK" w:eastAsia="方正仿宋_GBK"/>
          <w:sz w:val="24"/>
          <w:szCs w:val="24"/>
        </w:rPr>
        <w:t>《培训材料》与《操作手册》</w:t>
      </w:r>
    </w:p>
    <w:p w14:paraId="3417FE9F">
      <w:pPr>
        <w:spacing w:line="360" w:lineRule="exact"/>
        <w:ind w:firstLine="480" w:firstLineChars="200"/>
        <w:rPr>
          <w:rFonts w:hint="eastAsia" w:ascii="方正仿宋_GBK" w:eastAsia="方正仿宋_GBK"/>
          <w:sz w:val="24"/>
          <w:szCs w:val="24"/>
        </w:rPr>
      </w:pPr>
      <w:r>
        <w:rPr>
          <w:rFonts w:hint="eastAsia" w:ascii="方正仿宋_GBK" w:eastAsia="方正仿宋_GBK"/>
          <w:sz w:val="24"/>
          <w:szCs w:val="24"/>
        </w:rPr>
        <w:t>《验收测试报告》</w:t>
      </w:r>
    </w:p>
    <w:p w14:paraId="178FF5B4">
      <w:pPr>
        <w:spacing w:line="360" w:lineRule="exact"/>
        <w:ind w:firstLine="480" w:firstLineChars="200"/>
        <w:rPr>
          <w:rFonts w:hint="eastAsia" w:ascii="方正仿宋_GBK" w:eastAsia="方正仿宋_GBK"/>
          <w:sz w:val="24"/>
          <w:szCs w:val="24"/>
        </w:rPr>
      </w:pPr>
      <w:r>
        <w:rPr>
          <w:rFonts w:hint="eastAsia" w:ascii="方正仿宋_GBK" w:eastAsia="方正仿宋_GBK"/>
          <w:sz w:val="24"/>
          <w:szCs w:val="24"/>
        </w:rPr>
        <w:t>《售后服务承诺书》</w:t>
      </w:r>
    </w:p>
    <w:p w14:paraId="08D1A900">
      <w:pPr>
        <w:spacing w:line="320" w:lineRule="exact"/>
        <w:ind w:firstLine="482" w:firstLineChars="200"/>
        <w:rPr>
          <w:rFonts w:hint="eastAsia" w:ascii="方正仿宋_GBK" w:eastAsia="方正仿宋_GBK"/>
          <w:b/>
          <w:bCs/>
          <w:sz w:val="24"/>
          <w:szCs w:val="24"/>
        </w:rPr>
      </w:pPr>
      <w:r>
        <w:rPr>
          <w:rFonts w:hint="eastAsia" w:ascii="方正仿宋_GBK" w:eastAsia="方正仿宋_GBK"/>
          <w:b/>
          <w:bCs/>
          <w:sz w:val="24"/>
          <w:szCs w:val="24"/>
        </w:rPr>
        <w:t>（四）其他要求</w:t>
      </w:r>
    </w:p>
    <w:p w14:paraId="2C15F69C">
      <w:pPr>
        <w:spacing w:line="360" w:lineRule="exact"/>
        <w:ind w:firstLine="480" w:firstLineChars="200"/>
        <w:rPr>
          <w:rFonts w:hint="eastAsia" w:ascii="方正仿宋_GBK" w:eastAsia="方正仿宋_GBK"/>
          <w:sz w:val="24"/>
          <w:szCs w:val="24"/>
        </w:rPr>
      </w:pPr>
      <w:r>
        <w:rPr>
          <w:rFonts w:hint="eastAsia" w:ascii="方正仿宋_GBK" w:eastAsia="方正仿宋_GBK"/>
          <w:sz w:val="24"/>
          <w:szCs w:val="24"/>
        </w:rPr>
        <w:t>1.正品要求。</w:t>
      </w:r>
      <w:r>
        <w:rPr>
          <w:rFonts w:hint="eastAsia" w:ascii="方正仿宋_GBK" w:eastAsia="方正仿宋_GBK"/>
          <w:b/>
          <w:bCs/>
          <w:sz w:val="24"/>
          <w:szCs w:val="24"/>
        </w:rPr>
        <w:t>供应商须</w:t>
      </w:r>
      <w:r>
        <w:rPr>
          <w:rFonts w:hint="eastAsia" w:ascii="方正仿宋_GBK" w:eastAsia="方正仿宋_GBK"/>
          <w:b/>
          <w:bCs/>
          <w:sz w:val="24"/>
          <w:szCs w:val="24"/>
          <w:u w:val="single"/>
        </w:rPr>
        <w:t>承诺</w:t>
      </w:r>
      <w:r>
        <w:rPr>
          <w:rFonts w:hint="eastAsia" w:ascii="方正仿宋_GBK" w:eastAsia="方正仿宋_GBK"/>
          <w:b/>
          <w:bCs/>
          <w:sz w:val="24"/>
          <w:szCs w:val="24"/>
        </w:rPr>
        <w:t>所提供的所有产品均为全新、未使用过的原装正品，并通过正规渠道采购。</w:t>
      </w:r>
      <w:r>
        <w:rPr>
          <w:rFonts w:hint="eastAsia" w:ascii="方正仿宋_GBK" w:eastAsia="方正仿宋_GBK"/>
          <w:sz w:val="24"/>
          <w:szCs w:val="24"/>
        </w:rPr>
        <w:t>严禁提供二手、翻新、假冒、水货、库存产品。如经查验发现产品不符合上述要求，采购人有权拒收货物、拒付货款，并追究供应商的违约责任。查验费用由供应商承担。</w:t>
      </w:r>
    </w:p>
    <w:p w14:paraId="35D2EA7D">
      <w:pPr>
        <w:spacing w:line="360" w:lineRule="exact"/>
        <w:ind w:firstLine="480" w:firstLineChars="200"/>
        <w:rPr>
          <w:rFonts w:hint="eastAsia" w:ascii="方正仿宋_GBK" w:eastAsia="方正仿宋_GBK"/>
          <w:sz w:val="24"/>
          <w:szCs w:val="24"/>
        </w:rPr>
      </w:pPr>
      <w:r>
        <w:rPr>
          <w:rFonts w:hint="eastAsia" w:ascii="方正仿宋_GBK" w:eastAsia="方正仿宋_GBK"/>
          <w:sz w:val="24"/>
          <w:szCs w:val="24"/>
        </w:rPr>
        <w:t>2.项目实施要求</w:t>
      </w:r>
    </w:p>
    <w:p w14:paraId="777A7E12">
      <w:pPr>
        <w:spacing w:line="360" w:lineRule="exact"/>
        <w:ind w:firstLine="480" w:firstLineChars="200"/>
        <w:rPr>
          <w:rFonts w:hint="eastAsia" w:ascii="方正仿宋_GBK" w:eastAsia="方正仿宋_GBK"/>
          <w:sz w:val="24"/>
          <w:szCs w:val="24"/>
        </w:rPr>
      </w:pPr>
      <w:r>
        <w:rPr>
          <w:rFonts w:hint="eastAsia" w:ascii="方正仿宋_GBK" w:eastAsia="方正仿宋_GBK"/>
          <w:sz w:val="24"/>
          <w:szCs w:val="24"/>
        </w:rPr>
        <w:t>（1）交货与实施期：合同签订后20个工作日内，完成所有设备的到货、安装、配置及初步调试。</w:t>
      </w:r>
    </w:p>
    <w:p w14:paraId="31436F60">
      <w:pPr>
        <w:spacing w:line="360" w:lineRule="exact"/>
        <w:ind w:firstLine="480" w:firstLineChars="200"/>
        <w:rPr>
          <w:rFonts w:hint="eastAsia" w:ascii="方正仿宋_GBK" w:eastAsia="方正仿宋_GBK"/>
          <w:sz w:val="24"/>
          <w:szCs w:val="24"/>
        </w:rPr>
      </w:pPr>
      <w:r>
        <w:rPr>
          <w:rFonts w:hint="eastAsia" w:ascii="方正仿宋_GBK" w:eastAsia="方正仿宋_GBK"/>
          <w:sz w:val="24"/>
          <w:szCs w:val="24"/>
        </w:rPr>
        <w:t>（2）现场踏勘：本项目不统一组织现场踏勘。供应商应在</w:t>
      </w:r>
      <w:r>
        <w:rPr>
          <w:rFonts w:hint="eastAsia" w:ascii="方正仿宋_GBK" w:eastAsia="方正仿宋_GBK"/>
          <w:sz w:val="24"/>
          <w:szCs w:val="24"/>
          <w:lang w:eastAsia="zh-CN"/>
        </w:rPr>
        <w:t>递交响应文件</w:t>
      </w:r>
      <w:r>
        <w:rPr>
          <w:rFonts w:hint="eastAsia" w:ascii="方正仿宋_GBK" w:eastAsia="方正仿宋_GBK"/>
          <w:sz w:val="24"/>
          <w:szCs w:val="24"/>
        </w:rPr>
        <w:t>前自行前往项目现场，详细了解现有设备配置、线路情况、机房环境等一切影响方案编制和报价的因素。无论供应商是否踏勘，</w:t>
      </w:r>
      <w:r>
        <w:rPr>
          <w:rFonts w:hint="eastAsia" w:ascii="方正仿宋_GBK" w:eastAsia="方正仿宋_GBK"/>
          <w:sz w:val="24"/>
          <w:szCs w:val="24"/>
          <w:lang w:eastAsia="zh-CN"/>
        </w:rPr>
        <w:t>均</w:t>
      </w:r>
      <w:r>
        <w:rPr>
          <w:rFonts w:hint="eastAsia" w:ascii="方正仿宋_GBK" w:eastAsia="方正仿宋_GBK"/>
          <w:sz w:val="24"/>
          <w:szCs w:val="24"/>
        </w:rPr>
        <w:t>视为已充分了解并认可项目全部情况，踏勘费用及安全责任自负。</w:t>
      </w:r>
    </w:p>
    <w:p w14:paraId="4758AB76">
      <w:pPr>
        <w:spacing w:line="360" w:lineRule="exact"/>
        <w:ind w:firstLine="480" w:firstLineChars="200"/>
        <w:rPr>
          <w:rFonts w:hint="eastAsia" w:ascii="方正仿宋_GBK" w:eastAsia="方正仿宋_GBK"/>
          <w:sz w:val="24"/>
          <w:szCs w:val="24"/>
        </w:rPr>
      </w:pPr>
      <w:r>
        <w:rPr>
          <w:rFonts w:hint="eastAsia" w:ascii="方正仿宋_GBK" w:eastAsia="方正仿宋_GBK"/>
          <w:sz w:val="24"/>
          <w:szCs w:val="24"/>
        </w:rPr>
        <w:t>3.售后服务要求</w:t>
      </w:r>
    </w:p>
    <w:p w14:paraId="2FB6B1C0">
      <w:pPr>
        <w:spacing w:line="360" w:lineRule="exact"/>
        <w:ind w:firstLine="480" w:firstLineChars="200"/>
        <w:rPr>
          <w:rFonts w:hint="eastAsia" w:ascii="方正仿宋_GBK" w:eastAsia="方正仿宋_GBK"/>
          <w:sz w:val="24"/>
          <w:szCs w:val="24"/>
        </w:rPr>
      </w:pPr>
      <w:r>
        <w:rPr>
          <w:rFonts w:hint="eastAsia" w:ascii="方正仿宋_GBK" w:eastAsia="方正仿宋_GBK"/>
          <w:sz w:val="24"/>
          <w:szCs w:val="24"/>
        </w:rPr>
        <w:t>（1）本次</w:t>
      </w:r>
      <w:r>
        <w:rPr>
          <w:rFonts w:hint="eastAsia" w:ascii="方正仿宋_GBK" w:eastAsia="方正仿宋_GBK"/>
          <w:sz w:val="24"/>
          <w:szCs w:val="24"/>
          <w:lang w:eastAsia="zh-CN"/>
        </w:rPr>
        <w:t>采购</w:t>
      </w:r>
      <w:r>
        <w:rPr>
          <w:rFonts w:hint="eastAsia" w:ascii="方正仿宋_GBK" w:eastAsia="方正仿宋_GBK"/>
          <w:sz w:val="24"/>
          <w:szCs w:val="24"/>
        </w:rPr>
        <w:t>的所有交换机设备，须提供</w:t>
      </w:r>
      <w:r>
        <w:rPr>
          <w:rFonts w:hint="eastAsia" w:ascii="方正仿宋_GBK" w:eastAsia="方正仿宋_GBK"/>
          <w:b/>
          <w:bCs/>
          <w:sz w:val="24"/>
          <w:szCs w:val="24"/>
        </w:rPr>
        <w:t>三年原厂免费质保</w:t>
      </w:r>
      <w:r>
        <w:rPr>
          <w:rFonts w:hint="eastAsia" w:ascii="方正仿宋_GBK" w:eastAsia="方正仿宋_GBK"/>
          <w:sz w:val="24"/>
          <w:szCs w:val="24"/>
        </w:rPr>
        <w:t>。</w:t>
      </w:r>
    </w:p>
    <w:p w14:paraId="0ECDE21A">
      <w:pPr>
        <w:spacing w:line="360" w:lineRule="exact"/>
        <w:ind w:firstLine="480" w:firstLineChars="200"/>
        <w:rPr>
          <w:rFonts w:hint="eastAsia" w:ascii="方正仿宋_GBK" w:eastAsia="方正仿宋_GBK"/>
          <w:sz w:val="24"/>
          <w:szCs w:val="24"/>
        </w:rPr>
      </w:pPr>
      <w:r>
        <w:rPr>
          <w:rFonts w:hint="eastAsia" w:ascii="方正仿宋_GBK" w:eastAsia="方正仿宋_GBK"/>
          <w:sz w:val="24"/>
          <w:szCs w:val="24"/>
        </w:rPr>
        <w:t>（2）质保期内提供 7×24小时 技术支持服务，出现硬件故障时，需提供故障部件更换及免费上门维修服务。</w:t>
      </w:r>
    </w:p>
    <w:p w14:paraId="4BA74A20">
      <w:pPr>
        <w:spacing w:line="360" w:lineRule="exact"/>
        <w:ind w:firstLine="480" w:firstLineChars="200"/>
        <w:rPr>
          <w:rFonts w:hint="eastAsia" w:ascii="方正仿宋_GBK" w:eastAsia="方正仿宋_GBK"/>
          <w:sz w:val="24"/>
          <w:szCs w:val="24"/>
        </w:rPr>
      </w:pPr>
      <w:r>
        <w:rPr>
          <w:rFonts w:hint="eastAsia" w:ascii="方正仿宋_GBK" w:eastAsia="方正仿宋_GBK"/>
          <w:sz w:val="24"/>
          <w:szCs w:val="24"/>
        </w:rPr>
        <w:t>（3）</w:t>
      </w:r>
      <w:r>
        <w:rPr>
          <w:rFonts w:hint="eastAsia" w:ascii="方正仿宋_GBK" w:eastAsia="方正仿宋_GBK"/>
          <w:sz w:val="24"/>
          <w:szCs w:val="24"/>
          <w:lang w:eastAsia="zh-CN"/>
        </w:rPr>
        <w:t>供应商</w:t>
      </w:r>
      <w:r>
        <w:rPr>
          <w:rFonts w:hint="eastAsia" w:ascii="方正仿宋_GBK" w:eastAsia="方正仿宋_GBK"/>
          <w:b/>
          <w:bCs/>
          <w:sz w:val="24"/>
          <w:szCs w:val="24"/>
        </w:rPr>
        <w:t>需在签订合同前提供加盖原厂公章的《售后服务承诺函》。</w:t>
      </w:r>
    </w:p>
    <w:p w14:paraId="071AC2A5">
      <w:pPr>
        <w:spacing w:line="320" w:lineRule="exact"/>
        <w:rPr>
          <w:rFonts w:ascii="方正仿宋_GBK" w:eastAsia="方正仿宋_GBK"/>
          <w:sz w:val="32"/>
          <w:szCs w:val="32"/>
        </w:rPr>
      </w:pPr>
    </w:p>
    <w:p w14:paraId="34314751">
      <w:pPr>
        <w:pStyle w:val="2"/>
        <w:rPr>
          <w:rFonts w:ascii="方正仿宋_GBK" w:eastAsia="方正仿宋_GBK"/>
          <w:sz w:val="32"/>
          <w:szCs w:val="32"/>
        </w:rPr>
      </w:pPr>
    </w:p>
    <w:p w14:paraId="2F12B174">
      <w:pPr>
        <w:pStyle w:val="2"/>
        <w:rPr>
          <w:rFonts w:ascii="方正仿宋_GBK" w:eastAsia="方正仿宋_GBK"/>
          <w:sz w:val="32"/>
          <w:szCs w:val="32"/>
        </w:rPr>
      </w:pPr>
    </w:p>
    <w:p w14:paraId="5D37C799">
      <w:pPr>
        <w:pStyle w:val="2"/>
        <w:rPr>
          <w:rFonts w:ascii="方正仿宋_GBK" w:eastAsia="方正仿宋_GBK"/>
          <w:sz w:val="32"/>
          <w:szCs w:val="32"/>
        </w:rPr>
      </w:pPr>
    </w:p>
    <w:p w14:paraId="79FDEDFF">
      <w:pPr>
        <w:pStyle w:val="3"/>
        <w:pageBreakBefore/>
        <w:spacing w:before="0" w:after="0" w:line="360" w:lineRule="auto"/>
        <w:jc w:val="center"/>
        <w:rPr>
          <w:rFonts w:hint="eastAsia" w:ascii="方正小标宋_GBK" w:hAnsi="宋体" w:eastAsia="方正小标宋_GBK"/>
          <w:b w:val="0"/>
          <w:sz w:val="36"/>
          <w:szCs w:val="30"/>
        </w:rPr>
      </w:pPr>
      <w:bookmarkStart w:id="12" w:name="_Toc20560"/>
      <w:bookmarkStart w:id="13" w:name="_Toc106030887"/>
      <w:bookmarkStart w:id="14" w:name="_Toc31707"/>
      <w:bookmarkStart w:id="15" w:name="_Toc76462332"/>
      <w:r>
        <w:rPr>
          <w:rFonts w:hint="eastAsia" w:ascii="方正小标宋_GBK" w:hAnsi="宋体" w:eastAsia="方正小标宋_GBK"/>
          <w:b w:val="0"/>
          <w:sz w:val="36"/>
          <w:szCs w:val="30"/>
        </w:rPr>
        <w:t>第四篇  磋商程序及方法、评审标准、无效响应和</w:t>
      </w:r>
      <w:r>
        <w:rPr>
          <w:rFonts w:hint="eastAsia" w:ascii="方正小标宋_GBK" w:eastAsia="方正小标宋_GBK"/>
          <w:b w:val="0"/>
          <w:sz w:val="36"/>
          <w:szCs w:val="36"/>
        </w:rPr>
        <w:t>采购终止</w:t>
      </w:r>
      <w:bookmarkEnd w:id="12"/>
      <w:bookmarkEnd w:id="13"/>
      <w:bookmarkEnd w:id="14"/>
      <w:bookmarkEnd w:id="15"/>
    </w:p>
    <w:p w14:paraId="3CF34FE6">
      <w:pPr>
        <w:pStyle w:val="3"/>
        <w:adjustRightInd w:val="0"/>
        <w:snapToGrid w:val="0"/>
        <w:spacing w:before="0" w:after="0" w:line="400" w:lineRule="exact"/>
        <w:ind w:firstLine="482" w:firstLineChars="200"/>
        <w:rPr>
          <w:rFonts w:hint="eastAsia" w:ascii="方正仿宋_GBK" w:hAnsi="宋体" w:eastAsia="方正仿宋_GBK"/>
          <w:sz w:val="24"/>
        </w:rPr>
      </w:pPr>
      <w:bookmarkStart w:id="16" w:name="_Toc7787"/>
      <w:bookmarkStart w:id="17" w:name="_Toc76462333"/>
      <w:bookmarkStart w:id="18" w:name="_Toc106030888"/>
      <w:bookmarkStart w:id="19" w:name="_Toc18321"/>
      <w:r>
        <w:rPr>
          <w:rFonts w:hint="eastAsia" w:ascii="方正仿宋_GBK" w:hAnsi="宋体" w:eastAsia="方正仿宋_GBK"/>
          <w:sz w:val="24"/>
        </w:rPr>
        <w:t>一、磋商程序及方法</w:t>
      </w:r>
      <w:bookmarkEnd w:id="16"/>
      <w:bookmarkEnd w:id="17"/>
      <w:bookmarkEnd w:id="18"/>
      <w:bookmarkEnd w:id="19"/>
    </w:p>
    <w:p w14:paraId="05D39424">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磋商按竞争性磋商文件规定的时间和地点进行，供应商须有法定代表人（或其授权代表）或自然人参加并签到。竞争性磋商以抽签的形式确定磋商顺序，由本项目依法组建的竞争性磋商小组（以下简称磋商小组）分别与各供应商进行磋商。</w:t>
      </w:r>
    </w:p>
    <w:p w14:paraId="617C27E5">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（二）磋商小组对各供应商的资格条件、响应文件的有效性、完整性和响应程度进行审查。各供应商只有在完全符合要求的前提下，才能参与正式磋商。</w:t>
      </w:r>
    </w:p>
    <w:p w14:paraId="6C87687D">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sz w:val="24"/>
          <w:szCs w:val="24"/>
        </w:rPr>
        <w:t>1.</w:t>
      </w:r>
      <w:r>
        <w:rPr>
          <w:rFonts w:hint="eastAsia" w:ascii="方正仿宋_GBK" w:hAnsi="宋体" w:eastAsia="方正仿宋_GBK" w:cs="宋体"/>
          <w:kern w:val="0"/>
          <w:sz w:val="24"/>
          <w:szCs w:val="24"/>
        </w:rPr>
        <w:t>资格性审查。依据法律法规和竞争性磋商文件的规定，对响应文件中的资格证明、等进行审查，以确定供应商是否具备磋商资格。资格性审查资料表如下：</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14:paraId="34993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center"/>
          </w:tcPr>
          <w:p w14:paraId="137CA27D">
            <w:pPr>
              <w:jc w:val="center"/>
              <w:rPr>
                <w:rFonts w:hint="eastAsia" w:ascii="方正仿宋_GBK" w:hAnsi="宋体" w:eastAsia="方正仿宋_GBK" w:cs="宋体"/>
                <w:b/>
                <w:kern w:val="0"/>
                <w:sz w:val="21"/>
                <w:szCs w:val="21"/>
              </w:rPr>
            </w:pPr>
            <w:r>
              <w:rPr>
                <w:rFonts w:hint="eastAsia" w:ascii="方正仿宋_GBK" w:hAnsi="宋体" w:eastAsia="方正仿宋_GBK" w:cs="宋体"/>
                <w:b/>
                <w:kern w:val="0"/>
                <w:sz w:val="21"/>
                <w:szCs w:val="21"/>
              </w:rPr>
              <w:t>序号</w:t>
            </w:r>
          </w:p>
        </w:tc>
        <w:tc>
          <w:tcPr>
            <w:tcW w:w="3827" w:type="dxa"/>
            <w:gridSpan w:val="2"/>
            <w:tcBorders>
              <w:top w:val="single" w:color="auto" w:sz="4" w:space="0"/>
              <w:left w:val="single" w:color="auto" w:sz="4" w:space="0"/>
              <w:bottom w:val="single" w:color="auto" w:sz="4" w:space="0"/>
              <w:right w:val="single" w:color="auto" w:sz="4" w:space="0"/>
            </w:tcBorders>
            <w:noWrap w:val="0"/>
            <w:vAlign w:val="center"/>
          </w:tcPr>
          <w:p w14:paraId="636D1031">
            <w:pPr>
              <w:jc w:val="center"/>
              <w:rPr>
                <w:rFonts w:hint="eastAsia" w:ascii="方正仿宋_GBK" w:hAnsi="宋体" w:eastAsia="方正仿宋_GBK" w:cs="宋体"/>
                <w:b/>
                <w:kern w:val="0"/>
                <w:sz w:val="21"/>
                <w:szCs w:val="21"/>
              </w:rPr>
            </w:pPr>
            <w:r>
              <w:rPr>
                <w:rFonts w:hint="eastAsia" w:ascii="方正仿宋_GBK" w:hAnsi="宋体" w:eastAsia="方正仿宋_GBK" w:cs="宋体"/>
                <w:b/>
                <w:kern w:val="0"/>
                <w:sz w:val="21"/>
                <w:szCs w:val="21"/>
              </w:rPr>
              <w:t>检查因素</w:t>
            </w:r>
          </w:p>
        </w:tc>
        <w:tc>
          <w:tcPr>
            <w:tcW w:w="4984" w:type="dxa"/>
            <w:tcBorders>
              <w:top w:val="single" w:color="auto" w:sz="4" w:space="0"/>
              <w:left w:val="single" w:color="auto" w:sz="4" w:space="0"/>
              <w:bottom w:val="single" w:color="auto" w:sz="4" w:space="0"/>
              <w:right w:val="single" w:color="auto" w:sz="4" w:space="0"/>
            </w:tcBorders>
            <w:noWrap w:val="0"/>
            <w:vAlign w:val="center"/>
          </w:tcPr>
          <w:p w14:paraId="2CD60D5D">
            <w:pPr>
              <w:jc w:val="center"/>
              <w:rPr>
                <w:rFonts w:hint="eastAsia" w:ascii="方正仿宋_GBK" w:hAnsi="宋体" w:eastAsia="方正仿宋_GBK" w:cs="宋体"/>
                <w:b/>
                <w:kern w:val="0"/>
                <w:sz w:val="21"/>
                <w:szCs w:val="21"/>
              </w:rPr>
            </w:pPr>
            <w:r>
              <w:rPr>
                <w:rFonts w:hint="eastAsia" w:ascii="方正仿宋_GBK" w:hAnsi="宋体" w:eastAsia="方正仿宋_GBK" w:cs="宋体"/>
                <w:b/>
                <w:kern w:val="0"/>
                <w:sz w:val="21"/>
                <w:szCs w:val="21"/>
              </w:rPr>
              <w:t>检查内容</w:t>
            </w:r>
          </w:p>
        </w:tc>
      </w:tr>
      <w:tr w14:paraId="1B7E6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noWrap w:val="0"/>
            <w:vAlign w:val="center"/>
          </w:tcPr>
          <w:p w14:paraId="762E2CDD">
            <w:pPr>
              <w:jc w:val="center"/>
              <w:rPr>
                <w:rFonts w:hint="eastAsia" w:ascii="方正仿宋_GBK" w:hAnsi="仿宋" w:eastAsia="方正仿宋_GBK"/>
                <w:sz w:val="21"/>
                <w:szCs w:val="21"/>
              </w:rPr>
            </w:pPr>
            <w:r>
              <w:rPr>
                <w:rFonts w:hint="eastAsia" w:ascii="方正仿宋_GBK" w:hAnsi="仿宋" w:eastAsia="方正仿宋_GBK"/>
                <w:sz w:val="21"/>
                <w:szCs w:val="21"/>
              </w:rPr>
              <w:t>（一）</w:t>
            </w:r>
          </w:p>
        </w:tc>
        <w:tc>
          <w:tcPr>
            <w:tcW w:w="709" w:type="dxa"/>
            <w:vMerge w:val="restart"/>
            <w:noWrap w:val="0"/>
            <w:vAlign w:val="center"/>
          </w:tcPr>
          <w:p w14:paraId="1EBA198E">
            <w:pPr>
              <w:rPr>
                <w:rFonts w:hint="eastAsia" w:ascii="方正仿宋_GBK" w:hAnsi="仿宋" w:eastAsia="方正仿宋_GBK" w:cs="仿宋_GB2312"/>
                <w:sz w:val="21"/>
                <w:szCs w:val="21"/>
                <w:lang w:val="zh-CN"/>
              </w:rPr>
            </w:pPr>
            <w:r>
              <w:rPr>
                <w:rFonts w:hint="eastAsia" w:ascii="方正仿宋_GBK" w:hAnsi="仿宋" w:eastAsia="方正仿宋_GBK" w:cs="仿宋_GB2312"/>
                <w:sz w:val="21"/>
                <w:szCs w:val="21"/>
                <w:lang w:val="zh-CN"/>
              </w:rPr>
              <w:t>《中华人民共和国政府采购法》第二十二条规定</w:t>
            </w:r>
          </w:p>
        </w:tc>
        <w:tc>
          <w:tcPr>
            <w:tcW w:w="3118" w:type="dxa"/>
            <w:noWrap w:val="0"/>
            <w:vAlign w:val="center"/>
          </w:tcPr>
          <w:p w14:paraId="05DF4B8E">
            <w:pPr>
              <w:rPr>
                <w:rFonts w:hint="eastAsia" w:ascii="方正仿宋_GBK" w:hAnsi="仿宋" w:eastAsia="方正仿宋_GBK"/>
                <w:sz w:val="21"/>
                <w:szCs w:val="21"/>
              </w:rPr>
            </w:pPr>
            <w:r>
              <w:rPr>
                <w:rFonts w:hint="eastAsia" w:ascii="方正仿宋_GBK" w:hAnsi="仿宋" w:eastAsia="方正仿宋_GBK"/>
                <w:sz w:val="21"/>
                <w:szCs w:val="21"/>
              </w:rPr>
              <w:t>1.具有独立承担民事责任的能力</w:t>
            </w:r>
          </w:p>
        </w:tc>
        <w:tc>
          <w:tcPr>
            <w:tcW w:w="4984" w:type="dxa"/>
            <w:noWrap w:val="0"/>
            <w:vAlign w:val="center"/>
          </w:tcPr>
          <w:p w14:paraId="01878E26">
            <w:pPr>
              <w:rPr>
                <w:rFonts w:hint="eastAsia" w:ascii="方正仿宋_GBK" w:hAnsi="仿宋" w:eastAsia="方正仿宋_GBK"/>
                <w:sz w:val="21"/>
                <w:szCs w:val="21"/>
              </w:rPr>
            </w:pPr>
            <w:r>
              <w:rPr>
                <w:rFonts w:hint="eastAsia" w:ascii="方正仿宋_GBK" w:hAnsi="仿宋" w:eastAsia="方正仿宋_GBK"/>
                <w:sz w:val="21"/>
                <w:szCs w:val="21"/>
              </w:rPr>
              <w:t xml:space="preserve">1.供应商法人营业执照（副本）或事业单位法人证书（副本）或个体工商户营业执照或有效的自然人身份证明或社会团体法人登记证书（提供复印件）。 </w:t>
            </w:r>
          </w:p>
          <w:p w14:paraId="577AA02A">
            <w:pPr>
              <w:rPr>
                <w:rFonts w:hint="eastAsia" w:ascii="方正仿宋_GBK" w:hAnsi="仿宋" w:eastAsia="方正仿宋_GBK"/>
                <w:sz w:val="21"/>
                <w:szCs w:val="21"/>
              </w:rPr>
            </w:pPr>
            <w:r>
              <w:rPr>
                <w:rFonts w:hint="eastAsia" w:ascii="方正仿宋_GBK" w:hAnsi="仿宋" w:eastAsia="方正仿宋_GBK"/>
                <w:sz w:val="21"/>
                <w:szCs w:val="21"/>
              </w:rPr>
              <w:t>2.供应商法定代表人身份证明和法定代表人授权代表委托书。</w:t>
            </w:r>
          </w:p>
        </w:tc>
      </w:tr>
      <w:tr w14:paraId="27A59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0A0BDED4">
            <w:pPr>
              <w:jc w:val="center"/>
              <w:rPr>
                <w:rFonts w:hint="eastAsia" w:ascii="方正仿宋_GBK" w:hAnsi="仿宋" w:eastAsia="方正仿宋_GBK"/>
                <w:sz w:val="21"/>
                <w:szCs w:val="21"/>
              </w:rPr>
            </w:pPr>
          </w:p>
        </w:tc>
        <w:tc>
          <w:tcPr>
            <w:tcW w:w="709" w:type="dxa"/>
            <w:vMerge w:val="continue"/>
            <w:noWrap w:val="0"/>
            <w:vAlign w:val="center"/>
          </w:tcPr>
          <w:p w14:paraId="52B1423E">
            <w:pPr>
              <w:rPr>
                <w:rFonts w:hint="eastAsia" w:ascii="方正仿宋_GBK" w:hAnsi="仿宋" w:eastAsia="方正仿宋_GBK" w:cs="仿宋_GB2312"/>
                <w:sz w:val="21"/>
                <w:szCs w:val="21"/>
                <w:lang w:val="zh-CN"/>
              </w:rPr>
            </w:pPr>
          </w:p>
        </w:tc>
        <w:tc>
          <w:tcPr>
            <w:tcW w:w="3118" w:type="dxa"/>
            <w:noWrap w:val="0"/>
            <w:vAlign w:val="center"/>
          </w:tcPr>
          <w:p w14:paraId="78CD3BFE">
            <w:pPr>
              <w:rPr>
                <w:rFonts w:hint="eastAsia" w:ascii="方正仿宋_GBK" w:hAnsi="仿宋" w:eastAsia="方正仿宋_GBK"/>
                <w:sz w:val="21"/>
                <w:szCs w:val="21"/>
              </w:rPr>
            </w:pPr>
            <w:r>
              <w:rPr>
                <w:rFonts w:hint="eastAsia" w:ascii="方正仿宋_GBK" w:hAnsi="仿宋" w:eastAsia="方正仿宋_GBK" w:cs="仿宋_GB2312"/>
                <w:sz w:val="21"/>
                <w:szCs w:val="21"/>
                <w:lang w:val="zh-CN"/>
              </w:rPr>
              <w:t>2.</w:t>
            </w:r>
            <w:r>
              <w:rPr>
                <w:rFonts w:hint="eastAsia" w:ascii="方正仿宋_GBK" w:hAnsi="仿宋" w:eastAsia="方正仿宋_GBK"/>
                <w:sz w:val="21"/>
                <w:szCs w:val="21"/>
              </w:rPr>
              <w:t>具有良好的商业信誉和健全的财务会计制度</w:t>
            </w:r>
          </w:p>
        </w:tc>
        <w:tc>
          <w:tcPr>
            <w:tcW w:w="4984" w:type="dxa"/>
            <w:vMerge w:val="restart"/>
            <w:noWrap w:val="0"/>
            <w:vAlign w:val="center"/>
          </w:tcPr>
          <w:p w14:paraId="1544BC50">
            <w:pPr>
              <w:rPr>
                <w:rFonts w:hint="eastAsia" w:ascii="方正仿宋_GBK" w:hAnsi="仿宋" w:eastAsia="方正仿宋_GBK"/>
                <w:b/>
                <w:sz w:val="21"/>
                <w:szCs w:val="21"/>
              </w:rPr>
            </w:pPr>
            <w:r>
              <w:rPr>
                <w:rFonts w:hint="eastAsia" w:ascii="方正仿宋_GBK" w:hAnsi="仿宋" w:eastAsia="方正仿宋_GBK"/>
                <w:sz w:val="21"/>
                <w:szCs w:val="21"/>
              </w:rPr>
              <w:t>供应商提供“基本资格条件承诺函”（格式详见第七篇）</w:t>
            </w:r>
          </w:p>
        </w:tc>
      </w:tr>
      <w:tr w14:paraId="71037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44BA5301">
            <w:pPr>
              <w:jc w:val="center"/>
              <w:rPr>
                <w:rFonts w:hint="eastAsia" w:ascii="方正仿宋_GBK" w:hAnsi="仿宋" w:eastAsia="方正仿宋_GBK"/>
                <w:sz w:val="21"/>
                <w:szCs w:val="21"/>
              </w:rPr>
            </w:pPr>
          </w:p>
        </w:tc>
        <w:tc>
          <w:tcPr>
            <w:tcW w:w="709" w:type="dxa"/>
            <w:vMerge w:val="continue"/>
            <w:noWrap w:val="0"/>
            <w:vAlign w:val="center"/>
          </w:tcPr>
          <w:p w14:paraId="019C46FA">
            <w:pPr>
              <w:rPr>
                <w:rFonts w:hint="eastAsia" w:ascii="方正仿宋_GBK" w:hAnsi="仿宋" w:eastAsia="方正仿宋_GBK" w:cs="仿宋_GB2312"/>
                <w:sz w:val="21"/>
                <w:szCs w:val="21"/>
                <w:lang w:val="zh-CN"/>
              </w:rPr>
            </w:pPr>
          </w:p>
        </w:tc>
        <w:tc>
          <w:tcPr>
            <w:tcW w:w="3118" w:type="dxa"/>
            <w:noWrap w:val="0"/>
            <w:vAlign w:val="center"/>
          </w:tcPr>
          <w:p w14:paraId="2771AEDE">
            <w:pPr>
              <w:rPr>
                <w:rFonts w:hint="eastAsia" w:ascii="方正仿宋_GBK" w:hAnsi="仿宋" w:eastAsia="方正仿宋_GBK" w:cs="仿宋_GB2312"/>
                <w:sz w:val="21"/>
                <w:szCs w:val="21"/>
                <w:lang w:val="zh-CN"/>
              </w:rPr>
            </w:pPr>
            <w:r>
              <w:rPr>
                <w:rFonts w:hint="eastAsia" w:ascii="方正仿宋_GBK" w:hAnsi="仿宋" w:eastAsia="方正仿宋_GBK" w:cs="仿宋_GB2312"/>
                <w:sz w:val="21"/>
                <w:szCs w:val="21"/>
                <w:lang w:val="zh-CN"/>
              </w:rPr>
              <w:t>3.具有履行合同所必需的设备和专业技术能力</w:t>
            </w:r>
          </w:p>
        </w:tc>
        <w:tc>
          <w:tcPr>
            <w:tcW w:w="4984" w:type="dxa"/>
            <w:vMerge w:val="continue"/>
            <w:noWrap w:val="0"/>
            <w:vAlign w:val="center"/>
          </w:tcPr>
          <w:p w14:paraId="1B56F5F8">
            <w:pPr>
              <w:rPr>
                <w:rFonts w:hint="eastAsia" w:ascii="方正仿宋_GBK" w:hAnsi="仿宋" w:eastAsia="方正仿宋_GBK"/>
                <w:sz w:val="21"/>
                <w:szCs w:val="21"/>
              </w:rPr>
            </w:pPr>
          </w:p>
        </w:tc>
      </w:tr>
      <w:tr w14:paraId="0A033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248E3B06">
            <w:pPr>
              <w:jc w:val="center"/>
              <w:rPr>
                <w:rFonts w:hint="eastAsia" w:ascii="方正仿宋_GBK" w:hAnsi="仿宋" w:eastAsia="方正仿宋_GBK"/>
                <w:sz w:val="21"/>
                <w:szCs w:val="21"/>
              </w:rPr>
            </w:pPr>
          </w:p>
        </w:tc>
        <w:tc>
          <w:tcPr>
            <w:tcW w:w="709" w:type="dxa"/>
            <w:vMerge w:val="continue"/>
            <w:noWrap w:val="0"/>
            <w:vAlign w:val="center"/>
          </w:tcPr>
          <w:p w14:paraId="6701FBB1">
            <w:pPr>
              <w:rPr>
                <w:rFonts w:hint="eastAsia" w:ascii="方正仿宋_GBK" w:hAnsi="仿宋" w:eastAsia="方正仿宋_GBK" w:cs="仿宋_GB2312"/>
                <w:sz w:val="21"/>
                <w:szCs w:val="21"/>
                <w:lang w:val="zh-CN"/>
              </w:rPr>
            </w:pPr>
          </w:p>
        </w:tc>
        <w:tc>
          <w:tcPr>
            <w:tcW w:w="3118" w:type="dxa"/>
            <w:noWrap w:val="0"/>
            <w:vAlign w:val="center"/>
          </w:tcPr>
          <w:p w14:paraId="6562326E">
            <w:pPr>
              <w:rPr>
                <w:rFonts w:hint="eastAsia" w:ascii="方正仿宋_GBK" w:hAnsi="仿宋" w:eastAsia="方正仿宋_GBK" w:cs="仿宋_GB2312"/>
                <w:sz w:val="21"/>
                <w:szCs w:val="21"/>
                <w:lang w:val="zh-CN"/>
              </w:rPr>
            </w:pPr>
            <w:r>
              <w:rPr>
                <w:rFonts w:hint="eastAsia" w:ascii="方正仿宋_GBK" w:hAnsi="仿宋" w:eastAsia="方正仿宋_GBK" w:cs="仿宋_GB2312"/>
                <w:sz w:val="21"/>
                <w:szCs w:val="21"/>
                <w:lang w:val="zh-CN"/>
              </w:rPr>
              <w:t>4.有依法缴纳税收和社会保障金的良好记录</w:t>
            </w:r>
          </w:p>
        </w:tc>
        <w:tc>
          <w:tcPr>
            <w:tcW w:w="4984" w:type="dxa"/>
            <w:vMerge w:val="continue"/>
            <w:noWrap w:val="0"/>
            <w:vAlign w:val="center"/>
          </w:tcPr>
          <w:p w14:paraId="3BB2B598">
            <w:pPr>
              <w:rPr>
                <w:rFonts w:hint="eastAsia" w:ascii="方正仿宋_GBK" w:hAnsi="仿宋" w:eastAsia="方正仿宋_GBK"/>
                <w:sz w:val="21"/>
                <w:szCs w:val="21"/>
              </w:rPr>
            </w:pPr>
          </w:p>
        </w:tc>
      </w:tr>
      <w:tr w14:paraId="6BFD6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35FF303A">
            <w:pPr>
              <w:jc w:val="center"/>
              <w:rPr>
                <w:rFonts w:hint="eastAsia" w:ascii="方正仿宋_GBK" w:hAnsi="仿宋" w:eastAsia="方正仿宋_GBK"/>
                <w:sz w:val="21"/>
                <w:szCs w:val="21"/>
              </w:rPr>
            </w:pPr>
          </w:p>
        </w:tc>
        <w:tc>
          <w:tcPr>
            <w:tcW w:w="709" w:type="dxa"/>
            <w:vMerge w:val="continue"/>
            <w:noWrap w:val="0"/>
            <w:vAlign w:val="center"/>
          </w:tcPr>
          <w:p w14:paraId="32E47FC1">
            <w:pPr>
              <w:rPr>
                <w:rFonts w:hint="eastAsia" w:ascii="方正仿宋_GBK" w:hAnsi="仿宋" w:eastAsia="方正仿宋_GBK" w:cs="仿宋_GB2312"/>
                <w:sz w:val="21"/>
                <w:szCs w:val="21"/>
                <w:lang w:val="zh-CN"/>
              </w:rPr>
            </w:pPr>
          </w:p>
        </w:tc>
        <w:tc>
          <w:tcPr>
            <w:tcW w:w="3118" w:type="dxa"/>
            <w:noWrap w:val="0"/>
            <w:vAlign w:val="center"/>
          </w:tcPr>
          <w:p w14:paraId="3757BA2B">
            <w:pPr>
              <w:rPr>
                <w:rFonts w:hint="eastAsia" w:ascii="方正仿宋_GBK" w:hAnsi="仿宋" w:eastAsia="方正仿宋_GBK" w:cs="仿宋_GB2312"/>
                <w:sz w:val="21"/>
                <w:szCs w:val="21"/>
                <w:lang w:val="zh-CN"/>
              </w:rPr>
            </w:pPr>
            <w:r>
              <w:rPr>
                <w:rFonts w:hint="eastAsia" w:ascii="方正仿宋_GBK" w:hAnsi="仿宋" w:eastAsia="方正仿宋_GBK"/>
                <w:sz w:val="21"/>
                <w:szCs w:val="21"/>
              </w:rPr>
              <w:t>5.参加政府采购活动前三年内，在经营活动中没有重大违法记录</w:t>
            </w:r>
          </w:p>
        </w:tc>
        <w:tc>
          <w:tcPr>
            <w:tcW w:w="4984" w:type="dxa"/>
            <w:vMerge w:val="continue"/>
            <w:noWrap w:val="0"/>
            <w:vAlign w:val="center"/>
          </w:tcPr>
          <w:p w14:paraId="2AFA0B06">
            <w:pPr>
              <w:rPr>
                <w:rFonts w:hint="eastAsia" w:ascii="方正仿宋_GBK" w:hAnsi="仿宋" w:eastAsia="方正仿宋_GBK"/>
                <w:b/>
                <w:sz w:val="21"/>
                <w:szCs w:val="21"/>
              </w:rPr>
            </w:pPr>
          </w:p>
        </w:tc>
      </w:tr>
      <w:tr w14:paraId="6A09F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14:paraId="2ECA989E">
            <w:pPr>
              <w:jc w:val="center"/>
              <w:rPr>
                <w:rFonts w:hint="eastAsia" w:ascii="方正仿宋_GBK" w:hAnsi="仿宋" w:eastAsia="方正仿宋_GBK"/>
                <w:sz w:val="21"/>
                <w:szCs w:val="21"/>
              </w:rPr>
            </w:pPr>
          </w:p>
        </w:tc>
        <w:tc>
          <w:tcPr>
            <w:tcW w:w="709" w:type="dxa"/>
            <w:vMerge w:val="continue"/>
            <w:noWrap w:val="0"/>
            <w:vAlign w:val="center"/>
          </w:tcPr>
          <w:p w14:paraId="1F62AF87">
            <w:pPr>
              <w:rPr>
                <w:rFonts w:hint="eastAsia" w:ascii="方正仿宋_GBK" w:hAnsi="仿宋" w:eastAsia="方正仿宋_GBK" w:cs="仿宋_GB2312"/>
                <w:sz w:val="21"/>
                <w:szCs w:val="21"/>
              </w:rPr>
            </w:pPr>
          </w:p>
        </w:tc>
        <w:tc>
          <w:tcPr>
            <w:tcW w:w="3118" w:type="dxa"/>
            <w:noWrap w:val="0"/>
            <w:vAlign w:val="center"/>
          </w:tcPr>
          <w:p w14:paraId="0D37DF78">
            <w:pPr>
              <w:rPr>
                <w:rFonts w:hint="eastAsia" w:ascii="方正仿宋_GBK" w:hAnsi="仿宋" w:eastAsia="方正仿宋_GBK"/>
                <w:sz w:val="21"/>
                <w:szCs w:val="21"/>
              </w:rPr>
            </w:pPr>
            <w:r>
              <w:rPr>
                <w:rFonts w:hint="eastAsia" w:ascii="方正仿宋_GBK" w:hAnsi="仿宋" w:eastAsia="方正仿宋_GBK"/>
                <w:sz w:val="21"/>
                <w:szCs w:val="21"/>
              </w:rPr>
              <w:t>6.法律、行政法规规定的其他条件</w:t>
            </w:r>
          </w:p>
        </w:tc>
        <w:tc>
          <w:tcPr>
            <w:tcW w:w="4984" w:type="dxa"/>
            <w:noWrap w:val="0"/>
            <w:vAlign w:val="center"/>
          </w:tcPr>
          <w:p w14:paraId="3153176F">
            <w:pPr>
              <w:jc w:val="center"/>
              <w:rPr>
                <w:rFonts w:hint="default" w:ascii="Calibri" w:hAnsi="Calibri" w:eastAsia="方正仿宋_GBK"/>
                <w:sz w:val="21"/>
                <w:szCs w:val="21"/>
              </w:rPr>
            </w:pPr>
            <w:r>
              <w:rPr>
                <w:rFonts w:ascii="Calibri" w:hAnsi="Calibri" w:eastAsia="方正仿宋_GBK"/>
                <w:sz w:val="21"/>
                <w:szCs w:val="21"/>
              </w:rPr>
              <w:t>/</w:t>
            </w:r>
          </w:p>
        </w:tc>
      </w:tr>
      <w:tr w14:paraId="0AE6E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7F7BDD8B">
            <w:pPr>
              <w:jc w:val="center"/>
              <w:rPr>
                <w:rFonts w:hint="eastAsia" w:ascii="方正仿宋_GBK" w:hAnsi="仿宋" w:eastAsia="方正仿宋_GBK"/>
                <w:sz w:val="21"/>
                <w:szCs w:val="21"/>
              </w:rPr>
            </w:pPr>
            <w:r>
              <w:rPr>
                <w:rFonts w:hint="eastAsia" w:ascii="方正仿宋_GBK" w:hAnsi="仿宋" w:eastAsia="方正仿宋_GBK"/>
                <w:sz w:val="21"/>
                <w:szCs w:val="21"/>
              </w:rPr>
              <w:t>（二）</w:t>
            </w:r>
          </w:p>
        </w:tc>
        <w:tc>
          <w:tcPr>
            <w:tcW w:w="3827" w:type="dxa"/>
            <w:gridSpan w:val="2"/>
            <w:noWrap w:val="0"/>
            <w:vAlign w:val="center"/>
          </w:tcPr>
          <w:p w14:paraId="1E4B8751">
            <w:pPr>
              <w:rPr>
                <w:rFonts w:hint="eastAsia" w:ascii="方正仿宋_GBK" w:hAnsi="仿宋" w:eastAsia="方正仿宋_GBK"/>
                <w:sz w:val="21"/>
                <w:szCs w:val="21"/>
              </w:rPr>
            </w:pPr>
            <w:r>
              <w:rPr>
                <w:rFonts w:hint="eastAsia" w:ascii="方正仿宋_GBK" w:hAnsi="仿宋" w:eastAsia="方正仿宋_GBK"/>
                <w:sz w:val="21"/>
                <w:szCs w:val="21"/>
              </w:rPr>
              <w:t>落实政府采购政策需满足的资格要求</w:t>
            </w:r>
          </w:p>
        </w:tc>
        <w:tc>
          <w:tcPr>
            <w:tcW w:w="4984" w:type="dxa"/>
            <w:noWrap w:val="0"/>
            <w:vAlign w:val="center"/>
          </w:tcPr>
          <w:p w14:paraId="1BFF8BDE">
            <w:pPr>
              <w:rPr>
                <w:rFonts w:hint="eastAsia" w:ascii="方正仿宋_GBK" w:hAnsi="仿宋" w:eastAsia="方正仿宋_GBK"/>
                <w:sz w:val="21"/>
                <w:szCs w:val="21"/>
              </w:rPr>
            </w:pPr>
            <w:r>
              <w:rPr>
                <w:rFonts w:hint="eastAsia" w:ascii="方正仿宋_GBK" w:hAnsi="仿宋" w:eastAsia="方正仿宋_GBK"/>
                <w:sz w:val="21"/>
                <w:szCs w:val="21"/>
              </w:rPr>
              <w:t>按“第一篇三、供应商资格要求（二）落实政府采购政策需满足的资格要求”的要求提交</w:t>
            </w:r>
            <w:r>
              <w:rPr>
                <w:rFonts w:hint="eastAsia" w:ascii="方正仿宋_GBK" w:hAnsi="宋体" w:eastAsia="方正仿宋_GBK"/>
                <w:sz w:val="21"/>
                <w:szCs w:val="21"/>
              </w:rPr>
              <w:t>（如果有）</w:t>
            </w:r>
            <w:r>
              <w:rPr>
                <w:rFonts w:hint="eastAsia" w:ascii="方正仿宋_GBK" w:hAnsi="仿宋" w:eastAsia="方正仿宋_GBK"/>
                <w:sz w:val="21"/>
                <w:szCs w:val="21"/>
              </w:rPr>
              <w:t>。</w:t>
            </w:r>
          </w:p>
        </w:tc>
      </w:tr>
      <w:tr w14:paraId="72740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79B652BF">
            <w:pPr>
              <w:jc w:val="center"/>
              <w:rPr>
                <w:rFonts w:hint="default" w:ascii="方正仿宋_GBK" w:hAnsi="仿宋" w:eastAsia="方正仿宋_GBK"/>
                <w:sz w:val="21"/>
                <w:szCs w:val="21"/>
                <w:lang w:val="en-US" w:eastAsia="zh-CN"/>
              </w:rPr>
            </w:pPr>
            <w:r>
              <w:rPr>
                <w:rFonts w:hint="eastAsia" w:ascii="方正仿宋_GBK" w:hAnsi="仿宋" w:eastAsia="方正仿宋_GBK"/>
                <w:sz w:val="21"/>
                <w:szCs w:val="21"/>
              </w:rPr>
              <w:t>（</w:t>
            </w:r>
            <w:r>
              <w:rPr>
                <w:rFonts w:hint="eastAsia" w:ascii="方正仿宋_GBK" w:hAnsi="仿宋" w:eastAsia="方正仿宋_GBK"/>
                <w:sz w:val="21"/>
                <w:szCs w:val="21"/>
                <w:lang w:val="en-US" w:eastAsia="zh-CN"/>
              </w:rPr>
              <w:t>三</w:t>
            </w:r>
            <w:r>
              <w:rPr>
                <w:rFonts w:hint="eastAsia" w:ascii="方正仿宋_GBK" w:hAnsi="仿宋" w:eastAsia="方正仿宋_GBK"/>
                <w:sz w:val="21"/>
                <w:szCs w:val="21"/>
              </w:rPr>
              <w:t>）</w:t>
            </w:r>
          </w:p>
        </w:tc>
        <w:tc>
          <w:tcPr>
            <w:tcW w:w="3827" w:type="dxa"/>
            <w:gridSpan w:val="2"/>
            <w:noWrap w:val="0"/>
            <w:vAlign w:val="center"/>
          </w:tcPr>
          <w:p w14:paraId="7832A574">
            <w:pPr>
              <w:rPr>
                <w:rFonts w:hint="eastAsia" w:ascii="方正仿宋_GBK" w:hAnsi="仿宋" w:eastAsia="方正仿宋_GBK"/>
                <w:sz w:val="21"/>
                <w:szCs w:val="21"/>
              </w:rPr>
            </w:pPr>
            <w:r>
              <w:rPr>
                <w:rFonts w:hint="eastAsia" w:ascii="方正仿宋_GBK" w:hAnsi="仿宋" w:eastAsia="方正仿宋_GBK" w:cs="Times New Roman"/>
                <w:sz w:val="21"/>
                <w:szCs w:val="21"/>
                <w:lang w:val="zh-CN"/>
              </w:rPr>
              <w:t>磋商保证金</w:t>
            </w:r>
          </w:p>
        </w:tc>
        <w:tc>
          <w:tcPr>
            <w:tcW w:w="4984" w:type="dxa"/>
            <w:noWrap w:val="0"/>
            <w:vAlign w:val="center"/>
          </w:tcPr>
          <w:p w14:paraId="533651A2">
            <w:pPr>
              <w:rPr>
                <w:rFonts w:hint="eastAsia" w:ascii="方正仿宋_GBK" w:hAnsi="仿宋" w:eastAsia="方正仿宋_GBK"/>
                <w:sz w:val="21"/>
                <w:szCs w:val="21"/>
              </w:rPr>
            </w:pPr>
            <w:r>
              <w:rPr>
                <w:rFonts w:hint="eastAsia" w:ascii="方正仿宋_GBK" w:hAnsi="仿宋" w:eastAsia="方正仿宋_GBK"/>
                <w:sz w:val="21"/>
                <w:szCs w:val="21"/>
              </w:rPr>
              <w:t>按照竞争性磋商文件要求足额缴纳磋商保证金。</w:t>
            </w:r>
          </w:p>
        </w:tc>
      </w:tr>
    </w:tbl>
    <w:p w14:paraId="2DE2D0DE">
      <w:pPr>
        <w:snapToGrid w:val="0"/>
        <w:spacing w:line="400" w:lineRule="exact"/>
        <w:ind w:firstLine="480" w:firstLineChars="200"/>
        <w:rPr>
          <w:rFonts w:hint="eastAsia" w:ascii="方正仿宋_GBK" w:hAnsi="宋体" w:eastAsia="方正仿宋_GBK" w:cs="宋体"/>
          <w:kern w:val="0"/>
          <w:sz w:val="24"/>
          <w:szCs w:val="24"/>
        </w:rPr>
      </w:pPr>
      <w:r>
        <w:rPr>
          <w:rFonts w:hint="eastAsia" w:ascii="方正仿宋_GBK" w:hAnsi="宋体" w:eastAsia="方正仿宋_GBK" w:cs="宋体"/>
          <w:kern w:val="0"/>
          <w:sz w:val="24"/>
          <w:szCs w:val="24"/>
        </w:rPr>
        <w:t>注：</w:t>
      </w:r>
    </w:p>
    <w:p w14:paraId="59DE16BC">
      <w:pPr>
        <w:snapToGrid w:val="0"/>
        <w:spacing w:line="400" w:lineRule="exact"/>
        <w:ind w:firstLine="480" w:firstLineChars="200"/>
        <w:rPr>
          <w:rFonts w:hint="eastAsia" w:ascii="方正仿宋_GBK" w:hAnsi="宋体" w:eastAsia="方正仿宋_GBK" w:cs="宋体"/>
          <w:kern w:val="0"/>
          <w:sz w:val="24"/>
          <w:szCs w:val="24"/>
        </w:rPr>
      </w:pPr>
      <w:r>
        <w:rPr>
          <w:rFonts w:hint="eastAsia" w:ascii="方正仿宋_GBK" w:hAnsi="宋体" w:eastAsia="方正仿宋_GBK" w:cs="宋体"/>
          <w:kern w:val="0"/>
          <w:sz w:val="24"/>
          <w:szCs w:val="24"/>
        </w:rPr>
        <w:t>根据《</w:t>
      </w:r>
      <w:r>
        <w:rPr>
          <w:rFonts w:ascii="方正仿宋_GBK" w:hAnsi="宋体" w:eastAsia="方正仿宋_GBK" w:cs="宋体"/>
          <w:kern w:val="0"/>
          <w:sz w:val="24"/>
          <w:szCs w:val="24"/>
        </w:rPr>
        <w:t>中华人民共和国政府采购法实施条例</w:t>
      </w:r>
      <w:r>
        <w:rPr>
          <w:rFonts w:hint="eastAsia" w:ascii="方正仿宋_GBK" w:hAnsi="宋体" w:eastAsia="方正仿宋_GBK" w:cs="宋体"/>
          <w:kern w:val="0"/>
          <w:sz w:val="24"/>
          <w:szCs w:val="24"/>
        </w:rPr>
        <w:t>》第十九条“参加政府采购活动前三年内，在经营活动中没有重大违法记录”中“重大违法记录”</w:t>
      </w:r>
      <w:r>
        <w:rPr>
          <w:rFonts w:ascii="方正仿宋_GBK" w:hAnsi="宋体" w:eastAsia="方正仿宋_GBK" w:cs="宋体"/>
          <w:kern w:val="0"/>
          <w:sz w:val="24"/>
          <w:szCs w:val="24"/>
        </w:rPr>
        <w:t>，是指供应商因违法经营受到刑事处罚或者责令停产停业、吊销许可证或者执照、较大数额罚款等行政处罚。</w:t>
      </w:r>
      <w:r>
        <w:rPr>
          <w:rFonts w:hint="eastAsia" w:ascii="方正仿宋_GBK" w:hAnsi="宋体" w:eastAsia="方正仿宋_GBK" w:cs="宋体"/>
          <w:kern w:val="0"/>
          <w:sz w:val="24"/>
          <w:szCs w:val="24"/>
        </w:rPr>
        <w:t>行政处罚中“较大数额”的认定标准，按照“</w:t>
      </w:r>
      <w:r>
        <w:rPr>
          <w:rFonts w:ascii="方正仿宋_GBK" w:hAnsi="宋体" w:eastAsia="方正仿宋_GBK" w:cs="宋体"/>
          <w:kern w:val="0"/>
          <w:sz w:val="24"/>
          <w:szCs w:val="24"/>
        </w:rPr>
        <w:t>财政部关于《中华人民共和国政府采购法实施条例》第十九条第一款“较大数额罚款”具体适用问题的意见</w:t>
      </w:r>
      <w:r>
        <w:rPr>
          <w:rFonts w:hint="eastAsia" w:ascii="方正仿宋_GBK" w:hAnsi="宋体" w:eastAsia="方正仿宋_GBK" w:cs="宋体"/>
          <w:kern w:val="0"/>
          <w:sz w:val="24"/>
          <w:szCs w:val="24"/>
        </w:rPr>
        <w:t>（财库〔2022〕3 号）”执行。供应商可于响应文件递交截止时间前通过 “信用中国”网站(www.creditchina.gov.cn)、"中国政府采购网"(www.ccgp.gov.cn)等渠道查询信用记录。</w:t>
      </w:r>
    </w:p>
    <w:p w14:paraId="1B12988C">
      <w:pPr>
        <w:snapToGrid w:val="0"/>
        <w:spacing w:line="400" w:lineRule="exact"/>
        <w:ind w:firstLine="480" w:firstLineChars="200"/>
        <w:rPr>
          <w:rFonts w:hint="eastAsia" w:ascii="方正仿宋_GBK" w:eastAsia="方正仿宋_GBK"/>
          <w:kern w:val="0"/>
          <w:sz w:val="24"/>
          <w:szCs w:val="24"/>
        </w:rPr>
      </w:pPr>
      <w:r>
        <w:rPr>
          <w:rFonts w:hint="eastAsia" w:ascii="方正仿宋_GBK" w:hAnsi="宋体" w:eastAsia="方正仿宋_GBK" w:cs="宋体"/>
          <w:kern w:val="0"/>
          <w:sz w:val="24"/>
          <w:szCs w:val="24"/>
        </w:rPr>
        <w:t>2.符合性审查。依据竞争性磋商文件的规定，从响应文件的有效性、完整性和对竞争性磋商文件的响应程度进行审查，以确定是否对竞争性磋商文件的实质性要求作出响应。</w:t>
      </w:r>
      <w:r>
        <w:rPr>
          <w:rFonts w:hint="eastAsia" w:ascii="方正仿宋_GBK" w:eastAsia="方正仿宋_GBK"/>
          <w:kern w:val="0"/>
          <w:sz w:val="24"/>
          <w:szCs w:val="24"/>
        </w:rPr>
        <w:t>符合性审查资料表如下：</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71871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noWrap w:val="0"/>
            <w:vAlign w:val="center"/>
          </w:tcPr>
          <w:p w14:paraId="56EB4892">
            <w:pPr>
              <w:jc w:val="center"/>
              <w:rPr>
                <w:rFonts w:hint="eastAsia" w:ascii="方正仿宋_GBK" w:hAnsi="宋体" w:eastAsia="方正仿宋_GBK" w:cs="宋体"/>
                <w:b/>
                <w:kern w:val="0"/>
                <w:sz w:val="21"/>
                <w:szCs w:val="21"/>
              </w:rPr>
            </w:pPr>
            <w:r>
              <w:rPr>
                <w:rFonts w:hint="eastAsia" w:ascii="方正仿宋_GBK" w:hAnsi="宋体" w:eastAsia="方正仿宋_GBK" w:cs="宋体"/>
                <w:b/>
                <w:kern w:val="0"/>
                <w:sz w:val="21"/>
                <w:szCs w:val="21"/>
              </w:rPr>
              <w:t>序号</w:t>
            </w:r>
          </w:p>
        </w:tc>
        <w:tc>
          <w:tcPr>
            <w:tcW w:w="3544" w:type="dxa"/>
            <w:gridSpan w:val="2"/>
            <w:noWrap w:val="0"/>
            <w:vAlign w:val="center"/>
          </w:tcPr>
          <w:p w14:paraId="266D8C89">
            <w:pPr>
              <w:jc w:val="center"/>
              <w:rPr>
                <w:rFonts w:hint="eastAsia" w:ascii="方正仿宋_GBK" w:hAnsi="宋体" w:eastAsia="方正仿宋_GBK" w:cs="宋体"/>
                <w:b/>
                <w:kern w:val="0"/>
                <w:sz w:val="21"/>
                <w:szCs w:val="21"/>
              </w:rPr>
            </w:pPr>
            <w:r>
              <w:rPr>
                <w:rFonts w:hint="eastAsia" w:ascii="方正仿宋_GBK" w:hAnsi="宋体" w:eastAsia="方正仿宋_GBK" w:cs="宋体"/>
                <w:b/>
                <w:kern w:val="0"/>
                <w:sz w:val="21"/>
                <w:szCs w:val="21"/>
              </w:rPr>
              <w:t>评审因素</w:t>
            </w:r>
          </w:p>
        </w:tc>
        <w:tc>
          <w:tcPr>
            <w:tcW w:w="5409" w:type="dxa"/>
            <w:noWrap w:val="0"/>
            <w:vAlign w:val="center"/>
          </w:tcPr>
          <w:p w14:paraId="313694D4">
            <w:pPr>
              <w:jc w:val="center"/>
              <w:rPr>
                <w:rFonts w:hint="eastAsia" w:ascii="方正仿宋_GBK" w:hAnsi="宋体" w:eastAsia="方正仿宋_GBK" w:cs="宋体"/>
                <w:b/>
                <w:kern w:val="0"/>
                <w:sz w:val="21"/>
                <w:szCs w:val="21"/>
              </w:rPr>
            </w:pPr>
            <w:r>
              <w:rPr>
                <w:rFonts w:hint="eastAsia" w:ascii="方正仿宋_GBK" w:hAnsi="宋体" w:eastAsia="方正仿宋_GBK" w:cs="宋体"/>
                <w:b/>
                <w:kern w:val="0"/>
                <w:sz w:val="21"/>
                <w:szCs w:val="21"/>
              </w:rPr>
              <w:t>评审标准</w:t>
            </w:r>
          </w:p>
        </w:tc>
      </w:tr>
      <w:tr w14:paraId="2ECC9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noWrap w:val="0"/>
            <w:vAlign w:val="center"/>
          </w:tcPr>
          <w:p w14:paraId="490075E7">
            <w:pPr>
              <w:jc w:val="cente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1</w:t>
            </w:r>
          </w:p>
        </w:tc>
        <w:tc>
          <w:tcPr>
            <w:tcW w:w="1560" w:type="dxa"/>
            <w:vMerge w:val="restart"/>
            <w:noWrap w:val="0"/>
            <w:vAlign w:val="center"/>
          </w:tcPr>
          <w:p w14:paraId="1BCE1687">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有效性审查</w:t>
            </w:r>
          </w:p>
        </w:tc>
        <w:tc>
          <w:tcPr>
            <w:tcW w:w="1984" w:type="dxa"/>
            <w:noWrap w:val="0"/>
            <w:vAlign w:val="center"/>
          </w:tcPr>
          <w:p w14:paraId="3A4C292C">
            <w:pPr>
              <w:rPr>
                <w:rFonts w:hint="eastAsia" w:ascii="方正仿宋_GBK" w:hAnsi="宋体" w:eastAsia="方正仿宋_GBK" w:cs="宋体"/>
                <w:kern w:val="0"/>
                <w:sz w:val="21"/>
                <w:szCs w:val="21"/>
              </w:rPr>
            </w:pPr>
            <w:r>
              <w:rPr>
                <w:rFonts w:hint="eastAsia" w:ascii="方正仿宋_GBK" w:hAnsi="宋体" w:eastAsia="方正仿宋_GBK"/>
                <w:sz w:val="21"/>
                <w:szCs w:val="21"/>
              </w:rPr>
              <w:t>响应文件签署或盖章</w:t>
            </w:r>
          </w:p>
        </w:tc>
        <w:tc>
          <w:tcPr>
            <w:tcW w:w="5409" w:type="dxa"/>
            <w:noWrap w:val="0"/>
            <w:vAlign w:val="center"/>
          </w:tcPr>
          <w:p w14:paraId="78D5FCC2">
            <w:pPr>
              <w:rPr>
                <w:rFonts w:hint="eastAsia" w:ascii="方正仿宋_GBK" w:hAnsi="宋体" w:eastAsia="方正仿宋_GBK" w:cs="宋体"/>
                <w:kern w:val="0"/>
                <w:sz w:val="21"/>
                <w:szCs w:val="21"/>
              </w:rPr>
            </w:pPr>
            <w:r>
              <w:rPr>
                <w:rFonts w:hint="eastAsia" w:ascii="方正仿宋_GBK" w:hAnsi="宋体" w:eastAsia="方正仿宋_GBK"/>
                <w:sz w:val="21"/>
                <w:szCs w:val="21"/>
              </w:rPr>
              <w:t>按竞争性磋商文件“第七篇响应文件编制要求”要求签署或盖章。</w:t>
            </w:r>
          </w:p>
        </w:tc>
      </w:tr>
      <w:tr w14:paraId="474AE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noWrap w:val="0"/>
            <w:vAlign w:val="center"/>
          </w:tcPr>
          <w:p w14:paraId="6B974311">
            <w:pPr>
              <w:jc w:val="center"/>
              <w:rPr>
                <w:rFonts w:hint="eastAsia" w:ascii="方正仿宋_GBK" w:hAnsi="宋体" w:eastAsia="方正仿宋_GBK" w:cs="宋体"/>
                <w:kern w:val="0"/>
                <w:sz w:val="21"/>
                <w:szCs w:val="21"/>
              </w:rPr>
            </w:pPr>
          </w:p>
        </w:tc>
        <w:tc>
          <w:tcPr>
            <w:tcW w:w="1560" w:type="dxa"/>
            <w:vMerge w:val="continue"/>
            <w:noWrap w:val="0"/>
            <w:vAlign w:val="center"/>
          </w:tcPr>
          <w:p w14:paraId="55E7F1CC">
            <w:pPr>
              <w:rPr>
                <w:rFonts w:hint="eastAsia" w:ascii="方正仿宋_GBK" w:hAnsi="宋体" w:eastAsia="方正仿宋_GBK" w:cs="宋体"/>
                <w:kern w:val="0"/>
                <w:sz w:val="21"/>
                <w:szCs w:val="21"/>
              </w:rPr>
            </w:pPr>
          </w:p>
        </w:tc>
        <w:tc>
          <w:tcPr>
            <w:tcW w:w="1984" w:type="dxa"/>
            <w:noWrap w:val="0"/>
            <w:vAlign w:val="center"/>
          </w:tcPr>
          <w:p w14:paraId="3A628605">
            <w:pPr>
              <w:rPr>
                <w:rFonts w:hint="eastAsia" w:ascii="方正仿宋_GBK" w:hAnsi="宋体" w:eastAsia="方正仿宋_GBK"/>
                <w:sz w:val="21"/>
                <w:szCs w:val="21"/>
              </w:rPr>
            </w:pPr>
            <w:r>
              <w:rPr>
                <w:rFonts w:hint="eastAsia" w:ascii="方正仿宋_GBK" w:hAnsi="宋体" w:eastAsia="方正仿宋_GBK"/>
                <w:sz w:val="21"/>
                <w:szCs w:val="21"/>
              </w:rPr>
              <w:t>法定代表人身份证明及授权委托书</w:t>
            </w:r>
          </w:p>
        </w:tc>
        <w:tc>
          <w:tcPr>
            <w:tcW w:w="5409" w:type="dxa"/>
            <w:noWrap w:val="0"/>
            <w:vAlign w:val="center"/>
          </w:tcPr>
          <w:p w14:paraId="514EE0EE">
            <w:pPr>
              <w:rPr>
                <w:rFonts w:hint="eastAsia" w:ascii="方正仿宋_GBK" w:hAnsi="宋体" w:eastAsia="方正仿宋_GBK"/>
                <w:sz w:val="21"/>
                <w:szCs w:val="21"/>
              </w:rPr>
            </w:pPr>
            <w:r>
              <w:rPr>
                <w:rFonts w:hint="eastAsia" w:ascii="方正仿宋_GBK" w:hAnsi="宋体" w:eastAsia="方正仿宋_GBK"/>
                <w:sz w:val="21"/>
                <w:szCs w:val="21"/>
              </w:rPr>
              <w:t>法定代表人身份证明及授权委托书有效，符合竞争性磋商文件规定的格式，签署或盖章齐全。</w:t>
            </w:r>
          </w:p>
        </w:tc>
      </w:tr>
      <w:tr w14:paraId="7BBD3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0"/>
            <w:vAlign w:val="center"/>
          </w:tcPr>
          <w:p w14:paraId="24A00BBA">
            <w:pPr>
              <w:jc w:val="center"/>
              <w:rPr>
                <w:rFonts w:hint="eastAsia" w:ascii="方正仿宋_GBK" w:hAnsi="宋体" w:eastAsia="方正仿宋_GBK" w:cs="宋体"/>
                <w:kern w:val="0"/>
                <w:sz w:val="21"/>
                <w:szCs w:val="21"/>
              </w:rPr>
            </w:pPr>
          </w:p>
        </w:tc>
        <w:tc>
          <w:tcPr>
            <w:tcW w:w="1560" w:type="dxa"/>
            <w:vMerge w:val="continue"/>
            <w:noWrap w:val="0"/>
            <w:vAlign w:val="center"/>
          </w:tcPr>
          <w:p w14:paraId="4EC683DD">
            <w:pPr>
              <w:rPr>
                <w:rFonts w:hint="eastAsia" w:ascii="方正仿宋_GBK" w:hAnsi="宋体" w:eastAsia="方正仿宋_GBK" w:cs="宋体"/>
                <w:kern w:val="0"/>
                <w:sz w:val="21"/>
                <w:szCs w:val="21"/>
              </w:rPr>
            </w:pPr>
          </w:p>
        </w:tc>
        <w:tc>
          <w:tcPr>
            <w:tcW w:w="1984" w:type="dxa"/>
            <w:noWrap w:val="0"/>
            <w:vAlign w:val="center"/>
          </w:tcPr>
          <w:p w14:paraId="519180DA">
            <w:pPr>
              <w:rPr>
                <w:rFonts w:hint="eastAsia" w:ascii="方正仿宋_GBK" w:hAnsi="宋体" w:eastAsia="方正仿宋_GBK" w:cs="仿宋_GB2312"/>
                <w:sz w:val="21"/>
                <w:szCs w:val="21"/>
                <w:lang w:val="zh-CN"/>
              </w:rPr>
            </w:pPr>
            <w:r>
              <w:rPr>
                <w:rFonts w:hint="eastAsia" w:ascii="方正仿宋_GBK" w:hAnsi="宋体" w:eastAsia="方正仿宋_GBK" w:cs="仿宋_GB2312"/>
                <w:sz w:val="21"/>
                <w:szCs w:val="21"/>
              </w:rPr>
              <w:t>响应</w:t>
            </w:r>
            <w:r>
              <w:rPr>
                <w:rFonts w:hint="eastAsia" w:ascii="方正仿宋_GBK" w:hAnsi="宋体" w:eastAsia="方正仿宋_GBK" w:cs="仿宋_GB2312"/>
                <w:sz w:val="21"/>
                <w:szCs w:val="21"/>
                <w:lang w:val="zh-CN"/>
              </w:rPr>
              <w:t>方案</w:t>
            </w:r>
          </w:p>
        </w:tc>
        <w:tc>
          <w:tcPr>
            <w:tcW w:w="5409" w:type="dxa"/>
            <w:noWrap w:val="0"/>
            <w:vAlign w:val="center"/>
          </w:tcPr>
          <w:p w14:paraId="10D0DF87">
            <w:pPr>
              <w:rPr>
                <w:rFonts w:hint="eastAsia" w:ascii="方正仿宋_GBK" w:hAnsi="宋体" w:eastAsia="方正仿宋_GBK" w:cs="宋体"/>
                <w:kern w:val="0"/>
                <w:sz w:val="21"/>
                <w:szCs w:val="21"/>
              </w:rPr>
            </w:pPr>
            <w:r>
              <w:rPr>
                <w:rFonts w:hint="eastAsia" w:ascii="方正仿宋_GBK" w:hAnsi="宋体" w:eastAsia="方正仿宋_GBK" w:cs="仿宋_GB2312"/>
                <w:sz w:val="21"/>
                <w:szCs w:val="21"/>
                <w:lang w:val="zh-CN"/>
              </w:rPr>
              <w:t>只能有一个</w:t>
            </w:r>
            <w:r>
              <w:rPr>
                <w:rFonts w:hint="eastAsia" w:ascii="方正仿宋_GBK" w:hAnsi="宋体" w:eastAsia="方正仿宋_GBK" w:cs="仿宋_GB2312"/>
                <w:sz w:val="21"/>
                <w:szCs w:val="21"/>
              </w:rPr>
              <w:t>响应</w:t>
            </w:r>
            <w:r>
              <w:rPr>
                <w:rFonts w:hint="eastAsia" w:ascii="方正仿宋_GBK" w:hAnsi="宋体" w:eastAsia="方正仿宋_GBK" w:cs="仿宋_GB2312"/>
                <w:sz w:val="21"/>
                <w:szCs w:val="21"/>
                <w:lang w:val="zh-CN"/>
              </w:rPr>
              <w:t>方案。</w:t>
            </w:r>
          </w:p>
        </w:tc>
      </w:tr>
      <w:tr w14:paraId="1C5D3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noWrap w:val="0"/>
            <w:vAlign w:val="center"/>
          </w:tcPr>
          <w:p w14:paraId="29412F1C">
            <w:pPr>
              <w:jc w:val="center"/>
              <w:rPr>
                <w:rFonts w:hint="eastAsia" w:ascii="方正仿宋_GBK" w:hAnsi="宋体" w:eastAsia="方正仿宋_GBK" w:cs="宋体"/>
                <w:kern w:val="0"/>
                <w:sz w:val="21"/>
                <w:szCs w:val="21"/>
              </w:rPr>
            </w:pPr>
          </w:p>
        </w:tc>
        <w:tc>
          <w:tcPr>
            <w:tcW w:w="1560" w:type="dxa"/>
            <w:vMerge w:val="continue"/>
            <w:noWrap w:val="0"/>
            <w:vAlign w:val="center"/>
          </w:tcPr>
          <w:p w14:paraId="3258DC08">
            <w:pPr>
              <w:rPr>
                <w:rFonts w:hint="eastAsia" w:ascii="方正仿宋_GBK" w:hAnsi="宋体" w:eastAsia="方正仿宋_GBK" w:cs="宋体"/>
                <w:kern w:val="0"/>
                <w:sz w:val="21"/>
                <w:szCs w:val="21"/>
              </w:rPr>
            </w:pPr>
          </w:p>
        </w:tc>
        <w:tc>
          <w:tcPr>
            <w:tcW w:w="1984" w:type="dxa"/>
            <w:noWrap w:val="0"/>
            <w:vAlign w:val="center"/>
          </w:tcPr>
          <w:p w14:paraId="41DC80DB">
            <w:pPr>
              <w:rPr>
                <w:rFonts w:hint="eastAsia" w:ascii="方正仿宋_GBK" w:hAnsi="宋体" w:eastAsia="方正仿宋_GBK" w:cs="仿宋_GB2312"/>
                <w:sz w:val="21"/>
                <w:szCs w:val="21"/>
                <w:lang w:val="zh-CN"/>
              </w:rPr>
            </w:pPr>
            <w:r>
              <w:rPr>
                <w:rFonts w:hint="eastAsia" w:ascii="方正仿宋_GBK" w:hAnsi="宋体" w:eastAsia="方正仿宋_GBK"/>
                <w:sz w:val="21"/>
                <w:szCs w:val="21"/>
              </w:rPr>
              <w:t>报价唯一</w:t>
            </w:r>
          </w:p>
        </w:tc>
        <w:tc>
          <w:tcPr>
            <w:tcW w:w="5409" w:type="dxa"/>
            <w:noWrap w:val="0"/>
            <w:vAlign w:val="center"/>
          </w:tcPr>
          <w:p w14:paraId="4791690B">
            <w:pPr>
              <w:rPr>
                <w:rFonts w:hint="eastAsia" w:ascii="方正仿宋_GBK" w:hAnsi="宋体" w:eastAsia="方正仿宋_GBK" w:cs="宋体"/>
                <w:kern w:val="0"/>
                <w:sz w:val="21"/>
                <w:szCs w:val="21"/>
              </w:rPr>
            </w:pPr>
            <w:r>
              <w:rPr>
                <w:rFonts w:hint="eastAsia" w:ascii="方正仿宋_GBK" w:hAnsi="宋体" w:eastAsia="方正仿宋_GBK"/>
                <w:sz w:val="21"/>
                <w:szCs w:val="21"/>
              </w:rPr>
              <w:t>只能有一个有效报价，不得提交选择性报价。</w:t>
            </w:r>
          </w:p>
        </w:tc>
      </w:tr>
      <w:tr w14:paraId="0C160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noWrap w:val="0"/>
            <w:vAlign w:val="center"/>
          </w:tcPr>
          <w:p w14:paraId="603D98CB">
            <w:pPr>
              <w:jc w:val="cente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2</w:t>
            </w:r>
          </w:p>
        </w:tc>
        <w:tc>
          <w:tcPr>
            <w:tcW w:w="1560" w:type="dxa"/>
            <w:noWrap w:val="0"/>
            <w:vAlign w:val="center"/>
          </w:tcPr>
          <w:p w14:paraId="79A93D5B">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完整性审查</w:t>
            </w:r>
          </w:p>
        </w:tc>
        <w:tc>
          <w:tcPr>
            <w:tcW w:w="1984" w:type="dxa"/>
            <w:noWrap w:val="0"/>
            <w:vAlign w:val="center"/>
          </w:tcPr>
          <w:p w14:paraId="0EFA248D">
            <w:pPr>
              <w:rPr>
                <w:rFonts w:hint="eastAsia" w:ascii="方正仿宋_GBK" w:hAnsi="宋体" w:eastAsia="方正仿宋_GBK" w:cs="宋体"/>
                <w:kern w:val="0"/>
                <w:sz w:val="21"/>
                <w:szCs w:val="21"/>
              </w:rPr>
            </w:pPr>
            <w:r>
              <w:rPr>
                <w:rFonts w:hint="eastAsia" w:ascii="方正仿宋_GBK" w:hAnsi="宋体" w:eastAsia="方正仿宋_GBK" w:cs="仿宋_GB2312"/>
                <w:sz w:val="21"/>
                <w:szCs w:val="21"/>
              </w:rPr>
              <w:t>响应</w:t>
            </w:r>
            <w:r>
              <w:rPr>
                <w:rFonts w:hint="eastAsia" w:ascii="方正仿宋_GBK" w:hAnsi="宋体" w:eastAsia="方正仿宋_GBK" w:cs="仿宋_GB2312"/>
                <w:sz w:val="21"/>
                <w:szCs w:val="21"/>
                <w:lang w:val="zh-CN"/>
              </w:rPr>
              <w:t>文件份数</w:t>
            </w:r>
          </w:p>
        </w:tc>
        <w:tc>
          <w:tcPr>
            <w:tcW w:w="5409" w:type="dxa"/>
            <w:noWrap w:val="0"/>
            <w:vAlign w:val="center"/>
          </w:tcPr>
          <w:p w14:paraId="6FEDEA65">
            <w:pPr>
              <w:rPr>
                <w:rFonts w:hint="eastAsia" w:ascii="方正仿宋_GBK" w:hAnsi="宋体" w:eastAsia="方正仿宋_GBK" w:cs="宋体"/>
                <w:kern w:val="0"/>
                <w:sz w:val="21"/>
                <w:szCs w:val="21"/>
              </w:rPr>
            </w:pPr>
            <w:r>
              <w:rPr>
                <w:rFonts w:hint="eastAsia" w:ascii="方正仿宋_GBK" w:hAnsi="宋体" w:eastAsia="方正仿宋_GBK" w:cs="仿宋_GB2312"/>
                <w:sz w:val="21"/>
                <w:szCs w:val="21"/>
              </w:rPr>
              <w:t>响应</w:t>
            </w:r>
            <w:r>
              <w:rPr>
                <w:rFonts w:hint="eastAsia" w:ascii="方正仿宋_GBK" w:hAnsi="宋体" w:eastAsia="方正仿宋_GBK" w:cs="仿宋_GB2312"/>
                <w:sz w:val="21"/>
                <w:szCs w:val="21"/>
                <w:lang w:val="zh-CN"/>
              </w:rPr>
              <w:t>文件正、副本数量（含电子文档）符合</w:t>
            </w:r>
            <w:r>
              <w:rPr>
                <w:rFonts w:hint="eastAsia" w:ascii="方正仿宋_GBK" w:hAnsi="宋体" w:eastAsia="方正仿宋_GBK" w:cs="仿宋_GB2312"/>
                <w:sz w:val="21"/>
                <w:szCs w:val="21"/>
              </w:rPr>
              <w:t>竞争性磋商</w:t>
            </w:r>
            <w:r>
              <w:rPr>
                <w:rFonts w:hint="eastAsia" w:ascii="方正仿宋_GBK" w:hAnsi="宋体" w:eastAsia="方正仿宋_GBK" w:cs="仿宋_GB2312"/>
                <w:sz w:val="21"/>
                <w:szCs w:val="21"/>
                <w:lang w:val="zh-CN"/>
              </w:rPr>
              <w:t>文件要求。</w:t>
            </w:r>
          </w:p>
        </w:tc>
      </w:tr>
      <w:tr w14:paraId="3F3DE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noWrap w:val="0"/>
            <w:vAlign w:val="center"/>
          </w:tcPr>
          <w:p w14:paraId="551D724F">
            <w:pPr>
              <w:jc w:val="cente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3</w:t>
            </w:r>
          </w:p>
        </w:tc>
        <w:tc>
          <w:tcPr>
            <w:tcW w:w="1560" w:type="dxa"/>
            <w:vMerge w:val="restart"/>
            <w:noWrap w:val="0"/>
            <w:vAlign w:val="center"/>
          </w:tcPr>
          <w:p w14:paraId="31905FF7">
            <w:pPr>
              <w:rPr>
                <w:rFonts w:hint="eastAsia" w:ascii="方正仿宋_GBK" w:hAnsi="宋体" w:eastAsia="方正仿宋_GBK" w:cs="仿宋_GB2312"/>
                <w:sz w:val="21"/>
                <w:szCs w:val="21"/>
                <w:lang w:val="zh-CN"/>
              </w:rPr>
            </w:pPr>
            <w:r>
              <w:rPr>
                <w:rFonts w:hint="eastAsia" w:ascii="方正仿宋_GBK" w:hAnsi="宋体" w:eastAsia="方正仿宋_GBK" w:cs="宋体"/>
                <w:kern w:val="0"/>
                <w:sz w:val="21"/>
                <w:szCs w:val="21"/>
              </w:rPr>
              <w:t>响应程度审查</w:t>
            </w:r>
          </w:p>
        </w:tc>
        <w:tc>
          <w:tcPr>
            <w:tcW w:w="1984" w:type="dxa"/>
            <w:noWrap w:val="0"/>
            <w:vAlign w:val="center"/>
          </w:tcPr>
          <w:p w14:paraId="18CCCA3B">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实质性响应</w:t>
            </w:r>
          </w:p>
        </w:tc>
        <w:tc>
          <w:tcPr>
            <w:tcW w:w="5409" w:type="dxa"/>
            <w:noWrap w:val="0"/>
            <w:vAlign w:val="center"/>
          </w:tcPr>
          <w:p w14:paraId="056E53D8">
            <w:pPr>
              <w:pStyle w:val="7"/>
              <w:rPr>
                <w:rFonts w:hint="eastAsia" w:ascii="方正仿宋_GBK" w:hAnsi="宋体" w:eastAsia="方正仿宋_GBK" w:cs="宋体"/>
                <w:kern w:val="0"/>
                <w:sz w:val="21"/>
                <w:szCs w:val="21"/>
                <w:lang w:val="en-US" w:eastAsia="zh-CN"/>
              </w:rPr>
            </w:pPr>
            <w:r>
              <w:rPr>
                <w:rFonts w:hint="eastAsia" w:ascii="方正仿宋_GBK" w:hAnsi="宋体" w:eastAsia="方正仿宋_GBK" w:cs="宋体"/>
                <w:kern w:val="0"/>
                <w:sz w:val="21"/>
                <w:szCs w:val="21"/>
                <w:lang w:val="en-US" w:eastAsia="zh-CN"/>
              </w:rPr>
              <w:t>竞争性磋商文件第二篇及第三篇全部内容。</w:t>
            </w:r>
          </w:p>
        </w:tc>
      </w:tr>
      <w:tr w14:paraId="20C26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675" w:type="dxa"/>
            <w:vMerge w:val="continue"/>
            <w:noWrap w:val="0"/>
            <w:vAlign w:val="center"/>
          </w:tcPr>
          <w:p w14:paraId="596DA00B">
            <w:pPr>
              <w:jc w:val="center"/>
              <w:rPr>
                <w:rFonts w:hint="eastAsia" w:ascii="方正仿宋_GBK" w:hAnsi="宋体" w:eastAsia="方正仿宋_GBK" w:cs="宋体"/>
                <w:kern w:val="0"/>
                <w:sz w:val="21"/>
                <w:szCs w:val="21"/>
              </w:rPr>
            </w:pPr>
          </w:p>
        </w:tc>
        <w:tc>
          <w:tcPr>
            <w:tcW w:w="1560" w:type="dxa"/>
            <w:vMerge w:val="continue"/>
            <w:noWrap w:val="0"/>
            <w:vAlign w:val="center"/>
          </w:tcPr>
          <w:p w14:paraId="2EB259BA">
            <w:pPr>
              <w:rPr>
                <w:rFonts w:hint="eastAsia" w:ascii="方正仿宋_GBK" w:hAnsi="宋体" w:eastAsia="方正仿宋_GBK" w:cs="仿宋_GB2312"/>
                <w:sz w:val="21"/>
                <w:szCs w:val="21"/>
                <w:lang w:val="zh-CN"/>
              </w:rPr>
            </w:pPr>
          </w:p>
        </w:tc>
        <w:tc>
          <w:tcPr>
            <w:tcW w:w="1984" w:type="dxa"/>
            <w:noWrap w:val="0"/>
            <w:vAlign w:val="center"/>
          </w:tcPr>
          <w:p w14:paraId="71AFBB70">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磋商有效期</w:t>
            </w:r>
          </w:p>
        </w:tc>
        <w:tc>
          <w:tcPr>
            <w:tcW w:w="5409" w:type="dxa"/>
            <w:noWrap w:val="0"/>
            <w:vAlign w:val="center"/>
          </w:tcPr>
          <w:p w14:paraId="42D54EE4">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响应文件及有关承诺文件有效期为提交响应文件截止时间起90天。</w:t>
            </w:r>
          </w:p>
        </w:tc>
      </w:tr>
    </w:tbl>
    <w:p w14:paraId="6AC66CB6">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3.根据《财政部关于政府采购竞争性磋商采购方式管理暂行办法有关问题的补充通知》（财库〔2015〕124号）采用竞争性磋商采购方式采购的政府购买服务项目（含政府和社会资本合作项目），在采购过程中符合要求的供应商（社会资本）只有2家的，竞争性磋商采购活动可以继续进行。</w:t>
      </w:r>
    </w:p>
    <w:p w14:paraId="24E5C1FF">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48C0EF6">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四）磋商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2D4D7663">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（五）在磋商过程中磋商的任何一方不得向他人透露与磋商有关的服务资料、价格或其他信息。</w:t>
      </w:r>
    </w:p>
    <w:p w14:paraId="79EC3D7F">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六）在磋商过程中，磋商小组可以根据竞争性磋商文件和磋商情况实质性变动采购需求中的服务、商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14:paraId="73734462">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（七）供应商在磋商时作出的所有书面承诺须由法定代表人（或其授权代表）或自然人（供应商为自然人）签署。</w:t>
      </w:r>
    </w:p>
    <w:p w14:paraId="0BEAEC6B">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八）经磋商确定最终采购需求且磋商结束后，供应商应当按照竞争性磋商文件的变动情况和磋商小组的要求重新提交响应文件或重新做出相关的书面承诺，最后书面提交最后报价及有关承诺（《最后报价表》在磋商现场向供应商提供）。</w:t>
      </w:r>
      <w:r>
        <w:rPr>
          <w:rFonts w:ascii="方正仿宋_GBK" w:hAnsi="宋体" w:eastAsia="方正仿宋_GBK"/>
          <w:sz w:val="24"/>
          <w:szCs w:val="24"/>
        </w:rPr>
        <w:t>已提交响应文件</w:t>
      </w:r>
      <w:r>
        <w:rPr>
          <w:rFonts w:hint="eastAsia" w:ascii="方正仿宋_GBK" w:hAnsi="宋体" w:eastAsia="方正仿宋_GBK"/>
          <w:sz w:val="24"/>
          <w:szCs w:val="24"/>
        </w:rPr>
        <w:t>但未在规定时间内进行最后报价</w:t>
      </w:r>
      <w:r>
        <w:rPr>
          <w:rFonts w:ascii="方正仿宋_GBK" w:hAnsi="宋体" w:eastAsia="方正仿宋_GBK"/>
          <w:sz w:val="24"/>
          <w:szCs w:val="24"/>
        </w:rPr>
        <w:t>的供应商，</w:t>
      </w:r>
      <w:r>
        <w:rPr>
          <w:rFonts w:hint="eastAsia" w:ascii="方正仿宋_GBK" w:hAnsi="宋体" w:eastAsia="方正仿宋_GBK"/>
          <w:sz w:val="24"/>
          <w:szCs w:val="24"/>
        </w:rPr>
        <w:t>视为放弃最后报价，以供应商响应文件中的报价为准。</w:t>
      </w:r>
    </w:p>
    <w:p w14:paraId="2344FD63">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（九）磋商小组采用综合评分法对提交最后报价的供应商的响应文件和最后报价（含有效书面承诺）进行综合评分。</w:t>
      </w:r>
      <w:r>
        <w:rPr>
          <w:rFonts w:hint="eastAsia" w:ascii="方正仿宋_GBK" w:hAnsi="宋体" w:eastAsia="方正仿宋_GBK" w:cs="宋体"/>
          <w:kern w:val="0"/>
          <w:sz w:val="24"/>
          <w:szCs w:val="24"/>
        </w:rPr>
        <w:t>综合评分法，是指响应</w:t>
      </w:r>
      <w:r>
        <w:rPr>
          <w:rFonts w:ascii="方正仿宋_GBK" w:hAnsi="宋体" w:eastAsia="方正仿宋_GBK" w:cs="宋体"/>
          <w:kern w:val="0"/>
          <w:sz w:val="24"/>
          <w:szCs w:val="24"/>
        </w:rPr>
        <w:t>文件满足</w:t>
      </w:r>
      <w:r>
        <w:rPr>
          <w:rFonts w:hint="eastAsia" w:ascii="方正仿宋_GBK" w:hAnsi="宋体" w:eastAsia="方正仿宋_GBK" w:cs="宋体"/>
          <w:kern w:val="0"/>
          <w:sz w:val="24"/>
          <w:szCs w:val="24"/>
        </w:rPr>
        <w:t>竞争性磋商</w:t>
      </w:r>
      <w:r>
        <w:rPr>
          <w:rFonts w:ascii="方正仿宋_GBK" w:hAnsi="宋体" w:eastAsia="方正仿宋_GBK" w:cs="宋体"/>
          <w:kern w:val="0"/>
          <w:sz w:val="24"/>
          <w:szCs w:val="24"/>
        </w:rPr>
        <w:t>文件全部实质性要求且按照评审因素的量化指标评审得分最高的供应商为</w:t>
      </w:r>
      <w:r>
        <w:rPr>
          <w:rFonts w:hint="eastAsia" w:ascii="方正仿宋_GBK" w:hAnsi="宋体" w:eastAsia="方正仿宋_GBK" w:cs="宋体"/>
          <w:kern w:val="0"/>
          <w:sz w:val="24"/>
          <w:szCs w:val="24"/>
        </w:rPr>
        <w:t>成交</w:t>
      </w:r>
      <w:r>
        <w:rPr>
          <w:rFonts w:ascii="方正仿宋_GBK" w:hAnsi="宋体" w:eastAsia="方正仿宋_GBK" w:cs="宋体"/>
          <w:kern w:val="0"/>
          <w:sz w:val="24"/>
          <w:szCs w:val="24"/>
        </w:rPr>
        <w:t>候选</w:t>
      </w:r>
      <w:r>
        <w:rPr>
          <w:rFonts w:hint="eastAsia" w:ascii="方正仿宋_GBK" w:hAnsi="宋体" w:eastAsia="方正仿宋_GBK" w:cs="宋体"/>
          <w:kern w:val="0"/>
          <w:sz w:val="24"/>
          <w:szCs w:val="24"/>
        </w:rPr>
        <w:t>供应商</w:t>
      </w:r>
      <w:r>
        <w:rPr>
          <w:rFonts w:ascii="方正仿宋_GBK" w:hAnsi="宋体" w:eastAsia="方正仿宋_GBK" w:cs="宋体"/>
          <w:kern w:val="0"/>
          <w:sz w:val="24"/>
          <w:szCs w:val="24"/>
        </w:rPr>
        <w:t>的</w:t>
      </w:r>
      <w:r>
        <w:rPr>
          <w:rFonts w:hint="eastAsia" w:ascii="方正仿宋_GBK" w:hAnsi="宋体" w:eastAsia="方正仿宋_GBK" w:cs="宋体"/>
          <w:kern w:val="0"/>
          <w:sz w:val="24"/>
          <w:szCs w:val="24"/>
        </w:rPr>
        <w:t>评审</w:t>
      </w:r>
      <w:r>
        <w:rPr>
          <w:rFonts w:ascii="方正仿宋_GBK" w:hAnsi="宋体" w:eastAsia="方正仿宋_GBK" w:cs="宋体"/>
          <w:kern w:val="0"/>
          <w:sz w:val="24"/>
          <w:szCs w:val="24"/>
        </w:rPr>
        <w:t>方法</w:t>
      </w:r>
      <w:r>
        <w:rPr>
          <w:rFonts w:hint="eastAsia" w:ascii="方正仿宋_GBK" w:hAnsi="宋体" w:eastAsia="方正仿宋_GBK" w:cs="宋体"/>
          <w:kern w:val="0"/>
          <w:sz w:val="24"/>
          <w:szCs w:val="24"/>
        </w:rPr>
        <w:t>。供应商总得分为价格、</w:t>
      </w:r>
      <w:r>
        <w:rPr>
          <w:rFonts w:hint="eastAsia" w:ascii="方正仿宋_GBK" w:hAnsi="宋体" w:eastAsia="方正仿宋_GBK" w:cs="宋体"/>
          <w:kern w:val="0"/>
          <w:sz w:val="24"/>
          <w:szCs w:val="24"/>
          <w:lang w:eastAsia="zh-CN"/>
        </w:rPr>
        <w:t>服务</w:t>
      </w:r>
      <w:r>
        <w:rPr>
          <w:rFonts w:hint="eastAsia" w:ascii="方正仿宋_GBK" w:hAnsi="宋体" w:eastAsia="方正仿宋_GBK" w:cs="宋体"/>
          <w:kern w:val="0"/>
          <w:sz w:val="24"/>
          <w:szCs w:val="24"/>
        </w:rPr>
        <w:t>、商务等评定因素分别按照相应权重值计算分项得分后相加，满分为100分</w:t>
      </w:r>
      <w:r>
        <w:rPr>
          <w:rFonts w:hint="eastAsia" w:ascii="方正仿宋_GBK" w:hAnsi="宋体" w:eastAsia="方正仿宋_GBK"/>
          <w:sz w:val="24"/>
          <w:szCs w:val="24"/>
        </w:rPr>
        <w:t>。</w:t>
      </w:r>
    </w:p>
    <w:p w14:paraId="17D37233">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（十）磋商小组各成员独立对每个有效响应（通过资格性审查、</w:t>
      </w:r>
      <w:r>
        <w:rPr>
          <w:rFonts w:hint="eastAsia" w:ascii="方正仿宋_GBK" w:hAnsi="宋体" w:eastAsia="方正仿宋_GBK" w:cs="宋体"/>
          <w:kern w:val="0"/>
          <w:sz w:val="24"/>
          <w:szCs w:val="24"/>
        </w:rPr>
        <w:t>符合性审查的供应商</w:t>
      </w:r>
      <w:r>
        <w:rPr>
          <w:rFonts w:hint="eastAsia" w:ascii="方正仿宋_GBK" w:hAnsi="宋体" w:eastAsia="方正仿宋_GBK"/>
          <w:sz w:val="24"/>
          <w:szCs w:val="24"/>
        </w:rPr>
        <w:t>）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w:t>
      </w:r>
      <w:r>
        <w:rPr>
          <w:rFonts w:hint="eastAsia" w:ascii="方正仿宋_GBK" w:hAnsi="宋体" w:eastAsia="方正仿宋_GBK"/>
          <w:sz w:val="24"/>
          <w:szCs w:val="24"/>
          <w:lang w:eastAsia="zh-CN"/>
        </w:rPr>
        <w:t>服务</w:t>
      </w:r>
      <w:r>
        <w:rPr>
          <w:rFonts w:hint="eastAsia" w:ascii="方正仿宋_GBK" w:hAnsi="宋体" w:eastAsia="方正仿宋_GBK"/>
          <w:sz w:val="24"/>
          <w:szCs w:val="24"/>
        </w:rPr>
        <w:t>指标优劣顺序排列推荐。以上都相同的，按商务条款的优劣顺序排列推荐。（提示：请慎重考虑</w:t>
      </w:r>
      <w:r>
        <w:rPr>
          <w:rFonts w:ascii="方正仿宋_GBK" w:hAnsi="宋体" w:eastAsia="方正仿宋_GBK"/>
          <w:sz w:val="24"/>
          <w:szCs w:val="24"/>
        </w:rPr>
        <w:t>是否推荐</w:t>
      </w:r>
      <w:r>
        <w:rPr>
          <w:rFonts w:hint="eastAsia" w:ascii="方正仿宋_GBK" w:hAnsi="宋体" w:eastAsia="方正仿宋_GBK"/>
          <w:sz w:val="24"/>
          <w:szCs w:val="24"/>
          <w:lang w:eastAsia="zh-CN"/>
        </w:rPr>
        <w:t>服务部分</w:t>
      </w:r>
      <w:r>
        <w:rPr>
          <w:rFonts w:ascii="方正仿宋_GBK" w:hAnsi="宋体" w:eastAsia="方正仿宋_GBK"/>
          <w:sz w:val="24"/>
          <w:szCs w:val="24"/>
        </w:rPr>
        <w:t>得分为</w:t>
      </w:r>
      <w:r>
        <w:rPr>
          <w:rFonts w:hint="eastAsia" w:ascii="方正仿宋_GBK" w:hAnsi="宋体" w:eastAsia="方正仿宋_GBK"/>
          <w:sz w:val="24"/>
          <w:szCs w:val="24"/>
        </w:rPr>
        <w:t>0分</w:t>
      </w:r>
      <w:r>
        <w:rPr>
          <w:rFonts w:ascii="方正仿宋_GBK" w:hAnsi="宋体" w:eastAsia="方正仿宋_GBK"/>
          <w:sz w:val="24"/>
          <w:szCs w:val="24"/>
        </w:rPr>
        <w:t>的</w:t>
      </w:r>
      <w:r>
        <w:rPr>
          <w:rFonts w:hint="eastAsia" w:ascii="方正仿宋_GBK" w:hAnsi="宋体" w:eastAsia="方正仿宋_GBK"/>
          <w:sz w:val="24"/>
          <w:szCs w:val="24"/>
        </w:rPr>
        <w:t>供应商</w:t>
      </w:r>
      <w:r>
        <w:rPr>
          <w:rFonts w:ascii="方正仿宋_GBK" w:hAnsi="宋体" w:eastAsia="方正仿宋_GBK"/>
          <w:sz w:val="24"/>
          <w:szCs w:val="24"/>
        </w:rPr>
        <w:t>成为</w:t>
      </w:r>
      <w:r>
        <w:rPr>
          <w:rFonts w:hint="eastAsia" w:ascii="方正仿宋_GBK" w:hAnsi="宋体" w:eastAsia="方正仿宋_GBK"/>
          <w:sz w:val="24"/>
          <w:szCs w:val="24"/>
        </w:rPr>
        <w:t>成交候选供应商，应在</w:t>
      </w:r>
      <w:r>
        <w:rPr>
          <w:rFonts w:hint="eastAsia" w:ascii="方正仿宋_GBK" w:hAnsi="宋体" w:eastAsia="方正仿宋_GBK" w:cs="宋体"/>
          <w:kern w:val="0"/>
          <w:sz w:val="24"/>
          <w:szCs w:val="24"/>
        </w:rPr>
        <w:t>竞争性磋商</w:t>
      </w:r>
      <w:r>
        <w:rPr>
          <w:rFonts w:ascii="方正仿宋_GBK" w:hAnsi="宋体" w:eastAsia="方正仿宋_GBK" w:cs="宋体"/>
          <w:kern w:val="0"/>
          <w:sz w:val="24"/>
          <w:szCs w:val="24"/>
        </w:rPr>
        <w:t>文件</w:t>
      </w:r>
      <w:r>
        <w:rPr>
          <w:rFonts w:hint="eastAsia" w:ascii="方正仿宋_GBK" w:hAnsi="宋体" w:eastAsia="方正仿宋_GBK"/>
          <w:sz w:val="24"/>
          <w:szCs w:val="24"/>
        </w:rPr>
        <w:t>中对该种情况的处理方式予以明确</w:t>
      </w:r>
      <w:r>
        <w:rPr>
          <w:rFonts w:ascii="方正仿宋_GBK" w:hAnsi="宋体" w:eastAsia="方正仿宋_GBK"/>
          <w:sz w:val="24"/>
          <w:szCs w:val="24"/>
        </w:rPr>
        <w:t>。</w:t>
      </w:r>
      <w:r>
        <w:rPr>
          <w:rFonts w:hint="eastAsia" w:ascii="方正仿宋_GBK" w:hAnsi="宋体" w:eastAsia="方正仿宋_GBK"/>
          <w:sz w:val="24"/>
          <w:szCs w:val="24"/>
        </w:rPr>
        <w:t>）</w:t>
      </w:r>
    </w:p>
    <w:p w14:paraId="68DEEA27">
      <w:pPr>
        <w:pStyle w:val="3"/>
        <w:adjustRightInd w:val="0"/>
        <w:snapToGrid w:val="0"/>
        <w:spacing w:before="0" w:after="0" w:line="400" w:lineRule="exact"/>
        <w:ind w:firstLine="482" w:firstLineChars="200"/>
        <w:rPr>
          <w:rFonts w:hint="eastAsia" w:ascii="方正仿宋_GBK" w:hAnsi="宋体" w:eastAsia="方正仿宋_GBK"/>
          <w:sz w:val="24"/>
        </w:rPr>
      </w:pPr>
      <w:bookmarkStart w:id="20" w:name="_Toc76462334"/>
      <w:bookmarkStart w:id="21" w:name="_Toc23173"/>
      <w:bookmarkStart w:id="22" w:name="_Toc106030889"/>
      <w:bookmarkStart w:id="23" w:name="_Toc20096"/>
      <w:r>
        <w:rPr>
          <w:rFonts w:hint="eastAsia" w:ascii="方正仿宋_GBK" w:hAnsi="宋体" w:eastAsia="方正仿宋_GBK"/>
          <w:sz w:val="24"/>
        </w:rPr>
        <w:t>二、</w:t>
      </w:r>
      <w:bookmarkStart w:id="24" w:name="_Toc342913394"/>
      <w:bookmarkStart w:id="25" w:name="_Toc102227320"/>
      <w:r>
        <w:rPr>
          <w:rFonts w:hint="eastAsia" w:ascii="方正仿宋_GBK" w:hAnsi="宋体" w:eastAsia="方正仿宋_GBK"/>
          <w:sz w:val="24"/>
        </w:rPr>
        <w:t>评审标准</w:t>
      </w:r>
      <w:bookmarkEnd w:id="20"/>
      <w:bookmarkEnd w:id="21"/>
      <w:bookmarkEnd w:id="22"/>
      <w:bookmarkEnd w:id="23"/>
    </w:p>
    <w:tbl>
      <w:tblPr>
        <w:tblStyle w:val="9"/>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1104"/>
        <w:gridCol w:w="557"/>
        <w:gridCol w:w="4616"/>
        <w:gridCol w:w="2614"/>
      </w:tblGrid>
      <w:tr w14:paraId="7CF26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center"/>
          </w:tcPr>
          <w:p w14:paraId="666FD7EF">
            <w:pPr>
              <w:ind w:firstLine="28"/>
              <w:jc w:val="center"/>
              <w:rPr>
                <w:rFonts w:hint="eastAsia" w:ascii="方正仿宋_GBK" w:hAnsi="宋体" w:eastAsia="方正仿宋_GBK"/>
                <w:b/>
                <w:sz w:val="21"/>
                <w:szCs w:val="21"/>
              </w:rPr>
            </w:pPr>
            <w:r>
              <w:rPr>
                <w:rFonts w:hint="eastAsia" w:ascii="方正仿宋_GBK" w:hAnsi="宋体" w:eastAsia="方正仿宋_GBK"/>
                <w:b/>
                <w:sz w:val="21"/>
                <w:szCs w:val="21"/>
              </w:rPr>
              <w:t>序号</w:t>
            </w:r>
          </w:p>
        </w:tc>
        <w:tc>
          <w:tcPr>
            <w:tcW w:w="1104" w:type="dxa"/>
            <w:noWrap w:val="0"/>
            <w:vAlign w:val="center"/>
          </w:tcPr>
          <w:p w14:paraId="6B795858">
            <w:pPr>
              <w:ind w:firstLine="28"/>
              <w:jc w:val="center"/>
              <w:rPr>
                <w:rFonts w:hint="eastAsia" w:ascii="方正仿宋_GBK" w:hAnsi="宋体" w:eastAsia="方正仿宋_GBK"/>
                <w:b/>
                <w:sz w:val="21"/>
                <w:szCs w:val="21"/>
              </w:rPr>
            </w:pPr>
            <w:r>
              <w:rPr>
                <w:rFonts w:hint="eastAsia" w:ascii="方正仿宋_GBK" w:hAnsi="宋体" w:eastAsia="方正仿宋_GBK"/>
                <w:b/>
                <w:sz w:val="21"/>
                <w:szCs w:val="21"/>
              </w:rPr>
              <w:t>评分因素及权值</w:t>
            </w:r>
          </w:p>
        </w:tc>
        <w:tc>
          <w:tcPr>
            <w:tcW w:w="557" w:type="dxa"/>
            <w:noWrap w:val="0"/>
            <w:vAlign w:val="center"/>
          </w:tcPr>
          <w:p w14:paraId="75D88B80">
            <w:pPr>
              <w:ind w:firstLine="28"/>
              <w:jc w:val="center"/>
              <w:rPr>
                <w:rFonts w:hint="eastAsia" w:ascii="方正仿宋_GBK" w:hAnsi="宋体" w:eastAsia="方正仿宋_GBK"/>
                <w:b/>
                <w:sz w:val="21"/>
                <w:szCs w:val="21"/>
              </w:rPr>
            </w:pPr>
            <w:r>
              <w:rPr>
                <w:rFonts w:hint="eastAsia" w:ascii="方正仿宋_GBK" w:hAnsi="宋体" w:eastAsia="方正仿宋_GBK"/>
                <w:b/>
                <w:sz w:val="21"/>
                <w:szCs w:val="21"/>
              </w:rPr>
              <w:t>分值</w:t>
            </w:r>
          </w:p>
        </w:tc>
        <w:tc>
          <w:tcPr>
            <w:tcW w:w="4616" w:type="dxa"/>
            <w:noWrap w:val="0"/>
            <w:vAlign w:val="center"/>
          </w:tcPr>
          <w:p w14:paraId="00C15C05">
            <w:pPr>
              <w:ind w:firstLine="28"/>
              <w:jc w:val="center"/>
              <w:rPr>
                <w:rFonts w:hint="eastAsia" w:ascii="方正仿宋_GBK" w:hAnsi="宋体" w:eastAsia="方正仿宋_GBK"/>
                <w:b/>
                <w:sz w:val="21"/>
                <w:szCs w:val="21"/>
              </w:rPr>
            </w:pPr>
            <w:r>
              <w:rPr>
                <w:rFonts w:hint="eastAsia" w:ascii="方正仿宋_GBK" w:hAnsi="宋体" w:eastAsia="方正仿宋_GBK"/>
                <w:b/>
                <w:sz w:val="21"/>
                <w:szCs w:val="21"/>
              </w:rPr>
              <w:t>评分标准</w:t>
            </w:r>
          </w:p>
        </w:tc>
        <w:tc>
          <w:tcPr>
            <w:tcW w:w="2614" w:type="dxa"/>
            <w:noWrap w:val="0"/>
            <w:vAlign w:val="center"/>
          </w:tcPr>
          <w:p w14:paraId="280F6608">
            <w:pPr>
              <w:pStyle w:val="13"/>
              <w:spacing w:before="0" w:after="0" w:line="240" w:lineRule="auto"/>
              <w:ind w:left="1540" w:hanging="420"/>
              <w:rPr>
                <w:rFonts w:hint="eastAsia" w:ascii="方正仿宋_GBK" w:hAnsi="宋体" w:eastAsia="方正仿宋_GBK"/>
                <w:sz w:val="21"/>
                <w:szCs w:val="21"/>
              </w:rPr>
            </w:pPr>
            <w:r>
              <w:rPr>
                <w:rFonts w:hint="eastAsia" w:ascii="方正仿宋_GBK" w:hAnsi="宋体" w:eastAsia="方正仿宋_GBK"/>
                <w:sz w:val="21"/>
                <w:szCs w:val="21"/>
              </w:rPr>
              <w:t>说明</w:t>
            </w:r>
          </w:p>
        </w:tc>
      </w:tr>
      <w:tr w14:paraId="3A44D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4" w:hRule="atLeast"/>
        </w:trPr>
        <w:tc>
          <w:tcPr>
            <w:tcW w:w="845" w:type="dxa"/>
            <w:noWrap w:val="0"/>
            <w:vAlign w:val="center"/>
          </w:tcPr>
          <w:p w14:paraId="0F455638">
            <w:pPr>
              <w:ind w:firstLine="28"/>
              <w:jc w:val="center"/>
              <w:rPr>
                <w:rFonts w:hint="eastAsia" w:ascii="方正仿宋_GBK" w:hAnsi="宋体" w:eastAsia="方正仿宋_GBK"/>
                <w:sz w:val="21"/>
                <w:szCs w:val="21"/>
              </w:rPr>
            </w:pPr>
            <w:r>
              <w:rPr>
                <w:rFonts w:hint="eastAsia" w:ascii="方正仿宋_GBK" w:hAnsi="宋体" w:eastAsia="方正仿宋_GBK"/>
                <w:sz w:val="21"/>
                <w:szCs w:val="21"/>
              </w:rPr>
              <w:t>1</w:t>
            </w:r>
          </w:p>
        </w:tc>
        <w:tc>
          <w:tcPr>
            <w:tcW w:w="1104" w:type="dxa"/>
            <w:noWrap w:val="0"/>
            <w:vAlign w:val="center"/>
          </w:tcPr>
          <w:p w14:paraId="3DC97C06">
            <w:pPr>
              <w:ind w:firstLine="28"/>
              <w:jc w:val="center"/>
              <w:rPr>
                <w:rFonts w:hint="eastAsia" w:ascii="方正仿宋_GBK" w:hAnsi="宋体" w:eastAsia="方正仿宋_GBK"/>
                <w:sz w:val="21"/>
                <w:szCs w:val="21"/>
              </w:rPr>
            </w:pPr>
            <w:r>
              <w:rPr>
                <w:rFonts w:hint="eastAsia" w:ascii="方正仿宋_GBK" w:hAnsi="宋体" w:eastAsia="方正仿宋_GBK"/>
                <w:sz w:val="21"/>
                <w:szCs w:val="21"/>
              </w:rPr>
              <w:t>磋商报价</w:t>
            </w:r>
          </w:p>
          <w:p w14:paraId="729D4B8F">
            <w:pPr>
              <w:ind w:firstLine="28"/>
              <w:jc w:val="center"/>
              <w:rPr>
                <w:rFonts w:hint="eastAsia" w:ascii="方正仿宋_GBK" w:hAnsi="宋体" w:eastAsia="方正仿宋_GBK"/>
                <w:sz w:val="21"/>
                <w:szCs w:val="21"/>
              </w:rPr>
            </w:pPr>
            <w:r>
              <w:rPr>
                <w:rFonts w:hint="eastAsia" w:ascii="方正仿宋_GBK" w:hAnsi="宋体" w:eastAsia="方正仿宋_GBK"/>
                <w:sz w:val="21"/>
                <w:szCs w:val="21"/>
              </w:rPr>
              <w:t>（30%）</w:t>
            </w:r>
          </w:p>
        </w:tc>
        <w:tc>
          <w:tcPr>
            <w:tcW w:w="557" w:type="dxa"/>
            <w:noWrap w:val="0"/>
            <w:vAlign w:val="center"/>
          </w:tcPr>
          <w:p w14:paraId="64F89AFA">
            <w:pPr>
              <w:ind w:firstLine="28"/>
              <w:jc w:val="center"/>
              <w:rPr>
                <w:rFonts w:hint="eastAsia" w:ascii="方正仿宋_GBK" w:hAnsi="宋体" w:eastAsia="方正仿宋_GBK"/>
                <w:sz w:val="21"/>
                <w:szCs w:val="21"/>
              </w:rPr>
            </w:pPr>
            <w:r>
              <w:rPr>
                <w:rFonts w:hint="eastAsia" w:ascii="方正仿宋_GBK" w:hAnsi="宋体" w:eastAsia="方正仿宋_GBK"/>
                <w:sz w:val="21"/>
                <w:szCs w:val="21"/>
              </w:rPr>
              <w:t>30</w:t>
            </w:r>
          </w:p>
        </w:tc>
        <w:tc>
          <w:tcPr>
            <w:tcW w:w="4616" w:type="dxa"/>
            <w:noWrap w:val="0"/>
            <w:vAlign w:val="center"/>
          </w:tcPr>
          <w:p w14:paraId="0BB16E02">
            <w:pPr>
              <w:rPr>
                <w:rFonts w:hint="eastAsia" w:ascii="方正仿宋_GBK" w:hAnsi="宋体" w:eastAsia="方正仿宋_GBK"/>
                <w:sz w:val="21"/>
                <w:szCs w:val="21"/>
              </w:rPr>
            </w:pPr>
            <w:r>
              <w:rPr>
                <w:rFonts w:hint="eastAsia" w:ascii="方正仿宋_GBK" w:hAnsi="宋体" w:eastAsia="方正仿宋_GBK"/>
                <w:sz w:val="21"/>
                <w:szCs w:val="21"/>
              </w:rPr>
              <w:t>满足资格性、符合性要求且最后报价最低的供应商的价格为磋商基准价，其价格分为满分。其他供应商的价格分统一按照下列公式计算：</w:t>
            </w:r>
          </w:p>
          <w:p w14:paraId="2C90B07E">
            <w:pPr>
              <w:rPr>
                <w:rFonts w:hint="default" w:ascii="Calibri" w:hAnsi="Calibri" w:eastAsia="方正仿宋_GBK"/>
                <w:sz w:val="21"/>
                <w:szCs w:val="21"/>
              </w:rPr>
            </w:pPr>
            <w:r>
              <w:rPr>
                <w:rFonts w:hint="eastAsia" w:ascii="方正仿宋_GBK" w:hAnsi="宋体" w:eastAsia="方正仿宋_GBK"/>
                <w:sz w:val="21"/>
                <w:szCs w:val="21"/>
              </w:rPr>
              <w:t>磋商报价得分=（磋商基准价/最后磋商报价）×价格权值×100</w:t>
            </w:r>
          </w:p>
        </w:tc>
        <w:tc>
          <w:tcPr>
            <w:tcW w:w="2614" w:type="dxa"/>
            <w:noWrap w:val="0"/>
            <w:vAlign w:val="center"/>
          </w:tcPr>
          <w:p w14:paraId="392358CE">
            <w:pPr>
              <w:ind w:left="-38"/>
              <w:jc w:val="center"/>
              <w:rPr>
                <w:rFonts w:hint="eastAsia" w:ascii="方正仿宋_GBK" w:hAnsi="宋体" w:eastAsia="方正仿宋_GBK"/>
                <w:sz w:val="21"/>
                <w:szCs w:val="21"/>
              </w:rPr>
            </w:pPr>
            <w:r>
              <w:rPr>
                <w:rFonts w:ascii="Calibri" w:hAnsi="Calibri" w:eastAsia="方正仿宋_GBK"/>
                <w:sz w:val="21"/>
                <w:szCs w:val="21"/>
              </w:rPr>
              <w:t>/</w:t>
            </w:r>
          </w:p>
        </w:tc>
      </w:tr>
      <w:tr w14:paraId="2C65C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Merge w:val="restart"/>
            <w:noWrap w:val="0"/>
            <w:vAlign w:val="center"/>
          </w:tcPr>
          <w:p w14:paraId="0341E476">
            <w:pPr>
              <w:ind w:firstLine="28"/>
              <w:jc w:val="center"/>
              <w:rPr>
                <w:rFonts w:hint="eastAsia" w:ascii="方正仿宋_GBK" w:hAnsi="宋体" w:eastAsia="方正仿宋_GBK"/>
                <w:sz w:val="21"/>
                <w:szCs w:val="21"/>
              </w:rPr>
            </w:pPr>
            <w:r>
              <w:rPr>
                <w:rFonts w:hint="eastAsia" w:ascii="方正仿宋_GBK" w:hAnsi="宋体" w:eastAsia="方正仿宋_GBK"/>
                <w:sz w:val="21"/>
                <w:szCs w:val="21"/>
              </w:rPr>
              <w:t>2</w:t>
            </w:r>
          </w:p>
        </w:tc>
        <w:tc>
          <w:tcPr>
            <w:tcW w:w="1104" w:type="dxa"/>
            <w:vMerge w:val="restart"/>
            <w:noWrap w:val="0"/>
            <w:vAlign w:val="center"/>
          </w:tcPr>
          <w:p w14:paraId="4E1D65A4">
            <w:pPr>
              <w:ind w:firstLine="28"/>
              <w:jc w:val="center"/>
              <w:rPr>
                <w:rFonts w:hint="eastAsia" w:ascii="方正仿宋_GBK" w:hAnsi="宋体" w:eastAsia="方正仿宋_GBK"/>
                <w:sz w:val="21"/>
                <w:szCs w:val="21"/>
                <w:lang w:eastAsia="zh-CN"/>
              </w:rPr>
            </w:pPr>
            <w:r>
              <w:rPr>
                <w:rFonts w:hint="eastAsia" w:ascii="方正仿宋_GBK" w:hAnsi="宋体" w:eastAsia="方正仿宋_GBK"/>
                <w:sz w:val="21"/>
                <w:szCs w:val="21"/>
                <w:lang w:eastAsia="zh-CN"/>
              </w:rPr>
              <w:t>服务部分</w:t>
            </w:r>
          </w:p>
          <w:p w14:paraId="4D9B3229">
            <w:pPr>
              <w:ind w:firstLine="28"/>
              <w:jc w:val="center"/>
              <w:rPr>
                <w:rFonts w:hint="eastAsia" w:ascii="方正仿宋_GBK" w:hAnsi="宋体" w:eastAsia="方正仿宋_GBK"/>
                <w:sz w:val="21"/>
                <w:szCs w:val="21"/>
              </w:rPr>
            </w:pPr>
            <w:r>
              <w:rPr>
                <w:rFonts w:hint="eastAsia" w:ascii="方正仿宋_GBK" w:hAnsi="宋体" w:eastAsia="方正仿宋_GBK"/>
                <w:sz w:val="21"/>
                <w:szCs w:val="21"/>
              </w:rPr>
              <w:t>（50%）</w:t>
            </w:r>
          </w:p>
        </w:tc>
        <w:tc>
          <w:tcPr>
            <w:tcW w:w="557" w:type="dxa"/>
            <w:tcBorders>
              <w:bottom w:val="single" w:color="auto" w:sz="4" w:space="0"/>
            </w:tcBorders>
            <w:noWrap w:val="0"/>
            <w:vAlign w:val="center"/>
          </w:tcPr>
          <w:p w14:paraId="20FC7EA0">
            <w:pPr>
              <w:ind w:firstLine="28"/>
              <w:jc w:val="center"/>
              <w:rPr>
                <w:rFonts w:hint="default" w:ascii="方正仿宋_GBK" w:hAnsi="宋体" w:eastAsia="方正仿宋_GBK"/>
                <w:sz w:val="21"/>
                <w:szCs w:val="21"/>
                <w:lang w:val="en-US" w:eastAsia="zh-CN"/>
              </w:rPr>
            </w:pPr>
            <w:r>
              <w:rPr>
                <w:rFonts w:hint="eastAsia" w:ascii="方正仿宋_GBK" w:hAnsi="宋体" w:eastAsia="方正仿宋_GBK"/>
                <w:sz w:val="21"/>
                <w:szCs w:val="21"/>
                <w:lang w:val="en-US" w:eastAsia="zh-CN"/>
              </w:rPr>
              <w:t>30</w:t>
            </w:r>
          </w:p>
        </w:tc>
        <w:tc>
          <w:tcPr>
            <w:tcW w:w="4616" w:type="dxa"/>
            <w:tcBorders>
              <w:bottom w:val="single" w:color="auto" w:sz="4" w:space="0"/>
            </w:tcBorders>
            <w:noWrap w:val="0"/>
            <w:vAlign w:val="center"/>
          </w:tcPr>
          <w:p w14:paraId="32EC0224">
            <w:pPr>
              <w:rPr>
                <w:rFonts w:hint="eastAsia" w:ascii="方正仿宋_GBK" w:hAnsi="宋体" w:eastAsia="方正仿宋_GBK" w:cs="Times New Roman"/>
                <w:sz w:val="21"/>
                <w:szCs w:val="21"/>
                <w:lang w:eastAsia="zh-CN"/>
              </w:rPr>
            </w:pPr>
            <w:r>
              <w:rPr>
                <w:rFonts w:hint="eastAsia" w:ascii="方正仿宋_GBK" w:hAnsi="宋体" w:eastAsia="方正仿宋_GBK" w:cs="Times New Roman"/>
                <w:sz w:val="21"/>
                <w:szCs w:val="21"/>
              </w:rPr>
              <w:t>供应商针对本项目提供</w:t>
            </w:r>
            <w:r>
              <w:rPr>
                <w:rFonts w:hint="eastAsia" w:ascii="方正仿宋_GBK" w:hAnsi="宋体" w:eastAsia="方正仿宋_GBK"/>
                <w:b/>
                <w:bCs/>
                <w:sz w:val="21"/>
                <w:szCs w:val="21"/>
              </w:rPr>
              <w:t>技术对接方案</w:t>
            </w:r>
            <w:r>
              <w:rPr>
                <w:rFonts w:hint="eastAsia" w:ascii="方正仿宋_GBK" w:hAnsi="宋体" w:eastAsia="方正仿宋_GBK"/>
                <w:sz w:val="21"/>
                <w:szCs w:val="21"/>
                <w:lang w:eastAsia="zh-CN"/>
              </w:rPr>
              <w:t>，</w:t>
            </w:r>
            <w:r>
              <w:rPr>
                <w:rFonts w:hint="eastAsia" w:ascii="方正仿宋_GBK" w:hAnsi="宋体" w:eastAsia="方正仿宋_GBK" w:cs="Times New Roman"/>
                <w:sz w:val="21"/>
                <w:szCs w:val="21"/>
              </w:rPr>
              <w:t>方案内容</w:t>
            </w:r>
            <w:r>
              <w:rPr>
                <w:rFonts w:hint="eastAsia" w:ascii="方正仿宋_GBK" w:hAnsi="宋体" w:eastAsia="方正仿宋_GBK" w:cs="Times New Roman"/>
                <w:sz w:val="21"/>
                <w:szCs w:val="21"/>
                <w:lang w:eastAsia="zh-CN"/>
              </w:rPr>
              <w:t>应</w:t>
            </w:r>
            <w:r>
              <w:rPr>
                <w:rFonts w:hint="eastAsia" w:ascii="方正仿宋_GBK" w:hAnsi="宋体" w:eastAsia="方正仿宋_GBK" w:cs="Times New Roman"/>
                <w:sz w:val="21"/>
                <w:szCs w:val="21"/>
              </w:rPr>
              <w:t>包含</w:t>
            </w:r>
            <w:r>
              <w:rPr>
                <w:rFonts w:hint="eastAsia" w:ascii="方正仿宋_GBK" w:hAnsi="宋体" w:eastAsia="方正仿宋_GBK" w:cs="Times New Roman"/>
                <w:sz w:val="21"/>
                <w:szCs w:val="21"/>
                <w:lang w:eastAsia="zh-CN"/>
              </w:rPr>
              <w:t>“第二篇</w:t>
            </w:r>
            <w:r>
              <w:rPr>
                <w:rFonts w:hint="eastAsia" w:ascii="方正仿宋_GBK" w:hAnsi="宋体" w:eastAsia="方正仿宋_GBK" w:cs="Times New Roman"/>
                <w:sz w:val="21"/>
                <w:szCs w:val="21"/>
                <w:lang w:val="en-US" w:eastAsia="zh-CN"/>
              </w:rPr>
              <w:t xml:space="preserve"> 项目服务需求</w:t>
            </w:r>
            <w:r>
              <w:rPr>
                <w:rFonts w:hint="eastAsia" w:ascii="方正仿宋_GBK" w:hAnsi="宋体" w:eastAsia="方正仿宋_GBK" w:cs="Times New Roman"/>
                <w:sz w:val="21"/>
                <w:szCs w:val="21"/>
                <w:lang w:eastAsia="zh-CN"/>
              </w:rPr>
              <w:t>”的相应内容。</w:t>
            </w:r>
          </w:p>
          <w:p w14:paraId="5636EF55">
            <w:pPr>
              <w:spacing w:line="240" w:lineRule="auto"/>
              <w:rPr>
                <w:rFonts w:ascii="方正仿宋_GBK" w:hAnsi="宋体" w:eastAsia="方正仿宋_GBK" w:cs="Times New Roman"/>
                <w:sz w:val="21"/>
                <w:szCs w:val="21"/>
              </w:rPr>
            </w:pPr>
            <w:r>
              <w:rPr>
                <w:rFonts w:hint="eastAsia" w:ascii="方正仿宋_GBK" w:hAnsi="宋体" w:eastAsia="方正仿宋_GBK" w:cs="Times New Roman"/>
                <w:sz w:val="21"/>
                <w:szCs w:val="21"/>
              </w:rPr>
              <w:t>方案内容不存在瑕疵的得</w:t>
            </w:r>
            <w:r>
              <w:rPr>
                <w:rFonts w:hint="eastAsia" w:ascii="方正仿宋_GBK" w:hAnsi="宋体" w:eastAsia="方正仿宋_GBK" w:cs="Times New Roman"/>
                <w:sz w:val="21"/>
                <w:szCs w:val="21"/>
                <w:lang w:val="en-US" w:eastAsia="zh-CN"/>
              </w:rPr>
              <w:t>30</w:t>
            </w:r>
            <w:r>
              <w:rPr>
                <w:rFonts w:hint="eastAsia" w:ascii="方正仿宋_GBK" w:hAnsi="宋体" w:eastAsia="方正仿宋_GBK" w:cs="Times New Roman"/>
                <w:sz w:val="21"/>
                <w:szCs w:val="21"/>
              </w:rPr>
              <w:t>分；</w:t>
            </w:r>
          </w:p>
          <w:p w14:paraId="20DAF90B">
            <w:pPr>
              <w:spacing w:line="240" w:lineRule="auto"/>
              <w:rPr>
                <w:rFonts w:ascii="方正仿宋_GBK" w:hAnsi="宋体" w:eastAsia="方正仿宋_GBK" w:cs="Times New Roman"/>
                <w:sz w:val="21"/>
                <w:szCs w:val="21"/>
              </w:rPr>
            </w:pPr>
            <w:r>
              <w:rPr>
                <w:rFonts w:hint="eastAsia" w:ascii="方正仿宋_GBK" w:hAnsi="宋体" w:eastAsia="方正仿宋_GBK" w:cs="Times New Roman"/>
                <w:sz w:val="21"/>
                <w:szCs w:val="21"/>
              </w:rPr>
              <w:t>方案内容存在1处瑕疵的得</w:t>
            </w:r>
            <w:r>
              <w:rPr>
                <w:rFonts w:hint="eastAsia" w:ascii="方正仿宋_GBK" w:hAnsi="宋体" w:eastAsia="方正仿宋_GBK" w:cs="Times New Roman"/>
                <w:sz w:val="21"/>
                <w:szCs w:val="21"/>
                <w:lang w:val="en-US" w:eastAsia="zh-CN"/>
              </w:rPr>
              <w:t>24</w:t>
            </w:r>
            <w:r>
              <w:rPr>
                <w:rFonts w:hint="eastAsia" w:ascii="方正仿宋_GBK" w:hAnsi="宋体" w:eastAsia="方正仿宋_GBK" w:cs="Times New Roman"/>
                <w:sz w:val="21"/>
                <w:szCs w:val="21"/>
              </w:rPr>
              <w:t>分；</w:t>
            </w:r>
          </w:p>
          <w:p w14:paraId="3873CD5A">
            <w:pPr>
              <w:spacing w:line="240" w:lineRule="auto"/>
              <w:rPr>
                <w:rFonts w:ascii="方正仿宋_GBK" w:hAnsi="宋体" w:eastAsia="方正仿宋_GBK" w:cs="Times New Roman"/>
                <w:sz w:val="21"/>
                <w:szCs w:val="21"/>
              </w:rPr>
            </w:pPr>
            <w:r>
              <w:rPr>
                <w:rFonts w:hint="eastAsia" w:ascii="方正仿宋_GBK" w:hAnsi="宋体" w:eastAsia="方正仿宋_GBK" w:cs="Times New Roman"/>
                <w:sz w:val="21"/>
                <w:szCs w:val="21"/>
              </w:rPr>
              <w:t>方案内容存在2处瑕疵的得</w:t>
            </w:r>
            <w:r>
              <w:rPr>
                <w:rFonts w:hint="eastAsia" w:ascii="方正仿宋_GBK" w:hAnsi="宋体" w:eastAsia="方正仿宋_GBK" w:cs="Times New Roman"/>
                <w:sz w:val="21"/>
                <w:szCs w:val="21"/>
                <w:lang w:val="en-US" w:eastAsia="zh-CN"/>
              </w:rPr>
              <w:t>18</w:t>
            </w:r>
            <w:r>
              <w:rPr>
                <w:rFonts w:hint="eastAsia" w:ascii="方正仿宋_GBK" w:hAnsi="宋体" w:eastAsia="方正仿宋_GBK" w:cs="Times New Roman"/>
                <w:sz w:val="21"/>
                <w:szCs w:val="21"/>
              </w:rPr>
              <w:t>分；</w:t>
            </w:r>
          </w:p>
          <w:p w14:paraId="7F0B8E54">
            <w:pPr>
              <w:spacing w:line="240" w:lineRule="auto"/>
              <w:rPr>
                <w:rFonts w:ascii="方正仿宋_GBK" w:hAnsi="宋体" w:eastAsia="方正仿宋_GBK" w:cs="Times New Roman"/>
                <w:sz w:val="21"/>
                <w:szCs w:val="21"/>
              </w:rPr>
            </w:pPr>
            <w:r>
              <w:rPr>
                <w:rFonts w:hint="eastAsia" w:ascii="方正仿宋_GBK" w:hAnsi="宋体" w:eastAsia="方正仿宋_GBK" w:cs="Times New Roman"/>
                <w:sz w:val="21"/>
                <w:szCs w:val="21"/>
              </w:rPr>
              <w:t>方案内容存在3处瑕疵的得</w:t>
            </w:r>
            <w:r>
              <w:rPr>
                <w:rFonts w:hint="eastAsia" w:ascii="方正仿宋_GBK" w:hAnsi="宋体" w:eastAsia="方正仿宋_GBK" w:cs="Times New Roman"/>
                <w:sz w:val="21"/>
                <w:szCs w:val="21"/>
                <w:lang w:val="en-US" w:eastAsia="zh-CN"/>
              </w:rPr>
              <w:t>6</w:t>
            </w:r>
            <w:r>
              <w:rPr>
                <w:rFonts w:hint="eastAsia" w:ascii="方正仿宋_GBK" w:hAnsi="宋体" w:eastAsia="方正仿宋_GBK" w:cs="Times New Roman"/>
                <w:sz w:val="21"/>
                <w:szCs w:val="21"/>
              </w:rPr>
              <w:t>分；</w:t>
            </w:r>
          </w:p>
          <w:p w14:paraId="51390DE9">
            <w:pPr>
              <w:rPr>
                <w:rFonts w:hint="default" w:ascii="方正仿宋_GBK" w:hAnsi="宋体" w:eastAsia="方正仿宋_GBK"/>
                <w:sz w:val="21"/>
                <w:szCs w:val="21"/>
                <w:lang w:val="en-US" w:eastAsia="zh-CN"/>
              </w:rPr>
            </w:pPr>
            <w:r>
              <w:rPr>
                <w:rFonts w:hint="eastAsia" w:ascii="方正仿宋_GBK" w:hAnsi="宋体" w:eastAsia="方正仿宋_GBK" w:cs="Times New Roman"/>
                <w:sz w:val="21"/>
                <w:szCs w:val="21"/>
              </w:rPr>
              <w:t>方案内容存在4处及以上瑕疵或未提供方案的得0分。</w:t>
            </w:r>
            <w:r>
              <w:rPr>
                <w:rFonts w:hint="eastAsia" w:ascii="方正仿宋_GBK" w:hAnsi="宋体" w:eastAsia="方正仿宋_GBK" w:cs="Times New Roman"/>
                <w:sz w:val="21"/>
                <w:szCs w:val="21"/>
                <w:lang w:val="en-US" w:eastAsia="zh-CN"/>
              </w:rPr>
              <w:t xml:space="preserve"> </w:t>
            </w:r>
          </w:p>
        </w:tc>
        <w:tc>
          <w:tcPr>
            <w:tcW w:w="2614" w:type="dxa"/>
            <w:vMerge w:val="restart"/>
            <w:noWrap w:val="0"/>
            <w:vAlign w:val="center"/>
          </w:tcPr>
          <w:p w14:paraId="49BC8DBE">
            <w:pPr>
              <w:spacing w:line="240" w:lineRule="auto"/>
              <w:jc w:val="left"/>
              <w:rPr>
                <w:rFonts w:hint="eastAsia" w:ascii="方正仿宋_GBK" w:hAnsi="宋体" w:eastAsia="方正仿宋_GBK" w:cs="Times New Roman"/>
                <w:sz w:val="18"/>
                <w:szCs w:val="18"/>
              </w:rPr>
            </w:pPr>
            <w:r>
              <w:rPr>
                <w:rFonts w:hint="eastAsia" w:ascii="方正仿宋_GBK" w:hAnsi="宋体" w:eastAsia="方正仿宋_GBK" w:cs="Times New Roman"/>
                <w:sz w:val="18"/>
                <w:szCs w:val="18"/>
              </w:rPr>
              <w:t>1.供应商在响应文件中提供相关方案。</w:t>
            </w:r>
          </w:p>
          <w:p w14:paraId="34D77682">
            <w:pPr>
              <w:spacing w:line="240" w:lineRule="auto"/>
              <w:jc w:val="left"/>
              <w:rPr>
                <w:rFonts w:hint="eastAsia" w:ascii="方正仿宋_GBK" w:hAnsi="宋体" w:eastAsia="方正仿宋_GBK" w:cs="Times New Roman"/>
                <w:sz w:val="18"/>
                <w:szCs w:val="18"/>
              </w:rPr>
            </w:pPr>
            <w:r>
              <w:rPr>
                <w:rFonts w:hint="eastAsia" w:ascii="方正仿宋_GBK" w:hAnsi="宋体" w:eastAsia="方正仿宋_GBK" w:cs="Times New Roman"/>
                <w:sz w:val="18"/>
                <w:szCs w:val="18"/>
              </w:rPr>
              <w:t>2.方案中任有一处存在以下任一种情况的，视为一处瑕疵：</w:t>
            </w:r>
          </w:p>
          <w:p w14:paraId="692E8391">
            <w:pPr>
              <w:spacing w:line="240" w:lineRule="auto"/>
              <w:jc w:val="left"/>
              <w:rPr>
                <w:rFonts w:hint="eastAsia" w:ascii="方正仿宋_GBK" w:hAnsi="宋体" w:eastAsia="方正仿宋_GBK" w:cs="Times New Roman"/>
                <w:sz w:val="18"/>
                <w:szCs w:val="18"/>
              </w:rPr>
            </w:pPr>
            <w:r>
              <w:rPr>
                <w:rFonts w:hint="eastAsia" w:ascii="方正仿宋_GBK" w:hAnsi="宋体" w:eastAsia="方正仿宋_GBK" w:cs="Times New Roman"/>
                <w:sz w:val="18"/>
                <w:szCs w:val="18"/>
              </w:rPr>
              <w:t>①要素欠缺、仅有标题而无实质意义叙述内容、内容表述不完整；</w:t>
            </w:r>
          </w:p>
          <w:p w14:paraId="374B5B4B">
            <w:pPr>
              <w:spacing w:line="240" w:lineRule="auto"/>
              <w:jc w:val="left"/>
              <w:rPr>
                <w:rFonts w:hint="eastAsia" w:ascii="方正仿宋_GBK" w:hAnsi="宋体" w:eastAsia="方正仿宋_GBK" w:cs="Times New Roman"/>
                <w:sz w:val="18"/>
                <w:szCs w:val="18"/>
              </w:rPr>
            </w:pPr>
            <w:r>
              <w:rPr>
                <w:rFonts w:hint="eastAsia" w:ascii="方正仿宋_GBK" w:hAnsi="宋体" w:eastAsia="方正仿宋_GBK" w:cs="Times New Roman"/>
                <w:sz w:val="18"/>
                <w:szCs w:val="18"/>
              </w:rPr>
              <w:t>②方案及措施存在不科学、不合理之处，或存在逻辑漏洞；</w:t>
            </w:r>
          </w:p>
          <w:p w14:paraId="71404375">
            <w:pPr>
              <w:spacing w:line="240" w:lineRule="auto"/>
              <w:jc w:val="left"/>
              <w:rPr>
                <w:rFonts w:hint="eastAsia" w:ascii="方正仿宋_GBK" w:hAnsi="宋体" w:eastAsia="方正仿宋_GBK" w:cs="Times New Roman"/>
                <w:sz w:val="18"/>
                <w:szCs w:val="18"/>
              </w:rPr>
            </w:pPr>
            <w:r>
              <w:rPr>
                <w:rFonts w:hint="eastAsia" w:ascii="方正仿宋_GBK" w:hAnsi="宋体" w:eastAsia="方正仿宋_GBK" w:cs="Times New Roman"/>
                <w:sz w:val="18"/>
                <w:szCs w:val="18"/>
              </w:rPr>
              <w:t>③内容粗略，难以理解方案中的所表达意图，或方案内容表述前后矛盾或无连贯性；</w:t>
            </w:r>
          </w:p>
          <w:p w14:paraId="0FE9E52E">
            <w:pPr>
              <w:spacing w:line="240" w:lineRule="auto"/>
              <w:jc w:val="left"/>
              <w:rPr>
                <w:rFonts w:hint="eastAsia" w:ascii="方正仿宋_GBK" w:hAnsi="宋体" w:eastAsia="方正仿宋_GBK" w:cs="Times New Roman"/>
                <w:sz w:val="18"/>
                <w:szCs w:val="18"/>
              </w:rPr>
            </w:pPr>
            <w:r>
              <w:rPr>
                <w:rFonts w:hint="eastAsia" w:ascii="方正仿宋_GBK" w:hAnsi="宋体" w:eastAsia="方正仿宋_GBK" w:cs="Times New Roman"/>
                <w:sz w:val="18"/>
                <w:szCs w:val="18"/>
              </w:rPr>
              <w:t>④内容空泛，无具体实施方法或内容；</w:t>
            </w:r>
          </w:p>
          <w:p w14:paraId="433766A3">
            <w:pPr>
              <w:spacing w:line="240" w:lineRule="auto"/>
              <w:jc w:val="left"/>
              <w:rPr>
                <w:rFonts w:hint="eastAsia" w:ascii="方正仿宋_GBK" w:hAnsi="宋体" w:eastAsia="方正仿宋_GBK" w:cs="Times New Roman"/>
                <w:sz w:val="18"/>
                <w:szCs w:val="18"/>
              </w:rPr>
            </w:pPr>
            <w:r>
              <w:rPr>
                <w:rFonts w:hint="eastAsia" w:ascii="方正仿宋_GBK" w:hAnsi="宋体" w:eastAsia="方正仿宋_GBK" w:cs="Times New Roman"/>
                <w:sz w:val="18"/>
                <w:szCs w:val="18"/>
              </w:rPr>
              <w:t>⑤方案不适用本项目特性、方案相关内容不利于项目目标实现；</w:t>
            </w:r>
          </w:p>
          <w:p w14:paraId="78D53557">
            <w:pPr>
              <w:spacing w:line="240" w:lineRule="auto"/>
              <w:jc w:val="left"/>
              <w:rPr>
                <w:rFonts w:hint="eastAsia" w:ascii="方正仿宋_GBK" w:hAnsi="宋体" w:eastAsia="方正仿宋_GBK" w:cs="Times New Roman"/>
                <w:sz w:val="18"/>
                <w:szCs w:val="18"/>
              </w:rPr>
            </w:pPr>
            <w:r>
              <w:rPr>
                <w:rFonts w:hint="eastAsia" w:ascii="方正仿宋_GBK" w:hAnsi="宋体" w:eastAsia="方正仿宋_GBK" w:cs="Times New Roman"/>
                <w:sz w:val="18"/>
                <w:szCs w:val="18"/>
              </w:rPr>
              <w:t>⑥方案内容中包含其他项目名称，或出现与本项目不相关的其他内容；</w:t>
            </w:r>
          </w:p>
          <w:p w14:paraId="3D72A41C">
            <w:pPr>
              <w:jc w:val="left"/>
              <w:rPr>
                <w:rFonts w:ascii="Calibri" w:hAnsi="Calibri" w:eastAsia="方正仿宋_GBK"/>
                <w:sz w:val="15"/>
                <w:szCs w:val="15"/>
              </w:rPr>
            </w:pPr>
            <w:r>
              <w:rPr>
                <w:rFonts w:hint="eastAsia" w:ascii="方正仿宋_GBK" w:hAnsi="宋体" w:eastAsia="方正仿宋_GBK" w:cs="Times New Roman"/>
                <w:sz w:val="18"/>
                <w:szCs w:val="18"/>
              </w:rPr>
              <w:t>⑦操作性不强或现有技术条件下不可能实现目标。</w:t>
            </w:r>
          </w:p>
        </w:tc>
      </w:tr>
      <w:tr w14:paraId="349F3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5" w:type="dxa"/>
            <w:vMerge w:val="continue"/>
            <w:noWrap w:val="0"/>
            <w:vAlign w:val="center"/>
          </w:tcPr>
          <w:p w14:paraId="4213C533">
            <w:pPr>
              <w:ind w:firstLine="28"/>
              <w:jc w:val="center"/>
              <w:rPr>
                <w:rFonts w:hint="eastAsia" w:ascii="方正仿宋_GBK" w:hAnsi="宋体" w:eastAsia="方正仿宋_GBK"/>
                <w:sz w:val="21"/>
                <w:szCs w:val="21"/>
              </w:rPr>
            </w:pPr>
          </w:p>
        </w:tc>
        <w:tc>
          <w:tcPr>
            <w:tcW w:w="1104" w:type="dxa"/>
            <w:vMerge w:val="continue"/>
            <w:noWrap w:val="0"/>
            <w:vAlign w:val="center"/>
          </w:tcPr>
          <w:p w14:paraId="4547C7EC">
            <w:pPr>
              <w:ind w:firstLine="28"/>
              <w:jc w:val="center"/>
              <w:rPr>
                <w:rFonts w:hint="eastAsia" w:ascii="方正仿宋_GBK" w:hAnsi="宋体" w:eastAsia="方正仿宋_GBK"/>
                <w:sz w:val="21"/>
                <w:szCs w:val="21"/>
              </w:rPr>
            </w:pPr>
          </w:p>
        </w:tc>
        <w:tc>
          <w:tcPr>
            <w:tcW w:w="557" w:type="dxa"/>
            <w:tcBorders>
              <w:bottom w:val="single" w:color="auto" w:sz="4" w:space="0"/>
            </w:tcBorders>
            <w:noWrap w:val="0"/>
            <w:vAlign w:val="center"/>
          </w:tcPr>
          <w:p w14:paraId="3DB5D5DB">
            <w:pPr>
              <w:ind w:firstLine="28"/>
              <w:jc w:val="center"/>
              <w:rPr>
                <w:rFonts w:hint="default" w:ascii="Calibri" w:hAnsi="Calibri" w:eastAsia="方正仿宋_GBK"/>
                <w:sz w:val="21"/>
                <w:szCs w:val="21"/>
                <w:lang w:val="en-US" w:eastAsia="zh-CN"/>
              </w:rPr>
            </w:pPr>
            <w:r>
              <w:rPr>
                <w:rFonts w:hint="eastAsia" w:ascii="Calibri" w:hAnsi="Calibri" w:eastAsia="方正仿宋_GBK"/>
                <w:sz w:val="21"/>
                <w:szCs w:val="21"/>
                <w:lang w:val="en-US" w:eastAsia="zh-CN"/>
              </w:rPr>
              <w:t>20</w:t>
            </w:r>
          </w:p>
        </w:tc>
        <w:tc>
          <w:tcPr>
            <w:tcW w:w="4616" w:type="dxa"/>
            <w:tcBorders>
              <w:bottom w:val="single" w:color="auto" w:sz="4" w:space="0"/>
            </w:tcBorders>
            <w:noWrap w:val="0"/>
            <w:vAlign w:val="center"/>
          </w:tcPr>
          <w:p w14:paraId="62D93E25">
            <w:pPr>
              <w:spacing w:line="240" w:lineRule="auto"/>
              <w:rPr>
                <w:rFonts w:ascii="方正仿宋_GBK" w:hAnsi="宋体" w:eastAsia="方正仿宋_GBK" w:cs="Times New Roman"/>
                <w:sz w:val="21"/>
                <w:szCs w:val="21"/>
              </w:rPr>
            </w:pPr>
            <w:r>
              <w:rPr>
                <w:rFonts w:hint="eastAsia" w:ascii="方正仿宋_GBK" w:hAnsi="宋体" w:eastAsia="方正仿宋_GBK" w:cs="Times New Roman"/>
                <w:sz w:val="21"/>
                <w:szCs w:val="21"/>
              </w:rPr>
              <w:t>供应商针对本项目提供</w:t>
            </w:r>
            <w:r>
              <w:rPr>
                <w:rFonts w:hint="eastAsia" w:ascii="方正仿宋_GBK" w:hAnsi="宋体" w:eastAsia="方正仿宋_GBK" w:cs="Times New Roman"/>
                <w:b/>
                <w:bCs/>
                <w:sz w:val="21"/>
                <w:szCs w:val="21"/>
              </w:rPr>
              <w:t>总体规划实施方案</w:t>
            </w:r>
            <w:r>
              <w:rPr>
                <w:rFonts w:hint="eastAsia" w:ascii="方正仿宋_GBK" w:hAnsi="宋体" w:eastAsia="方正仿宋_GBK" w:cs="Times New Roman"/>
                <w:sz w:val="21"/>
                <w:szCs w:val="21"/>
              </w:rPr>
              <w:t>，方案内容</w:t>
            </w:r>
            <w:r>
              <w:rPr>
                <w:rFonts w:hint="eastAsia" w:ascii="方正仿宋_GBK" w:hAnsi="宋体" w:eastAsia="方正仿宋_GBK" w:cs="Times New Roman"/>
                <w:sz w:val="21"/>
                <w:szCs w:val="21"/>
                <w:lang w:eastAsia="zh-CN"/>
              </w:rPr>
              <w:t>应</w:t>
            </w:r>
            <w:r>
              <w:rPr>
                <w:rFonts w:hint="eastAsia" w:ascii="方正仿宋_GBK" w:hAnsi="宋体" w:eastAsia="方正仿宋_GBK" w:cs="Times New Roman"/>
                <w:sz w:val="21"/>
                <w:szCs w:val="21"/>
              </w:rPr>
              <w:t>包含</w:t>
            </w:r>
            <w:r>
              <w:rPr>
                <w:rFonts w:hint="eastAsia" w:ascii="方正仿宋_GBK" w:hAnsi="宋体" w:eastAsia="方正仿宋_GBK" w:cs="Times New Roman"/>
                <w:sz w:val="21"/>
                <w:szCs w:val="21"/>
                <w:lang w:eastAsia="zh-CN"/>
              </w:rPr>
              <w:t>“第二篇</w:t>
            </w:r>
            <w:r>
              <w:rPr>
                <w:rFonts w:hint="eastAsia" w:ascii="方正仿宋_GBK" w:hAnsi="宋体" w:eastAsia="方正仿宋_GBK" w:cs="Times New Roman"/>
                <w:sz w:val="21"/>
                <w:szCs w:val="21"/>
                <w:lang w:val="en-US" w:eastAsia="zh-CN"/>
              </w:rPr>
              <w:t xml:space="preserve"> 项目服务需求</w:t>
            </w:r>
            <w:r>
              <w:rPr>
                <w:rFonts w:hint="eastAsia" w:ascii="方正仿宋_GBK" w:hAnsi="宋体" w:eastAsia="方正仿宋_GBK" w:cs="Times New Roman"/>
                <w:sz w:val="21"/>
                <w:szCs w:val="21"/>
                <w:lang w:eastAsia="zh-CN"/>
              </w:rPr>
              <w:t>”的相应内容。</w:t>
            </w:r>
            <w:r>
              <w:rPr>
                <w:rFonts w:hint="eastAsia" w:ascii="方正仿宋_GBK" w:hAnsi="宋体" w:eastAsia="方正仿宋_GBK" w:cs="Times New Roman"/>
                <w:sz w:val="21"/>
                <w:szCs w:val="21"/>
              </w:rPr>
              <w:br w:type="textWrapping"/>
            </w:r>
            <w:r>
              <w:rPr>
                <w:rFonts w:hint="eastAsia" w:ascii="方正仿宋_GBK" w:hAnsi="宋体" w:eastAsia="方正仿宋_GBK" w:cs="Times New Roman"/>
                <w:sz w:val="21"/>
                <w:szCs w:val="21"/>
              </w:rPr>
              <w:t>方案内容不存在瑕疵的得</w:t>
            </w:r>
            <w:r>
              <w:rPr>
                <w:rFonts w:hint="eastAsia" w:ascii="方正仿宋_GBK" w:hAnsi="宋体" w:eastAsia="方正仿宋_GBK" w:cs="Times New Roman"/>
                <w:sz w:val="21"/>
                <w:szCs w:val="21"/>
                <w:lang w:val="en-US" w:eastAsia="zh-CN"/>
              </w:rPr>
              <w:t>2</w:t>
            </w:r>
            <w:r>
              <w:rPr>
                <w:rFonts w:hint="eastAsia" w:ascii="方正仿宋_GBK" w:hAnsi="宋体" w:eastAsia="方正仿宋_GBK" w:cs="Times New Roman"/>
                <w:sz w:val="21"/>
                <w:szCs w:val="21"/>
              </w:rPr>
              <w:t>0分；</w:t>
            </w:r>
          </w:p>
          <w:p w14:paraId="107D059B">
            <w:pPr>
              <w:spacing w:line="240" w:lineRule="auto"/>
              <w:rPr>
                <w:rFonts w:ascii="方正仿宋_GBK" w:hAnsi="宋体" w:eastAsia="方正仿宋_GBK" w:cs="Times New Roman"/>
                <w:sz w:val="21"/>
                <w:szCs w:val="21"/>
              </w:rPr>
            </w:pPr>
            <w:r>
              <w:rPr>
                <w:rFonts w:hint="eastAsia" w:ascii="方正仿宋_GBK" w:hAnsi="宋体" w:eastAsia="方正仿宋_GBK" w:cs="Times New Roman"/>
                <w:sz w:val="21"/>
                <w:szCs w:val="21"/>
              </w:rPr>
              <w:t>方案内容存在1处瑕疵的得</w:t>
            </w:r>
            <w:r>
              <w:rPr>
                <w:rFonts w:hint="eastAsia" w:ascii="方正仿宋_GBK" w:hAnsi="宋体" w:eastAsia="方正仿宋_GBK" w:cs="Times New Roman"/>
                <w:sz w:val="21"/>
                <w:szCs w:val="21"/>
                <w:lang w:val="en-US" w:eastAsia="zh-CN"/>
              </w:rPr>
              <w:t>16</w:t>
            </w:r>
            <w:r>
              <w:rPr>
                <w:rFonts w:hint="eastAsia" w:ascii="方正仿宋_GBK" w:hAnsi="宋体" w:eastAsia="方正仿宋_GBK" w:cs="Times New Roman"/>
                <w:sz w:val="21"/>
                <w:szCs w:val="21"/>
              </w:rPr>
              <w:t>分；</w:t>
            </w:r>
          </w:p>
          <w:p w14:paraId="03278D55">
            <w:pPr>
              <w:spacing w:line="240" w:lineRule="auto"/>
              <w:rPr>
                <w:rFonts w:ascii="方正仿宋_GBK" w:hAnsi="宋体" w:eastAsia="方正仿宋_GBK" w:cs="Times New Roman"/>
                <w:sz w:val="21"/>
                <w:szCs w:val="21"/>
              </w:rPr>
            </w:pPr>
            <w:r>
              <w:rPr>
                <w:rFonts w:hint="eastAsia" w:ascii="方正仿宋_GBK" w:hAnsi="宋体" w:eastAsia="方正仿宋_GBK" w:cs="Times New Roman"/>
                <w:sz w:val="21"/>
                <w:szCs w:val="21"/>
              </w:rPr>
              <w:t>方案内容存在2处瑕疵的得</w:t>
            </w:r>
            <w:r>
              <w:rPr>
                <w:rFonts w:hint="eastAsia" w:ascii="方正仿宋_GBK" w:hAnsi="宋体" w:eastAsia="方正仿宋_GBK" w:cs="Times New Roman"/>
                <w:sz w:val="21"/>
                <w:szCs w:val="21"/>
                <w:lang w:val="en-US" w:eastAsia="zh-CN"/>
              </w:rPr>
              <w:t>12</w:t>
            </w:r>
            <w:r>
              <w:rPr>
                <w:rFonts w:hint="eastAsia" w:ascii="方正仿宋_GBK" w:hAnsi="宋体" w:eastAsia="方正仿宋_GBK" w:cs="Times New Roman"/>
                <w:sz w:val="21"/>
                <w:szCs w:val="21"/>
              </w:rPr>
              <w:t>分；</w:t>
            </w:r>
          </w:p>
          <w:p w14:paraId="7BC3BBFA">
            <w:pPr>
              <w:spacing w:line="240" w:lineRule="auto"/>
              <w:rPr>
                <w:rFonts w:ascii="方正仿宋_GBK" w:hAnsi="宋体" w:eastAsia="方正仿宋_GBK" w:cs="Times New Roman"/>
                <w:sz w:val="21"/>
                <w:szCs w:val="21"/>
              </w:rPr>
            </w:pPr>
            <w:r>
              <w:rPr>
                <w:rFonts w:hint="eastAsia" w:ascii="方正仿宋_GBK" w:hAnsi="宋体" w:eastAsia="方正仿宋_GBK" w:cs="Times New Roman"/>
                <w:sz w:val="21"/>
                <w:szCs w:val="21"/>
              </w:rPr>
              <w:t>方案内容存在3处瑕疵的得</w:t>
            </w:r>
            <w:r>
              <w:rPr>
                <w:rFonts w:hint="eastAsia" w:ascii="方正仿宋_GBK" w:hAnsi="宋体" w:eastAsia="方正仿宋_GBK" w:cs="Times New Roman"/>
                <w:sz w:val="21"/>
                <w:szCs w:val="21"/>
                <w:lang w:val="en-US" w:eastAsia="zh-CN"/>
              </w:rPr>
              <w:t>4</w:t>
            </w:r>
            <w:r>
              <w:rPr>
                <w:rFonts w:hint="eastAsia" w:ascii="方正仿宋_GBK" w:hAnsi="宋体" w:eastAsia="方正仿宋_GBK" w:cs="Times New Roman"/>
                <w:sz w:val="21"/>
                <w:szCs w:val="21"/>
              </w:rPr>
              <w:t>分；</w:t>
            </w:r>
          </w:p>
          <w:p w14:paraId="211E8A7D">
            <w:pPr>
              <w:spacing w:line="240" w:lineRule="auto"/>
              <w:rPr>
                <w:rFonts w:hint="eastAsia" w:ascii="方正仿宋_GBK" w:hAnsi="宋体" w:eastAsia="方正仿宋_GBK" w:cs="Times New Roman"/>
                <w:sz w:val="21"/>
                <w:szCs w:val="21"/>
              </w:rPr>
            </w:pPr>
            <w:r>
              <w:rPr>
                <w:rFonts w:hint="eastAsia" w:ascii="方正仿宋_GBK" w:hAnsi="宋体" w:eastAsia="方正仿宋_GBK" w:cs="Times New Roman"/>
                <w:sz w:val="21"/>
                <w:szCs w:val="21"/>
              </w:rPr>
              <w:t>方案内容存在4处及以上瑕疵或未提供方案的得0分。</w:t>
            </w:r>
          </w:p>
        </w:tc>
        <w:tc>
          <w:tcPr>
            <w:tcW w:w="2614" w:type="dxa"/>
            <w:vMerge w:val="continue"/>
            <w:noWrap w:val="0"/>
            <w:vAlign w:val="center"/>
          </w:tcPr>
          <w:p w14:paraId="09FF099B">
            <w:pPr>
              <w:jc w:val="left"/>
              <w:rPr>
                <w:rFonts w:ascii="Calibri" w:hAnsi="Calibri" w:eastAsia="方正仿宋_GBK"/>
                <w:sz w:val="15"/>
                <w:szCs w:val="15"/>
              </w:rPr>
            </w:pPr>
          </w:p>
        </w:tc>
      </w:tr>
      <w:tr w14:paraId="1E5FF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Merge w:val="continue"/>
            <w:tcBorders>
              <w:bottom w:val="single" w:color="auto" w:sz="4" w:space="0"/>
            </w:tcBorders>
            <w:noWrap w:val="0"/>
            <w:vAlign w:val="center"/>
          </w:tcPr>
          <w:p w14:paraId="591CE0B6">
            <w:pPr>
              <w:ind w:firstLine="28"/>
              <w:jc w:val="center"/>
              <w:rPr>
                <w:rFonts w:hint="eastAsia" w:ascii="方正仿宋_GBK" w:hAnsi="宋体" w:eastAsia="方正仿宋_GBK"/>
                <w:sz w:val="21"/>
                <w:szCs w:val="21"/>
              </w:rPr>
            </w:pPr>
          </w:p>
        </w:tc>
        <w:tc>
          <w:tcPr>
            <w:tcW w:w="1104" w:type="dxa"/>
            <w:vMerge w:val="continue"/>
            <w:tcBorders>
              <w:bottom w:val="single" w:color="auto" w:sz="4" w:space="0"/>
            </w:tcBorders>
            <w:noWrap w:val="0"/>
            <w:vAlign w:val="center"/>
          </w:tcPr>
          <w:p w14:paraId="2AFCB9C6">
            <w:pPr>
              <w:ind w:firstLine="28"/>
              <w:jc w:val="center"/>
              <w:rPr>
                <w:rFonts w:hint="eastAsia" w:ascii="方正仿宋_GBK" w:hAnsi="宋体" w:eastAsia="方正仿宋_GBK"/>
                <w:sz w:val="21"/>
                <w:szCs w:val="21"/>
              </w:rPr>
            </w:pPr>
          </w:p>
        </w:tc>
        <w:tc>
          <w:tcPr>
            <w:tcW w:w="557" w:type="dxa"/>
            <w:tcBorders>
              <w:top w:val="single" w:color="auto" w:sz="4" w:space="0"/>
              <w:bottom w:val="single" w:color="auto" w:sz="4" w:space="0"/>
              <w:right w:val="single" w:color="auto" w:sz="4" w:space="0"/>
            </w:tcBorders>
            <w:noWrap w:val="0"/>
            <w:vAlign w:val="center"/>
          </w:tcPr>
          <w:p w14:paraId="00882EF6">
            <w:pPr>
              <w:ind w:firstLine="28"/>
              <w:jc w:val="center"/>
              <w:rPr>
                <w:rFonts w:hint="default" w:ascii="Calibri" w:hAnsi="Calibri" w:eastAsia="方正仿宋_GBK"/>
                <w:sz w:val="21"/>
                <w:szCs w:val="21"/>
                <w:lang w:val="en-US" w:eastAsia="zh-CN"/>
              </w:rPr>
            </w:pPr>
            <w:r>
              <w:rPr>
                <w:rFonts w:hint="eastAsia" w:ascii="Calibri" w:hAnsi="Calibri" w:eastAsia="方正仿宋_GBK"/>
                <w:sz w:val="21"/>
                <w:szCs w:val="21"/>
                <w:lang w:val="en-US" w:eastAsia="zh-CN"/>
              </w:rPr>
              <w:t>10</w:t>
            </w:r>
          </w:p>
        </w:tc>
        <w:tc>
          <w:tcPr>
            <w:tcW w:w="4616" w:type="dxa"/>
            <w:tcBorders>
              <w:top w:val="single" w:color="auto" w:sz="4" w:space="0"/>
              <w:left w:val="single" w:color="auto" w:sz="4" w:space="0"/>
              <w:bottom w:val="single" w:color="auto" w:sz="4" w:space="0"/>
            </w:tcBorders>
            <w:noWrap w:val="0"/>
            <w:vAlign w:val="center"/>
          </w:tcPr>
          <w:p w14:paraId="7E6CFF1A">
            <w:pPr>
              <w:spacing w:line="240" w:lineRule="auto"/>
              <w:rPr>
                <w:rFonts w:ascii="方正仿宋_GBK" w:hAnsi="宋体" w:eastAsia="方正仿宋_GBK" w:cs="Times New Roman"/>
                <w:sz w:val="21"/>
                <w:szCs w:val="21"/>
              </w:rPr>
            </w:pPr>
            <w:r>
              <w:rPr>
                <w:rFonts w:hint="eastAsia" w:ascii="方正仿宋_GBK" w:hAnsi="宋体" w:eastAsia="方正仿宋_GBK" w:cs="Times New Roman"/>
                <w:sz w:val="21"/>
                <w:szCs w:val="21"/>
              </w:rPr>
              <w:t>供应商针对本项目提供</w:t>
            </w:r>
            <w:r>
              <w:rPr>
                <w:rFonts w:hint="eastAsia" w:ascii="方正仿宋_GBK" w:hAnsi="宋体" w:eastAsia="方正仿宋_GBK" w:cs="Times New Roman"/>
                <w:b/>
                <w:bCs/>
                <w:sz w:val="21"/>
                <w:szCs w:val="21"/>
              </w:rPr>
              <w:t>售后服务方案</w:t>
            </w:r>
            <w:r>
              <w:rPr>
                <w:rFonts w:hint="eastAsia" w:ascii="方正仿宋_GBK" w:hAnsi="宋体" w:eastAsia="方正仿宋_GBK" w:cs="Times New Roman"/>
                <w:sz w:val="21"/>
                <w:szCs w:val="21"/>
              </w:rPr>
              <w:t>，内容包含：①质量保证期内的后续维护方案；②售后服务人员配置；③售后响应时效；④售后服务保障措施。</w:t>
            </w:r>
          </w:p>
          <w:p w14:paraId="61DB8A93">
            <w:pPr>
              <w:spacing w:line="240" w:lineRule="auto"/>
              <w:rPr>
                <w:rFonts w:ascii="方正仿宋_GBK" w:hAnsi="宋体" w:eastAsia="方正仿宋_GBK" w:cs="Times New Roman"/>
                <w:sz w:val="21"/>
                <w:szCs w:val="21"/>
              </w:rPr>
            </w:pPr>
            <w:r>
              <w:rPr>
                <w:rFonts w:hint="eastAsia" w:ascii="方正仿宋_GBK" w:hAnsi="宋体" w:eastAsia="方正仿宋_GBK" w:cs="Times New Roman"/>
                <w:sz w:val="21"/>
                <w:szCs w:val="21"/>
              </w:rPr>
              <w:t>方案内容不存在瑕疵的得10分；</w:t>
            </w:r>
          </w:p>
          <w:p w14:paraId="4BACF897">
            <w:pPr>
              <w:spacing w:line="240" w:lineRule="auto"/>
              <w:rPr>
                <w:rFonts w:ascii="方正仿宋_GBK" w:hAnsi="宋体" w:eastAsia="方正仿宋_GBK" w:cs="Times New Roman"/>
                <w:sz w:val="21"/>
                <w:szCs w:val="21"/>
              </w:rPr>
            </w:pPr>
            <w:r>
              <w:rPr>
                <w:rFonts w:hint="eastAsia" w:ascii="方正仿宋_GBK" w:hAnsi="宋体" w:eastAsia="方正仿宋_GBK" w:cs="Times New Roman"/>
                <w:sz w:val="21"/>
                <w:szCs w:val="21"/>
              </w:rPr>
              <w:t>方案内容存在1处瑕疵的得8分；</w:t>
            </w:r>
          </w:p>
          <w:p w14:paraId="46087F33">
            <w:pPr>
              <w:spacing w:line="240" w:lineRule="auto"/>
              <w:rPr>
                <w:rFonts w:ascii="方正仿宋_GBK" w:hAnsi="宋体" w:eastAsia="方正仿宋_GBK" w:cs="Times New Roman"/>
                <w:sz w:val="21"/>
                <w:szCs w:val="21"/>
              </w:rPr>
            </w:pPr>
            <w:r>
              <w:rPr>
                <w:rFonts w:hint="eastAsia" w:ascii="方正仿宋_GBK" w:hAnsi="宋体" w:eastAsia="方正仿宋_GBK" w:cs="Times New Roman"/>
                <w:sz w:val="21"/>
                <w:szCs w:val="21"/>
              </w:rPr>
              <w:t>方案内容存在2处瑕疵的得6分；</w:t>
            </w:r>
          </w:p>
          <w:p w14:paraId="3CC92F3B">
            <w:pPr>
              <w:spacing w:line="240" w:lineRule="auto"/>
              <w:rPr>
                <w:rFonts w:ascii="方正仿宋_GBK" w:hAnsi="宋体" w:eastAsia="方正仿宋_GBK" w:cs="Times New Roman"/>
                <w:sz w:val="21"/>
                <w:szCs w:val="21"/>
              </w:rPr>
            </w:pPr>
            <w:r>
              <w:rPr>
                <w:rFonts w:hint="eastAsia" w:ascii="方正仿宋_GBK" w:hAnsi="宋体" w:eastAsia="方正仿宋_GBK" w:cs="Times New Roman"/>
                <w:sz w:val="21"/>
                <w:szCs w:val="21"/>
              </w:rPr>
              <w:t>方案内容存在3处瑕疵的得2分；</w:t>
            </w:r>
          </w:p>
          <w:p w14:paraId="6130C7F0">
            <w:pPr>
              <w:ind w:firstLine="0"/>
              <w:rPr>
                <w:rFonts w:hint="eastAsia" w:ascii="方正仿宋_GBK" w:hAnsi="宋体" w:eastAsia="方正仿宋_GBK"/>
                <w:sz w:val="21"/>
                <w:szCs w:val="21"/>
              </w:rPr>
            </w:pPr>
            <w:r>
              <w:rPr>
                <w:rFonts w:hint="eastAsia" w:ascii="方正仿宋_GBK" w:hAnsi="宋体" w:eastAsia="方正仿宋_GBK" w:cs="Times New Roman"/>
                <w:sz w:val="21"/>
                <w:szCs w:val="21"/>
              </w:rPr>
              <w:t>方案内容存在4处及以上瑕疵或未提供方案的得0分。</w:t>
            </w:r>
          </w:p>
        </w:tc>
        <w:tc>
          <w:tcPr>
            <w:tcW w:w="2614" w:type="dxa"/>
            <w:vMerge w:val="continue"/>
            <w:tcBorders>
              <w:bottom w:val="single" w:color="auto" w:sz="4" w:space="0"/>
            </w:tcBorders>
            <w:noWrap w:val="0"/>
            <w:vAlign w:val="center"/>
          </w:tcPr>
          <w:p w14:paraId="716763F7">
            <w:pPr>
              <w:jc w:val="center"/>
              <w:rPr>
                <w:rFonts w:hint="default" w:ascii="Calibri" w:hAnsi="Calibri" w:eastAsia="方正仿宋_GBK"/>
                <w:sz w:val="21"/>
                <w:szCs w:val="21"/>
              </w:rPr>
            </w:pPr>
          </w:p>
        </w:tc>
      </w:tr>
      <w:tr w14:paraId="3D034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tcBorders>
              <w:top w:val="single" w:color="auto" w:sz="4" w:space="0"/>
              <w:left w:val="single" w:color="auto" w:sz="4" w:space="0"/>
              <w:bottom w:val="single" w:color="auto" w:sz="4" w:space="0"/>
              <w:right w:val="single" w:color="auto" w:sz="4" w:space="0"/>
            </w:tcBorders>
            <w:noWrap w:val="0"/>
            <w:vAlign w:val="center"/>
          </w:tcPr>
          <w:p w14:paraId="5C7E1D7B">
            <w:pPr>
              <w:ind w:firstLine="28"/>
              <w:jc w:val="center"/>
              <w:rPr>
                <w:rFonts w:ascii="方正仿宋_GBK" w:hAnsi="宋体" w:eastAsia="方正仿宋_GBK"/>
                <w:sz w:val="21"/>
                <w:szCs w:val="21"/>
              </w:rPr>
            </w:pPr>
            <w:r>
              <w:rPr>
                <w:rFonts w:hint="eastAsia" w:ascii="方正仿宋_GBK" w:hAnsi="宋体" w:eastAsia="方正仿宋_GBK"/>
                <w:sz w:val="21"/>
                <w:szCs w:val="21"/>
              </w:rPr>
              <w:t>3</w:t>
            </w:r>
          </w:p>
          <w:p w14:paraId="489DD1F9">
            <w:pPr>
              <w:ind w:firstLine="28"/>
              <w:jc w:val="center"/>
              <w:rPr>
                <w:rFonts w:hint="eastAsia" w:ascii="方正仿宋_GBK" w:hAnsi="宋体" w:eastAsia="方正仿宋_GBK"/>
                <w:sz w:val="21"/>
                <w:szCs w:val="21"/>
              </w:rPr>
            </w:pPr>
          </w:p>
        </w:tc>
        <w:tc>
          <w:tcPr>
            <w:tcW w:w="1104" w:type="dxa"/>
            <w:tcBorders>
              <w:top w:val="single" w:color="auto" w:sz="4" w:space="0"/>
              <w:left w:val="single" w:color="auto" w:sz="4" w:space="0"/>
              <w:bottom w:val="single" w:color="auto" w:sz="4" w:space="0"/>
              <w:right w:val="single" w:color="auto" w:sz="4" w:space="0"/>
            </w:tcBorders>
            <w:noWrap w:val="0"/>
            <w:vAlign w:val="center"/>
          </w:tcPr>
          <w:p w14:paraId="4F884B79">
            <w:pPr>
              <w:ind w:firstLine="28"/>
              <w:jc w:val="center"/>
              <w:rPr>
                <w:rFonts w:hint="eastAsia" w:ascii="方正仿宋_GBK" w:hAnsi="宋体" w:eastAsia="方正仿宋_GBK"/>
                <w:sz w:val="21"/>
                <w:szCs w:val="21"/>
              </w:rPr>
            </w:pPr>
            <w:r>
              <w:rPr>
                <w:rFonts w:hint="eastAsia" w:ascii="方正仿宋_GBK" w:hAnsi="宋体" w:eastAsia="方正仿宋_GBK"/>
                <w:sz w:val="21"/>
                <w:szCs w:val="21"/>
              </w:rPr>
              <w:t>商务部分</w:t>
            </w:r>
          </w:p>
          <w:p w14:paraId="11097AE7">
            <w:pPr>
              <w:ind w:firstLine="28"/>
              <w:jc w:val="center"/>
              <w:rPr>
                <w:rFonts w:hint="eastAsia" w:ascii="方正仿宋_GBK" w:hAnsi="宋体" w:eastAsia="方正仿宋_GBK"/>
                <w:sz w:val="21"/>
                <w:szCs w:val="21"/>
              </w:rPr>
            </w:pPr>
            <w:r>
              <w:rPr>
                <w:rFonts w:hint="eastAsia" w:ascii="方正仿宋_GBK" w:hAnsi="宋体" w:eastAsia="方正仿宋_GBK"/>
                <w:sz w:val="21"/>
                <w:szCs w:val="21"/>
              </w:rPr>
              <w:t>（</w:t>
            </w:r>
            <w:r>
              <w:rPr>
                <w:rFonts w:ascii="方正仿宋_GBK" w:hAnsi="宋体" w:eastAsia="方正仿宋_GBK"/>
                <w:sz w:val="21"/>
                <w:szCs w:val="21"/>
              </w:rPr>
              <w:t>20</w:t>
            </w:r>
            <w:r>
              <w:rPr>
                <w:rFonts w:hint="eastAsia" w:ascii="方正仿宋_GBK" w:hAnsi="宋体" w:eastAsia="方正仿宋_GBK"/>
                <w:sz w:val="21"/>
                <w:szCs w:val="21"/>
              </w:rPr>
              <w:t>%）</w:t>
            </w:r>
          </w:p>
        </w:tc>
        <w:tc>
          <w:tcPr>
            <w:tcW w:w="557" w:type="dxa"/>
            <w:tcBorders>
              <w:top w:val="single" w:color="auto" w:sz="4" w:space="0"/>
              <w:left w:val="single" w:color="auto" w:sz="4" w:space="0"/>
              <w:bottom w:val="single" w:color="auto" w:sz="4" w:space="0"/>
              <w:right w:val="single" w:color="auto" w:sz="4" w:space="0"/>
            </w:tcBorders>
            <w:noWrap w:val="0"/>
            <w:vAlign w:val="center"/>
          </w:tcPr>
          <w:p w14:paraId="7B373AB7">
            <w:pPr>
              <w:ind w:firstLine="28"/>
              <w:jc w:val="center"/>
              <w:rPr>
                <w:rFonts w:hint="default" w:ascii="Calibri" w:hAnsi="Calibri" w:eastAsia="方正仿宋_GBK"/>
                <w:sz w:val="21"/>
                <w:szCs w:val="21"/>
              </w:rPr>
            </w:pPr>
            <w:r>
              <w:rPr>
                <w:rFonts w:ascii="Calibri" w:hAnsi="Calibri" w:eastAsia="方正仿宋_GBK"/>
                <w:sz w:val="21"/>
                <w:szCs w:val="21"/>
              </w:rPr>
              <w:t>20</w:t>
            </w:r>
          </w:p>
        </w:tc>
        <w:tc>
          <w:tcPr>
            <w:tcW w:w="4616" w:type="dxa"/>
            <w:tcBorders>
              <w:top w:val="single" w:color="auto" w:sz="4" w:space="0"/>
              <w:left w:val="single" w:color="auto" w:sz="4" w:space="0"/>
              <w:bottom w:val="single" w:color="auto" w:sz="4" w:space="0"/>
              <w:right w:val="single" w:color="auto" w:sz="4" w:space="0"/>
            </w:tcBorders>
            <w:noWrap w:val="0"/>
            <w:vAlign w:val="center"/>
          </w:tcPr>
          <w:p w14:paraId="1DE72CE2">
            <w:pPr>
              <w:ind w:firstLine="0"/>
              <w:rPr>
                <w:rFonts w:hint="eastAsia" w:ascii="方正仿宋_GBK" w:hAnsi="宋体" w:eastAsia="方正仿宋_GBK"/>
                <w:sz w:val="21"/>
                <w:szCs w:val="21"/>
              </w:rPr>
            </w:pPr>
            <w:r>
              <w:rPr>
                <w:rFonts w:hint="eastAsia" w:ascii="方正仿宋_GBK" w:hAnsi="宋体" w:eastAsia="方正仿宋_GBK" w:cs="Times New Roman"/>
                <w:bCs w:val="0"/>
                <w:sz w:val="21"/>
                <w:szCs w:val="21"/>
              </w:rPr>
              <w:t>2022年1月1日至今（以合同签订时间为准），供应商具有网络设备销售或网络线路改造或网络设备运维项目实施业绩的，每提供1个业绩得4分，最多得20分。</w:t>
            </w:r>
          </w:p>
        </w:tc>
        <w:tc>
          <w:tcPr>
            <w:tcW w:w="2614" w:type="dxa"/>
            <w:tcBorders>
              <w:top w:val="single" w:color="auto" w:sz="4" w:space="0"/>
              <w:left w:val="single" w:color="auto" w:sz="4" w:space="0"/>
              <w:bottom w:val="single" w:color="auto" w:sz="4" w:space="0"/>
              <w:right w:val="single" w:color="auto" w:sz="4" w:space="0"/>
            </w:tcBorders>
            <w:noWrap w:val="0"/>
            <w:vAlign w:val="center"/>
          </w:tcPr>
          <w:p w14:paraId="6D4B2579">
            <w:pPr>
              <w:rPr>
                <w:rFonts w:hint="eastAsia" w:ascii="方正仿宋_GBK" w:hAnsi="宋体" w:eastAsia="方正仿宋_GBK"/>
                <w:sz w:val="21"/>
                <w:szCs w:val="21"/>
              </w:rPr>
            </w:pPr>
            <w:r>
              <w:rPr>
                <w:rFonts w:hint="eastAsia" w:ascii="方正仿宋_GBK" w:hAnsi="宋体" w:eastAsia="方正仿宋_GBK" w:cs="Times New Roman"/>
                <w:sz w:val="21"/>
                <w:szCs w:val="21"/>
              </w:rPr>
              <w:t>提供合同（协议）复印件，加盖供应商公章。</w:t>
            </w:r>
          </w:p>
        </w:tc>
      </w:tr>
    </w:tbl>
    <w:p w14:paraId="3B1D1104">
      <w:pPr>
        <w:snapToGrid w:val="0"/>
        <w:spacing w:line="400" w:lineRule="exact"/>
        <w:ind w:firstLine="465"/>
        <w:rPr>
          <w:rFonts w:hint="eastAsia" w:ascii="方正仿宋_GBK" w:hAnsi="宋体" w:eastAsia="方正仿宋_GBK"/>
          <w:sz w:val="24"/>
          <w:szCs w:val="24"/>
        </w:rPr>
      </w:pPr>
    </w:p>
    <w:p w14:paraId="621FEE0E">
      <w:pPr>
        <w:pStyle w:val="3"/>
        <w:adjustRightInd w:val="0"/>
        <w:snapToGrid w:val="0"/>
        <w:spacing w:before="0" w:after="0" w:line="400" w:lineRule="exact"/>
        <w:ind w:firstLine="482" w:firstLineChars="200"/>
        <w:rPr>
          <w:rFonts w:hint="eastAsia" w:ascii="方正仿宋_GBK" w:hAnsi="宋体" w:eastAsia="方正仿宋_GBK"/>
          <w:sz w:val="24"/>
        </w:rPr>
      </w:pPr>
      <w:bookmarkStart w:id="26" w:name="_Toc76462335"/>
      <w:bookmarkStart w:id="27" w:name="_Toc29424"/>
      <w:bookmarkStart w:id="28" w:name="_Toc106030890"/>
      <w:bookmarkStart w:id="29" w:name="_Toc7784"/>
      <w:r>
        <w:rPr>
          <w:rFonts w:hint="eastAsia" w:ascii="方正仿宋_GBK" w:hAnsi="宋体" w:eastAsia="方正仿宋_GBK"/>
          <w:sz w:val="24"/>
        </w:rPr>
        <w:t>三、无效响应</w:t>
      </w:r>
      <w:bookmarkEnd w:id="26"/>
      <w:bookmarkEnd w:id="27"/>
      <w:bookmarkEnd w:id="28"/>
      <w:bookmarkEnd w:id="29"/>
    </w:p>
    <w:p w14:paraId="776F495D">
      <w:pPr>
        <w:snapToGrid w:val="0"/>
        <w:spacing w:line="400" w:lineRule="exact"/>
        <w:ind w:firstLine="465"/>
        <w:rPr>
          <w:rFonts w:hint="eastAsia" w:ascii="方正仿宋_GBK" w:hAnsi="宋体" w:eastAsia="方正仿宋_GBK"/>
          <w:sz w:val="24"/>
          <w:szCs w:val="24"/>
        </w:rPr>
      </w:pPr>
      <w:r>
        <w:rPr>
          <w:rFonts w:hint="eastAsia" w:ascii="方正仿宋_GBK" w:hAnsi="宋体" w:eastAsia="方正仿宋_GBK"/>
          <w:sz w:val="24"/>
          <w:szCs w:val="24"/>
        </w:rPr>
        <w:t>供应商发生以下条款情况之一者，视为无效响应，其响应文件将被拒绝：</w:t>
      </w:r>
    </w:p>
    <w:p w14:paraId="07C9B905">
      <w:pPr>
        <w:snapToGrid w:val="0"/>
        <w:spacing w:line="400" w:lineRule="exact"/>
        <w:ind w:firstLine="465"/>
        <w:rPr>
          <w:rFonts w:hint="eastAsia" w:ascii="方正仿宋_GBK" w:hAnsi="宋体" w:eastAsia="方正仿宋_GBK"/>
          <w:sz w:val="24"/>
          <w:szCs w:val="24"/>
        </w:rPr>
      </w:pPr>
      <w:r>
        <w:rPr>
          <w:rFonts w:hint="eastAsia" w:ascii="方正仿宋_GBK" w:hAnsi="宋体" w:eastAsia="方正仿宋_GBK"/>
          <w:sz w:val="24"/>
          <w:szCs w:val="24"/>
        </w:rPr>
        <w:t>（一）供应商不符合规定的资格条件的；</w:t>
      </w:r>
    </w:p>
    <w:p w14:paraId="6CEB2A55">
      <w:pPr>
        <w:snapToGrid w:val="0"/>
        <w:spacing w:line="400" w:lineRule="exact"/>
        <w:ind w:firstLine="465"/>
        <w:rPr>
          <w:rFonts w:hint="eastAsia" w:ascii="方正仿宋_GBK" w:hAnsi="宋体" w:eastAsia="方正仿宋_GBK"/>
          <w:sz w:val="24"/>
          <w:szCs w:val="24"/>
        </w:rPr>
      </w:pPr>
      <w:r>
        <w:rPr>
          <w:rFonts w:hint="eastAsia" w:ascii="方正仿宋_GBK" w:hAnsi="宋体" w:eastAsia="方正仿宋_GBK"/>
          <w:sz w:val="24"/>
          <w:szCs w:val="24"/>
        </w:rPr>
        <w:t>（二）供应商的法定代表人（或其授权代表）或自然人未参加磋商；</w:t>
      </w:r>
    </w:p>
    <w:p w14:paraId="6F13375F">
      <w:pPr>
        <w:snapToGrid w:val="0"/>
        <w:spacing w:line="400" w:lineRule="exact"/>
        <w:ind w:firstLine="465"/>
        <w:rPr>
          <w:rFonts w:hint="eastAsia" w:ascii="方正仿宋_GBK" w:hAnsi="宋体" w:eastAsia="方正仿宋_GBK"/>
          <w:sz w:val="24"/>
          <w:szCs w:val="24"/>
        </w:rPr>
      </w:pPr>
      <w:r>
        <w:rPr>
          <w:rFonts w:hint="eastAsia" w:ascii="方正仿宋_GBK" w:hAnsi="宋体" w:eastAsia="方正仿宋_GBK"/>
          <w:sz w:val="24"/>
          <w:szCs w:val="24"/>
        </w:rPr>
        <w:t>（三）供应商所提交的响应文件不按“第七篇响应文件编制要求”要求签署或盖章；</w:t>
      </w:r>
    </w:p>
    <w:p w14:paraId="605E6DED">
      <w:pPr>
        <w:snapToGrid w:val="0"/>
        <w:spacing w:line="400" w:lineRule="exact"/>
        <w:ind w:firstLine="465"/>
        <w:rPr>
          <w:rFonts w:hint="eastAsia" w:ascii="方正仿宋_GBK" w:hAnsi="宋体" w:eastAsia="方正仿宋_GBK"/>
          <w:sz w:val="24"/>
          <w:szCs w:val="24"/>
        </w:rPr>
      </w:pPr>
      <w:r>
        <w:rPr>
          <w:rFonts w:hint="eastAsia" w:ascii="方正仿宋_GBK" w:hAnsi="宋体" w:eastAsia="方正仿宋_GBK"/>
          <w:sz w:val="24"/>
          <w:szCs w:val="24"/>
        </w:rPr>
        <w:t>（四）供应商的最后报价超过采购预算或最高限价的；</w:t>
      </w:r>
    </w:p>
    <w:p w14:paraId="6A6A0795">
      <w:pPr>
        <w:snapToGrid w:val="0"/>
        <w:spacing w:line="400" w:lineRule="exact"/>
        <w:ind w:firstLine="465"/>
        <w:rPr>
          <w:rFonts w:hint="eastAsia" w:ascii="方正仿宋_GBK" w:hAnsi="宋体" w:eastAsia="方正仿宋_GBK"/>
          <w:sz w:val="24"/>
          <w:szCs w:val="24"/>
        </w:rPr>
      </w:pPr>
      <w:r>
        <w:rPr>
          <w:rFonts w:hint="eastAsia" w:ascii="方正仿宋_GBK" w:hAnsi="宋体" w:eastAsia="方正仿宋_GBK"/>
          <w:sz w:val="24"/>
          <w:szCs w:val="24"/>
        </w:rPr>
        <w:t>（五）法定代表人为同一个人的两个及两个以上法人，母公司、全资子公司及其控股公司，在同一包采购中同时参与磋商；</w:t>
      </w:r>
    </w:p>
    <w:p w14:paraId="749CFD04">
      <w:pPr>
        <w:snapToGrid w:val="0"/>
        <w:spacing w:line="400" w:lineRule="exact"/>
        <w:ind w:firstLine="465"/>
        <w:rPr>
          <w:rFonts w:hint="eastAsia" w:ascii="方正仿宋_GBK" w:hAnsi="宋体" w:eastAsia="方正仿宋_GBK"/>
          <w:sz w:val="24"/>
          <w:szCs w:val="24"/>
        </w:rPr>
      </w:pPr>
      <w:r>
        <w:rPr>
          <w:rFonts w:hint="eastAsia" w:ascii="方正仿宋_GBK" w:hAnsi="宋体" w:eastAsia="方正仿宋_GBK"/>
          <w:sz w:val="24"/>
          <w:szCs w:val="24"/>
        </w:rPr>
        <w:t>（六）单位负责人为同一人或者存在直接控股、管理关系的不同供应商，参加同一合同项下的政府采购活动的；</w:t>
      </w:r>
    </w:p>
    <w:p w14:paraId="5A412A55">
      <w:pPr>
        <w:snapToGrid w:val="0"/>
        <w:spacing w:line="400" w:lineRule="exact"/>
        <w:ind w:firstLine="465"/>
        <w:rPr>
          <w:rFonts w:hint="eastAsia" w:ascii="方正仿宋_GBK" w:hAnsi="宋体" w:eastAsia="方正仿宋_GBK"/>
          <w:sz w:val="24"/>
          <w:szCs w:val="24"/>
        </w:rPr>
      </w:pPr>
      <w:r>
        <w:rPr>
          <w:rFonts w:hint="eastAsia" w:ascii="方正仿宋_GBK" w:hAnsi="宋体" w:eastAsia="方正仿宋_GBK"/>
          <w:sz w:val="24"/>
          <w:szCs w:val="24"/>
        </w:rPr>
        <w:t>（七）</w:t>
      </w:r>
      <w:r>
        <w:rPr>
          <w:rFonts w:ascii="方正仿宋_GBK" w:hAnsi="宋体" w:eastAsia="方正仿宋_GBK"/>
          <w:sz w:val="24"/>
          <w:szCs w:val="24"/>
        </w:rPr>
        <w:t>为采购项目提供整体设计、规范编制或者项目管理、监理、检测等服务的供应商，再参加</w:t>
      </w:r>
      <w:r>
        <w:rPr>
          <w:rFonts w:hint="eastAsia" w:ascii="方正仿宋_GBK" w:hAnsi="宋体" w:eastAsia="方正仿宋_GBK"/>
          <w:sz w:val="24"/>
          <w:szCs w:val="24"/>
        </w:rPr>
        <w:t>该采购</w:t>
      </w:r>
      <w:r>
        <w:rPr>
          <w:rFonts w:ascii="方正仿宋_GBK" w:hAnsi="宋体" w:eastAsia="方正仿宋_GBK"/>
          <w:sz w:val="24"/>
          <w:szCs w:val="24"/>
        </w:rPr>
        <w:t>项目的</w:t>
      </w:r>
      <w:r>
        <w:rPr>
          <w:rFonts w:hint="eastAsia" w:ascii="方正仿宋_GBK" w:hAnsi="宋体" w:eastAsia="方正仿宋_GBK"/>
          <w:sz w:val="24"/>
          <w:szCs w:val="24"/>
        </w:rPr>
        <w:t>其他</w:t>
      </w:r>
      <w:r>
        <w:rPr>
          <w:rFonts w:ascii="方正仿宋_GBK" w:hAnsi="宋体" w:eastAsia="方正仿宋_GBK"/>
          <w:sz w:val="24"/>
          <w:szCs w:val="24"/>
        </w:rPr>
        <w:t>采购活动</w:t>
      </w:r>
      <w:r>
        <w:rPr>
          <w:rFonts w:hint="eastAsia" w:ascii="方正仿宋_GBK" w:hAnsi="宋体" w:eastAsia="方正仿宋_GBK"/>
          <w:sz w:val="24"/>
          <w:szCs w:val="24"/>
        </w:rPr>
        <w:t>；</w:t>
      </w:r>
    </w:p>
    <w:p w14:paraId="6AE80367">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（八）供应商磋商有效期不满足竞争性磋商文件要求的；</w:t>
      </w:r>
    </w:p>
    <w:p w14:paraId="5DF28931">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（九）供应商响应文件内容有与国家现行法律法规相违背的内容，或附有采购人无法接受的条件；</w:t>
      </w:r>
    </w:p>
    <w:p w14:paraId="58A11727">
      <w:pPr>
        <w:snapToGrid w:val="0"/>
        <w:spacing w:line="400" w:lineRule="exact"/>
        <w:ind w:firstLine="465"/>
        <w:rPr>
          <w:rFonts w:hint="eastAsia" w:ascii="方正仿宋_GBK" w:hAnsi="宋体" w:eastAsia="方正仿宋_GBK"/>
          <w:sz w:val="24"/>
          <w:szCs w:val="24"/>
        </w:rPr>
      </w:pPr>
      <w:r>
        <w:rPr>
          <w:rFonts w:hint="eastAsia" w:ascii="方正仿宋_GBK" w:hAnsi="宋体" w:eastAsia="方正仿宋_GBK"/>
          <w:sz w:val="24"/>
          <w:szCs w:val="24"/>
        </w:rPr>
        <w:t>（十）法律、法规和竞争性磋商文件规定的其他无效情形。</w:t>
      </w:r>
    </w:p>
    <w:p w14:paraId="2ECCB79E">
      <w:pPr>
        <w:pStyle w:val="3"/>
        <w:adjustRightInd w:val="0"/>
        <w:snapToGrid w:val="0"/>
        <w:spacing w:before="0" w:after="0" w:line="400" w:lineRule="exact"/>
        <w:ind w:firstLine="482" w:firstLineChars="200"/>
        <w:rPr>
          <w:rFonts w:hint="eastAsia" w:ascii="方正仿宋_GBK" w:hAnsi="宋体" w:eastAsia="方正仿宋_GBK"/>
          <w:sz w:val="24"/>
        </w:rPr>
      </w:pPr>
      <w:bookmarkStart w:id="30" w:name="_Toc76462336"/>
      <w:bookmarkStart w:id="31" w:name="_Toc22506"/>
      <w:bookmarkStart w:id="32" w:name="_Toc106030891"/>
      <w:bookmarkStart w:id="33" w:name="_Toc17290"/>
      <w:r>
        <w:rPr>
          <w:rFonts w:hint="eastAsia" w:ascii="方正仿宋_GBK" w:hAnsi="宋体" w:eastAsia="方正仿宋_GBK"/>
          <w:sz w:val="24"/>
        </w:rPr>
        <w:t>四、</w:t>
      </w:r>
      <w:bookmarkEnd w:id="24"/>
      <w:bookmarkEnd w:id="25"/>
      <w:r>
        <w:rPr>
          <w:rFonts w:hint="eastAsia" w:ascii="方正仿宋_GBK" w:hAnsi="宋体" w:eastAsia="方正仿宋_GBK"/>
          <w:sz w:val="24"/>
        </w:rPr>
        <w:t>采购终止</w:t>
      </w:r>
      <w:bookmarkEnd w:id="30"/>
      <w:bookmarkEnd w:id="31"/>
      <w:bookmarkEnd w:id="32"/>
      <w:bookmarkEnd w:id="33"/>
    </w:p>
    <w:p w14:paraId="0571F287">
      <w:pPr>
        <w:snapToGrid w:val="0"/>
        <w:spacing w:line="400" w:lineRule="exact"/>
        <w:ind w:firstLine="465"/>
        <w:rPr>
          <w:rFonts w:hint="eastAsia" w:ascii="方正仿宋_GBK" w:hAnsi="宋体" w:eastAsia="方正仿宋_GBK"/>
          <w:sz w:val="24"/>
          <w:szCs w:val="24"/>
        </w:rPr>
      </w:pPr>
      <w:r>
        <w:rPr>
          <w:rFonts w:hint="eastAsia" w:ascii="方正仿宋_GBK" w:hAnsi="宋体" w:eastAsia="方正仿宋_GBK"/>
          <w:sz w:val="24"/>
          <w:szCs w:val="24"/>
        </w:rPr>
        <w:t>出现下列情形之一的，采购人或者采购代理机构应当终止竞争性磋商采购活动，发布项目终止公告并说明原因，重新开展采购活动：</w:t>
      </w:r>
    </w:p>
    <w:p w14:paraId="764BBE16">
      <w:pPr>
        <w:snapToGrid w:val="0"/>
        <w:spacing w:line="400" w:lineRule="exact"/>
        <w:ind w:firstLine="465"/>
        <w:rPr>
          <w:rFonts w:hint="eastAsia" w:ascii="方正仿宋_GBK" w:hAnsi="宋体" w:eastAsia="方正仿宋_GBK"/>
          <w:sz w:val="24"/>
          <w:szCs w:val="24"/>
        </w:rPr>
      </w:pPr>
      <w:r>
        <w:rPr>
          <w:rFonts w:hint="eastAsia" w:ascii="方正仿宋_GBK" w:hAnsi="宋体" w:eastAsia="方正仿宋_GBK"/>
          <w:sz w:val="24"/>
          <w:szCs w:val="24"/>
        </w:rPr>
        <w:t>（一）因情况变化，不再符合规定的竞争性磋商采购方式适用情形的；</w:t>
      </w:r>
    </w:p>
    <w:p w14:paraId="36DBEC76">
      <w:pPr>
        <w:snapToGrid w:val="0"/>
        <w:spacing w:line="400" w:lineRule="exact"/>
        <w:ind w:firstLine="465"/>
        <w:rPr>
          <w:rFonts w:hint="eastAsia" w:ascii="方正仿宋_GBK" w:hAnsi="宋体" w:eastAsia="方正仿宋_GBK"/>
          <w:sz w:val="24"/>
          <w:szCs w:val="24"/>
        </w:rPr>
      </w:pPr>
      <w:r>
        <w:rPr>
          <w:rFonts w:hint="eastAsia" w:ascii="方正仿宋_GBK" w:hAnsi="宋体" w:eastAsia="方正仿宋_GBK"/>
          <w:sz w:val="24"/>
          <w:szCs w:val="24"/>
        </w:rPr>
        <w:t>（二）出现影响采购公正的违法、违规行为的；</w:t>
      </w:r>
    </w:p>
    <w:p w14:paraId="6E1DD1F3">
      <w:pPr>
        <w:snapToGrid w:val="0"/>
        <w:spacing w:line="400" w:lineRule="exact"/>
        <w:ind w:firstLine="465" w:firstLineChars="0"/>
        <w:rPr>
          <w:rFonts w:ascii="宋体" w:hAnsi="宋体"/>
          <w:sz w:val="24"/>
          <w:szCs w:val="24"/>
        </w:rPr>
        <w:sectPr>
          <w:pgSz w:w="11907" w:h="16840"/>
          <w:pgMar w:top="1134" w:right="1191" w:bottom="1134" w:left="1304" w:header="964" w:footer="992" w:gutter="0"/>
          <w:pgNumType w:fmt="numberInDash"/>
          <w:cols w:space="720" w:num="1"/>
          <w:docGrid w:linePitch="312" w:charSpace="0"/>
        </w:sectPr>
      </w:pPr>
      <w:r>
        <w:rPr>
          <w:rFonts w:hint="eastAsia" w:ascii="方正仿宋_GBK" w:hAnsi="宋体" w:eastAsia="方正仿宋_GBK"/>
          <w:sz w:val="24"/>
          <w:szCs w:val="24"/>
        </w:rPr>
        <w:t>（三）在采购过程中符合要求的供应商或者报价未超过采购预算的供应商不足3家的，但《政府采购竞争性磋商采购方式管理暂行办法》第二十一条第三款规定的情形除外。</w:t>
      </w:r>
    </w:p>
    <w:p w14:paraId="071F5DF1">
      <w:pPr>
        <w:pStyle w:val="2"/>
        <w:rPr>
          <w:rFonts w:ascii="方正仿宋_GBK" w:eastAsia="方正仿宋_GBK"/>
          <w:sz w:val="32"/>
          <w:szCs w:val="32"/>
        </w:rPr>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1" w:fontKey="{49AD3A81-CBE2-44B8-981E-1C7A7A27CECD}"/>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embedRegular r:id="rId2" w:fontKey="{DCD45D6E-F19F-4FA8-BFFF-5B28FEAF6C16}"/>
  </w:font>
  <w:font w:name="仿宋_GB2312">
    <w:altName w:val="仿宋"/>
    <w:panose1 w:val="02010609030101010101"/>
    <w:charset w:val="86"/>
    <w:family w:val="modern"/>
    <w:pitch w:val="default"/>
    <w:sig w:usb0="00000000" w:usb1="00000000" w:usb2="00000010" w:usb3="00000000" w:csb0="00040000" w:csb1="00000000"/>
    <w:embedRegular r:id="rId3" w:fontKey="{E02BFE49-5D3F-42B3-970D-F0B66DDECC0A}"/>
  </w:font>
  <w:font w:name="仿宋">
    <w:panose1 w:val="02010609060101010101"/>
    <w:charset w:val="86"/>
    <w:family w:val="modern"/>
    <w:pitch w:val="default"/>
    <w:sig w:usb0="800002BF" w:usb1="38CF7CFA" w:usb2="00000016" w:usb3="00000000" w:csb0="00040001" w:csb1="00000000"/>
    <w:embedRegular r:id="rId4" w:fontKey="{2DF31E96-7E2A-4BB0-A4B2-9DC2E152E5E0}"/>
  </w:font>
  <w:font w:name="方正仿宋_GBK">
    <w:panose1 w:val="02000000000000000000"/>
    <w:charset w:val="86"/>
    <w:family w:val="script"/>
    <w:pitch w:val="default"/>
    <w:sig w:usb0="A00002BF" w:usb1="38CF7CFA" w:usb2="00082016" w:usb3="00000000" w:csb0="00040001" w:csb1="00000000"/>
    <w:embedRegular r:id="rId5" w:fontKey="{B0F7B109-F5C0-4D34-B831-52D08C813796}"/>
  </w:font>
  <w:font w:name="方正黑体_GBK">
    <w:altName w:val="Arial Unicode MS"/>
    <w:panose1 w:val="03000509000000000000"/>
    <w:charset w:val="86"/>
    <w:family w:val="script"/>
    <w:pitch w:val="default"/>
    <w:sig w:usb0="00000000" w:usb1="00000000" w:usb2="00000010" w:usb3="00000000" w:csb0="00040000" w:csb1="00000000"/>
    <w:embedRegular r:id="rId6" w:fontKey="{C35BE5A2-012B-4C30-AB98-3D95C2CBEEB3}"/>
  </w:font>
  <w:font w:name="方正小标宋_GBK">
    <w:altName w:val="Arial Unicode MS"/>
    <w:panose1 w:val="03000509000000000000"/>
    <w:charset w:val="86"/>
    <w:family w:val="script"/>
    <w:pitch w:val="default"/>
    <w:sig w:usb0="00000000" w:usb1="00000000" w:usb2="00000000" w:usb3="00000000" w:csb0="00040000" w:csb1="00000000"/>
    <w:embedRegular r:id="rId7" w:fontKey="{9A11EB1E-D4F8-4378-8E43-0CCE11F7261D}"/>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46DB6">
    <w:pPr>
      <w:pStyle w:val="2"/>
      <w:jc w:val="center"/>
      <w:rPr>
        <w:rFonts w:ascii="宋体" w:hAnsi="宋体"/>
        <w:sz w:val="21"/>
        <w:szCs w:val="21"/>
      </w:rPr>
    </w:pPr>
    <w:r>
      <w:rPr>
        <w:rFonts w:ascii="宋体" w:hAnsi="宋体"/>
        <w:sz w:val="21"/>
        <w:szCs w:val="21"/>
      </w:rPr>
      <w:fldChar w:fldCharType="begin"/>
    </w:r>
    <w:r>
      <w:rPr>
        <w:rStyle w:val="11"/>
        <w:rFonts w:ascii="宋体" w:hAnsi="宋体"/>
        <w:sz w:val="21"/>
        <w:szCs w:val="21"/>
      </w:rPr>
      <w:instrText xml:space="preserve"> PAGE </w:instrText>
    </w:r>
    <w:r>
      <w:rPr>
        <w:rFonts w:ascii="宋体" w:hAnsi="宋体"/>
        <w:sz w:val="21"/>
        <w:szCs w:val="21"/>
      </w:rPr>
      <w:fldChar w:fldCharType="separate"/>
    </w:r>
    <w:r>
      <w:rPr>
        <w:rStyle w:val="11"/>
        <w:rFonts w:ascii="宋体" w:hAnsi="宋体"/>
        <w:sz w:val="21"/>
        <w:szCs w:val="21"/>
      </w:rPr>
      <w:t>- 2 -</w:t>
    </w:r>
    <w:r>
      <w:rPr>
        <w:rFonts w:ascii="宋体" w:hAnsi="宋体"/>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AFDD4">
    <w:pPr>
      <w:pStyle w:val="2"/>
      <w:framePr w:wrap="around" w:vAnchor="text" w:hAnchor="margin" w:xAlign="center" w:y="1"/>
      <w:rPr>
        <w:rStyle w:val="11"/>
      </w:rPr>
    </w:pPr>
    <w:r>
      <w:fldChar w:fldCharType="begin"/>
    </w:r>
    <w:r>
      <w:rPr>
        <w:rStyle w:val="11"/>
      </w:rPr>
      <w:instrText xml:space="preserve">PAGE  </w:instrText>
    </w:r>
    <w:r>
      <w:fldChar w:fldCharType="separate"/>
    </w:r>
    <w:r>
      <w:fldChar w:fldCharType="end"/>
    </w:r>
  </w:p>
  <w:p w14:paraId="0F18A408">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388"/>
    <w:rsid w:val="00040FE0"/>
    <w:rsid w:val="00053C26"/>
    <w:rsid w:val="00087D92"/>
    <w:rsid w:val="00097388"/>
    <w:rsid w:val="000C11B8"/>
    <w:rsid w:val="000D5CA7"/>
    <w:rsid w:val="00136B19"/>
    <w:rsid w:val="00166CD1"/>
    <w:rsid w:val="00171154"/>
    <w:rsid w:val="001A312E"/>
    <w:rsid w:val="001B4991"/>
    <w:rsid w:val="001B5723"/>
    <w:rsid w:val="00206D6F"/>
    <w:rsid w:val="00253423"/>
    <w:rsid w:val="00265E70"/>
    <w:rsid w:val="00280130"/>
    <w:rsid w:val="002B28A5"/>
    <w:rsid w:val="002C43A8"/>
    <w:rsid w:val="002D0C6A"/>
    <w:rsid w:val="002E4AC7"/>
    <w:rsid w:val="002F1D32"/>
    <w:rsid w:val="00330EA2"/>
    <w:rsid w:val="00346423"/>
    <w:rsid w:val="00347311"/>
    <w:rsid w:val="00381CDF"/>
    <w:rsid w:val="00382468"/>
    <w:rsid w:val="003A0618"/>
    <w:rsid w:val="003A6154"/>
    <w:rsid w:val="003C0510"/>
    <w:rsid w:val="003F6D41"/>
    <w:rsid w:val="00421434"/>
    <w:rsid w:val="00492FAC"/>
    <w:rsid w:val="004A076C"/>
    <w:rsid w:val="00510067"/>
    <w:rsid w:val="00530C37"/>
    <w:rsid w:val="00596C1A"/>
    <w:rsid w:val="005A096B"/>
    <w:rsid w:val="005C6895"/>
    <w:rsid w:val="005F6949"/>
    <w:rsid w:val="006034CE"/>
    <w:rsid w:val="00613C1F"/>
    <w:rsid w:val="00651D70"/>
    <w:rsid w:val="00656DB0"/>
    <w:rsid w:val="00672E59"/>
    <w:rsid w:val="006D30BD"/>
    <w:rsid w:val="00712756"/>
    <w:rsid w:val="0073246B"/>
    <w:rsid w:val="0073323E"/>
    <w:rsid w:val="00734314"/>
    <w:rsid w:val="007A3B4C"/>
    <w:rsid w:val="008303DA"/>
    <w:rsid w:val="008669FE"/>
    <w:rsid w:val="00875AF3"/>
    <w:rsid w:val="00877DFF"/>
    <w:rsid w:val="0088339C"/>
    <w:rsid w:val="009118A8"/>
    <w:rsid w:val="009234EF"/>
    <w:rsid w:val="00924CB0"/>
    <w:rsid w:val="00931A80"/>
    <w:rsid w:val="00932FA8"/>
    <w:rsid w:val="00950051"/>
    <w:rsid w:val="00982E85"/>
    <w:rsid w:val="009879EA"/>
    <w:rsid w:val="009A7438"/>
    <w:rsid w:val="009C65C6"/>
    <w:rsid w:val="00A226CB"/>
    <w:rsid w:val="00A526D3"/>
    <w:rsid w:val="00A5445F"/>
    <w:rsid w:val="00A60A22"/>
    <w:rsid w:val="00A756B5"/>
    <w:rsid w:val="00A90963"/>
    <w:rsid w:val="00AB6658"/>
    <w:rsid w:val="00AF7931"/>
    <w:rsid w:val="00B021DA"/>
    <w:rsid w:val="00B05BEB"/>
    <w:rsid w:val="00B5445D"/>
    <w:rsid w:val="00B6226F"/>
    <w:rsid w:val="00B63F64"/>
    <w:rsid w:val="00B76C50"/>
    <w:rsid w:val="00BD5263"/>
    <w:rsid w:val="00BE6C2E"/>
    <w:rsid w:val="00BF6709"/>
    <w:rsid w:val="00C27CA5"/>
    <w:rsid w:val="00C35BA0"/>
    <w:rsid w:val="00C52CD7"/>
    <w:rsid w:val="00C5410F"/>
    <w:rsid w:val="00C66B6E"/>
    <w:rsid w:val="00C96058"/>
    <w:rsid w:val="00CD38A4"/>
    <w:rsid w:val="00CD6C36"/>
    <w:rsid w:val="00D307BC"/>
    <w:rsid w:val="00D6097D"/>
    <w:rsid w:val="00D75C98"/>
    <w:rsid w:val="00D8777C"/>
    <w:rsid w:val="00DA3EFE"/>
    <w:rsid w:val="00DB67DF"/>
    <w:rsid w:val="00DB755D"/>
    <w:rsid w:val="00DF2579"/>
    <w:rsid w:val="00E058E1"/>
    <w:rsid w:val="00E60E12"/>
    <w:rsid w:val="00EB1F1E"/>
    <w:rsid w:val="00EB396C"/>
    <w:rsid w:val="00EC23E3"/>
    <w:rsid w:val="00EF4CC3"/>
    <w:rsid w:val="00EF7A57"/>
    <w:rsid w:val="00F019A5"/>
    <w:rsid w:val="00F05FCA"/>
    <w:rsid w:val="00F1146E"/>
    <w:rsid w:val="00FD1AC9"/>
    <w:rsid w:val="08423F09"/>
    <w:rsid w:val="13A11B10"/>
    <w:rsid w:val="1C325A9D"/>
    <w:rsid w:val="2631783F"/>
    <w:rsid w:val="27DA7110"/>
    <w:rsid w:val="2D7C0EBC"/>
    <w:rsid w:val="4F4B2485"/>
    <w:rsid w:val="73917CF7"/>
    <w:rsid w:val="75EC38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link w:val="16"/>
    <w:qFormat/>
    <w:uiPriority w:val="9"/>
    <w:pPr>
      <w:keepNext/>
      <w:keepLines/>
      <w:spacing w:before="260" w:after="260" w:line="413" w:lineRule="auto"/>
      <w:outlineLvl w:val="1"/>
    </w:pPr>
    <w:rPr>
      <w:rFonts w:ascii="Arial" w:hAnsi="Arial" w:eastAsia="黑体" w:cs="Times New Roman"/>
      <w:b/>
      <w:sz w:val="32"/>
      <w:szCs w:val="24"/>
    </w:rPr>
  </w:style>
  <w:style w:type="paragraph" w:styleId="4">
    <w:name w:val="heading 3"/>
    <w:basedOn w:val="1"/>
    <w:next w:val="1"/>
    <w:link w:val="19"/>
    <w:semiHidden/>
    <w:unhideWhenUsed/>
    <w:qFormat/>
    <w:uiPriority w:val="9"/>
    <w:pPr>
      <w:keepNext/>
      <w:keepLines/>
      <w:spacing w:before="260" w:after="260" w:line="416" w:lineRule="auto"/>
      <w:outlineLvl w:val="2"/>
    </w:pPr>
    <w:rPr>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2"/>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5">
    <w:name w:val="annotation text"/>
    <w:basedOn w:val="1"/>
    <w:link w:val="17"/>
    <w:qFormat/>
    <w:uiPriority w:val="0"/>
    <w:pPr>
      <w:jc w:val="left"/>
    </w:pPr>
    <w:rPr>
      <w:rFonts w:ascii="Times New Roman" w:hAnsi="Times New Roman" w:eastAsia="宋体" w:cs="Times New Roman"/>
      <w:szCs w:val="24"/>
    </w:rPr>
  </w:style>
  <w:style w:type="paragraph" w:styleId="6">
    <w:name w:val="Body Text"/>
    <w:basedOn w:val="1"/>
    <w:link w:val="18"/>
    <w:qFormat/>
    <w:uiPriority w:val="99"/>
    <w:pPr>
      <w:widowControl/>
      <w:spacing w:after="120"/>
      <w:jc w:val="left"/>
    </w:pPr>
    <w:rPr>
      <w:rFonts w:ascii="等线" w:hAnsi="等线" w:eastAsia="等线" w:cs="Times New Roman"/>
      <w:sz w:val="20"/>
      <w:szCs w:val="20"/>
    </w:rPr>
  </w:style>
  <w:style w:type="paragraph" w:styleId="7">
    <w:name w:val="Date"/>
    <w:basedOn w:val="1"/>
    <w:next w:val="1"/>
    <w:qFormat/>
    <w:uiPriority w:val="0"/>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character" w:styleId="11">
    <w:name w:val="page number"/>
    <w:qFormat/>
    <w:uiPriority w:val="0"/>
  </w:style>
  <w:style w:type="character" w:customStyle="1" w:styleId="12">
    <w:name w:val="页脚 字符"/>
    <w:basedOn w:val="10"/>
    <w:link w:val="2"/>
    <w:qFormat/>
    <w:uiPriority w:val="0"/>
    <w:rPr>
      <w:rFonts w:ascii="Times New Roman" w:hAnsi="Times New Roman" w:eastAsia="宋体" w:cs="Times New Roman"/>
      <w:sz w:val="18"/>
      <w:szCs w:val="18"/>
    </w:rPr>
  </w:style>
  <w:style w:type="paragraph" w:customStyle="1" w:styleId="13">
    <w:name w:val="图例"/>
    <w:basedOn w:val="1"/>
    <w:qFormat/>
    <w:uiPriority w:val="0"/>
    <w:pPr>
      <w:spacing w:before="120" w:after="120" w:line="360" w:lineRule="auto"/>
      <w:jc w:val="center"/>
    </w:pPr>
    <w:rPr>
      <w:rFonts w:ascii="Times New Roman" w:hAnsi="Times New Roman" w:eastAsia="仿宋_GB2312" w:cs="Times New Roman"/>
      <w:b/>
      <w:sz w:val="24"/>
      <w:szCs w:val="20"/>
    </w:rPr>
  </w:style>
  <w:style w:type="paragraph" w:styleId="14">
    <w:name w:val="List Paragraph"/>
    <w:basedOn w:val="1"/>
    <w:qFormat/>
    <w:uiPriority w:val="34"/>
    <w:pPr>
      <w:ind w:firstLine="420" w:firstLineChars="200"/>
    </w:pPr>
  </w:style>
  <w:style w:type="character" w:customStyle="1" w:styleId="15">
    <w:name w:val="页眉 字符"/>
    <w:basedOn w:val="10"/>
    <w:link w:val="8"/>
    <w:qFormat/>
    <w:uiPriority w:val="99"/>
    <w:rPr>
      <w:sz w:val="18"/>
      <w:szCs w:val="18"/>
    </w:rPr>
  </w:style>
  <w:style w:type="character" w:customStyle="1" w:styleId="16">
    <w:name w:val="标题 2 字符"/>
    <w:basedOn w:val="10"/>
    <w:link w:val="3"/>
    <w:qFormat/>
    <w:uiPriority w:val="9"/>
    <w:rPr>
      <w:rFonts w:ascii="Arial" w:hAnsi="Arial" w:eastAsia="黑体" w:cs="Times New Roman"/>
      <w:b/>
      <w:sz w:val="32"/>
      <w:szCs w:val="24"/>
    </w:rPr>
  </w:style>
  <w:style w:type="character" w:customStyle="1" w:styleId="17">
    <w:name w:val="批注文字 字符"/>
    <w:basedOn w:val="10"/>
    <w:link w:val="5"/>
    <w:qFormat/>
    <w:uiPriority w:val="0"/>
    <w:rPr>
      <w:rFonts w:ascii="Times New Roman" w:hAnsi="Times New Roman" w:eastAsia="宋体" w:cs="Times New Roman"/>
      <w:szCs w:val="24"/>
    </w:rPr>
  </w:style>
  <w:style w:type="character" w:customStyle="1" w:styleId="18">
    <w:name w:val="正文文本 字符"/>
    <w:basedOn w:val="10"/>
    <w:link w:val="6"/>
    <w:qFormat/>
    <w:uiPriority w:val="99"/>
    <w:rPr>
      <w:rFonts w:ascii="等线" w:hAnsi="等线" w:eastAsia="等线" w:cs="Times New Roman"/>
      <w:sz w:val="20"/>
      <w:szCs w:val="20"/>
    </w:rPr>
  </w:style>
  <w:style w:type="character" w:customStyle="1" w:styleId="19">
    <w:name w:val="标题 3 字符"/>
    <w:basedOn w:val="10"/>
    <w:link w:val="4"/>
    <w:semiHidden/>
    <w:qFormat/>
    <w:uiPriority w:val="9"/>
    <w:rPr>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7921</Words>
  <Characters>8342</Characters>
  <Lines>31</Lines>
  <Paragraphs>8</Paragraphs>
  <TotalTime>0</TotalTime>
  <ScaleCrop>false</ScaleCrop>
  <LinksUpToDate>false</LinksUpToDate>
  <CharactersWithSpaces>8362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2025-10-30T03:01:00Z</dcterms:created>
  <dc:creator>郭 丁</dc:creator>
  <cp:lastModifiedBy>worker</cp:lastModifiedBy>
  <dcterms:modified xsi:type="dcterms:W3CDTF">2025-11-06T03:35:03Z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eyJoZGlkIjoiNjQxY2ZmYTFmMTY2MjA4MjFhNGE2Y2E3NjI2NzJlZDAiLCJ1c2VySWQiOiIzNTg0NDQwMTAifQ==</vt:lpwstr>
  </property>
  <property fmtid="{D5CDD505-2E9C-101B-9397-08002B2CF9AE}" pid="3" name="KSOProductBuildVer">
    <vt:lpwstr>2052-12.1.0.23125</vt:lpwstr>
  </property>
  <property fmtid="{D5CDD505-2E9C-101B-9397-08002B2CF9AE}" pid="4" name="ICV">
    <vt:lpwstr>2CDFA3A05B94436FABF05A4B611ABDC3_12</vt:lpwstr>
  </property>
</Properties>
</file>